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70084">
      <w:pPr>
        <w:tabs>
          <w:tab w:val="left" w:pos="5475"/>
        </w:tabs>
        <w:spacing w:line="1400" w:lineRule="exact"/>
        <w:rPr>
          <w:rFonts w:ascii="宋体" w:hAnsi="宋体"/>
          <w:b/>
          <w:spacing w:val="-20"/>
          <w:kern w:val="0"/>
          <w:sz w:val="72"/>
        </w:rPr>
      </w:pPr>
      <w:permStart w:id="0" w:edGrp="everyone"/>
      <w:permEnd w:id="0"/>
    </w:p>
    <w:p w14:paraId="462AA647">
      <w:pPr>
        <w:spacing w:line="360" w:lineRule="auto"/>
        <w:jc w:val="center"/>
        <w:rPr>
          <w:rFonts w:ascii="宋体" w:hAnsi="宋体" w:cs="宋体"/>
          <w:b/>
          <w:bCs/>
          <w:snapToGrid w:val="0"/>
          <w:spacing w:val="-20"/>
          <w:kern w:val="0"/>
          <w:sz w:val="48"/>
          <w:szCs w:val="48"/>
        </w:rPr>
      </w:pPr>
      <w:r>
        <w:rPr>
          <w:rFonts w:hint="eastAsia" w:ascii="宋体" w:hAnsi="宋体" w:cs="宋体"/>
          <w:b/>
          <w:bCs/>
          <w:snapToGrid w:val="0"/>
          <w:spacing w:val="-20"/>
          <w:kern w:val="0"/>
          <w:sz w:val="48"/>
          <w:szCs w:val="48"/>
        </w:rPr>
        <w:tab/>
      </w:r>
      <w:bookmarkStart w:id="0" w:name="_Toc8561"/>
      <w:bookmarkStart w:id="1" w:name="_Toc14363"/>
      <w:bookmarkStart w:id="2" w:name="_Toc4646"/>
      <w:bookmarkStart w:id="3" w:name="_Toc144745924"/>
      <w:r>
        <w:rPr>
          <w:rFonts w:hint="eastAsia" w:ascii="宋体" w:hAnsi="宋体" w:cs="宋体"/>
          <w:b/>
          <w:bCs/>
          <w:snapToGrid w:val="0"/>
          <w:spacing w:val="-20"/>
          <w:kern w:val="0"/>
          <w:sz w:val="48"/>
          <w:szCs w:val="48"/>
          <w:lang w:val="en-US" w:eastAsia="zh-CN"/>
        </w:rPr>
        <w:t>广开云汇北侧道路</w:t>
      </w:r>
      <w:r>
        <w:rPr>
          <w:rFonts w:hint="eastAsia" w:ascii="宋体" w:hAnsi="宋体" w:cs="宋体"/>
          <w:b/>
          <w:bCs/>
          <w:snapToGrid w:val="0"/>
          <w:spacing w:val="-20"/>
          <w:kern w:val="0"/>
          <w:sz w:val="48"/>
          <w:szCs w:val="48"/>
        </w:rPr>
        <w:t>工程项目</w:t>
      </w:r>
    </w:p>
    <w:p w14:paraId="322F20B7">
      <w:pPr>
        <w:spacing w:line="360" w:lineRule="auto"/>
        <w:jc w:val="center"/>
        <w:rPr>
          <w:rFonts w:ascii="宋体" w:hAnsi="宋体"/>
          <w:b/>
          <w:spacing w:val="-20"/>
          <w:kern w:val="0"/>
          <w:sz w:val="48"/>
        </w:rPr>
      </w:pPr>
      <w:r>
        <w:rPr>
          <w:rFonts w:hint="eastAsia" w:ascii="宋体" w:hAnsi="宋体" w:cs="宋体"/>
          <w:b/>
          <w:bCs/>
          <w:snapToGrid w:val="0"/>
          <w:spacing w:val="-20"/>
          <w:kern w:val="0"/>
          <w:sz w:val="48"/>
          <w:szCs w:val="48"/>
          <w:lang w:val="en-US" w:eastAsia="zh-CN"/>
        </w:rPr>
        <w:t>勘察</w:t>
      </w:r>
      <w:r>
        <w:rPr>
          <w:rFonts w:hint="eastAsia" w:ascii="宋体" w:hAnsi="宋体" w:cs="宋体"/>
          <w:b/>
          <w:bCs/>
          <w:snapToGrid w:val="0"/>
          <w:spacing w:val="-20"/>
          <w:kern w:val="0"/>
          <w:sz w:val="48"/>
          <w:szCs w:val="48"/>
        </w:rPr>
        <w:t>设计</w:t>
      </w:r>
      <w:r>
        <w:rPr>
          <w:rFonts w:hint="eastAsia" w:ascii="宋体" w:hAnsi="宋体"/>
          <w:b/>
          <w:spacing w:val="-20"/>
          <w:kern w:val="0"/>
          <w:sz w:val="48"/>
        </w:rPr>
        <w:t>施工总承包</w:t>
      </w:r>
      <w:r>
        <w:rPr>
          <w:rFonts w:hint="eastAsia" w:ascii="宋体" w:hAnsi="宋体" w:cs="宋体"/>
          <w:b/>
          <w:bCs/>
          <w:snapToGrid w:val="0"/>
          <w:spacing w:val="-20"/>
          <w:kern w:val="0"/>
          <w:sz w:val="48"/>
          <w:szCs w:val="48"/>
        </w:rPr>
        <w:t>工程</w:t>
      </w:r>
      <w:permStart w:id="1" w:edGrp="everyone"/>
      <w:permEnd w:id="1"/>
      <w:r>
        <w:rPr>
          <w:rFonts w:hint="eastAsia" w:ascii="宋体" w:hAnsi="宋体"/>
          <w:b/>
          <w:spacing w:val="-20"/>
          <w:kern w:val="0"/>
          <w:sz w:val="48"/>
        </w:rPr>
        <w:t>合同</w:t>
      </w:r>
      <w:bookmarkEnd w:id="0"/>
      <w:bookmarkEnd w:id="1"/>
      <w:bookmarkEnd w:id="2"/>
      <w:bookmarkEnd w:id="3"/>
      <w:r>
        <w:rPr>
          <w:rFonts w:hint="eastAsia" w:ascii="宋体" w:hAnsi="宋体" w:cs="宋体"/>
          <w:b/>
          <w:bCs/>
          <w:snapToGrid w:val="0"/>
          <w:spacing w:val="-20"/>
          <w:kern w:val="0"/>
          <w:sz w:val="48"/>
          <w:szCs w:val="48"/>
        </w:rPr>
        <w:t xml:space="preserve">   </w:t>
      </w:r>
    </w:p>
    <w:p w14:paraId="0C5C4304">
      <w:pPr>
        <w:adjustRightInd w:val="0"/>
        <w:snapToGrid w:val="0"/>
        <w:spacing w:line="360" w:lineRule="auto"/>
        <w:jc w:val="center"/>
        <w:rPr>
          <w:rFonts w:ascii="宋体" w:hAnsi="宋体"/>
          <w:b/>
          <w:kern w:val="0"/>
          <w:sz w:val="32"/>
        </w:rPr>
      </w:pPr>
    </w:p>
    <w:p w14:paraId="7DE7A0F5">
      <w:pPr>
        <w:adjustRightInd w:val="0"/>
        <w:snapToGrid w:val="0"/>
        <w:spacing w:line="360" w:lineRule="auto"/>
        <w:jc w:val="center"/>
        <w:rPr>
          <w:rFonts w:ascii="宋体" w:hAnsi="宋体"/>
          <w:b/>
          <w:kern w:val="0"/>
          <w:sz w:val="32"/>
        </w:rPr>
      </w:pPr>
    </w:p>
    <w:p w14:paraId="41B8B7D0">
      <w:pPr>
        <w:adjustRightInd w:val="0"/>
        <w:snapToGrid w:val="0"/>
        <w:spacing w:line="360" w:lineRule="auto"/>
        <w:ind w:firstLine="1405" w:firstLineChars="500"/>
        <w:rPr>
          <w:rFonts w:ascii="宋体" w:hAnsi="宋体"/>
          <w:b/>
          <w:kern w:val="0"/>
          <w:sz w:val="28"/>
        </w:rPr>
      </w:pPr>
      <w:r>
        <w:rPr>
          <w:rFonts w:hint="eastAsia" w:ascii="宋体" w:hAnsi="宋体"/>
          <w:b/>
          <w:kern w:val="0"/>
          <w:sz w:val="28"/>
        </w:rPr>
        <w:t>合同编号：</w:t>
      </w:r>
    </w:p>
    <w:p w14:paraId="7E185FC9">
      <w:pPr>
        <w:adjustRightInd w:val="0"/>
        <w:snapToGrid w:val="0"/>
        <w:spacing w:line="360" w:lineRule="auto"/>
        <w:ind w:firstLine="960" w:firstLineChars="400"/>
        <w:rPr>
          <w:rFonts w:ascii="宋体" w:hAnsi="宋体" w:cs="宋体"/>
          <w:snapToGrid w:val="0"/>
          <w:kern w:val="0"/>
          <w:sz w:val="24"/>
        </w:rPr>
      </w:pPr>
    </w:p>
    <w:p w14:paraId="4FA4E0A5">
      <w:pPr>
        <w:tabs>
          <w:tab w:val="left" w:pos="6480"/>
        </w:tabs>
        <w:adjustRightInd w:val="0"/>
        <w:snapToGrid w:val="0"/>
        <w:spacing w:line="360" w:lineRule="auto"/>
        <w:rPr>
          <w:rFonts w:ascii="宋体" w:hAnsi="宋体"/>
          <w:kern w:val="0"/>
          <w:sz w:val="24"/>
        </w:rPr>
      </w:pPr>
      <w:r>
        <w:rPr>
          <w:rFonts w:ascii="宋体" w:hAnsi="宋体"/>
          <w:kern w:val="0"/>
          <w:sz w:val="24"/>
        </w:rPr>
        <w:tab/>
      </w:r>
    </w:p>
    <w:p w14:paraId="28A0A51D">
      <w:pPr>
        <w:adjustRightInd w:val="0"/>
        <w:snapToGrid w:val="0"/>
        <w:spacing w:line="360" w:lineRule="auto"/>
        <w:rPr>
          <w:rFonts w:ascii="宋体" w:hAnsi="宋体"/>
          <w:kern w:val="0"/>
          <w:sz w:val="24"/>
        </w:rPr>
      </w:pPr>
    </w:p>
    <w:p w14:paraId="5CE99433">
      <w:pPr>
        <w:pStyle w:val="46"/>
        <w:ind w:firstLine="480"/>
        <w:rPr>
          <w:rFonts w:ascii="宋体" w:hAnsi="宋体"/>
        </w:rPr>
      </w:pPr>
    </w:p>
    <w:p w14:paraId="722B5999">
      <w:pPr>
        <w:adjustRightInd w:val="0"/>
        <w:snapToGrid w:val="0"/>
        <w:spacing w:line="360" w:lineRule="auto"/>
        <w:rPr>
          <w:rFonts w:ascii="宋体" w:hAnsi="宋体"/>
          <w:kern w:val="0"/>
          <w:sz w:val="24"/>
        </w:rPr>
      </w:pPr>
    </w:p>
    <w:p w14:paraId="312068AB">
      <w:pPr>
        <w:adjustRightInd w:val="0"/>
        <w:snapToGrid w:val="0"/>
        <w:spacing w:line="360" w:lineRule="auto"/>
        <w:rPr>
          <w:rFonts w:ascii="宋体" w:hAnsi="宋体"/>
          <w:kern w:val="0"/>
          <w:sz w:val="24"/>
        </w:rPr>
      </w:pPr>
    </w:p>
    <w:p w14:paraId="6286A024">
      <w:pPr>
        <w:adjustRightInd w:val="0"/>
        <w:snapToGrid w:val="0"/>
        <w:spacing w:line="360" w:lineRule="auto"/>
        <w:rPr>
          <w:rFonts w:ascii="宋体" w:hAnsi="宋体"/>
          <w:kern w:val="0"/>
          <w:sz w:val="24"/>
        </w:rPr>
      </w:pPr>
    </w:p>
    <w:p w14:paraId="197F07C8">
      <w:pPr>
        <w:adjustRightInd w:val="0"/>
        <w:snapToGrid w:val="0"/>
        <w:spacing w:line="360" w:lineRule="auto"/>
        <w:rPr>
          <w:rFonts w:ascii="宋体" w:hAnsi="宋体"/>
          <w:kern w:val="0"/>
          <w:sz w:val="24"/>
        </w:rPr>
      </w:pPr>
    </w:p>
    <w:p w14:paraId="56423399">
      <w:pPr>
        <w:adjustRightInd w:val="0"/>
        <w:snapToGrid w:val="0"/>
        <w:spacing w:line="360" w:lineRule="auto"/>
        <w:rPr>
          <w:rFonts w:ascii="宋体" w:hAnsi="宋体"/>
          <w:kern w:val="0"/>
          <w:sz w:val="24"/>
        </w:rPr>
      </w:pPr>
      <w:bookmarkStart w:id="4" w:name="_Toc115711396"/>
    </w:p>
    <w:p w14:paraId="72BFED09">
      <w:pPr>
        <w:spacing w:line="360" w:lineRule="auto"/>
        <w:ind w:firstLine="643" w:firstLineChars="200"/>
        <w:rPr>
          <w:rFonts w:ascii="宋体" w:hAnsi="宋体"/>
          <w:b/>
          <w:kern w:val="0"/>
          <w:sz w:val="32"/>
        </w:rPr>
      </w:pPr>
      <w:r>
        <w:rPr>
          <w:rFonts w:hint="eastAsia" w:ascii="宋体" w:hAnsi="宋体"/>
          <w:b/>
          <w:kern w:val="0"/>
          <w:sz w:val="32"/>
        </w:rPr>
        <w:t>发包人：广州</w:t>
      </w:r>
      <w:r>
        <w:rPr>
          <w:rFonts w:hint="eastAsia" w:ascii="宋体" w:hAnsi="宋体"/>
          <w:b/>
          <w:kern w:val="0"/>
          <w:sz w:val="32"/>
          <w:lang w:val="en-US" w:eastAsia="zh-CN"/>
        </w:rPr>
        <w:t>尚龙</w:t>
      </w:r>
      <w:r>
        <w:rPr>
          <w:rFonts w:hint="eastAsia" w:ascii="宋体" w:hAnsi="宋体"/>
          <w:b/>
          <w:kern w:val="0"/>
          <w:sz w:val="32"/>
        </w:rPr>
        <w:t>置业有限公司</w:t>
      </w:r>
    </w:p>
    <w:p w14:paraId="412F5E29">
      <w:pPr>
        <w:pStyle w:val="46"/>
        <w:spacing w:after="0"/>
        <w:ind w:left="0" w:leftChars="0" w:firstLine="643"/>
        <w:rPr>
          <w:rFonts w:hint="eastAsia" w:ascii="宋体" w:hAnsi="宋体" w:eastAsia="宋体"/>
          <w:b/>
          <w:kern w:val="0"/>
          <w:sz w:val="32"/>
          <w:lang w:val="en-US" w:eastAsia="zh-CN"/>
        </w:rPr>
      </w:pPr>
      <w:r>
        <w:rPr>
          <w:rFonts w:hint="eastAsia" w:ascii="宋体" w:hAnsi="宋体"/>
          <w:b/>
          <w:kern w:val="0"/>
          <w:sz w:val="32"/>
        </w:rPr>
        <w:t>承包人：(主)</w:t>
      </w:r>
      <w:r>
        <w:rPr>
          <w:rFonts w:hint="eastAsia" w:ascii="宋体" w:hAnsi="宋体"/>
          <w:b/>
          <w:kern w:val="0"/>
          <w:sz w:val="32"/>
          <w:lang w:val="en-US" w:eastAsia="zh-CN"/>
        </w:rPr>
        <w:t xml:space="preserve"> </w:t>
      </w:r>
    </w:p>
    <w:p w14:paraId="039214CB">
      <w:pPr>
        <w:pStyle w:val="46"/>
        <w:spacing w:after="0"/>
        <w:ind w:left="0" w:leftChars="0" w:firstLine="1606" w:firstLineChars="500"/>
        <w:rPr>
          <w:rFonts w:hint="eastAsia" w:ascii="宋体" w:hAnsi="宋体" w:eastAsia="宋体"/>
          <w:lang w:eastAsia="zh-CN"/>
        </w:rPr>
      </w:pPr>
      <w:r>
        <w:rPr>
          <w:rFonts w:hint="eastAsia" w:ascii="宋体" w:hAnsi="宋体"/>
          <w:b/>
          <w:kern w:val="0"/>
          <w:sz w:val="32"/>
        </w:rPr>
        <w:t>(成)</w:t>
      </w:r>
      <w:r>
        <w:rPr>
          <w:rFonts w:hint="eastAsia" w:ascii="宋体" w:hAnsi="宋体"/>
          <w:b/>
          <w:kern w:val="0"/>
          <w:sz w:val="32"/>
          <w:lang w:val="en-US" w:eastAsia="zh-CN"/>
        </w:rPr>
        <w:t xml:space="preserve"> </w:t>
      </w:r>
    </w:p>
    <w:p w14:paraId="10CE12BA">
      <w:pPr>
        <w:tabs>
          <w:tab w:val="right" w:pos="9070"/>
        </w:tabs>
        <w:jc w:val="left"/>
        <w:rPr>
          <w:rFonts w:ascii="宋体" w:hAnsi="宋体"/>
          <w:b/>
          <w:kern w:val="0"/>
          <w:sz w:val="32"/>
        </w:rPr>
      </w:pPr>
      <w:r>
        <w:rPr>
          <w:rFonts w:hint="eastAsia" w:ascii="宋体" w:hAnsi="宋体" w:cs="宋体"/>
        </w:rPr>
        <w:t xml:space="preserve">     </w:t>
      </w:r>
      <w:r>
        <w:rPr>
          <w:rFonts w:hint="eastAsia" w:ascii="宋体" w:hAnsi="宋体"/>
          <w:b/>
          <w:kern w:val="0"/>
          <w:sz w:val="32"/>
        </w:rPr>
        <w:t>合同签订日期：</w:t>
      </w:r>
      <w:r>
        <w:rPr>
          <w:rFonts w:hint="eastAsia" w:ascii="宋体" w:hAnsi="宋体" w:cs="宋体"/>
          <w:b/>
          <w:bCs/>
          <w:snapToGrid w:val="0"/>
          <w:kern w:val="0"/>
          <w:sz w:val="32"/>
          <w:szCs w:val="32"/>
        </w:rPr>
        <w:t>202</w:t>
      </w:r>
      <w:r>
        <w:rPr>
          <w:rFonts w:hint="eastAsia" w:ascii="宋体" w:hAnsi="宋体" w:cs="宋体"/>
          <w:b/>
          <w:bCs/>
          <w:snapToGrid w:val="0"/>
          <w:kern w:val="0"/>
          <w:sz w:val="32"/>
          <w:szCs w:val="32"/>
          <w:lang w:val="en-US" w:eastAsia="zh-CN"/>
        </w:rPr>
        <w:t>5</w:t>
      </w:r>
      <w:r>
        <w:rPr>
          <w:rFonts w:hint="eastAsia" w:ascii="宋体" w:hAnsi="宋体"/>
          <w:b/>
          <w:kern w:val="0"/>
          <w:sz w:val="32"/>
        </w:rPr>
        <w:t xml:space="preserve">年 </w:t>
      </w:r>
      <w:r>
        <w:rPr>
          <w:rFonts w:hint="eastAsia" w:ascii="宋体" w:hAnsi="宋体"/>
          <w:b/>
          <w:kern w:val="0"/>
          <w:sz w:val="32"/>
          <w:lang w:val="en-US" w:eastAsia="zh-CN"/>
        </w:rPr>
        <w:t xml:space="preserve"> </w:t>
      </w:r>
      <w:r>
        <w:rPr>
          <w:rFonts w:hint="eastAsia" w:ascii="宋体" w:hAnsi="宋体"/>
          <w:b/>
          <w:kern w:val="0"/>
          <w:sz w:val="32"/>
        </w:rPr>
        <w:t xml:space="preserve"> 月  </w:t>
      </w:r>
      <w:r>
        <w:rPr>
          <w:rFonts w:hint="eastAsia" w:ascii="宋体" w:hAnsi="宋体"/>
          <w:b/>
          <w:kern w:val="0"/>
          <w:sz w:val="32"/>
          <w:lang w:val="en-US" w:eastAsia="zh-CN"/>
        </w:rPr>
        <w:t xml:space="preserve"> </w:t>
      </w:r>
      <w:r>
        <w:rPr>
          <w:rFonts w:hint="eastAsia" w:ascii="宋体" w:hAnsi="宋体"/>
          <w:b/>
          <w:kern w:val="0"/>
          <w:sz w:val="32"/>
        </w:rPr>
        <w:t xml:space="preserve"> 日</w:t>
      </w:r>
    </w:p>
    <w:p w14:paraId="30A7743A">
      <w:pPr>
        <w:jc w:val="center"/>
        <w:rPr>
          <w:rFonts w:ascii="宋体" w:hAnsi="宋体"/>
          <w:b/>
          <w:sz w:val="32"/>
        </w:rPr>
      </w:pPr>
      <w:r>
        <w:rPr>
          <w:rFonts w:hint="eastAsia" w:ascii="宋体" w:hAnsi="宋体"/>
        </w:rPr>
        <w:br w:type="page"/>
      </w:r>
      <w:bookmarkStart w:id="5" w:name="_Toc4061_WPSOffice_Type3"/>
      <w:r>
        <w:rPr>
          <w:rFonts w:hint="eastAsia" w:ascii="宋体" w:hAnsi="宋体"/>
          <w:b/>
          <w:sz w:val="32"/>
        </w:rPr>
        <w:t xml:space="preserve">目  </w:t>
      </w:r>
      <w:r>
        <w:rPr>
          <w:rFonts w:hint="eastAsia" w:ascii="宋体" w:hAnsi="宋体" w:cs="宋体"/>
          <w:b/>
          <w:sz w:val="32"/>
          <w:szCs w:val="32"/>
        </w:rPr>
        <w:t xml:space="preserve"> </w:t>
      </w:r>
      <w:r>
        <w:rPr>
          <w:rFonts w:hint="eastAsia" w:ascii="宋体" w:hAnsi="宋体"/>
          <w:b/>
          <w:sz w:val="32"/>
        </w:rPr>
        <w:t>录</w:t>
      </w:r>
      <w:bookmarkEnd w:id="5"/>
    </w:p>
    <w:p w14:paraId="0F50F58F">
      <w:pPr>
        <w:pStyle w:val="33"/>
        <w:tabs>
          <w:tab w:val="right" w:leader="dot" w:pos="9628"/>
        </w:tabs>
        <w:rPr>
          <w:rFonts w:ascii="宋体" w:hAnsi="宋体" w:cs="宋体"/>
          <w:b w:val="0"/>
          <w:bCs w:val="0"/>
          <w:caps w:val="0"/>
          <w:sz w:val="21"/>
          <w:szCs w:val="22"/>
        </w:rPr>
      </w:pPr>
      <w:r>
        <w:rPr>
          <w:rFonts w:hint="eastAsia" w:ascii="宋体" w:hAnsi="宋体" w:cs="宋体"/>
        </w:rPr>
        <w:fldChar w:fldCharType="begin"/>
      </w:r>
      <w:r>
        <w:rPr>
          <w:rFonts w:hint="eastAsia" w:ascii="宋体" w:hAnsi="宋体" w:cs="宋体"/>
        </w:rPr>
        <w:instrText xml:space="preserve">TOC \o "1-1" \h \u </w:instrText>
      </w:r>
      <w:r>
        <w:rPr>
          <w:rFonts w:hint="eastAsia" w:ascii="宋体" w:hAnsi="宋体" w:cs="宋体"/>
        </w:rPr>
        <w:fldChar w:fldCharType="separate"/>
      </w:r>
      <w:r>
        <w:fldChar w:fldCharType="begin"/>
      </w:r>
      <w:r>
        <w:instrText xml:space="preserve"> HYPERLINK \l "_Toc144746843" </w:instrText>
      </w:r>
      <w:r>
        <w:fldChar w:fldCharType="separate"/>
      </w:r>
      <w:r>
        <w:rPr>
          <w:rStyle w:val="55"/>
          <w:rFonts w:hint="eastAsia" w:ascii="宋体" w:hAnsi="宋体" w:cs="宋体"/>
          <w:b w:val="0"/>
          <w:snapToGrid w:val="0"/>
          <w:color w:val="auto"/>
          <w:kern w:val="0"/>
        </w:rPr>
        <w:t>第一篇  合同协议书</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_Toc144746843 \h </w:instrText>
      </w:r>
      <w:r>
        <w:rPr>
          <w:rFonts w:hint="eastAsia" w:ascii="宋体" w:hAnsi="宋体" w:cs="宋体"/>
          <w:b w:val="0"/>
        </w:rPr>
        <w:fldChar w:fldCharType="separate"/>
      </w:r>
      <w:r>
        <w:rPr>
          <w:rFonts w:hint="eastAsia" w:ascii="宋体" w:hAnsi="宋体" w:cs="宋体"/>
          <w:b w:val="0"/>
        </w:rPr>
        <w:t>5</w:t>
      </w:r>
      <w:r>
        <w:rPr>
          <w:rFonts w:hint="eastAsia" w:ascii="宋体" w:hAnsi="宋体" w:cs="宋体"/>
          <w:b w:val="0"/>
        </w:rPr>
        <w:fldChar w:fldCharType="end"/>
      </w:r>
      <w:r>
        <w:rPr>
          <w:rFonts w:hint="eastAsia" w:ascii="宋体" w:hAnsi="宋体" w:cs="宋体"/>
          <w:b w:val="0"/>
        </w:rPr>
        <w:fldChar w:fldCharType="end"/>
      </w:r>
    </w:p>
    <w:p w14:paraId="4E7B6479">
      <w:pPr>
        <w:pStyle w:val="33"/>
        <w:tabs>
          <w:tab w:val="right" w:leader="dot" w:pos="9628"/>
        </w:tabs>
        <w:rPr>
          <w:rFonts w:ascii="宋体" w:hAnsi="宋体" w:cs="宋体"/>
          <w:b w:val="0"/>
          <w:bCs w:val="0"/>
          <w:caps w:val="0"/>
          <w:sz w:val="21"/>
          <w:szCs w:val="22"/>
        </w:rPr>
      </w:pPr>
      <w:r>
        <w:fldChar w:fldCharType="begin"/>
      </w:r>
      <w:r>
        <w:instrText xml:space="preserve"> HYPERLINK \l "_Toc144746844" </w:instrText>
      </w:r>
      <w:r>
        <w:fldChar w:fldCharType="separate"/>
      </w:r>
      <w:r>
        <w:rPr>
          <w:rStyle w:val="55"/>
          <w:rFonts w:hint="eastAsia" w:ascii="宋体" w:hAnsi="宋体" w:cs="宋体"/>
          <w:b w:val="0"/>
          <w:snapToGrid w:val="0"/>
          <w:color w:val="auto"/>
          <w:kern w:val="0"/>
        </w:rPr>
        <w:t>1、工程概况</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_Toc144746844 \h </w:instrText>
      </w:r>
      <w:r>
        <w:rPr>
          <w:rFonts w:hint="eastAsia" w:ascii="宋体" w:hAnsi="宋体" w:cs="宋体"/>
          <w:b w:val="0"/>
        </w:rPr>
        <w:fldChar w:fldCharType="separate"/>
      </w:r>
      <w:r>
        <w:rPr>
          <w:rFonts w:hint="eastAsia" w:ascii="宋体" w:hAnsi="宋体" w:cs="宋体"/>
          <w:b w:val="0"/>
        </w:rPr>
        <w:t>5</w:t>
      </w:r>
      <w:r>
        <w:rPr>
          <w:rFonts w:hint="eastAsia" w:ascii="宋体" w:hAnsi="宋体" w:cs="宋体"/>
          <w:b w:val="0"/>
        </w:rPr>
        <w:fldChar w:fldCharType="end"/>
      </w:r>
      <w:r>
        <w:rPr>
          <w:rFonts w:hint="eastAsia" w:ascii="宋体" w:hAnsi="宋体" w:cs="宋体"/>
          <w:b w:val="0"/>
        </w:rPr>
        <w:fldChar w:fldCharType="end"/>
      </w:r>
    </w:p>
    <w:p w14:paraId="1B13E5A2">
      <w:pPr>
        <w:pStyle w:val="33"/>
        <w:tabs>
          <w:tab w:val="right" w:leader="dot" w:pos="9628"/>
        </w:tabs>
        <w:rPr>
          <w:rFonts w:ascii="宋体" w:hAnsi="宋体" w:cs="宋体"/>
          <w:b w:val="0"/>
          <w:bCs w:val="0"/>
          <w:caps w:val="0"/>
          <w:sz w:val="21"/>
          <w:szCs w:val="22"/>
        </w:rPr>
      </w:pPr>
      <w:r>
        <w:fldChar w:fldCharType="begin"/>
      </w:r>
      <w:r>
        <w:instrText xml:space="preserve"> HYPERLINK \l "_Toc144746845" </w:instrText>
      </w:r>
      <w:r>
        <w:fldChar w:fldCharType="separate"/>
      </w:r>
      <w:r>
        <w:rPr>
          <w:rStyle w:val="55"/>
          <w:rFonts w:hint="eastAsia" w:ascii="宋体" w:hAnsi="宋体" w:cs="宋体"/>
          <w:b w:val="0"/>
          <w:snapToGrid w:val="0"/>
          <w:color w:val="auto"/>
          <w:kern w:val="0"/>
        </w:rPr>
        <w:t>2、总承包范围、工程内容（工程前期阶段及实施阶段）、承包方式和投资控制</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_Toc144746845 \h </w:instrText>
      </w:r>
      <w:r>
        <w:rPr>
          <w:rFonts w:hint="eastAsia" w:ascii="宋体" w:hAnsi="宋体" w:cs="宋体"/>
          <w:b w:val="0"/>
        </w:rPr>
        <w:fldChar w:fldCharType="separate"/>
      </w:r>
      <w:r>
        <w:rPr>
          <w:rFonts w:hint="eastAsia" w:ascii="宋体" w:hAnsi="宋体" w:cs="宋体"/>
          <w:b w:val="0"/>
        </w:rPr>
        <w:t>5</w:t>
      </w:r>
      <w:r>
        <w:rPr>
          <w:rFonts w:hint="eastAsia" w:ascii="宋体" w:hAnsi="宋体" w:cs="宋体"/>
          <w:b w:val="0"/>
        </w:rPr>
        <w:fldChar w:fldCharType="end"/>
      </w:r>
      <w:r>
        <w:rPr>
          <w:rFonts w:hint="eastAsia" w:ascii="宋体" w:hAnsi="宋体" w:cs="宋体"/>
          <w:b w:val="0"/>
        </w:rPr>
        <w:fldChar w:fldCharType="end"/>
      </w:r>
    </w:p>
    <w:p w14:paraId="58E87019">
      <w:pPr>
        <w:pStyle w:val="33"/>
        <w:tabs>
          <w:tab w:val="right" w:leader="dot" w:pos="9628"/>
        </w:tabs>
        <w:rPr>
          <w:rFonts w:ascii="宋体" w:hAnsi="宋体" w:cs="宋体"/>
          <w:b w:val="0"/>
          <w:bCs w:val="0"/>
          <w:caps w:val="0"/>
          <w:sz w:val="21"/>
          <w:szCs w:val="22"/>
        </w:rPr>
      </w:pPr>
      <w:r>
        <w:fldChar w:fldCharType="begin"/>
      </w:r>
      <w:r>
        <w:instrText xml:space="preserve"> HYPERLINK \l "_Toc144746846" </w:instrText>
      </w:r>
      <w:r>
        <w:fldChar w:fldCharType="separate"/>
      </w:r>
      <w:r>
        <w:rPr>
          <w:rStyle w:val="55"/>
          <w:rFonts w:hint="eastAsia" w:ascii="宋体" w:hAnsi="宋体" w:cs="宋体"/>
          <w:b w:val="0"/>
          <w:snapToGrid w:val="0"/>
          <w:color w:val="auto"/>
          <w:kern w:val="0"/>
        </w:rPr>
        <w:t>3、合同工期</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_Toc144746846 \h </w:instrText>
      </w:r>
      <w:r>
        <w:rPr>
          <w:rFonts w:hint="eastAsia" w:ascii="宋体" w:hAnsi="宋体" w:cs="宋体"/>
          <w:b w:val="0"/>
        </w:rPr>
        <w:fldChar w:fldCharType="separate"/>
      </w:r>
      <w:r>
        <w:rPr>
          <w:rFonts w:hint="eastAsia" w:ascii="宋体" w:hAnsi="宋体" w:cs="宋体"/>
          <w:b w:val="0"/>
        </w:rPr>
        <w:t>12</w:t>
      </w:r>
      <w:r>
        <w:rPr>
          <w:rFonts w:hint="eastAsia" w:ascii="宋体" w:hAnsi="宋体" w:cs="宋体"/>
          <w:b w:val="0"/>
        </w:rPr>
        <w:fldChar w:fldCharType="end"/>
      </w:r>
      <w:r>
        <w:rPr>
          <w:rFonts w:hint="eastAsia" w:ascii="宋体" w:hAnsi="宋体" w:cs="宋体"/>
          <w:b w:val="0"/>
        </w:rPr>
        <w:fldChar w:fldCharType="end"/>
      </w:r>
    </w:p>
    <w:p w14:paraId="1FAB5805">
      <w:pPr>
        <w:pStyle w:val="33"/>
        <w:tabs>
          <w:tab w:val="right" w:leader="dot" w:pos="9628"/>
        </w:tabs>
        <w:rPr>
          <w:rFonts w:ascii="宋体" w:hAnsi="宋体" w:cs="宋体"/>
          <w:b w:val="0"/>
          <w:bCs w:val="0"/>
          <w:caps w:val="0"/>
          <w:sz w:val="21"/>
          <w:szCs w:val="22"/>
        </w:rPr>
      </w:pPr>
      <w:r>
        <w:fldChar w:fldCharType="begin"/>
      </w:r>
      <w:r>
        <w:instrText xml:space="preserve"> HYPERLINK \l "_Toc144746847" </w:instrText>
      </w:r>
      <w:r>
        <w:fldChar w:fldCharType="separate"/>
      </w:r>
      <w:r>
        <w:rPr>
          <w:rStyle w:val="55"/>
          <w:rFonts w:hint="eastAsia" w:ascii="宋体" w:hAnsi="宋体" w:cs="宋体"/>
          <w:b w:val="0"/>
          <w:snapToGrid w:val="0"/>
          <w:color w:val="auto"/>
          <w:kern w:val="0"/>
        </w:rPr>
        <w:t>4、质量标准和目标</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_Toc144746847 \h </w:instrText>
      </w:r>
      <w:r>
        <w:rPr>
          <w:rFonts w:hint="eastAsia" w:ascii="宋体" w:hAnsi="宋体" w:cs="宋体"/>
          <w:b w:val="0"/>
        </w:rPr>
        <w:fldChar w:fldCharType="separate"/>
      </w:r>
      <w:r>
        <w:rPr>
          <w:rFonts w:hint="eastAsia" w:ascii="宋体" w:hAnsi="宋体" w:cs="宋体"/>
          <w:b w:val="0"/>
        </w:rPr>
        <w:t>13</w:t>
      </w:r>
      <w:r>
        <w:rPr>
          <w:rFonts w:hint="eastAsia" w:ascii="宋体" w:hAnsi="宋体" w:cs="宋体"/>
          <w:b w:val="0"/>
        </w:rPr>
        <w:fldChar w:fldCharType="end"/>
      </w:r>
      <w:r>
        <w:rPr>
          <w:rFonts w:hint="eastAsia" w:ascii="宋体" w:hAnsi="宋体" w:cs="宋体"/>
          <w:b w:val="0"/>
        </w:rPr>
        <w:fldChar w:fldCharType="end"/>
      </w:r>
    </w:p>
    <w:p w14:paraId="13CD487C">
      <w:pPr>
        <w:pStyle w:val="33"/>
        <w:tabs>
          <w:tab w:val="right" w:leader="dot" w:pos="9628"/>
        </w:tabs>
        <w:rPr>
          <w:rFonts w:ascii="宋体" w:hAnsi="宋体" w:cs="宋体"/>
          <w:b w:val="0"/>
          <w:bCs w:val="0"/>
          <w:caps w:val="0"/>
          <w:sz w:val="21"/>
          <w:szCs w:val="22"/>
        </w:rPr>
      </w:pPr>
      <w:r>
        <w:fldChar w:fldCharType="begin"/>
      </w:r>
      <w:r>
        <w:instrText xml:space="preserve"> HYPERLINK \l "_Toc144746848" </w:instrText>
      </w:r>
      <w:r>
        <w:fldChar w:fldCharType="separate"/>
      </w:r>
      <w:r>
        <w:rPr>
          <w:rStyle w:val="55"/>
          <w:rFonts w:hint="eastAsia" w:ascii="宋体" w:hAnsi="宋体" w:cs="宋体"/>
          <w:b w:val="0"/>
          <w:snapToGrid w:val="0"/>
          <w:color w:val="auto"/>
          <w:kern w:val="0"/>
        </w:rPr>
        <w:t>5、职业健康安全管理目标和环境管理目标</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_Toc144746848 \h </w:instrText>
      </w:r>
      <w:r>
        <w:rPr>
          <w:rFonts w:hint="eastAsia" w:ascii="宋体" w:hAnsi="宋体" w:cs="宋体"/>
          <w:b w:val="0"/>
        </w:rPr>
        <w:fldChar w:fldCharType="separate"/>
      </w:r>
      <w:r>
        <w:rPr>
          <w:rFonts w:hint="eastAsia" w:ascii="宋体" w:hAnsi="宋体" w:cs="宋体"/>
          <w:b w:val="0"/>
        </w:rPr>
        <w:t>13</w:t>
      </w:r>
      <w:r>
        <w:rPr>
          <w:rFonts w:hint="eastAsia" w:ascii="宋体" w:hAnsi="宋体" w:cs="宋体"/>
          <w:b w:val="0"/>
        </w:rPr>
        <w:fldChar w:fldCharType="end"/>
      </w:r>
      <w:r>
        <w:rPr>
          <w:rFonts w:hint="eastAsia" w:ascii="宋体" w:hAnsi="宋体" w:cs="宋体"/>
          <w:b w:val="0"/>
        </w:rPr>
        <w:fldChar w:fldCharType="end"/>
      </w:r>
    </w:p>
    <w:p w14:paraId="5E943B28">
      <w:pPr>
        <w:pStyle w:val="33"/>
        <w:tabs>
          <w:tab w:val="right" w:leader="dot" w:pos="9628"/>
        </w:tabs>
        <w:rPr>
          <w:rFonts w:ascii="宋体" w:hAnsi="宋体" w:cs="宋体"/>
          <w:b w:val="0"/>
          <w:bCs w:val="0"/>
          <w:caps w:val="0"/>
          <w:sz w:val="21"/>
          <w:szCs w:val="22"/>
        </w:rPr>
      </w:pPr>
      <w:r>
        <w:fldChar w:fldCharType="begin"/>
      </w:r>
      <w:r>
        <w:instrText xml:space="preserve"> HYPERLINK \l "_Toc144746849" </w:instrText>
      </w:r>
      <w:r>
        <w:fldChar w:fldCharType="separate"/>
      </w:r>
      <w:r>
        <w:rPr>
          <w:rStyle w:val="55"/>
          <w:rFonts w:hint="eastAsia" w:ascii="宋体" w:hAnsi="宋体" w:cs="宋体"/>
          <w:b w:val="0"/>
          <w:snapToGrid w:val="0"/>
          <w:color w:val="auto"/>
          <w:kern w:val="0"/>
        </w:rPr>
        <w:t>6、合同价款</w:t>
      </w:r>
      <w:bookmarkStart w:id="849" w:name="_GoBack"/>
      <w:bookmarkEnd w:id="849"/>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_Toc144746849 \h </w:instrText>
      </w:r>
      <w:r>
        <w:rPr>
          <w:rFonts w:hint="eastAsia" w:ascii="宋体" w:hAnsi="宋体" w:cs="宋体"/>
          <w:b w:val="0"/>
        </w:rPr>
        <w:fldChar w:fldCharType="separate"/>
      </w:r>
      <w:r>
        <w:rPr>
          <w:rFonts w:hint="eastAsia" w:ascii="宋体" w:hAnsi="宋体" w:cs="宋体"/>
          <w:b w:val="0"/>
        </w:rPr>
        <w:t>14</w:t>
      </w:r>
      <w:r>
        <w:rPr>
          <w:rFonts w:hint="eastAsia" w:ascii="宋体" w:hAnsi="宋体" w:cs="宋体"/>
          <w:b w:val="0"/>
        </w:rPr>
        <w:fldChar w:fldCharType="end"/>
      </w:r>
      <w:r>
        <w:rPr>
          <w:rFonts w:hint="eastAsia" w:ascii="宋体" w:hAnsi="宋体" w:cs="宋体"/>
          <w:b w:val="0"/>
        </w:rPr>
        <w:fldChar w:fldCharType="end"/>
      </w:r>
    </w:p>
    <w:p w14:paraId="047A6CC9">
      <w:pPr>
        <w:pStyle w:val="33"/>
        <w:tabs>
          <w:tab w:val="right" w:leader="dot" w:pos="9628"/>
        </w:tabs>
        <w:rPr>
          <w:rFonts w:ascii="宋体" w:hAnsi="宋体" w:cs="宋体"/>
          <w:b w:val="0"/>
          <w:bCs w:val="0"/>
          <w:caps w:val="0"/>
          <w:sz w:val="21"/>
          <w:szCs w:val="22"/>
        </w:rPr>
      </w:pPr>
      <w:r>
        <w:fldChar w:fldCharType="begin"/>
      </w:r>
      <w:r>
        <w:instrText xml:space="preserve"> HYPERLINK \l "_Toc144746850" </w:instrText>
      </w:r>
      <w:r>
        <w:fldChar w:fldCharType="separate"/>
      </w:r>
      <w:r>
        <w:rPr>
          <w:rStyle w:val="55"/>
          <w:rFonts w:hint="eastAsia" w:ascii="宋体" w:hAnsi="宋体" w:cs="宋体"/>
          <w:b w:val="0"/>
          <w:snapToGrid w:val="0"/>
          <w:color w:val="auto"/>
          <w:kern w:val="0"/>
        </w:rPr>
        <w:t>7、组成合同的文件</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_Toc144746850 \h </w:instrText>
      </w:r>
      <w:r>
        <w:rPr>
          <w:rFonts w:hint="eastAsia" w:ascii="宋体" w:hAnsi="宋体" w:cs="宋体"/>
          <w:b w:val="0"/>
        </w:rPr>
        <w:fldChar w:fldCharType="separate"/>
      </w:r>
      <w:r>
        <w:rPr>
          <w:rFonts w:hint="eastAsia" w:ascii="宋体" w:hAnsi="宋体" w:cs="宋体"/>
          <w:b w:val="0"/>
        </w:rPr>
        <w:t>18</w:t>
      </w:r>
      <w:r>
        <w:rPr>
          <w:rFonts w:hint="eastAsia" w:ascii="宋体" w:hAnsi="宋体" w:cs="宋体"/>
          <w:b w:val="0"/>
        </w:rPr>
        <w:fldChar w:fldCharType="end"/>
      </w:r>
      <w:r>
        <w:rPr>
          <w:rFonts w:hint="eastAsia" w:ascii="宋体" w:hAnsi="宋体" w:cs="宋体"/>
          <w:b w:val="0"/>
        </w:rPr>
        <w:fldChar w:fldCharType="end"/>
      </w:r>
    </w:p>
    <w:p w14:paraId="418D8B49">
      <w:pPr>
        <w:pStyle w:val="33"/>
        <w:tabs>
          <w:tab w:val="right" w:leader="dot" w:pos="9628"/>
        </w:tabs>
        <w:rPr>
          <w:rFonts w:ascii="宋体" w:hAnsi="宋体" w:cs="宋体"/>
          <w:b w:val="0"/>
          <w:bCs w:val="0"/>
          <w:caps w:val="0"/>
          <w:sz w:val="21"/>
          <w:szCs w:val="22"/>
        </w:rPr>
      </w:pPr>
      <w:r>
        <w:fldChar w:fldCharType="begin"/>
      </w:r>
      <w:r>
        <w:instrText xml:space="preserve"> HYPERLINK \l "_Toc144746851" </w:instrText>
      </w:r>
      <w:r>
        <w:fldChar w:fldCharType="separate"/>
      </w:r>
      <w:r>
        <w:rPr>
          <w:rStyle w:val="55"/>
          <w:rFonts w:hint="eastAsia" w:ascii="宋体" w:hAnsi="宋体" w:cs="宋体"/>
          <w:b w:val="0"/>
          <w:snapToGrid w:val="0"/>
          <w:color w:val="auto"/>
          <w:kern w:val="0"/>
        </w:rPr>
        <w:t>8、项目人员名单</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_Toc144746851 \h </w:instrText>
      </w:r>
      <w:r>
        <w:rPr>
          <w:rFonts w:hint="eastAsia" w:ascii="宋体" w:hAnsi="宋体" w:cs="宋体"/>
          <w:b w:val="0"/>
        </w:rPr>
        <w:fldChar w:fldCharType="separate"/>
      </w:r>
      <w:r>
        <w:rPr>
          <w:rFonts w:hint="eastAsia" w:ascii="宋体" w:hAnsi="宋体" w:cs="宋体"/>
          <w:b w:val="0"/>
        </w:rPr>
        <w:t>19</w:t>
      </w:r>
      <w:r>
        <w:rPr>
          <w:rFonts w:hint="eastAsia" w:ascii="宋体" w:hAnsi="宋体" w:cs="宋体"/>
          <w:b w:val="0"/>
        </w:rPr>
        <w:fldChar w:fldCharType="end"/>
      </w:r>
      <w:r>
        <w:rPr>
          <w:rFonts w:hint="eastAsia" w:ascii="宋体" w:hAnsi="宋体" w:cs="宋体"/>
          <w:b w:val="0"/>
        </w:rPr>
        <w:fldChar w:fldCharType="end"/>
      </w:r>
    </w:p>
    <w:p w14:paraId="6FC9C4E8">
      <w:pPr>
        <w:pStyle w:val="33"/>
        <w:tabs>
          <w:tab w:val="right" w:leader="dot" w:pos="9628"/>
        </w:tabs>
        <w:rPr>
          <w:rFonts w:ascii="宋体" w:hAnsi="宋体" w:cs="宋体"/>
          <w:b w:val="0"/>
          <w:bCs w:val="0"/>
          <w:caps w:val="0"/>
          <w:sz w:val="21"/>
          <w:szCs w:val="22"/>
        </w:rPr>
      </w:pPr>
      <w:r>
        <w:fldChar w:fldCharType="begin"/>
      </w:r>
      <w:r>
        <w:instrText xml:space="preserve"> HYPERLINK \l "_Toc144746852" </w:instrText>
      </w:r>
      <w:r>
        <w:fldChar w:fldCharType="separate"/>
      </w:r>
      <w:r>
        <w:rPr>
          <w:rStyle w:val="55"/>
          <w:rFonts w:hint="eastAsia" w:ascii="宋体" w:hAnsi="宋体" w:cs="宋体"/>
          <w:b w:val="0"/>
          <w:snapToGrid w:val="0"/>
          <w:color w:val="auto"/>
          <w:kern w:val="0"/>
        </w:rPr>
        <w:t>9、单位名称变更</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_Toc144746852 \h </w:instrText>
      </w:r>
      <w:r>
        <w:rPr>
          <w:rFonts w:hint="eastAsia" w:ascii="宋体" w:hAnsi="宋体" w:cs="宋体"/>
          <w:b w:val="0"/>
        </w:rPr>
        <w:fldChar w:fldCharType="separate"/>
      </w:r>
      <w:r>
        <w:rPr>
          <w:rFonts w:hint="eastAsia" w:ascii="宋体" w:hAnsi="宋体" w:cs="宋体"/>
          <w:b w:val="0"/>
        </w:rPr>
        <w:t>19</w:t>
      </w:r>
      <w:r>
        <w:rPr>
          <w:rFonts w:hint="eastAsia" w:ascii="宋体" w:hAnsi="宋体" w:cs="宋体"/>
          <w:b w:val="0"/>
        </w:rPr>
        <w:fldChar w:fldCharType="end"/>
      </w:r>
      <w:r>
        <w:rPr>
          <w:rFonts w:hint="eastAsia" w:ascii="宋体" w:hAnsi="宋体" w:cs="宋体"/>
          <w:b w:val="0"/>
        </w:rPr>
        <w:fldChar w:fldCharType="end"/>
      </w:r>
    </w:p>
    <w:p w14:paraId="0F8BAB81">
      <w:pPr>
        <w:pStyle w:val="33"/>
        <w:tabs>
          <w:tab w:val="right" w:leader="dot" w:pos="9628"/>
        </w:tabs>
        <w:rPr>
          <w:rFonts w:ascii="宋体" w:hAnsi="宋体" w:cs="宋体"/>
          <w:b w:val="0"/>
          <w:bCs w:val="0"/>
          <w:caps w:val="0"/>
          <w:sz w:val="21"/>
          <w:szCs w:val="22"/>
        </w:rPr>
      </w:pPr>
      <w:r>
        <w:fldChar w:fldCharType="begin"/>
      </w:r>
      <w:r>
        <w:instrText xml:space="preserve"> HYPERLINK \l "_Toc144746853" </w:instrText>
      </w:r>
      <w:r>
        <w:fldChar w:fldCharType="separate"/>
      </w:r>
      <w:r>
        <w:rPr>
          <w:rStyle w:val="55"/>
          <w:rFonts w:hint="eastAsia" w:ascii="宋体" w:hAnsi="宋体" w:cs="宋体"/>
          <w:b w:val="0"/>
          <w:snapToGrid w:val="0"/>
          <w:color w:val="auto"/>
          <w:kern w:val="0"/>
        </w:rPr>
        <w:t>10、项目管理人员更换</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_Toc144746853 \h </w:instrText>
      </w:r>
      <w:r>
        <w:rPr>
          <w:rFonts w:hint="eastAsia" w:ascii="宋体" w:hAnsi="宋体" w:cs="宋体"/>
          <w:b w:val="0"/>
        </w:rPr>
        <w:fldChar w:fldCharType="separate"/>
      </w:r>
      <w:r>
        <w:rPr>
          <w:rFonts w:hint="eastAsia" w:ascii="宋体" w:hAnsi="宋体" w:cs="宋体"/>
          <w:b w:val="0"/>
        </w:rPr>
        <w:t>19</w:t>
      </w:r>
      <w:r>
        <w:rPr>
          <w:rFonts w:hint="eastAsia" w:ascii="宋体" w:hAnsi="宋体" w:cs="宋体"/>
          <w:b w:val="0"/>
        </w:rPr>
        <w:fldChar w:fldCharType="end"/>
      </w:r>
      <w:r>
        <w:rPr>
          <w:rFonts w:hint="eastAsia" w:ascii="宋体" w:hAnsi="宋体" w:cs="宋体"/>
          <w:b w:val="0"/>
        </w:rPr>
        <w:fldChar w:fldCharType="end"/>
      </w:r>
    </w:p>
    <w:p w14:paraId="23E5EA1E">
      <w:pPr>
        <w:pStyle w:val="33"/>
        <w:tabs>
          <w:tab w:val="right" w:leader="dot" w:pos="9628"/>
        </w:tabs>
        <w:rPr>
          <w:rFonts w:ascii="宋体" w:hAnsi="宋体" w:cs="宋体"/>
          <w:b w:val="0"/>
          <w:bCs w:val="0"/>
          <w:caps w:val="0"/>
          <w:sz w:val="21"/>
          <w:szCs w:val="22"/>
        </w:rPr>
      </w:pPr>
      <w:r>
        <w:fldChar w:fldCharType="begin"/>
      </w:r>
      <w:r>
        <w:instrText xml:space="preserve"> HYPERLINK \l "_Toc144746854" </w:instrText>
      </w:r>
      <w:r>
        <w:fldChar w:fldCharType="separate"/>
      </w:r>
      <w:r>
        <w:rPr>
          <w:rStyle w:val="55"/>
          <w:rFonts w:hint="eastAsia" w:ascii="宋体" w:hAnsi="宋体" w:cs="宋体"/>
          <w:b w:val="0"/>
          <w:snapToGrid w:val="0"/>
          <w:color w:val="auto"/>
          <w:kern w:val="0"/>
        </w:rPr>
        <w:t>11、承包人的责任和义务</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_Toc144746854 \h </w:instrText>
      </w:r>
      <w:r>
        <w:rPr>
          <w:rFonts w:hint="eastAsia" w:ascii="宋体" w:hAnsi="宋体" w:cs="宋体"/>
          <w:b w:val="0"/>
        </w:rPr>
        <w:fldChar w:fldCharType="separate"/>
      </w:r>
      <w:r>
        <w:rPr>
          <w:rFonts w:hint="eastAsia" w:ascii="宋体" w:hAnsi="宋体" w:cs="宋体"/>
          <w:b w:val="0"/>
        </w:rPr>
        <w:t>19</w:t>
      </w:r>
      <w:r>
        <w:rPr>
          <w:rFonts w:hint="eastAsia" w:ascii="宋体" w:hAnsi="宋体" w:cs="宋体"/>
          <w:b w:val="0"/>
        </w:rPr>
        <w:fldChar w:fldCharType="end"/>
      </w:r>
      <w:r>
        <w:rPr>
          <w:rFonts w:hint="eastAsia" w:ascii="宋体" w:hAnsi="宋体" w:cs="宋体"/>
          <w:b w:val="0"/>
        </w:rPr>
        <w:fldChar w:fldCharType="end"/>
      </w:r>
    </w:p>
    <w:p w14:paraId="57C174F2">
      <w:pPr>
        <w:pStyle w:val="33"/>
        <w:tabs>
          <w:tab w:val="right" w:leader="dot" w:pos="9628"/>
        </w:tabs>
        <w:rPr>
          <w:rFonts w:ascii="宋体" w:hAnsi="宋体" w:cs="宋体"/>
          <w:b w:val="0"/>
          <w:bCs w:val="0"/>
          <w:caps w:val="0"/>
          <w:sz w:val="21"/>
          <w:szCs w:val="22"/>
        </w:rPr>
      </w:pPr>
      <w:r>
        <w:fldChar w:fldCharType="begin"/>
      </w:r>
      <w:r>
        <w:instrText xml:space="preserve"> HYPERLINK \l "_Toc144746855" </w:instrText>
      </w:r>
      <w:r>
        <w:fldChar w:fldCharType="separate"/>
      </w:r>
      <w:r>
        <w:rPr>
          <w:rStyle w:val="55"/>
          <w:rFonts w:hint="eastAsia" w:ascii="宋体" w:hAnsi="宋体" w:cs="宋体"/>
          <w:b w:val="0"/>
          <w:snapToGrid w:val="0"/>
          <w:color w:val="auto"/>
          <w:kern w:val="0"/>
        </w:rPr>
        <w:t>12、承包人承诺</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_Toc144746855 \h </w:instrText>
      </w:r>
      <w:r>
        <w:rPr>
          <w:rFonts w:hint="eastAsia" w:ascii="宋体" w:hAnsi="宋体" w:cs="宋体"/>
          <w:b w:val="0"/>
        </w:rPr>
        <w:fldChar w:fldCharType="separate"/>
      </w:r>
      <w:r>
        <w:rPr>
          <w:rFonts w:hint="eastAsia" w:ascii="宋体" w:hAnsi="宋体" w:cs="宋体"/>
          <w:b w:val="0"/>
        </w:rPr>
        <w:t>20</w:t>
      </w:r>
      <w:r>
        <w:rPr>
          <w:rFonts w:hint="eastAsia" w:ascii="宋体" w:hAnsi="宋体" w:cs="宋体"/>
          <w:b w:val="0"/>
        </w:rPr>
        <w:fldChar w:fldCharType="end"/>
      </w:r>
      <w:r>
        <w:rPr>
          <w:rFonts w:hint="eastAsia" w:ascii="宋体" w:hAnsi="宋体" w:cs="宋体"/>
          <w:b w:val="0"/>
        </w:rPr>
        <w:fldChar w:fldCharType="end"/>
      </w:r>
    </w:p>
    <w:p w14:paraId="452B00AA">
      <w:pPr>
        <w:pStyle w:val="33"/>
        <w:tabs>
          <w:tab w:val="right" w:leader="dot" w:pos="9628"/>
        </w:tabs>
        <w:rPr>
          <w:rFonts w:ascii="宋体" w:hAnsi="宋体" w:cs="宋体"/>
          <w:b w:val="0"/>
          <w:bCs w:val="0"/>
          <w:caps w:val="0"/>
          <w:sz w:val="21"/>
          <w:szCs w:val="22"/>
        </w:rPr>
      </w:pPr>
      <w:r>
        <w:fldChar w:fldCharType="begin"/>
      </w:r>
      <w:r>
        <w:instrText xml:space="preserve"> HYPERLINK \l "_Toc144746856" </w:instrText>
      </w:r>
      <w:r>
        <w:fldChar w:fldCharType="separate"/>
      </w:r>
      <w:r>
        <w:rPr>
          <w:rStyle w:val="55"/>
          <w:rFonts w:hint="eastAsia" w:ascii="宋体" w:hAnsi="宋体" w:cs="宋体"/>
          <w:b w:val="0"/>
          <w:snapToGrid w:val="0"/>
          <w:color w:val="auto"/>
          <w:kern w:val="0"/>
        </w:rPr>
        <w:t>13、发包人承诺</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_Toc144746856 \h </w:instrText>
      </w:r>
      <w:r>
        <w:rPr>
          <w:rFonts w:hint="eastAsia" w:ascii="宋体" w:hAnsi="宋体" w:cs="宋体"/>
          <w:b w:val="0"/>
        </w:rPr>
        <w:fldChar w:fldCharType="separate"/>
      </w:r>
      <w:r>
        <w:rPr>
          <w:rFonts w:hint="eastAsia" w:ascii="宋体" w:hAnsi="宋体" w:cs="宋体"/>
          <w:b w:val="0"/>
        </w:rPr>
        <w:t>20</w:t>
      </w:r>
      <w:r>
        <w:rPr>
          <w:rFonts w:hint="eastAsia" w:ascii="宋体" w:hAnsi="宋体" w:cs="宋体"/>
          <w:b w:val="0"/>
        </w:rPr>
        <w:fldChar w:fldCharType="end"/>
      </w:r>
      <w:r>
        <w:rPr>
          <w:rFonts w:hint="eastAsia" w:ascii="宋体" w:hAnsi="宋体" w:cs="宋体"/>
          <w:b w:val="0"/>
        </w:rPr>
        <w:fldChar w:fldCharType="end"/>
      </w:r>
    </w:p>
    <w:p w14:paraId="2BA01D6E">
      <w:pPr>
        <w:pStyle w:val="33"/>
        <w:tabs>
          <w:tab w:val="right" w:leader="dot" w:pos="9628"/>
        </w:tabs>
        <w:rPr>
          <w:rFonts w:ascii="宋体" w:hAnsi="宋体" w:cs="宋体"/>
          <w:b w:val="0"/>
          <w:bCs w:val="0"/>
          <w:caps w:val="0"/>
          <w:sz w:val="21"/>
          <w:szCs w:val="22"/>
        </w:rPr>
      </w:pPr>
      <w:r>
        <w:fldChar w:fldCharType="begin"/>
      </w:r>
      <w:r>
        <w:instrText xml:space="preserve"> HYPERLINK \l "_Toc144746857" </w:instrText>
      </w:r>
      <w:r>
        <w:fldChar w:fldCharType="separate"/>
      </w:r>
      <w:r>
        <w:rPr>
          <w:rStyle w:val="55"/>
          <w:rFonts w:hint="eastAsia" w:ascii="宋体" w:hAnsi="宋体" w:cs="宋体"/>
          <w:b w:val="0"/>
          <w:snapToGrid w:val="0"/>
          <w:color w:val="auto"/>
          <w:kern w:val="0"/>
        </w:rPr>
        <w:t>14、后续投标约定</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_Toc144746857 \h </w:instrText>
      </w:r>
      <w:r>
        <w:rPr>
          <w:rFonts w:hint="eastAsia" w:ascii="宋体" w:hAnsi="宋体" w:cs="宋体"/>
          <w:b w:val="0"/>
        </w:rPr>
        <w:fldChar w:fldCharType="separate"/>
      </w:r>
      <w:r>
        <w:rPr>
          <w:rFonts w:hint="eastAsia" w:ascii="宋体" w:hAnsi="宋体" w:cs="宋体"/>
          <w:b w:val="0"/>
        </w:rPr>
        <w:t>20</w:t>
      </w:r>
      <w:r>
        <w:rPr>
          <w:rFonts w:hint="eastAsia" w:ascii="宋体" w:hAnsi="宋体" w:cs="宋体"/>
          <w:b w:val="0"/>
        </w:rPr>
        <w:fldChar w:fldCharType="end"/>
      </w:r>
      <w:r>
        <w:rPr>
          <w:rFonts w:hint="eastAsia" w:ascii="宋体" w:hAnsi="宋体" w:cs="宋体"/>
          <w:b w:val="0"/>
        </w:rPr>
        <w:fldChar w:fldCharType="end"/>
      </w:r>
    </w:p>
    <w:p w14:paraId="02C75C99">
      <w:pPr>
        <w:pStyle w:val="33"/>
        <w:tabs>
          <w:tab w:val="right" w:leader="dot" w:pos="9628"/>
        </w:tabs>
        <w:rPr>
          <w:rFonts w:ascii="宋体" w:hAnsi="宋体" w:cs="宋体"/>
          <w:b w:val="0"/>
          <w:bCs w:val="0"/>
          <w:caps w:val="0"/>
          <w:sz w:val="21"/>
          <w:szCs w:val="22"/>
        </w:rPr>
      </w:pPr>
      <w:r>
        <w:fldChar w:fldCharType="begin"/>
      </w:r>
      <w:r>
        <w:instrText xml:space="preserve"> HYPERLINK \l "_Toc144746858" </w:instrText>
      </w:r>
      <w:r>
        <w:fldChar w:fldCharType="separate"/>
      </w:r>
      <w:r>
        <w:rPr>
          <w:rStyle w:val="55"/>
          <w:rFonts w:hint="eastAsia" w:ascii="宋体" w:hAnsi="宋体" w:cs="宋体"/>
          <w:b w:val="0"/>
          <w:snapToGrid w:val="0"/>
          <w:color w:val="auto"/>
          <w:kern w:val="0"/>
        </w:rPr>
        <w:t>15、词语含义</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_Toc144746858 \h </w:instrText>
      </w:r>
      <w:r>
        <w:rPr>
          <w:rFonts w:hint="eastAsia" w:ascii="宋体" w:hAnsi="宋体" w:cs="宋体"/>
          <w:b w:val="0"/>
        </w:rPr>
        <w:fldChar w:fldCharType="separate"/>
      </w:r>
      <w:r>
        <w:rPr>
          <w:rFonts w:hint="eastAsia" w:ascii="宋体" w:hAnsi="宋体" w:cs="宋体"/>
          <w:b w:val="0"/>
        </w:rPr>
        <w:t>20</w:t>
      </w:r>
      <w:r>
        <w:rPr>
          <w:rFonts w:hint="eastAsia" w:ascii="宋体" w:hAnsi="宋体" w:cs="宋体"/>
          <w:b w:val="0"/>
        </w:rPr>
        <w:fldChar w:fldCharType="end"/>
      </w:r>
      <w:r>
        <w:rPr>
          <w:rFonts w:hint="eastAsia" w:ascii="宋体" w:hAnsi="宋体" w:cs="宋体"/>
          <w:b w:val="0"/>
        </w:rPr>
        <w:fldChar w:fldCharType="end"/>
      </w:r>
    </w:p>
    <w:p w14:paraId="1CBF30EB">
      <w:pPr>
        <w:pStyle w:val="33"/>
        <w:tabs>
          <w:tab w:val="right" w:leader="dot" w:pos="9628"/>
        </w:tabs>
        <w:rPr>
          <w:rFonts w:ascii="宋体" w:hAnsi="宋体" w:cs="宋体"/>
          <w:b w:val="0"/>
          <w:bCs w:val="0"/>
          <w:caps w:val="0"/>
          <w:sz w:val="21"/>
          <w:szCs w:val="22"/>
        </w:rPr>
      </w:pPr>
      <w:r>
        <w:fldChar w:fldCharType="begin"/>
      </w:r>
      <w:r>
        <w:instrText xml:space="preserve"> HYPERLINK \l "_Toc144746859" </w:instrText>
      </w:r>
      <w:r>
        <w:fldChar w:fldCharType="separate"/>
      </w:r>
      <w:r>
        <w:rPr>
          <w:rStyle w:val="55"/>
          <w:rFonts w:hint="eastAsia" w:ascii="宋体" w:hAnsi="宋体" w:cs="宋体"/>
          <w:b w:val="0"/>
          <w:snapToGrid w:val="0"/>
          <w:color w:val="auto"/>
          <w:kern w:val="0"/>
        </w:rPr>
        <w:t>16、合同生效</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_Toc144746859 \h </w:instrText>
      </w:r>
      <w:r>
        <w:rPr>
          <w:rFonts w:hint="eastAsia" w:ascii="宋体" w:hAnsi="宋体" w:cs="宋体"/>
          <w:b w:val="0"/>
        </w:rPr>
        <w:fldChar w:fldCharType="separate"/>
      </w:r>
      <w:r>
        <w:rPr>
          <w:rFonts w:hint="eastAsia" w:ascii="宋体" w:hAnsi="宋体" w:cs="宋体"/>
          <w:b w:val="0"/>
        </w:rPr>
        <w:t>20</w:t>
      </w:r>
      <w:r>
        <w:rPr>
          <w:rFonts w:hint="eastAsia" w:ascii="宋体" w:hAnsi="宋体" w:cs="宋体"/>
          <w:b w:val="0"/>
        </w:rPr>
        <w:fldChar w:fldCharType="end"/>
      </w:r>
      <w:r>
        <w:rPr>
          <w:rFonts w:hint="eastAsia" w:ascii="宋体" w:hAnsi="宋体" w:cs="宋体"/>
          <w:b w:val="0"/>
        </w:rPr>
        <w:fldChar w:fldCharType="end"/>
      </w:r>
    </w:p>
    <w:p w14:paraId="7B0056C3">
      <w:pPr>
        <w:pStyle w:val="33"/>
        <w:tabs>
          <w:tab w:val="right" w:leader="dot" w:pos="9628"/>
        </w:tabs>
        <w:rPr>
          <w:rFonts w:ascii="宋体" w:hAnsi="宋体" w:cs="宋体"/>
          <w:b w:val="0"/>
          <w:bCs w:val="0"/>
          <w:caps w:val="0"/>
          <w:sz w:val="21"/>
          <w:szCs w:val="22"/>
        </w:rPr>
      </w:pPr>
      <w:r>
        <w:fldChar w:fldCharType="begin"/>
      </w:r>
      <w:r>
        <w:instrText xml:space="preserve"> HYPERLINK \l "_Toc144746860" </w:instrText>
      </w:r>
      <w:r>
        <w:fldChar w:fldCharType="separate"/>
      </w:r>
      <w:r>
        <w:rPr>
          <w:rStyle w:val="55"/>
          <w:rFonts w:hint="eastAsia" w:ascii="宋体" w:hAnsi="宋体" w:cs="宋体"/>
          <w:b w:val="0"/>
          <w:snapToGrid w:val="0"/>
          <w:color w:val="auto"/>
          <w:kern w:val="0"/>
        </w:rPr>
        <w:t>17、合同份数</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_Toc144746860 \h </w:instrText>
      </w:r>
      <w:r>
        <w:rPr>
          <w:rFonts w:hint="eastAsia" w:ascii="宋体" w:hAnsi="宋体" w:cs="宋体"/>
          <w:b w:val="0"/>
        </w:rPr>
        <w:fldChar w:fldCharType="separate"/>
      </w:r>
      <w:r>
        <w:rPr>
          <w:rFonts w:hint="eastAsia" w:ascii="宋体" w:hAnsi="宋体" w:cs="宋体"/>
          <w:b w:val="0"/>
        </w:rPr>
        <w:t>21</w:t>
      </w:r>
      <w:r>
        <w:rPr>
          <w:rFonts w:hint="eastAsia" w:ascii="宋体" w:hAnsi="宋体" w:cs="宋体"/>
          <w:b w:val="0"/>
        </w:rPr>
        <w:fldChar w:fldCharType="end"/>
      </w:r>
      <w:r>
        <w:rPr>
          <w:rFonts w:hint="eastAsia" w:ascii="宋体" w:hAnsi="宋体" w:cs="宋体"/>
          <w:b w:val="0"/>
        </w:rPr>
        <w:fldChar w:fldCharType="end"/>
      </w:r>
    </w:p>
    <w:p w14:paraId="6F83A11D">
      <w:pPr>
        <w:pStyle w:val="33"/>
        <w:tabs>
          <w:tab w:val="right" w:leader="dot" w:pos="9628"/>
        </w:tabs>
        <w:rPr>
          <w:rFonts w:ascii="宋体" w:hAnsi="宋体" w:cs="宋体"/>
          <w:b w:val="0"/>
          <w:bCs w:val="0"/>
          <w:caps w:val="0"/>
          <w:sz w:val="21"/>
          <w:szCs w:val="22"/>
        </w:rPr>
      </w:pPr>
      <w:r>
        <w:fldChar w:fldCharType="begin"/>
      </w:r>
      <w:r>
        <w:instrText xml:space="preserve"> HYPERLINK \l "_Toc144746861" </w:instrText>
      </w:r>
      <w:r>
        <w:fldChar w:fldCharType="separate"/>
      </w:r>
      <w:r>
        <w:rPr>
          <w:rStyle w:val="55"/>
          <w:rFonts w:hint="eastAsia" w:ascii="宋体" w:hAnsi="宋体" w:cs="宋体"/>
          <w:b w:val="0"/>
          <w:snapToGrid w:val="0"/>
          <w:color w:val="auto"/>
          <w:kern w:val="0"/>
        </w:rPr>
        <w:t>第二篇  合同条款</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_Toc144746861 \h </w:instrText>
      </w:r>
      <w:r>
        <w:rPr>
          <w:rFonts w:hint="eastAsia" w:ascii="宋体" w:hAnsi="宋体" w:cs="宋体"/>
          <w:b w:val="0"/>
        </w:rPr>
        <w:fldChar w:fldCharType="separate"/>
      </w:r>
      <w:r>
        <w:rPr>
          <w:rFonts w:hint="eastAsia" w:ascii="宋体" w:hAnsi="宋体" w:cs="宋体"/>
          <w:b w:val="0"/>
        </w:rPr>
        <w:t>22</w:t>
      </w:r>
      <w:r>
        <w:rPr>
          <w:rFonts w:hint="eastAsia" w:ascii="宋体" w:hAnsi="宋体" w:cs="宋体"/>
          <w:b w:val="0"/>
        </w:rPr>
        <w:fldChar w:fldCharType="end"/>
      </w:r>
      <w:r>
        <w:rPr>
          <w:rFonts w:hint="eastAsia" w:ascii="宋体" w:hAnsi="宋体" w:cs="宋体"/>
          <w:b w:val="0"/>
        </w:rPr>
        <w:fldChar w:fldCharType="end"/>
      </w:r>
    </w:p>
    <w:p w14:paraId="5F1CC152">
      <w:pPr>
        <w:pStyle w:val="33"/>
        <w:tabs>
          <w:tab w:val="right" w:leader="dot" w:pos="9628"/>
        </w:tabs>
        <w:rPr>
          <w:rFonts w:ascii="宋体" w:hAnsi="宋体" w:cs="宋体"/>
          <w:b w:val="0"/>
          <w:bCs w:val="0"/>
          <w:caps w:val="0"/>
          <w:sz w:val="21"/>
          <w:szCs w:val="22"/>
        </w:rPr>
      </w:pPr>
      <w:r>
        <w:fldChar w:fldCharType="begin"/>
      </w:r>
      <w:r>
        <w:instrText xml:space="preserve"> HYPERLINK \l "_Toc144746862" </w:instrText>
      </w:r>
      <w:r>
        <w:fldChar w:fldCharType="separate"/>
      </w:r>
      <w:r>
        <w:rPr>
          <w:rStyle w:val="55"/>
          <w:rFonts w:hint="eastAsia" w:ascii="宋体" w:hAnsi="宋体" w:cs="宋体"/>
          <w:b w:val="0"/>
          <w:snapToGrid w:val="0"/>
          <w:color w:val="auto"/>
          <w:kern w:val="0"/>
        </w:rPr>
        <w:t>1、词语定义</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_Toc144746862 \h </w:instrText>
      </w:r>
      <w:r>
        <w:rPr>
          <w:rFonts w:hint="eastAsia" w:ascii="宋体" w:hAnsi="宋体" w:cs="宋体"/>
          <w:b w:val="0"/>
        </w:rPr>
        <w:fldChar w:fldCharType="separate"/>
      </w:r>
      <w:r>
        <w:rPr>
          <w:rFonts w:hint="eastAsia" w:ascii="宋体" w:hAnsi="宋体" w:cs="宋体"/>
          <w:b w:val="0"/>
        </w:rPr>
        <w:t>22</w:t>
      </w:r>
      <w:r>
        <w:rPr>
          <w:rFonts w:hint="eastAsia" w:ascii="宋体" w:hAnsi="宋体" w:cs="宋体"/>
          <w:b w:val="0"/>
        </w:rPr>
        <w:fldChar w:fldCharType="end"/>
      </w:r>
      <w:r>
        <w:rPr>
          <w:rFonts w:hint="eastAsia" w:ascii="宋体" w:hAnsi="宋体" w:cs="宋体"/>
          <w:b w:val="0"/>
        </w:rPr>
        <w:fldChar w:fldCharType="end"/>
      </w:r>
    </w:p>
    <w:p w14:paraId="5BEAFCFA">
      <w:pPr>
        <w:pStyle w:val="33"/>
        <w:tabs>
          <w:tab w:val="right" w:leader="dot" w:pos="9628"/>
        </w:tabs>
        <w:rPr>
          <w:rFonts w:ascii="宋体" w:hAnsi="宋体" w:cs="宋体"/>
          <w:b w:val="0"/>
          <w:bCs w:val="0"/>
          <w:caps w:val="0"/>
          <w:sz w:val="21"/>
          <w:szCs w:val="22"/>
        </w:rPr>
      </w:pPr>
      <w:r>
        <w:fldChar w:fldCharType="begin"/>
      </w:r>
      <w:r>
        <w:instrText xml:space="preserve"> HYPERLINK \l "_Toc144746863" </w:instrText>
      </w:r>
      <w:r>
        <w:fldChar w:fldCharType="separate"/>
      </w:r>
      <w:r>
        <w:rPr>
          <w:rStyle w:val="55"/>
          <w:rFonts w:hint="eastAsia" w:ascii="宋体" w:hAnsi="宋体" w:cs="宋体"/>
          <w:b w:val="0"/>
          <w:snapToGrid w:val="0"/>
          <w:color w:val="auto"/>
          <w:kern w:val="0"/>
        </w:rPr>
        <w:t>2、合同文件及解释顺序</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_Toc144746863 \h </w:instrText>
      </w:r>
      <w:r>
        <w:rPr>
          <w:rFonts w:hint="eastAsia" w:ascii="宋体" w:hAnsi="宋体" w:cs="宋体"/>
          <w:b w:val="0"/>
        </w:rPr>
        <w:fldChar w:fldCharType="separate"/>
      </w:r>
      <w:r>
        <w:rPr>
          <w:rFonts w:hint="eastAsia" w:ascii="宋体" w:hAnsi="宋体" w:cs="宋体"/>
          <w:b w:val="0"/>
        </w:rPr>
        <w:t>27</w:t>
      </w:r>
      <w:r>
        <w:rPr>
          <w:rFonts w:hint="eastAsia" w:ascii="宋体" w:hAnsi="宋体" w:cs="宋体"/>
          <w:b w:val="0"/>
        </w:rPr>
        <w:fldChar w:fldCharType="end"/>
      </w:r>
      <w:r>
        <w:rPr>
          <w:rFonts w:hint="eastAsia" w:ascii="宋体" w:hAnsi="宋体" w:cs="宋体"/>
          <w:b w:val="0"/>
        </w:rPr>
        <w:fldChar w:fldCharType="end"/>
      </w:r>
    </w:p>
    <w:p w14:paraId="55CCA469">
      <w:pPr>
        <w:pStyle w:val="33"/>
        <w:tabs>
          <w:tab w:val="right" w:leader="dot" w:pos="9628"/>
        </w:tabs>
        <w:rPr>
          <w:rFonts w:ascii="宋体" w:hAnsi="宋体" w:cs="宋体"/>
          <w:b w:val="0"/>
          <w:bCs w:val="0"/>
          <w:caps w:val="0"/>
          <w:sz w:val="21"/>
          <w:szCs w:val="22"/>
        </w:rPr>
      </w:pPr>
      <w:r>
        <w:fldChar w:fldCharType="begin"/>
      </w:r>
      <w:r>
        <w:instrText xml:space="preserve"> HYPERLINK \l "_Toc144746864" </w:instrText>
      </w:r>
      <w:r>
        <w:fldChar w:fldCharType="separate"/>
      </w:r>
      <w:r>
        <w:rPr>
          <w:rStyle w:val="55"/>
          <w:rFonts w:hint="eastAsia" w:ascii="宋体" w:hAnsi="宋体" w:cs="宋体"/>
          <w:b w:val="0"/>
          <w:snapToGrid w:val="0"/>
          <w:color w:val="auto"/>
          <w:kern w:val="0"/>
        </w:rPr>
        <w:t>3、语言文字和适用法律、标准及规范</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_Toc144746864 \h </w:instrText>
      </w:r>
      <w:r>
        <w:rPr>
          <w:rFonts w:hint="eastAsia" w:ascii="宋体" w:hAnsi="宋体" w:cs="宋体"/>
          <w:b w:val="0"/>
        </w:rPr>
        <w:fldChar w:fldCharType="separate"/>
      </w:r>
      <w:r>
        <w:rPr>
          <w:rFonts w:hint="eastAsia" w:ascii="宋体" w:hAnsi="宋体" w:cs="宋体"/>
          <w:b w:val="0"/>
        </w:rPr>
        <w:t>27</w:t>
      </w:r>
      <w:r>
        <w:rPr>
          <w:rFonts w:hint="eastAsia" w:ascii="宋体" w:hAnsi="宋体" w:cs="宋体"/>
          <w:b w:val="0"/>
        </w:rPr>
        <w:fldChar w:fldCharType="end"/>
      </w:r>
      <w:r>
        <w:rPr>
          <w:rFonts w:hint="eastAsia" w:ascii="宋体" w:hAnsi="宋体" w:cs="宋体"/>
          <w:b w:val="0"/>
        </w:rPr>
        <w:fldChar w:fldCharType="end"/>
      </w:r>
    </w:p>
    <w:p w14:paraId="0CDBCC9E">
      <w:pPr>
        <w:pStyle w:val="33"/>
        <w:tabs>
          <w:tab w:val="right" w:leader="dot" w:pos="9628"/>
        </w:tabs>
        <w:rPr>
          <w:rFonts w:ascii="宋体" w:hAnsi="宋体" w:cs="宋体"/>
          <w:b w:val="0"/>
          <w:bCs w:val="0"/>
          <w:caps w:val="0"/>
          <w:sz w:val="21"/>
          <w:szCs w:val="22"/>
        </w:rPr>
      </w:pPr>
      <w:r>
        <w:fldChar w:fldCharType="begin"/>
      </w:r>
      <w:r>
        <w:instrText xml:space="preserve"> HYPERLINK \l "_Toc144746865" </w:instrText>
      </w:r>
      <w:r>
        <w:fldChar w:fldCharType="separate"/>
      </w:r>
      <w:r>
        <w:rPr>
          <w:rStyle w:val="55"/>
          <w:rFonts w:hint="eastAsia" w:ascii="宋体" w:hAnsi="宋体" w:cs="宋体"/>
          <w:b w:val="0"/>
          <w:snapToGrid w:val="0"/>
          <w:color w:val="auto"/>
          <w:kern w:val="0"/>
        </w:rPr>
        <w:t>4、设计成果文件</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_Toc144746865 \h </w:instrText>
      </w:r>
      <w:r>
        <w:rPr>
          <w:rFonts w:hint="eastAsia" w:ascii="宋体" w:hAnsi="宋体" w:cs="宋体"/>
          <w:b w:val="0"/>
        </w:rPr>
        <w:fldChar w:fldCharType="separate"/>
      </w:r>
      <w:r>
        <w:rPr>
          <w:rFonts w:hint="eastAsia" w:ascii="宋体" w:hAnsi="宋体" w:cs="宋体"/>
          <w:b w:val="0"/>
        </w:rPr>
        <w:t>28</w:t>
      </w:r>
      <w:r>
        <w:rPr>
          <w:rFonts w:hint="eastAsia" w:ascii="宋体" w:hAnsi="宋体" w:cs="宋体"/>
          <w:b w:val="0"/>
        </w:rPr>
        <w:fldChar w:fldCharType="end"/>
      </w:r>
      <w:r>
        <w:rPr>
          <w:rFonts w:hint="eastAsia" w:ascii="宋体" w:hAnsi="宋体" w:cs="宋体"/>
          <w:b w:val="0"/>
        </w:rPr>
        <w:fldChar w:fldCharType="end"/>
      </w:r>
    </w:p>
    <w:p w14:paraId="4EB20249">
      <w:pPr>
        <w:pStyle w:val="33"/>
        <w:tabs>
          <w:tab w:val="right" w:leader="dot" w:pos="9628"/>
        </w:tabs>
        <w:rPr>
          <w:rFonts w:ascii="宋体" w:hAnsi="宋体" w:cs="宋体"/>
          <w:b w:val="0"/>
          <w:bCs w:val="0"/>
          <w:caps w:val="0"/>
          <w:sz w:val="21"/>
          <w:szCs w:val="22"/>
        </w:rPr>
      </w:pPr>
      <w:r>
        <w:fldChar w:fldCharType="begin"/>
      </w:r>
      <w:r>
        <w:instrText xml:space="preserve"> HYPERLINK \l "_Toc144746866" </w:instrText>
      </w:r>
      <w:r>
        <w:fldChar w:fldCharType="separate"/>
      </w:r>
      <w:r>
        <w:rPr>
          <w:rStyle w:val="55"/>
          <w:rFonts w:hint="eastAsia" w:ascii="宋体" w:hAnsi="宋体" w:cs="宋体"/>
          <w:b w:val="0"/>
          <w:color w:val="auto"/>
        </w:rPr>
        <w:t>5、监理单位的工作范围和内容</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_Toc144746866 \h </w:instrText>
      </w:r>
      <w:r>
        <w:rPr>
          <w:rFonts w:hint="eastAsia" w:ascii="宋体" w:hAnsi="宋体" w:cs="宋体"/>
          <w:b w:val="0"/>
        </w:rPr>
        <w:fldChar w:fldCharType="separate"/>
      </w:r>
      <w:r>
        <w:rPr>
          <w:rFonts w:hint="eastAsia" w:ascii="宋体" w:hAnsi="宋体" w:cs="宋体"/>
          <w:b w:val="0"/>
        </w:rPr>
        <w:t>28</w:t>
      </w:r>
      <w:r>
        <w:rPr>
          <w:rFonts w:hint="eastAsia" w:ascii="宋体" w:hAnsi="宋体" w:cs="宋体"/>
          <w:b w:val="0"/>
        </w:rPr>
        <w:fldChar w:fldCharType="end"/>
      </w:r>
      <w:r>
        <w:rPr>
          <w:rFonts w:hint="eastAsia" w:ascii="宋体" w:hAnsi="宋体" w:cs="宋体"/>
          <w:b w:val="0"/>
        </w:rPr>
        <w:fldChar w:fldCharType="end"/>
      </w:r>
    </w:p>
    <w:p w14:paraId="437175F0">
      <w:pPr>
        <w:pStyle w:val="33"/>
        <w:tabs>
          <w:tab w:val="right" w:leader="dot" w:pos="9628"/>
        </w:tabs>
        <w:rPr>
          <w:rFonts w:ascii="宋体" w:hAnsi="宋体" w:cs="宋体"/>
          <w:b w:val="0"/>
          <w:bCs w:val="0"/>
          <w:caps w:val="0"/>
          <w:sz w:val="21"/>
          <w:szCs w:val="22"/>
        </w:rPr>
      </w:pPr>
      <w:r>
        <w:fldChar w:fldCharType="begin"/>
      </w:r>
      <w:r>
        <w:instrText xml:space="preserve"> HYPERLINK \l "_Toc144746867" </w:instrText>
      </w:r>
      <w:r>
        <w:fldChar w:fldCharType="separate"/>
      </w:r>
      <w:r>
        <w:rPr>
          <w:rStyle w:val="55"/>
          <w:rFonts w:hint="eastAsia" w:ascii="宋体" w:hAnsi="宋体" w:cs="宋体"/>
          <w:b w:val="0"/>
          <w:snapToGrid w:val="0"/>
          <w:color w:val="auto"/>
          <w:kern w:val="0"/>
        </w:rPr>
        <w:t>6、总监理工程师的委派和指令</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_Toc144746867 \h </w:instrText>
      </w:r>
      <w:r>
        <w:rPr>
          <w:rFonts w:hint="eastAsia" w:ascii="宋体" w:hAnsi="宋体" w:cs="宋体"/>
          <w:b w:val="0"/>
        </w:rPr>
        <w:fldChar w:fldCharType="separate"/>
      </w:r>
      <w:r>
        <w:rPr>
          <w:rFonts w:hint="eastAsia" w:ascii="宋体" w:hAnsi="宋体" w:cs="宋体"/>
          <w:b w:val="0"/>
        </w:rPr>
        <w:t>30</w:t>
      </w:r>
      <w:r>
        <w:rPr>
          <w:rFonts w:hint="eastAsia" w:ascii="宋体" w:hAnsi="宋体" w:cs="宋体"/>
          <w:b w:val="0"/>
        </w:rPr>
        <w:fldChar w:fldCharType="end"/>
      </w:r>
      <w:r>
        <w:rPr>
          <w:rFonts w:hint="eastAsia" w:ascii="宋体" w:hAnsi="宋体" w:cs="宋体"/>
          <w:b w:val="0"/>
        </w:rPr>
        <w:fldChar w:fldCharType="end"/>
      </w:r>
    </w:p>
    <w:p w14:paraId="35C971C8">
      <w:pPr>
        <w:pStyle w:val="33"/>
        <w:tabs>
          <w:tab w:val="right" w:leader="dot" w:pos="9628"/>
        </w:tabs>
        <w:rPr>
          <w:rFonts w:ascii="宋体" w:hAnsi="宋体" w:cs="宋体"/>
          <w:b w:val="0"/>
          <w:bCs w:val="0"/>
          <w:caps w:val="0"/>
          <w:sz w:val="21"/>
          <w:szCs w:val="22"/>
        </w:rPr>
      </w:pPr>
      <w:r>
        <w:fldChar w:fldCharType="begin"/>
      </w:r>
      <w:r>
        <w:instrText xml:space="preserve"> HYPERLINK \l "_Toc144746868" </w:instrText>
      </w:r>
      <w:r>
        <w:fldChar w:fldCharType="separate"/>
      </w:r>
      <w:r>
        <w:rPr>
          <w:rStyle w:val="55"/>
          <w:rFonts w:hint="eastAsia" w:ascii="宋体" w:hAnsi="宋体" w:cs="宋体"/>
          <w:b w:val="0"/>
          <w:snapToGrid w:val="0"/>
          <w:color w:val="auto"/>
          <w:kern w:val="0"/>
        </w:rPr>
        <w:t>7、承包人的项目管理团队</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_Toc144746868 \h </w:instrText>
      </w:r>
      <w:r>
        <w:rPr>
          <w:rFonts w:hint="eastAsia" w:ascii="宋体" w:hAnsi="宋体" w:cs="宋体"/>
          <w:b w:val="0"/>
        </w:rPr>
        <w:fldChar w:fldCharType="separate"/>
      </w:r>
      <w:r>
        <w:rPr>
          <w:rFonts w:hint="eastAsia" w:ascii="宋体" w:hAnsi="宋体" w:cs="宋体"/>
          <w:b w:val="0"/>
        </w:rPr>
        <w:t>31</w:t>
      </w:r>
      <w:r>
        <w:rPr>
          <w:rFonts w:hint="eastAsia" w:ascii="宋体" w:hAnsi="宋体" w:cs="宋体"/>
          <w:b w:val="0"/>
        </w:rPr>
        <w:fldChar w:fldCharType="end"/>
      </w:r>
      <w:r>
        <w:rPr>
          <w:rFonts w:hint="eastAsia" w:ascii="宋体" w:hAnsi="宋体" w:cs="宋体"/>
          <w:b w:val="0"/>
        </w:rPr>
        <w:fldChar w:fldCharType="end"/>
      </w:r>
    </w:p>
    <w:p w14:paraId="54A20318">
      <w:pPr>
        <w:pStyle w:val="33"/>
        <w:tabs>
          <w:tab w:val="right" w:leader="dot" w:pos="9628"/>
        </w:tabs>
        <w:rPr>
          <w:rFonts w:ascii="宋体" w:hAnsi="宋体" w:cs="宋体"/>
          <w:b w:val="0"/>
          <w:bCs w:val="0"/>
          <w:caps w:val="0"/>
          <w:sz w:val="21"/>
          <w:szCs w:val="22"/>
        </w:rPr>
      </w:pPr>
      <w:r>
        <w:fldChar w:fldCharType="begin"/>
      </w:r>
      <w:r>
        <w:instrText xml:space="preserve"> HYPERLINK \l "_Toc144746869" </w:instrText>
      </w:r>
      <w:r>
        <w:fldChar w:fldCharType="separate"/>
      </w:r>
      <w:r>
        <w:rPr>
          <w:rStyle w:val="55"/>
          <w:rFonts w:hint="eastAsia" w:ascii="宋体" w:hAnsi="宋体" w:cs="宋体"/>
          <w:b w:val="0"/>
          <w:snapToGrid w:val="0"/>
          <w:color w:val="auto"/>
          <w:kern w:val="0"/>
        </w:rPr>
        <w:t>8、发包人权利和义务</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_Toc144746869 \h </w:instrText>
      </w:r>
      <w:r>
        <w:rPr>
          <w:rFonts w:hint="eastAsia" w:ascii="宋体" w:hAnsi="宋体" w:cs="宋体"/>
          <w:b w:val="0"/>
        </w:rPr>
        <w:fldChar w:fldCharType="separate"/>
      </w:r>
      <w:r>
        <w:rPr>
          <w:rFonts w:hint="eastAsia" w:ascii="宋体" w:hAnsi="宋体" w:cs="宋体"/>
          <w:b w:val="0"/>
        </w:rPr>
        <w:t>33</w:t>
      </w:r>
      <w:r>
        <w:rPr>
          <w:rFonts w:hint="eastAsia" w:ascii="宋体" w:hAnsi="宋体" w:cs="宋体"/>
          <w:b w:val="0"/>
        </w:rPr>
        <w:fldChar w:fldCharType="end"/>
      </w:r>
      <w:r>
        <w:rPr>
          <w:rFonts w:hint="eastAsia" w:ascii="宋体" w:hAnsi="宋体" w:cs="宋体"/>
          <w:b w:val="0"/>
        </w:rPr>
        <w:fldChar w:fldCharType="end"/>
      </w:r>
    </w:p>
    <w:p w14:paraId="078BDEF3">
      <w:pPr>
        <w:pStyle w:val="33"/>
        <w:tabs>
          <w:tab w:val="right" w:leader="dot" w:pos="9628"/>
        </w:tabs>
        <w:rPr>
          <w:rFonts w:ascii="宋体" w:hAnsi="宋体" w:cs="宋体"/>
          <w:b w:val="0"/>
          <w:bCs w:val="0"/>
          <w:caps w:val="0"/>
          <w:sz w:val="21"/>
          <w:szCs w:val="22"/>
        </w:rPr>
      </w:pPr>
      <w:r>
        <w:fldChar w:fldCharType="begin"/>
      </w:r>
      <w:r>
        <w:instrText xml:space="preserve"> HYPERLINK \l "_Toc144746870" </w:instrText>
      </w:r>
      <w:r>
        <w:fldChar w:fldCharType="separate"/>
      </w:r>
      <w:r>
        <w:rPr>
          <w:rStyle w:val="55"/>
          <w:rFonts w:hint="eastAsia" w:ascii="宋体" w:hAnsi="宋体" w:cs="宋体"/>
          <w:b w:val="0"/>
          <w:snapToGrid w:val="0"/>
          <w:color w:val="auto"/>
          <w:kern w:val="0"/>
        </w:rPr>
        <w:t>9、承包人权利和义务</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_Toc144746870 \h </w:instrText>
      </w:r>
      <w:r>
        <w:rPr>
          <w:rFonts w:hint="eastAsia" w:ascii="宋体" w:hAnsi="宋体" w:cs="宋体"/>
          <w:b w:val="0"/>
        </w:rPr>
        <w:fldChar w:fldCharType="separate"/>
      </w:r>
      <w:r>
        <w:rPr>
          <w:rFonts w:hint="eastAsia" w:ascii="宋体" w:hAnsi="宋体" w:cs="宋体"/>
          <w:b w:val="0"/>
        </w:rPr>
        <w:t>34</w:t>
      </w:r>
      <w:r>
        <w:rPr>
          <w:rFonts w:hint="eastAsia" w:ascii="宋体" w:hAnsi="宋体" w:cs="宋体"/>
          <w:b w:val="0"/>
        </w:rPr>
        <w:fldChar w:fldCharType="end"/>
      </w:r>
      <w:r>
        <w:rPr>
          <w:rFonts w:hint="eastAsia" w:ascii="宋体" w:hAnsi="宋体" w:cs="宋体"/>
          <w:b w:val="0"/>
        </w:rPr>
        <w:fldChar w:fldCharType="end"/>
      </w:r>
    </w:p>
    <w:p w14:paraId="4B6D4AC9">
      <w:pPr>
        <w:pStyle w:val="33"/>
        <w:tabs>
          <w:tab w:val="right" w:leader="dot" w:pos="9628"/>
        </w:tabs>
        <w:rPr>
          <w:rFonts w:ascii="宋体" w:hAnsi="宋体" w:cs="宋体"/>
          <w:b w:val="0"/>
          <w:bCs w:val="0"/>
          <w:caps w:val="0"/>
          <w:sz w:val="21"/>
          <w:szCs w:val="22"/>
        </w:rPr>
      </w:pPr>
      <w:r>
        <w:fldChar w:fldCharType="begin"/>
      </w:r>
      <w:r>
        <w:instrText xml:space="preserve"> HYPERLINK \l "_Toc144746871" </w:instrText>
      </w:r>
      <w:r>
        <w:fldChar w:fldCharType="separate"/>
      </w:r>
      <w:r>
        <w:rPr>
          <w:rStyle w:val="55"/>
          <w:rFonts w:hint="eastAsia" w:ascii="宋体" w:hAnsi="宋体" w:cs="宋体"/>
          <w:b w:val="0"/>
          <w:snapToGrid w:val="0"/>
          <w:color w:val="auto"/>
          <w:kern w:val="0"/>
        </w:rPr>
        <w:t>10、工程设计范围、内容、设计人员要求、设计成果要求</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_Toc144746871 \h </w:instrText>
      </w:r>
      <w:r>
        <w:rPr>
          <w:rFonts w:hint="eastAsia" w:ascii="宋体" w:hAnsi="宋体" w:cs="宋体"/>
          <w:b w:val="0"/>
        </w:rPr>
        <w:fldChar w:fldCharType="separate"/>
      </w:r>
      <w:r>
        <w:rPr>
          <w:rFonts w:hint="eastAsia" w:ascii="宋体" w:hAnsi="宋体" w:cs="宋体"/>
          <w:b w:val="0"/>
        </w:rPr>
        <w:t>39</w:t>
      </w:r>
      <w:r>
        <w:rPr>
          <w:rFonts w:hint="eastAsia" w:ascii="宋体" w:hAnsi="宋体" w:cs="宋体"/>
          <w:b w:val="0"/>
        </w:rPr>
        <w:fldChar w:fldCharType="end"/>
      </w:r>
      <w:r>
        <w:rPr>
          <w:rFonts w:hint="eastAsia" w:ascii="宋体" w:hAnsi="宋体" w:cs="宋体"/>
          <w:b w:val="0"/>
        </w:rPr>
        <w:fldChar w:fldCharType="end"/>
      </w:r>
    </w:p>
    <w:p w14:paraId="2A4CB3E6">
      <w:pPr>
        <w:pStyle w:val="33"/>
        <w:tabs>
          <w:tab w:val="right" w:leader="dot" w:pos="9628"/>
        </w:tabs>
        <w:rPr>
          <w:rFonts w:ascii="宋体" w:hAnsi="宋体" w:cs="宋体"/>
          <w:b w:val="0"/>
          <w:bCs w:val="0"/>
          <w:caps w:val="0"/>
          <w:sz w:val="21"/>
          <w:szCs w:val="22"/>
        </w:rPr>
      </w:pPr>
      <w:r>
        <w:fldChar w:fldCharType="begin"/>
      </w:r>
      <w:r>
        <w:instrText xml:space="preserve"> HYPERLINK \l "_Toc144746872" </w:instrText>
      </w:r>
      <w:r>
        <w:fldChar w:fldCharType="separate"/>
      </w:r>
      <w:r>
        <w:rPr>
          <w:rStyle w:val="55"/>
          <w:rFonts w:hint="eastAsia" w:ascii="宋体" w:hAnsi="宋体" w:cs="宋体"/>
          <w:b w:val="0"/>
          <w:snapToGrid w:val="0"/>
          <w:color w:val="auto"/>
          <w:kern w:val="0"/>
        </w:rPr>
        <w:t>11、设计进度计划</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_Toc144746872 \h </w:instrText>
      </w:r>
      <w:r>
        <w:rPr>
          <w:rFonts w:hint="eastAsia" w:ascii="宋体" w:hAnsi="宋体" w:cs="宋体"/>
          <w:b w:val="0"/>
        </w:rPr>
        <w:fldChar w:fldCharType="separate"/>
      </w:r>
      <w:r>
        <w:rPr>
          <w:rFonts w:hint="eastAsia" w:ascii="宋体" w:hAnsi="宋体" w:cs="宋体"/>
          <w:b w:val="0"/>
        </w:rPr>
        <w:t>41</w:t>
      </w:r>
      <w:r>
        <w:rPr>
          <w:rFonts w:hint="eastAsia" w:ascii="宋体" w:hAnsi="宋体" w:cs="宋体"/>
          <w:b w:val="0"/>
        </w:rPr>
        <w:fldChar w:fldCharType="end"/>
      </w:r>
      <w:r>
        <w:rPr>
          <w:rFonts w:hint="eastAsia" w:ascii="宋体" w:hAnsi="宋体" w:cs="宋体"/>
          <w:b w:val="0"/>
        </w:rPr>
        <w:fldChar w:fldCharType="end"/>
      </w:r>
    </w:p>
    <w:p w14:paraId="00A55569">
      <w:pPr>
        <w:pStyle w:val="33"/>
        <w:tabs>
          <w:tab w:val="right" w:leader="dot" w:pos="9628"/>
        </w:tabs>
        <w:rPr>
          <w:rFonts w:ascii="宋体" w:hAnsi="宋体" w:cs="宋体"/>
          <w:b w:val="0"/>
          <w:bCs w:val="0"/>
          <w:caps w:val="0"/>
          <w:sz w:val="21"/>
          <w:szCs w:val="22"/>
        </w:rPr>
      </w:pPr>
      <w:r>
        <w:fldChar w:fldCharType="begin"/>
      </w:r>
      <w:r>
        <w:instrText xml:space="preserve"> HYPERLINK \l "_Toc144746873" </w:instrText>
      </w:r>
      <w:r>
        <w:fldChar w:fldCharType="separate"/>
      </w:r>
      <w:r>
        <w:rPr>
          <w:rStyle w:val="55"/>
          <w:rFonts w:hint="eastAsia" w:ascii="宋体" w:hAnsi="宋体" w:cs="宋体"/>
          <w:b w:val="0"/>
          <w:snapToGrid w:val="0"/>
          <w:color w:val="auto"/>
          <w:kern w:val="0"/>
        </w:rPr>
        <w:t>12、设计服务</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_Toc144746873 \h </w:instrText>
      </w:r>
      <w:r>
        <w:rPr>
          <w:rFonts w:hint="eastAsia" w:ascii="宋体" w:hAnsi="宋体" w:cs="宋体"/>
          <w:b w:val="0"/>
        </w:rPr>
        <w:fldChar w:fldCharType="separate"/>
      </w:r>
      <w:r>
        <w:rPr>
          <w:rFonts w:hint="eastAsia" w:ascii="宋体" w:hAnsi="宋体" w:cs="宋体"/>
          <w:b w:val="0"/>
        </w:rPr>
        <w:t>42</w:t>
      </w:r>
      <w:r>
        <w:rPr>
          <w:rFonts w:hint="eastAsia" w:ascii="宋体" w:hAnsi="宋体" w:cs="宋体"/>
          <w:b w:val="0"/>
        </w:rPr>
        <w:fldChar w:fldCharType="end"/>
      </w:r>
      <w:r>
        <w:rPr>
          <w:rFonts w:hint="eastAsia" w:ascii="宋体" w:hAnsi="宋体" w:cs="宋体"/>
          <w:b w:val="0"/>
        </w:rPr>
        <w:fldChar w:fldCharType="end"/>
      </w:r>
    </w:p>
    <w:p w14:paraId="23A7EF5F">
      <w:pPr>
        <w:pStyle w:val="33"/>
        <w:tabs>
          <w:tab w:val="right" w:leader="dot" w:pos="9628"/>
        </w:tabs>
        <w:rPr>
          <w:rFonts w:ascii="宋体" w:hAnsi="宋体" w:cs="宋体"/>
          <w:b w:val="0"/>
          <w:bCs w:val="0"/>
          <w:caps w:val="0"/>
          <w:sz w:val="21"/>
          <w:szCs w:val="22"/>
        </w:rPr>
      </w:pPr>
      <w:r>
        <w:fldChar w:fldCharType="begin"/>
      </w:r>
      <w:r>
        <w:instrText xml:space="preserve"> HYPERLINK \l "_Toc144746874" </w:instrText>
      </w:r>
      <w:r>
        <w:fldChar w:fldCharType="separate"/>
      </w:r>
      <w:r>
        <w:rPr>
          <w:rStyle w:val="55"/>
          <w:rFonts w:hint="eastAsia" w:ascii="宋体" w:hAnsi="宋体" w:cs="宋体"/>
          <w:b w:val="0"/>
          <w:snapToGrid w:val="0"/>
          <w:color w:val="auto"/>
          <w:kern w:val="0"/>
        </w:rPr>
        <w:t>13、设计评审</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_Toc144746874 \h </w:instrText>
      </w:r>
      <w:r>
        <w:rPr>
          <w:rFonts w:hint="eastAsia" w:ascii="宋体" w:hAnsi="宋体" w:cs="宋体"/>
          <w:b w:val="0"/>
        </w:rPr>
        <w:fldChar w:fldCharType="separate"/>
      </w:r>
      <w:r>
        <w:rPr>
          <w:rFonts w:hint="eastAsia" w:ascii="宋体" w:hAnsi="宋体" w:cs="宋体"/>
          <w:b w:val="0"/>
        </w:rPr>
        <w:t>45</w:t>
      </w:r>
      <w:r>
        <w:rPr>
          <w:rFonts w:hint="eastAsia" w:ascii="宋体" w:hAnsi="宋体" w:cs="宋体"/>
          <w:b w:val="0"/>
        </w:rPr>
        <w:fldChar w:fldCharType="end"/>
      </w:r>
      <w:r>
        <w:rPr>
          <w:rFonts w:hint="eastAsia" w:ascii="宋体" w:hAnsi="宋体" w:cs="宋体"/>
          <w:b w:val="0"/>
        </w:rPr>
        <w:fldChar w:fldCharType="end"/>
      </w:r>
    </w:p>
    <w:p w14:paraId="687AD040">
      <w:pPr>
        <w:pStyle w:val="33"/>
        <w:tabs>
          <w:tab w:val="right" w:leader="dot" w:pos="9628"/>
        </w:tabs>
        <w:rPr>
          <w:rFonts w:ascii="宋体" w:hAnsi="宋体" w:cs="宋体"/>
          <w:b w:val="0"/>
          <w:bCs w:val="0"/>
          <w:caps w:val="0"/>
          <w:sz w:val="21"/>
          <w:szCs w:val="22"/>
        </w:rPr>
      </w:pPr>
      <w:r>
        <w:fldChar w:fldCharType="begin"/>
      </w:r>
      <w:r>
        <w:instrText xml:space="preserve"> HYPERLINK \l "_Toc144746875" </w:instrText>
      </w:r>
      <w:r>
        <w:fldChar w:fldCharType="separate"/>
      </w:r>
      <w:r>
        <w:rPr>
          <w:rStyle w:val="55"/>
          <w:rFonts w:hint="eastAsia" w:ascii="宋体" w:hAnsi="宋体" w:cs="宋体"/>
          <w:b w:val="0"/>
          <w:snapToGrid w:val="0"/>
          <w:color w:val="auto"/>
          <w:kern w:val="0"/>
        </w:rPr>
        <w:t>14、施工组织设计及项目进度计划</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_Toc144746875 \h </w:instrText>
      </w:r>
      <w:r>
        <w:rPr>
          <w:rFonts w:hint="eastAsia" w:ascii="宋体" w:hAnsi="宋体" w:cs="宋体"/>
          <w:b w:val="0"/>
        </w:rPr>
        <w:fldChar w:fldCharType="separate"/>
      </w:r>
      <w:r>
        <w:rPr>
          <w:rFonts w:hint="eastAsia" w:ascii="宋体" w:hAnsi="宋体" w:cs="宋体"/>
          <w:b w:val="0"/>
        </w:rPr>
        <w:t>46</w:t>
      </w:r>
      <w:r>
        <w:rPr>
          <w:rFonts w:hint="eastAsia" w:ascii="宋体" w:hAnsi="宋体" w:cs="宋体"/>
          <w:b w:val="0"/>
        </w:rPr>
        <w:fldChar w:fldCharType="end"/>
      </w:r>
      <w:r>
        <w:rPr>
          <w:rFonts w:hint="eastAsia" w:ascii="宋体" w:hAnsi="宋体" w:cs="宋体"/>
          <w:b w:val="0"/>
        </w:rPr>
        <w:fldChar w:fldCharType="end"/>
      </w:r>
    </w:p>
    <w:p w14:paraId="4074B4DB">
      <w:pPr>
        <w:pStyle w:val="33"/>
        <w:tabs>
          <w:tab w:val="right" w:leader="dot" w:pos="9628"/>
        </w:tabs>
        <w:rPr>
          <w:rFonts w:ascii="宋体" w:hAnsi="宋体" w:cs="宋体"/>
          <w:b w:val="0"/>
          <w:bCs w:val="0"/>
          <w:caps w:val="0"/>
          <w:sz w:val="21"/>
          <w:szCs w:val="22"/>
        </w:rPr>
      </w:pPr>
      <w:r>
        <w:fldChar w:fldCharType="begin"/>
      </w:r>
      <w:r>
        <w:instrText xml:space="preserve"> HYPERLINK \l "_Toc144746876" </w:instrText>
      </w:r>
      <w:r>
        <w:fldChar w:fldCharType="separate"/>
      </w:r>
      <w:r>
        <w:rPr>
          <w:rStyle w:val="55"/>
          <w:rFonts w:hint="eastAsia" w:ascii="宋体" w:hAnsi="宋体" w:cs="宋体"/>
          <w:b w:val="0"/>
          <w:snapToGrid w:val="0"/>
          <w:color w:val="auto"/>
          <w:kern w:val="0"/>
        </w:rPr>
        <w:t>15、暂停施工和复工</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_Toc144746876 \h </w:instrText>
      </w:r>
      <w:r>
        <w:rPr>
          <w:rFonts w:hint="eastAsia" w:ascii="宋体" w:hAnsi="宋体" w:cs="宋体"/>
          <w:b w:val="0"/>
        </w:rPr>
        <w:fldChar w:fldCharType="separate"/>
      </w:r>
      <w:r>
        <w:rPr>
          <w:rFonts w:hint="eastAsia" w:ascii="宋体" w:hAnsi="宋体" w:cs="宋体"/>
          <w:b w:val="0"/>
        </w:rPr>
        <w:t>48</w:t>
      </w:r>
      <w:r>
        <w:rPr>
          <w:rFonts w:hint="eastAsia" w:ascii="宋体" w:hAnsi="宋体" w:cs="宋体"/>
          <w:b w:val="0"/>
        </w:rPr>
        <w:fldChar w:fldCharType="end"/>
      </w:r>
      <w:r>
        <w:rPr>
          <w:rFonts w:hint="eastAsia" w:ascii="宋体" w:hAnsi="宋体" w:cs="宋体"/>
          <w:b w:val="0"/>
        </w:rPr>
        <w:fldChar w:fldCharType="end"/>
      </w:r>
    </w:p>
    <w:p w14:paraId="19D3B6D6">
      <w:pPr>
        <w:pStyle w:val="33"/>
        <w:tabs>
          <w:tab w:val="right" w:leader="dot" w:pos="9628"/>
        </w:tabs>
        <w:rPr>
          <w:rFonts w:ascii="宋体" w:hAnsi="宋体" w:cs="宋体"/>
          <w:b w:val="0"/>
          <w:bCs w:val="0"/>
          <w:caps w:val="0"/>
          <w:sz w:val="21"/>
          <w:szCs w:val="22"/>
        </w:rPr>
      </w:pPr>
      <w:r>
        <w:fldChar w:fldCharType="begin"/>
      </w:r>
      <w:r>
        <w:instrText xml:space="preserve"> HYPERLINK \l "_Toc144746877" </w:instrText>
      </w:r>
      <w:r>
        <w:fldChar w:fldCharType="separate"/>
      </w:r>
      <w:r>
        <w:rPr>
          <w:rStyle w:val="55"/>
          <w:rFonts w:hint="eastAsia" w:ascii="宋体" w:hAnsi="宋体" w:cs="宋体"/>
          <w:b w:val="0"/>
          <w:snapToGrid w:val="0"/>
          <w:color w:val="auto"/>
          <w:kern w:val="0"/>
        </w:rPr>
        <w:t>16、工期</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_Toc144746877 \h </w:instrText>
      </w:r>
      <w:r>
        <w:rPr>
          <w:rFonts w:hint="eastAsia" w:ascii="宋体" w:hAnsi="宋体" w:cs="宋体"/>
          <w:b w:val="0"/>
        </w:rPr>
        <w:fldChar w:fldCharType="separate"/>
      </w:r>
      <w:r>
        <w:rPr>
          <w:rFonts w:hint="eastAsia" w:ascii="宋体" w:hAnsi="宋体" w:cs="宋体"/>
          <w:b w:val="0"/>
        </w:rPr>
        <w:t>49</w:t>
      </w:r>
      <w:r>
        <w:rPr>
          <w:rFonts w:hint="eastAsia" w:ascii="宋体" w:hAnsi="宋体" w:cs="宋体"/>
          <w:b w:val="0"/>
        </w:rPr>
        <w:fldChar w:fldCharType="end"/>
      </w:r>
      <w:r>
        <w:rPr>
          <w:rFonts w:hint="eastAsia" w:ascii="宋体" w:hAnsi="宋体" w:cs="宋体"/>
          <w:b w:val="0"/>
        </w:rPr>
        <w:fldChar w:fldCharType="end"/>
      </w:r>
    </w:p>
    <w:p w14:paraId="656E2092">
      <w:pPr>
        <w:pStyle w:val="33"/>
        <w:tabs>
          <w:tab w:val="right" w:leader="dot" w:pos="9628"/>
        </w:tabs>
        <w:rPr>
          <w:rFonts w:ascii="宋体" w:hAnsi="宋体" w:cs="宋体"/>
          <w:b w:val="0"/>
          <w:bCs w:val="0"/>
          <w:caps w:val="0"/>
          <w:sz w:val="21"/>
          <w:szCs w:val="22"/>
        </w:rPr>
      </w:pPr>
      <w:r>
        <w:fldChar w:fldCharType="begin"/>
      </w:r>
      <w:r>
        <w:instrText xml:space="preserve"> HYPERLINK \l "_Toc144746878" </w:instrText>
      </w:r>
      <w:r>
        <w:fldChar w:fldCharType="separate"/>
      </w:r>
      <w:r>
        <w:rPr>
          <w:rStyle w:val="55"/>
          <w:rFonts w:hint="eastAsia" w:ascii="宋体" w:hAnsi="宋体" w:cs="宋体"/>
          <w:b w:val="0"/>
          <w:snapToGrid w:val="0"/>
          <w:color w:val="auto"/>
          <w:kern w:val="0"/>
        </w:rPr>
        <w:t>17、工程竣工</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_Toc144746878 \h </w:instrText>
      </w:r>
      <w:r>
        <w:rPr>
          <w:rFonts w:hint="eastAsia" w:ascii="宋体" w:hAnsi="宋体" w:cs="宋体"/>
          <w:b w:val="0"/>
        </w:rPr>
        <w:fldChar w:fldCharType="separate"/>
      </w:r>
      <w:r>
        <w:rPr>
          <w:rFonts w:hint="eastAsia" w:ascii="宋体" w:hAnsi="宋体" w:cs="宋体"/>
          <w:b w:val="0"/>
        </w:rPr>
        <w:t>50</w:t>
      </w:r>
      <w:r>
        <w:rPr>
          <w:rFonts w:hint="eastAsia" w:ascii="宋体" w:hAnsi="宋体" w:cs="宋体"/>
          <w:b w:val="0"/>
        </w:rPr>
        <w:fldChar w:fldCharType="end"/>
      </w:r>
      <w:r>
        <w:rPr>
          <w:rFonts w:hint="eastAsia" w:ascii="宋体" w:hAnsi="宋体" w:cs="宋体"/>
          <w:b w:val="0"/>
        </w:rPr>
        <w:fldChar w:fldCharType="end"/>
      </w:r>
    </w:p>
    <w:p w14:paraId="23BB7CCE">
      <w:pPr>
        <w:pStyle w:val="33"/>
        <w:tabs>
          <w:tab w:val="right" w:leader="dot" w:pos="9628"/>
        </w:tabs>
        <w:rPr>
          <w:rFonts w:ascii="宋体" w:hAnsi="宋体" w:cs="宋体"/>
          <w:b w:val="0"/>
          <w:bCs w:val="0"/>
          <w:caps w:val="0"/>
          <w:sz w:val="21"/>
          <w:szCs w:val="22"/>
        </w:rPr>
      </w:pPr>
      <w:r>
        <w:fldChar w:fldCharType="begin"/>
      </w:r>
      <w:r>
        <w:instrText xml:space="preserve"> HYPERLINK \l "_Toc144746879" </w:instrText>
      </w:r>
      <w:r>
        <w:fldChar w:fldCharType="separate"/>
      </w:r>
      <w:r>
        <w:rPr>
          <w:rStyle w:val="55"/>
          <w:rFonts w:hint="eastAsia" w:ascii="宋体" w:hAnsi="宋体" w:cs="宋体"/>
          <w:b w:val="0"/>
          <w:snapToGrid w:val="0"/>
          <w:color w:val="auto"/>
          <w:kern w:val="0"/>
        </w:rPr>
        <w:t>18、工程质量</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_Toc144746879 \h </w:instrText>
      </w:r>
      <w:r>
        <w:rPr>
          <w:rFonts w:hint="eastAsia" w:ascii="宋体" w:hAnsi="宋体" w:cs="宋体"/>
          <w:b w:val="0"/>
        </w:rPr>
        <w:fldChar w:fldCharType="separate"/>
      </w:r>
      <w:r>
        <w:rPr>
          <w:rFonts w:hint="eastAsia" w:ascii="宋体" w:hAnsi="宋体" w:cs="宋体"/>
          <w:b w:val="0"/>
        </w:rPr>
        <w:t>50</w:t>
      </w:r>
      <w:r>
        <w:rPr>
          <w:rFonts w:hint="eastAsia" w:ascii="宋体" w:hAnsi="宋体" w:cs="宋体"/>
          <w:b w:val="0"/>
        </w:rPr>
        <w:fldChar w:fldCharType="end"/>
      </w:r>
      <w:r>
        <w:rPr>
          <w:rFonts w:hint="eastAsia" w:ascii="宋体" w:hAnsi="宋体" w:cs="宋体"/>
          <w:b w:val="0"/>
        </w:rPr>
        <w:fldChar w:fldCharType="end"/>
      </w:r>
    </w:p>
    <w:p w14:paraId="45446AC9">
      <w:pPr>
        <w:pStyle w:val="33"/>
        <w:tabs>
          <w:tab w:val="right" w:leader="dot" w:pos="9628"/>
        </w:tabs>
        <w:rPr>
          <w:rFonts w:ascii="宋体" w:hAnsi="宋体" w:cs="宋体"/>
          <w:b w:val="0"/>
          <w:bCs w:val="0"/>
          <w:caps w:val="0"/>
          <w:sz w:val="21"/>
          <w:szCs w:val="22"/>
        </w:rPr>
      </w:pPr>
      <w:r>
        <w:fldChar w:fldCharType="begin"/>
      </w:r>
      <w:r>
        <w:instrText xml:space="preserve"> HYPERLINK \l "_Toc144746880" </w:instrText>
      </w:r>
      <w:r>
        <w:fldChar w:fldCharType="separate"/>
      </w:r>
      <w:r>
        <w:rPr>
          <w:rStyle w:val="55"/>
          <w:rFonts w:hint="eastAsia" w:ascii="宋体" w:hAnsi="宋体" w:cs="宋体"/>
          <w:b w:val="0"/>
          <w:snapToGrid w:val="0"/>
          <w:color w:val="auto"/>
          <w:kern w:val="0"/>
        </w:rPr>
        <w:t>19、工程质量保证体系</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_Toc144746880 \h </w:instrText>
      </w:r>
      <w:r>
        <w:rPr>
          <w:rFonts w:hint="eastAsia" w:ascii="宋体" w:hAnsi="宋体" w:cs="宋体"/>
          <w:b w:val="0"/>
        </w:rPr>
        <w:fldChar w:fldCharType="separate"/>
      </w:r>
      <w:r>
        <w:rPr>
          <w:rFonts w:hint="eastAsia" w:ascii="宋体" w:hAnsi="宋体" w:cs="宋体"/>
          <w:b w:val="0"/>
        </w:rPr>
        <w:t>52</w:t>
      </w:r>
      <w:r>
        <w:rPr>
          <w:rFonts w:hint="eastAsia" w:ascii="宋体" w:hAnsi="宋体" w:cs="宋体"/>
          <w:b w:val="0"/>
        </w:rPr>
        <w:fldChar w:fldCharType="end"/>
      </w:r>
      <w:r>
        <w:rPr>
          <w:rFonts w:hint="eastAsia" w:ascii="宋体" w:hAnsi="宋体" w:cs="宋体"/>
          <w:b w:val="0"/>
        </w:rPr>
        <w:fldChar w:fldCharType="end"/>
      </w:r>
    </w:p>
    <w:p w14:paraId="11454DF4">
      <w:pPr>
        <w:pStyle w:val="33"/>
        <w:tabs>
          <w:tab w:val="right" w:leader="dot" w:pos="9628"/>
        </w:tabs>
        <w:rPr>
          <w:rFonts w:ascii="宋体" w:hAnsi="宋体" w:cs="宋体"/>
          <w:b w:val="0"/>
          <w:bCs w:val="0"/>
          <w:caps w:val="0"/>
          <w:sz w:val="21"/>
          <w:szCs w:val="22"/>
        </w:rPr>
      </w:pPr>
      <w:r>
        <w:fldChar w:fldCharType="begin"/>
      </w:r>
      <w:r>
        <w:instrText xml:space="preserve"> HYPERLINK \l "_Toc144746881" </w:instrText>
      </w:r>
      <w:r>
        <w:fldChar w:fldCharType="separate"/>
      </w:r>
      <w:r>
        <w:rPr>
          <w:rStyle w:val="55"/>
          <w:rFonts w:hint="eastAsia" w:ascii="宋体" w:hAnsi="宋体" w:cs="宋体"/>
          <w:b w:val="0"/>
          <w:snapToGrid w:val="0"/>
          <w:color w:val="auto"/>
          <w:kern w:val="0"/>
        </w:rPr>
        <w:t>20、检查和返工</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_Toc144746881 \h </w:instrText>
      </w:r>
      <w:r>
        <w:rPr>
          <w:rFonts w:hint="eastAsia" w:ascii="宋体" w:hAnsi="宋体" w:cs="宋体"/>
          <w:b w:val="0"/>
        </w:rPr>
        <w:fldChar w:fldCharType="separate"/>
      </w:r>
      <w:r>
        <w:rPr>
          <w:rFonts w:hint="eastAsia" w:ascii="宋体" w:hAnsi="宋体" w:cs="宋体"/>
          <w:b w:val="0"/>
        </w:rPr>
        <w:t>53</w:t>
      </w:r>
      <w:r>
        <w:rPr>
          <w:rFonts w:hint="eastAsia" w:ascii="宋体" w:hAnsi="宋体" w:cs="宋体"/>
          <w:b w:val="0"/>
        </w:rPr>
        <w:fldChar w:fldCharType="end"/>
      </w:r>
      <w:r>
        <w:rPr>
          <w:rFonts w:hint="eastAsia" w:ascii="宋体" w:hAnsi="宋体" w:cs="宋体"/>
          <w:b w:val="0"/>
        </w:rPr>
        <w:fldChar w:fldCharType="end"/>
      </w:r>
    </w:p>
    <w:p w14:paraId="45E98858">
      <w:pPr>
        <w:pStyle w:val="33"/>
        <w:tabs>
          <w:tab w:val="right" w:leader="dot" w:pos="9628"/>
        </w:tabs>
        <w:rPr>
          <w:rFonts w:ascii="宋体" w:hAnsi="宋体" w:cs="宋体"/>
          <w:b w:val="0"/>
          <w:bCs w:val="0"/>
          <w:caps w:val="0"/>
          <w:sz w:val="21"/>
          <w:szCs w:val="22"/>
        </w:rPr>
      </w:pPr>
      <w:r>
        <w:fldChar w:fldCharType="begin"/>
      </w:r>
      <w:r>
        <w:instrText xml:space="preserve"> HYPERLINK \l "_Toc144746882" </w:instrText>
      </w:r>
      <w:r>
        <w:fldChar w:fldCharType="separate"/>
      </w:r>
      <w:r>
        <w:rPr>
          <w:rStyle w:val="55"/>
          <w:rFonts w:hint="eastAsia" w:ascii="宋体" w:hAnsi="宋体" w:cs="宋体"/>
          <w:b w:val="0"/>
          <w:snapToGrid w:val="0"/>
          <w:color w:val="auto"/>
          <w:kern w:val="0"/>
        </w:rPr>
        <w:t>21、隐蔽工程和中间验收</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_Toc144746882 \h </w:instrText>
      </w:r>
      <w:r>
        <w:rPr>
          <w:rFonts w:hint="eastAsia" w:ascii="宋体" w:hAnsi="宋体" w:cs="宋体"/>
          <w:b w:val="0"/>
        </w:rPr>
        <w:fldChar w:fldCharType="separate"/>
      </w:r>
      <w:r>
        <w:rPr>
          <w:rFonts w:hint="eastAsia" w:ascii="宋体" w:hAnsi="宋体" w:cs="宋体"/>
          <w:b w:val="0"/>
        </w:rPr>
        <w:t>55</w:t>
      </w:r>
      <w:r>
        <w:rPr>
          <w:rFonts w:hint="eastAsia" w:ascii="宋体" w:hAnsi="宋体" w:cs="宋体"/>
          <w:b w:val="0"/>
        </w:rPr>
        <w:fldChar w:fldCharType="end"/>
      </w:r>
      <w:r>
        <w:rPr>
          <w:rFonts w:hint="eastAsia" w:ascii="宋体" w:hAnsi="宋体" w:cs="宋体"/>
          <w:b w:val="0"/>
        </w:rPr>
        <w:fldChar w:fldCharType="end"/>
      </w:r>
    </w:p>
    <w:p w14:paraId="4B6AB5D6">
      <w:pPr>
        <w:pStyle w:val="33"/>
        <w:tabs>
          <w:tab w:val="right" w:leader="dot" w:pos="9628"/>
        </w:tabs>
        <w:rPr>
          <w:rFonts w:ascii="宋体" w:hAnsi="宋体" w:cs="宋体"/>
          <w:b w:val="0"/>
          <w:bCs w:val="0"/>
          <w:caps w:val="0"/>
          <w:sz w:val="21"/>
          <w:szCs w:val="22"/>
        </w:rPr>
      </w:pPr>
      <w:r>
        <w:fldChar w:fldCharType="begin"/>
      </w:r>
      <w:r>
        <w:instrText xml:space="preserve"> HYPERLINK \l "_Toc144746883" </w:instrText>
      </w:r>
      <w:r>
        <w:fldChar w:fldCharType="separate"/>
      </w:r>
      <w:r>
        <w:rPr>
          <w:rStyle w:val="55"/>
          <w:rFonts w:hint="eastAsia" w:ascii="宋体" w:hAnsi="宋体" w:cs="宋体"/>
          <w:b w:val="0"/>
          <w:snapToGrid w:val="0"/>
          <w:color w:val="auto"/>
          <w:kern w:val="0"/>
        </w:rPr>
        <w:t>22、重新检验</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_Toc144746883 \h </w:instrText>
      </w:r>
      <w:r>
        <w:rPr>
          <w:rFonts w:hint="eastAsia" w:ascii="宋体" w:hAnsi="宋体" w:cs="宋体"/>
          <w:b w:val="0"/>
        </w:rPr>
        <w:fldChar w:fldCharType="separate"/>
      </w:r>
      <w:r>
        <w:rPr>
          <w:rFonts w:hint="eastAsia" w:ascii="宋体" w:hAnsi="宋体" w:cs="宋体"/>
          <w:b w:val="0"/>
        </w:rPr>
        <w:t>56</w:t>
      </w:r>
      <w:r>
        <w:rPr>
          <w:rFonts w:hint="eastAsia" w:ascii="宋体" w:hAnsi="宋体" w:cs="宋体"/>
          <w:b w:val="0"/>
        </w:rPr>
        <w:fldChar w:fldCharType="end"/>
      </w:r>
      <w:r>
        <w:rPr>
          <w:rFonts w:hint="eastAsia" w:ascii="宋体" w:hAnsi="宋体" w:cs="宋体"/>
          <w:b w:val="0"/>
        </w:rPr>
        <w:fldChar w:fldCharType="end"/>
      </w:r>
    </w:p>
    <w:p w14:paraId="03319AC6">
      <w:pPr>
        <w:pStyle w:val="33"/>
        <w:tabs>
          <w:tab w:val="right" w:leader="dot" w:pos="9628"/>
        </w:tabs>
        <w:rPr>
          <w:rFonts w:ascii="宋体" w:hAnsi="宋体" w:cs="宋体"/>
          <w:b w:val="0"/>
          <w:bCs w:val="0"/>
          <w:caps w:val="0"/>
          <w:sz w:val="21"/>
          <w:szCs w:val="22"/>
        </w:rPr>
      </w:pPr>
      <w:r>
        <w:fldChar w:fldCharType="begin"/>
      </w:r>
      <w:r>
        <w:instrText xml:space="preserve"> HYPERLINK \l "_Toc144746884" </w:instrText>
      </w:r>
      <w:r>
        <w:fldChar w:fldCharType="separate"/>
      </w:r>
      <w:r>
        <w:rPr>
          <w:rStyle w:val="55"/>
          <w:rFonts w:hint="eastAsia" w:ascii="宋体" w:hAnsi="宋体" w:cs="宋体"/>
          <w:b w:val="0"/>
          <w:snapToGrid w:val="0"/>
          <w:color w:val="auto"/>
          <w:kern w:val="0"/>
        </w:rPr>
        <w:t>23、施工场地的占用和管理</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_Toc144746884 \h </w:instrText>
      </w:r>
      <w:r>
        <w:rPr>
          <w:rFonts w:hint="eastAsia" w:ascii="宋体" w:hAnsi="宋体" w:cs="宋体"/>
          <w:b w:val="0"/>
        </w:rPr>
        <w:fldChar w:fldCharType="separate"/>
      </w:r>
      <w:r>
        <w:rPr>
          <w:rFonts w:hint="eastAsia" w:ascii="宋体" w:hAnsi="宋体" w:cs="宋体"/>
          <w:b w:val="0"/>
        </w:rPr>
        <w:t>56</w:t>
      </w:r>
      <w:r>
        <w:rPr>
          <w:rFonts w:hint="eastAsia" w:ascii="宋体" w:hAnsi="宋体" w:cs="宋体"/>
          <w:b w:val="0"/>
        </w:rPr>
        <w:fldChar w:fldCharType="end"/>
      </w:r>
      <w:r>
        <w:rPr>
          <w:rFonts w:hint="eastAsia" w:ascii="宋体" w:hAnsi="宋体" w:cs="宋体"/>
          <w:b w:val="0"/>
        </w:rPr>
        <w:fldChar w:fldCharType="end"/>
      </w:r>
    </w:p>
    <w:p w14:paraId="3AB4C54A">
      <w:pPr>
        <w:pStyle w:val="33"/>
        <w:tabs>
          <w:tab w:val="right" w:leader="dot" w:pos="9628"/>
        </w:tabs>
        <w:rPr>
          <w:rFonts w:ascii="宋体" w:hAnsi="宋体" w:cs="宋体"/>
          <w:b w:val="0"/>
          <w:bCs w:val="0"/>
          <w:caps w:val="0"/>
          <w:sz w:val="21"/>
          <w:szCs w:val="22"/>
        </w:rPr>
      </w:pPr>
      <w:r>
        <w:fldChar w:fldCharType="begin"/>
      </w:r>
      <w:r>
        <w:instrText xml:space="preserve"> HYPERLINK \l "_Toc144746885" </w:instrText>
      </w:r>
      <w:r>
        <w:fldChar w:fldCharType="separate"/>
      </w:r>
      <w:r>
        <w:rPr>
          <w:rStyle w:val="55"/>
          <w:rFonts w:hint="eastAsia" w:ascii="宋体" w:hAnsi="宋体" w:cs="宋体"/>
          <w:b w:val="0"/>
          <w:snapToGrid w:val="0"/>
          <w:color w:val="auto"/>
          <w:kern w:val="0"/>
        </w:rPr>
        <w:t>24、安全施工与检查</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_Toc144746885 \h </w:instrText>
      </w:r>
      <w:r>
        <w:rPr>
          <w:rFonts w:hint="eastAsia" w:ascii="宋体" w:hAnsi="宋体" w:cs="宋体"/>
          <w:b w:val="0"/>
        </w:rPr>
        <w:fldChar w:fldCharType="separate"/>
      </w:r>
      <w:r>
        <w:rPr>
          <w:rFonts w:hint="eastAsia" w:ascii="宋体" w:hAnsi="宋体" w:cs="宋体"/>
          <w:b w:val="0"/>
        </w:rPr>
        <w:t>57</w:t>
      </w:r>
      <w:r>
        <w:rPr>
          <w:rFonts w:hint="eastAsia" w:ascii="宋体" w:hAnsi="宋体" w:cs="宋体"/>
          <w:b w:val="0"/>
        </w:rPr>
        <w:fldChar w:fldCharType="end"/>
      </w:r>
      <w:r>
        <w:rPr>
          <w:rFonts w:hint="eastAsia" w:ascii="宋体" w:hAnsi="宋体" w:cs="宋体"/>
          <w:b w:val="0"/>
        </w:rPr>
        <w:fldChar w:fldCharType="end"/>
      </w:r>
    </w:p>
    <w:p w14:paraId="296CA0E4">
      <w:pPr>
        <w:pStyle w:val="33"/>
        <w:tabs>
          <w:tab w:val="right" w:leader="dot" w:pos="9628"/>
        </w:tabs>
        <w:rPr>
          <w:rFonts w:ascii="宋体" w:hAnsi="宋体" w:cs="宋体"/>
          <w:b w:val="0"/>
          <w:bCs w:val="0"/>
          <w:caps w:val="0"/>
          <w:sz w:val="21"/>
          <w:szCs w:val="22"/>
        </w:rPr>
      </w:pPr>
      <w:r>
        <w:fldChar w:fldCharType="begin"/>
      </w:r>
      <w:r>
        <w:instrText xml:space="preserve"> HYPERLINK \l "_Toc144746886" </w:instrText>
      </w:r>
      <w:r>
        <w:fldChar w:fldCharType="separate"/>
      </w:r>
      <w:r>
        <w:rPr>
          <w:rStyle w:val="55"/>
          <w:rFonts w:hint="eastAsia" w:ascii="宋体" w:hAnsi="宋体" w:cs="宋体"/>
          <w:b w:val="0"/>
          <w:snapToGrid w:val="0"/>
          <w:color w:val="auto"/>
          <w:kern w:val="0"/>
        </w:rPr>
        <w:t>25、安全防护</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_Toc144746886 \h </w:instrText>
      </w:r>
      <w:r>
        <w:rPr>
          <w:rFonts w:hint="eastAsia" w:ascii="宋体" w:hAnsi="宋体" w:cs="宋体"/>
          <w:b w:val="0"/>
        </w:rPr>
        <w:fldChar w:fldCharType="separate"/>
      </w:r>
      <w:r>
        <w:rPr>
          <w:rFonts w:hint="eastAsia" w:ascii="宋体" w:hAnsi="宋体" w:cs="宋体"/>
          <w:b w:val="0"/>
        </w:rPr>
        <w:t>57</w:t>
      </w:r>
      <w:r>
        <w:rPr>
          <w:rFonts w:hint="eastAsia" w:ascii="宋体" w:hAnsi="宋体" w:cs="宋体"/>
          <w:b w:val="0"/>
        </w:rPr>
        <w:fldChar w:fldCharType="end"/>
      </w:r>
      <w:r>
        <w:rPr>
          <w:rFonts w:hint="eastAsia" w:ascii="宋体" w:hAnsi="宋体" w:cs="宋体"/>
          <w:b w:val="0"/>
        </w:rPr>
        <w:fldChar w:fldCharType="end"/>
      </w:r>
    </w:p>
    <w:p w14:paraId="739C0678">
      <w:pPr>
        <w:pStyle w:val="33"/>
        <w:tabs>
          <w:tab w:val="right" w:leader="dot" w:pos="9628"/>
        </w:tabs>
        <w:rPr>
          <w:rFonts w:ascii="宋体" w:hAnsi="宋体" w:cs="宋体"/>
          <w:b w:val="0"/>
          <w:bCs w:val="0"/>
          <w:caps w:val="0"/>
          <w:sz w:val="21"/>
          <w:szCs w:val="22"/>
        </w:rPr>
      </w:pPr>
      <w:r>
        <w:fldChar w:fldCharType="begin"/>
      </w:r>
      <w:r>
        <w:instrText xml:space="preserve"> HYPERLINK \l "_Toc144746887" </w:instrText>
      </w:r>
      <w:r>
        <w:fldChar w:fldCharType="separate"/>
      </w:r>
      <w:r>
        <w:rPr>
          <w:rStyle w:val="55"/>
          <w:rFonts w:hint="eastAsia" w:ascii="宋体" w:hAnsi="宋体" w:cs="宋体"/>
          <w:b w:val="0"/>
          <w:snapToGrid w:val="0"/>
          <w:color w:val="auto"/>
          <w:kern w:val="0"/>
        </w:rPr>
        <w:t>26、事故处理</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_Toc144746887 \h </w:instrText>
      </w:r>
      <w:r>
        <w:rPr>
          <w:rFonts w:hint="eastAsia" w:ascii="宋体" w:hAnsi="宋体" w:cs="宋体"/>
          <w:b w:val="0"/>
        </w:rPr>
        <w:fldChar w:fldCharType="separate"/>
      </w:r>
      <w:r>
        <w:rPr>
          <w:rFonts w:hint="eastAsia" w:ascii="宋体" w:hAnsi="宋体" w:cs="宋体"/>
          <w:b w:val="0"/>
        </w:rPr>
        <w:t>58</w:t>
      </w:r>
      <w:r>
        <w:rPr>
          <w:rFonts w:hint="eastAsia" w:ascii="宋体" w:hAnsi="宋体" w:cs="宋体"/>
          <w:b w:val="0"/>
        </w:rPr>
        <w:fldChar w:fldCharType="end"/>
      </w:r>
      <w:r>
        <w:rPr>
          <w:rFonts w:hint="eastAsia" w:ascii="宋体" w:hAnsi="宋体" w:cs="宋体"/>
          <w:b w:val="0"/>
        </w:rPr>
        <w:fldChar w:fldCharType="end"/>
      </w:r>
    </w:p>
    <w:p w14:paraId="643615E7">
      <w:pPr>
        <w:pStyle w:val="33"/>
        <w:tabs>
          <w:tab w:val="right" w:leader="dot" w:pos="9628"/>
        </w:tabs>
        <w:rPr>
          <w:rFonts w:ascii="宋体" w:hAnsi="宋体" w:cs="宋体"/>
          <w:b w:val="0"/>
          <w:bCs w:val="0"/>
          <w:caps w:val="0"/>
          <w:sz w:val="21"/>
          <w:szCs w:val="22"/>
        </w:rPr>
      </w:pPr>
      <w:r>
        <w:fldChar w:fldCharType="begin"/>
      </w:r>
      <w:r>
        <w:instrText xml:space="preserve"> HYPERLINK \l "_Toc144746888" </w:instrText>
      </w:r>
      <w:r>
        <w:fldChar w:fldCharType="separate"/>
      </w:r>
      <w:r>
        <w:rPr>
          <w:rStyle w:val="55"/>
          <w:rFonts w:hint="eastAsia" w:ascii="宋体" w:hAnsi="宋体" w:cs="宋体"/>
          <w:b w:val="0"/>
          <w:color w:val="auto"/>
        </w:rPr>
        <w:t>27、文明施工与环境保护</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_Toc144746888 \h </w:instrText>
      </w:r>
      <w:r>
        <w:rPr>
          <w:rFonts w:hint="eastAsia" w:ascii="宋体" w:hAnsi="宋体" w:cs="宋体"/>
          <w:b w:val="0"/>
        </w:rPr>
        <w:fldChar w:fldCharType="separate"/>
      </w:r>
      <w:r>
        <w:rPr>
          <w:rFonts w:hint="eastAsia" w:ascii="宋体" w:hAnsi="宋体" w:cs="宋体"/>
          <w:b w:val="0"/>
        </w:rPr>
        <w:t>59</w:t>
      </w:r>
      <w:r>
        <w:rPr>
          <w:rFonts w:hint="eastAsia" w:ascii="宋体" w:hAnsi="宋体" w:cs="宋体"/>
          <w:b w:val="0"/>
        </w:rPr>
        <w:fldChar w:fldCharType="end"/>
      </w:r>
      <w:r>
        <w:rPr>
          <w:rFonts w:hint="eastAsia" w:ascii="宋体" w:hAnsi="宋体" w:cs="宋体"/>
          <w:b w:val="0"/>
        </w:rPr>
        <w:fldChar w:fldCharType="end"/>
      </w:r>
    </w:p>
    <w:p w14:paraId="77EC75C1">
      <w:pPr>
        <w:pStyle w:val="33"/>
        <w:tabs>
          <w:tab w:val="right" w:leader="dot" w:pos="9628"/>
        </w:tabs>
        <w:rPr>
          <w:rFonts w:ascii="宋体" w:hAnsi="宋体" w:cs="宋体"/>
          <w:b w:val="0"/>
          <w:bCs w:val="0"/>
          <w:caps w:val="0"/>
          <w:sz w:val="21"/>
          <w:szCs w:val="22"/>
        </w:rPr>
      </w:pPr>
      <w:r>
        <w:fldChar w:fldCharType="begin"/>
      </w:r>
      <w:r>
        <w:instrText xml:space="preserve"> HYPERLINK \l "_Toc144746889" </w:instrText>
      </w:r>
      <w:r>
        <w:fldChar w:fldCharType="separate"/>
      </w:r>
      <w:r>
        <w:rPr>
          <w:rStyle w:val="55"/>
          <w:rFonts w:hint="eastAsia" w:ascii="宋体" w:hAnsi="宋体" w:cs="宋体"/>
          <w:b w:val="0"/>
          <w:color w:val="auto"/>
        </w:rPr>
        <w:t>28、合同价款</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_Toc144746889 \h </w:instrText>
      </w:r>
      <w:r>
        <w:rPr>
          <w:rFonts w:hint="eastAsia" w:ascii="宋体" w:hAnsi="宋体" w:cs="宋体"/>
          <w:b w:val="0"/>
        </w:rPr>
        <w:fldChar w:fldCharType="separate"/>
      </w:r>
      <w:r>
        <w:rPr>
          <w:rFonts w:hint="eastAsia" w:ascii="宋体" w:hAnsi="宋体" w:cs="宋体"/>
          <w:b w:val="0"/>
        </w:rPr>
        <w:t>60</w:t>
      </w:r>
      <w:r>
        <w:rPr>
          <w:rFonts w:hint="eastAsia" w:ascii="宋体" w:hAnsi="宋体" w:cs="宋体"/>
          <w:b w:val="0"/>
        </w:rPr>
        <w:fldChar w:fldCharType="end"/>
      </w:r>
      <w:r>
        <w:rPr>
          <w:rFonts w:hint="eastAsia" w:ascii="宋体" w:hAnsi="宋体" w:cs="宋体"/>
          <w:b w:val="0"/>
        </w:rPr>
        <w:fldChar w:fldCharType="end"/>
      </w:r>
    </w:p>
    <w:p w14:paraId="2EAE7CBA">
      <w:pPr>
        <w:pStyle w:val="33"/>
        <w:tabs>
          <w:tab w:val="right" w:leader="dot" w:pos="9628"/>
        </w:tabs>
        <w:rPr>
          <w:rFonts w:ascii="宋体" w:hAnsi="宋体" w:cs="宋体"/>
          <w:b w:val="0"/>
          <w:bCs w:val="0"/>
          <w:caps w:val="0"/>
          <w:sz w:val="21"/>
          <w:szCs w:val="22"/>
        </w:rPr>
      </w:pPr>
      <w:r>
        <w:fldChar w:fldCharType="begin"/>
      </w:r>
      <w:r>
        <w:instrText xml:space="preserve"> HYPERLINK \l "_Toc144746890" </w:instrText>
      </w:r>
      <w:r>
        <w:fldChar w:fldCharType="separate"/>
      </w:r>
      <w:r>
        <w:rPr>
          <w:rStyle w:val="55"/>
          <w:rFonts w:hint="eastAsia" w:ascii="宋体" w:hAnsi="宋体" w:cs="宋体"/>
          <w:b w:val="0"/>
          <w:color w:val="auto"/>
        </w:rPr>
        <w:t>29、预付款</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_Toc144746890 \h </w:instrText>
      </w:r>
      <w:r>
        <w:rPr>
          <w:rFonts w:hint="eastAsia" w:ascii="宋体" w:hAnsi="宋体" w:cs="宋体"/>
          <w:b w:val="0"/>
        </w:rPr>
        <w:fldChar w:fldCharType="separate"/>
      </w:r>
      <w:r>
        <w:rPr>
          <w:rFonts w:hint="eastAsia" w:ascii="宋体" w:hAnsi="宋体" w:cs="宋体"/>
          <w:b w:val="0"/>
        </w:rPr>
        <w:t>65</w:t>
      </w:r>
      <w:r>
        <w:rPr>
          <w:rFonts w:hint="eastAsia" w:ascii="宋体" w:hAnsi="宋体" w:cs="宋体"/>
          <w:b w:val="0"/>
        </w:rPr>
        <w:fldChar w:fldCharType="end"/>
      </w:r>
      <w:r>
        <w:rPr>
          <w:rFonts w:hint="eastAsia" w:ascii="宋体" w:hAnsi="宋体" w:cs="宋体"/>
          <w:b w:val="0"/>
        </w:rPr>
        <w:fldChar w:fldCharType="end"/>
      </w:r>
    </w:p>
    <w:p w14:paraId="1CC32CF8">
      <w:pPr>
        <w:pStyle w:val="33"/>
        <w:tabs>
          <w:tab w:val="right" w:leader="dot" w:pos="9628"/>
        </w:tabs>
        <w:rPr>
          <w:rFonts w:ascii="宋体" w:hAnsi="宋体" w:cs="宋体"/>
          <w:b w:val="0"/>
          <w:bCs w:val="0"/>
          <w:caps w:val="0"/>
          <w:sz w:val="21"/>
          <w:szCs w:val="22"/>
        </w:rPr>
      </w:pPr>
      <w:r>
        <w:fldChar w:fldCharType="begin"/>
      </w:r>
      <w:r>
        <w:instrText xml:space="preserve"> HYPERLINK \l "_Toc144746891" </w:instrText>
      </w:r>
      <w:r>
        <w:fldChar w:fldCharType="separate"/>
      </w:r>
      <w:r>
        <w:rPr>
          <w:rStyle w:val="55"/>
          <w:rFonts w:hint="eastAsia" w:ascii="宋体" w:hAnsi="宋体" w:cs="宋体"/>
          <w:b w:val="0"/>
          <w:color w:val="auto"/>
        </w:rPr>
        <w:t>30、工程进度付款</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_Toc144746891 \h </w:instrText>
      </w:r>
      <w:r>
        <w:rPr>
          <w:rFonts w:hint="eastAsia" w:ascii="宋体" w:hAnsi="宋体" w:cs="宋体"/>
          <w:b w:val="0"/>
        </w:rPr>
        <w:fldChar w:fldCharType="separate"/>
      </w:r>
      <w:r>
        <w:rPr>
          <w:rFonts w:hint="eastAsia" w:ascii="宋体" w:hAnsi="宋体" w:cs="宋体"/>
          <w:b w:val="0"/>
        </w:rPr>
        <w:t>66</w:t>
      </w:r>
      <w:r>
        <w:rPr>
          <w:rFonts w:hint="eastAsia" w:ascii="宋体" w:hAnsi="宋体" w:cs="宋体"/>
          <w:b w:val="0"/>
        </w:rPr>
        <w:fldChar w:fldCharType="end"/>
      </w:r>
      <w:r>
        <w:rPr>
          <w:rFonts w:hint="eastAsia" w:ascii="宋体" w:hAnsi="宋体" w:cs="宋体"/>
          <w:b w:val="0"/>
        </w:rPr>
        <w:fldChar w:fldCharType="end"/>
      </w:r>
    </w:p>
    <w:p w14:paraId="48191908">
      <w:pPr>
        <w:pStyle w:val="33"/>
        <w:tabs>
          <w:tab w:val="right" w:leader="dot" w:pos="9628"/>
        </w:tabs>
        <w:rPr>
          <w:rFonts w:ascii="宋体" w:hAnsi="宋体" w:cs="宋体"/>
          <w:b w:val="0"/>
          <w:bCs w:val="0"/>
          <w:caps w:val="0"/>
          <w:sz w:val="21"/>
          <w:szCs w:val="22"/>
        </w:rPr>
      </w:pPr>
      <w:r>
        <w:fldChar w:fldCharType="begin"/>
      </w:r>
      <w:r>
        <w:instrText xml:space="preserve"> HYPERLINK \l "_Toc144746892" </w:instrText>
      </w:r>
      <w:r>
        <w:fldChar w:fldCharType="separate"/>
      </w:r>
      <w:r>
        <w:rPr>
          <w:rStyle w:val="55"/>
          <w:rFonts w:hint="eastAsia" w:ascii="宋体" w:hAnsi="宋体" w:cs="宋体"/>
          <w:b w:val="0"/>
          <w:color w:val="auto"/>
        </w:rPr>
        <w:t>31、合同价款调整</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_Toc144746892 \h </w:instrText>
      </w:r>
      <w:r>
        <w:rPr>
          <w:rFonts w:hint="eastAsia" w:ascii="宋体" w:hAnsi="宋体" w:cs="宋体"/>
          <w:b w:val="0"/>
        </w:rPr>
        <w:fldChar w:fldCharType="separate"/>
      </w:r>
      <w:r>
        <w:rPr>
          <w:rFonts w:hint="eastAsia" w:ascii="宋体" w:hAnsi="宋体" w:cs="宋体"/>
          <w:b w:val="0"/>
        </w:rPr>
        <w:t>71</w:t>
      </w:r>
      <w:r>
        <w:rPr>
          <w:rFonts w:hint="eastAsia" w:ascii="宋体" w:hAnsi="宋体" w:cs="宋体"/>
          <w:b w:val="0"/>
        </w:rPr>
        <w:fldChar w:fldCharType="end"/>
      </w:r>
      <w:r>
        <w:rPr>
          <w:rFonts w:hint="eastAsia" w:ascii="宋体" w:hAnsi="宋体" w:cs="宋体"/>
          <w:b w:val="0"/>
        </w:rPr>
        <w:fldChar w:fldCharType="end"/>
      </w:r>
    </w:p>
    <w:p w14:paraId="7A0EB2EE">
      <w:pPr>
        <w:pStyle w:val="33"/>
        <w:tabs>
          <w:tab w:val="right" w:leader="dot" w:pos="9628"/>
        </w:tabs>
        <w:rPr>
          <w:rFonts w:ascii="宋体" w:hAnsi="宋体" w:cs="宋体"/>
          <w:b w:val="0"/>
          <w:bCs w:val="0"/>
          <w:caps w:val="0"/>
          <w:sz w:val="21"/>
          <w:szCs w:val="22"/>
        </w:rPr>
      </w:pPr>
      <w:r>
        <w:fldChar w:fldCharType="begin"/>
      </w:r>
      <w:r>
        <w:instrText xml:space="preserve"> HYPERLINK \l "_Toc144746893" </w:instrText>
      </w:r>
      <w:r>
        <w:fldChar w:fldCharType="separate"/>
      </w:r>
      <w:r>
        <w:rPr>
          <w:rStyle w:val="55"/>
          <w:rFonts w:hint="eastAsia" w:ascii="宋体" w:hAnsi="宋体" w:cs="宋体"/>
          <w:b w:val="0"/>
          <w:color w:val="auto"/>
        </w:rPr>
        <w:t>32、工程量的确认</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_Toc144746893 \h </w:instrText>
      </w:r>
      <w:r>
        <w:rPr>
          <w:rFonts w:hint="eastAsia" w:ascii="宋体" w:hAnsi="宋体" w:cs="宋体"/>
          <w:b w:val="0"/>
        </w:rPr>
        <w:fldChar w:fldCharType="separate"/>
      </w:r>
      <w:r>
        <w:rPr>
          <w:rFonts w:hint="eastAsia" w:ascii="宋体" w:hAnsi="宋体" w:cs="宋体"/>
          <w:b w:val="0"/>
        </w:rPr>
        <w:t>71</w:t>
      </w:r>
      <w:r>
        <w:rPr>
          <w:rFonts w:hint="eastAsia" w:ascii="宋体" w:hAnsi="宋体" w:cs="宋体"/>
          <w:b w:val="0"/>
        </w:rPr>
        <w:fldChar w:fldCharType="end"/>
      </w:r>
      <w:r>
        <w:rPr>
          <w:rFonts w:hint="eastAsia" w:ascii="宋体" w:hAnsi="宋体" w:cs="宋体"/>
          <w:b w:val="0"/>
        </w:rPr>
        <w:fldChar w:fldCharType="end"/>
      </w:r>
    </w:p>
    <w:p w14:paraId="0A5F7844">
      <w:pPr>
        <w:pStyle w:val="33"/>
        <w:tabs>
          <w:tab w:val="right" w:leader="dot" w:pos="9628"/>
        </w:tabs>
        <w:rPr>
          <w:rFonts w:ascii="宋体" w:hAnsi="宋体" w:cs="宋体"/>
          <w:b w:val="0"/>
          <w:bCs w:val="0"/>
          <w:caps w:val="0"/>
          <w:sz w:val="21"/>
          <w:szCs w:val="22"/>
        </w:rPr>
      </w:pPr>
      <w:r>
        <w:fldChar w:fldCharType="begin"/>
      </w:r>
      <w:r>
        <w:instrText xml:space="preserve"> HYPERLINK \l "_Toc144746894" </w:instrText>
      </w:r>
      <w:r>
        <w:fldChar w:fldCharType="separate"/>
      </w:r>
      <w:r>
        <w:rPr>
          <w:rStyle w:val="55"/>
          <w:rFonts w:hint="eastAsia" w:ascii="宋体" w:hAnsi="宋体" w:cs="宋体"/>
          <w:b w:val="0"/>
          <w:color w:val="auto"/>
        </w:rPr>
        <w:t>33、承包人采购材料设备</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_Toc144746894 \h </w:instrText>
      </w:r>
      <w:r>
        <w:rPr>
          <w:rFonts w:hint="eastAsia" w:ascii="宋体" w:hAnsi="宋体" w:cs="宋体"/>
          <w:b w:val="0"/>
        </w:rPr>
        <w:fldChar w:fldCharType="separate"/>
      </w:r>
      <w:r>
        <w:rPr>
          <w:rFonts w:hint="eastAsia" w:ascii="宋体" w:hAnsi="宋体" w:cs="宋体"/>
          <w:b w:val="0"/>
        </w:rPr>
        <w:t>72</w:t>
      </w:r>
      <w:r>
        <w:rPr>
          <w:rFonts w:hint="eastAsia" w:ascii="宋体" w:hAnsi="宋体" w:cs="宋体"/>
          <w:b w:val="0"/>
        </w:rPr>
        <w:fldChar w:fldCharType="end"/>
      </w:r>
      <w:r>
        <w:rPr>
          <w:rFonts w:hint="eastAsia" w:ascii="宋体" w:hAnsi="宋体" w:cs="宋体"/>
          <w:b w:val="0"/>
        </w:rPr>
        <w:fldChar w:fldCharType="end"/>
      </w:r>
    </w:p>
    <w:p w14:paraId="1B2B3BE6">
      <w:pPr>
        <w:pStyle w:val="33"/>
        <w:tabs>
          <w:tab w:val="right" w:leader="dot" w:pos="9628"/>
        </w:tabs>
        <w:rPr>
          <w:rFonts w:ascii="宋体" w:hAnsi="宋体" w:cs="宋体"/>
          <w:b w:val="0"/>
          <w:bCs w:val="0"/>
          <w:caps w:val="0"/>
          <w:sz w:val="21"/>
          <w:szCs w:val="22"/>
        </w:rPr>
      </w:pPr>
      <w:r>
        <w:fldChar w:fldCharType="begin"/>
      </w:r>
      <w:r>
        <w:instrText xml:space="preserve"> HYPERLINK \l "_Toc144746895" </w:instrText>
      </w:r>
      <w:r>
        <w:fldChar w:fldCharType="separate"/>
      </w:r>
      <w:r>
        <w:rPr>
          <w:rStyle w:val="55"/>
          <w:rFonts w:hint="eastAsia" w:ascii="宋体" w:hAnsi="宋体" w:cs="宋体"/>
          <w:b w:val="0"/>
          <w:color w:val="auto"/>
        </w:rPr>
        <w:t>34、工程设计变更</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_Toc144746895 \h </w:instrText>
      </w:r>
      <w:r>
        <w:rPr>
          <w:rFonts w:hint="eastAsia" w:ascii="宋体" w:hAnsi="宋体" w:cs="宋体"/>
          <w:b w:val="0"/>
        </w:rPr>
        <w:fldChar w:fldCharType="separate"/>
      </w:r>
      <w:r>
        <w:rPr>
          <w:rFonts w:hint="eastAsia" w:ascii="宋体" w:hAnsi="宋体" w:cs="宋体"/>
          <w:b w:val="0"/>
        </w:rPr>
        <w:t>73</w:t>
      </w:r>
      <w:r>
        <w:rPr>
          <w:rFonts w:hint="eastAsia" w:ascii="宋体" w:hAnsi="宋体" w:cs="宋体"/>
          <w:b w:val="0"/>
        </w:rPr>
        <w:fldChar w:fldCharType="end"/>
      </w:r>
      <w:r>
        <w:rPr>
          <w:rFonts w:hint="eastAsia" w:ascii="宋体" w:hAnsi="宋体" w:cs="宋体"/>
          <w:b w:val="0"/>
        </w:rPr>
        <w:fldChar w:fldCharType="end"/>
      </w:r>
    </w:p>
    <w:p w14:paraId="366CD6C7">
      <w:pPr>
        <w:pStyle w:val="33"/>
        <w:tabs>
          <w:tab w:val="right" w:leader="dot" w:pos="9628"/>
        </w:tabs>
        <w:rPr>
          <w:rFonts w:ascii="宋体" w:hAnsi="宋体" w:cs="宋体"/>
          <w:b w:val="0"/>
          <w:bCs w:val="0"/>
          <w:caps w:val="0"/>
          <w:sz w:val="21"/>
          <w:szCs w:val="22"/>
        </w:rPr>
      </w:pPr>
      <w:r>
        <w:fldChar w:fldCharType="begin"/>
      </w:r>
      <w:r>
        <w:instrText xml:space="preserve"> HYPERLINK \l "_Toc144746896" </w:instrText>
      </w:r>
      <w:r>
        <w:fldChar w:fldCharType="separate"/>
      </w:r>
      <w:r>
        <w:rPr>
          <w:rStyle w:val="55"/>
          <w:rFonts w:hint="eastAsia" w:ascii="宋体" w:hAnsi="宋体" w:cs="宋体"/>
          <w:b w:val="0"/>
          <w:color w:val="auto"/>
        </w:rPr>
        <w:t>35、其它变更</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_Toc144746896 \h </w:instrText>
      </w:r>
      <w:r>
        <w:rPr>
          <w:rFonts w:hint="eastAsia" w:ascii="宋体" w:hAnsi="宋体" w:cs="宋体"/>
          <w:b w:val="0"/>
        </w:rPr>
        <w:fldChar w:fldCharType="separate"/>
      </w:r>
      <w:r>
        <w:rPr>
          <w:rFonts w:hint="eastAsia" w:ascii="宋体" w:hAnsi="宋体" w:cs="宋体"/>
          <w:b w:val="0"/>
        </w:rPr>
        <w:t>74</w:t>
      </w:r>
      <w:r>
        <w:rPr>
          <w:rFonts w:hint="eastAsia" w:ascii="宋体" w:hAnsi="宋体" w:cs="宋体"/>
          <w:b w:val="0"/>
        </w:rPr>
        <w:fldChar w:fldCharType="end"/>
      </w:r>
      <w:r>
        <w:rPr>
          <w:rFonts w:hint="eastAsia" w:ascii="宋体" w:hAnsi="宋体" w:cs="宋体"/>
          <w:b w:val="0"/>
        </w:rPr>
        <w:fldChar w:fldCharType="end"/>
      </w:r>
    </w:p>
    <w:p w14:paraId="339E92A9">
      <w:pPr>
        <w:pStyle w:val="33"/>
        <w:tabs>
          <w:tab w:val="right" w:leader="dot" w:pos="9628"/>
        </w:tabs>
        <w:rPr>
          <w:rFonts w:ascii="宋体" w:hAnsi="宋体" w:cs="宋体"/>
          <w:b w:val="0"/>
          <w:bCs w:val="0"/>
          <w:caps w:val="0"/>
          <w:sz w:val="21"/>
          <w:szCs w:val="22"/>
        </w:rPr>
      </w:pPr>
      <w:r>
        <w:fldChar w:fldCharType="begin"/>
      </w:r>
      <w:r>
        <w:instrText xml:space="preserve"> HYPERLINK \l "_Toc144746897" </w:instrText>
      </w:r>
      <w:r>
        <w:fldChar w:fldCharType="separate"/>
      </w:r>
      <w:r>
        <w:rPr>
          <w:rStyle w:val="55"/>
          <w:rFonts w:hint="eastAsia" w:ascii="宋体" w:hAnsi="宋体" w:cs="宋体"/>
          <w:b w:val="0"/>
          <w:color w:val="auto"/>
        </w:rPr>
        <w:t>36、确定变更价款</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_Toc144746897 \h </w:instrText>
      </w:r>
      <w:r>
        <w:rPr>
          <w:rFonts w:hint="eastAsia" w:ascii="宋体" w:hAnsi="宋体" w:cs="宋体"/>
          <w:b w:val="0"/>
        </w:rPr>
        <w:fldChar w:fldCharType="separate"/>
      </w:r>
      <w:r>
        <w:rPr>
          <w:rFonts w:hint="eastAsia" w:ascii="宋体" w:hAnsi="宋体" w:cs="宋体"/>
          <w:b w:val="0"/>
        </w:rPr>
        <w:t>74</w:t>
      </w:r>
      <w:r>
        <w:rPr>
          <w:rFonts w:hint="eastAsia" w:ascii="宋体" w:hAnsi="宋体" w:cs="宋体"/>
          <w:b w:val="0"/>
        </w:rPr>
        <w:fldChar w:fldCharType="end"/>
      </w:r>
      <w:r>
        <w:rPr>
          <w:rFonts w:hint="eastAsia" w:ascii="宋体" w:hAnsi="宋体" w:cs="宋体"/>
          <w:b w:val="0"/>
        </w:rPr>
        <w:fldChar w:fldCharType="end"/>
      </w:r>
    </w:p>
    <w:p w14:paraId="1DCA60FB">
      <w:pPr>
        <w:pStyle w:val="33"/>
        <w:tabs>
          <w:tab w:val="right" w:leader="dot" w:pos="9628"/>
        </w:tabs>
        <w:rPr>
          <w:rFonts w:ascii="宋体" w:hAnsi="宋体" w:cs="宋体"/>
          <w:b w:val="0"/>
          <w:bCs w:val="0"/>
          <w:caps w:val="0"/>
          <w:sz w:val="21"/>
          <w:szCs w:val="22"/>
        </w:rPr>
      </w:pPr>
      <w:r>
        <w:fldChar w:fldCharType="begin"/>
      </w:r>
      <w:r>
        <w:instrText xml:space="preserve"> HYPERLINK \l "_Toc144746898" </w:instrText>
      </w:r>
      <w:r>
        <w:fldChar w:fldCharType="separate"/>
      </w:r>
      <w:r>
        <w:rPr>
          <w:rStyle w:val="55"/>
          <w:rFonts w:hint="eastAsia" w:ascii="宋体" w:hAnsi="宋体" w:cs="宋体"/>
          <w:b w:val="0"/>
          <w:color w:val="auto"/>
        </w:rPr>
        <w:t>37、竣工验收</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_Toc144746898 \h </w:instrText>
      </w:r>
      <w:r>
        <w:rPr>
          <w:rFonts w:hint="eastAsia" w:ascii="宋体" w:hAnsi="宋体" w:cs="宋体"/>
          <w:b w:val="0"/>
        </w:rPr>
        <w:fldChar w:fldCharType="separate"/>
      </w:r>
      <w:r>
        <w:rPr>
          <w:rFonts w:hint="eastAsia" w:ascii="宋体" w:hAnsi="宋体" w:cs="宋体"/>
          <w:b w:val="0"/>
        </w:rPr>
        <w:t>75</w:t>
      </w:r>
      <w:r>
        <w:rPr>
          <w:rFonts w:hint="eastAsia" w:ascii="宋体" w:hAnsi="宋体" w:cs="宋体"/>
          <w:b w:val="0"/>
        </w:rPr>
        <w:fldChar w:fldCharType="end"/>
      </w:r>
      <w:r>
        <w:rPr>
          <w:rFonts w:hint="eastAsia" w:ascii="宋体" w:hAnsi="宋体" w:cs="宋体"/>
          <w:b w:val="0"/>
        </w:rPr>
        <w:fldChar w:fldCharType="end"/>
      </w:r>
    </w:p>
    <w:p w14:paraId="6559B9AF">
      <w:pPr>
        <w:pStyle w:val="33"/>
        <w:tabs>
          <w:tab w:val="right" w:leader="dot" w:pos="9628"/>
        </w:tabs>
        <w:rPr>
          <w:rFonts w:ascii="宋体" w:hAnsi="宋体" w:cs="宋体"/>
          <w:b w:val="0"/>
          <w:bCs w:val="0"/>
          <w:caps w:val="0"/>
          <w:sz w:val="21"/>
          <w:szCs w:val="22"/>
        </w:rPr>
      </w:pPr>
      <w:r>
        <w:fldChar w:fldCharType="begin"/>
      </w:r>
      <w:r>
        <w:instrText xml:space="preserve"> HYPERLINK \l "_Toc144746899" </w:instrText>
      </w:r>
      <w:r>
        <w:fldChar w:fldCharType="separate"/>
      </w:r>
      <w:r>
        <w:rPr>
          <w:rStyle w:val="55"/>
          <w:rFonts w:hint="eastAsia" w:ascii="宋体" w:hAnsi="宋体" w:cs="宋体"/>
          <w:b w:val="0"/>
          <w:color w:val="auto"/>
        </w:rPr>
        <w:t>38、工程移交</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_Toc144746899 \h </w:instrText>
      </w:r>
      <w:r>
        <w:rPr>
          <w:rFonts w:hint="eastAsia" w:ascii="宋体" w:hAnsi="宋体" w:cs="宋体"/>
          <w:b w:val="0"/>
        </w:rPr>
        <w:fldChar w:fldCharType="separate"/>
      </w:r>
      <w:r>
        <w:rPr>
          <w:rFonts w:hint="eastAsia" w:ascii="宋体" w:hAnsi="宋体" w:cs="宋体"/>
          <w:b w:val="0"/>
        </w:rPr>
        <w:t>77</w:t>
      </w:r>
      <w:r>
        <w:rPr>
          <w:rFonts w:hint="eastAsia" w:ascii="宋体" w:hAnsi="宋体" w:cs="宋体"/>
          <w:b w:val="0"/>
        </w:rPr>
        <w:fldChar w:fldCharType="end"/>
      </w:r>
      <w:r>
        <w:rPr>
          <w:rFonts w:hint="eastAsia" w:ascii="宋体" w:hAnsi="宋体" w:cs="宋体"/>
          <w:b w:val="0"/>
        </w:rPr>
        <w:fldChar w:fldCharType="end"/>
      </w:r>
    </w:p>
    <w:p w14:paraId="7E7EF50F">
      <w:pPr>
        <w:pStyle w:val="33"/>
        <w:tabs>
          <w:tab w:val="right" w:leader="dot" w:pos="9628"/>
        </w:tabs>
        <w:rPr>
          <w:rFonts w:ascii="宋体" w:hAnsi="宋体" w:cs="宋体"/>
          <w:b w:val="0"/>
          <w:bCs w:val="0"/>
          <w:caps w:val="0"/>
          <w:sz w:val="21"/>
          <w:szCs w:val="22"/>
        </w:rPr>
      </w:pPr>
      <w:r>
        <w:fldChar w:fldCharType="begin"/>
      </w:r>
      <w:r>
        <w:instrText xml:space="preserve"> HYPERLINK \l "_Toc144746900" </w:instrText>
      </w:r>
      <w:r>
        <w:fldChar w:fldCharType="separate"/>
      </w:r>
      <w:r>
        <w:rPr>
          <w:rStyle w:val="55"/>
          <w:rFonts w:hint="eastAsia" w:ascii="宋体" w:hAnsi="宋体" w:cs="宋体"/>
          <w:b w:val="0"/>
          <w:color w:val="auto"/>
        </w:rPr>
        <w:t>39、竣工结算</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_Toc144746900 \h </w:instrText>
      </w:r>
      <w:r>
        <w:rPr>
          <w:rFonts w:hint="eastAsia" w:ascii="宋体" w:hAnsi="宋体" w:cs="宋体"/>
          <w:b w:val="0"/>
        </w:rPr>
        <w:fldChar w:fldCharType="separate"/>
      </w:r>
      <w:r>
        <w:rPr>
          <w:rFonts w:hint="eastAsia" w:ascii="宋体" w:hAnsi="宋体" w:cs="宋体"/>
          <w:b w:val="0"/>
        </w:rPr>
        <w:t>79</w:t>
      </w:r>
      <w:r>
        <w:rPr>
          <w:rFonts w:hint="eastAsia" w:ascii="宋体" w:hAnsi="宋体" w:cs="宋体"/>
          <w:b w:val="0"/>
        </w:rPr>
        <w:fldChar w:fldCharType="end"/>
      </w:r>
      <w:r>
        <w:rPr>
          <w:rFonts w:hint="eastAsia" w:ascii="宋体" w:hAnsi="宋体" w:cs="宋体"/>
          <w:b w:val="0"/>
        </w:rPr>
        <w:fldChar w:fldCharType="end"/>
      </w:r>
    </w:p>
    <w:p w14:paraId="4FF27BE7">
      <w:pPr>
        <w:pStyle w:val="33"/>
        <w:tabs>
          <w:tab w:val="right" w:leader="dot" w:pos="9628"/>
        </w:tabs>
        <w:rPr>
          <w:rFonts w:ascii="宋体" w:hAnsi="宋体" w:cs="宋体"/>
          <w:b w:val="0"/>
          <w:bCs w:val="0"/>
          <w:caps w:val="0"/>
          <w:sz w:val="21"/>
          <w:szCs w:val="22"/>
        </w:rPr>
      </w:pPr>
      <w:r>
        <w:fldChar w:fldCharType="begin"/>
      </w:r>
      <w:r>
        <w:instrText xml:space="preserve"> HYPERLINK \l "_Toc144746901" </w:instrText>
      </w:r>
      <w:r>
        <w:fldChar w:fldCharType="separate"/>
      </w:r>
      <w:r>
        <w:rPr>
          <w:rStyle w:val="55"/>
          <w:rFonts w:hint="eastAsia" w:ascii="宋体" w:hAnsi="宋体" w:cs="宋体"/>
          <w:b w:val="0"/>
          <w:color w:val="auto"/>
        </w:rPr>
        <w:t>40、缺陷责任及质量保修</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_Toc144746901 \h </w:instrText>
      </w:r>
      <w:r>
        <w:rPr>
          <w:rFonts w:hint="eastAsia" w:ascii="宋体" w:hAnsi="宋体" w:cs="宋体"/>
          <w:b w:val="0"/>
        </w:rPr>
        <w:fldChar w:fldCharType="separate"/>
      </w:r>
      <w:r>
        <w:rPr>
          <w:rFonts w:hint="eastAsia" w:ascii="宋体" w:hAnsi="宋体" w:cs="宋体"/>
          <w:b w:val="0"/>
        </w:rPr>
        <w:t>83</w:t>
      </w:r>
      <w:r>
        <w:rPr>
          <w:rFonts w:hint="eastAsia" w:ascii="宋体" w:hAnsi="宋体" w:cs="宋体"/>
          <w:b w:val="0"/>
        </w:rPr>
        <w:fldChar w:fldCharType="end"/>
      </w:r>
      <w:r>
        <w:rPr>
          <w:rFonts w:hint="eastAsia" w:ascii="宋体" w:hAnsi="宋体" w:cs="宋体"/>
          <w:b w:val="0"/>
        </w:rPr>
        <w:fldChar w:fldCharType="end"/>
      </w:r>
    </w:p>
    <w:p w14:paraId="722D4326">
      <w:pPr>
        <w:pStyle w:val="33"/>
        <w:tabs>
          <w:tab w:val="right" w:leader="dot" w:pos="9628"/>
        </w:tabs>
        <w:rPr>
          <w:rFonts w:ascii="宋体" w:hAnsi="宋体" w:cs="宋体"/>
          <w:b w:val="0"/>
          <w:bCs w:val="0"/>
          <w:caps w:val="0"/>
          <w:sz w:val="21"/>
          <w:szCs w:val="22"/>
        </w:rPr>
      </w:pPr>
      <w:r>
        <w:fldChar w:fldCharType="begin"/>
      </w:r>
      <w:r>
        <w:instrText xml:space="preserve"> HYPERLINK \l "_Toc144746902" </w:instrText>
      </w:r>
      <w:r>
        <w:fldChar w:fldCharType="separate"/>
      </w:r>
      <w:r>
        <w:rPr>
          <w:rStyle w:val="55"/>
          <w:rFonts w:hint="eastAsia" w:ascii="宋体" w:hAnsi="宋体" w:cs="宋体"/>
          <w:b w:val="0"/>
          <w:color w:val="auto"/>
        </w:rPr>
        <w:t>41、违约</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_Toc144746902 \h </w:instrText>
      </w:r>
      <w:r>
        <w:rPr>
          <w:rFonts w:hint="eastAsia" w:ascii="宋体" w:hAnsi="宋体" w:cs="宋体"/>
          <w:b w:val="0"/>
        </w:rPr>
        <w:fldChar w:fldCharType="separate"/>
      </w:r>
      <w:r>
        <w:rPr>
          <w:rFonts w:hint="eastAsia" w:ascii="宋体" w:hAnsi="宋体" w:cs="宋体"/>
          <w:b w:val="0"/>
        </w:rPr>
        <w:t>84</w:t>
      </w:r>
      <w:r>
        <w:rPr>
          <w:rFonts w:hint="eastAsia" w:ascii="宋体" w:hAnsi="宋体" w:cs="宋体"/>
          <w:b w:val="0"/>
        </w:rPr>
        <w:fldChar w:fldCharType="end"/>
      </w:r>
      <w:r>
        <w:rPr>
          <w:rFonts w:hint="eastAsia" w:ascii="宋体" w:hAnsi="宋体" w:cs="宋体"/>
          <w:b w:val="0"/>
        </w:rPr>
        <w:fldChar w:fldCharType="end"/>
      </w:r>
    </w:p>
    <w:p w14:paraId="3B29AF33">
      <w:pPr>
        <w:pStyle w:val="33"/>
        <w:tabs>
          <w:tab w:val="right" w:leader="dot" w:pos="9628"/>
        </w:tabs>
        <w:rPr>
          <w:rFonts w:ascii="宋体" w:hAnsi="宋体" w:cs="宋体"/>
          <w:b w:val="0"/>
          <w:bCs w:val="0"/>
          <w:caps w:val="0"/>
          <w:sz w:val="21"/>
          <w:szCs w:val="22"/>
        </w:rPr>
      </w:pPr>
      <w:r>
        <w:fldChar w:fldCharType="begin"/>
      </w:r>
      <w:r>
        <w:instrText xml:space="preserve"> HYPERLINK \l "_Toc144746903" </w:instrText>
      </w:r>
      <w:r>
        <w:fldChar w:fldCharType="separate"/>
      </w:r>
      <w:r>
        <w:rPr>
          <w:rStyle w:val="55"/>
          <w:rFonts w:hint="eastAsia" w:ascii="宋体" w:hAnsi="宋体" w:cs="宋体"/>
          <w:b w:val="0"/>
          <w:snapToGrid w:val="0"/>
          <w:color w:val="auto"/>
          <w:kern w:val="0"/>
        </w:rPr>
        <w:t>42、索赔</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_Toc144746903 \h </w:instrText>
      </w:r>
      <w:r>
        <w:rPr>
          <w:rFonts w:hint="eastAsia" w:ascii="宋体" w:hAnsi="宋体" w:cs="宋体"/>
          <w:b w:val="0"/>
        </w:rPr>
        <w:fldChar w:fldCharType="separate"/>
      </w:r>
      <w:r>
        <w:rPr>
          <w:rFonts w:hint="eastAsia" w:ascii="宋体" w:hAnsi="宋体" w:cs="宋体"/>
          <w:b w:val="0"/>
        </w:rPr>
        <w:t>94</w:t>
      </w:r>
      <w:r>
        <w:rPr>
          <w:rFonts w:hint="eastAsia" w:ascii="宋体" w:hAnsi="宋体" w:cs="宋体"/>
          <w:b w:val="0"/>
        </w:rPr>
        <w:fldChar w:fldCharType="end"/>
      </w:r>
      <w:r>
        <w:rPr>
          <w:rFonts w:hint="eastAsia" w:ascii="宋体" w:hAnsi="宋体" w:cs="宋体"/>
          <w:b w:val="0"/>
        </w:rPr>
        <w:fldChar w:fldCharType="end"/>
      </w:r>
    </w:p>
    <w:p w14:paraId="7791266D">
      <w:pPr>
        <w:pStyle w:val="33"/>
        <w:tabs>
          <w:tab w:val="right" w:leader="dot" w:pos="9628"/>
        </w:tabs>
        <w:rPr>
          <w:rFonts w:ascii="宋体" w:hAnsi="宋体" w:cs="宋体"/>
          <w:b w:val="0"/>
          <w:bCs w:val="0"/>
          <w:caps w:val="0"/>
          <w:sz w:val="21"/>
          <w:szCs w:val="22"/>
        </w:rPr>
      </w:pPr>
      <w:r>
        <w:fldChar w:fldCharType="begin"/>
      </w:r>
      <w:r>
        <w:instrText xml:space="preserve"> HYPERLINK \l "_Toc144746904" </w:instrText>
      </w:r>
      <w:r>
        <w:fldChar w:fldCharType="separate"/>
      </w:r>
      <w:r>
        <w:rPr>
          <w:rStyle w:val="55"/>
          <w:rFonts w:hint="eastAsia" w:ascii="宋体" w:hAnsi="宋体" w:cs="宋体"/>
          <w:b w:val="0"/>
          <w:snapToGrid w:val="0"/>
          <w:color w:val="auto"/>
          <w:kern w:val="0"/>
        </w:rPr>
        <w:t>43、争议</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_Toc144746904 \h </w:instrText>
      </w:r>
      <w:r>
        <w:rPr>
          <w:rFonts w:hint="eastAsia" w:ascii="宋体" w:hAnsi="宋体" w:cs="宋体"/>
          <w:b w:val="0"/>
        </w:rPr>
        <w:fldChar w:fldCharType="separate"/>
      </w:r>
      <w:r>
        <w:rPr>
          <w:rFonts w:hint="eastAsia" w:ascii="宋体" w:hAnsi="宋体" w:cs="宋体"/>
          <w:b w:val="0"/>
        </w:rPr>
        <w:t>95</w:t>
      </w:r>
      <w:r>
        <w:rPr>
          <w:rFonts w:hint="eastAsia" w:ascii="宋体" w:hAnsi="宋体" w:cs="宋体"/>
          <w:b w:val="0"/>
        </w:rPr>
        <w:fldChar w:fldCharType="end"/>
      </w:r>
      <w:r>
        <w:rPr>
          <w:rFonts w:hint="eastAsia" w:ascii="宋体" w:hAnsi="宋体" w:cs="宋体"/>
          <w:b w:val="0"/>
        </w:rPr>
        <w:fldChar w:fldCharType="end"/>
      </w:r>
    </w:p>
    <w:p w14:paraId="18338E1D">
      <w:pPr>
        <w:pStyle w:val="33"/>
        <w:tabs>
          <w:tab w:val="right" w:leader="dot" w:pos="9628"/>
        </w:tabs>
        <w:rPr>
          <w:rFonts w:ascii="宋体" w:hAnsi="宋体" w:cs="宋体"/>
          <w:b w:val="0"/>
          <w:bCs w:val="0"/>
          <w:caps w:val="0"/>
          <w:sz w:val="21"/>
          <w:szCs w:val="22"/>
        </w:rPr>
      </w:pPr>
      <w:r>
        <w:fldChar w:fldCharType="begin"/>
      </w:r>
      <w:r>
        <w:instrText xml:space="preserve"> HYPERLINK \l "_Toc144746905" </w:instrText>
      </w:r>
      <w:r>
        <w:fldChar w:fldCharType="separate"/>
      </w:r>
      <w:r>
        <w:rPr>
          <w:rStyle w:val="55"/>
          <w:rFonts w:hint="eastAsia" w:ascii="宋体" w:hAnsi="宋体" w:cs="宋体"/>
          <w:b w:val="0"/>
          <w:snapToGrid w:val="0"/>
          <w:color w:val="auto"/>
          <w:kern w:val="0"/>
        </w:rPr>
        <w:t>44、工程分包</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_Toc144746905 \h </w:instrText>
      </w:r>
      <w:r>
        <w:rPr>
          <w:rFonts w:hint="eastAsia" w:ascii="宋体" w:hAnsi="宋体" w:cs="宋体"/>
          <w:b w:val="0"/>
        </w:rPr>
        <w:fldChar w:fldCharType="separate"/>
      </w:r>
      <w:r>
        <w:rPr>
          <w:rFonts w:hint="eastAsia" w:ascii="宋体" w:hAnsi="宋体" w:cs="宋体"/>
          <w:b w:val="0"/>
        </w:rPr>
        <w:t>95</w:t>
      </w:r>
      <w:r>
        <w:rPr>
          <w:rFonts w:hint="eastAsia" w:ascii="宋体" w:hAnsi="宋体" w:cs="宋体"/>
          <w:b w:val="0"/>
        </w:rPr>
        <w:fldChar w:fldCharType="end"/>
      </w:r>
      <w:r>
        <w:rPr>
          <w:rFonts w:hint="eastAsia" w:ascii="宋体" w:hAnsi="宋体" w:cs="宋体"/>
          <w:b w:val="0"/>
        </w:rPr>
        <w:fldChar w:fldCharType="end"/>
      </w:r>
    </w:p>
    <w:p w14:paraId="6F1D90D1">
      <w:pPr>
        <w:pStyle w:val="33"/>
        <w:tabs>
          <w:tab w:val="right" w:leader="dot" w:pos="9628"/>
        </w:tabs>
        <w:rPr>
          <w:rFonts w:ascii="宋体" w:hAnsi="宋体" w:cs="宋体"/>
          <w:b w:val="0"/>
          <w:bCs w:val="0"/>
          <w:caps w:val="0"/>
          <w:sz w:val="21"/>
          <w:szCs w:val="22"/>
        </w:rPr>
      </w:pPr>
      <w:r>
        <w:fldChar w:fldCharType="begin"/>
      </w:r>
      <w:r>
        <w:instrText xml:space="preserve"> HYPERLINK \l "_Toc144746906" </w:instrText>
      </w:r>
      <w:r>
        <w:fldChar w:fldCharType="separate"/>
      </w:r>
      <w:r>
        <w:rPr>
          <w:rStyle w:val="55"/>
          <w:rFonts w:hint="eastAsia" w:ascii="宋体" w:hAnsi="宋体" w:cs="宋体"/>
          <w:b w:val="0"/>
          <w:snapToGrid w:val="0"/>
          <w:color w:val="auto"/>
          <w:kern w:val="0"/>
        </w:rPr>
        <w:t>45、不可抗力</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_Toc144746906 \h </w:instrText>
      </w:r>
      <w:r>
        <w:rPr>
          <w:rFonts w:hint="eastAsia" w:ascii="宋体" w:hAnsi="宋体" w:cs="宋体"/>
          <w:b w:val="0"/>
        </w:rPr>
        <w:fldChar w:fldCharType="separate"/>
      </w:r>
      <w:r>
        <w:rPr>
          <w:rFonts w:hint="eastAsia" w:ascii="宋体" w:hAnsi="宋体" w:cs="宋体"/>
          <w:b w:val="0"/>
        </w:rPr>
        <w:t>97</w:t>
      </w:r>
      <w:r>
        <w:rPr>
          <w:rFonts w:hint="eastAsia" w:ascii="宋体" w:hAnsi="宋体" w:cs="宋体"/>
          <w:b w:val="0"/>
        </w:rPr>
        <w:fldChar w:fldCharType="end"/>
      </w:r>
      <w:r>
        <w:rPr>
          <w:rFonts w:hint="eastAsia" w:ascii="宋体" w:hAnsi="宋体" w:cs="宋体"/>
          <w:b w:val="0"/>
        </w:rPr>
        <w:fldChar w:fldCharType="end"/>
      </w:r>
    </w:p>
    <w:p w14:paraId="62AFDC71">
      <w:pPr>
        <w:pStyle w:val="33"/>
        <w:tabs>
          <w:tab w:val="right" w:leader="dot" w:pos="9628"/>
        </w:tabs>
        <w:rPr>
          <w:rFonts w:ascii="宋体" w:hAnsi="宋体" w:cs="宋体"/>
          <w:b w:val="0"/>
          <w:bCs w:val="0"/>
          <w:caps w:val="0"/>
          <w:sz w:val="21"/>
          <w:szCs w:val="22"/>
        </w:rPr>
      </w:pPr>
      <w:r>
        <w:fldChar w:fldCharType="begin"/>
      </w:r>
      <w:r>
        <w:instrText xml:space="preserve"> HYPERLINK \l "_Toc144746907" </w:instrText>
      </w:r>
      <w:r>
        <w:fldChar w:fldCharType="separate"/>
      </w:r>
      <w:r>
        <w:rPr>
          <w:rStyle w:val="55"/>
          <w:rFonts w:hint="eastAsia" w:ascii="宋体" w:hAnsi="宋体" w:cs="宋体"/>
          <w:b w:val="0"/>
          <w:snapToGrid w:val="0"/>
          <w:color w:val="auto"/>
          <w:kern w:val="0"/>
        </w:rPr>
        <w:t>46、保险</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_Toc144746907 \h </w:instrText>
      </w:r>
      <w:r>
        <w:rPr>
          <w:rFonts w:hint="eastAsia" w:ascii="宋体" w:hAnsi="宋体" w:cs="宋体"/>
          <w:b w:val="0"/>
        </w:rPr>
        <w:fldChar w:fldCharType="separate"/>
      </w:r>
      <w:r>
        <w:rPr>
          <w:rFonts w:hint="eastAsia" w:ascii="宋体" w:hAnsi="宋体" w:cs="宋体"/>
          <w:b w:val="0"/>
        </w:rPr>
        <w:t>98</w:t>
      </w:r>
      <w:r>
        <w:rPr>
          <w:rFonts w:hint="eastAsia" w:ascii="宋体" w:hAnsi="宋体" w:cs="宋体"/>
          <w:b w:val="0"/>
        </w:rPr>
        <w:fldChar w:fldCharType="end"/>
      </w:r>
      <w:r>
        <w:rPr>
          <w:rFonts w:hint="eastAsia" w:ascii="宋体" w:hAnsi="宋体" w:cs="宋体"/>
          <w:b w:val="0"/>
        </w:rPr>
        <w:fldChar w:fldCharType="end"/>
      </w:r>
    </w:p>
    <w:p w14:paraId="5527BFAC">
      <w:pPr>
        <w:pStyle w:val="33"/>
        <w:tabs>
          <w:tab w:val="right" w:leader="dot" w:pos="9628"/>
        </w:tabs>
        <w:rPr>
          <w:rFonts w:ascii="宋体" w:hAnsi="宋体" w:cs="宋体"/>
          <w:b w:val="0"/>
          <w:bCs w:val="0"/>
          <w:caps w:val="0"/>
          <w:sz w:val="21"/>
          <w:szCs w:val="22"/>
        </w:rPr>
      </w:pPr>
      <w:r>
        <w:fldChar w:fldCharType="begin"/>
      </w:r>
      <w:r>
        <w:instrText xml:space="preserve"> HYPERLINK \l "_Toc144746908" </w:instrText>
      </w:r>
      <w:r>
        <w:fldChar w:fldCharType="separate"/>
      </w:r>
      <w:r>
        <w:rPr>
          <w:rStyle w:val="55"/>
          <w:rFonts w:hint="eastAsia" w:ascii="宋体" w:hAnsi="宋体" w:cs="宋体"/>
          <w:b w:val="0"/>
          <w:snapToGrid w:val="0"/>
          <w:color w:val="auto"/>
          <w:kern w:val="0"/>
        </w:rPr>
        <w:t>47、担保</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_Toc144746908 \h </w:instrText>
      </w:r>
      <w:r>
        <w:rPr>
          <w:rFonts w:hint="eastAsia" w:ascii="宋体" w:hAnsi="宋体" w:cs="宋体"/>
          <w:b w:val="0"/>
        </w:rPr>
        <w:fldChar w:fldCharType="separate"/>
      </w:r>
      <w:r>
        <w:rPr>
          <w:rFonts w:hint="eastAsia" w:ascii="宋体" w:hAnsi="宋体" w:cs="宋体"/>
          <w:b w:val="0"/>
        </w:rPr>
        <w:t>98</w:t>
      </w:r>
      <w:r>
        <w:rPr>
          <w:rFonts w:hint="eastAsia" w:ascii="宋体" w:hAnsi="宋体" w:cs="宋体"/>
          <w:b w:val="0"/>
        </w:rPr>
        <w:fldChar w:fldCharType="end"/>
      </w:r>
      <w:r>
        <w:rPr>
          <w:rFonts w:hint="eastAsia" w:ascii="宋体" w:hAnsi="宋体" w:cs="宋体"/>
          <w:b w:val="0"/>
        </w:rPr>
        <w:fldChar w:fldCharType="end"/>
      </w:r>
    </w:p>
    <w:p w14:paraId="1D8A4C6C">
      <w:pPr>
        <w:pStyle w:val="33"/>
        <w:tabs>
          <w:tab w:val="right" w:leader="dot" w:pos="9628"/>
        </w:tabs>
        <w:rPr>
          <w:rFonts w:ascii="宋体" w:hAnsi="宋体" w:cs="宋体"/>
          <w:b w:val="0"/>
          <w:bCs w:val="0"/>
          <w:caps w:val="0"/>
          <w:sz w:val="21"/>
          <w:szCs w:val="22"/>
        </w:rPr>
      </w:pPr>
      <w:r>
        <w:fldChar w:fldCharType="begin"/>
      </w:r>
      <w:r>
        <w:instrText xml:space="preserve"> HYPERLINK \l "_Toc144746909" </w:instrText>
      </w:r>
      <w:r>
        <w:fldChar w:fldCharType="separate"/>
      </w:r>
      <w:r>
        <w:rPr>
          <w:rStyle w:val="55"/>
          <w:rFonts w:hint="eastAsia" w:ascii="宋体" w:hAnsi="宋体" w:cs="宋体"/>
          <w:b w:val="0"/>
          <w:snapToGrid w:val="0"/>
          <w:color w:val="auto"/>
          <w:kern w:val="0"/>
        </w:rPr>
        <w:t>48、保密、知识产权与专利技术及特殊工艺</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_Toc144746909 \h </w:instrText>
      </w:r>
      <w:r>
        <w:rPr>
          <w:rFonts w:hint="eastAsia" w:ascii="宋体" w:hAnsi="宋体" w:cs="宋体"/>
          <w:b w:val="0"/>
        </w:rPr>
        <w:fldChar w:fldCharType="separate"/>
      </w:r>
      <w:r>
        <w:rPr>
          <w:rFonts w:hint="eastAsia" w:ascii="宋体" w:hAnsi="宋体" w:cs="宋体"/>
          <w:b w:val="0"/>
        </w:rPr>
        <w:t>99</w:t>
      </w:r>
      <w:r>
        <w:rPr>
          <w:rFonts w:hint="eastAsia" w:ascii="宋体" w:hAnsi="宋体" w:cs="宋体"/>
          <w:b w:val="0"/>
        </w:rPr>
        <w:fldChar w:fldCharType="end"/>
      </w:r>
      <w:r>
        <w:rPr>
          <w:rFonts w:hint="eastAsia" w:ascii="宋体" w:hAnsi="宋体" w:cs="宋体"/>
          <w:b w:val="0"/>
        </w:rPr>
        <w:fldChar w:fldCharType="end"/>
      </w:r>
    </w:p>
    <w:p w14:paraId="4CCC9B3E">
      <w:pPr>
        <w:pStyle w:val="33"/>
        <w:tabs>
          <w:tab w:val="right" w:leader="dot" w:pos="9628"/>
        </w:tabs>
        <w:rPr>
          <w:rFonts w:ascii="宋体" w:hAnsi="宋体" w:cs="宋体"/>
          <w:b w:val="0"/>
          <w:bCs w:val="0"/>
          <w:caps w:val="0"/>
          <w:sz w:val="21"/>
          <w:szCs w:val="22"/>
        </w:rPr>
      </w:pPr>
      <w:r>
        <w:fldChar w:fldCharType="begin"/>
      </w:r>
      <w:r>
        <w:instrText xml:space="preserve"> HYPERLINK \l "_Toc144746910" </w:instrText>
      </w:r>
      <w:r>
        <w:fldChar w:fldCharType="separate"/>
      </w:r>
      <w:r>
        <w:rPr>
          <w:rStyle w:val="55"/>
          <w:rFonts w:hint="eastAsia" w:ascii="宋体" w:hAnsi="宋体" w:cs="宋体"/>
          <w:b w:val="0"/>
          <w:snapToGrid w:val="0"/>
          <w:color w:val="auto"/>
          <w:kern w:val="0"/>
        </w:rPr>
        <w:t>49、文物和地下障碍物</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_Toc144746910 \h </w:instrText>
      </w:r>
      <w:r>
        <w:rPr>
          <w:rFonts w:hint="eastAsia" w:ascii="宋体" w:hAnsi="宋体" w:cs="宋体"/>
          <w:b w:val="0"/>
        </w:rPr>
        <w:fldChar w:fldCharType="separate"/>
      </w:r>
      <w:r>
        <w:rPr>
          <w:rFonts w:hint="eastAsia" w:ascii="宋体" w:hAnsi="宋体" w:cs="宋体"/>
          <w:b w:val="0"/>
        </w:rPr>
        <w:t>100</w:t>
      </w:r>
      <w:r>
        <w:rPr>
          <w:rFonts w:hint="eastAsia" w:ascii="宋体" w:hAnsi="宋体" w:cs="宋体"/>
          <w:b w:val="0"/>
        </w:rPr>
        <w:fldChar w:fldCharType="end"/>
      </w:r>
      <w:r>
        <w:rPr>
          <w:rFonts w:hint="eastAsia" w:ascii="宋体" w:hAnsi="宋体" w:cs="宋体"/>
          <w:b w:val="0"/>
        </w:rPr>
        <w:fldChar w:fldCharType="end"/>
      </w:r>
    </w:p>
    <w:p w14:paraId="30B6E25D">
      <w:pPr>
        <w:pStyle w:val="33"/>
        <w:tabs>
          <w:tab w:val="right" w:leader="dot" w:pos="9628"/>
        </w:tabs>
        <w:rPr>
          <w:rFonts w:ascii="宋体" w:hAnsi="宋体" w:cs="宋体"/>
          <w:b w:val="0"/>
          <w:bCs w:val="0"/>
          <w:caps w:val="0"/>
          <w:sz w:val="21"/>
          <w:szCs w:val="22"/>
        </w:rPr>
      </w:pPr>
      <w:r>
        <w:fldChar w:fldCharType="begin"/>
      </w:r>
      <w:r>
        <w:instrText xml:space="preserve"> HYPERLINK \l "_Toc144746911" </w:instrText>
      </w:r>
      <w:r>
        <w:fldChar w:fldCharType="separate"/>
      </w:r>
      <w:r>
        <w:rPr>
          <w:rStyle w:val="55"/>
          <w:rFonts w:hint="eastAsia" w:ascii="宋体" w:hAnsi="宋体" w:cs="宋体"/>
          <w:b w:val="0"/>
          <w:snapToGrid w:val="0"/>
          <w:color w:val="auto"/>
          <w:kern w:val="0"/>
        </w:rPr>
        <w:t>50、合同解除</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_Toc144746911 \h </w:instrText>
      </w:r>
      <w:r>
        <w:rPr>
          <w:rFonts w:hint="eastAsia" w:ascii="宋体" w:hAnsi="宋体" w:cs="宋体"/>
          <w:b w:val="0"/>
        </w:rPr>
        <w:fldChar w:fldCharType="separate"/>
      </w:r>
      <w:r>
        <w:rPr>
          <w:rFonts w:hint="eastAsia" w:ascii="宋体" w:hAnsi="宋体" w:cs="宋体"/>
          <w:b w:val="0"/>
        </w:rPr>
        <w:t>100</w:t>
      </w:r>
      <w:r>
        <w:rPr>
          <w:rFonts w:hint="eastAsia" w:ascii="宋体" w:hAnsi="宋体" w:cs="宋体"/>
          <w:b w:val="0"/>
        </w:rPr>
        <w:fldChar w:fldCharType="end"/>
      </w:r>
      <w:r>
        <w:rPr>
          <w:rFonts w:hint="eastAsia" w:ascii="宋体" w:hAnsi="宋体" w:cs="宋体"/>
          <w:b w:val="0"/>
        </w:rPr>
        <w:fldChar w:fldCharType="end"/>
      </w:r>
    </w:p>
    <w:p w14:paraId="55DAD142">
      <w:pPr>
        <w:pStyle w:val="33"/>
        <w:tabs>
          <w:tab w:val="right" w:leader="dot" w:pos="9628"/>
        </w:tabs>
        <w:rPr>
          <w:rFonts w:ascii="宋体" w:hAnsi="宋体" w:cs="宋体"/>
          <w:b w:val="0"/>
          <w:bCs w:val="0"/>
          <w:caps w:val="0"/>
          <w:sz w:val="21"/>
          <w:szCs w:val="22"/>
        </w:rPr>
      </w:pPr>
      <w:r>
        <w:fldChar w:fldCharType="begin"/>
      </w:r>
      <w:r>
        <w:instrText xml:space="preserve"> HYPERLINK \l "_Toc144746912" </w:instrText>
      </w:r>
      <w:r>
        <w:fldChar w:fldCharType="separate"/>
      </w:r>
      <w:r>
        <w:rPr>
          <w:rStyle w:val="55"/>
          <w:rFonts w:hint="eastAsia" w:ascii="宋体" w:hAnsi="宋体" w:cs="宋体"/>
          <w:b w:val="0"/>
          <w:snapToGrid w:val="0"/>
          <w:color w:val="auto"/>
          <w:kern w:val="0"/>
        </w:rPr>
        <w:t>51、合同生效与终止</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_Toc144746912 \h </w:instrText>
      </w:r>
      <w:r>
        <w:rPr>
          <w:rFonts w:hint="eastAsia" w:ascii="宋体" w:hAnsi="宋体" w:cs="宋体"/>
          <w:b w:val="0"/>
        </w:rPr>
        <w:fldChar w:fldCharType="separate"/>
      </w:r>
      <w:r>
        <w:rPr>
          <w:rFonts w:hint="eastAsia" w:ascii="宋体" w:hAnsi="宋体" w:cs="宋体"/>
          <w:b w:val="0"/>
        </w:rPr>
        <w:t>102</w:t>
      </w:r>
      <w:r>
        <w:rPr>
          <w:rFonts w:hint="eastAsia" w:ascii="宋体" w:hAnsi="宋体" w:cs="宋体"/>
          <w:b w:val="0"/>
        </w:rPr>
        <w:fldChar w:fldCharType="end"/>
      </w:r>
      <w:r>
        <w:rPr>
          <w:rFonts w:hint="eastAsia" w:ascii="宋体" w:hAnsi="宋体" w:cs="宋体"/>
          <w:b w:val="0"/>
        </w:rPr>
        <w:fldChar w:fldCharType="end"/>
      </w:r>
    </w:p>
    <w:p w14:paraId="3220A59D">
      <w:pPr>
        <w:pStyle w:val="33"/>
        <w:tabs>
          <w:tab w:val="right" w:leader="dot" w:pos="9628"/>
        </w:tabs>
        <w:rPr>
          <w:rFonts w:ascii="宋体" w:hAnsi="宋体" w:cs="宋体"/>
          <w:b w:val="0"/>
          <w:bCs w:val="0"/>
          <w:caps w:val="0"/>
          <w:sz w:val="21"/>
          <w:szCs w:val="22"/>
        </w:rPr>
      </w:pPr>
      <w:r>
        <w:fldChar w:fldCharType="begin"/>
      </w:r>
      <w:r>
        <w:instrText xml:space="preserve"> HYPERLINK \l "_Toc144746913" </w:instrText>
      </w:r>
      <w:r>
        <w:fldChar w:fldCharType="separate"/>
      </w:r>
      <w:r>
        <w:rPr>
          <w:rStyle w:val="55"/>
          <w:rFonts w:hint="eastAsia" w:ascii="宋体" w:hAnsi="宋体" w:cs="宋体"/>
          <w:b w:val="0"/>
          <w:snapToGrid w:val="0"/>
          <w:color w:val="auto"/>
          <w:kern w:val="0"/>
        </w:rPr>
        <w:t>52、补充条款</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_Toc144746913 \h </w:instrText>
      </w:r>
      <w:r>
        <w:rPr>
          <w:rFonts w:hint="eastAsia" w:ascii="宋体" w:hAnsi="宋体" w:cs="宋体"/>
          <w:b w:val="0"/>
        </w:rPr>
        <w:fldChar w:fldCharType="separate"/>
      </w:r>
      <w:r>
        <w:rPr>
          <w:rFonts w:hint="eastAsia" w:ascii="宋体" w:hAnsi="宋体" w:cs="宋体"/>
          <w:b w:val="0"/>
        </w:rPr>
        <w:t>102</w:t>
      </w:r>
      <w:r>
        <w:rPr>
          <w:rFonts w:hint="eastAsia" w:ascii="宋体" w:hAnsi="宋体" w:cs="宋体"/>
          <w:b w:val="0"/>
        </w:rPr>
        <w:fldChar w:fldCharType="end"/>
      </w:r>
      <w:r>
        <w:rPr>
          <w:rFonts w:hint="eastAsia" w:ascii="宋体" w:hAnsi="宋体" w:cs="宋体"/>
          <w:b w:val="0"/>
        </w:rPr>
        <w:fldChar w:fldCharType="end"/>
      </w:r>
    </w:p>
    <w:p w14:paraId="5A3C76E6">
      <w:pPr>
        <w:pStyle w:val="33"/>
        <w:tabs>
          <w:tab w:val="right" w:leader="dot" w:pos="9628"/>
        </w:tabs>
        <w:rPr>
          <w:rFonts w:ascii="宋体" w:hAnsi="宋体" w:cs="宋体"/>
          <w:b w:val="0"/>
          <w:bCs w:val="0"/>
          <w:caps w:val="0"/>
          <w:sz w:val="21"/>
          <w:szCs w:val="22"/>
        </w:rPr>
      </w:pPr>
      <w:r>
        <w:fldChar w:fldCharType="begin"/>
      </w:r>
      <w:r>
        <w:instrText xml:space="preserve"> HYPERLINK \l "_Toc144746914" </w:instrText>
      </w:r>
      <w:r>
        <w:fldChar w:fldCharType="separate"/>
      </w:r>
      <w:r>
        <w:rPr>
          <w:rStyle w:val="55"/>
          <w:rFonts w:hint="eastAsia" w:ascii="宋体" w:hAnsi="宋体" w:cs="宋体"/>
          <w:b w:val="0"/>
          <w:snapToGrid w:val="0"/>
          <w:color w:val="auto"/>
          <w:kern w:val="0"/>
        </w:rPr>
        <w:t>第三篇  合同附件</w:t>
      </w:r>
      <w:r>
        <w:rPr>
          <w:rFonts w:hint="eastAsia" w:ascii="宋体" w:hAnsi="宋体" w:cs="宋体"/>
          <w:b w:val="0"/>
        </w:rPr>
        <w:tab/>
      </w:r>
      <w:r>
        <w:rPr>
          <w:rFonts w:hint="eastAsia" w:ascii="宋体" w:hAnsi="宋体" w:cs="宋体"/>
          <w:b w:val="0"/>
        </w:rPr>
        <w:fldChar w:fldCharType="begin"/>
      </w:r>
      <w:r>
        <w:rPr>
          <w:rFonts w:hint="eastAsia" w:ascii="宋体" w:hAnsi="宋体" w:cs="宋体"/>
          <w:b w:val="0"/>
        </w:rPr>
        <w:instrText xml:space="preserve"> PAGEREF _Toc144746914 \h </w:instrText>
      </w:r>
      <w:r>
        <w:rPr>
          <w:rFonts w:hint="eastAsia" w:ascii="宋体" w:hAnsi="宋体" w:cs="宋体"/>
          <w:b w:val="0"/>
        </w:rPr>
        <w:fldChar w:fldCharType="separate"/>
      </w:r>
      <w:r>
        <w:rPr>
          <w:rFonts w:hint="eastAsia" w:ascii="宋体" w:hAnsi="宋体" w:cs="宋体"/>
          <w:b w:val="0"/>
        </w:rPr>
        <w:t>104</w:t>
      </w:r>
      <w:r>
        <w:rPr>
          <w:rFonts w:hint="eastAsia" w:ascii="宋体" w:hAnsi="宋体" w:cs="宋体"/>
          <w:b w:val="0"/>
        </w:rPr>
        <w:fldChar w:fldCharType="end"/>
      </w:r>
      <w:r>
        <w:rPr>
          <w:rFonts w:hint="eastAsia" w:ascii="宋体" w:hAnsi="宋体" w:cs="宋体"/>
          <w:b w:val="0"/>
        </w:rPr>
        <w:fldChar w:fldCharType="end"/>
      </w:r>
    </w:p>
    <w:p w14:paraId="7AABB2DD">
      <w:pPr>
        <w:rPr>
          <w:rFonts w:ascii="宋体" w:hAnsi="宋体" w:cs="宋体"/>
        </w:rPr>
      </w:pPr>
      <w:r>
        <w:rPr>
          <w:rFonts w:hint="eastAsia" w:ascii="宋体" w:hAnsi="宋体" w:cs="宋体"/>
        </w:rPr>
        <w:fldChar w:fldCharType="end"/>
      </w:r>
    </w:p>
    <w:p w14:paraId="00C75626">
      <w:pPr>
        <w:adjustRightInd w:val="0"/>
        <w:snapToGrid w:val="0"/>
        <w:spacing w:line="360" w:lineRule="auto"/>
        <w:jc w:val="center"/>
        <w:outlineLvl w:val="0"/>
        <w:rPr>
          <w:rFonts w:ascii="宋体" w:hAnsi="宋体"/>
          <w:b/>
          <w:kern w:val="0"/>
          <w:sz w:val="44"/>
        </w:rPr>
      </w:pPr>
      <w:bookmarkStart w:id="6" w:name="_Toc28407_WPSOffice_Level1"/>
      <w:r>
        <w:rPr>
          <w:rFonts w:hint="eastAsia" w:ascii="宋体" w:hAnsi="宋体"/>
          <w:b/>
          <w:kern w:val="0"/>
          <w:sz w:val="32"/>
        </w:rPr>
        <w:br w:type="page"/>
      </w:r>
      <w:bookmarkStart w:id="7" w:name="_Toc502215470"/>
      <w:bookmarkStart w:id="8" w:name="_Toc24844"/>
      <w:bookmarkStart w:id="9" w:name="_Toc16922"/>
      <w:bookmarkStart w:id="10" w:name="_Toc144746843"/>
      <w:bookmarkStart w:id="11" w:name="_Toc518402567"/>
      <w:bookmarkStart w:id="12" w:name="_Toc144745925"/>
      <w:bookmarkStart w:id="13" w:name="_Toc13846"/>
      <w:bookmarkStart w:id="14" w:name="_Toc504465873"/>
      <w:bookmarkStart w:id="15" w:name="_Toc104901735"/>
      <w:r>
        <w:rPr>
          <w:rFonts w:hint="eastAsia" w:ascii="宋体" w:hAnsi="宋体"/>
          <w:b/>
          <w:kern w:val="0"/>
          <w:sz w:val="44"/>
        </w:rPr>
        <w:t>第一篇  合同协议书</w:t>
      </w:r>
      <w:bookmarkEnd w:id="6"/>
      <w:bookmarkEnd w:id="7"/>
      <w:bookmarkEnd w:id="8"/>
      <w:bookmarkEnd w:id="9"/>
      <w:bookmarkEnd w:id="10"/>
      <w:bookmarkEnd w:id="11"/>
      <w:bookmarkEnd w:id="12"/>
      <w:bookmarkEnd w:id="13"/>
      <w:bookmarkEnd w:id="14"/>
      <w:bookmarkEnd w:id="15"/>
    </w:p>
    <w:p w14:paraId="7F9B7BF5">
      <w:pPr>
        <w:tabs>
          <w:tab w:val="left" w:pos="5475"/>
        </w:tabs>
        <w:spacing w:line="360" w:lineRule="auto"/>
        <w:ind w:firstLine="482" w:firstLineChars="200"/>
        <w:rPr>
          <w:rFonts w:ascii="宋体" w:hAnsi="宋体"/>
          <w:sz w:val="24"/>
        </w:rPr>
      </w:pPr>
      <w:r>
        <w:rPr>
          <w:rFonts w:hint="eastAsia" w:ascii="宋体" w:hAnsi="宋体"/>
          <w:b/>
          <w:sz w:val="24"/>
          <w:u w:val="single"/>
        </w:rPr>
        <w:t xml:space="preserve"> 广州</w:t>
      </w:r>
      <w:r>
        <w:rPr>
          <w:rFonts w:hint="eastAsia" w:ascii="宋体" w:hAnsi="宋体"/>
          <w:b/>
          <w:sz w:val="24"/>
          <w:u w:val="single"/>
          <w:lang w:val="en-US" w:eastAsia="zh-CN"/>
        </w:rPr>
        <w:t>尚龙</w:t>
      </w:r>
      <w:r>
        <w:rPr>
          <w:rFonts w:hint="eastAsia" w:ascii="宋体" w:hAnsi="宋体"/>
          <w:b/>
          <w:sz w:val="24"/>
          <w:u w:val="single"/>
        </w:rPr>
        <w:t xml:space="preserve">置业有限公司 </w:t>
      </w:r>
      <w:r>
        <w:rPr>
          <w:rFonts w:hint="eastAsia" w:ascii="宋体" w:hAnsi="宋体"/>
          <w:sz w:val="24"/>
        </w:rPr>
        <w:t>（以下称发包人）与</w:t>
      </w:r>
      <w:r>
        <w:rPr>
          <w:rFonts w:hint="eastAsia" w:ascii="宋体" w:hAnsi="宋体"/>
          <w:sz w:val="24"/>
          <w:u w:val="single"/>
        </w:rPr>
        <w:t xml:space="preserve"> （主）</w:t>
      </w:r>
      <w:r>
        <w:rPr>
          <w:rFonts w:hint="eastAsia" w:ascii="宋体" w:hAnsi="宋体"/>
          <w:sz w:val="24"/>
          <w:u w:val="single"/>
          <w:lang w:val="en-US" w:eastAsia="zh-CN"/>
        </w:rPr>
        <w:t>***</w:t>
      </w:r>
      <w:r>
        <w:rPr>
          <w:rFonts w:hint="eastAsia" w:ascii="宋体" w:hAnsi="宋体"/>
          <w:sz w:val="24"/>
          <w:u w:val="single"/>
        </w:rPr>
        <w:t>、（成）</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（其中：</w:t>
      </w:r>
      <w:r>
        <w:rPr>
          <w:rFonts w:hint="eastAsia" w:ascii="宋体" w:hAnsi="宋体"/>
          <w:sz w:val="24"/>
          <w:lang w:val="en-US" w:eastAsia="zh-CN"/>
        </w:rPr>
        <w:t>****</w:t>
      </w:r>
      <w:r>
        <w:rPr>
          <w:rFonts w:hint="eastAsia" w:ascii="宋体" w:hAnsi="宋体"/>
          <w:sz w:val="24"/>
        </w:rPr>
        <w:t>为施工单位，以下统称承包人）依照《中华人民共和国民法典》、《中华人民共和国建筑法》、《中华人民共和国招标投标法》及其它有关法律、行政法规、部门规章、地方性法规和规章，遵循平等、自愿、公平和诚实信用的原则，就</w:t>
      </w:r>
      <w:r>
        <w:rPr>
          <w:rFonts w:ascii="宋体" w:hAnsi="宋体"/>
          <w:b/>
          <w:sz w:val="24"/>
          <w:u w:val="single"/>
        </w:rPr>
        <w:t xml:space="preserve">  </w:t>
      </w:r>
      <w:r>
        <w:rPr>
          <w:rFonts w:hint="eastAsia" w:ascii="宋体" w:hAnsi="宋体"/>
          <w:b/>
          <w:sz w:val="24"/>
          <w:u w:val="single"/>
          <w:lang w:val="en-US" w:eastAsia="zh-CN"/>
        </w:rPr>
        <w:t>***</w:t>
      </w:r>
      <w:r>
        <w:rPr>
          <w:rFonts w:hint="eastAsia" w:ascii="宋体" w:hAnsi="宋体"/>
          <w:b/>
          <w:sz w:val="24"/>
          <w:u w:val="single"/>
        </w:rPr>
        <w:t>项目</w:t>
      </w:r>
      <w:r>
        <w:rPr>
          <w:rFonts w:hint="eastAsia" w:ascii="宋体" w:hAnsi="宋体" w:cs="宋体"/>
          <w:sz w:val="24"/>
        </w:rPr>
        <w:t>设计</w:t>
      </w:r>
      <w:r>
        <w:rPr>
          <w:rFonts w:hint="eastAsia" w:ascii="宋体" w:hAnsi="宋体"/>
          <w:sz w:val="24"/>
        </w:rPr>
        <w:t>施工总承包工程（以下称本工程）事宜协商一致，订立本合同。</w:t>
      </w:r>
    </w:p>
    <w:p w14:paraId="5AB47CAE">
      <w:pPr>
        <w:spacing w:line="360" w:lineRule="auto"/>
        <w:ind w:firstLine="482" w:firstLineChars="200"/>
        <w:jc w:val="left"/>
        <w:outlineLvl w:val="0"/>
        <w:rPr>
          <w:rFonts w:ascii="宋体" w:hAnsi="宋体"/>
          <w:b/>
          <w:kern w:val="0"/>
          <w:sz w:val="24"/>
        </w:rPr>
      </w:pPr>
      <w:bookmarkStart w:id="16" w:name="_Toc104901736"/>
      <w:bookmarkStart w:id="17" w:name="_Toc14863"/>
      <w:bookmarkStart w:id="18" w:name="_Toc11202_WPSOffice_Level2"/>
      <w:bookmarkStart w:id="19" w:name="_Toc1317"/>
      <w:bookmarkStart w:id="20" w:name="_Toc144746844"/>
      <w:bookmarkStart w:id="21" w:name="_Toc144745926"/>
      <w:bookmarkStart w:id="22" w:name="_Toc17754"/>
      <w:r>
        <w:rPr>
          <w:rFonts w:hint="eastAsia" w:ascii="宋体" w:hAnsi="宋体"/>
          <w:b/>
          <w:kern w:val="0"/>
          <w:sz w:val="24"/>
        </w:rPr>
        <w:t>1、工程概况</w:t>
      </w:r>
      <w:bookmarkEnd w:id="16"/>
      <w:bookmarkEnd w:id="17"/>
      <w:bookmarkEnd w:id="18"/>
      <w:bookmarkEnd w:id="19"/>
      <w:bookmarkEnd w:id="20"/>
      <w:bookmarkEnd w:id="21"/>
      <w:bookmarkEnd w:id="22"/>
    </w:p>
    <w:p w14:paraId="36520351">
      <w:pPr>
        <w:tabs>
          <w:tab w:val="left" w:pos="5475"/>
        </w:tabs>
        <w:spacing w:line="360" w:lineRule="auto"/>
        <w:ind w:firstLine="480" w:firstLineChars="200"/>
        <w:jc w:val="left"/>
        <w:rPr>
          <w:rFonts w:ascii="宋体" w:hAnsi="宋体"/>
          <w:sz w:val="24"/>
          <w:u w:val="single"/>
        </w:rPr>
      </w:pPr>
      <w:r>
        <w:rPr>
          <w:rFonts w:hint="eastAsia" w:ascii="宋体" w:hAnsi="宋体"/>
          <w:sz w:val="24"/>
        </w:rPr>
        <w:t>1.1工程名称：</w:t>
      </w:r>
      <w:r>
        <w:rPr>
          <w:rFonts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工程项目</w:t>
      </w:r>
      <w:r>
        <w:rPr>
          <w:rFonts w:hint="eastAsia" w:ascii="宋体" w:hAnsi="宋体" w:cs="宋体"/>
          <w:sz w:val="24"/>
          <w:u w:val="single"/>
        </w:rPr>
        <w:t>设计施工总承包工程</w:t>
      </w:r>
    </w:p>
    <w:p w14:paraId="77339803">
      <w:pPr>
        <w:tabs>
          <w:tab w:val="left" w:pos="5475"/>
        </w:tabs>
        <w:spacing w:line="360" w:lineRule="auto"/>
        <w:ind w:firstLine="480" w:firstLineChars="200"/>
        <w:jc w:val="left"/>
        <w:rPr>
          <w:rFonts w:ascii="宋体" w:hAnsi="宋体"/>
          <w:sz w:val="24"/>
          <w:u w:val="single"/>
        </w:rPr>
      </w:pPr>
      <w:r>
        <w:rPr>
          <w:rFonts w:hint="eastAsia" w:ascii="宋体" w:hAnsi="宋体"/>
          <w:sz w:val="24"/>
        </w:rPr>
        <w:t>1.2工程地点：</w:t>
      </w:r>
      <w:r>
        <w:rPr>
          <w:rFonts w:hint="eastAsia" w:ascii="宋体" w:hAnsi="宋体" w:cs="宋体"/>
          <w:sz w:val="24"/>
        </w:rPr>
        <w:t>广州市黄埔区</w:t>
      </w:r>
    </w:p>
    <w:p w14:paraId="53F2C490">
      <w:pPr>
        <w:tabs>
          <w:tab w:val="left" w:pos="5475"/>
        </w:tabs>
        <w:spacing w:line="360" w:lineRule="auto"/>
        <w:ind w:firstLine="480" w:firstLineChars="200"/>
        <w:jc w:val="left"/>
        <w:rPr>
          <w:rFonts w:ascii="宋体" w:hAnsi="宋体"/>
          <w:sz w:val="24"/>
          <w:u w:val="single"/>
        </w:rPr>
      </w:pPr>
      <w:r>
        <w:rPr>
          <w:rFonts w:hint="eastAsia" w:ascii="宋体" w:hAnsi="宋体"/>
          <w:sz w:val="24"/>
        </w:rPr>
        <w:t>1.3资金来源：</w:t>
      </w:r>
      <w:r>
        <w:rPr>
          <w:rFonts w:hint="eastAsia" w:ascii="宋体" w:hAnsi="宋体" w:cs="宋体"/>
          <w:sz w:val="24"/>
          <w:u w:val="single"/>
        </w:rPr>
        <w:t>自筹资金</w:t>
      </w:r>
    </w:p>
    <w:p w14:paraId="4B797C67">
      <w:pPr>
        <w:spacing w:line="360" w:lineRule="auto"/>
        <w:ind w:firstLine="480" w:firstLineChars="200"/>
        <w:rPr>
          <w:rFonts w:ascii="宋体" w:hAnsi="宋体"/>
          <w:sz w:val="24"/>
          <w:u w:val="single"/>
        </w:rPr>
      </w:pPr>
      <w:r>
        <w:rPr>
          <w:rFonts w:hint="eastAsia" w:ascii="宋体" w:hAnsi="宋体"/>
          <w:sz w:val="24"/>
        </w:rPr>
        <w:t>1.4工程规模：</w:t>
      </w:r>
      <w:r>
        <w:rPr>
          <w:rFonts w:ascii="宋体" w:hAnsi="宋体"/>
          <w:sz w:val="24"/>
          <w:u w:val="single"/>
        </w:rPr>
        <w:t xml:space="preserve">   </w:t>
      </w:r>
      <w:r>
        <w:rPr>
          <w:rFonts w:hint="eastAsia" w:ascii="宋体" w:hAnsi="宋体"/>
          <w:sz w:val="24"/>
          <w:u w:val="single"/>
          <w:lang w:val="en-US" w:eastAsia="zh-CN"/>
        </w:rPr>
        <w:t>本工程南起****，北至****，总长****，红线宽度***，主线双向***车道，设计速度***</w:t>
      </w:r>
      <w:r>
        <w:rPr>
          <w:rFonts w:hint="eastAsia" w:ascii="宋体" w:hAnsi="宋体" w:cs="宋体"/>
          <w:sz w:val="24"/>
          <w:szCs w:val="24"/>
          <w:u w:val="single"/>
        </w:rPr>
        <w:t>。</w:t>
      </w:r>
      <w:r>
        <w:rPr>
          <w:rFonts w:hint="eastAsia" w:ascii="宋体" w:hAnsi="宋体" w:cs="宋体"/>
          <w:sz w:val="24"/>
          <w:szCs w:val="24"/>
          <w:u w:val="single"/>
          <w:lang w:val="en-US" w:eastAsia="zh-CN"/>
        </w:rPr>
        <w:t>建设内容包含道路工程、桥梁工程、给水工程、排水工程、交通工程、照明工程、电力管沟工程等。</w:t>
      </w:r>
      <w:r>
        <w:rPr>
          <w:rFonts w:hint="eastAsia" w:ascii="宋体" w:hAnsi="宋体" w:eastAsia="Arial" w:cs="Arial"/>
          <w:snapToGrid w:val="0"/>
          <w:kern w:val="0"/>
          <w:sz w:val="24"/>
          <w:szCs w:val="21"/>
          <w:u w:val="single"/>
        </w:rPr>
        <w:t>工程规模和建设内容最终以规划行政部门批复的规划设计条件</w:t>
      </w:r>
      <w:r>
        <w:rPr>
          <w:rFonts w:hint="eastAsia" w:ascii="宋体" w:hAnsi="宋体" w:cs="Arial"/>
          <w:snapToGrid w:val="0"/>
          <w:kern w:val="0"/>
          <w:sz w:val="24"/>
          <w:szCs w:val="21"/>
          <w:u w:val="single"/>
        </w:rPr>
        <w:t>及设计方案</w:t>
      </w:r>
      <w:r>
        <w:rPr>
          <w:rFonts w:hint="eastAsia" w:ascii="宋体" w:hAnsi="宋体" w:eastAsia="Arial" w:cs="Arial"/>
          <w:snapToGrid w:val="0"/>
          <w:kern w:val="0"/>
          <w:sz w:val="24"/>
          <w:szCs w:val="21"/>
          <w:u w:val="single"/>
        </w:rPr>
        <w:t>且经发包</w:t>
      </w:r>
      <w:r>
        <w:rPr>
          <w:rFonts w:hint="eastAsia" w:cs="Arial" w:asciiTheme="minorEastAsia" w:hAnsiTheme="minorEastAsia" w:eastAsiaTheme="minorEastAsia"/>
          <w:snapToGrid w:val="0"/>
          <w:kern w:val="0"/>
          <w:sz w:val="24"/>
          <w:szCs w:val="21"/>
          <w:u w:val="single"/>
        </w:rPr>
        <w:t>人</w:t>
      </w:r>
      <w:r>
        <w:rPr>
          <w:rFonts w:hint="eastAsia" w:ascii="宋体" w:hAnsi="宋体" w:eastAsia="Arial" w:cs="Arial"/>
          <w:snapToGrid w:val="0"/>
          <w:kern w:val="0"/>
          <w:sz w:val="24"/>
          <w:szCs w:val="21"/>
          <w:u w:val="single"/>
        </w:rPr>
        <w:t>认可后为准</w:t>
      </w:r>
      <w:r>
        <w:rPr>
          <w:rFonts w:hint="eastAsia" w:asciiTheme="minorEastAsia" w:hAnsiTheme="minorEastAsia"/>
          <w:kern w:val="0"/>
          <w:sz w:val="24"/>
          <w:u w:val="single"/>
        </w:rPr>
        <w:t>。</w:t>
      </w:r>
    </w:p>
    <w:p w14:paraId="12E112CB">
      <w:pPr>
        <w:tabs>
          <w:tab w:val="left" w:pos="5475"/>
        </w:tabs>
        <w:spacing w:line="360" w:lineRule="auto"/>
        <w:ind w:firstLine="480" w:firstLineChars="200"/>
        <w:jc w:val="left"/>
        <w:rPr>
          <w:rFonts w:ascii="宋体" w:hAnsi="宋体" w:cs="宋体"/>
          <w:sz w:val="24"/>
        </w:rPr>
      </w:pPr>
      <w:r>
        <w:rPr>
          <w:rFonts w:hint="eastAsia" w:ascii="宋体" w:hAnsi="宋体" w:cs="宋体"/>
          <w:sz w:val="24"/>
        </w:rPr>
        <w:t>1.5</w:t>
      </w:r>
      <w:r>
        <w:rPr>
          <w:rFonts w:hint="eastAsia" w:ascii="宋体" w:hAnsi="宋体" w:cs="宋体"/>
          <w:snapToGrid w:val="0"/>
          <w:kern w:val="0"/>
          <w:sz w:val="24"/>
        </w:rPr>
        <w:t>本合同工程设计合理使用年限为</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napToGrid w:val="0"/>
          <w:kern w:val="0"/>
          <w:sz w:val="24"/>
          <w:u w:val="single"/>
        </w:rPr>
        <w:t>年（主体结构）</w:t>
      </w:r>
      <w:r>
        <w:rPr>
          <w:rFonts w:hint="eastAsia" w:ascii="宋体" w:hAnsi="宋体" w:cs="宋体"/>
          <w:snapToGrid w:val="0"/>
          <w:kern w:val="0"/>
          <w:sz w:val="24"/>
        </w:rPr>
        <w:t>，需满足国家相关法律法规之规定。</w:t>
      </w:r>
    </w:p>
    <w:p w14:paraId="3AF48C8D">
      <w:pPr>
        <w:spacing w:line="360" w:lineRule="auto"/>
        <w:ind w:firstLine="482" w:firstLineChars="200"/>
        <w:jc w:val="left"/>
        <w:outlineLvl w:val="0"/>
        <w:rPr>
          <w:rFonts w:ascii="宋体" w:hAnsi="宋体"/>
          <w:b/>
          <w:kern w:val="0"/>
          <w:sz w:val="24"/>
        </w:rPr>
      </w:pPr>
      <w:bookmarkStart w:id="23" w:name="_Toc104901737"/>
      <w:bookmarkStart w:id="24" w:name="_Toc1436_WPSOffice_Level2"/>
      <w:bookmarkStart w:id="25" w:name="_Toc144746845"/>
      <w:bookmarkStart w:id="26" w:name="_Toc29440"/>
      <w:bookmarkStart w:id="27" w:name="_Toc5212"/>
      <w:bookmarkStart w:id="28" w:name="_Toc144745927"/>
      <w:bookmarkStart w:id="29" w:name="_Toc15740"/>
      <w:r>
        <w:rPr>
          <w:rFonts w:hint="eastAsia" w:ascii="宋体" w:hAnsi="宋体"/>
          <w:b/>
          <w:kern w:val="0"/>
          <w:sz w:val="24"/>
        </w:rPr>
        <w:t>2、总承包范围、工程内容</w:t>
      </w:r>
      <w:r>
        <w:rPr>
          <w:rFonts w:hint="eastAsia" w:ascii="宋体" w:hAnsi="宋体" w:cs="宋体"/>
          <w:b/>
          <w:bCs/>
          <w:snapToGrid w:val="0"/>
          <w:kern w:val="0"/>
          <w:sz w:val="24"/>
          <w:szCs w:val="24"/>
        </w:rPr>
        <w:t>（工程前期阶段及实施阶段）、</w:t>
      </w:r>
      <w:r>
        <w:rPr>
          <w:rFonts w:hint="eastAsia" w:ascii="宋体" w:hAnsi="宋体"/>
          <w:b/>
          <w:kern w:val="0"/>
          <w:sz w:val="24"/>
        </w:rPr>
        <w:t>承包方式</w:t>
      </w:r>
      <w:bookmarkEnd w:id="23"/>
      <w:bookmarkEnd w:id="24"/>
      <w:r>
        <w:rPr>
          <w:rFonts w:hint="eastAsia" w:ascii="宋体" w:hAnsi="宋体" w:cs="宋体"/>
          <w:b/>
          <w:bCs/>
          <w:snapToGrid w:val="0"/>
          <w:kern w:val="0"/>
          <w:sz w:val="24"/>
          <w:szCs w:val="24"/>
        </w:rPr>
        <w:t>和投资控制</w:t>
      </w:r>
      <w:bookmarkEnd w:id="25"/>
      <w:bookmarkEnd w:id="26"/>
      <w:bookmarkEnd w:id="27"/>
      <w:bookmarkEnd w:id="28"/>
      <w:bookmarkEnd w:id="29"/>
    </w:p>
    <w:p w14:paraId="2BAF6B3C">
      <w:pPr>
        <w:tabs>
          <w:tab w:val="left" w:pos="5475"/>
        </w:tabs>
        <w:spacing w:line="360" w:lineRule="auto"/>
        <w:ind w:firstLine="480" w:firstLineChars="200"/>
        <w:rPr>
          <w:rFonts w:ascii="宋体" w:hAnsi="宋体"/>
          <w:sz w:val="24"/>
        </w:rPr>
      </w:pPr>
      <w:bookmarkStart w:id="30" w:name="_Toc8782_WPSOffice_Level3"/>
      <w:r>
        <w:rPr>
          <w:rFonts w:hint="eastAsia" w:ascii="宋体" w:hAnsi="宋体"/>
          <w:sz w:val="24"/>
        </w:rPr>
        <w:t>2.1总承包范围</w:t>
      </w:r>
      <w:bookmarkEnd w:id="30"/>
    </w:p>
    <w:p w14:paraId="5EC14688">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根据发包人提供的项目基础资料、设计任务书和工程管理要求，完成本工程设计施工总承包项目的</w:t>
      </w:r>
      <w:r>
        <w:rPr>
          <w:rFonts w:hint="eastAsia" w:ascii="宋体" w:hAnsi="宋体" w:cs="宋体"/>
          <w:sz w:val="24"/>
          <w:szCs w:val="24"/>
          <w:u w:val="single"/>
          <w:lang w:val="en-US" w:eastAsia="zh-CN"/>
        </w:rPr>
        <w:t>勘察、</w:t>
      </w:r>
      <w:r>
        <w:rPr>
          <w:rFonts w:hint="eastAsia" w:ascii="宋体" w:hAnsi="宋体" w:cs="宋体"/>
          <w:sz w:val="24"/>
          <w:szCs w:val="24"/>
          <w:u w:val="single"/>
        </w:rPr>
        <w:t>设计、施工及工程竣工验收等工作。</w:t>
      </w:r>
    </w:p>
    <w:p w14:paraId="27DEE64B">
      <w:pPr>
        <w:tabs>
          <w:tab w:val="left" w:pos="5475"/>
        </w:tabs>
        <w:spacing w:line="360" w:lineRule="auto"/>
        <w:ind w:firstLine="480" w:firstLineChars="200"/>
        <w:rPr>
          <w:rFonts w:ascii="宋体" w:hAnsi="宋体"/>
          <w:sz w:val="24"/>
        </w:rPr>
      </w:pPr>
      <w:bookmarkStart w:id="31" w:name="_Toc31906_WPSOffice_Level3"/>
      <w:r>
        <w:rPr>
          <w:rFonts w:hint="eastAsia" w:ascii="宋体" w:hAnsi="宋体"/>
          <w:sz w:val="24"/>
        </w:rPr>
        <w:t>2.2工程内容</w:t>
      </w:r>
      <w:bookmarkEnd w:id="31"/>
    </w:p>
    <w:p w14:paraId="70EFAA33">
      <w:pPr>
        <w:spacing w:line="360" w:lineRule="auto"/>
        <w:ind w:firstLine="480" w:firstLineChars="200"/>
        <w:rPr>
          <w:rFonts w:ascii="宋体" w:hAnsi="宋体" w:cs="宋体"/>
          <w:sz w:val="24"/>
          <w:szCs w:val="24"/>
        </w:rPr>
      </w:pPr>
      <w:r>
        <w:rPr>
          <w:rFonts w:hint="eastAsia" w:ascii="宋体" w:hAnsi="宋体" w:cs="宋体"/>
          <w:sz w:val="24"/>
          <w:szCs w:val="24"/>
        </w:rPr>
        <w:t>包括但不限于以下内容：</w:t>
      </w:r>
    </w:p>
    <w:p w14:paraId="471AFA91">
      <w:pPr>
        <w:spacing w:line="360" w:lineRule="auto"/>
        <w:ind w:firstLine="480" w:firstLineChars="200"/>
        <w:rPr>
          <w:rFonts w:ascii="宋体" w:hAnsi="宋体" w:cs="宋体"/>
          <w:sz w:val="24"/>
          <w:szCs w:val="24"/>
        </w:rPr>
      </w:pPr>
      <w:r>
        <w:rPr>
          <w:rFonts w:hint="eastAsia" w:ascii="宋体" w:hAnsi="宋体" w:cs="宋体"/>
          <w:sz w:val="24"/>
          <w:szCs w:val="24"/>
        </w:rPr>
        <w:t>2.2.1设计及工程前期工作</w:t>
      </w:r>
    </w:p>
    <w:p w14:paraId="3F96ED26">
      <w:pPr>
        <w:spacing w:line="360" w:lineRule="auto"/>
        <w:ind w:firstLine="480" w:firstLineChars="200"/>
        <w:rPr>
          <w:rFonts w:ascii="宋体" w:hAnsi="宋体" w:cs="宋体"/>
          <w:sz w:val="24"/>
          <w:szCs w:val="24"/>
        </w:rPr>
      </w:pPr>
      <w:r>
        <w:rPr>
          <w:rFonts w:hint="eastAsia" w:ascii="宋体" w:hAnsi="宋体" w:cs="宋体"/>
          <w:sz w:val="24"/>
          <w:szCs w:val="24"/>
        </w:rPr>
        <w:t>本项目全过程全专业设计，包括但不限于：修建性详细规划设计及报批、单体报建图设计和报建图、报建通编制、初步设计（含初步设计概算编制、送审、配合评审工作）、施工图设计及规划验收电子报批文件、设计变更（含造价概算分析）、现场驻场技术指导及竣工图审核，具体详见合同附件设计任务书的要求。范围主要包括：</w:t>
      </w:r>
    </w:p>
    <w:p w14:paraId="4E2C9809">
      <w:pPr>
        <w:spacing w:line="360" w:lineRule="auto"/>
        <w:ind w:firstLine="480" w:firstLineChars="200"/>
        <w:rPr>
          <w:rFonts w:ascii="宋体" w:hAnsi="宋体" w:cs="宋体"/>
          <w:sz w:val="24"/>
          <w:szCs w:val="24"/>
        </w:rPr>
      </w:pPr>
      <w:r>
        <w:rPr>
          <w:rFonts w:hint="eastAsia" w:ascii="宋体" w:hAnsi="宋体" w:cs="宋体"/>
          <w:sz w:val="24"/>
          <w:szCs w:val="24"/>
        </w:rPr>
        <w:t>（1）负责工程范围所有</w:t>
      </w:r>
      <w:r>
        <w:rPr>
          <w:rFonts w:hint="eastAsia" w:ascii="宋体" w:hAnsi="宋体" w:cs="宋体"/>
          <w:sz w:val="24"/>
          <w:szCs w:val="24"/>
          <w:lang w:val="en-US" w:eastAsia="zh-CN"/>
        </w:rPr>
        <w:t>道路及桥梁</w:t>
      </w:r>
      <w:r>
        <w:rPr>
          <w:rFonts w:hint="eastAsia" w:ascii="宋体" w:hAnsi="宋体" w:cs="宋体"/>
          <w:sz w:val="24"/>
          <w:szCs w:val="24"/>
        </w:rPr>
        <w:t>工程、结构工程、钢结构工程、给排水工程（含市政排水排污）、电气（含防雷）工程、环保工程、景观园林绿化工程等专业设计；</w:t>
      </w:r>
    </w:p>
    <w:p w14:paraId="25840F7C">
      <w:pPr>
        <w:spacing w:line="360" w:lineRule="auto"/>
        <w:ind w:firstLine="480" w:firstLineChars="200"/>
        <w:rPr>
          <w:rFonts w:ascii="宋体" w:hAnsi="宋体" w:cs="宋体"/>
          <w:sz w:val="24"/>
          <w:szCs w:val="24"/>
        </w:rPr>
      </w:pPr>
      <w:r>
        <w:rPr>
          <w:rFonts w:hint="eastAsia" w:ascii="宋体" w:hAnsi="宋体"/>
          <w:sz w:val="24"/>
        </w:rPr>
        <w:t>（</w:t>
      </w:r>
      <w:r>
        <w:rPr>
          <w:rFonts w:ascii="宋体" w:hAnsi="宋体"/>
          <w:sz w:val="24"/>
        </w:rPr>
        <w:t>2</w:t>
      </w:r>
      <w:r>
        <w:rPr>
          <w:rFonts w:hint="eastAsia" w:ascii="宋体" w:hAnsi="宋体"/>
          <w:sz w:val="24"/>
        </w:rPr>
        <w:t>）负责办理项目的修规报建、建筑方案报建、初步设计审查备案、各项专家评审、各专业报建、施工图报建审查、办理建设工程规划许可证、施工许可证等各专项报批报建和验收工作；</w:t>
      </w:r>
    </w:p>
    <w:p w14:paraId="257A5917">
      <w:pPr>
        <w:pStyle w:val="46"/>
        <w:adjustRightInd w:val="0"/>
        <w:spacing w:after="0"/>
        <w:ind w:left="0" w:leftChars="0" w:firstLine="480"/>
        <w:rPr>
          <w:rFonts w:ascii="宋体" w:hAnsi="宋体" w:cs="宋体"/>
        </w:rPr>
      </w:pPr>
      <w:bookmarkStart w:id="32" w:name="_Hlk145694209"/>
      <w:r>
        <w:rPr>
          <w:rFonts w:hint="eastAsia" w:ascii="宋体" w:hAnsi="宋体" w:cs="宋体"/>
        </w:rPr>
        <w:t>（3）本工程的主体及关键性工作必须由承包人自行完成，不得分包。非主体、非关键性工作的分包应通过发包人对分包单位的资质、业绩、专业能力考察，</w:t>
      </w:r>
      <w:r>
        <w:rPr>
          <w:rFonts w:hint="eastAsia" w:ascii="宋体" w:hAnsi="宋体"/>
        </w:rPr>
        <w:t>征得发包人的书面同意</w:t>
      </w:r>
      <w:r>
        <w:rPr>
          <w:rFonts w:hint="eastAsia" w:ascii="宋体" w:hAnsi="宋体" w:cs="宋体"/>
        </w:rPr>
        <w:t>后，全部设计</w:t>
      </w:r>
      <w:r>
        <w:rPr>
          <w:rFonts w:hint="eastAsia" w:ascii="宋体" w:hAnsi="宋体"/>
        </w:rPr>
        <w:t>分包合同须向发包人备案</w:t>
      </w:r>
      <w:r>
        <w:rPr>
          <w:rFonts w:hint="eastAsia" w:ascii="宋体" w:hAnsi="宋体" w:cs="宋体"/>
        </w:rPr>
        <w:t>。承包人违法分包或擅自让未经发包人批准的分包单位进场作业，承担相应违约责任，同时对于承包人违法分包或转包部分均不予认可，相应的工作内容和工程量均不予计量；</w:t>
      </w:r>
    </w:p>
    <w:bookmarkEnd w:id="32"/>
    <w:p w14:paraId="6919B721">
      <w:pPr>
        <w:spacing w:line="360" w:lineRule="auto"/>
        <w:ind w:firstLine="480" w:firstLineChars="200"/>
        <w:rPr>
          <w:rFonts w:ascii="宋体" w:hAnsi="宋体" w:cs="宋体"/>
          <w:sz w:val="24"/>
          <w:szCs w:val="24"/>
        </w:rPr>
      </w:pPr>
      <w:r>
        <w:rPr>
          <w:rFonts w:hint="eastAsia" w:ascii="宋体" w:hAnsi="宋体" w:cs="宋体"/>
          <w:sz w:val="24"/>
          <w:szCs w:val="24"/>
        </w:rPr>
        <w:t>（4）负责项目涉及的临时道路、临时路口开设、临时给排水、发包人的驻地办公场所和生活区设计（临时板房、景观绿化等）、红线外场地租赁及复垦复绿（如有）等所有临时设施的设计、申报及施工工作；</w:t>
      </w:r>
    </w:p>
    <w:p w14:paraId="2706DB96">
      <w:pPr>
        <w:spacing w:line="360" w:lineRule="auto"/>
        <w:ind w:firstLine="480" w:firstLineChars="200"/>
        <w:rPr>
          <w:rFonts w:ascii="宋体" w:hAnsi="宋体" w:cs="宋体"/>
          <w:sz w:val="24"/>
          <w:szCs w:val="24"/>
        </w:rPr>
      </w:pPr>
      <w:r>
        <w:rPr>
          <w:rFonts w:hint="eastAsia" w:ascii="宋体" w:hAnsi="宋体" w:cs="宋体"/>
          <w:sz w:val="24"/>
          <w:szCs w:val="24"/>
        </w:rPr>
        <w:t>（5）完成本项目招标范围内工程概算等造价文件的编制工作及相关配合报审工作，还包括各阶段方案比选、技术造型比选等的投资分析，根据发包人要求提供项目的成本指标数据；</w:t>
      </w:r>
    </w:p>
    <w:p w14:paraId="0722BD65">
      <w:pPr>
        <w:spacing w:line="360" w:lineRule="auto"/>
        <w:ind w:firstLine="480" w:firstLineChars="200"/>
        <w:rPr>
          <w:rFonts w:ascii="宋体" w:hAnsi="宋体" w:cs="宋体"/>
          <w:sz w:val="24"/>
          <w:szCs w:val="24"/>
        </w:rPr>
      </w:pPr>
      <w:r>
        <w:rPr>
          <w:rFonts w:hint="eastAsia" w:ascii="宋体" w:hAnsi="宋体" w:cs="宋体"/>
          <w:sz w:val="24"/>
          <w:szCs w:val="24"/>
        </w:rPr>
        <w:t>（6）负责根据建设要求组织各项专家评审，相关费用由承包人承担；</w:t>
      </w:r>
    </w:p>
    <w:p w14:paraId="129ECC39">
      <w:pPr>
        <w:spacing w:line="360" w:lineRule="auto"/>
        <w:ind w:firstLine="480" w:firstLineChars="200"/>
        <w:rPr>
          <w:rFonts w:ascii="宋体" w:hAnsi="宋体" w:cs="宋体"/>
          <w:sz w:val="24"/>
          <w:szCs w:val="24"/>
        </w:rPr>
      </w:pPr>
      <w:r>
        <w:rPr>
          <w:rFonts w:hint="eastAsia" w:ascii="宋体" w:hAnsi="宋体" w:cs="宋体"/>
          <w:sz w:val="24"/>
          <w:szCs w:val="24"/>
        </w:rPr>
        <w:t>（7）除按合同约定的时间和要求向发包人提交满足发包人要求的设计成果文件外，还应承担工程施工过程直至竣工验收前的设计服务（包含设计变更）等工作，保证设计变更满足施工进度要求；</w:t>
      </w:r>
    </w:p>
    <w:p w14:paraId="6ABC5A20">
      <w:pPr>
        <w:spacing w:line="360" w:lineRule="auto"/>
        <w:ind w:firstLine="480" w:firstLineChars="200"/>
        <w:rPr>
          <w:rFonts w:ascii="宋体" w:hAnsi="宋体" w:cs="宋体"/>
          <w:sz w:val="24"/>
          <w:szCs w:val="24"/>
        </w:rPr>
      </w:pPr>
      <w:r>
        <w:rPr>
          <w:rFonts w:hint="eastAsia" w:ascii="宋体" w:hAnsi="宋体" w:cs="宋体"/>
          <w:sz w:val="24"/>
          <w:szCs w:val="24"/>
        </w:rPr>
        <w:t>（8）配合施工图审查单位完成整套施工图的审查备案工作，含</w:t>
      </w:r>
      <w:r>
        <w:rPr>
          <w:rFonts w:hint="eastAsia" w:ascii="宋体" w:hAnsi="宋体" w:cs="宋体"/>
          <w:sz w:val="24"/>
        </w:rPr>
        <w:t>竣工图审核和盖章；</w:t>
      </w:r>
    </w:p>
    <w:p w14:paraId="591BAF36">
      <w:pPr>
        <w:spacing w:line="360" w:lineRule="auto"/>
        <w:ind w:firstLine="480" w:firstLineChars="200"/>
        <w:rPr>
          <w:rFonts w:ascii="宋体" w:hAnsi="宋体" w:cs="宋体"/>
          <w:sz w:val="24"/>
          <w:szCs w:val="24"/>
        </w:rPr>
      </w:pPr>
      <w:r>
        <w:rPr>
          <w:rFonts w:hint="eastAsia" w:ascii="宋体" w:hAnsi="宋体" w:cs="宋体"/>
          <w:sz w:val="24"/>
          <w:szCs w:val="24"/>
        </w:rPr>
        <w:t>（9）负责项目的地质勘察设计工作；</w:t>
      </w:r>
    </w:p>
    <w:p w14:paraId="43C4DF23">
      <w:pPr>
        <w:spacing w:line="360" w:lineRule="auto"/>
        <w:ind w:firstLine="480" w:firstLineChars="200"/>
        <w:rPr>
          <w:rFonts w:ascii="宋体" w:hAnsi="宋体" w:cs="宋体"/>
          <w:sz w:val="24"/>
          <w:szCs w:val="24"/>
        </w:rPr>
      </w:pPr>
      <w:r>
        <w:rPr>
          <w:rFonts w:hint="eastAsia" w:ascii="宋体" w:hAnsi="宋体" w:cs="宋体"/>
          <w:sz w:val="24"/>
          <w:szCs w:val="24"/>
        </w:rPr>
        <w:t>（10）负责地铁保护范围内的方案申报、审批工作（如有）；</w:t>
      </w:r>
    </w:p>
    <w:p w14:paraId="0D402845">
      <w:pPr>
        <w:spacing w:line="360" w:lineRule="auto"/>
        <w:ind w:firstLine="480" w:firstLineChars="200"/>
        <w:rPr>
          <w:rFonts w:hint="eastAsia" w:ascii="宋体" w:hAnsi="宋体"/>
          <w:sz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sz w:val="24"/>
        </w:rPr>
        <w:t>）负责根据通建办要求完成</w:t>
      </w:r>
      <w:r>
        <w:rPr>
          <w:rFonts w:ascii="宋体" w:hAnsi="宋体"/>
          <w:sz w:val="24"/>
        </w:rPr>
        <w:t>5G</w:t>
      </w:r>
      <w:r>
        <w:rPr>
          <w:rFonts w:hint="eastAsia" w:ascii="宋体" w:hAnsi="宋体"/>
          <w:sz w:val="24"/>
        </w:rPr>
        <w:t>移动通信无线室内覆盖基础设施工程图纸审查，相关费用由承包人承担</w:t>
      </w:r>
      <w:r>
        <w:rPr>
          <w:rFonts w:hint="eastAsia" w:ascii="宋体" w:hAnsi="宋体"/>
          <w:sz w:val="24"/>
          <w:lang w:eastAsia="zh-CN"/>
        </w:rPr>
        <w:t>（</w:t>
      </w:r>
      <w:r>
        <w:rPr>
          <w:rFonts w:hint="eastAsia" w:ascii="宋体" w:hAnsi="宋体"/>
          <w:sz w:val="24"/>
          <w:lang w:val="en-US" w:eastAsia="zh-CN"/>
        </w:rPr>
        <w:t>如有</w:t>
      </w:r>
      <w:r>
        <w:rPr>
          <w:rFonts w:hint="eastAsia" w:ascii="宋体" w:hAnsi="宋体"/>
          <w:sz w:val="24"/>
          <w:lang w:eastAsia="zh-CN"/>
        </w:rPr>
        <w:t>）</w:t>
      </w:r>
      <w:r>
        <w:rPr>
          <w:rFonts w:hint="eastAsia" w:ascii="宋体" w:hAnsi="宋体"/>
          <w:sz w:val="24"/>
        </w:rPr>
        <w:t>。</w:t>
      </w:r>
    </w:p>
    <w:p w14:paraId="492A99A7">
      <w:pPr>
        <w:numPr>
          <w:ilvl w:val="0"/>
          <w:numId w:val="3"/>
        </w:numPr>
        <w:spacing w:line="360" w:lineRule="auto"/>
        <w:ind w:firstLine="480" w:firstLineChars="200"/>
        <w:rPr>
          <w:rFonts w:hint="eastAsia" w:ascii="宋体" w:hAnsi="宋体"/>
          <w:sz w:val="24"/>
        </w:rPr>
      </w:pPr>
      <w:bookmarkStart w:id="33" w:name="Ev1Q-1706511054756"/>
      <w:bookmarkEnd w:id="33"/>
      <w:r>
        <w:rPr>
          <w:rFonts w:hint="eastAsia" w:ascii="宋体" w:hAnsi="宋体"/>
          <w:sz w:val="24"/>
          <w:lang w:val="en-US" w:eastAsia="zh-CN"/>
        </w:rPr>
        <w:t>负责项目的物探工作；</w:t>
      </w:r>
    </w:p>
    <w:p w14:paraId="787C6516">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rPr>
        <w:t>）上述条款未提及，但必须由承包人负责设计</w:t>
      </w:r>
      <w:r>
        <w:rPr>
          <w:rFonts w:ascii="宋体" w:hAnsi="宋体" w:cs="宋体"/>
          <w:sz w:val="24"/>
          <w:szCs w:val="24"/>
        </w:rPr>
        <w:t>/</w:t>
      </w:r>
      <w:r>
        <w:rPr>
          <w:rFonts w:hint="eastAsia" w:ascii="宋体" w:hAnsi="宋体" w:cs="宋体"/>
          <w:sz w:val="24"/>
          <w:szCs w:val="24"/>
        </w:rPr>
        <w:t>深化的，均属于承包人工作范围。</w:t>
      </w:r>
    </w:p>
    <w:p w14:paraId="1EAD7690">
      <w:pPr>
        <w:spacing w:line="360" w:lineRule="auto"/>
        <w:ind w:firstLine="480" w:firstLineChars="200"/>
        <w:rPr>
          <w:rFonts w:ascii="宋体" w:hAnsi="宋体" w:cs="宋体"/>
          <w:sz w:val="24"/>
          <w:szCs w:val="24"/>
        </w:rPr>
      </w:pPr>
      <w:r>
        <w:rPr>
          <w:rFonts w:hint="eastAsia" w:ascii="宋体" w:hAnsi="宋体" w:cs="宋体"/>
          <w:sz w:val="24"/>
          <w:szCs w:val="24"/>
        </w:rPr>
        <w:t>2.2.2工程实施阶段</w:t>
      </w:r>
    </w:p>
    <w:p w14:paraId="2C097B24">
      <w:pPr>
        <w:spacing w:line="360" w:lineRule="auto"/>
        <w:ind w:firstLine="480" w:firstLineChars="200"/>
        <w:rPr>
          <w:rFonts w:ascii="宋体" w:hAnsi="宋体"/>
          <w:sz w:val="24"/>
        </w:rPr>
      </w:pPr>
      <w:r>
        <w:rPr>
          <w:rFonts w:hint="eastAsia" w:ascii="宋体" w:hAnsi="宋体"/>
          <w:sz w:val="24"/>
        </w:rPr>
        <w:t>按照本工程招标文件、合同约定的范围和发包人批复的施工图进行施工总承包，范围主要包括：</w:t>
      </w:r>
    </w:p>
    <w:p w14:paraId="6230AF94">
      <w:pPr>
        <w:spacing w:line="360" w:lineRule="auto"/>
        <w:ind w:firstLine="480" w:firstLineChars="200"/>
        <w:rPr>
          <w:rFonts w:ascii="宋体" w:hAnsi="宋体" w:cs="宋体"/>
          <w:sz w:val="24"/>
          <w:szCs w:val="24"/>
        </w:rPr>
      </w:pPr>
      <w:r>
        <w:rPr>
          <w:rFonts w:hint="eastAsia" w:ascii="宋体" w:hAnsi="宋体" w:cs="宋体"/>
          <w:sz w:val="24"/>
          <w:szCs w:val="24"/>
        </w:rPr>
        <w:t>（1）负责本项目临电临水（含红线外接驳）、临时排水排污（含红线外接驳）、临时围墙（含维护保养及拆除）及视频监控、临时道路及路口等工程的报批及施工、各项临时设施建设和维护以及竣工验收后的拆除（包括承担临时施工用地的租用费用和复垦等相关责任）等工作；</w:t>
      </w:r>
    </w:p>
    <w:p w14:paraId="6668E0A6">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sz w:val="24"/>
        </w:rPr>
        <w:t>2</w:t>
      </w:r>
      <w:r>
        <w:rPr>
          <w:rFonts w:hint="eastAsia" w:ascii="宋体" w:hAnsi="宋体" w:cs="宋体"/>
          <w:sz w:val="24"/>
          <w:szCs w:val="24"/>
        </w:rPr>
        <w:t>）负责项目用地范围内的考古勘探配合工作、现有建筑物、构筑物的拆除及清理外运（含现场垃圾清理外运）、管线迁移及保护、土壤修复、河道清淤及迁改、树木迁移、砍伐、清表、场地平整</w:t>
      </w:r>
      <w:r>
        <w:rPr>
          <w:rFonts w:hint="eastAsia" w:ascii="宋体" w:hAnsi="宋体" w:cs="宋体"/>
          <w:sz w:val="24"/>
          <w:szCs w:val="24"/>
          <w:lang w:eastAsia="zh-CN"/>
        </w:rPr>
        <w:t>、</w:t>
      </w:r>
      <w:r>
        <w:rPr>
          <w:rFonts w:hint="eastAsia" w:ascii="宋体" w:hAnsi="宋体" w:cs="宋体"/>
          <w:sz w:val="24"/>
          <w:szCs w:val="24"/>
          <w:lang w:val="en-US" w:eastAsia="zh-CN"/>
        </w:rPr>
        <w:t>工程施工需要的各种市政管线迁移或者保护</w:t>
      </w:r>
      <w:r>
        <w:rPr>
          <w:rFonts w:hint="eastAsia" w:ascii="宋体" w:hAnsi="宋体" w:cs="宋体"/>
          <w:sz w:val="24"/>
          <w:szCs w:val="24"/>
        </w:rPr>
        <w:t>等工作；</w:t>
      </w:r>
    </w:p>
    <w:p w14:paraId="2A00A7ED">
      <w:pPr>
        <w:pStyle w:val="19"/>
        <w:tabs>
          <w:tab w:val="left" w:pos="425"/>
        </w:tabs>
        <w:kinsoku w:val="0"/>
        <w:overflowPunct w:val="0"/>
        <w:spacing w:after="0" w:line="360" w:lineRule="auto"/>
        <w:ind w:firstLine="480" w:firstLineChars="200"/>
        <w:rPr>
          <w:rFonts w:ascii="宋体" w:hAnsi="宋体"/>
          <w:sz w:val="24"/>
        </w:rPr>
      </w:pPr>
      <w:r>
        <w:rPr>
          <w:rFonts w:hint="eastAsia" w:ascii="宋体" w:hAnsi="宋体" w:cs="宋体"/>
          <w:sz w:val="24"/>
          <w:szCs w:val="24"/>
        </w:rPr>
        <w:t>（3）负责的本工程施工工作，包括但不限于以下工作：</w:t>
      </w:r>
      <w:r>
        <w:rPr>
          <w:rFonts w:hint="eastAsia" w:ascii="宋体" w:hAnsi="宋体" w:cs="宋体"/>
          <w:sz w:val="24"/>
          <w:szCs w:val="24"/>
          <w:lang w:val="en-US" w:eastAsia="zh-CN"/>
        </w:rPr>
        <w:t>道路及桥梁</w:t>
      </w:r>
      <w:r>
        <w:rPr>
          <w:rFonts w:hint="eastAsia" w:ascii="宋体" w:hAnsi="宋体" w:cs="宋体"/>
          <w:sz w:val="24"/>
          <w:szCs w:val="24"/>
        </w:rPr>
        <w:t>工程、结构工程、钢结构工程、给排水工程</w:t>
      </w:r>
      <w:r>
        <w:rPr>
          <w:rFonts w:hint="eastAsia" w:ascii="宋体" w:hAnsi="宋体"/>
          <w:sz w:val="24"/>
        </w:rPr>
        <w:t>、电气（</w:t>
      </w:r>
      <w:r>
        <w:rPr>
          <w:rFonts w:hint="eastAsia" w:ascii="宋体" w:hAnsi="宋体" w:cs="宋体"/>
          <w:sz w:val="24"/>
          <w:szCs w:val="24"/>
        </w:rPr>
        <w:t>含防雷）工程、景观园林绿化工程等从承包人进场建设至整体竣工验收交付使用的其他全部工程的建设施工；</w:t>
      </w:r>
    </w:p>
    <w:p w14:paraId="175DEBDB">
      <w:pPr>
        <w:spacing w:line="360" w:lineRule="auto"/>
        <w:ind w:firstLine="480" w:firstLineChars="200"/>
        <w:rPr>
          <w:rFonts w:ascii="宋体" w:hAnsi="宋体" w:cs="宋体"/>
          <w:sz w:val="24"/>
          <w:szCs w:val="24"/>
        </w:rPr>
      </w:pPr>
      <w:r>
        <w:rPr>
          <w:rFonts w:hint="eastAsia" w:ascii="宋体" w:hAnsi="宋体" w:cs="宋体"/>
          <w:sz w:val="24"/>
          <w:szCs w:val="24"/>
        </w:rPr>
        <w:t>（4）负责概算、预算、结算等造价文件的编制工作，并负责送审、配合审核工作；</w:t>
      </w:r>
    </w:p>
    <w:p w14:paraId="053C29FB">
      <w:pPr>
        <w:spacing w:line="360" w:lineRule="auto"/>
        <w:ind w:firstLine="480" w:firstLineChars="200"/>
        <w:rPr>
          <w:rFonts w:ascii="宋体" w:hAnsi="宋体"/>
          <w:sz w:val="24"/>
        </w:rPr>
      </w:pPr>
      <w:r>
        <w:rPr>
          <w:rFonts w:hint="eastAsia" w:ascii="宋体" w:hAnsi="宋体" w:cs="宋体"/>
          <w:sz w:val="24"/>
          <w:szCs w:val="24"/>
        </w:rPr>
        <w:t>（5）</w:t>
      </w:r>
      <w:bookmarkStart w:id="34" w:name="_Hlk144395241"/>
      <w:r>
        <w:rPr>
          <w:rFonts w:hint="eastAsia" w:ascii="宋体" w:hAnsi="宋体"/>
          <w:sz w:val="24"/>
        </w:rPr>
        <w:t>负责办理工程开工及验收所需的各项报监、报建、报验手续，包括但不限于办理施工许可证(或临时施工复函)、报监手续、余泥排放证、排污手续、排水接驳（接到市政管网）、水质检测、排水许可证、临水、</w:t>
      </w:r>
      <w:r>
        <w:rPr>
          <w:rFonts w:hint="eastAsia" w:ascii="宋体" w:hAnsi="宋体" w:cs="宋体"/>
          <w:sz w:val="24"/>
          <w:szCs w:val="24"/>
        </w:rPr>
        <w:t>临时/永久路口</w:t>
      </w:r>
      <w:r>
        <w:rPr>
          <w:rFonts w:hint="eastAsia" w:ascii="宋体" w:hAnsi="宋体"/>
          <w:sz w:val="24"/>
        </w:rPr>
        <w:t>等专业报建报装、分项分部工程验收、</w:t>
      </w:r>
      <w:r>
        <w:rPr>
          <w:rFonts w:hint="eastAsia" w:ascii="宋体" w:hAnsi="宋体" w:cs="宋体"/>
          <w:sz w:val="24"/>
          <w:szCs w:val="24"/>
        </w:rPr>
        <w:t>桥梁验收、</w:t>
      </w:r>
      <w:r>
        <w:rPr>
          <w:rFonts w:hint="eastAsia" w:ascii="宋体" w:hAnsi="宋体"/>
          <w:sz w:val="24"/>
        </w:rPr>
        <w:t>环保验收、</w:t>
      </w:r>
      <w:r>
        <w:rPr>
          <w:rFonts w:hint="eastAsia" w:ascii="宋体" w:hAnsi="宋体" w:cs="宋体"/>
          <w:sz w:val="24"/>
          <w:szCs w:val="24"/>
        </w:rPr>
        <w:t>竣工</w:t>
      </w:r>
      <w:r>
        <w:rPr>
          <w:rFonts w:hint="eastAsia" w:ascii="宋体" w:hAnsi="宋体"/>
          <w:sz w:val="24"/>
        </w:rPr>
        <w:t>验收、规划验收</w:t>
      </w:r>
      <w:r>
        <w:rPr>
          <w:rFonts w:hint="eastAsia" w:ascii="宋体" w:hAnsi="宋体" w:cs="宋体"/>
          <w:sz w:val="24"/>
          <w:szCs w:val="24"/>
        </w:rPr>
        <w:t>（含验收通）</w:t>
      </w:r>
      <w:r>
        <w:rPr>
          <w:rFonts w:hint="eastAsia" w:ascii="宋体" w:hAnsi="宋体"/>
          <w:sz w:val="24"/>
        </w:rPr>
        <w:t>、档案验收及竣工联合验收等工作，并支付办理上述工作中应由承包人承担的费用</w:t>
      </w:r>
      <w:r>
        <w:rPr>
          <w:rFonts w:hint="eastAsia" w:ascii="宋体" w:hAnsi="宋体" w:cs="宋体"/>
          <w:sz w:val="24"/>
          <w:szCs w:val="24"/>
        </w:rPr>
        <w:t>，该费用已经包含在本合同价款中，不另外单独列计；</w:t>
      </w:r>
    </w:p>
    <w:bookmarkEnd w:id="34"/>
    <w:p w14:paraId="5801C88F">
      <w:pPr>
        <w:pStyle w:val="16"/>
        <w:spacing w:line="360" w:lineRule="auto"/>
        <w:ind w:firstLine="480" w:firstLineChars="200"/>
        <w:jc w:val="both"/>
        <w:rPr>
          <w:rFonts w:ascii="宋体" w:hAnsi="宋体"/>
          <w:sz w:val="24"/>
        </w:rPr>
      </w:pPr>
      <w:r>
        <w:rPr>
          <w:rFonts w:hint="eastAsia" w:ascii="宋体" w:hAnsi="宋体"/>
          <w:sz w:val="24"/>
        </w:rPr>
        <w:t>（</w:t>
      </w:r>
      <w:r>
        <w:rPr>
          <w:rFonts w:hint="eastAsia" w:ascii="宋体" w:hAnsi="宋体" w:cs="宋体"/>
          <w:sz w:val="24"/>
        </w:rPr>
        <w:t>6</w:t>
      </w:r>
      <w:r>
        <w:rPr>
          <w:rFonts w:hint="eastAsia" w:ascii="宋体" w:hAnsi="宋体"/>
          <w:sz w:val="24"/>
        </w:rPr>
        <w:t>）完成按有关规定建筑材料（设备）应该检验、检测工作（如项目验收需要</w:t>
      </w:r>
      <w:r>
        <w:rPr>
          <w:rFonts w:hint="eastAsia" w:ascii="宋体" w:hAnsi="宋体" w:cs="宋体"/>
          <w:sz w:val="24"/>
        </w:rPr>
        <w:t>的</w:t>
      </w:r>
      <w:r>
        <w:rPr>
          <w:rFonts w:hint="eastAsia" w:ascii="宋体" w:hAnsi="宋体"/>
          <w:sz w:val="24"/>
        </w:rPr>
        <w:t>材料见证检测），此项工作由承包人负责，由</w:t>
      </w:r>
      <w:r>
        <w:rPr>
          <w:rFonts w:hint="eastAsia" w:ascii="宋体" w:hAnsi="宋体" w:cs="宋体"/>
          <w:sz w:val="24"/>
        </w:rPr>
        <w:t>发包人委托</w:t>
      </w:r>
      <w:r>
        <w:rPr>
          <w:rFonts w:hint="eastAsia" w:ascii="宋体" w:hAnsi="宋体"/>
          <w:sz w:val="24"/>
        </w:rPr>
        <w:t>、费用由承包人自行承担，该费用已经包含在本合同价款中，不另外单独</w:t>
      </w:r>
      <w:r>
        <w:rPr>
          <w:rFonts w:hint="eastAsia" w:ascii="宋体" w:hAnsi="宋体"/>
          <w:sz w:val="24"/>
          <w:lang w:val="en-US" w:eastAsia="zh-CN"/>
        </w:rPr>
        <w:t>额外</w:t>
      </w:r>
      <w:r>
        <w:rPr>
          <w:rFonts w:hint="eastAsia" w:ascii="宋体" w:hAnsi="宋体" w:cs="宋体"/>
          <w:sz w:val="24"/>
        </w:rPr>
        <w:t>计算</w:t>
      </w:r>
      <w:r>
        <w:rPr>
          <w:rFonts w:hint="eastAsia" w:ascii="宋体" w:hAnsi="宋体" w:cs="宋体"/>
          <w:sz w:val="24"/>
          <w:lang w:val="en-US" w:eastAsia="zh-CN"/>
        </w:rPr>
        <w:t>费用</w:t>
      </w:r>
      <w:r>
        <w:rPr>
          <w:rFonts w:hint="eastAsia" w:ascii="宋体" w:hAnsi="宋体"/>
          <w:sz w:val="24"/>
        </w:rPr>
        <w:t>；负责提供人员、机械、</w:t>
      </w:r>
      <w:r>
        <w:rPr>
          <w:rFonts w:hint="eastAsia" w:ascii="宋体" w:hAnsi="宋体" w:cs="宋体"/>
          <w:sz w:val="24"/>
        </w:rPr>
        <w:t>砖渣回填及外运（或者敷设钢板）等</w:t>
      </w:r>
      <w:r>
        <w:rPr>
          <w:rFonts w:hint="eastAsia" w:ascii="宋体" w:hAnsi="宋体"/>
          <w:sz w:val="24"/>
        </w:rPr>
        <w:t>配合发包人委托的第三方检测工作，该费用已经包含在本合同价款中，不另外单独</w:t>
      </w:r>
      <w:r>
        <w:rPr>
          <w:rFonts w:hint="eastAsia" w:ascii="宋体" w:hAnsi="宋体" w:cs="宋体"/>
          <w:sz w:val="24"/>
        </w:rPr>
        <w:t>计算</w:t>
      </w:r>
      <w:r>
        <w:rPr>
          <w:rFonts w:hint="eastAsia" w:ascii="宋体" w:hAnsi="宋体"/>
          <w:sz w:val="24"/>
        </w:rPr>
        <w:t>；</w:t>
      </w:r>
    </w:p>
    <w:p w14:paraId="6CA9055E">
      <w:pPr>
        <w:spacing w:line="360" w:lineRule="auto"/>
        <w:ind w:firstLine="480" w:firstLineChars="200"/>
        <w:rPr>
          <w:rFonts w:ascii="宋体" w:hAnsi="宋体"/>
          <w:sz w:val="24"/>
        </w:rPr>
      </w:pPr>
      <w:r>
        <w:rPr>
          <w:rFonts w:hint="eastAsia" w:ascii="宋体" w:hAnsi="宋体"/>
          <w:sz w:val="24"/>
        </w:rPr>
        <w:t>（</w:t>
      </w:r>
      <w:r>
        <w:rPr>
          <w:rFonts w:hint="eastAsia" w:ascii="宋体" w:hAnsi="宋体" w:cs="宋体"/>
          <w:sz w:val="24"/>
          <w:szCs w:val="24"/>
        </w:rPr>
        <w:t>7</w:t>
      </w:r>
      <w:r>
        <w:rPr>
          <w:rFonts w:hint="eastAsia" w:ascii="宋体" w:hAnsi="宋体"/>
          <w:sz w:val="24"/>
        </w:rPr>
        <w:t>）负责施工期间至移交前的场地管理、保安、保洁、防噪音、防扬尘及绿化养护等管理工作；负责设置卫生垃圾池和建筑垃圾外运工作；负责设置施工污水收集过滤系统，保证污水排放不得影响周边环境，雨污分流，排入市政污水管网（如产生罚款由承包人自行承担）；配合发包人做好各项迎检工作，对场地进行清扫和布置</w:t>
      </w:r>
      <w:r>
        <w:rPr>
          <w:rFonts w:hint="eastAsia" w:ascii="宋体" w:hAnsi="宋体" w:cs="宋体"/>
          <w:sz w:val="24"/>
          <w:szCs w:val="24"/>
        </w:rPr>
        <w:t>，达到广州市及黄埔区对施工现场的安全文明施工的各项要求（</w:t>
      </w:r>
      <w:r>
        <w:rPr>
          <w:rFonts w:hint="eastAsia" w:ascii="宋体" w:hAnsi="宋体"/>
          <w:sz w:val="24"/>
        </w:rPr>
        <w:t>该</w:t>
      </w:r>
      <w:r>
        <w:rPr>
          <w:rFonts w:hint="eastAsia" w:ascii="宋体" w:hAnsi="宋体" w:cs="宋体"/>
          <w:sz w:val="24"/>
          <w:szCs w:val="24"/>
        </w:rPr>
        <w:t>部分</w:t>
      </w:r>
      <w:r>
        <w:rPr>
          <w:rFonts w:hint="eastAsia" w:ascii="宋体" w:hAnsi="宋体"/>
          <w:sz w:val="24"/>
        </w:rPr>
        <w:t>费用</w:t>
      </w:r>
      <w:r>
        <w:rPr>
          <w:rFonts w:hint="eastAsia" w:ascii="宋体" w:hAnsi="宋体" w:cs="宋体"/>
          <w:sz w:val="24"/>
          <w:szCs w:val="24"/>
        </w:rPr>
        <w:t>已</w:t>
      </w:r>
      <w:r>
        <w:rPr>
          <w:rFonts w:hint="eastAsia" w:ascii="宋体" w:hAnsi="宋体"/>
          <w:sz w:val="24"/>
        </w:rPr>
        <w:t>包含在本合同价款中</w:t>
      </w:r>
      <w:r>
        <w:rPr>
          <w:rFonts w:hint="eastAsia" w:ascii="宋体" w:hAnsi="宋体" w:cs="宋体"/>
          <w:sz w:val="24"/>
          <w:szCs w:val="24"/>
        </w:rPr>
        <w:t>，不另外单独列计）；</w:t>
      </w:r>
    </w:p>
    <w:p w14:paraId="67931AF2">
      <w:pPr>
        <w:spacing w:line="360" w:lineRule="auto"/>
        <w:ind w:firstLine="480" w:firstLineChars="200"/>
        <w:rPr>
          <w:rFonts w:ascii="宋体" w:hAnsi="宋体"/>
          <w:sz w:val="24"/>
        </w:rPr>
      </w:pPr>
      <w:r>
        <w:rPr>
          <w:rFonts w:hint="eastAsia" w:ascii="宋体" w:hAnsi="宋体"/>
          <w:sz w:val="24"/>
        </w:rPr>
        <w:t>（8）项目红线范围内的场地围蔽施工（含政府要求的宣传画及资料，须定期维护原有及新增的围蔽设施及更换围蔽宣传画，符合政府要求）及至本合同项下全部工程移交前的保修维护工作（含项目因分期开发而产生的交付区与施工区域的临时围蔽的安装及拆除等）、发包人现场已有的围蔽及工地大门的拆除或者升级改造等，该部分费用均已包含在本合同价款中，不再另行计费。</w:t>
      </w:r>
    </w:p>
    <w:p w14:paraId="6A079198">
      <w:pPr>
        <w:spacing w:line="360" w:lineRule="auto"/>
        <w:ind w:firstLine="480" w:firstLineChars="200"/>
        <w:rPr>
          <w:rFonts w:ascii="宋体" w:hAnsi="宋体"/>
          <w:sz w:val="24"/>
        </w:rPr>
      </w:pPr>
      <w:r>
        <w:rPr>
          <w:rFonts w:hint="eastAsia" w:ascii="宋体" w:hAnsi="宋体"/>
          <w:sz w:val="24"/>
        </w:rPr>
        <w:t>（</w:t>
      </w:r>
      <w:r>
        <w:rPr>
          <w:rFonts w:hint="eastAsia" w:ascii="宋体" w:hAnsi="宋体" w:cs="宋体"/>
          <w:sz w:val="24"/>
          <w:szCs w:val="24"/>
        </w:rPr>
        <w:t>9</w:t>
      </w:r>
      <w:r>
        <w:rPr>
          <w:rFonts w:hint="eastAsia" w:ascii="宋体" w:hAnsi="宋体"/>
          <w:sz w:val="24"/>
        </w:rPr>
        <w:t>）组织本项目的整体竣工验收及备案和整体工程资料（包括结算资料）汇总及整理归档工作；在本工程范围内工程资料正式移交给发包人及相关建设主管部门之前所产生的费用均包括在本合同价款中</w:t>
      </w:r>
      <w:r>
        <w:rPr>
          <w:rFonts w:hint="eastAsia" w:ascii="宋体" w:hAnsi="宋体" w:cs="宋体"/>
          <w:sz w:val="24"/>
          <w:szCs w:val="24"/>
        </w:rPr>
        <w:t>；</w:t>
      </w:r>
    </w:p>
    <w:p w14:paraId="44A5B990">
      <w:pPr>
        <w:spacing w:line="360" w:lineRule="auto"/>
        <w:ind w:firstLine="480" w:firstLineChars="200"/>
        <w:rPr>
          <w:rFonts w:ascii="宋体" w:hAnsi="宋体" w:cs="宋体"/>
          <w:sz w:val="24"/>
          <w:szCs w:val="24"/>
        </w:rPr>
      </w:pPr>
      <w:r>
        <w:rPr>
          <w:rFonts w:hint="eastAsia" w:ascii="宋体" w:hAnsi="宋体" w:cs="宋体"/>
          <w:sz w:val="24"/>
          <w:szCs w:val="24"/>
        </w:rPr>
        <w:t>（10）竣工图编制（含竣工图CAD电子文件）及竣工图纸晒图，图纸份数根据发包人要求确定；</w:t>
      </w:r>
    </w:p>
    <w:p w14:paraId="6C85D734">
      <w:pPr>
        <w:spacing w:line="360" w:lineRule="auto"/>
        <w:ind w:firstLine="480" w:firstLineChars="200"/>
        <w:rPr>
          <w:rFonts w:ascii="宋体" w:hAnsi="宋体" w:cs="宋体"/>
          <w:sz w:val="24"/>
          <w:szCs w:val="24"/>
        </w:rPr>
      </w:pPr>
      <w:bookmarkStart w:id="35" w:name="_Hlk145695774"/>
      <w:r>
        <w:rPr>
          <w:rFonts w:hint="eastAsia" w:ascii="宋体" w:hAnsi="宋体" w:cs="宋体"/>
          <w:sz w:val="24"/>
          <w:szCs w:val="24"/>
        </w:rPr>
        <w:t>（11）承包人须具备项目中各专业部分的相应资质，承包人应在征得发包人书面同意后将相关专业分包给其他具备相应资质的施工单位实施并签订分包合同。或承包人专业部分施工达不到发包人的要求，发包人有权要求承包人将此部分分包或更换给其他具备相应资质等级的施工单位实施并签订分包合同或发包人另行分包。由承包人签订的分包合同须向发包人审批</w:t>
      </w:r>
      <w:r>
        <w:rPr>
          <w:rFonts w:hint="eastAsia" w:ascii="宋体" w:hAnsi="宋体" w:cs="宋体"/>
          <w:sz w:val="24"/>
          <w:szCs w:val="24"/>
          <w:lang w:val="en-US" w:eastAsia="zh-CN"/>
        </w:rPr>
        <w:t>并将该分包合同提交予发包人备案</w:t>
      </w:r>
      <w:r>
        <w:rPr>
          <w:rFonts w:hint="eastAsia" w:ascii="宋体" w:hAnsi="宋体" w:cs="宋体"/>
          <w:sz w:val="24"/>
          <w:szCs w:val="24"/>
        </w:rPr>
        <w:t>。承包人须无条件接受前述发包人要求；</w:t>
      </w:r>
    </w:p>
    <w:bookmarkEnd w:id="35"/>
    <w:p w14:paraId="2713433D">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）负责协调施工过程中的相关职能部门及周边居民，包括且不限于：街道居委、公安派出所、</w:t>
      </w:r>
      <w:r>
        <w:rPr>
          <w:rFonts w:hint="eastAsia" w:ascii="宋体" w:hAnsi="宋体" w:cs="宋体"/>
          <w:sz w:val="24"/>
          <w:szCs w:val="24"/>
        </w:rPr>
        <w:t>余泥所、水务局、供电局、供水所、</w:t>
      </w:r>
      <w:r>
        <w:rPr>
          <w:rFonts w:hint="eastAsia" w:ascii="宋体" w:hAnsi="宋体"/>
          <w:sz w:val="24"/>
        </w:rPr>
        <w:t>交通部门</w:t>
      </w:r>
      <w:r>
        <w:rPr>
          <w:rFonts w:hint="eastAsia" w:ascii="宋体" w:hAnsi="宋体"/>
          <w:sz w:val="24"/>
          <w:lang w:eastAsia="zh-CN"/>
        </w:rPr>
        <w:t>（</w:t>
      </w:r>
      <w:r>
        <w:rPr>
          <w:rFonts w:hint="eastAsia" w:ascii="宋体" w:hAnsi="宋体"/>
          <w:sz w:val="24"/>
          <w:lang w:val="en-US" w:eastAsia="zh-CN"/>
        </w:rPr>
        <w:t>含地保办</w:t>
      </w:r>
      <w:r>
        <w:rPr>
          <w:rFonts w:hint="eastAsia" w:ascii="宋体" w:hAnsi="宋体"/>
          <w:sz w:val="24"/>
          <w:lang w:eastAsia="zh-CN"/>
        </w:rPr>
        <w:t>）</w:t>
      </w:r>
      <w:r>
        <w:rPr>
          <w:rFonts w:hint="eastAsia" w:ascii="宋体" w:hAnsi="宋体"/>
          <w:sz w:val="24"/>
        </w:rPr>
        <w:t>、质安监、</w:t>
      </w:r>
      <w:r>
        <w:rPr>
          <w:rFonts w:hint="eastAsia" w:ascii="宋体" w:hAnsi="宋体" w:cs="宋体"/>
          <w:sz w:val="24"/>
          <w:szCs w:val="24"/>
        </w:rPr>
        <w:t>住建局、城管、国土局、环保局、通管局、应急管理局、消防局、劳动监察、影响项目建设的周边企事业单位和利益相关村镇等；</w:t>
      </w:r>
    </w:p>
    <w:p w14:paraId="662A9C10">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）施工内容及建设标准详见</w:t>
      </w:r>
      <w:r>
        <w:rPr>
          <w:rFonts w:hint="eastAsia" w:ascii="宋体" w:hAnsi="宋体" w:cs="宋体"/>
          <w:sz w:val="24"/>
          <w:szCs w:val="24"/>
        </w:rPr>
        <w:t>设计任务书、施工任务书</w:t>
      </w:r>
      <w:r>
        <w:rPr>
          <w:rFonts w:hint="eastAsia" w:ascii="宋体" w:hAnsi="宋体"/>
          <w:sz w:val="24"/>
        </w:rPr>
        <w:t>、设计图纸、合同为准</w:t>
      </w:r>
      <w:r>
        <w:rPr>
          <w:rFonts w:hint="eastAsia" w:ascii="宋体" w:hAnsi="宋体" w:cs="宋体"/>
          <w:sz w:val="24"/>
          <w:szCs w:val="24"/>
        </w:rPr>
        <w:t>；</w:t>
      </w:r>
    </w:p>
    <w:p w14:paraId="648DEF7E">
      <w:pPr>
        <w:spacing w:line="360" w:lineRule="auto"/>
        <w:ind w:firstLine="480" w:firstLineChars="200"/>
        <w:rPr>
          <w:rFonts w:ascii="宋体" w:hAnsi="宋体" w:cs="宋体"/>
          <w:sz w:val="24"/>
          <w:szCs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w:t>
      </w:r>
      <w:r>
        <w:rPr>
          <w:rFonts w:hint="eastAsia" w:ascii="宋体" w:hAnsi="宋体" w:cs="宋体"/>
          <w:sz w:val="24"/>
          <w:szCs w:val="24"/>
        </w:rPr>
        <w:t>对需要专业分包的专项设计和工程，经发包人同意后，承包人与专业分包单位签订专业分包合同，承包人做好协调和管理工作。同时，承包人须按国家、地方、行业规定以及发包人要求的工程措施、安全措施、文明措施对项目进行工程总承包管理；</w:t>
      </w:r>
    </w:p>
    <w:p w14:paraId="5FC04EDA">
      <w:pPr>
        <w:spacing w:line="360" w:lineRule="auto"/>
        <w:ind w:firstLine="480" w:firstLineChars="200"/>
        <w:rPr>
          <w:rFonts w:ascii="宋体" w:hAnsi="宋体"/>
          <w:sz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sz w:val="24"/>
        </w:rPr>
        <w:t>做好迎检</w:t>
      </w:r>
      <w:r>
        <w:rPr>
          <w:rFonts w:hint="eastAsia" w:ascii="宋体" w:hAnsi="宋体" w:cs="宋体"/>
          <w:sz w:val="24"/>
          <w:szCs w:val="24"/>
        </w:rPr>
        <w:t>（含飞检）</w:t>
      </w:r>
      <w:r>
        <w:rPr>
          <w:rFonts w:hint="eastAsia" w:ascii="宋体" w:hAnsi="宋体"/>
          <w:sz w:val="24"/>
        </w:rPr>
        <w:t>、开工、封顶、竣工仪式等组织工作</w:t>
      </w:r>
      <w:r>
        <w:rPr>
          <w:rFonts w:hint="eastAsia" w:ascii="宋体" w:hAnsi="宋体" w:cs="宋体"/>
          <w:sz w:val="24"/>
          <w:szCs w:val="24"/>
        </w:rPr>
        <w:t>（并承担相应费用）；</w:t>
      </w:r>
    </w:p>
    <w:p w14:paraId="2FA4EC4B">
      <w:pPr>
        <w:spacing w:line="360" w:lineRule="auto"/>
        <w:ind w:firstLine="480" w:firstLineChars="200"/>
        <w:rPr>
          <w:rFonts w:ascii="宋体" w:hAnsi="宋体" w:cs="宋体"/>
          <w:sz w:val="24"/>
          <w:szCs w:val="24"/>
        </w:rPr>
      </w:pPr>
      <w:r>
        <w:rPr>
          <w:rFonts w:hint="eastAsia" w:ascii="宋体" w:hAnsi="宋体"/>
          <w:sz w:val="24"/>
        </w:rPr>
        <w:t>（</w:t>
      </w:r>
      <w:r>
        <w:rPr>
          <w:rFonts w:hint="eastAsia" w:ascii="宋体" w:hAnsi="宋体" w:cs="宋体"/>
          <w:sz w:val="24"/>
          <w:szCs w:val="24"/>
        </w:rPr>
        <w:t>1</w:t>
      </w:r>
      <w:r>
        <w:rPr>
          <w:rFonts w:hint="eastAsia" w:ascii="宋体" w:hAnsi="宋体" w:cs="宋体"/>
          <w:sz w:val="24"/>
          <w:szCs w:val="24"/>
          <w:lang w:val="en-US" w:eastAsia="zh-CN"/>
        </w:rPr>
        <w:t>6</w:t>
      </w:r>
      <w:r>
        <w:rPr>
          <w:rFonts w:hint="eastAsia" w:ascii="宋体" w:hAnsi="宋体"/>
          <w:sz w:val="24"/>
        </w:rPr>
        <w:t>）组织本项目的验收备案和工程资料汇总及整理归档</w:t>
      </w:r>
      <w:r>
        <w:rPr>
          <w:rFonts w:hint="eastAsia" w:ascii="宋体" w:hAnsi="宋体" w:cs="宋体"/>
          <w:sz w:val="24"/>
          <w:szCs w:val="24"/>
        </w:rPr>
        <w:t>工作；</w:t>
      </w:r>
    </w:p>
    <w:p w14:paraId="797A3672">
      <w:pPr>
        <w:pStyle w:val="46"/>
        <w:ind w:left="0" w:leftChars="0" w:firstLine="480"/>
      </w:pPr>
      <w:r>
        <w:rPr>
          <w:rFonts w:hint="eastAsia"/>
        </w:rPr>
        <w:t>（</w:t>
      </w:r>
      <w:r>
        <w:t>1</w:t>
      </w:r>
      <w:r>
        <w:rPr>
          <w:rFonts w:hint="eastAsia"/>
          <w:lang w:val="en-US" w:eastAsia="zh-CN"/>
        </w:rPr>
        <w:t>7</w:t>
      </w:r>
      <w:r>
        <w:rPr>
          <w:rFonts w:hint="eastAsia"/>
        </w:rPr>
        <w:t>）承包人在交付前</w:t>
      </w:r>
      <w:r>
        <w:t>15</w:t>
      </w:r>
      <w:r>
        <w:rPr>
          <w:rFonts w:hint="eastAsia"/>
        </w:rPr>
        <w:t>日，需对项目各个区域进行全面开荒清洁（该部分费用已包含在本合同价款中，不另单独计费）；</w:t>
      </w:r>
    </w:p>
    <w:p w14:paraId="7AFEC52D">
      <w:pPr>
        <w:pStyle w:val="46"/>
        <w:ind w:left="0" w:leftChars="0" w:firstLine="480"/>
      </w:pPr>
      <w:r>
        <w:rPr>
          <w:rFonts w:hint="eastAsia"/>
        </w:rPr>
        <w:t>（1</w:t>
      </w:r>
      <w:r>
        <w:rPr>
          <w:rFonts w:hint="eastAsia"/>
          <w:lang w:val="en-US" w:eastAsia="zh-CN"/>
        </w:rPr>
        <w:t>8</w:t>
      </w:r>
      <w:r>
        <w:rPr>
          <w:rFonts w:hint="eastAsia"/>
        </w:rPr>
        <w:t>）按黄埔区住房和城乡建设局及广州开发区建设和交通局《关于在区内建设工程推广应用新能源泥头车的通知》要求使用氢能源环保泥头车。如后期政府有新要求，则按照新政策执行。前述工作所需费用已包含在本合同价款中，不另增加；</w:t>
      </w:r>
    </w:p>
    <w:p w14:paraId="1E2B92CD">
      <w:pPr>
        <w:pStyle w:val="46"/>
        <w:ind w:left="0" w:leftChars="0" w:firstLine="480"/>
      </w:pPr>
      <w:r>
        <w:rPr>
          <w:rFonts w:hint="eastAsia"/>
        </w:rPr>
        <w:t>（</w:t>
      </w:r>
      <w:r>
        <w:rPr>
          <w:rFonts w:hint="eastAsia"/>
          <w:lang w:val="en-US" w:eastAsia="zh-CN"/>
        </w:rPr>
        <w:t>19</w:t>
      </w:r>
      <w:r>
        <w:rPr>
          <w:rFonts w:hint="eastAsia"/>
        </w:rPr>
        <w:t>）按黄埔区住房和城乡建设局及广州开发区建设和交通局《关于加强区内建设工程临建板房管理及推广使用箱型装配式临建板房的通知》要求搭设临设板房。如后期政府有新要求，则按照新政策执行；</w:t>
      </w:r>
    </w:p>
    <w:p w14:paraId="6BD80EDB">
      <w:pPr>
        <w:pStyle w:val="46"/>
        <w:ind w:left="0" w:leftChars="0" w:firstLine="480"/>
        <w:rPr>
          <w:rFonts w:hint="eastAsia"/>
        </w:rPr>
      </w:pPr>
      <w:r>
        <w:rPr>
          <w:rFonts w:hint="eastAsia"/>
        </w:rPr>
        <w:t>（2</w:t>
      </w:r>
      <w:r>
        <w:rPr>
          <w:rFonts w:hint="eastAsia"/>
          <w:lang w:val="en-US" w:eastAsia="zh-CN"/>
        </w:rPr>
        <w:t>0</w:t>
      </w:r>
      <w:r>
        <w:rPr>
          <w:rFonts w:hint="eastAsia"/>
        </w:rPr>
        <w:t>）按广州市林业和园林局文件《广州市林业和园林局关于进一步加强科学绿化的通知》进行选苗流程。如后期政府有新要求，则按照新政策执行。</w:t>
      </w:r>
    </w:p>
    <w:p w14:paraId="495739B3">
      <w:pPr>
        <w:pStyle w:val="46"/>
        <w:ind w:left="0" w:leftChars="0" w:firstLine="480"/>
        <w:rPr>
          <w:rFonts w:hint="eastAsia"/>
          <w:lang w:val="en-US" w:eastAsia="zh-CN"/>
        </w:rPr>
      </w:pPr>
      <w:r>
        <w:rPr>
          <w:rFonts w:hint="eastAsia"/>
          <w:lang w:eastAsia="zh-CN"/>
        </w:rPr>
        <w:t>（</w:t>
      </w:r>
      <w:r>
        <w:rPr>
          <w:rFonts w:hint="eastAsia"/>
          <w:lang w:val="en-US" w:eastAsia="zh-CN"/>
        </w:rPr>
        <w:t>21</w:t>
      </w:r>
      <w:r>
        <w:rPr>
          <w:rFonts w:hint="eastAsia"/>
          <w:lang w:eastAsia="zh-CN"/>
        </w:rPr>
        <w:t>）</w:t>
      </w:r>
      <w:r>
        <w:rPr>
          <w:rFonts w:hint="eastAsia"/>
          <w:lang w:val="en-US" w:eastAsia="zh-CN"/>
        </w:rPr>
        <w:t>按照相关职能部门要求编制树木保护专项方案并实施；</w:t>
      </w:r>
    </w:p>
    <w:p w14:paraId="5FE9EFA3">
      <w:pPr>
        <w:spacing w:line="360" w:lineRule="auto"/>
        <w:ind w:firstLine="480" w:firstLineChars="200"/>
        <w:rPr>
          <w:rFonts w:ascii="宋体" w:hAnsi="宋体" w:cs="宋体"/>
          <w:sz w:val="24"/>
          <w:szCs w:val="24"/>
        </w:rPr>
      </w:pPr>
      <w:r>
        <w:rPr>
          <w:rFonts w:hint="eastAsia" w:ascii="宋体" w:hAnsi="宋体" w:cs="宋体"/>
          <w:sz w:val="24"/>
          <w:szCs w:val="24"/>
        </w:rPr>
        <w:t>2.2.3根据</w:t>
      </w:r>
      <w:r>
        <w:rPr>
          <w:rFonts w:hint="eastAsia" w:ascii="宋体" w:hAnsi="宋体"/>
          <w:sz w:val="24"/>
        </w:rPr>
        <w:t>发包人</w:t>
      </w:r>
      <w:r>
        <w:rPr>
          <w:rFonts w:hint="eastAsia" w:ascii="宋体" w:hAnsi="宋体" w:cs="宋体"/>
          <w:sz w:val="24"/>
          <w:szCs w:val="24"/>
        </w:rPr>
        <w:t>、设计任务书、技术需求书等要求进行限额设计及施工。</w:t>
      </w:r>
    </w:p>
    <w:p w14:paraId="7001C704">
      <w:pPr>
        <w:topLinePunct/>
        <w:autoSpaceDE w:val="0"/>
        <w:spacing w:line="360" w:lineRule="auto"/>
        <w:ind w:firstLine="480" w:firstLineChars="200"/>
        <w:rPr>
          <w:rFonts w:ascii="宋体" w:hAnsi="宋体" w:cs="宋体"/>
          <w:sz w:val="24"/>
          <w:szCs w:val="24"/>
        </w:rPr>
      </w:pPr>
      <w:r>
        <w:rPr>
          <w:rFonts w:hint="eastAsia" w:ascii="宋体" w:hAnsi="宋体" w:cs="宋体"/>
          <w:sz w:val="24"/>
          <w:szCs w:val="24"/>
        </w:rPr>
        <w:t>2.2.4作为本</w:t>
      </w:r>
      <w:r>
        <w:rPr>
          <w:rFonts w:hint="eastAsia" w:ascii="宋体" w:hAnsi="宋体"/>
          <w:sz w:val="24"/>
        </w:rPr>
        <w:t>工程</w:t>
      </w:r>
      <w:r>
        <w:rPr>
          <w:rFonts w:hint="eastAsia" w:ascii="宋体" w:hAnsi="宋体"/>
          <w:sz w:val="24"/>
          <w:szCs w:val="24"/>
        </w:rPr>
        <w:t>资料汇总及整理归档工作（</w:t>
      </w:r>
      <w:r>
        <w:rPr>
          <w:rFonts w:hint="eastAsia" w:ascii="宋体" w:hAnsi="宋体" w:cs="宋体"/>
          <w:sz w:val="24"/>
          <w:szCs w:val="24"/>
        </w:rPr>
        <w:t>该部分费用已包含在本合同价款中，不再另计）；联合体主办方，对本工程的勘察、设计、施工进度、质量、安全、投资控制、管理等进行全面协调管理工作。</w:t>
      </w:r>
    </w:p>
    <w:p w14:paraId="29C78CFB">
      <w:pPr>
        <w:spacing w:line="360" w:lineRule="auto"/>
        <w:ind w:firstLine="480" w:firstLineChars="200"/>
        <w:rPr>
          <w:rFonts w:ascii="宋体" w:hAnsi="宋体"/>
          <w:kern w:val="0"/>
          <w:sz w:val="24"/>
        </w:rPr>
      </w:pPr>
      <w:r>
        <w:rPr>
          <w:rFonts w:hint="eastAsia" w:ascii="宋体" w:hAnsi="宋体" w:cs="宋体"/>
          <w:sz w:val="24"/>
          <w:szCs w:val="24"/>
        </w:rPr>
        <w:t>2.2.</w:t>
      </w:r>
      <w:r>
        <w:rPr>
          <w:rFonts w:hint="eastAsia" w:ascii="宋体" w:hAnsi="宋体" w:cs="宋体"/>
          <w:sz w:val="24"/>
          <w:szCs w:val="24"/>
          <w:lang w:val="en-US" w:eastAsia="zh-CN"/>
        </w:rPr>
        <w:t>5</w:t>
      </w:r>
      <w:r>
        <w:rPr>
          <w:rFonts w:hint="eastAsia" w:ascii="宋体" w:hAnsi="宋体"/>
          <w:sz w:val="24"/>
        </w:rPr>
        <w:t>发包人根据工程实施情况，有权对承包人的承包范围及内容进行适当调整，并按</w:t>
      </w:r>
      <w:r>
        <w:rPr>
          <w:rFonts w:hint="eastAsia" w:ascii="宋体" w:hAnsi="宋体"/>
          <w:kern w:val="0"/>
          <w:sz w:val="24"/>
        </w:rPr>
        <w:t>合同条款第52.4（2）款的约定处理，承包人必须无条件服从</w:t>
      </w:r>
      <w:r>
        <w:rPr>
          <w:rFonts w:hint="eastAsia" w:ascii="宋体" w:hAnsi="宋体" w:cs="宋体"/>
          <w:bCs/>
          <w:snapToGrid w:val="0"/>
          <w:kern w:val="0"/>
          <w:sz w:val="24"/>
        </w:rPr>
        <w:t>。</w:t>
      </w:r>
    </w:p>
    <w:p w14:paraId="607DF011">
      <w:pPr>
        <w:spacing w:line="360" w:lineRule="auto"/>
        <w:ind w:firstLine="480" w:firstLineChars="200"/>
        <w:rPr>
          <w:rFonts w:ascii="宋体" w:hAnsi="宋体"/>
          <w:kern w:val="0"/>
          <w:sz w:val="24"/>
        </w:rPr>
      </w:pPr>
      <w:bookmarkStart w:id="36" w:name="_Hlk145697505"/>
      <w:r>
        <w:rPr>
          <w:rFonts w:hint="eastAsia" w:ascii="宋体" w:hAnsi="宋体" w:cs="宋体"/>
          <w:sz w:val="24"/>
          <w:szCs w:val="24"/>
        </w:rPr>
        <w:t>2.2.</w:t>
      </w:r>
      <w:r>
        <w:rPr>
          <w:rFonts w:hint="eastAsia" w:ascii="宋体" w:hAnsi="宋体" w:cs="宋体"/>
          <w:sz w:val="24"/>
          <w:szCs w:val="24"/>
          <w:lang w:val="en-US" w:eastAsia="zh-CN"/>
        </w:rPr>
        <w:t>6</w:t>
      </w:r>
      <w:r>
        <w:rPr>
          <w:rFonts w:hint="eastAsia" w:ascii="宋体" w:hAnsi="宋体"/>
          <w:sz w:val="24"/>
        </w:rPr>
        <w:t>工程开工后</w:t>
      </w:r>
      <w:r>
        <w:rPr>
          <w:rFonts w:ascii="宋体" w:hAnsi="宋体"/>
          <w:sz w:val="24"/>
        </w:rPr>
        <w:t>30</w:t>
      </w:r>
      <w:r>
        <w:rPr>
          <w:rFonts w:hint="eastAsia" w:ascii="宋体" w:hAnsi="宋体"/>
          <w:sz w:val="24"/>
        </w:rPr>
        <w:t>天内，承包人须在现场做工法样板（特别是重点部位的做法</w:t>
      </w:r>
      <w:r>
        <w:rPr>
          <w:rFonts w:ascii="宋体" w:hAnsi="宋体"/>
          <w:sz w:val="24"/>
        </w:rPr>
        <w:t>)</w:t>
      </w:r>
      <w:r>
        <w:rPr>
          <w:rFonts w:hint="eastAsia" w:ascii="宋体" w:hAnsi="宋体"/>
          <w:sz w:val="24"/>
        </w:rPr>
        <w:t>，每一道工序需样板先行，且样板需经发包人确认通过后，方可进行大面施工</w:t>
      </w:r>
      <w:r>
        <w:rPr>
          <w:rFonts w:hint="eastAsia" w:ascii="宋体" w:hAnsi="宋体" w:cs="宋体"/>
          <w:bCs/>
          <w:snapToGrid w:val="0"/>
          <w:kern w:val="0"/>
          <w:sz w:val="24"/>
        </w:rPr>
        <w:t>。</w:t>
      </w:r>
    </w:p>
    <w:bookmarkEnd w:id="36"/>
    <w:p w14:paraId="56157738">
      <w:pPr>
        <w:spacing w:line="360" w:lineRule="auto"/>
        <w:ind w:firstLine="480" w:firstLineChars="200"/>
        <w:rPr>
          <w:rFonts w:ascii="宋体" w:hAnsi="宋体"/>
          <w:kern w:val="0"/>
          <w:sz w:val="24"/>
        </w:rPr>
      </w:pPr>
      <w:bookmarkStart w:id="37" w:name="_Toc3801_WPSOffice_Level3"/>
      <w:r>
        <w:rPr>
          <w:rFonts w:hint="eastAsia" w:ascii="宋体" w:hAnsi="宋体"/>
          <w:kern w:val="0"/>
          <w:sz w:val="24"/>
        </w:rPr>
        <w:t>2.3承包方式：</w:t>
      </w:r>
      <w:bookmarkEnd w:id="37"/>
    </w:p>
    <w:p w14:paraId="4888EC3D">
      <w:pPr>
        <w:spacing w:line="360" w:lineRule="auto"/>
        <w:ind w:firstLine="480" w:firstLineChars="200"/>
        <w:rPr>
          <w:rFonts w:ascii="宋体" w:hAnsi="宋体"/>
          <w:kern w:val="0"/>
          <w:sz w:val="24"/>
        </w:rPr>
      </w:pPr>
      <w:r>
        <w:rPr>
          <w:rFonts w:hint="eastAsia" w:ascii="宋体" w:hAnsi="宋体"/>
          <w:kern w:val="0"/>
          <w:sz w:val="24"/>
        </w:rPr>
        <w:t>2.3.1承包人根据招标文件、合同文件、有关资料及说明等对本项目实施</w:t>
      </w:r>
      <w:r>
        <w:rPr>
          <w:rFonts w:hint="eastAsia" w:ascii="宋体" w:hAnsi="宋体"/>
          <w:kern w:val="0"/>
          <w:sz w:val="24"/>
          <w:lang w:val="en-US" w:eastAsia="zh-CN"/>
        </w:rPr>
        <w:t>勘察</w:t>
      </w:r>
      <w:r>
        <w:rPr>
          <w:rFonts w:hint="eastAsia" w:ascii="宋体" w:hAnsi="宋体" w:cs="宋体"/>
          <w:bCs/>
          <w:snapToGrid w:val="0"/>
          <w:kern w:val="0"/>
          <w:sz w:val="24"/>
        </w:rPr>
        <w:t>设计</w:t>
      </w:r>
      <w:r>
        <w:rPr>
          <w:rFonts w:hint="eastAsia" w:ascii="宋体" w:hAnsi="宋体"/>
          <w:kern w:val="0"/>
          <w:sz w:val="24"/>
        </w:rPr>
        <w:t>施工总承包：</w:t>
      </w:r>
      <w:r>
        <w:rPr>
          <w:rFonts w:hint="eastAsia" w:ascii="宋体" w:hAnsi="宋体" w:cs="宋体"/>
          <w:bCs/>
          <w:snapToGrid w:val="0"/>
          <w:kern w:val="0"/>
          <w:sz w:val="24"/>
        </w:rPr>
        <w:t>包</w:t>
      </w:r>
      <w:r>
        <w:rPr>
          <w:rFonts w:hint="eastAsia" w:ascii="宋体" w:hAnsi="宋体" w:cs="宋体"/>
          <w:bCs/>
          <w:snapToGrid w:val="0"/>
          <w:kern w:val="0"/>
          <w:sz w:val="24"/>
          <w:lang w:val="en-US" w:eastAsia="zh-CN"/>
        </w:rPr>
        <w:t>勘察</w:t>
      </w:r>
      <w:r>
        <w:rPr>
          <w:rFonts w:hint="eastAsia" w:ascii="宋体" w:hAnsi="宋体" w:cs="宋体"/>
          <w:bCs/>
          <w:snapToGrid w:val="0"/>
          <w:kern w:val="0"/>
          <w:sz w:val="24"/>
        </w:rPr>
        <w:t>设计[包括但不限于包</w:t>
      </w:r>
      <w:r>
        <w:rPr>
          <w:rFonts w:hint="eastAsia" w:ascii="宋体" w:hAnsi="宋体" w:cs="宋体"/>
          <w:sz w:val="24"/>
          <w:szCs w:val="24"/>
        </w:rPr>
        <w:t>深化方案设计、包修建性详细规划设计及报批、包单体报建图设计和报建图编制、包报建通编制、包初步设计（含初步设计概算编制、送审、配合评审工作）、包施工图设计及规划验收电子报批文件、包</w:t>
      </w:r>
      <w:r>
        <w:rPr>
          <w:rFonts w:hint="eastAsia" w:ascii="宋体" w:hAnsi="宋体" w:cs="宋体"/>
          <w:sz w:val="24"/>
        </w:rPr>
        <w:t>竣工图编制审核和盖章</w:t>
      </w:r>
      <w:r>
        <w:rPr>
          <w:rFonts w:hint="eastAsia" w:ascii="宋体" w:hAnsi="宋体" w:cs="宋体"/>
          <w:sz w:val="24"/>
          <w:szCs w:val="24"/>
        </w:rPr>
        <w:t>、包竣工通、包设计变更（含造价分析）及现场技术指导、包现场施工技术交底竣工验收服务等</w:t>
      </w:r>
      <w:r>
        <w:rPr>
          <w:rFonts w:hint="eastAsia" w:ascii="宋体" w:hAnsi="宋体" w:cs="宋体"/>
          <w:bCs/>
          <w:snapToGrid w:val="0"/>
          <w:kern w:val="0"/>
          <w:sz w:val="24"/>
        </w:rPr>
        <w:t>]，包施工</w:t>
      </w:r>
      <w:r>
        <w:rPr>
          <w:rFonts w:hint="eastAsia" w:ascii="宋体" w:hAnsi="宋体" w:cs="宋体"/>
          <w:sz w:val="24"/>
        </w:rPr>
        <w:t>[</w:t>
      </w:r>
      <w:r>
        <w:rPr>
          <w:rFonts w:hint="eastAsia" w:ascii="宋体" w:hAnsi="宋体" w:cs="宋体"/>
          <w:bCs/>
          <w:snapToGrid w:val="0"/>
          <w:kern w:val="0"/>
          <w:sz w:val="24"/>
        </w:rPr>
        <w:t>包括但不限于</w:t>
      </w:r>
      <w:r>
        <w:rPr>
          <w:rFonts w:hint="eastAsia" w:ascii="宋体" w:hAnsi="宋体"/>
          <w:sz w:val="24"/>
        </w:rPr>
        <w:t>包工、包料、包质量、包安全生产、包文明施工、包工期、包承包范围内工程验收通过、包移交、包结算</w:t>
      </w:r>
      <w:r>
        <w:rPr>
          <w:rFonts w:hint="eastAsia" w:ascii="宋体" w:hAnsi="宋体"/>
          <w:kern w:val="0"/>
          <w:sz w:val="24"/>
        </w:rPr>
        <w:t>和资料整理归档、包承包人应当购买的保险、包竣工图编制（须满足规划等各专项验收要求）、</w:t>
      </w:r>
      <w:r>
        <w:rPr>
          <w:rFonts w:hint="eastAsia" w:ascii="宋体" w:hAnsi="宋体"/>
          <w:sz w:val="24"/>
        </w:rPr>
        <w:t>包总承包管理和现场整体组织、包专业协调及配合等</w:t>
      </w:r>
      <w:r>
        <w:rPr>
          <w:rFonts w:hint="eastAsia" w:ascii="宋体" w:hAnsi="宋体" w:cs="宋体"/>
          <w:sz w:val="24"/>
        </w:rPr>
        <w:t>]</w:t>
      </w:r>
      <w:r>
        <w:rPr>
          <w:rFonts w:hint="eastAsia" w:ascii="宋体" w:hAnsi="宋体" w:cs="宋体"/>
          <w:bCs/>
          <w:snapToGrid w:val="0"/>
          <w:kern w:val="0"/>
          <w:sz w:val="24"/>
        </w:rPr>
        <w:t>，包控制投资、包</w:t>
      </w:r>
      <w:r>
        <w:rPr>
          <w:rFonts w:hint="eastAsia" w:ascii="宋体" w:hAnsi="宋体"/>
          <w:sz w:val="24"/>
        </w:rPr>
        <w:t>报批报建等。</w:t>
      </w:r>
      <w:r>
        <w:rPr>
          <w:rFonts w:hint="eastAsia" w:ascii="宋体" w:hAnsi="宋体"/>
          <w:kern w:val="0"/>
          <w:sz w:val="24"/>
        </w:rPr>
        <w:t>合同价款根据招标文件和本合同约定的计价方式进行计价和结算。</w:t>
      </w:r>
    </w:p>
    <w:p w14:paraId="601E4000">
      <w:pPr>
        <w:spacing w:line="360" w:lineRule="auto"/>
        <w:ind w:firstLine="480" w:firstLineChars="200"/>
        <w:rPr>
          <w:rFonts w:ascii="宋体" w:hAnsi="宋体"/>
          <w:kern w:val="0"/>
          <w:sz w:val="24"/>
        </w:rPr>
      </w:pPr>
      <w:r>
        <w:rPr>
          <w:rFonts w:hint="eastAsia" w:ascii="宋体" w:hAnsi="宋体"/>
          <w:kern w:val="0"/>
          <w:sz w:val="24"/>
        </w:rPr>
        <w:t>2.3.2本项目严禁转包或违法分包，否则严格按照合同条款第41.</w:t>
      </w:r>
      <w:r>
        <w:rPr>
          <w:rFonts w:hint="eastAsia" w:ascii="宋体" w:hAnsi="宋体" w:cs="宋体"/>
          <w:snapToGrid w:val="0"/>
          <w:kern w:val="0"/>
          <w:sz w:val="24"/>
        </w:rPr>
        <w:t>14</w:t>
      </w:r>
      <w:r>
        <w:rPr>
          <w:rFonts w:hint="eastAsia" w:ascii="宋体" w:hAnsi="宋体"/>
          <w:kern w:val="0"/>
          <w:sz w:val="24"/>
        </w:rPr>
        <w:t>款“工程转包、分包方面的违约责任”执行。凡违反以下情形之一，均视为违法分包：</w:t>
      </w:r>
    </w:p>
    <w:p w14:paraId="004308BE">
      <w:pPr>
        <w:spacing w:line="360" w:lineRule="auto"/>
        <w:ind w:firstLine="480" w:firstLineChars="200"/>
        <w:rPr>
          <w:rFonts w:ascii="宋体" w:hAnsi="宋体"/>
          <w:kern w:val="0"/>
          <w:sz w:val="24"/>
        </w:rPr>
      </w:pPr>
      <w:r>
        <w:rPr>
          <w:rFonts w:hint="eastAsia" w:ascii="宋体" w:hAnsi="宋体"/>
          <w:kern w:val="0"/>
          <w:sz w:val="24"/>
        </w:rPr>
        <w:t>（1）主体和关键性工程分包；</w:t>
      </w:r>
    </w:p>
    <w:p w14:paraId="455E557D">
      <w:pPr>
        <w:spacing w:line="360" w:lineRule="auto"/>
        <w:ind w:firstLine="480" w:firstLineChars="200"/>
        <w:rPr>
          <w:rFonts w:ascii="宋体" w:hAnsi="宋体"/>
          <w:kern w:val="0"/>
          <w:sz w:val="24"/>
        </w:rPr>
      </w:pPr>
      <w:r>
        <w:rPr>
          <w:rFonts w:hint="eastAsia" w:ascii="宋体" w:hAnsi="宋体"/>
          <w:kern w:val="0"/>
          <w:sz w:val="24"/>
        </w:rPr>
        <w:t>（2）分包单位不具备相应的资质和能力；</w:t>
      </w:r>
    </w:p>
    <w:p w14:paraId="41CEF733">
      <w:pPr>
        <w:spacing w:line="360" w:lineRule="auto"/>
        <w:ind w:firstLine="480" w:firstLineChars="200"/>
        <w:rPr>
          <w:rFonts w:ascii="宋体" w:hAnsi="宋体"/>
          <w:kern w:val="0"/>
          <w:sz w:val="24"/>
        </w:rPr>
      </w:pPr>
      <w:r>
        <w:rPr>
          <w:rFonts w:hint="eastAsia" w:ascii="宋体" w:hAnsi="宋体"/>
          <w:kern w:val="0"/>
          <w:sz w:val="24"/>
        </w:rPr>
        <w:t>（3）分包单位再次分包；</w:t>
      </w:r>
    </w:p>
    <w:p w14:paraId="06DE4FB8">
      <w:pPr>
        <w:spacing w:line="360" w:lineRule="auto"/>
        <w:ind w:firstLine="480" w:firstLineChars="200"/>
        <w:rPr>
          <w:rFonts w:ascii="宋体" w:hAnsi="宋体"/>
          <w:kern w:val="0"/>
          <w:sz w:val="24"/>
        </w:rPr>
      </w:pPr>
      <w:r>
        <w:rPr>
          <w:rFonts w:hint="eastAsia" w:ascii="宋体" w:hAnsi="宋体"/>
          <w:kern w:val="0"/>
          <w:sz w:val="24"/>
        </w:rPr>
        <w:t>（4）分包单位未经发包人审查批准。</w:t>
      </w:r>
    </w:p>
    <w:p w14:paraId="2CC58E4E">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2.4投资控制</w:t>
      </w:r>
    </w:p>
    <w:p w14:paraId="5E26496E">
      <w:pPr>
        <w:spacing w:line="360" w:lineRule="auto"/>
        <w:ind w:firstLine="480" w:firstLineChars="200"/>
        <w:rPr>
          <w:rFonts w:ascii="宋体" w:hAnsi="宋体" w:cs="宋体"/>
          <w:sz w:val="24"/>
        </w:rPr>
      </w:pPr>
      <w:r>
        <w:rPr>
          <w:rFonts w:hint="eastAsia" w:ascii="宋体" w:hAnsi="宋体" w:cs="宋体"/>
          <w:sz w:val="24"/>
        </w:rPr>
        <w:t>2.4.1本工程实行全过程限额设计和施工；严格控制每阶段投资目标，结算总金额不得超过合同暂定金额(中标价)，因发包人要求增加或品质提升而导致变更或增加的工程除外，但该部分变更或增加应以发包人书面确认的为准。承包人根据已确定的概念性规划、</w:t>
      </w:r>
      <w:r>
        <w:fldChar w:fldCharType="begin"/>
      </w:r>
      <w:r>
        <w:instrText xml:space="preserve"> HYPERLINK "https://baike.baidu.com/item/%E4%BF%AE%E5%BB%BA%E6%80%A7%E8%AF%A6%E7%BB%86%E8%A7%84%E5%88%92" \t "_blank" </w:instrText>
      </w:r>
      <w:r>
        <w:fldChar w:fldCharType="separate"/>
      </w:r>
      <w:r>
        <w:rPr>
          <w:rFonts w:hint="eastAsia" w:ascii="宋体" w:hAnsi="宋体" w:cs="宋体"/>
          <w:sz w:val="24"/>
        </w:rPr>
        <w:t>修建性详细规划</w:t>
      </w:r>
      <w:r>
        <w:rPr>
          <w:rFonts w:hint="eastAsia" w:ascii="宋体" w:hAnsi="宋体" w:cs="宋体"/>
          <w:sz w:val="24"/>
        </w:rPr>
        <w:fldChar w:fldCharType="end"/>
      </w:r>
      <w:r>
        <w:rPr>
          <w:rFonts w:hint="eastAsia" w:ascii="宋体" w:hAnsi="宋体" w:cs="宋体"/>
          <w:sz w:val="24"/>
        </w:rPr>
        <w:t>、方案设计、初步设计、扩初设计编制概算，概算金额中的施工费用不能超过合同中暂定施工费用，同时概算中有关限额设计指标不能超过合同限额设计指标，承包人必须无条件优化设计并确保满足合同约定的限额设计指标，否则超过暂定合同金额部分的费用在概算中将不予计算（除非因发包人原因增加合同承包范围或者提高建设建造标准或者项目定位、或者调整设计任务书内容要求、或者因政府主管部门政策原因调整（设计规范调整除外）等原因引起成本增加除外）。</w:t>
      </w:r>
      <w:r>
        <w:rPr>
          <w:rFonts w:ascii="宋体" w:hAnsi="宋体" w:cs="宋体"/>
          <w:sz w:val="24"/>
          <w:szCs w:val="24"/>
        </w:rPr>
        <w:t>承包人</w:t>
      </w:r>
      <w:r>
        <w:rPr>
          <w:rFonts w:hint="eastAsia" w:ascii="宋体" w:hAnsi="宋体" w:cs="宋体"/>
          <w:sz w:val="24"/>
          <w:szCs w:val="24"/>
        </w:rPr>
        <w:t>应在</w:t>
      </w:r>
      <w:r>
        <w:rPr>
          <w:rFonts w:ascii="宋体" w:hAnsi="宋体" w:cs="宋体"/>
          <w:sz w:val="24"/>
          <w:szCs w:val="24"/>
        </w:rPr>
        <w:t>取得修建性详细规划</w:t>
      </w:r>
      <w:r>
        <w:rPr>
          <w:rFonts w:hint="eastAsia"/>
          <w:sz w:val="24"/>
          <w:szCs w:val="24"/>
        </w:rPr>
        <w:t>或发包人认可后</w:t>
      </w:r>
      <w:r>
        <w:rPr>
          <w:rFonts w:hint="eastAsia"/>
          <w:b/>
          <w:sz w:val="24"/>
          <w:szCs w:val="24"/>
          <w:u w:val="single"/>
          <w:lang w:val="en-US" w:eastAsia="zh-CN"/>
        </w:rPr>
        <w:t>3</w:t>
      </w:r>
      <w:r>
        <w:rPr>
          <w:b/>
          <w:sz w:val="24"/>
          <w:szCs w:val="24"/>
          <w:u w:val="single"/>
        </w:rPr>
        <w:t>0</w:t>
      </w:r>
      <w:r>
        <w:rPr>
          <w:rFonts w:hint="eastAsia"/>
          <w:sz w:val="24"/>
          <w:szCs w:val="24"/>
        </w:rPr>
        <w:t>天内完成概算编制</w:t>
      </w:r>
      <w:r>
        <w:rPr>
          <w:rFonts w:ascii="宋体" w:hAnsi="宋体"/>
          <w:sz w:val="24"/>
          <w:szCs w:val="24"/>
        </w:rPr>
        <w:t>，</w:t>
      </w:r>
      <w:r>
        <w:rPr>
          <w:rFonts w:hint="eastAsia" w:ascii="宋体" w:hAnsi="宋体" w:cs="宋体"/>
          <w:sz w:val="24"/>
          <w:szCs w:val="24"/>
        </w:rPr>
        <w:t>概</w:t>
      </w:r>
      <w:r>
        <w:rPr>
          <w:rFonts w:hint="eastAsia" w:ascii="宋体" w:hAnsi="宋体" w:cs="宋体"/>
          <w:sz w:val="24"/>
        </w:rPr>
        <w:t>算须报送发包人或其授权委托的第三方造价咨询单位进行审核。</w:t>
      </w:r>
    </w:p>
    <w:p w14:paraId="6FD20C8A">
      <w:pPr>
        <w:spacing w:line="360" w:lineRule="auto"/>
        <w:ind w:firstLine="480" w:firstLineChars="200"/>
        <w:rPr>
          <w:rFonts w:ascii="宋体" w:hAnsi="宋体" w:cs="宋体"/>
          <w:sz w:val="24"/>
        </w:rPr>
      </w:pPr>
      <w:r>
        <w:rPr>
          <w:rFonts w:hint="eastAsia" w:ascii="宋体" w:hAnsi="宋体" w:cs="宋体"/>
          <w:sz w:val="24"/>
        </w:rPr>
        <w:t>承包人根据通过施工图审查的施工图纸，按合同约定的计价方式编制施工图预算并报经发包人审核确定，施工图预算中的施工费金额应不高于发包人审定的概算金额中相对应的施工费。项目实施过程中承包人必须无条件优化设计并确保施工图预算中的施工费用不高于审定的概算金额中的施工费用，否则超过发包人审定的概算金额部分的费用在施工图预算中将不予计算（除非因发包人原因增加合同承包范围或者提高建设建造标准或者项目定位、或者调整设计任务书内容要求、或者因政府主管部门政策原因调整（设计规范调整除外）等原因引起成本增加除外）。</w:t>
      </w:r>
    </w:p>
    <w:p w14:paraId="556BDD52">
      <w:pPr>
        <w:spacing w:line="360" w:lineRule="auto"/>
        <w:ind w:firstLine="480" w:firstLineChars="200"/>
        <w:rPr>
          <w:rFonts w:ascii="宋体" w:hAnsi="宋体" w:cs="宋体"/>
          <w:sz w:val="24"/>
        </w:rPr>
      </w:pPr>
      <w:r>
        <w:rPr>
          <w:rFonts w:hint="eastAsia" w:ascii="宋体" w:hAnsi="宋体" w:cs="宋体"/>
          <w:sz w:val="24"/>
        </w:rPr>
        <w:t>施工图预算金额经发包人审核确定后双方签署补充协议，补充协议中的施工费用对应本合同的设计任务书、建筑建造标准、合同的承包范围及施工图总价包干，补充协议中施工费用对应的合同设计任务书、建筑建造标准、合同承包范围及施工图纸等相互解释且相互覆盖、并以其中范围最齐全和最完整标准最高为限，如果因承包人原因导致施工图纸不清晰、或者施工图纸存在错漏、或者施工图设计图纸深度不够等原因、或者施工图降低建筑建造标准、或者施工图减少承包范围等原因，引起施工图纸需要重新调整、深化或者优化、或者补充设计图纸等，导致施工图纸中的施工费用增加的则该类增加的费用由承包人承担，该类增加的费用结算时发包人不予计算（其中如果涉及费用降低的或者实际存在部分未按图纸施工的则结算时相应扣减）。因发包人原因增加合同承包范围或者提高建设建造标准或者项目定位、或者调整设计任务书内容要求、或者因政府主管部门政策原因调整（设计规范调整除外）等原因）或者发包人提出（或者经发包人同意）且非承包人原因引起的设计变更、经发包人审核确认的现场签证以及合同约定的其他方面原因引起的增减费用可以在结算中计算之外，本合同结算金额中的施工费用金额不能超过发包人审定的施工图预算中的施工费用金额，否则超出部分结算时不予计算。</w:t>
      </w:r>
    </w:p>
    <w:p w14:paraId="7D208EBA">
      <w:pPr>
        <w:spacing w:line="360" w:lineRule="auto"/>
        <w:ind w:firstLine="480" w:firstLineChars="200"/>
        <w:rPr>
          <w:rFonts w:ascii="宋体" w:hAnsi="宋体" w:cs="宋体"/>
          <w:sz w:val="24"/>
        </w:rPr>
      </w:pPr>
      <w:r>
        <w:rPr>
          <w:rFonts w:hint="eastAsia" w:ascii="宋体" w:hAnsi="宋体" w:cs="宋体"/>
          <w:sz w:val="24"/>
        </w:rPr>
        <w:t>承包人应制定各阶段、专业工程限额设计指标和具体控制措施，以确保本项目的施工费用：结算金额低于施工图预算金额；施工图预算金额低于概算金额；概算金额低于暂定合同金额（除合同有规定可调整之外）。</w:t>
      </w:r>
    </w:p>
    <w:p w14:paraId="4C943383">
      <w:pPr>
        <w:spacing w:line="360" w:lineRule="auto"/>
        <w:ind w:firstLine="480" w:firstLineChars="200"/>
        <w:rPr>
          <w:rFonts w:ascii="宋体" w:hAnsi="宋体" w:cs="宋体"/>
          <w:sz w:val="24"/>
          <w:szCs w:val="24"/>
        </w:rPr>
      </w:pPr>
      <w:r>
        <w:rPr>
          <w:rFonts w:hint="eastAsia" w:ascii="宋体" w:hAnsi="宋体" w:cs="宋体"/>
          <w:snapToGrid w:val="0"/>
          <w:kern w:val="0"/>
          <w:sz w:val="24"/>
        </w:rPr>
        <w:t>2.4.2承包人承诺在不降低标准及调减设计任务书约定的设计范围、深化方案设计文件、材料设备技术需求书中的主要设计指标（建筑高度、建筑面积等）、材料设备品牌档次的前提下进行施工图设计，待施工图设计完成，技术需求（含材料设备档次）稳定后编制施工图预算，施工图预算金额应不高于发包人审定的概算金额，且施工图</w:t>
      </w:r>
      <w:r>
        <w:rPr>
          <w:rFonts w:hint="eastAsia" w:ascii="宋体" w:hAnsi="宋体" w:cs="宋体"/>
          <w:sz w:val="24"/>
        </w:rPr>
        <w:t>预算中的施工费金额应不高于</w:t>
      </w:r>
      <w:r>
        <w:rPr>
          <w:rFonts w:hint="eastAsia" w:ascii="宋体" w:hAnsi="宋体" w:cs="宋体"/>
          <w:snapToGrid w:val="0"/>
          <w:kern w:val="0"/>
          <w:sz w:val="24"/>
        </w:rPr>
        <w:t>发包人审定的概算</w:t>
      </w:r>
      <w:r>
        <w:rPr>
          <w:rFonts w:hint="eastAsia" w:ascii="宋体" w:hAnsi="宋体" w:cs="宋体"/>
          <w:sz w:val="24"/>
        </w:rPr>
        <w:t>金额中相对应的施工费，如有超出须进行优化</w:t>
      </w:r>
      <w:r>
        <w:rPr>
          <w:rFonts w:hint="eastAsia" w:ascii="宋体" w:hAnsi="宋体" w:cs="宋体"/>
          <w:sz w:val="24"/>
          <w:lang w:eastAsia="zh-CN"/>
        </w:rPr>
        <w:t>，</w:t>
      </w:r>
      <w:r>
        <w:rPr>
          <w:rFonts w:hint="eastAsia" w:ascii="宋体" w:hAnsi="宋体" w:cs="宋体"/>
          <w:sz w:val="24"/>
          <w:lang w:val="en-US" w:eastAsia="zh-CN"/>
        </w:rPr>
        <w:t>无法优化的，超出部分由承包人自行承担，发包人的原因除外</w:t>
      </w:r>
      <w:r>
        <w:rPr>
          <w:rFonts w:hint="eastAsia" w:ascii="宋体" w:hAnsi="宋体" w:cs="宋体"/>
          <w:snapToGrid w:val="0"/>
          <w:kern w:val="0"/>
          <w:sz w:val="24"/>
        </w:rPr>
        <w:t>。</w:t>
      </w:r>
    </w:p>
    <w:p w14:paraId="4F2BA861">
      <w:pPr>
        <w:spacing w:line="360" w:lineRule="auto"/>
        <w:ind w:firstLine="480" w:firstLineChars="200"/>
        <w:rPr>
          <w:rFonts w:ascii="宋体" w:hAnsi="宋体" w:cs="宋体"/>
          <w:sz w:val="24"/>
          <w:szCs w:val="24"/>
        </w:rPr>
      </w:pPr>
      <w:r>
        <w:rPr>
          <w:rFonts w:hint="eastAsia" w:ascii="宋体" w:hAnsi="宋体" w:cs="宋体"/>
          <w:sz w:val="24"/>
          <w:szCs w:val="24"/>
        </w:rPr>
        <w:t>2.4.3承包人应在施工图审查完成或发包人认可后</w:t>
      </w:r>
      <w:r>
        <w:rPr>
          <w:rFonts w:hint="eastAsia" w:ascii="宋体" w:hAnsi="宋体" w:cs="宋体"/>
          <w:b/>
          <w:bCs/>
          <w:sz w:val="24"/>
          <w:szCs w:val="24"/>
          <w:u w:val="single"/>
        </w:rPr>
        <w:t xml:space="preserve">  60  </w:t>
      </w:r>
      <w:r>
        <w:rPr>
          <w:rFonts w:hint="eastAsia" w:ascii="宋体" w:hAnsi="宋体" w:cs="宋体"/>
          <w:sz w:val="24"/>
          <w:szCs w:val="24"/>
        </w:rPr>
        <w:t>天内完成施工图预算编制，并送发包人</w:t>
      </w:r>
      <w:r>
        <w:rPr>
          <w:rFonts w:hint="eastAsia" w:ascii="宋体" w:hAnsi="宋体" w:cs="宋体"/>
          <w:kern w:val="0"/>
          <w:sz w:val="24"/>
          <w:szCs w:val="24"/>
        </w:rPr>
        <w:t>或其授权委托的第三方造价咨询单位</w:t>
      </w:r>
      <w:r>
        <w:rPr>
          <w:rFonts w:hint="eastAsia" w:ascii="宋体" w:hAnsi="宋体" w:cs="宋体"/>
          <w:sz w:val="24"/>
          <w:szCs w:val="24"/>
        </w:rPr>
        <w:t>进行审核。如施工图预算金额高于</w:t>
      </w:r>
      <w:r>
        <w:rPr>
          <w:rFonts w:hint="eastAsia" w:ascii="宋体" w:hAnsi="宋体" w:cs="宋体"/>
          <w:snapToGrid w:val="0"/>
          <w:kern w:val="0"/>
          <w:sz w:val="24"/>
        </w:rPr>
        <w:t>发包人审定的概算</w:t>
      </w:r>
      <w:r>
        <w:rPr>
          <w:rFonts w:hint="eastAsia" w:ascii="宋体" w:hAnsi="宋体" w:cs="宋体"/>
          <w:sz w:val="24"/>
          <w:szCs w:val="24"/>
        </w:rPr>
        <w:t>金额，或施工图</w:t>
      </w:r>
      <w:r>
        <w:rPr>
          <w:rFonts w:hint="eastAsia" w:ascii="宋体" w:hAnsi="宋体" w:cs="宋体"/>
          <w:sz w:val="24"/>
        </w:rPr>
        <w:t>预算中的施工费金额高于</w:t>
      </w:r>
      <w:r>
        <w:rPr>
          <w:rFonts w:hint="eastAsia" w:ascii="宋体" w:hAnsi="宋体" w:cs="宋体"/>
          <w:snapToGrid w:val="0"/>
          <w:kern w:val="0"/>
          <w:sz w:val="24"/>
        </w:rPr>
        <w:t>发包人审定的概算</w:t>
      </w:r>
      <w:r>
        <w:rPr>
          <w:rFonts w:hint="eastAsia" w:ascii="宋体" w:hAnsi="宋体" w:cs="宋体"/>
          <w:sz w:val="24"/>
        </w:rPr>
        <w:t>金额中相对应的施工费，</w:t>
      </w:r>
      <w:r>
        <w:rPr>
          <w:rFonts w:hint="eastAsia" w:ascii="宋体" w:hAnsi="宋体" w:cs="宋体"/>
          <w:sz w:val="24"/>
          <w:szCs w:val="24"/>
        </w:rPr>
        <w:t>承包人应优化施工图，直至施工图预算金额不高于</w:t>
      </w:r>
      <w:r>
        <w:rPr>
          <w:rFonts w:hint="eastAsia" w:ascii="宋体" w:hAnsi="宋体" w:cs="宋体"/>
          <w:snapToGrid w:val="0"/>
          <w:kern w:val="0"/>
          <w:sz w:val="24"/>
        </w:rPr>
        <w:t>发包人审定的概算</w:t>
      </w:r>
      <w:r>
        <w:rPr>
          <w:rFonts w:hint="eastAsia" w:ascii="宋体" w:hAnsi="宋体" w:cs="宋体"/>
          <w:sz w:val="24"/>
          <w:szCs w:val="24"/>
        </w:rPr>
        <w:t>金额，承包人才能申报施工图预算，因承包人施工图预算送审延迟或对数造成时间延误产生的后果由承包人承担。</w:t>
      </w:r>
    </w:p>
    <w:p w14:paraId="121E4D69">
      <w:pPr>
        <w:spacing w:line="360" w:lineRule="auto"/>
        <w:ind w:firstLine="480" w:firstLineChars="200"/>
        <w:jc w:val="left"/>
        <w:rPr>
          <w:rFonts w:ascii="宋体" w:hAnsi="宋体" w:cs="宋体"/>
          <w:snapToGrid w:val="0"/>
          <w:kern w:val="0"/>
          <w:sz w:val="24"/>
          <w:u w:val="single"/>
        </w:rPr>
      </w:pPr>
      <w:r>
        <w:rPr>
          <w:rFonts w:hint="eastAsia" w:ascii="宋体" w:hAnsi="宋体" w:cs="宋体"/>
          <w:sz w:val="24"/>
          <w:szCs w:val="24"/>
        </w:rPr>
        <w:t>2.4.4</w:t>
      </w:r>
      <w:r>
        <w:rPr>
          <w:rFonts w:hint="eastAsia" w:ascii="宋体" w:hAnsi="宋体" w:cs="宋体"/>
          <w:kern w:val="0"/>
          <w:sz w:val="24"/>
        </w:rPr>
        <w:t>合同协议书第6.2款约定的合同价款（即</w:t>
      </w:r>
      <w:r>
        <w:rPr>
          <w:rFonts w:hint="eastAsia" w:ascii="宋体" w:hAnsi="宋体" w:cs="宋体"/>
          <w:sz w:val="24"/>
          <w:szCs w:val="24"/>
        </w:rPr>
        <w:t>承包人的投标中标价格</w:t>
      </w:r>
      <w:r>
        <w:rPr>
          <w:rFonts w:hint="eastAsia" w:ascii="宋体" w:hAnsi="宋体" w:cs="宋体"/>
          <w:kern w:val="0"/>
          <w:sz w:val="24"/>
        </w:rPr>
        <w:t>）</w:t>
      </w:r>
      <w:r>
        <w:rPr>
          <w:rFonts w:hint="eastAsia" w:ascii="宋体" w:hAnsi="宋体" w:cs="宋体"/>
          <w:sz w:val="24"/>
          <w:szCs w:val="24"/>
        </w:rPr>
        <w:t>作为签约合同价。</w:t>
      </w:r>
      <w:r>
        <w:rPr>
          <w:rFonts w:hint="eastAsia" w:ascii="宋体" w:hAnsi="宋体" w:cs="宋体"/>
          <w:kern w:val="0"/>
          <w:sz w:val="24"/>
          <w:szCs w:val="24"/>
        </w:rPr>
        <w:t>发包人审定</w:t>
      </w:r>
      <w:r>
        <w:rPr>
          <w:rFonts w:hint="eastAsia" w:ascii="宋体" w:hAnsi="宋体" w:cs="宋体"/>
          <w:sz w:val="24"/>
          <w:szCs w:val="24"/>
        </w:rPr>
        <w:t>本项目施工图预算后，根据合同约定结合中标下浮率调整签约合同价并签订补充协议（补充协议确定的金额为调整合同价），以此作为工程进度款拨付及结算的依据之一。承包人拖延或拒绝签订补充协议的，发包人有权按照审定后的施工图预算金额调整合同价，并以此作为支付工程进度款的依据，承包人对此不得持有任何异议。施工图预算审定前，发包人根据暂定合同金额对应费用支付工程进度款，具体内容详见合同条款第28条的约定。施工图预算确定后调整的合同总价为固定总价包干并签署补充协议，补充协议签订之后在施工过程中，如因发包人原因、不可抗力、政策因素导致的设计变更及现场签证、材料价差（具体按合同约定）等原因可以调整合同金额之外，其他情况一概不给予调整固定总价（如果实际施工过程中施工图纸部分未施工、或者减低施工图纸的标准或者档次、或者减少工程范围或者内容等的，结算时扣减有关费用）。</w:t>
      </w:r>
      <w:r>
        <w:rPr>
          <w:rFonts w:hint="eastAsia" w:ascii="宋体" w:hAnsi="宋体" w:cs="宋体"/>
          <w:bCs/>
          <w:snapToGrid w:val="0"/>
          <w:kern w:val="0"/>
          <w:sz w:val="24"/>
        </w:rPr>
        <w:t>工程结算价最终以发包人及其</w:t>
      </w:r>
      <w:r>
        <w:rPr>
          <w:rFonts w:hint="eastAsia" w:ascii="宋体" w:hAnsi="宋体" w:cs="宋体"/>
          <w:kern w:val="0"/>
          <w:sz w:val="24"/>
          <w:szCs w:val="24"/>
        </w:rPr>
        <w:t>授权委托的第三方造价咨询单位按合同约定审定</w:t>
      </w:r>
      <w:r>
        <w:rPr>
          <w:rFonts w:hint="eastAsia" w:ascii="宋体" w:hAnsi="宋体" w:cs="宋体"/>
          <w:bCs/>
          <w:snapToGrid w:val="0"/>
          <w:kern w:val="0"/>
          <w:sz w:val="24"/>
        </w:rPr>
        <w:t>为准。施工图预算金额经发包人审核确定之后，承包人可以依据合同规定对施工图纸进行深化优化及调整并承担完全责任，该类施工图纸的深化优化及调整后的设计图纸最终的总金额不能超过发包人审定的施工图预算总金额，否则超过部分的金额结算时不予计算（除本合同协议书第</w:t>
      </w:r>
      <w:r>
        <w:rPr>
          <w:rFonts w:hint="eastAsia" w:ascii="宋体" w:hAnsi="宋体" w:cs="宋体"/>
          <w:sz w:val="24"/>
        </w:rPr>
        <w:t>2.4.1款约定可以计算之外</w:t>
      </w:r>
      <w:r>
        <w:rPr>
          <w:rFonts w:hint="eastAsia" w:ascii="宋体" w:hAnsi="宋体" w:cs="宋体"/>
          <w:bCs/>
          <w:snapToGrid w:val="0"/>
          <w:kern w:val="0"/>
          <w:sz w:val="24"/>
        </w:rPr>
        <w:t>）。承包人的该类设计深化优化或者调整工作均不能降低项目的建设建造标准、不能降低项目定位及标准、不能缩减合同承包范围、不能减少或者降低合同设计任务书的范围或者标准要求，否则承包人务必无条件的整改改正，如果给发包人带来直接或者间接损失的还需要无条件的承担违约及赔偿责任。</w:t>
      </w:r>
    </w:p>
    <w:p w14:paraId="666DFC9F">
      <w:pPr>
        <w:spacing w:after="0" w:line="360" w:lineRule="auto"/>
        <w:ind w:left="0" w:leftChars="0" w:firstLine="480" w:firstLineChars="200"/>
        <w:jc w:val="left"/>
        <w:rPr>
          <w:rFonts w:ascii="宋体" w:hAnsi="宋体" w:cs="宋体"/>
        </w:rPr>
      </w:pPr>
      <w:r>
        <w:rPr>
          <w:rFonts w:hint="eastAsia" w:ascii="宋体" w:hAnsi="宋体" w:cs="宋体"/>
          <w:sz w:val="24"/>
          <w:szCs w:val="24"/>
        </w:rPr>
        <w:t>2.4.5承包人编制的各阶段的造价文件需满足对应阶段造价文件深度要求</w:t>
      </w:r>
      <w:r>
        <w:rPr>
          <w:rFonts w:hint="eastAsia" w:ascii="宋体" w:hAnsi="宋体" w:cs="宋体"/>
          <w:sz w:val="24"/>
          <w:szCs w:val="24"/>
          <w:lang w:eastAsia="zh-CN"/>
        </w:rPr>
        <w:t>，</w:t>
      </w:r>
      <w:r>
        <w:rPr>
          <w:rFonts w:hint="eastAsia" w:ascii="宋体" w:hAnsi="宋体" w:cs="宋体"/>
          <w:sz w:val="24"/>
          <w:szCs w:val="24"/>
          <w:lang w:val="en-US" w:eastAsia="zh-CN"/>
        </w:rPr>
        <w:t>符合国家、省、市颁布的法律、法规及造价标准、定额、规范的相关规定</w:t>
      </w:r>
      <w:r>
        <w:rPr>
          <w:rFonts w:hint="eastAsia" w:ascii="宋体" w:hAnsi="宋体" w:cs="宋体"/>
          <w:sz w:val="24"/>
          <w:szCs w:val="24"/>
        </w:rPr>
        <w:t>。</w:t>
      </w:r>
    </w:p>
    <w:p w14:paraId="096A0ED8">
      <w:pPr>
        <w:spacing w:line="360" w:lineRule="auto"/>
        <w:ind w:firstLine="482" w:firstLineChars="200"/>
        <w:jc w:val="left"/>
        <w:outlineLvl w:val="0"/>
        <w:rPr>
          <w:rFonts w:ascii="宋体" w:hAnsi="宋体"/>
          <w:b/>
          <w:kern w:val="0"/>
          <w:sz w:val="24"/>
        </w:rPr>
      </w:pPr>
      <w:bookmarkStart w:id="38" w:name="_Toc20113"/>
      <w:bookmarkStart w:id="39" w:name="_Toc144746846"/>
      <w:bookmarkStart w:id="40" w:name="_Toc144745928"/>
      <w:bookmarkStart w:id="41" w:name="_Toc10524"/>
      <w:bookmarkStart w:id="42" w:name="_Toc104901738"/>
      <w:bookmarkStart w:id="43" w:name="_Toc11105"/>
      <w:bookmarkStart w:id="44" w:name="_Toc26773_WPSOffice_Level2"/>
      <w:r>
        <w:rPr>
          <w:rFonts w:hint="eastAsia" w:ascii="宋体" w:hAnsi="宋体"/>
          <w:b/>
          <w:kern w:val="0"/>
          <w:sz w:val="24"/>
        </w:rPr>
        <w:t>3、合同工期</w:t>
      </w:r>
      <w:bookmarkEnd w:id="38"/>
      <w:bookmarkEnd w:id="39"/>
      <w:bookmarkEnd w:id="40"/>
      <w:bookmarkEnd w:id="41"/>
      <w:bookmarkEnd w:id="42"/>
      <w:bookmarkEnd w:id="43"/>
      <w:bookmarkEnd w:id="44"/>
    </w:p>
    <w:p w14:paraId="061A4837">
      <w:pPr>
        <w:spacing w:line="360" w:lineRule="auto"/>
        <w:ind w:firstLine="480" w:firstLineChars="200"/>
        <w:rPr>
          <w:rFonts w:ascii="宋体" w:hAnsi="宋体"/>
          <w:kern w:val="0"/>
          <w:sz w:val="24"/>
        </w:rPr>
      </w:pPr>
      <w:r>
        <w:rPr>
          <w:rFonts w:hint="eastAsia" w:ascii="宋体" w:hAnsi="宋体"/>
          <w:kern w:val="0"/>
          <w:sz w:val="24"/>
        </w:rPr>
        <w:t>3.1总工期：</w:t>
      </w:r>
    </w:p>
    <w:p w14:paraId="7E2AEEB5">
      <w:pPr>
        <w:spacing w:line="360" w:lineRule="auto"/>
        <w:ind w:firstLine="480" w:firstLineChars="200"/>
        <w:rPr>
          <w:rFonts w:ascii="宋体" w:hAnsi="宋体" w:cs="宋体"/>
          <w:bCs/>
          <w:snapToGrid w:val="0"/>
          <w:kern w:val="0"/>
          <w:sz w:val="24"/>
          <w:u w:val="single"/>
        </w:rPr>
      </w:pPr>
      <w:r>
        <w:rPr>
          <w:rFonts w:hint="eastAsia" w:ascii="宋体" w:hAnsi="宋体" w:cs="宋体"/>
          <w:bCs/>
          <w:snapToGrid w:val="0"/>
          <w:kern w:val="0"/>
          <w:sz w:val="24"/>
        </w:rPr>
        <w:t>设计</w:t>
      </w:r>
      <w:r>
        <w:rPr>
          <w:rFonts w:hint="eastAsia" w:ascii="宋体" w:hAnsi="宋体"/>
          <w:kern w:val="0"/>
          <w:sz w:val="24"/>
        </w:rPr>
        <w:t>施工总工期：</w:t>
      </w:r>
    </w:p>
    <w:p w14:paraId="52B62A75">
      <w:pPr>
        <w:spacing w:line="360" w:lineRule="auto"/>
        <w:ind w:left="420" w:leftChars="200"/>
        <w:rPr>
          <w:rFonts w:ascii="宋体" w:hAnsi="宋体"/>
          <w:kern w:val="0"/>
          <w:sz w:val="24"/>
        </w:rPr>
      </w:pPr>
      <w:r>
        <w:rPr>
          <w:rFonts w:hint="eastAsia" w:ascii="宋体" w:hAnsi="宋体" w:cs="宋体"/>
          <w:b/>
          <w:iCs/>
          <w:sz w:val="24"/>
          <w:szCs w:val="24"/>
        </w:rPr>
        <w:t>设计工期</w:t>
      </w:r>
      <w:r>
        <w:rPr>
          <w:rFonts w:hint="eastAsia" w:ascii="宋体" w:hAnsi="宋体"/>
          <w:b/>
          <w:sz w:val="24"/>
        </w:rPr>
        <w:t>为</w:t>
      </w:r>
      <w:r>
        <w:rPr>
          <w:rFonts w:hint="eastAsia" w:ascii="宋体" w:hAnsi="宋体"/>
          <w:b/>
          <w:sz w:val="24"/>
          <w:lang w:val="en-US" w:eastAsia="zh-CN"/>
        </w:rPr>
        <w:t>80</w:t>
      </w:r>
      <w:r>
        <w:rPr>
          <w:rFonts w:hint="eastAsia" w:ascii="宋体" w:hAnsi="宋体" w:cs="宋体"/>
          <w:b/>
          <w:iCs/>
          <w:sz w:val="24"/>
          <w:szCs w:val="24"/>
        </w:rPr>
        <w:t>日历天，施工总工期：</w:t>
      </w:r>
      <w:r>
        <w:rPr>
          <w:rFonts w:hint="eastAsia" w:ascii="宋体" w:hAnsi="宋体" w:cs="宋体"/>
          <w:b/>
          <w:iCs/>
          <w:sz w:val="24"/>
          <w:szCs w:val="24"/>
          <w:lang w:val="en-US" w:eastAsia="zh-CN"/>
        </w:rPr>
        <w:t>191</w:t>
      </w:r>
      <w:r>
        <w:rPr>
          <w:rFonts w:hint="eastAsia" w:ascii="宋体" w:hAnsi="宋体"/>
          <w:sz w:val="24"/>
        </w:rPr>
        <w:t>日历天</w:t>
      </w:r>
      <w:r>
        <w:rPr>
          <w:rFonts w:hint="eastAsia" w:ascii="宋体" w:hAnsi="宋体" w:cs="宋体"/>
          <w:iCs/>
          <w:sz w:val="24"/>
          <w:szCs w:val="24"/>
        </w:rPr>
        <w:t>，不迟于</w:t>
      </w:r>
      <w:r>
        <w:rPr>
          <w:rFonts w:hint="eastAsia" w:ascii="宋体" w:hAnsi="宋体" w:cs="宋体"/>
          <w:iCs/>
          <w:sz w:val="24"/>
          <w:szCs w:val="24"/>
          <w:highlight w:val="none"/>
          <w:lang w:val="en-US" w:eastAsia="zh-CN"/>
        </w:rPr>
        <w:t>2026</w:t>
      </w:r>
      <w:r>
        <w:rPr>
          <w:rFonts w:hint="eastAsia" w:ascii="宋体" w:hAnsi="宋体" w:cs="宋体"/>
          <w:iCs/>
          <w:sz w:val="24"/>
          <w:szCs w:val="24"/>
          <w:highlight w:val="none"/>
        </w:rPr>
        <w:t>年</w:t>
      </w:r>
      <w:r>
        <w:rPr>
          <w:rFonts w:hint="eastAsia" w:ascii="宋体" w:hAnsi="宋体" w:cs="宋体"/>
          <w:iCs/>
          <w:sz w:val="24"/>
          <w:szCs w:val="24"/>
          <w:highlight w:val="none"/>
          <w:lang w:val="en-US" w:eastAsia="zh-CN"/>
        </w:rPr>
        <w:t xml:space="preserve">3 </w:t>
      </w:r>
      <w:r>
        <w:rPr>
          <w:rFonts w:hint="eastAsia" w:ascii="宋体" w:hAnsi="宋体" w:cs="宋体"/>
          <w:iCs/>
          <w:sz w:val="24"/>
          <w:szCs w:val="24"/>
          <w:highlight w:val="none"/>
        </w:rPr>
        <w:t>月</w:t>
      </w:r>
      <w:r>
        <w:rPr>
          <w:rFonts w:ascii="宋体" w:hAnsi="宋体"/>
          <w:sz w:val="24"/>
          <w:highlight w:val="none"/>
        </w:rPr>
        <w:t xml:space="preserve"> </w:t>
      </w:r>
      <w:r>
        <w:rPr>
          <w:rFonts w:hint="eastAsia" w:ascii="宋体" w:hAnsi="宋体"/>
          <w:sz w:val="24"/>
          <w:highlight w:val="none"/>
          <w:lang w:val="en-US" w:eastAsia="zh-CN"/>
        </w:rPr>
        <w:t>30</w:t>
      </w:r>
      <w:r>
        <w:rPr>
          <w:rFonts w:ascii="宋体" w:hAnsi="宋体"/>
          <w:sz w:val="24"/>
          <w:highlight w:val="none"/>
        </w:rPr>
        <w:t xml:space="preserve"> </w:t>
      </w:r>
      <w:r>
        <w:rPr>
          <w:rFonts w:hint="eastAsia" w:ascii="宋体" w:hAnsi="宋体"/>
          <w:sz w:val="24"/>
          <w:highlight w:val="none"/>
        </w:rPr>
        <w:t>日</w:t>
      </w:r>
      <w:r>
        <w:rPr>
          <w:rFonts w:hint="eastAsia" w:ascii="宋体" w:hAnsi="宋体" w:cs="宋体"/>
          <w:iCs/>
          <w:sz w:val="24"/>
          <w:szCs w:val="24"/>
        </w:rPr>
        <w:t>竣工验收（或联合验收），具体分项竣工时间以</w:t>
      </w:r>
      <w:r>
        <w:rPr>
          <w:rFonts w:hint="eastAsia" w:ascii="宋体" w:hAnsi="宋体" w:cs="宋体"/>
          <w:bCs/>
          <w:snapToGrid w:val="0"/>
          <w:kern w:val="0"/>
          <w:sz w:val="24"/>
        </w:rPr>
        <w:t>3.2.1.3条款为准</w:t>
      </w:r>
      <w:r>
        <w:rPr>
          <w:rFonts w:hint="eastAsia" w:ascii="宋体" w:hAnsi="宋体" w:cs="宋体"/>
          <w:iCs/>
          <w:sz w:val="24"/>
          <w:szCs w:val="24"/>
        </w:rPr>
        <w:t>。设计单位从发包人发出书面中标通知书后的第2天开始进行设计工作，开始计算工期。施工单位从发包人发出中标通知书后的第2天开始进行施工准备工作，工程从第6天开始计算工期</w:t>
      </w:r>
      <w:r>
        <w:rPr>
          <w:rFonts w:hint="eastAsia" w:ascii="宋体" w:hAnsi="宋体"/>
          <w:sz w:val="24"/>
        </w:rPr>
        <w:t>。</w:t>
      </w:r>
    </w:p>
    <w:p w14:paraId="3FB0B766">
      <w:pPr>
        <w:spacing w:line="360" w:lineRule="auto"/>
        <w:ind w:firstLine="480" w:firstLineChars="200"/>
        <w:rPr>
          <w:rFonts w:ascii="宋体" w:hAnsi="宋体" w:cs="宋体"/>
          <w:bCs/>
          <w:snapToGrid w:val="0"/>
          <w:kern w:val="0"/>
          <w:sz w:val="24"/>
        </w:rPr>
      </w:pPr>
      <w:r>
        <w:rPr>
          <w:rFonts w:hint="eastAsia" w:ascii="宋体" w:hAnsi="宋体"/>
          <w:kern w:val="0"/>
          <w:sz w:val="24"/>
        </w:rPr>
        <w:t>3.2</w:t>
      </w:r>
      <w:r>
        <w:rPr>
          <w:rFonts w:hint="eastAsia" w:ascii="宋体" w:hAnsi="宋体" w:cs="宋体"/>
          <w:bCs/>
          <w:snapToGrid w:val="0"/>
          <w:kern w:val="0"/>
          <w:sz w:val="24"/>
        </w:rPr>
        <w:t>主要节点工期：</w:t>
      </w:r>
    </w:p>
    <w:p w14:paraId="62B9F962">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3.2.1勘察</w:t>
      </w:r>
      <w:r>
        <w:rPr>
          <w:rFonts w:hint="eastAsia" w:ascii="宋体" w:hAnsi="宋体" w:cs="宋体"/>
          <w:bCs/>
          <w:snapToGrid w:val="0"/>
          <w:kern w:val="0"/>
          <w:sz w:val="24"/>
          <w:lang w:val="en-US" w:eastAsia="zh-CN"/>
        </w:rPr>
        <w:t>及物探</w:t>
      </w:r>
      <w:r>
        <w:rPr>
          <w:rFonts w:hint="eastAsia" w:ascii="宋体" w:hAnsi="宋体" w:cs="宋体"/>
          <w:bCs/>
          <w:snapToGrid w:val="0"/>
          <w:kern w:val="0"/>
          <w:sz w:val="24"/>
        </w:rPr>
        <w:t>：</w:t>
      </w:r>
      <w:r>
        <w:rPr>
          <w:rFonts w:hint="eastAsia" w:ascii="宋体" w:hAnsi="宋体" w:cs="宋体"/>
          <w:bCs/>
          <w:snapToGrid w:val="0"/>
          <w:kern w:val="0"/>
          <w:sz w:val="24"/>
          <w:lang w:val="en-US" w:eastAsia="zh-CN"/>
        </w:rPr>
        <w:t>7</w:t>
      </w:r>
      <w:r>
        <w:rPr>
          <w:rFonts w:hint="eastAsia" w:ascii="宋体" w:hAnsi="宋体" w:cs="宋体"/>
          <w:bCs/>
          <w:snapToGrid w:val="0"/>
          <w:kern w:val="0"/>
          <w:sz w:val="24"/>
        </w:rPr>
        <w:t>个日历天</w:t>
      </w:r>
    </w:p>
    <w:p w14:paraId="7CEC8F93">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3.2.1.2设计关键节点工期要求（均以发包人通知时间起算)：</w:t>
      </w:r>
    </w:p>
    <w:p w14:paraId="3CB01784">
      <w:pPr>
        <w:pStyle w:val="19"/>
        <w:tabs>
          <w:tab w:val="left" w:pos="425"/>
        </w:tabs>
        <w:kinsoku w:val="0"/>
        <w:overflowPunct w:val="0"/>
        <w:spacing w:after="0" w:line="360" w:lineRule="auto"/>
        <w:ind w:firstLine="480" w:firstLineChars="200"/>
        <w:rPr>
          <w:rFonts w:ascii="宋体" w:hAnsi="宋体" w:cs="宋体"/>
          <w:sz w:val="24"/>
          <w:szCs w:val="24"/>
        </w:rPr>
      </w:pPr>
      <w:r>
        <w:rPr>
          <w:rFonts w:hint="eastAsia" w:ascii="宋体" w:hAnsi="宋体" w:cs="宋体"/>
          <w:sz w:val="24"/>
          <w:szCs w:val="24"/>
        </w:rPr>
        <w:t>（1）概念（方案）深化设计：</w:t>
      </w:r>
      <w:r>
        <w:rPr>
          <w:rFonts w:hint="eastAsia" w:ascii="宋体" w:hAnsi="宋体" w:cs="宋体"/>
          <w:sz w:val="24"/>
          <w:szCs w:val="24"/>
          <w:lang w:val="en-US" w:eastAsia="zh-CN"/>
        </w:rPr>
        <w:t>中标后15</w:t>
      </w:r>
      <w:r>
        <w:rPr>
          <w:rFonts w:hint="eastAsia" w:ascii="宋体" w:hAnsi="宋体" w:cs="宋体"/>
          <w:sz w:val="24"/>
          <w:szCs w:val="24"/>
        </w:rPr>
        <w:t>日历天</w:t>
      </w:r>
    </w:p>
    <w:p w14:paraId="04CB54A6">
      <w:pPr>
        <w:pStyle w:val="19"/>
        <w:tabs>
          <w:tab w:val="left" w:pos="425"/>
        </w:tabs>
        <w:kinsoku w:val="0"/>
        <w:overflowPunct w:val="0"/>
        <w:spacing w:after="0"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theme="minorEastAsia"/>
          <w:sz w:val="22"/>
          <w:szCs w:val="22"/>
        </w:rPr>
        <w:t>初步设计及概算（报批稿）</w:t>
      </w:r>
      <w:r>
        <w:rPr>
          <w:rFonts w:hint="eastAsia" w:ascii="宋体" w:hAnsi="宋体" w:cs="宋体"/>
          <w:sz w:val="24"/>
          <w:szCs w:val="24"/>
        </w:rPr>
        <w:t>：</w:t>
      </w:r>
      <w:r>
        <w:rPr>
          <w:rFonts w:hint="eastAsia" w:ascii="宋体" w:hAnsi="宋体" w:cs="宋体"/>
          <w:sz w:val="24"/>
          <w:szCs w:val="24"/>
          <w:lang w:val="en-US" w:eastAsia="zh-CN"/>
        </w:rPr>
        <w:t xml:space="preserve"> </w:t>
      </w:r>
      <w:r>
        <w:rPr>
          <w:rFonts w:hint="eastAsia" w:ascii="宋体" w:hAnsi="宋体" w:cstheme="minorEastAsia"/>
          <w:sz w:val="22"/>
          <w:szCs w:val="22"/>
        </w:rPr>
        <w:t>方案批复后30天</w:t>
      </w:r>
    </w:p>
    <w:p w14:paraId="1D3BAC0D">
      <w:pPr>
        <w:pStyle w:val="19"/>
        <w:tabs>
          <w:tab w:val="left" w:pos="425"/>
        </w:tabs>
        <w:kinsoku w:val="0"/>
        <w:overflowPunct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（3）初步设计</w:t>
      </w:r>
      <w:r>
        <w:rPr>
          <w:rFonts w:hint="eastAsia" w:ascii="宋体" w:hAnsi="宋体" w:cs="宋体"/>
          <w:sz w:val="24"/>
          <w:szCs w:val="24"/>
          <w:lang w:eastAsia="zh-CN"/>
        </w:rPr>
        <w:t>（</w:t>
      </w:r>
      <w:r>
        <w:rPr>
          <w:rFonts w:hint="eastAsia" w:ascii="宋体" w:hAnsi="宋体" w:cs="宋体"/>
          <w:sz w:val="24"/>
          <w:szCs w:val="24"/>
          <w:lang w:val="en-US" w:eastAsia="zh-CN"/>
        </w:rPr>
        <w:t>修编</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theme="minorEastAsia"/>
          <w:sz w:val="22"/>
          <w:szCs w:val="22"/>
        </w:rPr>
        <w:t>初步设计审查后</w:t>
      </w:r>
      <w:r>
        <w:rPr>
          <w:rFonts w:hint="eastAsia" w:ascii="宋体" w:hAnsi="宋体" w:cstheme="minorEastAsia"/>
          <w:sz w:val="22"/>
          <w:szCs w:val="22"/>
          <w:lang w:val="en-US" w:eastAsia="zh-CN"/>
        </w:rPr>
        <w:t>5</w:t>
      </w:r>
      <w:r>
        <w:rPr>
          <w:rFonts w:hint="eastAsia" w:ascii="宋体" w:hAnsi="宋体" w:cstheme="minorEastAsia"/>
          <w:sz w:val="22"/>
          <w:szCs w:val="22"/>
        </w:rPr>
        <w:t>天</w:t>
      </w:r>
    </w:p>
    <w:p w14:paraId="3FF6D6D7">
      <w:pPr>
        <w:pStyle w:val="19"/>
        <w:tabs>
          <w:tab w:val="left" w:pos="425"/>
        </w:tabs>
        <w:kinsoku w:val="0"/>
        <w:overflowPunct w:val="0"/>
        <w:snapToGrid w:val="0"/>
        <w:spacing w:after="0" w:line="360" w:lineRule="auto"/>
        <w:ind w:right="63" w:firstLine="480" w:firstLineChars="200"/>
        <w:rPr>
          <w:rFonts w:hint="eastAsia" w:ascii="宋体" w:hAnsi="宋体" w:cs="宋体"/>
          <w:sz w:val="24"/>
          <w:szCs w:val="24"/>
        </w:rPr>
      </w:pPr>
      <w:r>
        <w:rPr>
          <w:rFonts w:hint="eastAsia" w:ascii="宋体" w:hAnsi="宋体" w:cs="宋体"/>
          <w:sz w:val="24"/>
          <w:szCs w:val="24"/>
        </w:rPr>
        <w:t>（4）施工图设计：</w:t>
      </w:r>
      <w:r>
        <w:rPr>
          <w:rFonts w:hint="eastAsia" w:ascii="宋体" w:hAnsi="宋体" w:cstheme="minorEastAsia"/>
          <w:sz w:val="22"/>
          <w:szCs w:val="22"/>
        </w:rPr>
        <w:t>初步设计审查通过后30天</w:t>
      </w:r>
      <w:r>
        <w:rPr>
          <w:rFonts w:hint="eastAsia" w:ascii="宋体" w:hAnsi="宋体" w:cs="宋体"/>
          <w:sz w:val="24"/>
          <w:szCs w:val="24"/>
        </w:rPr>
        <w:t>（不含施工图审查时间）</w:t>
      </w:r>
    </w:p>
    <w:p w14:paraId="63FB7E3C">
      <w:pPr>
        <w:pStyle w:val="19"/>
        <w:tabs>
          <w:tab w:val="left" w:pos="425"/>
        </w:tabs>
        <w:kinsoku w:val="0"/>
        <w:overflowPunct w:val="0"/>
        <w:snapToGrid w:val="0"/>
        <w:spacing w:after="0" w:line="360" w:lineRule="auto"/>
        <w:ind w:left="132" w:leftChars="63" w:right="63" w:firstLine="480" w:firstLineChars="200"/>
        <w:rPr>
          <w:rFonts w:ascii="宋体" w:hAnsi="宋体" w:cs="宋体"/>
          <w:sz w:val="24"/>
          <w:szCs w:val="24"/>
        </w:rPr>
      </w:pPr>
      <w:r>
        <w:rPr>
          <w:rFonts w:hint="eastAsia" w:ascii="宋体" w:hAnsi="宋体" w:cs="宋体"/>
          <w:sz w:val="24"/>
          <w:szCs w:val="24"/>
        </w:rPr>
        <w:t>上述节点工期为暂定节点，发包人可根据项目开发需求，与设计充分沟通、协商，制定相应的工期节点。</w:t>
      </w:r>
      <w:r>
        <w:rPr>
          <w:rFonts w:ascii="宋体" w:hAnsi="宋体"/>
          <w:sz w:val="24"/>
          <w:szCs w:val="24"/>
        </w:rPr>
        <w:t>设计</w:t>
      </w:r>
      <w:r>
        <w:rPr>
          <w:rFonts w:hint="eastAsia" w:ascii="宋体" w:hAnsi="宋体"/>
          <w:sz w:val="24"/>
          <w:szCs w:val="24"/>
        </w:rPr>
        <w:t>单位从</w:t>
      </w:r>
      <w:r>
        <w:rPr>
          <w:rFonts w:ascii="宋体" w:hAnsi="宋体"/>
          <w:sz w:val="24"/>
          <w:szCs w:val="24"/>
        </w:rPr>
        <w:t>发包人发出书面</w:t>
      </w:r>
      <w:r>
        <w:rPr>
          <w:rFonts w:hint="eastAsia" w:ascii="宋体" w:hAnsi="宋体"/>
          <w:sz w:val="24"/>
          <w:szCs w:val="24"/>
        </w:rPr>
        <w:t>中标通知书后的第</w:t>
      </w:r>
      <w:r>
        <w:rPr>
          <w:rFonts w:ascii="宋体" w:hAnsi="宋体"/>
          <w:sz w:val="24"/>
          <w:szCs w:val="24"/>
        </w:rPr>
        <w:t>2天开始进行设计工作，开始计算工期。</w:t>
      </w:r>
    </w:p>
    <w:p w14:paraId="72A372E7">
      <w:pPr>
        <w:spacing w:line="360" w:lineRule="auto"/>
        <w:ind w:firstLine="480" w:firstLineChars="200"/>
        <w:rPr>
          <w:rFonts w:ascii="宋体" w:hAnsi="宋体"/>
          <w:kern w:val="0"/>
          <w:sz w:val="24"/>
        </w:rPr>
      </w:pPr>
      <w:r>
        <w:rPr>
          <w:rFonts w:hint="eastAsia" w:ascii="宋体" w:hAnsi="宋体" w:cs="宋体"/>
          <w:bCs/>
          <w:snapToGrid w:val="0"/>
          <w:kern w:val="0"/>
          <w:sz w:val="24"/>
        </w:rPr>
        <w:t>3.2.1.3</w:t>
      </w:r>
      <w:r>
        <w:rPr>
          <w:rFonts w:hint="eastAsia" w:ascii="宋体" w:hAnsi="宋体"/>
          <w:kern w:val="0"/>
          <w:sz w:val="24"/>
        </w:rPr>
        <w:t>施工关键节点工期要求</w:t>
      </w:r>
      <w:r>
        <w:rPr>
          <w:rFonts w:hint="eastAsia" w:ascii="宋体" w:hAnsi="宋体" w:cs="宋体"/>
          <w:bCs/>
          <w:snapToGrid w:val="0"/>
          <w:kern w:val="0"/>
          <w:sz w:val="24"/>
        </w:rPr>
        <w:t>、关键节点工期</w:t>
      </w:r>
      <w:r>
        <w:rPr>
          <w:rFonts w:hint="eastAsia" w:ascii="宋体" w:hAnsi="宋体"/>
          <w:kern w:val="0"/>
          <w:sz w:val="24"/>
        </w:rPr>
        <w:t>：</w:t>
      </w:r>
    </w:p>
    <w:p w14:paraId="3BD96767">
      <w:pPr>
        <w:spacing w:line="360" w:lineRule="auto"/>
        <w:ind w:firstLine="480" w:firstLineChars="200"/>
        <w:rPr>
          <w:rFonts w:hint="eastAsia" w:ascii="宋体" w:hAnsi="宋体"/>
          <w:sz w:val="24"/>
        </w:rPr>
      </w:pPr>
      <w:r>
        <w:rPr>
          <w:rFonts w:hint="eastAsia" w:ascii="宋体" w:hAnsi="宋体" w:cs="宋体"/>
          <w:iCs/>
          <w:sz w:val="24"/>
          <w:szCs w:val="24"/>
        </w:rPr>
        <w:t>不迟于</w:t>
      </w:r>
      <w:r>
        <w:rPr>
          <w:rFonts w:hint="eastAsia" w:ascii="宋体" w:hAnsi="宋体" w:cs="宋体"/>
          <w:iCs/>
          <w:sz w:val="24"/>
          <w:szCs w:val="24"/>
          <w:lang w:val="en-US" w:eastAsia="zh-CN"/>
        </w:rPr>
        <w:t>2026</w:t>
      </w:r>
      <w:r>
        <w:rPr>
          <w:rFonts w:hint="eastAsia" w:ascii="宋体" w:hAnsi="宋体" w:cs="宋体"/>
          <w:iCs/>
          <w:sz w:val="24"/>
          <w:szCs w:val="24"/>
        </w:rPr>
        <w:t>年</w:t>
      </w:r>
      <w:r>
        <w:rPr>
          <w:rFonts w:hint="eastAsia" w:ascii="宋体" w:hAnsi="宋体" w:cs="宋体"/>
          <w:iCs/>
          <w:sz w:val="24"/>
          <w:szCs w:val="24"/>
          <w:lang w:val="en-US" w:eastAsia="zh-CN"/>
        </w:rPr>
        <w:t>3</w:t>
      </w:r>
      <w:r>
        <w:rPr>
          <w:rFonts w:hint="eastAsia" w:ascii="宋体" w:hAnsi="宋体" w:cs="宋体"/>
          <w:iCs/>
          <w:sz w:val="24"/>
          <w:szCs w:val="24"/>
        </w:rPr>
        <w:t>月</w:t>
      </w:r>
      <w:r>
        <w:rPr>
          <w:rFonts w:ascii="宋体" w:hAnsi="宋体"/>
          <w:sz w:val="24"/>
        </w:rPr>
        <w:t xml:space="preserve"> </w:t>
      </w:r>
      <w:r>
        <w:rPr>
          <w:rFonts w:hint="eastAsia" w:ascii="宋体" w:hAnsi="宋体"/>
          <w:sz w:val="24"/>
          <w:lang w:val="en-US" w:eastAsia="zh-CN"/>
        </w:rPr>
        <w:t>30</w:t>
      </w:r>
      <w:r>
        <w:rPr>
          <w:rFonts w:ascii="宋体" w:hAnsi="宋体"/>
          <w:sz w:val="24"/>
        </w:rPr>
        <w:t xml:space="preserve"> </w:t>
      </w:r>
      <w:r>
        <w:rPr>
          <w:rFonts w:hint="eastAsia" w:ascii="宋体" w:hAnsi="宋体"/>
          <w:sz w:val="24"/>
        </w:rPr>
        <w:t>日</w:t>
      </w:r>
      <w:r>
        <w:rPr>
          <w:rFonts w:hint="eastAsia" w:ascii="宋体" w:hAnsi="宋体" w:cs="宋体"/>
          <w:iCs/>
          <w:sz w:val="24"/>
          <w:szCs w:val="24"/>
        </w:rPr>
        <w:t>竣工验收（或联合验收）</w:t>
      </w:r>
    </w:p>
    <w:p w14:paraId="67F5541E">
      <w:pPr>
        <w:spacing w:line="360" w:lineRule="auto"/>
        <w:ind w:firstLine="480" w:firstLineChars="200"/>
        <w:rPr>
          <w:rFonts w:ascii="宋体" w:hAnsi="宋体"/>
          <w:sz w:val="24"/>
        </w:rPr>
      </w:pPr>
      <w:r>
        <w:rPr>
          <w:rFonts w:hint="eastAsia" w:ascii="宋体" w:hAnsi="宋体"/>
          <w:sz w:val="24"/>
        </w:rPr>
        <w:t>以上关键节点工期节点为暂定阶段性控制计划，经发包人确认可相应进行调整并以调整后的计划为准。</w:t>
      </w:r>
    </w:p>
    <w:p w14:paraId="5B0ED0C1">
      <w:pPr>
        <w:spacing w:line="360" w:lineRule="auto"/>
        <w:ind w:firstLine="480" w:firstLineChars="200"/>
        <w:rPr>
          <w:rFonts w:ascii="宋体" w:hAnsi="宋体" w:cs="宋体"/>
          <w:bCs/>
          <w:snapToGrid w:val="0"/>
          <w:kern w:val="0"/>
          <w:sz w:val="24"/>
        </w:rPr>
      </w:pPr>
      <w:r>
        <w:rPr>
          <w:rFonts w:hint="eastAsia" w:ascii="宋体" w:hAnsi="宋体"/>
          <w:kern w:val="0"/>
          <w:sz w:val="24"/>
        </w:rPr>
        <w:t>3.3</w:t>
      </w:r>
      <w:r>
        <w:rPr>
          <w:rFonts w:hint="eastAsia" w:ascii="宋体" w:hAnsi="宋体" w:cs="宋体"/>
          <w:bCs/>
          <w:snapToGrid w:val="0"/>
          <w:kern w:val="0"/>
          <w:sz w:val="24"/>
        </w:rPr>
        <w:t>本工程的合同工期已包括因承包人的设计、施工未能达到发包人及相关政府部门的要求而需要修改或重新设计或重新施工所涉及的额外工程期限，承包人确认已对上述审批时间作出考虑和预留，不以上述理由主张工期顺延。</w:t>
      </w:r>
    </w:p>
    <w:p w14:paraId="62BC9228">
      <w:pPr>
        <w:spacing w:line="360" w:lineRule="auto"/>
        <w:ind w:firstLine="480" w:firstLineChars="200"/>
        <w:rPr>
          <w:rFonts w:hint="eastAsia" w:ascii="宋体" w:hAnsi="宋体"/>
          <w:kern w:val="0"/>
          <w:sz w:val="24"/>
        </w:rPr>
      </w:pPr>
      <w:r>
        <w:rPr>
          <w:rFonts w:hint="eastAsia" w:ascii="宋体" w:hAnsi="宋体" w:cs="宋体"/>
          <w:bCs/>
          <w:snapToGrid w:val="0"/>
          <w:kern w:val="0"/>
          <w:sz w:val="24"/>
        </w:rPr>
        <w:t>3.4</w:t>
      </w:r>
      <w:r>
        <w:rPr>
          <w:rFonts w:hint="eastAsia" w:ascii="宋体" w:hAnsi="宋体"/>
          <w:kern w:val="0"/>
          <w:sz w:val="24"/>
        </w:rPr>
        <w:t>发包人根据工程实施情况，有权对本工程工期（包括关键节点工期和竣工日期）进行适当调整，承包人需服从发包人对本项目建设工期的要求。</w:t>
      </w:r>
      <w:bookmarkStart w:id="45" w:name="_Hlk145864702"/>
      <w:r>
        <w:rPr>
          <w:rFonts w:hint="eastAsia" w:ascii="宋体" w:hAnsi="宋体"/>
          <w:kern w:val="0"/>
          <w:sz w:val="24"/>
        </w:rPr>
        <w:t>因调整工期导致承包人成本增加（如户内精装修分阶段施工，工人多次进退场费等）概不额外计算。</w:t>
      </w:r>
    </w:p>
    <w:p w14:paraId="2D182F8F">
      <w:pPr>
        <w:spacing w:line="360" w:lineRule="auto"/>
        <w:ind w:firstLine="480" w:firstLineChars="200"/>
        <w:rPr>
          <w:rFonts w:hint="eastAsia" w:ascii="宋体" w:hAnsi="宋体"/>
          <w:kern w:val="0"/>
          <w:sz w:val="24"/>
        </w:rPr>
      </w:pPr>
      <w:r>
        <w:rPr>
          <w:rFonts w:hint="eastAsia" w:ascii="宋体" w:hAnsi="宋体"/>
          <w:kern w:val="0"/>
          <w:sz w:val="24"/>
          <w:lang w:val="en-US" w:eastAsia="zh-CN"/>
        </w:rPr>
        <w:t>3.5上述工期包括进场施工、公休及假期、恶劣天气等，已充分考虑了施工期间可能遇到的停水及停电、法定节假日等因素，除不可抗力及合同另有约定的情况外，工程工期不作调整。</w:t>
      </w:r>
    </w:p>
    <w:bookmarkEnd w:id="45"/>
    <w:p w14:paraId="5F1DB0EB">
      <w:pPr>
        <w:spacing w:line="360" w:lineRule="auto"/>
        <w:ind w:firstLine="482" w:firstLineChars="200"/>
        <w:jc w:val="left"/>
        <w:outlineLvl w:val="0"/>
        <w:rPr>
          <w:rFonts w:ascii="宋体" w:hAnsi="宋体"/>
          <w:b/>
          <w:kern w:val="0"/>
          <w:sz w:val="24"/>
        </w:rPr>
      </w:pPr>
      <w:bookmarkStart w:id="46" w:name="_Toc12709_WPSOffice_Level2"/>
      <w:bookmarkStart w:id="47" w:name="_Toc22708"/>
      <w:bookmarkStart w:id="48" w:name="_Toc144745929"/>
      <w:bookmarkStart w:id="49" w:name="_Toc28487"/>
      <w:bookmarkStart w:id="50" w:name="_Toc144746847"/>
      <w:bookmarkStart w:id="51" w:name="_Toc29127"/>
      <w:r>
        <w:rPr>
          <w:rFonts w:hint="eastAsia" w:ascii="宋体" w:hAnsi="宋体"/>
          <w:b/>
          <w:kern w:val="0"/>
          <w:sz w:val="24"/>
        </w:rPr>
        <w:t>4、质量标准和目标</w:t>
      </w:r>
      <w:bookmarkEnd w:id="46"/>
      <w:bookmarkEnd w:id="47"/>
      <w:bookmarkEnd w:id="48"/>
      <w:bookmarkEnd w:id="49"/>
      <w:bookmarkEnd w:id="50"/>
      <w:bookmarkEnd w:id="51"/>
    </w:p>
    <w:p w14:paraId="2782F5B5">
      <w:pPr>
        <w:spacing w:line="360" w:lineRule="auto"/>
        <w:ind w:firstLine="480" w:firstLineChars="200"/>
        <w:rPr>
          <w:rFonts w:ascii="宋体" w:hAnsi="宋体"/>
          <w:kern w:val="0"/>
          <w:sz w:val="24"/>
        </w:rPr>
      </w:pPr>
      <w:r>
        <w:rPr>
          <w:rFonts w:hint="eastAsia" w:ascii="宋体" w:hAnsi="宋体"/>
          <w:kern w:val="0"/>
          <w:sz w:val="24"/>
        </w:rPr>
        <w:t>4.1质量标准：</w:t>
      </w:r>
    </w:p>
    <w:p w14:paraId="2E8EFFF0">
      <w:pPr>
        <w:spacing w:line="360" w:lineRule="auto"/>
        <w:ind w:firstLine="480" w:firstLineChars="200"/>
        <w:rPr>
          <w:rFonts w:ascii="宋体" w:hAnsi="宋体" w:cs="宋体"/>
          <w:bCs/>
          <w:snapToGrid w:val="0"/>
          <w:kern w:val="0"/>
          <w:sz w:val="24"/>
        </w:rPr>
      </w:pPr>
      <w:r>
        <w:rPr>
          <w:rFonts w:hint="eastAsia" w:ascii="宋体" w:hAnsi="宋体"/>
          <w:kern w:val="0"/>
          <w:sz w:val="24"/>
        </w:rPr>
        <w:t>4.1.1</w:t>
      </w:r>
      <w:r>
        <w:rPr>
          <w:rFonts w:hint="eastAsia" w:ascii="宋体" w:hAnsi="宋体" w:cs="宋体"/>
          <w:bCs/>
          <w:snapToGrid w:val="0"/>
          <w:kern w:val="0"/>
          <w:sz w:val="24"/>
        </w:rPr>
        <w:t>设计质量标准：符合现行建设工程设计的技术规范及本项目设计任务书的要求。</w:t>
      </w:r>
    </w:p>
    <w:p w14:paraId="70E5D75F">
      <w:pPr>
        <w:spacing w:line="360" w:lineRule="auto"/>
        <w:ind w:firstLine="480" w:firstLineChars="200"/>
        <w:rPr>
          <w:rFonts w:ascii="宋体" w:hAnsi="宋体"/>
          <w:kern w:val="0"/>
          <w:sz w:val="24"/>
        </w:rPr>
      </w:pPr>
      <w:r>
        <w:rPr>
          <w:rFonts w:hint="eastAsia" w:ascii="宋体" w:hAnsi="宋体" w:cs="宋体"/>
          <w:bCs/>
          <w:snapToGrid w:val="0"/>
          <w:kern w:val="0"/>
          <w:sz w:val="24"/>
        </w:rPr>
        <w:t>4.1.2</w:t>
      </w:r>
      <w:r>
        <w:rPr>
          <w:rFonts w:hint="eastAsia" w:ascii="宋体" w:hAnsi="宋体"/>
          <w:kern w:val="0"/>
          <w:sz w:val="24"/>
        </w:rPr>
        <w:t>施工质量标准：</w:t>
      </w:r>
    </w:p>
    <w:p w14:paraId="6D537FB1">
      <w:pPr>
        <w:spacing w:line="360" w:lineRule="auto"/>
        <w:ind w:firstLine="480" w:firstLineChars="200"/>
        <w:rPr>
          <w:rFonts w:ascii="宋体" w:hAnsi="宋体"/>
          <w:kern w:val="0"/>
          <w:sz w:val="24"/>
        </w:rPr>
      </w:pPr>
      <w:r>
        <w:rPr>
          <w:rFonts w:hint="eastAsia" w:ascii="宋体" w:hAnsi="宋体"/>
          <w:kern w:val="0"/>
          <w:sz w:val="24"/>
        </w:rPr>
        <w:t>（1）《建筑工程施工质量验收统一标准》（GB50300-2013）及相应配套的各专业验收规范等。</w:t>
      </w:r>
    </w:p>
    <w:p w14:paraId="0C71449D">
      <w:pPr>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cs="宋体"/>
          <w:bCs/>
          <w:snapToGrid w:val="0"/>
          <w:kern w:val="0"/>
          <w:sz w:val="24"/>
        </w:rPr>
        <w:t>《城镇道路工程施工与质量验收规范》（CJJ1-2008）、</w:t>
      </w:r>
      <w:r>
        <w:rPr>
          <w:rFonts w:hint="eastAsia" w:ascii="宋体" w:hAnsi="宋体"/>
          <w:kern w:val="0"/>
          <w:sz w:val="24"/>
        </w:rPr>
        <w:t>《给水排水管道工程施工及验收规范》（GB 50268-2008）及相应配套的各专业验收规范等。</w:t>
      </w:r>
    </w:p>
    <w:p w14:paraId="36DA0D0F">
      <w:pPr>
        <w:spacing w:line="360" w:lineRule="auto"/>
        <w:ind w:firstLine="480" w:firstLineChars="200"/>
        <w:rPr>
          <w:rFonts w:ascii="宋体" w:hAnsi="宋体" w:cs="宋体"/>
          <w:bCs/>
          <w:snapToGrid w:val="0"/>
          <w:kern w:val="0"/>
          <w:sz w:val="24"/>
        </w:rPr>
      </w:pPr>
      <w:r>
        <w:rPr>
          <w:rFonts w:hint="eastAsia" w:ascii="宋体" w:hAnsi="宋体" w:cs="宋体"/>
          <w:snapToGrid w:val="0"/>
          <w:kern w:val="0"/>
          <w:sz w:val="24"/>
        </w:rPr>
        <w:t>（3）《园林绿化工程施工及验收规范》（CJJ82-2012）、《城市绿化工程施工及验收规范》（DB440100/T114-2007）及相应配套的各专业验收规范等。</w:t>
      </w:r>
    </w:p>
    <w:p w14:paraId="0BB6B687">
      <w:pPr>
        <w:spacing w:line="360" w:lineRule="auto"/>
        <w:ind w:firstLine="480" w:firstLineChars="200"/>
        <w:rPr>
          <w:rFonts w:ascii="宋体" w:hAnsi="宋体" w:cs="宋体"/>
          <w:bCs/>
          <w:snapToGrid w:val="0"/>
          <w:kern w:val="0"/>
          <w:sz w:val="24"/>
        </w:rPr>
      </w:pPr>
      <w:r>
        <w:rPr>
          <w:rFonts w:hint="eastAsia" w:ascii="宋体" w:hAnsi="宋体"/>
          <w:kern w:val="0"/>
          <w:sz w:val="24"/>
        </w:rPr>
        <w:t>4.2质量目标：分部工程验收合格率100%，项目所涉及的政府专项验收全部通过，本工程一次竣工验收合格。</w:t>
      </w:r>
    </w:p>
    <w:p w14:paraId="7B084336">
      <w:pPr>
        <w:autoSpaceDE w:val="0"/>
        <w:autoSpaceDN w:val="0"/>
        <w:spacing w:line="360" w:lineRule="auto"/>
        <w:ind w:firstLine="480" w:firstLineChars="200"/>
        <w:rPr>
          <w:rFonts w:ascii="宋体" w:hAnsi="宋体" w:cs="宋体"/>
          <w:spacing w:val="-1"/>
          <w:sz w:val="24"/>
          <w:szCs w:val="24"/>
        </w:rPr>
      </w:pPr>
      <w:r>
        <w:rPr>
          <w:rFonts w:hint="eastAsia" w:ascii="宋体" w:hAnsi="宋体" w:cs="宋体"/>
          <w:bCs/>
          <w:snapToGrid w:val="0"/>
          <w:kern w:val="0"/>
          <w:sz w:val="24"/>
        </w:rPr>
        <w:t xml:space="preserve">4.3 </w:t>
      </w:r>
      <w:r>
        <w:rPr>
          <w:rFonts w:hint="eastAsia" w:ascii="宋体" w:hAnsi="宋体" w:cs="宋体"/>
          <w:spacing w:val="-1"/>
          <w:sz w:val="24"/>
          <w:szCs w:val="24"/>
        </w:rPr>
        <w:t>设计单位应执行国家、省、市相关节能规范，并</w:t>
      </w:r>
      <w:r>
        <w:rPr>
          <w:rFonts w:hint="eastAsia" w:ascii="宋体" w:hAnsi="宋体"/>
          <w:spacing w:val="-1"/>
          <w:sz w:val="24"/>
        </w:rPr>
        <w:t>按照《绿色建筑评价标准》</w:t>
      </w:r>
      <w:r>
        <w:rPr>
          <w:rFonts w:hint="eastAsia" w:ascii="宋体" w:hAnsi="宋体" w:cs="宋体"/>
          <w:spacing w:val="-1"/>
          <w:sz w:val="24"/>
          <w:szCs w:val="24"/>
        </w:rPr>
        <w:t>GB</w:t>
      </w:r>
      <w:r>
        <w:rPr>
          <w:rFonts w:hint="eastAsia" w:ascii="宋体" w:hAnsi="宋体"/>
          <w:spacing w:val="-1"/>
          <w:sz w:val="24"/>
        </w:rPr>
        <w:t>/T50378-</w:t>
      </w:r>
      <w:r>
        <w:rPr>
          <w:rFonts w:hint="eastAsia" w:ascii="宋体" w:hAnsi="宋体" w:cs="宋体"/>
          <w:spacing w:val="-1"/>
          <w:sz w:val="24"/>
          <w:szCs w:val="24"/>
        </w:rPr>
        <w:t>2019，</w:t>
      </w:r>
      <w:r>
        <w:rPr>
          <w:rFonts w:hint="eastAsia" w:ascii="宋体" w:hAnsi="宋体"/>
          <w:spacing w:val="-1"/>
          <w:sz w:val="24"/>
        </w:rPr>
        <w:t>确保本</w:t>
      </w:r>
      <w:r>
        <w:rPr>
          <w:rFonts w:hint="eastAsia" w:ascii="宋体" w:hAnsi="宋体" w:cs="宋体"/>
          <w:spacing w:val="-1"/>
          <w:sz w:val="24"/>
          <w:szCs w:val="24"/>
        </w:rPr>
        <w:t>项符合</w:t>
      </w:r>
      <w:r>
        <w:rPr>
          <w:rFonts w:hint="eastAsia" w:ascii="宋体" w:hAnsi="宋体"/>
          <w:spacing w:val="-1"/>
          <w:sz w:val="24"/>
        </w:rPr>
        <w:t>绿色建筑二星标准</w:t>
      </w:r>
      <w:r>
        <w:rPr>
          <w:rFonts w:hint="eastAsia" w:ascii="宋体" w:hAnsi="宋体" w:cs="宋体"/>
          <w:spacing w:val="-1"/>
          <w:sz w:val="24"/>
          <w:szCs w:val="24"/>
        </w:rPr>
        <w:t>要求</w:t>
      </w:r>
      <w:r>
        <w:rPr>
          <w:rFonts w:hint="eastAsia" w:ascii="宋体" w:hAnsi="宋体" w:cs="宋体"/>
          <w:spacing w:val="-1"/>
          <w:sz w:val="24"/>
          <w:szCs w:val="24"/>
          <w:lang w:eastAsia="zh-CN"/>
        </w:rPr>
        <w:t>（</w:t>
      </w:r>
      <w:r>
        <w:rPr>
          <w:rFonts w:hint="eastAsia" w:ascii="宋体" w:hAnsi="宋体" w:cs="宋体"/>
          <w:spacing w:val="-1"/>
          <w:sz w:val="24"/>
          <w:szCs w:val="24"/>
          <w:lang w:val="en-US" w:eastAsia="zh-CN"/>
        </w:rPr>
        <w:t>不适用</w:t>
      </w:r>
      <w:r>
        <w:rPr>
          <w:rFonts w:hint="eastAsia" w:ascii="宋体" w:hAnsi="宋体" w:cs="宋体"/>
          <w:spacing w:val="-1"/>
          <w:sz w:val="24"/>
          <w:szCs w:val="24"/>
          <w:lang w:eastAsia="zh-CN"/>
        </w:rPr>
        <w:t>）</w:t>
      </w:r>
      <w:r>
        <w:rPr>
          <w:rFonts w:hint="eastAsia" w:ascii="宋体" w:hAnsi="宋体" w:cs="宋体"/>
          <w:spacing w:val="-1"/>
          <w:sz w:val="24"/>
          <w:szCs w:val="24"/>
        </w:rPr>
        <w:t>。</w:t>
      </w:r>
    </w:p>
    <w:p w14:paraId="723C333F">
      <w:pPr>
        <w:autoSpaceDE w:val="0"/>
        <w:autoSpaceDN w:val="0"/>
        <w:spacing w:line="360" w:lineRule="auto"/>
        <w:ind w:firstLine="476" w:firstLineChars="200"/>
        <w:jc w:val="left"/>
        <w:rPr>
          <w:rFonts w:ascii="宋体" w:hAnsi="宋体"/>
          <w:kern w:val="0"/>
          <w:sz w:val="24"/>
        </w:rPr>
      </w:pPr>
      <w:r>
        <w:rPr>
          <w:rFonts w:hint="eastAsia" w:ascii="宋体" w:hAnsi="宋体" w:cs="宋体"/>
          <w:spacing w:val="-1"/>
          <w:sz w:val="24"/>
          <w:szCs w:val="24"/>
        </w:rPr>
        <w:t xml:space="preserve">4.4  </w:t>
      </w:r>
      <w:r>
        <w:rPr>
          <w:rFonts w:hint="eastAsia" w:ascii="宋体" w:hAnsi="宋体" w:cs="宋体"/>
          <w:bCs/>
          <w:snapToGrid w:val="0"/>
          <w:kern w:val="0"/>
          <w:sz w:val="24"/>
        </w:rPr>
        <w:t>BIM的设计深度应满足广州市相关规定，全程配合申报施工图审查时所需的BIM模型进行BIM审查，且地下室区域需做施工BIM深化，满足指导施工要求</w:t>
      </w:r>
      <w:r>
        <w:rPr>
          <w:rFonts w:hint="eastAsia" w:ascii="宋体" w:hAnsi="宋体" w:cs="宋体"/>
          <w:bCs/>
          <w:snapToGrid w:val="0"/>
          <w:kern w:val="0"/>
          <w:sz w:val="24"/>
          <w:lang w:eastAsia="zh-CN"/>
        </w:rPr>
        <w:t>（</w:t>
      </w:r>
      <w:r>
        <w:rPr>
          <w:rFonts w:hint="eastAsia" w:ascii="宋体" w:hAnsi="宋体" w:cs="宋体"/>
          <w:bCs/>
          <w:snapToGrid w:val="0"/>
          <w:kern w:val="0"/>
          <w:sz w:val="24"/>
          <w:lang w:val="en-US" w:eastAsia="zh-CN"/>
        </w:rPr>
        <w:t>不适用</w:t>
      </w:r>
      <w:r>
        <w:rPr>
          <w:rFonts w:hint="eastAsia" w:ascii="宋体" w:hAnsi="宋体" w:cs="宋体"/>
          <w:bCs/>
          <w:snapToGrid w:val="0"/>
          <w:kern w:val="0"/>
          <w:sz w:val="24"/>
          <w:lang w:eastAsia="zh-CN"/>
        </w:rPr>
        <w:t>）</w:t>
      </w:r>
      <w:r>
        <w:rPr>
          <w:rFonts w:hint="eastAsia" w:ascii="宋体" w:hAnsi="宋体"/>
          <w:kern w:val="0"/>
          <w:sz w:val="24"/>
        </w:rPr>
        <w:t>。</w:t>
      </w:r>
    </w:p>
    <w:p w14:paraId="12BCAE23">
      <w:pPr>
        <w:spacing w:line="360" w:lineRule="auto"/>
        <w:ind w:firstLine="482" w:firstLineChars="200"/>
        <w:jc w:val="left"/>
        <w:outlineLvl w:val="0"/>
        <w:rPr>
          <w:rFonts w:ascii="宋体" w:hAnsi="宋体"/>
          <w:b/>
          <w:kern w:val="0"/>
          <w:sz w:val="24"/>
        </w:rPr>
      </w:pPr>
      <w:bookmarkStart w:id="52" w:name="_Toc13806"/>
      <w:bookmarkStart w:id="53" w:name="_Toc17380"/>
      <w:bookmarkStart w:id="54" w:name="_Toc144745930"/>
      <w:bookmarkStart w:id="55" w:name="_Toc31768"/>
      <w:bookmarkStart w:id="56" w:name="_Toc144746848"/>
      <w:bookmarkStart w:id="57" w:name="_Toc30282_WPSOffice_Level2"/>
      <w:bookmarkStart w:id="58" w:name="_Toc104901739"/>
      <w:r>
        <w:rPr>
          <w:rFonts w:hint="eastAsia" w:ascii="宋体" w:hAnsi="宋体"/>
          <w:b/>
          <w:kern w:val="0"/>
          <w:sz w:val="24"/>
        </w:rPr>
        <w:t>5、职业健康安全管理目标和环境管理目标</w:t>
      </w:r>
      <w:bookmarkEnd w:id="52"/>
      <w:bookmarkEnd w:id="53"/>
      <w:bookmarkEnd w:id="54"/>
      <w:bookmarkEnd w:id="55"/>
      <w:bookmarkEnd w:id="56"/>
      <w:bookmarkEnd w:id="57"/>
      <w:bookmarkEnd w:id="58"/>
    </w:p>
    <w:p w14:paraId="004F8847">
      <w:pPr>
        <w:autoSpaceDE w:val="0"/>
        <w:autoSpaceDN w:val="0"/>
        <w:spacing w:line="360" w:lineRule="auto"/>
        <w:ind w:firstLine="480" w:firstLineChars="200"/>
        <w:jc w:val="left"/>
        <w:rPr>
          <w:rFonts w:ascii="宋体" w:hAnsi="宋体"/>
          <w:kern w:val="0"/>
          <w:sz w:val="24"/>
        </w:rPr>
      </w:pPr>
      <w:r>
        <w:rPr>
          <w:rFonts w:hint="eastAsia" w:ascii="宋体" w:hAnsi="宋体"/>
          <w:kern w:val="0"/>
          <w:sz w:val="24"/>
        </w:rPr>
        <w:t>5.1职业健康安全管理目标：</w:t>
      </w:r>
    </w:p>
    <w:p w14:paraId="3851EF32">
      <w:pPr>
        <w:autoSpaceDE w:val="0"/>
        <w:autoSpaceDN w:val="0"/>
        <w:spacing w:line="360" w:lineRule="auto"/>
        <w:ind w:firstLine="480" w:firstLineChars="200"/>
        <w:jc w:val="left"/>
        <w:rPr>
          <w:rFonts w:ascii="宋体" w:hAnsi="宋体"/>
          <w:kern w:val="0"/>
          <w:sz w:val="24"/>
        </w:rPr>
      </w:pPr>
      <w:r>
        <w:rPr>
          <w:rFonts w:hint="eastAsia" w:ascii="宋体" w:hAnsi="宋体"/>
          <w:kern w:val="0"/>
          <w:sz w:val="24"/>
        </w:rPr>
        <w:t>零死亡、零重伤、零中毒、零火灾、零坍塌、零重大机械事故、零重大财产损失及负面影响事件、零群体事件。改善劳动条件，预防职业病，工地防尘、防毒、防噪音、通风、照明、取暖、降温、防辐射及防物理因素危害等，均符合国家和地方政府主管理部门颁布的相关规定。</w:t>
      </w:r>
    </w:p>
    <w:p w14:paraId="0A15551E">
      <w:pPr>
        <w:autoSpaceDE w:val="0"/>
        <w:autoSpaceDN w:val="0"/>
        <w:spacing w:line="360" w:lineRule="auto"/>
        <w:ind w:firstLine="480" w:firstLineChars="200"/>
        <w:jc w:val="left"/>
        <w:rPr>
          <w:rFonts w:ascii="宋体" w:hAnsi="宋体"/>
          <w:kern w:val="0"/>
          <w:sz w:val="24"/>
        </w:rPr>
      </w:pPr>
      <w:r>
        <w:rPr>
          <w:rFonts w:hint="eastAsia" w:ascii="宋体" w:hAnsi="宋体"/>
          <w:kern w:val="0"/>
          <w:sz w:val="24"/>
        </w:rPr>
        <w:t>5.2环境管理目标：严格执行《广州市城乡建设委员会关于印发广州市加强建筑工地环保管理工作方案的通知》(穗建质〔2014〕754号) 、《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中华人民共和国住房和城乡建设部令第37号)和《关于加强建设工程安全生产管理、落实建设各方主体责任的暂行规定》（穗建规字〔2017〕21号）等国家、省、市现行标准、规定和文件要求，并满足广州市政府或建设管理部门文件规定要求。</w:t>
      </w:r>
      <w:r>
        <w:rPr>
          <w:rFonts w:hint="eastAsia" w:ascii="宋体" w:hAnsi="宋体" w:cs="宋体"/>
          <w:bCs/>
          <w:snapToGrid w:val="0"/>
          <w:kern w:val="0"/>
          <w:sz w:val="24"/>
        </w:rPr>
        <w:t>上述目标达成导致相关措施费用的增加已包括在投标总价以内。</w:t>
      </w:r>
    </w:p>
    <w:p w14:paraId="771596A6">
      <w:pPr>
        <w:spacing w:line="360" w:lineRule="auto"/>
        <w:ind w:firstLine="482" w:firstLineChars="200"/>
        <w:jc w:val="left"/>
        <w:outlineLvl w:val="0"/>
        <w:rPr>
          <w:rFonts w:ascii="宋体" w:hAnsi="宋体"/>
          <w:b/>
          <w:kern w:val="0"/>
          <w:sz w:val="24"/>
        </w:rPr>
      </w:pPr>
      <w:bookmarkStart w:id="59" w:name="_Toc144746849"/>
      <w:bookmarkStart w:id="60" w:name="_Toc144745931"/>
      <w:bookmarkStart w:id="61" w:name="_Toc104901740"/>
      <w:bookmarkStart w:id="62" w:name="_Toc60"/>
      <w:bookmarkStart w:id="63" w:name="_Toc23274_WPSOffice_Level2"/>
      <w:bookmarkStart w:id="64" w:name="_Toc29580"/>
      <w:bookmarkStart w:id="65" w:name="_Toc20459"/>
      <w:r>
        <w:rPr>
          <w:rFonts w:hint="eastAsia" w:ascii="宋体" w:hAnsi="宋体"/>
          <w:b/>
          <w:kern w:val="0"/>
          <w:sz w:val="24"/>
        </w:rPr>
        <w:t>6、合同价款</w:t>
      </w:r>
      <w:bookmarkEnd w:id="59"/>
      <w:bookmarkEnd w:id="60"/>
      <w:bookmarkEnd w:id="61"/>
      <w:bookmarkEnd w:id="62"/>
      <w:bookmarkEnd w:id="63"/>
      <w:bookmarkEnd w:id="64"/>
      <w:bookmarkEnd w:id="65"/>
    </w:p>
    <w:p w14:paraId="18BBEAE5">
      <w:pPr>
        <w:spacing w:line="360" w:lineRule="auto"/>
        <w:ind w:firstLine="480" w:firstLineChars="200"/>
        <w:rPr>
          <w:rFonts w:ascii="宋体" w:hAnsi="宋体"/>
          <w:kern w:val="0"/>
          <w:sz w:val="24"/>
        </w:rPr>
      </w:pPr>
      <w:r>
        <w:rPr>
          <w:rFonts w:hint="eastAsia" w:ascii="宋体" w:hAnsi="宋体"/>
          <w:kern w:val="0"/>
          <w:sz w:val="24"/>
        </w:rPr>
        <w:t>6.1本合同以人民币为报价和结算货币，除非发包人、承包人双方另有约定。</w:t>
      </w:r>
    </w:p>
    <w:p w14:paraId="6FFBDBE8">
      <w:pPr>
        <w:spacing w:line="360" w:lineRule="auto"/>
        <w:ind w:firstLine="480" w:firstLineChars="200"/>
        <w:rPr>
          <w:rFonts w:ascii="宋体" w:hAnsi="宋体"/>
          <w:kern w:val="0"/>
          <w:sz w:val="24"/>
        </w:rPr>
      </w:pPr>
      <w:r>
        <w:rPr>
          <w:rFonts w:hint="eastAsia" w:ascii="宋体" w:hAnsi="宋体"/>
          <w:kern w:val="0"/>
          <w:sz w:val="24"/>
        </w:rPr>
        <w:t>6.2本合同价款暂定为</w:t>
      </w:r>
      <w:r>
        <w:rPr>
          <w:rFonts w:hint="eastAsia" w:ascii="宋体" w:hAnsi="宋体" w:cs="宋体"/>
          <w:snapToGrid w:val="0"/>
          <w:kern w:val="0"/>
          <w:sz w:val="24"/>
          <w:u w:val="single"/>
        </w:rPr>
        <w:t xml:space="preserve"> ¥</w:t>
      </w:r>
      <w:r>
        <w:rPr>
          <w:rFonts w:hint="eastAsia" w:ascii="宋体" w:hAnsi="宋体" w:cs="宋体"/>
          <w:snapToGrid w:val="0"/>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rPr>
        <w:t>元（大写：</w:t>
      </w:r>
      <w:r>
        <w:rPr>
          <w:rFonts w:hint="eastAsia" w:ascii="宋体" w:hAnsi="宋体"/>
          <w:kern w:val="0"/>
          <w:sz w:val="24"/>
          <w:lang w:val="en-US" w:eastAsia="zh-CN"/>
        </w:rPr>
        <w:t xml:space="preserve">     </w:t>
      </w:r>
      <w:r>
        <w:rPr>
          <w:rFonts w:hint="eastAsia" w:ascii="宋体" w:hAnsi="宋体" w:cs="宋体"/>
          <w:bCs/>
          <w:snapToGrid w:val="0"/>
          <w:kern w:val="0"/>
          <w:sz w:val="24"/>
        </w:rPr>
        <w:t xml:space="preserve"> ）、其中暂列金为 </w:t>
      </w:r>
      <w:r>
        <w:rPr>
          <w:rFonts w:hint="eastAsia" w:ascii="宋体" w:hAnsi="宋体" w:cs="宋体"/>
          <w:snapToGrid w:val="0"/>
          <w:kern w:val="0"/>
          <w:sz w:val="24"/>
          <w:u w:val="single"/>
        </w:rPr>
        <w:t>¥</w:t>
      </w:r>
      <w:r>
        <w:rPr>
          <w:rFonts w:hint="eastAsia" w:ascii="宋体" w:hAnsi="宋体" w:cs="宋体"/>
          <w:bCs/>
          <w:snapToGrid w:val="0"/>
          <w:kern w:val="0"/>
          <w:sz w:val="24"/>
          <w:u w:val="single"/>
          <w:lang w:val="en-US" w:eastAsia="zh-CN"/>
        </w:rPr>
        <w:t xml:space="preserve">      </w:t>
      </w:r>
      <w:r>
        <w:rPr>
          <w:rFonts w:hint="eastAsia" w:ascii="宋体" w:hAnsi="宋体" w:cs="宋体"/>
          <w:bCs/>
          <w:snapToGrid w:val="0"/>
          <w:kern w:val="0"/>
          <w:sz w:val="24"/>
        </w:rPr>
        <w:t>元，</w:t>
      </w:r>
      <w:r>
        <w:rPr>
          <w:rFonts w:hint="eastAsia" w:ascii="宋体" w:hAnsi="宋体"/>
          <w:kern w:val="0"/>
          <w:sz w:val="24"/>
        </w:rPr>
        <w:t>该款项已包含承包人履行本合同所获取的全部利益和所需支付的全部税费。</w:t>
      </w:r>
    </w:p>
    <w:p w14:paraId="461D00A3">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其中：不含税价款为</w:t>
      </w:r>
      <w:r>
        <w:rPr>
          <w:rFonts w:hint="eastAsia" w:ascii="宋体" w:hAnsi="宋体" w:cs="宋体"/>
          <w:snapToGrid w:val="0"/>
          <w:kern w:val="0"/>
          <w:sz w:val="24"/>
          <w:u w:val="single"/>
        </w:rPr>
        <w:t>¥</w:t>
      </w:r>
      <w:r>
        <w:rPr>
          <w:rFonts w:hint="eastAsia" w:ascii="宋体" w:hAnsi="宋体" w:cs="宋体"/>
          <w:snapToGrid w:val="0"/>
          <w:kern w:val="0"/>
          <w:sz w:val="24"/>
          <w:u w:val="single"/>
          <w:lang w:val="en-US" w:eastAsia="zh-CN"/>
        </w:rPr>
        <w:t xml:space="preserve">       </w:t>
      </w:r>
      <w:r>
        <w:rPr>
          <w:rFonts w:hint="eastAsia" w:ascii="宋体" w:hAnsi="宋体" w:cs="宋体"/>
          <w:snapToGrid w:val="0"/>
          <w:kern w:val="0"/>
          <w:sz w:val="24"/>
          <w:u w:val="single"/>
        </w:rPr>
        <w:t xml:space="preserve"> </w:t>
      </w:r>
      <w:r>
        <w:rPr>
          <w:rFonts w:hint="eastAsia" w:ascii="宋体" w:hAnsi="宋体" w:cs="宋体"/>
          <w:bCs/>
          <w:snapToGrid w:val="0"/>
          <w:kern w:val="0"/>
          <w:sz w:val="24"/>
        </w:rPr>
        <w:t>元，增值税为</w:t>
      </w:r>
      <w:r>
        <w:rPr>
          <w:rFonts w:hint="eastAsia" w:ascii="宋体" w:hAnsi="宋体" w:cs="宋体"/>
          <w:snapToGrid w:val="0"/>
          <w:kern w:val="0"/>
          <w:sz w:val="24"/>
          <w:u w:val="single"/>
        </w:rPr>
        <w:t xml:space="preserve">¥ </w:t>
      </w:r>
      <w:r>
        <w:rPr>
          <w:rFonts w:hint="eastAsia" w:ascii="宋体" w:hAnsi="宋体" w:cs="宋体"/>
          <w:snapToGrid w:val="0"/>
          <w:kern w:val="0"/>
          <w:sz w:val="24"/>
          <w:u w:val="single"/>
          <w:lang w:val="en-US" w:eastAsia="zh-CN"/>
        </w:rPr>
        <w:t xml:space="preserve">       </w:t>
      </w:r>
      <w:r>
        <w:rPr>
          <w:rFonts w:hint="eastAsia" w:ascii="宋体" w:hAnsi="宋体" w:cs="宋体"/>
          <w:snapToGrid w:val="0"/>
          <w:kern w:val="0"/>
          <w:sz w:val="24"/>
          <w:u w:val="single"/>
        </w:rPr>
        <w:t xml:space="preserve"> </w:t>
      </w:r>
      <w:r>
        <w:rPr>
          <w:rFonts w:hint="eastAsia" w:ascii="宋体" w:hAnsi="宋体" w:cs="宋体"/>
          <w:bCs/>
          <w:snapToGrid w:val="0"/>
          <w:kern w:val="0"/>
          <w:sz w:val="24"/>
        </w:rPr>
        <w:t>元。由以下两部分费用组成：</w:t>
      </w:r>
    </w:p>
    <w:p w14:paraId="69CFD6B8">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6.2.1设计部分：</w:t>
      </w:r>
    </w:p>
    <w:p w14:paraId="4A10231C">
      <w:pPr>
        <w:numPr>
          <w:ilvl w:val="0"/>
          <w:numId w:val="4"/>
        </w:numPr>
        <w:spacing w:line="360" w:lineRule="auto"/>
        <w:ind w:firstLine="480" w:firstLineChars="200"/>
        <w:rPr>
          <w:rFonts w:hint="eastAsia" w:ascii="宋体" w:hAnsi="宋体" w:cs="宋体"/>
          <w:bCs/>
          <w:snapToGrid w:val="0"/>
          <w:kern w:val="0"/>
          <w:sz w:val="24"/>
        </w:rPr>
      </w:pPr>
      <w:r>
        <w:rPr>
          <w:rFonts w:hint="eastAsia" w:ascii="宋体" w:hAnsi="宋体" w:cs="宋体"/>
          <w:bCs/>
          <w:snapToGrid w:val="0"/>
          <w:kern w:val="0"/>
          <w:sz w:val="24"/>
        </w:rPr>
        <w:t>设计费暂定价为￥</w:t>
      </w:r>
      <w:r>
        <w:rPr>
          <w:rFonts w:hint="eastAsia" w:ascii="宋体" w:hAnsi="宋体" w:cs="宋体"/>
          <w:bCs/>
          <w:snapToGrid w:val="0"/>
          <w:kern w:val="0"/>
          <w:sz w:val="24"/>
          <w:u w:val="single"/>
        </w:rPr>
        <w:t xml:space="preserve"> </w:t>
      </w:r>
      <w:r>
        <w:rPr>
          <w:rFonts w:hint="eastAsia" w:ascii="宋体" w:hAnsi="宋体" w:cs="宋体"/>
          <w:bCs/>
          <w:snapToGrid w:val="0"/>
          <w:kern w:val="0"/>
          <w:sz w:val="24"/>
          <w:u w:val="single"/>
          <w:lang w:val="en-US" w:eastAsia="zh-CN"/>
        </w:rPr>
        <w:t xml:space="preserve">      </w:t>
      </w:r>
      <w:r>
        <w:rPr>
          <w:rFonts w:hint="eastAsia" w:ascii="宋体" w:hAnsi="宋体" w:cs="宋体"/>
          <w:bCs/>
          <w:snapToGrid w:val="0"/>
          <w:kern w:val="0"/>
          <w:sz w:val="24"/>
        </w:rPr>
        <w:t>元（其中不含税价款为￥</w:t>
      </w:r>
      <w:r>
        <w:rPr>
          <w:rFonts w:hint="eastAsia" w:ascii="宋体" w:hAnsi="宋体" w:cs="宋体"/>
          <w:bCs/>
          <w:snapToGrid w:val="0"/>
          <w:kern w:val="0"/>
          <w:sz w:val="24"/>
          <w:u w:val="single"/>
        </w:rPr>
        <w:t xml:space="preserve"> </w:t>
      </w:r>
      <w:r>
        <w:rPr>
          <w:rFonts w:hint="eastAsia" w:ascii="宋体" w:hAnsi="宋体" w:cs="宋体"/>
          <w:bCs/>
          <w:snapToGrid w:val="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元，增值税为￥</w:t>
      </w:r>
      <w:r>
        <w:rPr>
          <w:rFonts w:hint="eastAsia" w:ascii="宋体" w:hAnsi="宋体" w:cs="宋体"/>
          <w:bCs/>
          <w:snapToGrid w:val="0"/>
          <w:kern w:val="0"/>
          <w:sz w:val="24"/>
          <w:u w:val="single"/>
        </w:rPr>
        <w:t xml:space="preserve"> </w:t>
      </w:r>
      <w:r>
        <w:rPr>
          <w:rFonts w:hint="eastAsia" w:ascii="宋体" w:hAnsi="宋体" w:cs="宋体"/>
          <w:bCs/>
          <w:snapToGrid w:val="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元）、中标下浮率为</w:t>
      </w:r>
      <w:r>
        <w:rPr>
          <w:rFonts w:ascii="宋体" w:hAnsi="宋体" w:cs="宋体"/>
          <w:bCs/>
          <w:snapToGrid w:val="0"/>
          <w:kern w:val="0"/>
          <w:sz w:val="24"/>
          <w:u w:val="single"/>
        </w:rPr>
        <w:t xml:space="preserve"> </w:t>
      </w:r>
      <w:r>
        <w:rPr>
          <w:rFonts w:hint="eastAsia" w:ascii="宋体" w:hAnsi="宋体" w:cs="宋体"/>
          <w:bCs/>
          <w:snapToGrid w:val="0"/>
          <w:kern w:val="0"/>
          <w:sz w:val="24"/>
          <w:u w:val="single"/>
          <w:lang w:val="en-US" w:eastAsia="zh-CN"/>
        </w:rPr>
        <w:t xml:space="preserve">    </w:t>
      </w:r>
      <w:r>
        <w:rPr>
          <w:rFonts w:ascii="宋体" w:hAnsi="宋体" w:cs="宋体"/>
          <w:bCs/>
          <w:snapToGrid w:val="0"/>
          <w:kern w:val="0"/>
          <w:sz w:val="24"/>
          <w:u w:val="single"/>
        </w:rPr>
        <w:t xml:space="preserve"> %</w:t>
      </w:r>
      <w:r>
        <w:rPr>
          <w:rFonts w:hint="eastAsia" w:ascii="宋体" w:hAnsi="宋体" w:cs="宋体"/>
          <w:bCs/>
          <w:snapToGrid w:val="0"/>
          <w:kern w:val="0"/>
          <w:sz w:val="24"/>
        </w:rPr>
        <w:t>；</w:t>
      </w:r>
    </w:p>
    <w:p w14:paraId="40FDC38A">
      <w:pPr>
        <w:numPr>
          <w:ilvl w:val="0"/>
          <w:numId w:val="4"/>
        </w:num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工程勘察费暂定</w:t>
      </w:r>
      <w:r>
        <w:rPr>
          <w:rFonts w:hint="eastAsia" w:ascii="宋体" w:hAnsi="宋体" w:cs="宋体"/>
          <w:bCs/>
          <w:snapToGrid w:val="0"/>
          <w:kern w:val="0"/>
          <w:sz w:val="24"/>
        </w:rPr>
        <w:t>价为￥</w:t>
      </w:r>
      <w:r>
        <w:rPr>
          <w:rFonts w:hint="eastAsia" w:ascii="宋体" w:hAnsi="宋体" w:cs="宋体"/>
          <w:bCs/>
          <w:snapToGrid w:val="0"/>
          <w:kern w:val="0"/>
          <w:sz w:val="24"/>
          <w:u w:val="single"/>
        </w:rPr>
        <w:t xml:space="preserve"> </w:t>
      </w:r>
      <w:r>
        <w:rPr>
          <w:rFonts w:hint="eastAsia" w:ascii="宋体" w:hAnsi="宋体" w:cs="宋体"/>
          <w:bCs/>
          <w:snapToGrid w:val="0"/>
          <w:color w:val="FF000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元（其中不含税价款为￥</w:t>
      </w:r>
      <w:r>
        <w:rPr>
          <w:rFonts w:hint="eastAsia" w:ascii="宋体" w:hAnsi="宋体" w:cs="宋体"/>
          <w:bCs/>
          <w:snapToGrid w:val="0"/>
          <w:kern w:val="0"/>
          <w:sz w:val="24"/>
          <w:u w:val="single"/>
        </w:rPr>
        <w:t xml:space="preserve"> </w:t>
      </w:r>
      <w:r>
        <w:rPr>
          <w:rFonts w:hint="eastAsia" w:ascii="宋体" w:hAnsi="宋体" w:cs="宋体"/>
          <w:bCs/>
          <w:snapToGrid w:val="0"/>
          <w:color w:val="FF000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元，增值税为￥</w:t>
      </w:r>
      <w:r>
        <w:rPr>
          <w:rFonts w:hint="eastAsia" w:ascii="宋体" w:hAnsi="宋体" w:cs="宋体"/>
          <w:bCs/>
          <w:snapToGrid w:val="0"/>
          <w:kern w:val="0"/>
          <w:sz w:val="24"/>
          <w:u w:val="single"/>
        </w:rPr>
        <w:t xml:space="preserve"> </w:t>
      </w:r>
      <w:r>
        <w:rPr>
          <w:rFonts w:hint="eastAsia" w:ascii="宋体" w:hAnsi="宋体" w:cs="宋体"/>
          <w:bCs/>
          <w:snapToGrid w:val="0"/>
          <w:color w:val="FF000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元），中标下浮率为</w:t>
      </w:r>
      <w:r>
        <w:rPr>
          <w:rFonts w:ascii="宋体" w:hAnsi="宋体" w:cs="宋体"/>
          <w:bCs/>
          <w:snapToGrid w:val="0"/>
          <w:kern w:val="0"/>
          <w:sz w:val="24"/>
          <w:u w:val="single"/>
        </w:rPr>
        <w:t xml:space="preserve"> </w:t>
      </w:r>
      <w:r>
        <w:rPr>
          <w:rFonts w:hint="eastAsia" w:ascii="宋体" w:hAnsi="宋体" w:cs="宋体"/>
          <w:bCs/>
          <w:snapToGrid w:val="0"/>
          <w:kern w:val="0"/>
          <w:sz w:val="24"/>
          <w:u w:val="single"/>
          <w:lang w:val="en-US" w:eastAsia="zh-CN"/>
        </w:rPr>
        <w:t xml:space="preserve">    </w:t>
      </w:r>
      <w:r>
        <w:rPr>
          <w:rFonts w:ascii="宋体" w:hAnsi="宋体" w:cs="宋体"/>
          <w:bCs/>
          <w:snapToGrid w:val="0"/>
          <w:kern w:val="0"/>
          <w:sz w:val="24"/>
          <w:u w:val="single"/>
        </w:rPr>
        <w:t xml:space="preserve"> %</w:t>
      </w:r>
      <w:r>
        <w:rPr>
          <w:rFonts w:hint="eastAsia" w:ascii="宋体" w:hAnsi="宋体" w:cs="宋体"/>
          <w:bCs/>
          <w:snapToGrid w:val="0"/>
          <w:kern w:val="0"/>
          <w:sz w:val="24"/>
          <w:u w:val="single"/>
          <w:lang w:eastAsia="zh-CN"/>
        </w:rPr>
        <w:t>。</w:t>
      </w:r>
      <w:r>
        <w:rPr>
          <w:rFonts w:hint="eastAsia" w:ascii="宋体" w:hAnsi="宋体" w:cs="宋体"/>
          <w:bCs/>
          <w:snapToGrid w:val="0"/>
          <w:kern w:val="0"/>
          <w:sz w:val="24"/>
          <w:lang w:val="en-US" w:eastAsia="zh-CN"/>
        </w:rPr>
        <w:t>结算按照实际钻孔数量及深度计算乘以中标单价计算，中标单价已包含钻探工作的一切费用</w:t>
      </w:r>
      <w:r>
        <w:rPr>
          <w:rFonts w:hint="eastAsia" w:ascii="宋体" w:hAnsi="宋体" w:cs="宋体"/>
          <w:sz w:val="24"/>
        </w:rPr>
        <w:t>。</w:t>
      </w:r>
    </w:p>
    <w:p w14:paraId="1BE8312B">
      <w:pPr>
        <w:numPr>
          <w:ilvl w:val="0"/>
          <w:numId w:val="4"/>
        </w:numPr>
        <w:spacing w:line="360" w:lineRule="auto"/>
        <w:ind w:firstLine="480" w:firstLineChars="200"/>
        <w:rPr>
          <w:rFonts w:ascii="宋体" w:hAnsi="宋体" w:cs="宋体"/>
          <w:bCs/>
          <w:snapToGrid w:val="0"/>
          <w:kern w:val="0"/>
          <w:sz w:val="24"/>
        </w:rPr>
      </w:pPr>
      <w:r>
        <w:rPr>
          <w:rFonts w:hint="eastAsia" w:ascii="宋体" w:hAnsi="宋体" w:cs="宋体"/>
          <w:sz w:val="24"/>
          <w:lang w:val="en-US" w:eastAsia="zh-CN"/>
        </w:rPr>
        <w:t>物探费暂定价为</w:t>
      </w:r>
      <w:r>
        <w:rPr>
          <w:rFonts w:hint="eastAsia" w:ascii="宋体" w:hAnsi="宋体" w:cs="宋体"/>
          <w:bCs/>
          <w:snapToGrid w:val="0"/>
          <w:kern w:val="0"/>
          <w:sz w:val="24"/>
        </w:rPr>
        <w:t>￥</w:t>
      </w:r>
      <w:r>
        <w:rPr>
          <w:rFonts w:hint="eastAsia" w:ascii="宋体" w:hAnsi="宋体" w:cs="宋体"/>
          <w:bCs/>
          <w:snapToGrid w:val="0"/>
          <w:kern w:val="0"/>
          <w:sz w:val="24"/>
          <w:u w:val="single"/>
        </w:rPr>
        <w:t xml:space="preserve"> </w:t>
      </w:r>
      <w:r>
        <w:rPr>
          <w:rFonts w:hint="eastAsia" w:ascii="宋体" w:hAnsi="宋体" w:cs="宋体"/>
          <w:bCs/>
          <w:snapToGrid w:val="0"/>
          <w:color w:val="FF000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元（其中不含税价款为￥</w:t>
      </w:r>
      <w:r>
        <w:rPr>
          <w:rFonts w:hint="eastAsia" w:ascii="宋体" w:hAnsi="宋体" w:cs="宋体"/>
          <w:bCs/>
          <w:snapToGrid w:val="0"/>
          <w:kern w:val="0"/>
          <w:sz w:val="24"/>
          <w:u w:val="single"/>
        </w:rPr>
        <w:t xml:space="preserve"> </w:t>
      </w:r>
      <w:r>
        <w:rPr>
          <w:rFonts w:hint="eastAsia" w:ascii="宋体" w:hAnsi="宋体" w:cs="宋体"/>
          <w:bCs/>
          <w:snapToGrid w:val="0"/>
          <w:color w:val="FF000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元，增值税为￥</w:t>
      </w:r>
      <w:r>
        <w:rPr>
          <w:rFonts w:hint="eastAsia" w:ascii="宋体" w:hAnsi="宋体" w:cs="宋体"/>
          <w:bCs/>
          <w:snapToGrid w:val="0"/>
          <w:kern w:val="0"/>
          <w:sz w:val="24"/>
          <w:u w:val="single"/>
        </w:rPr>
        <w:t xml:space="preserve"> </w:t>
      </w:r>
      <w:r>
        <w:rPr>
          <w:rFonts w:hint="eastAsia" w:ascii="宋体" w:hAnsi="宋体" w:cs="宋体"/>
          <w:bCs/>
          <w:snapToGrid w:val="0"/>
          <w:color w:val="FF000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w:t>
      </w:r>
      <w:r>
        <w:rPr>
          <w:rFonts w:hint="eastAsia" w:ascii="宋体" w:hAnsi="宋体" w:cs="宋体"/>
          <w:bCs/>
          <w:snapToGrid w:val="0"/>
          <w:kern w:val="0"/>
          <w:sz w:val="24"/>
          <w:lang w:eastAsia="zh-CN"/>
        </w:rPr>
        <w:t>，</w:t>
      </w:r>
      <w:r>
        <w:rPr>
          <w:rFonts w:hint="eastAsia" w:ascii="宋体" w:hAnsi="宋体" w:cs="宋体"/>
          <w:bCs/>
          <w:snapToGrid w:val="0"/>
          <w:kern w:val="0"/>
          <w:sz w:val="24"/>
        </w:rPr>
        <w:t>中标下浮率为</w:t>
      </w:r>
      <w:r>
        <w:rPr>
          <w:rFonts w:ascii="宋体" w:hAnsi="宋体" w:cs="宋体"/>
          <w:bCs/>
          <w:snapToGrid w:val="0"/>
          <w:kern w:val="0"/>
          <w:sz w:val="24"/>
          <w:u w:val="single"/>
        </w:rPr>
        <w:t xml:space="preserve"> </w:t>
      </w:r>
      <w:r>
        <w:rPr>
          <w:rFonts w:hint="eastAsia" w:ascii="宋体" w:hAnsi="宋体" w:cs="宋体"/>
          <w:bCs/>
          <w:snapToGrid w:val="0"/>
          <w:kern w:val="0"/>
          <w:sz w:val="24"/>
          <w:u w:val="single"/>
          <w:lang w:val="en-US" w:eastAsia="zh-CN"/>
        </w:rPr>
        <w:t xml:space="preserve">    </w:t>
      </w:r>
      <w:r>
        <w:rPr>
          <w:rFonts w:ascii="宋体" w:hAnsi="宋体" w:cs="宋体"/>
          <w:bCs/>
          <w:snapToGrid w:val="0"/>
          <w:kern w:val="0"/>
          <w:sz w:val="24"/>
          <w:u w:val="single"/>
        </w:rPr>
        <w:t xml:space="preserve"> %</w:t>
      </w:r>
      <w:r>
        <w:rPr>
          <w:rFonts w:hint="eastAsia" w:ascii="宋体" w:hAnsi="宋体" w:cs="宋体"/>
          <w:bCs/>
          <w:snapToGrid w:val="0"/>
          <w:kern w:val="0"/>
          <w:sz w:val="24"/>
        </w:rPr>
        <w:t>，</w:t>
      </w:r>
      <w:r>
        <w:rPr>
          <w:rFonts w:hint="eastAsia" w:ascii="宋体" w:hAnsi="宋体" w:cs="宋体"/>
          <w:sz w:val="24"/>
          <w:lang w:val="en-US" w:eastAsia="zh-CN"/>
        </w:rPr>
        <w:t>结算按照实际物探面积乘以中标单价计算，中标单价已包含物探工作的一切费用。</w:t>
      </w:r>
    </w:p>
    <w:p w14:paraId="2DB7A20A">
      <w:pPr>
        <w:pStyle w:val="46"/>
        <w:ind w:left="0" w:leftChars="0" w:firstLine="480"/>
      </w:pPr>
      <w:r>
        <w:rPr>
          <w:rFonts w:hint="eastAsia" w:ascii="宋体" w:hAnsi="宋体" w:cs="宋体"/>
          <w:bCs/>
          <w:snapToGrid w:val="0"/>
          <w:kern w:val="0"/>
        </w:rPr>
        <w:t>以上价款增值税税率为</w:t>
      </w:r>
      <w:r>
        <w:rPr>
          <w:rFonts w:hint="eastAsia" w:ascii="宋体" w:hAnsi="宋体" w:cs="宋体"/>
          <w:bCs/>
          <w:snapToGrid w:val="0"/>
          <w:kern w:val="0"/>
          <w:u w:val="single"/>
        </w:rPr>
        <w:t xml:space="preserve"> 6 </w:t>
      </w:r>
      <w:r>
        <w:rPr>
          <w:rFonts w:hint="eastAsia" w:ascii="宋体" w:hAnsi="宋体" w:cs="宋体"/>
          <w:bCs/>
          <w:snapToGrid w:val="0"/>
          <w:kern w:val="0"/>
        </w:rPr>
        <w:t>%，如果增值税税率调整，应当相应调整设计费，并以不含税价作为结算基础和调整依据。</w:t>
      </w:r>
    </w:p>
    <w:p w14:paraId="449389EB">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备 注：</w:t>
      </w:r>
    </w:p>
    <w:p w14:paraId="4BE97F99">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bCs/>
          <w:snapToGrid w:val="0"/>
          <w:kern w:val="0"/>
          <w:sz w:val="24"/>
        </w:rPr>
        <w:t>设计费包括但不限于</w:t>
      </w:r>
      <w:r>
        <w:rPr>
          <w:rFonts w:hint="eastAsia" w:ascii="宋体" w:hAnsi="宋体" w:cs="宋体"/>
          <w:sz w:val="24"/>
          <w:szCs w:val="24"/>
        </w:rPr>
        <w:t>设计方案评审费、专项专家评审费、报建费用</w:t>
      </w:r>
      <w:r>
        <w:rPr>
          <w:rFonts w:hint="eastAsia" w:ascii="宋体" w:hAnsi="宋体" w:cs="宋体"/>
          <w:sz w:val="24"/>
          <w:szCs w:val="24"/>
          <w:lang w:val="en-US" w:eastAsia="zh-CN"/>
        </w:rPr>
        <w:t>等，</w:t>
      </w:r>
      <w:r>
        <w:rPr>
          <w:rFonts w:hint="eastAsia" w:ascii="宋体" w:hAnsi="宋体" w:cs="宋体"/>
          <w:sz w:val="24"/>
          <w:szCs w:val="24"/>
        </w:rPr>
        <w:t>设计驻场服务费用已包含于工程设计费中，不再另行计取。报建费用包括公示费、加晒加印图纸资料、各阶段的汇报文件和送审文件晒制费用、修详通、报建通、竣工通编制等。</w:t>
      </w:r>
    </w:p>
    <w:p w14:paraId="062FAC29">
      <w:pPr>
        <w:spacing w:line="360" w:lineRule="auto"/>
        <w:ind w:firstLine="480" w:firstLineChars="200"/>
        <w:rPr>
          <w:rFonts w:ascii="宋体" w:hAnsi="宋体" w:cs="宋体"/>
          <w:sz w:val="24"/>
          <w:szCs w:val="24"/>
        </w:rPr>
      </w:pPr>
      <w:r>
        <w:rPr>
          <w:rFonts w:hint="eastAsia" w:ascii="宋体" w:hAnsi="宋体" w:cs="宋体"/>
          <w:sz w:val="24"/>
          <w:szCs w:val="24"/>
        </w:rPr>
        <w:t>（2）以上费用约定的设计服务期限自合同生效之日起至工程竣工验收备案之日止。如因发包人原因，导致项目未能按合同约定完成工程竣工验收备案，设计人承诺无条件延长服务期限。</w:t>
      </w:r>
    </w:p>
    <w:p w14:paraId="7C16AA88">
      <w:pPr>
        <w:spacing w:line="360" w:lineRule="auto"/>
        <w:ind w:firstLine="480" w:firstLineChars="200"/>
        <w:rPr>
          <w:rFonts w:ascii="宋体" w:hAnsi="宋体" w:cs="宋体"/>
          <w:sz w:val="24"/>
          <w:szCs w:val="24"/>
        </w:rPr>
      </w:pPr>
      <w:r>
        <w:rPr>
          <w:rFonts w:hint="eastAsia" w:ascii="宋体" w:hAnsi="宋体" w:cs="宋体"/>
          <w:sz w:val="24"/>
          <w:szCs w:val="24"/>
        </w:rPr>
        <w:t>（3）设计人必须按照《建筑工程设计文件编制深度规定》（2016年版）的深度提交的施工图，满足国家规定的深度标准，如不满足国家规定的深度标准，则不满足部分设计人只计取40%的设计费，不视为发包人违约。</w:t>
      </w:r>
    </w:p>
    <w:p w14:paraId="28760E60">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6.2.2施工部分</w:t>
      </w:r>
    </w:p>
    <w:p w14:paraId="6153DE07">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（1）施工费暂定为</w:t>
      </w:r>
      <w:r>
        <w:rPr>
          <w:rFonts w:hint="eastAsia" w:ascii="宋体" w:hAnsi="宋体" w:cs="宋体"/>
          <w:snapToGrid w:val="0"/>
          <w:kern w:val="0"/>
          <w:sz w:val="24"/>
          <w:u w:val="single"/>
        </w:rPr>
        <w:t>¥</w:t>
      </w:r>
      <w:r>
        <w:rPr>
          <w:rFonts w:hint="eastAsia" w:ascii="宋体" w:hAnsi="宋体" w:cs="宋体"/>
          <w:snapToGrid w:val="0"/>
          <w:kern w:val="0"/>
          <w:sz w:val="24"/>
          <w:u w:val="single"/>
          <w:lang w:val="en-US" w:eastAsia="zh-CN"/>
        </w:rPr>
        <w:t xml:space="preserve">    </w:t>
      </w:r>
      <w:r>
        <w:rPr>
          <w:rFonts w:hint="eastAsia" w:ascii="宋体" w:hAnsi="宋体" w:cs="宋体"/>
          <w:snapToGrid w:val="0"/>
          <w:kern w:val="0"/>
          <w:sz w:val="24"/>
          <w:u w:val="single"/>
        </w:rPr>
        <w:t xml:space="preserve"> </w:t>
      </w:r>
      <w:r>
        <w:rPr>
          <w:rFonts w:hint="eastAsia" w:ascii="宋体" w:hAnsi="宋体" w:cs="宋体"/>
          <w:bCs/>
          <w:snapToGrid w:val="0"/>
          <w:kern w:val="0"/>
          <w:sz w:val="24"/>
        </w:rPr>
        <w:t>元（其中：不含税价款为人民币</w:t>
      </w:r>
      <w:r>
        <w:rPr>
          <w:rFonts w:hint="eastAsia" w:ascii="宋体" w:hAnsi="宋体" w:cs="宋体"/>
          <w:snapToGrid w:val="0"/>
          <w:kern w:val="0"/>
          <w:sz w:val="24"/>
          <w:u w:val="single"/>
        </w:rPr>
        <w:t>¥</w:t>
      </w:r>
      <w:r>
        <w:rPr>
          <w:rFonts w:hint="eastAsia" w:ascii="宋体" w:hAnsi="宋体" w:cs="宋体"/>
          <w:snapToGrid w:val="0"/>
          <w:kern w:val="0"/>
          <w:sz w:val="24"/>
          <w:u w:val="single"/>
          <w:lang w:val="en-US" w:eastAsia="zh-CN"/>
        </w:rPr>
        <w:t xml:space="preserve">    </w:t>
      </w:r>
      <w:r>
        <w:rPr>
          <w:rFonts w:hint="eastAsia" w:ascii="宋体" w:hAnsi="宋体" w:cs="宋体"/>
          <w:b/>
          <w:bCs/>
          <w:snapToGrid w:val="0"/>
          <w:kern w:val="0"/>
          <w:sz w:val="24"/>
          <w:u w:val="single"/>
        </w:rPr>
        <w:t xml:space="preserve"> </w:t>
      </w:r>
      <w:r>
        <w:rPr>
          <w:rFonts w:hint="eastAsia" w:ascii="宋体" w:hAnsi="宋体" w:cs="宋体"/>
          <w:bCs/>
          <w:snapToGrid w:val="0"/>
          <w:kern w:val="0"/>
          <w:sz w:val="24"/>
        </w:rPr>
        <w:t>元，增值税为人民币</w:t>
      </w:r>
      <w:r>
        <w:rPr>
          <w:rFonts w:hint="eastAsia" w:ascii="宋体" w:hAnsi="宋体" w:cs="宋体"/>
          <w:snapToGrid w:val="0"/>
          <w:kern w:val="0"/>
          <w:sz w:val="24"/>
          <w:u w:val="single"/>
        </w:rPr>
        <w:t>¥</w:t>
      </w:r>
      <w:r>
        <w:rPr>
          <w:rFonts w:hint="eastAsia" w:ascii="宋体" w:hAnsi="宋体" w:cs="宋体"/>
          <w:snapToGrid w:val="0"/>
          <w:kern w:val="0"/>
          <w:sz w:val="24"/>
          <w:u w:val="single"/>
          <w:lang w:val="en-US" w:eastAsia="zh-CN"/>
        </w:rPr>
        <w:t xml:space="preserve"> </w:t>
      </w:r>
      <w:r>
        <w:rPr>
          <w:rFonts w:hint="eastAsia" w:ascii="宋体" w:hAnsi="宋体" w:cs="宋体"/>
          <w:b/>
          <w:bCs/>
          <w:snapToGrid w:val="0"/>
          <w:kern w:val="0"/>
          <w:sz w:val="24"/>
          <w:u w:val="single"/>
        </w:rPr>
        <w:t xml:space="preserve"> </w:t>
      </w:r>
      <w:r>
        <w:rPr>
          <w:rFonts w:hint="eastAsia" w:ascii="宋体" w:hAnsi="宋体" w:cs="宋体"/>
          <w:bCs/>
          <w:snapToGrid w:val="0"/>
          <w:kern w:val="0"/>
          <w:sz w:val="24"/>
        </w:rPr>
        <w:t>元）。</w:t>
      </w:r>
    </w:p>
    <w:p w14:paraId="4B1E0A65">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w:t>
      </w:r>
      <w:r>
        <w:rPr>
          <w:rFonts w:hint="eastAsia" w:ascii="宋体" w:hAnsi="宋体"/>
          <w:sz w:val="24"/>
        </w:rPr>
        <w:t>施工费</w:t>
      </w:r>
      <w:r>
        <w:rPr>
          <w:rFonts w:ascii="宋体" w:hAnsi="宋体"/>
          <w:sz w:val="24"/>
        </w:rPr>
        <w:t>=</w:t>
      </w:r>
      <w:r>
        <w:rPr>
          <w:rFonts w:hint="eastAsia" w:ascii="宋体" w:hAnsi="宋体"/>
          <w:sz w:val="24"/>
        </w:rPr>
        <w:t>招标控制价中的施工费</w:t>
      </w:r>
      <w:r>
        <w:rPr>
          <w:rFonts w:ascii="宋体" w:hAnsi="宋体"/>
          <w:sz w:val="24"/>
        </w:rPr>
        <w:t>*</w:t>
      </w:r>
      <w:r>
        <w:rPr>
          <w:rFonts w:hint="eastAsia" w:ascii="宋体" w:hAnsi="宋体"/>
          <w:sz w:val="24"/>
        </w:rPr>
        <w:t>（</w:t>
      </w:r>
      <w:r>
        <w:rPr>
          <w:rFonts w:ascii="宋体" w:hAnsi="宋体"/>
          <w:sz w:val="24"/>
        </w:rPr>
        <w:t>1-</w:t>
      </w:r>
      <w:r>
        <w:rPr>
          <w:rFonts w:hint="eastAsia" w:ascii="宋体" w:hAnsi="宋体"/>
          <w:sz w:val="24"/>
        </w:rPr>
        <w:t>中标下浮率），其中：</w:t>
      </w:r>
      <w:r>
        <w:rPr>
          <w:rFonts w:hint="eastAsia" w:ascii="宋体" w:hAnsi="宋体" w:cs="宋体"/>
          <w:sz w:val="24"/>
          <w:lang w:bidi="ar"/>
        </w:rPr>
        <w:t>暂列金额</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cs="宋体"/>
          <w:bCs/>
          <w:snapToGrid w:val="0"/>
          <w:kern w:val="0"/>
          <w:sz w:val="24"/>
          <w:u w:val="single"/>
          <w:lang w:val="en-US" w:eastAsia="zh-CN"/>
        </w:rPr>
        <w:t xml:space="preserve"> </w:t>
      </w:r>
      <w:r>
        <w:rPr>
          <w:rFonts w:ascii="宋体" w:hAnsi="宋体"/>
          <w:sz w:val="24"/>
          <w:u w:val="single"/>
        </w:rPr>
        <w:t xml:space="preserve">  </w:t>
      </w:r>
      <w:r>
        <w:rPr>
          <w:rFonts w:hint="eastAsia" w:ascii="宋体" w:hAnsi="宋体" w:cs="宋体"/>
          <w:sz w:val="24"/>
          <w:lang w:bidi="ar"/>
        </w:rPr>
        <w:t>元（含税）</w:t>
      </w:r>
      <w:r>
        <w:rPr>
          <w:rFonts w:hint="eastAsia" w:ascii="宋体" w:hAnsi="宋体"/>
          <w:sz w:val="24"/>
        </w:rPr>
        <w:t>。</w:t>
      </w:r>
    </w:p>
    <w:p w14:paraId="431A5056">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（3）施工费中标下浮率为</w:t>
      </w:r>
      <w:r>
        <w:rPr>
          <w:rFonts w:hint="eastAsia" w:ascii="宋体" w:hAnsi="宋体" w:cs="宋体"/>
          <w:b/>
          <w:bCs/>
          <w:snapToGrid w:val="0"/>
          <w:kern w:val="0"/>
          <w:sz w:val="24"/>
          <w:u w:val="single"/>
        </w:rPr>
        <w:t xml:space="preserve"> </w:t>
      </w:r>
      <w:r>
        <w:rPr>
          <w:rFonts w:hint="eastAsia" w:ascii="宋体" w:hAnsi="宋体" w:cs="宋体"/>
          <w:b/>
          <w:bCs/>
          <w:snapToGrid w:val="0"/>
          <w:kern w:val="0"/>
          <w:sz w:val="24"/>
          <w:u w:val="single"/>
          <w:lang w:val="en-US" w:eastAsia="zh-CN"/>
        </w:rPr>
        <w:t xml:space="preserve"> </w:t>
      </w:r>
      <w:r>
        <w:rPr>
          <w:rFonts w:hint="eastAsia" w:ascii="宋体" w:hAnsi="宋体" w:cs="宋体"/>
          <w:b/>
          <w:bCs/>
          <w:snapToGrid w:val="0"/>
          <w:kern w:val="0"/>
          <w:sz w:val="24"/>
          <w:u w:val="single"/>
        </w:rPr>
        <w:t xml:space="preserve"> </w:t>
      </w:r>
      <w:r>
        <w:rPr>
          <w:rFonts w:hint="eastAsia" w:ascii="宋体" w:hAnsi="宋体" w:cs="宋体"/>
          <w:bCs/>
          <w:snapToGrid w:val="0"/>
          <w:kern w:val="0"/>
          <w:sz w:val="24"/>
        </w:rPr>
        <w:t>%。实际合同价格的计算按照本合同的合同条款第28.3款的规定。</w:t>
      </w:r>
    </w:p>
    <w:p w14:paraId="5B87CD46">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备注：</w:t>
      </w:r>
    </w:p>
    <w:p w14:paraId="555B8768">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（1）施工费已包含考古勘探配合费用及检验检测配合费用，发包人不再另行支付。</w:t>
      </w:r>
    </w:p>
    <w:p w14:paraId="3393EEDC">
      <w:pPr>
        <w:spacing w:line="360" w:lineRule="auto"/>
        <w:ind w:firstLine="480" w:firstLineChars="200"/>
        <w:rPr>
          <w:rFonts w:ascii="宋体" w:hAnsi="宋体"/>
          <w:kern w:val="0"/>
          <w:sz w:val="24"/>
        </w:rPr>
      </w:pPr>
      <w:r>
        <w:rPr>
          <w:rFonts w:hint="eastAsia" w:ascii="宋体" w:hAnsi="宋体" w:cs="宋体"/>
          <w:bCs/>
          <w:snapToGrid w:val="0"/>
          <w:kern w:val="0"/>
          <w:sz w:val="24"/>
        </w:rPr>
        <w:t>（2）</w:t>
      </w:r>
      <w:r>
        <w:rPr>
          <w:rFonts w:hint="eastAsia" w:ascii="宋体" w:hAnsi="宋体"/>
          <w:kern w:val="0"/>
          <w:sz w:val="24"/>
        </w:rPr>
        <w:t>本工程按营改增后的计价依据执行《广东省建设工程计价依据（2018）》（包括</w:t>
      </w:r>
      <w:r>
        <w:rPr>
          <w:rFonts w:hint="eastAsia" w:ascii="宋体" w:hAnsi="宋体" w:cs="宋体"/>
          <w:sz w:val="24"/>
          <w:szCs w:val="24"/>
        </w:rPr>
        <w:t>动态调整、解答）</w:t>
      </w:r>
      <w:r>
        <w:rPr>
          <w:rFonts w:hint="eastAsia" w:ascii="宋体" w:hAnsi="宋体"/>
          <w:kern w:val="0"/>
          <w:sz w:val="24"/>
        </w:rPr>
        <w:t>、《广州市住房和城乡建设局转发广东省住房和城乡建设厅有关计价依据的通知》（穗建筑[2019]478号）、《住房和城乡建设部办公厅关于重新调整建设工程计价依据增值税税率的通知》（建办标函〔2019〕193号）。如果增值税税率调整，应当调整工程造价，并以不含税价作为结算基础和调整依据。</w:t>
      </w:r>
      <w:bookmarkStart w:id="66" w:name="_Hlk139231521"/>
    </w:p>
    <w:p w14:paraId="52A1E8ED">
      <w:pPr>
        <w:spacing w:line="360" w:lineRule="auto"/>
        <w:ind w:firstLine="480" w:firstLineChars="200"/>
        <w:rPr>
          <w:rFonts w:ascii="宋体" w:hAnsi="宋体"/>
          <w:kern w:val="0"/>
          <w:sz w:val="24"/>
        </w:rPr>
      </w:pPr>
      <w:r>
        <w:rPr>
          <w:rStyle w:val="86"/>
          <w:rFonts w:ascii="宋体" w:hAnsi="宋体" w:cs="宋体"/>
          <w:sz w:val="24"/>
        </w:rPr>
        <w:t>（3）双方约定的其他依据，详见附件</w:t>
      </w:r>
      <w:r>
        <w:rPr>
          <w:rStyle w:val="86"/>
          <w:rFonts w:hint="eastAsia" w:ascii="宋体" w:hAnsi="宋体" w:cs="宋体"/>
          <w:sz w:val="24"/>
        </w:rPr>
        <w:t>1</w:t>
      </w:r>
      <w:r>
        <w:rPr>
          <w:rStyle w:val="86"/>
          <w:rFonts w:hint="eastAsia" w:ascii="宋体" w:hAnsi="宋体" w:cs="宋体"/>
          <w:sz w:val="24"/>
          <w:lang w:val="en-US"/>
        </w:rPr>
        <w:t>8</w:t>
      </w:r>
      <w:r>
        <w:rPr>
          <w:rStyle w:val="86"/>
          <w:rFonts w:ascii="宋体" w:hAnsi="宋体" w:cs="宋体"/>
          <w:sz w:val="24"/>
        </w:rPr>
        <w:t>专项计量计价约定</w:t>
      </w:r>
      <w:r>
        <w:rPr>
          <w:rStyle w:val="86"/>
          <w:rFonts w:hint="eastAsia" w:ascii="宋体" w:hAnsi="宋体" w:cs="宋体"/>
          <w:sz w:val="24"/>
        </w:rPr>
        <w:t>（直接约定综合单价的，不执行先下浮5</w:t>
      </w:r>
      <w:r>
        <w:rPr>
          <w:rStyle w:val="86"/>
          <w:rFonts w:ascii="宋体" w:hAnsi="宋体" w:cs="宋体"/>
          <w:sz w:val="24"/>
        </w:rPr>
        <w:t>%</w:t>
      </w:r>
      <w:r>
        <w:rPr>
          <w:rStyle w:val="86"/>
          <w:rFonts w:hint="eastAsia" w:ascii="宋体" w:hAnsi="宋体" w:cs="宋体"/>
          <w:sz w:val="24"/>
        </w:rPr>
        <w:t>，只执行中标下浮率；没有直接约定综合单价的，先执行下浮5</w:t>
      </w:r>
      <w:r>
        <w:rPr>
          <w:rStyle w:val="86"/>
          <w:rFonts w:ascii="宋体" w:hAnsi="宋体" w:cs="宋体"/>
          <w:sz w:val="24"/>
        </w:rPr>
        <w:t>%</w:t>
      </w:r>
      <w:r>
        <w:rPr>
          <w:rStyle w:val="86"/>
          <w:rFonts w:hint="eastAsia" w:ascii="宋体" w:hAnsi="宋体" w:cs="宋体"/>
          <w:sz w:val="24"/>
        </w:rPr>
        <w:t>，再执行中标下浮率），并且</w:t>
      </w:r>
      <w:r>
        <w:rPr>
          <w:rStyle w:val="86"/>
          <w:rFonts w:ascii="宋体" w:hAnsi="宋体" w:cs="宋体"/>
          <w:sz w:val="24"/>
        </w:rPr>
        <w:t>附件</w:t>
      </w:r>
      <w:r>
        <w:rPr>
          <w:rStyle w:val="86"/>
          <w:rFonts w:hint="eastAsia" w:ascii="宋体" w:hAnsi="宋体" w:cs="宋体"/>
          <w:sz w:val="24"/>
        </w:rPr>
        <w:t>1</w:t>
      </w:r>
      <w:r>
        <w:rPr>
          <w:rStyle w:val="86"/>
          <w:rFonts w:ascii="宋体" w:hAnsi="宋体" w:cs="宋体"/>
          <w:sz w:val="24"/>
        </w:rPr>
        <w:t>9专项计量计价约定</w:t>
      </w:r>
      <w:r>
        <w:rPr>
          <w:rStyle w:val="86"/>
          <w:rFonts w:hint="eastAsia" w:ascii="宋体" w:hAnsi="宋体" w:cs="宋体"/>
          <w:sz w:val="24"/>
        </w:rPr>
        <w:t>，优先于清单计价规范、计价依据（2</w:t>
      </w:r>
      <w:r>
        <w:rPr>
          <w:rStyle w:val="86"/>
          <w:rFonts w:ascii="宋体" w:hAnsi="宋体" w:cs="宋体"/>
          <w:sz w:val="24"/>
        </w:rPr>
        <w:t>018</w:t>
      </w:r>
      <w:r>
        <w:rPr>
          <w:rStyle w:val="86"/>
          <w:rFonts w:hint="eastAsia" w:ascii="宋体" w:hAnsi="宋体" w:cs="宋体"/>
          <w:sz w:val="24"/>
        </w:rPr>
        <w:t>）、</w:t>
      </w:r>
      <w:r>
        <w:rPr>
          <w:rFonts w:hint="eastAsia" w:ascii="宋体" w:hAnsi="宋体" w:cs="宋体"/>
          <w:sz w:val="24"/>
          <w:szCs w:val="24"/>
        </w:rPr>
        <w:t>动态调整、解答</w:t>
      </w:r>
      <w:r>
        <w:rPr>
          <w:rStyle w:val="86"/>
          <w:rFonts w:hint="eastAsia" w:ascii="宋体" w:hAnsi="宋体" w:cs="宋体"/>
          <w:sz w:val="24"/>
        </w:rPr>
        <w:t>等其他计量计价条款</w:t>
      </w:r>
      <w:r>
        <w:rPr>
          <w:rStyle w:val="86"/>
          <w:rFonts w:ascii="宋体" w:hAnsi="宋体" w:cs="宋体"/>
          <w:sz w:val="24"/>
        </w:rPr>
        <w:t>。</w:t>
      </w:r>
    </w:p>
    <w:bookmarkEnd w:id="66"/>
    <w:p w14:paraId="67B14863">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w:t>
      </w:r>
      <w:r>
        <w:rPr>
          <w:rFonts w:ascii="宋体" w:hAnsi="宋体" w:cs="宋体"/>
          <w:bCs/>
          <w:snapToGrid w:val="0"/>
          <w:kern w:val="0"/>
          <w:sz w:val="24"/>
        </w:rPr>
        <w:t>4</w:t>
      </w:r>
      <w:r>
        <w:rPr>
          <w:rFonts w:hint="eastAsia" w:ascii="宋体" w:hAnsi="宋体" w:cs="宋体"/>
          <w:bCs/>
          <w:snapToGrid w:val="0"/>
          <w:kern w:val="0"/>
          <w:sz w:val="24"/>
        </w:rPr>
        <w:t>）承包人必须向发包人专业分包人（如有）提供所有合理的设施，以便专业分包人能够顺利展开工作，若承包人不履行服务义务，视为承包人违约，发包人有权另行委托他人实施，所产生的费用加上15％管理费由承包人承担。</w:t>
      </w:r>
      <w:r>
        <w:rPr>
          <w:rFonts w:hint="eastAsia" w:ascii="宋体" w:hAnsi="宋体"/>
          <w:kern w:val="0"/>
          <w:sz w:val="24"/>
        </w:rPr>
        <w:t>承包人向发包人专业分包人提供的</w:t>
      </w:r>
      <w:r>
        <w:rPr>
          <w:rFonts w:hint="eastAsia" w:ascii="宋体" w:hAnsi="宋体" w:cs="宋体"/>
          <w:bCs/>
          <w:snapToGrid w:val="0"/>
          <w:kern w:val="0"/>
          <w:sz w:val="24"/>
        </w:rPr>
        <w:t>服务内容包括但不限于以下所列内容：</w:t>
      </w:r>
    </w:p>
    <w:p w14:paraId="3CE486EC">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1）向发包人专业分包人（如有）提供在现场及已建建筑物中安排场地给发包人专业分包人（如有）让其建造自己的办公室、辅助设施及贮存库房。</w:t>
      </w:r>
    </w:p>
    <w:p w14:paraId="3C5F3033">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承包人须作好安排、规划，以便能与其共同使用现场的通道与场地，并应向发包人专业分包人（如有）提供合理的施工作业空间，提供临时施工用水、用电接驳口，每施工楼层至少二处，地下室至少一处（按800~1000平方米一处原则布置）</w:t>
      </w:r>
      <w:r>
        <w:rPr>
          <w:rFonts w:hint="eastAsia" w:ascii="宋体" w:hAnsi="宋体" w:cs="宋体"/>
          <w:bCs/>
          <w:snapToGrid w:val="0"/>
          <w:kern w:val="0"/>
          <w:sz w:val="24"/>
          <w:lang w:eastAsia="zh-CN"/>
        </w:rPr>
        <w:t>（</w:t>
      </w:r>
      <w:r>
        <w:rPr>
          <w:rFonts w:hint="eastAsia" w:ascii="宋体" w:hAnsi="宋体" w:cs="宋体"/>
          <w:bCs/>
          <w:snapToGrid w:val="0"/>
          <w:kern w:val="0"/>
          <w:sz w:val="24"/>
          <w:lang w:val="en-US" w:eastAsia="zh-CN"/>
        </w:rPr>
        <w:t>不适用</w:t>
      </w:r>
      <w:r>
        <w:rPr>
          <w:rFonts w:hint="eastAsia" w:ascii="宋体" w:hAnsi="宋体" w:cs="宋体"/>
          <w:bCs/>
          <w:snapToGrid w:val="0"/>
          <w:kern w:val="0"/>
          <w:sz w:val="24"/>
          <w:lang w:eastAsia="zh-CN"/>
        </w:rPr>
        <w:t>）</w:t>
      </w:r>
      <w:r>
        <w:rPr>
          <w:rFonts w:hint="eastAsia" w:ascii="宋体" w:hAnsi="宋体" w:cs="宋体"/>
          <w:bCs/>
          <w:snapToGrid w:val="0"/>
          <w:kern w:val="0"/>
          <w:sz w:val="24"/>
        </w:rPr>
        <w:t>。</w:t>
      </w:r>
    </w:p>
    <w:p w14:paraId="4AEEB111">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3）在整个发包人专业分包人（如有）施工期间，承包人应向其提供施工现场、办公地点、贮存仓库及足量的施工用水用电，包括现场照明、动力机械、设备、测试和运行等所需的用水与用电，发包人专业分包人（如有）的用水用电费用由其自行承担。承包人已充分考虑了施工期间用电的实际情况，在现场自备满足施工需要的发电机，所需购置费用及使用费自行考虑，施工期间不论用电紧缺是否加剧，均不作任何调整，确保工程按期竣工。</w:t>
      </w:r>
      <w:r>
        <w:rPr>
          <w:rFonts w:hint="eastAsia" w:ascii="宋体" w:hAnsi="宋体" w:cs="宋体"/>
          <w:bCs/>
          <w:snapToGrid w:val="0"/>
          <w:kern w:val="0"/>
          <w:sz w:val="24"/>
          <w:lang w:eastAsia="zh-CN"/>
        </w:rPr>
        <w:t>（</w:t>
      </w:r>
      <w:r>
        <w:rPr>
          <w:rFonts w:hint="eastAsia" w:ascii="宋体" w:hAnsi="宋体" w:cs="宋体"/>
          <w:bCs/>
          <w:snapToGrid w:val="0"/>
          <w:kern w:val="0"/>
          <w:sz w:val="24"/>
          <w:lang w:val="en-US" w:eastAsia="zh-CN"/>
        </w:rPr>
        <w:t>不适用</w:t>
      </w:r>
      <w:r>
        <w:rPr>
          <w:rFonts w:hint="eastAsia" w:ascii="宋体" w:hAnsi="宋体" w:cs="宋体"/>
          <w:bCs/>
          <w:snapToGrid w:val="0"/>
          <w:kern w:val="0"/>
          <w:sz w:val="24"/>
          <w:lang w:eastAsia="zh-CN"/>
        </w:rPr>
        <w:t>）</w:t>
      </w:r>
    </w:p>
    <w:p w14:paraId="0FA22748">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4）承包人须提供工地内现有的爬梯、脚手架等辅助设施、卫生设施给发包人专业分包人（如有）合理使用。</w:t>
      </w:r>
    </w:p>
    <w:p w14:paraId="45340C09">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5）发包人专业分包人（如有）及时提供垂直运输机械，将其运到现场的货物卸到指定位置，将其材料、设备等吊放至作业现场。</w:t>
      </w:r>
    </w:p>
    <w:p w14:paraId="62AC1B36">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6）向发包人专业分包人（如有）提供为保障现场安全所需的围墙、护栏及围板等物品。</w:t>
      </w:r>
    </w:p>
    <w:p w14:paraId="48516221">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7）组织、协调对整个工地的看管与保安工作，协助看管发包人专业分包人（如有）堆放在现场的物料以防损坏或遗失。</w:t>
      </w:r>
    </w:p>
    <w:p w14:paraId="6B8AD655">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8）向发包人专业分包人（如有）提供其所需的基准线、内控制线、标高、定位点、引线、墨线、轴线、水电驳接点等。</w:t>
      </w:r>
    </w:p>
    <w:p w14:paraId="1166D385">
      <w:pPr>
        <w:spacing w:line="360" w:lineRule="auto"/>
        <w:ind w:firstLine="480" w:firstLineChars="200"/>
        <w:rPr>
          <w:rFonts w:ascii="宋体" w:hAnsi="宋体"/>
          <w:kern w:val="0"/>
          <w:sz w:val="24"/>
        </w:rPr>
      </w:pPr>
      <w:r>
        <w:rPr>
          <w:rFonts w:hint="eastAsia" w:ascii="宋体" w:hAnsi="宋体"/>
          <w:kern w:val="0"/>
          <w:sz w:val="24"/>
        </w:rPr>
        <w:t>9）承包人须对项目的整体进度负责，熟悉各专业工程的具体要求、配合进度等，并按相应施工进度，要求各专业分包人提供专业工程的施工组织设计与进度计划进行汇总、分析，对施工程序中有矛盾的地方进行协调并找出解决的办法。</w:t>
      </w:r>
    </w:p>
    <w:p w14:paraId="0BB63923">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10）承包人须在各分部、子分部、分项工程施工前与每个发包人专业分包人（如有）联系，以了解发包人专业分包人（如有）在该分部、子分部、分项工程上的特别要求，例如为专业工程开槽、预留孔洞及安装预埋件等。</w:t>
      </w:r>
      <w:r>
        <w:rPr>
          <w:rFonts w:hint="eastAsia" w:ascii="宋体" w:hAnsi="宋体"/>
          <w:kern w:val="0"/>
          <w:sz w:val="24"/>
        </w:rPr>
        <w:t>如未做这项工作而导致额外的施工费用，将由承包人自己承担。</w:t>
      </w:r>
      <w:r>
        <w:rPr>
          <w:rFonts w:hint="eastAsia" w:ascii="宋体" w:hAnsi="宋体" w:cs="宋体"/>
          <w:bCs/>
          <w:snapToGrid w:val="0"/>
          <w:kern w:val="0"/>
          <w:sz w:val="24"/>
        </w:rPr>
        <w:t>在每次浇筑混凝土前，承包人应与发包人专业分包人（如有）联系以确定须预埋的套管、墙管、预埋件、预留的孔洞、槽口等的位置是否正确，并应给发包人专业分包人（如有）足够的时间去放置电缆、电线套管、预埋配件等其它类似工作，还需配合发包人专业分包人（如有）的完工竣工验收事项。</w:t>
      </w:r>
    </w:p>
    <w:p w14:paraId="5DEAEE40">
      <w:pPr>
        <w:spacing w:line="360" w:lineRule="auto"/>
        <w:ind w:firstLine="480" w:firstLineChars="200"/>
        <w:rPr>
          <w:rFonts w:ascii="宋体" w:hAnsi="宋体"/>
          <w:kern w:val="0"/>
          <w:sz w:val="24"/>
        </w:rPr>
      </w:pPr>
      <w:r>
        <w:rPr>
          <w:rFonts w:hint="eastAsia" w:ascii="宋体" w:hAnsi="宋体"/>
          <w:kern w:val="0"/>
          <w:sz w:val="24"/>
        </w:rPr>
        <w:t>11）承包人还须负责对专业承包工程完工后的填补与修复工作，这类工作主要有如下几项（但不仅限于）：用水泥砂浆、防水水泥砂浆或混凝土、防火材料等材料填实设备、管线及建筑结构、砌体、装修工程之间的缝隙、洞口等，在工程移交前将全部工程（包括专业工程）清理干净，并进行其它一般所需的收口、收边、修补工作，此费用已包括在合同价款以内，不再另行计费。</w:t>
      </w:r>
    </w:p>
    <w:p w14:paraId="75E1E3BD">
      <w:pPr>
        <w:spacing w:line="360" w:lineRule="auto"/>
        <w:ind w:firstLine="480" w:firstLineChars="200"/>
        <w:rPr>
          <w:rFonts w:ascii="宋体" w:hAnsi="宋体"/>
          <w:kern w:val="0"/>
          <w:sz w:val="24"/>
        </w:rPr>
      </w:pPr>
      <w:r>
        <w:rPr>
          <w:rFonts w:hint="eastAsia" w:ascii="宋体" w:hAnsi="宋体"/>
          <w:kern w:val="0"/>
          <w:sz w:val="24"/>
        </w:rPr>
        <w:t>12）统一协调、指导工程技术资料（含竣工档案）的编制及收集整理，直至达到建设档案管理部门的要求及工程评选机构的要求，及时盖章、签署。</w:t>
      </w:r>
    </w:p>
    <w:p w14:paraId="69F0BA8B">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13）对发包人专业分包工程在承包人合同工期内，垂直运输及临水临电接驳点由承包人提供。</w:t>
      </w:r>
    </w:p>
    <w:p w14:paraId="045FF96B">
      <w:pPr>
        <w:spacing w:line="360" w:lineRule="auto"/>
        <w:ind w:firstLine="420" w:firstLineChars="200"/>
        <w:rPr>
          <w:rFonts w:ascii="宋体" w:hAnsi="宋体" w:cs="宋体"/>
          <w:bCs/>
          <w:snapToGrid w:val="0"/>
          <w:kern w:val="0"/>
          <w:sz w:val="24"/>
        </w:rPr>
      </w:pPr>
      <w:r>
        <w:rPr>
          <w:rFonts w:ascii="宋体" w:hAnsi="宋体"/>
        </w:rPr>
        <w:t>14</w:t>
      </w:r>
      <w:r>
        <w:rPr>
          <w:rFonts w:hint="eastAsia" w:ascii="宋体" w:hAnsi="宋体"/>
        </w:rPr>
        <w:t>）</w:t>
      </w:r>
      <w:r>
        <w:rPr>
          <w:rFonts w:hint="eastAsia" w:ascii="宋体" w:hAnsi="宋体"/>
          <w:kern w:val="0"/>
          <w:sz w:val="24"/>
        </w:rPr>
        <w:t>本合同承包人向发包人专业分包人提供以上服务后，按照专业分包人的合同结算金额的</w:t>
      </w:r>
      <w:r>
        <w:rPr>
          <w:rFonts w:ascii="宋体" w:hAnsi="宋体"/>
          <w:kern w:val="0"/>
          <w:sz w:val="24"/>
        </w:rPr>
        <w:t>1%</w:t>
      </w:r>
      <w:r>
        <w:rPr>
          <w:rFonts w:hint="eastAsia" w:ascii="宋体" w:hAnsi="宋体"/>
          <w:kern w:val="0"/>
          <w:sz w:val="24"/>
        </w:rPr>
        <w:t>向发包人委托的专业分包人收取总包服务管理费。</w:t>
      </w:r>
    </w:p>
    <w:p w14:paraId="41B8D833">
      <w:pPr>
        <w:snapToGrid w:val="0"/>
        <w:spacing w:line="360" w:lineRule="auto"/>
        <w:ind w:firstLine="480" w:firstLineChars="200"/>
        <w:rPr>
          <w:rFonts w:ascii="宋体" w:hAnsi="宋体"/>
          <w:kern w:val="0"/>
          <w:sz w:val="24"/>
        </w:rPr>
      </w:pPr>
      <w:r>
        <w:rPr>
          <w:rFonts w:hint="eastAsia" w:ascii="宋体" w:hAnsi="宋体" w:cs="宋体"/>
          <w:bCs/>
          <w:snapToGrid w:val="0"/>
          <w:kern w:val="0"/>
          <w:sz w:val="24"/>
        </w:rPr>
        <w:t>6.3</w:t>
      </w:r>
      <w:r>
        <w:rPr>
          <w:rFonts w:hint="eastAsia" w:ascii="宋体" w:hAnsi="宋体"/>
          <w:kern w:val="0"/>
          <w:sz w:val="24"/>
        </w:rPr>
        <w:t>承包人应在本工程开工前按《广州市建筑业职工参加工伤保险实施办法》（穗人社发[2015]73号）、《广州市2019年度安全生产责任保险工作方案》（穗安办[2019]21号）的规定缴纳相关保险费。如因承包人未按规定缴纳保险费导致本工程施工许可证未能如期办理的，应按本合同约定承担延迟开工的违约责任，</w:t>
      </w:r>
      <w:r>
        <w:rPr>
          <w:rFonts w:hint="eastAsia" w:ascii="宋体" w:hAnsi="宋体"/>
          <w:kern w:val="0"/>
          <w:sz w:val="24"/>
          <w:lang w:val="en-US" w:eastAsia="zh-CN"/>
        </w:rPr>
        <w:t>或因未按规定缴纳保险费用、未购买工伤保险待遇的，</w:t>
      </w:r>
      <w:r>
        <w:rPr>
          <w:rFonts w:hint="eastAsia" w:ascii="宋体" w:hAnsi="宋体"/>
          <w:kern w:val="0"/>
          <w:sz w:val="24"/>
        </w:rPr>
        <w:t>由此引起的相关责任</w:t>
      </w:r>
      <w:r>
        <w:rPr>
          <w:rFonts w:hint="eastAsia" w:ascii="宋体" w:hAnsi="宋体" w:cs="宋体"/>
          <w:bCs/>
          <w:snapToGrid w:val="0"/>
          <w:kern w:val="0"/>
          <w:sz w:val="24"/>
        </w:rPr>
        <w:t>及发包人损失</w:t>
      </w:r>
      <w:r>
        <w:rPr>
          <w:rFonts w:hint="eastAsia" w:ascii="宋体" w:hAnsi="宋体"/>
          <w:kern w:val="0"/>
          <w:sz w:val="24"/>
        </w:rPr>
        <w:t>全部由承包人承担。</w:t>
      </w:r>
    </w:p>
    <w:p w14:paraId="1CD8AEDE">
      <w:pPr>
        <w:snapToGrid w:val="0"/>
        <w:spacing w:line="360" w:lineRule="auto"/>
        <w:ind w:firstLine="480" w:firstLineChars="200"/>
        <w:rPr>
          <w:rFonts w:ascii="宋体" w:hAnsi="宋体"/>
          <w:sz w:val="24"/>
        </w:rPr>
      </w:pPr>
      <w:r>
        <w:rPr>
          <w:rFonts w:hint="eastAsia" w:ascii="宋体" w:hAnsi="宋体"/>
          <w:kern w:val="0"/>
          <w:sz w:val="24"/>
        </w:rPr>
        <w:t>6.</w:t>
      </w:r>
      <w:r>
        <w:rPr>
          <w:rFonts w:hint="eastAsia" w:ascii="宋体" w:hAnsi="宋体" w:cs="宋体"/>
          <w:bCs/>
          <w:snapToGrid w:val="0"/>
          <w:kern w:val="0"/>
          <w:sz w:val="24"/>
        </w:rPr>
        <w:t>4</w:t>
      </w:r>
      <w:r>
        <w:rPr>
          <w:rFonts w:hint="eastAsia" w:ascii="宋体" w:hAnsi="宋体"/>
          <w:sz w:val="24"/>
        </w:rPr>
        <w:t>关于“工人工资支付专用账户”的设立与拨付，承包人承诺按照 《广州市住房和城乡建设委员会 广州市人力资源和社会保障局 广州市交通委员会  广州市水务局 广州市林业和园林局 中国人民银行广州分行 关于印发广州市建设领域工人工资支付分帐管理实施细则的通知》（穗建规字[2017]10号）及《广东省房屋建筑和市政基础设施工程用工实名管理暂行办法》（粤建规范[2018]1号）的有关规定执行，以最新的规定为准。否则，承包人须</w:t>
      </w:r>
      <w:r>
        <w:rPr>
          <w:rFonts w:hint="eastAsia" w:ascii="宋体" w:hAnsi="宋体" w:cs="宋体"/>
          <w:sz w:val="24"/>
        </w:rPr>
        <w:t>承担相应的违约责任以及对由此</w:t>
      </w:r>
      <w:r>
        <w:rPr>
          <w:rFonts w:hint="eastAsia" w:ascii="宋体" w:hAnsi="宋体"/>
          <w:sz w:val="24"/>
        </w:rPr>
        <w:t>引起的纠纷负全责，造成发包人损失（包括但不限于发包人因此而支付的赔偿款、律师费、诉讼费、保全费、公证费、鉴定费等）的，承包人须承担全部责任。</w:t>
      </w:r>
    </w:p>
    <w:p w14:paraId="628012DC">
      <w:pPr>
        <w:snapToGrid w:val="0"/>
        <w:spacing w:line="360" w:lineRule="auto"/>
        <w:ind w:firstLine="480" w:firstLineChars="200"/>
        <w:rPr>
          <w:rFonts w:ascii="宋体" w:hAnsi="宋体"/>
          <w:kern w:val="0"/>
          <w:sz w:val="24"/>
        </w:rPr>
      </w:pPr>
      <w:r>
        <w:rPr>
          <w:rFonts w:hint="eastAsia" w:ascii="宋体" w:hAnsi="宋体"/>
          <w:sz w:val="24"/>
        </w:rPr>
        <w:t>6.</w:t>
      </w:r>
      <w:r>
        <w:rPr>
          <w:rFonts w:hint="eastAsia" w:ascii="宋体" w:hAnsi="宋体" w:cs="宋体"/>
          <w:sz w:val="24"/>
          <w:szCs w:val="24"/>
        </w:rPr>
        <w:t>5如发包人需要对承包人的</w:t>
      </w:r>
      <w:r>
        <w:rPr>
          <w:rFonts w:hint="eastAsia" w:ascii="宋体" w:hAnsi="宋体" w:cs="宋体"/>
          <w:kern w:val="0"/>
          <w:sz w:val="24"/>
          <w:szCs w:val="24"/>
        </w:rPr>
        <w:t>工程账户进行监管、掌握账户内资金流出情况，承包人应允许及配合满足发包人要求。</w:t>
      </w:r>
      <w:r>
        <w:rPr>
          <w:rFonts w:hint="eastAsia" w:ascii="宋体" w:hAnsi="宋体"/>
          <w:sz w:val="24"/>
        </w:rPr>
        <w:t>承包人应按照《广州市建设领域工人工资支付分账管理实施细则》的规定，选择商业银行开立工人工资支付专用账户，在用工之日起15日内为每个工人办理工人工资个人账户，保证按时足额支付工人工资。承包人应对依法分包的专业承包和劳务分包企业实施统一管理，应执行国家、省、市关于农民工工资实施总承包单位代发制度的相关规定支付工人工资。</w:t>
      </w:r>
    </w:p>
    <w:p w14:paraId="6EC7CA5F">
      <w:pPr>
        <w:snapToGrid w:val="0"/>
        <w:spacing w:line="360" w:lineRule="auto"/>
        <w:ind w:firstLine="480" w:firstLineChars="200"/>
        <w:rPr>
          <w:rFonts w:ascii="宋体" w:hAnsi="宋体"/>
        </w:rPr>
      </w:pPr>
      <w:r>
        <w:rPr>
          <w:rFonts w:hint="eastAsia" w:ascii="宋体" w:hAnsi="宋体"/>
          <w:kern w:val="0"/>
          <w:sz w:val="24"/>
        </w:rPr>
        <w:t>6.</w:t>
      </w:r>
      <w:r>
        <w:rPr>
          <w:rFonts w:hint="eastAsia" w:ascii="宋体" w:hAnsi="宋体" w:cs="宋体"/>
          <w:bCs/>
          <w:snapToGrid w:val="0"/>
          <w:kern w:val="0"/>
          <w:sz w:val="24"/>
        </w:rPr>
        <w:t>6</w:t>
      </w:r>
      <w:r>
        <w:rPr>
          <w:rFonts w:hint="eastAsia" w:ascii="宋体" w:hAnsi="宋体"/>
          <w:kern w:val="0"/>
          <w:sz w:val="24"/>
        </w:rPr>
        <w:t>承包人</w:t>
      </w:r>
      <w:r>
        <w:rPr>
          <w:rFonts w:hint="eastAsia" w:ascii="宋体" w:hAnsi="宋体" w:cs="宋体"/>
          <w:snapToGrid w:val="0"/>
          <w:kern w:val="0"/>
          <w:sz w:val="24"/>
          <w:szCs w:val="24"/>
        </w:rPr>
        <w:t>申报的</w:t>
      </w:r>
      <w:r>
        <w:rPr>
          <w:rFonts w:hint="eastAsia" w:ascii="宋体" w:hAnsi="宋体"/>
          <w:kern w:val="0"/>
          <w:sz w:val="24"/>
        </w:rPr>
        <w:t>结算</w:t>
      </w:r>
      <w:r>
        <w:rPr>
          <w:rFonts w:hint="eastAsia" w:ascii="宋体" w:hAnsi="宋体" w:cs="宋体"/>
          <w:snapToGrid w:val="0"/>
          <w:kern w:val="0"/>
          <w:sz w:val="24"/>
          <w:szCs w:val="24"/>
        </w:rPr>
        <w:t>金额</w:t>
      </w:r>
      <w:r>
        <w:rPr>
          <w:rFonts w:hint="eastAsia" w:ascii="宋体" w:hAnsi="宋体"/>
          <w:kern w:val="0"/>
          <w:sz w:val="24"/>
        </w:rPr>
        <w:t>与发包人或</w:t>
      </w:r>
      <w:r>
        <w:rPr>
          <w:rFonts w:hint="eastAsia" w:ascii="宋体" w:hAnsi="宋体" w:cs="宋体"/>
          <w:snapToGrid w:val="0"/>
          <w:kern w:val="0"/>
          <w:sz w:val="24"/>
          <w:szCs w:val="24"/>
        </w:rPr>
        <w:t>发包人</w:t>
      </w:r>
      <w:r>
        <w:rPr>
          <w:rFonts w:hint="eastAsia" w:ascii="宋体" w:hAnsi="宋体"/>
          <w:kern w:val="0"/>
          <w:sz w:val="24"/>
        </w:rPr>
        <w:t>委托的第三方咨询单位</w:t>
      </w:r>
      <w:r>
        <w:rPr>
          <w:rFonts w:hint="eastAsia" w:ascii="宋体" w:hAnsi="宋体" w:cs="宋体"/>
          <w:kern w:val="0"/>
          <w:sz w:val="24"/>
          <w:szCs w:val="24"/>
          <w:u w:val="single"/>
        </w:rPr>
        <w:t>审定</w:t>
      </w:r>
      <w:r>
        <w:rPr>
          <w:rFonts w:hint="eastAsia" w:ascii="宋体" w:hAnsi="宋体"/>
          <w:bCs/>
          <w:snapToGrid w:val="0"/>
          <w:kern w:val="0"/>
          <w:sz w:val="24"/>
        </w:rPr>
        <w:t>价的净核减率大于或等于5%（核减率</w:t>
      </w:r>
      <w:r>
        <w:rPr>
          <w:rFonts w:hint="eastAsia" w:ascii="宋体" w:hAnsi="宋体"/>
          <w:kern w:val="0"/>
          <w:sz w:val="24"/>
        </w:rPr>
        <w:t>的</w:t>
      </w:r>
      <w:r>
        <w:rPr>
          <w:rFonts w:hint="eastAsia" w:ascii="宋体" w:hAnsi="宋体"/>
          <w:bCs/>
          <w:snapToGrid w:val="0"/>
          <w:kern w:val="0"/>
          <w:sz w:val="24"/>
        </w:rPr>
        <w:t>计算示意公式：</w:t>
      </w:r>
      <w:r>
        <w:rPr>
          <w:rFonts w:ascii="宋体" w:hAnsi="宋体"/>
          <w:bCs/>
          <w:snapToGrid w:val="0"/>
          <w:kern w:val="0"/>
          <w:sz w:val="24"/>
        </w:rPr>
        <w:t>A=|B-C|/C*100  A</w:t>
      </w:r>
      <w:r>
        <w:rPr>
          <w:rFonts w:hint="eastAsia" w:ascii="宋体" w:hAnsi="宋体"/>
          <w:bCs/>
          <w:snapToGrid w:val="0"/>
          <w:kern w:val="0"/>
          <w:sz w:val="24"/>
        </w:rPr>
        <w:t>表示</w:t>
      </w:r>
      <w:r>
        <w:rPr>
          <w:rFonts w:hint="eastAsia" w:ascii="宋体" w:hAnsi="宋体"/>
          <w:kern w:val="0"/>
          <w:sz w:val="24"/>
        </w:rPr>
        <w:t>结算审核</w:t>
      </w:r>
      <w:r>
        <w:rPr>
          <w:rFonts w:hint="eastAsia" w:ascii="宋体" w:hAnsi="宋体"/>
          <w:bCs/>
          <w:snapToGrid w:val="0"/>
          <w:kern w:val="0"/>
          <w:sz w:val="24"/>
        </w:rPr>
        <w:t>核减率、</w:t>
      </w:r>
      <w:r>
        <w:rPr>
          <w:rFonts w:ascii="宋体" w:hAnsi="宋体"/>
          <w:bCs/>
          <w:snapToGrid w:val="0"/>
          <w:kern w:val="0"/>
          <w:sz w:val="24"/>
        </w:rPr>
        <w:t>B</w:t>
      </w:r>
      <w:r>
        <w:rPr>
          <w:rFonts w:hint="eastAsia" w:ascii="宋体" w:hAnsi="宋体"/>
          <w:bCs/>
          <w:snapToGrid w:val="0"/>
          <w:kern w:val="0"/>
          <w:sz w:val="24"/>
        </w:rPr>
        <w:t>表示</w:t>
      </w:r>
      <w:r>
        <w:rPr>
          <w:rFonts w:hint="eastAsia" w:ascii="宋体" w:hAnsi="宋体" w:cs="宋体"/>
          <w:snapToGrid w:val="0"/>
          <w:kern w:val="0"/>
          <w:sz w:val="24"/>
          <w:szCs w:val="24"/>
        </w:rPr>
        <w:t>的最终</w:t>
      </w:r>
      <w:r>
        <w:rPr>
          <w:rFonts w:hint="eastAsia" w:ascii="宋体" w:hAnsi="宋体"/>
          <w:kern w:val="0"/>
          <w:sz w:val="24"/>
        </w:rPr>
        <w:t>结算</w:t>
      </w:r>
      <w:r>
        <w:rPr>
          <w:rFonts w:hint="eastAsia" w:ascii="宋体" w:hAnsi="宋体"/>
          <w:bCs/>
          <w:snapToGrid w:val="0"/>
          <w:kern w:val="0"/>
          <w:sz w:val="24"/>
        </w:rPr>
        <w:t>审定价、</w:t>
      </w:r>
      <w:r>
        <w:rPr>
          <w:rFonts w:ascii="宋体" w:hAnsi="宋体"/>
          <w:bCs/>
          <w:snapToGrid w:val="0"/>
          <w:kern w:val="0"/>
          <w:sz w:val="24"/>
        </w:rPr>
        <w:t>C表示承包人</w:t>
      </w:r>
      <w:r>
        <w:rPr>
          <w:rFonts w:hint="eastAsia" w:ascii="宋体" w:hAnsi="宋体"/>
          <w:bCs/>
          <w:snapToGrid w:val="0"/>
          <w:kern w:val="0"/>
          <w:sz w:val="24"/>
        </w:rPr>
        <w:t>送审结算价、“</w:t>
      </w:r>
      <w:r>
        <w:rPr>
          <w:rFonts w:ascii="宋体" w:hAnsi="宋体"/>
          <w:bCs/>
          <w:snapToGrid w:val="0"/>
          <w:kern w:val="0"/>
          <w:sz w:val="24"/>
        </w:rPr>
        <w:t>|  |”表示</w:t>
      </w:r>
      <w:r>
        <w:rPr>
          <w:rFonts w:hint="eastAsia" w:ascii="宋体" w:hAnsi="宋体"/>
          <w:bCs/>
          <w:snapToGrid w:val="0"/>
          <w:kern w:val="0"/>
          <w:sz w:val="24"/>
        </w:rPr>
        <w:t>数字绝对值），</w:t>
      </w:r>
      <w:r>
        <w:rPr>
          <w:rFonts w:hint="eastAsia" w:ascii="宋体" w:hAnsi="宋体" w:cs="宋体"/>
          <w:snapToGrid w:val="0"/>
          <w:kern w:val="0"/>
          <w:sz w:val="24"/>
          <w:szCs w:val="24"/>
        </w:rPr>
        <w:t>金额相比，核减</w:t>
      </w:r>
      <w:r>
        <w:rPr>
          <w:rFonts w:hint="eastAsia" w:ascii="宋体" w:hAnsi="宋体"/>
          <w:kern w:val="0"/>
          <w:sz w:val="24"/>
        </w:rPr>
        <w:t>率</w:t>
      </w:r>
      <w:r>
        <w:rPr>
          <w:rFonts w:hint="eastAsia" w:ascii="宋体" w:hAnsi="宋体" w:cs="宋体"/>
          <w:snapToGrid w:val="0"/>
          <w:kern w:val="0"/>
          <w:sz w:val="24"/>
          <w:szCs w:val="24"/>
        </w:rPr>
        <w:t>超过5%的，</w:t>
      </w:r>
      <w:r>
        <w:rPr>
          <w:rFonts w:hint="eastAsia" w:ascii="宋体" w:hAnsi="宋体"/>
          <w:kern w:val="0"/>
          <w:sz w:val="24"/>
        </w:rPr>
        <w:t>则</w:t>
      </w:r>
      <w:r>
        <w:rPr>
          <w:rFonts w:hint="eastAsia" w:ascii="宋体" w:hAnsi="宋体"/>
          <w:bCs/>
          <w:snapToGrid w:val="0"/>
          <w:kern w:val="0"/>
          <w:sz w:val="24"/>
        </w:rPr>
        <w:t>发包人按</w:t>
      </w:r>
      <w:r>
        <w:rPr>
          <w:rFonts w:hint="eastAsia" w:ascii="宋体" w:hAnsi="宋体"/>
          <w:kern w:val="0"/>
          <w:sz w:val="24"/>
        </w:rPr>
        <w:t>超出</w:t>
      </w:r>
      <w:r>
        <w:rPr>
          <w:rFonts w:hint="eastAsia" w:ascii="宋体" w:hAnsi="宋体"/>
          <w:bCs/>
          <w:snapToGrid w:val="0"/>
          <w:kern w:val="0"/>
          <w:sz w:val="24"/>
        </w:rPr>
        <w:t>核减率</w:t>
      </w:r>
      <w:r>
        <w:rPr>
          <w:rFonts w:ascii="宋体" w:hAnsi="宋体"/>
          <w:bCs/>
          <w:snapToGrid w:val="0"/>
          <w:kern w:val="0"/>
          <w:sz w:val="24"/>
        </w:rPr>
        <w:t>5%</w:t>
      </w:r>
      <w:r>
        <w:rPr>
          <w:rFonts w:hint="eastAsia" w:ascii="宋体" w:hAnsi="宋体"/>
          <w:kern w:val="0"/>
          <w:sz w:val="24"/>
        </w:rPr>
        <w:t>部分的</w:t>
      </w:r>
      <w:r>
        <w:rPr>
          <w:rFonts w:hint="eastAsia" w:ascii="宋体" w:hAnsi="宋体"/>
          <w:bCs/>
          <w:snapToGrid w:val="0"/>
          <w:kern w:val="0"/>
          <w:sz w:val="24"/>
        </w:rPr>
        <w:t>核减额的</w:t>
      </w:r>
      <w:r>
        <w:rPr>
          <w:rFonts w:ascii="宋体" w:hAnsi="宋体"/>
          <w:bCs/>
          <w:snapToGrid w:val="0"/>
          <w:kern w:val="0"/>
          <w:sz w:val="24"/>
        </w:rPr>
        <w:t>5%</w:t>
      </w:r>
      <w:r>
        <w:rPr>
          <w:rFonts w:hint="eastAsia" w:ascii="宋体" w:hAnsi="宋体"/>
          <w:bCs/>
          <w:snapToGrid w:val="0"/>
          <w:kern w:val="0"/>
          <w:sz w:val="24"/>
        </w:rPr>
        <w:t>对承包人处以</w:t>
      </w:r>
      <w:r>
        <w:rPr>
          <w:rFonts w:hint="eastAsia" w:ascii="宋体" w:hAnsi="宋体" w:cs="宋体"/>
          <w:snapToGrid w:val="0"/>
          <w:kern w:val="0"/>
          <w:sz w:val="24"/>
          <w:szCs w:val="24"/>
        </w:rPr>
        <w:t>违约金，同时发包人委托第三方咨询单位进行结算审核的费用（</w:t>
      </w:r>
      <w:r>
        <w:rPr>
          <w:rFonts w:hint="eastAsia" w:ascii="宋体" w:hAnsi="宋体" w:cs="宋体"/>
          <w:bCs/>
          <w:snapToGrid w:val="0"/>
          <w:kern w:val="0"/>
          <w:sz w:val="24"/>
        </w:rPr>
        <w:t>按粤价函[2011]742号文规定的竣工结算审核咨询费标准</w:t>
      </w:r>
      <w:r>
        <w:rPr>
          <w:rFonts w:hint="eastAsia" w:ascii="宋体" w:hAnsi="宋体" w:cs="宋体"/>
          <w:snapToGrid w:val="0"/>
          <w:kern w:val="0"/>
          <w:sz w:val="24"/>
          <w:szCs w:val="24"/>
        </w:rPr>
        <w:t>）由承包人支付给发包人（此费用可直接</w:t>
      </w:r>
      <w:r>
        <w:rPr>
          <w:rFonts w:hint="eastAsia" w:ascii="宋体" w:hAnsi="宋体"/>
          <w:kern w:val="0"/>
          <w:sz w:val="24"/>
        </w:rPr>
        <w:t>在承包人</w:t>
      </w:r>
      <w:r>
        <w:rPr>
          <w:rFonts w:hint="eastAsia" w:ascii="宋体" w:hAnsi="宋体" w:cs="宋体"/>
          <w:snapToGrid w:val="0"/>
          <w:kern w:val="0"/>
          <w:sz w:val="24"/>
          <w:szCs w:val="24"/>
        </w:rPr>
        <w:t>的</w:t>
      </w:r>
      <w:r>
        <w:rPr>
          <w:rFonts w:hint="eastAsia" w:ascii="宋体" w:hAnsi="宋体"/>
          <w:kern w:val="0"/>
          <w:sz w:val="24"/>
        </w:rPr>
        <w:t>结算</w:t>
      </w:r>
      <w:r>
        <w:rPr>
          <w:rFonts w:hint="eastAsia" w:ascii="宋体" w:hAnsi="宋体" w:cs="宋体"/>
          <w:snapToGrid w:val="0"/>
          <w:kern w:val="0"/>
          <w:sz w:val="24"/>
          <w:szCs w:val="24"/>
        </w:rPr>
        <w:t>款</w:t>
      </w:r>
      <w:r>
        <w:rPr>
          <w:rFonts w:hint="eastAsia" w:ascii="宋体" w:hAnsi="宋体"/>
          <w:kern w:val="0"/>
          <w:sz w:val="24"/>
        </w:rPr>
        <w:t>扣除</w:t>
      </w:r>
      <w:r>
        <w:rPr>
          <w:rFonts w:hint="eastAsia" w:ascii="宋体" w:hAnsi="宋体" w:cs="宋体"/>
          <w:snapToGrid w:val="0"/>
          <w:kern w:val="0"/>
          <w:sz w:val="24"/>
          <w:szCs w:val="24"/>
        </w:rPr>
        <w:t>）</w:t>
      </w:r>
      <w:r>
        <w:rPr>
          <w:rFonts w:hint="eastAsia" w:ascii="宋体" w:hAnsi="宋体"/>
          <w:kern w:val="0"/>
          <w:sz w:val="24"/>
        </w:rPr>
        <w:t>。</w:t>
      </w:r>
    </w:p>
    <w:p w14:paraId="5C2C70A8">
      <w:pPr>
        <w:snapToGrid w:val="0"/>
        <w:spacing w:line="360" w:lineRule="auto"/>
        <w:ind w:firstLine="480" w:firstLineChars="200"/>
        <w:rPr>
          <w:rFonts w:ascii="宋体" w:hAnsi="宋体"/>
          <w:kern w:val="0"/>
          <w:sz w:val="24"/>
        </w:rPr>
      </w:pPr>
      <w:r>
        <w:rPr>
          <w:rFonts w:hint="eastAsia" w:ascii="宋体" w:hAnsi="宋体"/>
          <w:kern w:val="0"/>
          <w:sz w:val="24"/>
        </w:rPr>
        <w:t>若承包人不按合同的约定配合结算审核工作以致工程结算延迟30日未能定案或承包人对发包人的审核结果拒不确认并在发包人要求的时间内未能提出发包人认为合理理由的，则</w:t>
      </w:r>
      <w:r>
        <w:rPr>
          <w:rFonts w:hint="eastAsia" w:ascii="宋体" w:hAnsi="宋体" w:cs="宋体"/>
          <w:snapToGrid w:val="0"/>
          <w:kern w:val="0"/>
          <w:sz w:val="24"/>
        </w:rPr>
        <w:t>承包人承诺无条件接受</w:t>
      </w:r>
      <w:r>
        <w:rPr>
          <w:rFonts w:hint="eastAsia" w:ascii="宋体" w:hAnsi="宋体"/>
          <w:kern w:val="0"/>
          <w:sz w:val="24"/>
        </w:rPr>
        <w:t>最终的审核结果按发包人及其委托的第三方</w:t>
      </w:r>
      <w:r>
        <w:rPr>
          <w:rFonts w:hint="eastAsia" w:ascii="宋体" w:hAnsi="宋体" w:cs="宋体"/>
          <w:snapToGrid w:val="0"/>
          <w:kern w:val="0"/>
          <w:sz w:val="24"/>
        </w:rPr>
        <w:t>造价</w:t>
      </w:r>
      <w:r>
        <w:rPr>
          <w:rFonts w:hint="eastAsia" w:ascii="宋体" w:hAnsi="宋体"/>
          <w:kern w:val="0"/>
          <w:sz w:val="24"/>
        </w:rPr>
        <w:t>咨询单位盖章确认</w:t>
      </w:r>
      <w:r>
        <w:rPr>
          <w:rFonts w:hint="eastAsia" w:ascii="宋体" w:hAnsi="宋体" w:cs="宋体"/>
          <w:snapToGrid w:val="0"/>
          <w:kern w:val="0"/>
          <w:sz w:val="24"/>
        </w:rPr>
        <w:t>即可</w:t>
      </w:r>
      <w:r>
        <w:rPr>
          <w:rFonts w:hint="eastAsia" w:ascii="宋体" w:hAnsi="宋体"/>
          <w:kern w:val="0"/>
          <w:sz w:val="24"/>
        </w:rPr>
        <w:t>。</w:t>
      </w:r>
    </w:p>
    <w:p w14:paraId="79DBFD53">
      <w:pPr>
        <w:snapToGrid w:val="0"/>
        <w:spacing w:line="360" w:lineRule="auto"/>
        <w:ind w:firstLine="480" w:firstLineChars="200"/>
        <w:rPr>
          <w:rFonts w:ascii="宋体" w:hAnsi="宋体"/>
          <w:kern w:val="0"/>
          <w:sz w:val="24"/>
        </w:rPr>
      </w:pPr>
      <w:r>
        <w:rPr>
          <w:rFonts w:ascii="宋体" w:hAnsi="宋体"/>
          <w:kern w:val="0"/>
          <w:sz w:val="24"/>
        </w:rPr>
        <w:t>6.</w:t>
      </w:r>
      <w:bookmarkStart w:id="67" w:name="_Toc5374_WPSOffice_Level2"/>
      <w:r>
        <w:rPr>
          <w:rFonts w:ascii="宋体" w:hAnsi="宋体"/>
          <w:kern w:val="0"/>
          <w:sz w:val="24"/>
        </w:rPr>
        <w:t>7</w:t>
      </w:r>
      <w:r>
        <w:rPr>
          <w:rFonts w:hint="eastAsia" w:ascii="宋体" w:hAnsi="宋体"/>
          <w:kern w:val="0"/>
          <w:sz w:val="24"/>
        </w:rPr>
        <w:t>为确保本工程按计划顺利完成，从进场开始，承包人应负责派驻</w:t>
      </w:r>
      <w:r>
        <w:rPr>
          <w:rFonts w:ascii="宋体" w:hAnsi="宋体"/>
          <w:kern w:val="0"/>
          <w:sz w:val="24"/>
        </w:rPr>
        <w:t>1辆7座的全新</w:t>
      </w:r>
      <w:r>
        <w:rPr>
          <w:rFonts w:hint="eastAsia" w:ascii="宋体" w:hAnsi="宋体"/>
          <w:kern w:val="0"/>
          <w:sz w:val="24"/>
        </w:rPr>
        <w:t>纯电商务客车在现场值班（配置专用充电桩），并结合现场工程实际需要配备司机，以作为施工现场项目管理协调、报批报建、现场会议、突发事件应急保障等工作及时开展，否则有关责任由承包人承担。上述费用已包含在施工费中，发包人不再另行支付</w:t>
      </w:r>
      <w:r>
        <w:rPr>
          <w:rFonts w:hint="eastAsia" w:ascii="宋体" w:hAnsi="宋体"/>
          <w:kern w:val="0"/>
          <w:sz w:val="24"/>
          <w:lang w:eastAsia="zh-CN"/>
        </w:rPr>
        <w:t>（</w:t>
      </w:r>
      <w:r>
        <w:rPr>
          <w:rFonts w:hint="eastAsia" w:ascii="宋体" w:hAnsi="宋体"/>
          <w:kern w:val="0"/>
          <w:sz w:val="24"/>
          <w:lang w:val="en-US" w:eastAsia="zh-CN"/>
        </w:rPr>
        <w:t>不适用</w:t>
      </w:r>
      <w:r>
        <w:rPr>
          <w:rFonts w:hint="eastAsia" w:ascii="宋体" w:hAnsi="宋体"/>
          <w:kern w:val="0"/>
          <w:sz w:val="24"/>
          <w:lang w:eastAsia="zh-CN"/>
        </w:rPr>
        <w:t>）</w:t>
      </w:r>
      <w:r>
        <w:rPr>
          <w:rFonts w:hint="eastAsia" w:ascii="宋体" w:hAnsi="宋体"/>
          <w:kern w:val="0"/>
          <w:sz w:val="24"/>
        </w:rPr>
        <w:t>。</w:t>
      </w:r>
    </w:p>
    <w:p w14:paraId="63232DA7">
      <w:pPr>
        <w:pStyle w:val="45"/>
        <w:spacing w:after="0" w:line="360" w:lineRule="auto"/>
        <w:ind w:firstLine="240" w:firstLineChars="100"/>
        <w:rPr>
          <w:rFonts w:ascii="宋体" w:hAnsi="宋体" w:cs="宋体"/>
          <w:bCs/>
          <w:snapToGrid w:val="0"/>
          <w:kern w:val="0"/>
          <w:sz w:val="24"/>
        </w:rPr>
      </w:pPr>
      <w:r>
        <w:rPr>
          <w:rFonts w:hint="eastAsia" w:ascii="宋体" w:hAnsi="宋体" w:cs="宋体"/>
          <w:bCs/>
          <w:snapToGrid w:val="0"/>
          <w:kern w:val="0"/>
          <w:sz w:val="24"/>
        </w:rPr>
        <w:t>6.8为了满足发包人各项检查和上级主管部门监管，从进场开始，承包人应配备高精度无人机，每周三前进行航拍，配合发包人填报各类督办报表和本周工作总结及下周工作计划、配合发包人每周各类安全检查及报告整理、每月20号前提供上个月进度款申请资料（含监理和造价咨询单位审核资料）和下个月资金计划、每月25日前提供本月工作总结和下个月工作计划、季度总结和下季度工作计划、年度工作总结等。相关费用已包含在施工费中，发包人不再另行支付。</w:t>
      </w:r>
    </w:p>
    <w:p w14:paraId="64DFB484">
      <w:pPr>
        <w:spacing w:line="360" w:lineRule="auto"/>
        <w:ind w:firstLine="482" w:firstLineChars="200"/>
        <w:jc w:val="left"/>
        <w:outlineLvl w:val="0"/>
        <w:rPr>
          <w:rFonts w:ascii="宋体" w:hAnsi="宋体"/>
          <w:b/>
          <w:kern w:val="0"/>
          <w:sz w:val="24"/>
        </w:rPr>
      </w:pPr>
      <w:bookmarkStart w:id="68" w:name="_Toc28876"/>
      <w:bookmarkStart w:id="69" w:name="_Toc144746850"/>
      <w:bookmarkStart w:id="70" w:name="_Toc19428"/>
      <w:bookmarkStart w:id="71" w:name="_Toc19898"/>
      <w:bookmarkStart w:id="72" w:name="_Toc144745932"/>
      <w:bookmarkStart w:id="73" w:name="_Toc104901741"/>
      <w:r>
        <w:rPr>
          <w:rFonts w:hint="eastAsia" w:ascii="宋体" w:hAnsi="宋体"/>
          <w:b/>
          <w:kern w:val="0"/>
          <w:sz w:val="24"/>
        </w:rPr>
        <w:t>7、组成合同的文件</w:t>
      </w:r>
      <w:bookmarkEnd w:id="67"/>
      <w:bookmarkEnd w:id="68"/>
      <w:bookmarkEnd w:id="69"/>
      <w:bookmarkEnd w:id="70"/>
      <w:bookmarkEnd w:id="71"/>
      <w:bookmarkEnd w:id="72"/>
      <w:bookmarkEnd w:id="73"/>
    </w:p>
    <w:p w14:paraId="09AA83C1">
      <w:pPr>
        <w:spacing w:line="360" w:lineRule="auto"/>
        <w:ind w:firstLine="480" w:firstLineChars="200"/>
        <w:rPr>
          <w:rFonts w:ascii="宋体" w:hAnsi="宋体"/>
          <w:kern w:val="0"/>
          <w:sz w:val="24"/>
        </w:rPr>
      </w:pPr>
      <w:r>
        <w:rPr>
          <w:rFonts w:hint="eastAsia" w:ascii="宋体" w:hAnsi="宋体"/>
          <w:kern w:val="0"/>
          <w:sz w:val="24"/>
        </w:rPr>
        <w:t>下列文件应被认为是组成本合同的一部分，并互为补充和解释，如各文件存在冲突之处，以如下排列次序在前者优先适用：</w:t>
      </w:r>
    </w:p>
    <w:p w14:paraId="5552EBEE">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（1）政府及其相关主管部门关于本工程的有关文件（包括不限于市及黄埔区发改委、市及黄埔区住建委、项目主管部门等关于本项目报批报建、竣工验收等文件规定）；</w:t>
      </w:r>
    </w:p>
    <w:p w14:paraId="71422FF3">
      <w:pPr>
        <w:spacing w:line="360" w:lineRule="auto"/>
        <w:ind w:firstLine="480" w:firstLineChars="200"/>
        <w:rPr>
          <w:rFonts w:ascii="宋体" w:hAnsi="宋体"/>
          <w:kern w:val="0"/>
          <w:sz w:val="24"/>
        </w:rPr>
      </w:pPr>
      <w:r>
        <w:rPr>
          <w:rFonts w:hint="eastAsia" w:ascii="宋体" w:hAnsi="宋体" w:cs="宋体"/>
          <w:bCs/>
          <w:snapToGrid w:val="0"/>
          <w:kern w:val="0"/>
          <w:sz w:val="24"/>
        </w:rPr>
        <w:t>（2</w:t>
      </w:r>
      <w:r>
        <w:rPr>
          <w:rFonts w:hint="eastAsia" w:ascii="宋体" w:hAnsi="宋体"/>
          <w:kern w:val="0"/>
          <w:sz w:val="24"/>
        </w:rPr>
        <w:t>）本合同履行期间发包人与承包人双方签订的补充合同（协议）或修正文件；</w:t>
      </w:r>
    </w:p>
    <w:p w14:paraId="0B58F09E">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cs="宋体"/>
          <w:bCs/>
          <w:snapToGrid w:val="0"/>
          <w:kern w:val="0"/>
          <w:sz w:val="24"/>
        </w:rPr>
        <w:t>3</w:t>
      </w:r>
      <w:r>
        <w:rPr>
          <w:rFonts w:hint="eastAsia" w:ascii="宋体" w:hAnsi="宋体"/>
          <w:kern w:val="0"/>
          <w:sz w:val="24"/>
        </w:rPr>
        <w:t>）合同协议书；</w:t>
      </w:r>
    </w:p>
    <w:p w14:paraId="68890D2C">
      <w:pPr>
        <w:spacing w:line="360" w:lineRule="auto"/>
        <w:ind w:firstLine="480" w:firstLineChars="200"/>
        <w:rPr>
          <w:rFonts w:ascii="宋体" w:hAnsi="宋体" w:cs="宋体"/>
          <w:bCs/>
          <w:snapToGrid w:val="0"/>
          <w:kern w:val="0"/>
          <w:sz w:val="24"/>
        </w:rPr>
      </w:pPr>
      <w:r>
        <w:rPr>
          <w:rFonts w:hint="eastAsia" w:ascii="宋体" w:hAnsi="宋体"/>
          <w:kern w:val="0"/>
          <w:sz w:val="24"/>
        </w:rPr>
        <w:t>（</w:t>
      </w:r>
      <w:r>
        <w:rPr>
          <w:rFonts w:hint="eastAsia" w:ascii="宋体" w:hAnsi="宋体" w:cs="宋体"/>
          <w:bCs/>
          <w:snapToGrid w:val="0"/>
          <w:kern w:val="0"/>
          <w:sz w:val="24"/>
        </w:rPr>
        <w:t>4）中标通知书；</w:t>
      </w:r>
    </w:p>
    <w:p w14:paraId="01608D1C">
      <w:pPr>
        <w:spacing w:line="360" w:lineRule="auto"/>
        <w:ind w:firstLine="480" w:firstLineChars="200"/>
        <w:rPr>
          <w:rFonts w:ascii="宋体" w:hAnsi="宋体"/>
          <w:kern w:val="0"/>
          <w:sz w:val="24"/>
        </w:rPr>
      </w:pPr>
      <w:r>
        <w:rPr>
          <w:rFonts w:hint="eastAsia" w:ascii="宋体" w:hAnsi="宋体" w:cs="宋体"/>
          <w:bCs/>
          <w:snapToGrid w:val="0"/>
          <w:kern w:val="0"/>
          <w:sz w:val="24"/>
        </w:rPr>
        <w:t>（5</w:t>
      </w:r>
      <w:r>
        <w:rPr>
          <w:rFonts w:hint="eastAsia" w:ascii="宋体" w:hAnsi="宋体"/>
          <w:kern w:val="0"/>
          <w:sz w:val="24"/>
        </w:rPr>
        <w:t>）合同条款；</w:t>
      </w:r>
    </w:p>
    <w:p w14:paraId="03F9385F">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cs="宋体"/>
          <w:bCs/>
          <w:snapToGrid w:val="0"/>
          <w:kern w:val="0"/>
          <w:sz w:val="24"/>
        </w:rPr>
        <w:t>6</w:t>
      </w:r>
      <w:r>
        <w:rPr>
          <w:rFonts w:hint="eastAsia" w:ascii="宋体" w:hAnsi="宋体"/>
          <w:kern w:val="0"/>
          <w:sz w:val="24"/>
        </w:rPr>
        <w:t>）合同附件；</w:t>
      </w:r>
    </w:p>
    <w:p w14:paraId="278185BE">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（7）发包人针对本建设项目管理的各项制度、规定；</w:t>
      </w:r>
    </w:p>
    <w:p w14:paraId="3DB268F2">
      <w:pPr>
        <w:spacing w:line="360" w:lineRule="auto"/>
        <w:ind w:firstLine="480" w:firstLineChars="200"/>
        <w:rPr>
          <w:rFonts w:ascii="宋体" w:hAnsi="宋体"/>
          <w:kern w:val="0"/>
          <w:sz w:val="24"/>
        </w:rPr>
      </w:pPr>
      <w:r>
        <w:rPr>
          <w:rFonts w:hint="eastAsia" w:ascii="宋体" w:hAnsi="宋体" w:cs="宋体"/>
          <w:bCs/>
          <w:snapToGrid w:val="0"/>
          <w:kern w:val="0"/>
          <w:sz w:val="24"/>
        </w:rPr>
        <w:t>（8</w:t>
      </w:r>
      <w:r>
        <w:rPr>
          <w:rFonts w:hint="eastAsia" w:ascii="宋体" w:hAnsi="宋体"/>
          <w:kern w:val="0"/>
          <w:sz w:val="24"/>
        </w:rPr>
        <w:t>）招标文件[含招标文件补充文件、澄清文件、答疑文件、招标图等，属本条第（</w:t>
      </w:r>
      <w:r>
        <w:rPr>
          <w:rFonts w:hint="eastAsia" w:ascii="宋体" w:hAnsi="宋体" w:cs="宋体"/>
          <w:bCs/>
          <w:snapToGrid w:val="0"/>
          <w:kern w:val="0"/>
          <w:sz w:val="24"/>
        </w:rPr>
        <w:t>7</w:t>
      </w:r>
      <w:r>
        <w:rPr>
          <w:rFonts w:hint="eastAsia" w:ascii="宋体" w:hAnsi="宋体"/>
          <w:kern w:val="0"/>
          <w:sz w:val="24"/>
        </w:rPr>
        <w:t>）项内容的除外]；</w:t>
      </w:r>
    </w:p>
    <w:p w14:paraId="2F0D13AE">
      <w:pPr>
        <w:spacing w:line="360" w:lineRule="auto"/>
        <w:ind w:firstLine="480" w:firstLineChars="200"/>
        <w:rPr>
          <w:rFonts w:ascii="宋体" w:hAnsi="宋体"/>
          <w:kern w:val="0"/>
          <w:sz w:val="24"/>
        </w:rPr>
      </w:pPr>
      <w:r>
        <w:rPr>
          <w:rFonts w:hint="eastAsia" w:ascii="宋体" w:hAnsi="宋体" w:cs="宋体"/>
          <w:bCs/>
          <w:snapToGrid w:val="0"/>
          <w:kern w:val="0"/>
          <w:sz w:val="24"/>
        </w:rPr>
        <w:t>（9）</w:t>
      </w:r>
      <w:r>
        <w:rPr>
          <w:rFonts w:hint="eastAsia" w:ascii="宋体" w:hAnsi="宋体"/>
          <w:kern w:val="0"/>
          <w:sz w:val="24"/>
        </w:rPr>
        <w:t>承包人投标文件及其附件[含投标文件澄清等，属本条第（</w:t>
      </w:r>
      <w:r>
        <w:rPr>
          <w:rFonts w:hint="eastAsia" w:ascii="宋体" w:hAnsi="宋体" w:cs="宋体"/>
          <w:bCs/>
          <w:snapToGrid w:val="0"/>
          <w:kern w:val="0"/>
          <w:sz w:val="24"/>
        </w:rPr>
        <w:t>7</w:t>
      </w:r>
      <w:r>
        <w:rPr>
          <w:rFonts w:hint="eastAsia" w:ascii="宋体" w:hAnsi="宋体"/>
          <w:kern w:val="0"/>
          <w:sz w:val="24"/>
        </w:rPr>
        <w:t>）项内容的除外]；</w:t>
      </w:r>
    </w:p>
    <w:p w14:paraId="66B69271">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cs="宋体"/>
          <w:bCs/>
          <w:snapToGrid w:val="0"/>
          <w:kern w:val="0"/>
          <w:sz w:val="24"/>
        </w:rPr>
        <w:t>10</w:t>
      </w:r>
      <w:r>
        <w:rPr>
          <w:rFonts w:hint="eastAsia" w:ascii="宋体" w:hAnsi="宋体"/>
          <w:kern w:val="0"/>
          <w:sz w:val="24"/>
        </w:rPr>
        <w:t>）国家及广东省、广州市的标准、规范及有关技术文件；</w:t>
      </w:r>
    </w:p>
    <w:p w14:paraId="0664243D">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cs="宋体"/>
          <w:bCs/>
          <w:snapToGrid w:val="0"/>
          <w:kern w:val="0"/>
          <w:sz w:val="24"/>
        </w:rPr>
        <w:t>11</w:t>
      </w:r>
      <w:r>
        <w:rPr>
          <w:rFonts w:hint="eastAsia" w:ascii="宋体" w:hAnsi="宋体"/>
          <w:kern w:val="0"/>
          <w:sz w:val="24"/>
        </w:rPr>
        <w:t>）组成合同的其它文件。</w:t>
      </w:r>
    </w:p>
    <w:p w14:paraId="4CDC8C31">
      <w:pPr>
        <w:spacing w:line="360" w:lineRule="auto"/>
        <w:ind w:firstLine="480" w:firstLineChars="200"/>
        <w:rPr>
          <w:rFonts w:ascii="宋体" w:hAnsi="宋体"/>
          <w:kern w:val="0"/>
          <w:sz w:val="24"/>
        </w:rPr>
      </w:pPr>
      <w:r>
        <w:rPr>
          <w:rFonts w:hint="eastAsia" w:ascii="宋体" w:hAnsi="宋体"/>
          <w:kern w:val="0"/>
          <w:sz w:val="24"/>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承包人还不服的，可按合同条款第</w:t>
      </w:r>
      <w:r>
        <w:rPr>
          <w:rFonts w:hint="eastAsia" w:ascii="宋体" w:hAnsi="宋体" w:cs="宋体"/>
          <w:bCs/>
          <w:snapToGrid w:val="0"/>
          <w:kern w:val="0"/>
          <w:sz w:val="24"/>
        </w:rPr>
        <w:t>43</w:t>
      </w:r>
      <w:r>
        <w:rPr>
          <w:rFonts w:hint="eastAsia" w:ascii="宋体" w:hAnsi="宋体"/>
          <w:kern w:val="0"/>
          <w:sz w:val="24"/>
        </w:rPr>
        <w:t>条的约定处理，但在有关部门没有作出正式裁决之前，承包人应先行执行发包人的决定。</w:t>
      </w:r>
    </w:p>
    <w:p w14:paraId="1A6832D9">
      <w:pPr>
        <w:spacing w:line="360" w:lineRule="auto"/>
        <w:ind w:firstLine="482" w:firstLineChars="200"/>
        <w:jc w:val="left"/>
        <w:outlineLvl w:val="0"/>
        <w:rPr>
          <w:rFonts w:ascii="宋体" w:hAnsi="宋体"/>
          <w:b/>
          <w:kern w:val="0"/>
          <w:sz w:val="24"/>
        </w:rPr>
      </w:pPr>
      <w:bookmarkStart w:id="74" w:name="_Toc7516"/>
      <w:bookmarkStart w:id="75" w:name="_Toc104901742"/>
      <w:bookmarkStart w:id="76" w:name="_Toc19952"/>
      <w:bookmarkStart w:id="77" w:name="_Toc144746851"/>
      <w:bookmarkStart w:id="78" w:name="_Toc22100"/>
      <w:bookmarkStart w:id="79" w:name="_Toc144745933"/>
      <w:bookmarkStart w:id="80" w:name="_Toc17098_WPSOffice_Level2"/>
      <w:r>
        <w:rPr>
          <w:rFonts w:hint="eastAsia" w:ascii="宋体" w:hAnsi="宋体"/>
          <w:b/>
          <w:kern w:val="0"/>
          <w:sz w:val="24"/>
        </w:rPr>
        <w:t>8、项目人员名单</w:t>
      </w:r>
      <w:bookmarkEnd w:id="74"/>
      <w:bookmarkEnd w:id="75"/>
      <w:bookmarkEnd w:id="76"/>
      <w:bookmarkEnd w:id="77"/>
      <w:bookmarkEnd w:id="78"/>
      <w:bookmarkEnd w:id="79"/>
      <w:bookmarkEnd w:id="80"/>
    </w:p>
    <w:p w14:paraId="70DD1769">
      <w:pPr>
        <w:spacing w:line="360" w:lineRule="auto"/>
        <w:ind w:firstLine="480" w:firstLineChars="200"/>
        <w:rPr>
          <w:rFonts w:ascii="宋体" w:hAnsi="宋体"/>
          <w:kern w:val="0"/>
          <w:sz w:val="24"/>
        </w:rPr>
      </w:pPr>
      <w:r>
        <w:rPr>
          <w:rFonts w:hint="eastAsia" w:ascii="宋体" w:hAnsi="宋体"/>
          <w:kern w:val="0"/>
          <w:sz w:val="24"/>
        </w:rPr>
        <w:t>承包人应在收到中标通知书之日起3日内以书面形式向发包人提交其法定代表人、项目经理（项目负责人）、技术负责人、</w:t>
      </w:r>
      <w:r>
        <w:rPr>
          <w:rFonts w:hint="eastAsia" w:ascii="宋体" w:hAnsi="宋体" w:cs="宋体"/>
          <w:snapToGrid w:val="0"/>
          <w:kern w:val="0"/>
          <w:sz w:val="24"/>
        </w:rPr>
        <w:t>设计</w:t>
      </w:r>
      <w:r>
        <w:rPr>
          <w:rFonts w:hint="eastAsia" w:ascii="宋体" w:hAnsi="宋体"/>
          <w:kern w:val="0"/>
          <w:sz w:val="24"/>
        </w:rPr>
        <w:t>负责人的姓名、身份证复印件、职务、职称、联系方式（包括办公电话、手机、传真号码、电子邮件信箱）、通信地址等信息作为合同附件。</w:t>
      </w:r>
    </w:p>
    <w:p w14:paraId="63FC73F9">
      <w:pPr>
        <w:spacing w:line="360" w:lineRule="auto"/>
        <w:ind w:firstLine="482" w:firstLineChars="200"/>
        <w:jc w:val="left"/>
        <w:outlineLvl w:val="0"/>
        <w:rPr>
          <w:rFonts w:ascii="宋体" w:hAnsi="宋体"/>
          <w:b/>
          <w:kern w:val="0"/>
          <w:sz w:val="24"/>
        </w:rPr>
      </w:pPr>
      <w:bookmarkStart w:id="81" w:name="_Toc144746852"/>
      <w:bookmarkStart w:id="82" w:name="_Toc144745934"/>
      <w:bookmarkStart w:id="83" w:name="_Toc104901743"/>
      <w:bookmarkStart w:id="84" w:name="_Toc12091"/>
      <w:bookmarkStart w:id="85" w:name="_Toc28655"/>
      <w:bookmarkStart w:id="86" w:name="_Toc18450"/>
      <w:bookmarkStart w:id="87" w:name="_Toc13439_WPSOffice_Level2"/>
      <w:r>
        <w:rPr>
          <w:rFonts w:hint="eastAsia" w:ascii="宋体" w:hAnsi="宋体"/>
          <w:b/>
          <w:kern w:val="0"/>
          <w:sz w:val="24"/>
        </w:rPr>
        <w:t>9、单位名称变更</w:t>
      </w:r>
      <w:bookmarkEnd w:id="81"/>
      <w:bookmarkEnd w:id="82"/>
      <w:bookmarkEnd w:id="83"/>
      <w:bookmarkEnd w:id="84"/>
      <w:bookmarkEnd w:id="85"/>
      <w:bookmarkEnd w:id="86"/>
      <w:bookmarkEnd w:id="87"/>
    </w:p>
    <w:p w14:paraId="0D3963C4">
      <w:pPr>
        <w:spacing w:line="360" w:lineRule="auto"/>
        <w:ind w:firstLine="480" w:firstLineChars="200"/>
        <w:rPr>
          <w:rFonts w:ascii="宋体" w:hAnsi="宋体"/>
          <w:b/>
          <w:kern w:val="0"/>
          <w:sz w:val="24"/>
        </w:rPr>
      </w:pPr>
      <w:r>
        <w:rPr>
          <w:rFonts w:hint="eastAsia" w:ascii="宋体" w:hAnsi="宋体"/>
          <w:kern w:val="0"/>
          <w:sz w:val="24"/>
        </w:rPr>
        <w:t>在本合同有效期内，承包人的单位名称变更的，应及时以书面形式通知发包人并附上变更登记资料；法定代表人变更的，应在变更后15日内向发包人提交新法定代表人的姓名、身份证复印件、职务、职称、联系电话、通信地址等信息。</w:t>
      </w:r>
    </w:p>
    <w:p w14:paraId="08A5D327">
      <w:pPr>
        <w:spacing w:line="360" w:lineRule="auto"/>
        <w:ind w:firstLine="482" w:firstLineChars="200"/>
        <w:jc w:val="left"/>
        <w:outlineLvl w:val="0"/>
        <w:rPr>
          <w:rFonts w:ascii="宋体" w:hAnsi="宋体"/>
          <w:b/>
          <w:kern w:val="0"/>
          <w:sz w:val="24"/>
        </w:rPr>
      </w:pPr>
      <w:bookmarkStart w:id="88" w:name="_Toc19389_WPSOffice_Level2"/>
      <w:bookmarkStart w:id="89" w:name="_Toc104901744"/>
      <w:bookmarkStart w:id="90" w:name="_Toc144746853"/>
      <w:bookmarkStart w:id="91" w:name="_Toc144745935"/>
      <w:bookmarkStart w:id="92" w:name="_Toc9080"/>
      <w:bookmarkStart w:id="93" w:name="_Toc7496"/>
      <w:bookmarkStart w:id="94" w:name="_Toc19454"/>
      <w:r>
        <w:rPr>
          <w:rFonts w:hint="eastAsia" w:ascii="宋体" w:hAnsi="宋体"/>
          <w:b/>
          <w:kern w:val="0"/>
          <w:sz w:val="24"/>
        </w:rPr>
        <w:t>10、项目管理人员更换</w:t>
      </w:r>
      <w:bookmarkEnd w:id="88"/>
      <w:bookmarkEnd w:id="89"/>
      <w:bookmarkEnd w:id="90"/>
      <w:bookmarkEnd w:id="91"/>
      <w:bookmarkEnd w:id="92"/>
      <w:bookmarkEnd w:id="93"/>
      <w:bookmarkEnd w:id="94"/>
    </w:p>
    <w:p w14:paraId="01CA7F6B">
      <w:pPr>
        <w:spacing w:line="360" w:lineRule="auto"/>
        <w:ind w:firstLine="480" w:firstLineChars="200"/>
        <w:rPr>
          <w:rFonts w:ascii="宋体" w:hAnsi="宋体"/>
          <w:b/>
          <w:kern w:val="0"/>
          <w:sz w:val="24"/>
        </w:rPr>
      </w:pPr>
      <w:r>
        <w:rPr>
          <w:rFonts w:hint="eastAsia" w:ascii="宋体" w:hAnsi="宋体"/>
          <w:kern w:val="0"/>
          <w:sz w:val="24"/>
        </w:rPr>
        <w:t>在本合同有效期内，未经发包人书面同意，承包人自行更换本工程项目经理（项目负责人）、技术负责人、</w:t>
      </w:r>
      <w:r>
        <w:rPr>
          <w:rFonts w:hint="eastAsia" w:ascii="宋体" w:hAnsi="宋体" w:cs="宋体"/>
          <w:snapToGrid w:val="0"/>
          <w:kern w:val="0"/>
          <w:sz w:val="24"/>
        </w:rPr>
        <w:t>设计</w:t>
      </w:r>
      <w:r>
        <w:rPr>
          <w:rFonts w:hint="eastAsia" w:ascii="宋体" w:hAnsi="宋体"/>
          <w:kern w:val="0"/>
          <w:sz w:val="24"/>
        </w:rPr>
        <w:t>负责人的，按合同条款的有关约定承担违约责任。</w:t>
      </w:r>
    </w:p>
    <w:p w14:paraId="6F7B4E69">
      <w:pPr>
        <w:spacing w:line="360" w:lineRule="auto"/>
        <w:ind w:firstLine="482" w:firstLineChars="200"/>
        <w:jc w:val="left"/>
        <w:outlineLvl w:val="0"/>
        <w:rPr>
          <w:rFonts w:ascii="宋体" w:hAnsi="宋体" w:cs="宋体"/>
          <w:b/>
          <w:bCs/>
          <w:snapToGrid w:val="0"/>
          <w:kern w:val="0"/>
          <w:sz w:val="24"/>
          <w:szCs w:val="24"/>
        </w:rPr>
      </w:pPr>
      <w:bookmarkStart w:id="95" w:name="_Toc26589_WPSOffice_Level2"/>
      <w:bookmarkStart w:id="96" w:name="_Toc13280"/>
      <w:bookmarkStart w:id="97" w:name="_Toc21283"/>
      <w:bookmarkStart w:id="98" w:name="_Toc10759"/>
      <w:bookmarkStart w:id="99" w:name="_Toc144745936"/>
      <w:bookmarkStart w:id="100" w:name="_Toc144746854"/>
      <w:bookmarkStart w:id="101" w:name="_Toc104901745"/>
      <w:r>
        <w:rPr>
          <w:rFonts w:hint="eastAsia" w:ascii="宋体" w:hAnsi="宋体"/>
          <w:b/>
          <w:kern w:val="0"/>
          <w:sz w:val="24"/>
        </w:rPr>
        <w:t>11、</w:t>
      </w:r>
      <w:bookmarkEnd w:id="95"/>
      <w:bookmarkStart w:id="102" w:name="_Toc14626_WPSOffice_Level2"/>
      <w:r>
        <w:rPr>
          <w:rFonts w:hint="eastAsia" w:ascii="宋体" w:hAnsi="宋体"/>
          <w:b/>
          <w:kern w:val="0"/>
          <w:sz w:val="24"/>
        </w:rPr>
        <w:t>承包人</w:t>
      </w:r>
      <w:r>
        <w:rPr>
          <w:rFonts w:hint="eastAsia" w:ascii="宋体" w:hAnsi="宋体" w:cs="宋体"/>
          <w:b/>
          <w:bCs/>
          <w:snapToGrid w:val="0"/>
          <w:kern w:val="0"/>
          <w:sz w:val="24"/>
          <w:szCs w:val="24"/>
        </w:rPr>
        <w:t>的责任和义务</w:t>
      </w:r>
      <w:bookmarkEnd w:id="96"/>
      <w:bookmarkEnd w:id="97"/>
      <w:bookmarkEnd w:id="98"/>
      <w:bookmarkEnd w:id="99"/>
      <w:bookmarkEnd w:id="100"/>
    </w:p>
    <w:p w14:paraId="75E6ADB0">
      <w:pPr>
        <w:spacing w:line="360" w:lineRule="auto"/>
        <w:ind w:firstLine="480" w:firstLineChars="200"/>
        <w:rPr>
          <w:rFonts w:ascii="宋体" w:hAnsi="宋体" w:cs="宋体"/>
          <w:b/>
          <w:bCs/>
          <w:snapToGrid w:val="0"/>
          <w:sz w:val="24"/>
        </w:rPr>
      </w:pPr>
      <w:r>
        <w:rPr>
          <w:rFonts w:hint="eastAsia" w:ascii="宋体" w:hAnsi="宋体" w:cs="宋体"/>
          <w:snapToGrid w:val="0"/>
          <w:sz w:val="24"/>
        </w:rPr>
        <w:t>承包人为联合体的，施工单位</w:t>
      </w:r>
      <w:r>
        <w:rPr>
          <w:rFonts w:hint="eastAsia" w:ascii="宋体" w:hAnsi="宋体" w:cs="宋体"/>
          <w:sz w:val="24"/>
        </w:rPr>
        <w:t>作为本项目总负责单位，作为联合体主办方对本项目的设计、进度、质量、安全、投资控制、管理、协调等负总责，同时，</w:t>
      </w:r>
      <w:r>
        <w:rPr>
          <w:rFonts w:hint="eastAsia" w:ascii="宋体" w:hAnsi="宋体" w:cs="宋体"/>
          <w:snapToGrid w:val="0"/>
          <w:sz w:val="24"/>
        </w:rPr>
        <w:t>联合体各成员应当共同与发包人签订合同，并就合同项下明确彼此的责任和义务，包括不限于：人力资源、材料、机械设备投入，材料设备采购及管理，工程投资控制，设计成果文件提交、修改完善及质量，工程工期，工程质量安全，工程进度，工程变更，工程竣工验收及结算，文明施工及环境保护，工程移交，缺陷责任及质量保修，工程分包，工人工资支付，报批报建等方面，按照招标文件及合同约定向发包人承担不可撤销的连带责任。承包人联合体成员方向发包人每次申请支付设计费时，必须经承包人联合体主办方盖章确认同意后方可申请支付，发包人收到经联合体主办盖章确认的申请付款单经审核后拨付。本合同各方同意并确认，承包人在承包人联合体内部关系的任何约定，均不具有对抗发包人的效力，而且，在本合同履行中，承包人联合体主办方代表承包人联合体接受指令，其在本合同项下的任何作为或不作为，其效力均涉及于承包人联合体成员；发包人对承包人联合体主办方的作为或不作为，均涉及于承包人联合体成员。</w:t>
      </w:r>
    </w:p>
    <w:p w14:paraId="36D0D10E">
      <w:pPr>
        <w:spacing w:line="360" w:lineRule="auto"/>
        <w:ind w:firstLine="482" w:firstLineChars="200"/>
        <w:jc w:val="left"/>
        <w:outlineLvl w:val="0"/>
        <w:rPr>
          <w:rFonts w:ascii="宋体" w:hAnsi="宋体"/>
          <w:b/>
          <w:kern w:val="0"/>
          <w:sz w:val="24"/>
        </w:rPr>
      </w:pPr>
      <w:bookmarkStart w:id="103" w:name="_Toc16682"/>
      <w:bookmarkStart w:id="104" w:name="_Toc144745937"/>
      <w:bookmarkStart w:id="105" w:name="_Toc31634"/>
      <w:bookmarkStart w:id="106" w:name="_Toc144746855"/>
      <w:bookmarkStart w:id="107" w:name="_Toc379"/>
      <w:r>
        <w:rPr>
          <w:rFonts w:hint="eastAsia" w:ascii="宋体" w:hAnsi="宋体" w:cs="宋体"/>
          <w:b/>
          <w:bCs/>
          <w:snapToGrid w:val="0"/>
          <w:kern w:val="0"/>
          <w:sz w:val="24"/>
          <w:szCs w:val="24"/>
        </w:rPr>
        <w:t>12、承包人</w:t>
      </w:r>
      <w:r>
        <w:rPr>
          <w:rFonts w:hint="eastAsia" w:ascii="宋体" w:hAnsi="宋体"/>
          <w:b/>
          <w:kern w:val="0"/>
          <w:sz w:val="24"/>
        </w:rPr>
        <w:t>承诺</w:t>
      </w:r>
      <w:bookmarkEnd w:id="101"/>
      <w:bookmarkEnd w:id="102"/>
      <w:bookmarkEnd w:id="103"/>
      <w:bookmarkEnd w:id="104"/>
      <w:bookmarkEnd w:id="105"/>
      <w:bookmarkEnd w:id="106"/>
      <w:bookmarkEnd w:id="107"/>
    </w:p>
    <w:p w14:paraId="04DB2C01">
      <w:pPr>
        <w:spacing w:line="360" w:lineRule="auto"/>
        <w:ind w:firstLine="480" w:firstLineChars="200"/>
        <w:rPr>
          <w:rFonts w:ascii="宋体" w:hAnsi="宋体"/>
          <w:b/>
          <w:kern w:val="0"/>
          <w:sz w:val="24"/>
        </w:rPr>
      </w:pPr>
      <w:r>
        <w:rPr>
          <w:rFonts w:hint="eastAsia" w:ascii="宋体" w:hAnsi="宋体"/>
          <w:kern w:val="0"/>
          <w:sz w:val="24"/>
        </w:rPr>
        <w:t>承包人向发包人承诺按照合同约定进行</w:t>
      </w:r>
      <w:r>
        <w:rPr>
          <w:rFonts w:hint="eastAsia" w:ascii="宋体" w:hAnsi="宋体" w:cs="宋体"/>
          <w:snapToGrid w:val="0"/>
          <w:kern w:val="0"/>
          <w:sz w:val="24"/>
        </w:rPr>
        <w:t>勘察、设计、</w:t>
      </w:r>
      <w:r>
        <w:rPr>
          <w:rFonts w:hint="eastAsia" w:ascii="宋体" w:hAnsi="宋体"/>
          <w:kern w:val="0"/>
          <w:sz w:val="24"/>
        </w:rPr>
        <w:t>采购、施工、竣工验收、移交、结算、管理及配合服务，并在缺陷责任期及质量保修期内承担工程质量保修责任。</w:t>
      </w:r>
    </w:p>
    <w:p w14:paraId="3C44E913">
      <w:pPr>
        <w:spacing w:line="360" w:lineRule="auto"/>
        <w:ind w:firstLine="482" w:firstLineChars="200"/>
        <w:jc w:val="left"/>
        <w:outlineLvl w:val="0"/>
        <w:rPr>
          <w:rFonts w:ascii="宋体" w:hAnsi="宋体"/>
          <w:b/>
          <w:kern w:val="0"/>
          <w:sz w:val="24"/>
        </w:rPr>
      </w:pPr>
      <w:bookmarkStart w:id="108" w:name="_Toc13013_WPSOffice_Level2"/>
      <w:bookmarkStart w:id="109" w:name="_Toc104901746"/>
      <w:bookmarkStart w:id="110" w:name="_Toc23703"/>
      <w:bookmarkStart w:id="111" w:name="_Toc144745938"/>
      <w:bookmarkStart w:id="112" w:name="_Toc144746856"/>
      <w:bookmarkStart w:id="113" w:name="_Toc22895"/>
      <w:bookmarkStart w:id="114" w:name="_Toc2249"/>
      <w:r>
        <w:rPr>
          <w:rFonts w:hint="eastAsia" w:ascii="宋体" w:hAnsi="宋体" w:cs="宋体"/>
          <w:b/>
          <w:bCs/>
          <w:snapToGrid w:val="0"/>
          <w:kern w:val="0"/>
          <w:sz w:val="24"/>
          <w:szCs w:val="24"/>
        </w:rPr>
        <w:t>13</w:t>
      </w:r>
      <w:r>
        <w:rPr>
          <w:rFonts w:hint="eastAsia" w:ascii="宋体" w:hAnsi="宋体"/>
          <w:b/>
          <w:kern w:val="0"/>
          <w:sz w:val="24"/>
        </w:rPr>
        <w:t>、发包人承诺</w:t>
      </w:r>
      <w:bookmarkEnd w:id="108"/>
      <w:bookmarkEnd w:id="109"/>
      <w:bookmarkEnd w:id="110"/>
      <w:bookmarkEnd w:id="111"/>
      <w:bookmarkEnd w:id="112"/>
      <w:bookmarkEnd w:id="113"/>
      <w:bookmarkEnd w:id="114"/>
    </w:p>
    <w:p w14:paraId="108F2454">
      <w:pPr>
        <w:spacing w:line="360" w:lineRule="auto"/>
        <w:ind w:firstLine="480" w:firstLineChars="200"/>
        <w:rPr>
          <w:rFonts w:ascii="宋体" w:hAnsi="宋体"/>
          <w:b/>
          <w:u w:val="single"/>
        </w:rPr>
      </w:pPr>
      <w:r>
        <w:rPr>
          <w:rFonts w:hint="eastAsia" w:ascii="宋体" w:hAnsi="宋体"/>
          <w:kern w:val="0"/>
          <w:sz w:val="24"/>
        </w:rPr>
        <w:t>发包人向承包人承诺按照合同约定的期限和方式支付合同价款及按合同约定应支付的其他款项。</w:t>
      </w:r>
    </w:p>
    <w:p w14:paraId="0D13DA7F">
      <w:pPr>
        <w:spacing w:line="360" w:lineRule="auto"/>
        <w:ind w:firstLine="482" w:firstLineChars="200"/>
        <w:jc w:val="left"/>
        <w:outlineLvl w:val="0"/>
        <w:rPr>
          <w:rFonts w:ascii="宋体" w:hAnsi="宋体"/>
          <w:b/>
          <w:kern w:val="0"/>
          <w:sz w:val="24"/>
        </w:rPr>
      </w:pPr>
      <w:bookmarkStart w:id="115" w:name="_Toc144745939"/>
      <w:bookmarkStart w:id="116" w:name="_Toc144746857"/>
      <w:bookmarkStart w:id="117" w:name="_Toc104901747"/>
      <w:bookmarkStart w:id="118" w:name="_Toc7491"/>
      <w:bookmarkStart w:id="119" w:name="_Toc24593"/>
      <w:bookmarkStart w:id="120" w:name="_Toc17517"/>
      <w:bookmarkStart w:id="121" w:name="_Toc8679_WPSOffice_Level2"/>
      <w:r>
        <w:rPr>
          <w:rFonts w:hint="eastAsia" w:ascii="宋体" w:hAnsi="宋体" w:cs="宋体"/>
          <w:b/>
          <w:bCs/>
          <w:snapToGrid w:val="0"/>
          <w:kern w:val="0"/>
          <w:sz w:val="24"/>
          <w:szCs w:val="24"/>
        </w:rPr>
        <w:t>14</w:t>
      </w:r>
      <w:r>
        <w:rPr>
          <w:rFonts w:hint="eastAsia" w:ascii="宋体" w:hAnsi="宋体"/>
          <w:b/>
          <w:kern w:val="0"/>
          <w:sz w:val="24"/>
        </w:rPr>
        <w:t>、后续投标约定</w:t>
      </w:r>
      <w:bookmarkEnd w:id="115"/>
      <w:bookmarkEnd w:id="116"/>
      <w:bookmarkEnd w:id="117"/>
      <w:bookmarkEnd w:id="118"/>
      <w:bookmarkEnd w:id="119"/>
      <w:bookmarkEnd w:id="120"/>
      <w:bookmarkEnd w:id="121"/>
    </w:p>
    <w:p w14:paraId="2CDCEAF1">
      <w:pPr>
        <w:spacing w:line="360" w:lineRule="auto"/>
        <w:ind w:firstLine="480" w:firstLineChars="200"/>
        <w:rPr>
          <w:rFonts w:ascii="宋体" w:hAnsi="宋体"/>
          <w:sz w:val="24"/>
        </w:rPr>
      </w:pPr>
      <w:r>
        <w:rPr>
          <w:rFonts w:hint="eastAsia" w:ascii="宋体" w:hAnsi="宋体"/>
          <w:sz w:val="24"/>
        </w:rPr>
        <w:t>在出现以下情况时，发包人有权拒绝承包人参与发包人后续招标项目的投标：</w:t>
      </w:r>
    </w:p>
    <w:p w14:paraId="6E4F5BE8">
      <w:pPr>
        <w:spacing w:line="360" w:lineRule="auto"/>
        <w:ind w:firstLine="480" w:firstLineChars="200"/>
        <w:rPr>
          <w:rFonts w:ascii="宋体" w:hAnsi="宋体"/>
          <w:sz w:val="24"/>
        </w:rPr>
      </w:pPr>
      <w:r>
        <w:rPr>
          <w:rFonts w:hint="eastAsia" w:ascii="宋体" w:hAnsi="宋体"/>
          <w:sz w:val="24"/>
        </w:rPr>
        <w:t>（1）承包人因过错行为被生效法律文书认定承担违约或侵权责任的；</w:t>
      </w:r>
    </w:p>
    <w:p w14:paraId="2F1EA776">
      <w:pPr>
        <w:spacing w:line="360" w:lineRule="auto"/>
        <w:ind w:firstLine="480" w:firstLineChars="200"/>
        <w:rPr>
          <w:rFonts w:ascii="宋体" w:hAnsi="宋体"/>
          <w:sz w:val="24"/>
        </w:rPr>
      </w:pPr>
      <w:r>
        <w:rPr>
          <w:rFonts w:hint="eastAsia" w:ascii="宋体" w:hAnsi="宋体"/>
          <w:sz w:val="24"/>
        </w:rPr>
        <w:t>（2）承包人就其与发包人之间的争议问题向人民法院提起诉讼或向仲裁机构提请仲裁，且该诉讼（或仲裁）案件尚未审理终结的；</w:t>
      </w:r>
    </w:p>
    <w:p w14:paraId="56B56BD2">
      <w:pPr>
        <w:spacing w:line="360" w:lineRule="auto"/>
        <w:ind w:firstLine="480" w:firstLineChars="200"/>
        <w:rPr>
          <w:rFonts w:ascii="宋体" w:hAnsi="宋体"/>
          <w:sz w:val="24"/>
        </w:rPr>
      </w:pPr>
      <w:r>
        <w:rPr>
          <w:rFonts w:hint="eastAsia" w:ascii="宋体" w:hAnsi="宋体"/>
          <w:sz w:val="24"/>
        </w:rPr>
        <w:t>（3）承包人不按合同及有关规定按时、足额支付分包单位合同价款及工人工资被投诉，经发包人查证属实的，或因此致使工人集体上访、集聚围阻而造成社会不良影响的；</w:t>
      </w:r>
    </w:p>
    <w:p w14:paraId="142D1A1A">
      <w:pPr>
        <w:spacing w:line="360" w:lineRule="auto"/>
        <w:ind w:firstLine="480" w:firstLineChars="200"/>
        <w:rPr>
          <w:rFonts w:ascii="宋体" w:hAnsi="宋体"/>
          <w:sz w:val="24"/>
        </w:rPr>
      </w:pPr>
      <w:r>
        <w:rPr>
          <w:rFonts w:hint="eastAsia" w:ascii="宋体" w:hAnsi="宋体"/>
          <w:sz w:val="24"/>
        </w:rPr>
        <w:t>（4）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14:paraId="0A5D5110">
      <w:pPr>
        <w:spacing w:line="360" w:lineRule="auto"/>
        <w:ind w:firstLine="480" w:firstLineChars="200"/>
        <w:rPr>
          <w:rFonts w:ascii="宋体" w:hAnsi="宋体"/>
          <w:b/>
          <w:sz w:val="24"/>
        </w:rPr>
      </w:pPr>
      <w:r>
        <w:rPr>
          <w:rFonts w:hint="eastAsia" w:ascii="宋体" w:hAnsi="宋体"/>
          <w:sz w:val="24"/>
        </w:rPr>
        <w:t>（5）承包人违反合同约定应承担两次以上严重违约责任的。</w:t>
      </w:r>
    </w:p>
    <w:p w14:paraId="0C0499E7">
      <w:pPr>
        <w:spacing w:line="360" w:lineRule="auto"/>
        <w:ind w:firstLine="482" w:firstLineChars="200"/>
        <w:jc w:val="left"/>
        <w:outlineLvl w:val="0"/>
        <w:rPr>
          <w:rFonts w:ascii="宋体" w:hAnsi="宋体"/>
          <w:b/>
          <w:kern w:val="0"/>
          <w:sz w:val="24"/>
        </w:rPr>
      </w:pPr>
      <w:bookmarkStart w:id="122" w:name="_Toc4638_WPSOffice_Level2"/>
      <w:bookmarkStart w:id="123" w:name="_Toc4764"/>
      <w:bookmarkStart w:id="124" w:name="_Toc144745940"/>
      <w:bookmarkStart w:id="125" w:name="_Toc20682"/>
      <w:bookmarkStart w:id="126" w:name="_Toc144746858"/>
      <w:bookmarkStart w:id="127" w:name="_Toc4131"/>
      <w:bookmarkStart w:id="128" w:name="_Toc104901748"/>
      <w:r>
        <w:rPr>
          <w:rFonts w:hint="eastAsia" w:ascii="宋体" w:hAnsi="宋体" w:cs="宋体"/>
          <w:b/>
          <w:bCs/>
          <w:snapToGrid w:val="0"/>
          <w:kern w:val="0"/>
          <w:sz w:val="24"/>
          <w:szCs w:val="24"/>
        </w:rPr>
        <w:t>15</w:t>
      </w:r>
      <w:r>
        <w:rPr>
          <w:rFonts w:hint="eastAsia" w:ascii="宋体" w:hAnsi="宋体"/>
          <w:b/>
          <w:kern w:val="0"/>
          <w:sz w:val="24"/>
        </w:rPr>
        <w:t>、词语含义</w:t>
      </w:r>
      <w:bookmarkEnd w:id="122"/>
      <w:bookmarkEnd w:id="123"/>
      <w:bookmarkEnd w:id="124"/>
      <w:bookmarkEnd w:id="125"/>
      <w:bookmarkEnd w:id="126"/>
      <w:bookmarkEnd w:id="127"/>
      <w:bookmarkEnd w:id="128"/>
    </w:p>
    <w:p w14:paraId="7DB22DD5">
      <w:pPr>
        <w:spacing w:line="360" w:lineRule="auto"/>
        <w:ind w:firstLine="480" w:firstLineChars="200"/>
        <w:rPr>
          <w:rFonts w:ascii="宋体" w:hAnsi="宋体"/>
          <w:b/>
          <w:kern w:val="0"/>
          <w:sz w:val="24"/>
        </w:rPr>
      </w:pPr>
      <w:r>
        <w:rPr>
          <w:rFonts w:hint="eastAsia" w:ascii="宋体" w:hAnsi="宋体"/>
          <w:sz w:val="24"/>
        </w:rPr>
        <w:t>合同协议书中有关词语含义与合同条款中赋予它们的定义相同。</w:t>
      </w:r>
    </w:p>
    <w:p w14:paraId="35D273A7">
      <w:pPr>
        <w:spacing w:line="360" w:lineRule="auto"/>
        <w:ind w:firstLine="482" w:firstLineChars="200"/>
        <w:jc w:val="left"/>
        <w:outlineLvl w:val="0"/>
        <w:rPr>
          <w:rFonts w:ascii="宋体" w:hAnsi="宋体"/>
          <w:b/>
          <w:kern w:val="0"/>
          <w:sz w:val="24"/>
        </w:rPr>
      </w:pPr>
      <w:bookmarkStart w:id="129" w:name="_Toc2654"/>
      <w:bookmarkStart w:id="130" w:name="_Toc144746859"/>
      <w:bookmarkStart w:id="131" w:name="_Toc876"/>
      <w:bookmarkStart w:id="132" w:name="_Toc104901749"/>
      <w:bookmarkStart w:id="133" w:name="_Toc1568"/>
      <w:bookmarkStart w:id="134" w:name="_Toc144745941"/>
      <w:bookmarkStart w:id="135" w:name="_Toc21347_WPSOffice_Level2"/>
      <w:r>
        <w:rPr>
          <w:rFonts w:hint="eastAsia" w:ascii="宋体" w:hAnsi="宋体" w:cs="宋体"/>
          <w:b/>
          <w:bCs/>
          <w:snapToGrid w:val="0"/>
          <w:kern w:val="0"/>
          <w:sz w:val="24"/>
          <w:szCs w:val="24"/>
        </w:rPr>
        <w:t>16</w:t>
      </w:r>
      <w:r>
        <w:rPr>
          <w:rFonts w:hint="eastAsia" w:ascii="宋体" w:hAnsi="宋体"/>
          <w:b/>
          <w:kern w:val="0"/>
          <w:sz w:val="24"/>
        </w:rPr>
        <w:t>、合同生效</w:t>
      </w:r>
      <w:bookmarkEnd w:id="129"/>
      <w:bookmarkEnd w:id="130"/>
      <w:bookmarkEnd w:id="131"/>
      <w:bookmarkEnd w:id="132"/>
      <w:bookmarkEnd w:id="133"/>
      <w:bookmarkEnd w:id="134"/>
      <w:bookmarkEnd w:id="135"/>
    </w:p>
    <w:p w14:paraId="1639B58A">
      <w:pPr>
        <w:pStyle w:val="20"/>
        <w:spacing w:after="0" w:line="360" w:lineRule="auto"/>
        <w:ind w:left="0" w:leftChars="0" w:firstLine="480" w:firstLineChars="200"/>
        <w:rPr>
          <w:rFonts w:ascii="宋体" w:hAnsi="宋体"/>
          <w:sz w:val="24"/>
        </w:rPr>
      </w:pPr>
      <w:r>
        <w:rPr>
          <w:rFonts w:hint="eastAsia" w:ascii="宋体" w:hAnsi="宋体"/>
          <w:sz w:val="24"/>
        </w:rPr>
        <w:t>本合同自发包人、承包人各方法定代表人或其授权的委托代理人签字盖章之日起生效。合同附件为本合同有效组成部分，与本合同具有同等法律效力。本合同有效期至本工程质量保修期满且竣工结算满60日及各方的责任、义务履行完毕时终止。</w:t>
      </w:r>
    </w:p>
    <w:p w14:paraId="30809214">
      <w:pPr>
        <w:spacing w:line="360" w:lineRule="auto"/>
        <w:ind w:firstLine="482" w:firstLineChars="200"/>
        <w:jc w:val="left"/>
        <w:outlineLvl w:val="0"/>
        <w:rPr>
          <w:rFonts w:ascii="宋体" w:hAnsi="宋体"/>
          <w:b/>
          <w:kern w:val="0"/>
          <w:sz w:val="24"/>
        </w:rPr>
      </w:pPr>
      <w:bookmarkStart w:id="136" w:name="_Toc144746860"/>
      <w:bookmarkStart w:id="137" w:name="_Toc104901750"/>
      <w:bookmarkStart w:id="138" w:name="_Toc144745942"/>
      <w:bookmarkStart w:id="139" w:name="_Toc6543"/>
      <w:bookmarkStart w:id="140" w:name="_Toc15175_WPSOffice_Level2"/>
      <w:bookmarkStart w:id="141" w:name="_Toc11673"/>
      <w:bookmarkStart w:id="142" w:name="_Toc22973"/>
      <w:r>
        <w:rPr>
          <w:rFonts w:hint="eastAsia" w:ascii="宋体" w:hAnsi="宋体" w:cs="宋体"/>
          <w:b/>
          <w:bCs/>
          <w:snapToGrid w:val="0"/>
          <w:kern w:val="0"/>
          <w:sz w:val="24"/>
          <w:szCs w:val="24"/>
        </w:rPr>
        <w:t>17</w:t>
      </w:r>
      <w:r>
        <w:rPr>
          <w:rFonts w:hint="eastAsia" w:ascii="宋体" w:hAnsi="宋体"/>
          <w:b/>
          <w:kern w:val="0"/>
          <w:sz w:val="24"/>
        </w:rPr>
        <w:t>、合同份数</w:t>
      </w:r>
      <w:bookmarkEnd w:id="136"/>
      <w:bookmarkEnd w:id="137"/>
      <w:bookmarkEnd w:id="138"/>
      <w:bookmarkEnd w:id="139"/>
      <w:bookmarkEnd w:id="140"/>
      <w:bookmarkEnd w:id="141"/>
      <w:bookmarkEnd w:id="142"/>
    </w:p>
    <w:p w14:paraId="317D9C9C">
      <w:pPr>
        <w:spacing w:line="360" w:lineRule="auto"/>
        <w:ind w:firstLine="480" w:firstLineChars="200"/>
        <w:rPr>
          <w:rFonts w:ascii="宋体" w:hAnsi="宋体"/>
          <w:kern w:val="0"/>
          <w:sz w:val="24"/>
        </w:rPr>
      </w:pPr>
      <w:r>
        <w:rPr>
          <w:rFonts w:hint="eastAsia" w:ascii="宋体" w:hAnsi="宋体"/>
          <w:kern w:val="0"/>
          <w:sz w:val="24"/>
        </w:rPr>
        <w:t>本合同正本一式</w:t>
      </w:r>
      <w:r>
        <w:rPr>
          <w:rFonts w:hint="eastAsia" w:ascii="宋体" w:hAnsi="宋体"/>
          <w:kern w:val="0"/>
          <w:sz w:val="24"/>
          <w:u w:val="single"/>
        </w:rPr>
        <w:t xml:space="preserve">  </w:t>
      </w:r>
      <w:r>
        <w:rPr>
          <w:rFonts w:hint="eastAsia" w:ascii="宋体" w:hAnsi="宋体" w:cs="宋体"/>
          <w:bCs/>
          <w:snapToGrid w:val="0"/>
          <w:kern w:val="0"/>
          <w:sz w:val="24"/>
          <w:u w:val="single"/>
        </w:rPr>
        <w:t xml:space="preserve">3 </w:t>
      </w:r>
      <w:r>
        <w:rPr>
          <w:rFonts w:hint="eastAsia" w:ascii="宋体" w:hAnsi="宋体" w:cs="宋体"/>
          <w:bCs/>
          <w:snapToGrid w:val="0"/>
          <w:kern w:val="0"/>
          <w:sz w:val="24"/>
        </w:rPr>
        <w:t>份，各执</w:t>
      </w:r>
      <w:r>
        <w:rPr>
          <w:rFonts w:hint="eastAsia" w:ascii="宋体" w:hAnsi="宋体" w:cs="宋体"/>
          <w:bCs/>
          <w:snapToGrid w:val="0"/>
          <w:kern w:val="0"/>
          <w:sz w:val="24"/>
          <w:u w:val="single"/>
        </w:rPr>
        <w:t xml:space="preserve">  1  </w:t>
      </w:r>
      <w:r>
        <w:rPr>
          <w:rFonts w:hint="eastAsia" w:ascii="宋体" w:hAnsi="宋体" w:cs="宋体"/>
          <w:bCs/>
          <w:snapToGrid w:val="0"/>
          <w:kern w:val="0"/>
          <w:sz w:val="24"/>
        </w:rPr>
        <w:t>份；副本</w:t>
      </w:r>
      <w:r>
        <w:rPr>
          <w:rFonts w:hint="eastAsia" w:ascii="宋体" w:hAnsi="宋体" w:cs="宋体"/>
          <w:bCs/>
          <w:snapToGrid w:val="0"/>
          <w:kern w:val="0"/>
          <w:sz w:val="24"/>
          <w:u w:val="single"/>
        </w:rPr>
        <w:t xml:space="preserve">  6</w:t>
      </w:r>
      <w:r>
        <w:rPr>
          <w:rFonts w:hint="eastAsia" w:ascii="宋体" w:hAnsi="宋体"/>
          <w:kern w:val="0"/>
          <w:sz w:val="24"/>
          <w:u w:val="single"/>
        </w:rPr>
        <w:t xml:space="preserve">  </w:t>
      </w:r>
      <w:r>
        <w:rPr>
          <w:rFonts w:hint="eastAsia" w:ascii="宋体" w:hAnsi="宋体"/>
          <w:kern w:val="0"/>
          <w:sz w:val="24"/>
        </w:rPr>
        <w:t>份，发包人执</w:t>
      </w:r>
      <w:r>
        <w:rPr>
          <w:rFonts w:hint="eastAsia" w:ascii="宋体" w:hAnsi="宋体"/>
          <w:kern w:val="0"/>
          <w:sz w:val="24"/>
          <w:u w:val="single"/>
        </w:rPr>
        <w:t xml:space="preserve"> </w:t>
      </w:r>
      <w:r>
        <w:rPr>
          <w:rFonts w:hint="eastAsia" w:ascii="宋体" w:hAnsi="宋体" w:cs="宋体"/>
          <w:bCs/>
          <w:snapToGrid w:val="0"/>
          <w:kern w:val="0"/>
          <w:sz w:val="24"/>
          <w:u w:val="single"/>
        </w:rPr>
        <w:t>4</w:t>
      </w:r>
      <w:r>
        <w:rPr>
          <w:rFonts w:hint="eastAsia" w:ascii="宋体" w:hAnsi="宋体"/>
          <w:kern w:val="0"/>
          <w:sz w:val="24"/>
          <w:u w:val="single"/>
        </w:rPr>
        <w:t xml:space="preserve"> </w:t>
      </w:r>
      <w:r>
        <w:rPr>
          <w:rFonts w:hint="eastAsia" w:ascii="宋体" w:hAnsi="宋体"/>
          <w:kern w:val="0"/>
          <w:sz w:val="24"/>
        </w:rPr>
        <w:t>份</w:t>
      </w:r>
      <w:r>
        <w:rPr>
          <w:rFonts w:hint="eastAsia" w:ascii="宋体" w:hAnsi="宋体" w:cs="宋体"/>
          <w:bCs/>
          <w:snapToGrid w:val="0"/>
          <w:kern w:val="0"/>
          <w:sz w:val="24"/>
        </w:rPr>
        <w:t>，</w:t>
      </w:r>
      <w:r>
        <w:rPr>
          <w:rFonts w:hint="eastAsia" w:ascii="宋体" w:hAnsi="宋体"/>
          <w:kern w:val="0"/>
          <w:sz w:val="24"/>
        </w:rPr>
        <w:t>承包人执</w:t>
      </w:r>
      <w:r>
        <w:rPr>
          <w:rFonts w:hint="eastAsia" w:ascii="宋体" w:hAnsi="宋体"/>
          <w:kern w:val="0"/>
          <w:sz w:val="24"/>
          <w:u w:val="single"/>
        </w:rPr>
        <w:t xml:space="preserve"> </w:t>
      </w:r>
      <w:r>
        <w:rPr>
          <w:rFonts w:hint="eastAsia" w:ascii="宋体" w:hAnsi="宋体" w:cs="宋体"/>
          <w:bCs/>
          <w:snapToGrid w:val="0"/>
          <w:kern w:val="0"/>
          <w:sz w:val="24"/>
          <w:u w:val="single"/>
        </w:rPr>
        <w:t>2</w:t>
      </w:r>
      <w:r>
        <w:rPr>
          <w:rFonts w:hint="eastAsia" w:ascii="宋体" w:hAnsi="宋体"/>
          <w:kern w:val="0"/>
          <w:sz w:val="24"/>
          <w:u w:val="single"/>
        </w:rPr>
        <w:t xml:space="preserve">  </w:t>
      </w:r>
      <w:r>
        <w:rPr>
          <w:rFonts w:hint="eastAsia" w:ascii="宋体" w:hAnsi="宋体"/>
          <w:kern w:val="0"/>
          <w:sz w:val="24"/>
        </w:rPr>
        <w:t>份。合同正、副本具有同等效力，但当合同正本与副本的表述不一致时，以合同正本为准。</w:t>
      </w:r>
    </w:p>
    <w:p w14:paraId="46853563">
      <w:pPr>
        <w:spacing w:line="360" w:lineRule="auto"/>
        <w:ind w:firstLine="200"/>
        <w:rPr>
          <w:rFonts w:ascii="宋体" w:hAnsi="宋体"/>
          <w:kern w:val="0"/>
          <w:sz w:val="24"/>
        </w:rPr>
      </w:pPr>
      <w:r>
        <w:rPr>
          <w:rFonts w:hint="eastAsia" w:ascii="宋体" w:hAnsi="宋体"/>
          <w:kern w:val="0"/>
          <w:sz w:val="24"/>
        </w:rPr>
        <w:t>（以下无正文）</w:t>
      </w:r>
    </w:p>
    <w:p w14:paraId="07FDE281">
      <w:pPr>
        <w:pStyle w:val="45"/>
        <w:rPr>
          <w:rFonts w:ascii="宋体" w:hAnsi="宋体"/>
          <w:kern w:val="0"/>
          <w:sz w:val="24"/>
        </w:rPr>
      </w:pPr>
    </w:p>
    <w:p w14:paraId="04519D54">
      <w:pPr>
        <w:adjustRightInd w:val="0"/>
        <w:snapToGrid w:val="0"/>
        <w:spacing w:line="400" w:lineRule="exact"/>
        <w:ind w:right="11"/>
        <w:rPr>
          <w:rFonts w:hint="eastAsia" w:ascii="宋体" w:hAnsi="宋体"/>
          <w:kern w:val="0"/>
          <w:sz w:val="24"/>
        </w:rPr>
      </w:pPr>
      <w:r>
        <w:rPr>
          <w:rFonts w:hint="eastAsia" w:ascii="宋体" w:hAnsi="宋体"/>
          <w:kern w:val="0"/>
          <w:sz w:val="24"/>
        </w:rPr>
        <w:t>发包人：广州</w:t>
      </w:r>
      <w:r>
        <w:rPr>
          <w:rFonts w:hint="eastAsia" w:ascii="宋体" w:hAnsi="宋体"/>
          <w:kern w:val="0"/>
          <w:sz w:val="24"/>
          <w:lang w:val="en-US" w:eastAsia="zh-CN"/>
        </w:rPr>
        <w:t>尚龙</w:t>
      </w:r>
      <w:r>
        <w:rPr>
          <w:rFonts w:hint="eastAsia" w:ascii="宋体" w:hAnsi="宋体"/>
          <w:kern w:val="0"/>
          <w:sz w:val="24"/>
        </w:rPr>
        <w:t>置业有限公司           承包人：（主）</w:t>
      </w:r>
    </w:p>
    <w:p w14:paraId="3F67E834">
      <w:pPr>
        <w:adjustRightInd w:val="0"/>
        <w:snapToGrid w:val="0"/>
        <w:spacing w:line="400" w:lineRule="exact"/>
        <w:ind w:right="11"/>
        <w:rPr>
          <w:rFonts w:ascii="宋体" w:hAnsi="宋体"/>
          <w:kern w:val="0"/>
          <w:sz w:val="24"/>
        </w:rPr>
      </w:pPr>
      <w:r>
        <w:rPr>
          <w:rFonts w:hint="eastAsia" w:ascii="宋体" w:hAnsi="宋体"/>
          <w:kern w:val="0"/>
          <w:sz w:val="24"/>
        </w:rPr>
        <w:t xml:space="preserve">（盖章）                </w:t>
      </w:r>
      <w:r>
        <w:rPr>
          <w:rFonts w:hint="eastAsia" w:ascii="宋体" w:hAnsi="宋体" w:cs="宋体"/>
          <w:snapToGrid w:val="0"/>
          <w:kern w:val="0"/>
          <w:sz w:val="24"/>
        </w:rPr>
        <w:t xml:space="preserve">                </w:t>
      </w:r>
      <w:r>
        <w:rPr>
          <w:rFonts w:hint="eastAsia" w:ascii="宋体" w:hAnsi="宋体"/>
          <w:kern w:val="0"/>
          <w:sz w:val="24"/>
        </w:rPr>
        <w:t>（盖章）</w:t>
      </w:r>
    </w:p>
    <w:p w14:paraId="1C0EF921">
      <w:pPr>
        <w:adjustRightInd w:val="0"/>
        <w:snapToGrid w:val="0"/>
        <w:spacing w:line="400" w:lineRule="exact"/>
        <w:ind w:right="11"/>
        <w:rPr>
          <w:rFonts w:ascii="宋体" w:hAnsi="宋体"/>
          <w:kern w:val="0"/>
          <w:sz w:val="24"/>
        </w:rPr>
      </w:pPr>
      <w:r>
        <w:rPr>
          <w:rFonts w:hint="eastAsia" w:ascii="宋体" w:hAnsi="宋体"/>
          <w:kern w:val="0"/>
          <w:sz w:val="24"/>
        </w:rPr>
        <w:t>法定代表人：                           法定代表人：</w:t>
      </w:r>
    </w:p>
    <w:p w14:paraId="3C1E4CD2">
      <w:pPr>
        <w:adjustRightInd w:val="0"/>
        <w:snapToGrid w:val="0"/>
        <w:spacing w:line="400" w:lineRule="exact"/>
        <w:ind w:right="11"/>
        <w:rPr>
          <w:rFonts w:ascii="宋体" w:hAnsi="宋体"/>
          <w:kern w:val="0"/>
          <w:sz w:val="24"/>
        </w:rPr>
      </w:pPr>
      <w:r>
        <w:rPr>
          <w:rFonts w:hint="eastAsia" w:ascii="宋体" w:hAnsi="宋体"/>
          <w:kern w:val="0"/>
          <w:sz w:val="24"/>
        </w:rPr>
        <w:t>或委托代理人：                         或委托代理人：</w:t>
      </w:r>
    </w:p>
    <w:p w14:paraId="32AD0863">
      <w:pPr>
        <w:adjustRightInd w:val="0"/>
        <w:snapToGrid w:val="0"/>
        <w:spacing w:line="400" w:lineRule="exact"/>
        <w:ind w:left="5040" w:right="11" w:hanging="5040" w:hangingChars="2100"/>
        <w:rPr>
          <w:rFonts w:ascii="宋体" w:hAnsi="宋体"/>
          <w:kern w:val="0"/>
          <w:sz w:val="24"/>
        </w:rPr>
      </w:pPr>
      <w:r>
        <w:rPr>
          <w:rFonts w:hint="eastAsia" w:ascii="宋体" w:hAnsi="宋体"/>
          <w:kern w:val="0"/>
          <w:sz w:val="24"/>
        </w:rPr>
        <w:t>地址：</w:t>
      </w:r>
      <w:r>
        <w:rPr>
          <w:rFonts w:hint="eastAsia" w:ascii="宋体" w:hAnsi="宋体" w:cs="宋体"/>
          <w:snapToGrid w:val="0"/>
          <w:kern w:val="0"/>
          <w:sz w:val="24"/>
        </w:rPr>
        <w:t xml:space="preserve">                       </w:t>
      </w:r>
      <w:r>
        <w:rPr>
          <w:rFonts w:hint="eastAsia" w:ascii="宋体" w:hAnsi="宋体"/>
          <w:kern w:val="0"/>
          <w:sz w:val="24"/>
        </w:rPr>
        <w:t xml:space="preserve">          地址：</w:t>
      </w:r>
    </w:p>
    <w:p w14:paraId="35735921">
      <w:pPr>
        <w:spacing w:line="360" w:lineRule="auto"/>
        <w:rPr>
          <w:rFonts w:hint="eastAsia" w:ascii="宋体" w:hAnsi="宋体" w:eastAsia="宋体" w:cs="宋体"/>
          <w:snapToGrid w:val="0"/>
          <w:kern w:val="0"/>
          <w:sz w:val="24"/>
          <w:lang w:eastAsia="zh-CN"/>
        </w:rPr>
      </w:pPr>
      <w:r>
        <w:rPr>
          <w:rFonts w:hint="eastAsia" w:ascii="宋体" w:hAnsi="宋体"/>
          <w:kern w:val="0"/>
          <w:sz w:val="24"/>
        </w:rPr>
        <w:t>邮政编码：                             邮政编码：</w:t>
      </w:r>
      <w:r>
        <w:rPr>
          <w:rFonts w:hint="eastAsia" w:ascii="宋体" w:hAnsi="宋体"/>
          <w:kern w:val="0"/>
          <w:sz w:val="24"/>
          <w:lang w:val="en-US" w:eastAsia="zh-CN"/>
        </w:rPr>
        <w:t xml:space="preserve"> </w:t>
      </w:r>
    </w:p>
    <w:p w14:paraId="5F41A7DC">
      <w:pPr>
        <w:spacing w:line="360" w:lineRule="auto"/>
        <w:rPr>
          <w:rFonts w:hint="eastAsia" w:ascii="宋体" w:hAnsi="宋体" w:eastAsia="宋体"/>
          <w:kern w:val="0"/>
          <w:sz w:val="24"/>
          <w:lang w:eastAsia="zh-CN"/>
        </w:rPr>
      </w:pPr>
      <w:r>
        <w:rPr>
          <w:rFonts w:hint="eastAsia" w:ascii="宋体" w:hAnsi="宋体"/>
          <w:kern w:val="0"/>
          <w:sz w:val="24"/>
        </w:rPr>
        <w:t>电话：                                 电话：</w:t>
      </w:r>
      <w:r>
        <w:rPr>
          <w:rFonts w:hint="eastAsia" w:hAnsi="宋体" w:cs="宋体"/>
          <w:u w:val="single"/>
        </w:rPr>
        <w:t xml:space="preserve"> </w:t>
      </w:r>
      <w:r>
        <w:rPr>
          <w:rFonts w:hint="eastAsia" w:ascii="宋体" w:hAnsi="宋体" w:cs="宋体"/>
          <w:sz w:val="24"/>
          <w:szCs w:val="24"/>
          <w:lang w:val="en-US" w:eastAsia="zh-CN"/>
        </w:rPr>
        <w:t xml:space="preserve"> </w:t>
      </w:r>
    </w:p>
    <w:p w14:paraId="45936CB8">
      <w:pPr>
        <w:tabs>
          <w:tab w:val="left" w:pos="5460"/>
        </w:tabs>
        <w:adjustRightInd w:val="0"/>
        <w:snapToGrid w:val="0"/>
        <w:spacing w:line="440" w:lineRule="exact"/>
        <w:ind w:right="11"/>
        <w:jc w:val="left"/>
        <w:rPr>
          <w:rFonts w:ascii="宋体" w:hAnsi="宋体" w:cs="宋体"/>
          <w:snapToGrid w:val="0"/>
          <w:kern w:val="0"/>
          <w:sz w:val="24"/>
        </w:rPr>
      </w:pPr>
    </w:p>
    <w:p w14:paraId="602B07C5">
      <w:pPr>
        <w:tabs>
          <w:tab w:val="left" w:pos="5460"/>
        </w:tabs>
        <w:adjustRightInd w:val="0"/>
        <w:snapToGrid w:val="0"/>
        <w:spacing w:line="440" w:lineRule="exact"/>
        <w:ind w:right="11"/>
        <w:jc w:val="left"/>
        <w:rPr>
          <w:rFonts w:ascii="宋体" w:hAnsi="宋体" w:cs="宋体"/>
          <w:snapToGrid w:val="0"/>
          <w:kern w:val="0"/>
          <w:sz w:val="24"/>
        </w:rPr>
      </w:pPr>
      <w:r>
        <w:rPr>
          <w:rFonts w:hint="eastAsia" w:ascii="宋体" w:hAnsi="宋体" w:cs="宋体"/>
          <w:snapToGrid w:val="0"/>
          <w:kern w:val="0"/>
          <w:sz w:val="24"/>
          <w:szCs w:val="24"/>
        </w:rPr>
        <w:t>承包人：</w:t>
      </w:r>
      <w:r>
        <w:rPr>
          <w:rFonts w:hint="eastAsia" w:ascii="宋体" w:hAnsi="宋体" w:cs="宋体"/>
          <w:snapToGrid w:val="0"/>
          <w:kern w:val="0"/>
          <w:sz w:val="24"/>
          <w:lang w:val="en-US" w:eastAsia="zh-CN"/>
        </w:rPr>
        <w:t xml:space="preserve"> </w:t>
      </w:r>
      <w:r>
        <w:rPr>
          <w:rFonts w:hint="eastAsia" w:ascii="宋体" w:hAnsi="宋体" w:cs="宋体"/>
          <w:b/>
          <w:snapToGrid w:val="0"/>
          <w:spacing w:val="-16"/>
          <w:kern w:val="0"/>
          <w:sz w:val="24"/>
          <w:szCs w:val="24"/>
        </w:rPr>
        <w:t xml:space="preserve">   </w:t>
      </w:r>
      <w:r>
        <w:rPr>
          <w:rFonts w:hint="eastAsia" w:ascii="宋体" w:hAnsi="宋体" w:cs="宋体"/>
          <w:snapToGrid w:val="0"/>
          <w:kern w:val="0"/>
          <w:sz w:val="24"/>
        </w:rPr>
        <w:t xml:space="preserve">（盖章）                          </w:t>
      </w:r>
    </w:p>
    <w:p w14:paraId="357F5487">
      <w:pPr>
        <w:tabs>
          <w:tab w:val="center" w:pos="4535"/>
        </w:tabs>
        <w:adjustRightInd w:val="0"/>
        <w:snapToGrid w:val="0"/>
        <w:spacing w:line="440" w:lineRule="exact"/>
        <w:ind w:right="11"/>
        <w:jc w:val="left"/>
        <w:rPr>
          <w:rFonts w:ascii="宋体" w:hAnsi="宋体" w:cs="宋体"/>
          <w:snapToGrid w:val="0"/>
          <w:kern w:val="0"/>
          <w:sz w:val="24"/>
        </w:rPr>
      </w:pPr>
      <w:r>
        <w:rPr>
          <w:rFonts w:hint="eastAsia" w:ascii="宋体" w:hAnsi="宋体" w:cs="宋体"/>
          <w:snapToGrid w:val="0"/>
          <w:kern w:val="0"/>
          <w:sz w:val="24"/>
        </w:rPr>
        <w:t>法定代表人：</w:t>
      </w:r>
      <w:r>
        <w:rPr>
          <w:rFonts w:hint="eastAsia" w:ascii="宋体" w:hAnsi="宋体" w:cs="宋体"/>
          <w:snapToGrid w:val="0"/>
          <w:kern w:val="0"/>
          <w:sz w:val="24"/>
        </w:rPr>
        <w:tab/>
      </w:r>
      <w:r>
        <w:rPr>
          <w:rFonts w:hint="eastAsia" w:ascii="宋体" w:hAnsi="宋体" w:cs="宋体"/>
          <w:snapToGrid w:val="0"/>
          <w:kern w:val="0"/>
          <w:sz w:val="24"/>
        </w:rPr>
        <w:t xml:space="preserve">         </w:t>
      </w:r>
    </w:p>
    <w:p w14:paraId="43988FE4">
      <w:pPr>
        <w:tabs>
          <w:tab w:val="left" w:pos="5460"/>
        </w:tabs>
        <w:adjustRightInd w:val="0"/>
        <w:snapToGrid w:val="0"/>
        <w:spacing w:line="440" w:lineRule="exact"/>
        <w:ind w:right="11"/>
        <w:jc w:val="left"/>
        <w:rPr>
          <w:rFonts w:ascii="宋体" w:hAnsi="宋体" w:cs="宋体"/>
          <w:snapToGrid w:val="0"/>
          <w:kern w:val="0"/>
          <w:sz w:val="24"/>
        </w:rPr>
      </w:pPr>
      <w:r>
        <w:rPr>
          <w:rFonts w:hint="eastAsia" w:ascii="宋体" w:hAnsi="宋体" w:cs="宋体"/>
          <w:snapToGrid w:val="0"/>
          <w:kern w:val="0"/>
          <w:sz w:val="24"/>
        </w:rPr>
        <w:t xml:space="preserve">或委托代理人：                       </w:t>
      </w:r>
    </w:p>
    <w:p w14:paraId="66288608">
      <w:pPr>
        <w:tabs>
          <w:tab w:val="center" w:pos="4535"/>
        </w:tabs>
        <w:adjustRightInd w:val="0"/>
        <w:snapToGrid w:val="0"/>
        <w:spacing w:line="440" w:lineRule="exact"/>
        <w:ind w:right="11"/>
        <w:jc w:val="left"/>
        <w:rPr>
          <w:rFonts w:ascii="宋体" w:hAnsi="宋体"/>
          <w:kern w:val="0"/>
          <w:sz w:val="24"/>
        </w:rPr>
      </w:pPr>
      <w:r>
        <w:rPr>
          <w:rFonts w:hint="eastAsia" w:ascii="宋体" w:hAnsi="宋体"/>
          <w:kern w:val="0"/>
          <w:sz w:val="24"/>
        </w:rPr>
        <w:t xml:space="preserve">地址： </w:t>
      </w:r>
      <w:r>
        <w:rPr>
          <w:rFonts w:hint="eastAsia" w:ascii="宋体" w:hAnsi="宋体"/>
          <w:kern w:val="0"/>
          <w:sz w:val="24"/>
          <w:lang w:val="en-US" w:eastAsia="zh-CN"/>
        </w:rPr>
        <w:t xml:space="preserve"> </w:t>
      </w:r>
      <w:r>
        <w:rPr>
          <w:rFonts w:hint="eastAsia" w:ascii="宋体" w:hAnsi="宋体" w:cs="宋体"/>
          <w:snapToGrid w:val="0"/>
          <w:kern w:val="0"/>
          <w:sz w:val="24"/>
          <w:szCs w:val="24"/>
        </w:rPr>
        <w:t xml:space="preserve">                 </w:t>
      </w:r>
      <w:r>
        <w:rPr>
          <w:rFonts w:hint="eastAsia" w:ascii="宋体" w:hAnsi="宋体"/>
          <w:kern w:val="0"/>
          <w:sz w:val="24"/>
        </w:rPr>
        <w:t xml:space="preserve">        </w:t>
      </w:r>
    </w:p>
    <w:p w14:paraId="5FC39725">
      <w:pPr>
        <w:tabs>
          <w:tab w:val="center" w:pos="4535"/>
        </w:tabs>
        <w:adjustRightInd w:val="0"/>
        <w:snapToGrid w:val="0"/>
        <w:spacing w:line="440" w:lineRule="exact"/>
        <w:ind w:right="11"/>
        <w:jc w:val="left"/>
        <w:rPr>
          <w:rFonts w:ascii="宋体" w:hAnsi="宋体" w:cs="宋体"/>
          <w:snapToGrid w:val="0"/>
          <w:kern w:val="0"/>
          <w:sz w:val="24"/>
        </w:rPr>
      </w:pPr>
      <w:r>
        <w:rPr>
          <w:rFonts w:hint="eastAsia" w:ascii="宋体" w:hAnsi="宋体"/>
          <w:kern w:val="0"/>
          <w:sz w:val="24"/>
        </w:rPr>
        <w:t>邮政编码：</w:t>
      </w:r>
      <w:r>
        <w:rPr>
          <w:rFonts w:hint="eastAsia" w:ascii="宋体" w:hAnsi="宋体"/>
          <w:kern w:val="0"/>
          <w:sz w:val="24"/>
          <w:lang w:val="en-US" w:eastAsia="zh-CN"/>
        </w:rPr>
        <w:t xml:space="preserve"> </w:t>
      </w:r>
      <w:r>
        <w:rPr>
          <w:rFonts w:hint="eastAsia" w:ascii="宋体" w:hAnsi="宋体"/>
          <w:kern w:val="0"/>
          <w:sz w:val="24"/>
        </w:rPr>
        <w:tab/>
      </w:r>
      <w:r>
        <w:rPr>
          <w:rFonts w:hint="eastAsia" w:ascii="宋体" w:hAnsi="宋体" w:cs="宋体"/>
          <w:snapToGrid w:val="0"/>
          <w:kern w:val="0"/>
          <w:sz w:val="24"/>
          <w:szCs w:val="24"/>
        </w:rPr>
        <w:t xml:space="preserve">       </w:t>
      </w:r>
    </w:p>
    <w:p w14:paraId="20A698CE">
      <w:pPr>
        <w:tabs>
          <w:tab w:val="center" w:pos="4535"/>
        </w:tabs>
        <w:adjustRightInd w:val="0"/>
        <w:snapToGrid w:val="0"/>
        <w:spacing w:line="440" w:lineRule="exact"/>
        <w:ind w:right="11"/>
        <w:jc w:val="left"/>
        <w:rPr>
          <w:rFonts w:ascii="宋体" w:hAnsi="宋体" w:cs="宋体"/>
          <w:snapToGrid w:val="0"/>
          <w:kern w:val="0"/>
          <w:sz w:val="24"/>
        </w:rPr>
      </w:pPr>
      <w:r>
        <w:rPr>
          <w:rFonts w:hint="eastAsia" w:ascii="宋体" w:hAnsi="宋体" w:cs="宋体"/>
          <w:snapToGrid w:val="0"/>
          <w:kern w:val="0"/>
          <w:sz w:val="24"/>
        </w:rPr>
        <w:t>电话：</w:t>
      </w:r>
      <w:r>
        <w:rPr>
          <w:rFonts w:hint="eastAsia" w:ascii="宋体" w:hAnsi="宋体" w:cs="宋体"/>
          <w:snapToGrid w:val="0"/>
          <w:kern w:val="0"/>
          <w:sz w:val="24"/>
          <w:lang w:val="en-US" w:eastAsia="zh-CN"/>
        </w:rPr>
        <w:t xml:space="preserve"> </w:t>
      </w:r>
      <w:r>
        <w:rPr>
          <w:rFonts w:hint="eastAsia" w:ascii="宋体" w:hAnsi="宋体" w:cs="宋体"/>
          <w:snapToGrid w:val="0"/>
          <w:kern w:val="0"/>
          <w:sz w:val="24"/>
        </w:rPr>
        <w:t xml:space="preserve">                       </w:t>
      </w:r>
    </w:p>
    <w:p w14:paraId="058A9BBD">
      <w:pPr>
        <w:spacing w:line="360" w:lineRule="auto"/>
        <w:jc w:val="center"/>
        <w:rPr>
          <w:rFonts w:ascii="宋体" w:hAnsi="宋体"/>
          <w:b/>
          <w:kern w:val="0"/>
          <w:sz w:val="44"/>
        </w:rPr>
      </w:pPr>
      <w:r>
        <w:rPr>
          <w:rFonts w:hint="eastAsia" w:ascii="宋体" w:hAnsi="宋体" w:cs="宋体"/>
          <w:snapToGrid w:val="0"/>
          <w:kern w:val="0"/>
          <w:sz w:val="24"/>
        </w:rPr>
        <w:t xml:space="preserve">    </w:t>
      </w:r>
      <w:bookmarkStart w:id="143" w:name="_Toc7326_WPSOffice_Level1"/>
      <w:r>
        <w:rPr>
          <w:rFonts w:hint="eastAsia" w:ascii="宋体" w:hAnsi="宋体"/>
        </w:rPr>
        <w:br w:type="page"/>
      </w:r>
      <w:bookmarkStart w:id="144" w:name="_Toc27997"/>
      <w:bookmarkStart w:id="145" w:name="_Toc518402568"/>
      <w:bookmarkStart w:id="146" w:name="_Toc115711031"/>
      <w:bookmarkStart w:id="147" w:name="_Toc504465874"/>
      <w:bookmarkStart w:id="148" w:name="_Toc104901751"/>
      <w:bookmarkStart w:id="149" w:name="_Toc502215471"/>
      <w:bookmarkStart w:id="150" w:name="_Toc122759216"/>
      <w:bookmarkStart w:id="151" w:name="_Toc144746861"/>
      <w:bookmarkStart w:id="152" w:name="_Toc144745943"/>
      <w:bookmarkStart w:id="153" w:name="_Toc11954"/>
      <w:bookmarkStart w:id="154" w:name="_Toc9628"/>
      <w:r>
        <w:rPr>
          <w:rFonts w:hint="eastAsia" w:ascii="宋体" w:hAnsi="宋体"/>
          <w:b/>
          <w:kern w:val="0"/>
          <w:sz w:val="44"/>
        </w:rPr>
        <w:t>第二篇  合同条款</w:t>
      </w:r>
      <w:bookmarkEnd w:id="143"/>
      <w:bookmarkEnd w:id="144"/>
      <w:bookmarkEnd w:id="145"/>
      <w:bookmarkEnd w:id="146"/>
      <w:bookmarkEnd w:id="147"/>
      <w:bookmarkEnd w:id="148"/>
      <w:bookmarkEnd w:id="149"/>
      <w:bookmarkEnd w:id="150"/>
      <w:bookmarkEnd w:id="151"/>
      <w:bookmarkEnd w:id="152"/>
      <w:bookmarkEnd w:id="153"/>
      <w:bookmarkEnd w:id="154"/>
    </w:p>
    <w:p w14:paraId="30BADEF3">
      <w:pPr>
        <w:adjustRightInd w:val="0"/>
        <w:snapToGrid w:val="0"/>
        <w:spacing w:line="360" w:lineRule="auto"/>
        <w:jc w:val="center"/>
        <w:outlineLvl w:val="1"/>
        <w:rPr>
          <w:rFonts w:ascii="宋体" w:hAnsi="宋体"/>
          <w:b/>
          <w:kern w:val="0"/>
          <w:sz w:val="28"/>
        </w:rPr>
      </w:pPr>
      <w:bookmarkStart w:id="155" w:name="_Toc11013_WPSOffice_Level2"/>
      <w:bookmarkStart w:id="156" w:name="_Toc504465875"/>
      <w:bookmarkStart w:id="157" w:name="_Toc502215472"/>
      <w:bookmarkStart w:id="158" w:name="_Toc104901752"/>
      <w:bookmarkStart w:id="159" w:name="_Toc518402569"/>
      <w:r>
        <w:rPr>
          <w:rFonts w:hint="eastAsia" w:ascii="宋体" w:hAnsi="宋体"/>
          <w:b/>
          <w:kern w:val="0"/>
          <w:sz w:val="28"/>
        </w:rPr>
        <w:t>总  则</w:t>
      </w:r>
      <w:bookmarkEnd w:id="155"/>
      <w:bookmarkEnd w:id="156"/>
      <w:bookmarkEnd w:id="157"/>
      <w:bookmarkEnd w:id="158"/>
      <w:bookmarkEnd w:id="159"/>
    </w:p>
    <w:p w14:paraId="0E236CEA">
      <w:pPr>
        <w:spacing w:line="360" w:lineRule="auto"/>
        <w:ind w:firstLine="480" w:firstLineChars="200"/>
        <w:rPr>
          <w:rFonts w:ascii="宋体" w:hAnsi="宋体"/>
          <w:sz w:val="24"/>
        </w:rPr>
      </w:pPr>
      <w:r>
        <w:rPr>
          <w:rFonts w:hint="eastAsia" w:ascii="宋体" w:hAnsi="宋体"/>
          <w:sz w:val="24"/>
        </w:rPr>
        <w:t>1、根据建设项目管理规范和本工程项目管理实际，本工程将实行社会化、专业化的管理模式。发包人将授权监理单位依据有关法律法规、规范和合同，充分行使其严格控制工程进度、质量、安全、投资以及合同、信息管理和协调处理现场有关工程问题的权力。</w:t>
      </w:r>
    </w:p>
    <w:p w14:paraId="6D2397FA">
      <w:pPr>
        <w:spacing w:line="360" w:lineRule="auto"/>
        <w:ind w:firstLine="480" w:firstLineChars="200"/>
        <w:rPr>
          <w:rFonts w:ascii="宋体" w:hAnsi="宋体"/>
          <w:sz w:val="24"/>
        </w:rPr>
      </w:pPr>
      <w:r>
        <w:rPr>
          <w:rFonts w:hint="eastAsia" w:ascii="宋体" w:hAnsi="宋体"/>
          <w:sz w:val="24"/>
        </w:rPr>
        <w:t>2、发包人通过监理单位下达指令，监督承包人履约行为，承包人所有请求事项由监理单位协调并由监理单位接受或提出处理意见（发包人有特别要求和规定的除外）。</w:t>
      </w:r>
    </w:p>
    <w:p w14:paraId="2464731E">
      <w:pPr>
        <w:spacing w:line="360" w:lineRule="auto"/>
        <w:ind w:firstLine="480" w:firstLineChars="200"/>
        <w:rPr>
          <w:rFonts w:ascii="宋体" w:hAnsi="宋体"/>
          <w:kern w:val="0"/>
          <w:sz w:val="24"/>
        </w:rPr>
      </w:pPr>
      <w:r>
        <w:rPr>
          <w:rFonts w:hint="eastAsia" w:ascii="宋体" w:hAnsi="宋体"/>
          <w:sz w:val="24"/>
        </w:rPr>
        <w:t>3、考虑到本工程的重要性，发包人将采取较为严密的组织管理形式，承包人需投入有别于其它项目的人力、物力，</w:t>
      </w:r>
      <w:r>
        <w:rPr>
          <w:rFonts w:hint="eastAsia" w:ascii="宋体" w:hAnsi="宋体"/>
          <w:kern w:val="0"/>
          <w:sz w:val="24"/>
        </w:rPr>
        <w:t>以满足本</w:t>
      </w:r>
      <w:r>
        <w:rPr>
          <w:rFonts w:hint="eastAsia" w:ascii="宋体" w:hAnsi="宋体" w:cs="宋体"/>
          <w:snapToGrid w:val="0"/>
          <w:kern w:val="0"/>
          <w:sz w:val="24"/>
        </w:rPr>
        <w:t>工程设计及施工</w:t>
      </w:r>
      <w:r>
        <w:rPr>
          <w:rFonts w:hint="eastAsia" w:ascii="宋体" w:hAnsi="宋体"/>
          <w:kern w:val="0"/>
          <w:sz w:val="24"/>
        </w:rPr>
        <w:t>的需要。</w:t>
      </w:r>
    </w:p>
    <w:p w14:paraId="5925585A">
      <w:pPr>
        <w:spacing w:line="360" w:lineRule="auto"/>
        <w:ind w:firstLine="480" w:firstLineChars="200"/>
        <w:rPr>
          <w:rFonts w:ascii="宋体" w:hAnsi="宋体"/>
          <w:kern w:val="0"/>
          <w:sz w:val="24"/>
        </w:rPr>
      </w:pPr>
      <w:r>
        <w:rPr>
          <w:rFonts w:hint="eastAsia" w:ascii="宋体" w:hAnsi="宋体"/>
          <w:kern w:val="0"/>
          <w:sz w:val="24"/>
        </w:rPr>
        <w:t>4、发包人根据工程推进实际情况，有权要求承包人的法定代表人或总经理必须常驻施工现场，协调各种事项。</w:t>
      </w:r>
    </w:p>
    <w:p w14:paraId="0B8C3556">
      <w:pPr>
        <w:spacing w:line="360" w:lineRule="auto"/>
        <w:ind w:firstLine="480" w:firstLineChars="200"/>
        <w:rPr>
          <w:rFonts w:ascii="宋体" w:hAnsi="宋体"/>
          <w:kern w:val="0"/>
          <w:sz w:val="24"/>
        </w:rPr>
      </w:pPr>
      <w:r>
        <w:rPr>
          <w:rFonts w:hint="eastAsia" w:ascii="宋体" w:hAnsi="宋体"/>
          <w:kern w:val="0"/>
          <w:sz w:val="24"/>
        </w:rPr>
        <w:t>5、为保证本建设项目建设有序、规范和顺利进行，承包人必须主动支持发包人工作，对发包人的指令和书面通知，若无正当理由又未提前报告、得到认可，而公开或变相拒不执行的，应按合同条款第41.</w:t>
      </w:r>
      <w:r>
        <w:rPr>
          <w:rFonts w:hint="eastAsia" w:ascii="宋体" w:hAnsi="宋体" w:cs="宋体"/>
          <w:snapToGrid w:val="0"/>
          <w:kern w:val="0"/>
          <w:sz w:val="24"/>
        </w:rPr>
        <w:t>8</w:t>
      </w:r>
      <w:r>
        <w:rPr>
          <w:rFonts w:hint="eastAsia" w:ascii="宋体" w:hAnsi="宋体"/>
          <w:kern w:val="0"/>
          <w:sz w:val="24"/>
        </w:rPr>
        <w:t>（1）款的约定承担违约责任并赔偿由此造成发包人的一切经济损失。</w:t>
      </w:r>
    </w:p>
    <w:p w14:paraId="102FFEF9">
      <w:pPr>
        <w:spacing w:line="360" w:lineRule="auto"/>
        <w:ind w:firstLine="480" w:firstLineChars="200"/>
        <w:rPr>
          <w:rFonts w:ascii="宋体" w:hAnsi="宋体"/>
          <w:kern w:val="0"/>
          <w:sz w:val="24"/>
        </w:rPr>
      </w:pPr>
      <w:r>
        <w:rPr>
          <w:rFonts w:hint="eastAsia" w:ascii="宋体" w:hAnsi="宋体"/>
          <w:kern w:val="0"/>
          <w:sz w:val="24"/>
        </w:rPr>
        <w:t>6、承包人承诺遵守发包人所制订的针对本建设项目管理的各项制度、规定，这些管理制度、规定必须符合下列原则：</w:t>
      </w:r>
    </w:p>
    <w:p w14:paraId="264A612F">
      <w:pPr>
        <w:spacing w:line="360" w:lineRule="auto"/>
        <w:ind w:firstLine="480" w:firstLineChars="200"/>
        <w:rPr>
          <w:rFonts w:ascii="宋体" w:hAnsi="宋体"/>
          <w:kern w:val="0"/>
          <w:sz w:val="24"/>
        </w:rPr>
      </w:pPr>
      <w:r>
        <w:rPr>
          <w:rFonts w:hint="eastAsia" w:ascii="宋体" w:hAnsi="宋体"/>
          <w:kern w:val="0"/>
          <w:sz w:val="24"/>
        </w:rPr>
        <w:t>（1）符合国家、广东省、广州市、黄埔区的有关法律法规、规范和标准；</w:t>
      </w:r>
    </w:p>
    <w:p w14:paraId="1A74608C">
      <w:pPr>
        <w:spacing w:line="360" w:lineRule="auto"/>
        <w:ind w:firstLine="480" w:firstLineChars="200"/>
        <w:rPr>
          <w:rFonts w:ascii="宋体" w:hAnsi="宋体"/>
          <w:kern w:val="0"/>
          <w:sz w:val="24"/>
        </w:rPr>
      </w:pPr>
      <w:r>
        <w:rPr>
          <w:rFonts w:hint="eastAsia" w:ascii="宋体" w:hAnsi="宋体"/>
          <w:kern w:val="0"/>
          <w:sz w:val="24"/>
        </w:rPr>
        <w:t>（2）符合对本工程进行有效管理的基本精神和要求；</w:t>
      </w:r>
    </w:p>
    <w:p w14:paraId="2E43A494">
      <w:pPr>
        <w:spacing w:line="360" w:lineRule="auto"/>
        <w:ind w:firstLine="480" w:firstLineChars="200"/>
        <w:rPr>
          <w:rFonts w:ascii="宋体" w:hAnsi="宋体"/>
          <w:kern w:val="0"/>
          <w:sz w:val="24"/>
        </w:rPr>
      </w:pPr>
      <w:r>
        <w:rPr>
          <w:rFonts w:hint="eastAsia" w:ascii="宋体" w:hAnsi="宋体"/>
          <w:kern w:val="0"/>
          <w:sz w:val="24"/>
        </w:rPr>
        <w:t>（3）为确保工程质量、进度、安全文明施工管理所必须；</w:t>
      </w:r>
    </w:p>
    <w:p w14:paraId="1A637588">
      <w:pPr>
        <w:spacing w:line="360" w:lineRule="auto"/>
        <w:ind w:firstLine="480" w:firstLineChars="200"/>
        <w:rPr>
          <w:rFonts w:ascii="宋体" w:hAnsi="宋体"/>
          <w:kern w:val="0"/>
          <w:sz w:val="24"/>
        </w:rPr>
      </w:pPr>
      <w:r>
        <w:rPr>
          <w:rFonts w:hint="eastAsia" w:ascii="宋体" w:hAnsi="宋体"/>
          <w:kern w:val="0"/>
          <w:sz w:val="24"/>
        </w:rPr>
        <w:t>（4）不是针对某一特定的承包人。</w:t>
      </w:r>
    </w:p>
    <w:p w14:paraId="01899C26">
      <w:pPr>
        <w:pStyle w:val="27"/>
        <w:spacing w:line="360" w:lineRule="auto"/>
        <w:ind w:firstLine="562" w:firstLineChars="200"/>
        <w:outlineLvl w:val="0"/>
        <w:rPr>
          <w:rFonts w:ascii="宋体" w:hAnsi="宋体"/>
          <w:b/>
          <w:sz w:val="28"/>
        </w:rPr>
      </w:pPr>
      <w:bookmarkStart w:id="160" w:name="_Toc104901753"/>
      <w:bookmarkStart w:id="161" w:name="_Toc502215473"/>
      <w:bookmarkStart w:id="162" w:name="_Toc9537_WPSOffice_Level2"/>
      <w:bookmarkStart w:id="163" w:name="_Toc518402570"/>
      <w:bookmarkStart w:id="164" w:name="_Toc504465876"/>
      <w:r>
        <w:rPr>
          <w:rFonts w:hint="eastAsia" w:ascii="宋体" w:hAnsi="宋体"/>
          <w:b/>
          <w:sz w:val="28"/>
        </w:rPr>
        <w:t>一、词语定义及合同文件</w:t>
      </w:r>
      <w:bookmarkEnd w:id="160"/>
      <w:bookmarkEnd w:id="161"/>
      <w:bookmarkEnd w:id="162"/>
      <w:bookmarkEnd w:id="163"/>
      <w:bookmarkEnd w:id="164"/>
    </w:p>
    <w:p w14:paraId="085FDC76">
      <w:pPr>
        <w:spacing w:line="360" w:lineRule="auto"/>
        <w:ind w:firstLine="482" w:firstLineChars="200"/>
        <w:outlineLvl w:val="1"/>
        <w:rPr>
          <w:rFonts w:ascii="宋体" w:hAnsi="宋体"/>
          <w:kern w:val="0"/>
          <w:sz w:val="24"/>
        </w:rPr>
      </w:pPr>
      <w:bookmarkStart w:id="165" w:name="_Toc32639"/>
      <w:bookmarkStart w:id="166" w:name="_Toc504465877"/>
      <w:bookmarkStart w:id="167" w:name="_Toc2282_WPSOffice_Level3"/>
      <w:bookmarkStart w:id="168" w:name="_Toc104901754"/>
      <w:bookmarkStart w:id="169" w:name="_Toc518402571"/>
      <w:bookmarkStart w:id="170" w:name="_Toc502215474"/>
      <w:bookmarkStart w:id="171" w:name="_Toc30602"/>
      <w:bookmarkStart w:id="172" w:name="_Toc6901"/>
      <w:bookmarkStart w:id="173" w:name="_Toc144746862"/>
      <w:bookmarkStart w:id="174" w:name="_Toc144745944"/>
      <w:r>
        <w:rPr>
          <w:rFonts w:hint="eastAsia" w:ascii="宋体" w:hAnsi="宋体"/>
          <w:b/>
          <w:kern w:val="0"/>
          <w:sz w:val="24"/>
        </w:rPr>
        <w:t>1、词语定义</w:t>
      </w:r>
      <w:bookmarkEnd w:id="165"/>
      <w:bookmarkEnd w:id="166"/>
      <w:bookmarkEnd w:id="167"/>
      <w:bookmarkEnd w:id="168"/>
      <w:bookmarkEnd w:id="169"/>
      <w:bookmarkEnd w:id="170"/>
      <w:bookmarkEnd w:id="171"/>
      <w:bookmarkEnd w:id="172"/>
      <w:bookmarkEnd w:id="173"/>
      <w:bookmarkEnd w:id="174"/>
    </w:p>
    <w:p w14:paraId="2F7A04BA">
      <w:pPr>
        <w:spacing w:line="360" w:lineRule="auto"/>
        <w:ind w:firstLine="480" w:firstLineChars="200"/>
        <w:rPr>
          <w:rFonts w:ascii="宋体" w:hAnsi="宋体"/>
          <w:kern w:val="0"/>
          <w:sz w:val="24"/>
        </w:rPr>
      </w:pPr>
      <w:r>
        <w:rPr>
          <w:rFonts w:hint="eastAsia" w:ascii="宋体" w:hAnsi="宋体"/>
          <w:kern w:val="0"/>
          <w:sz w:val="24"/>
        </w:rPr>
        <w:t>下列词语除合同另有约定外，应具有本条所赋予的定义：</w:t>
      </w:r>
    </w:p>
    <w:p w14:paraId="0F96EF1C">
      <w:pPr>
        <w:spacing w:line="360" w:lineRule="auto"/>
        <w:ind w:firstLine="480" w:firstLineChars="200"/>
        <w:rPr>
          <w:rFonts w:ascii="宋体" w:hAnsi="宋体"/>
          <w:kern w:val="0"/>
          <w:sz w:val="24"/>
        </w:rPr>
      </w:pPr>
      <w:r>
        <w:rPr>
          <w:rFonts w:hint="eastAsia" w:ascii="宋体" w:hAnsi="宋体"/>
          <w:kern w:val="0"/>
          <w:sz w:val="24"/>
        </w:rPr>
        <w:t>1.1工程：指发包人、承包人在合同协议书中约定的承包范围内的工程。</w:t>
      </w:r>
    </w:p>
    <w:p w14:paraId="4A308195">
      <w:pPr>
        <w:spacing w:line="360" w:lineRule="auto"/>
        <w:ind w:firstLine="480" w:firstLineChars="200"/>
        <w:rPr>
          <w:rFonts w:ascii="宋体" w:hAnsi="宋体"/>
          <w:kern w:val="0"/>
          <w:sz w:val="24"/>
        </w:rPr>
      </w:pPr>
      <w:r>
        <w:rPr>
          <w:rFonts w:hint="eastAsia" w:ascii="宋体" w:hAnsi="宋体"/>
          <w:kern w:val="0"/>
          <w:sz w:val="24"/>
        </w:rPr>
        <w:t>1.2发包人：指在合同协议书中约定，具有工程发包主体资格和支付工程价款能力的当事人以及取得该当事人资格的合法继承人。</w:t>
      </w:r>
    </w:p>
    <w:p w14:paraId="3A526FDD">
      <w:pPr>
        <w:spacing w:line="360" w:lineRule="auto"/>
        <w:ind w:firstLine="480" w:firstLineChars="200"/>
        <w:rPr>
          <w:rFonts w:ascii="宋体" w:hAnsi="宋体"/>
          <w:kern w:val="0"/>
          <w:sz w:val="24"/>
        </w:rPr>
      </w:pPr>
      <w:r>
        <w:rPr>
          <w:rFonts w:hint="eastAsia" w:ascii="宋体" w:hAnsi="宋体"/>
          <w:kern w:val="0"/>
          <w:sz w:val="24"/>
        </w:rPr>
        <w:t>（1）发包人：在本合同中特指</w:t>
      </w:r>
      <w:r>
        <w:rPr>
          <w:rFonts w:hint="eastAsia" w:ascii="宋体" w:hAnsi="宋体"/>
          <w:kern w:val="0"/>
          <w:sz w:val="24"/>
          <w:u w:val="single"/>
        </w:rPr>
        <w:t xml:space="preserve"> </w:t>
      </w:r>
      <w:r>
        <w:rPr>
          <w:rFonts w:hint="eastAsia" w:ascii="宋体" w:hAnsi="宋体"/>
          <w:kern w:val="0"/>
          <w:sz w:val="24"/>
        </w:rPr>
        <w:t>广州辰龙置业有限公司</w:t>
      </w:r>
      <w:r>
        <w:rPr>
          <w:rFonts w:hint="eastAsia" w:ascii="宋体" w:hAnsi="宋体"/>
          <w:kern w:val="0"/>
          <w:sz w:val="24"/>
          <w:u w:val="single"/>
        </w:rPr>
        <w:t xml:space="preserve"> </w:t>
      </w:r>
      <w:r>
        <w:rPr>
          <w:rFonts w:hint="eastAsia" w:ascii="宋体" w:hAnsi="宋体"/>
          <w:kern w:val="0"/>
          <w:sz w:val="24"/>
        </w:rPr>
        <w:t>。</w:t>
      </w:r>
    </w:p>
    <w:p w14:paraId="1FCB8441">
      <w:pPr>
        <w:spacing w:line="360" w:lineRule="auto"/>
        <w:ind w:firstLine="480" w:firstLineChars="200"/>
        <w:rPr>
          <w:rFonts w:ascii="宋体" w:hAnsi="宋体"/>
          <w:kern w:val="0"/>
          <w:sz w:val="24"/>
        </w:rPr>
      </w:pPr>
      <w:r>
        <w:rPr>
          <w:rFonts w:hint="eastAsia" w:ascii="宋体" w:hAnsi="宋体"/>
          <w:kern w:val="0"/>
          <w:sz w:val="24"/>
        </w:rPr>
        <w:t>（2）合法继承人：指工程竣工验收合格后，发包人将工程移交给其承接使用的产权管理单位。在继承生效后，合法继承人享有发包人在本合同中的一切权利及承担相应的义务。</w:t>
      </w:r>
    </w:p>
    <w:p w14:paraId="7EA22A38">
      <w:pPr>
        <w:spacing w:line="360" w:lineRule="auto"/>
        <w:ind w:firstLine="480" w:firstLineChars="200"/>
        <w:rPr>
          <w:rFonts w:ascii="宋体" w:hAnsi="宋体"/>
          <w:kern w:val="0"/>
          <w:sz w:val="24"/>
        </w:rPr>
      </w:pPr>
      <w:r>
        <w:rPr>
          <w:rFonts w:hint="eastAsia" w:ascii="宋体" w:hAnsi="宋体"/>
          <w:kern w:val="0"/>
          <w:sz w:val="24"/>
        </w:rPr>
        <w:t>1.3承包人：指在合同协议书中约定，被发包人接受的具有</w:t>
      </w:r>
      <w:r>
        <w:rPr>
          <w:rFonts w:hint="eastAsia" w:ascii="宋体" w:hAnsi="宋体" w:cs="宋体"/>
          <w:snapToGrid w:val="0"/>
          <w:kern w:val="0"/>
          <w:sz w:val="24"/>
        </w:rPr>
        <w:t>工程设计、</w:t>
      </w:r>
      <w:r>
        <w:rPr>
          <w:rFonts w:hint="eastAsia" w:ascii="宋体" w:hAnsi="宋体"/>
          <w:kern w:val="0"/>
          <w:sz w:val="24"/>
        </w:rPr>
        <w:t>施工承包主体资格的当事人以及取得该当事人资格的合法继承人。</w:t>
      </w:r>
    </w:p>
    <w:p w14:paraId="159AE8E5">
      <w:pPr>
        <w:spacing w:line="360" w:lineRule="auto"/>
        <w:ind w:firstLine="480" w:firstLineChars="200"/>
        <w:rPr>
          <w:rFonts w:ascii="宋体" w:hAnsi="宋体"/>
          <w:kern w:val="0"/>
          <w:sz w:val="24"/>
        </w:rPr>
      </w:pPr>
      <w:r>
        <w:rPr>
          <w:rFonts w:hint="eastAsia" w:ascii="宋体" w:hAnsi="宋体"/>
          <w:kern w:val="0"/>
          <w:sz w:val="24"/>
        </w:rPr>
        <w:t>施工单位：在本合同中特指</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cs="宋体"/>
          <w:snapToGrid w:val="0"/>
          <w:kern w:val="0"/>
          <w:sz w:val="24"/>
          <w:u w:val="single"/>
        </w:rPr>
        <w:t>（联合体主办方）</w:t>
      </w:r>
      <w:r>
        <w:rPr>
          <w:rFonts w:hint="eastAsia" w:ascii="宋体" w:hAnsi="宋体"/>
          <w:kern w:val="0"/>
          <w:sz w:val="24"/>
        </w:rPr>
        <w:t>。</w:t>
      </w:r>
    </w:p>
    <w:p w14:paraId="45CFA879">
      <w:pPr>
        <w:spacing w:line="360" w:lineRule="auto"/>
        <w:ind w:firstLine="480" w:firstLineChars="200"/>
        <w:rPr>
          <w:rFonts w:ascii="宋体" w:hAnsi="宋体"/>
          <w:kern w:val="0"/>
          <w:sz w:val="24"/>
          <w:u w:val="single"/>
        </w:rPr>
      </w:pPr>
      <w:r>
        <w:rPr>
          <w:rFonts w:hint="eastAsia" w:ascii="宋体" w:hAnsi="宋体"/>
          <w:kern w:val="0"/>
          <w:sz w:val="24"/>
        </w:rPr>
        <w:t>设计单位：在本合同中特指</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cs="宋体"/>
          <w:snapToGrid w:val="0"/>
          <w:kern w:val="0"/>
          <w:sz w:val="24"/>
          <w:u w:val="single"/>
        </w:rPr>
        <w:t>（联合体成员方）</w:t>
      </w:r>
      <w:r>
        <w:rPr>
          <w:rFonts w:hint="eastAsia" w:ascii="宋体" w:hAnsi="宋体"/>
          <w:kern w:val="0"/>
          <w:sz w:val="24"/>
        </w:rPr>
        <w:t>。</w:t>
      </w:r>
    </w:p>
    <w:p w14:paraId="0101F5BF">
      <w:pPr>
        <w:spacing w:line="360" w:lineRule="auto"/>
        <w:ind w:firstLine="480" w:firstLineChars="200"/>
        <w:rPr>
          <w:rFonts w:ascii="宋体" w:hAnsi="宋体"/>
          <w:kern w:val="0"/>
          <w:sz w:val="24"/>
        </w:rPr>
      </w:pPr>
      <w:r>
        <w:rPr>
          <w:rFonts w:hint="eastAsia" w:ascii="宋体" w:hAnsi="宋体"/>
          <w:kern w:val="0"/>
          <w:sz w:val="24"/>
        </w:rPr>
        <w:t>1.4项目经理（项目负责人）：指承包人在合同条款中指定的负责</w:t>
      </w:r>
      <w:r>
        <w:rPr>
          <w:rFonts w:hint="eastAsia" w:ascii="宋体" w:hAnsi="宋体" w:cs="宋体"/>
          <w:snapToGrid w:val="0"/>
          <w:kern w:val="0"/>
          <w:sz w:val="24"/>
        </w:rPr>
        <w:t>工程设计、施工</w:t>
      </w:r>
      <w:r>
        <w:rPr>
          <w:rFonts w:hint="eastAsia" w:ascii="宋体" w:hAnsi="宋体"/>
          <w:kern w:val="0"/>
          <w:sz w:val="24"/>
        </w:rPr>
        <w:t>管理和合同履行的代表。</w:t>
      </w:r>
    </w:p>
    <w:p w14:paraId="24553AA1">
      <w:pPr>
        <w:spacing w:line="360" w:lineRule="auto"/>
        <w:ind w:firstLine="480" w:firstLineChars="200"/>
        <w:rPr>
          <w:rFonts w:ascii="宋体" w:hAnsi="宋体"/>
          <w:kern w:val="0"/>
          <w:sz w:val="24"/>
        </w:rPr>
      </w:pPr>
      <w:r>
        <w:rPr>
          <w:rFonts w:hint="eastAsia" w:ascii="宋体" w:hAnsi="宋体"/>
          <w:kern w:val="0"/>
          <w:sz w:val="24"/>
        </w:rPr>
        <w:t>1.5监理单位：指发包人委托的负责本工程监理并取得相应工程监理资质等级证书的单位。本工程的监理单位是：</w:t>
      </w:r>
      <w:r>
        <w:rPr>
          <w:rFonts w:hint="eastAsia" w:ascii="宋体" w:hAnsi="宋体"/>
          <w:kern w:val="0"/>
          <w:sz w:val="24"/>
          <w:u w:val="single"/>
        </w:rPr>
        <w:t xml:space="preserve">       /    </w:t>
      </w:r>
      <w:r>
        <w:rPr>
          <w:rFonts w:hint="eastAsia" w:ascii="宋体" w:hAnsi="宋体"/>
          <w:kern w:val="0"/>
          <w:sz w:val="24"/>
        </w:rPr>
        <w:t>（另行通知）。</w:t>
      </w:r>
    </w:p>
    <w:p w14:paraId="5A65BE1B">
      <w:pPr>
        <w:spacing w:line="360" w:lineRule="auto"/>
        <w:ind w:firstLine="480" w:firstLineChars="200"/>
        <w:rPr>
          <w:rFonts w:ascii="宋体" w:hAnsi="宋体"/>
          <w:kern w:val="0"/>
          <w:sz w:val="24"/>
        </w:rPr>
      </w:pPr>
      <w:r>
        <w:rPr>
          <w:rFonts w:hint="eastAsia" w:ascii="宋体" w:hAnsi="宋体"/>
          <w:kern w:val="0"/>
          <w:sz w:val="24"/>
        </w:rPr>
        <w:t>1.6本工程的施工图审查单位是：</w:t>
      </w:r>
      <w:r>
        <w:rPr>
          <w:rFonts w:hint="eastAsia" w:ascii="宋体" w:hAnsi="宋体"/>
          <w:kern w:val="0"/>
          <w:sz w:val="24"/>
          <w:u w:val="single"/>
        </w:rPr>
        <w:t xml:space="preserve">       /    </w:t>
      </w:r>
      <w:r>
        <w:rPr>
          <w:rFonts w:hint="eastAsia" w:ascii="宋体" w:hAnsi="宋体"/>
          <w:kern w:val="0"/>
          <w:sz w:val="24"/>
        </w:rPr>
        <w:t>（另行通知）。</w:t>
      </w:r>
    </w:p>
    <w:p w14:paraId="0EC05885">
      <w:pPr>
        <w:spacing w:line="360" w:lineRule="auto"/>
        <w:ind w:firstLine="480" w:firstLineChars="200"/>
        <w:rPr>
          <w:rFonts w:ascii="宋体" w:hAnsi="宋体"/>
          <w:kern w:val="0"/>
          <w:sz w:val="24"/>
        </w:rPr>
      </w:pPr>
      <w:r>
        <w:rPr>
          <w:rFonts w:hint="eastAsia" w:ascii="宋体" w:hAnsi="宋体"/>
          <w:kern w:val="0"/>
          <w:sz w:val="24"/>
        </w:rPr>
        <w:t>1.7总监理工程师：指本工程监理单位委派的总监理工程师，其具体身份和职权由发包人、承包人在合同条款中约定。</w:t>
      </w:r>
    </w:p>
    <w:p w14:paraId="0C6BD389">
      <w:pPr>
        <w:spacing w:line="360" w:lineRule="auto"/>
        <w:ind w:firstLine="480" w:firstLineChars="200"/>
        <w:rPr>
          <w:rFonts w:ascii="宋体" w:hAnsi="宋体"/>
          <w:kern w:val="0"/>
          <w:sz w:val="24"/>
        </w:rPr>
      </w:pPr>
      <w:r>
        <w:rPr>
          <w:rFonts w:hint="eastAsia" w:ascii="宋体" w:hAnsi="宋体"/>
          <w:kern w:val="0"/>
          <w:sz w:val="24"/>
        </w:rPr>
        <w:t>1.8合同价款：指发包人、承包人在合同中约定，发包人用以支付承包人按照合同约定完成承包范围内全部工程并承担缺陷修复责任及质量保修责任的款项。</w:t>
      </w:r>
    </w:p>
    <w:p w14:paraId="7F01CA50">
      <w:pPr>
        <w:spacing w:line="360" w:lineRule="auto"/>
        <w:ind w:firstLine="480" w:firstLineChars="200"/>
        <w:rPr>
          <w:rFonts w:ascii="宋体" w:hAnsi="宋体"/>
          <w:kern w:val="0"/>
          <w:sz w:val="24"/>
        </w:rPr>
      </w:pPr>
      <w:r>
        <w:rPr>
          <w:rFonts w:hint="eastAsia" w:ascii="宋体" w:hAnsi="宋体"/>
          <w:kern w:val="0"/>
          <w:sz w:val="24"/>
        </w:rPr>
        <w:t>1.9 追加合同价款：指在合同履行中发生需要增加合同价款的情况，经发包人确认后按计算合同价款的方法增加的合同价款。</w:t>
      </w:r>
    </w:p>
    <w:p w14:paraId="06A0DFCC">
      <w:pPr>
        <w:spacing w:line="360" w:lineRule="auto"/>
        <w:ind w:firstLine="480" w:firstLineChars="200"/>
        <w:rPr>
          <w:rFonts w:ascii="宋体" w:hAnsi="宋体"/>
          <w:kern w:val="0"/>
          <w:sz w:val="24"/>
        </w:rPr>
      </w:pPr>
      <w:r>
        <w:rPr>
          <w:rFonts w:hint="eastAsia" w:ascii="宋体" w:hAnsi="宋体"/>
          <w:kern w:val="0"/>
          <w:sz w:val="24"/>
        </w:rPr>
        <w:t>1.10工期：指发包人、承包人在合同协议书中约定，按总日历天数（包括法定节假日）计算的承包天数。</w:t>
      </w:r>
    </w:p>
    <w:p w14:paraId="36AB23DD">
      <w:pPr>
        <w:spacing w:line="360" w:lineRule="auto"/>
        <w:ind w:firstLine="480" w:firstLineChars="200"/>
        <w:rPr>
          <w:rFonts w:ascii="宋体" w:hAnsi="宋体"/>
          <w:kern w:val="0"/>
          <w:sz w:val="24"/>
        </w:rPr>
      </w:pPr>
      <w:r>
        <w:rPr>
          <w:rFonts w:hint="eastAsia" w:ascii="宋体" w:hAnsi="宋体"/>
          <w:kern w:val="0"/>
          <w:sz w:val="24"/>
        </w:rPr>
        <w:t>1.11节点工期：指在经发包人和总监理工程师批准的施工组织设计或者工程工期网络计划中载明的承包人按总日历天数（包括法定节假日）计算完成某一阶段或某一工序的承包天数。按工期网络计划的一般线路和关键线路分为一般节点工期和关键节点工期。</w:t>
      </w:r>
    </w:p>
    <w:p w14:paraId="5BD17F38">
      <w:pPr>
        <w:spacing w:line="360" w:lineRule="auto"/>
        <w:ind w:firstLine="480" w:firstLineChars="200"/>
        <w:rPr>
          <w:rFonts w:ascii="宋体" w:hAnsi="宋体"/>
          <w:kern w:val="0"/>
          <w:sz w:val="24"/>
        </w:rPr>
      </w:pPr>
      <w:r>
        <w:rPr>
          <w:rFonts w:hint="eastAsia" w:ascii="宋体" w:hAnsi="宋体"/>
          <w:kern w:val="0"/>
          <w:sz w:val="24"/>
        </w:rPr>
        <w:t>1.12开始工作日期：指发包人、承包人在合同协议书中约定，承包人开始工作的绝对或相对的日期。</w:t>
      </w:r>
    </w:p>
    <w:p w14:paraId="59A5E503">
      <w:pPr>
        <w:spacing w:line="360" w:lineRule="auto"/>
        <w:ind w:firstLine="480" w:firstLineChars="200"/>
        <w:rPr>
          <w:rFonts w:ascii="宋体" w:hAnsi="宋体"/>
          <w:kern w:val="0"/>
          <w:sz w:val="24"/>
        </w:rPr>
      </w:pPr>
      <w:r>
        <w:rPr>
          <w:rFonts w:hint="eastAsia" w:ascii="宋体" w:hAnsi="宋体"/>
          <w:kern w:val="0"/>
          <w:sz w:val="24"/>
        </w:rPr>
        <w:t>1.13竣工日期：指发包人、承包人在合同协议书中约定，承包人完成承包范围内工程的绝对或相对的日期。</w:t>
      </w:r>
    </w:p>
    <w:p w14:paraId="51B2AD87">
      <w:pPr>
        <w:spacing w:line="360" w:lineRule="auto"/>
        <w:ind w:firstLine="480" w:firstLineChars="200"/>
        <w:rPr>
          <w:rFonts w:ascii="宋体" w:hAnsi="宋体" w:cs="宋体"/>
          <w:snapToGrid w:val="0"/>
          <w:kern w:val="0"/>
          <w:sz w:val="24"/>
        </w:rPr>
      </w:pPr>
      <w:r>
        <w:rPr>
          <w:rFonts w:hint="eastAsia" w:ascii="宋体" w:hAnsi="宋体"/>
          <w:kern w:val="0"/>
          <w:sz w:val="24"/>
        </w:rPr>
        <w:t>1.14</w:t>
      </w:r>
      <w:r>
        <w:rPr>
          <w:rFonts w:hint="eastAsia" w:ascii="宋体" w:hAnsi="宋体" w:cs="宋体"/>
          <w:snapToGrid w:val="0"/>
          <w:kern w:val="0"/>
          <w:sz w:val="24"/>
        </w:rPr>
        <w:t>设计成果文件：指由承包人提交并通过施工图审查单位的审查，且经发包人及政府相关部门批准后，符合《设计任务书》规定的范围、内容及要求，能满足投资与质量控制要求和作为下阶段设计依据或能指导施工实施的各阶段设计图纸、文件、资料计算书及说明书（含设计变更）、效果图、政府报批所需的模型及存有AutoCAD R14或AutoCAD 2000软件（或发包人指定的其他格式软件）生成的电子格式文件的光盘、工程概算、配合发包人招标工作而提供的技术规格书等技术资料。</w:t>
      </w:r>
    </w:p>
    <w:p w14:paraId="15ECACC6">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1.15设计完整性：指承包人每批次交付的设计文件是合同及附件中规定的全部文件，并保证与提交人自己保留的该部分文件完全一致。</w:t>
      </w:r>
    </w:p>
    <w:p w14:paraId="739F4F8B">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1.16设计有效性：指设计成果文件符合合同约定并符合现行相关规范和标准规定的要求。</w:t>
      </w:r>
    </w:p>
    <w:p w14:paraId="2FD6B9C1">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1.17设计正确性：指设计成果文件均符合本合同的有关约定，同时保证设计输入的基础资料完整、正确，设计方法、计算方法与结果、技术参数的选用正确、合理，构造合理，图面表达清楚、文字叙述准确，各专业设计协调统一。</w:t>
      </w:r>
    </w:p>
    <w:p w14:paraId="600B2064">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1.18设计经济合理性：指设计成果文件是在符合有效性要求的基础上，采用方案经济比选、价值工程等评价手段，经过发包人组织的评审产生确定，且投资控制在限额指标以内。</w:t>
      </w:r>
    </w:p>
    <w:p w14:paraId="5A6CA88C">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 xml:space="preserve">1.19设计可靠性：指根据设计成果文件明示的条件情况投入的设备，所采用的工艺、工法满足技术控制指标要求，之后所形成的已完工程及投入使用的系统、生产工艺满足合同约定且能够在设计年限内充分、正常地实现其设计功能。 </w:t>
      </w:r>
    </w:p>
    <w:p w14:paraId="4272E9B8">
      <w:pPr>
        <w:spacing w:line="360" w:lineRule="auto"/>
        <w:ind w:firstLine="480" w:firstLineChars="200"/>
        <w:rPr>
          <w:rFonts w:ascii="宋体" w:hAnsi="宋体" w:cs="宋体"/>
          <w:bCs/>
          <w:sz w:val="20"/>
        </w:rPr>
      </w:pPr>
      <w:r>
        <w:rPr>
          <w:rFonts w:hint="eastAsia" w:ascii="宋体" w:hAnsi="宋体" w:cs="宋体"/>
          <w:snapToGrid w:val="0"/>
          <w:kern w:val="0"/>
          <w:sz w:val="24"/>
        </w:rPr>
        <w:t>1</w:t>
      </w:r>
      <w:r>
        <w:rPr>
          <w:rFonts w:hint="eastAsia" w:ascii="宋体" w:hAnsi="宋体" w:cs="宋体"/>
          <w:snapToGrid w:val="0"/>
          <w:kern w:val="0"/>
          <w:sz w:val="24"/>
          <w:szCs w:val="24"/>
        </w:rPr>
        <w:t>.20设计清晰：是指每次交付的设计成果文件中的图样、线条、术语、符号、尺寸标准、文字说明等清楚准确。</w:t>
      </w:r>
    </w:p>
    <w:p w14:paraId="1C8F1928">
      <w:pPr>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1.21设计事故：指因承包人不履行或不完全履行合同约定的设计义务或履行的设计义务不符合合同约定，对本合同项目造成严重不利影响的行为。</w:t>
      </w:r>
    </w:p>
    <w:p w14:paraId="090A6FA7">
      <w:pPr>
        <w:spacing w:line="360" w:lineRule="auto"/>
        <w:ind w:firstLine="480" w:firstLineChars="200"/>
        <w:rPr>
          <w:rFonts w:ascii="宋体" w:hAnsi="宋体"/>
          <w:kern w:val="0"/>
          <w:sz w:val="24"/>
        </w:rPr>
      </w:pPr>
      <w:r>
        <w:rPr>
          <w:rFonts w:hint="eastAsia" w:ascii="宋体" w:hAnsi="宋体" w:cs="宋体"/>
          <w:snapToGrid w:val="0"/>
          <w:kern w:val="0"/>
          <w:sz w:val="24"/>
        </w:rPr>
        <w:t>1.22</w:t>
      </w:r>
      <w:r>
        <w:rPr>
          <w:rFonts w:hint="eastAsia" w:ascii="宋体" w:hAnsi="宋体"/>
          <w:kern w:val="0"/>
          <w:sz w:val="24"/>
        </w:rPr>
        <w:t>施工场地：指由发包人提供的用于工程施工的场所以及发包人在图纸中具体指定的供施工使用的任何其它场所。</w:t>
      </w:r>
    </w:p>
    <w:p w14:paraId="3BA23132">
      <w:pPr>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23</w:t>
      </w:r>
      <w:r>
        <w:rPr>
          <w:rFonts w:hint="eastAsia" w:ascii="宋体" w:hAnsi="宋体"/>
          <w:kern w:val="0"/>
          <w:sz w:val="24"/>
        </w:rPr>
        <w:t>违约责任：指合同任何一方不履行或不完全履行合同约定的义务或者履行义务不符合合同约定所应承担的责任。</w:t>
      </w:r>
    </w:p>
    <w:p w14:paraId="3B91B66C">
      <w:pPr>
        <w:spacing w:line="360" w:lineRule="auto"/>
        <w:ind w:firstLine="480" w:firstLineChars="200"/>
        <w:rPr>
          <w:rFonts w:ascii="宋体" w:hAnsi="宋体"/>
          <w:kern w:val="0"/>
          <w:sz w:val="24"/>
        </w:rPr>
      </w:pPr>
      <w:r>
        <w:rPr>
          <w:rFonts w:hint="eastAsia" w:ascii="宋体" w:hAnsi="宋体"/>
          <w:kern w:val="0"/>
          <w:sz w:val="24"/>
        </w:rPr>
        <w:t>（1）一般违约责任：指虽然违反本合同的约定，但其违约行为不对本合同的履行造成严重影响而应承担的责任。</w:t>
      </w:r>
    </w:p>
    <w:p w14:paraId="491D3EAA">
      <w:pPr>
        <w:spacing w:line="360" w:lineRule="auto"/>
        <w:ind w:firstLine="480" w:firstLineChars="200"/>
        <w:rPr>
          <w:rFonts w:ascii="宋体" w:hAnsi="宋体"/>
          <w:kern w:val="0"/>
          <w:sz w:val="24"/>
        </w:rPr>
      </w:pPr>
      <w:r>
        <w:rPr>
          <w:rFonts w:hint="eastAsia" w:ascii="宋体" w:hAnsi="宋体"/>
          <w:kern w:val="0"/>
          <w:sz w:val="24"/>
        </w:rPr>
        <w:t>（2）严重违约责任。指违反本合同的约定且其违约行为足以对本合同的履行造成严重或实质性的影响而应承担的责任。</w:t>
      </w:r>
    </w:p>
    <w:p w14:paraId="05D691D5">
      <w:pPr>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24</w:t>
      </w:r>
      <w:r>
        <w:rPr>
          <w:rFonts w:hint="eastAsia" w:ascii="宋体" w:hAnsi="宋体"/>
          <w:kern w:val="0"/>
          <w:sz w:val="24"/>
        </w:rPr>
        <w:t>安全事故等级[参照《安全生产事故报告和调查处理条例》]：</w:t>
      </w:r>
    </w:p>
    <w:p w14:paraId="3B1B24ED">
      <w:pPr>
        <w:spacing w:line="360" w:lineRule="auto"/>
        <w:ind w:firstLine="480" w:firstLineChars="200"/>
        <w:rPr>
          <w:rFonts w:ascii="宋体" w:hAnsi="宋体"/>
          <w:kern w:val="0"/>
          <w:sz w:val="24"/>
        </w:rPr>
      </w:pPr>
      <w:r>
        <w:rPr>
          <w:rFonts w:hint="eastAsia" w:ascii="宋体" w:hAnsi="宋体"/>
          <w:kern w:val="0"/>
          <w:sz w:val="24"/>
        </w:rPr>
        <w:t>（1）特别重大事故，是指造成30人以</w:t>
      </w:r>
      <w:bookmarkStart w:id="175" w:name="修改1"/>
      <w:bookmarkEnd w:id="175"/>
      <w:r>
        <w:rPr>
          <w:rFonts w:hint="eastAsia" w:ascii="宋体" w:hAnsi="宋体"/>
          <w:kern w:val="0"/>
          <w:sz w:val="24"/>
        </w:rPr>
        <w:t>上死亡，或者100人以上重伤，或者1亿元以上直接经济损失的事故；</w:t>
      </w:r>
    </w:p>
    <w:p w14:paraId="36925315">
      <w:pPr>
        <w:spacing w:line="360" w:lineRule="auto"/>
        <w:ind w:firstLine="480" w:firstLineChars="200"/>
        <w:rPr>
          <w:rFonts w:ascii="宋体" w:hAnsi="宋体"/>
          <w:kern w:val="0"/>
          <w:sz w:val="24"/>
        </w:rPr>
      </w:pPr>
      <w:r>
        <w:rPr>
          <w:rFonts w:hint="eastAsia" w:ascii="宋体" w:hAnsi="宋体"/>
          <w:kern w:val="0"/>
          <w:sz w:val="24"/>
        </w:rPr>
        <w:t>（2）重大事故，是指造成10人以上30人以下死亡，或者50人以上100人以下重伤，或者5000万元以上1亿元以下直接经济损失的事故；</w:t>
      </w:r>
    </w:p>
    <w:p w14:paraId="350B3273">
      <w:pPr>
        <w:spacing w:line="360" w:lineRule="auto"/>
        <w:ind w:firstLine="480" w:firstLineChars="200"/>
        <w:rPr>
          <w:rFonts w:ascii="宋体" w:hAnsi="宋体"/>
          <w:kern w:val="0"/>
          <w:sz w:val="24"/>
        </w:rPr>
      </w:pPr>
      <w:r>
        <w:rPr>
          <w:rFonts w:hint="eastAsia" w:ascii="宋体" w:hAnsi="宋体"/>
          <w:kern w:val="0"/>
          <w:sz w:val="24"/>
        </w:rPr>
        <w:t>（3）较大事故，是指造成3人以上10人以下死亡，或者10人以上50人以下重伤，或者1000万元以上5000万元以下直接经济损失的事故；</w:t>
      </w:r>
    </w:p>
    <w:p w14:paraId="01856E6F">
      <w:pPr>
        <w:spacing w:line="360" w:lineRule="auto"/>
        <w:ind w:firstLine="480" w:firstLineChars="200"/>
        <w:rPr>
          <w:rFonts w:ascii="宋体" w:hAnsi="宋体"/>
          <w:kern w:val="0"/>
          <w:sz w:val="24"/>
        </w:rPr>
      </w:pPr>
      <w:r>
        <w:rPr>
          <w:rFonts w:hint="eastAsia" w:ascii="宋体" w:hAnsi="宋体"/>
          <w:kern w:val="0"/>
          <w:sz w:val="24"/>
        </w:rPr>
        <w:t>（4）一般事故，是指造成3人以下死亡，或者10人以下重伤，或者1000万元以下直接经济损失的事故。</w:t>
      </w:r>
    </w:p>
    <w:p w14:paraId="4D193773">
      <w:pPr>
        <w:spacing w:line="360" w:lineRule="auto"/>
        <w:ind w:firstLine="480" w:firstLineChars="200"/>
        <w:rPr>
          <w:rFonts w:ascii="宋体" w:hAnsi="宋体"/>
          <w:kern w:val="0"/>
          <w:sz w:val="24"/>
        </w:rPr>
      </w:pPr>
      <w:r>
        <w:rPr>
          <w:rFonts w:hint="eastAsia" w:ascii="宋体" w:hAnsi="宋体"/>
          <w:kern w:val="0"/>
          <w:sz w:val="24"/>
        </w:rPr>
        <w:t>上述所称的“以上”包括本数，所称的“以下”不包括本数。</w:t>
      </w:r>
    </w:p>
    <w:p w14:paraId="6A015F22">
      <w:pPr>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25</w:t>
      </w:r>
      <w:r>
        <w:rPr>
          <w:rFonts w:hint="eastAsia" w:ascii="宋体" w:hAnsi="宋体"/>
          <w:kern w:val="0"/>
          <w:sz w:val="24"/>
        </w:rPr>
        <w:t>质量事故等级[《关于做好房屋建筑和市政基础设施工程质量事故报告和调查处理工作的通知》（建质[2010]111号）]：</w:t>
      </w:r>
    </w:p>
    <w:p w14:paraId="47386A84">
      <w:pPr>
        <w:spacing w:line="360" w:lineRule="auto"/>
        <w:ind w:firstLine="480" w:firstLineChars="200"/>
        <w:rPr>
          <w:rFonts w:ascii="宋体" w:hAnsi="宋体"/>
          <w:kern w:val="0"/>
          <w:sz w:val="24"/>
        </w:rPr>
      </w:pPr>
      <w:r>
        <w:rPr>
          <w:rFonts w:hint="eastAsia" w:ascii="宋体" w:hAnsi="宋体"/>
          <w:kern w:val="0"/>
          <w:sz w:val="24"/>
        </w:rPr>
        <w:t>根据工程质量事故造成的人员伤亡或者直接经济损失，工程质量事故分为4个等级：</w:t>
      </w:r>
    </w:p>
    <w:p w14:paraId="6A9D7F81">
      <w:pPr>
        <w:spacing w:line="360" w:lineRule="auto"/>
        <w:ind w:firstLine="480" w:firstLineChars="200"/>
        <w:rPr>
          <w:rFonts w:ascii="宋体" w:hAnsi="宋体"/>
          <w:kern w:val="0"/>
          <w:sz w:val="24"/>
        </w:rPr>
      </w:pPr>
      <w:r>
        <w:rPr>
          <w:rFonts w:hint="eastAsia" w:ascii="宋体" w:hAnsi="宋体"/>
          <w:kern w:val="0"/>
          <w:sz w:val="24"/>
        </w:rPr>
        <w:t>（1）特别重大事故，是指造成30人以上死亡，或者100人以上重伤，或者1亿元以上直接经济损失的事故；</w:t>
      </w:r>
    </w:p>
    <w:p w14:paraId="50BF65DE">
      <w:pPr>
        <w:spacing w:line="360" w:lineRule="auto"/>
        <w:ind w:firstLine="480" w:firstLineChars="200"/>
        <w:rPr>
          <w:rFonts w:ascii="宋体" w:hAnsi="宋体"/>
          <w:kern w:val="0"/>
          <w:sz w:val="24"/>
        </w:rPr>
      </w:pPr>
      <w:r>
        <w:rPr>
          <w:rFonts w:hint="eastAsia" w:ascii="宋体" w:hAnsi="宋体"/>
          <w:kern w:val="0"/>
          <w:sz w:val="24"/>
        </w:rPr>
        <w:t>（2）重大事故，是指造成10人以上30人以下死亡，或者50人以上100人以下重伤，或者5000万元以上1亿元以下直接经济损失的事故；</w:t>
      </w:r>
    </w:p>
    <w:p w14:paraId="7AB3C678">
      <w:pPr>
        <w:spacing w:line="360" w:lineRule="auto"/>
        <w:ind w:firstLine="480" w:firstLineChars="200"/>
        <w:rPr>
          <w:rFonts w:ascii="宋体" w:hAnsi="宋体"/>
          <w:kern w:val="0"/>
          <w:sz w:val="24"/>
        </w:rPr>
      </w:pPr>
      <w:r>
        <w:rPr>
          <w:rFonts w:hint="eastAsia" w:ascii="宋体" w:hAnsi="宋体"/>
          <w:kern w:val="0"/>
          <w:sz w:val="24"/>
        </w:rPr>
        <w:t>（3）较大事故，是指造成3人以上10人以下死亡，或者10人以上50人以下重伤，或者1000万元以上5000万元以下直接经济损失的事故；</w:t>
      </w:r>
    </w:p>
    <w:p w14:paraId="17C04E2D">
      <w:pPr>
        <w:spacing w:line="360" w:lineRule="auto"/>
        <w:ind w:firstLine="480" w:firstLineChars="200"/>
        <w:rPr>
          <w:rFonts w:ascii="宋体" w:hAnsi="宋体"/>
          <w:kern w:val="0"/>
          <w:sz w:val="24"/>
        </w:rPr>
      </w:pPr>
      <w:r>
        <w:rPr>
          <w:rFonts w:hint="eastAsia" w:ascii="宋体" w:hAnsi="宋体"/>
          <w:kern w:val="0"/>
          <w:sz w:val="24"/>
        </w:rPr>
        <w:t>（4）一般事故，是指造成3人以下死亡，或者10人以下重伤，或者100万元以上1000万元以下直接经济损失的事故。</w:t>
      </w:r>
    </w:p>
    <w:p w14:paraId="2B02A411">
      <w:pPr>
        <w:spacing w:line="360" w:lineRule="auto"/>
        <w:ind w:firstLine="480" w:firstLineChars="200"/>
        <w:rPr>
          <w:rFonts w:ascii="宋体" w:hAnsi="宋体"/>
          <w:kern w:val="0"/>
          <w:sz w:val="24"/>
        </w:rPr>
      </w:pPr>
      <w:r>
        <w:rPr>
          <w:rFonts w:hint="eastAsia" w:ascii="宋体" w:hAnsi="宋体"/>
          <w:kern w:val="0"/>
          <w:sz w:val="24"/>
        </w:rPr>
        <w:t>本等级划分所称的“以上”包括本数，所称的“以下”不包括本数。</w:t>
      </w:r>
    </w:p>
    <w:p w14:paraId="225F2320">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1.26“综合单价（合价）包干项目”、“分部分项工程量清单计价”、“措施项目清单计价”、“其它项目清单计价”、“安全文明施工费”、“暂列金额”等费用项目词语定义以本合同解释的内容为准。</w:t>
      </w:r>
    </w:p>
    <w:p w14:paraId="0AA7FA99">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1.27元：指人民币元。</w:t>
      </w:r>
    </w:p>
    <w:p w14:paraId="51D190BC">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1.28</w:t>
      </w:r>
      <w:r>
        <w:rPr>
          <w:rFonts w:hint="eastAsia" w:ascii="宋体" w:hAnsi="宋体"/>
          <w:kern w:val="0"/>
          <w:sz w:val="24"/>
        </w:rPr>
        <w:t>变更工程和新增工程：包括合同条款</w:t>
      </w:r>
      <w:r>
        <w:rPr>
          <w:rFonts w:hint="eastAsia" w:ascii="宋体" w:hAnsi="宋体" w:cs="宋体"/>
          <w:bCs/>
          <w:snapToGrid w:val="0"/>
          <w:kern w:val="0"/>
          <w:sz w:val="24"/>
        </w:rPr>
        <w:t>第36条所定义的</w:t>
      </w:r>
      <w:r>
        <w:rPr>
          <w:rFonts w:hint="eastAsia" w:ascii="宋体" w:hAnsi="宋体"/>
          <w:kern w:val="0"/>
          <w:sz w:val="24"/>
        </w:rPr>
        <w:t>工程设计变更和</w:t>
      </w:r>
      <w:r>
        <w:rPr>
          <w:rFonts w:hint="eastAsia" w:ascii="宋体" w:hAnsi="宋体" w:cs="宋体"/>
          <w:bCs/>
          <w:snapToGrid w:val="0"/>
          <w:kern w:val="0"/>
          <w:sz w:val="24"/>
        </w:rPr>
        <w:t>第39条所定义</w:t>
      </w:r>
      <w:r>
        <w:rPr>
          <w:rFonts w:hint="eastAsia" w:ascii="宋体" w:hAnsi="宋体"/>
          <w:kern w:val="0"/>
          <w:sz w:val="24"/>
        </w:rPr>
        <w:t>其它变更，由于设计需要或项目建设实际需要，这些变更会引致预算清单内数量发生变化、或预算清单内项目的局部内容发生变化、</w:t>
      </w:r>
      <w:r>
        <w:rPr>
          <w:rFonts w:hint="eastAsia" w:ascii="宋体" w:hAnsi="宋体" w:cs="宋体"/>
          <w:bCs/>
          <w:snapToGrid w:val="0"/>
          <w:kern w:val="0"/>
          <w:sz w:val="24"/>
        </w:rPr>
        <w:t>或新增了预算清单内没有的项目。</w:t>
      </w:r>
    </w:p>
    <w:p w14:paraId="1D020CD6">
      <w:pPr>
        <w:spacing w:line="360" w:lineRule="auto"/>
        <w:ind w:firstLine="480" w:firstLineChars="200"/>
        <w:rPr>
          <w:rFonts w:ascii="宋体" w:hAnsi="宋体" w:cs="宋体"/>
          <w:bCs/>
          <w:snapToGrid w:val="0"/>
          <w:kern w:val="0"/>
          <w:sz w:val="24"/>
        </w:rPr>
      </w:pPr>
      <w:r>
        <w:rPr>
          <w:rFonts w:ascii="宋体" w:hAnsi="宋体" w:cs="宋体"/>
          <w:bCs/>
          <w:snapToGrid w:val="0"/>
          <w:kern w:val="0"/>
          <w:sz w:val="24"/>
        </w:rPr>
        <w:t>1.</w:t>
      </w:r>
      <w:r>
        <w:rPr>
          <w:rFonts w:hint="eastAsia" w:ascii="宋体" w:hAnsi="宋体" w:cs="宋体"/>
          <w:bCs/>
          <w:snapToGrid w:val="0"/>
          <w:kern w:val="0"/>
          <w:sz w:val="24"/>
        </w:rPr>
        <w:t>29乙供材料设备：属承包人采购材料设备范围，是指由承包人根据招标文件和合同约定自行采购并支付货款的材料设备。甲方采购：是指由发包人将工程原材料或成品供应给承包人进行安装的材料设备。甲指乙供：是指由发包人指定厂家品牌和指定价格，由承包人进行采购的材料设备。</w:t>
      </w:r>
    </w:p>
    <w:p w14:paraId="099B0DE3">
      <w:pPr>
        <w:tabs>
          <w:tab w:val="left" w:pos="6663"/>
        </w:tabs>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30</w:t>
      </w:r>
      <w:r>
        <w:rPr>
          <w:rFonts w:hint="eastAsia" w:ascii="宋体" w:hAnsi="宋体"/>
          <w:kern w:val="0"/>
          <w:sz w:val="24"/>
        </w:rPr>
        <w:t>工程造价管理部门：指国务院有关部门、县级以上人民政府建设行政主管部门或其委托的工程造价管理机构。</w:t>
      </w:r>
    </w:p>
    <w:p w14:paraId="71C5CD81">
      <w:pPr>
        <w:tabs>
          <w:tab w:val="left" w:pos="6663"/>
        </w:tabs>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31</w:t>
      </w:r>
      <w:r>
        <w:rPr>
          <w:rFonts w:hint="eastAsia" w:ascii="宋体" w:hAnsi="宋体"/>
          <w:kern w:val="0"/>
          <w:sz w:val="24"/>
        </w:rPr>
        <w:t>索赔：指在合同履行过程中，对于并非自己的过错，而是应由对方承担责任的情况造成的实际损失，向对方提出经济补偿和（或）工期顺延的要求。</w:t>
      </w:r>
    </w:p>
    <w:p w14:paraId="3FFB93AA">
      <w:pPr>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32</w:t>
      </w:r>
      <w:r>
        <w:rPr>
          <w:rFonts w:hint="eastAsia" w:ascii="宋体" w:hAnsi="宋体"/>
          <w:kern w:val="0"/>
          <w:sz w:val="24"/>
        </w:rPr>
        <w:t>不可抗力：指不能预见、不能避免并不能克服的客观情况。</w:t>
      </w:r>
    </w:p>
    <w:p w14:paraId="4432098E">
      <w:pPr>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33</w:t>
      </w:r>
      <w:r>
        <w:rPr>
          <w:rFonts w:hint="eastAsia" w:ascii="宋体" w:hAnsi="宋体"/>
          <w:kern w:val="0"/>
          <w:sz w:val="24"/>
        </w:rPr>
        <w:t>小时或天：本合同中规定按小时计算时间的，从事件有效开始时计算（不扣除休息时间）；规定按天计算时间的，开始当天不计入，从次日开始计算。时限的最后一天是休息日或者其它法定节假日的，以节假日次日为时限的最后一天，但竣工日期除外。时限的最后一天的截止时间为当日24时。</w:t>
      </w:r>
    </w:p>
    <w:p w14:paraId="36722D8A">
      <w:pPr>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34</w:t>
      </w:r>
      <w:r>
        <w:rPr>
          <w:rFonts w:hint="eastAsia" w:ascii="宋体" w:hAnsi="宋体"/>
          <w:kern w:val="0"/>
          <w:sz w:val="24"/>
        </w:rPr>
        <w:t>书面形式：指合同书、信件和数据电文（包括电报、电传、传真、电子数据交换和电子邮件）等可以有形地表现所载内容的形式。</w:t>
      </w:r>
    </w:p>
    <w:p w14:paraId="618B31E4">
      <w:pPr>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35</w:t>
      </w:r>
      <w:r>
        <w:rPr>
          <w:rFonts w:hint="eastAsia" w:ascii="宋体" w:hAnsi="宋体"/>
          <w:kern w:val="0"/>
          <w:sz w:val="24"/>
        </w:rPr>
        <w:t>通知：指合同中所提及的各方之间传达意思表示的方式，包括但不限于申请、报告、同意、答复、批准、指令、证书、决定等。除合同有特别约定外，只有采用书面形式的通知才有效。</w:t>
      </w:r>
    </w:p>
    <w:p w14:paraId="59CC0B94">
      <w:pPr>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36</w:t>
      </w:r>
      <w:r>
        <w:rPr>
          <w:rFonts w:hint="eastAsia" w:ascii="宋体" w:hAnsi="宋体"/>
          <w:kern w:val="0"/>
          <w:sz w:val="24"/>
        </w:rPr>
        <w:t>中国或国家：指中华人民共和国。</w:t>
      </w:r>
    </w:p>
    <w:p w14:paraId="04AAB2AE">
      <w:pPr>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37</w:t>
      </w:r>
      <w:r>
        <w:rPr>
          <w:rFonts w:hint="eastAsia" w:ascii="宋体" w:hAnsi="宋体"/>
          <w:kern w:val="0"/>
          <w:sz w:val="24"/>
        </w:rPr>
        <w:t>国内：指中华人民共和国大陆境内。</w:t>
      </w:r>
    </w:p>
    <w:p w14:paraId="7A0F3707">
      <w:pPr>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38</w:t>
      </w:r>
      <w:r>
        <w:rPr>
          <w:rFonts w:hint="eastAsia" w:ascii="宋体" w:hAnsi="宋体"/>
          <w:kern w:val="0"/>
          <w:sz w:val="24"/>
        </w:rPr>
        <w:t>单项工程：指具备独立施工条件并能形成独立使用功能的建筑物及构筑物。</w:t>
      </w:r>
    </w:p>
    <w:p w14:paraId="02A1703F">
      <w:pPr>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39</w:t>
      </w:r>
      <w:r>
        <w:rPr>
          <w:rFonts w:hint="eastAsia" w:ascii="宋体" w:hAnsi="宋体"/>
          <w:kern w:val="0"/>
          <w:sz w:val="24"/>
        </w:rPr>
        <w:t>单位工程：指一个独立建筑物或构筑物中的每个专业工程，如：建筑工程、土建工程、安装工程等。</w:t>
      </w:r>
    </w:p>
    <w:p w14:paraId="4E9E8F1D">
      <w:pPr>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40</w:t>
      </w:r>
      <w:r>
        <w:rPr>
          <w:rFonts w:hint="eastAsia" w:ascii="宋体" w:hAnsi="宋体"/>
          <w:kern w:val="0"/>
          <w:sz w:val="24"/>
        </w:rPr>
        <w:t>缺陷责任期：是指承包人按照合同约定承担缺陷修复义务，且发包人预留质量保证金的期限。本工程缺陷责任期按国家规定执行，自工程竣工验收合格之日起计算。</w:t>
      </w:r>
    </w:p>
    <w:p w14:paraId="373CA513">
      <w:pPr>
        <w:spacing w:line="360" w:lineRule="auto"/>
        <w:ind w:firstLine="480" w:firstLineChars="200"/>
        <w:rPr>
          <w:rFonts w:ascii="宋体" w:hAnsi="宋体"/>
          <w:kern w:val="0"/>
          <w:sz w:val="24"/>
        </w:rPr>
      </w:pPr>
      <w:r>
        <w:rPr>
          <w:rFonts w:hint="eastAsia" w:ascii="宋体" w:hAnsi="宋体"/>
          <w:kern w:val="0"/>
          <w:sz w:val="24"/>
        </w:rPr>
        <w:t>单位工程先于全部工程进行验收，经验收合格并交付使用的，该单位工程缺陷责任期自单位工程验收合格之日起算。</w:t>
      </w:r>
    </w:p>
    <w:p w14:paraId="3E26DE24">
      <w:pPr>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41</w:t>
      </w:r>
      <w:r>
        <w:rPr>
          <w:rFonts w:hint="eastAsia" w:ascii="宋体" w:hAnsi="宋体"/>
          <w:kern w:val="0"/>
          <w:sz w:val="24"/>
        </w:rPr>
        <w:t>质量保证金：是指发包人与承包人在本合同中约定，从应付的工程款中预留，用以保证承包人在缺陷责任期和质量保修期内对建设工程出现的缺陷进行维修的资金。</w:t>
      </w:r>
    </w:p>
    <w:p w14:paraId="5973B2D3">
      <w:pPr>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42</w:t>
      </w:r>
      <w:r>
        <w:rPr>
          <w:rFonts w:hint="eastAsia" w:ascii="宋体" w:hAnsi="宋体"/>
          <w:kern w:val="0"/>
          <w:sz w:val="24"/>
        </w:rPr>
        <w:t>工程保险：是指发包人与承包人在本合同中约定，</w:t>
      </w:r>
      <w:r>
        <w:rPr>
          <w:rFonts w:hint="eastAsia" w:ascii="宋体" w:hAnsi="宋体" w:cs="宋体"/>
          <w:bCs/>
          <w:snapToGrid w:val="0"/>
          <w:kern w:val="0"/>
          <w:sz w:val="24"/>
        </w:rPr>
        <w:t>由承包人</w:t>
      </w:r>
      <w:r>
        <w:rPr>
          <w:rFonts w:hint="eastAsia" w:ascii="宋体" w:hAnsi="宋体"/>
          <w:kern w:val="0"/>
          <w:sz w:val="24"/>
        </w:rPr>
        <w:t>购买的建筑工程一切险、安装工程一切险（为合同工程办理）、第三者责任险（为第三者办理）</w:t>
      </w:r>
      <w:r>
        <w:rPr>
          <w:rFonts w:hint="eastAsia" w:ascii="宋体" w:hAnsi="宋体" w:cs="宋体"/>
          <w:bCs/>
          <w:snapToGrid w:val="0"/>
          <w:kern w:val="0"/>
          <w:sz w:val="24"/>
        </w:rPr>
        <w:t>、及其</w:t>
      </w:r>
      <w:r>
        <w:rPr>
          <w:rFonts w:hint="eastAsia" w:ascii="宋体" w:hAnsi="宋体"/>
          <w:kern w:val="0"/>
          <w:sz w:val="24"/>
        </w:rPr>
        <w:t>他保险（为运至施工场地内用于永久工程材料和待安装工程设备办理）。保险期从办理保险之日起至工程竣工验收合格之日止。</w:t>
      </w:r>
    </w:p>
    <w:p w14:paraId="32825021">
      <w:pPr>
        <w:spacing w:line="360" w:lineRule="auto"/>
        <w:ind w:firstLine="480" w:firstLineChars="200"/>
        <w:rPr>
          <w:rFonts w:ascii="宋体" w:hAnsi="宋体" w:cs="宋体"/>
          <w:bCs/>
          <w:snapToGrid w:val="0"/>
          <w:kern w:val="0"/>
          <w:sz w:val="24"/>
        </w:rPr>
      </w:pPr>
      <w:r>
        <w:rPr>
          <w:rFonts w:hint="eastAsia" w:ascii="宋体" w:hAnsi="宋体"/>
          <w:kern w:val="0"/>
          <w:sz w:val="24"/>
        </w:rPr>
        <w:t>1.</w:t>
      </w:r>
      <w:r>
        <w:rPr>
          <w:rFonts w:hint="eastAsia" w:ascii="宋体" w:hAnsi="宋体" w:cs="宋体"/>
          <w:bCs/>
          <w:snapToGrid w:val="0"/>
          <w:kern w:val="0"/>
          <w:sz w:val="24"/>
        </w:rPr>
        <w:t>43 概（预）算：是指本工程建筑安装工程费（施工费）、勘察费、</w:t>
      </w:r>
      <w:r>
        <w:rPr>
          <w:rFonts w:hint="eastAsia" w:ascii="宋体" w:hAnsi="宋体" w:cs="宋体"/>
          <w:snapToGrid w:val="0"/>
          <w:sz w:val="24"/>
        </w:rPr>
        <w:t>设计费（含</w:t>
      </w:r>
      <w:r>
        <w:rPr>
          <w:rFonts w:hint="eastAsia" w:ascii="宋体" w:hAnsi="宋体" w:cs="宋体"/>
          <w:snapToGrid w:val="0"/>
          <w:color w:val="C00000"/>
          <w:sz w:val="24"/>
        </w:rPr>
        <w:t>海绵城市设计等</w:t>
      </w:r>
      <w:r>
        <w:rPr>
          <w:rFonts w:hint="eastAsia" w:ascii="宋体" w:hAnsi="宋体" w:cs="宋体"/>
          <w:snapToGrid w:val="0"/>
          <w:sz w:val="24"/>
        </w:rPr>
        <w:t>）</w:t>
      </w:r>
      <w:r>
        <w:rPr>
          <w:rFonts w:hint="eastAsia" w:ascii="宋体" w:hAnsi="宋体" w:cs="宋体"/>
          <w:bCs/>
          <w:snapToGrid w:val="0"/>
          <w:kern w:val="0"/>
          <w:sz w:val="24"/>
        </w:rPr>
        <w:t>等本工程合同承包范围内各项费用之和。</w:t>
      </w:r>
    </w:p>
    <w:p w14:paraId="6A98D6E1">
      <w:pPr>
        <w:spacing w:line="360" w:lineRule="auto"/>
        <w:ind w:firstLine="480" w:firstLineChars="200"/>
        <w:rPr>
          <w:rFonts w:ascii="宋体" w:hAnsi="宋体"/>
          <w:kern w:val="0"/>
          <w:sz w:val="24"/>
        </w:rPr>
      </w:pPr>
      <w:r>
        <w:rPr>
          <w:rFonts w:hint="eastAsia" w:ascii="宋体" w:hAnsi="宋体" w:cs="宋体"/>
          <w:bCs/>
          <w:snapToGrid w:val="0"/>
          <w:kern w:val="0"/>
          <w:sz w:val="24"/>
        </w:rPr>
        <w:t xml:space="preserve">1.44 </w:t>
      </w:r>
      <w:r>
        <w:rPr>
          <w:rFonts w:hint="eastAsia" w:ascii="宋体" w:hAnsi="宋体"/>
          <w:kern w:val="0"/>
          <w:sz w:val="24"/>
        </w:rPr>
        <w:t>暂估价：发包人在工程量清单中提供的用于支付必然发生但暂时不能确定价格的材料、工程设备的单价以及专业工程的金额。</w:t>
      </w:r>
    </w:p>
    <w:p w14:paraId="6D18C9F8">
      <w:pPr>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45</w:t>
      </w:r>
      <w:r>
        <w:rPr>
          <w:rFonts w:hint="eastAsia" w:ascii="宋体" w:hAnsi="宋体"/>
          <w:kern w:val="0"/>
          <w:sz w:val="24"/>
        </w:rPr>
        <w:t xml:space="preserve"> 暂列金额：发包人在工程量清单中暂定并包括在合同价款中的一笔款项。用于施工合同签订时尚未确定或者不可预见的所需材料、设备、服务的采购，施工中可能发生的工程变更、合同约定调整因素出现时的工程价款调整以及发生的索赔、现场签证确认等的费用。</w:t>
      </w:r>
    </w:p>
    <w:p w14:paraId="3194A6AD">
      <w:pPr>
        <w:spacing w:line="360" w:lineRule="auto"/>
        <w:ind w:firstLine="480" w:firstLineChars="200"/>
        <w:rPr>
          <w:rFonts w:ascii="宋体" w:hAnsi="宋体"/>
          <w:kern w:val="0"/>
          <w:sz w:val="24"/>
        </w:rPr>
      </w:pPr>
      <w:r>
        <w:rPr>
          <w:rFonts w:hint="eastAsia" w:ascii="宋体" w:hAnsi="宋体"/>
          <w:kern w:val="0"/>
          <w:sz w:val="24"/>
        </w:rPr>
        <w:t>1.</w:t>
      </w:r>
      <w:r>
        <w:rPr>
          <w:rFonts w:hint="eastAsia" w:ascii="宋体" w:hAnsi="宋体" w:cs="宋体"/>
          <w:bCs/>
          <w:snapToGrid w:val="0"/>
          <w:kern w:val="0"/>
          <w:sz w:val="24"/>
        </w:rPr>
        <w:t>46</w:t>
      </w:r>
      <w:r>
        <w:rPr>
          <w:rFonts w:hint="eastAsia" w:ascii="宋体" w:hAnsi="宋体"/>
          <w:kern w:val="0"/>
          <w:sz w:val="24"/>
        </w:rPr>
        <w:t xml:space="preserve"> 总承包服务费：总承包人为配合协调</w:t>
      </w:r>
      <w:r>
        <w:rPr>
          <w:rFonts w:hint="eastAsia" w:ascii="宋体" w:hAnsi="宋体" w:cs="宋体"/>
          <w:bCs/>
          <w:snapToGrid w:val="0"/>
          <w:kern w:val="0"/>
          <w:sz w:val="24"/>
        </w:rPr>
        <w:t>发包人进行的</w:t>
      </w:r>
      <w:r>
        <w:rPr>
          <w:rFonts w:hint="eastAsia" w:ascii="宋体" w:hAnsi="宋体"/>
          <w:kern w:val="0"/>
          <w:sz w:val="24"/>
        </w:rPr>
        <w:t>专业</w:t>
      </w:r>
      <w:r>
        <w:rPr>
          <w:rFonts w:hint="eastAsia" w:ascii="宋体" w:hAnsi="宋体" w:cs="宋体"/>
          <w:bCs/>
          <w:snapToGrid w:val="0"/>
          <w:kern w:val="0"/>
          <w:sz w:val="24"/>
        </w:rPr>
        <w:t>工程分包，</w:t>
      </w:r>
      <w:r>
        <w:rPr>
          <w:rFonts w:hint="eastAsia" w:ascii="宋体" w:hAnsi="宋体"/>
          <w:kern w:val="0"/>
          <w:sz w:val="24"/>
        </w:rPr>
        <w:t>专业</w:t>
      </w:r>
      <w:r>
        <w:rPr>
          <w:rFonts w:hint="eastAsia" w:ascii="宋体" w:hAnsi="宋体" w:cs="宋体"/>
          <w:bCs/>
          <w:snapToGrid w:val="0"/>
          <w:kern w:val="0"/>
          <w:sz w:val="24"/>
        </w:rPr>
        <w:t>分包人自行</w:t>
      </w:r>
      <w:r>
        <w:rPr>
          <w:rFonts w:hint="eastAsia" w:ascii="宋体" w:hAnsi="宋体"/>
          <w:kern w:val="0"/>
          <w:sz w:val="24"/>
        </w:rPr>
        <w:t>采购的设备、材料等进行保管以及施工现场管理、竣工资料汇总整理等服务所需的费用</w:t>
      </w:r>
      <w:r>
        <w:rPr>
          <w:rFonts w:hint="eastAsia" w:ascii="宋体" w:hAnsi="宋体" w:cs="宋体"/>
          <w:bCs/>
          <w:snapToGrid w:val="0"/>
          <w:kern w:val="0"/>
          <w:sz w:val="24"/>
        </w:rPr>
        <w:t>由</w:t>
      </w:r>
      <w:r>
        <w:rPr>
          <w:rFonts w:hint="eastAsia" w:ascii="宋体" w:hAnsi="宋体"/>
          <w:bCs/>
          <w:snapToGrid w:val="0"/>
          <w:kern w:val="0"/>
          <w:sz w:val="24"/>
        </w:rPr>
        <w:t>专业分包人</w:t>
      </w:r>
      <w:r>
        <w:rPr>
          <w:rFonts w:hint="eastAsia" w:ascii="宋体" w:hAnsi="宋体" w:cs="宋体"/>
          <w:bCs/>
          <w:snapToGrid w:val="0"/>
          <w:kern w:val="0"/>
          <w:sz w:val="24"/>
        </w:rPr>
        <w:t>承担</w:t>
      </w:r>
      <w:r>
        <w:rPr>
          <w:rFonts w:hint="eastAsia" w:ascii="宋体" w:hAnsi="宋体"/>
          <w:kern w:val="0"/>
          <w:sz w:val="24"/>
        </w:rPr>
        <w:t>。</w:t>
      </w:r>
      <w:r>
        <w:rPr>
          <w:rFonts w:hint="eastAsia" w:ascii="宋体" w:hAnsi="宋体"/>
          <w:kern w:val="0"/>
          <w:sz w:val="24"/>
          <w:lang w:eastAsia="zh-CN"/>
        </w:rPr>
        <w:t>（</w:t>
      </w:r>
      <w:r>
        <w:rPr>
          <w:rFonts w:hint="eastAsia" w:ascii="宋体" w:hAnsi="宋体"/>
          <w:kern w:val="0"/>
          <w:sz w:val="24"/>
          <w:lang w:val="en-US" w:eastAsia="zh-CN"/>
        </w:rPr>
        <w:t>不适用</w:t>
      </w:r>
      <w:r>
        <w:rPr>
          <w:rFonts w:hint="eastAsia" w:ascii="宋体" w:hAnsi="宋体"/>
          <w:kern w:val="0"/>
          <w:sz w:val="24"/>
          <w:lang w:eastAsia="zh-CN"/>
        </w:rPr>
        <w:t>）</w:t>
      </w:r>
      <w:r>
        <w:rPr>
          <w:rFonts w:hint="eastAsia" w:ascii="宋体" w:hAnsi="宋体"/>
          <w:kern w:val="0"/>
          <w:sz w:val="24"/>
        </w:rPr>
        <w:t>。</w:t>
      </w:r>
    </w:p>
    <w:p w14:paraId="6C96F9E3">
      <w:pPr>
        <w:spacing w:line="360" w:lineRule="auto"/>
        <w:ind w:firstLine="482" w:firstLineChars="200"/>
        <w:outlineLvl w:val="1"/>
        <w:rPr>
          <w:rFonts w:ascii="宋体" w:hAnsi="宋体"/>
          <w:b/>
          <w:kern w:val="0"/>
          <w:sz w:val="24"/>
        </w:rPr>
      </w:pPr>
      <w:bookmarkStart w:id="176" w:name="_Toc24263_WPSOffice_Level3"/>
      <w:bookmarkStart w:id="177" w:name="_Toc518402572"/>
      <w:bookmarkStart w:id="178" w:name="_Toc144745945"/>
      <w:bookmarkStart w:id="179" w:name="_Toc14257"/>
      <w:bookmarkStart w:id="180" w:name="_Toc504465878"/>
      <w:bookmarkStart w:id="181" w:name="_Toc144746863"/>
      <w:bookmarkStart w:id="182" w:name="_Toc28642"/>
      <w:bookmarkStart w:id="183" w:name="_Toc502215475"/>
      <w:bookmarkStart w:id="184" w:name="_Toc104901755"/>
      <w:bookmarkStart w:id="185" w:name="_Toc1038"/>
      <w:r>
        <w:rPr>
          <w:rFonts w:hint="eastAsia" w:ascii="宋体" w:hAnsi="宋体"/>
          <w:b/>
          <w:kern w:val="0"/>
          <w:sz w:val="24"/>
        </w:rPr>
        <w:t>2、合同文件及解释顺序</w:t>
      </w:r>
      <w:bookmarkEnd w:id="176"/>
      <w:bookmarkEnd w:id="177"/>
      <w:bookmarkEnd w:id="178"/>
      <w:bookmarkEnd w:id="179"/>
      <w:bookmarkEnd w:id="180"/>
      <w:bookmarkEnd w:id="181"/>
      <w:bookmarkEnd w:id="182"/>
      <w:bookmarkEnd w:id="183"/>
      <w:bookmarkEnd w:id="184"/>
      <w:bookmarkEnd w:id="185"/>
    </w:p>
    <w:p w14:paraId="04875EB5">
      <w:pPr>
        <w:spacing w:line="360" w:lineRule="auto"/>
        <w:ind w:firstLine="480" w:firstLineChars="200"/>
        <w:rPr>
          <w:rFonts w:ascii="宋体" w:hAnsi="宋体"/>
          <w:kern w:val="0"/>
          <w:sz w:val="24"/>
        </w:rPr>
      </w:pPr>
      <w:r>
        <w:rPr>
          <w:rFonts w:hint="eastAsia" w:ascii="宋体" w:hAnsi="宋体"/>
          <w:kern w:val="0"/>
          <w:sz w:val="24"/>
        </w:rPr>
        <w:t>合同文件应能相互解释，互为说明。组成本合同的文件及优先解释顺序按合同协议书第7条的约定执行。</w:t>
      </w:r>
    </w:p>
    <w:p w14:paraId="1D27C7EC">
      <w:pPr>
        <w:spacing w:line="360" w:lineRule="auto"/>
        <w:ind w:firstLine="480" w:firstLineChars="200"/>
        <w:rPr>
          <w:rFonts w:ascii="宋体" w:hAnsi="宋体"/>
          <w:kern w:val="0"/>
          <w:sz w:val="24"/>
        </w:rPr>
      </w:pPr>
      <w:r>
        <w:rPr>
          <w:rFonts w:hint="eastAsia" w:ascii="宋体" w:hAnsi="宋体"/>
          <w:kern w:val="0"/>
          <w:sz w:val="24"/>
        </w:rPr>
        <w:t>合同履行中，发包人、承包人有关工程的洽商、变更等书面协议或文件视为本合同的组成部分。</w:t>
      </w:r>
    </w:p>
    <w:p w14:paraId="2DD55015">
      <w:pPr>
        <w:spacing w:line="360" w:lineRule="auto"/>
        <w:ind w:firstLine="482" w:firstLineChars="200"/>
        <w:outlineLvl w:val="1"/>
        <w:rPr>
          <w:rFonts w:ascii="宋体" w:hAnsi="宋体"/>
          <w:b/>
          <w:kern w:val="0"/>
          <w:sz w:val="24"/>
        </w:rPr>
      </w:pPr>
      <w:bookmarkStart w:id="186" w:name="_Toc518402573"/>
      <w:bookmarkStart w:id="187" w:name="_Toc502215476"/>
      <w:bookmarkStart w:id="188" w:name="_Toc27742"/>
      <w:bookmarkStart w:id="189" w:name="_Toc504465879"/>
      <w:bookmarkStart w:id="190" w:name="_Toc31759"/>
      <w:bookmarkStart w:id="191" w:name="_Toc104901756"/>
      <w:bookmarkStart w:id="192" w:name="_Toc13013_WPSOffice_Level3"/>
      <w:bookmarkStart w:id="193" w:name="_Toc144746864"/>
      <w:bookmarkStart w:id="194" w:name="_Toc144745946"/>
      <w:bookmarkStart w:id="195" w:name="_Toc11980"/>
      <w:r>
        <w:rPr>
          <w:rFonts w:hint="eastAsia" w:ascii="宋体" w:hAnsi="宋体"/>
          <w:b/>
          <w:kern w:val="0"/>
          <w:sz w:val="24"/>
        </w:rPr>
        <w:t>3、语言文字和适用法律、标准及规范</w:t>
      </w:r>
      <w:bookmarkEnd w:id="186"/>
      <w:bookmarkEnd w:id="187"/>
      <w:bookmarkEnd w:id="188"/>
      <w:bookmarkEnd w:id="189"/>
      <w:bookmarkEnd w:id="190"/>
      <w:bookmarkEnd w:id="191"/>
      <w:bookmarkEnd w:id="192"/>
      <w:bookmarkEnd w:id="193"/>
      <w:bookmarkEnd w:id="194"/>
      <w:bookmarkEnd w:id="195"/>
    </w:p>
    <w:p w14:paraId="7692A7E2">
      <w:pPr>
        <w:spacing w:line="360" w:lineRule="auto"/>
        <w:ind w:firstLine="480" w:firstLineChars="200"/>
        <w:rPr>
          <w:rFonts w:ascii="宋体" w:hAnsi="宋体"/>
          <w:kern w:val="0"/>
          <w:sz w:val="24"/>
        </w:rPr>
      </w:pPr>
      <w:r>
        <w:rPr>
          <w:rFonts w:hint="eastAsia" w:ascii="宋体" w:hAnsi="宋体"/>
          <w:kern w:val="0"/>
          <w:sz w:val="24"/>
        </w:rPr>
        <w:t>3.1语言文字</w:t>
      </w:r>
    </w:p>
    <w:p w14:paraId="7BDAADBF">
      <w:pPr>
        <w:spacing w:line="360" w:lineRule="auto"/>
        <w:ind w:firstLine="480" w:firstLineChars="200"/>
        <w:rPr>
          <w:rFonts w:ascii="宋体" w:hAnsi="宋体"/>
          <w:kern w:val="0"/>
          <w:sz w:val="24"/>
        </w:rPr>
      </w:pPr>
      <w:r>
        <w:rPr>
          <w:rFonts w:hint="eastAsia" w:ascii="宋体" w:hAnsi="宋体"/>
          <w:kern w:val="0"/>
          <w:sz w:val="24"/>
        </w:rPr>
        <w:t>本合同文件使用汉语语言文字书写、解释和说明。</w:t>
      </w:r>
    </w:p>
    <w:p w14:paraId="1BF94568">
      <w:pPr>
        <w:spacing w:line="360" w:lineRule="auto"/>
        <w:ind w:firstLine="480" w:firstLineChars="200"/>
        <w:rPr>
          <w:rFonts w:ascii="宋体" w:hAnsi="宋体"/>
          <w:kern w:val="0"/>
          <w:sz w:val="24"/>
        </w:rPr>
      </w:pPr>
      <w:r>
        <w:rPr>
          <w:rFonts w:hint="eastAsia" w:ascii="宋体" w:hAnsi="宋体"/>
          <w:kern w:val="0"/>
          <w:sz w:val="24"/>
        </w:rPr>
        <w:t>3.2适用法律和法规</w:t>
      </w:r>
    </w:p>
    <w:p w14:paraId="6690DC42">
      <w:pPr>
        <w:spacing w:line="360" w:lineRule="auto"/>
        <w:ind w:firstLine="480" w:firstLineChars="200"/>
        <w:rPr>
          <w:rFonts w:ascii="宋体" w:hAnsi="宋体"/>
          <w:kern w:val="0"/>
          <w:sz w:val="24"/>
        </w:rPr>
      </w:pPr>
      <w:r>
        <w:rPr>
          <w:rFonts w:hint="eastAsia" w:ascii="宋体" w:hAnsi="宋体"/>
          <w:kern w:val="0"/>
          <w:sz w:val="24"/>
        </w:rPr>
        <w:t>适用于本合同的法律法规是中华人民共和国法律、法规，合同约定的部门规章及工程所在地的地方法规。</w:t>
      </w:r>
    </w:p>
    <w:p w14:paraId="6C77C199">
      <w:pPr>
        <w:spacing w:line="360" w:lineRule="auto"/>
        <w:ind w:firstLine="480" w:firstLineChars="200"/>
        <w:rPr>
          <w:rFonts w:ascii="宋体" w:hAnsi="宋体"/>
          <w:kern w:val="0"/>
          <w:sz w:val="24"/>
        </w:rPr>
      </w:pPr>
      <w:r>
        <w:rPr>
          <w:rFonts w:hint="eastAsia" w:ascii="宋体" w:hAnsi="宋体"/>
          <w:kern w:val="0"/>
          <w:sz w:val="24"/>
        </w:rPr>
        <w:t>需要明示的法律、行政法规为：《中华人民共和国民法典》、《中华人民共和国建筑法》、《中华人民共和国招标投标法》、《中华人民共和国城乡规划法》、《建设工程勘察设计管理条例》、《建设工程质量管理条例》、《建设工程安全管理条例》。</w:t>
      </w:r>
    </w:p>
    <w:p w14:paraId="52555BD2">
      <w:pPr>
        <w:spacing w:line="360" w:lineRule="auto"/>
        <w:ind w:firstLine="480" w:firstLineChars="200"/>
        <w:rPr>
          <w:rFonts w:ascii="宋体" w:hAnsi="宋体"/>
          <w:kern w:val="0"/>
          <w:sz w:val="24"/>
        </w:rPr>
      </w:pPr>
      <w:r>
        <w:rPr>
          <w:rFonts w:hint="eastAsia" w:ascii="宋体" w:hAnsi="宋体"/>
          <w:kern w:val="0"/>
          <w:sz w:val="24"/>
        </w:rPr>
        <w:t>3.3适用标准、规范</w:t>
      </w:r>
    </w:p>
    <w:p w14:paraId="6ECDDAAA">
      <w:pPr>
        <w:spacing w:line="360" w:lineRule="auto"/>
        <w:ind w:firstLine="480" w:firstLineChars="200"/>
        <w:rPr>
          <w:rFonts w:ascii="宋体" w:hAnsi="宋体"/>
          <w:kern w:val="0"/>
          <w:sz w:val="24"/>
        </w:rPr>
      </w:pPr>
      <w:r>
        <w:rPr>
          <w:rFonts w:hint="eastAsia" w:ascii="宋体" w:hAnsi="宋体"/>
          <w:kern w:val="0"/>
          <w:sz w:val="24"/>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14:paraId="050FC05F">
      <w:pPr>
        <w:spacing w:line="360" w:lineRule="auto"/>
        <w:ind w:firstLine="480" w:firstLineChars="200"/>
        <w:rPr>
          <w:rFonts w:ascii="宋体" w:hAnsi="宋体"/>
          <w:kern w:val="0"/>
          <w:sz w:val="24"/>
        </w:rPr>
      </w:pPr>
      <w:r>
        <w:rPr>
          <w:rFonts w:hint="eastAsia" w:ascii="宋体" w:hAnsi="宋体"/>
          <w:kern w:val="0"/>
          <w:sz w:val="24"/>
        </w:rPr>
        <w:t>国内没有相应标准、规范的，由发包人向承包人提出施工技术要求，承包人按约定的时间和要求提出施工工艺经发包人认可后执行。发包人要求使用国外标准、规范的，应负责提供中文译本。</w:t>
      </w:r>
    </w:p>
    <w:p w14:paraId="1F444997">
      <w:pPr>
        <w:spacing w:line="360" w:lineRule="auto"/>
        <w:ind w:firstLine="480" w:firstLineChars="200"/>
        <w:rPr>
          <w:rFonts w:ascii="宋体" w:hAnsi="宋体"/>
          <w:kern w:val="0"/>
          <w:sz w:val="24"/>
        </w:rPr>
      </w:pPr>
      <w:r>
        <w:rPr>
          <w:rFonts w:hint="eastAsia" w:ascii="宋体" w:hAnsi="宋体"/>
          <w:kern w:val="0"/>
          <w:sz w:val="24"/>
        </w:rPr>
        <w:t>本条所发生的购买、翻译标准、规范或制定施工工艺的费用，</w:t>
      </w:r>
      <w:r>
        <w:rPr>
          <w:rFonts w:hint="eastAsia" w:ascii="宋体" w:hAnsi="宋体" w:cs="宋体"/>
          <w:sz w:val="24"/>
          <w:szCs w:val="24"/>
        </w:rPr>
        <w:t>经发包人确认后，</w:t>
      </w:r>
      <w:r>
        <w:rPr>
          <w:rFonts w:hint="eastAsia" w:ascii="宋体" w:hAnsi="宋体"/>
          <w:kern w:val="0"/>
          <w:sz w:val="24"/>
        </w:rPr>
        <w:t>由发包人承担。</w:t>
      </w:r>
    </w:p>
    <w:p w14:paraId="2D33027F">
      <w:pPr>
        <w:spacing w:line="360" w:lineRule="auto"/>
        <w:ind w:firstLine="482" w:firstLineChars="200"/>
        <w:outlineLvl w:val="1"/>
        <w:rPr>
          <w:rFonts w:ascii="宋体" w:hAnsi="宋体" w:cs="宋体"/>
          <w:b/>
          <w:bCs/>
          <w:snapToGrid w:val="0"/>
          <w:kern w:val="0"/>
          <w:sz w:val="24"/>
        </w:rPr>
      </w:pPr>
      <w:bookmarkStart w:id="196" w:name="_Toc504465880"/>
      <w:bookmarkStart w:id="197" w:name="_Toc518402574"/>
      <w:bookmarkStart w:id="198" w:name="_Toc24422"/>
      <w:bookmarkStart w:id="199" w:name="_Toc502215477"/>
      <w:bookmarkStart w:id="200" w:name="_Toc2679"/>
      <w:bookmarkStart w:id="201" w:name="_Toc144746865"/>
      <w:bookmarkStart w:id="202" w:name="_Toc144745947"/>
      <w:bookmarkStart w:id="203" w:name="_Toc30750"/>
      <w:r>
        <w:rPr>
          <w:rFonts w:hint="eastAsia" w:ascii="宋体" w:hAnsi="宋体" w:cs="宋体"/>
          <w:b/>
          <w:bCs/>
          <w:snapToGrid w:val="0"/>
          <w:kern w:val="0"/>
          <w:sz w:val="24"/>
        </w:rPr>
        <w:t>4、设计成果文件</w:t>
      </w:r>
      <w:bookmarkEnd w:id="196"/>
      <w:bookmarkEnd w:id="197"/>
      <w:bookmarkEnd w:id="198"/>
      <w:bookmarkEnd w:id="199"/>
      <w:bookmarkEnd w:id="200"/>
      <w:bookmarkEnd w:id="201"/>
      <w:bookmarkEnd w:id="202"/>
      <w:bookmarkEnd w:id="203"/>
    </w:p>
    <w:p w14:paraId="79470399">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4.1本合同约定由承包人负责设计的成果文件，其设计成果文件须按约定提交给发包人；承包人需将经施工图审查合格后的设计成果文件报发包人备案。</w:t>
      </w:r>
    </w:p>
    <w:p w14:paraId="599F64BA">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4.2对设计成果文件的保密要求：承包人因本项目所知悉或获得的一切发包人资料、信息或其他与项目相关的文件等以及所制作的设计成果文件，未经发包人许可，承包人不得用于本工程以外的项目或者以任何形式复制或转借、出让、泄露给第三方。保密措施费用由承包人自行承担。</w:t>
      </w:r>
    </w:p>
    <w:p w14:paraId="2763E232">
      <w:pPr>
        <w:widowControl/>
        <w:tabs>
          <w:tab w:val="left" w:pos="5475"/>
        </w:tabs>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4.3承包人应在施工现场保留一套完整施工图纸，供总监理工程师及有关人员进行工程检查时使用。</w:t>
      </w:r>
    </w:p>
    <w:p w14:paraId="0D32D0CF">
      <w:pPr>
        <w:pStyle w:val="27"/>
        <w:spacing w:line="360" w:lineRule="auto"/>
        <w:ind w:firstLine="562" w:firstLineChars="200"/>
        <w:outlineLvl w:val="0"/>
        <w:rPr>
          <w:rFonts w:ascii="宋体" w:hAnsi="宋体"/>
          <w:b/>
          <w:sz w:val="28"/>
        </w:rPr>
      </w:pPr>
      <w:bookmarkStart w:id="204" w:name="_Toc104901757"/>
      <w:bookmarkStart w:id="205" w:name="_Toc13429_WPSOffice_Level2"/>
      <w:r>
        <w:rPr>
          <w:rFonts w:hint="eastAsia" w:ascii="宋体" w:hAnsi="宋体"/>
          <w:b/>
          <w:sz w:val="28"/>
        </w:rPr>
        <w:t>二、各方一般权利和义务</w:t>
      </w:r>
      <w:bookmarkEnd w:id="204"/>
      <w:bookmarkEnd w:id="205"/>
    </w:p>
    <w:p w14:paraId="51FC0CA7">
      <w:pPr>
        <w:spacing w:line="360" w:lineRule="auto"/>
        <w:ind w:firstLine="482" w:firstLineChars="200"/>
        <w:outlineLvl w:val="1"/>
        <w:rPr>
          <w:rFonts w:ascii="宋体" w:hAnsi="宋体"/>
          <w:b/>
          <w:kern w:val="0"/>
          <w:sz w:val="24"/>
        </w:rPr>
      </w:pPr>
      <w:bookmarkStart w:id="206" w:name="_Toc104901758"/>
      <w:bookmarkStart w:id="207" w:name="_Toc32276"/>
      <w:bookmarkStart w:id="208" w:name="_Toc144745948"/>
      <w:bookmarkStart w:id="209" w:name="_Toc28343_WPSOffice_Level3"/>
      <w:bookmarkStart w:id="210" w:name="_Toc144746866"/>
      <w:bookmarkStart w:id="211" w:name="_Toc9639"/>
      <w:bookmarkStart w:id="212" w:name="_Toc20532"/>
      <w:r>
        <w:rPr>
          <w:rFonts w:hint="eastAsia" w:ascii="宋体" w:hAnsi="宋体" w:cs="宋体"/>
          <w:b/>
          <w:bCs/>
          <w:snapToGrid w:val="0"/>
          <w:kern w:val="0"/>
          <w:sz w:val="24"/>
        </w:rPr>
        <w:t>5</w:t>
      </w:r>
      <w:r>
        <w:rPr>
          <w:rFonts w:hint="eastAsia" w:ascii="宋体" w:hAnsi="宋体"/>
          <w:b/>
          <w:kern w:val="0"/>
          <w:sz w:val="24"/>
        </w:rPr>
        <w:t>、监理单位的工作范围和内容</w:t>
      </w:r>
      <w:bookmarkEnd w:id="206"/>
      <w:bookmarkEnd w:id="207"/>
      <w:bookmarkEnd w:id="208"/>
      <w:bookmarkEnd w:id="209"/>
      <w:bookmarkEnd w:id="210"/>
      <w:bookmarkEnd w:id="211"/>
      <w:bookmarkEnd w:id="212"/>
    </w:p>
    <w:p w14:paraId="58DBB8C9">
      <w:pPr>
        <w:tabs>
          <w:tab w:val="left" w:pos="5475"/>
        </w:tabs>
        <w:spacing w:line="360" w:lineRule="auto"/>
        <w:ind w:right="11" w:firstLine="480" w:firstLineChars="200"/>
        <w:rPr>
          <w:rFonts w:ascii="宋体" w:hAnsi="宋体"/>
          <w:kern w:val="0"/>
          <w:sz w:val="24"/>
        </w:rPr>
      </w:pPr>
      <w:r>
        <w:rPr>
          <w:rFonts w:hint="eastAsia" w:ascii="宋体" w:hAnsi="宋体" w:cs="宋体"/>
          <w:sz w:val="24"/>
        </w:rPr>
        <w:t>5</w:t>
      </w:r>
      <w:r>
        <w:rPr>
          <w:rFonts w:hint="eastAsia" w:ascii="宋体" w:hAnsi="宋体"/>
          <w:sz w:val="24"/>
        </w:rPr>
        <w:t>.1监理范围和内容：本工程项目的</w:t>
      </w:r>
      <w:r>
        <w:rPr>
          <w:rFonts w:hint="eastAsia" w:ascii="宋体" w:hAnsi="宋体" w:cs="宋体"/>
          <w:sz w:val="24"/>
        </w:rPr>
        <w:t>设计阶段、</w:t>
      </w:r>
      <w:r>
        <w:rPr>
          <w:rFonts w:hint="eastAsia" w:ascii="宋体" w:hAnsi="宋体"/>
          <w:sz w:val="24"/>
        </w:rPr>
        <w:t>施工准备阶段、施工阶段、保修阶段全过程监理服务及工程结算审核及协调等相关工作。</w:t>
      </w:r>
      <w:bookmarkStart w:id="213" w:name="_Toc504465882"/>
      <w:bookmarkStart w:id="214" w:name="_Toc518402576"/>
      <w:bookmarkStart w:id="215" w:name="_Toc502215479"/>
    </w:p>
    <w:p w14:paraId="3CD2814A">
      <w:pPr>
        <w:spacing w:line="360" w:lineRule="auto"/>
        <w:ind w:right="11" w:firstLine="480" w:firstLineChars="200"/>
        <w:rPr>
          <w:rFonts w:ascii="宋体" w:hAnsi="宋体" w:cs="宋体"/>
          <w:bCs/>
          <w:snapToGrid w:val="0"/>
          <w:kern w:val="0"/>
          <w:sz w:val="24"/>
        </w:rPr>
      </w:pPr>
      <w:r>
        <w:rPr>
          <w:rFonts w:hint="eastAsia" w:ascii="宋体" w:hAnsi="宋体" w:cs="宋体"/>
          <w:bCs/>
          <w:snapToGrid w:val="0"/>
          <w:kern w:val="0"/>
          <w:sz w:val="24"/>
        </w:rPr>
        <w:t>5.1.1设计阶段：</w:t>
      </w:r>
    </w:p>
    <w:p w14:paraId="2F0C1023">
      <w:pPr>
        <w:spacing w:line="360" w:lineRule="auto"/>
        <w:ind w:right="11" w:firstLine="480" w:firstLineChars="200"/>
        <w:rPr>
          <w:rFonts w:ascii="宋体" w:hAnsi="宋体" w:cs="宋体"/>
          <w:bCs/>
          <w:snapToGrid w:val="0"/>
          <w:kern w:val="0"/>
          <w:sz w:val="24"/>
        </w:rPr>
      </w:pPr>
      <w:r>
        <w:rPr>
          <w:rFonts w:hint="eastAsia" w:ascii="宋体" w:hAnsi="宋体" w:cs="宋体"/>
          <w:bCs/>
          <w:snapToGrid w:val="0"/>
          <w:kern w:val="0"/>
          <w:sz w:val="24"/>
        </w:rPr>
        <w:t>（1）督促并控制设计单位按照委托设计合同约定的日期，保质、保量、准时交付施工图及概算文件。</w:t>
      </w:r>
    </w:p>
    <w:p w14:paraId="6B866889">
      <w:pPr>
        <w:spacing w:line="360" w:lineRule="auto"/>
        <w:ind w:right="11" w:firstLine="480" w:firstLineChars="200"/>
        <w:rPr>
          <w:rFonts w:ascii="宋体" w:hAnsi="宋体" w:cs="宋体"/>
          <w:bCs/>
          <w:snapToGrid w:val="0"/>
          <w:kern w:val="0"/>
          <w:sz w:val="24"/>
        </w:rPr>
      </w:pPr>
      <w:r>
        <w:rPr>
          <w:rFonts w:hint="eastAsia" w:ascii="宋体" w:hAnsi="宋体" w:cs="宋体"/>
          <w:bCs/>
          <w:snapToGrid w:val="0"/>
          <w:kern w:val="0"/>
          <w:sz w:val="24"/>
        </w:rPr>
        <w:t>（2）对设计过程进行跟踪监理，必要时，会同建设单位组织对单位工程施工图的中间检查验收，并提出评估报告。</w:t>
      </w:r>
    </w:p>
    <w:p w14:paraId="2E7B7C8B">
      <w:pPr>
        <w:spacing w:line="360" w:lineRule="auto"/>
        <w:ind w:right="11" w:firstLine="480" w:firstLineChars="200"/>
        <w:rPr>
          <w:rFonts w:ascii="宋体" w:hAnsi="宋体" w:cs="宋体"/>
          <w:bCs/>
          <w:snapToGrid w:val="0"/>
          <w:kern w:val="0"/>
          <w:sz w:val="24"/>
        </w:rPr>
      </w:pPr>
      <w:r>
        <w:rPr>
          <w:rFonts w:hint="eastAsia" w:ascii="宋体" w:hAnsi="宋体" w:cs="宋体"/>
          <w:bCs/>
          <w:snapToGrid w:val="0"/>
          <w:kern w:val="0"/>
          <w:sz w:val="24"/>
        </w:rPr>
        <w:t>（3）审核设计单位交付的施工图，并提出专业意见。</w:t>
      </w:r>
    </w:p>
    <w:p w14:paraId="08F12CF0">
      <w:pPr>
        <w:spacing w:line="360" w:lineRule="auto"/>
        <w:ind w:right="11" w:firstLine="480" w:firstLineChars="200"/>
        <w:rPr>
          <w:rFonts w:ascii="宋体" w:hAnsi="宋体" w:cs="宋体"/>
          <w:bCs/>
          <w:snapToGrid w:val="0"/>
          <w:kern w:val="0"/>
          <w:sz w:val="24"/>
        </w:rPr>
      </w:pPr>
      <w:r>
        <w:rPr>
          <w:rFonts w:hint="eastAsia" w:ascii="宋体" w:hAnsi="宋体" w:cs="宋体"/>
          <w:bCs/>
          <w:snapToGrid w:val="0"/>
          <w:kern w:val="0"/>
          <w:sz w:val="24"/>
        </w:rPr>
        <w:t>（4）根据国家有关法规的规定，将施工图报送当地政府建设行政主管部门指定的审查机构进行审查，并根据审查意见对施工图进行修正。</w:t>
      </w:r>
    </w:p>
    <w:p w14:paraId="100B4860">
      <w:pPr>
        <w:spacing w:line="360" w:lineRule="auto"/>
        <w:ind w:right="11" w:firstLine="480" w:firstLineChars="200"/>
        <w:rPr>
          <w:rFonts w:ascii="宋体" w:hAnsi="宋体" w:cs="宋体"/>
          <w:bCs/>
          <w:snapToGrid w:val="0"/>
          <w:kern w:val="0"/>
          <w:sz w:val="24"/>
        </w:rPr>
      </w:pPr>
      <w:r>
        <w:rPr>
          <w:rFonts w:hint="eastAsia" w:ascii="宋体" w:hAnsi="宋体" w:cs="宋体"/>
          <w:bCs/>
          <w:snapToGrid w:val="0"/>
          <w:kern w:val="0"/>
          <w:sz w:val="24"/>
        </w:rPr>
        <w:t>（5）编写工作总结报告，整理归档监理资料。</w:t>
      </w:r>
    </w:p>
    <w:p w14:paraId="1088E505">
      <w:pPr>
        <w:spacing w:line="360" w:lineRule="auto"/>
        <w:ind w:right="11" w:firstLine="480" w:firstLineChars="200"/>
        <w:rPr>
          <w:rFonts w:ascii="宋体" w:hAnsi="宋体"/>
          <w:kern w:val="0"/>
          <w:sz w:val="24"/>
        </w:rPr>
      </w:pPr>
      <w:r>
        <w:rPr>
          <w:rFonts w:hint="eastAsia" w:ascii="宋体" w:hAnsi="宋体" w:cs="宋体"/>
          <w:bCs/>
          <w:snapToGrid w:val="0"/>
          <w:kern w:val="0"/>
          <w:sz w:val="24"/>
        </w:rPr>
        <w:t>5.1.2</w:t>
      </w:r>
      <w:r>
        <w:rPr>
          <w:rFonts w:hint="eastAsia" w:ascii="宋体" w:hAnsi="宋体"/>
          <w:kern w:val="0"/>
          <w:sz w:val="24"/>
        </w:rPr>
        <w:t>监理业务（包括但不限于）内容</w:t>
      </w:r>
    </w:p>
    <w:p w14:paraId="70C2ECB2">
      <w:pPr>
        <w:spacing w:line="360" w:lineRule="auto"/>
        <w:ind w:right="11" w:firstLine="480" w:firstLineChars="200"/>
        <w:rPr>
          <w:rFonts w:ascii="宋体" w:hAnsi="宋体" w:cs="宋体"/>
          <w:bCs/>
          <w:snapToGrid w:val="0"/>
          <w:kern w:val="0"/>
          <w:sz w:val="24"/>
        </w:rPr>
      </w:pPr>
      <w:r>
        <w:rPr>
          <w:rFonts w:hint="eastAsia" w:ascii="宋体" w:hAnsi="宋体"/>
          <w:kern w:val="0"/>
          <w:sz w:val="24"/>
        </w:rPr>
        <w:t>（1）</w:t>
      </w:r>
      <w:r>
        <w:rPr>
          <w:rFonts w:hint="eastAsia" w:ascii="宋体" w:hAnsi="宋体" w:cs="宋体"/>
          <w:bCs/>
          <w:snapToGrid w:val="0"/>
          <w:kern w:val="0"/>
          <w:sz w:val="24"/>
        </w:rPr>
        <w:t>督促并控制设计单位按照委托设计合同约定的日期，保质、保量、准时交付施工图及概）算文件。</w:t>
      </w:r>
    </w:p>
    <w:p w14:paraId="69B38890">
      <w:pPr>
        <w:spacing w:line="360" w:lineRule="auto"/>
        <w:ind w:right="11" w:firstLine="480" w:firstLineChars="200"/>
        <w:rPr>
          <w:rFonts w:ascii="宋体" w:hAnsi="宋体" w:cs="宋体"/>
          <w:bCs/>
          <w:snapToGrid w:val="0"/>
          <w:kern w:val="0"/>
          <w:sz w:val="24"/>
        </w:rPr>
      </w:pPr>
      <w:r>
        <w:rPr>
          <w:rFonts w:hint="eastAsia" w:ascii="宋体" w:hAnsi="宋体" w:cs="宋体"/>
          <w:bCs/>
          <w:snapToGrid w:val="0"/>
          <w:kern w:val="0"/>
          <w:sz w:val="24"/>
        </w:rPr>
        <w:t>（2）对设计过程进行跟踪监理，必要时，会同建设单位组织对单位工程施工图的中间检查验收，并提出评估报告。</w:t>
      </w:r>
    </w:p>
    <w:p w14:paraId="33968825">
      <w:pPr>
        <w:spacing w:line="360" w:lineRule="auto"/>
        <w:ind w:right="11" w:firstLine="480" w:firstLineChars="200"/>
        <w:rPr>
          <w:rFonts w:ascii="宋体" w:hAnsi="宋体" w:cs="宋体"/>
          <w:bCs/>
          <w:snapToGrid w:val="0"/>
          <w:kern w:val="0"/>
          <w:sz w:val="24"/>
        </w:rPr>
      </w:pPr>
      <w:r>
        <w:rPr>
          <w:rFonts w:hint="eastAsia" w:ascii="宋体" w:hAnsi="宋体" w:cs="宋体"/>
          <w:bCs/>
          <w:snapToGrid w:val="0"/>
          <w:kern w:val="0"/>
          <w:sz w:val="24"/>
        </w:rPr>
        <w:t>5.1.3审核设计单位交付的施工图，并提出专业意见。</w:t>
      </w:r>
    </w:p>
    <w:p w14:paraId="6B9F14E4">
      <w:pPr>
        <w:spacing w:line="360" w:lineRule="auto"/>
        <w:ind w:right="11" w:firstLine="480" w:firstLineChars="200"/>
        <w:rPr>
          <w:rFonts w:ascii="宋体" w:hAnsi="宋体"/>
          <w:kern w:val="0"/>
          <w:sz w:val="24"/>
        </w:rPr>
      </w:pPr>
      <w:r>
        <w:rPr>
          <w:rFonts w:hint="eastAsia" w:ascii="宋体" w:hAnsi="宋体" w:cs="宋体"/>
          <w:bCs/>
          <w:snapToGrid w:val="0"/>
          <w:kern w:val="0"/>
          <w:sz w:val="24"/>
        </w:rPr>
        <w:t>5.1.4</w:t>
      </w:r>
      <w:r>
        <w:rPr>
          <w:rFonts w:hint="eastAsia" w:ascii="宋体" w:hAnsi="宋体"/>
          <w:kern w:val="0"/>
          <w:sz w:val="24"/>
        </w:rPr>
        <w:t>负责协调承包人进场前的现场准备</w:t>
      </w:r>
      <w:r>
        <w:rPr>
          <w:rFonts w:hint="eastAsia" w:ascii="宋体" w:hAnsi="宋体" w:cs="宋体"/>
          <w:bCs/>
          <w:snapToGrid w:val="0"/>
          <w:kern w:val="0"/>
          <w:sz w:val="24"/>
        </w:rPr>
        <w:t>和制定勘察清障方案</w:t>
      </w:r>
      <w:r>
        <w:rPr>
          <w:rFonts w:hint="eastAsia" w:ascii="宋体" w:hAnsi="宋体"/>
          <w:kern w:val="0"/>
          <w:sz w:val="24"/>
        </w:rPr>
        <w:t>，为承包人进场制定前期准备方案并组织实施。</w:t>
      </w:r>
    </w:p>
    <w:p w14:paraId="51E49ADB">
      <w:pPr>
        <w:spacing w:line="360" w:lineRule="auto"/>
        <w:ind w:right="11" w:firstLine="480" w:firstLineChars="200"/>
        <w:rPr>
          <w:rFonts w:ascii="宋体" w:hAnsi="宋体"/>
          <w:kern w:val="0"/>
          <w:sz w:val="24"/>
        </w:rPr>
      </w:pPr>
      <w:r>
        <w:rPr>
          <w:rFonts w:hint="eastAsia" w:ascii="宋体" w:hAnsi="宋体" w:cs="宋体"/>
          <w:bCs/>
          <w:snapToGrid w:val="0"/>
          <w:kern w:val="0"/>
          <w:sz w:val="24"/>
        </w:rPr>
        <w:t>5.1.5</w:t>
      </w:r>
      <w:r>
        <w:rPr>
          <w:rFonts w:hint="eastAsia" w:ascii="宋体" w:hAnsi="宋体"/>
          <w:kern w:val="0"/>
          <w:sz w:val="24"/>
        </w:rPr>
        <w:t>对承包人选择的分包人的资格进行审查并报委托人确认。</w:t>
      </w:r>
    </w:p>
    <w:p w14:paraId="006139C7">
      <w:pPr>
        <w:spacing w:line="360" w:lineRule="auto"/>
        <w:ind w:right="11" w:firstLine="480" w:firstLineChars="200"/>
        <w:rPr>
          <w:rFonts w:ascii="宋体" w:hAnsi="宋体"/>
          <w:kern w:val="0"/>
          <w:sz w:val="24"/>
        </w:rPr>
      </w:pPr>
      <w:r>
        <w:rPr>
          <w:rFonts w:hint="eastAsia" w:ascii="宋体" w:hAnsi="宋体" w:cs="宋体"/>
          <w:bCs/>
          <w:snapToGrid w:val="0"/>
          <w:kern w:val="0"/>
          <w:sz w:val="24"/>
        </w:rPr>
        <w:t>5.1.6</w:t>
      </w:r>
      <w:r>
        <w:rPr>
          <w:rFonts w:hint="eastAsia" w:ascii="宋体" w:hAnsi="宋体"/>
          <w:kern w:val="0"/>
          <w:sz w:val="24"/>
        </w:rPr>
        <w:t>审查由承包人编制，并经承包人的技术部门审批盖章的施工组织设计、施工方案及施工进度计划，并督促检查实施；协助审批各单项工程开工报告，参与技术交底和施工图纸的会审。</w:t>
      </w:r>
    </w:p>
    <w:p w14:paraId="481D5E8B">
      <w:pPr>
        <w:spacing w:line="360" w:lineRule="auto"/>
        <w:ind w:right="11" w:firstLine="480" w:firstLineChars="200"/>
        <w:rPr>
          <w:rFonts w:ascii="宋体" w:hAnsi="宋体"/>
          <w:kern w:val="0"/>
          <w:sz w:val="24"/>
        </w:rPr>
      </w:pPr>
      <w:r>
        <w:rPr>
          <w:rFonts w:hint="eastAsia" w:ascii="宋体" w:hAnsi="宋体" w:cs="宋体"/>
          <w:bCs/>
          <w:snapToGrid w:val="0"/>
          <w:kern w:val="0"/>
          <w:sz w:val="24"/>
        </w:rPr>
        <w:t>5.1.7</w:t>
      </w:r>
      <w:r>
        <w:rPr>
          <w:rFonts w:hint="eastAsia" w:ascii="宋体" w:hAnsi="宋体"/>
          <w:kern w:val="0"/>
          <w:sz w:val="24"/>
        </w:rPr>
        <w:t>审查承包人及</w:t>
      </w:r>
      <w:r>
        <w:rPr>
          <w:rFonts w:hint="eastAsia" w:ascii="宋体" w:hAnsi="宋体" w:cs="宋体"/>
          <w:bCs/>
          <w:snapToGrid w:val="0"/>
          <w:kern w:val="0"/>
          <w:sz w:val="24"/>
        </w:rPr>
        <w:t>发包人</w:t>
      </w:r>
      <w:r>
        <w:rPr>
          <w:rFonts w:hint="eastAsia" w:ascii="宋体" w:hAnsi="宋体"/>
          <w:kern w:val="0"/>
          <w:sz w:val="24"/>
        </w:rPr>
        <w:t>提供的材料和设备清单及其所列的规格与质量。</w:t>
      </w:r>
    </w:p>
    <w:p w14:paraId="4261C644">
      <w:pPr>
        <w:spacing w:line="360" w:lineRule="auto"/>
        <w:ind w:right="11" w:firstLine="480" w:firstLineChars="200"/>
        <w:rPr>
          <w:rFonts w:ascii="宋体" w:hAnsi="宋体"/>
          <w:kern w:val="0"/>
          <w:sz w:val="24"/>
        </w:rPr>
      </w:pPr>
      <w:r>
        <w:rPr>
          <w:rFonts w:hint="eastAsia" w:ascii="宋体" w:hAnsi="宋体"/>
          <w:kern w:val="0"/>
          <w:sz w:val="24"/>
        </w:rPr>
        <w:t>5</w:t>
      </w:r>
      <w:r>
        <w:rPr>
          <w:rFonts w:hint="eastAsia" w:ascii="宋体" w:hAnsi="宋体" w:cs="宋体"/>
          <w:bCs/>
          <w:snapToGrid w:val="0"/>
          <w:kern w:val="0"/>
          <w:sz w:val="24"/>
        </w:rPr>
        <w:t>.1.8</w:t>
      </w:r>
      <w:r>
        <w:rPr>
          <w:rFonts w:hint="eastAsia" w:ascii="宋体" w:hAnsi="宋体"/>
          <w:kern w:val="0"/>
          <w:sz w:val="24"/>
        </w:rPr>
        <w:t>督促承包人严格执行合同和严格按照国家技术规范、标准、规程以设计图纸文件的要求进行施工、安装、并检查其实施情况；核查施工过程中的主要部位、环节以及隐蔽工程的施工验收签证，控制工程质量。</w:t>
      </w:r>
    </w:p>
    <w:p w14:paraId="2C1901BE">
      <w:pPr>
        <w:spacing w:line="360" w:lineRule="auto"/>
        <w:ind w:right="11" w:firstLine="480" w:firstLineChars="200"/>
        <w:rPr>
          <w:rFonts w:ascii="宋体" w:hAnsi="宋体"/>
          <w:kern w:val="0"/>
          <w:sz w:val="24"/>
        </w:rPr>
      </w:pPr>
      <w:r>
        <w:rPr>
          <w:rFonts w:hint="eastAsia" w:ascii="宋体" w:hAnsi="宋体" w:cs="宋体"/>
          <w:bCs/>
          <w:snapToGrid w:val="0"/>
          <w:kern w:val="0"/>
          <w:sz w:val="24"/>
        </w:rPr>
        <w:t>5.1.9</w:t>
      </w:r>
      <w:r>
        <w:rPr>
          <w:rFonts w:hint="eastAsia" w:ascii="宋体" w:hAnsi="宋体"/>
          <w:kern w:val="0"/>
          <w:sz w:val="24"/>
        </w:rPr>
        <w:t>对用于本工程的主要材料、构件的出厂合格证、材质化验单等进行审查。如发现不实之处，有权报委托人同意后，责成承包人对材质进行再化验（并指定化验单位），防止不合格的材料、构件等用于本工程。化验合格者，化验费用由委托人支付，不合格者，化验费用由承包人支付。</w:t>
      </w:r>
    </w:p>
    <w:p w14:paraId="28D40DA5">
      <w:pPr>
        <w:spacing w:line="360" w:lineRule="auto"/>
        <w:ind w:right="11" w:firstLine="480" w:firstLineChars="200"/>
        <w:rPr>
          <w:rFonts w:ascii="宋体" w:hAnsi="宋体"/>
          <w:kern w:val="0"/>
          <w:sz w:val="24"/>
        </w:rPr>
      </w:pPr>
      <w:r>
        <w:rPr>
          <w:rFonts w:hint="eastAsia" w:ascii="宋体" w:hAnsi="宋体" w:cs="宋体"/>
          <w:bCs/>
          <w:snapToGrid w:val="0"/>
          <w:kern w:val="0"/>
          <w:sz w:val="24"/>
        </w:rPr>
        <w:t>5.1.10</w:t>
      </w:r>
      <w:r>
        <w:rPr>
          <w:rFonts w:hint="eastAsia" w:ascii="宋体" w:hAnsi="宋体"/>
          <w:kern w:val="0"/>
          <w:sz w:val="24"/>
        </w:rPr>
        <w:t>检查本工程采用主要设备及关键材料是否符合设计文件或标书所规定的型号、规格、数量以及质量标准，视乎需要并经委托人同意可对生产厂家进行了解考察。</w:t>
      </w:r>
    </w:p>
    <w:p w14:paraId="63812736">
      <w:pPr>
        <w:spacing w:line="360" w:lineRule="auto"/>
        <w:ind w:right="11" w:firstLine="480" w:firstLineChars="200"/>
        <w:rPr>
          <w:rFonts w:ascii="宋体" w:hAnsi="宋体"/>
          <w:kern w:val="0"/>
          <w:sz w:val="24"/>
        </w:rPr>
      </w:pPr>
      <w:r>
        <w:rPr>
          <w:rFonts w:hint="eastAsia" w:ascii="宋体" w:hAnsi="宋体" w:cs="宋体"/>
          <w:bCs/>
          <w:snapToGrid w:val="0"/>
          <w:kern w:val="0"/>
          <w:sz w:val="24"/>
        </w:rPr>
        <w:t>5.1.11</w:t>
      </w:r>
      <w:r>
        <w:rPr>
          <w:rFonts w:hint="eastAsia" w:ascii="宋体" w:hAnsi="宋体"/>
          <w:kern w:val="0"/>
          <w:sz w:val="24"/>
        </w:rPr>
        <w:t>根据</w:t>
      </w:r>
      <w:r>
        <w:rPr>
          <w:rFonts w:hint="eastAsia" w:ascii="宋体" w:hAnsi="宋体" w:cs="宋体"/>
          <w:bCs/>
          <w:snapToGrid w:val="0"/>
          <w:kern w:val="0"/>
          <w:sz w:val="24"/>
        </w:rPr>
        <w:t>本</w:t>
      </w:r>
      <w:r>
        <w:rPr>
          <w:rFonts w:hint="eastAsia" w:ascii="宋体" w:hAnsi="宋体"/>
          <w:kern w:val="0"/>
          <w:sz w:val="24"/>
        </w:rPr>
        <w:t>合同的规定，及承包人所作的工程进度计划，检查承包人填报的月、季等报表。提出监理意见，控制工程进度。</w:t>
      </w:r>
    </w:p>
    <w:p w14:paraId="3DAEE095">
      <w:pPr>
        <w:spacing w:line="360" w:lineRule="auto"/>
        <w:ind w:right="11" w:firstLine="480" w:firstLineChars="200"/>
        <w:rPr>
          <w:rFonts w:ascii="宋体" w:hAnsi="宋体" w:cs="宋体"/>
          <w:bCs/>
          <w:snapToGrid w:val="0"/>
          <w:kern w:val="0"/>
          <w:sz w:val="24"/>
        </w:rPr>
      </w:pPr>
      <w:r>
        <w:rPr>
          <w:rFonts w:hint="eastAsia" w:ascii="宋体" w:hAnsi="宋体" w:cs="宋体"/>
          <w:bCs/>
          <w:snapToGrid w:val="0"/>
          <w:kern w:val="0"/>
          <w:sz w:val="24"/>
        </w:rPr>
        <w:t>5.1.12关于重大的设计修改和技术洽商，除提出监理意见外，应征得发包人及设计人的意见，并由原设计人进行修改。</w:t>
      </w:r>
    </w:p>
    <w:p w14:paraId="0E8C825C">
      <w:pPr>
        <w:spacing w:line="360" w:lineRule="auto"/>
        <w:ind w:right="11" w:firstLine="480" w:firstLineChars="200"/>
        <w:rPr>
          <w:rFonts w:ascii="宋体" w:hAnsi="宋体"/>
          <w:kern w:val="0"/>
          <w:sz w:val="24"/>
        </w:rPr>
      </w:pPr>
      <w:r>
        <w:rPr>
          <w:rFonts w:hint="eastAsia" w:ascii="宋体" w:hAnsi="宋体" w:cs="宋体"/>
          <w:bCs/>
          <w:snapToGrid w:val="0"/>
          <w:kern w:val="0"/>
          <w:sz w:val="24"/>
        </w:rPr>
        <w:t>5.1.13</w:t>
      </w:r>
      <w:r>
        <w:rPr>
          <w:rFonts w:hint="eastAsia" w:ascii="宋体" w:hAnsi="宋体"/>
          <w:kern w:val="0"/>
          <w:sz w:val="24"/>
        </w:rPr>
        <w:t>根据</w:t>
      </w:r>
      <w:r>
        <w:rPr>
          <w:rFonts w:hint="eastAsia" w:ascii="宋体" w:hAnsi="宋体" w:cs="宋体"/>
          <w:bCs/>
          <w:snapToGrid w:val="0"/>
          <w:kern w:val="0"/>
          <w:sz w:val="24"/>
        </w:rPr>
        <w:t>本</w:t>
      </w:r>
      <w:r>
        <w:rPr>
          <w:rFonts w:hint="eastAsia" w:ascii="宋体" w:hAnsi="宋体"/>
          <w:kern w:val="0"/>
          <w:sz w:val="24"/>
        </w:rPr>
        <w:t>合同的规定和定额精神，负责审核现场签证、设计变更，控制建造成本。</w:t>
      </w:r>
    </w:p>
    <w:p w14:paraId="70FEF59A">
      <w:pPr>
        <w:spacing w:line="360" w:lineRule="auto"/>
        <w:ind w:right="11" w:firstLine="480" w:firstLineChars="200"/>
        <w:rPr>
          <w:rFonts w:ascii="宋体" w:hAnsi="宋体"/>
          <w:kern w:val="0"/>
          <w:sz w:val="24"/>
        </w:rPr>
      </w:pPr>
      <w:r>
        <w:rPr>
          <w:rFonts w:hint="eastAsia" w:ascii="宋体" w:hAnsi="宋体" w:cs="宋体"/>
          <w:bCs/>
          <w:snapToGrid w:val="0"/>
          <w:kern w:val="0"/>
          <w:sz w:val="24"/>
        </w:rPr>
        <w:t>5.1.14</w:t>
      </w:r>
      <w:r>
        <w:rPr>
          <w:rFonts w:hint="eastAsia" w:ascii="宋体" w:hAnsi="宋体"/>
          <w:kern w:val="0"/>
          <w:sz w:val="24"/>
        </w:rPr>
        <w:t>根据</w:t>
      </w:r>
      <w:r>
        <w:rPr>
          <w:rFonts w:hint="eastAsia" w:ascii="宋体" w:hAnsi="宋体" w:cs="宋体"/>
          <w:bCs/>
          <w:snapToGrid w:val="0"/>
          <w:kern w:val="0"/>
          <w:sz w:val="24"/>
        </w:rPr>
        <w:t>本</w:t>
      </w:r>
      <w:r>
        <w:rPr>
          <w:rFonts w:hint="eastAsia" w:ascii="宋体" w:hAnsi="宋体"/>
          <w:kern w:val="0"/>
          <w:sz w:val="24"/>
        </w:rPr>
        <w:t>合同的规定，对工程质量和数量进行核实，签发工程进度审核意见，通知</w:t>
      </w:r>
      <w:r>
        <w:rPr>
          <w:rFonts w:hint="eastAsia" w:ascii="宋体" w:hAnsi="宋体" w:cs="宋体"/>
          <w:bCs/>
          <w:snapToGrid w:val="0"/>
          <w:kern w:val="0"/>
          <w:sz w:val="24"/>
        </w:rPr>
        <w:t>发包人</w:t>
      </w:r>
      <w:r>
        <w:rPr>
          <w:rFonts w:hint="eastAsia" w:ascii="宋体" w:hAnsi="宋体"/>
          <w:kern w:val="0"/>
          <w:sz w:val="24"/>
        </w:rPr>
        <w:t>拨付工程款。工程竣工后，审查工程结算价款。</w:t>
      </w:r>
    </w:p>
    <w:p w14:paraId="0986435F">
      <w:pPr>
        <w:spacing w:line="360" w:lineRule="auto"/>
        <w:ind w:right="11" w:firstLine="480" w:firstLineChars="200"/>
        <w:rPr>
          <w:rFonts w:ascii="宋体" w:hAnsi="宋体"/>
          <w:kern w:val="0"/>
          <w:sz w:val="24"/>
        </w:rPr>
      </w:pPr>
      <w:r>
        <w:rPr>
          <w:rFonts w:hint="eastAsia" w:ascii="宋体" w:hAnsi="宋体" w:cs="宋体"/>
          <w:bCs/>
          <w:snapToGrid w:val="0"/>
          <w:kern w:val="0"/>
          <w:sz w:val="24"/>
        </w:rPr>
        <w:t>5.1.15</w:t>
      </w:r>
      <w:r>
        <w:rPr>
          <w:rFonts w:hint="eastAsia" w:ascii="宋体" w:hAnsi="宋体"/>
          <w:kern w:val="0"/>
          <w:sz w:val="24"/>
        </w:rPr>
        <w:t>监督检查工程的文明施工及安全防护措施，若发生安全事故时，督促承包人迅速采取措施，减少事故对工程的影响，事后配合有关部门查明事故原因，恢复施工生产。</w:t>
      </w:r>
    </w:p>
    <w:p w14:paraId="2D0FEF06">
      <w:pPr>
        <w:spacing w:line="360" w:lineRule="auto"/>
        <w:ind w:right="11" w:firstLine="480" w:firstLineChars="200"/>
        <w:rPr>
          <w:rFonts w:ascii="宋体" w:hAnsi="宋体"/>
          <w:kern w:val="0"/>
          <w:sz w:val="24"/>
        </w:rPr>
      </w:pPr>
      <w:r>
        <w:rPr>
          <w:rFonts w:hint="eastAsia" w:ascii="宋体" w:hAnsi="宋体" w:cs="宋体"/>
          <w:bCs/>
          <w:snapToGrid w:val="0"/>
          <w:kern w:val="0"/>
          <w:sz w:val="24"/>
        </w:rPr>
        <w:t>5.1.16</w:t>
      </w:r>
      <w:bookmarkStart w:id="216" w:name="OLE_LINK1"/>
      <w:bookmarkStart w:id="217" w:name="OLE_LINK2"/>
      <w:r>
        <w:rPr>
          <w:rFonts w:hint="eastAsia" w:ascii="宋体" w:hAnsi="宋体"/>
          <w:kern w:val="0"/>
          <w:sz w:val="24"/>
        </w:rPr>
        <w:t>根据承包人提出的阶段、部位、环节、各系统的分段工程检验、验收以及整体工程竣工申请报告，负责组织初验，签署由承包人提出的全部工程竣工验收报告，参加委托人组织的最终验收。</w:t>
      </w:r>
      <w:bookmarkEnd w:id="216"/>
      <w:bookmarkEnd w:id="217"/>
    </w:p>
    <w:p w14:paraId="5637C1BA">
      <w:pPr>
        <w:spacing w:line="360" w:lineRule="auto"/>
        <w:ind w:right="11" w:firstLine="480" w:firstLineChars="200"/>
        <w:rPr>
          <w:rFonts w:ascii="宋体" w:hAnsi="宋体"/>
          <w:kern w:val="0"/>
          <w:sz w:val="24"/>
        </w:rPr>
      </w:pPr>
      <w:r>
        <w:rPr>
          <w:rFonts w:hint="eastAsia" w:ascii="宋体" w:hAnsi="宋体" w:cs="宋体"/>
          <w:bCs/>
          <w:snapToGrid w:val="0"/>
          <w:kern w:val="0"/>
          <w:sz w:val="24"/>
        </w:rPr>
        <w:t>5.1.17</w:t>
      </w:r>
      <w:r>
        <w:rPr>
          <w:rFonts w:hint="eastAsia" w:ascii="宋体" w:hAnsi="宋体"/>
          <w:kern w:val="0"/>
          <w:sz w:val="24"/>
        </w:rPr>
        <w:t>根据有关文件规定，督促检查承包人完成各阶段及全套竣工图的工作和整理各种必须归档的资料，交委托人归档。</w:t>
      </w:r>
    </w:p>
    <w:p w14:paraId="2931DE12">
      <w:pPr>
        <w:spacing w:line="360" w:lineRule="auto"/>
        <w:ind w:right="11" w:firstLine="480" w:firstLineChars="200"/>
        <w:rPr>
          <w:rFonts w:ascii="宋体" w:hAnsi="宋体"/>
          <w:kern w:val="0"/>
          <w:sz w:val="24"/>
        </w:rPr>
      </w:pPr>
      <w:r>
        <w:rPr>
          <w:rFonts w:hint="eastAsia" w:ascii="宋体" w:hAnsi="宋体" w:cs="宋体"/>
          <w:bCs/>
          <w:snapToGrid w:val="0"/>
          <w:kern w:val="0"/>
          <w:sz w:val="24"/>
        </w:rPr>
        <w:t>5.1.18</w:t>
      </w:r>
      <w:r>
        <w:rPr>
          <w:rFonts w:hint="eastAsia" w:ascii="宋体" w:hAnsi="宋体"/>
          <w:kern w:val="0"/>
          <w:sz w:val="24"/>
        </w:rPr>
        <w:t>协助</w:t>
      </w:r>
      <w:r>
        <w:rPr>
          <w:rFonts w:hint="eastAsia" w:ascii="宋体" w:hAnsi="宋体" w:cs="宋体"/>
          <w:bCs/>
          <w:snapToGrid w:val="0"/>
          <w:kern w:val="0"/>
          <w:sz w:val="24"/>
        </w:rPr>
        <w:t>发包人</w:t>
      </w:r>
      <w:r>
        <w:rPr>
          <w:rFonts w:hint="eastAsia" w:ascii="宋体" w:hAnsi="宋体"/>
          <w:kern w:val="0"/>
          <w:sz w:val="24"/>
        </w:rPr>
        <w:t>整理工程项目竣工决算资料及办理工程项目的竣工决算。</w:t>
      </w:r>
    </w:p>
    <w:p w14:paraId="25E07B47">
      <w:pPr>
        <w:spacing w:line="360" w:lineRule="auto"/>
        <w:ind w:right="11" w:firstLine="480" w:firstLineChars="200"/>
        <w:rPr>
          <w:rFonts w:ascii="宋体" w:hAnsi="宋体"/>
          <w:kern w:val="0"/>
          <w:sz w:val="24"/>
        </w:rPr>
      </w:pPr>
      <w:r>
        <w:rPr>
          <w:rFonts w:hint="eastAsia" w:ascii="宋体" w:hAnsi="宋体" w:cs="宋体"/>
          <w:bCs/>
          <w:snapToGrid w:val="0"/>
          <w:kern w:val="0"/>
          <w:sz w:val="24"/>
        </w:rPr>
        <w:t>5.1.19</w:t>
      </w:r>
      <w:r>
        <w:rPr>
          <w:rFonts w:hint="eastAsia" w:ascii="宋体" w:hAnsi="宋体"/>
          <w:kern w:val="0"/>
          <w:sz w:val="24"/>
        </w:rPr>
        <w:t>协助、主持、审理工程中出现的质量事故的处理，提出监理意见。</w:t>
      </w:r>
    </w:p>
    <w:p w14:paraId="7239F35A">
      <w:pPr>
        <w:spacing w:line="360" w:lineRule="auto"/>
        <w:ind w:right="11" w:firstLine="480" w:firstLineChars="200"/>
        <w:rPr>
          <w:rFonts w:ascii="宋体" w:hAnsi="宋体"/>
          <w:kern w:val="0"/>
          <w:sz w:val="24"/>
        </w:rPr>
      </w:pPr>
      <w:r>
        <w:rPr>
          <w:rFonts w:hint="eastAsia" w:ascii="宋体" w:hAnsi="宋体" w:cs="宋体"/>
          <w:bCs/>
          <w:snapToGrid w:val="0"/>
          <w:kern w:val="0"/>
          <w:sz w:val="24"/>
        </w:rPr>
        <w:t>5.1.20</w:t>
      </w:r>
      <w:r>
        <w:rPr>
          <w:rFonts w:hint="eastAsia" w:ascii="宋体" w:hAnsi="宋体"/>
          <w:kern w:val="0"/>
          <w:sz w:val="24"/>
        </w:rPr>
        <w:t>督促承包人保修期内进行保修。</w:t>
      </w:r>
    </w:p>
    <w:p w14:paraId="05E024DE">
      <w:pPr>
        <w:spacing w:line="360" w:lineRule="auto"/>
        <w:ind w:right="11" w:firstLine="480" w:firstLineChars="200"/>
        <w:rPr>
          <w:rFonts w:ascii="宋体" w:hAnsi="宋体"/>
          <w:kern w:val="0"/>
          <w:sz w:val="24"/>
        </w:rPr>
      </w:pPr>
      <w:r>
        <w:rPr>
          <w:rFonts w:hint="eastAsia" w:ascii="宋体" w:hAnsi="宋体" w:cs="宋体"/>
          <w:bCs/>
          <w:snapToGrid w:val="0"/>
          <w:kern w:val="0"/>
          <w:sz w:val="24"/>
        </w:rPr>
        <w:t>5.1.21</w:t>
      </w:r>
      <w:r>
        <w:rPr>
          <w:rFonts w:hint="eastAsia" w:ascii="宋体" w:hAnsi="宋体"/>
          <w:kern w:val="0"/>
          <w:sz w:val="24"/>
        </w:rPr>
        <w:t>定期组织主持现场工程协调会议，负责协调各承包人的配合穿插施工安排。</w:t>
      </w:r>
    </w:p>
    <w:bookmarkEnd w:id="213"/>
    <w:bookmarkEnd w:id="214"/>
    <w:bookmarkEnd w:id="215"/>
    <w:p w14:paraId="48BCD4F6">
      <w:pPr>
        <w:spacing w:line="360" w:lineRule="auto"/>
        <w:ind w:right="11" w:firstLine="480" w:firstLineChars="200"/>
        <w:rPr>
          <w:rFonts w:ascii="宋体" w:hAnsi="宋体"/>
          <w:kern w:val="0"/>
          <w:sz w:val="24"/>
        </w:rPr>
      </w:pPr>
      <w:r>
        <w:rPr>
          <w:rFonts w:hint="eastAsia" w:ascii="宋体" w:hAnsi="宋体" w:cs="宋体"/>
          <w:bCs/>
          <w:snapToGrid w:val="0"/>
          <w:kern w:val="0"/>
          <w:sz w:val="24"/>
        </w:rPr>
        <w:t>5.2</w:t>
      </w:r>
      <w:r>
        <w:rPr>
          <w:rFonts w:hint="eastAsia" w:ascii="宋体" w:hAnsi="宋体"/>
          <w:kern w:val="0"/>
          <w:sz w:val="24"/>
        </w:rPr>
        <w:t>发包人委托</w:t>
      </w:r>
      <w:r>
        <w:rPr>
          <w:rFonts w:hint="eastAsia" w:ascii="宋体" w:hAnsi="宋体"/>
          <w:kern w:val="0"/>
          <w:sz w:val="24"/>
          <w:u w:val="single"/>
        </w:rPr>
        <w:t xml:space="preserve">   </w:t>
      </w:r>
      <w:r>
        <w:rPr>
          <w:rFonts w:hint="eastAsia" w:ascii="宋体" w:hAnsi="宋体" w:cs="宋体"/>
          <w:snapToGrid w:val="0"/>
          <w:kern w:val="0"/>
          <w:sz w:val="24"/>
          <w:u w:val="single"/>
        </w:rPr>
        <w:t>/(</w:t>
      </w:r>
      <w:r>
        <w:rPr>
          <w:rFonts w:hint="eastAsia" w:ascii="宋体" w:hAnsi="宋体"/>
          <w:kern w:val="0"/>
          <w:sz w:val="24"/>
          <w:u w:val="single"/>
        </w:rPr>
        <w:t>另行通知)</w:t>
      </w:r>
      <w:r>
        <w:rPr>
          <w:rFonts w:hint="eastAsia" w:ascii="宋体" w:hAnsi="宋体"/>
          <w:kern w:val="0"/>
          <w:sz w:val="24"/>
        </w:rPr>
        <w:t>为本工程的监理单位，总监理工程师为</w:t>
      </w:r>
      <w:r>
        <w:rPr>
          <w:rFonts w:hint="eastAsia" w:ascii="宋体" w:hAnsi="宋体"/>
          <w:kern w:val="0"/>
          <w:sz w:val="24"/>
          <w:u w:val="single"/>
        </w:rPr>
        <w:t xml:space="preserve">  </w:t>
      </w:r>
      <w:r>
        <w:rPr>
          <w:rFonts w:hint="eastAsia" w:ascii="宋体" w:hAnsi="宋体" w:cs="宋体"/>
          <w:snapToGrid w:val="0"/>
          <w:kern w:val="0"/>
          <w:sz w:val="24"/>
          <w:u w:val="single"/>
        </w:rPr>
        <w:t>/</w:t>
      </w:r>
      <w:r>
        <w:rPr>
          <w:rFonts w:hint="eastAsia" w:ascii="宋体" w:hAnsi="宋体"/>
          <w:kern w:val="0"/>
          <w:sz w:val="24"/>
          <w:u w:val="single"/>
        </w:rPr>
        <w:t xml:space="preserve"> (另行通知)</w:t>
      </w:r>
      <w:r>
        <w:rPr>
          <w:rFonts w:hint="eastAsia" w:ascii="宋体" w:hAnsi="宋体"/>
          <w:kern w:val="0"/>
          <w:sz w:val="24"/>
        </w:rPr>
        <w:t>。监理单位的职责以发包人与监理单位签订的委托监理合同为准。</w:t>
      </w:r>
    </w:p>
    <w:p w14:paraId="7040E17D">
      <w:pPr>
        <w:spacing w:line="360" w:lineRule="auto"/>
        <w:ind w:right="11" w:firstLine="480" w:firstLineChars="200"/>
        <w:rPr>
          <w:rFonts w:ascii="宋体" w:hAnsi="宋体"/>
          <w:kern w:val="0"/>
          <w:sz w:val="24"/>
        </w:rPr>
      </w:pPr>
      <w:r>
        <w:rPr>
          <w:rFonts w:hint="eastAsia" w:ascii="宋体" w:hAnsi="宋体"/>
          <w:kern w:val="0"/>
          <w:sz w:val="24"/>
        </w:rPr>
        <w:t>总监理工程师按合同约定行使职权，如涉及工程变更、工期调整、合同价款调整等事项，总监理工程师应征得发包人批准。</w:t>
      </w:r>
    </w:p>
    <w:p w14:paraId="1BAC9ECD">
      <w:pPr>
        <w:spacing w:line="360" w:lineRule="auto"/>
        <w:ind w:right="11" w:firstLine="480" w:firstLineChars="200"/>
        <w:rPr>
          <w:rFonts w:ascii="宋体" w:hAnsi="宋体"/>
          <w:kern w:val="0"/>
          <w:sz w:val="24"/>
        </w:rPr>
      </w:pPr>
      <w:r>
        <w:rPr>
          <w:rFonts w:hint="eastAsia" w:ascii="宋体" w:hAnsi="宋体" w:cs="宋体"/>
          <w:bCs/>
          <w:snapToGrid w:val="0"/>
          <w:kern w:val="0"/>
          <w:sz w:val="24"/>
        </w:rPr>
        <w:t>5</w:t>
      </w:r>
      <w:r>
        <w:rPr>
          <w:rFonts w:hint="eastAsia" w:ascii="宋体" w:hAnsi="宋体"/>
          <w:kern w:val="0"/>
          <w:sz w:val="24"/>
        </w:rPr>
        <w:t>.3发包人派驻施工场地履行合同的代表在本合同中称发包人代表，其姓名、职务如下：</w:t>
      </w:r>
    </w:p>
    <w:p w14:paraId="08662A94">
      <w:pPr>
        <w:spacing w:line="360" w:lineRule="auto"/>
        <w:ind w:right="11" w:firstLine="480" w:firstLineChars="200"/>
        <w:rPr>
          <w:rFonts w:ascii="宋体" w:hAnsi="宋体"/>
          <w:kern w:val="0"/>
          <w:sz w:val="24"/>
        </w:rPr>
      </w:pPr>
      <w:r>
        <w:rPr>
          <w:rFonts w:hint="eastAsia" w:ascii="宋体" w:hAnsi="宋体"/>
          <w:kern w:val="0"/>
          <w:sz w:val="24"/>
        </w:rPr>
        <w:t>姓名：</w:t>
      </w:r>
      <w:r>
        <w:rPr>
          <w:rFonts w:hint="eastAsia" w:ascii="宋体" w:hAnsi="宋体"/>
          <w:kern w:val="0"/>
          <w:sz w:val="24"/>
          <w:u w:val="single"/>
        </w:rPr>
        <w:t xml:space="preserve"> </w:t>
      </w:r>
      <w:r>
        <w:rPr>
          <w:rFonts w:hint="eastAsia" w:ascii="宋体" w:hAnsi="宋体"/>
          <w:kern w:val="0"/>
          <w:sz w:val="24"/>
          <w:highlight w:val="yellow"/>
          <w:u w:val="single"/>
          <w:lang w:val="en-US" w:eastAsia="zh-CN"/>
        </w:rPr>
        <w:t xml:space="preserve">   </w:t>
      </w:r>
      <w:r>
        <w:rPr>
          <w:rFonts w:hint="eastAsia" w:ascii="宋体" w:hAnsi="宋体" w:cs="宋体"/>
          <w:b/>
          <w:snapToGrid w:val="0"/>
          <w:kern w:val="0"/>
          <w:sz w:val="24"/>
          <w:u w:val="single"/>
        </w:rPr>
        <w:t xml:space="preserve"> </w:t>
      </w:r>
      <w:r>
        <w:rPr>
          <w:rFonts w:hint="eastAsia" w:ascii="宋体" w:hAnsi="宋体" w:cs="宋体"/>
          <w:b/>
          <w:snapToGrid w:val="0"/>
          <w:kern w:val="0"/>
          <w:sz w:val="24"/>
        </w:rPr>
        <w:t>，</w:t>
      </w:r>
      <w:r>
        <w:rPr>
          <w:rFonts w:hint="eastAsia" w:ascii="宋体" w:hAnsi="宋体" w:cs="宋体"/>
          <w:bCs/>
          <w:snapToGrid w:val="0"/>
          <w:kern w:val="0"/>
          <w:sz w:val="24"/>
        </w:rPr>
        <w:t xml:space="preserve">    </w:t>
      </w:r>
      <w:r>
        <w:rPr>
          <w:rFonts w:hint="eastAsia" w:ascii="宋体" w:hAnsi="宋体"/>
          <w:kern w:val="0"/>
          <w:sz w:val="24"/>
        </w:rPr>
        <w:t>职务：</w:t>
      </w:r>
      <w:r>
        <w:rPr>
          <w:rFonts w:hint="eastAsia" w:ascii="宋体" w:hAnsi="宋体"/>
          <w:kern w:val="0"/>
          <w:sz w:val="24"/>
          <w:u w:val="single"/>
        </w:rPr>
        <w:t xml:space="preserve">  项目总</w:t>
      </w:r>
      <w:r>
        <w:rPr>
          <w:rFonts w:hint="eastAsia" w:ascii="宋体" w:hAnsi="宋体" w:cs="宋体"/>
          <w:bCs/>
          <w:snapToGrid w:val="0"/>
          <w:kern w:val="0"/>
          <w:sz w:val="24"/>
          <w:u w:val="single"/>
        </w:rPr>
        <w:t xml:space="preserve"> </w:t>
      </w:r>
      <w:r>
        <w:rPr>
          <w:rFonts w:hint="eastAsia" w:ascii="宋体" w:hAnsi="宋体"/>
          <w:kern w:val="0"/>
          <w:sz w:val="24"/>
        </w:rPr>
        <w:t>。</w:t>
      </w:r>
    </w:p>
    <w:p w14:paraId="200CC06A">
      <w:pPr>
        <w:spacing w:line="360" w:lineRule="auto"/>
        <w:ind w:right="11" w:firstLine="480" w:firstLineChars="200"/>
        <w:rPr>
          <w:rFonts w:ascii="宋体" w:hAnsi="宋体"/>
          <w:kern w:val="0"/>
          <w:sz w:val="24"/>
        </w:rPr>
      </w:pPr>
      <w:r>
        <w:rPr>
          <w:rFonts w:hint="eastAsia" w:ascii="宋体" w:hAnsi="宋体" w:cs="宋体"/>
          <w:bCs/>
          <w:snapToGrid w:val="0"/>
          <w:kern w:val="0"/>
          <w:sz w:val="24"/>
        </w:rPr>
        <w:t>5</w:t>
      </w:r>
      <w:r>
        <w:rPr>
          <w:rFonts w:hint="eastAsia" w:ascii="宋体" w:hAnsi="宋体"/>
          <w:kern w:val="0"/>
          <w:sz w:val="24"/>
        </w:rPr>
        <w:t>.4合同履行中，发生影响发包人、承包人双方权利或义务的事件时，总监理工程师应依据合同在其职权范围内客观公正地进行处理。一方对总监理工程师的处理有异议时，按合同条款第43条关于争议的约定处理。</w:t>
      </w:r>
    </w:p>
    <w:p w14:paraId="723FA9D6">
      <w:pPr>
        <w:spacing w:line="360" w:lineRule="auto"/>
        <w:ind w:right="11" w:firstLine="480" w:firstLineChars="200"/>
        <w:rPr>
          <w:rFonts w:ascii="宋体" w:hAnsi="宋体"/>
          <w:kern w:val="0"/>
          <w:sz w:val="24"/>
        </w:rPr>
      </w:pPr>
      <w:r>
        <w:rPr>
          <w:rFonts w:hint="eastAsia" w:ascii="宋体" w:hAnsi="宋体" w:cs="宋体"/>
          <w:bCs/>
          <w:snapToGrid w:val="0"/>
          <w:kern w:val="0"/>
          <w:sz w:val="24"/>
        </w:rPr>
        <w:t>5</w:t>
      </w:r>
      <w:r>
        <w:rPr>
          <w:rFonts w:hint="eastAsia" w:ascii="宋体" w:hAnsi="宋体"/>
          <w:kern w:val="0"/>
          <w:sz w:val="24"/>
        </w:rPr>
        <w:t>.5除合同内有明确约定或经发包人书面同意外，总监理工程师无权解释本合同约定的承包人任何权利与义务。</w:t>
      </w:r>
    </w:p>
    <w:p w14:paraId="410ABDEA">
      <w:pPr>
        <w:spacing w:line="360" w:lineRule="auto"/>
        <w:ind w:firstLine="482" w:firstLineChars="200"/>
        <w:outlineLvl w:val="1"/>
        <w:rPr>
          <w:rFonts w:ascii="宋体" w:hAnsi="宋体"/>
          <w:b/>
          <w:kern w:val="0"/>
          <w:sz w:val="24"/>
        </w:rPr>
      </w:pPr>
      <w:bookmarkStart w:id="218" w:name="_Toc144745949"/>
      <w:bookmarkStart w:id="219" w:name="_Toc30353_WPSOffice_Level3"/>
      <w:bookmarkStart w:id="220" w:name="_Toc504465883"/>
      <w:bookmarkStart w:id="221" w:name="_Toc14786"/>
      <w:bookmarkStart w:id="222" w:name="_Toc9045"/>
      <w:bookmarkStart w:id="223" w:name="_Toc31210"/>
      <w:bookmarkStart w:id="224" w:name="_Toc518402577"/>
      <w:bookmarkStart w:id="225" w:name="_Toc104901759"/>
      <w:bookmarkStart w:id="226" w:name="_Toc502215480"/>
      <w:bookmarkStart w:id="227" w:name="_Toc144746867"/>
      <w:r>
        <w:rPr>
          <w:rFonts w:hint="eastAsia" w:ascii="宋体" w:hAnsi="宋体" w:cs="宋体"/>
          <w:b/>
          <w:bCs/>
          <w:snapToGrid w:val="0"/>
          <w:kern w:val="0"/>
          <w:sz w:val="24"/>
        </w:rPr>
        <w:t>6</w:t>
      </w:r>
      <w:r>
        <w:rPr>
          <w:rFonts w:hint="eastAsia" w:ascii="宋体" w:hAnsi="宋体"/>
          <w:b/>
          <w:kern w:val="0"/>
          <w:sz w:val="24"/>
        </w:rPr>
        <w:t>、总监理工程师的委派和指令</w:t>
      </w:r>
      <w:bookmarkEnd w:id="218"/>
      <w:bookmarkEnd w:id="219"/>
      <w:bookmarkEnd w:id="220"/>
      <w:bookmarkEnd w:id="221"/>
      <w:bookmarkEnd w:id="222"/>
      <w:bookmarkEnd w:id="223"/>
      <w:bookmarkEnd w:id="224"/>
      <w:bookmarkEnd w:id="225"/>
      <w:bookmarkEnd w:id="226"/>
      <w:bookmarkEnd w:id="227"/>
    </w:p>
    <w:p w14:paraId="7EFE25C4">
      <w:pPr>
        <w:spacing w:line="360" w:lineRule="auto"/>
        <w:ind w:firstLine="480" w:firstLineChars="200"/>
        <w:rPr>
          <w:rFonts w:ascii="宋体" w:hAnsi="宋体"/>
          <w:kern w:val="0"/>
          <w:sz w:val="24"/>
        </w:rPr>
      </w:pPr>
      <w:r>
        <w:rPr>
          <w:rFonts w:hint="eastAsia" w:ascii="宋体" w:hAnsi="宋体" w:cs="宋体"/>
          <w:bCs/>
          <w:snapToGrid w:val="0"/>
          <w:kern w:val="0"/>
          <w:sz w:val="24"/>
        </w:rPr>
        <w:t>6</w:t>
      </w:r>
      <w:r>
        <w:rPr>
          <w:rFonts w:hint="eastAsia" w:ascii="宋体" w:hAnsi="宋体"/>
          <w:kern w:val="0"/>
          <w:sz w:val="24"/>
        </w:rPr>
        <w:t>.1总监理工程师可委派总监理工程师代表，行使合同约定的自己的职权，并可在认为必要时撤回委派。委派和撤回均应提前7天以书面形式通知承包人，总监理工程师还应将委派和撤回通知发包人。</w:t>
      </w:r>
    </w:p>
    <w:p w14:paraId="620AC906">
      <w:pPr>
        <w:spacing w:line="360" w:lineRule="auto"/>
        <w:ind w:firstLine="480" w:firstLineChars="200"/>
        <w:rPr>
          <w:rFonts w:ascii="宋体" w:hAnsi="宋体"/>
          <w:kern w:val="0"/>
          <w:sz w:val="24"/>
        </w:rPr>
      </w:pPr>
      <w:r>
        <w:rPr>
          <w:rFonts w:hint="eastAsia" w:ascii="宋体" w:hAnsi="宋体"/>
          <w:kern w:val="0"/>
          <w:sz w:val="24"/>
        </w:rPr>
        <w:t>总监理工程师代表在总监理工程师授权范围内向承包人发出的任何书面形式的函件，与总监理工程师发出的函件具有同等效力。承包人对总监理工程师代表向其发出的任何书面形式的函件有疑问时，可将此函件提交总监理工程师，总监理工程师应进行确认。总监理工程师代表发出指令有失误时，总监理工程师应进行改正。</w:t>
      </w:r>
    </w:p>
    <w:p w14:paraId="5835EFE3">
      <w:pPr>
        <w:spacing w:line="360" w:lineRule="auto"/>
        <w:ind w:firstLine="480" w:firstLineChars="200"/>
        <w:rPr>
          <w:rFonts w:ascii="宋体" w:hAnsi="宋体"/>
          <w:kern w:val="0"/>
          <w:sz w:val="24"/>
        </w:rPr>
      </w:pPr>
      <w:r>
        <w:rPr>
          <w:rFonts w:hint="eastAsia" w:ascii="宋体" w:hAnsi="宋体" w:cs="宋体"/>
          <w:bCs/>
          <w:snapToGrid w:val="0"/>
          <w:kern w:val="0"/>
          <w:sz w:val="24"/>
        </w:rPr>
        <w:t>6</w:t>
      </w:r>
      <w:r>
        <w:rPr>
          <w:rFonts w:hint="eastAsia" w:ascii="宋体" w:hAnsi="宋体"/>
          <w:kern w:val="0"/>
          <w:sz w:val="24"/>
        </w:rPr>
        <w:t>.2在紧急情况下，总监理工程师可以当场发出口头指令，承包人应遵照执行。承包人在收到上述口头指令后24小时内，应向总监理工程师发出书面确认函。若总监理工程师在收到书面确认函后24小时内未予答复，该口头指令应被视为总监理工程师的正式指令。由于总监理工程师指令错误而延误工期的，工期顺延情形只适用于一般节点工期</w:t>
      </w:r>
      <w:r>
        <w:rPr>
          <w:rFonts w:hint="eastAsia" w:ascii="宋体" w:hAnsi="宋体" w:cs="宋体"/>
          <w:bCs/>
          <w:snapToGrid w:val="0"/>
          <w:kern w:val="0"/>
          <w:sz w:val="24"/>
        </w:rPr>
        <w:t>，关键节点工期和总工期不变</w:t>
      </w:r>
      <w:r>
        <w:rPr>
          <w:rFonts w:hint="eastAsia" w:ascii="宋体" w:hAnsi="宋体"/>
          <w:kern w:val="0"/>
          <w:sz w:val="24"/>
        </w:rPr>
        <w:t>。</w:t>
      </w:r>
    </w:p>
    <w:p w14:paraId="357EDD53">
      <w:pPr>
        <w:spacing w:line="360" w:lineRule="auto"/>
        <w:ind w:firstLine="480" w:firstLineChars="200"/>
        <w:rPr>
          <w:rFonts w:ascii="宋体" w:hAnsi="宋体"/>
          <w:kern w:val="0"/>
          <w:sz w:val="24"/>
        </w:rPr>
      </w:pPr>
      <w:r>
        <w:rPr>
          <w:rFonts w:hint="eastAsia" w:ascii="宋体" w:hAnsi="宋体" w:cs="宋体"/>
          <w:bCs/>
          <w:snapToGrid w:val="0"/>
          <w:kern w:val="0"/>
          <w:sz w:val="24"/>
        </w:rPr>
        <w:t>6</w:t>
      </w:r>
      <w:r>
        <w:rPr>
          <w:rFonts w:hint="eastAsia" w:ascii="宋体" w:hAnsi="宋体"/>
          <w:kern w:val="0"/>
          <w:sz w:val="24"/>
        </w:rPr>
        <w:t>.3由于总监理工程师未能按合同约定履行义务造成工期延误的，工期顺延情形只适用于一般节点工期。</w:t>
      </w:r>
    </w:p>
    <w:p w14:paraId="295E9BF0">
      <w:pPr>
        <w:spacing w:line="360" w:lineRule="auto"/>
        <w:ind w:firstLine="480" w:firstLineChars="200"/>
        <w:rPr>
          <w:rFonts w:ascii="宋体" w:hAnsi="宋体"/>
          <w:kern w:val="0"/>
          <w:sz w:val="24"/>
        </w:rPr>
      </w:pPr>
      <w:r>
        <w:rPr>
          <w:rFonts w:hint="eastAsia" w:ascii="宋体" w:hAnsi="宋体" w:cs="宋体"/>
          <w:bCs/>
          <w:snapToGrid w:val="0"/>
          <w:kern w:val="0"/>
          <w:sz w:val="24"/>
        </w:rPr>
        <w:t>6</w:t>
      </w:r>
      <w:r>
        <w:rPr>
          <w:rFonts w:hint="eastAsia" w:ascii="宋体" w:hAnsi="宋体"/>
          <w:kern w:val="0"/>
          <w:sz w:val="24"/>
        </w:rPr>
        <w:t>.4如需更换总监理工程师，发包人应至少提前7天以书面形式通知承包人，承包人应遵照履行，并确保后任继续行使合同文件约定的前任的职权，履行前任的义务。</w:t>
      </w:r>
    </w:p>
    <w:p w14:paraId="12F6918F">
      <w:pPr>
        <w:spacing w:line="360" w:lineRule="auto"/>
        <w:ind w:firstLine="480" w:firstLineChars="200"/>
        <w:rPr>
          <w:rFonts w:ascii="宋体" w:hAnsi="宋体"/>
          <w:kern w:val="0"/>
          <w:sz w:val="24"/>
        </w:rPr>
      </w:pPr>
      <w:r>
        <w:rPr>
          <w:rFonts w:hint="eastAsia" w:ascii="宋体" w:hAnsi="宋体" w:cs="宋体"/>
          <w:bCs/>
          <w:snapToGrid w:val="0"/>
          <w:kern w:val="0"/>
          <w:sz w:val="24"/>
        </w:rPr>
        <w:t>6</w:t>
      </w:r>
      <w:r>
        <w:rPr>
          <w:rFonts w:hint="eastAsia" w:ascii="宋体" w:hAnsi="宋体"/>
          <w:kern w:val="0"/>
          <w:sz w:val="24"/>
        </w:rPr>
        <w:t>.5除特别指明外，总监理工程师对承包人的任何工作、工程或其采用的材料和设备未提出否定意见的，不应视为已获批准，也不影响总监理工程师在以后拒绝该项工作、工程、材料设备的权利。</w:t>
      </w:r>
    </w:p>
    <w:p w14:paraId="773BB52E">
      <w:pPr>
        <w:spacing w:line="360" w:lineRule="auto"/>
        <w:ind w:firstLine="480" w:firstLineChars="200"/>
        <w:rPr>
          <w:rFonts w:ascii="宋体" w:hAnsi="宋体"/>
          <w:kern w:val="0"/>
          <w:sz w:val="24"/>
        </w:rPr>
      </w:pPr>
      <w:r>
        <w:rPr>
          <w:rFonts w:hint="eastAsia" w:ascii="宋体" w:hAnsi="宋体" w:cs="宋体"/>
          <w:bCs/>
          <w:snapToGrid w:val="0"/>
          <w:kern w:val="0"/>
          <w:sz w:val="24"/>
        </w:rPr>
        <w:t>6</w:t>
      </w:r>
      <w:r>
        <w:rPr>
          <w:rFonts w:hint="eastAsia" w:ascii="宋体" w:hAnsi="宋体"/>
          <w:kern w:val="0"/>
          <w:sz w:val="24"/>
        </w:rPr>
        <w:t>.6总监理工程师的指令应该有总监理工程师的签字，并加盖监理单位驻施工场地机构印章。</w:t>
      </w:r>
    </w:p>
    <w:p w14:paraId="7C70C3B5">
      <w:pPr>
        <w:spacing w:line="360" w:lineRule="auto"/>
        <w:ind w:firstLine="480" w:firstLineChars="200"/>
        <w:rPr>
          <w:rFonts w:ascii="宋体" w:hAnsi="宋体"/>
          <w:kern w:val="0"/>
          <w:sz w:val="24"/>
        </w:rPr>
      </w:pPr>
      <w:r>
        <w:rPr>
          <w:rFonts w:hint="eastAsia" w:ascii="宋体" w:hAnsi="宋体" w:cs="宋体"/>
          <w:bCs/>
          <w:snapToGrid w:val="0"/>
          <w:kern w:val="0"/>
          <w:sz w:val="24"/>
        </w:rPr>
        <w:t>6</w:t>
      </w:r>
      <w:r>
        <w:rPr>
          <w:rFonts w:hint="eastAsia" w:ascii="宋体" w:hAnsi="宋体"/>
          <w:kern w:val="0"/>
          <w:sz w:val="24"/>
        </w:rPr>
        <w:t>.7合同约定应由承包人承担的义务和责任，不因监理单位对承包人文件的审查或批准，对工程、材料和工程设备的检查和检验，以及为实施监理作出的指示等职务行为而减轻或解除。</w:t>
      </w:r>
    </w:p>
    <w:p w14:paraId="455F33DD">
      <w:pPr>
        <w:spacing w:line="360" w:lineRule="auto"/>
        <w:ind w:firstLine="482" w:firstLineChars="200"/>
        <w:outlineLvl w:val="1"/>
        <w:rPr>
          <w:rFonts w:ascii="宋体" w:hAnsi="宋体"/>
          <w:b/>
          <w:kern w:val="0"/>
          <w:sz w:val="24"/>
        </w:rPr>
      </w:pPr>
      <w:bookmarkStart w:id="228" w:name="_Toc504465884"/>
      <w:bookmarkStart w:id="229" w:name="_Toc502215481"/>
      <w:bookmarkStart w:id="230" w:name="_Toc15831"/>
      <w:bookmarkStart w:id="231" w:name="_Toc104901760"/>
      <w:bookmarkStart w:id="232" w:name="_Toc518402578"/>
      <w:bookmarkStart w:id="233" w:name="_Toc144746868"/>
      <w:bookmarkStart w:id="234" w:name="_Toc5439"/>
      <w:bookmarkStart w:id="235" w:name="_Toc17812_WPSOffice_Level3"/>
      <w:bookmarkStart w:id="236" w:name="_Toc318"/>
      <w:bookmarkStart w:id="237" w:name="_Toc144745950"/>
      <w:r>
        <w:rPr>
          <w:rFonts w:hint="eastAsia" w:ascii="宋体" w:hAnsi="宋体" w:cs="宋体"/>
          <w:b/>
          <w:bCs/>
          <w:snapToGrid w:val="0"/>
          <w:kern w:val="0"/>
          <w:sz w:val="24"/>
        </w:rPr>
        <w:t>7</w:t>
      </w:r>
      <w:r>
        <w:rPr>
          <w:rFonts w:hint="eastAsia" w:ascii="宋体" w:hAnsi="宋体"/>
          <w:b/>
          <w:kern w:val="0"/>
          <w:sz w:val="24"/>
        </w:rPr>
        <w:t>、</w:t>
      </w:r>
      <w:bookmarkEnd w:id="228"/>
      <w:bookmarkEnd w:id="229"/>
      <w:r>
        <w:rPr>
          <w:rFonts w:hint="eastAsia" w:ascii="宋体" w:hAnsi="宋体"/>
          <w:b/>
          <w:kern w:val="0"/>
          <w:sz w:val="24"/>
        </w:rPr>
        <w:t>承包人的项目管理团队</w:t>
      </w:r>
      <w:bookmarkEnd w:id="230"/>
      <w:bookmarkEnd w:id="231"/>
      <w:bookmarkEnd w:id="232"/>
      <w:bookmarkEnd w:id="233"/>
      <w:bookmarkEnd w:id="234"/>
      <w:bookmarkEnd w:id="235"/>
      <w:bookmarkEnd w:id="236"/>
      <w:bookmarkEnd w:id="237"/>
    </w:p>
    <w:p w14:paraId="7A806889">
      <w:pPr>
        <w:adjustRightInd w:val="0"/>
        <w:snapToGrid w:val="0"/>
        <w:spacing w:line="360" w:lineRule="auto"/>
        <w:ind w:right="11" w:firstLine="480" w:firstLineChars="200"/>
        <w:rPr>
          <w:rFonts w:ascii="宋体" w:hAnsi="宋体"/>
          <w:kern w:val="0"/>
          <w:sz w:val="24"/>
        </w:rPr>
      </w:pPr>
      <w:r>
        <w:rPr>
          <w:rFonts w:hint="eastAsia" w:ascii="宋体" w:hAnsi="宋体" w:cs="宋体"/>
          <w:bCs/>
          <w:snapToGrid w:val="0"/>
          <w:kern w:val="0"/>
          <w:sz w:val="24"/>
        </w:rPr>
        <w:t>7</w:t>
      </w:r>
      <w:r>
        <w:rPr>
          <w:rFonts w:hint="eastAsia" w:ascii="宋体" w:hAnsi="宋体"/>
          <w:kern w:val="0"/>
          <w:sz w:val="24"/>
        </w:rPr>
        <w:t>.1本项目主要管理负责人：</w:t>
      </w:r>
    </w:p>
    <w:p w14:paraId="76629A59">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（1）项目经理（项目负责人）姓名：</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rPr>
        <w:t>，</w:t>
      </w:r>
      <w:r>
        <w:rPr>
          <w:rFonts w:hint="eastAsia" w:ascii="宋体" w:hAnsi="宋体" w:cs="宋体"/>
          <w:bCs/>
          <w:snapToGrid w:val="0"/>
          <w:kern w:val="0"/>
          <w:sz w:val="24"/>
        </w:rPr>
        <w:t xml:space="preserve"> </w:t>
      </w:r>
      <w:r>
        <w:rPr>
          <w:rFonts w:hint="eastAsia" w:ascii="宋体" w:hAnsi="宋体"/>
          <w:kern w:val="0"/>
          <w:sz w:val="24"/>
        </w:rPr>
        <w:t>职务</w:t>
      </w:r>
      <w:r>
        <w:rPr>
          <w:rFonts w:hint="eastAsia" w:ascii="宋体" w:hAnsi="宋体" w:cs="宋体"/>
          <w:bCs/>
          <w:snapToGrid w:val="0"/>
          <w:kern w:val="0"/>
          <w:sz w:val="24"/>
          <w:u w:val="single"/>
        </w:rPr>
        <w:t xml:space="preserve">    </w:t>
      </w:r>
      <w:r>
        <w:rPr>
          <w:rFonts w:hint="eastAsia" w:ascii="宋体" w:hAnsi="宋体"/>
          <w:kern w:val="0"/>
          <w:sz w:val="24"/>
          <w:u w:val="single"/>
        </w:rPr>
        <w:t xml:space="preserve"> </w:t>
      </w:r>
      <w:r>
        <w:rPr>
          <w:rFonts w:hint="eastAsia" w:ascii="宋体" w:hAnsi="宋体"/>
          <w:kern w:val="0"/>
          <w:sz w:val="24"/>
        </w:rPr>
        <w:t>项目负责人</w:t>
      </w:r>
      <w:r>
        <w:rPr>
          <w:rFonts w:hint="eastAsia" w:ascii="宋体" w:hAnsi="宋体"/>
          <w:kern w:val="0"/>
          <w:sz w:val="24"/>
          <w:u w:val="single"/>
        </w:rPr>
        <w:t xml:space="preserve"> </w:t>
      </w:r>
      <w:r>
        <w:rPr>
          <w:rFonts w:hint="eastAsia" w:ascii="宋体" w:hAnsi="宋体"/>
          <w:kern w:val="0"/>
          <w:sz w:val="24"/>
        </w:rPr>
        <w:t>。</w:t>
      </w:r>
    </w:p>
    <w:p w14:paraId="09564EF8">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（2）技术负责人姓名：</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cs="宋体"/>
          <w:bCs/>
          <w:snapToGrid w:val="0"/>
          <w:kern w:val="0"/>
          <w:sz w:val="24"/>
          <w:u w:val="single"/>
        </w:rPr>
        <w:t xml:space="preserve">  </w:t>
      </w:r>
      <w:r>
        <w:rPr>
          <w:rFonts w:hint="eastAsia" w:ascii="宋体" w:hAnsi="宋体"/>
          <w:kern w:val="0"/>
          <w:sz w:val="24"/>
        </w:rPr>
        <w:t>，职务：</w:t>
      </w:r>
      <w:r>
        <w:rPr>
          <w:rFonts w:hint="eastAsia" w:ascii="宋体" w:hAnsi="宋体"/>
          <w:kern w:val="0"/>
          <w:sz w:val="24"/>
          <w:u w:val="single"/>
        </w:rPr>
        <w:t xml:space="preserve"> 技术负责人 </w:t>
      </w:r>
      <w:r>
        <w:rPr>
          <w:rFonts w:hint="eastAsia" w:ascii="宋体" w:hAnsi="宋体" w:cs="宋体"/>
          <w:bCs/>
          <w:snapToGrid w:val="0"/>
          <w:kern w:val="0"/>
          <w:sz w:val="24"/>
          <w:u w:val="single"/>
        </w:rPr>
        <w:t xml:space="preserve">          </w:t>
      </w:r>
      <w:r>
        <w:rPr>
          <w:rFonts w:hint="eastAsia" w:ascii="宋体" w:hAnsi="宋体"/>
          <w:kern w:val="0"/>
          <w:sz w:val="24"/>
        </w:rPr>
        <w:t>。</w:t>
      </w:r>
    </w:p>
    <w:p w14:paraId="40E32EAE">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（3）</w:t>
      </w:r>
      <w:r>
        <w:rPr>
          <w:rFonts w:hint="eastAsia" w:ascii="宋体" w:hAnsi="宋体" w:cs="宋体"/>
          <w:bCs/>
          <w:snapToGrid w:val="0"/>
          <w:kern w:val="0"/>
          <w:sz w:val="24"/>
        </w:rPr>
        <w:t>设计</w:t>
      </w:r>
      <w:r>
        <w:rPr>
          <w:rFonts w:hint="eastAsia" w:ascii="宋体" w:hAnsi="宋体"/>
          <w:kern w:val="0"/>
          <w:sz w:val="24"/>
        </w:rPr>
        <w:t>负责人姓名：</w:t>
      </w:r>
      <w:r>
        <w:rPr>
          <w:rFonts w:hint="eastAsia" w:ascii="宋体" w:hAnsi="宋体" w:cs="宋体"/>
          <w:bCs/>
          <w:snapToGrid w:val="0"/>
          <w:kern w:val="0"/>
          <w:sz w:val="24"/>
          <w:u w:val="single"/>
        </w:rPr>
        <w:t xml:space="preserve"> </w:t>
      </w:r>
      <w:r>
        <w:rPr>
          <w:rFonts w:hint="eastAsia" w:ascii="宋体" w:hAnsi="宋体" w:cs="宋体"/>
          <w:bCs/>
          <w:snapToGrid w:val="0"/>
          <w:kern w:val="0"/>
          <w:sz w:val="24"/>
          <w:u w:val="single"/>
          <w:lang w:val="en-US" w:eastAsia="zh-CN"/>
        </w:rPr>
        <w:t xml:space="preserve">      </w:t>
      </w:r>
      <w:r>
        <w:rPr>
          <w:rFonts w:hint="eastAsia" w:ascii="宋体" w:hAnsi="宋体"/>
          <w:kern w:val="0"/>
          <w:sz w:val="24"/>
        </w:rPr>
        <w:t>，职务：</w:t>
      </w:r>
      <w:r>
        <w:rPr>
          <w:rFonts w:hint="eastAsia" w:ascii="宋体" w:hAnsi="宋体"/>
          <w:kern w:val="0"/>
          <w:sz w:val="24"/>
          <w:u w:val="single"/>
        </w:rPr>
        <w:t xml:space="preserve"> 设计负责人</w:t>
      </w:r>
      <w:r>
        <w:rPr>
          <w:rFonts w:hint="eastAsia" w:ascii="宋体" w:hAnsi="宋体" w:cs="宋体"/>
          <w:bCs/>
          <w:snapToGrid w:val="0"/>
          <w:kern w:val="0"/>
          <w:sz w:val="24"/>
          <w:u w:val="single"/>
        </w:rPr>
        <w:t xml:space="preserve"> </w:t>
      </w:r>
      <w:r>
        <w:rPr>
          <w:rFonts w:hint="eastAsia" w:ascii="宋体" w:hAnsi="宋体"/>
          <w:kern w:val="0"/>
          <w:sz w:val="24"/>
        </w:rPr>
        <w:t>。</w:t>
      </w:r>
    </w:p>
    <w:p w14:paraId="45F4D5C9">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项目负责人</w:t>
      </w:r>
      <w:r>
        <w:rPr>
          <w:rFonts w:hint="eastAsia" w:ascii="宋体" w:hAnsi="宋体" w:cs="宋体"/>
          <w:bCs/>
          <w:snapToGrid w:val="0"/>
          <w:kern w:val="0"/>
          <w:sz w:val="24"/>
        </w:rPr>
        <w:t>、项目书记、项目安全总监、项目技术总工、项目生产经理、项目质量经理、商务经理应经发包人面试合格后方可上岗，且</w:t>
      </w:r>
      <w:r>
        <w:rPr>
          <w:rFonts w:hint="eastAsia" w:ascii="宋体" w:hAnsi="宋体"/>
          <w:kern w:val="0"/>
          <w:sz w:val="24"/>
        </w:rPr>
        <w:t>应常驻项目现场，且每月在现场的时间不得少于25天</w:t>
      </w:r>
      <w:r>
        <w:rPr>
          <w:rFonts w:hint="eastAsia" w:ascii="宋体" w:hAnsi="宋体" w:cs="宋体"/>
          <w:bCs/>
          <w:snapToGrid w:val="0"/>
          <w:kern w:val="0"/>
          <w:sz w:val="24"/>
        </w:rPr>
        <w:t>。以发包人提供打卡机的每月打卡记录为准</w:t>
      </w:r>
      <w:r>
        <w:rPr>
          <w:rFonts w:hint="eastAsia" w:ascii="宋体" w:hAnsi="宋体"/>
          <w:kern w:val="0"/>
          <w:sz w:val="24"/>
        </w:rPr>
        <w:t>。项目负责人不得同时担任其他项目的项目负责人。</w:t>
      </w:r>
      <w:r>
        <w:rPr>
          <w:rFonts w:hint="eastAsia" w:ascii="宋体" w:hAnsi="宋体" w:cs="宋体"/>
          <w:bCs/>
          <w:snapToGrid w:val="0"/>
          <w:kern w:val="0"/>
          <w:sz w:val="24"/>
        </w:rPr>
        <w:t>设计项目负责任人及专业设计人员应根据项目需要驻场办公，设计项目负责任人及相关专业设计负责人每周至少一人次到现场处理问题并出具走场报告。</w:t>
      </w:r>
    </w:p>
    <w:p w14:paraId="6028F345">
      <w:pPr>
        <w:adjustRightInd w:val="0"/>
        <w:snapToGrid w:val="0"/>
        <w:spacing w:line="360" w:lineRule="auto"/>
        <w:ind w:right="11" w:firstLine="480" w:firstLineChars="200"/>
        <w:rPr>
          <w:rFonts w:ascii="宋体" w:hAnsi="宋体"/>
          <w:kern w:val="0"/>
          <w:sz w:val="24"/>
        </w:rPr>
      </w:pPr>
      <w:r>
        <w:rPr>
          <w:rFonts w:hint="eastAsia" w:ascii="宋体" w:hAnsi="宋体" w:cs="宋体"/>
          <w:bCs/>
          <w:snapToGrid w:val="0"/>
          <w:kern w:val="0"/>
          <w:sz w:val="24"/>
        </w:rPr>
        <w:t>7</w:t>
      </w:r>
      <w:r>
        <w:rPr>
          <w:rFonts w:hint="eastAsia" w:ascii="宋体" w:hAnsi="宋体"/>
          <w:kern w:val="0"/>
          <w:sz w:val="24"/>
        </w:rPr>
        <w:t>.2承包人依据合同发出的通知，以书面形式由项目经理签字后送交总监理工程师，总监理工程师在回执上签署姓名和收到时间后生效。</w:t>
      </w:r>
    </w:p>
    <w:p w14:paraId="22F53B26">
      <w:pPr>
        <w:adjustRightInd w:val="0"/>
        <w:snapToGrid w:val="0"/>
        <w:spacing w:line="360" w:lineRule="auto"/>
        <w:ind w:right="11" w:firstLine="480" w:firstLineChars="200"/>
        <w:rPr>
          <w:rFonts w:ascii="宋体" w:hAnsi="宋体"/>
          <w:kern w:val="0"/>
          <w:sz w:val="24"/>
        </w:rPr>
      </w:pPr>
      <w:r>
        <w:rPr>
          <w:rFonts w:hint="eastAsia" w:ascii="宋体" w:hAnsi="宋体" w:cs="宋体"/>
          <w:bCs/>
          <w:snapToGrid w:val="0"/>
          <w:kern w:val="0"/>
          <w:sz w:val="24"/>
        </w:rPr>
        <w:t>7</w:t>
      </w:r>
      <w:r>
        <w:rPr>
          <w:rFonts w:hint="eastAsia" w:ascii="宋体" w:hAnsi="宋体"/>
          <w:kern w:val="0"/>
          <w:sz w:val="24"/>
        </w:rPr>
        <w:t>.3项目负责人按经总监理工程师审批认可的施工组织设计（施工方案）和总监理工程师依据合同发出的指令组织施工。在情况紧急且无法与总监理工程师联系时，项目负责人应当采取保证人员生命和工程、财产安全的紧急措施，并在采取措施后48小时内向总监理工程师送交报告。</w:t>
      </w:r>
    </w:p>
    <w:p w14:paraId="674A5010">
      <w:pPr>
        <w:adjustRightInd w:val="0"/>
        <w:snapToGrid w:val="0"/>
        <w:spacing w:line="360" w:lineRule="auto"/>
        <w:ind w:right="11" w:firstLine="480" w:firstLineChars="200"/>
        <w:rPr>
          <w:rFonts w:ascii="宋体" w:hAnsi="宋体"/>
          <w:kern w:val="0"/>
          <w:sz w:val="24"/>
        </w:rPr>
      </w:pPr>
      <w:r>
        <w:rPr>
          <w:rFonts w:hint="eastAsia" w:ascii="宋体" w:hAnsi="宋体" w:cs="宋体"/>
          <w:bCs/>
          <w:snapToGrid w:val="0"/>
          <w:kern w:val="0"/>
          <w:sz w:val="24"/>
        </w:rPr>
        <w:t>7</w:t>
      </w:r>
      <w:r>
        <w:rPr>
          <w:rFonts w:hint="eastAsia" w:ascii="宋体" w:hAnsi="宋体"/>
          <w:kern w:val="0"/>
          <w:sz w:val="24"/>
        </w:rPr>
        <w:t>.4承包人如需更换项目负责人、技术负责人、</w:t>
      </w:r>
      <w:r>
        <w:rPr>
          <w:rFonts w:hint="eastAsia" w:ascii="宋体" w:hAnsi="宋体" w:cs="宋体"/>
          <w:bCs/>
          <w:snapToGrid w:val="0"/>
          <w:kern w:val="0"/>
          <w:sz w:val="24"/>
        </w:rPr>
        <w:t>设计负责人、</w:t>
      </w:r>
      <w:r>
        <w:rPr>
          <w:rFonts w:hint="eastAsia" w:ascii="宋体" w:hAnsi="宋体"/>
          <w:kern w:val="0"/>
          <w:sz w:val="24"/>
        </w:rPr>
        <w:t>安全负责人，应至少提前7天以书面形式通知发包人，并征得发包人同意。若更换以上人员而未征得发包人同意的，应按合同条款第41.</w:t>
      </w:r>
      <w:r>
        <w:rPr>
          <w:rFonts w:hint="eastAsia" w:ascii="宋体" w:hAnsi="宋体" w:cs="宋体"/>
          <w:bCs/>
          <w:snapToGrid w:val="0"/>
          <w:kern w:val="0"/>
          <w:sz w:val="24"/>
        </w:rPr>
        <w:t>8</w:t>
      </w:r>
      <w:r>
        <w:rPr>
          <w:rFonts w:hint="eastAsia" w:ascii="宋体" w:hAnsi="宋体"/>
          <w:kern w:val="0"/>
          <w:sz w:val="24"/>
        </w:rPr>
        <w:t>（3）款的约定承担违反投标承诺的违约责任（本合同另有约定的除外）。</w:t>
      </w:r>
    </w:p>
    <w:p w14:paraId="4585F139">
      <w:pPr>
        <w:adjustRightInd w:val="0"/>
        <w:snapToGrid w:val="0"/>
        <w:spacing w:line="360" w:lineRule="auto"/>
        <w:ind w:right="11" w:firstLine="480" w:firstLineChars="200"/>
        <w:rPr>
          <w:rFonts w:ascii="宋体" w:hAnsi="宋体"/>
          <w:kern w:val="0"/>
          <w:sz w:val="24"/>
        </w:rPr>
      </w:pPr>
      <w:r>
        <w:rPr>
          <w:rFonts w:hint="eastAsia" w:ascii="宋体" w:hAnsi="宋体" w:cs="宋体"/>
          <w:bCs/>
          <w:snapToGrid w:val="0"/>
          <w:kern w:val="0"/>
          <w:sz w:val="24"/>
        </w:rPr>
        <w:t>7</w:t>
      </w:r>
      <w:r>
        <w:rPr>
          <w:rFonts w:hint="eastAsia" w:ascii="宋体" w:hAnsi="宋体"/>
          <w:kern w:val="0"/>
          <w:sz w:val="24"/>
        </w:rPr>
        <w:t>.5发包人有权要求承包人更换其认为不称职的负责人，承包人对此不得持有任何异议</w:t>
      </w:r>
      <w:r>
        <w:rPr>
          <w:rFonts w:hint="eastAsia" w:ascii="宋体" w:hAnsi="宋体" w:cs="宋体"/>
          <w:bCs/>
          <w:snapToGrid w:val="0"/>
          <w:kern w:val="0"/>
          <w:sz w:val="24"/>
        </w:rPr>
        <w:t>，并需承担相应的违约责任</w:t>
      </w:r>
      <w:r>
        <w:rPr>
          <w:rFonts w:hint="eastAsia" w:ascii="宋体" w:hAnsi="宋体"/>
          <w:kern w:val="0"/>
          <w:sz w:val="24"/>
        </w:rPr>
        <w:t>。</w:t>
      </w:r>
    </w:p>
    <w:p w14:paraId="05A01F42">
      <w:pPr>
        <w:adjustRightInd w:val="0"/>
        <w:snapToGrid w:val="0"/>
        <w:spacing w:line="360" w:lineRule="auto"/>
        <w:ind w:right="11" w:firstLine="480" w:firstLineChars="200"/>
        <w:rPr>
          <w:rFonts w:ascii="宋体" w:hAnsi="宋体"/>
          <w:kern w:val="0"/>
          <w:sz w:val="24"/>
        </w:rPr>
      </w:pPr>
      <w:r>
        <w:rPr>
          <w:rFonts w:hint="eastAsia" w:ascii="宋体" w:hAnsi="宋体" w:cs="宋体"/>
          <w:bCs/>
          <w:snapToGrid w:val="0"/>
          <w:kern w:val="0"/>
          <w:sz w:val="24"/>
        </w:rPr>
        <w:t>7</w:t>
      </w:r>
      <w:r>
        <w:rPr>
          <w:rFonts w:hint="eastAsia" w:ascii="宋体" w:hAnsi="宋体"/>
          <w:kern w:val="0"/>
          <w:sz w:val="24"/>
        </w:rPr>
        <w:t>.6现场管理机构</w:t>
      </w:r>
    </w:p>
    <w:p w14:paraId="1F9B5DA2">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（1）承包人必须按照投标文件的承诺建立现场管理机构，严格执行《建设工程项目管理规范》（GB/T50326-2016），并积极主动接受建设行政主管部门的监督和检查。</w:t>
      </w:r>
    </w:p>
    <w:p w14:paraId="21C1C893">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（2）现场管理机构各部主要技术管理人员在开工前必须全部到位，并接受总监理工程师和发包人代表的查验。</w:t>
      </w:r>
    </w:p>
    <w:p w14:paraId="64E18122">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（3）承包人委派的现场管理机构各部主要技术管理人员不得有兼职情况存在，并需接受监理单位的监督。</w:t>
      </w:r>
    </w:p>
    <w:p w14:paraId="59F0E0D8">
      <w:pPr>
        <w:adjustRightInd w:val="0"/>
        <w:snapToGrid w:val="0"/>
        <w:spacing w:line="360" w:lineRule="auto"/>
        <w:ind w:right="11" w:firstLine="480" w:firstLineChars="200"/>
        <w:rPr>
          <w:rFonts w:ascii="宋体" w:hAnsi="宋体"/>
          <w:kern w:val="0"/>
          <w:sz w:val="24"/>
        </w:rPr>
      </w:pPr>
      <w:r>
        <w:rPr>
          <w:rFonts w:hint="eastAsia" w:ascii="宋体" w:hAnsi="宋体" w:cs="宋体"/>
          <w:bCs/>
          <w:snapToGrid w:val="0"/>
          <w:kern w:val="0"/>
          <w:sz w:val="24"/>
        </w:rPr>
        <w:t>7</w:t>
      </w:r>
      <w:r>
        <w:rPr>
          <w:rFonts w:hint="eastAsia" w:ascii="宋体" w:hAnsi="宋体"/>
          <w:kern w:val="0"/>
          <w:sz w:val="24"/>
        </w:rPr>
        <w:t>.7现场管理机构各部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即使征得发包人同意更换的，承包人仍应按合同条款第41.</w:t>
      </w:r>
      <w:r>
        <w:rPr>
          <w:rFonts w:hint="eastAsia" w:ascii="宋体" w:hAnsi="宋体" w:cs="宋体"/>
          <w:bCs/>
          <w:snapToGrid w:val="0"/>
          <w:kern w:val="0"/>
          <w:sz w:val="24"/>
        </w:rPr>
        <w:t>8</w:t>
      </w:r>
      <w:r>
        <w:rPr>
          <w:rFonts w:hint="eastAsia" w:ascii="宋体" w:hAnsi="宋体"/>
          <w:kern w:val="0"/>
          <w:sz w:val="24"/>
        </w:rPr>
        <w:t>（3）款的约定承担违反投标承诺的违约责任（其中：更换专职安全负责人的除外，本合同另有约定的除外）。</w:t>
      </w:r>
    </w:p>
    <w:p w14:paraId="3D33CB2A">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更换人员必须履行建设行政主管部门规定的人员变更手续，后任人员继续行使前任的职权，履行前任的义务。</w:t>
      </w:r>
    </w:p>
    <w:p w14:paraId="2639B4C7">
      <w:pPr>
        <w:adjustRightInd w:val="0"/>
        <w:snapToGrid w:val="0"/>
        <w:spacing w:line="360" w:lineRule="auto"/>
        <w:ind w:right="11" w:firstLine="480" w:firstLineChars="200"/>
        <w:rPr>
          <w:rFonts w:ascii="宋体" w:hAnsi="宋体"/>
          <w:kern w:val="0"/>
          <w:sz w:val="24"/>
        </w:rPr>
      </w:pPr>
      <w:r>
        <w:rPr>
          <w:rFonts w:hint="eastAsia" w:ascii="宋体" w:hAnsi="宋体" w:cs="宋体"/>
          <w:bCs/>
          <w:snapToGrid w:val="0"/>
          <w:kern w:val="0"/>
          <w:sz w:val="24"/>
        </w:rPr>
        <w:t>7</w:t>
      </w:r>
      <w:r>
        <w:rPr>
          <w:rFonts w:hint="eastAsia" w:ascii="宋体" w:hAnsi="宋体"/>
          <w:kern w:val="0"/>
          <w:sz w:val="24"/>
        </w:rPr>
        <w:t>.8现场管理机构各部主要技术管理人员的实际工作能力和工作效果达不到招标文件的明确要求或投标文件的承诺或工作态度存在严重不足，不适应现场工作需要的，发包人有权向承包人提出撤换。承包人可以提出整改意见，如发包人不予接受或认为整改效果不明显的，则承包人必须在7天内无条件撤换，并按合同条款第41.</w:t>
      </w:r>
      <w:r>
        <w:rPr>
          <w:rFonts w:hint="eastAsia" w:ascii="宋体" w:hAnsi="宋体" w:cs="宋体"/>
          <w:bCs/>
          <w:snapToGrid w:val="0"/>
          <w:kern w:val="0"/>
          <w:sz w:val="24"/>
        </w:rPr>
        <w:t>8</w:t>
      </w:r>
      <w:r>
        <w:rPr>
          <w:rFonts w:hint="eastAsia" w:ascii="宋体" w:hAnsi="宋体"/>
          <w:kern w:val="0"/>
          <w:sz w:val="24"/>
        </w:rPr>
        <w:t>（3）款的约定承担违约责任。所调换来人员的资质、资历、学历、职称、业绩、实际工作能力不低于原投标文件中所承诺人员的素质，否则，按合同条款第41.</w:t>
      </w:r>
      <w:r>
        <w:rPr>
          <w:rFonts w:hint="eastAsia" w:ascii="宋体" w:hAnsi="宋体" w:cs="宋体"/>
          <w:bCs/>
          <w:snapToGrid w:val="0"/>
          <w:kern w:val="0"/>
          <w:sz w:val="24"/>
        </w:rPr>
        <w:t>8</w:t>
      </w:r>
      <w:r>
        <w:rPr>
          <w:rFonts w:hint="eastAsia" w:ascii="宋体" w:hAnsi="宋体"/>
          <w:kern w:val="0"/>
          <w:sz w:val="24"/>
        </w:rPr>
        <w:t>（3）款的约定承担违反投标承诺的违约责任。</w:t>
      </w:r>
    </w:p>
    <w:p w14:paraId="5C457595">
      <w:pPr>
        <w:adjustRightInd w:val="0"/>
        <w:snapToGrid w:val="0"/>
        <w:spacing w:line="360" w:lineRule="auto"/>
        <w:ind w:right="11" w:firstLine="480" w:firstLineChars="200"/>
        <w:rPr>
          <w:rFonts w:ascii="宋体" w:hAnsi="宋体"/>
          <w:kern w:val="0"/>
        </w:rPr>
      </w:pPr>
      <w:r>
        <w:rPr>
          <w:rFonts w:ascii="宋体" w:hAnsi="宋体"/>
          <w:kern w:val="0"/>
          <w:sz w:val="24"/>
        </w:rPr>
        <w:t xml:space="preserve">7.9 </w:t>
      </w:r>
      <w:r>
        <w:rPr>
          <w:rFonts w:hint="eastAsia" w:ascii="宋体" w:hAnsi="宋体"/>
          <w:kern w:val="0"/>
          <w:sz w:val="24"/>
        </w:rPr>
        <w:t>连续两个季度（两次）第三方评估（飞检）成绩在发包人股东方及其下属公司在建项目</w:t>
      </w:r>
      <w:r>
        <w:rPr>
          <w:rFonts w:ascii="宋体" w:hAnsi="宋体"/>
          <w:kern w:val="0"/>
          <w:sz w:val="24"/>
        </w:rPr>
        <w:t>/</w:t>
      </w:r>
      <w:r>
        <w:rPr>
          <w:rFonts w:hint="eastAsia" w:ascii="宋体" w:hAnsi="宋体"/>
          <w:kern w:val="0"/>
          <w:sz w:val="24"/>
        </w:rPr>
        <w:t>地块综合排名后40</w:t>
      </w:r>
      <w:r>
        <w:rPr>
          <w:rFonts w:ascii="宋体" w:hAnsi="宋体"/>
          <w:kern w:val="0"/>
          <w:sz w:val="24"/>
        </w:rPr>
        <w:t>%</w:t>
      </w:r>
      <w:r>
        <w:rPr>
          <w:rFonts w:hint="eastAsia" w:ascii="宋体" w:hAnsi="宋体"/>
          <w:kern w:val="0"/>
          <w:sz w:val="24"/>
        </w:rPr>
        <w:t>，视为承包人各部主要管理人员的实际工作能力达不到招标文件的明确要求，发包人有权向承包人提出撤换（包含承包人项目经理、执行经理、项目总工、生产经理、安全总监、责任主管工程师等），承包人需在</w:t>
      </w:r>
      <w:r>
        <w:rPr>
          <w:rFonts w:ascii="宋体" w:hAnsi="宋体"/>
          <w:kern w:val="0"/>
          <w:sz w:val="24"/>
        </w:rPr>
        <w:t>20</w:t>
      </w:r>
      <w:r>
        <w:rPr>
          <w:rFonts w:hint="eastAsia" w:ascii="宋体" w:hAnsi="宋体"/>
          <w:kern w:val="0"/>
          <w:sz w:val="24"/>
        </w:rPr>
        <w:t>日内无条件配合撤换。</w:t>
      </w:r>
    </w:p>
    <w:p w14:paraId="41D7B5C7">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发包人要求承包人撤换不合格人员，如承包人既不立即撤换，也不及时提出整改意见，则视同拒绝执行发包人的指令，承包人需按合同条款第41.</w:t>
      </w:r>
      <w:r>
        <w:rPr>
          <w:rFonts w:hint="eastAsia" w:ascii="宋体" w:hAnsi="宋体" w:cs="宋体"/>
          <w:bCs/>
          <w:snapToGrid w:val="0"/>
          <w:kern w:val="0"/>
          <w:sz w:val="24"/>
        </w:rPr>
        <w:t>8</w:t>
      </w:r>
      <w:r>
        <w:rPr>
          <w:rFonts w:hint="eastAsia" w:ascii="宋体" w:hAnsi="宋体"/>
          <w:kern w:val="0"/>
          <w:sz w:val="24"/>
        </w:rPr>
        <w:t>（1）款的约定承担违约责任。</w:t>
      </w:r>
    </w:p>
    <w:p w14:paraId="59A765BA">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14:paraId="411A60E0">
      <w:pPr>
        <w:adjustRightInd w:val="0"/>
        <w:snapToGrid w:val="0"/>
        <w:spacing w:line="360" w:lineRule="auto"/>
        <w:ind w:right="11" w:firstLine="480" w:firstLineChars="200"/>
        <w:rPr>
          <w:rFonts w:ascii="宋体" w:hAnsi="宋体"/>
          <w:kern w:val="0"/>
          <w:sz w:val="24"/>
        </w:rPr>
      </w:pPr>
      <w:r>
        <w:rPr>
          <w:rFonts w:hint="eastAsia" w:ascii="宋体" w:hAnsi="宋体" w:cs="宋体"/>
          <w:bCs/>
          <w:snapToGrid w:val="0"/>
          <w:kern w:val="0"/>
          <w:sz w:val="24"/>
        </w:rPr>
        <w:t>7</w:t>
      </w:r>
      <w:r>
        <w:rPr>
          <w:rFonts w:hint="eastAsia" w:ascii="宋体" w:hAnsi="宋体"/>
          <w:kern w:val="0"/>
          <w:sz w:val="24"/>
        </w:rPr>
        <w:t>.10现场管理机构各部主要技术管理人员必须全职在现场办公，不得兼职或者擅自离岗。因特殊情况需短暂离岗的，应当事先报总监理工程师批准，且须妥善安排工作交接。</w:t>
      </w:r>
    </w:p>
    <w:p w14:paraId="104E1175">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承包人若违反上述约定，应按照合同条款第41.</w:t>
      </w:r>
      <w:r>
        <w:rPr>
          <w:rFonts w:hint="eastAsia" w:ascii="宋体" w:hAnsi="宋体" w:cs="宋体"/>
          <w:bCs/>
          <w:snapToGrid w:val="0"/>
          <w:kern w:val="0"/>
          <w:sz w:val="24"/>
        </w:rPr>
        <w:t>8</w:t>
      </w:r>
      <w:r>
        <w:rPr>
          <w:rFonts w:hint="eastAsia" w:ascii="宋体" w:hAnsi="宋体"/>
          <w:kern w:val="0"/>
          <w:sz w:val="24"/>
        </w:rPr>
        <w:t>款的相关约定承担违约责任。</w:t>
      </w:r>
    </w:p>
    <w:p w14:paraId="2115ECB2">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本合同所称现场办公，是指在工程实施过程中，现场管理机构各部主要组织管理人员必须在施工场地全职上班，履行各自的职责。</w:t>
      </w:r>
    </w:p>
    <w:p w14:paraId="1D3874C7">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现场管理机构各部主要组织管理人员现场办公天数，由总监理工程师及发包人现场管理负责人按实计量。</w:t>
      </w:r>
    </w:p>
    <w:p w14:paraId="31E70B47">
      <w:pPr>
        <w:adjustRightInd w:val="0"/>
        <w:snapToGrid w:val="0"/>
        <w:spacing w:line="360" w:lineRule="auto"/>
        <w:ind w:right="11" w:firstLine="480" w:firstLineChars="200"/>
        <w:rPr>
          <w:rFonts w:ascii="宋体" w:hAnsi="宋体"/>
          <w:kern w:val="0"/>
          <w:sz w:val="24"/>
        </w:rPr>
      </w:pPr>
      <w:r>
        <w:rPr>
          <w:rFonts w:hint="eastAsia" w:ascii="宋体" w:hAnsi="宋体" w:cs="宋体"/>
          <w:bCs/>
          <w:snapToGrid w:val="0"/>
          <w:kern w:val="0"/>
          <w:sz w:val="24"/>
        </w:rPr>
        <w:t>7</w:t>
      </w:r>
      <w:r>
        <w:rPr>
          <w:rFonts w:hint="eastAsia" w:ascii="宋体" w:hAnsi="宋体"/>
          <w:kern w:val="0"/>
          <w:sz w:val="24"/>
        </w:rPr>
        <w:t>.1</w:t>
      </w:r>
      <w:r>
        <w:rPr>
          <w:rFonts w:ascii="宋体" w:hAnsi="宋体"/>
          <w:kern w:val="0"/>
          <w:sz w:val="24"/>
        </w:rPr>
        <w:t>1</w:t>
      </w:r>
      <w:r>
        <w:rPr>
          <w:rFonts w:hint="eastAsia" w:ascii="宋体" w:hAnsi="宋体"/>
          <w:kern w:val="0"/>
          <w:sz w:val="24"/>
        </w:rPr>
        <w:t>现场管理机构的所有印章应由承包人正式向发包人报备。</w:t>
      </w:r>
    </w:p>
    <w:p w14:paraId="17E4FE35">
      <w:pPr>
        <w:spacing w:line="360" w:lineRule="auto"/>
        <w:ind w:firstLine="482" w:firstLineChars="200"/>
        <w:outlineLvl w:val="1"/>
        <w:rPr>
          <w:rFonts w:ascii="宋体" w:hAnsi="宋体"/>
          <w:b/>
          <w:kern w:val="0"/>
          <w:sz w:val="24"/>
        </w:rPr>
      </w:pPr>
      <w:bookmarkStart w:id="238" w:name="_Toc144745951"/>
      <w:bookmarkStart w:id="239" w:name="_Toc17801_WPSOffice_Level3"/>
      <w:bookmarkStart w:id="240" w:name="_Toc518402579"/>
      <w:bookmarkStart w:id="241" w:name="_Toc504465885"/>
      <w:bookmarkStart w:id="242" w:name="_Toc104901761"/>
      <w:bookmarkStart w:id="243" w:name="_Toc13459"/>
      <w:bookmarkStart w:id="244" w:name="_Toc27847"/>
      <w:bookmarkStart w:id="245" w:name="_Toc13166"/>
      <w:bookmarkStart w:id="246" w:name="_Toc144746869"/>
      <w:bookmarkStart w:id="247" w:name="_Toc502215482"/>
      <w:r>
        <w:rPr>
          <w:rFonts w:hint="eastAsia" w:ascii="宋体" w:hAnsi="宋体" w:cs="宋体"/>
          <w:b/>
          <w:bCs/>
          <w:snapToGrid w:val="0"/>
          <w:kern w:val="0"/>
          <w:sz w:val="24"/>
        </w:rPr>
        <w:t>8</w:t>
      </w:r>
      <w:r>
        <w:rPr>
          <w:rFonts w:hint="eastAsia" w:ascii="宋体" w:hAnsi="宋体"/>
          <w:b/>
          <w:kern w:val="0"/>
          <w:sz w:val="24"/>
        </w:rPr>
        <w:t>、发包人权利和义务</w:t>
      </w:r>
      <w:bookmarkEnd w:id="238"/>
      <w:bookmarkEnd w:id="239"/>
      <w:bookmarkEnd w:id="240"/>
      <w:bookmarkEnd w:id="241"/>
      <w:bookmarkEnd w:id="242"/>
      <w:bookmarkEnd w:id="243"/>
      <w:bookmarkEnd w:id="244"/>
      <w:bookmarkEnd w:id="245"/>
      <w:bookmarkEnd w:id="246"/>
      <w:bookmarkEnd w:id="247"/>
    </w:p>
    <w:p w14:paraId="5B871DC5">
      <w:pPr>
        <w:spacing w:line="360" w:lineRule="auto"/>
        <w:ind w:firstLine="480" w:firstLineChars="200"/>
        <w:rPr>
          <w:rFonts w:ascii="宋体" w:hAnsi="宋体"/>
          <w:kern w:val="0"/>
          <w:sz w:val="24"/>
        </w:rPr>
      </w:pPr>
      <w:r>
        <w:rPr>
          <w:rFonts w:hint="eastAsia" w:ascii="宋体" w:hAnsi="宋体" w:cs="宋体"/>
          <w:bCs/>
          <w:snapToGrid w:val="0"/>
          <w:kern w:val="0"/>
          <w:sz w:val="24"/>
        </w:rPr>
        <w:t>8</w:t>
      </w:r>
      <w:r>
        <w:rPr>
          <w:rFonts w:hint="eastAsia" w:ascii="宋体" w:hAnsi="宋体"/>
          <w:kern w:val="0"/>
          <w:sz w:val="24"/>
        </w:rPr>
        <w:t>.1发包人的权利：</w:t>
      </w:r>
    </w:p>
    <w:p w14:paraId="71E82A55">
      <w:pPr>
        <w:spacing w:line="360" w:lineRule="auto"/>
        <w:ind w:firstLine="480" w:firstLineChars="200"/>
        <w:rPr>
          <w:rFonts w:ascii="宋体" w:hAnsi="宋体"/>
          <w:kern w:val="0"/>
          <w:sz w:val="24"/>
        </w:rPr>
      </w:pPr>
      <w:r>
        <w:rPr>
          <w:rFonts w:hint="eastAsia" w:ascii="宋体" w:hAnsi="宋体"/>
          <w:kern w:val="0"/>
          <w:sz w:val="24"/>
        </w:rPr>
        <w:t>（1）依本合同约定享有承包人提交的</w:t>
      </w:r>
      <w:r>
        <w:rPr>
          <w:rFonts w:hint="eastAsia" w:ascii="宋体" w:hAnsi="宋体" w:cs="宋体"/>
          <w:bCs/>
          <w:snapToGrid w:val="0"/>
          <w:kern w:val="0"/>
          <w:sz w:val="24"/>
        </w:rPr>
        <w:t>设计</w:t>
      </w:r>
      <w:r>
        <w:rPr>
          <w:rFonts w:hint="eastAsia" w:ascii="宋体" w:hAnsi="宋体"/>
          <w:kern w:val="0"/>
          <w:sz w:val="24"/>
        </w:rPr>
        <w:t>成果文件的知识产权和所有权。</w:t>
      </w:r>
    </w:p>
    <w:p w14:paraId="49486CED">
      <w:pPr>
        <w:spacing w:line="360" w:lineRule="auto"/>
        <w:ind w:firstLine="480" w:firstLineChars="200"/>
        <w:rPr>
          <w:rFonts w:ascii="宋体" w:hAnsi="宋体"/>
          <w:kern w:val="0"/>
          <w:sz w:val="24"/>
        </w:rPr>
      </w:pPr>
      <w:r>
        <w:rPr>
          <w:rFonts w:hint="eastAsia" w:ascii="宋体" w:hAnsi="宋体"/>
          <w:kern w:val="0"/>
          <w:sz w:val="24"/>
        </w:rPr>
        <w:t>（2）承包人在（包括但不限于）</w:t>
      </w:r>
      <w:r>
        <w:rPr>
          <w:rFonts w:hint="eastAsia" w:ascii="宋体" w:hAnsi="宋体" w:cs="宋体"/>
          <w:bCs/>
          <w:snapToGrid w:val="0"/>
          <w:kern w:val="0"/>
          <w:sz w:val="24"/>
        </w:rPr>
        <w:t>设计-</w:t>
      </w:r>
      <w:r>
        <w:rPr>
          <w:rFonts w:hint="eastAsia" w:ascii="宋体" w:hAnsi="宋体"/>
          <w:kern w:val="0"/>
          <w:sz w:val="24"/>
        </w:rPr>
        <w:t>施工进度、</w:t>
      </w:r>
      <w:r>
        <w:rPr>
          <w:rFonts w:hint="eastAsia" w:ascii="宋体" w:hAnsi="宋体" w:cs="宋体"/>
          <w:bCs/>
          <w:snapToGrid w:val="0"/>
          <w:kern w:val="0"/>
          <w:sz w:val="24"/>
        </w:rPr>
        <w:t>设计-</w:t>
      </w:r>
      <w:r>
        <w:rPr>
          <w:rFonts w:hint="eastAsia" w:ascii="宋体" w:hAnsi="宋体"/>
          <w:kern w:val="0"/>
          <w:sz w:val="24"/>
        </w:rPr>
        <w:t>施工质量</w:t>
      </w:r>
      <w:r>
        <w:rPr>
          <w:rFonts w:hint="eastAsia" w:ascii="宋体" w:hAnsi="宋体" w:cs="宋体"/>
          <w:bCs/>
          <w:snapToGrid w:val="0"/>
          <w:kern w:val="0"/>
          <w:sz w:val="24"/>
        </w:rPr>
        <w:t>、设计-施工安全</w:t>
      </w:r>
      <w:r>
        <w:rPr>
          <w:rFonts w:hint="eastAsia" w:ascii="宋体" w:hAnsi="宋体"/>
          <w:kern w:val="0"/>
          <w:sz w:val="24"/>
        </w:rPr>
        <w:t>、指派人员、提供服务、协作等方面义务的履行不符合本合同约定时，发包人有追究违约责任、要求赔偿损失、直至解除合同等权利；同时，发包人还有权将承包人存在的上述违约事实公诸于众和向有关部门反映情况。</w:t>
      </w:r>
    </w:p>
    <w:p w14:paraId="4F8DBBE6">
      <w:pPr>
        <w:spacing w:line="360" w:lineRule="auto"/>
        <w:ind w:firstLine="480" w:firstLineChars="200"/>
        <w:rPr>
          <w:rFonts w:ascii="宋体" w:hAnsi="宋体"/>
          <w:kern w:val="0"/>
          <w:sz w:val="24"/>
        </w:rPr>
      </w:pPr>
      <w:r>
        <w:rPr>
          <w:rFonts w:hint="eastAsia" w:ascii="宋体" w:hAnsi="宋体"/>
          <w:kern w:val="0"/>
          <w:sz w:val="24"/>
        </w:rPr>
        <w:t>（3）发包人有权聘请施工图审查单位作为本合同工程的施工图设计审查单位，承包人应接受该施工图审查单位按照相关法律、法规和发包人赋予的权利所进行的施工图审查工作。</w:t>
      </w:r>
    </w:p>
    <w:p w14:paraId="5E24B66D">
      <w:pPr>
        <w:spacing w:line="360" w:lineRule="auto"/>
        <w:ind w:firstLine="480" w:firstLineChars="200"/>
        <w:rPr>
          <w:rFonts w:ascii="宋体" w:hAnsi="宋体"/>
          <w:kern w:val="0"/>
          <w:sz w:val="24"/>
        </w:rPr>
      </w:pPr>
      <w:r>
        <w:rPr>
          <w:rFonts w:hint="eastAsia" w:ascii="宋体" w:hAnsi="宋体"/>
          <w:kern w:val="0"/>
          <w:sz w:val="24"/>
        </w:rPr>
        <w:t>（4）</w:t>
      </w:r>
      <w:r>
        <w:rPr>
          <w:rFonts w:hint="eastAsia" w:ascii="宋体" w:hAnsi="宋体" w:cs="宋体"/>
          <w:bCs/>
          <w:snapToGrid w:val="0"/>
          <w:kern w:val="0"/>
          <w:sz w:val="24"/>
        </w:rPr>
        <w:t>设计图纸及设计变更的审批权，设计、</w:t>
      </w:r>
      <w:r>
        <w:rPr>
          <w:rFonts w:hint="eastAsia" w:ascii="宋体" w:hAnsi="宋体"/>
          <w:kern w:val="0"/>
          <w:sz w:val="24"/>
        </w:rPr>
        <w:t>施工进度的监督权，材料、设备选用的审定权。</w:t>
      </w:r>
    </w:p>
    <w:p w14:paraId="6EDAFBF0">
      <w:pPr>
        <w:spacing w:line="360" w:lineRule="auto"/>
        <w:ind w:firstLine="480" w:firstLineChars="200"/>
        <w:rPr>
          <w:rFonts w:ascii="宋体" w:hAnsi="宋体"/>
          <w:kern w:val="0"/>
          <w:sz w:val="24"/>
        </w:rPr>
      </w:pPr>
      <w:r>
        <w:rPr>
          <w:rFonts w:hint="eastAsia" w:ascii="宋体" w:hAnsi="宋体"/>
          <w:kern w:val="0"/>
          <w:sz w:val="24"/>
        </w:rPr>
        <w:t>（5）其他权利。</w:t>
      </w:r>
    </w:p>
    <w:p w14:paraId="1B4249F0">
      <w:pPr>
        <w:spacing w:line="360" w:lineRule="auto"/>
        <w:ind w:firstLine="480" w:firstLineChars="200"/>
        <w:rPr>
          <w:rFonts w:ascii="宋体" w:hAnsi="宋体"/>
          <w:kern w:val="0"/>
          <w:sz w:val="24"/>
        </w:rPr>
      </w:pPr>
      <w:r>
        <w:rPr>
          <w:rFonts w:hint="eastAsia" w:ascii="宋体" w:hAnsi="宋体" w:cs="宋体"/>
          <w:bCs/>
          <w:snapToGrid w:val="0"/>
          <w:kern w:val="0"/>
          <w:sz w:val="24"/>
        </w:rPr>
        <w:t>8</w:t>
      </w:r>
      <w:r>
        <w:rPr>
          <w:rFonts w:hint="eastAsia" w:ascii="宋体" w:hAnsi="宋体"/>
          <w:kern w:val="0"/>
          <w:sz w:val="24"/>
        </w:rPr>
        <w:t>.2 发包人的义务：</w:t>
      </w:r>
    </w:p>
    <w:p w14:paraId="25261F51">
      <w:pPr>
        <w:spacing w:line="360" w:lineRule="auto"/>
        <w:ind w:firstLine="480" w:firstLineChars="200"/>
        <w:rPr>
          <w:rFonts w:ascii="宋体" w:hAnsi="宋体"/>
          <w:kern w:val="0"/>
          <w:sz w:val="24"/>
        </w:rPr>
      </w:pPr>
      <w:r>
        <w:rPr>
          <w:rFonts w:hint="eastAsia" w:ascii="宋体" w:hAnsi="宋体"/>
          <w:kern w:val="0"/>
          <w:sz w:val="24"/>
        </w:rPr>
        <w:t>（1）按本合同约定及时向承包人提供地质勘察资料、用地红线图、国有土地权属证明</w:t>
      </w:r>
      <w:r>
        <w:rPr>
          <w:rFonts w:hint="eastAsia" w:ascii="宋体" w:hAnsi="宋体" w:cs="宋体"/>
          <w:bCs/>
          <w:snapToGrid w:val="0"/>
          <w:kern w:val="0"/>
          <w:sz w:val="24"/>
        </w:rPr>
        <w:t xml:space="preserve"> </w:t>
      </w:r>
      <w:r>
        <w:rPr>
          <w:rFonts w:hint="eastAsia" w:ascii="宋体" w:hAnsi="宋体"/>
          <w:kern w:val="0"/>
          <w:sz w:val="24"/>
        </w:rPr>
        <w:t>。</w:t>
      </w:r>
    </w:p>
    <w:p w14:paraId="480D9103">
      <w:pPr>
        <w:spacing w:line="360" w:lineRule="auto"/>
        <w:ind w:firstLine="480" w:firstLineChars="200"/>
        <w:rPr>
          <w:rFonts w:ascii="宋体" w:hAnsi="宋体"/>
          <w:kern w:val="0"/>
          <w:sz w:val="24"/>
        </w:rPr>
      </w:pPr>
      <w:r>
        <w:rPr>
          <w:rFonts w:hint="eastAsia" w:ascii="宋体" w:hAnsi="宋体"/>
          <w:kern w:val="0"/>
          <w:sz w:val="24"/>
        </w:rPr>
        <w:t>（2）按本合同约定按时支付合同款项。</w:t>
      </w:r>
    </w:p>
    <w:p w14:paraId="3C1890DF">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在合同实施过程中，因适用的设计规范及标准发生变化且按国家或地方规定必须使用新标准、新规范的，承包人应向发包人提交有关新标准、新规范的建议书，造成承包人对已经被发包人确认的设计返工时，双方共同承担相关风险，双方须共同按照新规范、新标准推进设计工作，同时给予承包人合理设计时间和成果资料重复制作的费用，在规模投资不变的情况下，不再另行支付承包人设计修改的设计费用；若发生承包人原因引起的工期延误等违约情形时，是否适用新标准、新规范由发包人自行决定，并且由此所产生的费用由承包人自行承担，如按照相关规范必须适用新标准、新规范的，则因适用该新标准而增加的费用及责任由承包人自行承担。设计中如遇国家和地区无相应规范、标准和依据的，由承包人提出建议，由发包人报送有关主管部门审查确认或解释所采用的标准、规定和依据。</w:t>
      </w:r>
    </w:p>
    <w:p w14:paraId="3D4A5951">
      <w:pPr>
        <w:spacing w:line="360" w:lineRule="auto"/>
        <w:ind w:firstLine="480" w:firstLineChars="200"/>
        <w:rPr>
          <w:rFonts w:ascii="宋体" w:hAnsi="宋体"/>
          <w:kern w:val="0"/>
          <w:sz w:val="24"/>
        </w:rPr>
      </w:pPr>
      <w:r>
        <w:rPr>
          <w:rFonts w:hint="eastAsia" w:ascii="宋体" w:hAnsi="宋体"/>
          <w:kern w:val="0"/>
          <w:sz w:val="24"/>
        </w:rPr>
        <w:t>（3）发包人应做的其它工作。</w:t>
      </w:r>
    </w:p>
    <w:p w14:paraId="60E10B84">
      <w:pPr>
        <w:spacing w:line="360" w:lineRule="auto"/>
        <w:ind w:firstLine="480" w:firstLineChars="200"/>
        <w:rPr>
          <w:rFonts w:ascii="宋体" w:hAnsi="宋体"/>
          <w:kern w:val="0"/>
          <w:sz w:val="24"/>
        </w:rPr>
      </w:pPr>
      <w:r>
        <w:rPr>
          <w:rFonts w:hint="eastAsia" w:ascii="宋体" w:hAnsi="宋体" w:cs="宋体"/>
          <w:bCs/>
          <w:snapToGrid w:val="0"/>
          <w:kern w:val="0"/>
          <w:sz w:val="24"/>
        </w:rPr>
        <w:t>8</w:t>
      </w:r>
      <w:r>
        <w:rPr>
          <w:rFonts w:hint="eastAsia" w:ascii="宋体" w:hAnsi="宋体"/>
          <w:kern w:val="0"/>
          <w:sz w:val="24"/>
        </w:rPr>
        <w:t>.3发包人未能履行合同条款第</w:t>
      </w:r>
      <w:r>
        <w:rPr>
          <w:rFonts w:hint="eastAsia" w:ascii="宋体" w:hAnsi="宋体" w:cs="宋体"/>
          <w:bCs/>
          <w:snapToGrid w:val="0"/>
          <w:kern w:val="0"/>
          <w:sz w:val="24"/>
        </w:rPr>
        <w:t>8</w:t>
      </w:r>
      <w:r>
        <w:rPr>
          <w:rFonts w:hint="eastAsia" w:ascii="宋体" w:hAnsi="宋体"/>
          <w:kern w:val="0"/>
          <w:sz w:val="24"/>
        </w:rPr>
        <w:t>.2款各项义务，导致工期延误或给承包人造成损失的，顺延延误的工期，但关键节点工期不顺延，仅可顺延延误一般节点工期，且该项顺延以不对关键节点工期和总工期构成不利影响为限，不作其他费用补偿。</w:t>
      </w:r>
    </w:p>
    <w:p w14:paraId="05291FE3">
      <w:pPr>
        <w:spacing w:line="360" w:lineRule="auto"/>
        <w:ind w:firstLine="482" w:firstLineChars="200"/>
        <w:outlineLvl w:val="1"/>
        <w:rPr>
          <w:rFonts w:ascii="宋体" w:hAnsi="宋体"/>
          <w:b/>
          <w:kern w:val="0"/>
          <w:sz w:val="24"/>
        </w:rPr>
      </w:pPr>
      <w:bookmarkStart w:id="248" w:name="_Toc144745952"/>
      <w:bookmarkStart w:id="249" w:name="_Toc23710_WPSOffice_Level3"/>
      <w:bookmarkStart w:id="250" w:name="_Toc30237"/>
      <w:bookmarkStart w:id="251" w:name="_Toc23112"/>
      <w:bookmarkStart w:id="252" w:name="_Toc504465886"/>
      <w:bookmarkStart w:id="253" w:name="_Toc502215483"/>
      <w:bookmarkStart w:id="254" w:name="_Toc104901762"/>
      <w:bookmarkStart w:id="255" w:name="_Toc5519"/>
      <w:bookmarkStart w:id="256" w:name="_Toc144746870"/>
      <w:bookmarkStart w:id="257" w:name="_Toc518402580"/>
      <w:r>
        <w:rPr>
          <w:rFonts w:hint="eastAsia" w:ascii="宋体" w:hAnsi="宋体" w:cs="宋体"/>
          <w:b/>
          <w:bCs/>
          <w:snapToGrid w:val="0"/>
          <w:kern w:val="0"/>
          <w:sz w:val="24"/>
        </w:rPr>
        <w:t>9</w:t>
      </w:r>
      <w:r>
        <w:rPr>
          <w:rFonts w:hint="eastAsia" w:ascii="宋体" w:hAnsi="宋体"/>
          <w:b/>
          <w:kern w:val="0"/>
          <w:sz w:val="24"/>
        </w:rPr>
        <w:t>、承包人权利和义务</w:t>
      </w:r>
      <w:bookmarkEnd w:id="248"/>
      <w:bookmarkEnd w:id="249"/>
      <w:bookmarkEnd w:id="250"/>
      <w:bookmarkEnd w:id="251"/>
      <w:bookmarkEnd w:id="252"/>
      <w:bookmarkEnd w:id="253"/>
      <w:bookmarkEnd w:id="254"/>
      <w:bookmarkEnd w:id="255"/>
      <w:bookmarkEnd w:id="256"/>
      <w:bookmarkEnd w:id="257"/>
    </w:p>
    <w:p w14:paraId="2D050150">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9</w:t>
      </w:r>
      <w:r>
        <w:rPr>
          <w:rFonts w:hint="eastAsia" w:ascii="宋体" w:hAnsi="宋体"/>
          <w:kern w:val="0"/>
          <w:sz w:val="24"/>
        </w:rPr>
        <w:t>.1承包人的</w:t>
      </w:r>
      <w:r>
        <w:rPr>
          <w:rFonts w:hint="eastAsia" w:ascii="宋体" w:hAnsi="宋体" w:cs="宋体"/>
          <w:bCs/>
          <w:snapToGrid w:val="0"/>
          <w:kern w:val="0"/>
          <w:sz w:val="24"/>
        </w:rPr>
        <w:t>权利：</w:t>
      </w:r>
    </w:p>
    <w:p w14:paraId="031F6E16">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（1）根据合同约定收取</w:t>
      </w:r>
      <w:r>
        <w:rPr>
          <w:rFonts w:hint="eastAsia" w:ascii="宋体" w:hAnsi="宋体" w:cs="宋体"/>
          <w:snapToGrid w:val="0"/>
          <w:sz w:val="24"/>
        </w:rPr>
        <w:t>设计费（</w:t>
      </w:r>
      <w:r>
        <w:rPr>
          <w:rFonts w:hint="eastAsia" w:ascii="宋体" w:hAnsi="宋体" w:cs="宋体"/>
          <w:snapToGrid w:val="0"/>
          <w:color w:val="C00000"/>
          <w:sz w:val="24"/>
        </w:rPr>
        <w:t>含海绵城市设计等</w:t>
      </w:r>
      <w:r>
        <w:rPr>
          <w:rFonts w:hint="eastAsia" w:ascii="宋体" w:hAnsi="宋体" w:cs="宋体"/>
          <w:snapToGrid w:val="0"/>
          <w:sz w:val="24"/>
        </w:rPr>
        <w:t>）</w:t>
      </w:r>
      <w:r>
        <w:rPr>
          <w:rFonts w:hint="eastAsia" w:ascii="宋体" w:hAnsi="宋体" w:cs="宋体"/>
          <w:snapToGrid w:val="0"/>
          <w:sz w:val="24"/>
          <w:lang w:eastAsia="zh-CN"/>
        </w:rPr>
        <w:t>、</w:t>
      </w:r>
      <w:r>
        <w:rPr>
          <w:rFonts w:hint="eastAsia" w:ascii="宋体" w:hAnsi="宋体" w:cs="宋体"/>
          <w:bCs/>
          <w:snapToGrid w:val="0"/>
          <w:kern w:val="0"/>
          <w:sz w:val="24"/>
        </w:rPr>
        <w:t>施工费。</w:t>
      </w:r>
    </w:p>
    <w:p w14:paraId="55CAF794">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（2）拥有设计成果文件的署名权。</w:t>
      </w:r>
    </w:p>
    <w:p w14:paraId="2DAB746B">
      <w:pPr>
        <w:spacing w:line="360" w:lineRule="auto"/>
        <w:ind w:firstLine="480" w:firstLineChars="200"/>
        <w:rPr>
          <w:rFonts w:ascii="宋体" w:hAnsi="宋体"/>
          <w:kern w:val="0"/>
          <w:sz w:val="24"/>
        </w:rPr>
      </w:pPr>
      <w:r>
        <w:rPr>
          <w:rFonts w:hint="eastAsia" w:ascii="宋体" w:hAnsi="宋体" w:cs="宋体"/>
          <w:bCs/>
          <w:snapToGrid w:val="0"/>
          <w:kern w:val="0"/>
          <w:sz w:val="24"/>
        </w:rPr>
        <w:t>9.2承包人的</w:t>
      </w:r>
      <w:r>
        <w:rPr>
          <w:rFonts w:hint="eastAsia" w:ascii="宋体" w:hAnsi="宋体"/>
          <w:kern w:val="0"/>
          <w:sz w:val="24"/>
        </w:rPr>
        <w:t>义务：</w:t>
      </w:r>
    </w:p>
    <w:p w14:paraId="0B67BE14">
      <w:pPr>
        <w:spacing w:line="360" w:lineRule="auto"/>
        <w:ind w:firstLine="480" w:firstLineChars="200"/>
        <w:rPr>
          <w:rFonts w:ascii="宋体" w:hAnsi="宋体"/>
          <w:kern w:val="0"/>
          <w:sz w:val="24"/>
        </w:rPr>
      </w:pPr>
      <w:r>
        <w:rPr>
          <w:rFonts w:hint="eastAsia" w:ascii="宋体" w:hAnsi="宋体"/>
          <w:kern w:val="0"/>
          <w:sz w:val="24"/>
        </w:rPr>
        <w:t>（1）按照合同约定的标准、规范、工程的功能、规模、考核目标和竣工日期，完成</w:t>
      </w:r>
      <w:r>
        <w:rPr>
          <w:rFonts w:hint="eastAsia" w:ascii="宋体" w:hAnsi="宋体" w:cs="宋体"/>
          <w:bCs/>
          <w:snapToGrid w:val="0"/>
          <w:kern w:val="0"/>
          <w:sz w:val="24"/>
        </w:rPr>
        <w:t>设计、</w:t>
      </w:r>
      <w:r>
        <w:rPr>
          <w:rFonts w:hint="eastAsia" w:ascii="宋体" w:hAnsi="宋体"/>
          <w:kern w:val="0"/>
          <w:sz w:val="24"/>
        </w:rPr>
        <w:t>采购、施工、缺陷修复等工作，不得违反国家强制性标准、规范的规定。</w:t>
      </w:r>
    </w:p>
    <w:p w14:paraId="56A1E9F3">
      <w:pPr>
        <w:spacing w:line="360" w:lineRule="auto"/>
        <w:ind w:firstLine="480" w:firstLineChars="200"/>
        <w:rPr>
          <w:rFonts w:ascii="宋体" w:hAnsi="宋体"/>
          <w:kern w:val="0"/>
          <w:sz w:val="24"/>
        </w:rPr>
      </w:pPr>
      <w:r>
        <w:rPr>
          <w:rFonts w:hint="eastAsia" w:ascii="宋体" w:hAnsi="宋体"/>
          <w:kern w:val="0"/>
          <w:sz w:val="24"/>
        </w:rPr>
        <w:t>（2）按照合同约定，监理单位可以随时发出指示，要求承包人自费修复因非发包人原因引起的设计、文件、设备、材料、部件、施工中存在的缺陷、或在缺陷责任期或质量保修期发现的缺陷，直至达到合同要求的质量标准，工期不作顺延。</w:t>
      </w:r>
    </w:p>
    <w:p w14:paraId="22109350">
      <w:pPr>
        <w:spacing w:line="360" w:lineRule="auto"/>
        <w:ind w:firstLine="480" w:firstLineChars="200"/>
        <w:rPr>
          <w:rFonts w:ascii="宋体" w:hAnsi="宋体"/>
          <w:kern w:val="0"/>
          <w:sz w:val="24"/>
        </w:rPr>
      </w:pPr>
      <w:r>
        <w:rPr>
          <w:rFonts w:hint="eastAsia" w:ascii="宋体" w:hAnsi="宋体"/>
          <w:kern w:val="0"/>
          <w:sz w:val="24"/>
        </w:rPr>
        <w:t>（3）按照合同约定和国家有关安全生产的法律规定，对所有现场作业、所有施工方法和全部工程的完备性、稳定性和安全性负责。</w:t>
      </w:r>
    </w:p>
    <w:p w14:paraId="3DBD1388">
      <w:pPr>
        <w:spacing w:line="360" w:lineRule="auto"/>
        <w:ind w:firstLine="480" w:firstLineChars="200"/>
        <w:rPr>
          <w:rFonts w:ascii="宋体" w:hAnsi="宋体"/>
          <w:kern w:val="0"/>
          <w:sz w:val="24"/>
        </w:rPr>
      </w:pPr>
      <w:r>
        <w:rPr>
          <w:rFonts w:hint="eastAsia" w:ascii="宋体" w:hAnsi="宋体"/>
          <w:kern w:val="0"/>
          <w:sz w:val="24"/>
        </w:rPr>
        <w:t>（4）按照合同约定的质量标准规范，确保</w:t>
      </w:r>
      <w:r>
        <w:rPr>
          <w:rFonts w:hint="eastAsia" w:ascii="宋体" w:hAnsi="宋体" w:cs="宋体"/>
          <w:bCs/>
          <w:snapToGrid w:val="0"/>
          <w:kern w:val="0"/>
          <w:sz w:val="24"/>
        </w:rPr>
        <w:t>设计、</w:t>
      </w:r>
      <w:r>
        <w:rPr>
          <w:rFonts w:hint="eastAsia" w:ascii="宋体" w:hAnsi="宋体"/>
          <w:kern w:val="0"/>
          <w:sz w:val="24"/>
        </w:rPr>
        <w:t>采购、加工制造、施工、竣工验收等各项工作的质量，建立有效的质量保证体系，并按照国家有关规定和工程质量保修书约定的保修范围和保修期限履行保修责任。</w:t>
      </w:r>
    </w:p>
    <w:p w14:paraId="11B3E77D">
      <w:pPr>
        <w:spacing w:line="360" w:lineRule="auto"/>
        <w:ind w:firstLine="480" w:firstLineChars="200"/>
        <w:rPr>
          <w:rFonts w:ascii="宋体" w:hAnsi="宋体"/>
          <w:kern w:val="0"/>
          <w:sz w:val="24"/>
        </w:rPr>
      </w:pPr>
      <w:r>
        <w:rPr>
          <w:rFonts w:hint="eastAsia" w:ascii="宋体" w:hAnsi="宋体"/>
          <w:kern w:val="0"/>
          <w:sz w:val="24"/>
        </w:rPr>
        <w:t>（5）按照合同条款第</w:t>
      </w:r>
      <w:r>
        <w:rPr>
          <w:rFonts w:hint="eastAsia" w:ascii="宋体" w:hAnsi="宋体" w:cs="宋体"/>
          <w:bCs/>
          <w:snapToGrid w:val="0"/>
          <w:kern w:val="0"/>
          <w:sz w:val="24"/>
        </w:rPr>
        <w:t>14</w:t>
      </w:r>
      <w:r>
        <w:rPr>
          <w:rFonts w:hint="eastAsia" w:ascii="宋体" w:hAnsi="宋体"/>
          <w:kern w:val="0"/>
          <w:sz w:val="24"/>
        </w:rPr>
        <w:t>条约定的项目进度计划及施工组织设计，合理有序地</w:t>
      </w:r>
      <w:r>
        <w:rPr>
          <w:rFonts w:hint="eastAsia" w:ascii="宋体" w:hAnsi="宋体" w:cs="宋体"/>
          <w:bCs/>
          <w:snapToGrid w:val="0"/>
          <w:kern w:val="0"/>
          <w:sz w:val="24"/>
        </w:rPr>
        <w:t>组织设计、</w:t>
      </w:r>
      <w:r>
        <w:rPr>
          <w:rFonts w:hint="eastAsia" w:ascii="宋体" w:hAnsi="宋体"/>
          <w:kern w:val="0"/>
          <w:sz w:val="24"/>
        </w:rPr>
        <w:t>采购、施工等所需要的各类资源，采用有效的实施方法和组织措施，保证项目进度计划的实现。项目进度计划经发包人批准后实施，但发包人的批准并不能减轻或免除承包人的责任。</w:t>
      </w:r>
    </w:p>
    <w:p w14:paraId="20E12AA4">
      <w:pPr>
        <w:spacing w:line="360" w:lineRule="auto"/>
        <w:ind w:firstLine="480" w:firstLineChars="200"/>
        <w:rPr>
          <w:rFonts w:ascii="宋体" w:hAnsi="宋体"/>
          <w:kern w:val="0"/>
          <w:sz w:val="24"/>
        </w:rPr>
      </w:pPr>
      <w:r>
        <w:rPr>
          <w:rFonts w:hint="eastAsia" w:ascii="宋体" w:hAnsi="宋体"/>
          <w:kern w:val="0"/>
          <w:sz w:val="24"/>
        </w:rPr>
        <w:t>（6）承担其进入现场、施工开工至发包人接收本工程之前的现场保安责任（含承包人的预制加工场地、办公及生活营区），并负责编制相关的保安制度、责任制度和报告制度，提交给发包人。</w:t>
      </w:r>
    </w:p>
    <w:p w14:paraId="69E97D35">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（7）根据发包人委托，按照法律规定以及国家、行业和地方的规范和标准完成合同范围内的设计工作，并符合设计任务书及发包人要求,确保通过政府主管部门的技术审查，经发包人确认后使用。</w:t>
      </w:r>
    </w:p>
    <w:p w14:paraId="237F9933">
      <w:pPr>
        <w:spacing w:line="360" w:lineRule="auto"/>
        <w:ind w:firstLine="480" w:firstLineChars="200"/>
        <w:rPr>
          <w:rFonts w:ascii="宋体" w:hAnsi="宋体"/>
          <w:kern w:val="0"/>
          <w:sz w:val="24"/>
        </w:rPr>
      </w:pPr>
      <w:r>
        <w:rPr>
          <w:rFonts w:hint="eastAsia" w:ascii="宋体" w:hAnsi="宋体" w:cs="宋体"/>
          <w:bCs/>
          <w:snapToGrid w:val="0"/>
          <w:kern w:val="0"/>
          <w:sz w:val="24"/>
        </w:rPr>
        <w:t>（8</w:t>
      </w:r>
      <w:r>
        <w:rPr>
          <w:rFonts w:hint="eastAsia" w:ascii="宋体" w:hAnsi="宋体"/>
          <w:kern w:val="0"/>
          <w:sz w:val="24"/>
        </w:rPr>
        <w:t>）向总监理工程师提供年、季、月度工程进度计划及相应进度统计报表</w:t>
      </w:r>
      <w:r>
        <w:rPr>
          <w:rFonts w:hint="eastAsia" w:ascii="宋体" w:hAnsi="宋体" w:cs="宋体"/>
          <w:bCs/>
          <w:snapToGrid w:val="0"/>
          <w:kern w:val="0"/>
          <w:sz w:val="24"/>
        </w:rPr>
        <w:t>。</w:t>
      </w:r>
    </w:p>
    <w:p w14:paraId="7420037A">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cs="宋体"/>
          <w:bCs/>
          <w:snapToGrid w:val="0"/>
          <w:kern w:val="0"/>
          <w:sz w:val="24"/>
        </w:rPr>
        <w:t>9</w:t>
      </w:r>
      <w:r>
        <w:rPr>
          <w:rFonts w:hint="eastAsia" w:ascii="宋体" w:hAnsi="宋体"/>
          <w:kern w:val="0"/>
          <w:sz w:val="24"/>
        </w:rPr>
        <w:t>）根据工程需要，提供和维修施工使用的照明、围栏设施</w:t>
      </w:r>
      <w:r>
        <w:rPr>
          <w:rFonts w:hint="eastAsia" w:ascii="宋体" w:hAnsi="宋体" w:cs="宋体"/>
          <w:bCs/>
          <w:snapToGrid w:val="0"/>
          <w:kern w:val="0"/>
          <w:sz w:val="24"/>
        </w:rPr>
        <w:t>。</w:t>
      </w:r>
    </w:p>
    <w:p w14:paraId="1EB2865F">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cs="宋体"/>
          <w:bCs/>
          <w:snapToGrid w:val="0"/>
          <w:kern w:val="0"/>
          <w:sz w:val="24"/>
        </w:rPr>
        <w:t>1</w:t>
      </w:r>
      <w:r>
        <w:rPr>
          <w:rFonts w:hint="eastAsia" w:ascii="宋体" w:hAnsi="宋体" w:cs="宋体"/>
          <w:bCs/>
          <w:snapToGrid w:val="0"/>
          <w:kern w:val="0"/>
          <w:sz w:val="24"/>
          <w:lang w:val="en-US" w:eastAsia="zh-CN"/>
        </w:rPr>
        <w:t>0</w:t>
      </w:r>
      <w:r>
        <w:rPr>
          <w:rFonts w:hint="eastAsia" w:ascii="宋体" w:hAnsi="宋体"/>
          <w:kern w:val="0"/>
          <w:sz w:val="24"/>
        </w:rPr>
        <w:t>）遵守政府有关主管部门对施工内外场地交通、施工噪音以及环境保护和安全生产等的管理规定，按规定办理有关手续，并以书面形式通知发包人，承包人自行办理手续及承担费用，如因承包人责任造成的罚款，亦应由承包人自行承担</w:t>
      </w:r>
      <w:r>
        <w:rPr>
          <w:rFonts w:hint="eastAsia" w:ascii="宋体" w:hAnsi="宋体" w:cs="宋体"/>
          <w:bCs/>
          <w:snapToGrid w:val="0"/>
          <w:kern w:val="0"/>
          <w:sz w:val="24"/>
        </w:rPr>
        <w:t>。</w:t>
      </w:r>
    </w:p>
    <w:p w14:paraId="6BD7C306">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cs="宋体"/>
          <w:bCs/>
          <w:snapToGrid w:val="0"/>
          <w:kern w:val="0"/>
          <w:sz w:val="24"/>
        </w:rPr>
        <w:t>1</w:t>
      </w:r>
      <w:r>
        <w:rPr>
          <w:rFonts w:hint="eastAsia" w:ascii="宋体" w:hAnsi="宋体" w:cs="宋体"/>
          <w:bCs/>
          <w:snapToGrid w:val="0"/>
          <w:kern w:val="0"/>
          <w:sz w:val="24"/>
          <w:lang w:val="en-US" w:eastAsia="zh-CN"/>
        </w:rPr>
        <w:t>1</w:t>
      </w:r>
      <w:r>
        <w:rPr>
          <w:rFonts w:hint="eastAsia" w:ascii="宋体" w:hAnsi="宋体"/>
          <w:kern w:val="0"/>
          <w:sz w:val="24"/>
        </w:rPr>
        <w:t>）已竣工工程未交付发包人之前，承包人按合同约定负责已完工程的保护工作，保护期间发生损坏，承包人自费予以修复</w:t>
      </w:r>
      <w:r>
        <w:rPr>
          <w:rFonts w:hint="eastAsia" w:ascii="宋体" w:hAnsi="宋体" w:cs="宋体"/>
          <w:bCs/>
          <w:snapToGrid w:val="0"/>
          <w:kern w:val="0"/>
          <w:sz w:val="24"/>
        </w:rPr>
        <w:t>。</w:t>
      </w:r>
    </w:p>
    <w:p w14:paraId="73653DAF">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cs="宋体"/>
          <w:bCs/>
          <w:snapToGrid w:val="0"/>
          <w:kern w:val="0"/>
          <w:sz w:val="24"/>
        </w:rPr>
        <w:t>1</w:t>
      </w:r>
      <w:r>
        <w:rPr>
          <w:rFonts w:hint="eastAsia" w:ascii="宋体" w:hAnsi="宋体" w:cs="宋体"/>
          <w:bCs/>
          <w:snapToGrid w:val="0"/>
          <w:kern w:val="0"/>
          <w:sz w:val="24"/>
          <w:lang w:val="en-US" w:eastAsia="zh-CN"/>
        </w:rPr>
        <w:t>2</w:t>
      </w:r>
      <w:r>
        <w:rPr>
          <w:rFonts w:hint="eastAsia" w:ascii="宋体" w:hAnsi="宋体"/>
          <w:kern w:val="0"/>
          <w:sz w:val="24"/>
        </w:rPr>
        <w:t>）做好施工场地所有的地下管线和邻近建筑物、构筑物（包括文物保护建筑）、古树名木的保护工作</w:t>
      </w:r>
      <w:r>
        <w:rPr>
          <w:rFonts w:hint="eastAsia" w:ascii="宋体" w:hAnsi="宋体" w:cs="宋体"/>
          <w:bCs/>
          <w:snapToGrid w:val="0"/>
          <w:kern w:val="0"/>
          <w:sz w:val="24"/>
        </w:rPr>
        <w:t>。</w:t>
      </w:r>
    </w:p>
    <w:p w14:paraId="408650EE">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cs="宋体"/>
          <w:bCs/>
          <w:snapToGrid w:val="0"/>
          <w:kern w:val="0"/>
          <w:sz w:val="24"/>
        </w:rPr>
        <w:t>1</w:t>
      </w:r>
      <w:r>
        <w:rPr>
          <w:rFonts w:hint="eastAsia" w:ascii="宋体" w:hAnsi="宋体" w:cs="宋体"/>
          <w:bCs/>
          <w:snapToGrid w:val="0"/>
          <w:kern w:val="0"/>
          <w:sz w:val="24"/>
          <w:lang w:val="en-US" w:eastAsia="zh-CN"/>
        </w:rPr>
        <w:t>3</w:t>
      </w:r>
      <w:r>
        <w:rPr>
          <w:rFonts w:hint="eastAsia" w:ascii="宋体" w:hAnsi="宋体"/>
          <w:kern w:val="0"/>
          <w:sz w:val="24"/>
        </w:rPr>
        <w:t>）保证施工场地清洁符合环境卫生管理的有关规定，交工前清理现场达到合同约定的要求，承担因自身原因违反有关规定造成的损失和罚款</w:t>
      </w:r>
      <w:r>
        <w:rPr>
          <w:rFonts w:hint="eastAsia" w:ascii="宋体" w:hAnsi="宋体" w:cs="宋体"/>
          <w:bCs/>
          <w:snapToGrid w:val="0"/>
          <w:kern w:val="0"/>
          <w:sz w:val="24"/>
        </w:rPr>
        <w:t>。</w:t>
      </w:r>
    </w:p>
    <w:p w14:paraId="70CD138A">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cs="宋体"/>
          <w:bCs/>
          <w:snapToGrid w:val="0"/>
          <w:kern w:val="0"/>
          <w:sz w:val="24"/>
        </w:rPr>
        <w:t>1</w:t>
      </w:r>
      <w:r>
        <w:rPr>
          <w:rFonts w:hint="eastAsia" w:ascii="宋体" w:hAnsi="宋体" w:cs="宋体"/>
          <w:bCs/>
          <w:snapToGrid w:val="0"/>
          <w:kern w:val="0"/>
          <w:sz w:val="24"/>
          <w:lang w:val="en-US" w:eastAsia="zh-CN"/>
        </w:rPr>
        <w:t>4</w:t>
      </w:r>
      <w:r>
        <w:rPr>
          <w:rFonts w:hint="eastAsia" w:ascii="宋体" w:hAnsi="宋体"/>
          <w:kern w:val="0"/>
          <w:sz w:val="24"/>
        </w:rPr>
        <w:t>）承包人负责办理工程开工及验收所需的各项报监、报建、报验手续，包括但不限于办理施工许可证(或临时施工</w:t>
      </w:r>
      <w:r>
        <w:rPr>
          <w:rFonts w:hint="eastAsia" w:ascii="宋体" w:hAnsi="宋体" w:cs="宋体"/>
          <w:bCs/>
          <w:snapToGrid w:val="0"/>
          <w:kern w:val="0"/>
          <w:sz w:val="24"/>
        </w:rPr>
        <w:t>复函</w:t>
      </w:r>
      <w:r>
        <w:rPr>
          <w:rFonts w:hint="eastAsia" w:ascii="宋体" w:hAnsi="宋体"/>
          <w:kern w:val="0"/>
          <w:sz w:val="24"/>
        </w:rPr>
        <w:t>)、报监手续、余泥排放证、排污手续、排水接驳（接到市政管网）、水质检测、排水许可证、临水</w:t>
      </w:r>
      <w:r>
        <w:rPr>
          <w:rFonts w:hint="eastAsia" w:ascii="宋体" w:hAnsi="宋体" w:cs="宋体"/>
          <w:bCs/>
          <w:snapToGrid w:val="0"/>
          <w:kern w:val="0"/>
          <w:sz w:val="24"/>
        </w:rPr>
        <w:t>、临时/永久路口</w:t>
      </w:r>
      <w:r>
        <w:rPr>
          <w:rFonts w:hint="eastAsia" w:ascii="宋体" w:hAnsi="宋体"/>
          <w:kern w:val="0"/>
          <w:sz w:val="24"/>
        </w:rPr>
        <w:t>等专业报建报装、分项分部工程验收、</w:t>
      </w:r>
      <w:r>
        <w:rPr>
          <w:rFonts w:hint="eastAsia" w:ascii="宋体" w:hAnsi="宋体" w:cs="宋体"/>
          <w:bCs/>
          <w:snapToGrid w:val="0"/>
          <w:kern w:val="0"/>
          <w:sz w:val="24"/>
        </w:rPr>
        <w:t>桥梁验收、门牌办理、</w:t>
      </w:r>
      <w:r>
        <w:rPr>
          <w:rFonts w:hint="eastAsia" w:ascii="宋体" w:hAnsi="宋体"/>
          <w:kern w:val="0"/>
          <w:sz w:val="24"/>
        </w:rPr>
        <w:t>环保验收、消防验收、</w:t>
      </w:r>
      <w:r>
        <w:rPr>
          <w:rFonts w:hint="eastAsia" w:ascii="宋体" w:hAnsi="宋体" w:cs="宋体"/>
          <w:bCs/>
          <w:snapToGrid w:val="0"/>
          <w:kern w:val="0"/>
          <w:sz w:val="24"/>
        </w:rPr>
        <w:t>白蚁防治验收、</w:t>
      </w:r>
      <w:r>
        <w:rPr>
          <w:rFonts w:hint="eastAsia" w:ascii="宋体" w:hAnsi="宋体"/>
          <w:kern w:val="0"/>
          <w:sz w:val="24"/>
        </w:rPr>
        <w:t>人防验收、</w:t>
      </w:r>
      <w:r>
        <w:rPr>
          <w:rFonts w:hint="eastAsia" w:ascii="宋体" w:hAnsi="宋体" w:cs="宋体"/>
          <w:bCs/>
          <w:snapToGrid w:val="0"/>
          <w:kern w:val="0"/>
          <w:sz w:val="24"/>
        </w:rPr>
        <w:t>卫生学防疫竣工验收、电梯工程验收、永久用电工程验收、</w:t>
      </w:r>
      <w:r>
        <w:rPr>
          <w:rFonts w:hint="eastAsia" w:ascii="宋体" w:hAnsi="宋体"/>
          <w:kern w:val="0"/>
          <w:sz w:val="24"/>
        </w:rPr>
        <w:t>永久排水</w:t>
      </w:r>
      <w:r>
        <w:rPr>
          <w:rFonts w:hint="eastAsia" w:ascii="宋体" w:hAnsi="宋体" w:cs="宋体"/>
          <w:bCs/>
          <w:snapToGrid w:val="0"/>
          <w:kern w:val="0"/>
          <w:sz w:val="24"/>
        </w:rPr>
        <w:t>排污</w:t>
      </w:r>
      <w:r>
        <w:rPr>
          <w:rFonts w:hint="eastAsia" w:ascii="宋体" w:hAnsi="宋体"/>
          <w:kern w:val="0"/>
          <w:sz w:val="24"/>
        </w:rPr>
        <w:t>许可证、节能验收、</w:t>
      </w:r>
      <w:r>
        <w:rPr>
          <w:rFonts w:hint="eastAsia" w:ascii="宋体" w:hAnsi="宋体" w:cs="宋体"/>
          <w:bCs/>
          <w:snapToGrid w:val="0"/>
          <w:kern w:val="0"/>
          <w:sz w:val="24"/>
        </w:rPr>
        <w:t>装配式验收、防雷验收、通邮验收、光纤到户验收、室内信号覆盖验收、外墙淋水试验、竣工验收、规划验收（含验收通）、档案验收及竣工联合验收</w:t>
      </w:r>
      <w:r>
        <w:rPr>
          <w:rFonts w:hint="eastAsia" w:ascii="宋体" w:hAnsi="宋体"/>
          <w:kern w:val="0"/>
          <w:sz w:val="24"/>
        </w:rPr>
        <w:t>等工作，并支付办理上述工作中应由承包人承担的费用。</w:t>
      </w:r>
    </w:p>
    <w:p w14:paraId="083B73DB">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cs="宋体"/>
          <w:bCs/>
          <w:snapToGrid w:val="0"/>
          <w:kern w:val="0"/>
          <w:sz w:val="24"/>
        </w:rPr>
        <w:t>1</w:t>
      </w:r>
      <w:r>
        <w:rPr>
          <w:rFonts w:hint="eastAsia" w:ascii="宋体" w:hAnsi="宋体" w:cs="宋体"/>
          <w:bCs/>
          <w:snapToGrid w:val="0"/>
          <w:kern w:val="0"/>
          <w:sz w:val="24"/>
          <w:lang w:val="en-US" w:eastAsia="zh-CN"/>
        </w:rPr>
        <w:t>5</w:t>
      </w:r>
      <w:r>
        <w:rPr>
          <w:rFonts w:hint="eastAsia" w:ascii="宋体" w:hAnsi="宋体"/>
          <w:kern w:val="0"/>
          <w:sz w:val="24"/>
        </w:rPr>
        <w:t>）其他义务：</w:t>
      </w:r>
    </w:p>
    <w:p w14:paraId="4373C7C3">
      <w:pPr>
        <w:spacing w:line="360" w:lineRule="auto"/>
        <w:ind w:firstLine="480" w:firstLineChars="200"/>
        <w:rPr>
          <w:rFonts w:ascii="宋体" w:hAnsi="宋体" w:cs="宋体"/>
          <w:bCs/>
          <w:snapToGrid w:val="0"/>
          <w:kern w:val="0"/>
          <w:sz w:val="24"/>
        </w:rPr>
      </w:pPr>
      <w:r>
        <w:rPr>
          <w:rFonts w:hint="eastAsia" w:ascii="宋体" w:hAnsi="宋体"/>
          <w:kern w:val="0"/>
          <w:sz w:val="24"/>
        </w:rPr>
        <w:t>1）</w:t>
      </w:r>
      <w:r>
        <w:rPr>
          <w:rFonts w:hint="eastAsia" w:ascii="宋体" w:hAnsi="宋体" w:cs="宋体"/>
          <w:bCs/>
          <w:snapToGrid w:val="0"/>
          <w:kern w:val="0"/>
          <w:sz w:val="24"/>
        </w:rPr>
        <w:t xml:space="preserve"> 承包人应保证其设计文件的质量，并确保按期通过发包人、政府主管部门的审查。</w:t>
      </w:r>
    </w:p>
    <w:p w14:paraId="18ED52B5">
      <w:pPr>
        <w:spacing w:line="360" w:lineRule="auto"/>
        <w:ind w:firstLine="480" w:firstLineChars="200"/>
        <w:rPr>
          <w:rFonts w:ascii="宋体" w:hAnsi="宋体"/>
          <w:kern w:val="0"/>
          <w:sz w:val="24"/>
        </w:rPr>
      </w:pPr>
      <w:r>
        <w:rPr>
          <w:rFonts w:hint="eastAsia" w:ascii="宋体" w:hAnsi="宋体" w:cs="宋体"/>
          <w:bCs/>
          <w:snapToGrid w:val="0"/>
          <w:kern w:val="0"/>
          <w:sz w:val="24"/>
        </w:rPr>
        <w:t xml:space="preserve">2） </w:t>
      </w:r>
      <w:r>
        <w:rPr>
          <w:rFonts w:hint="eastAsia" w:ascii="宋体" w:hAnsi="宋体"/>
          <w:kern w:val="0"/>
          <w:sz w:val="24"/>
        </w:rPr>
        <w:t>承包人应保证工程资料整理与工程进度同步，并接受总监理工程师的检查。</w:t>
      </w:r>
    </w:p>
    <w:p w14:paraId="6A8C2D17">
      <w:pPr>
        <w:spacing w:line="360" w:lineRule="auto"/>
        <w:ind w:firstLine="480" w:firstLineChars="200"/>
        <w:rPr>
          <w:rFonts w:ascii="宋体" w:hAnsi="宋体"/>
          <w:kern w:val="0"/>
          <w:sz w:val="24"/>
        </w:rPr>
      </w:pPr>
      <w:r>
        <w:rPr>
          <w:rFonts w:hint="eastAsia" w:ascii="宋体" w:hAnsi="宋体" w:cs="宋体"/>
          <w:bCs/>
          <w:snapToGrid w:val="0"/>
          <w:kern w:val="0"/>
          <w:sz w:val="24"/>
        </w:rPr>
        <w:t>3</w:t>
      </w:r>
      <w:r>
        <w:rPr>
          <w:rFonts w:hint="eastAsia" w:ascii="宋体" w:hAnsi="宋体"/>
          <w:kern w:val="0"/>
          <w:sz w:val="24"/>
        </w:rPr>
        <w:t>）承包人应当清楚地预计到施工期间对外界可能产生的必需的不可避免的干扰，并为此保证主动努力减少这些干扰对外界的影响，且应当积极主动与外界进行协调。</w:t>
      </w:r>
    </w:p>
    <w:p w14:paraId="36976A6D">
      <w:pPr>
        <w:spacing w:line="360" w:lineRule="auto"/>
        <w:ind w:firstLine="480" w:firstLineChars="200"/>
        <w:rPr>
          <w:rFonts w:ascii="宋体" w:hAnsi="宋体"/>
          <w:kern w:val="0"/>
          <w:sz w:val="24"/>
        </w:rPr>
      </w:pPr>
      <w:r>
        <w:rPr>
          <w:rFonts w:hint="eastAsia" w:ascii="宋体" w:hAnsi="宋体" w:cs="宋体"/>
          <w:bCs/>
          <w:snapToGrid w:val="0"/>
          <w:kern w:val="0"/>
          <w:sz w:val="24"/>
        </w:rPr>
        <w:t>4</w:t>
      </w:r>
      <w:r>
        <w:rPr>
          <w:rFonts w:hint="eastAsia" w:ascii="宋体" w:hAnsi="宋体"/>
          <w:kern w:val="0"/>
          <w:sz w:val="24"/>
        </w:rPr>
        <w:t>）承包人在施工中若施工成果发生损坏现象，应无条件服从现场发包人委派的监理单位人员及发包人代表协调，并承担相应的补救施工工作，由此而产生的费用自行承担。</w:t>
      </w:r>
    </w:p>
    <w:p w14:paraId="60F9D79A">
      <w:pPr>
        <w:spacing w:line="360" w:lineRule="auto"/>
        <w:ind w:firstLine="480" w:firstLineChars="200"/>
        <w:rPr>
          <w:rFonts w:ascii="宋体" w:hAnsi="宋体"/>
          <w:kern w:val="0"/>
          <w:sz w:val="24"/>
        </w:rPr>
      </w:pPr>
      <w:r>
        <w:rPr>
          <w:rFonts w:hint="eastAsia" w:ascii="宋体" w:hAnsi="宋体" w:cs="宋体"/>
          <w:bCs/>
          <w:snapToGrid w:val="0"/>
          <w:kern w:val="0"/>
          <w:sz w:val="24"/>
        </w:rPr>
        <w:t>5</w:t>
      </w:r>
      <w:r>
        <w:rPr>
          <w:rFonts w:hint="eastAsia" w:ascii="宋体" w:hAnsi="宋体"/>
          <w:kern w:val="0"/>
          <w:sz w:val="24"/>
        </w:rPr>
        <w:t>）承包人应对施工场地及周围的所有的地下管线、建筑物、构筑物（含文物保护建筑）、古树名木之状况进行勘察，根据勘察结果确定具体的保护措施并承担有关费用。若发现正常施工措施及现有条件已不能达到保护目的的，承包人应及时报告，经总监理工程师、发包人批准采取特殊保护处理的，所发生的费用已包含在中标金额内，发包人不再另行计付。</w:t>
      </w:r>
    </w:p>
    <w:p w14:paraId="7A3A33DF">
      <w:pPr>
        <w:spacing w:line="360" w:lineRule="auto"/>
        <w:ind w:firstLine="480" w:firstLineChars="200"/>
        <w:rPr>
          <w:rFonts w:ascii="宋体" w:hAnsi="宋体"/>
          <w:kern w:val="0"/>
          <w:sz w:val="24"/>
        </w:rPr>
      </w:pPr>
      <w:r>
        <w:rPr>
          <w:rFonts w:hint="eastAsia" w:ascii="宋体" w:hAnsi="宋体"/>
          <w:kern w:val="0"/>
          <w:sz w:val="24"/>
        </w:rPr>
        <w:t>承包人应对所采取的保护措施进行监测，并应根据监测结果及时反馈信息指导施工，以确保上述受保护物件及作业人员、居民的安全。因承包人原因，受保护物件发生损坏的，由承包人承担责任并负责赔偿。</w:t>
      </w:r>
    </w:p>
    <w:p w14:paraId="1606F35C">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6）在设计及施工过程中，承包人应充分尊重和理解发包人、施工图审查单位对设计成果提出的书面意见与要求，如无充分的否定理由应尽快予以处理和实施，工期不作顺延。</w:t>
      </w:r>
    </w:p>
    <w:p w14:paraId="4C9F0E57">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7）在设计阶段，承包人应根据发包人或有权审核部门的意见，及时修改、完善设计文件，负责完成由于设计失误未获有权审核部门批准而出现的反复修改的工作，工期不作顺延。</w:t>
      </w:r>
    </w:p>
    <w:p w14:paraId="28C553D9">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8）承包人不享有对设计文件的留置权，由承包人或其专业承包单位完成的设计文件应依据本合同约定的时间提交给发包人的，不论承包人与其专业承包单位有何种约定或分工，均不得拒绝或拖延向发包人提交。</w:t>
      </w:r>
    </w:p>
    <w:p w14:paraId="6312A732">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9）承包人对设计文件及施工过程中的所有设计变更的合理性、合规性、合法性负责。</w:t>
      </w:r>
    </w:p>
    <w:p w14:paraId="1619D0A7">
      <w:pPr>
        <w:spacing w:line="360" w:lineRule="auto"/>
        <w:ind w:firstLine="480" w:firstLineChars="200"/>
        <w:rPr>
          <w:rFonts w:ascii="宋体" w:hAnsi="宋体"/>
          <w:sz w:val="24"/>
        </w:rPr>
      </w:pPr>
      <w:r>
        <w:rPr>
          <w:rFonts w:hint="eastAsia" w:ascii="宋体" w:hAnsi="宋体" w:cs="宋体"/>
          <w:bCs/>
          <w:snapToGrid w:val="0"/>
          <w:kern w:val="0"/>
          <w:sz w:val="24"/>
        </w:rPr>
        <w:t>9.3</w:t>
      </w:r>
      <w:r>
        <w:rPr>
          <w:rFonts w:hint="eastAsia" w:ascii="宋体" w:hAnsi="宋体"/>
          <w:kern w:val="0"/>
          <w:sz w:val="24"/>
        </w:rPr>
        <w:t>网络视频监控要求：承包人必须遵照《关于广州市建筑工地安装视频监控装置的通知》（穗建筑【2006】551号）、《关于全面启动广州市社会治安视频监控系统建设有关问题的通知》（穗视频建字【2006】1号）和《广州市住房和城乡建设委员会关于全市建设工地纳入视频监管的通知》（穗建质[2017]1166号）的要求，建立满足隐蔽工程和关键工序质量监控、安全文明施工监控、验收监控等需要的视频监控系统（以通过发包人验收为准</w:t>
      </w:r>
      <w:r>
        <w:rPr>
          <w:rFonts w:hint="eastAsia" w:ascii="宋体" w:hAnsi="宋体" w:cs="宋体"/>
          <w:bCs/>
          <w:snapToGrid w:val="0"/>
          <w:kern w:val="0"/>
          <w:sz w:val="24"/>
          <w:szCs w:val="24"/>
        </w:rPr>
        <w:t>,</w:t>
      </w:r>
      <w:r>
        <w:rPr>
          <w:rFonts w:hint="eastAsia" w:ascii="宋体" w:hAnsi="宋体" w:cs="宋体"/>
          <w:sz w:val="24"/>
          <w:szCs w:val="24"/>
        </w:rPr>
        <w:t>视频存储时间不少于60天</w:t>
      </w:r>
      <w:r>
        <w:rPr>
          <w:rFonts w:hint="eastAsia" w:ascii="宋体" w:hAnsi="宋体" w:cs="宋体"/>
          <w:bCs/>
          <w:snapToGrid w:val="0"/>
          <w:kern w:val="0"/>
          <w:sz w:val="24"/>
        </w:rPr>
        <w:t>）。</w:t>
      </w:r>
    </w:p>
    <w:p w14:paraId="13DAC0AC">
      <w:pPr>
        <w:spacing w:line="360" w:lineRule="auto"/>
        <w:ind w:firstLine="480" w:firstLineChars="200"/>
        <w:rPr>
          <w:rFonts w:ascii="宋体" w:hAnsi="宋体"/>
          <w:kern w:val="0"/>
          <w:sz w:val="24"/>
        </w:rPr>
      </w:pPr>
      <w:r>
        <w:rPr>
          <w:rFonts w:hint="eastAsia" w:ascii="宋体" w:hAnsi="宋体" w:cs="宋体"/>
          <w:bCs/>
          <w:snapToGrid w:val="0"/>
          <w:kern w:val="0"/>
          <w:sz w:val="24"/>
        </w:rPr>
        <w:t>9.4</w:t>
      </w:r>
      <w:r>
        <w:rPr>
          <w:rFonts w:hint="eastAsia" w:ascii="宋体" w:hAnsi="宋体"/>
          <w:kern w:val="0"/>
          <w:sz w:val="24"/>
        </w:rPr>
        <w:t>承包人应当按照国家及广东省、广州市的有关规定和本合同的有关约定加强其参与本工程建设人员（包括施工人员）的管理。</w:t>
      </w:r>
    </w:p>
    <w:p w14:paraId="75DA056C">
      <w:pPr>
        <w:spacing w:line="360" w:lineRule="auto"/>
        <w:ind w:firstLine="480" w:firstLineChars="200"/>
        <w:rPr>
          <w:rFonts w:ascii="宋体" w:hAnsi="宋体"/>
          <w:kern w:val="0"/>
          <w:sz w:val="24"/>
        </w:rPr>
      </w:pPr>
      <w:r>
        <w:rPr>
          <w:rFonts w:hint="eastAsia" w:ascii="宋体" w:hAnsi="宋体"/>
          <w:kern w:val="0"/>
          <w:sz w:val="24"/>
        </w:rPr>
        <w:t>（1）对工人（包括施工人员，下同）工资实行分帐管理，按时足额支付工人工资。</w:t>
      </w:r>
    </w:p>
    <w:p w14:paraId="730A25EE">
      <w:pPr>
        <w:spacing w:line="360" w:lineRule="auto"/>
        <w:ind w:firstLine="480" w:firstLineChars="200"/>
        <w:rPr>
          <w:rFonts w:ascii="宋体" w:hAnsi="宋体"/>
          <w:kern w:val="0"/>
          <w:sz w:val="24"/>
        </w:rPr>
      </w:pPr>
      <w:r>
        <w:rPr>
          <w:rFonts w:hint="eastAsia" w:ascii="宋体" w:hAnsi="宋体"/>
          <w:kern w:val="0"/>
          <w:sz w:val="24"/>
        </w:rPr>
        <w:t>1）承包人应当根据劳动合同约定的工人工资标准等内容，按照依法签订的集体合同或劳动合同约定的日期按月支付工资，并不得低于本地最低工资标准。</w:t>
      </w:r>
    </w:p>
    <w:p w14:paraId="75A4540B">
      <w:pPr>
        <w:spacing w:line="360" w:lineRule="auto"/>
        <w:ind w:firstLine="480" w:firstLineChars="200"/>
        <w:rPr>
          <w:rFonts w:ascii="宋体" w:hAnsi="宋体"/>
          <w:kern w:val="0"/>
          <w:sz w:val="24"/>
        </w:rPr>
      </w:pPr>
      <w:r>
        <w:rPr>
          <w:rFonts w:hint="eastAsia" w:ascii="宋体" w:hAnsi="宋体"/>
          <w:kern w:val="0"/>
          <w:sz w:val="24"/>
        </w:rPr>
        <w:t>2）承包人应每月编制工人工资支付表，如实记录支付时间、支付对象、支付金额等工资支付情况，并于每月底在其现场管理机构办公场所显眼位置公示，接受监督。</w:t>
      </w:r>
    </w:p>
    <w:p w14:paraId="56BC66A7">
      <w:pPr>
        <w:spacing w:line="360" w:lineRule="auto"/>
        <w:ind w:firstLine="480" w:firstLineChars="200"/>
        <w:rPr>
          <w:rFonts w:ascii="宋体" w:hAnsi="宋体"/>
          <w:kern w:val="0"/>
          <w:sz w:val="24"/>
        </w:rPr>
      </w:pPr>
      <w:r>
        <w:rPr>
          <w:rFonts w:hint="eastAsia" w:ascii="宋体" w:hAnsi="宋体"/>
          <w:kern w:val="0"/>
          <w:sz w:val="24"/>
        </w:rPr>
        <w:t>3）承包人应对</w:t>
      </w:r>
      <w:r>
        <w:rPr>
          <w:rFonts w:hint="eastAsia" w:ascii="宋体" w:hAnsi="宋体" w:cs="宋体"/>
          <w:bCs/>
          <w:snapToGrid w:val="0"/>
          <w:kern w:val="0"/>
          <w:sz w:val="24"/>
        </w:rPr>
        <w:t>其专业</w:t>
      </w:r>
      <w:r>
        <w:rPr>
          <w:rFonts w:hint="eastAsia" w:ascii="宋体" w:hAnsi="宋体"/>
          <w:kern w:val="0"/>
          <w:sz w:val="24"/>
        </w:rPr>
        <w:t>分包</w:t>
      </w:r>
      <w:r>
        <w:rPr>
          <w:rFonts w:hint="eastAsia" w:ascii="宋体" w:hAnsi="宋体" w:cs="宋体"/>
          <w:bCs/>
          <w:snapToGrid w:val="0"/>
          <w:kern w:val="0"/>
          <w:sz w:val="24"/>
        </w:rPr>
        <w:t>或</w:t>
      </w:r>
      <w:r>
        <w:rPr>
          <w:rFonts w:hint="eastAsia" w:ascii="宋体" w:hAnsi="宋体"/>
          <w:kern w:val="0"/>
          <w:sz w:val="24"/>
        </w:rPr>
        <w:t>劳务分包</w:t>
      </w:r>
      <w:r>
        <w:rPr>
          <w:rFonts w:hint="eastAsia" w:ascii="宋体" w:hAnsi="宋体" w:cs="宋体"/>
          <w:bCs/>
          <w:snapToGrid w:val="0"/>
          <w:kern w:val="0"/>
          <w:sz w:val="24"/>
        </w:rPr>
        <w:t>单位</w:t>
      </w:r>
      <w:r>
        <w:rPr>
          <w:rFonts w:hint="eastAsia" w:ascii="宋体" w:hAnsi="宋体"/>
          <w:kern w:val="0"/>
          <w:sz w:val="24"/>
        </w:rPr>
        <w:t>工资</w:t>
      </w:r>
      <w:r>
        <w:rPr>
          <w:rFonts w:hint="eastAsia" w:ascii="宋体" w:hAnsi="宋体" w:cs="宋体"/>
          <w:bCs/>
          <w:snapToGrid w:val="0"/>
          <w:kern w:val="0"/>
          <w:sz w:val="24"/>
        </w:rPr>
        <w:t>支付进行监督，督促其依法</w:t>
      </w:r>
      <w:r>
        <w:rPr>
          <w:rFonts w:hint="eastAsia" w:ascii="宋体" w:hAnsi="宋体"/>
          <w:kern w:val="0"/>
          <w:sz w:val="24"/>
        </w:rPr>
        <w:t>支付工人工资。</w:t>
      </w:r>
    </w:p>
    <w:p w14:paraId="2BCDC15A">
      <w:pPr>
        <w:spacing w:line="360" w:lineRule="auto"/>
        <w:ind w:firstLine="480" w:firstLineChars="200"/>
        <w:rPr>
          <w:rFonts w:ascii="宋体" w:hAnsi="宋体"/>
          <w:kern w:val="0"/>
          <w:sz w:val="24"/>
        </w:rPr>
      </w:pPr>
      <w:r>
        <w:rPr>
          <w:rFonts w:hint="eastAsia" w:ascii="宋体" w:hAnsi="宋体"/>
          <w:kern w:val="0"/>
          <w:sz w:val="24"/>
        </w:rPr>
        <w:t>4）承包人不按合同及有关规定按时、足额支付分包单位合同价款及工人工资而被投诉或上访属实的，发包人将严格按照合同约定追究其违约责任；如因此致使工人集体上访、集聚围阻而造成社会不良影响的，发包人将立即解除与承包人的合同，并上报省、市主管部门建议取消其参加广州地区省、市重大项目的投标资格，并予以公告。如属恶意煽动并造成社会不良影响的，发包人将提请司法部门追究其法律责任。</w:t>
      </w:r>
    </w:p>
    <w:p w14:paraId="792D1922">
      <w:pPr>
        <w:spacing w:line="360" w:lineRule="auto"/>
        <w:ind w:firstLine="480" w:firstLineChars="200"/>
        <w:rPr>
          <w:rFonts w:ascii="宋体" w:hAnsi="宋体"/>
          <w:kern w:val="0"/>
          <w:sz w:val="24"/>
        </w:rPr>
      </w:pPr>
      <w:r>
        <w:rPr>
          <w:rFonts w:hint="eastAsia" w:ascii="宋体" w:hAnsi="宋体"/>
          <w:kern w:val="0"/>
          <w:sz w:val="24"/>
        </w:rPr>
        <w:t>5）由于承包人或其管理的分包单位、劳务合作单位拖欠工人工资，致使发包人被投诉或起诉而</w:t>
      </w:r>
      <w:r>
        <w:rPr>
          <w:rFonts w:hint="eastAsia" w:ascii="宋体" w:hAnsi="宋体" w:cs="宋体"/>
          <w:bCs/>
          <w:snapToGrid w:val="0"/>
          <w:kern w:val="0"/>
          <w:sz w:val="24"/>
        </w:rPr>
        <w:t>需</w:t>
      </w:r>
      <w:r>
        <w:rPr>
          <w:rFonts w:hint="eastAsia" w:ascii="宋体" w:hAnsi="宋体"/>
          <w:kern w:val="0"/>
          <w:sz w:val="24"/>
        </w:rPr>
        <w:t>先行垫付工人工资的，发包人除追究承包人和其它相关责任单位的违约责任外，还将在工程结算时按合同条款第41.</w:t>
      </w:r>
      <w:r>
        <w:rPr>
          <w:rFonts w:hint="eastAsia" w:ascii="宋体" w:hAnsi="宋体" w:cs="宋体"/>
          <w:bCs/>
          <w:snapToGrid w:val="0"/>
          <w:kern w:val="0"/>
          <w:sz w:val="24"/>
        </w:rPr>
        <w:t>15</w:t>
      </w:r>
      <w:r>
        <w:rPr>
          <w:rFonts w:hint="eastAsia" w:ascii="宋体" w:hAnsi="宋体"/>
          <w:kern w:val="0"/>
          <w:sz w:val="24"/>
        </w:rPr>
        <w:t>（2）款的约定扣回相关款项作为补偿。</w:t>
      </w:r>
    </w:p>
    <w:p w14:paraId="046393A7">
      <w:pPr>
        <w:spacing w:line="360" w:lineRule="auto"/>
        <w:ind w:firstLine="480" w:firstLineChars="200"/>
        <w:rPr>
          <w:rFonts w:ascii="宋体" w:hAnsi="宋体"/>
          <w:kern w:val="0"/>
          <w:sz w:val="24"/>
        </w:rPr>
      </w:pPr>
      <w:r>
        <w:rPr>
          <w:rFonts w:hint="eastAsia" w:ascii="宋体" w:hAnsi="宋体"/>
          <w:kern w:val="0"/>
          <w:sz w:val="24"/>
        </w:rPr>
        <w:t>6）承包人必须以高度负责的态度，对存在的可能引发劳资纠纷的各种因素进行排查，及时化解、处理可能发生劳资纠纷的不稳定因素；尤其是对恶意煽动工人集体上访、集聚围阻的行为，要善于及时发现并敢于揭露、制止，创造安全、文明、和谐的环境。</w:t>
      </w:r>
    </w:p>
    <w:p w14:paraId="4B00693E">
      <w:pPr>
        <w:spacing w:line="360" w:lineRule="auto"/>
        <w:ind w:firstLine="480" w:firstLineChars="200"/>
        <w:rPr>
          <w:rFonts w:ascii="宋体" w:hAnsi="宋体"/>
          <w:kern w:val="0"/>
          <w:sz w:val="24"/>
        </w:rPr>
      </w:pPr>
      <w:r>
        <w:rPr>
          <w:rFonts w:hint="eastAsia" w:ascii="宋体" w:hAnsi="宋体"/>
          <w:kern w:val="0"/>
          <w:sz w:val="24"/>
        </w:rPr>
        <w:t>（2）成立处理劳资纠纷的协调机构</w:t>
      </w:r>
    </w:p>
    <w:p w14:paraId="16C118C0">
      <w:pPr>
        <w:spacing w:line="360" w:lineRule="auto"/>
        <w:ind w:firstLine="480" w:firstLineChars="200"/>
        <w:rPr>
          <w:rFonts w:ascii="宋体" w:hAnsi="宋体"/>
          <w:kern w:val="0"/>
          <w:sz w:val="24"/>
        </w:rPr>
      </w:pPr>
      <w:r>
        <w:rPr>
          <w:rFonts w:hint="eastAsia" w:ascii="宋体" w:hAnsi="宋体"/>
          <w:kern w:val="0"/>
          <w:sz w:val="24"/>
        </w:rPr>
        <w:t>承包人必须成立处理劳资纠纷的协调机构，承包人主管领导和项目经理要亲自负责，配备专职人员，及时化解劳资矛盾及纠纷，并及时揭露、制止恶意煽动工人集体上访、集聚围阻的行为，保证不发生工人集体上访、集聚围阻等事件。</w:t>
      </w:r>
    </w:p>
    <w:p w14:paraId="53321A5D">
      <w:pPr>
        <w:spacing w:line="360" w:lineRule="auto"/>
        <w:ind w:firstLine="480" w:firstLineChars="200"/>
        <w:rPr>
          <w:rFonts w:ascii="宋体" w:hAnsi="宋体"/>
          <w:kern w:val="0"/>
          <w:sz w:val="24"/>
        </w:rPr>
      </w:pPr>
      <w:r>
        <w:rPr>
          <w:rFonts w:hint="eastAsia" w:ascii="宋体" w:hAnsi="宋体" w:cs="宋体"/>
          <w:bCs/>
          <w:snapToGrid w:val="0"/>
          <w:kern w:val="0"/>
          <w:sz w:val="24"/>
        </w:rPr>
        <w:t>9.5</w:t>
      </w:r>
      <w:r>
        <w:rPr>
          <w:rFonts w:hint="eastAsia" w:ascii="宋体" w:hAnsi="宋体"/>
          <w:kern w:val="0"/>
          <w:sz w:val="24"/>
        </w:rPr>
        <w:t>承包人未能履行合同条款第</w:t>
      </w:r>
      <w:r>
        <w:rPr>
          <w:rFonts w:hint="eastAsia" w:ascii="宋体" w:hAnsi="宋体" w:cs="宋体"/>
          <w:bCs/>
          <w:snapToGrid w:val="0"/>
          <w:kern w:val="0"/>
          <w:sz w:val="24"/>
        </w:rPr>
        <w:t>9</w:t>
      </w:r>
      <w:r>
        <w:rPr>
          <w:rFonts w:hint="eastAsia" w:ascii="宋体" w:hAnsi="宋体"/>
          <w:kern w:val="0"/>
          <w:sz w:val="24"/>
        </w:rPr>
        <w:t>.2、</w:t>
      </w:r>
      <w:r>
        <w:rPr>
          <w:rFonts w:hint="eastAsia" w:ascii="宋体" w:hAnsi="宋体" w:cs="宋体"/>
          <w:bCs/>
          <w:snapToGrid w:val="0"/>
          <w:kern w:val="0"/>
          <w:sz w:val="24"/>
        </w:rPr>
        <w:t>9</w:t>
      </w:r>
      <w:r>
        <w:rPr>
          <w:rFonts w:hint="eastAsia" w:ascii="宋体" w:hAnsi="宋体"/>
          <w:kern w:val="0"/>
          <w:sz w:val="24"/>
        </w:rPr>
        <w:t>.3</w:t>
      </w:r>
      <w:r>
        <w:rPr>
          <w:rFonts w:hint="eastAsia" w:ascii="宋体" w:hAnsi="宋体" w:cs="宋体"/>
          <w:bCs/>
          <w:snapToGrid w:val="0"/>
          <w:kern w:val="0"/>
          <w:sz w:val="24"/>
        </w:rPr>
        <w:t>、9.4</w:t>
      </w:r>
      <w:r>
        <w:rPr>
          <w:rFonts w:hint="eastAsia" w:ascii="宋体" w:hAnsi="宋体"/>
          <w:kern w:val="0"/>
          <w:sz w:val="24"/>
        </w:rPr>
        <w:t>款各项义务，造成发包人损失的，承包人依法赔偿发包人有关损失。</w:t>
      </w:r>
    </w:p>
    <w:p w14:paraId="392CA0A3">
      <w:pPr>
        <w:spacing w:line="360" w:lineRule="auto"/>
        <w:ind w:firstLine="480" w:firstLineChars="200"/>
        <w:rPr>
          <w:rFonts w:ascii="宋体" w:hAnsi="宋体"/>
          <w:kern w:val="0"/>
          <w:sz w:val="24"/>
        </w:rPr>
      </w:pPr>
      <w:r>
        <w:rPr>
          <w:rFonts w:hint="eastAsia" w:ascii="宋体" w:hAnsi="宋体" w:cs="宋体"/>
          <w:bCs/>
          <w:snapToGrid w:val="0"/>
          <w:kern w:val="0"/>
          <w:sz w:val="24"/>
        </w:rPr>
        <w:t>9.6</w:t>
      </w:r>
      <w:r>
        <w:rPr>
          <w:rFonts w:hint="eastAsia" w:ascii="宋体" w:hAnsi="宋体"/>
          <w:kern w:val="0"/>
          <w:sz w:val="24"/>
        </w:rPr>
        <w:t>承包人应在签订本合同的同时按招标文件提供的格式与发包人签订《工程质量保修书》、《工程建设廉洁协议书》、《安全生产合同》、《工程工人工资支付分账管理协议书》等文件。</w:t>
      </w:r>
    </w:p>
    <w:p w14:paraId="39CD9863">
      <w:pPr>
        <w:spacing w:line="360" w:lineRule="auto"/>
        <w:ind w:firstLine="480" w:firstLineChars="200"/>
        <w:rPr>
          <w:rFonts w:ascii="宋体" w:hAnsi="宋体"/>
          <w:kern w:val="0"/>
          <w:sz w:val="24"/>
        </w:rPr>
      </w:pPr>
      <w:r>
        <w:rPr>
          <w:rFonts w:hint="eastAsia" w:ascii="宋体" w:hAnsi="宋体" w:cs="宋体"/>
          <w:bCs/>
          <w:snapToGrid w:val="0"/>
          <w:kern w:val="0"/>
          <w:sz w:val="24"/>
        </w:rPr>
        <w:t>9.7</w:t>
      </w:r>
      <w:r>
        <w:rPr>
          <w:rFonts w:hint="eastAsia" w:ascii="宋体" w:hAnsi="宋体"/>
          <w:kern w:val="0"/>
          <w:sz w:val="24"/>
        </w:rPr>
        <w:t>承包人须于每月5日前向总监理工程师提供综合报表（内容包括但不限于如下计划、报表或报告），经总监理工程师审核，并报发包人批准后实施：</w:t>
      </w:r>
    </w:p>
    <w:p w14:paraId="398B5B95">
      <w:pPr>
        <w:spacing w:line="360" w:lineRule="auto"/>
        <w:ind w:firstLine="480" w:firstLineChars="200"/>
        <w:rPr>
          <w:rFonts w:ascii="宋体" w:hAnsi="宋体"/>
          <w:kern w:val="0"/>
          <w:sz w:val="24"/>
        </w:rPr>
      </w:pPr>
      <w:r>
        <w:rPr>
          <w:rFonts w:hint="eastAsia" w:ascii="宋体" w:hAnsi="宋体"/>
          <w:kern w:val="0"/>
          <w:sz w:val="24"/>
        </w:rPr>
        <w:t>（1）上月工程进度款（统计时段从上个月1日至上个月最后一天</w:t>
      </w:r>
      <w:r>
        <w:rPr>
          <w:rFonts w:hint="eastAsia" w:ascii="宋体" w:hAnsi="宋体" w:cs="宋体"/>
          <w:bCs/>
          <w:snapToGrid w:val="0"/>
          <w:kern w:val="0"/>
          <w:sz w:val="24"/>
        </w:rPr>
        <w:t>（如有）），</w:t>
      </w:r>
      <w:r>
        <w:rPr>
          <w:rFonts w:hint="eastAsia" w:ascii="宋体" w:hAnsi="宋体"/>
          <w:kern w:val="0"/>
          <w:sz w:val="24"/>
        </w:rPr>
        <w:t>并提交已支付分包及材料设备供货单位价款凭证复印件，</w:t>
      </w:r>
      <w:r>
        <w:rPr>
          <w:rFonts w:hint="eastAsia" w:ascii="宋体" w:hAnsi="宋体"/>
          <w:kern w:val="0"/>
          <w:sz w:val="24"/>
          <w:lang w:val="en-US" w:eastAsia="zh-CN"/>
        </w:rPr>
        <w:t>或该月分包及材料设备供货单位已完工工程量及应付款项的证明材料，</w:t>
      </w:r>
      <w:r>
        <w:rPr>
          <w:rFonts w:hint="eastAsia" w:ascii="宋体" w:hAnsi="宋体"/>
          <w:kern w:val="0"/>
          <w:sz w:val="24"/>
        </w:rPr>
        <w:t>由总监理工程师核实确认资金落实情况并报发包人，以保证承包人将工程进度款专用于本工程。</w:t>
      </w:r>
    </w:p>
    <w:p w14:paraId="38B2A916">
      <w:pPr>
        <w:spacing w:line="360" w:lineRule="auto"/>
        <w:ind w:firstLine="480" w:firstLineChars="200"/>
        <w:rPr>
          <w:rFonts w:ascii="宋体" w:hAnsi="宋体"/>
          <w:kern w:val="0"/>
          <w:sz w:val="24"/>
        </w:rPr>
      </w:pPr>
      <w:r>
        <w:rPr>
          <w:rFonts w:hint="eastAsia" w:ascii="宋体" w:hAnsi="宋体"/>
          <w:kern w:val="0"/>
          <w:sz w:val="24"/>
        </w:rPr>
        <w:t>（2）上月应完成的工程进度和实际完成进度统计报表，上月完成的工程量申报（要求分细项申报，并含有完成金额），上月工程质量、安全生产、文明施工情况报告，上月工程事故报告（如果发生时，须同时报政府相关部门），上月其协调管理范围内各专业工程间的组织管理、协调、配合等方面情况及所出现问题的专项报告（统计时段从上月1日至上月最后一天）。</w:t>
      </w:r>
    </w:p>
    <w:p w14:paraId="40D7D164">
      <w:pPr>
        <w:spacing w:line="360" w:lineRule="auto"/>
        <w:ind w:firstLine="480" w:firstLineChars="200"/>
        <w:rPr>
          <w:rFonts w:ascii="宋体" w:hAnsi="宋体"/>
          <w:kern w:val="0"/>
          <w:sz w:val="24"/>
        </w:rPr>
      </w:pPr>
      <w:r>
        <w:rPr>
          <w:rFonts w:hint="eastAsia" w:ascii="宋体" w:hAnsi="宋体"/>
          <w:kern w:val="0"/>
          <w:sz w:val="24"/>
        </w:rPr>
        <w:t>（3）当月资金使用计划，当月施工进度计划，当月施工拟投入设备，劳动力计划（统计时段从本月1日至本月最后一天）。</w:t>
      </w:r>
    </w:p>
    <w:p w14:paraId="79BD9725">
      <w:pPr>
        <w:spacing w:line="360" w:lineRule="auto"/>
        <w:ind w:firstLine="480" w:firstLineChars="200"/>
        <w:rPr>
          <w:rFonts w:ascii="宋体" w:hAnsi="宋体"/>
          <w:kern w:val="0"/>
          <w:sz w:val="24"/>
        </w:rPr>
      </w:pPr>
      <w:r>
        <w:rPr>
          <w:rFonts w:hint="eastAsia" w:ascii="宋体" w:hAnsi="宋体"/>
          <w:kern w:val="0"/>
          <w:sz w:val="24"/>
        </w:rPr>
        <w:t>（4）所有计划、报表及报告的具体格式，应按照发包人要求填报。</w:t>
      </w:r>
    </w:p>
    <w:p w14:paraId="787A7DF1">
      <w:pPr>
        <w:spacing w:line="360" w:lineRule="auto"/>
        <w:ind w:firstLine="480" w:firstLineChars="200"/>
        <w:rPr>
          <w:rFonts w:ascii="宋体" w:hAnsi="宋体"/>
          <w:kern w:val="0"/>
          <w:sz w:val="24"/>
        </w:rPr>
      </w:pPr>
      <w:r>
        <w:rPr>
          <w:rFonts w:ascii="宋体" w:hAnsi="宋体"/>
          <w:kern w:val="0"/>
          <w:sz w:val="24"/>
        </w:rPr>
        <w:t>9.8</w:t>
      </w:r>
      <w:r>
        <w:rPr>
          <w:rFonts w:hint="eastAsia" w:ascii="宋体" w:hAnsi="宋体"/>
          <w:kern w:val="0"/>
          <w:sz w:val="24"/>
        </w:rPr>
        <w:t>承包人须于每周周五</w:t>
      </w:r>
      <w:r>
        <w:rPr>
          <w:rFonts w:ascii="宋体" w:hAnsi="宋体"/>
          <w:kern w:val="0"/>
          <w:sz w:val="24"/>
        </w:rPr>
        <w:t>10点前，</w:t>
      </w:r>
      <w:r>
        <w:rPr>
          <w:rFonts w:hint="eastAsia" w:ascii="宋体" w:hAnsi="宋体"/>
          <w:kern w:val="0"/>
          <w:sz w:val="24"/>
        </w:rPr>
        <w:t>向总监理工程师提供每周周报（内容包括但不限于本周工作总结及下周工作计划每周各类安全检查及报告整理），经总监理工程师审核，并报发包人批准后实施。</w:t>
      </w:r>
    </w:p>
    <w:p w14:paraId="6603C8EF">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9.</w:t>
      </w:r>
      <w:r>
        <w:rPr>
          <w:rFonts w:hint="eastAsia" w:ascii="宋体" w:hAnsi="宋体"/>
          <w:kern w:val="0"/>
          <w:sz w:val="24"/>
        </w:rPr>
        <w:t>9</w:t>
      </w:r>
      <w:r>
        <w:rPr>
          <w:rFonts w:hint="eastAsia" w:ascii="宋体" w:hAnsi="宋体" w:cs="宋体"/>
          <w:bCs/>
          <w:snapToGrid w:val="0"/>
          <w:kern w:val="0"/>
          <w:sz w:val="24"/>
        </w:rPr>
        <w:t>联合体</w:t>
      </w:r>
    </w:p>
    <w:p w14:paraId="6FE8A7D8">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本合同工程承包人如为联合体的，应遵照如下约定：</w:t>
      </w:r>
    </w:p>
    <w:p w14:paraId="77A63640">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（1）联合体各成员应当按照招标文件提供的格式签订联合体协议书，明确联合体</w:t>
      </w:r>
      <w:r>
        <w:rPr>
          <w:rFonts w:hint="eastAsia" w:ascii="宋体" w:hAnsi="宋体" w:cs="宋体"/>
          <w:snapToGrid w:val="0"/>
          <w:sz w:val="24"/>
        </w:rPr>
        <w:t>主办</w:t>
      </w:r>
      <w:r>
        <w:rPr>
          <w:rFonts w:hint="eastAsia" w:ascii="宋体" w:hAnsi="宋体" w:cs="宋体"/>
          <w:bCs/>
          <w:snapToGrid w:val="0"/>
          <w:kern w:val="0"/>
          <w:sz w:val="24"/>
        </w:rPr>
        <w:t>方、联合体授权代表和各成员权利义务；联合体各成员对履行本合同向发包人承担连带责任。</w:t>
      </w:r>
    </w:p>
    <w:p w14:paraId="54E03BA8">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（2）联合体协议书经发包人确认后作为合同附件。在履行合同过程中，未经发包人同意，不得修改联合体协议书。</w:t>
      </w:r>
    </w:p>
    <w:p w14:paraId="5EE7CDE5">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（3）联合体</w:t>
      </w:r>
      <w:r>
        <w:rPr>
          <w:rFonts w:hint="eastAsia" w:ascii="宋体" w:hAnsi="宋体" w:cs="宋体"/>
          <w:snapToGrid w:val="0"/>
          <w:sz w:val="24"/>
        </w:rPr>
        <w:t>主办</w:t>
      </w:r>
      <w:r>
        <w:rPr>
          <w:rFonts w:hint="eastAsia" w:ascii="宋体" w:hAnsi="宋体" w:cs="宋体"/>
          <w:bCs/>
          <w:snapToGrid w:val="0"/>
          <w:kern w:val="0"/>
          <w:sz w:val="24"/>
        </w:rPr>
        <w:t>方或联合体授权的代表负责与发包人和监理单位联系，并接受指示，负责组织联合体各成员全面履行合同。</w:t>
      </w:r>
    </w:p>
    <w:p w14:paraId="6CC76D57">
      <w:pPr>
        <w:spacing w:line="360" w:lineRule="auto"/>
        <w:ind w:firstLine="480" w:firstLineChars="200"/>
        <w:rPr>
          <w:rFonts w:ascii="宋体" w:hAnsi="宋体"/>
          <w:kern w:val="0"/>
          <w:sz w:val="24"/>
        </w:rPr>
      </w:pPr>
      <w:r>
        <w:rPr>
          <w:rFonts w:hint="eastAsia" w:ascii="宋体" w:hAnsi="宋体"/>
          <w:kern w:val="0"/>
          <w:sz w:val="24"/>
        </w:rPr>
        <w:t>9.</w:t>
      </w:r>
      <w:r>
        <w:rPr>
          <w:rFonts w:ascii="宋体" w:hAnsi="宋体"/>
          <w:kern w:val="0"/>
          <w:sz w:val="24"/>
        </w:rPr>
        <w:t>10</w:t>
      </w:r>
      <w:r>
        <w:rPr>
          <w:rFonts w:hint="eastAsia" w:ascii="宋体" w:hAnsi="宋体"/>
          <w:kern w:val="0"/>
          <w:sz w:val="24"/>
        </w:rPr>
        <w:t>承包人须在进场后10日内为本项目配备专职开发报建人员2名（相关工作经验年限不少于8年）、资料员</w:t>
      </w:r>
      <w:r>
        <w:rPr>
          <w:rFonts w:ascii="宋体" w:hAnsi="宋体"/>
          <w:kern w:val="0"/>
          <w:sz w:val="24"/>
        </w:rPr>
        <w:t>1</w:t>
      </w:r>
      <w:r>
        <w:rPr>
          <w:rFonts w:hint="eastAsia" w:ascii="宋体" w:hAnsi="宋体"/>
          <w:kern w:val="0"/>
          <w:sz w:val="24"/>
        </w:rPr>
        <w:t>名（相关工作经验年限不少于3年）、</w:t>
      </w:r>
      <w:r>
        <w:rPr>
          <w:rFonts w:hint="eastAsia" w:ascii="宋体" w:hAnsi="宋体" w:eastAsia="宋体" w:cs="Times New Roman"/>
          <w:kern w:val="0"/>
          <w:sz w:val="24"/>
          <w:lang w:val="en-US" w:eastAsia="zh-CN"/>
        </w:rPr>
        <w:t>项目负责人1名（</w:t>
      </w:r>
      <w:r>
        <w:rPr>
          <w:rFonts w:hint="eastAsia" w:ascii="宋体" w:hAnsi="宋体" w:eastAsia="宋体" w:cs="Times New Roman"/>
          <w:kern w:val="0"/>
          <w:sz w:val="24"/>
          <w:szCs w:val="22"/>
          <w:u w:val="none"/>
          <w:lang w:val="zh-CN"/>
        </w:rPr>
        <w:t>具有市政类相关专业中级技术职称，</w:t>
      </w:r>
      <w:r>
        <w:rPr>
          <w:rFonts w:hint="eastAsia" w:ascii="宋体" w:hAnsi="宋体" w:eastAsia="宋体" w:cs="Times New Roman"/>
          <w:kern w:val="0"/>
          <w:sz w:val="24"/>
        </w:rPr>
        <w:t>相关工作经验年限不少于5年</w:t>
      </w:r>
      <w:r>
        <w:rPr>
          <w:rFonts w:hint="eastAsia" w:ascii="宋体" w:hAnsi="宋体" w:eastAsia="宋体" w:cs="Times New Roman"/>
          <w:kern w:val="0"/>
          <w:sz w:val="24"/>
          <w:lang w:val="en-US" w:eastAsia="zh-CN"/>
        </w:rPr>
        <w:t>），技术负责人</w:t>
      </w:r>
      <w:r>
        <w:rPr>
          <w:rFonts w:hint="eastAsia" w:ascii="宋体" w:hAnsi="宋体" w:eastAsia="宋体" w:cs="Times New Roman"/>
          <w:kern w:val="0"/>
          <w:sz w:val="24"/>
        </w:rPr>
        <w:t>1名（相关工作经验年限不少于5年）、</w:t>
      </w:r>
      <w:r>
        <w:rPr>
          <w:rFonts w:hint="eastAsia" w:ascii="宋体" w:hAnsi="宋体" w:eastAsia="宋体" w:cs="Times New Roman"/>
          <w:kern w:val="0"/>
          <w:sz w:val="24"/>
          <w:lang w:val="en-US" w:eastAsia="zh-CN"/>
        </w:rPr>
        <w:t>质量负责人</w:t>
      </w:r>
      <w:r>
        <w:rPr>
          <w:rFonts w:hint="eastAsia" w:ascii="宋体" w:hAnsi="宋体" w:eastAsia="宋体" w:cs="Times New Roman"/>
          <w:kern w:val="0"/>
          <w:sz w:val="24"/>
        </w:rPr>
        <w:t>1名（</w:t>
      </w:r>
      <w:r>
        <w:rPr>
          <w:rFonts w:hint="eastAsia" w:ascii="宋体" w:hAnsi="宋体" w:eastAsia="宋体" w:cs="Times New Roman"/>
          <w:kern w:val="0"/>
          <w:sz w:val="24"/>
          <w:szCs w:val="22"/>
          <w:u w:val="none"/>
          <w:lang w:val="zh-CN"/>
        </w:rPr>
        <w:t>具有市政类相关专业中级技术职称，</w:t>
      </w:r>
      <w:r>
        <w:rPr>
          <w:rFonts w:hint="eastAsia" w:ascii="宋体" w:hAnsi="宋体" w:eastAsia="宋体" w:cs="Times New Roman"/>
          <w:kern w:val="0"/>
          <w:sz w:val="24"/>
        </w:rPr>
        <w:t>相关工作经验年限不少于5年）、</w:t>
      </w:r>
      <w:r>
        <w:rPr>
          <w:rFonts w:hint="eastAsia" w:ascii="宋体" w:hAnsi="宋体" w:eastAsia="宋体" w:cs="Times New Roman"/>
          <w:kern w:val="0"/>
          <w:sz w:val="24"/>
          <w:lang w:val="en-US" w:eastAsia="zh-CN"/>
        </w:rPr>
        <w:t>安全负责人</w:t>
      </w:r>
      <w:r>
        <w:rPr>
          <w:rFonts w:hint="eastAsia" w:ascii="宋体" w:hAnsi="宋体" w:eastAsia="宋体" w:cs="Times New Roman"/>
          <w:kern w:val="0"/>
          <w:sz w:val="24"/>
        </w:rPr>
        <w:t>1名（</w:t>
      </w:r>
      <w:r>
        <w:rPr>
          <w:rFonts w:hint="eastAsia" w:ascii="宋体" w:hAnsi="宋体" w:eastAsia="宋体" w:cs="Times New Roman"/>
          <w:kern w:val="0"/>
          <w:sz w:val="24"/>
          <w:lang w:val="en-US" w:eastAsia="zh-CN"/>
        </w:rPr>
        <w:t>具有安全类相关证书，</w:t>
      </w:r>
      <w:r>
        <w:rPr>
          <w:rFonts w:hint="eastAsia" w:ascii="宋体" w:hAnsi="宋体" w:eastAsia="宋体" w:cs="Times New Roman"/>
          <w:kern w:val="0"/>
          <w:sz w:val="24"/>
        </w:rPr>
        <w:t>相关工作经验年限不少于5年）</w:t>
      </w:r>
      <w:r>
        <w:rPr>
          <w:rFonts w:hint="eastAsia" w:ascii="宋体" w:hAnsi="宋体" w:eastAsia="宋体" w:cs="Times New Roman"/>
          <w:kern w:val="0"/>
          <w:sz w:val="24"/>
          <w:lang w:eastAsia="zh-CN"/>
        </w:rPr>
        <w:t>，</w:t>
      </w:r>
      <w:r>
        <w:rPr>
          <w:rFonts w:hint="eastAsia" w:ascii="宋体" w:hAnsi="宋体" w:eastAsia="宋体" w:cs="Times New Roman"/>
          <w:kern w:val="0"/>
          <w:sz w:val="24"/>
          <w:lang w:val="en-US" w:eastAsia="zh-CN"/>
        </w:rPr>
        <w:t>造价负责人1名（</w:t>
      </w:r>
      <w:r>
        <w:rPr>
          <w:rFonts w:hint="eastAsia" w:ascii="宋体" w:hAnsi="宋体" w:eastAsia="宋体" w:cs="Times New Roman"/>
          <w:kern w:val="0"/>
          <w:sz w:val="24"/>
          <w:szCs w:val="22"/>
          <w:u w:val="none"/>
          <w:lang w:val="zh-CN"/>
        </w:rPr>
        <w:t>具有有效的注册造价工程师（或一级注册造价工程师）证书，或具有工程造价类专业高级或以上技术职称，</w:t>
      </w:r>
      <w:r>
        <w:rPr>
          <w:rFonts w:hint="eastAsia" w:ascii="宋体" w:hAnsi="宋体" w:eastAsia="宋体" w:cs="Times New Roman"/>
          <w:kern w:val="0"/>
          <w:sz w:val="24"/>
        </w:rPr>
        <w:t>相关工作经验年限不少于5</w:t>
      </w:r>
      <w:r>
        <w:rPr>
          <w:rFonts w:hint="eastAsia" w:ascii="宋体" w:hAnsi="宋体" w:eastAsia="宋体" w:cs="Times New Roman"/>
          <w:kern w:val="0"/>
          <w:sz w:val="24"/>
          <w:lang w:val="en-US" w:eastAsia="zh-CN"/>
        </w:rPr>
        <w:t>）</w:t>
      </w:r>
      <w:r>
        <w:rPr>
          <w:rFonts w:hint="eastAsia" w:ascii="宋体" w:hAnsi="宋体" w:eastAsia="宋体" w:cs="Times New Roman"/>
          <w:kern w:val="0"/>
          <w:sz w:val="24"/>
        </w:rPr>
        <w:t>，</w:t>
      </w:r>
      <w:r>
        <w:rPr>
          <w:rFonts w:hint="eastAsia" w:ascii="宋体" w:hAnsi="宋体"/>
          <w:kern w:val="0"/>
          <w:sz w:val="24"/>
        </w:rPr>
        <w:t>上述人员需发包人面试合格后方可上岗并接受发包人日常工作安排。若承包人未按要求配备上述人员或人员未及时到岗、履历不满足条件，则按</w:t>
      </w:r>
      <w:r>
        <w:rPr>
          <w:rFonts w:ascii="宋体" w:hAnsi="宋体"/>
          <w:kern w:val="0"/>
          <w:sz w:val="24"/>
        </w:rPr>
        <w:t>3</w:t>
      </w:r>
      <w:r>
        <w:rPr>
          <w:rFonts w:hint="eastAsia" w:ascii="宋体" w:hAnsi="宋体"/>
          <w:kern w:val="0"/>
          <w:sz w:val="24"/>
        </w:rPr>
        <w:t>万元/人/月的标准在承包人进度款中进行扣减。</w:t>
      </w:r>
    </w:p>
    <w:p w14:paraId="32F20D11">
      <w:pPr>
        <w:spacing w:line="360" w:lineRule="auto"/>
        <w:ind w:firstLine="482"/>
      </w:pPr>
      <w:r>
        <w:rPr>
          <w:rFonts w:hint="eastAsia" w:ascii="宋体" w:hAnsi="宋体"/>
          <w:kern w:val="0"/>
          <w:sz w:val="24"/>
        </w:rPr>
        <w:t>9.1</w:t>
      </w:r>
      <w:r>
        <w:rPr>
          <w:rFonts w:ascii="宋体" w:hAnsi="宋体"/>
          <w:kern w:val="0"/>
          <w:sz w:val="24"/>
        </w:rPr>
        <w:t>1</w:t>
      </w:r>
      <w:r>
        <w:rPr>
          <w:rFonts w:hint="eastAsia" w:ascii="宋体" w:hAnsi="宋体"/>
          <w:kern w:val="0"/>
          <w:sz w:val="24"/>
        </w:rPr>
        <w:t>承包人须做好项目现场的质量、安全及资料管理工作，对于发包人股东方、发包人股东方上级集团组织的</w:t>
      </w:r>
      <w:r>
        <w:rPr>
          <w:rFonts w:hint="eastAsia" w:ascii="宋体" w:hAnsi="宋体" w:cs="宋体"/>
          <w:bCs/>
          <w:snapToGrid w:val="0"/>
          <w:kern w:val="0"/>
          <w:sz w:val="24"/>
        </w:rPr>
        <w:t>第三方巡检评估必须确保每次排名在</w:t>
      </w:r>
      <w:r>
        <w:rPr>
          <w:rFonts w:hint="eastAsia" w:ascii="宋体" w:hAnsi="宋体"/>
          <w:kern w:val="0"/>
          <w:sz w:val="24"/>
        </w:rPr>
        <w:t>发包人股东方及其下属公司在建项目/地块</w:t>
      </w:r>
      <w:r>
        <w:rPr>
          <w:rFonts w:hint="eastAsia" w:ascii="宋体" w:hAnsi="宋体" w:cs="宋体"/>
          <w:bCs/>
          <w:snapToGrid w:val="0"/>
          <w:kern w:val="0"/>
          <w:sz w:val="24"/>
        </w:rPr>
        <w:t>前三名（含），相</w:t>
      </w:r>
      <w:r>
        <w:rPr>
          <w:rFonts w:hint="eastAsia" w:ascii="宋体" w:hAnsi="宋体"/>
          <w:kern w:val="0"/>
          <w:sz w:val="24"/>
        </w:rPr>
        <w:t>应的奖惩制度按照附件15：承包人现场进度、质量、安全、材料、规章管理及罚款细则第九项执行。</w:t>
      </w:r>
    </w:p>
    <w:p w14:paraId="16F0195A">
      <w:pPr>
        <w:pStyle w:val="27"/>
        <w:spacing w:line="360" w:lineRule="auto"/>
        <w:ind w:firstLine="562" w:firstLineChars="200"/>
        <w:outlineLvl w:val="0"/>
        <w:rPr>
          <w:rFonts w:ascii="宋体" w:hAnsi="宋体" w:cs="宋体"/>
          <w:b/>
          <w:snapToGrid w:val="0"/>
          <w:sz w:val="28"/>
          <w:szCs w:val="28"/>
        </w:rPr>
      </w:pPr>
      <w:bookmarkStart w:id="258" w:name="_Toc502215484"/>
      <w:bookmarkStart w:id="259" w:name="_Toc504465887"/>
      <w:bookmarkStart w:id="260" w:name="_Toc518402581"/>
      <w:r>
        <w:rPr>
          <w:rFonts w:hint="eastAsia" w:ascii="宋体" w:hAnsi="宋体" w:cs="宋体"/>
          <w:b/>
          <w:snapToGrid w:val="0"/>
          <w:sz w:val="28"/>
          <w:szCs w:val="28"/>
        </w:rPr>
        <w:t>三、工程设计</w:t>
      </w:r>
      <w:bookmarkEnd w:id="258"/>
      <w:bookmarkEnd w:id="259"/>
      <w:bookmarkEnd w:id="260"/>
    </w:p>
    <w:p w14:paraId="624031DA">
      <w:pPr>
        <w:spacing w:line="360" w:lineRule="auto"/>
        <w:ind w:firstLine="482" w:firstLineChars="200"/>
        <w:outlineLvl w:val="1"/>
        <w:rPr>
          <w:rFonts w:ascii="宋体" w:hAnsi="宋体" w:cs="宋体"/>
          <w:b/>
          <w:bCs/>
          <w:snapToGrid w:val="0"/>
          <w:kern w:val="0"/>
          <w:sz w:val="24"/>
        </w:rPr>
      </w:pPr>
      <w:bookmarkStart w:id="261" w:name="_Toc155"/>
      <w:bookmarkStart w:id="262" w:name="_Toc502215485"/>
      <w:bookmarkStart w:id="263" w:name="_Toc11180"/>
      <w:bookmarkStart w:id="264" w:name="_Toc144746871"/>
      <w:bookmarkStart w:id="265" w:name="_Toc518402582"/>
      <w:bookmarkStart w:id="266" w:name="_Toc504465888"/>
      <w:bookmarkStart w:id="267" w:name="_Toc144745953"/>
      <w:bookmarkStart w:id="268" w:name="_Toc6940"/>
      <w:r>
        <w:rPr>
          <w:rFonts w:hint="eastAsia" w:ascii="宋体" w:hAnsi="宋体" w:cs="宋体"/>
          <w:b/>
          <w:bCs/>
          <w:snapToGrid w:val="0"/>
          <w:kern w:val="0"/>
          <w:sz w:val="24"/>
        </w:rPr>
        <w:t>10、工程设计范围、内容、设计人员要求、设计成果要求</w:t>
      </w:r>
      <w:bookmarkEnd w:id="261"/>
      <w:bookmarkEnd w:id="262"/>
      <w:bookmarkEnd w:id="263"/>
      <w:bookmarkEnd w:id="264"/>
      <w:bookmarkEnd w:id="265"/>
      <w:bookmarkEnd w:id="266"/>
      <w:bookmarkEnd w:id="267"/>
      <w:bookmarkEnd w:id="268"/>
    </w:p>
    <w:p w14:paraId="3584D82F">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10.1设计范围：按合同协议书约定。</w:t>
      </w:r>
    </w:p>
    <w:p w14:paraId="19A02769">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10.2设计内容：按合同协议书约定，详见设计任务书。</w:t>
      </w:r>
      <w:bookmarkStart w:id="269" w:name="_Toc357857073"/>
    </w:p>
    <w:p w14:paraId="33AC228E">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10.3设计人员要求</w:t>
      </w:r>
      <w:bookmarkEnd w:id="269"/>
    </w:p>
    <w:p w14:paraId="6F7C0BFE">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（1）应根据设计任务建立项目组，从组织上保证投入的人力、物力能满足设计开展的需要，保证设计工作的连续性和外部条件接口衔接的连贯性。</w:t>
      </w:r>
    </w:p>
    <w:p w14:paraId="1370905D">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（2）在设计高峰或发包人认为有必要时，承包人必须集中力量确保设计进度，并已考虑在其报价内。</w:t>
      </w:r>
    </w:p>
    <w:p w14:paraId="726D196A">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（3）在明确分工各负其责的基础上，承包人承诺为本合同约定项目指定的设计负责人为：</w:t>
      </w:r>
      <w:r>
        <w:rPr>
          <w:rFonts w:hint="eastAsia" w:ascii="宋体" w:hAnsi="宋体" w:cs="宋体"/>
          <w:bCs/>
          <w:snapToGrid w:val="0"/>
          <w:kern w:val="0"/>
          <w:sz w:val="24"/>
          <w:u w:val="single"/>
        </w:rPr>
        <w:t xml:space="preserve"> </w:t>
      </w:r>
      <w:r>
        <w:rPr>
          <w:rFonts w:hint="eastAsia" w:ascii="宋体" w:hAnsi="宋体" w:cs="宋体"/>
          <w:bCs/>
          <w:snapToGrid w:val="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w:t>
      </w:r>
    </w:p>
    <w:p w14:paraId="6B0A1CDD">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（4）承包人应根据现场需要指定相关专业设计人员（建筑、装修、机电、结构，中级以上职称）作为设计代表分阶段常驻现场，服务于项目建设的始终，并根据项目建设进程的推进和需要加派驻场设计人员。</w:t>
      </w:r>
    </w:p>
    <w:p w14:paraId="10D41666">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（5）项目设计负责人、专业设计负责人、驻场设计负责人、驻场设计人的经验、能力和健康状况应能够胜任所承担任务的设计、组织、计划、协调工作。</w:t>
      </w:r>
    </w:p>
    <w:p w14:paraId="37741121">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6）承包人须在中标后5天内向发包人报送项目设计负责人、专业设计负责人、其他参与设计工作的人员的姓名、年龄、学历、专业、职称、职务、相关经历和主要技术成果以及在本合同约定项目中负责的设计任务等资料。</w:t>
      </w:r>
    </w:p>
    <w:p w14:paraId="3F8C0BD3">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w:t>
      </w:r>
      <w:r>
        <w:rPr>
          <w:rFonts w:hint="eastAsia" w:ascii="宋体" w:hAnsi="宋体"/>
          <w:kern w:val="0"/>
          <w:sz w:val="24"/>
        </w:rPr>
        <w:t>7</w:t>
      </w:r>
      <w:r>
        <w:rPr>
          <w:rFonts w:hint="eastAsia" w:ascii="宋体" w:hAnsi="宋体" w:cs="宋体"/>
          <w:bCs/>
          <w:snapToGrid w:val="0"/>
          <w:kern w:val="0"/>
          <w:sz w:val="24"/>
        </w:rPr>
        <w:t>）承包人须在中标后5天内向发包人报送驻场设计代表负责人、驻场设计代表人员的姓名、年龄、学历、专业、职称、职务、相关经历和主要技术成果以及其驻场授权工作范围、驻场时间安排等资料。</w:t>
      </w:r>
    </w:p>
    <w:p w14:paraId="60C1CDA2">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（8）承包人须在中标后5天内向发包人报送一名报建责任人，全程负责跟踪协调项目报建工作，并负责处理报建手续。</w:t>
      </w:r>
    </w:p>
    <w:p w14:paraId="3C63317E">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（9）承包人如为境外机构，必须自行配备专业翻译一名，费用自行承担。</w:t>
      </w:r>
    </w:p>
    <w:p w14:paraId="5F4635A5">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10）发包人认为设计负责人、专业设计负责人、驻场设计代表总负责人、驻场设计代表不称职时，有权向承包人发出书面更换人员通知，承包人应当在收到发包人的书面通知后5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14:paraId="7896E6BE">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11）当发包人认为承包人的设计人员、驻场人员及管理服务人员的数量、专业水平、专业配套等达不到设计所需时，发包人有权要求承包人更换及补充相关人员，直至满足设计工作要求为止，否则发包人有权扣减设计费直至解除合同等。</w:t>
      </w:r>
    </w:p>
    <w:p w14:paraId="5F37A9E2">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10.4设计成果文件的提交</w:t>
      </w:r>
    </w:p>
    <w:p w14:paraId="67CCAF5A">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（1）设计文件包括设计图纸、说明书、计算书、概算文件、海绵城市设计文件及其电子版本；</w:t>
      </w:r>
    </w:p>
    <w:p w14:paraId="419875D5">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设计成果包含深化方案设计文件、施工图设计、概算文件等。设计文件除应提供设计范围的相关图纸、总设计说明、工程项目及数量汇总表外，还应提供所需设计图纸以及必要的设计资料和设计计算书。交付设计文件和资料时应附带清单；</w:t>
      </w:r>
    </w:p>
    <w:p w14:paraId="1DCD437C">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（3）应按项目编码方式进行文件、图纸的编码，并遵守发包人制定的设计文件、图纸、资料的发放、回收和验收制度；</w:t>
      </w:r>
    </w:p>
    <w:p w14:paraId="36C2465B">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（4）设计送审稿资料须向发包人提交纸质版，含电子光盘2份；</w:t>
      </w:r>
    </w:p>
    <w:p w14:paraId="10043960">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（5）承包人须保证设计终稿资料质量能一次性通过发包人委托的第三方服务单位根据合同约定标准进行的审核，须向发包人提交份数具体如下：</w:t>
      </w:r>
    </w:p>
    <w:tbl>
      <w:tblPr>
        <w:tblStyle w:val="47"/>
        <w:tblW w:w="9555" w:type="dxa"/>
        <w:jc w:val="center"/>
        <w:tblLayout w:type="fixed"/>
        <w:tblCellMar>
          <w:top w:w="0" w:type="dxa"/>
          <w:left w:w="108" w:type="dxa"/>
          <w:bottom w:w="0" w:type="dxa"/>
          <w:right w:w="108" w:type="dxa"/>
        </w:tblCellMar>
      </w:tblPr>
      <w:tblGrid>
        <w:gridCol w:w="735"/>
        <w:gridCol w:w="1832"/>
        <w:gridCol w:w="2068"/>
        <w:gridCol w:w="1605"/>
        <w:gridCol w:w="1755"/>
        <w:gridCol w:w="1560"/>
      </w:tblGrid>
      <w:tr w14:paraId="1C9DABF5">
        <w:tblPrEx>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DEFD937">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序号</w:t>
            </w:r>
          </w:p>
        </w:tc>
        <w:tc>
          <w:tcPr>
            <w:tcW w:w="3900" w:type="dxa"/>
            <w:gridSpan w:val="2"/>
            <w:tcBorders>
              <w:top w:val="single" w:color="auto" w:sz="4" w:space="0"/>
              <w:left w:val="nil"/>
              <w:bottom w:val="single" w:color="auto" w:sz="4" w:space="0"/>
              <w:right w:val="single" w:color="auto" w:sz="4" w:space="0"/>
            </w:tcBorders>
            <w:vAlign w:val="center"/>
          </w:tcPr>
          <w:p w14:paraId="611598D1">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成果文件名称</w:t>
            </w:r>
          </w:p>
        </w:tc>
        <w:tc>
          <w:tcPr>
            <w:tcW w:w="1605" w:type="dxa"/>
            <w:tcBorders>
              <w:top w:val="single" w:color="auto" w:sz="4" w:space="0"/>
              <w:left w:val="nil"/>
              <w:bottom w:val="single" w:color="auto" w:sz="4" w:space="0"/>
              <w:right w:val="single" w:color="auto" w:sz="4" w:space="0"/>
            </w:tcBorders>
            <w:vAlign w:val="center"/>
          </w:tcPr>
          <w:p w14:paraId="0AA45636">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提交日期</w:t>
            </w:r>
          </w:p>
        </w:tc>
        <w:tc>
          <w:tcPr>
            <w:tcW w:w="1755" w:type="dxa"/>
            <w:tcBorders>
              <w:top w:val="single" w:color="auto" w:sz="4" w:space="0"/>
              <w:left w:val="nil"/>
              <w:bottom w:val="single" w:color="auto" w:sz="4" w:space="0"/>
              <w:right w:val="single" w:color="auto" w:sz="4" w:space="0"/>
            </w:tcBorders>
            <w:vAlign w:val="center"/>
          </w:tcPr>
          <w:p w14:paraId="4956C6A6">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套（份）数</w:t>
            </w:r>
          </w:p>
        </w:tc>
        <w:tc>
          <w:tcPr>
            <w:tcW w:w="1560" w:type="dxa"/>
            <w:tcBorders>
              <w:top w:val="single" w:color="auto" w:sz="4" w:space="0"/>
              <w:left w:val="nil"/>
              <w:bottom w:val="single" w:color="auto" w:sz="4" w:space="0"/>
              <w:right w:val="single" w:color="auto" w:sz="4" w:space="0"/>
            </w:tcBorders>
            <w:vAlign w:val="center"/>
          </w:tcPr>
          <w:p w14:paraId="0B643C3A">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备注</w:t>
            </w:r>
          </w:p>
        </w:tc>
      </w:tr>
      <w:tr w14:paraId="2E8BCA92">
        <w:tblPrEx>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0B0F25F2">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1</w:t>
            </w:r>
          </w:p>
        </w:tc>
        <w:tc>
          <w:tcPr>
            <w:tcW w:w="3900" w:type="dxa"/>
            <w:gridSpan w:val="2"/>
            <w:tcBorders>
              <w:top w:val="single" w:color="auto" w:sz="4" w:space="0"/>
              <w:left w:val="nil"/>
              <w:bottom w:val="single" w:color="auto" w:sz="4" w:space="0"/>
              <w:right w:val="single" w:color="auto" w:sz="4" w:space="0"/>
            </w:tcBorders>
            <w:vAlign w:val="center"/>
          </w:tcPr>
          <w:p w14:paraId="6842CEA1">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深化方案设计成果文件（含修规设计、三维数据模型）</w:t>
            </w:r>
          </w:p>
        </w:tc>
        <w:tc>
          <w:tcPr>
            <w:tcW w:w="1605" w:type="dxa"/>
            <w:tcBorders>
              <w:top w:val="single" w:color="auto" w:sz="4" w:space="0"/>
              <w:left w:val="nil"/>
              <w:bottom w:val="single" w:color="auto" w:sz="4" w:space="0"/>
              <w:right w:val="single" w:color="auto" w:sz="4" w:space="0"/>
            </w:tcBorders>
            <w:vAlign w:val="center"/>
          </w:tcPr>
          <w:p w14:paraId="74AD692B">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按进度计划或发包人要求</w:t>
            </w:r>
          </w:p>
        </w:tc>
        <w:tc>
          <w:tcPr>
            <w:tcW w:w="1755" w:type="dxa"/>
            <w:tcBorders>
              <w:top w:val="single" w:color="auto" w:sz="4" w:space="0"/>
              <w:left w:val="nil"/>
              <w:bottom w:val="single" w:color="auto" w:sz="4" w:space="0"/>
              <w:right w:val="single" w:color="auto" w:sz="4" w:space="0"/>
            </w:tcBorders>
            <w:vAlign w:val="center"/>
          </w:tcPr>
          <w:p w14:paraId="6CE9D746">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6份或按发包人要求提供</w:t>
            </w:r>
          </w:p>
        </w:tc>
        <w:tc>
          <w:tcPr>
            <w:tcW w:w="1560" w:type="dxa"/>
            <w:tcBorders>
              <w:top w:val="single" w:color="auto" w:sz="4" w:space="0"/>
              <w:left w:val="nil"/>
              <w:bottom w:val="single" w:color="auto" w:sz="4" w:space="0"/>
              <w:right w:val="single" w:color="auto" w:sz="4" w:space="0"/>
            </w:tcBorders>
            <w:vAlign w:val="center"/>
          </w:tcPr>
          <w:p w14:paraId="63EB7946">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电子文档1份</w:t>
            </w:r>
          </w:p>
        </w:tc>
      </w:tr>
      <w:tr w14:paraId="029401C0">
        <w:tblPrEx>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82711B7">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2</w:t>
            </w:r>
          </w:p>
        </w:tc>
        <w:tc>
          <w:tcPr>
            <w:tcW w:w="3900" w:type="dxa"/>
            <w:gridSpan w:val="2"/>
            <w:tcBorders>
              <w:top w:val="single" w:color="auto" w:sz="4" w:space="0"/>
              <w:left w:val="nil"/>
              <w:bottom w:val="single" w:color="auto" w:sz="4" w:space="0"/>
              <w:right w:val="single" w:color="auto" w:sz="4" w:space="0"/>
            </w:tcBorders>
            <w:vAlign w:val="center"/>
          </w:tcPr>
          <w:p w14:paraId="4B113899">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规划报建相关设计成果文件</w:t>
            </w:r>
          </w:p>
        </w:tc>
        <w:tc>
          <w:tcPr>
            <w:tcW w:w="1605" w:type="dxa"/>
            <w:tcBorders>
              <w:top w:val="single" w:color="auto" w:sz="4" w:space="0"/>
              <w:left w:val="nil"/>
              <w:bottom w:val="single" w:color="auto" w:sz="4" w:space="0"/>
              <w:right w:val="single" w:color="auto" w:sz="4" w:space="0"/>
            </w:tcBorders>
            <w:vAlign w:val="center"/>
          </w:tcPr>
          <w:p w14:paraId="0B8E84C9">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按进度计划或发包人要求</w:t>
            </w:r>
          </w:p>
        </w:tc>
        <w:tc>
          <w:tcPr>
            <w:tcW w:w="1755" w:type="dxa"/>
            <w:tcBorders>
              <w:top w:val="single" w:color="auto" w:sz="4" w:space="0"/>
              <w:left w:val="nil"/>
              <w:bottom w:val="single" w:color="auto" w:sz="4" w:space="0"/>
              <w:right w:val="single" w:color="auto" w:sz="4" w:space="0"/>
            </w:tcBorders>
            <w:vAlign w:val="center"/>
          </w:tcPr>
          <w:p w14:paraId="35E92D70">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按报建要求或按发包人要求提供</w:t>
            </w:r>
          </w:p>
        </w:tc>
        <w:tc>
          <w:tcPr>
            <w:tcW w:w="1560" w:type="dxa"/>
            <w:tcBorders>
              <w:top w:val="single" w:color="auto" w:sz="4" w:space="0"/>
              <w:left w:val="nil"/>
              <w:bottom w:val="single" w:color="auto" w:sz="4" w:space="0"/>
              <w:right w:val="single" w:color="auto" w:sz="4" w:space="0"/>
            </w:tcBorders>
            <w:vAlign w:val="center"/>
          </w:tcPr>
          <w:p w14:paraId="3C897688">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电子文档1份</w:t>
            </w:r>
          </w:p>
        </w:tc>
      </w:tr>
      <w:tr w14:paraId="7AA9FE46">
        <w:tblPrEx>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660884C">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3</w:t>
            </w:r>
          </w:p>
        </w:tc>
        <w:tc>
          <w:tcPr>
            <w:tcW w:w="3900" w:type="dxa"/>
            <w:gridSpan w:val="2"/>
            <w:tcBorders>
              <w:top w:val="single" w:color="auto" w:sz="4" w:space="0"/>
              <w:left w:val="nil"/>
              <w:bottom w:val="single" w:color="auto" w:sz="4" w:space="0"/>
              <w:right w:val="single" w:color="auto" w:sz="4" w:space="0"/>
            </w:tcBorders>
            <w:vAlign w:val="center"/>
          </w:tcPr>
          <w:p w14:paraId="023AAC88">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单体报建相关设计成果文件</w:t>
            </w:r>
          </w:p>
        </w:tc>
        <w:tc>
          <w:tcPr>
            <w:tcW w:w="1605" w:type="dxa"/>
            <w:tcBorders>
              <w:top w:val="single" w:color="auto" w:sz="4" w:space="0"/>
              <w:left w:val="nil"/>
              <w:bottom w:val="single" w:color="auto" w:sz="4" w:space="0"/>
              <w:right w:val="single" w:color="auto" w:sz="4" w:space="0"/>
            </w:tcBorders>
            <w:vAlign w:val="center"/>
          </w:tcPr>
          <w:p w14:paraId="121EACFD">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按进度计划或发包人要求</w:t>
            </w:r>
          </w:p>
        </w:tc>
        <w:tc>
          <w:tcPr>
            <w:tcW w:w="1755" w:type="dxa"/>
            <w:tcBorders>
              <w:top w:val="single" w:color="auto" w:sz="4" w:space="0"/>
              <w:left w:val="nil"/>
              <w:bottom w:val="single" w:color="auto" w:sz="4" w:space="0"/>
              <w:right w:val="single" w:color="auto" w:sz="4" w:space="0"/>
            </w:tcBorders>
            <w:vAlign w:val="center"/>
          </w:tcPr>
          <w:p w14:paraId="6910A208">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按报建要求或按发包人要求提供</w:t>
            </w:r>
          </w:p>
        </w:tc>
        <w:tc>
          <w:tcPr>
            <w:tcW w:w="1560" w:type="dxa"/>
            <w:tcBorders>
              <w:top w:val="single" w:color="auto" w:sz="4" w:space="0"/>
              <w:left w:val="nil"/>
              <w:bottom w:val="single" w:color="auto" w:sz="4" w:space="0"/>
              <w:right w:val="single" w:color="auto" w:sz="4" w:space="0"/>
            </w:tcBorders>
            <w:vAlign w:val="center"/>
          </w:tcPr>
          <w:p w14:paraId="5037F7FC">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电子文档1份</w:t>
            </w:r>
          </w:p>
        </w:tc>
      </w:tr>
      <w:tr w14:paraId="6C803840">
        <w:tblPrEx>
          <w:tblCellMar>
            <w:top w:w="0" w:type="dxa"/>
            <w:left w:w="108" w:type="dxa"/>
            <w:bottom w:w="0" w:type="dxa"/>
            <w:right w:w="108" w:type="dxa"/>
          </w:tblCellMar>
        </w:tblPrEx>
        <w:trPr>
          <w:trHeight w:val="285"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256332FF">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4</w:t>
            </w:r>
          </w:p>
        </w:tc>
        <w:tc>
          <w:tcPr>
            <w:tcW w:w="3900" w:type="dxa"/>
            <w:gridSpan w:val="2"/>
            <w:tcBorders>
              <w:top w:val="single" w:color="auto" w:sz="4" w:space="0"/>
              <w:left w:val="nil"/>
              <w:bottom w:val="single" w:color="auto" w:sz="4" w:space="0"/>
              <w:right w:val="single" w:color="auto" w:sz="4" w:space="0"/>
            </w:tcBorders>
            <w:vAlign w:val="center"/>
          </w:tcPr>
          <w:p w14:paraId="33C85F88">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施工图设计成果文件（送施工图审查单位审查，含投资分析报告、主要设备材料技术要求书）</w:t>
            </w:r>
          </w:p>
        </w:tc>
        <w:tc>
          <w:tcPr>
            <w:tcW w:w="1605" w:type="dxa"/>
            <w:tcBorders>
              <w:top w:val="single" w:color="auto" w:sz="4" w:space="0"/>
              <w:left w:val="nil"/>
              <w:bottom w:val="single" w:color="auto" w:sz="4" w:space="0"/>
              <w:right w:val="single" w:color="auto" w:sz="4" w:space="0"/>
            </w:tcBorders>
            <w:vAlign w:val="center"/>
          </w:tcPr>
          <w:p w14:paraId="5B6F80E6">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按进度计划或发包人要求</w:t>
            </w:r>
          </w:p>
        </w:tc>
        <w:tc>
          <w:tcPr>
            <w:tcW w:w="1755" w:type="dxa"/>
            <w:tcBorders>
              <w:top w:val="single" w:color="auto" w:sz="4" w:space="0"/>
              <w:left w:val="nil"/>
              <w:bottom w:val="single" w:color="auto" w:sz="4" w:space="0"/>
              <w:right w:val="single" w:color="auto" w:sz="4" w:space="0"/>
            </w:tcBorders>
            <w:vAlign w:val="center"/>
          </w:tcPr>
          <w:p w14:paraId="751A24ED">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16份或按发包人要求提供</w:t>
            </w:r>
          </w:p>
        </w:tc>
        <w:tc>
          <w:tcPr>
            <w:tcW w:w="1560" w:type="dxa"/>
            <w:tcBorders>
              <w:top w:val="single" w:color="auto" w:sz="4" w:space="0"/>
              <w:left w:val="nil"/>
              <w:bottom w:val="single" w:color="auto" w:sz="4" w:space="0"/>
              <w:right w:val="single" w:color="auto" w:sz="4" w:space="0"/>
            </w:tcBorders>
            <w:vAlign w:val="center"/>
          </w:tcPr>
          <w:p w14:paraId="0F5DFBC2">
            <w:pPr>
              <w:adjustRightInd w:val="0"/>
              <w:snapToGrid w:val="0"/>
              <w:spacing w:line="360" w:lineRule="auto"/>
              <w:ind w:right="11"/>
              <w:jc w:val="center"/>
              <w:rPr>
                <w:rFonts w:ascii="宋体" w:hAnsi="宋体" w:cs="宋体"/>
                <w:kern w:val="0"/>
                <w:szCs w:val="21"/>
              </w:rPr>
            </w:pPr>
            <w:r>
              <w:rPr>
                <w:rFonts w:hint="eastAsia" w:ascii="宋体" w:hAnsi="宋体" w:cs="宋体"/>
                <w:kern w:val="0"/>
                <w:szCs w:val="21"/>
              </w:rPr>
              <w:t>投资分析报告12份、电子文档2份</w:t>
            </w:r>
          </w:p>
        </w:tc>
      </w:tr>
      <w:tr w14:paraId="320A73C4">
        <w:tblPrEx>
          <w:tblCellMar>
            <w:top w:w="0" w:type="dxa"/>
            <w:left w:w="108" w:type="dxa"/>
            <w:bottom w:w="0" w:type="dxa"/>
            <w:right w:w="108" w:type="dxa"/>
          </w:tblCellMar>
        </w:tblPrEx>
        <w:trPr>
          <w:trHeight w:val="716" w:hRule="atLeast"/>
          <w:jc w:val="center"/>
        </w:trPr>
        <w:tc>
          <w:tcPr>
            <w:tcW w:w="735" w:type="dxa"/>
            <w:vMerge w:val="restart"/>
            <w:tcBorders>
              <w:top w:val="nil"/>
              <w:left w:val="single" w:color="auto" w:sz="4" w:space="0"/>
              <w:right w:val="single" w:color="auto" w:sz="4" w:space="0"/>
            </w:tcBorders>
            <w:vAlign w:val="center"/>
          </w:tcPr>
          <w:p w14:paraId="7CF049AC">
            <w:pPr>
              <w:widowControl/>
              <w:spacing w:line="420" w:lineRule="exact"/>
              <w:ind w:right="11"/>
              <w:jc w:val="center"/>
              <w:rPr>
                <w:rFonts w:ascii="宋体" w:hAnsi="宋体" w:cs="宋体"/>
                <w:kern w:val="0"/>
              </w:rPr>
            </w:pPr>
            <w:r>
              <w:rPr>
                <w:rFonts w:hint="eastAsia" w:ascii="宋体" w:hAnsi="宋体" w:cs="宋体"/>
                <w:snapToGrid w:val="0"/>
                <w:kern w:val="0"/>
                <w:sz w:val="18"/>
                <w:szCs w:val="18"/>
              </w:rPr>
              <w:t>5</w:t>
            </w:r>
          </w:p>
        </w:tc>
        <w:tc>
          <w:tcPr>
            <w:tcW w:w="1832" w:type="dxa"/>
            <w:vMerge w:val="restart"/>
            <w:tcBorders>
              <w:top w:val="single" w:color="auto" w:sz="4" w:space="0"/>
              <w:left w:val="single" w:color="auto" w:sz="4" w:space="0"/>
              <w:right w:val="single" w:color="auto" w:sz="4" w:space="0"/>
            </w:tcBorders>
            <w:vAlign w:val="center"/>
          </w:tcPr>
          <w:p w14:paraId="16A7F590">
            <w:pPr>
              <w:widowControl/>
              <w:spacing w:line="420" w:lineRule="exact"/>
              <w:ind w:right="11"/>
              <w:jc w:val="center"/>
              <w:rPr>
                <w:rFonts w:ascii="宋体" w:hAnsi="宋体" w:cs="宋体"/>
                <w:kern w:val="0"/>
              </w:rPr>
            </w:pPr>
            <w:r>
              <w:rPr>
                <w:rFonts w:hint="eastAsia" w:ascii="宋体" w:hAnsi="宋体" w:cs="宋体"/>
                <w:kern w:val="0"/>
              </w:rPr>
              <w:t>施工图（按施工图审查单位审查意见修改并审批通过的,包括成本测算、主要材料设备清单和技术要求等文件）</w:t>
            </w:r>
          </w:p>
        </w:tc>
        <w:tc>
          <w:tcPr>
            <w:tcW w:w="2068" w:type="dxa"/>
            <w:tcBorders>
              <w:top w:val="nil"/>
              <w:left w:val="nil"/>
              <w:bottom w:val="single" w:color="auto" w:sz="4" w:space="0"/>
              <w:right w:val="single" w:color="auto" w:sz="4" w:space="0"/>
            </w:tcBorders>
            <w:vAlign w:val="center"/>
          </w:tcPr>
          <w:p w14:paraId="6C2FCDC3">
            <w:pPr>
              <w:widowControl/>
              <w:spacing w:line="420" w:lineRule="exact"/>
              <w:ind w:right="11"/>
              <w:jc w:val="center"/>
              <w:rPr>
                <w:rFonts w:ascii="宋体" w:hAnsi="宋体" w:cs="宋体"/>
                <w:kern w:val="0"/>
              </w:rPr>
            </w:pPr>
            <w:r>
              <w:rPr>
                <w:rFonts w:hint="eastAsia" w:ascii="宋体" w:hAnsi="宋体" w:cs="宋体"/>
                <w:kern w:val="0"/>
              </w:rPr>
              <w:t>施工报建的成果文件</w:t>
            </w:r>
          </w:p>
        </w:tc>
        <w:tc>
          <w:tcPr>
            <w:tcW w:w="1605" w:type="dxa"/>
            <w:tcBorders>
              <w:top w:val="nil"/>
              <w:left w:val="nil"/>
              <w:bottom w:val="single" w:color="auto" w:sz="4" w:space="0"/>
              <w:right w:val="single" w:color="auto" w:sz="4" w:space="0"/>
            </w:tcBorders>
            <w:vAlign w:val="center"/>
          </w:tcPr>
          <w:p w14:paraId="15F264EE">
            <w:pPr>
              <w:widowControl/>
              <w:spacing w:line="420" w:lineRule="exact"/>
              <w:ind w:right="11"/>
              <w:jc w:val="center"/>
              <w:rPr>
                <w:rFonts w:ascii="宋体" w:hAnsi="宋体" w:cs="宋体"/>
              </w:rPr>
            </w:pPr>
            <w:r>
              <w:rPr>
                <w:rFonts w:hint="eastAsia" w:ascii="宋体" w:hAnsi="宋体" w:cs="宋体"/>
                <w:kern w:val="0"/>
              </w:rPr>
              <w:t>按</w:t>
            </w:r>
            <w:r>
              <w:rPr>
                <w:rFonts w:hint="eastAsia" w:ascii="宋体" w:hAnsi="宋体" w:cs="宋体"/>
                <w:sz w:val="24"/>
                <w:szCs w:val="24"/>
              </w:rPr>
              <w:t>进度</w:t>
            </w:r>
            <w:r>
              <w:rPr>
                <w:rFonts w:hint="eastAsia" w:ascii="宋体" w:hAnsi="宋体" w:cs="宋体"/>
                <w:kern w:val="0"/>
              </w:rPr>
              <w:t>计划或发包人要求</w:t>
            </w:r>
          </w:p>
        </w:tc>
        <w:tc>
          <w:tcPr>
            <w:tcW w:w="1755" w:type="dxa"/>
            <w:tcBorders>
              <w:top w:val="nil"/>
              <w:left w:val="nil"/>
              <w:bottom w:val="single" w:color="auto" w:sz="4" w:space="0"/>
              <w:right w:val="single" w:color="auto" w:sz="4" w:space="0"/>
            </w:tcBorders>
            <w:vAlign w:val="center"/>
          </w:tcPr>
          <w:p w14:paraId="731BEF63">
            <w:pPr>
              <w:widowControl/>
              <w:spacing w:line="420" w:lineRule="exact"/>
              <w:ind w:right="11"/>
              <w:jc w:val="center"/>
              <w:rPr>
                <w:rFonts w:ascii="宋体" w:hAnsi="宋体" w:cs="宋体"/>
              </w:rPr>
            </w:pPr>
            <w:r>
              <w:rPr>
                <w:rFonts w:hint="eastAsia" w:ascii="宋体" w:hAnsi="宋体" w:cs="宋体"/>
              </w:rPr>
              <w:t>按报建要求或按发包人要求提供</w:t>
            </w:r>
          </w:p>
        </w:tc>
        <w:tc>
          <w:tcPr>
            <w:tcW w:w="1560" w:type="dxa"/>
            <w:tcBorders>
              <w:top w:val="nil"/>
              <w:left w:val="single" w:color="auto" w:sz="4" w:space="0"/>
              <w:bottom w:val="single" w:color="auto" w:sz="4" w:space="0"/>
              <w:right w:val="single" w:color="auto" w:sz="4" w:space="0"/>
            </w:tcBorders>
            <w:vAlign w:val="center"/>
          </w:tcPr>
          <w:p w14:paraId="2A2A7FE6">
            <w:pPr>
              <w:widowControl/>
              <w:spacing w:line="420" w:lineRule="exact"/>
              <w:ind w:right="11"/>
              <w:jc w:val="center"/>
              <w:rPr>
                <w:rFonts w:ascii="宋体" w:hAnsi="宋体" w:cs="宋体"/>
              </w:rPr>
            </w:pPr>
            <w:r>
              <w:rPr>
                <w:rFonts w:hint="eastAsia" w:ascii="宋体" w:hAnsi="宋体" w:cs="宋体"/>
              </w:rPr>
              <w:t>电子文档1份</w:t>
            </w:r>
          </w:p>
        </w:tc>
      </w:tr>
      <w:tr w14:paraId="277B19FB">
        <w:tblPrEx>
          <w:tblCellMar>
            <w:top w:w="0" w:type="dxa"/>
            <w:left w:w="108" w:type="dxa"/>
            <w:bottom w:w="0" w:type="dxa"/>
            <w:right w:w="108" w:type="dxa"/>
          </w:tblCellMar>
        </w:tblPrEx>
        <w:trPr>
          <w:trHeight w:val="690" w:hRule="atLeast"/>
          <w:jc w:val="center"/>
        </w:trPr>
        <w:tc>
          <w:tcPr>
            <w:tcW w:w="735" w:type="dxa"/>
            <w:vMerge w:val="continue"/>
            <w:tcBorders>
              <w:left w:val="single" w:color="auto" w:sz="4" w:space="0"/>
              <w:right w:val="single" w:color="auto" w:sz="4" w:space="0"/>
            </w:tcBorders>
            <w:vAlign w:val="center"/>
          </w:tcPr>
          <w:p w14:paraId="26C0CEC9">
            <w:pPr>
              <w:widowControl/>
              <w:spacing w:line="420" w:lineRule="exact"/>
              <w:ind w:right="11" w:firstLine="420" w:firstLineChars="200"/>
              <w:jc w:val="center"/>
              <w:rPr>
                <w:rFonts w:ascii="宋体" w:hAnsi="宋体" w:cs="宋体"/>
                <w:kern w:val="0"/>
              </w:rPr>
            </w:pPr>
          </w:p>
        </w:tc>
        <w:tc>
          <w:tcPr>
            <w:tcW w:w="1832" w:type="dxa"/>
            <w:vMerge w:val="continue"/>
            <w:tcBorders>
              <w:left w:val="single" w:color="auto" w:sz="4" w:space="0"/>
              <w:right w:val="single" w:color="auto" w:sz="4" w:space="0"/>
            </w:tcBorders>
            <w:vAlign w:val="center"/>
          </w:tcPr>
          <w:p w14:paraId="3803B72C">
            <w:pPr>
              <w:widowControl/>
              <w:spacing w:line="420" w:lineRule="exact"/>
              <w:ind w:right="11" w:firstLine="420" w:firstLineChars="200"/>
              <w:jc w:val="center"/>
              <w:rPr>
                <w:rFonts w:ascii="宋体" w:hAnsi="宋体" w:cs="宋体"/>
                <w:kern w:val="0"/>
              </w:rPr>
            </w:pPr>
          </w:p>
        </w:tc>
        <w:tc>
          <w:tcPr>
            <w:tcW w:w="2068" w:type="dxa"/>
            <w:tcBorders>
              <w:top w:val="single" w:color="auto" w:sz="4" w:space="0"/>
              <w:left w:val="nil"/>
              <w:bottom w:val="single" w:color="auto" w:sz="4" w:space="0"/>
              <w:right w:val="single" w:color="auto" w:sz="4" w:space="0"/>
            </w:tcBorders>
            <w:vAlign w:val="center"/>
          </w:tcPr>
          <w:p w14:paraId="7636D037">
            <w:pPr>
              <w:widowControl/>
              <w:spacing w:line="420" w:lineRule="exact"/>
              <w:ind w:right="11"/>
              <w:jc w:val="center"/>
              <w:rPr>
                <w:rFonts w:ascii="宋体" w:hAnsi="宋体" w:cs="宋体"/>
                <w:kern w:val="0"/>
              </w:rPr>
            </w:pPr>
            <w:r>
              <w:rPr>
                <w:rFonts w:hint="eastAsia" w:ascii="宋体" w:hAnsi="宋体" w:cs="宋体"/>
                <w:kern w:val="0"/>
              </w:rPr>
              <w:t>施工图及成本测算</w:t>
            </w:r>
          </w:p>
        </w:tc>
        <w:tc>
          <w:tcPr>
            <w:tcW w:w="1605" w:type="dxa"/>
            <w:tcBorders>
              <w:top w:val="single" w:color="auto" w:sz="4" w:space="0"/>
              <w:left w:val="single" w:color="auto" w:sz="4" w:space="0"/>
              <w:bottom w:val="single" w:color="auto" w:sz="4" w:space="0"/>
              <w:right w:val="single" w:color="auto" w:sz="4" w:space="0"/>
            </w:tcBorders>
            <w:vAlign w:val="center"/>
          </w:tcPr>
          <w:p w14:paraId="4A16666B">
            <w:pPr>
              <w:widowControl/>
              <w:spacing w:line="420" w:lineRule="exact"/>
              <w:ind w:right="11"/>
              <w:jc w:val="center"/>
              <w:rPr>
                <w:rFonts w:ascii="宋体" w:hAnsi="宋体" w:cs="宋体"/>
                <w:kern w:val="0"/>
              </w:rPr>
            </w:pPr>
            <w:r>
              <w:rPr>
                <w:rFonts w:hint="eastAsia" w:ascii="宋体" w:hAnsi="宋体" w:cs="宋体"/>
                <w:kern w:val="0"/>
              </w:rPr>
              <w:t>按</w:t>
            </w:r>
            <w:r>
              <w:rPr>
                <w:rFonts w:hint="eastAsia" w:ascii="宋体" w:hAnsi="宋体" w:cs="宋体"/>
                <w:sz w:val="24"/>
                <w:szCs w:val="24"/>
              </w:rPr>
              <w:t>进度</w:t>
            </w:r>
            <w:r>
              <w:rPr>
                <w:rFonts w:hint="eastAsia" w:ascii="宋体" w:hAnsi="宋体" w:cs="宋体"/>
                <w:kern w:val="0"/>
              </w:rPr>
              <w:t>计划或发包人要求</w:t>
            </w:r>
          </w:p>
        </w:tc>
        <w:tc>
          <w:tcPr>
            <w:tcW w:w="1755" w:type="dxa"/>
            <w:tcBorders>
              <w:top w:val="single" w:color="auto" w:sz="4" w:space="0"/>
              <w:left w:val="single" w:color="auto" w:sz="4" w:space="0"/>
              <w:bottom w:val="single" w:color="auto" w:sz="4" w:space="0"/>
              <w:right w:val="single" w:color="auto" w:sz="4" w:space="0"/>
            </w:tcBorders>
            <w:vAlign w:val="center"/>
          </w:tcPr>
          <w:p w14:paraId="72E9E94D">
            <w:pPr>
              <w:widowControl/>
              <w:spacing w:line="420" w:lineRule="exact"/>
              <w:ind w:right="11"/>
              <w:jc w:val="center"/>
              <w:rPr>
                <w:rFonts w:ascii="宋体" w:hAnsi="宋体" w:cs="宋体"/>
                <w:kern w:val="0"/>
              </w:rPr>
            </w:pPr>
            <w:r>
              <w:rPr>
                <w:rFonts w:hint="eastAsia" w:ascii="宋体" w:hAnsi="宋体" w:cs="宋体"/>
                <w:kern w:val="0"/>
              </w:rPr>
              <w:t>20份或按发包人要求提供</w:t>
            </w:r>
          </w:p>
        </w:tc>
        <w:tc>
          <w:tcPr>
            <w:tcW w:w="1560" w:type="dxa"/>
            <w:tcBorders>
              <w:top w:val="single" w:color="auto" w:sz="4" w:space="0"/>
              <w:left w:val="single" w:color="auto" w:sz="4" w:space="0"/>
              <w:bottom w:val="single" w:color="auto" w:sz="4" w:space="0"/>
              <w:right w:val="single" w:color="auto" w:sz="4" w:space="0"/>
            </w:tcBorders>
            <w:vAlign w:val="center"/>
          </w:tcPr>
          <w:p w14:paraId="7DCAE6EA">
            <w:pPr>
              <w:widowControl/>
              <w:spacing w:line="420" w:lineRule="exact"/>
              <w:ind w:right="11"/>
              <w:jc w:val="center"/>
              <w:rPr>
                <w:rFonts w:ascii="宋体" w:hAnsi="宋体" w:cs="宋体"/>
                <w:kern w:val="0"/>
              </w:rPr>
            </w:pPr>
            <w:r>
              <w:rPr>
                <w:rFonts w:hint="eastAsia" w:ascii="宋体" w:hAnsi="宋体" w:cs="宋体"/>
              </w:rPr>
              <w:t>电子文档1份</w:t>
            </w:r>
          </w:p>
        </w:tc>
      </w:tr>
      <w:tr w14:paraId="62D5FB39">
        <w:tblPrEx>
          <w:tblCellMar>
            <w:top w:w="0" w:type="dxa"/>
            <w:left w:w="108" w:type="dxa"/>
            <w:bottom w:w="0" w:type="dxa"/>
            <w:right w:w="108" w:type="dxa"/>
          </w:tblCellMar>
        </w:tblPrEx>
        <w:trPr>
          <w:trHeight w:val="764" w:hRule="atLeast"/>
          <w:jc w:val="center"/>
        </w:trPr>
        <w:tc>
          <w:tcPr>
            <w:tcW w:w="735" w:type="dxa"/>
            <w:vMerge w:val="continue"/>
            <w:tcBorders>
              <w:left w:val="single" w:color="auto" w:sz="4" w:space="0"/>
              <w:bottom w:val="single" w:color="auto" w:sz="4" w:space="0"/>
              <w:right w:val="single" w:color="auto" w:sz="4" w:space="0"/>
            </w:tcBorders>
            <w:vAlign w:val="center"/>
          </w:tcPr>
          <w:p w14:paraId="32E01DD3">
            <w:pPr>
              <w:widowControl/>
              <w:spacing w:line="420" w:lineRule="exact"/>
              <w:ind w:right="11" w:firstLine="420" w:firstLineChars="200"/>
              <w:jc w:val="center"/>
              <w:rPr>
                <w:rFonts w:ascii="宋体" w:hAnsi="宋体" w:cs="宋体"/>
                <w:kern w:val="0"/>
              </w:rPr>
            </w:pPr>
          </w:p>
        </w:tc>
        <w:tc>
          <w:tcPr>
            <w:tcW w:w="1832" w:type="dxa"/>
            <w:vMerge w:val="continue"/>
            <w:tcBorders>
              <w:left w:val="single" w:color="auto" w:sz="4" w:space="0"/>
              <w:bottom w:val="single" w:color="auto" w:sz="4" w:space="0"/>
              <w:right w:val="single" w:color="auto" w:sz="4" w:space="0"/>
            </w:tcBorders>
            <w:vAlign w:val="center"/>
          </w:tcPr>
          <w:p w14:paraId="424BB185">
            <w:pPr>
              <w:widowControl/>
              <w:spacing w:line="420" w:lineRule="exact"/>
              <w:ind w:right="11" w:firstLine="420" w:firstLineChars="200"/>
              <w:jc w:val="center"/>
              <w:rPr>
                <w:rFonts w:ascii="宋体" w:hAnsi="宋体" w:cs="宋体"/>
                <w:kern w:val="0"/>
              </w:rPr>
            </w:pPr>
          </w:p>
        </w:tc>
        <w:tc>
          <w:tcPr>
            <w:tcW w:w="2068" w:type="dxa"/>
            <w:tcBorders>
              <w:top w:val="single" w:color="auto" w:sz="4" w:space="0"/>
              <w:left w:val="nil"/>
              <w:bottom w:val="single" w:color="auto" w:sz="4" w:space="0"/>
              <w:right w:val="single" w:color="auto" w:sz="4" w:space="0"/>
            </w:tcBorders>
            <w:vAlign w:val="center"/>
          </w:tcPr>
          <w:p w14:paraId="1A61426B">
            <w:pPr>
              <w:widowControl/>
              <w:spacing w:line="420" w:lineRule="exact"/>
              <w:ind w:right="11"/>
              <w:jc w:val="center"/>
              <w:rPr>
                <w:rFonts w:ascii="宋体" w:hAnsi="宋体" w:cs="宋体"/>
                <w:kern w:val="0"/>
              </w:rPr>
            </w:pPr>
            <w:r>
              <w:rPr>
                <w:rFonts w:hint="eastAsia" w:ascii="宋体" w:hAnsi="宋体" w:cs="宋体"/>
                <w:kern w:val="0"/>
              </w:rPr>
              <w:t>工程完工的完整版施工图</w:t>
            </w:r>
          </w:p>
        </w:tc>
        <w:tc>
          <w:tcPr>
            <w:tcW w:w="1605" w:type="dxa"/>
            <w:tcBorders>
              <w:top w:val="single" w:color="auto" w:sz="4" w:space="0"/>
              <w:left w:val="single" w:color="auto" w:sz="4" w:space="0"/>
              <w:bottom w:val="single" w:color="auto" w:sz="4" w:space="0"/>
              <w:right w:val="single" w:color="auto" w:sz="4" w:space="0"/>
            </w:tcBorders>
            <w:vAlign w:val="center"/>
          </w:tcPr>
          <w:p w14:paraId="6F80CB78">
            <w:pPr>
              <w:widowControl/>
              <w:spacing w:line="420" w:lineRule="exact"/>
              <w:ind w:right="11"/>
              <w:jc w:val="center"/>
              <w:rPr>
                <w:rFonts w:ascii="宋体" w:hAnsi="宋体" w:cs="宋体"/>
                <w:kern w:val="0"/>
              </w:rPr>
            </w:pPr>
            <w:r>
              <w:rPr>
                <w:rFonts w:hint="eastAsia" w:ascii="宋体" w:hAnsi="宋体" w:cs="宋体"/>
                <w:kern w:val="0"/>
              </w:rPr>
              <w:t>竣工验收前</w:t>
            </w:r>
          </w:p>
        </w:tc>
        <w:tc>
          <w:tcPr>
            <w:tcW w:w="1755" w:type="dxa"/>
            <w:tcBorders>
              <w:top w:val="single" w:color="auto" w:sz="4" w:space="0"/>
              <w:left w:val="single" w:color="auto" w:sz="4" w:space="0"/>
              <w:bottom w:val="single" w:color="auto" w:sz="4" w:space="0"/>
              <w:right w:val="single" w:color="auto" w:sz="4" w:space="0"/>
            </w:tcBorders>
            <w:vAlign w:val="center"/>
          </w:tcPr>
          <w:p w14:paraId="1E75658B">
            <w:pPr>
              <w:widowControl/>
              <w:spacing w:line="420" w:lineRule="exact"/>
              <w:ind w:right="11"/>
              <w:jc w:val="center"/>
              <w:rPr>
                <w:rFonts w:ascii="宋体" w:hAnsi="宋体" w:cs="宋体"/>
                <w:kern w:val="0"/>
              </w:rPr>
            </w:pPr>
            <w:r>
              <w:rPr>
                <w:rFonts w:hint="eastAsia" w:ascii="宋体" w:hAnsi="宋体" w:cs="宋体"/>
                <w:kern w:val="0"/>
              </w:rPr>
              <w:t>20份或按发包人要求提供</w:t>
            </w:r>
          </w:p>
        </w:tc>
        <w:tc>
          <w:tcPr>
            <w:tcW w:w="1560" w:type="dxa"/>
            <w:tcBorders>
              <w:top w:val="single" w:color="auto" w:sz="4" w:space="0"/>
              <w:left w:val="single" w:color="auto" w:sz="4" w:space="0"/>
              <w:bottom w:val="single" w:color="auto" w:sz="4" w:space="0"/>
              <w:right w:val="single" w:color="auto" w:sz="4" w:space="0"/>
            </w:tcBorders>
            <w:vAlign w:val="center"/>
          </w:tcPr>
          <w:p w14:paraId="62B5C8B4">
            <w:pPr>
              <w:widowControl/>
              <w:spacing w:line="420" w:lineRule="exact"/>
              <w:ind w:right="11"/>
              <w:jc w:val="center"/>
              <w:rPr>
                <w:rFonts w:ascii="宋体" w:hAnsi="宋体" w:cs="宋体"/>
                <w:kern w:val="0"/>
              </w:rPr>
            </w:pPr>
            <w:r>
              <w:rPr>
                <w:rFonts w:hint="eastAsia" w:ascii="宋体" w:hAnsi="宋体" w:cs="宋体"/>
              </w:rPr>
              <w:t>电子文档1份</w:t>
            </w:r>
          </w:p>
        </w:tc>
      </w:tr>
      <w:tr w14:paraId="29783FF5">
        <w:tblPrEx>
          <w:tblCellMar>
            <w:top w:w="0" w:type="dxa"/>
            <w:left w:w="108" w:type="dxa"/>
            <w:bottom w:w="0" w:type="dxa"/>
            <w:right w:w="108" w:type="dxa"/>
          </w:tblCellMar>
        </w:tblPrEx>
        <w:trPr>
          <w:trHeight w:val="630" w:hRule="atLeast"/>
          <w:jc w:val="center"/>
        </w:trPr>
        <w:tc>
          <w:tcPr>
            <w:tcW w:w="735" w:type="dxa"/>
            <w:tcBorders>
              <w:top w:val="nil"/>
              <w:left w:val="single" w:color="auto" w:sz="4" w:space="0"/>
              <w:bottom w:val="single" w:color="auto" w:sz="4" w:space="0"/>
              <w:right w:val="single" w:color="auto" w:sz="4" w:space="0"/>
            </w:tcBorders>
            <w:vAlign w:val="center"/>
          </w:tcPr>
          <w:p w14:paraId="757E44E7">
            <w:pPr>
              <w:widowControl/>
              <w:spacing w:line="420" w:lineRule="exact"/>
              <w:ind w:right="11"/>
              <w:jc w:val="center"/>
              <w:rPr>
                <w:rFonts w:ascii="宋体" w:hAnsi="宋体" w:cs="宋体"/>
                <w:kern w:val="0"/>
              </w:rPr>
            </w:pPr>
            <w:r>
              <w:rPr>
                <w:rFonts w:hint="eastAsia" w:ascii="宋体" w:hAnsi="宋体" w:cs="宋体"/>
                <w:kern w:val="0"/>
              </w:rPr>
              <w:t>6</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66CB2076">
            <w:pPr>
              <w:widowControl/>
              <w:spacing w:line="420" w:lineRule="exact"/>
              <w:ind w:right="11"/>
              <w:jc w:val="center"/>
              <w:rPr>
                <w:rFonts w:ascii="宋体" w:hAnsi="宋体" w:cs="宋体"/>
                <w:kern w:val="0"/>
              </w:rPr>
            </w:pPr>
            <w:r>
              <w:rPr>
                <w:rFonts w:hint="eastAsia" w:ascii="宋体" w:hAnsi="宋体" w:cs="宋体"/>
                <w:kern w:val="0"/>
              </w:rPr>
              <w:t>总图设计成果文件（包括区域内各相关专业、管线综合、园林景观等内容）</w:t>
            </w:r>
          </w:p>
        </w:tc>
        <w:tc>
          <w:tcPr>
            <w:tcW w:w="1605" w:type="dxa"/>
            <w:tcBorders>
              <w:top w:val="single" w:color="auto" w:sz="4" w:space="0"/>
              <w:left w:val="single" w:color="auto" w:sz="4" w:space="0"/>
              <w:bottom w:val="single" w:color="auto" w:sz="4" w:space="0"/>
              <w:right w:val="single" w:color="auto" w:sz="4" w:space="0"/>
            </w:tcBorders>
            <w:vAlign w:val="center"/>
          </w:tcPr>
          <w:p w14:paraId="11B14BA1">
            <w:pPr>
              <w:widowControl/>
              <w:spacing w:line="420" w:lineRule="exact"/>
              <w:ind w:right="11"/>
              <w:jc w:val="center"/>
              <w:rPr>
                <w:rFonts w:ascii="宋体" w:hAnsi="宋体" w:cs="宋体"/>
                <w:kern w:val="0"/>
              </w:rPr>
            </w:pPr>
            <w:r>
              <w:rPr>
                <w:rFonts w:hint="eastAsia" w:ascii="宋体" w:hAnsi="宋体" w:cs="宋体"/>
                <w:kern w:val="0"/>
              </w:rPr>
              <w:t>根据实际情况，按工作计划</w:t>
            </w:r>
          </w:p>
        </w:tc>
        <w:tc>
          <w:tcPr>
            <w:tcW w:w="1755" w:type="dxa"/>
            <w:tcBorders>
              <w:top w:val="single" w:color="auto" w:sz="4" w:space="0"/>
              <w:left w:val="single" w:color="auto" w:sz="4" w:space="0"/>
              <w:bottom w:val="single" w:color="auto" w:sz="4" w:space="0"/>
              <w:right w:val="single" w:color="auto" w:sz="4" w:space="0"/>
            </w:tcBorders>
            <w:vAlign w:val="center"/>
          </w:tcPr>
          <w:p w14:paraId="0925ED8E">
            <w:pPr>
              <w:widowControl/>
              <w:spacing w:line="420" w:lineRule="exact"/>
              <w:ind w:right="11"/>
              <w:jc w:val="center"/>
              <w:rPr>
                <w:rFonts w:ascii="宋体" w:hAnsi="宋体" w:cs="宋体"/>
                <w:kern w:val="0"/>
              </w:rPr>
            </w:pPr>
            <w:r>
              <w:rPr>
                <w:rFonts w:hint="eastAsia" w:ascii="宋体" w:hAnsi="宋体" w:cs="宋体"/>
                <w:kern w:val="0"/>
              </w:rPr>
              <w:t>按发包人要求提供</w:t>
            </w:r>
          </w:p>
        </w:tc>
        <w:tc>
          <w:tcPr>
            <w:tcW w:w="1560" w:type="dxa"/>
            <w:tcBorders>
              <w:top w:val="single" w:color="auto" w:sz="4" w:space="0"/>
              <w:left w:val="single" w:color="auto" w:sz="4" w:space="0"/>
              <w:bottom w:val="single" w:color="auto" w:sz="4" w:space="0"/>
              <w:right w:val="single" w:color="auto" w:sz="4" w:space="0"/>
            </w:tcBorders>
            <w:vAlign w:val="center"/>
          </w:tcPr>
          <w:p w14:paraId="50016F79">
            <w:pPr>
              <w:widowControl/>
              <w:spacing w:line="420" w:lineRule="exact"/>
              <w:ind w:right="11"/>
              <w:jc w:val="center"/>
              <w:rPr>
                <w:rFonts w:ascii="宋体" w:hAnsi="宋体" w:cs="宋体"/>
                <w:kern w:val="0"/>
              </w:rPr>
            </w:pPr>
            <w:r>
              <w:rPr>
                <w:rFonts w:hint="eastAsia" w:ascii="宋体" w:hAnsi="宋体" w:cs="宋体"/>
              </w:rPr>
              <w:t>电子文档1份</w:t>
            </w:r>
          </w:p>
        </w:tc>
      </w:tr>
    </w:tbl>
    <w:p w14:paraId="53F85716">
      <w:pPr>
        <w:rPr>
          <w:rFonts w:ascii="宋体" w:hAnsi="宋体" w:cs="宋体"/>
          <w:vanish/>
          <w:sz w:val="24"/>
          <w:szCs w:val="24"/>
        </w:rPr>
      </w:pPr>
    </w:p>
    <w:p w14:paraId="52A3A7BF">
      <w:pPr>
        <w:tabs>
          <w:tab w:val="left" w:pos="1134"/>
        </w:tabs>
        <w:spacing w:line="360" w:lineRule="auto"/>
        <w:ind w:firstLine="480" w:firstLineChars="200"/>
        <w:rPr>
          <w:rFonts w:ascii="宋体" w:hAnsi="宋体" w:cs="宋体"/>
          <w:sz w:val="24"/>
          <w:szCs w:val="24"/>
        </w:rPr>
      </w:pPr>
      <w:r>
        <w:rPr>
          <w:rFonts w:hint="eastAsia" w:ascii="宋体" w:hAnsi="宋体" w:cs="宋体"/>
          <w:sz w:val="24"/>
          <w:szCs w:val="24"/>
        </w:rPr>
        <w:t>设计文件的文本要求：设计单位根据本合同向发包人提交的电子版本的设计文件应适用如下标准：</w:t>
      </w:r>
    </w:p>
    <w:p w14:paraId="065A7BF4">
      <w:pPr>
        <w:spacing w:line="360" w:lineRule="auto"/>
        <w:ind w:firstLine="480" w:firstLineChars="200"/>
        <w:rPr>
          <w:rFonts w:ascii="宋体" w:hAnsi="宋体" w:cs="宋体"/>
          <w:sz w:val="24"/>
          <w:szCs w:val="24"/>
        </w:rPr>
      </w:pPr>
      <w:r>
        <w:rPr>
          <w:rFonts w:hint="eastAsia" w:ascii="宋体" w:hAnsi="宋体" w:cs="宋体"/>
          <w:sz w:val="24"/>
          <w:szCs w:val="24"/>
        </w:rPr>
        <w:t>（1）文字处理应当使用Microsoft Word及Excel软件，文件格式使用doc或xls格式，应用字体为宋体；</w:t>
      </w:r>
    </w:p>
    <w:p w14:paraId="61C06B3B">
      <w:pPr>
        <w:spacing w:line="360" w:lineRule="auto"/>
        <w:ind w:firstLine="480" w:firstLineChars="200"/>
        <w:rPr>
          <w:rFonts w:ascii="宋体" w:hAnsi="宋体" w:cs="宋体"/>
          <w:sz w:val="24"/>
          <w:szCs w:val="24"/>
        </w:rPr>
      </w:pPr>
      <w:r>
        <w:rPr>
          <w:rFonts w:hint="eastAsia" w:ascii="宋体" w:hAnsi="宋体" w:cs="宋体"/>
          <w:sz w:val="24"/>
          <w:szCs w:val="24"/>
        </w:rPr>
        <w:t>（2）图纸绘制应当使用AutoCAD，文件格式使用dwg格式及PDF,应用字体为宋体；</w:t>
      </w:r>
    </w:p>
    <w:p w14:paraId="76399A69">
      <w:pPr>
        <w:spacing w:line="360" w:lineRule="auto"/>
        <w:ind w:firstLine="480" w:firstLineChars="200"/>
        <w:rPr>
          <w:rFonts w:ascii="宋体" w:hAnsi="宋体" w:cs="宋体"/>
          <w:sz w:val="24"/>
          <w:szCs w:val="24"/>
        </w:rPr>
      </w:pPr>
      <w:r>
        <w:rPr>
          <w:rFonts w:hint="eastAsia" w:ascii="宋体" w:hAnsi="宋体" w:cs="宋体"/>
          <w:sz w:val="24"/>
          <w:szCs w:val="24"/>
        </w:rPr>
        <w:t>（3）彩色透视图、效果图或鸟瞰图应当同时提供高解析度的电子文档；</w:t>
      </w:r>
    </w:p>
    <w:p w14:paraId="7927551A">
      <w:pPr>
        <w:spacing w:line="360" w:lineRule="auto"/>
        <w:ind w:firstLine="480" w:firstLineChars="200"/>
        <w:rPr>
          <w:rFonts w:ascii="宋体" w:hAnsi="宋体" w:cs="宋体"/>
          <w:sz w:val="24"/>
          <w:szCs w:val="24"/>
        </w:rPr>
      </w:pPr>
      <w:r>
        <w:rPr>
          <w:rFonts w:hint="eastAsia" w:ascii="宋体" w:hAnsi="宋体" w:cs="宋体"/>
          <w:sz w:val="24"/>
          <w:szCs w:val="24"/>
        </w:rPr>
        <w:t>（4）提供CAD图纸的同时应提供所有图纸中所使用的字体文件。如有外部引用，必须包含所有外部引用的全部文件及字体，文件名必须与图名相对应，每个文件对应一张图并注明版本号；</w:t>
      </w:r>
    </w:p>
    <w:p w14:paraId="48458AFF">
      <w:pPr>
        <w:pStyle w:val="46"/>
        <w:spacing w:after="0"/>
        <w:ind w:left="0" w:leftChars="0" w:firstLine="480"/>
        <w:rPr>
          <w:rFonts w:ascii="宋体" w:hAnsi="宋体" w:cs="宋体"/>
        </w:rPr>
      </w:pPr>
      <w:r>
        <w:rPr>
          <w:rFonts w:hint="eastAsia" w:ascii="宋体" w:hAnsi="宋体" w:cs="宋体"/>
        </w:rPr>
        <w:t>（5）与本设计项目有关的电子图纸、图片及文字资料所有权和知识产权归发包人，但设计单位保留署名权，设计单位不得对所提交电子文件设置加密锁、只读格式、附带专项软件启动条件，以及发包人认为不合理的限制格式；</w:t>
      </w:r>
    </w:p>
    <w:p w14:paraId="002F93F6">
      <w:pPr>
        <w:pStyle w:val="46"/>
        <w:spacing w:after="0"/>
        <w:ind w:left="0" w:leftChars="0" w:firstLine="480"/>
        <w:rPr>
          <w:rFonts w:ascii="宋体" w:hAnsi="宋体" w:cs="宋体"/>
        </w:rPr>
      </w:pPr>
      <w:r>
        <w:rPr>
          <w:rFonts w:hint="eastAsia" w:ascii="宋体" w:hAnsi="宋体" w:cs="宋体"/>
        </w:rPr>
        <w:t>（6）BIM成果文件及格式要求：BIM的设计深度应满足广州市相关规定，全程配合申报施工图审查时所需的BIM模型进行BIM审查。</w:t>
      </w:r>
      <w:r>
        <w:rPr>
          <w:rFonts w:hint="eastAsia" w:ascii="宋体" w:hAnsi="宋体" w:cs="宋体"/>
          <w:bCs/>
          <w:snapToGrid w:val="0"/>
          <w:kern w:val="0"/>
          <w:sz w:val="24"/>
          <w:lang w:eastAsia="zh-CN"/>
        </w:rPr>
        <w:t>（</w:t>
      </w:r>
      <w:r>
        <w:rPr>
          <w:rFonts w:hint="eastAsia" w:ascii="宋体" w:hAnsi="宋体" w:cs="宋体"/>
          <w:bCs/>
          <w:snapToGrid w:val="0"/>
          <w:kern w:val="0"/>
          <w:sz w:val="24"/>
          <w:lang w:val="en-US" w:eastAsia="zh-CN"/>
        </w:rPr>
        <w:t>不适用</w:t>
      </w:r>
      <w:r>
        <w:rPr>
          <w:rFonts w:hint="eastAsia" w:ascii="宋体" w:hAnsi="宋体" w:cs="宋体"/>
          <w:bCs/>
          <w:snapToGrid w:val="0"/>
          <w:kern w:val="0"/>
          <w:sz w:val="24"/>
          <w:lang w:eastAsia="zh-CN"/>
        </w:rPr>
        <w:t>）</w:t>
      </w:r>
    </w:p>
    <w:p w14:paraId="0EFFD856">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（7）项目报建报审需要的报建文件和审查文件，按照相关主管部门要求文件及份数提交；</w:t>
      </w:r>
    </w:p>
    <w:p w14:paraId="14D536DC">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（8）设计单位按合同约定的时限将设计成果文件或资料交付至发包人指定的地点，相关费用（包括运输、邮寄、电传、关税等费用）已经含于本合同价款之中；</w:t>
      </w:r>
    </w:p>
    <w:p w14:paraId="54030C20">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（9）在报建、报审过程中需要提供设计成果文件或设计中间资料的电子文档的，设计单位应无偿提供</w:t>
      </w:r>
      <w:r>
        <w:rPr>
          <w:rFonts w:hint="eastAsia" w:ascii="宋体" w:hAnsi="宋体"/>
          <w:kern w:val="0"/>
          <w:sz w:val="24"/>
        </w:rPr>
        <w:t>，包括过程中规划汇报和证件办理、门牌、排水证等图纸打印和扫描</w:t>
      </w:r>
      <w:r>
        <w:rPr>
          <w:rFonts w:hint="eastAsia" w:ascii="宋体" w:hAnsi="宋体" w:cs="宋体"/>
          <w:bCs/>
          <w:snapToGrid w:val="0"/>
          <w:kern w:val="0"/>
          <w:sz w:val="24"/>
        </w:rPr>
        <w:t>。</w:t>
      </w:r>
    </w:p>
    <w:p w14:paraId="169C4C26">
      <w:pPr>
        <w:spacing w:line="360" w:lineRule="auto"/>
        <w:ind w:firstLine="482" w:firstLineChars="200"/>
        <w:outlineLvl w:val="1"/>
        <w:rPr>
          <w:rFonts w:ascii="宋体" w:hAnsi="宋体" w:cs="宋体"/>
          <w:b/>
          <w:bCs/>
          <w:snapToGrid w:val="0"/>
          <w:kern w:val="0"/>
          <w:sz w:val="24"/>
        </w:rPr>
      </w:pPr>
      <w:bookmarkStart w:id="270" w:name="_Toc8358"/>
      <w:bookmarkStart w:id="271" w:name="_Toc518402583"/>
      <w:bookmarkStart w:id="272" w:name="_Toc29393"/>
      <w:bookmarkStart w:id="273" w:name="_Toc11033"/>
      <w:bookmarkStart w:id="274" w:name="_Toc144745954"/>
      <w:bookmarkStart w:id="275" w:name="_Toc144746872"/>
      <w:r>
        <w:rPr>
          <w:rFonts w:hint="eastAsia" w:ascii="宋体" w:hAnsi="宋体" w:cs="宋体"/>
          <w:b/>
          <w:bCs/>
          <w:snapToGrid w:val="0"/>
          <w:kern w:val="0"/>
          <w:sz w:val="24"/>
        </w:rPr>
        <w:t>11、设计进度计划</w:t>
      </w:r>
      <w:bookmarkEnd w:id="270"/>
      <w:bookmarkEnd w:id="271"/>
      <w:bookmarkEnd w:id="272"/>
      <w:bookmarkEnd w:id="273"/>
      <w:bookmarkEnd w:id="274"/>
      <w:bookmarkEnd w:id="275"/>
    </w:p>
    <w:p w14:paraId="5F9B0A4A">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11.1承包人须在中标后5天内，编制设计</w:t>
      </w:r>
      <w:r>
        <w:rPr>
          <w:rFonts w:hint="eastAsia" w:ascii="宋体" w:hAnsi="宋体" w:cs="宋体"/>
          <w:bCs/>
          <w:snapToGrid w:val="0"/>
          <w:color w:val="C00000"/>
          <w:kern w:val="0"/>
          <w:sz w:val="24"/>
        </w:rPr>
        <w:t>、海绵城市设计进度计划、</w:t>
      </w:r>
      <w:r>
        <w:rPr>
          <w:rFonts w:hint="eastAsia" w:ascii="宋体" w:hAnsi="宋体" w:cs="宋体"/>
          <w:bCs/>
          <w:snapToGrid w:val="0"/>
          <w:kern w:val="0"/>
          <w:sz w:val="24"/>
        </w:rPr>
        <w:t>进度计划，报发包人审批后实施。设计进度计划经发包人批准后执行，但发包人的认可并不能减轻或免除承包人的合同责任。</w:t>
      </w:r>
    </w:p>
    <w:p w14:paraId="6587FBC3">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11.2设计进度计划的编制，应充分考虑项目的整体进度，合理安排设计工作。</w:t>
      </w:r>
    </w:p>
    <w:p w14:paraId="21997D74">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11.3 如因承包人原因造成设计进度延迟，导致项目总体进度滞后，承包人除自费采取措施赶工外，还须按合同约定承担工期违约的责任。</w:t>
      </w:r>
    </w:p>
    <w:p w14:paraId="55324964">
      <w:pPr>
        <w:spacing w:line="360" w:lineRule="auto"/>
        <w:ind w:firstLine="482" w:firstLineChars="200"/>
        <w:outlineLvl w:val="1"/>
        <w:rPr>
          <w:rFonts w:ascii="宋体" w:hAnsi="宋体" w:cs="宋体"/>
          <w:b/>
          <w:bCs/>
          <w:snapToGrid w:val="0"/>
          <w:kern w:val="0"/>
          <w:sz w:val="24"/>
        </w:rPr>
      </w:pPr>
      <w:bookmarkStart w:id="276" w:name="_Toc144745955"/>
      <w:bookmarkStart w:id="277" w:name="_Toc6028"/>
      <w:bookmarkStart w:id="278" w:name="_Toc16826"/>
      <w:bookmarkStart w:id="279" w:name="_Toc24169"/>
      <w:bookmarkStart w:id="280" w:name="_Toc144746873"/>
      <w:bookmarkStart w:id="281" w:name="_Toc504465889"/>
      <w:bookmarkStart w:id="282" w:name="_Toc518402584"/>
      <w:bookmarkStart w:id="283" w:name="_Toc502215486"/>
      <w:r>
        <w:rPr>
          <w:rFonts w:hint="eastAsia" w:ascii="宋体" w:hAnsi="宋体" w:cs="宋体"/>
          <w:b/>
          <w:bCs/>
          <w:snapToGrid w:val="0"/>
          <w:kern w:val="0"/>
          <w:sz w:val="24"/>
        </w:rPr>
        <w:t>12、设计服务</w:t>
      </w:r>
      <w:bookmarkEnd w:id="276"/>
      <w:bookmarkEnd w:id="277"/>
      <w:bookmarkEnd w:id="278"/>
      <w:bookmarkEnd w:id="279"/>
      <w:bookmarkEnd w:id="280"/>
      <w:bookmarkEnd w:id="281"/>
      <w:bookmarkEnd w:id="282"/>
      <w:bookmarkEnd w:id="283"/>
    </w:p>
    <w:p w14:paraId="56943918">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承包人的服务应符合国际通用的GB/T—19001质量管理体系对于工程设计所规定的标准及质量要求。承包人应及时地提供服务，满足发包人的要求。</w:t>
      </w:r>
    </w:p>
    <w:p w14:paraId="14B0FCC6">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12.1驻场设计：设计阶段根据工程建设的需要及发包人的要求，相关专业人员应于发包人指定场所开展设计，相关费用包含在设计费中。</w:t>
      </w:r>
      <w:r>
        <w:rPr>
          <w:rFonts w:hint="eastAsia" w:ascii="宋体" w:hAnsi="宋体"/>
          <w:kern w:val="0"/>
          <w:sz w:val="24"/>
        </w:rPr>
        <w:t>在全套施工图纸出来前，现场必须保证至少有</w:t>
      </w:r>
      <w:r>
        <w:rPr>
          <w:rFonts w:ascii="宋体" w:hAnsi="宋体"/>
          <w:kern w:val="0"/>
          <w:sz w:val="24"/>
        </w:rPr>
        <w:t>2名设计师驻场，土建</w:t>
      </w:r>
      <w:r>
        <w:rPr>
          <w:rFonts w:hint="eastAsia" w:ascii="宋体" w:hAnsi="宋体"/>
          <w:kern w:val="0"/>
          <w:sz w:val="24"/>
        </w:rPr>
        <w:t>、机电各</w:t>
      </w:r>
      <w:r>
        <w:rPr>
          <w:rFonts w:ascii="宋体" w:hAnsi="宋体"/>
          <w:kern w:val="0"/>
          <w:sz w:val="24"/>
        </w:rPr>
        <w:t>1人。</w:t>
      </w:r>
    </w:p>
    <w:p w14:paraId="6BF05802">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为便于发包人与承包人及时沟通及协调，以保证承包人的设计成果文件能更好地体现发包人的建设意图，承包人应根据发包人的要求，在指定的地点投入本合同约定的专业人员、设备及设施，实施本合同工程的设计工作。</w:t>
      </w:r>
    </w:p>
    <w:p w14:paraId="59806FED">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（2）承包人驻场设计人员应满足合同条款的相关要求，并全部统一纳入发包人的统一管理，其出勤、休假等考勤由发包人负责。承包人驻场设计人员只为本合同工程服务，不得再参与其他工作。</w:t>
      </w:r>
    </w:p>
    <w:p w14:paraId="4507330D">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3）承包人驻场设计人员的名单须在进场前提交发包人审核，承包人驻场设计组的人员数量、专业水平、专业配套以及设备设施须满足设计质量与进度的需要。发包人有权根据实际情况在设计实施的过程中对承包人的驻场人员进行适当调整。</w:t>
      </w:r>
    </w:p>
    <w:p w14:paraId="01D92BC9">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（4）承包人应保证驻场人员的稳定性，原则上在驻场期间不得更换，确须更换的应向发包人提出书面报告且征得书面同意后方可更换。</w:t>
      </w:r>
    </w:p>
    <w:p w14:paraId="45900C00">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12.2报审报建服务</w:t>
      </w:r>
    </w:p>
    <w:p w14:paraId="159903FF">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承包人应在设计过程各阶段按照本项目报审报建的要求，准备好所有必需的文件、图纸及其相应的电子文件（刻制成光盘），负责报审报建过程中必要的技术协调、送审技术性文件等工作，直至完成所有审批手续。</w:t>
      </w:r>
    </w:p>
    <w:p w14:paraId="3DEEA2A9">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（2）对承包人提交报审报建资料的要求：提交的文件、图纸及其相应的电子文件按照相关报审报建职能部门或主管部门的要求和份数提交。</w:t>
      </w:r>
    </w:p>
    <w:p w14:paraId="07B9B055">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12.3施工阶段的设计服务要求</w:t>
      </w:r>
    </w:p>
    <w:p w14:paraId="62CFCF18">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承包人承诺将根据本合同工程建设进展情况和发包人的要求提供现场设计服务，及时派出各专业工程师解决工程中涉及到的设计问题。主要工作如下（包括但不限于）：</w:t>
      </w:r>
    </w:p>
    <w:p w14:paraId="44857924">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（1）参与设计的技术协调会。</w:t>
      </w:r>
    </w:p>
    <w:p w14:paraId="3C964CE3">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（2）承包人应按合同相关条款约定派出设计人员常驻现场，解决施工现场的图纸事宜。</w:t>
      </w:r>
    </w:p>
    <w:p w14:paraId="66AF0A1A">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（3）承包人应在设备、材料采购订货前对有关性能、参数、规格及主要设备数量进行确认；按发包人要求对己订购的主要设备、材料进行到货或出厂验收，必要时须进行中间验收。</w:t>
      </w:r>
    </w:p>
    <w:p w14:paraId="69456694">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12.4缺陷责任及保修阶段的设计服务</w:t>
      </w:r>
    </w:p>
    <w:p w14:paraId="6025CF62">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承包人应根据发包人或本合同工程使用单位的要求积极配合并参与工程的缺陷责任修复及质量保修工作，提供相应的技术支持，对工程缺陷责任期及质量保修期内发生的工程问题提交书面的技术建议及相关的工程设计资料。</w:t>
      </w:r>
    </w:p>
    <w:p w14:paraId="20CB58C3">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12.5材料、设备选型的设计工作</w:t>
      </w:r>
    </w:p>
    <w:p w14:paraId="3605A895">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设计成果文件中选用的建筑材料、建筑构配件和设备，其质量标准必须符合国家规范、标准要求，并符合发包人选定的设备材料品牌表（详见合同附件14）及满足各项技术参数的要求。主要材料设备品牌由承包人在合同品牌范围内选择并报经发包人审批同意，实际施工过程中如果承包人需要补充增加品牌的，需要提前上报发包人审批同意后才可使用，所选定材料设备的品牌、规格一经发包人确认，原则上承包人不得对此进行更改。</w:t>
      </w:r>
    </w:p>
    <w:p w14:paraId="2B88FA7F">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承包人应负责编制设备、材料采购的技术文件，内容包括设备、材料采购清单、技术规格书、必要的附图、技术参数表、在品牌库中选择材料设备的档次及品牌、采购说明和采购时间表等，并包含施工要求、安装说明，同时并对国内规范以外设计文件所涉及的内容提出验收标准。</w:t>
      </w:r>
    </w:p>
    <w:p w14:paraId="49C753DE">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（3）设计文件对于工艺、技术、材料、设备的选用应该满足施工工期的要求，充分考虑设计的可实施性，并充分考虑自身的施工能力。</w:t>
      </w:r>
    </w:p>
    <w:p w14:paraId="589FEF43">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4）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14:paraId="2AD712C5">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（5）承包人应及时提供工程的各主要建筑材料和设备的生产厂商及价格等资料，供发包人选择时参考。</w:t>
      </w:r>
    </w:p>
    <w:p w14:paraId="35516D65">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6）承包人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14:paraId="3069098E">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7）对于由发包人拟定的候选建筑材料和设备，在厂商提供符合设计要求的技术资料后，承包人须协助发包人鉴别其优劣并提供相关咨询意见。同时，承包人应派本项目专业负责人参与发包人组织的相关看样定板工作，出具材料核设备选型的相关技术意见。</w:t>
      </w:r>
    </w:p>
    <w:p w14:paraId="1B6BFAC4">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8）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14:paraId="5960AB17">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9）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14:paraId="3FB60070">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10）承包人应详细了解市场上本合同工程的主要材料和设备生产商的供货能力和供货周期（包括生产时间和运输时间），并据此向发包人提出各种主要材料和设备（包括国产和国外进口的）的提前订货时间的建议。</w:t>
      </w:r>
    </w:p>
    <w:p w14:paraId="297AAB6B">
      <w:pPr>
        <w:spacing w:line="360" w:lineRule="auto"/>
        <w:ind w:firstLine="480" w:firstLineChars="200"/>
        <w:rPr>
          <w:rFonts w:ascii="宋体" w:hAnsi="宋体"/>
          <w:kern w:val="0"/>
          <w:sz w:val="24"/>
        </w:rPr>
      </w:pPr>
      <w:r>
        <w:rPr>
          <w:rFonts w:hint="eastAsia" w:ascii="宋体" w:hAnsi="宋体" w:cs="宋体"/>
          <w:bCs/>
          <w:snapToGrid w:val="0"/>
          <w:kern w:val="0"/>
          <w:sz w:val="24"/>
        </w:rPr>
        <w:t>12.6</w:t>
      </w:r>
      <w:r>
        <w:rPr>
          <w:rFonts w:hint="eastAsia" w:ascii="宋体" w:hAnsi="宋体"/>
          <w:kern w:val="0"/>
          <w:sz w:val="24"/>
        </w:rPr>
        <w:t>承包人应认真阅读、复核发包人提供的项目基础资料，如发现项目基础资料中存在短缺、遗漏、错误、疑问的，承包人应在收到发包人提供的项目基础资料后10日内及时书面通知发包人并向发包人提出进一步的要求。因承包人未能在上述时间内提出要求而发生的损失由承包人自行承担。</w:t>
      </w:r>
    </w:p>
    <w:p w14:paraId="1E7A0A88">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12.7承包人应按照发包人提供的项目基础资料和国家相关部门、行业工程建设标准规范规定的设计深度开展工程设计，并对其设计的工艺技术或建筑功能，及工程的安全、环境保护、职业健康的标准，设备材料的质量、工程质量和完成的时间负责。因承包人原因造成设计文件存在遗漏、错误、缺陷或不足的，承包人应自费修复、弥补、纠正和完善。由此造成设计进度延误的，承包人除应承担相应的违约责任外，还应自费采取措施赶上设计进度。</w:t>
      </w:r>
    </w:p>
    <w:p w14:paraId="130D913D">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12.8、承包人中标后应按发包人认可的</w:t>
      </w:r>
      <w:r>
        <w:rPr>
          <w:rFonts w:hint="eastAsia" w:ascii="宋体" w:hAnsi="宋体" w:cs="宋体"/>
          <w:sz w:val="24"/>
          <w:szCs w:val="24"/>
        </w:rPr>
        <w:t>概念设计方案，</w:t>
      </w:r>
      <w:r>
        <w:rPr>
          <w:rFonts w:hint="eastAsia" w:ascii="宋体" w:hAnsi="宋体" w:cs="宋体"/>
          <w:bCs/>
          <w:snapToGrid w:val="0"/>
          <w:kern w:val="0"/>
          <w:sz w:val="24"/>
        </w:rPr>
        <w:t>及时提交设计方案，设计方案经发包人批准后实施，承包人应根据发包人提出的意见无条件进行修改，并在发包人要求的时间内完成修改后的设计方案，该等修改所需时间已充分考虑在本合同约定工期内，发包人不另行补偿、赔偿。</w:t>
      </w:r>
    </w:p>
    <w:p w14:paraId="03E2FE44">
      <w:pPr>
        <w:spacing w:line="360" w:lineRule="auto"/>
        <w:ind w:firstLine="482" w:firstLineChars="200"/>
        <w:outlineLvl w:val="1"/>
        <w:rPr>
          <w:rFonts w:ascii="宋体" w:hAnsi="宋体" w:cs="宋体"/>
          <w:b/>
          <w:bCs/>
          <w:snapToGrid w:val="0"/>
          <w:kern w:val="0"/>
          <w:sz w:val="24"/>
        </w:rPr>
      </w:pPr>
      <w:bookmarkStart w:id="284" w:name="_Toc18219"/>
      <w:bookmarkStart w:id="285" w:name="_Toc502215487"/>
      <w:bookmarkStart w:id="286" w:name="_Toc144746874"/>
      <w:bookmarkStart w:id="287" w:name="_Toc518402585"/>
      <w:bookmarkStart w:id="288" w:name="_Toc144745956"/>
      <w:bookmarkStart w:id="289" w:name="_Toc504465890"/>
      <w:bookmarkStart w:id="290" w:name="_Toc12304"/>
      <w:bookmarkStart w:id="291" w:name="_Toc26102"/>
      <w:r>
        <w:rPr>
          <w:rFonts w:hint="eastAsia" w:ascii="宋体" w:hAnsi="宋体" w:cs="宋体"/>
          <w:b/>
          <w:bCs/>
          <w:snapToGrid w:val="0"/>
          <w:kern w:val="0"/>
          <w:sz w:val="24"/>
        </w:rPr>
        <w:t>13、设计评审</w:t>
      </w:r>
      <w:bookmarkEnd w:id="284"/>
      <w:bookmarkEnd w:id="285"/>
      <w:bookmarkEnd w:id="286"/>
      <w:bookmarkEnd w:id="287"/>
      <w:bookmarkEnd w:id="288"/>
      <w:bookmarkEnd w:id="289"/>
      <w:bookmarkEnd w:id="290"/>
      <w:bookmarkEnd w:id="291"/>
    </w:p>
    <w:p w14:paraId="5CE8394C">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13.1承包人设计成果文件需经国家相关行政主管部门及行业主管部门的审查、施工图审查单位的审查。</w:t>
      </w:r>
    </w:p>
    <w:p w14:paraId="0F16A74A">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根据本工程的推进情况及重要性，承包人应组织相关专家对施工图设计、深化设计等设计成果文件进行评审。召开评审会的场地费、专家费、交通费、餐费等相关费用已包含在本合同，不再另行计取。</w:t>
      </w:r>
    </w:p>
    <w:p w14:paraId="0DD00150">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13.2 设计评审的依据包括：</w:t>
      </w:r>
    </w:p>
    <w:p w14:paraId="543C3C67">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（1）国家、省、市的施工图设计审查（含基坑技术审查、超限审查、风洞实验等）的相关规定；</w:t>
      </w:r>
    </w:p>
    <w:p w14:paraId="5A2D8C5A">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（2）消防、节能、环保、抗震、卫生、人防等有关工程建设的强制性标准和规范；</w:t>
      </w:r>
    </w:p>
    <w:p w14:paraId="1221EF20">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（3）本合同工程的相关政府批文（包括但不限于立项许可文件、用地规划文件等）；</w:t>
      </w:r>
    </w:p>
    <w:p w14:paraId="3F02E5B4">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（4）本合同中与设计工作的内容、范围、管理、服务相关的约定；</w:t>
      </w:r>
    </w:p>
    <w:p w14:paraId="53A2BADB">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（5）发包人关于设计、图档、图文、工程等的相关管理办法及规定；</w:t>
      </w:r>
    </w:p>
    <w:p w14:paraId="7C952BDF">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（6） 政府相关行政主管部门、行政主管部门对承包人设计成果文件的审批意见；</w:t>
      </w:r>
    </w:p>
    <w:p w14:paraId="691727F0">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（7）发包人在设计过程中提出的明确书面意见。</w:t>
      </w:r>
    </w:p>
    <w:p w14:paraId="079B901A">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13.3 承包人应根据发包人及政府相关行政主管部门的审批意见无条件地修改、完善各阶段的设计成果文件（包括概算、预算调整），确保其满足相关的审批要求；承包人应根据施工图审查单位的审查、发包人的设计评审、发包人组织的专家评审的意见对设计成果文件进行修改、完善。</w:t>
      </w:r>
    </w:p>
    <w:p w14:paraId="42AFB48D">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13.4承包人对专家评审意见存在异议的，在不违反消防、节能、环保、抗震、卫生、人防等国家有关工程建设的强制性标准和规范以及不影响安全的前提下，以发包人最终认定的意见为准。承包人应在设计评审的最终意见发出之后5天内完成其设计范围内设计成果文件的修改完善并提交发包人。</w:t>
      </w:r>
    </w:p>
    <w:p w14:paraId="0879AE82">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13.5如承包人未能在设计评审的最终意见发出之日起5日内积极响应并完成相关设计成果文件的修改完善工作，若未能按期完成，则承包人应按合同条款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预算建安工程费之和的比例乘以本合同暂定设计费计取）从本合同设计收费中扣取。</w:t>
      </w:r>
    </w:p>
    <w:p w14:paraId="275C293B">
      <w:pPr>
        <w:spacing w:line="360" w:lineRule="auto"/>
        <w:ind w:firstLine="480" w:firstLineChars="200"/>
        <w:rPr>
          <w:rFonts w:ascii="宋体" w:hAnsi="宋体" w:cs="宋体"/>
          <w:b/>
          <w:snapToGrid w:val="0"/>
          <w:kern w:val="0"/>
          <w:sz w:val="24"/>
        </w:rPr>
      </w:pPr>
      <w:r>
        <w:rPr>
          <w:rFonts w:hint="eastAsia" w:ascii="宋体" w:hAnsi="宋体" w:cs="宋体"/>
          <w:bCs/>
          <w:snapToGrid w:val="0"/>
          <w:kern w:val="0"/>
          <w:sz w:val="24"/>
        </w:rPr>
        <w:t>13.6发包人根据承包人提交的各阶段的设计成果文件的设计评审意见、承包人在履行合同各阶段提供的设计服务（设计方案、初设、施工图报审报建服务，施工阶段的现场服务，概算、预算、设计变更预算、结算服务，缺陷责任及保修阶段的服务）的实际情况对承包人进行考核。</w:t>
      </w:r>
      <w:bookmarkStart w:id="292" w:name="_Toc518402586"/>
      <w:bookmarkStart w:id="293" w:name="_Toc504465891"/>
      <w:bookmarkStart w:id="294" w:name="_Toc502215488"/>
    </w:p>
    <w:p w14:paraId="6950E462">
      <w:pPr>
        <w:pStyle w:val="27"/>
        <w:spacing w:line="360" w:lineRule="auto"/>
        <w:ind w:firstLine="562" w:firstLineChars="200"/>
        <w:outlineLvl w:val="0"/>
        <w:rPr>
          <w:rFonts w:ascii="宋体" w:hAnsi="宋体"/>
          <w:b/>
          <w:sz w:val="28"/>
        </w:rPr>
      </w:pPr>
      <w:r>
        <w:rPr>
          <w:rFonts w:hint="eastAsia" w:ascii="宋体" w:hAnsi="宋体" w:cs="宋体"/>
          <w:b/>
          <w:snapToGrid w:val="0"/>
          <w:sz w:val="28"/>
          <w:szCs w:val="28"/>
        </w:rPr>
        <w:t>四</w:t>
      </w:r>
      <w:bookmarkStart w:id="295" w:name="_Toc104901763"/>
      <w:bookmarkStart w:id="296" w:name="_Toc4615_WPSOffice_Level2"/>
      <w:r>
        <w:rPr>
          <w:rFonts w:hint="eastAsia" w:ascii="宋体" w:hAnsi="宋体"/>
          <w:b/>
          <w:sz w:val="28"/>
        </w:rPr>
        <w:t>、总承包组织实施</w:t>
      </w:r>
      <w:bookmarkEnd w:id="292"/>
      <w:bookmarkEnd w:id="293"/>
      <w:bookmarkEnd w:id="294"/>
      <w:bookmarkEnd w:id="295"/>
      <w:bookmarkEnd w:id="296"/>
    </w:p>
    <w:p w14:paraId="34FD06D2">
      <w:pPr>
        <w:spacing w:line="360" w:lineRule="auto"/>
        <w:ind w:firstLine="482" w:firstLineChars="200"/>
        <w:outlineLvl w:val="1"/>
        <w:rPr>
          <w:rFonts w:ascii="宋体" w:hAnsi="宋体"/>
          <w:b/>
          <w:kern w:val="0"/>
          <w:sz w:val="24"/>
        </w:rPr>
      </w:pPr>
      <w:bookmarkStart w:id="297" w:name="_Toc504465892"/>
      <w:bookmarkStart w:id="298" w:name="_Toc502215489"/>
      <w:bookmarkStart w:id="299" w:name="_Toc16178"/>
      <w:bookmarkStart w:id="300" w:name="_Toc30933"/>
      <w:bookmarkStart w:id="301" w:name="_Toc518402587"/>
      <w:bookmarkStart w:id="302" w:name="_Toc144746875"/>
      <w:bookmarkStart w:id="303" w:name="_Toc144745957"/>
      <w:bookmarkStart w:id="304" w:name="_Toc15250"/>
      <w:bookmarkStart w:id="305" w:name="_Toc9628_WPSOffice_Level3"/>
      <w:bookmarkStart w:id="306" w:name="_Toc104901764"/>
      <w:r>
        <w:rPr>
          <w:rFonts w:hint="eastAsia" w:ascii="宋体" w:hAnsi="宋体" w:cs="宋体"/>
          <w:b/>
          <w:bCs/>
          <w:snapToGrid w:val="0"/>
          <w:kern w:val="0"/>
          <w:sz w:val="24"/>
        </w:rPr>
        <w:t>14</w:t>
      </w:r>
      <w:r>
        <w:rPr>
          <w:rFonts w:hint="eastAsia" w:ascii="宋体" w:hAnsi="宋体"/>
          <w:b/>
          <w:kern w:val="0"/>
          <w:sz w:val="24"/>
        </w:rPr>
        <w:t>、施工组织设计及</w:t>
      </w:r>
      <w:bookmarkEnd w:id="297"/>
      <w:bookmarkEnd w:id="298"/>
      <w:r>
        <w:rPr>
          <w:rFonts w:hint="eastAsia" w:ascii="宋体" w:hAnsi="宋体"/>
          <w:b/>
          <w:kern w:val="0"/>
          <w:sz w:val="24"/>
        </w:rPr>
        <w:t>项目进度计划</w:t>
      </w:r>
      <w:bookmarkEnd w:id="299"/>
      <w:bookmarkEnd w:id="300"/>
      <w:bookmarkEnd w:id="301"/>
      <w:bookmarkEnd w:id="302"/>
      <w:bookmarkEnd w:id="303"/>
      <w:bookmarkEnd w:id="304"/>
      <w:bookmarkEnd w:id="305"/>
      <w:bookmarkEnd w:id="306"/>
    </w:p>
    <w:p w14:paraId="4256AB4A">
      <w:pPr>
        <w:spacing w:line="360" w:lineRule="auto"/>
        <w:ind w:firstLine="480" w:firstLineChars="200"/>
        <w:jc w:val="left"/>
        <w:rPr>
          <w:rFonts w:ascii="宋体" w:hAnsi="宋体"/>
          <w:kern w:val="0"/>
          <w:sz w:val="24"/>
        </w:rPr>
      </w:pPr>
      <w:r>
        <w:rPr>
          <w:rFonts w:hint="eastAsia" w:ascii="宋体" w:hAnsi="宋体" w:cs="宋体"/>
          <w:bCs/>
          <w:snapToGrid w:val="0"/>
          <w:kern w:val="0"/>
          <w:sz w:val="24"/>
        </w:rPr>
        <w:t>14</w:t>
      </w:r>
      <w:r>
        <w:rPr>
          <w:rFonts w:hint="eastAsia" w:ascii="宋体" w:hAnsi="宋体"/>
          <w:kern w:val="0"/>
          <w:sz w:val="24"/>
        </w:rPr>
        <w:t>.1项目进度计划</w:t>
      </w:r>
    </w:p>
    <w:p w14:paraId="691B79DF">
      <w:pPr>
        <w:spacing w:line="360" w:lineRule="auto"/>
        <w:ind w:firstLine="480" w:firstLineChars="200"/>
        <w:jc w:val="left"/>
        <w:rPr>
          <w:rFonts w:ascii="宋体" w:hAnsi="宋体"/>
          <w:kern w:val="0"/>
          <w:sz w:val="24"/>
        </w:rPr>
      </w:pPr>
      <w:r>
        <w:rPr>
          <w:rFonts w:hint="eastAsia" w:ascii="宋体" w:hAnsi="宋体"/>
          <w:kern w:val="0"/>
          <w:sz w:val="24"/>
        </w:rPr>
        <w:t>（1）项目进度计划及施工组织设计的提交时间约定：合同签订后5日内提供项目整体进度节点计划。</w:t>
      </w:r>
    </w:p>
    <w:p w14:paraId="664D0C34">
      <w:pPr>
        <w:spacing w:line="360" w:lineRule="auto"/>
        <w:ind w:firstLine="480" w:firstLineChars="200"/>
        <w:jc w:val="left"/>
        <w:rPr>
          <w:rFonts w:ascii="宋体" w:hAnsi="宋体"/>
          <w:kern w:val="0"/>
          <w:sz w:val="24"/>
        </w:rPr>
      </w:pPr>
      <w:r>
        <w:rPr>
          <w:rFonts w:hint="eastAsia" w:ascii="宋体" w:hAnsi="宋体"/>
          <w:kern w:val="0"/>
          <w:sz w:val="24"/>
        </w:rPr>
        <w:t>（2）进度计划的内容约定：承包人应按合同约定的内容和期限，编制详细的工程进度计划，进度计划内容应全面详实，包括但不限于各阶段设计计划、承包人文件提交、各阶段的材料设备采购及制作计划、运达现场、现场施工安装计划、试验验收计划等。除此之外，还应提出现场工作面的移交时间计划等。</w:t>
      </w:r>
    </w:p>
    <w:p w14:paraId="08800141">
      <w:pPr>
        <w:spacing w:line="360" w:lineRule="auto"/>
        <w:ind w:firstLine="480" w:firstLineChars="200"/>
        <w:jc w:val="left"/>
        <w:rPr>
          <w:rFonts w:ascii="宋体" w:hAnsi="宋体"/>
          <w:kern w:val="0"/>
          <w:sz w:val="24"/>
        </w:rPr>
      </w:pPr>
      <w:r>
        <w:rPr>
          <w:rFonts w:hint="eastAsia" w:ascii="宋体" w:hAnsi="宋体"/>
          <w:kern w:val="0"/>
          <w:sz w:val="24"/>
        </w:rPr>
        <w:t>（3）监理单位批复项目进度计划时间的约定：监理单位应在收到承包人提交的完整项目进度计划后7日内批复或提出修改意见。</w:t>
      </w:r>
    </w:p>
    <w:p w14:paraId="53426C41">
      <w:pPr>
        <w:spacing w:line="360" w:lineRule="auto"/>
        <w:ind w:firstLine="480" w:firstLineChars="200"/>
        <w:jc w:val="left"/>
        <w:rPr>
          <w:rFonts w:ascii="宋体" w:hAnsi="宋体"/>
          <w:kern w:val="0"/>
          <w:sz w:val="24"/>
        </w:rPr>
      </w:pPr>
      <w:r>
        <w:rPr>
          <w:rFonts w:hint="eastAsia" w:ascii="宋体" w:hAnsi="宋体"/>
          <w:kern w:val="0"/>
          <w:sz w:val="24"/>
        </w:rPr>
        <w:t>（4）项目进度计划的修订</w:t>
      </w:r>
    </w:p>
    <w:p w14:paraId="04DB2087">
      <w:pPr>
        <w:spacing w:line="360" w:lineRule="auto"/>
        <w:ind w:firstLine="480" w:firstLineChars="200"/>
        <w:jc w:val="left"/>
        <w:rPr>
          <w:rFonts w:ascii="宋体" w:hAnsi="宋体"/>
          <w:kern w:val="0"/>
          <w:sz w:val="24"/>
        </w:rPr>
      </w:pPr>
      <w:r>
        <w:rPr>
          <w:rFonts w:hint="eastAsia" w:ascii="宋体" w:hAnsi="宋体"/>
          <w:kern w:val="0"/>
          <w:sz w:val="24"/>
        </w:rPr>
        <w:t>1）承包人提交项目进度计划的修订报告的时间约定：在承包人能够预计可能会实际进度计划不符后的7日内或实际已经不符的3日内提出。</w:t>
      </w:r>
    </w:p>
    <w:p w14:paraId="0BD8086F">
      <w:pPr>
        <w:spacing w:line="360" w:lineRule="auto"/>
        <w:ind w:firstLine="480" w:firstLineChars="200"/>
        <w:jc w:val="left"/>
        <w:rPr>
          <w:rFonts w:ascii="宋体" w:hAnsi="宋体"/>
          <w:kern w:val="0"/>
          <w:sz w:val="24"/>
        </w:rPr>
      </w:pPr>
      <w:r>
        <w:rPr>
          <w:rFonts w:hint="eastAsia" w:ascii="宋体" w:hAnsi="宋体"/>
          <w:kern w:val="0"/>
          <w:sz w:val="24"/>
        </w:rPr>
        <w:t>2）监理单位批复项目进度计划修订报告时间的约定：监理单位应在收到承包人提交的完整合同计划修订报告后5日内批复或提出修改意见。</w:t>
      </w:r>
    </w:p>
    <w:p w14:paraId="5646D486">
      <w:pPr>
        <w:spacing w:line="360" w:lineRule="auto"/>
        <w:ind w:firstLine="480" w:firstLineChars="200"/>
        <w:jc w:val="left"/>
        <w:rPr>
          <w:rFonts w:ascii="宋体" w:hAnsi="宋体"/>
          <w:kern w:val="0"/>
          <w:sz w:val="24"/>
        </w:rPr>
      </w:pPr>
      <w:r>
        <w:rPr>
          <w:rFonts w:hint="eastAsia" w:ascii="宋体" w:hAnsi="宋体" w:cs="宋体"/>
          <w:bCs/>
          <w:snapToGrid w:val="0"/>
          <w:kern w:val="0"/>
          <w:sz w:val="24"/>
        </w:rPr>
        <w:t>14</w:t>
      </w:r>
      <w:r>
        <w:rPr>
          <w:rFonts w:hint="eastAsia" w:ascii="宋体" w:hAnsi="宋体"/>
          <w:kern w:val="0"/>
          <w:sz w:val="24"/>
        </w:rPr>
        <w:t>.2施工组织设计</w:t>
      </w:r>
    </w:p>
    <w:p w14:paraId="29FDF86A">
      <w:pPr>
        <w:spacing w:line="360" w:lineRule="auto"/>
        <w:ind w:firstLine="480" w:firstLineChars="200"/>
        <w:jc w:val="left"/>
        <w:rPr>
          <w:rFonts w:ascii="宋体" w:hAnsi="宋体"/>
          <w:kern w:val="0"/>
          <w:sz w:val="24"/>
        </w:rPr>
      </w:pPr>
      <w:r>
        <w:rPr>
          <w:rFonts w:hint="eastAsia" w:ascii="宋体" w:hAnsi="宋体"/>
          <w:kern w:val="0"/>
          <w:sz w:val="24"/>
        </w:rPr>
        <w:t>（1）承包人应当根据经发包人确认的项目进度计划在施工开始前将施工组织设计报送监理单位审批。承包人提交的施工组织设计应当载明如下内容（包括但不限于）：</w:t>
      </w:r>
    </w:p>
    <w:p w14:paraId="54BB45FC">
      <w:pPr>
        <w:spacing w:line="360" w:lineRule="auto"/>
        <w:ind w:firstLine="480" w:firstLineChars="200"/>
        <w:jc w:val="left"/>
        <w:rPr>
          <w:rFonts w:ascii="宋体" w:hAnsi="宋体"/>
          <w:kern w:val="0"/>
          <w:sz w:val="24"/>
        </w:rPr>
      </w:pPr>
      <w:r>
        <w:rPr>
          <w:rFonts w:hint="eastAsia" w:ascii="宋体" w:hAnsi="宋体"/>
          <w:kern w:val="0"/>
          <w:sz w:val="24"/>
        </w:rPr>
        <w:t>1）各分部分项工程完整的施工方案；</w:t>
      </w:r>
    </w:p>
    <w:p w14:paraId="123049BC">
      <w:pPr>
        <w:spacing w:line="360" w:lineRule="auto"/>
        <w:ind w:firstLine="480" w:firstLineChars="200"/>
        <w:jc w:val="left"/>
        <w:rPr>
          <w:rFonts w:ascii="宋体" w:hAnsi="宋体"/>
          <w:kern w:val="0"/>
          <w:sz w:val="24"/>
        </w:rPr>
      </w:pPr>
      <w:r>
        <w:rPr>
          <w:rFonts w:hint="eastAsia" w:ascii="宋体" w:hAnsi="宋体"/>
          <w:kern w:val="0"/>
          <w:sz w:val="24"/>
        </w:rPr>
        <w:t>2）施工资源投入计划，包括：机械设备进场计划、工程材料和物料进场及仓储计划、施工人员进场计划等；</w:t>
      </w:r>
    </w:p>
    <w:p w14:paraId="6E4AB4E9">
      <w:pPr>
        <w:spacing w:line="360" w:lineRule="auto"/>
        <w:ind w:firstLine="480" w:firstLineChars="200"/>
        <w:jc w:val="left"/>
        <w:rPr>
          <w:rFonts w:ascii="宋体" w:hAnsi="宋体"/>
          <w:kern w:val="0"/>
          <w:sz w:val="24"/>
        </w:rPr>
      </w:pPr>
      <w:r>
        <w:rPr>
          <w:rFonts w:hint="eastAsia" w:ascii="宋体" w:hAnsi="宋体"/>
          <w:kern w:val="0"/>
          <w:sz w:val="24"/>
        </w:rPr>
        <w:t>3）施工现场平面布置图（包括施工道路平面图、各种临时设施、施工用水、监控设施、施工机具、材料构配件存放位置）；</w:t>
      </w:r>
    </w:p>
    <w:p w14:paraId="4AE55B8D">
      <w:pPr>
        <w:spacing w:line="360" w:lineRule="auto"/>
        <w:ind w:firstLine="480" w:firstLineChars="200"/>
        <w:jc w:val="left"/>
        <w:rPr>
          <w:rFonts w:ascii="宋体" w:hAnsi="宋体"/>
          <w:kern w:val="0"/>
          <w:sz w:val="24"/>
        </w:rPr>
      </w:pPr>
      <w:r>
        <w:rPr>
          <w:rFonts w:hint="eastAsia" w:ascii="宋体" w:hAnsi="宋体"/>
          <w:kern w:val="0"/>
          <w:sz w:val="24"/>
        </w:rPr>
        <w:t>4）季节性施工措施；</w:t>
      </w:r>
    </w:p>
    <w:p w14:paraId="1350F282">
      <w:pPr>
        <w:spacing w:line="360" w:lineRule="auto"/>
        <w:ind w:firstLine="480" w:firstLineChars="200"/>
        <w:jc w:val="left"/>
        <w:rPr>
          <w:rFonts w:ascii="宋体" w:hAnsi="宋体"/>
          <w:kern w:val="0"/>
          <w:sz w:val="24"/>
        </w:rPr>
      </w:pPr>
      <w:r>
        <w:rPr>
          <w:rFonts w:hint="eastAsia" w:ascii="宋体" w:hAnsi="宋体"/>
          <w:kern w:val="0"/>
          <w:sz w:val="24"/>
        </w:rPr>
        <w:t>5）地下管线及其它地下设施的处理措施；</w:t>
      </w:r>
    </w:p>
    <w:p w14:paraId="48556A28">
      <w:pPr>
        <w:spacing w:line="360" w:lineRule="auto"/>
        <w:ind w:firstLine="480" w:firstLineChars="200"/>
        <w:jc w:val="left"/>
        <w:rPr>
          <w:rFonts w:ascii="宋体" w:hAnsi="宋体"/>
          <w:kern w:val="0"/>
          <w:sz w:val="24"/>
        </w:rPr>
      </w:pPr>
      <w:r>
        <w:rPr>
          <w:rFonts w:hint="eastAsia" w:ascii="宋体" w:hAnsi="宋体"/>
          <w:kern w:val="0"/>
          <w:sz w:val="24"/>
        </w:rPr>
        <w:t>6）保证工期、质量的措施；</w:t>
      </w:r>
    </w:p>
    <w:p w14:paraId="493E957E">
      <w:pPr>
        <w:spacing w:line="360" w:lineRule="auto"/>
        <w:ind w:firstLine="480" w:firstLineChars="200"/>
        <w:jc w:val="left"/>
        <w:rPr>
          <w:rFonts w:ascii="宋体" w:hAnsi="宋体"/>
          <w:kern w:val="0"/>
          <w:sz w:val="24"/>
        </w:rPr>
      </w:pPr>
      <w:r>
        <w:rPr>
          <w:rFonts w:hint="eastAsia" w:ascii="宋体" w:hAnsi="宋体"/>
          <w:kern w:val="0"/>
          <w:sz w:val="24"/>
        </w:rPr>
        <w:t>7）保证安全生产、文明施工、减少扰民，且满足环境保护要求的措施；</w:t>
      </w:r>
    </w:p>
    <w:p w14:paraId="39F558EC">
      <w:pPr>
        <w:spacing w:line="360" w:lineRule="auto"/>
        <w:ind w:firstLine="480" w:firstLineChars="200"/>
        <w:jc w:val="left"/>
        <w:rPr>
          <w:rFonts w:ascii="宋体" w:hAnsi="宋体"/>
          <w:kern w:val="0"/>
          <w:sz w:val="24"/>
        </w:rPr>
      </w:pPr>
      <w:r>
        <w:rPr>
          <w:rFonts w:hint="eastAsia" w:ascii="宋体" w:hAnsi="宋体"/>
          <w:kern w:val="0"/>
          <w:sz w:val="24"/>
        </w:rPr>
        <w:t>8）妥善处理与相邻施工作业现场关系的措施；</w:t>
      </w:r>
    </w:p>
    <w:p w14:paraId="68E2C067">
      <w:pPr>
        <w:spacing w:line="360" w:lineRule="auto"/>
        <w:ind w:firstLine="480" w:firstLineChars="200"/>
        <w:jc w:val="left"/>
        <w:rPr>
          <w:rFonts w:ascii="宋体" w:hAnsi="宋体"/>
          <w:kern w:val="0"/>
          <w:sz w:val="24"/>
        </w:rPr>
      </w:pPr>
      <w:r>
        <w:rPr>
          <w:rFonts w:hint="eastAsia" w:ascii="宋体" w:hAnsi="宋体"/>
          <w:kern w:val="0"/>
          <w:sz w:val="24"/>
        </w:rPr>
        <w:t>9）消防、安全、健康等各类事故的应急预案；</w:t>
      </w:r>
    </w:p>
    <w:p w14:paraId="15F8C3B7">
      <w:pPr>
        <w:spacing w:line="360" w:lineRule="auto"/>
        <w:ind w:firstLine="480" w:firstLineChars="200"/>
        <w:jc w:val="left"/>
        <w:rPr>
          <w:rFonts w:ascii="宋体" w:hAnsi="宋体"/>
          <w:kern w:val="0"/>
          <w:sz w:val="24"/>
        </w:rPr>
      </w:pPr>
      <w:r>
        <w:rPr>
          <w:rFonts w:hint="eastAsia" w:ascii="宋体" w:hAnsi="宋体"/>
          <w:kern w:val="0"/>
          <w:sz w:val="24"/>
        </w:rPr>
        <w:t>10）其它与工程施工有关的管理方案、措施。</w:t>
      </w:r>
    </w:p>
    <w:p w14:paraId="41495439">
      <w:pPr>
        <w:spacing w:line="360" w:lineRule="auto"/>
        <w:ind w:firstLine="480" w:firstLineChars="200"/>
        <w:jc w:val="left"/>
        <w:rPr>
          <w:rFonts w:ascii="宋体" w:hAnsi="宋体"/>
          <w:kern w:val="0"/>
          <w:sz w:val="24"/>
        </w:rPr>
      </w:pPr>
      <w:r>
        <w:rPr>
          <w:rFonts w:hint="eastAsia" w:ascii="宋体" w:hAnsi="宋体"/>
          <w:kern w:val="0"/>
          <w:sz w:val="24"/>
        </w:rPr>
        <w:t>（2）总监理工程师和发包人在接到承包人提交的施工组织设计后7天内予以确认或提出修改意见（总监理工程师在4天内审核并签署意见，发包人在3天内审核并签署意见）。逾期既不确认，也不提出书面意见的视为同意，不</w:t>
      </w:r>
      <w:r>
        <w:rPr>
          <w:rFonts w:hint="eastAsia" w:ascii="宋体" w:hAnsi="宋体" w:cs="宋体"/>
          <w:bCs/>
          <w:snapToGrid w:val="0"/>
          <w:kern w:val="0"/>
          <w:sz w:val="24"/>
        </w:rPr>
        <w:t>免除</w:t>
      </w:r>
      <w:r>
        <w:rPr>
          <w:rFonts w:hint="eastAsia" w:ascii="宋体" w:hAnsi="宋体"/>
          <w:kern w:val="0"/>
          <w:sz w:val="24"/>
        </w:rPr>
        <w:t>承包人应承担的相应责任，但如遇到重大或技术复杂、难度大的施工方案，则应按政府有关规定召开专家评审会评审。</w:t>
      </w:r>
    </w:p>
    <w:p w14:paraId="433FF9C3">
      <w:pPr>
        <w:spacing w:line="360" w:lineRule="auto"/>
        <w:ind w:firstLine="480" w:firstLineChars="200"/>
        <w:jc w:val="left"/>
        <w:rPr>
          <w:rFonts w:ascii="宋体" w:hAnsi="宋体"/>
          <w:kern w:val="0"/>
          <w:sz w:val="24"/>
        </w:rPr>
      </w:pPr>
      <w:r>
        <w:rPr>
          <w:rFonts w:hint="eastAsia" w:ascii="宋体" w:hAnsi="宋体" w:cs="宋体"/>
          <w:bCs/>
          <w:snapToGrid w:val="0"/>
          <w:kern w:val="0"/>
          <w:sz w:val="24"/>
        </w:rPr>
        <w:t>14</w:t>
      </w:r>
      <w:r>
        <w:rPr>
          <w:rFonts w:hint="eastAsia" w:ascii="宋体" w:hAnsi="宋体"/>
          <w:kern w:val="0"/>
          <w:sz w:val="24"/>
        </w:rPr>
        <w:t>.3项目进度计划及施工组织设计的执行</w:t>
      </w:r>
    </w:p>
    <w:p w14:paraId="227638BE">
      <w:pPr>
        <w:spacing w:line="360" w:lineRule="auto"/>
        <w:ind w:firstLine="480" w:firstLineChars="200"/>
        <w:jc w:val="left"/>
        <w:rPr>
          <w:rFonts w:ascii="宋体" w:hAnsi="宋体"/>
          <w:kern w:val="0"/>
          <w:sz w:val="24"/>
        </w:rPr>
      </w:pPr>
      <w:r>
        <w:rPr>
          <w:rFonts w:hint="eastAsia" w:ascii="宋体" w:hAnsi="宋体"/>
          <w:kern w:val="0"/>
          <w:sz w:val="24"/>
        </w:rPr>
        <w:t>（1）承包人应当加强计划管理，严格按照总监理工程师确认的工程进度计划</w:t>
      </w:r>
      <w:r>
        <w:rPr>
          <w:rFonts w:hint="eastAsia" w:ascii="宋体" w:hAnsi="宋体" w:cs="宋体"/>
          <w:bCs/>
          <w:snapToGrid w:val="0"/>
          <w:kern w:val="0"/>
          <w:sz w:val="24"/>
        </w:rPr>
        <w:t>组织设计、</w:t>
      </w:r>
      <w:r>
        <w:rPr>
          <w:rFonts w:hint="eastAsia" w:ascii="宋体" w:hAnsi="宋体"/>
          <w:kern w:val="0"/>
          <w:sz w:val="24"/>
        </w:rPr>
        <w:t>施工，并接受总监理工程师对</w:t>
      </w:r>
      <w:r>
        <w:rPr>
          <w:rFonts w:hint="eastAsia" w:ascii="宋体" w:hAnsi="宋体" w:cs="宋体"/>
          <w:bCs/>
          <w:snapToGrid w:val="0"/>
          <w:kern w:val="0"/>
          <w:sz w:val="24"/>
        </w:rPr>
        <w:t>设计、</w:t>
      </w:r>
      <w:r>
        <w:rPr>
          <w:rFonts w:hint="eastAsia" w:ascii="宋体" w:hAnsi="宋体"/>
          <w:kern w:val="0"/>
          <w:sz w:val="24"/>
        </w:rPr>
        <w:t>施工进度的检查、监督。</w:t>
      </w:r>
    </w:p>
    <w:p w14:paraId="6594FFEC">
      <w:pPr>
        <w:spacing w:line="360" w:lineRule="auto"/>
        <w:ind w:firstLine="480" w:firstLineChars="200"/>
        <w:jc w:val="left"/>
        <w:rPr>
          <w:rFonts w:ascii="宋体" w:hAnsi="宋体"/>
          <w:kern w:val="0"/>
          <w:sz w:val="24"/>
        </w:rPr>
      </w:pPr>
      <w:r>
        <w:rPr>
          <w:rFonts w:hint="eastAsia" w:ascii="宋体" w:hAnsi="宋体"/>
          <w:kern w:val="0"/>
          <w:sz w:val="24"/>
        </w:rPr>
        <w:t>（2）工程实际进度与经确认的进度计划不符时，承包人应按总监理工程师的要求提出改进措施，经总监理工程师确认后执行。因承包人的原因导致实际进度与进度计划不符，承包人无权就改进措施提出追加合同价款。</w:t>
      </w:r>
    </w:p>
    <w:p w14:paraId="132906BB">
      <w:pPr>
        <w:spacing w:line="360" w:lineRule="auto"/>
        <w:ind w:firstLine="480" w:firstLineChars="200"/>
        <w:jc w:val="left"/>
        <w:rPr>
          <w:rFonts w:ascii="宋体" w:hAnsi="宋体"/>
          <w:kern w:val="0"/>
          <w:sz w:val="24"/>
        </w:rPr>
      </w:pPr>
      <w:r>
        <w:rPr>
          <w:rFonts w:hint="eastAsia" w:ascii="宋体" w:hAnsi="宋体"/>
          <w:kern w:val="0"/>
          <w:sz w:val="24"/>
        </w:rPr>
        <w:t>（3）为便于总监理工程师掌握和控制工期，承包人应于每月底向总监理工程师填报当月工程进度计划完成情况（没完成计划的必须说明原因），并在此基础上更新工程进度计划、资金计划和其它工作计划。总监理工程师在接到报告后应当予以确认或提出书面意见，承包人必须按照总监理工程师的确认或者书面意见执行。</w:t>
      </w:r>
    </w:p>
    <w:p w14:paraId="7D115E3B">
      <w:pPr>
        <w:spacing w:line="360" w:lineRule="auto"/>
        <w:ind w:firstLine="480" w:firstLineChars="200"/>
        <w:jc w:val="left"/>
        <w:rPr>
          <w:rFonts w:ascii="宋体" w:hAnsi="宋体"/>
          <w:kern w:val="0"/>
          <w:sz w:val="24"/>
        </w:rPr>
      </w:pPr>
      <w:r>
        <w:rPr>
          <w:rFonts w:hint="eastAsia" w:ascii="宋体" w:hAnsi="宋体"/>
          <w:kern w:val="0"/>
          <w:sz w:val="24"/>
        </w:rPr>
        <w:t>（4）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后10天内采取有效措施，工程进度仍然无明显改进，发包人有权部分或全部解除合同，将未完工程另行发包给其它有能力的施工单位；承包人必须无条件服从，由此所造成的损失全部由承包人承担。</w:t>
      </w:r>
    </w:p>
    <w:p w14:paraId="64485858">
      <w:pPr>
        <w:spacing w:line="360" w:lineRule="auto"/>
        <w:ind w:firstLine="480" w:firstLineChars="200"/>
        <w:jc w:val="left"/>
        <w:rPr>
          <w:rFonts w:ascii="宋体" w:hAnsi="宋体"/>
          <w:kern w:val="0"/>
          <w:sz w:val="24"/>
        </w:rPr>
      </w:pPr>
      <w:r>
        <w:rPr>
          <w:rFonts w:hint="eastAsia" w:ascii="宋体" w:hAnsi="宋体" w:cs="宋体"/>
          <w:bCs/>
          <w:snapToGrid w:val="0"/>
          <w:kern w:val="0"/>
          <w:sz w:val="24"/>
        </w:rPr>
        <w:t>14</w:t>
      </w:r>
      <w:r>
        <w:rPr>
          <w:rFonts w:hint="eastAsia" w:ascii="宋体" w:hAnsi="宋体"/>
          <w:kern w:val="0"/>
          <w:sz w:val="24"/>
        </w:rPr>
        <w:t>.4项目进度计划及施工组织设计经监理单位和发包人批准后实施，但监理单位和发包人的批准并不能减轻或免除承包人的合同责任。</w:t>
      </w:r>
    </w:p>
    <w:p w14:paraId="73A126CA">
      <w:pPr>
        <w:spacing w:line="360" w:lineRule="auto"/>
        <w:ind w:firstLine="480" w:firstLineChars="200"/>
        <w:jc w:val="left"/>
        <w:rPr>
          <w:rFonts w:ascii="宋体" w:hAnsi="宋体"/>
          <w:kern w:val="0"/>
          <w:sz w:val="24"/>
        </w:rPr>
      </w:pPr>
      <w:r>
        <w:rPr>
          <w:rFonts w:hint="eastAsia" w:ascii="宋体" w:hAnsi="宋体" w:cs="宋体"/>
          <w:bCs/>
          <w:snapToGrid w:val="0"/>
          <w:kern w:val="0"/>
          <w:sz w:val="24"/>
        </w:rPr>
        <w:t>14</w:t>
      </w:r>
      <w:r>
        <w:rPr>
          <w:rFonts w:hint="eastAsia" w:ascii="宋体" w:hAnsi="宋体"/>
          <w:kern w:val="0"/>
          <w:sz w:val="24"/>
        </w:rPr>
        <w:t>.5因承包人原因使工程实际进度明显落后于项目进度计划及施工组织设计时，承包人除应承当相应的工期延迟的违约责任外，还有义务、发包人也有权利要求承包人自费采取措施，赶上项目进度计划。</w:t>
      </w:r>
    </w:p>
    <w:p w14:paraId="6F0ED938">
      <w:pPr>
        <w:spacing w:line="360" w:lineRule="auto"/>
        <w:ind w:firstLine="482" w:firstLineChars="200"/>
        <w:outlineLvl w:val="1"/>
        <w:rPr>
          <w:rFonts w:ascii="宋体" w:hAnsi="宋体"/>
          <w:b/>
          <w:kern w:val="0"/>
          <w:sz w:val="24"/>
        </w:rPr>
      </w:pPr>
      <w:bookmarkStart w:id="307" w:name="_Toc504465893"/>
      <w:bookmarkStart w:id="308" w:name="_Toc502215490"/>
      <w:bookmarkStart w:id="309" w:name="_Toc144746876"/>
      <w:bookmarkStart w:id="310" w:name="_Toc18589_WPSOffice_Level3"/>
      <w:bookmarkStart w:id="311" w:name="_Toc518402588"/>
      <w:bookmarkStart w:id="312" w:name="_Toc3569"/>
      <w:bookmarkStart w:id="313" w:name="_Toc104901765"/>
      <w:bookmarkStart w:id="314" w:name="_Toc144745958"/>
      <w:bookmarkStart w:id="315" w:name="_Toc27157"/>
      <w:bookmarkStart w:id="316" w:name="_Toc14053"/>
      <w:r>
        <w:rPr>
          <w:rFonts w:hint="eastAsia" w:ascii="宋体" w:hAnsi="宋体" w:cs="宋体"/>
          <w:b/>
          <w:bCs/>
          <w:snapToGrid w:val="0"/>
          <w:kern w:val="0"/>
          <w:sz w:val="24"/>
        </w:rPr>
        <w:t>15</w:t>
      </w:r>
      <w:r>
        <w:rPr>
          <w:rFonts w:hint="eastAsia" w:ascii="宋体" w:hAnsi="宋体"/>
          <w:b/>
          <w:kern w:val="0"/>
          <w:sz w:val="24"/>
        </w:rPr>
        <w:t>、暂停施工</w:t>
      </w:r>
      <w:bookmarkEnd w:id="307"/>
      <w:bookmarkEnd w:id="308"/>
      <w:r>
        <w:rPr>
          <w:rFonts w:hint="eastAsia" w:ascii="宋体" w:hAnsi="宋体"/>
          <w:b/>
          <w:kern w:val="0"/>
          <w:sz w:val="24"/>
        </w:rPr>
        <w:t>和复工</w:t>
      </w:r>
      <w:bookmarkEnd w:id="309"/>
      <w:bookmarkEnd w:id="310"/>
      <w:bookmarkEnd w:id="311"/>
      <w:bookmarkEnd w:id="312"/>
      <w:bookmarkEnd w:id="313"/>
      <w:bookmarkEnd w:id="314"/>
      <w:bookmarkEnd w:id="315"/>
      <w:bookmarkEnd w:id="316"/>
    </w:p>
    <w:p w14:paraId="4FF8537E">
      <w:pPr>
        <w:spacing w:line="360" w:lineRule="auto"/>
        <w:ind w:firstLine="480" w:firstLineChars="200"/>
        <w:rPr>
          <w:rFonts w:ascii="宋体" w:hAnsi="宋体"/>
          <w:kern w:val="0"/>
          <w:sz w:val="24"/>
        </w:rPr>
      </w:pPr>
      <w:r>
        <w:rPr>
          <w:rFonts w:hint="eastAsia" w:ascii="宋体" w:hAnsi="宋体" w:cs="宋体"/>
          <w:bCs/>
          <w:snapToGrid w:val="0"/>
          <w:kern w:val="0"/>
          <w:sz w:val="24"/>
        </w:rPr>
        <w:t>15</w:t>
      </w:r>
      <w:r>
        <w:rPr>
          <w:rFonts w:hint="eastAsia" w:ascii="宋体" w:hAnsi="宋体"/>
          <w:kern w:val="0"/>
          <w:sz w:val="24"/>
        </w:rPr>
        <w:t>.1因下列原因，总监理工程师报经发包人同意，可通知承包人暂停施工：</w:t>
      </w:r>
    </w:p>
    <w:p w14:paraId="73A1E5AF">
      <w:pPr>
        <w:spacing w:line="360" w:lineRule="auto"/>
        <w:ind w:firstLine="480" w:firstLineChars="200"/>
        <w:rPr>
          <w:rFonts w:ascii="宋体" w:hAnsi="宋体"/>
          <w:kern w:val="0"/>
          <w:sz w:val="24"/>
        </w:rPr>
      </w:pPr>
      <w:r>
        <w:rPr>
          <w:rFonts w:hint="eastAsia" w:ascii="宋体" w:hAnsi="宋体"/>
          <w:kern w:val="0"/>
          <w:sz w:val="24"/>
        </w:rPr>
        <w:t>（1）非承包人原因导致工程设计发生重大变更；</w:t>
      </w:r>
    </w:p>
    <w:p w14:paraId="6E701886">
      <w:pPr>
        <w:spacing w:line="360" w:lineRule="auto"/>
        <w:ind w:firstLine="480" w:firstLineChars="200"/>
        <w:rPr>
          <w:rFonts w:ascii="宋体" w:hAnsi="宋体"/>
          <w:kern w:val="0"/>
          <w:sz w:val="24"/>
        </w:rPr>
      </w:pPr>
      <w:r>
        <w:rPr>
          <w:rFonts w:hint="eastAsia" w:ascii="宋体" w:hAnsi="宋体"/>
          <w:kern w:val="0"/>
          <w:sz w:val="24"/>
        </w:rPr>
        <w:t>（2）不可抗力；</w:t>
      </w:r>
    </w:p>
    <w:p w14:paraId="0D0EA974">
      <w:pPr>
        <w:spacing w:line="360" w:lineRule="auto"/>
        <w:ind w:firstLine="480" w:firstLineChars="200"/>
        <w:rPr>
          <w:rFonts w:ascii="宋体" w:hAnsi="宋体"/>
          <w:kern w:val="0"/>
          <w:sz w:val="24"/>
        </w:rPr>
      </w:pPr>
      <w:r>
        <w:rPr>
          <w:rFonts w:hint="eastAsia" w:ascii="宋体" w:hAnsi="宋体"/>
          <w:kern w:val="0"/>
          <w:sz w:val="24"/>
        </w:rPr>
        <w:t>（3）质量事故；</w:t>
      </w:r>
    </w:p>
    <w:p w14:paraId="7975FD9B">
      <w:pPr>
        <w:spacing w:line="360" w:lineRule="auto"/>
        <w:ind w:firstLine="480" w:firstLineChars="200"/>
        <w:rPr>
          <w:rFonts w:ascii="宋体" w:hAnsi="宋体"/>
          <w:kern w:val="0"/>
          <w:sz w:val="24"/>
        </w:rPr>
      </w:pPr>
      <w:r>
        <w:rPr>
          <w:rFonts w:hint="eastAsia" w:ascii="宋体" w:hAnsi="宋体"/>
          <w:kern w:val="0"/>
          <w:sz w:val="24"/>
        </w:rPr>
        <w:t>（4）安全生产事故。</w:t>
      </w:r>
    </w:p>
    <w:p w14:paraId="1FEF1BC1">
      <w:pPr>
        <w:spacing w:line="360" w:lineRule="auto"/>
        <w:ind w:firstLine="480" w:firstLineChars="200"/>
        <w:rPr>
          <w:rFonts w:ascii="宋体" w:hAnsi="宋体"/>
          <w:kern w:val="0"/>
          <w:sz w:val="24"/>
        </w:rPr>
      </w:pPr>
      <w:r>
        <w:rPr>
          <w:rFonts w:hint="eastAsia" w:ascii="宋体" w:hAnsi="宋体"/>
          <w:kern w:val="0"/>
          <w:sz w:val="24"/>
        </w:rPr>
        <w:t>因发生上述（1）、（2）项原因而暂停施工，工期调整适用合同条款第</w:t>
      </w:r>
      <w:r>
        <w:rPr>
          <w:rFonts w:hint="eastAsia" w:ascii="宋体" w:hAnsi="宋体" w:cs="宋体"/>
          <w:bCs/>
          <w:snapToGrid w:val="0"/>
          <w:kern w:val="0"/>
          <w:sz w:val="24"/>
        </w:rPr>
        <w:t>16</w:t>
      </w:r>
      <w:r>
        <w:rPr>
          <w:rFonts w:hint="eastAsia" w:ascii="宋体" w:hAnsi="宋体"/>
          <w:kern w:val="0"/>
          <w:sz w:val="24"/>
        </w:rPr>
        <w:t>条的有关约定；因发生上述第（3）、（4）项原因而暂停施工，工期不予顺延，承包人必须承担由此发生的费用，并按合同条款第41.</w:t>
      </w:r>
      <w:r>
        <w:rPr>
          <w:rFonts w:hint="eastAsia" w:ascii="宋体" w:hAnsi="宋体" w:cs="宋体"/>
          <w:bCs/>
          <w:snapToGrid w:val="0"/>
          <w:kern w:val="0"/>
          <w:sz w:val="24"/>
        </w:rPr>
        <w:t>11</w:t>
      </w:r>
      <w:r>
        <w:rPr>
          <w:rFonts w:hint="eastAsia" w:ascii="宋体" w:hAnsi="宋体"/>
          <w:kern w:val="0"/>
          <w:sz w:val="24"/>
        </w:rPr>
        <w:t>款、第41.</w:t>
      </w:r>
      <w:r>
        <w:rPr>
          <w:rFonts w:hint="eastAsia" w:ascii="宋体" w:hAnsi="宋体" w:cs="宋体"/>
          <w:bCs/>
          <w:snapToGrid w:val="0"/>
          <w:kern w:val="0"/>
          <w:sz w:val="24"/>
        </w:rPr>
        <w:t>12</w:t>
      </w:r>
      <w:r>
        <w:rPr>
          <w:rFonts w:hint="eastAsia" w:ascii="宋体" w:hAnsi="宋体"/>
          <w:kern w:val="0"/>
          <w:sz w:val="24"/>
        </w:rPr>
        <w:t>款的约定向发包人承担违约责任，发包人对此无需另行计付费用或给予其他补偿或赔偿。</w:t>
      </w:r>
    </w:p>
    <w:p w14:paraId="3945FA3D">
      <w:pPr>
        <w:spacing w:line="360" w:lineRule="auto"/>
        <w:ind w:firstLine="480" w:firstLineChars="200"/>
        <w:rPr>
          <w:rFonts w:ascii="宋体" w:hAnsi="宋体"/>
          <w:kern w:val="0"/>
          <w:sz w:val="24"/>
        </w:rPr>
      </w:pPr>
      <w:r>
        <w:rPr>
          <w:rFonts w:hint="eastAsia" w:ascii="宋体" w:hAnsi="宋体"/>
          <w:kern w:val="0"/>
          <w:sz w:val="24"/>
        </w:rPr>
        <w:t>承包人不得以与发包人有争议或争议未解决为由而单方面停工，否则，按照合同条款第41.</w:t>
      </w:r>
      <w:r>
        <w:rPr>
          <w:rFonts w:hint="eastAsia" w:ascii="宋体" w:hAnsi="宋体" w:cs="宋体"/>
          <w:bCs/>
          <w:snapToGrid w:val="0"/>
          <w:kern w:val="0"/>
          <w:sz w:val="24"/>
        </w:rPr>
        <w:t>9</w:t>
      </w:r>
      <w:r>
        <w:rPr>
          <w:rFonts w:hint="eastAsia" w:ascii="宋体" w:hAnsi="宋体"/>
          <w:kern w:val="0"/>
          <w:sz w:val="24"/>
        </w:rPr>
        <w:t>（2）款的约定承担违约责任。承包人收到发包人的书面复工指令后，必须无条件的按照发包人的要求复工，否则承包人需要按照合同规定承担违约责任，发包人对此无需另行计付费用或给予其他补偿或赔偿。</w:t>
      </w:r>
    </w:p>
    <w:p w14:paraId="3AB19DE1">
      <w:pPr>
        <w:spacing w:line="360" w:lineRule="auto"/>
        <w:ind w:firstLine="480" w:firstLineChars="200"/>
        <w:rPr>
          <w:rFonts w:ascii="宋体" w:hAnsi="宋体"/>
          <w:kern w:val="0"/>
          <w:sz w:val="24"/>
        </w:rPr>
      </w:pPr>
      <w:r>
        <w:rPr>
          <w:rFonts w:hint="eastAsia" w:ascii="宋体" w:hAnsi="宋体" w:cs="宋体"/>
          <w:bCs/>
          <w:snapToGrid w:val="0"/>
          <w:kern w:val="0"/>
          <w:sz w:val="24"/>
        </w:rPr>
        <w:t>15</w:t>
      </w:r>
      <w:r>
        <w:rPr>
          <w:rFonts w:hint="eastAsia" w:ascii="宋体" w:hAnsi="宋体"/>
          <w:kern w:val="0"/>
          <w:sz w:val="24"/>
        </w:rPr>
        <w:t>.2为了保证工程质量安全，凡出现下列情况之一（不限于此）的，总监理工程师有权下达停工令，责令承包人停工整改，由此造成的损失由承包人自行负责，造成工期延误的由承包人按合同条款第41.</w:t>
      </w:r>
      <w:r>
        <w:rPr>
          <w:rFonts w:hint="eastAsia" w:ascii="宋体" w:hAnsi="宋体" w:cs="宋体"/>
          <w:bCs/>
          <w:snapToGrid w:val="0"/>
          <w:kern w:val="0"/>
          <w:sz w:val="24"/>
        </w:rPr>
        <w:t>9</w:t>
      </w:r>
      <w:r>
        <w:rPr>
          <w:rFonts w:hint="eastAsia" w:ascii="宋体" w:hAnsi="宋体"/>
          <w:kern w:val="0"/>
          <w:sz w:val="24"/>
        </w:rPr>
        <w:t>款的有关约定承担违约责任：</w:t>
      </w:r>
    </w:p>
    <w:p w14:paraId="15F02586">
      <w:pPr>
        <w:spacing w:line="360" w:lineRule="auto"/>
        <w:ind w:firstLine="480" w:firstLineChars="200"/>
        <w:rPr>
          <w:rFonts w:ascii="宋体" w:hAnsi="宋体"/>
          <w:kern w:val="0"/>
          <w:sz w:val="24"/>
        </w:rPr>
      </w:pPr>
      <w:r>
        <w:rPr>
          <w:rFonts w:hint="eastAsia" w:ascii="宋体" w:hAnsi="宋体"/>
          <w:kern w:val="0"/>
          <w:sz w:val="24"/>
        </w:rPr>
        <w:t>（1）拒绝监理等单位管理；</w:t>
      </w:r>
    </w:p>
    <w:p w14:paraId="6715F3A8">
      <w:pPr>
        <w:spacing w:line="360" w:lineRule="auto"/>
        <w:ind w:firstLine="480" w:firstLineChars="200"/>
        <w:rPr>
          <w:rFonts w:ascii="宋体" w:hAnsi="宋体"/>
          <w:kern w:val="0"/>
          <w:sz w:val="24"/>
        </w:rPr>
      </w:pPr>
      <w:r>
        <w:rPr>
          <w:rFonts w:hint="eastAsia" w:ascii="宋体" w:hAnsi="宋体"/>
          <w:kern w:val="0"/>
          <w:sz w:val="24"/>
        </w:rPr>
        <w:t>（2）施工组织设计（方案）未获总监理工程师批准而进行施工；</w:t>
      </w:r>
    </w:p>
    <w:p w14:paraId="4FC3E6C7">
      <w:pPr>
        <w:spacing w:line="360" w:lineRule="auto"/>
        <w:ind w:firstLine="480" w:firstLineChars="200"/>
        <w:rPr>
          <w:rFonts w:ascii="宋体" w:hAnsi="宋体"/>
          <w:kern w:val="0"/>
          <w:sz w:val="24"/>
        </w:rPr>
      </w:pPr>
      <w:r>
        <w:rPr>
          <w:rFonts w:hint="eastAsia" w:ascii="宋体" w:hAnsi="宋体"/>
          <w:kern w:val="0"/>
          <w:sz w:val="24"/>
        </w:rPr>
        <w:t>（3）未经监理单位检验而进行下一道工序作业；</w:t>
      </w:r>
    </w:p>
    <w:p w14:paraId="339B1AB7">
      <w:pPr>
        <w:spacing w:line="360" w:lineRule="auto"/>
        <w:ind w:firstLine="480" w:firstLineChars="200"/>
        <w:rPr>
          <w:rFonts w:ascii="宋体" w:hAnsi="宋体"/>
          <w:kern w:val="0"/>
          <w:sz w:val="24"/>
        </w:rPr>
      </w:pPr>
      <w:r>
        <w:rPr>
          <w:rFonts w:hint="eastAsia" w:ascii="宋体" w:hAnsi="宋体"/>
          <w:kern w:val="0"/>
          <w:sz w:val="24"/>
        </w:rPr>
        <w:t>（4）擅自采用未经监理单位及发包人认可或批准的材料，或者使用的原材料、构配件不合格或未经检查确认，或者擅自采用未经认可的代用材料；</w:t>
      </w:r>
    </w:p>
    <w:p w14:paraId="4255D023">
      <w:pPr>
        <w:spacing w:line="360" w:lineRule="auto"/>
        <w:ind w:firstLine="480" w:firstLineChars="200"/>
        <w:rPr>
          <w:rFonts w:ascii="宋体" w:hAnsi="宋体"/>
          <w:kern w:val="0"/>
          <w:sz w:val="24"/>
        </w:rPr>
      </w:pPr>
      <w:r>
        <w:rPr>
          <w:rFonts w:hint="eastAsia" w:ascii="宋体" w:hAnsi="宋体"/>
          <w:kern w:val="0"/>
          <w:sz w:val="24"/>
        </w:rPr>
        <w:t>（5）擅自变更设计图纸的要求；</w:t>
      </w:r>
    </w:p>
    <w:p w14:paraId="064C6DDB">
      <w:pPr>
        <w:spacing w:line="360" w:lineRule="auto"/>
        <w:ind w:firstLine="480" w:firstLineChars="200"/>
        <w:rPr>
          <w:rFonts w:ascii="宋体" w:hAnsi="宋体"/>
          <w:kern w:val="0"/>
          <w:sz w:val="24"/>
        </w:rPr>
      </w:pPr>
      <w:r>
        <w:rPr>
          <w:rFonts w:hint="eastAsia" w:ascii="宋体" w:hAnsi="宋体"/>
          <w:kern w:val="0"/>
          <w:sz w:val="24"/>
        </w:rPr>
        <w:t>（6）转包工程；</w:t>
      </w:r>
    </w:p>
    <w:p w14:paraId="4E6C3CF9">
      <w:pPr>
        <w:spacing w:line="360" w:lineRule="auto"/>
        <w:ind w:firstLine="480" w:firstLineChars="200"/>
        <w:rPr>
          <w:rFonts w:ascii="宋体" w:hAnsi="宋体"/>
          <w:kern w:val="0"/>
          <w:sz w:val="24"/>
        </w:rPr>
      </w:pPr>
      <w:r>
        <w:rPr>
          <w:rFonts w:hint="eastAsia" w:ascii="宋体" w:hAnsi="宋体"/>
          <w:kern w:val="0"/>
          <w:sz w:val="24"/>
        </w:rPr>
        <w:t>（7）违法分包或擅自让未经发包人批准的分包单位进场作业；</w:t>
      </w:r>
    </w:p>
    <w:p w14:paraId="6EC391C1">
      <w:pPr>
        <w:spacing w:line="360" w:lineRule="auto"/>
        <w:ind w:firstLine="480" w:firstLineChars="200"/>
        <w:rPr>
          <w:rFonts w:ascii="宋体" w:hAnsi="宋体"/>
          <w:kern w:val="0"/>
          <w:sz w:val="24"/>
        </w:rPr>
      </w:pPr>
      <w:r>
        <w:rPr>
          <w:rFonts w:hint="eastAsia" w:ascii="宋体" w:hAnsi="宋体"/>
          <w:kern w:val="0"/>
          <w:sz w:val="24"/>
        </w:rPr>
        <w:t>（8）存在安全隐患，未按监理单位要求及时进行整改；</w:t>
      </w:r>
    </w:p>
    <w:p w14:paraId="4B63D108">
      <w:pPr>
        <w:spacing w:line="360" w:lineRule="auto"/>
        <w:ind w:firstLine="480" w:firstLineChars="200"/>
        <w:rPr>
          <w:rFonts w:ascii="宋体" w:hAnsi="宋体"/>
          <w:kern w:val="0"/>
          <w:sz w:val="24"/>
        </w:rPr>
      </w:pPr>
      <w:r>
        <w:rPr>
          <w:rFonts w:hint="eastAsia" w:ascii="宋体" w:hAnsi="宋体"/>
          <w:kern w:val="0"/>
          <w:sz w:val="24"/>
        </w:rPr>
        <w:t>（9）未按双方约定的要求上报所需的资料。</w:t>
      </w:r>
    </w:p>
    <w:p w14:paraId="78A60F26">
      <w:pPr>
        <w:spacing w:line="360" w:lineRule="auto"/>
        <w:ind w:firstLine="480" w:firstLineChars="200"/>
        <w:rPr>
          <w:rFonts w:ascii="宋体" w:hAnsi="宋体"/>
          <w:kern w:val="0"/>
          <w:sz w:val="24"/>
        </w:rPr>
      </w:pPr>
      <w:r>
        <w:rPr>
          <w:rFonts w:hint="eastAsia" w:ascii="宋体" w:hAnsi="宋体" w:cs="宋体"/>
          <w:bCs/>
          <w:snapToGrid w:val="0"/>
          <w:kern w:val="0"/>
          <w:sz w:val="24"/>
        </w:rPr>
        <w:t>15</w:t>
      </w:r>
      <w:r>
        <w:rPr>
          <w:rFonts w:hint="eastAsia" w:ascii="宋体" w:hAnsi="宋体"/>
          <w:kern w:val="0"/>
          <w:sz w:val="24"/>
        </w:rPr>
        <w:t>.3当发生合同条款第</w:t>
      </w:r>
      <w:r>
        <w:rPr>
          <w:rFonts w:hint="eastAsia" w:ascii="宋体" w:hAnsi="宋体" w:cs="宋体"/>
          <w:bCs/>
          <w:snapToGrid w:val="0"/>
          <w:kern w:val="0"/>
          <w:sz w:val="24"/>
        </w:rPr>
        <w:t>15</w:t>
      </w:r>
      <w:r>
        <w:rPr>
          <w:rFonts w:hint="eastAsia" w:ascii="宋体" w:hAnsi="宋体"/>
          <w:kern w:val="0"/>
          <w:sz w:val="24"/>
        </w:rPr>
        <w:t>.1款约定</w:t>
      </w:r>
      <w:r>
        <w:rPr>
          <w:rFonts w:hint="eastAsia" w:ascii="宋体" w:hAnsi="宋体" w:cs="宋体"/>
          <w:bCs/>
          <w:snapToGrid w:val="0"/>
          <w:kern w:val="0"/>
          <w:sz w:val="24"/>
        </w:rPr>
        <w:t>而</w:t>
      </w:r>
      <w:r>
        <w:rPr>
          <w:rFonts w:hint="eastAsia" w:ascii="宋体" w:hAnsi="宋体"/>
          <w:kern w:val="0"/>
          <w:sz w:val="24"/>
        </w:rPr>
        <w:t>暂停施工时，承包人应立即停止现场的实施工作，并根据合同约定负责在暂停期间，对工程、工程物资及承包人文件等进行照管和保护。因承包人原因未能尽到照管、保护的责任，造成损坏、丢失等，使发包人的费用增减，和（或）竣工日期延误的，由承包人负责。</w:t>
      </w:r>
    </w:p>
    <w:p w14:paraId="429606DE">
      <w:pPr>
        <w:spacing w:line="360" w:lineRule="auto"/>
        <w:ind w:firstLine="480" w:firstLineChars="200"/>
        <w:rPr>
          <w:rFonts w:ascii="宋体" w:hAnsi="宋体"/>
          <w:kern w:val="0"/>
          <w:sz w:val="24"/>
        </w:rPr>
      </w:pPr>
      <w:r>
        <w:rPr>
          <w:rFonts w:hint="eastAsia" w:ascii="宋体" w:hAnsi="宋体" w:cs="宋体"/>
          <w:bCs/>
          <w:snapToGrid w:val="0"/>
          <w:kern w:val="0"/>
          <w:sz w:val="24"/>
        </w:rPr>
        <w:t>15</w:t>
      </w:r>
      <w:r>
        <w:rPr>
          <w:rFonts w:hint="eastAsia" w:ascii="宋体" w:hAnsi="宋体"/>
          <w:kern w:val="0"/>
          <w:sz w:val="24"/>
        </w:rPr>
        <w:t>.4当工程具备复工条件时，监理单位应当及时发出复工通知；或承包人可直接向监理单位提出复工建议，经发包人批准后，监理单位发出复工通知。承包人应当按通知要求立即组织实施复工工作，不得拖延，否则按合同条款第41.</w:t>
      </w:r>
      <w:r>
        <w:rPr>
          <w:rFonts w:hint="eastAsia" w:ascii="宋体" w:hAnsi="宋体" w:cs="宋体"/>
          <w:bCs/>
          <w:snapToGrid w:val="0"/>
          <w:kern w:val="0"/>
          <w:sz w:val="24"/>
        </w:rPr>
        <w:t>8</w:t>
      </w:r>
      <w:r>
        <w:rPr>
          <w:rFonts w:hint="eastAsia" w:ascii="宋体" w:hAnsi="宋体"/>
          <w:kern w:val="0"/>
          <w:sz w:val="24"/>
        </w:rPr>
        <w:t>（1）款的约定承担违约责任。</w:t>
      </w:r>
    </w:p>
    <w:p w14:paraId="1B145E15">
      <w:pPr>
        <w:spacing w:line="360" w:lineRule="auto"/>
        <w:ind w:firstLine="482" w:firstLineChars="200"/>
        <w:outlineLvl w:val="1"/>
        <w:rPr>
          <w:rFonts w:ascii="宋体" w:hAnsi="宋体"/>
          <w:b/>
          <w:kern w:val="0"/>
          <w:sz w:val="24"/>
        </w:rPr>
      </w:pPr>
      <w:bookmarkStart w:id="317" w:name="_Toc3794"/>
      <w:bookmarkStart w:id="318" w:name="_Toc504465894"/>
      <w:bookmarkStart w:id="319" w:name="_Toc502215491"/>
      <w:bookmarkStart w:id="320" w:name="_Toc3177"/>
      <w:bookmarkStart w:id="321" w:name="_Toc31373_WPSOffice_Level3"/>
      <w:bookmarkStart w:id="322" w:name="_Toc27690"/>
      <w:bookmarkStart w:id="323" w:name="_Toc518402589"/>
      <w:bookmarkStart w:id="324" w:name="_Toc104901766"/>
      <w:bookmarkStart w:id="325" w:name="_Toc144746877"/>
      <w:bookmarkStart w:id="326" w:name="_Toc144745959"/>
      <w:r>
        <w:rPr>
          <w:rFonts w:hint="eastAsia" w:ascii="宋体" w:hAnsi="宋体" w:cs="宋体"/>
          <w:b/>
          <w:bCs/>
          <w:snapToGrid w:val="0"/>
          <w:kern w:val="0"/>
          <w:sz w:val="24"/>
        </w:rPr>
        <w:t>16</w:t>
      </w:r>
      <w:r>
        <w:rPr>
          <w:rFonts w:hint="eastAsia" w:ascii="宋体" w:hAnsi="宋体"/>
          <w:b/>
          <w:kern w:val="0"/>
          <w:sz w:val="24"/>
        </w:rPr>
        <w:t>、工期</w:t>
      </w:r>
      <w:bookmarkEnd w:id="317"/>
      <w:bookmarkEnd w:id="318"/>
      <w:bookmarkEnd w:id="319"/>
      <w:bookmarkEnd w:id="320"/>
      <w:bookmarkEnd w:id="321"/>
      <w:bookmarkEnd w:id="322"/>
      <w:bookmarkEnd w:id="323"/>
      <w:bookmarkEnd w:id="324"/>
      <w:bookmarkEnd w:id="325"/>
      <w:bookmarkEnd w:id="326"/>
    </w:p>
    <w:p w14:paraId="13502349">
      <w:pPr>
        <w:spacing w:line="360" w:lineRule="auto"/>
        <w:ind w:firstLine="480" w:firstLineChars="200"/>
        <w:rPr>
          <w:rFonts w:ascii="宋体" w:hAnsi="宋体"/>
          <w:kern w:val="0"/>
          <w:sz w:val="24"/>
        </w:rPr>
      </w:pPr>
      <w:r>
        <w:rPr>
          <w:rFonts w:hint="eastAsia" w:ascii="宋体" w:hAnsi="宋体" w:cs="宋体"/>
          <w:bCs/>
          <w:snapToGrid w:val="0"/>
          <w:kern w:val="0"/>
          <w:sz w:val="24"/>
        </w:rPr>
        <w:t>16</w:t>
      </w:r>
      <w:r>
        <w:rPr>
          <w:rFonts w:hint="eastAsia" w:ascii="宋体" w:hAnsi="宋体"/>
          <w:kern w:val="0"/>
          <w:sz w:val="24"/>
        </w:rPr>
        <w:t>.1工期控制与调整</w:t>
      </w:r>
    </w:p>
    <w:p w14:paraId="0AB8AB9F">
      <w:pPr>
        <w:spacing w:line="360" w:lineRule="auto"/>
        <w:ind w:firstLine="480" w:firstLineChars="200"/>
        <w:rPr>
          <w:rFonts w:ascii="宋体" w:hAnsi="宋体"/>
          <w:kern w:val="0"/>
          <w:sz w:val="24"/>
        </w:rPr>
      </w:pPr>
      <w:r>
        <w:rPr>
          <w:rFonts w:hint="eastAsia" w:ascii="宋体" w:hAnsi="宋体"/>
          <w:kern w:val="0"/>
          <w:sz w:val="24"/>
        </w:rPr>
        <w:t>（1）本工程工期分为关键节点工期和一般节点工期两类，承包人必须在施工组织设计文件中分专业详细区分和列明本工程的关键节点工期和一般节点工期，根据投标文件编制施工总控计划，报总监理工程师和发包人批准后实施。施工总控计划一旦批准后不得随意调整。</w:t>
      </w:r>
    </w:p>
    <w:p w14:paraId="1B7C3764">
      <w:pPr>
        <w:spacing w:line="360" w:lineRule="auto"/>
        <w:ind w:firstLine="480" w:firstLineChars="200"/>
        <w:rPr>
          <w:rFonts w:ascii="宋体" w:hAnsi="宋体"/>
          <w:kern w:val="0"/>
          <w:sz w:val="24"/>
        </w:rPr>
      </w:pPr>
      <w:r>
        <w:rPr>
          <w:rFonts w:hint="eastAsia" w:ascii="宋体" w:hAnsi="宋体"/>
          <w:kern w:val="0"/>
          <w:sz w:val="24"/>
        </w:rPr>
        <w:t>（2）工期调整的原则：对于承包人原因造成的工期延误，工期一概不得顺延；对于非承包人原因造成的工期延误，一般节点工期可以相应顺延。关键节点工期一般不予调整，承包人应当采取合理有效的赶工措施予以消化，而且这些合理有效的赶工措施费已包括在投标总报价中，发包人不予补偿。</w:t>
      </w:r>
    </w:p>
    <w:p w14:paraId="461BA9DC">
      <w:pPr>
        <w:spacing w:line="360" w:lineRule="auto"/>
        <w:ind w:firstLine="480" w:firstLineChars="200"/>
        <w:rPr>
          <w:rFonts w:ascii="宋体" w:hAnsi="宋体"/>
          <w:kern w:val="0"/>
          <w:sz w:val="24"/>
        </w:rPr>
      </w:pPr>
      <w:r>
        <w:rPr>
          <w:rFonts w:hint="eastAsia" w:ascii="宋体" w:hAnsi="宋体"/>
          <w:kern w:val="0"/>
          <w:sz w:val="24"/>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w:t>
      </w:r>
      <w:r>
        <w:rPr>
          <w:rFonts w:hint="eastAsia" w:ascii="宋体" w:hAnsi="宋体" w:cs="宋体"/>
          <w:bCs/>
          <w:snapToGrid w:val="0"/>
          <w:kern w:val="0"/>
          <w:sz w:val="24"/>
        </w:rPr>
        <w:t>且已采取了合理的赶工措施足以确保工程按期竣工的，可同意工期调整，费用不予增加。承包人必须按照调整后的总工期控制计划和关键节点工期计划执行。因承包人原因造成关键节点工期调整产生的额外费用（如有）由承包人自行承担</w:t>
      </w:r>
      <w:r>
        <w:rPr>
          <w:rFonts w:hint="eastAsia" w:ascii="宋体" w:hAnsi="宋体"/>
          <w:kern w:val="0"/>
          <w:sz w:val="24"/>
        </w:rPr>
        <w:t>。</w:t>
      </w:r>
    </w:p>
    <w:p w14:paraId="6A67D655">
      <w:pPr>
        <w:spacing w:line="360" w:lineRule="auto"/>
        <w:ind w:firstLine="480" w:firstLineChars="200"/>
        <w:rPr>
          <w:rFonts w:ascii="宋体" w:hAnsi="宋体"/>
          <w:kern w:val="0"/>
          <w:sz w:val="24"/>
        </w:rPr>
      </w:pPr>
      <w:r>
        <w:rPr>
          <w:rFonts w:hint="eastAsia" w:ascii="宋体" w:hAnsi="宋体" w:cs="宋体"/>
          <w:bCs/>
          <w:snapToGrid w:val="0"/>
          <w:kern w:val="0"/>
          <w:sz w:val="24"/>
        </w:rPr>
        <w:t>16</w:t>
      </w:r>
      <w:r>
        <w:rPr>
          <w:rFonts w:hint="eastAsia" w:ascii="宋体" w:hAnsi="宋体"/>
          <w:kern w:val="0"/>
          <w:sz w:val="24"/>
        </w:rPr>
        <w:t>.2工期延误的原因及其处理</w:t>
      </w:r>
    </w:p>
    <w:p w14:paraId="511BD15D">
      <w:pPr>
        <w:spacing w:line="360" w:lineRule="auto"/>
        <w:ind w:firstLine="480" w:firstLineChars="200"/>
        <w:rPr>
          <w:rFonts w:ascii="宋体" w:hAnsi="宋体"/>
          <w:kern w:val="0"/>
          <w:sz w:val="24"/>
        </w:rPr>
      </w:pPr>
      <w:r>
        <w:rPr>
          <w:rFonts w:hint="eastAsia" w:ascii="宋体" w:hAnsi="宋体"/>
          <w:kern w:val="0"/>
          <w:sz w:val="24"/>
        </w:rPr>
        <w:t>（1）非承包人原因造成的工期延误，是指有确凿证据证实因下列原因而直接造成承包人的原定工期计划延误：</w:t>
      </w:r>
    </w:p>
    <w:p w14:paraId="5D5D3D45">
      <w:pPr>
        <w:spacing w:line="360" w:lineRule="auto"/>
        <w:ind w:firstLine="480" w:firstLineChars="200"/>
        <w:rPr>
          <w:rFonts w:ascii="宋体" w:hAnsi="宋体"/>
          <w:kern w:val="0"/>
          <w:sz w:val="24"/>
        </w:rPr>
      </w:pPr>
      <w:r>
        <w:rPr>
          <w:rFonts w:hint="eastAsia" w:ascii="宋体" w:hAnsi="宋体"/>
          <w:kern w:val="0"/>
          <w:sz w:val="24"/>
        </w:rPr>
        <w:t>1）不可抗力（含政府对本工程建设项目作出停建、缓建的决定，除本合同另有约定外，发包人对此无需给承包人其他费用补充或赔偿</w:t>
      </w:r>
      <w:r>
        <w:rPr>
          <w:rFonts w:hint="eastAsia" w:ascii="宋体" w:hAnsi="宋体" w:cs="宋体"/>
          <w:bCs/>
          <w:snapToGrid w:val="0"/>
          <w:kern w:val="0"/>
          <w:sz w:val="24"/>
        </w:rPr>
        <w:t>）</w:t>
      </w:r>
      <w:r>
        <w:rPr>
          <w:rFonts w:hint="eastAsia" w:ascii="宋体" w:hAnsi="宋体"/>
          <w:kern w:val="0"/>
          <w:sz w:val="24"/>
        </w:rPr>
        <w:t>；</w:t>
      </w:r>
    </w:p>
    <w:p w14:paraId="1F8DF944">
      <w:pPr>
        <w:spacing w:line="360" w:lineRule="auto"/>
        <w:ind w:firstLine="480" w:firstLineChars="200"/>
        <w:rPr>
          <w:rFonts w:ascii="宋体" w:hAnsi="宋体"/>
          <w:kern w:val="0"/>
          <w:sz w:val="24"/>
        </w:rPr>
      </w:pPr>
      <w:r>
        <w:rPr>
          <w:rFonts w:hint="eastAsia" w:ascii="宋体" w:hAnsi="宋体"/>
          <w:kern w:val="0"/>
          <w:sz w:val="24"/>
        </w:rPr>
        <w:t>2）发包人指令（非承包人原因）引起的停工；</w:t>
      </w:r>
    </w:p>
    <w:p w14:paraId="24F084A1">
      <w:pPr>
        <w:spacing w:line="360" w:lineRule="auto"/>
        <w:ind w:firstLine="480" w:firstLineChars="200"/>
        <w:rPr>
          <w:rFonts w:ascii="宋体" w:hAnsi="宋体"/>
          <w:kern w:val="0"/>
          <w:sz w:val="24"/>
        </w:rPr>
      </w:pPr>
      <w:r>
        <w:rPr>
          <w:rFonts w:hint="eastAsia" w:ascii="宋体" w:hAnsi="宋体"/>
          <w:kern w:val="0"/>
          <w:sz w:val="24"/>
        </w:rPr>
        <w:t>除上述原因之外，其它所有工期延误均为承包人原因造成的延误。</w:t>
      </w:r>
    </w:p>
    <w:p w14:paraId="5FA6D1C2">
      <w:pPr>
        <w:spacing w:line="360" w:lineRule="auto"/>
        <w:ind w:firstLine="480" w:firstLineChars="200"/>
        <w:rPr>
          <w:rFonts w:ascii="宋体" w:hAnsi="宋体"/>
          <w:kern w:val="0"/>
          <w:sz w:val="24"/>
        </w:rPr>
      </w:pPr>
      <w:r>
        <w:rPr>
          <w:rFonts w:hint="eastAsia" w:ascii="宋体" w:hAnsi="宋体"/>
          <w:kern w:val="0"/>
          <w:sz w:val="24"/>
        </w:rPr>
        <w:t>（2）因承包人原因造成的工期延误，工期一概不得顺延。承包人还应当按照合同条款第41.</w:t>
      </w:r>
      <w:r>
        <w:rPr>
          <w:rFonts w:hint="eastAsia" w:ascii="宋体" w:hAnsi="宋体" w:cs="宋体"/>
          <w:bCs/>
          <w:snapToGrid w:val="0"/>
          <w:kern w:val="0"/>
          <w:sz w:val="24"/>
        </w:rPr>
        <w:t>9</w:t>
      </w:r>
      <w:r>
        <w:rPr>
          <w:rFonts w:hint="eastAsia" w:ascii="宋体" w:hAnsi="宋体"/>
          <w:kern w:val="0"/>
          <w:sz w:val="24"/>
        </w:rPr>
        <w:t>款的有关约定承担违约责任。</w:t>
      </w:r>
    </w:p>
    <w:p w14:paraId="49279E6A">
      <w:pPr>
        <w:spacing w:line="360" w:lineRule="auto"/>
        <w:ind w:firstLine="480" w:firstLineChars="200"/>
        <w:rPr>
          <w:rFonts w:ascii="宋体" w:hAnsi="宋体"/>
          <w:kern w:val="0"/>
          <w:sz w:val="24"/>
        </w:rPr>
      </w:pPr>
      <w:r>
        <w:rPr>
          <w:rFonts w:hint="eastAsia" w:ascii="宋体" w:hAnsi="宋体"/>
          <w:kern w:val="0"/>
          <w:sz w:val="24"/>
        </w:rPr>
        <w:t>（3）因承包人对现场组织管理不力或未能提供协调、配合服务，以致专业工程的进度影响工期，承包人不得以此为由提出延长工期的要求。</w:t>
      </w:r>
    </w:p>
    <w:p w14:paraId="6F8B5DC1">
      <w:pPr>
        <w:spacing w:line="360" w:lineRule="auto"/>
        <w:ind w:firstLine="480" w:firstLineChars="200"/>
        <w:rPr>
          <w:rFonts w:ascii="宋体" w:hAnsi="宋体"/>
          <w:kern w:val="0"/>
          <w:sz w:val="24"/>
        </w:rPr>
      </w:pPr>
      <w:r>
        <w:rPr>
          <w:rFonts w:hint="eastAsia" w:ascii="宋体" w:hAnsi="宋体" w:cs="宋体"/>
          <w:bCs/>
          <w:snapToGrid w:val="0"/>
          <w:kern w:val="0"/>
          <w:sz w:val="24"/>
        </w:rPr>
        <w:t>16</w:t>
      </w:r>
      <w:r>
        <w:rPr>
          <w:rFonts w:hint="eastAsia" w:ascii="宋体" w:hAnsi="宋体"/>
          <w:kern w:val="0"/>
          <w:sz w:val="24"/>
        </w:rPr>
        <w:t>.3承包人应当对工期全面负责，对项目进度计划和各阶段的进度进行管理，通过</w:t>
      </w:r>
      <w:r>
        <w:rPr>
          <w:rFonts w:hint="eastAsia" w:ascii="宋体" w:hAnsi="宋体" w:cs="宋体"/>
          <w:bCs/>
          <w:snapToGrid w:val="0"/>
          <w:kern w:val="0"/>
          <w:sz w:val="24"/>
        </w:rPr>
        <w:t>设计、</w:t>
      </w:r>
      <w:r>
        <w:rPr>
          <w:rFonts w:hint="eastAsia" w:ascii="宋体" w:hAnsi="宋体"/>
          <w:kern w:val="0"/>
          <w:sz w:val="24"/>
        </w:rPr>
        <w:t>采购、施工、试运行各阶段的协调、配合与合理交叉，科学制定、实施、控制进度计划，确保工程按期竣工。</w:t>
      </w:r>
    </w:p>
    <w:p w14:paraId="73481B02">
      <w:pPr>
        <w:spacing w:line="360" w:lineRule="auto"/>
        <w:ind w:firstLine="482" w:firstLineChars="200"/>
        <w:outlineLvl w:val="1"/>
        <w:rPr>
          <w:rFonts w:ascii="宋体" w:hAnsi="宋体"/>
          <w:b/>
          <w:kern w:val="0"/>
          <w:sz w:val="24"/>
        </w:rPr>
      </w:pPr>
      <w:bookmarkStart w:id="327" w:name="_Toc144746878"/>
      <w:bookmarkStart w:id="328" w:name="_Toc24612"/>
      <w:bookmarkStart w:id="329" w:name="_Toc504465895"/>
      <w:bookmarkStart w:id="330" w:name="_Toc104901767"/>
      <w:bookmarkStart w:id="331" w:name="_Toc518402590"/>
      <w:bookmarkStart w:id="332" w:name="_Toc144745960"/>
      <w:bookmarkStart w:id="333" w:name="_Toc14165_WPSOffice_Level3"/>
      <w:bookmarkStart w:id="334" w:name="_Toc565"/>
      <w:bookmarkStart w:id="335" w:name="_Toc502215492"/>
      <w:bookmarkStart w:id="336" w:name="_Toc10778"/>
      <w:r>
        <w:rPr>
          <w:rFonts w:hint="eastAsia" w:ascii="宋体" w:hAnsi="宋体" w:cs="宋体"/>
          <w:b/>
          <w:bCs/>
          <w:snapToGrid w:val="0"/>
          <w:kern w:val="0"/>
          <w:sz w:val="24"/>
        </w:rPr>
        <w:t>17</w:t>
      </w:r>
      <w:r>
        <w:rPr>
          <w:rFonts w:hint="eastAsia" w:ascii="宋体" w:hAnsi="宋体"/>
          <w:b/>
          <w:kern w:val="0"/>
          <w:sz w:val="24"/>
        </w:rPr>
        <w:t>、工程竣工</w:t>
      </w:r>
      <w:bookmarkEnd w:id="327"/>
      <w:bookmarkEnd w:id="328"/>
      <w:bookmarkEnd w:id="329"/>
      <w:bookmarkEnd w:id="330"/>
      <w:bookmarkEnd w:id="331"/>
      <w:bookmarkEnd w:id="332"/>
      <w:bookmarkEnd w:id="333"/>
      <w:bookmarkEnd w:id="334"/>
      <w:bookmarkEnd w:id="335"/>
      <w:bookmarkEnd w:id="336"/>
    </w:p>
    <w:p w14:paraId="168077B6">
      <w:pPr>
        <w:spacing w:line="360" w:lineRule="auto"/>
        <w:ind w:firstLine="480" w:firstLineChars="200"/>
        <w:rPr>
          <w:rFonts w:ascii="宋体" w:hAnsi="宋体"/>
          <w:kern w:val="0"/>
          <w:sz w:val="24"/>
        </w:rPr>
      </w:pPr>
      <w:r>
        <w:rPr>
          <w:rFonts w:hint="eastAsia" w:ascii="宋体" w:hAnsi="宋体"/>
          <w:kern w:val="0"/>
          <w:sz w:val="24"/>
        </w:rPr>
        <w:t>因承包人原因不能按照合同协议书约定的竣工日期或发包人同意顺延的工期竣工的，承包人承担违约责任。</w:t>
      </w:r>
    </w:p>
    <w:p w14:paraId="63929CFC">
      <w:pPr>
        <w:pStyle w:val="27"/>
        <w:spacing w:line="360" w:lineRule="auto"/>
        <w:ind w:firstLine="562" w:firstLineChars="200"/>
        <w:outlineLvl w:val="0"/>
        <w:rPr>
          <w:rFonts w:ascii="宋体" w:hAnsi="宋体"/>
          <w:b/>
          <w:sz w:val="28"/>
        </w:rPr>
      </w:pPr>
      <w:bookmarkStart w:id="337" w:name="_Toc518402591"/>
      <w:bookmarkStart w:id="338" w:name="_Toc104901768"/>
      <w:bookmarkStart w:id="339" w:name="_Toc502215493"/>
      <w:bookmarkStart w:id="340" w:name="_Toc24289_WPSOffice_Level2"/>
      <w:bookmarkStart w:id="341" w:name="_Toc504465896"/>
      <w:r>
        <w:rPr>
          <w:rFonts w:hint="eastAsia" w:ascii="宋体" w:hAnsi="宋体" w:cs="宋体"/>
          <w:b/>
          <w:snapToGrid w:val="0"/>
          <w:sz w:val="28"/>
          <w:szCs w:val="28"/>
        </w:rPr>
        <w:t>五</w:t>
      </w:r>
      <w:r>
        <w:rPr>
          <w:rFonts w:hint="eastAsia" w:ascii="宋体" w:hAnsi="宋体"/>
          <w:b/>
          <w:sz w:val="28"/>
        </w:rPr>
        <w:t>、质量与检验</w:t>
      </w:r>
      <w:bookmarkEnd w:id="337"/>
      <w:bookmarkEnd w:id="338"/>
      <w:bookmarkEnd w:id="339"/>
      <w:bookmarkEnd w:id="340"/>
      <w:bookmarkEnd w:id="341"/>
    </w:p>
    <w:p w14:paraId="7979F22A">
      <w:pPr>
        <w:spacing w:line="360" w:lineRule="auto"/>
        <w:ind w:firstLine="482" w:firstLineChars="200"/>
        <w:outlineLvl w:val="1"/>
        <w:rPr>
          <w:rFonts w:ascii="宋体" w:hAnsi="宋体"/>
          <w:b/>
          <w:kern w:val="0"/>
          <w:sz w:val="24"/>
        </w:rPr>
      </w:pPr>
      <w:bookmarkStart w:id="342" w:name="_Toc144746879"/>
      <w:bookmarkStart w:id="343" w:name="_Toc504465897"/>
      <w:bookmarkStart w:id="344" w:name="_Toc502215494"/>
      <w:bookmarkStart w:id="345" w:name="_Toc104901769"/>
      <w:bookmarkStart w:id="346" w:name="_Toc3461_WPSOffice_Level3"/>
      <w:bookmarkStart w:id="347" w:name="_Toc31870"/>
      <w:bookmarkStart w:id="348" w:name="_Toc4781"/>
      <w:bookmarkStart w:id="349" w:name="_Toc144745961"/>
      <w:bookmarkStart w:id="350" w:name="_Toc31033"/>
      <w:bookmarkStart w:id="351" w:name="_Toc518402592"/>
      <w:r>
        <w:rPr>
          <w:rFonts w:hint="eastAsia" w:ascii="宋体" w:hAnsi="宋体" w:cs="宋体"/>
          <w:b/>
          <w:bCs/>
          <w:snapToGrid w:val="0"/>
          <w:kern w:val="0"/>
          <w:sz w:val="24"/>
        </w:rPr>
        <w:t>18</w:t>
      </w:r>
      <w:r>
        <w:rPr>
          <w:rFonts w:hint="eastAsia" w:ascii="宋体" w:hAnsi="宋体"/>
          <w:b/>
          <w:kern w:val="0"/>
          <w:sz w:val="24"/>
        </w:rPr>
        <w:t>、工程质量</w:t>
      </w:r>
      <w:bookmarkEnd w:id="342"/>
      <w:bookmarkEnd w:id="343"/>
      <w:bookmarkEnd w:id="344"/>
      <w:bookmarkEnd w:id="345"/>
      <w:bookmarkEnd w:id="346"/>
      <w:bookmarkEnd w:id="347"/>
      <w:bookmarkEnd w:id="348"/>
      <w:bookmarkEnd w:id="349"/>
      <w:bookmarkEnd w:id="350"/>
      <w:bookmarkEnd w:id="351"/>
    </w:p>
    <w:p w14:paraId="6A0B0054">
      <w:pPr>
        <w:spacing w:line="360" w:lineRule="auto"/>
        <w:ind w:firstLine="480" w:firstLineChars="200"/>
        <w:rPr>
          <w:rFonts w:ascii="宋体" w:hAnsi="宋体"/>
          <w:kern w:val="0"/>
          <w:sz w:val="24"/>
        </w:rPr>
      </w:pPr>
      <w:r>
        <w:rPr>
          <w:rFonts w:hint="eastAsia" w:ascii="宋体" w:hAnsi="宋体" w:cs="宋体"/>
          <w:bCs/>
          <w:snapToGrid w:val="0"/>
          <w:kern w:val="0"/>
          <w:sz w:val="24"/>
        </w:rPr>
        <w:t>18</w:t>
      </w:r>
      <w:r>
        <w:rPr>
          <w:rFonts w:hint="eastAsia" w:ascii="宋体" w:hAnsi="宋体"/>
          <w:kern w:val="0"/>
          <w:sz w:val="24"/>
        </w:rPr>
        <w:t>.1工程质量标准</w:t>
      </w:r>
    </w:p>
    <w:p w14:paraId="0C82CAD9">
      <w:pPr>
        <w:spacing w:line="360" w:lineRule="auto"/>
        <w:ind w:firstLine="480" w:firstLineChars="200"/>
        <w:rPr>
          <w:rFonts w:ascii="宋体" w:hAnsi="宋体"/>
          <w:kern w:val="0"/>
          <w:sz w:val="24"/>
        </w:rPr>
      </w:pPr>
      <w:r>
        <w:rPr>
          <w:rFonts w:hint="eastAsia" w:ascii="宋体" w:hAnsi="宋体"/>
          <w:kern w:val="0"/>
          <w:sz w:val="24"/>
        </w:rPr>
        <w:t>（1）本合同工程质量标准按合同协议书第4条的约定执行。</w:t>
      </w:r>
    </w:p>
    <w:p w14:paraId="143308CA">
      <w:pPr>
        <w:spacing w:line="360" w:lineRule="auto"/>
        <w:ind w:firstLine="480" w:firstLineChars="200"/>
        <w:rPr>
          <w:rFonts w:ascii="宋体" w:hAnsi="宋体"/>
          <w:kern w:val="0"/>
          <w:sz w:val="24"/>
        </w:rPr>
      </w:pPr>
      <w:r>
        <w:rPr>
          <w:rFonts w:hint="eastAsia" w:ascii="宋体" w:hAnsi="宋体"/>
          <w:kern w:val="0"/>
          <w:sz w:val="24"/>
        </w:rPr>
        <w:t>（2）承包人必须确保工程一次验收合格。因承包人原因致使工程未一次验收合格的，由承包人按照合同条款第41.</w:t>
      </w:r>
      <w:r>
        <w:rPr>
          <w:rFonts w:hint="eastAsia" w:ascii="宋体" w:hAnsi="宋体" w:cs="宋体"/>
          <w:bCs/>
          <w:snapToGrid w:val="0"/>
          <w:kern w:val="0"/>
          <w:sz w:val="24"/>
        </w:rPr>
        <w:t>11</w:t>
      </w:r>
      <w:r>
        <w:rPr>
          <w:rFonts w:hint="eastAsia" w:ascii="宋体" w:hAnsi="宋体"/>
          <w:kern w:val="0"/>
          <w:sz w:val="24"/>
        </w:rPr>
        <w:t>（2）款的约定承担违约责任；因此导致工程不能按计划工期办理竣工验收的，由承包人按照合同条款第41.</w:t>
      </w:r>
      <w:r>
        <w:rPr>
          <w:rFonts w:hint="eastAsia" w:ascii="宋体" w:hAnsi="宋体" w:cs="宋体"/>
          <w:bCs/>
          <w:snapToGrid w:val="0"/>
          <w:kern w:val="0"/>
          <w:sz w:val="24"/>
        </w:rPr>
        <w:t>9</w:t>
      </w:r>
      <w:r>
        <w:rPr>
          <w:rFonts w:hint="eastAsia" w:ascii="宋体" w:hAnsi="宋体"/>
          <w:kern w:val="0"/>
          <w:sz w:val="24"/>
        </w:rPr>
        <w:t>（5）款的约定承担违约责任。</w:t>
      </w:r>
    </w:p>
    <w:p w14:paraId="25E7BAAF">
      <w:pPr>
        <w:spacing w:line="360" w:lineRule="auto"/>
        <w:ind w:firstLine="480" w:firstLineChars="200"/>
        <w:rPr>
          <w:rFonts w:ascii="宋体" w:hAnsi="宋体"/>
          <w:kern w:val="0"/>
          <w:sz w:val="24"/>
        </w:rPr>
      </w:pPr>
      <w:r>
        <w:rPr>
          <w:rFonts w:hint="eastAsia" w:ascii="宋体" w:hAnsi="宋体" w:cs="宋体"/>
          <w:bCs/>
          <w:snapToGrid w:val="0"/>
          <w:kern w:val="0"/>
          <w:sz w:val="24"/>
        </w:rPr>
        <w:t>18</w:t>
      </w:r>
      <w:r>
        <w:rPr>
          <w:rFonts w:hint="eastAsia" w:ascii="宋体" w:hAnsi="宋体"/>
          <w:kern w:val="0"/>
          <w:sz w:val="24"/>
        </w:rPr>
        <w:t>.2工程质量应当达到合同协议书约定的质量标准，质量标准的评定以国家或行业的质量检验评定标准为依据。因承包人原因工程质量达不到约定的质量标准，承包人承担违约责任。</w:t>
      </w:r>
    </w:p>
    <w:p w14:paraId="027066FA">
      <w:pPr>
        <w:spacing w:line="360" w:lineRule="auto"/>
        <w:ind w:firstLine="480" w:firstLineChars="200"/>
        <w:rPr>
          <w:rFonts w:ascii="宋体" w:hAnsi="宋体"/>
          <w:kern w:val="0"/>
          <w:sz w:val="24"/>
        </w:rPr>
      </w:pPr>
      <w:r>
        <w:rPr>
          <w:rFonts w:hint="eastAsia" w:ascii="宋体" w:hAnsi="宋体" w:cs="宋体"/>
          <w:bCs/>
          <w:snapToGrid w:val="0"/>
          <w:kern w:val="0"/>
          <w:sz w:val="24"/>
        </w:rPr>
        <w:t>18</w:t>
      </w:r>
      <w:r>
        <w:rPr>
          <w:rFonts w:hint="eastAsia" w:ascii="宋体" w:hAnsi="宋体"/>
          <w:kern w:val="0"/>
          <w:sz w:val="24"/>
        </w:rPr>
        <w:t>.3因承包人原因造成工程质量不符合法律的规定和合同约定的，发包人有权要求承包人返工直至符合合同要求为止，由此造成的费用增加和（或）工期延误由承包人承担。</w:t>
      </w:r>
    </w:p>
    <w:p w14:paraId="4C27C66F">
      <w:pPr>
        <w:spacing w:line="360" w:lineRule="auto"/>
        <w:ind w:firstLine="480" w:firstLineChars="200"/>
        <w:rPr>
          <w:rFonts w:ascii="宋体" w:hAnsi="宋体"/>
          <w:kern w:val="0"/>
          <w:sz w:val="24"/>
        </w:rPr>
      </w:pPr>
      <w:r>
        <w:rPr>
          <w:rFonts w:hint="eastAsia" w:ascii="宋体" w:hAnsi="宋体" w:cs="宋体"/>
          <w:bCs/>
          <w:snapToGrid w:val="0"/>
          <w:kern w:val="0"/>
          <w:sz w:val="24"/>
        </w:rPr>
        <w:t>18</w:t>
      </w:r>
      <w:r>
        <w:rPr>
          <w:rFonts w:hint="eastAsia" w:ascii="宋体" w:hAnsi="宋体"/>
          <w:kern w:val="0"/>
          <w:sz w:val="24"/>
        </w:rPr>
        <w:t>.4因发包人原因造成工程质量达不到合同约定验收标准的，发包人应承担由于承包人返工造成的费用增加和（或）工期延误，不作其他费用补偿。</w:t>
      </w:r>
    </w:p>
    <w:p w14:paraId="6AA5F0A2">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18.5设计质量要求：</w:t>
      </w:r>
    </w:p>
    <w:p w14:paraId="27868D90">
      <w:pPr>
        <w:spacing w:line="360" w:lineRule="auto"/>
        <w:ind w:firstLine="480" w:firstLineChars="200"/>
        <w:rPr>
          <w:rFonts w:ascii="宋体" w:hAnsi="宋体" w:cs="宋体"/>
          <w:b/>
          <w:snapToGrid w:val="0"/>
          <w:kern w:val="0"/>
          <w:sz w:val="24"/>
        </w:rPr>
      </w:pPr>
      <w:r>
        <w:rPr>
          <w:rFonts w:hint="eastAsia" w:ascii="宋体" w:hAnsi="宋体" w:cs="宋体"/>
          <w:bCs/>
          <w:snapToGrid w:val="0"/>
          <w:kern w:val="0"/>
          <w:sz w:val="24"/>
        </w:rPr>
        <w:t>18</w:t>
      </w:r>
      <w:r>
        <w:rPr>
          <w:rFonts w:hint="eastAsia" w:ascii="宋体" w:hAnsi="宋体"/>
          <w:kern w:val="0"/>
          <w:sz w:val="24"/>
        </w:rPr>
        <w:t>.5</w:t>
      </w:r>
      <w:r>
        <w:rPr>
          <w:rFonts w:hint="eastAsia" w:ascii="宋体" w:hAnsi="宋体" w:cs="宋体"/>
          <w:bCs/>
          <w:snapToGrid w:val="0"/>
          <w:kern w:val="0"/>
          <w:sz w:val="24"/>
        </w:rPr>
        <w:t>.1设计成果特性的要求</w:t>
      </w:r>
    </w:p>
    <w:p w14:paraId="228E4D81">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（1）设计是安全、可行、实用、经济、美观的、符合建设工程设计的技术规范及本项目设计任务书的要求，并能顺利通过主管部门或其委托部门的技术审查及发包人组织的设计成果验收。</w:t>
      </w:r>
    </w:p>
    <w:p w14:paraId="745DB0A2">
      <w:pPr>
        <w:spacing w:line="360" w:lineRule="auto"/>
        <w:ind w:firstLine="480" w:firstLineChars="200"/>
        <w:rPr>
          <w:rFonts w:ascii="宋体" w:hAnsi="宋体" w:cs="宋体"/>
          <w:snapToGrid w:val="0"/>
          <w:kern w:val="0"/>
          <w:sz w:val="24"/>
        </w:rPr>
      </w:pPr>
      <w:r>
        <w:rPr>
          <w:rFonts w:hint="eastAsia" w:ascii="宋体" w:hAnsi="宋体" w:cs="宋体"/>
          <w:bCs/>
          <w:snapToGrid w:val="0"/>
          <w:kern w:val="0"/>
          <w:sz w:val="24"/>
        </w:rPr>
        <w:t>（2）</w:t>
      </w:r>
      <w:r>
        <w:rPr>
          <w:rFonts w:hint="eastAsia" w:ascii="宋体" w:hAnsi="宋体" w:cs="宋体"/>
          <w:snapToGrid w:val="0"/>
          <w:kern w:val="0"/>
          <w:sz w:val="24"/>
        </w:rPr>
        <w:t>设计成果文件：指由设计单位提交并通过施工图审查单位的审查，且经发包人及政府相关部门批准后，符合《设计任务书》规定的范围、内容及要求，能满足投资与质量控制要求和作为下阶段设计依据或能指导施工实施的各阶段设计图纸、文件、资料计算书及说明书（含设计变更）、效果图、政府报批所需的模型及存有AutoCAD R14或AutoCAD 2000软件（或发包人指定的其他格式软件）生成的电子格式文件的光盘、配合发包人招标工作而提供的技术规格书等技术资料。</w:t>
      </w:r>
    </w:p>
    <w:p w14:paraId="531B7823">
      <w:pPr>
        <w:spacing w:line="360" w:lineRule="auto"/>
        <w:ind w:firstLine="480" w:firstLineChars="200"/>
        <w:rPr>
          <w:rFonts w:ascii="宋体" w:hAnsi="宋体" w:cs="宋体"/>
          <w:snapToGrid w:val="0"/>
          <w:kern w:val="0"/>
          <w:sz w:val="24"/>
        </w:rPr>
      </w:pPr>
      <w:r>
        <w:rPr>
          <w:rFonts w:hint="eastAsia" w:ascii="宋体" w:hAnsi="宋体" w:cs="宋体"/>
          <w:bCs/>
          <w:snapToGrid w:val="0"/>
          <w:kern w:val="0"/>
          <w:sz w:val="24"/>
        </w:rPr>
        <w:t>（3）</w:t>
      </w:r>
      <w:r>
        <w:rPr>
          <w:rFonts w:hint="eastAsia" w:ascii="宋体" w:hAnsi="宋体" w:cs="宋体"/>
          <w:snapToGrid w:val="0"/>
          <w:kern w:val="0"/>
          <w:sz w:val="24"/>
        </w:rPr>
        <w:t>设计完整性：指设计单位每批次交付的设计文件是合同及附件中规定的全部文件，并保证与提交人自己保留的该部分文件完全一致。</w:t>
      </w:r>
    </w:p>
    <w:p w14:paraId="5374F5A8">
      <w:pPr>
        <w:spacing w:line="360" w:lineRule="auto"/>
        <w:ind w:firstLine="480" w:firstLineChars="200"/>
        <w:rPr>
          <w:rFonts w:ascii="宋体" w:hAnsi="宋体" w:cs="宋体"/>
          <w:snapToGrid w:val="0"/>
          <w:kern w:val="0"/>
          <w:sz w:val="24"/>
        </w:rPr>
      </w:pPr>
      <w:r>
        <w:rPr>
          <w:rFonts w:hint="eastAsia" w:ascii="宋体" w:hAnsi="宋体" w:cs="宋体"/>
          <w:bCs/>
          <w:snapToGrid w:val="0"/>
          <w:kern w:val="0"/>
          <w:sz w:val="24"/>
        </w:rPr>
        <w:t>（4）</w:t>
      </w:r>
      <w:r>
        <w:rPr>
          <w:rFonts w:hint="eastAsia" w:ascii="宋体" w:hAnsi="宋体" w:cs="宋体"/>
          <w:snapToGrid w:val="0"/>
          <w:kern w:val="0"/>
          <w:sz w:val="24"/>
        </w:rPr>
        <w:t>设计有效性：指设计成果文件符合合同约定并符合现行相关规范和标准规定的要求。</w:t>
      </w:r>
    </w:p>
    <w:p w14:paraId="63325321">
      <w:pPr>
        <w:spacing w:line="360" w:lineRule="auto"/>
        <w:ind w:firstLine="480" w:firstLineChars="200"/>
        <w:rPr>
          <w:rFonts w:ascii="宋体" w:hAnsi="宋体" w:cs="宋体"/>
          <w:snapToGrid w:val="0"/>
          <w:kern w:val="0"/>
          <w:sz w:val="24"/>
        </w:rPr>
      </w:pPr>
      <w:r>
        <w:rPr>
          <w:rFonts w:hint="eastAsia" w:ascii="宋体" w:hAnsi="宋体" w:cs="宋体"/>
          <w:bCs/>
          <w:snapToGrid w:val="0"/>
          <w:kern w:val="0"/>
          <w:sz w:val="24"/>
        </w:rPr>
        <w:t>（5）</w:t>
      </w:r>
      <w:r>
        <w:rPr>
          <w:rFonts w:hint="eastAsia" w:ascii="宋体" w:hAnsi="宋体" w:cs="宋体"/>
          <w:snapToGrid w:val="0"/>
          <w:kern w:val="0"/>
          <w:sz w:val="24"/>
        </w:rPr>
        <w:t>设计正确性：指设计成果文件均符合本合同的有关约定，同时保证设计输入的基础资料完整、正确，设计方法、计算方法与结果、技术参数的选用正确、合理，构造合理，图面表达清楚、文字叙述准确，各专业设计协调统一。</w:t>
      </w:r>
    </w:p>
    <w:p w14:paraId="66C8D81F">
      <w:pPr>
        <w:spacing w:line="360" w:lineRule="auto"/>
        <w:ind w:firstLine="480" w:firstLineChars="200"/>
        <w:rPr>
          <w:rFonts w:ascii="宋体" w:hAnsi="宋体" w:cs="宋体"/>
          <w:snapToGrid w:val="0"/>
          <w:kern w:val="0"/>
          <w:sz w:val="24"/>
        </w:rPr>
      </w:pPr>
      <w:r>
        <w:rPr>
          <w:rFonts w:hint="eastAsia" w:ascii="宋体" w:hAnsi="宋体" w:cs="宋体"/>
          <w:bCs/>
          <w:snapToGrid w:val="0"/>
          <w:kern w:val="0"/>
          <w:sz w:val="24"/>
        </w:rPr>
        <w:t>（6）</w:t>
      </w:r>
      <w:r>
        <w:rPr>
          <w:rFonts w:hint="eastAsia" w:ascii="宋体" w:hAnsi="宋体" w:cs="宋体"/>
          <w:snapToGrid w:val="0"/>
          <w:kern w:val="0"/>
          <w:sz w:val="24"/>
        </w:rPr>
        <w:t>设计经济合理性：指设计成果文件是在符合有效性要求的基础上，采用方案经济比选、价值工程等评价手段，经过发包人组织的评审产生确定，且投资控制在限额指标以内。</w:t>
      </w:r>
    </w:p>
    <w:p w14:paraId="71E2052F">
      <w:pPr>
        <w:spacing w:line="360" w:lineRule="auto"/>
        <w:ind w:firstLine="480" w:firstLineChars="200"/>
        <w:rPr>
          <w:rFonts w:ascii="宋体" w:hAnsi="宋体" w:cs="宋体"/>
          <w:snapToGrid w:val="0"/>
          <w:kern w:val="0"/>
          <w:sz w:val="24"/>
        </w:rPr>
      </w:pPr>
      <w:r>
        <w:rPr>
          <w:rFonts w:hint="eastAsia" w:ascii="宋体" w:hAnsi="宋体" w:cs="宋体"/>
          <w:bCs/>
          <w:snapToGrid w:val="0"/>
          <w:kern w:val="0"/>
          <w:sz w:val="24"/>
        </w:rPr>
        <w:t>（7）</w:t>
      </w:r>
      <w:r>
        <w:rPr>
          <w:rFonts w:hint="eastAsia" w:ascii="宋体" w:hAnsi="宋体" w:cs="宋体"/>
          <w:snapToGrid w:val="0"/>
          <w:kern w:val="0"/>
          <w:sz w:val="24"/>
        </w:rPr>
        <w:t xml:space="preserve">设计可靠性：指根据设计成果文件明示的条件情况投入的设备，所采用的工艺、工法满足技术控制指标要求，之后所形成的已完工程及投入使用的系统、生产工艺满足合同约定且能够在设计年限内充分、正常地实现其设计功能。 </w:t>
      </w:r>
    </w:p>
    <w:p w14:paraId="44034FFD">
      <w:pPr>
        <w:spacing w:line="360" w:lineRule="auto"/>
        <w:ind w:firstLine="480" w:firstLineChars="200"/>
        <w:rPr>
          <w:rFonts w:ascii="宋体" w:hAnsi="宋体" w:cs="宋体"/>
          <w:bCs/>
          <w:sz w:val="20"/>
        </w:rPr>
      </w:pPr>
      <w:r>
        <w:rPr>
          <w:rFonts w:hint="eastAsia" w:ascii="宋体" w:hAnsi="宋体" w:cs="宋体"/>
          <w:bCs/>
          <w:snapToGrid w:val="0"/>
          <w:kern w:val="0"/>
          <w:sz w:val="24"/>
        </w:rPr>
        <w:t>（8）</w:t>
      </w:r>
      <w:r>
        <w:rPr>
          <w:rFonts w:hint="eastAsia" w:ascii="宋体" w:hAnsi="宋体" w:cs="宋体"/>
          <w:snapToGrid w:val="0"/>
          <w:kern w:val="0"/>
          <w:sz w:val="24"/>
          <w:szCs w:val="24"/>
        </w:rPr>
        <w:t>设计清晰：是指每次交付的设计成果文件中的图样、线条、术语、符号、尺寸标准、文字说明等清楚准确。</w:t>
      </w:r>
    </w:p>
    <w:p w14:paraId="5CCEC9C6">
      <w:pPr>
        <w:spacing w:line="360" w:lineRule="auto"/>
        <w:ind w:firstLine="480" w:firstLineChars="200"/>
        <w:rPr>
          <w:rFonts w:ascii="宋体" w:hAnsi="宋体" w:cs="宋体"/>
          <w:snapToGrid w:val="0"/>
          <w:sz w:val="24"/>
          <w:szCs w:val="24"/>
        </w:rPr>
      </w:pPr>
      <w:r>
        <w:rPr>
          <w:rFonts w:hint="eastAsia" w:ascii="宋体" w:hAnsi="宋体" w:cs="宋体"/>
          <w:bCs/>
          <w:snapToGrid w:val="0"/>
          <w:kern w:val="0"/>
          <w:sz w:val="24"/>
        </w:rPr>
        <w:t>（9）</w:t>
      </w:r>
      <w:r>
        <w:rPr>
          <w:rFonts w:hint="eastAsia" w:ascii="宋体" w:hAnsi="宋体" w:cs="宋体"/>
          <w:snapToGrid w:val="0"/>
          <w:sz w:val="24"/>
          <w:szCs w:val="24"/>
        </w:rPr>
        <w:t>设计事故：指因设计单位不履行或不完全履行合同约定的设计义务或履行的设计义务不符合合同约定，对本合同项目造成严重不利影响的行为。</w:t>
      </w:r>
    </w:p>
    <w:p w14:paraId="723E4254">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18.5.2设计成果文件的质量要求</w:t>
      </w:r>
    </w:p>
    <w:p w14:paraId="55363731">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设计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14:paraId="48F77E86">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（2）设计</w:t>
      </w:r>
      <w:r>
        <w:rPr>
          <w:rFonts w:hint="eastAsia" w:ascii="宋体" w:hAnsi="宋体" w:cs="宋体"/>
          <w:snapToGrid w:val="0"/>
          <w:sz w:val="24"/>
          <w:szCs w:val="24"/>
        </w:rPr>
        <w:t>单位</w:t>
      </w:r>
      <w:r>
        <w:rPr>
          <w:rFonts w:hint="eastAsia" w:ascii="宋体" w:hAnsi="宋体" w:cs="宋体"/>
          <w:bCs/>
          <w:snapToGrid w:val="0"/>
          <w:kern w:val="0"/>
          <w:sz w:val="24"/>
        </w:rPr>
        <w:t>的设计成果文件应满足《建筑工程设计文件编制深度规定》（2016年版）、《市政公用工程设计文件编制深度规定》（2013年版）、本工程设计任务书要求及相关要求，并按照专家评审意见和发包人要求对设计进行深化、优化。设计</w:t>
      </w:r>
      <w:r>
        <w:rPr>
          <w:rFonts w:hint="eastAsia" w:ascii="宋体" w:hAnsi="宋体" w:cs="宋体"/>
          <w:snapToGrid w:val="0"/>
          <w:sz w:val="24"/>
          <w:szCs w:val="24"/>
        </w:rPr>
        <w:t>单位</w:t>
      </w:r>
      <w:r>
        <w:rPr>
          <w:rFonts w:hint="eastAsia" w:ascii="宋体" w:hAnsi="宋体" w:cs="宋体"/>
          <w:bCs/>
          <w:snapToGrid w:val="0"/>
          <w:kern w:val="0"/>
          <w:sz w:val="24"/>
        </w:rPr>
        <w:t>对本合同范围内的设计成果文件达到合同约定的相应设计深度负总体责任。</w:t>
      </w:r>
    </w:p>
    <w:p w14:paraId="73FFDB9F">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（3）设计</w:t>
      </w:r>
      <w:r>
        <w:rPr>
          <w:rFonts w:hint="eastAsia" w:ascii="宋体" w:hAnsi="宋体" w:cs="宋体"/>
          <w:snapToGrid w:val="0"/>
          <w:sz w:val="24"/>
          <w:szCs w:val="24"/>
        </w:rPr>
        <w:t>单位</w:t>
      </w:r>
      <w:r>
        <w:rPr>
          <w:rFonts w:hint="eastAsia" w:ascii="宋体" w:hAnsi="宋体" w:cs="宋体"/>
          <w:bCs/>
          <w:snapToGrid w:val="0"/>
          <w:kern w:val="0"/>
          <w:sz w:val="24"/>
        </w:rPr>
        <w:t>在设计过程中应考虑工程实施的可操作性，对工序方案提出相应的技术要求，应明确提出关键工序的工艺要求、质量控制要求及安全技术措施方案。</w:t>
      </w:r>
    </w:p>
    <w:p w14:paraId="2AFF531D">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（4）设计成果文件的计量单位均应采用国际标准计量单位。</w:t>
      </w:r>
    </w:p>
    <w:p w14:paraId="7BEE0364">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（5）设计图纸必须按照国家对工程图纸规格的规定绘制，保持同类图纸规格统一。</w:t>
      </w:r>
    </w:p>
    <w:p w14:paraId="16F93D68">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（6）设计</w:t>
      </w:r>
      <w:r>
        <w:rPr>
          <w:rFonts w:hint="eastAsia" w:ascii="宋体" w:hAnsi="宋体" w:cs="宋体"/>
          <w:snapToGrid w:val="0"/>
          <w:sz w:val="24"/>
          <w:szCs w:val="24"/>
        </w:rPr>
        <w:t>单位</w:t>
      </w:r>
      <w:r>
        <w:rPr>
          <w:rFonts w:hint="eastAsia" w:ascii="宋体" w:hAnsi="宋体" w:cs="宋体"/>
          <w:bCs/>
          <w:snapToGrid w:val="0"/>
          <w:kern w:val="0"/>
          <w:sz w:val="24"/>
        </w:rPr>
        <w:t>应根据政府主管部门、发包人及发包人委托的第三方审查机构的审核意见对设计成果文件进行必要的修改。当设计</w:t>
      </w:r>
      <w:r>
        <w:rPr>
          <w:rFonts w:hint="eastAsia" w:ascii="宋体" w:hAnsi="宋体" w:cs="宋体"/>
          <w:snapToGrid w:val="0"/>
          <w:sz w:val="24"/>
          <w:szCs w:val="24"/>
        </w:rPr>
        <w:t>单位</w:t>
      </w:r>
      <w:r>
        <w:rPr>
          <w:rFonts w:hint="eastAsia" w:ascii="宋体" w:hAnsi="宋体" w:cs="宋体"/>
          <w:bCs/>
          <w:snapToGrid w:val="0"/>
          <w:kern w:val="0"/>
          <w:sz w:val="24"/>
        </w:rPr>
        <w:t>提交的设计成果文件不符合本合同所约定的质量要求时，设计</w:t>
      </w:r>
      <w:r>
        <w:rPr>
          <w:rFonts w:hint="eastAsia" w:ascii="宋体" w:hAnsi="宋体" w:cs="宋体"/>
          <w:snapToGrid w:val="0"/>
          <w:sz w:val="24"/>
          <w:szCs w:val="24"/>
        </w:rPr>
        <w:t>单位</w:t>
      </w:r>
      <w:r>
        <w:rPr>
          <w:rFonts w:hint="eastAsia" w:ascii="宋体" w:hAnsi="宋体" w:cs="宋体"/>
          <w:bCs/>
          <w:snapToGrid w:val="0"/>
          <w:kern w:val="0"/>
          <w:sz w:val="24"/>
        </w:rPr>
        <w:t>应在收到政府主管部门、发包人、发包人委托的第三方审核机构的通知后5天内将经过修改的符合规定的设计文件交付发包人。</w:t>
      </w:r>
    </w:p>
    <w:p w14:paraId="5EFA3D10">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18.5.3在合同履行期间，如因规划建设或项目其他变化等原因需暂停或取消本项目设计工作，发包人有权要求终止或解除合同，且不视为发包人违约；发包人应根据设计</w:t>
      </w:r>
      <w:r>
        <w:rPr>
          <w:rFonts w:hint="eastAsia" w:ascii="宋体" w:hAnsi="宋体" w:cs="宋体"/>
          <w:snapToGrid w:val="0"/>
          <w:sz w:val="24"/>
          <w:szCs w:val="24"/>
        </w:rPr>
        <w:t>单位</w:t>
      </w:r>
      <w:r>
        <w:rPr>
          <w:rFonts w:hint="eastAsia" w:ascii="宋体" w:hAnsi="宋体" w:cs="宋体"/>
          <w:bCs/>
          <w:snapToGrid w:val="0"/>
          <w:kern w:val="0"/>
          <w:sz w:val="24"/>
        </w:rPr>
        <w:t>已完成并经确认的实际工作量及建设或规划部门的批复情况，协商一致给予补偿。</w:t>
      </w:r>
    </w:p>
    <w:p w14:paraId="462121BD">
      <w:pPr>
        <w:spacing w:line="360" w:lineRule="auto"/>
        <w:ind w:firstLine="480" w:firstLineChars="200"/>
        <w:rPr>
          <w:rFonts w:ascii="宋体" w:hAnsi="宋体"/>
          <w:kern w:val="0"/>
          <w:sz w:val="24"/>
        </w:rPr>
      </w:pPr>
      <w:r>
        <w:rPr>
          <w:rFonts w:hint="eastAsia" w:ascii="宋体" w:hAnsi="宋体" w:cs="宋体"/>
          <w:bCs/>
          <w:snapToGrid w:val="0"/>
          <w:kern w:val="0"/>
          <w:sz w:val="24"/>
        </w:rPr>
        <w:t>18.6</w:t>
      </w:r>
      <w:r>
        <w:rPr>
          <w:rFonts w:hint="eastAsia" w:ascii="宋体" w:hAnsi="宋体"/>
          <w:kern w:val="0"/>
          <w:sz w:val="24"/>
        </w:rPr>
        <w:t xml:space="preserve"> 现场施工质量</w:t>
      </w:r>
    </w:p>
    <w:p w14:paraId="6A40C7E2">
      <w:pPr>
        <w:spacing w:line="360" w:lineRule="auto"/>
        <w:ind w:firstLine="480" w:firstLineChars="200"/>
        <w:rPr>
          <w:rFonts w:ascii="宋体" w:hAnsi="宋体"/>
          <w:kern w:val="0"/>
          <w:sz w:val="24"/>
        </w:rPr>
      </w:pPr>
      <w:r>
        <w:rPr>
          <w:rFonts w:hint="eastAsia" w:ascii="宋体" w:hAnsi="宋体"/>
          <w:kern w:val="0"/>
          <w:sz w:val="24"/>
        </w:rPr>
        <w:t>（1）符合国家、地方及相关行业质量技术及安全规范的要求；</w:t>
      </w:r>
    </w:p>
    <w:p w14:paraId="18C94CF7">
      <w:pPr>
        <w:spacing w:line="360" w:lineRule="auto"/>
        <w:ind w:firstLine="480" w:firstLineChars="200"/>
        <w:rPr>
          <w:rFonts w:ascii="宋体" w:hAnsi="宋体"/>
          <w:kern w:val="0"/>
          <w:sz w:val="24"/>
        </w:rPr>
      </w:pPr>
      <w:r>
        <w:rPr>
          <w:rFonts w:hint="eastAsia" w:ascii="宋体" w:hAnsi="宋体"/>
          <w:kern w:val="0"/>
          <w:sz w:val="24"/>
        </w:rPr>
        <w:t>（2）符合经监理单位和发包人以及政府主管部门审批通过的深化设计图纸要求；</w:t>
      </w:r>
    </w:p>
    <w:p w14:paraId="53789F20">
      <w:pPr>
        <w:spacing w:line="360" w:lineRule="auto"/>
        <w:ind w:firstLine="480" w:firstLineChars="200"/>
        <w:rPr>
          <w:rFonts w:ascii="宋体" w:hAnsi="宋体"/>
          <w:kern w:val="0"/>
          <w:sz w:val="24"/>
        </w:rPr>
      </w:pPr>
      <w:r>
        <w:rPr>
          <w:rFonts w:hint="eastAsia" w:ascii="宋体" w:hAnsi="宋体"/>
          <w:kern w:val="0"/>
          <w:sz w:val="24"/>
        </w:rPr>
        <w:t>（3）符合国家、地方及发包人认可的施工验收标准。</w:t>
      </w:r>
    </w:p>
    <w:p w14:paraId="606270D8">
      <w:pPr>
        <w:spacing w:line="360" w:lineRule="auto"/>
        <w:ind w:firstLine="480" w:firstLineChars="200"/>
        <w:rPr>
          <w:rFonts w:ascii="宋体" w:hAnsi="宋体"/>
          <w:kern w:val="0"/>
          <w:sz w:val="24"/>
        </w:rPr>
      </w:pPr>
      <w:r>
        <w:rPr>
          <w:rFonts w:hint="eastAsia" w:ascii="宋体" w:hAnsi="宋体" w:cs="宋体"/>
          <w:bCs/>
          <w:snapToGrid w:val="0"/>
          <w:kern w:val="0"/>
          <w:sz w:val="24"/>
        </w:rPr>
        <w:t>18.7</w:t>
      </w:r>
      <w:r>
        <w:rPr>
          <w:rFonts w:hint="eastAsia" w:ascii="宋体" w:hAnsi="宋体"/>
          <w:kern w:val="0"/>
          <w:sz w:val="24"/>
        </w:rPr>
        <w:t>工程质量争议与鉴定</w:t>
      </w:r>
    </w:p>
    <w:p w14:paraId="3694E228">
      <w:pPr>
        <w:spacing w:line="360" w:lineRule="auto"/>
        <w:ind w:firstLine="480" w:firstLineChars="200"/>
        <w:rPr>
          <w:rFonts w:ascii="宋体" w:hAnsi="宋体"/>
          <w:kern w:val="0"/>
          <w:sz w:val="24"/>
        </w:rPr>
      </w:pPr>
      <w:r>
        <w:rPr>
          <w:rFonts w:hint="eastAsia" w:ascii="宋体" w:hAnsi="宋体"/>
          <w:kern w:val="0"/>
          <w:sz w:val="24"/>
        </w:rPr>
        <w:t>双方一致同意，对于本合同履行过程中的工程质量争议，由工程所在地负责工程质量监督的政府主管机构或部门依据《建筑工程施工质量验收统一标准》（GB50300-2013）（如有新版本颁发，则按最新版本执行）系列各专业验收规范及设计文件等进行鉴定并按鉴定结论及有关规定承担责任。</w:t>
      </w:r>
    </w:p>
    <w:p w14:paraId="76CDC520">
      <w:pPr>
        <w:spacing w:line="360" w:lineRule="auto"/>
        <w:ind w:firstLine="482" w:firstLineChars="200"/>
        <w:outlineLvl w:val="1"/>
        <w:rPr>
          <w:rFonts w:ascii="宋体" w:hAnsi="宋体"/>
          <w:b/>
          <w:kern w:val="0"/>
          <w:sz w:val="24"/>
        </w:rPr>
      </w:pPr>
      <w:bookmarkStart w:id="352" w:name="_Toc104901770"/>
      <w:bookmarkStart w:id="353" w:name="_Toc502215495"/>
      <w:bookmarkStart w:id="354" w:name="_Toc5364_WPSOffice_Level3"/>
      <w:bookmarkStart w:id="355" w:name="_Toc504465898"/>
      <w:bookmarkStart w:id="356" w:name="_Toc25853"/>
      <w:bookmarkStart w:id="357" w:name="_Toc144745962"/>
      <w:bookmarkStart w:id="358" w:name="_Toc144746880"/>
      <w:bookmarkStart w:id="359" w:name="_Toc518402593"/>
      <w:bookmarkStart w:id="360" w:name="_Toc4593"/>
      <w:bookmarkStart w:id="361" w:name="_Toc6309"/>
      <w:r>
        <w:rPr>
          <w:rFonts w:hint="eastAsia" w:ascii="宋体" w:hAnsi="宋体" w:cs="宋体"/>
          <w:b/>
          <w:bCs/>
          <w:snapToGrid w:val="0"/>
          <w:kern w:val="0"/>
          <w:sz w:val="24"/>
        </w:rPr>
        <w:t>19</w:t>
      </w:r>
      <w:r>
        <w:rPr>
          <w:rFonts w:hint="eastAsia" w:ascii="宋体" w:hAnsi="宋体"/>
          <w:b/>
          <w:kern w:val="0"/>
          <w:sz w:val="24"/>
        </w:rPr>
        <w:t>、工程质量保证体系</w:t>
      </w:r>
      <w:bookmarkEnd w:id="352"/>
      <w:bookmarkEnd w:id="353"/>
      <w:bookmarkEnd w:id="354"/>
      <w:bookmarkEnd w:id="355"/>
      <w:bookmarkEnd w:id="356"/>
      <w:bookmarkEnd w:id="357"/>
      <w:bookmarkEnd w:id="358"/>
      <w:bookmarkEnd w:id="359"/>
      <w:bookmarkEnd w:id="360"/>
      <w:bookmarkEnd w:id="361"/>
    </w:p>
    <w:p w14:paraId="7DBCA008">
      <w:pPr>
        <w:spacing w:line="360" w:lineRule="auto"/>
        <w:ind w:firstLine="480" w:firstLineChars="200"/>
        <w:rPr>
          <w:rFonts w:ascii="宋体" w:hAnsi="宋体"/>
          <w:kern w:val="0"/>
          <w:sz w:val="24"/>
        </w:rPr>
      </w:pPr>
      <w:r>
        <w:rPr>
          <w:rFonts w:hint="eastAsia" w:ascii="宋体" w:hAnsi="宋体"/>
          <w:kern w:val="0"/>
          <w:sz w:val="24"/>
        </w:rPr>
        <w:t>承包人应当完善质量管理制度，建立质量控制流程，进行全面质量管理（TQC），以《质量管理体系标准要求》（GB/T19001-2016）为标准，建立并保持一个有效的工程质量管理体系。为此，承包人必须做到（不限于）：</w:t>
      </w:r>
    </w:p>
    <w:p w14:paraId="29A7EF68">
      <w:pPr>
        <w:spacing w:line="360" w:lineRule="auto"/>
        <w:ind w:firstLine="480" w:firstLineChars="200"/>
        <w:rPr>
          <w:rFonts w:ascii="宋体" w:hAnsi="宋体"/>
          <w:kern w:val="0"/>
          <w:sz w:val="24"/>
        </w:rPr>
      </w:pPr>
      <w:r>
        <w:rPr>
          <w:rFonts w:hint="eastAsia" w:ascii="宋体" w:hAnsi="宋体"/>
          <w:kern w:val="0"/>
          <w:sz w:val="24"/>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同时，承包人应积极配合工程质量第三方检测工作，并保证工程质量的前提下积极采用新材料、新工艺、新技术。</w:t>
      </w:r>
    </w:p>
    <w:p w14:paraId="74DDE7E5">
      <w:pPr>
        <w:spacing w:line="360" w:lineRule="auto"/>
        <w:ind w:firstLine="480" w:firstLineChars="200"/>
        <w:rPr>
          <w:rFonts w:ascii="宋体" w:hAnsi="宋体"/>
          <w:kern w:val="0"/>
          <w:sz w:val="24"/>
        </w:rPr>
      </w:pPr>
      <w:r>
        <w:rPr>
          <w:rFonts w:hint="eastAsia" w:ascii="宋体" w:hAnsi="宋体"/>
          <w:kern w:val="0"/>
          <w:sz w:val="24"/>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14:paraId="71E07D3F">
      <w:pPr>
        <w:spacing w:line="360" w:lineRule="auto"/>
        <w:ind w:firstLine="480" w:firstLineChars="200"/>
        <w:rPr>
          <w:rFonts w:ascii="宋体" w:hAnsi="宋体"/>
          <w:kern w:val="0"/>
          <w:sz w:val="24"/>
        </w:rPr>
      </w:pPr>
      <w:r>
        <w:rPr>
          <w:rFonts w:hint="eastAsia" w:ascii="宋体" w:hAnsi="宋体"/>
          <w:kern w:val="0"/>
          <w:sz w:val="24"/>
        </w:rPr>
        <w:t>（3）单项工程开工前，承包人必须按要求对职工分级进行技术交底，组织学习有关规程、标准、规范和工艺要求（规程包括但不限于施工企业标准和作业指导书），在施工中必须按规程及工艺进行操作。</w:t>
      </w:r>
    </w:p>
    <w:p w14:paraId="1A1BFC63">
      <w:pPr>
        <w:spacing w:line="360" w:lineRule="auto"/>
        <w:ind w:firstLine="480" w:firstLineChars="200"/>
        <w:rPr>
          <w:rFonts w:ascii="宋体" w:hAnsi="宋体"/>
          <w:kern w:val="0"/>
          <w:sz w:val="24"/>
        </w:rPr>
      </w:pPr>
      <w:r>
        <w:rPr>
          <w:rFonts w:hint="eastAsia" w:ascii="宋体" w:hAnsi="宋体"/>
          <w:kern w:val="0"/>
          <w:sz w:val="24"/>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14:paraId="63C755A2">
      <w:pPr>
        <w:spacing w:line="360" w:lineRule="auto"/>
        <w:ind w:firstLine="480" w:firstLineChars="200"/>
        <w:rPr>
          <w:rFonts w:ascii="宋体" w:hAnsi="宋体"/>
          <w:kern w:val="0"/>
          <w:sz w:val="24"/>
        </w:rPr>
      </w:pPr>
      <w:r>
        <w:rPr>
          <w:rFonts w:hint="eastAsia" w:ascii="宋体" w:hAnsi="宋体"/>
          <w:kern w:val="0"/>
          <w:sz w:val="24"/>
        </w:rPr>
        <w:t>（5）按照《关于加强房屋建筑和市政基础设施工程混凝土试件标准养护管理的通知》（穗建质[2011]941号）的要求，在建房屋建筑和市政基础设施工程，现场有混凝土结构施工部位的，必须在施工现场建立混凝土试件标准养护室或放置标准养护箱，而且监督见证检验次数不少于同类材料进场检验频次的10%且不少于一次。</w:t>
      </w:r>
    </w:p>
    <w:p w14:paraId="0A3F849F">
      <w:pPr>
        <w:spacing w:line="360" w:lineRule="auto"/>
        <w:ind w:firstLine="482" w:firstLineChars="200"/>
        <w:outlineLvl w:val="1"/>
        <w:rPr>
          <w:rFonts w:ascii="宋体" w:hAnsi="宋体"/>
          <w:b/>
          <w:kern w:val="0"/>
          <w:sz w:val="24"/>
        </w:rPr>
      </w:pPr>
      <w:bookmarkStart w:id="362" w:name="_Toc502215496"/>
      <w:bookmarkStart w:id="363" w:name="_Toc144746881"/>
      <w:bookmarkStart w:id="364" w:name="_Toc144745963"/>
      <w:bookmarkStart w:id="365" w:name="_Toc12392"/>
      <w:bookmarkStart w:id="366" w:name="_Toc104901771"/>
      <w:bookmarkStart w:id="367" w:name="_Toc17383"/>
      <w:bookmarkStart w:id="368" w:name="_Toc31495_WPSOffice_Level3"/>
      <w:bookmarkStart w:id="369" w:name="_Toc504465899"/>
      <w:bookmarkStart w:id="370" w:name="_Toc518402594"/>
      <w:bookmarkStart w:id="371" w:name="_Toc32712"/>
      <w:r>
        <w:rPr>
          <w:rFonts w:hint="eastAsia" w:ascii="宋体" w:hAnsi="宋体" w:cs="宋体"/>
          <w:b/>
          <w:bCs/>
          <w:snapToGrid w:val="0"/>
          <w:kern w:val="0"/>
          <w:sz w:val="24"/>
        </w:rPr>
        <w:t>20</w:t>
      </w:r>
      <w:r>
        <w:rPr>
          <w:rFonts w:hint="eastAsia" w:ascii="宋体" w:hAnsi="宋体"/>
          <w:b/>
          <w:kern w:val="0"/>
          <w:sz w:val="24"/>
        </w:rPr>
        <w:t>、检查和返工</w:t>
      </w:r>
      <w:bookmarkEnd w:id="362"/>
      <w:bookmarkEnd w:id="363"/>
      <w:bookmarkEnd w:id="364"/>
      <w:bookmarkEnd w:id="365"/>
      <w:bookmarkEnd w:id="366"/>
      <w:bookmarkEnd w:id="367"/>
      <w:bookmarkEnd w:id="368"/>
      <w:bookmarkEnd w:id="369"/>
      <w:bookmarkEnd w:id="370"/>
      <w:bookmarkEnd w:id="371"/>
    </w:p>
    <w:p w14:paraId="021188B1">
      <w:pPr>
        <w:spacing w:line="360" w:lineRule="auto"/>
        <w:ind w:firstLine="480" w:firstLineChars="200"/>
        <w:rPr>
          <w:rFonts w:ascii="宋体" w:hAnsi="宋体"/>
          <w:kern w:val="0"/>
          <w:sz w:val="24"/>
        </w:rPr>
      </w:pPr>
      <w:r>
        <w:rPr>
          <w:rFonts w:hint="eastAsia" w:ascii="宋体" w:hAnsi="宋体" w:cs="宋体"/>
          <w:bCs/>
          <w:snapToGrid w:val="0"/>
          <w:kern w:val="0"/>
          <w:sz w:val="24"/>
        </w:rPr>
        <w:t>20</w:t>
      </w:r>
      <w:r>
        <w:rPr>
          <w:rFonts w:hint="eastAsia" w:ascii="宋体" w:hAnsi="宋体"/>
          <w:kern w:val="0"/>
          <w:sz w:val="24"/>
        </w:rPr>
        <w:t>.1承包人应认真按照标准、规范和经批准的设计图纸要求以及总监理工程师依据合同发出的指令施工，随时接受总监理工程师的检查检验，为检查检验提供便利条件。</w:t>
      </w:r>
    </w:p>
    <w:p w14:paraId="2B48585B">
      <w:pPr>
        <w:spacing w:line="360" w:lineRule="auto"/>
        <w:ind w:firstLine="480" w:firstLineChars="200"/>
        <w:rPr>
          <w:rFonts w:ascii="宋体" w:hAnsi="宋体"/>
          <w:kern w:val="0"/>
          <w:sz w:val="24"/>
        </w:rPr>
      </w:pPr>
      <w:r>
        <w:rPr>
          <w:rFonts w:hint="eastAsia" w:ascii="宋体" w:hAnsi="宋体" w:cs="宋体"/>
          <w:bCs/>
          <w:snapToGrid w:val="0"/>
          <w:kern w:val="0"/>
          <w:sz w:val="24"/>
        </w:rPr>
        <w:t>20</w:t>
      </w:r>
      <w:r>
        <w:rPr>
          <w:rFonts w:hint="eastAsia" w:ascii="宋体" w:hAnsi="宋体"/>
          <w:kern w:val="0"/>
          <w:sz w:val="24"/>
        </w:rPr>
        <w:t>.2工程质量达不到约定标准的部分，总监理工程师一经发现，应要求承包人拆除和重新施工，承包人应按总监理工程师的要求拆除和重新施工，直到符合约定标准。因承包人原因达不到约定标准，由承包人承担拆除和重新施工的费用，工期不予顺延。</w:t>
      </w:r>
    </w:p>
    <w:p w14:paraId="768E2EEB">
      <w:pPr>
        <w:spacing w:line="360" w:lineRule="auto"/>
        <w:ind w:firstLine="480" w:firstLineChars="200"/>
        <w:rPr>
          <w:rFonts w:ascii="宋体" w:hAnsi="宋体"/>
          <w:kern w:val="0"/>
          <w:sz w:val="24"/>
        </w:rPr>
      </w:pPr>
      <w:r>
        <w:rPr>
          <w:rFonts w:hint="eastAsia" w:ascii="宋体" w:hAnsi="宋体" w:cs="宋体"/>
          <w:bCs/>
          <w:snapToGrid w:val="0"/>
          <w:kern w:val="0"/>
          <w:sz w:val="24"/>
        </w:rPr>
        <w:t>20</w:t>
      </w:r>
      <w:r>
        <w:rPr>
          <w:rFonts w:hint="eastAsia" w:ascii="宋体" w:hAnsi="宋体"/>
          <w:kern w:val="0"/>
          <w:sz w:val="24"/>
        </w:rPr>
        <w:t>.3总监理工程师的检查检验不应影响施工正常进行。如影响施工正常进行，检查检验不合格时，影响正常施工的费用由承包人承担，工期不予顺延；如检查检验合格时，影响正常施工的</w:t>
      </w:r>
      <w:r>
        <w:rPr>
          <w:rFonts w:hint="eastAsia" w:ascii="宋体" w:hAnsi="宋体" w:cs="宋体"/>
          <w:bCs/>
          <w:snapToGrid w:val="0"/>
          <w:kern w:val="0"/>
          <w:sz w:val="24"/>
        </w:rPr>
        <w:t>追加合同价款由</w:t>
      </w:r>
      <w:r>
        <w:rPr>
          <w:rFonts w:hint="eastAsia" w:ascii="宋体" w:hAnsi="宋体"/>
          <w:kern w:val="0"/>
          <w:sz w:val="24"/>
        </w:rPr>
        <w:t>发包人</w:t>
      </w:r>
      <w:r>
        <w:rPr>
          <w:rFonts w:hint="eastAsia" w:ascii="宋体" w:hAnsi="宋体" w:cs="宋体"/>
          <w:bCs/>
          <w:snapToGrid w:val="0"/>
          <w:kern w:val="0"/>
          <w:sz w:val="24"/>
        </w:rPr>
        <w:t>承担，</w:t>
      </w:r>
      <w:r>
        <w:rPr>
          <w:rFonts w:hint="eastAsia" w:ascii="宋体" w:hAnsi="宋体"/>
          <w:kern w:val="0"/>
          <w:sz w:val="24"/>
        </w:rPr>
        <w:t>相应顺延工期</w:t>
      </w:r>
      <w:r>
        <w:rPr>
          <w:rFonts w:hint="eastAsia" w:ascii="宋体" w:hAnsi="宋体" w:cs="宋体"/>
          <w:bCs/>
          <w:snapToGrid w:val="0"/>
          <w:kern w:val="0"/>
          <w:sz w:val="24"/>
        </w:rPr>
        <w:t>。</w:t>
      </w:r>
    </w:p>
    <w:p w14:paraId="3C55D31D">
      <w:pPr>
        <w:spacing w:line="360" w:lineRule="auto"/>
        <w:ind w:firstLine="480" w:firstLineChars="200"/>
        <w:rPr>
          <w:rFonts w:ascii="宋体" w:hAnsi="宋体"/>
          <w:kern w:val="0"/>
          <w:sz w:val="24"/>
        </w:rPr>
      </w:pPr>
      <w:r>
        <w:rPr>
          <w:rFonts w:hint="eastAsia" w:ascii="宋体" w:hAnsi="宋体" w:cs="宋体"/>
          <w:bCs/>
          <w:snapToGrid w:val="0"/>
          <w:kern w:val="0"/>
          <w:sz w:val="24"/>
        </w:rPr>
        <w:t>20</w:t>
      </w:r>
      <w:r>
        <w:rPr>
          <w:rFonts w:hint="eastAsia" w:ascii="宋体" w:hAnsi="宋体"/>
          <w:kern w:val="0"/>
          <w:sz w:val="24"/>
        </w:rPr>
        <w:t>.4因总监理工程师指令失误或其它非承包人原因发生的追加合同价款，须经发包人确认后由发包人承担，不作其他费用补偿或赔偿。</w:t>
      </w:r>
    </w:p>
    <w:p w14:paraId="2C19E30F">
      <w:pPr>
        <w:spacing w:line="360" w:lineRule="auto"/>
        <w:ind w:firstLine="480" w:firstLineChars="200"/>
        <w:rPr>
          <w:rFonts w:ascii="宋体" w:hAnsi="宋体"/>
          <w:kern w:val="0"/>
          <w:sz w:val="24"/>
        </w:rPr>
      </w:pPr>
      <w:r>
        <w:rPr>
          <w:rFonts w:hint="eastAsia" w:ascii="宋体" w:hAnsi="宋体" w:cs="宋体"/>
          <w:bCs/>
          <w:snapToGrid w:val="0"/>
          <w:kern w:val="0"/>
          <w:sz w:val="24"/>
        </w:rPr>
        <w:t>20</w:t>
      </w:r>
      <w:r>
        <w:rPr>
          <w:rFonts w:hint="eastAsia" w:ascii="宋体" w:hAnsi="宋体"/>
          <w:kern w:val="0"/>
          <w:sz w:val="24"/>
        </w:rPr>
        <w:t>.5对承包人采购的工程材料、设备及采用的工艺的查验</w:t>
      </w:r>
    </w:p>
    <w:p w14:paraId="2798881D">
      <w:pPr>
        <w:spacing w:line="360" w:lineRule="auto"/>
        <w:ind w:firstLine="480" w:firstLineChars="200"/>
        <w:rPr>
          <w:rFonts w:ascii="宋体" w:hAnsi="宋体"/>
          <w:kern w:val="0"/>
          <w:sz w:val="24"/>
        </w:rPr>
      </w:pPr>
      <w:r>
        <w:rPr>
          <w:rFonts w:hint="eastAsia" w:ascii="宋体" w:hAnsi="宋体"/>
          <w:kern w:val="0"/>
          <w:sz w:val="24"/>
        </w:rPr>
        <w:t>（1）实施工程的一切材料、设备及工艺，都必须符合经批准的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14:paraId="77592A3C">
      <w:pPr>
        <w:spacing w:line="360" w:lineRule="auto"/>
        <w:ind w:firstLine="480" w:firstLineChars="200"/>
        <w:rPr>
          <w:rFonts w:ascii="宋体" w:hAnsi="宋体"/>
          <w:kern w:val="0"/>
          <w:sz w:val="24"/>
        </w:rPr>
      </w:pPr>
      <w:r>
        <w:rPr>
          <w:rFonts w:hint="eastAsia" w:ascii="宋体" w:hAnsi="宋体"/>
          <w:kern w:val="0"/>
          <w:sz w:val="24"/>
        </w:rPr>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14:paraId="7966E5E6">
      <w:pPr>
        <w:spacing w:line="360" w:lineRule="auto"/>
        <w:ind w:firstLine="480" w:firstLineChars="200"/>
        <w:rPr>
          <w:rFonts w:ascii="宋体" w:hAnsi="宋体"/>
          <w:kern w:val="0"/>
          <w:sz w:val="24"/>
        </w:rPr>
      </w:pPr>
      <w:r>
        <w:rPr>
          <w:rFonts w:hint="eastAsia" w:ascii="宋体" w:hAnsi="宋体"/>
          <w:kern w:val="0"/>
          <w:sz w:val="24"/>
        </w:rPr>
        <w:t>发包人和总监理工程师认为有必要的，有权对已检查、检验过的材料、设备进行重复检查、检验，承包人应遵照执行。重复检查、检验的程序和内容适用前述约定。</w:t>
      </w:r>
    </w:p>
    <w:p w14:paraId="71C98C1A">
      <w:pPr>
        <w:spacing w:line="360" w:lineRule="auto"/>
        <w:ind w:firstLine="480" w:firstLineChars="200"/>
        <w:rPr>
          <w:rFonts w:ascii="宋体" w:hAnsi="宋体"/>
          <w:kern w:val="0"/>
          <w:sz w:val="24"/>
        </w:rPr>
      </w:pPr>
      <w:r>
        <w:rPr>
          <w:rFonts w:hint="eastAsia" w:ascii="宋体" w:hAnsi="宋体"/>
          <w:kern w:val="0"/>
          <w:sz w:val="24"/>
        </w:rPr>
        <w:t>（3）在施工过程中，总监理工程师有权随时对工程材料、设备的使用进行抽查，包括成品、半成品、器具、设备、附件、小五金等。抽查范围、比例、数量、批次及检查深度可比国家现行施工质量验收规范和相关规定有所提高。</w:t>
      </w:r>
    </w:p>
    <w:p w14:paraId="55D574BF">
      <w:pPr>
        <w:spacing w:line="360" w:lineRule="auto"/>
        <w:ind w:firstLine="480" w:firstLineChars="200"/>
        <w:rPr>
          <w:rFonts w:ascii="宋体" w:hAnsi="宋体"/>
          <w:kern w:val="0"/>
          <w:sz w:val="24"/>
        </w:rPr>
      </w:pPr>
      <w:r>
        <w:rPr>
          <w:rFonts w:hint="eastAsia" w:ascii="宋体" w:hAnsi="宋体"/>
          <w:kern w:val="0"/>
          <w:sz w:val="24"/>
        </w:rPr>
        <w:t>工程材料、设备的质量依据下列顺序之标准认定（排序在前者优先）：</w:t>
      </w:r>
    </w:p>
    <w:p w14:paraId="62B46EBF">
      <w:pPr>
        <w:spacing w:line="360" w:lineRule="auto"/>
        <w:ind w:firstLine="480" w:firstLineChars="200"/>
        <w:rPr>
          <w:rFonts w:ascii="宋体" w:hAnsi="宋体"/>
          <w:kern w:val="0"/>
          <w:sz w:val="24"/>
        </w:rPr>
      </w:pPr>
      <w:r>
        <w:rPr>
          <w:rFonts w:hint="eastAsia" w:ascii="宋体" w:hAnsi="宋体" w:cs="宋体"/>
          <w:bCs/>
          <w:snapToGrid w:val="0"/>
          <w:kern w:val="0"/>
          <w:sz w:val="24"/>
        </w:rPr>
        <w:t>（</w:t>
      </w:r>
      <w:r>
        <w:rPr>
          <w:rFonts w:hint="eastAsia" w:ascii="宋体" w:hAnsi="宋体"/>
          <w:kern w:val="0"/>
          <w:sz w:val="24"/>
        </w:rPr>
        <w:t>1）本工程经批准的设计图纸规定的设计标准和发包人制定的材料标准及技术要求[不符合下列第（3）项标准要求的除外]；</w:t>
      </w:r>
    </w:p>
    <w:p w14:paraId="68144163">
      <w:pPr>
        <w:spacing w:line="360" w:lineRule="auto"/>
        <w:ind w:firstLine="480" w:firstLineChars="200"/>
        <w:rPr>
          <w:rFonts w:ascii="宋体" w:hAnsi="宋体"/>
          <w:kern w:val="0"/>
          <w:sz w:val="24"/>
        </w:rPr>
      </w:pPr>
      <w:r>
        <w:rPr>
          <w:rFonts w:hint="eastAsia" w:ascii="宋体" w:hAnsi="宋体" w:cs="宋体"/>
          <w:bCs/>
          <w:snapToGrid w:val="0"/>
          <w:kern w:val="0"/>
          <w:sz w:val="24"/>
        </w:rPr>
        <w:t>（</w:t>
      </w:r>
      <w:r>
        <w:rPr>
          <w:rFonts w:hint="eastAsia" w:ascii="宋体" w:hAnsi="宋体"/>
          <w:kern w:val="0"/>
          <w:sz w:val="24"/>
        </w:rPr>
        <w:t>2）经监理单位、承包人、发包人共同认定的产品封样、样板 [不符合下列第（4）项标准要求的除外]；</w:t>
      </w:r>
    </w:p>
    <w:p w14:paraId="6021AC94">
      <w:pPr>
        <w:spacing w:line="360" w:lineRule="auto"/>
        <w:ind w:firstLine="480" w:firstLineChars="200"/>
        <w:rPr>
          <w:rFonts w:ascii="宋体" w:hAnsi="宋体"/>
          <w:kern w:val="0"/>
          <w:sz w:val="24"/>
        </w:rPr>
      </w:pPr>
      <w:r>
        <w:rPr>
          <w:rFonts w:hint="eastAsia" w:ascii="宋体" w:hAnsi="宋体" w:cs="宋体"/>
          <w:bCs/>
          <w:snapToGrid w:val="0"/>
          <w:kern w:val="0"/>
          <w:sz w:val="24"/>
        </w:rPr>
        <w:t>（</w:t>
      </w:r>
      <w:r>
        <w:rPr>
          <w:rFonts w:hint="eastAsia" w:ascii="宋体" w:hAnsi="宋体"/>
          <w:kern w:val="0"/>
          <w:sz w:val="24"/>
        </w:rPr>
        <w:t>3）国家或行业强制执行的技术标准、技术规范。</w:t>
      </w:r>
    </w:p>
    <w:p w14:paraId="05DF28CC">
      <w:pPr>
        <w:spacing w:line="360" w:lineRule="auto"/>
        <w:ind w:firstLine="480" w:firstLineChars="200"/>
        <w:rPr>
          <w:rFonts w:ascii="宋体" w:hAnsi="宋体"/>
          <w:kern w:val="0"/>
          <w:sz w:val="24"/>
        </w:rPr>
      </w:pPr>
      <w:r>
        <w:rPr>
          <w:rFonts w:hint="eastAsia" w:ascii="宋体" w:hAnsi="宋体"/>
          <w:kern w:val="0"/>
          <w:sz w:val="24"/>
        </w:rPr>
        <w:t>工程材料、设备的抽查、检验结果与前款约定不符的，总监理工程师必须扩大对该批材料的抽查范围、增加数量抽检，同时，涉及工程结构安全和使用功能的检测必须委托有资质的第三方检测试验单位进行检测试验并执行《建筑节能工程施工质量验收规范》（GB50411-2007）、《广东省建筑节能工程施工质量验收规范》（DBJ15-65-2009）。承包人必须在发包人或监理单位书面通知的限期内将不符合要求的材料、设备全部无条件拆除、更换，并运出施工现场，由此所造成的工期延误、费用增加等一切损失均由承包人承担；同时，承包人还应当按照合同条款第41.</w:t>
      </w:r>
      <w:r>
        <w:rPr>
          <w:rFonts w:hint="eastAsia" w:ascii="宋体" w:hAnsi="宋体" w:cs="宋体"/>
          <w:bCs/>
          <w:snapToGrid w:val="0"/>
          <w:kern w:val="0"/>
          <w:sz w:val="24"/>
        </w:rPr>
        <w:t>10</w:t>
      </w:r>
      <w:r>
        <w:rPr>
          <w:rFonts w:hint="eastAsia" w:ascii="宋体" w:hAnsi="宋体"/>
          <w:kern w:val="0"/>
          <w:sz w:val="24"/>
        </w:rPr>
        <w:t>（1）款的约定承担违约责任。</w:t>
      </w:r>
    </w:p>
    <w:p w14:paraId="58BE37C6">
      <w:pPr>
        <w:spacing w:line="360" w:lineRule="auto"/>
        <w:ind w:firstLine="480" w:firstLineChars="200"/>
        <w:rPr>
          <w:rFonts w:ascii="宋体" w:hAnsi="宋体"/>
          <w:kern w:val="0"/>
          <w:sz w:val="24"/>
        </w:rPr>
      </w:pPr>
      <w:r>
        <w:rPr>
          <w:rFonts w:hint="eastAsia" w:ascii="宋体" w:hAnsi="宋体"/>
          <w:kern w:val="0"/>
          <w:sz w:val="24"/>
        </w:rPr>
        <w:t>（4）总监理工程师对材料、设备或工程进行检查、检验的费用由承包人负担。总监理工程师或发包人进行重复检查、检验的，检查、检验的结果证明材料、设备或工程不符合合同、技术规范要求的，费用由承包人承担；符合合同、招标文件、技术规范要求的，</w:t>
      </w:r>
      <w:r>
        <w:rPr>
          <w:rFonts w:hint="eastAsia" w:ascii="宋体" w:hAnsi="宋体" w:cs="宋体"/>
          <w:sz w:val="24"/>
          <w:szCs w:val="24"/>
        </w:rPr>
        <w:t>经发包人确认后，可相应顺延工期，</w:t>
      </w:r>
      <w:r>
        <w:rPr>
          <w:rFonts w:hint="eastAsia" w:ascii="宋体" w:hAnsi="宋体" w:cs="宋体"/>
          <w:bCs/>
          <w:snapToGrid w:val="0"/>
          <w:kern w:val="0"/>
          <w:sz w:val="24"/>
        </w:rPr>
        <w:t>费用由发包人承担。</w:t>
      </w:r>
    </w:p>
    <w:p w14:paraId="5EFE3982">
      <w:pPr>
        <w:spacing w:line="360" w:lineRule="auto"/>
        <w:ind w:firstLine="480" w:firstLineChars="200"/>
        <w:rPr>
          <w:rFonts w:ascii="宋体" w:hAnsi="宋体"/>
          <w:kern w:val="0"/>
          <w:sz w:val="24"/>
        </w:rPr>
      </w:pPr>
      <w:r>
        <w:rPr>
          <w:rFonts w:hint="eastAsia" w:ascii="宋体" w:hAnsi="宋体" w:cs="宋体"/>
          <w:bCs/>
          <w:snapToGrid w:val="0"/>
          <w:kern w:val="0"/>
          <w:sz w:val="24"/>
        </w:rPr>
        <w:t>20</w:t>
      </w:r>
      <w:r>
        <w:rPr>
          <w:rFonts w:hint="eastAsia" w:ascii="宋体" w:hAnsi="宋体"/>
          <w:kern w:val="0"/>
          <w:sz w:val="24"/>
        </w:rPr>
        <w:t>.6承包人应当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照合同条款第41.</w:t>
      </w:r>
      <w:r>
        <w:rPr>
          <w:rFonts w:hint="eastAsia" w:ascii="宋体" w:hAnsi="宋体" w:cs="宋体"/>
          <w:bCs/>
          <w:snapToGrid w:val="0"/>
          <w:kern w:val="0"/>
          <w:sz w:val="24"/>
        </w:rPr>
        <w:t>11</w:t>
      </w:r>
      <w:r>
        <w:rPr>
          <w:rFonts w:hint="eastAsia" w:ascii="宋体" w:hAnsi="宋体"/>
          <w:kern w:val="0"/>
          <w:sz w:val="24"/>
        </w:rPr>
        <w:t>（1）款的约定承担违约责任。</w:t>
      </w:r>
    </w:p>
    <w:p w14:paraId="67029534">
      <w:pPr>
        <w:spacing w:line="360" w:lineRule="auto"/>
        <w:ind w:firstLine="480" w:firstLineChars="200"/>
        <w:rPr>
          <w:rFonts w:ascii="宋体" w:hAnsi="宋体"/>
          <w:kern w:val="0"/>
          <w:sz w:val="24"/>
        </w:rPr>
      </w:pPr>
      <w:r>
        <w:rPr>
          <w:rFonts w:hint="eastAsia" w:ascii="宋体" w:hAnsi="宋体" w:cs="宋体"/>
          <w:bCs/>
          <w:snapToGrid w:val="0"/>
          <w:kern w:val="0"/>
          <w:sz w:val="24"/>
        </w:rPr>
        <w:t>20</w:t>
      </w:r>
      <w:r>
        <w:rPr>
          <w:rFonts w:hint="eastAsia" w:ascii="宋体" w:hAnsi="宋体"/>
          <w:kern w:val="0"/>
          <w:sz w:val="24"/>
        </w:rPr>
        <w:t>.7总监理工程师发现工程存在重大质量问题时，必须立即下达停工整改令。承包人必须在5天内提出书面整改措施，经总监理工程师和发包人批准后实施整改，由此所产生的工期延误和费用增加等全部损失，由承包人承担。承包人在发包人通知期限内拒绝整改的，发包人有权暂停拨付工程款，并将未完工程另行发包，相关费用发包人有权要求承包人承担。</w:t>
      </w:r>
    </w:p>
    <w:p w14:paraId="10A8F461">
      <w:pPr>
        <w:spacing w:line="360" w:lineRule="auto"/>
        <w:ind w:firstLine="480" w:firstLineChars="200"/>
        <w:rPr>
          <w:rFonts w:ascii="宋体" w:hAnsi="宋体"/>
          <w:kern w:val="0"/>
          <w:sz w:val="24"/>
        </w:rPr>
      </w:pPr>
      <w:r>
        <w:rPr>
          <w:rFonts w:hint="eastAsia" w:ascii="宋体" w:hAnsi="宋体" w:cs="宋体"/>
          <w:bCs/>
          <w:snapToGrid w:val="0"/>
          <w:kern w:val="0"/>
          <w:sz w:val="24"/>
        </w:rPr>
        <w:t>20</w:t>
      </w:r>
      <w:r>
        <w:rPr>
          <w:rFonts w:hint="eastAsia" w:ascii="宋体" w:hAnsi="宋体"/>
          <w:kern w:val="0"/>
          <w:sz w:val="24"/>
        </w:rPr>
        <w:t>.8承包人承诺：无论总监理工程师对工程是否进行并通过了各项检验，均不解除承包人对其承包的工程的质量所负的任何责任，除非质量问题是由于非承包人责任原因引起，而此类质量问题承包人须及时通知总监理工程师。</w:t>
      </w:r>
      <w:r>
        <w:rPr>
          <w:rFonts w:hint="eastAsia" w:ascii="宋体" w:hAnsi="宋体" w:cs="宋体"/>
          <w:bCs/>
          <w:snapToGrid w:val="0"/>
          <w:kern w:val="0"/>
          <w:sz w:val="24"/>
        </w:rPr>
        <w:t>在采用承包人设计的施工图施工和</w:t>
      </w:r>
      <w:r>
        <w:rPr>
          <w:rFonts w:hint="eastAsia" w:ascii="宋体" w:hAnsi="宋体"/>
          <w:kern w:val="0"/>
          <w:sz w:val="24"/>
        </w:rPr>
        <w:t>对于承包人自行采购的材料、设备，</w:t>
      </w:r>
      <w:r>
        <w:rPr>
          <w:rFonts w:hint="eastAsia" w:ascii="宋体" w:hAnsi="宋体" w:cs="宋体"/>
          <w:bCs/>
          <w:snapToGrid w:val="0"/>
          <w:kern w:val="0"/>
          <w:sz w:val="24"/>
        </w:rPr>
        <w:t>由此</w:t>
      </w:r>
      <w:r>
        <w:rPr>
          <w:rFonts w:hint="eastAsia" w:ascii="宋体" w:hAnsi="宋体"/>
          <w:kern w:val="0"/>
          <w:sz w:val="24"/>
        </w:rPr>
        <w:t>所引起的质量责任由承包人承担。</w:t>
      </w:r>
    </w:p>
    <w:p w14:paraId="49668EF0">
      <w:pPr>
        <w:spacing w:line="360" w:lineRule="auto"/>
        <w:ind w:firstLine="480" w:firstLineChars="200"/>
        <w:rPr>
          <w:rFonts w:ascii="宋体" w:hAnsi="宋体"/>
          <w:kern w:val="0"/>
          <w:sz w:val="24"/>
        </w:rPr>
      </w:pPr>
      <w:r>
        <w:rPr>
          <w:rFonts w:hint="eastAsia" w:ascii="宋体" w:hAnsi="宋体" w:cs="宋体"/>
          <w:bCs/>
          <w:snapToGrid w:val="0"/>
          <w:kern w:val="0"/>
          <w:sz w:val="24"/>
        </w:rPr>
        <w:t>20</w:t>
      </w:r>
      <w:r>
        <w:rPr>
          <w:rFonts w:hint="eastAsia" w:ascii="宋体" w:hAnsi="宋体"/>
          <w:kern w:val="0"/>
          <w:sz w:val="24"/>
        </w:rPr>
        <w:t>.9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照合同条款第41.</w:t>
      </w:r>
      <w:r>
        <w:rPr>
          <w:rFonts w:hint="eastAsia" w:ascii="宋体" w:hAnsi="宋体" w:cs="宋体"/>
          <w:bCs/>
          <w:snapToGrid w:val="0"/>
          <w:kern w:val="0"/>
          <w:sz w:val="24"/>
        </w:rPr>
        <w:t>16</w:t>
      </w:r>
      <w:r>
        <w:rPr>
          <w:rFonts w:hint="eastAsia" w:ascii="宋体" w:hAnsi="宋体"/>
          <w:kern w:val="0"/>
          <w:sz w:val="24"/>
        </w:rPr>
        <w:t>款的约定承担违约责任。若发现原始记录数据不存在、不真实、不完整，经监理单位</w:t>
      </w:r>
      <w:r>
        <w:rPr>
          <w:rFonts w:hint="eastAsia" w:ascii="宋体" w:hAnsi="宋体" w:cs="宋体"/>
          <w:bCs/>
          <w:snapToGrid w:val="0"/>
          <w:kern w:val="0"/>
          <w:sz w:val="24"/>
        </w:rPr>
        <w:t>和发包人</w:t>
      </w:r>
      <w:r>
        <w:rPr>
          <w:rFonts w:hint="eastAsia" w:ascii="宋体" w:hAnsi="宋体"/>
          <w:kern w:val="0"/>
          <w:sz w:val="24"/>
        </w:rPr>
        <w:t>确认，发包人有权拒绝相应部分工程的工程量计量与支付，并视情节轻重，由承包人按照合同条款第41.</w:t>
      </w:r>
      <w:r>
        <w:rPr>
          <w:rFonts w:hint="eastAsia" w:ascii="宋体" w:hAnsi="宋体" w:cs="宋体"/>
          <w:bCs/>
          <w:snapToGrid w:val="0"/>
          <w:kern w:val="0"/>
          <w:sz w:val="24"/>
        </w:rPr>
        <w:t>16</w:t>
      </w:r>
      <w:r>
        <w:rPr>
          <w:rFonts w:hint="eastAsia" w:ascii="宋体" w:hAnsi="宋体"/>
          <w:kern w:val="0"/>
          <w:sz w:val="24"/>
        </w:rPr>
        <w:t>款的约定承担违约责任。</w:t>
      </w:r>
    </w:p>
    <w:p w14:paraId="7CC113C3">
      <w:pPr>
        <w:spacing w:line="360" w:lineRule="auto"/>
        <w:ind w:firstLine="482" w:firstLineChars="200"/>
        <w:outlineLvl w:val="1"/>
        <w:rPr>
          <w:rFonts w:ascii="宋体" w:hAnsi="宋体"/>
          <w:b/>
          <w:kern w:val="0"/>
          <w:sz w:val="24"/>
        </w:rPr>
      </w:pPr>
      <w:bookmarkStart w:id="372" w:name="_Toc8386"/>
      <w:bookmarkStart w:id="373" w:name="_Toc104901772"/>
      <w:bookmarkStart w:id="374" w:name="_Toc504465900"/>
      <w:bookmarkStart w:id="375" w:name="_Toc5061"/>
      <w:bookmarkStart w:id="376" w:name="_Toc144745964"/>
      <w:bookmarkStart w:id="377" w:name="_Toc8865"/>
      <w:bookmarkStart w:id="378" w:name="_Toc518402595"/>
      <w:bookmarkStart w:id="379" w:name="_Toc144746882"/>
      <w:bookmarkStart w:id="380" w:name="_Toc28768_WPSOffice_Level3"/>
      <w:bookmarkStart w:id="381" w:name="_Toc502215497"/>
      <w:r>
        <w:rPr>
          <w:rFonts w:hint="eastAsia" w:ascii="宋体" w:hAnsi="宋体" w:cs="宋体"/>
          <w:b/>
          <w:bCs/>
          <w:snapToGrid w:val="0"/>
          <w:kern w:val="0"/>
          <w:sz w:val="24"/>
        </w:rPr>
        <w:t>21</w:t>
      </w:r>
      <w:r>
        <w:rPr>
          <w:rFonts w:hint="eastAsia" w:ascii="宋体" w:hAnsi="宋体"/>
          <w:b/>
          <w:kern w:val="0"/>
          <w:sz w:val="24"/>
        </w:rPr>
        <w:t>、隐蔽工程和中间验收</w:t>
      </w:r>
      <w:bookmarkEnd w:id="372"/>
      <w:bookmarkEnd w:id="373"/>
      <w:bookmarkEnd w:id="374"/>
      <w:bookmarkEnd w:id="375"/>
      <w:bookmarkEnd w:id="376"/>
      <w:bookmarkEnd w:id="377"/>
      <w:bookmarkEnd w:id="378"/>
      <w:bookmarkEnd w:id="379"/>
      <w:bookmarkEnd w:id="380"/>
      <w:bookmarkEnd w:id="381"/>
    </w:p>
    <w:p w14:paraId="73FA6423">
      <w:pPr>
        <w:spacing w:line="360" w:lineRule="auto"/>
        <w:ind w:firstLine="480" w:firstLineChars="200"/>
        <w:rPr>
          <w:rFonts w:ascii="宋体" w:hAnsi="宋体"/>
          <w:kern w:val="0"/>
          <w:sz w:val="24"/>
        </w:rPr>
      </w:pPr>
      <w:r>
        <w:rPr>
          <w:rFonts w:hint="eastAsia" w:ascii="宋体" w:hAnsi="宋体" w:cs="宋体"/>
          <w:bCs/>
          <w:snapToGrid w:val="0"/>
          <w:kern w:val="0"/>
          <w:sz w:val="24"/>
        </w:rPr>
        <w:t>21</w:t>
      </w:r>
      <w:r>
        <w:rPr>
          <w:rFonts w:hint="eastAsia" w:ascii="宋体" w:hAnsi="宋体"/>
          <w:kern w:val="0"/>
          <w:sz w:val="24"/>
        </w:rPr>
        <w:t>.1工程具备隐蔽条件的中间验收部位，承包人进行自检，并在隐蔽或中间验收前48小时以书面形式通知总监理工程师验收。通知包括隐蔽和中间验收的内容、验收时间和地点。承包人准备验收记录，验收合格，总监理工程师在验收记录上签字后，承包人可进行隐蔽和继续施工。验收不合格，承包人在总监理工程师限定的时间内修改后重新验收。</w:t>
      </w:r>
    </w:p>
    <w:p w14:paraId="10E7C3A7">
      <w:pPr>
        <w:spacing w:line="360" w:lineRule="auto"/>
        <w:ind w:firstLine="480" w:firstLineChars="200"/>
        <w:rPr>
          <w:rFonts w:ascii="宋体" w:hAnsi="宋体"/>
          <w:kern w:val="0"/>
          <w:sz w:val="24"/>
        </w:rPr>
      </w:pPr>
      <w:r>
        <w:rPr>
          <w:rFonts w:hint="eastAsia" w:ascii="宋体" w:hAnsi="宋体" w:cs="宋体"/>
          <w:bCs/>
          <w:snapToGrid w:val="0"/>
          <w:kern w:val="0"/>
          <w:sz w:val="24"/>
        </w:rPr>
        <w:t>21</w:t>
      </w:r>
      <w:r>
        <w:rPr>
          <w:rFonts w:hint="eastAsia" w:ascii="宋体" w:hAnsi="宋体"/>
          <w:kern w:val="0"/>
          <w:sz w:val="24"/>
        </w:rPr>
        <w:t>.2隐蔽工程或中间验收部位未经专业监理工程师验收合格，不得隐蔽或继续施工，否则该部分工程被视为不合格，由此所产生的返工费用由承包人承担。</w:t>
      </w:r>
    </w:p>
    <w:p w14:paraId="614DD95A">
      <w:pPr>
        <w:spacing w:line="360" w:lineRule="auto"/>
        <w:ind w:firstLine="482" w:firstLineChars="200"/>
        <w:outlineLvl w:val="1"/>
        <w:rPr>
          <w:rFonts w:ascii="宋体" w:hAnsi="宋体"/>
          <w:b/>
          <w:kern w:val="0"/>
          <w:sz w:val="24"/>
        </w:rPr>
      </w:pPr>
      <w:bookmarkStart w:id="382" w:name="_Toc144745965"/>
      <w:bookmarkStart w:id="383" w:name="_Toc144746883"/>
      <w:bookmarkStart w:id="384" w:name="_Toc20525"/>
      <w:bookmarkStart w:id="385" w:name="_Toc104901773"/>
      <w:bookmarkStart w:id="386" w:name="_Toc15551"/>
      <w:bookmarkStart w:id="387" w:name="_Toc911_WPSOffice_Level3"/>
      <w:bookmarkStart w:id="388" w:name="_Toc504465901"/>
      <w:bookmarkStart w:id="389" w:name="_Toc12997"/>
      <w:bookmarkStart w:id="390" w:name="_Toc518402596"/>
      <w:bookmarkStart w:id="391" w:name="_Toc502215498"/>
      <w:r>
        <w:rPr>
          <w:rFonts w:hint="eastAsia" w:ascii="宋体" w:hAnsi="宋体" w:cs="宋体"/>
          <w:b/>
          <w:bCs/>
          <w:snapToGrid w:val="0"/>
          <w:kern w:val="0"/>
          <w:sz w:val="24"/>
        </w:rPr>
        <w:t>22</w:t>
      </w:r>
      <w:r>
        <w:rPr>
          <w:rFonts w:hint="eastAsia" w:ascii="宋体" w:hAnsi="宋体"/>
          <w:b/>
          <w:kern w:val="0"/>
          <w:sz w:val="24"/>
        </w:rPr>
        <w:t>、重新检验</w:t>
      </w:r>
      <w:bookmarkEnd w:id="382"/>
      <w:bookmarkEnd w:id="383"/>
      <w:bookmarkEnd w:id="384"/>
      <w:bookmarkEnd w:id="385"/>
      <w:bookmarkEnd w:id="386"/>
      <w:bookmarkEnd w:id="387"/>
      <w:bookmarkEnd w:id="388"/>
      <w:bookmarkEnd w:id="389"/>
      <w:bookmarkEnd w:id="390"/>
      <w:bookmarkEnd w:id="391"/>
    </w:p>
    <w:p w14:paraId="76042D5F">
      <w:pPr>
        <w:spacing w:line="360" w:lineRule="auto"/>
        <w:ind w:firstLine="480" w:firstLineChars="200"/>
        <w:rPr>
          <w:rFonts w:ascii="宋体" w:hAnsi="宋体"/>
          <w:kern w:val="0"/>
          <w:sz w:val="24"/>
        </w:rPr>
      </w:pPr>
      <w:r>
        <w:rPr>
          <w:rFonts w:hint="eastAsia" w:ascii="宋体" w:hAnsi="宋体"/>
          <w:kern w:val="0"/>
          <w:sz w:val="24"/>
        </w:rPr>
        <w:t>无论总监理工程师是否进行验收，当其要求对已经隐蔽的工程重新检验时，承包人应按要求进行剥离或开孔，并在检验后重新覆盖或修复。检验合格，发包人</w:t>
      </w:r>
      <w:r>
        <w:rPr>
          <w:rFonts w:hint="eastAsia" w:ascii="宋体" w:hAnsi="宋体" w:cs="宋体"/>
          <w:bCs/>
          <w:snapToGrid w:val="0"/>
          <w:kern w:val="0"/>
          <w:sz w:val="24"/>
        </w:rPr>
        <w:t>承担由此发生的全部追加合同价款，</w:t>
      </w:r>
      <w:r>
        <w:rPr>
          <w:rFonts w:hint="eastAsia" w:ascii="宋体" w:hAnsi="宋体"/>
          <w:kern w:val="0"/>
          <w:sz w:val="24"/>
        </w:rPr>
        <w:t>相应顺延工期。检验不合格，承包人承担发生的全部费用，工期不予顺延。</w:t>
      </w:r>
    </w:p>
    <w:p w14:paraId="2FCED9A6">
      <w:pPr>
        <w:spacing w:line="360" w:lineRule="auto"/>
        <w:ind w:firstLine="482" w:firstLineChars="200"/>
        <w:outlineLvl w:val="1"/>
        <w:rPr>
          <w:rFonts w:ascii="宋体" w:hAnsi="宋体"/>
          <w:b/>
          <w:kern w:val="0"/>
          <w:sz w:val="24"/>
        </w:rPr>
      </w:pPr>
      <w:bookmarkStart w:id="392" w:name="_Toc13230"/>
      <w:bookmarkStart w:id="393" w:name="_Toc518402597"/>
      <w:bookmarkStart w:id="394" w:name="_Toc27824"/>
      <w:bookmarkStart w:id="395" w:name="_Toc104901774"/>
      <w:bookmarkStart w:id="396" w:name="_Toc144746884"/>
      <w:bookmarkStart w:id="397" w:name="_Toc29312_WPSOffice_Level3"/>
      <w:bookmarkStart w:id="398" w:name="_Toc144745966"/>
      <w:bookmarkStart w:id="399" w:name="_Toc504465902"/>
      <w:bookmarkStart w:id="400" w:name="_Toc9678"/>
      <w:bookmarkStart w:id="401" w:name="_Toc502215499"/>
      <w:r>
        <w:rPr>
          <w:rFonts w:hint="eastAsia" w:ascii="宋体" w:hAnsi="宋体" w:cs="宋体"/>
          <w:b/>
          <w:bCs/>
          <w:snapToGrid w:val="0"/>
          <w:kern w:val="0"/>
          <w:sz w:val="24"/>
        </w:rPr>
        <w:t>23</w:t>
      </w:r>
      <w:r>
        <w:rPr>
          <w:rFonts w:hint="eastAsia" w:ascii="宋体" w:hAnsi="宋体"/>
          <w:b/>
          <w:kern w:val="0"/>
          <w:sz w:val="24"/>
        </w:rPr>
        <w:t>、施工场地的占用和管理</w:t>
      </w:r>
      <w:bookmarkEnd w:id="392"/>
      <w:bookmarkEnd w:id="393"/>
      <w:bookmarkEnd w:id="394"/>
      <w:bookmarkEnd w:id="395"/>
      <w:bookmarkEnd w:id="396"/>
      <w:bookmarkEnd w:id="397"/>
      <w:bookmarkEnd w:id="398"/>
      <w:bookmarkEnd w:id="399"/>
      <w:bookmarkEnd w:id="400"/>
      <w:bookmarkEnd w:id="401"/>
    </w:p>
    <w:p w14:paraId="563E180D">
      <w:pPr>
        <w:spacing w:line="360" w:lineRule="auto"/>
        <w:ind w:firstLine="480" w:firstLineChars="200"/>
        <w:rPr>
          <w:rFonts w:ascii="宋体" w:hAnsi="宋体"/>
          <w:kern w:val="0"/>
          <w:sz w:val="24"/>
        </w:rPr>
      </w:pPr>
      <w:r>
        <w:rPr>
          <w:rFonts w:hint="eastAsia" w:ascii="宋体" w:hAnsi="宋体" w:cs="宋体"/>
          <w:bCs/>
          <w:snapToGrid w:val="0"/>
          <w:kern w:val="0"/>
          <w:sz w:val="24"/>
        </w:rPr>
        <w:t>23</w:t>
      </w:r>
      <w:r>
        <w:rPr>
          <w:rFonts w:hint="eastAsia" w:ascii="宋体" w:hAnsi="宋体"/>
          <w:kern w:val="0"/>
          <w:sz w:val="24"/>
        </w:rPr>
        <w:t>.1发包人应当依照合同约定的时间，按照其与监理单位会签认可的施工场地范围给承包人作为施工场地。承包人必须在发包人提供的施工场地范围内布置、安排和组织施工，严禁擅自变更场地范围。现场施工平面布置图需报监理及发包人进行审批。因工程施工需要，承包人确需临时征用场地或道路的，必须事先取得监理单位和发包人的批准。</w:t>
      </w:r>
    </w:p>
    <w:p w14:paraId="398AA5E7">
      <w:pPr>
        <w:spacing w:line="360" w:lineRule="auto"/>
        <w:ind w:firstLine="480" w:firstLineChars="200"/>
        <w:rPr>
          <w:rFonts w:ascii="宋体" w:hAnsi="宋体"/>
          <w:kern w:val="0"/>
          <w:sz w:val="24"/>
        </w:rPr>
      </w:pPr>
      <w:r>
        <w:rPr>
          <w:rFonts w:hint="eastAsia" w:ascii="宋体" w:hAnsi="宋体" w:cs="宋体"/>
          <w:bCs/>
          <w:snapToGrid w:val="0"/>
          <w:kern w:val="0"/>
          <w:sz w:val="24"/>
        </w:rPr>
        <w:t>23</w:t>
      </w:r>
      <w:r>
        <w:rPr>
          <w:rFonts w:hint="eastAsia" w:ascii="宋体" w:hAnsi="宋体"/>
          <w:kern w:val="0"/>
          <w:sz w:val="24"/>
        </w:rPr>
        <w:t>.2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14:paraId="6D2838DC">
      <w:pPr>
        <w:spacing w:line="360" w:lineRule="auto"/>
        <w:ind w:firstLine="480" w:firstLineChars="200"/>
        <w:rPr>
          <w:rFonts w:ascii="宋体" w:hAnsi="宋体"/>
          <w:kern w:val="0"/>
          <w:sz w:val="24"/>
        </w:rPr>
      </w:pPr>
      <w:r>
        <w:rPr>
          <w:rFonts w:hint="eastAsia" w:ascii="宋体" w:hAnsi="宋体" w:cs="宋体"/>
          <w:bCs/>
          <w:snapToGrid w:val="0"/>
          <w:kern w:val="0"/>
          <w:sz w:val="24"/>
        </w:rPr>
        <w:t>23</w:t>
      </w:r>
      <w:r>
        <w:rPr>
          <w:rFonts w:hint="eastAsia" w:ascii="宋体" w:hAnsi="宋体"/>
          <w:kern w:val="0"/>
          <w:sz w:val="24"/>
        </w:rPr>
        <w:t>.3承包人必须在工程竣工初验或合同解除后30天内或发包人规定的时间内（发包人将提前通知承包人），无条件清退所有施工场地及拆除临时设备（包括但不限于总承包单位及分包单位的设备、人员等）或发包人指定的场地并交还给发包人。拒不清退的，发包人</w:t>
      </w:r>
      <w:r>
        <w:rPr>
          <w:rFonts w:hint="eastAsia" w:ascii="宋体" w:hAnsi="宋体" w:cs="宋体"/>
          <w:bCs/>
          <w:snapToGrid w:val="0"/>
          <w:kern w:val="0"/>
          <w:sz w:val="24"/>
        </w:rPr>
        <w:t>除向承包人收取租金（租金</w:t>
      </w:r>
      <w:r>
        <w:rPr>
          <w:rFonts w:hint="eastAsia" w:ascii="宋体" w:hAnsi="宋体"/>
          <w:kern w:val="0"/>
          <w:sz w:val="24"/>
        </w:rPr>
        <w:t>为每天人民币1元/m2，以本工程建筑总面积为计费基数）外，还有权暂停计价支付、工程结算、工程验收等工作，并由承包人承担由此而产生的清退、拆除费用、发包人因此而被第三方索赔所产生的费用、损失和赔偿、以及发包人申请先予执行的提供的担保或由此产生的相关费用等一切法律责任。</w:t>
      </w:r>
    </w:p>
    <w:p w14:paraId="7BBEAF54">
      <w:pPr>
        <w:spacing w:line="360" w:lineRule="auto"/>
        <w:ind w:firstLine="480" w:firstLineChars="200"/>
        <w:rPr>
          <w:rFonts w:ascii="宋体" w:hAnsi="宋体"/>
          <w:kern w:val="0"/>
          <w:sz w:val="24"/>
        </w:rPr>
      </w:pPr>
      <w:r>
        <w:rPr>
          <w:rFonts w:hint="eastAsia" w:ascii="宋体" w:hAnsi="宋体"/>
          <w:kern w:val="0"/>
          <w:sz w:val="24"/>
        </w:rPr>
        <w:t>对于临时房屋及设施，发包人认为有必要保留的，承包人在清退场地时应无条件保持完好并移交给发包人使用，并不得提出任何费用要求及其它要求。</w:t>
      </w:r>
    </w:p>
    <w:p w14:paraId="448E2211">
      <w:pPr>
        <w:spacing w:line="360" w:lineRule="auto"/>
        <w:ind w:firstLine="480" w:firstLineChars="200"/>
        <w:rPr>
          <w:rFonts w:ascii="宋体" w:hAnsi="宋体"/>
          <w:kern w:val="0"/>
          <w:sz w:val="24"/>
        </w:rPr>
      </w:pPr>
      <w:r>
        <w:rPr>
          <w:rFonts w:hint="eastAsia" w:ascii="宋体" w:hAnsi="宋体" w:cs="宋体"/>
          <w:bCs/>
          <w:snapToGrid w:val="0"/>
          <w:kern w:val="0"/>
          <w:sz w:val="24"/>
        </w:rPr>
        <w:t>23</w:t>
      </w:r>
      <w:r>
        <w:rPr>
          <w:rFonts w:hint="eastAsia" w:ascii="宋体" w:hAnsi="宋体"/>
          <w:kern w:val="0"/>
          <w:sz w:val="24"/>
        </w:rPr>
        <w:t>.4承包人必须服从政府主管部门的执法检查和处罚，并按照检查结果进行整改，并承担相关罚款费用。</w:t>
      </w:r>
    </w:p>
    <w:p w14:paraId="236C4DE3">
      <w:pPr>
        <w:spacing w:line="360" w:lineRule="auto"/>
        <w:ind w:firstLine="482" w:firstLineChars="200"/>
        <w:outlineLvl w:val="1"/>
        <w:rPr>
          <w:rFonts w:ascii="宋体" w:hAnsi="宋体"/>
          <w:b/>
          <w:kern w:val="0"/>
          <w:sz w:val="24"/>
        </w:rPr>
      </w:pPr>
      <w:bookmarkStart w:id="402" w:name="_Toc502215500"/>
      <w:bookmarkStart w:id="403" w:name="_Toc31082"/>
      <w:bookmarkStart w:id="404" w:name="_Toc144745967"/>
      <w:bookmarkStart w:id="405" w:name="_Toc144746885"/>
      <w:bookmarkStart w:id="406" w:name="_Toc26014_WPSOffice_Level3"/>
      <w:bookmarkStart w:id="407" w:name="_Toc25500"/>
      <w:bookmarkStart w:id="408" w:name="_Toc104901775"/>
      <w:bookmarkStart w:id="409" w:name="_Toc30075"/>
      <w:bookmarkStart w:id="410" w:name="_Toc518402598"/>
      <w:bookmarkStart w:id="411" w:name="_Toc504465903"/>
      <w:r>
        <w:rPr>
          <w:rFonts w:hint="eastAsia" w:ascii="宋体" w:hAnsi="宋体" w:cs="宋体"/>
          <w:b/>
          <w:bCs/>
          <w:snapToGrid w:val="0"/>
          <w:kern w:val="0"/>
          <w:sz w:val="24"/>
        </w:rPr>
        <w:t>24</w:t>
      </w:r>
      <w:r>
        <w:rPr>
          <w:rFonts w:hint="eastAsia" w:ascii="宋体" w:hAnsi="宋体"/>
          <w:b/>
          <w:kern w:val="0"/>
          <w:sz w:val="24"/>
        </w:rPr>
        <w:t>、安全施工与检查</w:t>
      </w:r>
      <w:bookmarkEnd w:id="402"/>
      <w:bookmarkEnd w:id="403"/>
      <w:bookmarkEnd w:id="404"/>
      <w:bookmarkEnd w:id="405"/>
      <w:bookmarkEnd w:id="406"/>
      <w:bookmarkEnd w:id="407"/>
      <w:bookmarkEnd w:id="408"/>
      <w:bookmarkEnd w:id="409"/>
      <w:bookmarkEnd w:id="410"/>
      <w:bookmarkEnd w:id="411"/>
    </w:p>
    <w:p w14:paraId="67DBF942">
      <w:pPr>
        <w:spacing w:line="360" w:lineRule="auto"/>
        <w:ind w:firstLine="480" w:firstLineChars="200"/>
        <w:rPr>
          <w:rFonts w:ascii="宋体" w:hAnsi="宋体"/>
          <w:kern w:val="0"/>
          <w:sz w:val="24"/>
        </w:rPr>
      </w:pPr>
      <w:r>
        <w:rPr>
          <w:rFonts w:hint="eastAsia" w:ascii="宋体" w:hAnsi="宋体" w:cs="宋体"/>
          <w:bCs/>
          <w:snapToGrid w:val="0"/>
          <w:kern w:val="0"/>
          <w:sz w:val="24"/>
        </w:rPr>
        <w:t>24</w:t>
      </w:r>
      <w:r>
        <w:rPr>
          <w:rFonts w:hint="eastAsia" w:ascii="宋体" w:hAnsi="宋体"/>
          <w:kern w:val="0"/>
          <w:sz w:val="24"/>
        </w:rPr>
        <w:t>.1承包人应建立健全建筑施工安全生产组织机构和安全保证体系，落实安全生产责任制，按照工程建设安全生产的有关管理规定，采取相应措施，负责现场全部作业的安全，并对此承担全部责任。</w:t>
      </w:r>
    </w:p>
    <w:p w14:paraId="50A0F661">
      <w:pPr>
        <w:spacing w:line="360" w:lineRule="auto"/>
        <w:ind w:firstLine="480" w:firstLineChars="200"/>
        <w:rPr>
          <w:rFonts w:ascii="宋体" w:hAnsi="宋体"/>
          <w:kern w:val="0"/>
          <w:sz w:val="24"/>
        </w:rPr>
      </w:pPr>
      <w:r>
        <w:rPr>
          <w:rFonts w:hint="eastAsia" w:ascii="宋体" w:hAnsi="宋体" w:cs="宋体"/>
          <w:bCs/>
          <w:snapToGrid w:val="0"/>
          <w:kern w:val="0"/>
          <w:sz w:val="24"/>
        </w:rPr>
        <w:t>24</w:t>
      </w:r>
      <w:r>
        <w:rPr>
          <w:rFonts w:hint="eastAsia" w:ascii="宋体" w:hAnsi="宋体"/>
          <w:kern w:val="0"/>
          <w:sz w:val="24"/>
        </w:rPr>
        <w:t>.2承包人在施工中必须制定定期检查制度，加强对自身及其协调管理范围内各专业单位在安全施工方面的检查、监督管理；若被发现存在严重安全隐患的，应按照合同条款第41.</w:t>
      </w:r>
      <w:r>
        <w:rPr>
          <w:rFonts w:hint="eastAsia" w:ascii="宋体" w:hAnsi="宋体" w:cs="宋体"/>
          <w:bCs/>
          <w:snapToGrid w:val="0"/>
          <w:kern w:val="0"/>
          <w:sz w:val="24"/>
        </w:rPr>
        <w:t>12</w:t>
      </w:r>
      <w:r>
        <w:rPr>
          <w:rFonts w:hint="eastAsia" w:ascii="宋体" w:hAnsi="宋体"/>
          <w:kern w:val="0"/>
          <w:sz w:val="24"/>
        </w:rPr>
        <w:t>（1）、（2）款的约定承担违约责任。</w:t>
      </w:r>
    </w:p>
    <w:p w14:paraId="2A2D7D70">
      <w:pPr>
        <w:spacing w:line="360" w:lineRule="auto"/>
        <w:ind w:firstLine="480" w:firstLineChars="200"/>
        <w:rPr>
          <w:rFonts w:ascii="宋体" w:hAnsi="宋体"/>
          <w:kern w:val="0"/>
          <w:sz w:val="24"/>
        </w:rPr>
      </w:pPr>
      <w:r>
        <w:rPr>
          <w:rFonts w:hint="eastAsia" w:ascii="宋体" w:hAnsi="宋体" w:cs="宋体"/>
          <w:bCs/>
          <w:snapToGrid w:val="0"/>
          <w:kern w:val="0"/>
          <w:sz w:val="24"/>
        </w:rPr>
        <w:t>24</w:t>
      </w:r>
      <w:r>
        <w:rPr>
          <w:rFonts w:hint="eastAsia" w:ascii="宋体" w:hAnsi="宋体"/>
          <w:kern w:val="0"/>
          <w:sz w:val="24"/>
        </w:rPr>
        <w:t>.3承包人应当对施工现场的安全生产负总责，保障所有进入施工场地的人员的安全。所发生的人身伤害、安全事故，由承包人负责。为免疑义，承包人应就其人员(包括其分包单位或材料设备供应单位人员)在施工场地造成的任何损害承担全部赔偿责任，无论该损害是因实施本工程承包工作所致，还是其个人原因所致。</w:t>
      </w:r>
    </w:p>
    <w:p w14:paraId="43ADAC0A">
      <w:pPr>
        <w:spacing w:line="360" w:lineRule="auto"/>
        <w:ind w:firstLine="482" w:firstLineChars="200"/>
        <w:outlineLvl w:val="1"/>
        <w:rPr>
          <w:rFonts w:ascii="宋体" w:hAnsi="宋体"/>
          <w:b/>
          <w:kern w:val="0"/>
          <w:sz w:val="24"/>
        </w:rPr>
      </w:pPr>
      <w:bookmarkStart w:id="412" w:name="_Toc502215501"/>
      <w:bookmarkStart w:id="413" w:name="_Toc24600"/>
      <w:bookmarkStart w:id="414" w:name="_Toc31079"/>
      <w:bookmarkStart w:id="415" w:name="_Toc104901776"/>
      <w:bookmarkStart w:id="416" w:name="_Toc144745968"/>
      <w:bookmarkStart w:id="417" w:name="_Toc5248"/>
      <w:bookmarkStart w:id="418" w:name="_Toc504465904"/>
      <w:bookmarkStart w:id="419" w:name="_Toc24609_WPSOffice_Level3"/>
      <w:bookmarkStart w:id="420" w:name="_Toc144746886"/>
      <w:bookmarkStart w:id="421" w:name="_Toc518402599"/>
      <w:r>
        <w:rPr>
          <w:rFonts w:hint="eastAsia" w:ascii="宋体" w:hAnsi="宋体" w:cs="宋体"/>
          <w:b/>
          <w:bCs/>
          <w:snapToGrid w:val="0"/>
          <w:kern w:val="0"/>
          <w:sz w:val="24"/>
        </w:rPr>
        <w:t>25</w:t>
      </w:r>
      <w:r>
        <w:rPr>
          <w:rFonts w:hint="eastAsia" w:ascii="宋体" w:hAnsi="宋体"/>
          <w:b/>
          <w:kern w:val="0"/>
          <w:sz w:val="24"/>
        </w:rPr>
        <w:t>、安全防护</w:t>
      </w:r>
      <w:bookmarkEnd w:id="412"/>
      <w:bookmarkEnd w:id="413"/>
      <w:bookmarkEnd w:id="414"/>
      <w:bookmarkEnd w:id="415"/>
      <w:bookmarkEnd w:id="416"/>
      <w:bookmarkEnd w:id="417"/>
      <w:bookmarkEnd w:id="418"/>
      <w:bookmarkEnd w:id="419"/>
      <w:bookmarkEnd w:id="420"/>
      <w:bookmarkEnd w:id="421"/>
    </w:p>
    <w:p w14:paraId="7B02005A">
      <w:pPr>
        <w:spacing w:line="360" w:lineRule="auto"/>
        <w:ind w:firstLine="480" w:firstLineChars="200"/>
        <w:rPr>
          <w:rFonts w:ascii="宋体" w:hAnsi="宋体"/>
          <w:kern w:val="0"/>
          <w:sz w:val="24"/>
        </w:rPr>
      </w:pPr>
      <w:r>
        <w:rPr>
          <w:rFonts w:hint="eastAsia" w:ascii="宋体" w:hAnsi="宋体" w:cs="宋体"/>
          <w:bCs/>
          <w:snapToGrid w:val="0"/>
          <w:kern w:val="0"/>
          <w:sz w:val="24"/>
        </w:rPr>
        <w:t>25</w:t>
      </w:r>
      <w:r>
        <w:rPr>
          <w:rFonts w:hint="eastAsia" w:ascii="宋体" w:hAnsi="宋体"/>
          <w:kern w:val="0"/>
          <w:sz w:val="24"/>
        </w:rPr>
        <w:t>.1承包人在动力设备、输电线路、地下管道、密封防震车间、易燃易爆地段以及临街交通要道附近施工时，施工开始前应向总监理工程师提出安全防护措施，经总监理工程师认可后实施。</w:t>
      </w:r>
    </w:p>
    <w:p w14:paraId="314ADFA6">
      <w:pPr>
        <w:spacing w:line="360" w:lineRule="auto"/>
        <w:ind w:firstLine="480" w:firstLineChars="200"/>
        <w:rPr>
          <w:rFonts w:ascii="宋体" w:hAnsi="宋体"/>
          <w:kern w:val="0"/>
          <w:sz w:val="24"/>
        </w:rPr>
      </w:pPr>
      <w:r>
        <w:rPr>
          <w:rFonts w:hint="eastAsia" w:ascii="宋体" w:hAnsi="宋体" w:cs="宋体"/>
          <w:bCs/>
          <w:snapToGrid w:val="0"/>
          <w:kern w:val="0"/>
          <w:sz w:val="24"/>
        </w:rPr>
        <w:t>25</w:t>
      </w:r>
      <w:r>
        <w:rPr>
          <w:rFonts w:hint="eastAsia" w:ascii="宋体" w:hAnsi="宋体"/>
          <w:kern w:val="0"/>
          <w:sz w:val="24"/>
        </w:rPr>
        <w:t>.2实施爆破作业，在放射、毒害性环境中施工（含储存、运输、使用）及使用毒害性、腐蚀性物品施工时，承包人应在施工前14天以书面形式通知总监理工程师，并提出相应的安全防护措施，经总监理工程师认可后实施。</w:t>
      </w:r>
    </w:p>
    <w:p w14:paraId="6CA5DB41">
      <w:pPr>
        <w:spacing w:line="360" w:lineRule="auto"/>
        <w:ind w:firstLine="480" w:firstLineChars="200"/>
        <w:rPr>
          <w:rFonts w:ascii="宋体" w:hAnsi="宋体"/>
          <w:kern w:val="0"/>
          <w:sz w:val="24"/>
        </w:rPr>
      </w:pPr>
      <w:r>
        <w:rPr>
          <w:rFonts w:hint="eastAsia" w:ascii="宋体" w:hAnsi="宋体" w:cs="宋体"/>
          <w:bCs/>
          <w:snapToGrid w:val="0"/>
          <w:kern w:val="0"/>
          <w:sz w:val="24"/>
        </w:rPr>
        <w:t>25</w:t>
      </w:r>
      <w:r>
        <w:rPr>
          <w:rFonts w:hint="eastAsia" w:ascii="宋体" w:hAnsi="宋体"/>
          <w:kern w:val="0"/>
          <w:sz w:val="24"/>
        </w:rPr>
        <w:t>.3本工程的安全防护及文明施工措施费包括但不限于合同条款第</w:t>
      </w:r>
      <w:r>
        <w:rPr>
          <w:rFonts w:hint="eastAsia" w:ascii="宋体" w:hAnsi="宋体" w:cs="宋体"/>
          <w:bCs/>
          <w:snapToGrid w:val="0"/>
          <w:kern w:val="0"/>
          <w:sz w:val="24"/>
        </w:rPr>
        <w:t>25.4</w:t>
      </w:r>
      <w:r>
        <w:rPr>
          <w:rFonts w:hint="eastAsia" w:ascii="宋体" w:hAnsi="宋体"/>
          <w:kern w:val="0"/>
          <w:sz w:val="24"/>
        </w:rPr>
        <w:t>款所列明的</w:t>
      </w:r>
      <w:r>
        <w:rPr>
          <w:rFonts w:hint="eastAsia" w:ascii="宋体" w:hAnsi="宋体" w:cs="宋体"/>
          <w:bCs/>
          <w:snapToGrid w:val="0"/>
          <w:kern w:val="0"/>
          <w:sz w:val="24"/>
        </w:rPr>
        <w:t>各项内容所需</w:t>
      </w:r>
      <w:r>
        <w:rPr>
          <w:rFonts w:hint="eastAsia" w:ascii="宋体" w:hAnsi="宋体"/>
          <w:kern w:val="0"/>
          <w:sz w:val="24"/>
        </w:rPr>
        <w:t>费用，所有安全防护及文明施工措施费已包含在合同价款之中。</w:t>
      </w:r>
    </w:p>
    <w:p w14:paraId="232FB31A">
      <w:pPr>
        <w:spacing w:line="360" w:lineRule="auto"/>
        <w:ind w:firstLine="480" w:firstLineChars="200"/>
        <w:rPr>
          <w:rFonts w:ascii="宋体" w:hAnsi="宋体"/>
          <w:kern w:val="0"/>
          <w:sz w:val="24"/>
        </w:rPr>
      </w:pPr>
      <w:r>
        <w:rPr>
          <w:rFonts w:hint="eastAsia" w:ascii="宋体" w:hAnsi="宋体" w:cs="宋体"/>
          <w:bCs/>
          <w:snapToGrid w:val="0"/>
          <w:kern w:val="0"/>
          <w:sz w:val="24"/>
        </w:rPr>
        <w:t>25</w:t>
      </w:r>
      <w:r>
        <w:rPr>
          <w:rFonts w:hint="eastAsia" w:ascii="宋体" w:hAnsi="宋体"/>
          <w:kern w:val="0"/>
          <w:sz w:val="24"/>
        </w:rPr>
        <w:t>.4安全防护和文明施工的实施须满足《建设工程安全生产管理条例》、《建筑施工安全检查标准》（JGJ59-2011）、《建筑工程施工现场环境与卫生标准》(JGJ146-2013)、广东省建设厅转发建设部关于印发《建筑工程安全防护、文明施工措施费用及使用管理规定》的通知（粤建管字〔2005〕116号）、关于印发《广东省建设厅建筑工程安全防护、文明施工措施费用管理办法》的通知（粤建管字〔2007〕39号）、《广州市建设工程现场文明施工管理办法》（穗建质〔2008〕937号）、关于印发《广州市建设工程施工现场消防安全管理规定》的通知（穗建质[2011]617号）、《广州市建设工程文明施工管理规定》（广州市人民政府令第62号）、《广州市委宣传部 广州市住房和城乡建设委员会 广州市城市管理委员会关于完善广州市建设工程施工围蔽管理提升实施技术要求和标准图集的通知》（穗建质〔2016〕1085号）、《广州市提升建设工程安全文明施工管理水平的工作指引》（穗建质[2017]815号）、《广州市建设工程造价管理站关于建设工程施工扬尘污染防治措施和用工实名管理费用计价有关事项的通知》（穗建造价[2018]64号，含文中提及的省、市相关文件的规定</w:t>
      </w:r>
      <w:r>
        <w:rPr>
          <w:rFonts w:hint="eastAsia" w:ascii="宋体" w:hAnsi="宋体" w:cs="宋体"/>
          <w:bCs/>
          <w:snapToGrid w:val="0"/>
          <w:kern w:val="0"/>
          <w:sz w:val="24"/>
        </w:rPr>
        <w:t>、</w:t>
      </w:r>
      <w:r>
        <w:rPr>
          <w:rFonts w:hint="eastAsia" w:ascii="宋体" w:hAnsi="宋体" w:cs="宋体"/>
          <w:sz w:val="24"/>
          <w:szCs w:val="24"/>
        </w:rPr>
        <w:t>广州开发区建设和交通局《关于在全区建设项目推广使用封闭式外脚手架金属防护网的通知》、广州市住房和城乡建设委员会关于《广州市建设工程绿色施工围蔽指导图集(V2.0拭行版 )》(穂建质〔2020〕1号)及《广州市住房和城乡建设委员会关于印发建设工程扬尘防治“6个100%”管理标准细化措施的通知》（穗建质〔2018〕1394号）的相关文件要求的标准实施。以上文件要求不一致的，以后发布文件为准，若相关部门发布有关施工围蔽新文件规定的，按新规定执行</w:t>
      </w:r>
      <w:r>
        <w:rPr>
          <w:rFonts w:hint="eastAsia" w:ascii="宋体" w:hAnsi="宋体"/>
          <w:kern w:val="0"/>
          <w:sz w:val="24"/>
        </w:rPr>
        <w:t>）及发包人制定相关规定，安全文明施工的内容包括但不限于：</w:t>
      </w:r>
    </w:p>
    <w:p w14:paraId="70F8C7E2">
      <w:pPr>
        <w:spacing w:line="360" w:lineRule="auto"/>
        <w:ind w:firstLine="480" w:firstLineChars="200"/>
        <w:rPr>
          <w:rFonts w:ascii="宋体" w:hAnsi="宋体"/>
          <w:kern w:val="0"/>
          <w:sz w:val="24"/>
        </w:rPr>
      </w:pPr>
      <w:r>
        <w:rPr>
          <w:rFonts w:hint="eastAsia" w:ascii="宋体" w:hAnsi="宋体"/>
          <w:kern w:val="0"/>
          <w:sz w:val="24"/>
        </w:rPr>
        <w:t>（1）加强对职业健康安全应急预案、安全技术方案的审查管理工作。</w:t>
      </w:r>
    </w:p>
    <w:p w14:paraId="2DD2DBC8">
      <w:pPr>
        <w:spacing w:line="360" w:lineRule="auto"/>
        <w:ind w:firstLine="480" w:firstLineChars="200"/>
        <w:rPr>
          <w:rFonts w:ascii="宋体" w:hAnsi="宋体"/>
          <w:kern w:val="0"/>
          <w:sz w:val="24"/>
        </w:rPr>
      </w:pPr>
      <w:r>
        <w:rPr>
          <w:rFonts w:hint="eastAsia" w:ascii="宋体" w:hAnsi="宋体"/>
          <w:kern w:val="0"/>
          <w:sz w:val="24"/>
        </w:rPr>
        <w:t>（2）保护所有在现场人员的安全，保护其管辖范围内的现场以及尚未完工的和发包人尚未占用的工程处于良好的安全状态。</w:t>
      </w:r>
    </w:p>
    <w:p w14:paraId="0EC36019">
      <w:pPr>
        <w:spacing w:line="360" w:lineRule="auto"/>
        <w:ind w:firstLine="480" w:firstLineChars="200"/>
        <w:rPr>
          <w:rFonts w:ascii="宋体" w:hAnsi="宋体"/>
          <w:kern w:val="0"/>
          <w:sz w:val="24"/>
        </w:rPr>
      </w:pPr>
      <w:r>
        <w:rPr>
          <w:rFonts w:hint="eastAsia" w:ascii="宋体" w:hAnsi="宋体"/>
          <w:kern w:val="0"/>
          <w:sz w:val="24"/>
        </w:rPr>
        <w:t>（3）在需要的时间和地点，根据总监理工程师、发包人或者当地政府的要求，提供和维持所有的照明灯光、护板、围墙、栅栏、警告信号标志和值班人员，对工程进行保护和为公众提供安全和方便。</w:t>
      </w:r>
    </w:p>
    <w:p w14:paraId="399D23F3">
      <w:pPr>
        <w:spacing w:line="360" w:lineRule="auto"/>
        <w:ind w:firstLine="480" w:firstLineChars="200"/>
        <w:rPr>
          <w:rFonts w:ascii="宋体" w:hAnsi="宋体"/>
          <w:kern w:val="0"/>
          <w:sz w:val="24"/>
        </w:rPr>
      </w:pPr>
      <w:r>
        <w:rPr>
          <w:rFonts w:hint="eastAsia" w:ascii="宋体" w:hAnsi="宋体"/>
          <w:kern w:val="0"/>
          <w:sz w:val="24"/>
        </w:rPr>
        <w:t>（4）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时，承包人必须遵守并执行省市卫生部门为处理和控制上述传染病而制定的规章、命令和要求，迅速向发包人和工程所在地疾病控制中心报告；因承包人报告不及时导致出现不利影响，上述所有责任需由承包人承担。</w:t>
      </w:r>
    </w:p>
    <w:p w14:paraId="4BA11EED">
      <w:pPr>
        <w:spacing w:line="360" w:lineRule="auto"/>
        <w:ind w:firstLine="482" w:firstLineChars="200"/>
        <w:outlineLvl w:val="1"/>
        <w:rPr>
          <w:rFonts w:ascii="宋体" w:hAnsi="宋体"/>
          <w:b/>
          <w:kern w:val="0"/>
          <w:sz w:val="24"/>
        </w:rPr>
      </w:pPr>
      <w:bookmarkStart w:id="422" w:name="_Toc518402600"/>
      <w:bookmarkStart w:id="423" w:name="_Toc144746887"/>
      <w:bookmarkStart w:id="424" w:name="_Toc30153"/>
      <w:bookmarkStart w:id="425" w:name="_Toc104901777"/>
      <w:bookmarkStart w:id="426" w:name="_Toc24591"/>
      <w:bookmarkStart w:id="427" w:name="_Toc502215502"/>
      <w:bookmarkStart w:id="428" w:name="_Toc144745969"/>
      <w:bookmarkStart w:id="429" w:name="_Toc31219_WPSOffice_Level3"/>
      <w:bookmarkStart w:id="430" w:name="_Toc504465905"/>
      <w:bookmarkStart w:id="431" w:name="_Toc25793"/>
      <w:r>
        <w:rPr>
          <w:rFonts w:hint="eastAsia" w:ascii="宋体" w:hAnsi="宋体" w:cs="宋体"/>
          <w:b/>
          <w:bCs/>
          <w:snapToGrid w:val="0"/>
          <w:kern w:val="0"/>
          <w:sz w:val="24"/>
        </w:rPr>
        <w:t>26</w:t>
      </w:r>
      <w:r>
        <w:rPr>
          <w:rFonts w:hint="eastAsia" w:ascii="宋体" w:hAnsi="宋体"/>
          <w:b/>
          <w:kern w:val="0"/>
          <w:sz w:val="24"/>
        </w:rPr>
        <w:t>、事故处理</w:t>
      </w:r>
      <w:bookmarkEnd w:id="422"/>
      <w:bookmarkEnd w:id="423"/>
      <w:bookmarkEnd w:id="424"/>
      <w:bookmarkEnd w:id="425"/>
      <w:bookmarkEnd w:id="426"/>
      <w:bookmarkEnd w:id="427"/>
      <w:bookmarkEnd w:id="428"/>
      <w:bookmarkEnd w:id="429"/>
      <w:bookmarkEnd w:id="430"/>
      <w:bookmarkEnd w:id="431"/>
    </w:p>
    <w:p w14:paraId="4A71EEBD">
      <w:pPr>
        <w:spacing w:line="360" w:lineRule="auto"/>
        <w:ind w:firstLine="480" w:firstLineChars="200"/>
        <w:rPr>
          <w:rFonts w:ascii="宋体" w:hAnsi="宋体"/>
          <w:kern w:val="0"/>
          <w:sz w:val="24"/>
        </w:rPr>
      </w:pPr>
      <w:r>
        <w:rPr>
          <w:rFonts w:hint="eastAsia" w:ascii="宋体" w:hAnsi="宋体" w:cs="宋体"/>
          <w:bCs/>
          <w:snapToGrid w:val="0"/>
          <w:kern w:val="0"/>
          <w:sz w:val="24"/>
        </w:rPr>
        <w:t>26</w:t>
      </w:r>
      <w:r>
        <w:rPr>
          <w:rFonts w:hint="eastAsia" w:ascii="宋体" w:hAnsi="宋体"/>
          <w:kern w:val="0"/>
          <w:sz w:val="24"/>
        </w:rPr>
        <w:t>.1发生重大伤亡及其它安全事故，承包人应按《建设工程安全管理条例》的规定立即上报有关部门并通知总监理工程师，同时按政府有关部门要求处理，由事故责任方承担发生的费用。</w:t>
      </w:r>
    </w:p>
    <w:p w14:paraId="1CB6177D">
      <w:pPr>
        <w:spacing w:line="360" w:lineRule="auto"/>
        <w:ind w:firstLine="480" w:firstLineChars="200"/>
        <w:rPr>
          <w:rFonts w:ascii="宋体" w:hAnsi="宋体"/>
          <w:kern w:val="0"/>
          <w:sz w:val="24"/>
        </w:rPr>
      </w:pPr>
      <w:r>
        <w:rPr>
          <w:rFonts w:hint="eastAsia" w:ascii="宋体" w:hAnsi="宋体" w:cs="宋体"/>
          <w:bCs/>
          <w:snapToGrid w:val="0"/>
          <w:kern w:val="0"/>
          <w:sz w:val="24"/>
        </w:rPr>
        <w:t>26</w:t>
      </w:r>
      <w:r>
        <w:rPr>
          <w:rFonts w:hint="eastAsia" w:ascii="宋体" w:hAnsi="宋体"/>
          <w:kern w:val="0"/>
          <w:sz w:val="24"/>
        </w:rPr>
        <w:t>.2发包人、承包人对事故责任有争议时，应按政府有关部门的认定处理。</w:t>
      </w:r>
    </w:p>
    <w:p w14:paraId="61F0A5DE">
      <w:pPr>
        <w:spacing w:line="360" w:lineRule="auto"/>
        <w:ind w:firstLine="480" w:firstLineChars="200"/>
        <w:rPr>
          <w:rFonts w:ascii="宋体" w:hAnsi="宋体"/>
          <w:kern w:val="0"/>
          <w:sz w:val="24"/>
        </w:rPr>
      </w:pPr>
      <w:r>
        <w:rPr>
          <w:rFonts w:hint="eastAsia" w:ascii="宋体" w:hAnsi="宋体" w:cs="宋体"/>
          <w:bCs/>
          <w:snapToGrid w:val="0"/>
          <w:kern w:val="0"/>
          <w:sz w:val="24"/>
        </w:rPr>
        <w:t>26</w:t>
      </w:r>
      <w:r>
        <w:rPr>
          <w:rFonts w:hint="eastAsia" w:ascii="宋体" w:hAnsi="宋体"/>
          <w:kern w:val="0"/>
          <w:sz w:val="24"/>
        </w:rPr>
        <w:t>.3因承包人过失及其他自身原因造成安全事故的，除按照国家规定由行政主管部门给予承包人处罚外，承包人还应负责赔偿发包人的损失，并按照合同条款第41.</w:t>
      </w:r>
      <w:r>
        <w:rPr>
          <w:rFonts w:hint="eastAsia" w:ascii="宋体" w:hAnsi="宋体" w:cs="宋体"/>
          <w:bCs/>
          <w:snapToGrid w:val="0"/>
          <w:kern w:val="0"/>
          <w:sz w:val="24"/>
        </w:rPr>
        <w:t>12</w:t>
      </w:r>
      <w:r>
        <w:rPr>
          <w:rFonts w:hint="eastAsia" w:ascii="宋体" w:hAnsi="宋体"/>
          <w:kern w:val="0"/>
          <w:sz w:val="24"/>
        </w:rPr>
        <w:t>（3）款的约定承担违约责任。</w:t>
      </w:r>
    </w:p>
    <w:p w14:paraId="620E38D0">
      <w:pPr>
        <w:spacing w:line="360" w:lineRule="auto"/>
        <w:ind w:firstLine="480" w:firstLineChars="200"/>
        <w:rPr>
          <w:rFonts w:ascii="宋体" w:hAnsi="宋体"/>
          <w:sz w:val="24"/>
        </w:rPr>
      </w:pPr>
      <w:r>
        <w:rPr>
          <w:rFonts w:hint="eastAsia" w:ascii="宋体" w:hAnsi="宋体" w:cs="宋体"/>
          <w:sz w:val="24"/>
        </w:rPr>
        <w:t>26</w:t>
      </w:r>
      <w:r>
        <w:rPr>
          <w:rFonts w:hint="eastAsia" w:ascii="宋体" w:hAnsi="宋体"/>
          <w:sz w:val="24"/>
        </w:rPr>
        <w:t>.4承包人应保证发包人免于受到或承担应由承包人负责的因承包人现场施工所引起的或与之有关的索赔、诉讼以及其它开支；若有证据证实发包人因此发生了索赔、诉讼以及其它开支，承包人必须在接到发包人通知后三天内据实补偿发包人因此所受到的损失或者由发包人在承包人工程款项中予以扣除。</w:t>
      </w:r>
    </w:p>
    <w:p w14:paraId="10A4953B">
      <w:pPr>
        <w:spacing w:line="360" w:lineRule="auto"/>
        <w:ind w:firstLine="480" w:firstLineChars="200"/>
        <w:rPr>
          <w:rFonts w:ascii="宋体" w:hAnsi="宋体"/>
          <w:sz w:val="24"/>
        </w:rPr>
      </w:pPr>
      <w:r>
        <w:rPr>
          <w:rFonts w:hint="eastAsia" w:ascii="宋体" w:hAnsi="宋体" w:cs="宋体"/>
          <w:sz w:val="24"/>
        </w:rPr>
        <w:t>26</w:t>
      </w:r>
      <w:r>
        <w:rPr>
          <w:rFonts w:hint="eastAsia" w:ascii="宋体" w:hAnsi="宋体"/>
          <w:sz w:val="24"/>
        </w:rPr>
        <w:t>.5因承包人原因致使建设工程在合理使用期限、设备保证期内造成人身和财产损害的，由承包人承担损害赔偿责任。</w:t>
      </w:r>
    </w:p>
    <w:p w14:paraId="067EB9D2">
      <w:pPr>
        <w:spacing w:line="360" w:lineRule="auto"/>
        <w:ind w:firstLine="482" w:firstLineChars="200"/>
        <w:outlineLvl w:val="1"/>
        <w:rPr>
          <w:rFonts w:ascii="宋体" w:hAnsi="宋体"/>
          <w:b/>
          <w:kern w:val="0"/>
          <w:sz w:val="24"/>
        </w:rPr>
      </w:pPr>
      <w:bookmarkStart w:id="432" w:name="_Toc10670"/>
      <w:bookmarkStart w:id="433" w:name="_Toc144745970"/>
      <w:bookmarkStart w:id="434" w:name="_Toc144746888"/>
      <w:bookmarkStart w:id="435" w:name="_Toc104901778"/>
      <w:bookmarkStart w:id="436" w:name="_Toc21753"/>
      <w:bookmarkStart w:id="437" w:name="_Toc16796_WPSOffice_Level3"/>
      <w:bookmarkStart w:id="438" w:name="_Toc5947"/>
      <w:r>
        <w:rPr>
          <w:rFonts w:hint="eastAsia" w:ascii="宋体" w:hAnsi="宋体" w:cs="宋体"/>
          <w:b/>
          <w:bCs/>
          <w:snapToGrid w:val="0"/>
          <w:kern w:val="0"/>
          <w:sz w:val="24"/>
        </w:rPr>
        <w:t>27</w:t>
      </w:r>
      <w:r>
        <w:rPr>
          <w:rFonts w:hint="eastAsia" w:ascii="宋体" w:hAnsi="宋体"/>
          <w:b/>
          <w:kern w:val="0"/>
          <w:sz w:val="24"/>
        </w:rPr>
        <w:t>、文明施工与环境保护</w:t>
      </w:r>
      <w:bookmarkEnd w:id="432"/>
      <w:bookmarkEnd w:id="433"/>
      <w:bookmarkEnd w:id="434"/>
      <w:bookmarkEnd w:id="435"/>
      <w:bookmarkEnd w:id="436"/>
      <w:bookmarkEnd w:id="437"/>
      <w:bookmarkEnd w:id="438"/>
    </w:p>
    <w:p w14:paraId="4A8DD7AB">
      <w:pPr>
        <w:spacing w:line="360" w:lineRule="auto"/>
        <w:ind w:firstLine="480" w:firstLineChars="200"/>
        <w:rPr>
          <w:rFonts w:ascii="宋体" w:hAnsi="宋体"/>
          <w:kern w:val="0"/>
          <w:sz w:val="24"/>
        </w:rPr>
      </w:pPr>
      <w:r>
        <w:rPr>
          <w:rFonts w:hint="eastAsia" w:ascii="宋体" w:hAnsi="宋体" w:cs="宋体"/>
          <w:sz w:val="24"/>
        </w:rPr>
        <w:t>27</w:t>
      </w:r>
      <w:r>
        <w:rPr>
          <w:rFonts w:hint="eastAsia" w:ascii="宋体" w:hAnsi="宋体"/>
          <w:sz w:val="24"/>
        </w:rPr>
        <w:t>.1承包人应严格落实文明施工措施，须满足广东省广州市黄埔区对安全文明施工的相关规定要求，否则按合同条款第41.</w:t>
      </w:r>
      <w:r>
        <w:rPr>
          <w:rFonts w:hint="eastAsia" w:ascii="宋体" w:hAnsi="宋体" w:cs="宋体"/>
          <w:sz w:val="24"/>
        </w:rPr>
        <w:t>13</w:t>
      </w:r>
      <w:r>
        <w:rPr>
          <w:rFonts w:hint="eastAsia" w:ascii="宋体" w:hAnsi="宋体"/>
          <w:sz w:val="24"/>
        </w:rPr>
        <w:t>款的约定承担违约责任。</w:t>
      </w:r>
    </w:p>
    <w:p w14:paraId="23222949">
      <w:pPr>
        <w:spacing w:line="360" w:lineRule="auto"/>
        <w:ind w:firstLine="480" w:firstLineChars="200"/>
        <w:rPr>
          <w:rFonts w:ascii="宋体" w:hAnsi="宋体"/>
          <w:kern w:val="0"/>
          <w:sz w:val="24"/>
        </w:rPr>
      </w:pPr>
      <w:r>
        <w:rPr>
          <w:rFonts w:hint="eastAsia" w:ascii="宋体" w:hAnsi="宋体" w:cs="宋体"/>
          <w:bCs/>
          <w:snapToGrid w:val="0"/>
          <w:kern w:val="0"/>
          <w:sz w:val="24"/>
        </w:rPr>
        <w:t>27</w:t>
      </w:r>
      <w:r>
        <w:rPr>
          <w:rFonts w:hint="eastAsia" w:ascii="宋体" w:hAnsi="宋体"/>
          <w:kern w:val="0"/>
          <w:sz w:val="24"/>
        </w:rPr>
        <w:t>.2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满足广东省广州市黄埔区对安全文明施工、环境保护的相关规定及发包人的要求。</w:t>
      </w:r>
    </w:p>
    <w:p w14:paraId="766BB50E">
      <w:pPr>
        <w:spacing w:line="360" w:lineRule="auto"/>
        <w:ind w:firstLine="480" w:firstLineChars="200"/>
        <w:rPr>
          <w:rFonts w:ascii="宋体" w:hAnsi="宋体"/>
          <w:kern w:val="0"/>
          <w:sz w:val="24"/>
        </w:rPr>
      </w:pPr>
      <w:r>
        <w:rPr>
          <w:rFonts w:hint="eastAsia" w:ascii="宋体" w:hAnsi="宋体"/>
          <w:kern w:val="0"/>
          <w:sz w:val="24"/>
        </w:rPr>
        <w:t>承包人应在现场布置足量洒水车等设备消除扬尘，符合总监理工程师和发包人的要求，对裸露土需进行绿网覆盖，并需及时更换以保证美观整洁，此费用已包含在绿色措施费用中，不再另计。</w:t>
      </w:r>
    </w:p>
    <w:p w14:paraId="6272F37E">
      <w:pPr>
        <w:spacing w:line="360" w:lineRule="auto"/>
        <w:ind w:firstLine="480" w:firstLineChars="200"/>
        <w:rPr>
          <w:rFonts w:ascii="宋体" w:hAnsi="宋体"/>
          <w:kern w:val="0"/>
          <w:sz w:val="24"/>
        </w:rPr>
      </w:pPr>
      <w:r>
        <w:rPr>
          <w:rFonts w:hint="eastAsia" w:ascii="宋体" w:hAnsi="宋体"/>
          <w:kern w:val="0"/>
          <w:sz w:val="24"/>
        </w:rPr>
        <w:t>对于承包人施工过程中造成的环境污染问题，经发包人或者总监理工程师指出后，承包人未能在发包人要求的合理时间内采取整治措施，或者所采取的整治措施未能有效消除污染的，发包人可以自行或者委托他人代为整治，由此所产生的一切损失、费用均由承包人承担，发包人有权在工程进度款中扣除。</w:t>
      </w:r>
    </w:p>
    <w:p w14:paraId="2603CC3B">
      <w:pPr>
        <w:spacing w:line="360" w:lineRule="auto"/>
        <w:ind w:firstLine="480" w:firstLineChars="200"/>
        <w:rPr>
          <w:rFonts w:ascii="宋体" w:hAnsi="宋体"/>
          <w:kern w:val="0"/>
          <w:sz w:val="24"/>
        </w:rPr>
      </w:pPr>
      <w:r>
        <w:rPr>
          <w:rFonts w:hint="eastAsia" w:ascii="宋体" w:hAnsi="宋体"/>
          <w:kern w:val="0"/>
          <w:sz w:val="24"/>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条款第41.</w:t>
      </w:r>
      <w:r>
        <w:rPr>
          <w:rFonts w:hint="eastAsia" w:ascii="宋体" w:hAnsi="宋体" w:cs="宋体"/>
          <w:bCs/>
          <w:snapToGrid w:val="0"/>
          <w:kern w:val="0"/>
          <w:sz w:val="24"/>
        </w:rPr>
        <w:t>13</w:t>
      </w:r>
      <w:r>
        <w:rPr>
          <w:rFonts w:hint="eastAsia" w:ascii="宋体" w:hAnsi="宋体"/>
          <w:kern w:val="0"/>
          <w:sz w:val="24"/>
        </w:rPr>
        <w:t>款和第41.</w:t>
      </w:r>
      <w:r>
        <w:rPr>
          <w:rFonts w:hint="eastAsia" w:ascii="宋体" w:hAnsi="宋体" w:cs="宋体"/>
          <w:bCs/>
          <w:snapToGrid w:val="0"/>
          <w:kern w:val="0"/>
          <w:sz w:val="24"/>
        </w:rPr>
        <w:t>8</w:t>
      </w:r>
      <w:r>
        <w:rPr>
          <w:rFonts w:hint="eastAsia" w:ascii="宋体" w:hAnsi="宋体"/>
          <w:kern w:val="0"/>
          <w:sz w:val="24"/>
        </w:rPr>
        <w:t>（11）款的约定承担相应的违约责任。</w:t>
      </w:r>
    </w:p>
    <w:p w14:paraId="65FF5E86">
      <w:pPr>
        <w:spacing w:line="360" w:lineRule="auto"/>
        <w:ind w:firstLine="480" w:firstLineChars="200"/>
        <w:rPr>
          <w:rFonts w:ascii="宋体" w:hAnsi="宋体"/>
          <w:kern w:val="0"/>
          <w:sz w:val="24"/>
        </w:rPr>
      </w:pPr>
      <w:r>
        <w:rPr>
          <w:rFonts w:hint="eastAsia" w:ascii="宋体" w:hAnsi="宋体" w:cs="宋体"/>
          <w:bCs/>
          <w:snapToGrid w:val="0"/>
          <w:kern w:val="0"/>
          <w:sz w:val="24"/>
        </w:rPr>
        <w:t>27</w:t>
      </w:r>
      <w:r>
        <w:rPr>
          <w:rFonts w:hint="eastAsia" w:ascii="宋体" w:hAnsi="宋体"/>
          <w:kern w:val="0"/>
          <w:sz w:val="24"/>
        </w:rPr>
        <w:t>.3承包人承诺：所有施工的安全设施、机具以及围网、护栏、临边防护、施工通道等全部按发包人的要求统一标准、统一标识。安全防护、文明施工的内容按承包人向发包人提交且经总监理工程师批准的详细的施工组织设计实施，但安全防护、文明施工的投标总报价不变。</w:t>
      </w:r>
    </w:p>
    <w:p w14:paraId="468C2108">
      <w:pPr>
        <w:spacing w:line="360" w:lineRule="auto"/>
        <w:ind w:firstLine="480" w:firstLineChars="200"/>
        <w:rPr>
          <w:rFonts w:ascii="宋体" w:hAnsi="宋体"/>
          <w:b/>
          <w:sz w:val="28"/>
        </w:rPr>
      </w:pPr>
      <w:r>
        <w:rPr>
          <w:rFonts w:hint="eastAsia" w:ascii="宋体" w:hAnsi="宋体" w:cs="宋体"/>
          <w:bCs/>
          <w:snapToGrid w:val="0"/>
          <w:kern w:val="0"/>
          <w:sz w:val="24"/>
        </w:rPr>
        <w:t>27</w:t>
      </w:r>
      <w:r>
        <w:rPr>
          <w:rFonts w:hint="eastAsia" w:ascii="宋体" w:hAnsi="宋体"/>
          <w:kern w:val="0"/>
          <w:sz w:val="24"/>
        </w:rPr>
        <w:t>.4在合同工期内，发包人、总监理工程师对承包人的安全文明施工及环境保护措施进行定期</w:t>
      </w:r>
      <w:r>
        <w:rPr>
          <w:rFonts w:hint="eastAsia" w:ascii="宋体" w:hAnsi="宋体"/>
          <w:sz w:val="24"/>
        </w:rPr>
        <w:t>检查，</w:t>
      </w:r>
      <w:r>
        <w:rPr>
          <w:rFonts w:hint="eastAsia" w:ascii="宋体" w:hAnsi="宋体" w:cs="宋体"/>
          <w:snapToGrid w:val="0"/>
          <w:sz w:val="24"/>
        </w:rPr>
        <w:t>并按招标文件规定的项目和款项执行奖罚</w:t>
      </w:r>
      <w:r>
        <w:rPr>
          <w:rFonts w:hint="eastAsia" w:ascii="宋体" w:hAnsi="宋体"/>
          <w:sz w:val="24"/>
        </w:rPr>
        <w:t>。</w:t>
      </w:r>
    </w:p>
    <w:p w14:paraId="6AC49835">
      <w:pPr>
        <w:pStyle w:val="27"/>
        <w:spacing w:line="360" w:lineRule="auto"/>
        <w:ind w:firstLine="562" w:firstLineChars="200"/>
        <w:outlineLvl w:val="0"/>
        <w:rPr>
          <w:snapToGrid w:val="0"/>
        </w:rPr>
      </w:pPr>
      <w:bookmarkStart w:id="439" w:name="_Toc104901779"/>
      <w:r>
        <w:rPr>
          <w:rFonts w:hint="eastAsia" w:ascii="宋体" w:hAnsi="宋体" w:cs="宋体"/>
          <w:b/>
          <w:snapToGrid w:val="0"/>
          <w:sz w:val="28"/>
          <w:szCs w:val="28"/>
        </w:rPr>
        <w:t>六</w:t>
      </w:r>
      <w:r>
        <w:rPr>
          <w:rFonts w:hint="eastAsia" w:ascii="宋体" w:hAnsi="宋体"/>
          <w:b/>
          <w:sz w:val="28"/>
        </w:rPr>
        <w:t>、合同</w:t>
      </w:r>
      <w:bookmarkEnd w:id="439"/>
      <w:r>
        <w:rPr>
          <w:rFonts w:hint="eastAsia" w:ascii="宋体" w:hAnsi="宋体" w:cs="宋体"/>
          <w:b/>
          <w:snapToGrid w:val="0"/>
          <w:sz w:val="28"/>
          <w:szCs w:val="28"/>
        </w:rPr>
        <w:t>价款与支付</w:t>
      </w:r>
      <w:bookmarkStart w:id="440" w:name="_Toc144745971"/>
      <w:bookmarkStart w:id="441" w:name="_Toc16240"/>
      <w:bookmarkStart w:id="442" w:name="_Toc26280"/>
      <w:bookmarkStart w:id="443" w:name="_Toc144746889"/>
      <w:bookmarkStart w:id="444" w:name="_Toc32701"/>
    </w:p>
    <w:p w14:paraId="6F034BFD">
      <w:pPr>
        <w:spacing w:line="360" w:lineRule="auto"/>
        <w:ind w:firstLine="482" w:firstLineChars="200"/>
        <w:outlineLvl w:val="1"/>
        <w:rPr>
          <w:rFonts w:ascii="宋体" w:hAnsi="宋体" w:cs="宋体"/>
          <w:b/>
          <w:bCs/>
          <w:snapToGrid w:val="0"/>
          <w:kern w:val="0"/>
          <w:sz w:val="24"/>
        </w:rPr>
      </w:pPr>
      <w:r>
        <w:rPr>
          <w:rFonts w:hint="eastAsia" w:ascii="宋体" w:hAnsi="宋体" w:cs="宋体"/>
          <w:b/>
          <w:bCs/>
          <w:snapToGrid w:val="0"/>
          <w:kern w:val="0"/>
          <w:sz w:val="24"/>
        </w:rPr>
        <w:t>28、合同价款</w:t>
      </w:r>
      <w:bookmarkEnd w:id="440"/>
      <w:bookmarkEnd w:id="441"/>
      <w:bookmarkEnd w:id="442"/>
      <w:bookmarkEnd w:id="443"/>
      <w:bookmarkEnd w:id="444"/>
    </w:p>
    <w:p w14:paraId="3DD3199B">
      <w:pPr>
        <w:spacing w:line="360" w:lineRule="auto"/>
        <w:ind w:firstLine="480" w:firstLineChars="200"/>
        <w:rPr>
          <w:rFonts w:ascii="宋体" w:hAnsi="宋体" w:cs="宋体"/>
        </w:rPr>
      </w:pPr>
      <w:r>
        <w:rPr>
          <w:rFonts w:hint="eastAsia" w:ascii="宋体" w:hAnsi="宋体" w:cs="宋体"/>
          <w:bCs/>
          <w:snapToGrid w:val="0"/>
          <w:kern w:val="0"/>
          <w:sz w:val="24"/>
        </w:rPr>
        <w:t>本合同暂定合同价见合同协议书第6条，实际合同价款按以下约定确定：</w:t>
      </w:r>
    </w:p>
    <w:p w14:paraId="50FF90A4">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28.1工程设计费：</w:t>
      </w:r>
    </w:p>
    <w:p w14:paraId="46A90E45">
      <w:pPr>
        <w:spacing w:line="360" w:lineRule="auto"/>
        <w:ind w:firstLine="480" w:firstLineChars="200"/>
        <w:rPr>
          <w:rFonts w:ascii="宋体" w:hAnsi="宋体" w:cs="宋体"/>
          <w:bCs/>
          <w:snapToGrid w:val="0"/>
          <w:kern w:val="0"/>
          <w:sz w:val="24"/>
        </w:rPr>
      </w:pPr>
      <w:bookmarkStart w:id="445" w:name="_Hlk145866794"/>
      <w:r>
        <w:rPr>
          <w:rFonts w:hint="eastAsia" w:ascii="宋体" w:hAnsi="宋体" w:cs="宋体"/>
          <w:bCs/>
          <w:snapToGrid w:val="0"/>
          <w:kern w:val="0"/>
          <w:sz w:val="24"/>
        </w:rPr>
        <w:t>工程设计费暂定价</w:t>
      </w:r>
      <w:bookmarkEnd w:id="445"/>
      <w:r>
        <w:rPr>
          <w:rFonts w:hint="eastAsia" w:ascii="宋体" w:hAnsi="宋体" w:cs="宋体"/>
          <w:bCs/>
          <w:snapToGrid w:val="0"/>
          <w:kern w:val="0"/>
          <w:sz w:val="24"/>
        </w:rPr>
        <w:t>为￥</w:t>
      </w:r>
      <w:r>
        <w:rPr>
          <w:rFonts w:hint="eastAsia" w:ascii="宋体" w:hAnsi="宋体" w:cs="宋体"/>
          <w:bCs/>
          <w:snapToGrid w:val="0"/>
          <w:kern w:val="0"/>
          <w:sz w:val="24"/>
          <w:u w:val="single"/>
        </w:rPr>
        <w:t xml:space="preserve"> </w:t>
      </w:r>
      <w:r>
        <w:rPr>
          <w:rFonts w:hint="eastAsia" w:ascii="宋体" w:hAnsi="宋体" w:cs="宋体"/>
          <w:bCs/>
          <w:snapToGrid w:val="0"/>
          <w:color w:val="FF000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元（其中不含税价款为￥</w:t>
      </w:r>
      <w:r>
        <w:rPr>
          <w:rFonts w:hint="eastAsia" w:ascii="宋体" w:hAnsi="宋体" w:cs="宋体"/>
          <w:bCs/>
          <w:snapToGrid w:val="0"/>
          <w:kern w:val="0"/>
          <w:sz w:val="24"/>
          <w:u w:val="single"/>
        </w:rPr>
        <w:t xml:space="preserve"> </w:t>
      </w:r>
      <w:r>
        <w:rPr>
          <w:rFonts w:hint="eastAsia" w:ascii="宋体" w:hAnsi="宋体" w:cs="宋体"/>
          <w:bCs/>
          <w:snapToGrid w:val="0"/>
          <w:color w:val="FF000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元，增值税为￥</w:t>
      </w:r>
      <w:r>
        <w:rPr>
          <w:rFonts w:hint="eastAsia" w:ascii="宋体" w:hAnsi="宋体" w:cs="宋体"/>
          <w:bCs/>
          <w:snapToGrid w:val="0"/>
          <w:kern w:val="0"/>
          <w:sz w:val="24"/>
          <w:u w:val="single"/>
        </w:rPr>
        <w:t xml:space="preserve"> </w:t>
      </w:r>
      <w:r>
        <w:rPr>
          <w:rFonts w:hint="eastAsia" w:ascii="宋体" w:hAnsi="宋体" w:cs="宋体"/>
          <w:bCs/>
          <w:snapToGrid w:val="0"/>
          <w:color w:val="FF000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元），本合同价款增值税税率为</w:t>
      </w:r>
      <w:r>
        <w:rPr>
          <w:rFonts w:hint="eastAsia" w:ascii="宋体" w:hAnsi="宋体" w:cs="宋体"/>
          <w:bCs/>
          <w:snapToGrid w:val="0"/>
          <w:kern w:val="0"/>
          <w:sz w:val="24"/>
          <w:u w:val="single"/>
        </w:rPr>
        <w:t xml:space="preserve"> 6 </w:t>
      </w:r>
      <w:r>
        <w:rPr>
          <w:rFonts w:hint="eastAsia" w:ascii="宋体" w:hAnsi="宋体" w:cs="宋体"/>
          <w:bCs/>
          <w:snapToGrid w:val="0"/>
          <w:kern w:val="0"/>
          <w:sz w:val="24"/>
        </w:rPr>
        <w:t>%，如果增值税税率调整，应当调整工程造价，并以不含税价作为结算基础和调整依据。工程设计费</w:t>
      </w:r>
      <w:r>
        <w:rPr>
          <w:rFonts w:hint="eastAsia" w:ascii="宋体" w:hAnsi="宋体" w:cs="宋体"/>
          <w:sz w:val="24"/>
          <w:szCs w:val="24"/>
        </w:rPr>
        <w:t>包含本合同项目各设计阶段（除概念设计方案）全部的设计费用、设计成本测算费、设计文件修改费用、设计变更费用（</w:t>
      </w:r>
      <w:r>
        <w:rPr>
          <w:rFonts w:hint="eastAsia" w:ascii="仿宋_GB2312" w:hAnsi="宋体"/>
          <w:kern w:val="0"/>
          <w:sz w:val="24"/>
        </w:rPr>
        <w:t>设计费已经包含</w:t>
      </w:r>
      <w:r>
        <w:rPr>
          <w:rFonts w:hint="eastAsia" w:ascii="仿宋_GB2312" w:hAnsi="宋体" w:eastAsia="仿宋_GB2312" w:cs="宋体"/>
          <w:bCs/>
          <w:snapToGrid w:val="0"/>
          <w:kern w:val="0"/>
          <w:sz w:val="24"/>
          <w:szCs w:val="24"/>
        </w:rPr>
        <w:t>所有</w:t>
      </w:r>
      <w:r>
        <w:rPr>
          <w:rFonts w:hint="eastAsia" w:ascii="仿宋_GB2312" w:hAnsi="宋体"/>
          <w:kern w:val="0"/>
          <w:sz w:val="24"/>
        </w:rPr>
        <w:t>设计变更增加的设计费用</w:t>
      </w:r>
      <w:r>
        <w:rPr>
          <w:rFonts w:hint="eastAsia" w:ascii="宋体" w:hAnsi="宋体" w:cs="宋体"/>
          <w:sz w:val="24"/>
          <w:szCs w:val="24"/>
        </w:rPr>
        <w:t>）、驻场服务费用、设计效果图、施工图纸晒图、税费等承包人完成本设计项目所需一切费用。</w:t>
      </w:r>
    </w:p>
    <w:p w14:paraId="5FB51A72">
      <w:pPr>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rPr>
        <w:t>本合同工程设计费结算时按原国家计委、建设部关于发布《工程勘察设计收费管理规定》的通知（文件号：计价格【2002】10号）的规定下浮20%后再乘以设计费中标下浮率</w:t>
      </w:r>
      <w:r>
        <w:rPr>
          <w:rFonts w:hint="eastAsia" w:ascii="宋体" w:hAnsi="宋体" w:cs="宋体"/>
          <w:bCs/>
          <w:snapToGrid w:val="0"/>
          <w:kern w:val="0"/>
          <w:sz w:val="24"/>
          <w:lang w:eastAsia="zh-CN"/>
        </w:rPr>
        <w:t>，</w:t>
      </w:r>
      <w:r>
        <w:rPr>
          <w:rFonts w:hint="eastAsia" w:ascii="宋体" w:hAnsi="宋体" w:cs="宋体"/>
          <w:bCs/>
          <w:snapToGrid w:val="0"/>
          <w:kern w:val="0"/>
          <w:sz w:val="24"/>
          <w:lang w:val="en-US" w:eastAsia="zh-CN"/>
        </w:rPr>
        <w:t>在此基础上扣减10%的方案设计费用。</w:t>
      </w:r>
      <w:r>
        <w:rPr>
          <w:rFonts w:hint="eastAsia" w:ascii="宋体" w:hAnsi="宋体" w:cs="宋体"/>
          <w:bCs/>
          <w:snapToGrid w:val="0"/>
          <w:kern w:val="0"/>
          <w:sz w:val="24"/>
        </w:rPr>
        <w:t>计费基数按发包人审核确定的各专业工程</w:t>
      </w:r>
      <w:r>
        <w:rPr>
          <w:rFonts w:hint="eastAsia" w:ascii="宋体" w:hAnsi="宋体" w:cs="宋体"/>
          <w:bCs/>
          <w:snapToGrid w:val="0"/>
          <w:kern w:val="0"/>
          <w:sz w:val="24"/>
          <w:lang w:val="en-US" w:eastAsia="zh-CN"/>
        </w:rPr>
        <w:t>费用概算金额为准</w:t>
      </w:r>
      <w:r>
        <w:rPr>
          <w:rFonts w:hint="eastAsia" w:ascii="宋体" w:hAnsi="宋体" w:cs="宋体"/>
          <w:bCs/>
          <w:snapToGrid w:val="0"/>
          <w:kern w:val="0"/>
          <w:sz w:val="24"/>
        </w:rPr>
        <w:t>，设计费已经包含设计变更的费用。各系数如下：专业系数为</w:t>
      </w:r>
      <w:r>
        <w:rPr>
          <w:rFonts w:hint="eastAsia" w:ascii="宋体" w:hAnsi="宋体" w:cs="宋体"/>
          <w:bCs/>
          <w:snapToGrid w:val="0"/>
          <w:kern w:val="0"/>
          <w:sz w:val="24"/>
          <w:lang w:val="en-US" w:eastAsia="zh-CN"/>
        </w:rPr>
        <w:t>1.1</w:t>
      </w:r>
      <w:r>
        <w:rPr>
          <w:rFonts w:hint="eastAsia" w:ascii="宋体" w:hAnsi="宋体" w:cs="宋体"/>
          <w:bCs/>
          <w:snapToGrid w:val="0"/>
          <w:kern w:val="0"/>
          <w:sz w:val="24"/>
        </w:rPr>
        <w:t>、工程复杂程度系数</w:t>
      </w:r>
      <w:r>
        <w:rPr>
          <w:rFonts w:hint="eastAsia" w:ascii="宋体" w:hAnsi="宋体" w:cs="宋体"/>
          <w:bCs/>
          <w:snapToGrid w:val="0"/>
          <w:kern w:val="0"/>
          <w:sz w:val="24"/>
          <w:lang w:val="en-US" w:eastAsia="zh-CN"/>
        </w:rPr>
        <w:t>0.85</w:t>
      </w:r>
      <w:r>
        <w:rPr>
          <w:rFonts w:hint="eastAsia" w:ascii="宋体" w:hAnsi="宋体" w:cs="宋体"/>
          <w:bCs/>
          <w:snapToGrid w:val="0"/>
          <w:kern w:val="0"/>
          <w:sz w:val="24"/>
        </w:rPr>
        <w:t>、</w:t>
      </w:r>
      <w:r>
        <w:rPr>
          <w:rFonts w:hint="eastAsia" w:ascii="宋体" w:hAnsi="宋体" w:cs="宋体"/>
          <w:bCs/>
          <w:snapToGrid w:val="0"/>
          <w:kern w:val="0"/>
          <w:sz w:val="24"/>
          <w:lang w:val="en-US" w:eastAsia="zh-CN"/>
        </w:rPr>
        <w:t>各</w:t>
      </w:r>
      <w:r>
        <w:rPr>
          <w:rFonts w:hint="eastAsia" w:ascii="宋体" w:hAnsi="宋体" w:cs="宋体"/>
          <w:bCs/>
          <w:snapToGrid w:val="0"/>
          <w:kern w:val="0"/>
          <w:sz w:val="24"/>
        </w:rPr>
        <w:t>专业工程附加调整系数</w:t>
      </w:r>
      <w:r>
        <w:rPr>
          <w:rFonts w:hint="eastAsia" w:ascii="宋体" w:hAnsi="宋体" w:cs="宋体"/>
          <w:bCs/>
          <w:snapToGrid w:val="0"/>
          <w:kern w:val="0"/>
          <w:sz w:val="24"/>
          <w:lang w:val="en-US" w:eastAsia="zh-CN"/>
        </w:rPr>
        <w:t>为1.1</w:t>
      </w:r>
      <w:r>
        <w:rPr>
          <w:rFonts w:hint="eastAsia" w:ascii="宋体" w:hAnsi="宋体" w:cs="宋体"/>
          <w:bCs/>
          <w:snapToGrid w:val="0"/>
          <w:color w:val="FF0000"/>
          <w:kern w:val="0"/>
          <w:sz w:val="24"/>
        </w:rPr>
        <w:t>。</w:t>
      </w:r>
    </w:p>
    <w:p w14:paraId="545F154E">
      <w:pPr>
        <w:spacing w:line="360" w:lineRule="auto"/>
        <w:ind w:firstLine="480" w:firstLineChars="200"/>
        <w:rPr>
          <w:rFonts w:ascii="宋体" w:hAnsi="宋体" w:cs="宋体"/>
          <w:sz w:val="24"/>
          <w:szCs w:val="24"/>
        </w:rPr>
      </w:pPr>
      <w:r>
        <w:rPr>
          <w:rFonts w:hint="eastAsia" w:ascii="宋体" w:hAnsi="宋体" w:cs="宋体"/>
          <w:sz w:val="24"/>
          <w:szCs w:val="24"/>
        </w:rPr>
        <w:t>（1）如室外园林、室内装修、幕墙专业设计达不到发包人要求，承包人须无条件接受发包人有权另行委托此部分设计工作（相关设计费按照发包人实际委托的金额从本合同中扣除，承包人需无条件同意）</w:t>
      </w:r>
      <w:r>
        <w:rPr>
          <w:rFonts w:hint="eastAsia" w:ascii="宋体" w:hAnsi="宋体" w:cs="宋体"/>
          <w:sz w:val="24"/>
          <w:szCs w:val="24"/>
          <w:lang w:eastAsia="zh-CN"/>
        </w:rPr>
        <w:t>（</w:t>
      </w:r>
      <w:r>
        <w:rPr>
          <w:rFonts w:hint="eastAsia" w:ascii="宋体" w:hAnsi="宋体" w:cs="宋体"/>
          <w:sz w:val="24"/>
          <w:szCs w:val="24"/>
          <w:lang w:val="en-US" w:eastAsia="zh-CN"/>
        </w:rPr>
        <w:t>不适用</w:t>
      </w:r>
      <w:r>
        <w:rPr>
          <w:rFonts w:hint="eastAsia" w:ascii="宋体" w:hAnsi="宋体" w:cs="宋体"/>
          <w:sz w:val="24"/>
          <w:szCs w:val="24"/>
          <w:lang w:eastAsia="zh-CN"/>
        </w:rPr>
        <w:t>）</w:t>
      </w:r>
      <w:r>
        <w:rPr>
          <w:rFonts w:hint="eastAsia" w:ascii="宋体" w:hAnsi="宋体" w:cs="宋体"/>
          <w:sz w:val="24"/>
          <w:szCs w:val="24"/>
        </w:rPr>
        <w:t>。</w:t>
      </w:r>
    </w:p>
    <w:p w14:paraId="0DF4974F">
      <w:pPr>
        <w:spacing w:line="360" w:lineRule="auto"/>
        <w:ind w:firstLine="480" w:firstLineChars="200"/>
        <w:rPr>
          <w:rFonts w:ascii="宋体" w:hAnsi="宋体" w:cs="宋体"/>
          <w:sz w:val="24"/>
          <w:szCs w:val="24"/>
        </w:rPr>
      </w:pPr>
      <w:r>
        <w:rPr>
          <w:rFonts w:hint="eastAsia" w:ascii="宋体" w:hAnsi="宋体" w:cs="宋体"/>
          <w:sz w:val="24"/>
          <w:szCs w:val="24"/>
        </w:rPr>
        <w:t>（2）报建费用及设计驻场服务费用已包含于工程设计费中，不再另行计取。报建费用包括：公示费、加晒加印图纸资料、各阶段的汇报文件和送审文件晒制费用、修详通、报建通等（城市基础设施配套费和高可靠性供电费除外）。</w:t>
      </w:r>
    </w:p>
    <w:p w14:paraId="44B9124A">
      <w:pPr>
        <w:pStyle w:val="46"/>
        <w:spacing w:after="0"/>
        <w:ind w:left="0" w:leftChars="0" w:firstLine="480"/>
        <w:rPr>
          <w:rFonts w:ascii="宋体" w:hAnsi="宋体" w:cs="宋体"/>
        </w:rPr>
      </w:pPr>
      <w:r>
        <w:rPr>
          <w:rFonts w:hint="eastAsia" w:ascii="宋体" w:hAnsi="宋体" w:cs="宋体"/>
        </w:rPr>
        <w:t>（3）设计方案评审费、专项专家评审费、设计驻场服务等费用已包含于合同价款（单价）中，发包人不再另行计算费用支付。以上费用约定的设计服务期限至合同生效之日起至工程竣工验收备案之日止。如因发包人原因，导致项目未能按合同约定完成工程竣工验收备案，不视为发包人违约，设计</w:t>
      </w:r>
      <w:r>
        <w:rPr>
          <w:rFonts w:hint="eastAsia" w:ascii="宋体" w:hAnsi="宋体" w:cs="宋体"/>
          <w:snapToGrid w:val="0"/>
        </w:rPr>
        <w:t>单位</w:t>
      </w:r>
      <w:r>
        <w:rPr>
          <w:rFonts w:hint="eastAsia" w:ascii="宋体" w:hAnsi="宋体" w:cs="宋体"/>
        </w:rPr>
        <w:t>承诺无条件延长设计服务期限。</w:t>
      </w:r>
    </w:p>
    <w:p w14:paraId="6AB63B87">
      <w:pPr>
        <w:spacing w:line="360" w:lineRule="auto"/>
        <w:ind w:firstLine="480" w:firstLineChars="200"/>
        <w:rPr>
          <w:rFonts w:ascii="宋体" w:hAnsi="宋体" w:cs="宋体"/>
          <w:sz w:val="24"/>
          <w:szCs w:val="24"/>
        </w:rPr>
      </w:pPr>
      <w:r>
        <w:rPr>
          <w:rFonts w:hint="eastAsia" w:ascii="宋体" w:hAnsi="宋体" w:cs="宋体"/>
          <w:sz w:val="24"/>
          <w:szCs w:val="24"/>
        </w:rPr>
        <w:t>（4）设计</w:t>
      </w:r>
      <w:r>
        <w:rPr>
          <w:rFonts w:hint="eastAsia" w:ascii="宋体" w:hAnsi="宋体" w:cs="宋体"/>
          <w:snapToGrid w:val="0"/>
          <w:sz w:val="24"/>
          <w:szCs w:val="24"/>
        </w:rPr>
        <w:t>单位</w:t>
      </w:r>
      <w:r>
        <w:rPr>
          <w:rFonts w:hint="eastAsia" w:ascii="宋体" w:hAnsi="宋体" w:cs="宋体"/>
          <w:sz w:val="24"/>
          <w:szCs w:val="24"/>
        </w:rPr>
        <w:t>必须按照《建筑工程设计文件编制深度规定》（2016年版）的深度提交的施工图，满足国家规定的深度标准，如不满足国家规定的深度标准，那么不满足部分只计取40%的设计费。</w:t>
      </w:r>
    </w:p>
    <w:p w14:paraId="5BC8A5B4">
      <w:pPr>
        <w:spacing w:line="360" w:lineRule="auto"/>
        <w:ind w:firstLine="480" w:firstLineChars="200"/>
        <w:rPr>
          <w:rFonts w:hint="default" w:ascii="宋体" w:hAnsi="宋体" w:cs="宋体"/>
          <w:sz w:val="24"/>
          <w:lang w:val="en-US" w:eastAsia="zh-CN"/>
        </w:rPr>
      </w:pPr>
      <w:r>
        <w:rPr>
          <w:rFonts w:hint="eastAsia" w:ascii="宋体" w:hAnsi="宋体" w:cs="宋体"/>
          <w:sz w:val="24"/>
          <w:szCs w:val="24"/>
        </w:rPr>
        <w:t>28.2</w:t>
      </w:r>
      <w:r>
        <w:rPr>
          <w:rFonts w:hint="eastAsia" w:ascii="宋体" w:hAnsi="宋体" w:cs="宋体"/>
          <w:snapToGrid w:val="0"/>
          <w:sz w:val="24"/>
          <w:lang w:val="en-US" w:eastAsia="zh-CN"/>
        </w:rPr>
        <w:t>工程勘察费及物探费</w:t>
      </w:r>
      <w:r>
        <w:rPr>
          <w:rFonts w:hint="eastAsia" w:ascii="宋体" w:hAnsi="宋体" w:cs="宋体"/>
          <w:sz w:val="24"/>
        </w:rPr>
        <w:t>：</w:t>
      </w:r>
    </w:p>
    <w:p w14:paraId="314DC943">
      <w:pPr>
        <w:spacing w:line="360" w:lineRule="auto"/>
        <w:ind w:firstLine="480" w:firstLineChars="200"/>
        <w:rPr>
          <w:rFonts w:hint="eastAsia" w:ascii="宋体" w:hAnsi="宋体" w:cs="宋体"/>
          <w:sz w:val="24"/>
        </w:rPr>
      </w:pPr>
      <w:r>
        <w:rPr>
          <w:rFonts w:hint="eastAsia" w:ascii="宋体" w:hAnsi="宋体" w:cs="宋体"/>
          <w:sz w:val="24"/>
          <w:lang w:val="en-US" w:eastAsia="zh-CN"/>
        </w:rPr>
        <w:t>28.2.1工程勘察费暂定</w:t>
      </w:r>
      <w:r>
        <w:rPr>
          <w:rFonts w:hint="eastAsia" w:ascii="宋体" w:hAnsi="宋体" w:cs="宋体"/>
          <w:bCs/>
          <w:snapToGrid w:val="0"/>
          <w:kern w:val="0"/>
          <w:sz w:val="24"/>
        </w:rPr>
        <w:t>价为￥</w:t>
      </w:r>
      <w:r>
        <w:rPr>
          <w:rFonts w:hint="eastAsia" w:ascii="宋体" w:hAnsi="宋体" w:cs="宋体"/>
          <w:bCs/>
          <w:snapToGrid w:val="0"/>
          <w:kern w:val="0"/>
          <w:sz w:val="24"/>
          <w:u w:val="single"/>
        </w:rPr>
        <w:t xml:space="preserve"> </w:t>
      </w:r>
      <w:r>
        <w:rPr>
          <w:rFonts w:hint="eastAsia" w:ascii="宋体" w:hAnsi="宋体" w:cs="宋体"/>
          <w:bCs/>
          <w:snapToGrid w:val="0"/>
          <w:color w:val="FF000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元（其中不含税价款为￥</w:t>
      </w:r>
      <w:r>
        <w:rPr>
          <w:rFonts w:hint="eastAsia" w:ascii="宋体" w:hAnsi="宋体" w:cs="宋体"/>
          <w:bCs/>
          <w:snapToGrid w:val="0"/>
          <w:kern w:val="0"/>
          <w:sz w:val="24"/>
          <w:u w:val="single"/>
        </w:rPr>
        <w:t xml:space="preserve"> </w:t>
      </w:r>
      <w:r>
        <w:rPr>
          <w:rFonts w:hint="eastAsia" w:ascii="宋体" w:hAnsi="宋体" w:cs="宋体"/>
          <w:bCs/>
          <w:snapToGrid w:val="0"/>
          <w:color w:val="FF000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元，增值税为￥</w:t>
      </w:r>
      <w:r>
        <w:rPr>
          <w:rFonts w:hint="eastAsia" w:ascii="宋体" w:hAnsi="宋体" w:cs="宋体"/>
          <w:bCs/>
          <w:snapToGrid w:val="0"/>
          <w:kern w:val="0"/>
          <w:sz w:val="24"/>
          <w:u w:val="single"/>
        </w:rPr>
        <w:t xml:space="preserve"> </w:t>
      </w:r>
      <w:r>
        <w:rPr>
          <w:rFonts w:hint="eastAsia" w:ascii="宋体" w:hAnsi="宋体" w:cs="宋体"/>
          <w:bCs/>
          <w:snapToGrid w:val="0"/>
          <w:color w:val="FF000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元），本合同价款增值税税率为</w:t>
      </w:r>
      <w:r>
        <w:rPr>
          <w:rFonts w:hint="eastAsia" w:ascii="宋体" w:hAnsi="宋体" w:cs="宋体"/>
          <w:bCs/>
          <w:snapToGrid w:val="0"/>
          <w:kern w:val="0"/>
          <w:sz w:val="24"/>
          <w:u w:val="single"/>
        </w:rPr>
        <w:t xml:space="preserve"> 6 </w:t>
      </w:r>
      <w:r>
        <w:rPr>
          <w:rFonts w:hint="eastAsia" w:ascii="宋体" w:hAnsi="宋体" w:cs="宋体"/>
          <w:bCs/>
          <w:snapToGrid w:val="0"/>
          <w:kern w:val="0"/>
          <w:sz w:val="24"/>
        </w:rPr>
        <w:t>%，如果增值税税率调整，应当调整工程造价，并以不含税价作为结算基础和调整依据。</w:t>
      </w:r>
      <w:r>
        <w:rPr>
          <w:rFonts w:hint="eastAsia" w:ascii="宋体" w:hAnsi="宋体" w:cs="宋体"/>
          <w:bCs/>
          <w:snapToGrid w:val="0"/>
          <w:kern w:val="0"/>
          <w:sz w:val="24"/>
          <w:lang w:val="en-US" w:eastAsia="zh-CN"/>
        </w:rPr>
        <w:t>结算按照实际钻孔数量及深度计算乘以中标单价计算，中标单价已包含钻探工作的一切费用</w:t>
      </w:r>
      <w:r>
        <w:rPr>
          <w:rFonts w:hint="eastAsia" w:ascii="宋体" w:hAnsi="宋体" w:cs="宋体"/>
          <w:sz w:val="24"/>
        </w:rPr>
        <w:t>。</w:t>
      </w:r>
    </w:p>
    <w:p w14:paraId="49CD5309">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28.2.2物探费暂定价为</w:t>
      </w:r>
      <w:r>
        <w:rPr>
          <w:rFonts w:hint="eastAsia" w:ascii="宋体" w:hAnsi="宋体" w:cs="宋体"/>
          <w:bCs/>
          <w:snapToGrid w:val="0"/>
          <w:kern w:val="0"/>
          <w:sz w:val="24"/>
        </w:rPr>
        <w:t>￥</w:t>
      </w:r>
      <w:r>
        <w:rPr>
          <w:rFonts w:hint="eastAsia" w:ascii="宋体" w:hAnsi="宋体" w:cs="宋体"/>
          <w:bCs/>
          <w:snapToGrid w:val="0"/>
          <w:kern w:val="0"/>
          <w:sz w:val="24"/>
          <w:u w:val="single"/>
        </w:rPr>
        <w:t xml:space="preserve"> </w:t>
      </w:r>
      <w:r>
        <w:rPr>
          <w:rFonts w:hint="eastAsia" w:ascii="宋体" w:hAnsi="宋体" w:cs="宋体"/>
          <w:bCs/>
          <w:snapToGrid w:val="0"/>
          <w:color w:val="FF000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元（其中不含税价款为￥</w:t>
      </w:r>
      <w:r>
        <w:rPr>
          <w:rFonts w:hint="eastAsia" w:ascii="宋体" w:hAnsi="宋体" w:cs="宋体"/>
          <w:bCs/>
          <w:snapToGrid w:val="0"/>
          <w:kern w:val="0"/>
          <w:sz w:val="24"/>
          <w:u w:val="single"/>
        </w:rPr>
        <w:t xml:space="preserve"> </w:t>
      </w:r>
      <w:r>
        <w:rPr>
          <w:rFonts w:hint="eastAsia" w:ascii="宋体" w:hAnsi="宋体" w:cs="宋体"/>
          <w:bCs/>
          <w:snapToGrid w:val="0"/>
          <w:color w:val="FF000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元，增值税为￥</w:t>
      </w:r>
      <w:r>
        <w:rPr>
          <w:rFonts w:hint="eastAsia" w:ascii="宋体" w:hAnsi="宋体" w:cs="宋体"/>
          <w:bCs/>
          <w:snapToGrid w:val="0"/>
          <w:kern w:val="0"/>
          <w:sz w:val="24"/>
          <w:u w:val="single"/>
        </w:rPr>
        <w:t xml:space="preserve"> </w:t>
      </w:r>
      <w:r>
        <w:rPr>
          <w:rFonts w:hint="eastAsia" w:ascii="宋体" w:hAnsi="宋体" w:cs="宋体"/>
          <w:bCs/>
          <w:snapToGrid w:val="0"/>
          <w:color w:val="FF0000"/>
          <w:kern w:val="0"/>
          <w:sz w:val="24"/>
          <w:u w:val="single"/>
          <w:lang w:val="en-US" w:eastAsia="zh-CN"/>
        </w:rPr>
        <w:t xml:space="preserve"> </w:t>
      </w:r>
      <w:r>
        <w:rPr>
          <w:rFonts w:hint="eastAsia" w:ascii="宋体" w:hAnsi="宋体" w:cs="宋体"/>
          <w:bCs/>
          <w:snapToGrid w:val="0"/>
          <w:kern w:val="0"/>
          <w:sz w:val="24"/>
          <w:u w:val="single"/>
        </w:rPr>
        <w:t xml:space="preserve"> </w:t>
      </w:r>
      <w:r>
        <w:rPr>
          <w:rFonts w:hint="eastAsia" w:ascii="宋体" w:hAnsi="宋体" w:cs="宋体"/>
          <w:bCs/>
          <w:snapToGrid w:val="0"/>
          <w:kern w:val="0"/>
          <w:sz w:val="24"/>
        </w:rPr>
        <w:t>元），本合同价款增值税税率为</w:t>
      </w:r>
      <w:r>
        <w:rPr>
          <w:rFonts w:hint="eastAsia" w:ascii="宋体" w:hAnsi="宋体" w:cs="宋体"/>
          <w:bCs/>
          <w:snapToGrid w:val="0"/>
          <w:kern w:val="0"/>
          <w:sz w:val="24"/>
          <w:u w:val="single"/>
        </w:rPr>
        <w:t xml:space="preserve"> 6 </w:t>
      </w:r>
      <w:r>
        <w:rPr>
          <w:rFonts w:hint="eastAsia" w:ascii="宋体" w:hAnsi="宋体" w:cs="宋体"/>
          <w:bCs/>
          <w:snapToGrid w:val="0"/>
          <w:kern w:val="0"/>
          <w:sz w:val="24"/>
        </w:rPr>
        <w:t>%，如果增值税税率调整，应当调整工程造价，并以不含税价作为结算基础和调整依据。</w:t>
      </w:r>
      <w:r>
        <w:rPr>
          <w:rFonts w:hint="eastAsia" w:ascii="宋体" w:hAnsi="宋体" w:cs="宋体"/>
          <w:sz w:val="24"/>
          <w:lang w:val="en-US" w:eastAsia="zh-CN"/>
        </w:rPr>
        <w:t>结算按照实际物探面积乘以中标单价计算，中标单价已包含物探工作的一切费用。</w:t>
      </w:r>
    </w:p>
    <w:p w14:paraId="1C6675B2">
      <w:pPr>
        <w:spacing w:line="360" w:lineRule="auto"/>
        <w:ind w:firstLine="480" w:firstLineChars="200"/>
        <w:rPr>
          <w:rFonts w:ascii="宋体" w:hAnsi="宋体" w:cs="宋体"/>
          <w:sz w:val="24"/>
          <w:szCs w:val="24"/>
        </w:rPr>
      </w:pPr>
      <w:r>
        <w:rPr>
          <w:rFonts w:hint="eastAsia" w:ascii="宋体" w:hAnsi="宋体" w:cs="宋体"/>
          <w:sz w:val="24"/>
          <w:szCs w:val="24"/>
        </w:rPr>
        <w:t>28.3施工费（建筑安装工程费）：</w:t>
      </w:r>
    </w:p>
    <w:p w14:paraId="1BFFAF05">
      <w:pPr>
        <w:spacing w:line="360" w:lineRule="auto"/>
        <w:ind w:firstLine="480" w:firstLineChars="200"/>
        <w:rPr>
          <w:rFonts w:ascii="宋体" w:hAnsi="宋体" w:cs="宋体"/>
          <w:sz w:val="24"/>
          <w:szCs w:val="24"/>
        </w:rPr>
      </w:pPr>
      <w:r>
        <w:rPr>
          <w:rFonts w:hint="eastAsia" w:ascii="宋体" w:hAnsi="宋体" w:cs="宋体"/>
          <w:sz w:val="24"/>
          <w:szCs w:val="24"/>
        </w:rPr>
        <w:t>28.3.1 承包人在施工图设计完成，技术需求（含材料设备档次）确定后编制不高于中标价的施工图预算，施工图预算其中的施工费不高于发包人审定的概算中的施工费，否则承包人需要进行设计优化，以把施工图预算中的施工费控制在发包人审定的概算金额中的施工费以内。除合同条款规定外，发包人或其委托的第三方咨询单位按合同条款第28.3.4款规定，经发包人委托的第三方咨询单位审核并经发包人审核确认的施工图预算金额为合同总价包干价格，双方签署补充协议，作为施工费结算的依据。</w:t>
      </w:r>
    </w:p>
    <w:p w14:paraId="33F9466F">
      <w:pPr>
        <w:spacing w:line="360" w:lineRule="auto"/>
        <w:ind w:firstLine="480" w:firstLineChars="200"/>
        <w:rPr>
          <w:rFonts w:ascii="宋体" w:hAnsi="宋体" w:cs="宋体"/>
          <w:sz w:val="24"/>
          <w:szCs w:val="24"/>
        </w:rPr>
      </w:pPr>
      <w:r>
        <w:rPr>
          <w:rFonts w:hint="eastAsia" w:ascii="宋体" w:hAnsi="宋体" w:cs="宋体"/>
          <w:sz w:val="24"/>
          <w:szCs w:val="24"/>
        </w:rPr>
        <w:t>28.3.2 审定施工图预算的施工费作为拨付工程进度款及竣工结算依据。施工图预算审定前，按合同规定计价条款计算出已完成合格工程产值乘以进度款支付比例计算出应支付的工程进度款并按合同规定支付，施工图预算审定后，按审定施工图预算以及合同规定计算并支付工程进度款。承包人应及时按本合同的约定原则编制工程预算并积极协调预算审定工作，否则，由此导致合同价不能及时确定而影响进度款支付的，发包人不承担责任。</w:t>
      </w:r>
    </w:p>
    <w:p w14:paraId="43D33013">
      <w:pPr>
        <w:spacing w:line="360" w:lineRule="auto"/>
        <w:ind w:firstLine="480" w:firstLineChars="200"/>
        <w:rPr>
          <w:rFonts w:ascii="宋体" w:hAnsi="宋体" w:cs="宋体"/>
          <w:sz w:val="24"/>
          <w:szCs w:val="24"/>
        </w:rPr>
      </w:pPr>
      <w:r>
        <w:rPr>
          <w:rFonts w:hint="eastAsia" w:ascii="宋体" w:hAnsi="宋体" w:cs="宋体"/>
          <w:sz w:val="24"/>
          <w:szCs w:val="24"/>
        </w:rPr>
        <w:t>28.3.3确定合同价格：工程预算经发包人审定后，按合同、招标文件及投标文件等相关约定确定合同价格，以此作为合同计量、支付、变更和结算的依据。若因发包人原因引起的变更增减施工费用按照合同条款第36条款规定计算执行。</w:t>
      </w:r>
    </w:p>
    <w:p w14:paraId="056EF8BA">
      <w:pPr>
        <w:spacing w:line="360" w:lineRule="auto"/>
        <w:ind w:firstLine="480" w:firstLineChars="200"/>
        <w:rPr>
          <w:rFonts w:ascii="宋体" w:hAnsi="宋体" w:cs="宋体"/>
          <w:sz w:val="24"/>
          <w:szCs w:val="24"/>
        </w:rPr>
      </w:pPr>
      <w:r>
        <w:rPr>
          <w:rFonts w:hint="eastAsia" w:ascii="宋体" w:hAnsi="宋体" w:cs="宋体"/>
          <w:sz w:val="24"/>
          <w:szCs w:val="24"/>
        </w:rPr>
        <w:t>28.3.4 工程概算及施工图预算编制审核及成本控制</w:t>
      </w:r>
    </w:p>
    <w:p w14:paraId="6DB96D9E">
      <w:pPr>
        <w:spacing w:line="360" w:lineRule="auto"/>
        <w:ind w:firstLine="480" w:firstLineChars="200"/>
        <w:rPr>
          <w:rFonts w:ascii="宋体" w:hAnsi="宋体" w:cs="宋体"/>
          <w:sz w:val="24"/>
          <w:szCs w:val="24"/>
        </w:rPr>
      </w:pPr>
      <w:r>
        <w:rPr>
          <w:rFonts w:hint="eastAsia" w:ascii="宋体" w:hAnsi="宋体" w:cs="宋体"/>
          <w:sz w:val="24"/>
          <w:szCs w:val="24"/>
        </w:rPr>
        <w:t>28.3.4.1工程概算及施工图预算编制审核原则如下：</w:t>
      </w:r>
    </w:p>
    <w:p w14:paraId="59487E33">
      <w:pPr>
        <w:spacing w:line="360" w:lineRule="auto"/>
        <w:ind w:firstLine="480" w:firstLineChars="200"/>
        <w:rPr>
          <w:rFonts w:ascii="宋体" w:hAnsi="宋体" w:cs="宋体"/>
          <w:sz w:val="24"/>
          <w:szCs w:val="24"/>
        </w:rPr>
      </w:pPr>
      <w:r>
        <w:rPr>
          <w:rFonts w:hint="eastAsia" w:ascii="宋体" w:hAnsi="宋体" w:cs="宋体"/>
          <w:sz w:val="24"/>
          <w:szCs w:val="24"/>
        </w:rPr>
        <w:t>（一）计价依据（含措施项目费的计算）</w:t>
      </w:r>
    </w:p>
    <w:p w14:paraId="0E96CAFE">
      <w:pPr>
        <w:spacing w:line="360" w:lineRule="auto"/>
        <w:ind w:firstLine="480" w:firstLineChars="200"/>
        <w:rPr>
          <w:rFonts w:ascii="宋体" w:hAnsi="宋体" w:cs="宋体"/>
          <w:sz w:val="24"/>
          <w:szCs w:val="24"/>
        </w:rPr>
      </w:pPr>
      <w:r>
        <w:rPr>
          <w:rFonts w:hint="eastAsia" w:ascii="宋体" w:hAnsi="宋体" w:cs="宋体"/>
          <w:sz w:val="24"/>
          <w:szCs w:val="24"/>
        </w:rPr>
        <w:t>（1）本项目招标文件；</w:t>
      </w:r>
    </w:p>
    <w:p w14:paraId="675CB5E7">
      <w:pPr>
        <w:spacing w:line="360" w:lineRule="auto"/>
        <w:ind w:firstLine="480" w:firstLineChars="200"/>
        <w:rPr>
          <w:rFonts w:ascii="宋体" w:hAnsi="宋体" w:cs="宋体"/>
          <w:sz w:val="24"/>
          <w:szCs w:val="24"/>
        </w:rPr>
      </w:pPr>
      <w:r>
        <w:rPr>
          <w:rFonts w:hint="eastAsia" w:ascii="宋体" w:hAnsi="宋体" w:cs="宋体"/>
          <w:sz w:val="24"/>
          <w:szCs w:val="24"/>
        </w:rPr>
        <w:t>（2）本项目投标文件（中标下浮率）；</w:t>
      </w:r>
    </w:p>
    <w:p w14:paraId="23F438E7">
      <w:pPr>
        <w:spacing w:line="360" w:lineRule="auto"/>
        <w:ind w:firstLine="480" w:firstLineChars="200"/>
        <w:rPr>
          <w:rFonts w:ascii="宋体" w:hAnsi="宋体" w:cs="宋体"/>
          <w:sz w:val="24"/>
          <w:szCs w:val="24"/>
        </w:rPr>
      </w:pPr>
      <w:r>
        <w:rPr>
          <w:rFonts w:hint="eastAsia" w:ascii="宋体" w:hAnsi="宋体" w:cs="宋体"/>
          <w:sz w:val="24"/>
          <w:szCs w:val="24"/>
        </w:rPr>
        <w:t>（3）经审查的施工图设计文件；</w:t>
      </w:r>
    </w:p>
    <w:p w14:paraId="7306B3DF">
      <w:pPr>
        <w:spacing w:line="360" w:lineRule="auto"/>
        <w:ind w:firstLine="480" w:firstLineChars="200"/>
        <w:rPr>
          <w:rFonts w:hint="default" w:ascii="宋体" w:hAnsi="宋体" w:cs="宋体"/>
          <w:sz w:val="24"/>
          <w:szCs w:val="24"/>
          <w:lang w:val="en-US"/>
        </w:rPr>
      </w:pPr>
      <w:r>
        <w:rPr>
          <w:rFonts w:hint="eastAsia" w:ascii="宋体" w:hAnsi="宋体"/>
          <w:sz w:val="24"/>
        </w:rPr>
        <w:t>（</w:t>
      </w:r>
      <w:r>
        <w:rPr>
          <w:rFonts w:ascii="宋体" w:hAnsi="宋体"/>
          <w:sz w:val="24"/>
        </w:rPr>
        <w:t>4</w:t>
      </w:r>
      <w:r>
        <w:rPr>
          <w:rFonts w:hint="eastAsia" w:ascii="宋体" w:hAnsi="宋体"/>
          <w:sz w:val="24"/>
        </w:rPr>
        <w:t>）</w:t>
      </w:r>
      <w:r>
        <w:rPr>
          <w:rStyle w:val="86"/>
          <w:rFonts w:hint="eastAsia" w:ascii="宋体" w:hAnsi="宋体" w:cs="宋体"/>
          <w:sz w:val="24"/>
        </w:rPr>
        <w:t>工程量计算规则及综合单价计算执行：《建设工程工程量清单计价规范》（GB50500-2013）及广东省颁布的《广东省建设工程计价依据（2018）》、《广东省房屋建筑与装饰工程综合定额（2018）》、《广东省市政工程综合定额（2018）》、《广东省通用安装工程综合定额（2018）》、《广东省园林绿化工程综合定额（2018）》、《广东省建设工程施工机具台班费用编制规则（2018）》（本合同约定的全部定额标准均包含其配套定额勘误</w:t>
      </w:r>
      <w:r>
        <w:rPr>
          <w:rStyle w:val="86"/>
          <w:rFonts w:hint="eastAsia" w:ascii="宋体" w:eastAsia="仿宋_GB2312"/>
          <w:sz w:val="24"/>
        </w:rPr>
        <w:t>、</w:t>
      </w:r>
      <w:r>
        <w:rPr>
          <w:rStyle w:val="86"/>
          <w:rFonts w:hint="eastAsia" w:ascii="宋体" w:hAnsi="宋体" w:cs="宋体"/>
          <w:sz w:val="24"/>
        </w:rPr>
        <w:t>动态调整、解答（下同）等国家、广东省、广州市以及现行有关工程造价管理的文件执行</w:t>
      </w:r>
      <w:r>
        <w:rPr>
          <w:rStyle w:val="86"/>
          <w:rFonts w:ascii="宋体" w:hAnsi="宋体" w:cs="宋体"/>
          <w:sz w:val="24"/>
        </w:rPr>
        <w:t>；据此计算出来的</w:t>
      </w:r>
      <w:r>
        <w:rPr>
          <w:rStyle w:val="86"/>
          <w:rFonts w:hint="eastAsia" w:ascii="宋体" w:hAnsi="宋体" w:cs="宋体"/>
          <w:sz w:val="24"/>
          <w:lang w:val="en-US"/>
        </w:rPr>
        <w:t>总价</w:t>
      </w:r>
      <w:r>
        <w:rPr>
          <w:rStyle w:val="86"/>
          <w:rFonts w:ascii="宋体" w:hAnsi="宋体" w:cs="宋体"/>
          <w:sz w:val="24"/>
        </w:rPr>
        <w:t>需要</w:t>
      </w:r>
      <w:r>
        <w:rPr>
          <w:rStyle w:val="86"/>
          <w:rFonts w:hint="eastAsia" w:ascii="宋体" w:hAnsi="宋体" w:cs="宋体"/>
          <w:sz w:val="24"/>
        </w:rPr>
        <w:t>先乘以</w:t>
      </w:r>
      <w:r>
        <w:rPr>
          <w:rStyle w:val="86"/>
          <w:rFonts w:ascii="宋体" w:hAnsi="宋体" w:cs="宋体"/>
          <w:sz w:val="24"/>
        </w:rPr>
        <w:t>（1-5%）</w:t>
      </w:r>
      <w:r>
        <w:rPr>
          <w:rStyle w:val="86"/>
          <w:rFonts w:hint="eastAsia" w:ascii="宋体" w:hAnsi="宋体" w:cs="宋体"/>
          <w:sz w:val="24"/>
        </w:rPr>
        <w:t>后（</w:t>
      </w:r>
      <w:r>
        <w:rPr>
          <w:rStyle w:val="86"/>
          <w:rFonts w:hint="eastAsia" w:ascii="宋体" w:hAnsi="宋体" w:cs="宋体"/>
          <w:sz w:val="24"/>
          <w:lang w:val="en-US"/>
        </w:rPr>
        <w:t>也即总价下浮5%，其中：</w:t>
      </w:r>
      <w:r>
        <w:rPr>
          <w:rStyle w:val="86"/>
          <w:rFonts w:ascii="宋体" w:hAnsi="宋体" w:cs="宋体"/>
          <w:sz w:val="24"/>
        </w:rPr>
        <w:t>经过市场询价的主材</w:t>
      </w:r>
      <w:r>
        <w:rPr>
          <w:rStyle w:val="86"/>
          <w:rFonts w:hint="eastAsia" w:ascii="宋体" w:hAnsi="宋体" w:cs="宋体"/>
          <w:sz w:val="24"/>
          <w:lang w:val="en-US"/>
        </w:rPr>
        <w:t>或者设备金额不参与下浮5%的计算基数）</w:t>
      </w:r>
      <w:r>
        <w:rPr>
          <w:rStyle w:val="86"/>
          <w:rFonts w:hint="eastAsia" w:ascii="宋体" w:hAnsi="宋体" w:cs="宋体"/>
          <w:sz w:val="24"/>
        </w:rPr>
        <w:t>，再</w:t>
      </w:r>
      <w:r>
        <w:rPr>
          <w:rStyle w:val="86"/>
          <w:rFonts w:ascii="宋体" w:hAnsi="宋体" w:cs="宋体"/>
          <w:sz w:val="24"/>
        </w:rPr>
        <w:t>乘以（1-中标下浮率）。</w:t>
      </w:r>
      <w:r>
        <w:rPr>
          <w:rStyle w:val="86"/>
          <w:rFonts w:hint="eastAsia" w:ascii="宋体" w:hAnsi="宋体" w:cs="宋体"/>
          <w:sz w:val="24"/>
        </w:rPr>
        <w:t>其中：</w:t>
      </w:r>
      <w:r>
        <w:rPr>
          <w:rStyle w:val="86"/>
          <w:rFonts w:hint="eastAsia" w:ascii="宋体" w:hAnsi="宋体"/>
          <w:sz w:val="24"/>
        </w:rPr>
        <w:t>土石方工程绿色施工安全防护措施费按《广东省市政工程综合定额</w:t>
      </w:r>
      <w:r>
        <w:rPr>
          <w:rStyle w:val="86"/>
          <w:rFonts w:ascii="宋体" w:hAnsi="宋体"/>
          <w:sz w:val="24"/>
        </w:rPr>
        <w:t>2018》单独场地平整工程，人工费+施工机具费作为计算基础，</w:t>
      </w:r>
      <w:r>
        <w:rPr>
          <w:rStyle w:val="86"/>
          <w:rFonts w:ascii="宋体" w:hAnsi="宋体"/>
          <w:color w:val="0000FF"/>
          <w:sz w:val="24"/>
        </w:rPr>
        <w:t>基本费率4.35%计算</w:t>
      </w:r>
      <w:r>
        <w:rPr>
          <w:rStyle w:val="86"/>
          <w:rFonts w:ascii="宋体" w:hAnsi="宋体"/>
          <w:sz w:val="24"/>
        </w:rPr>
        <w:t>。其他专业工程的绿色施工安全防护措施费按</w:t>
      </w:r>
      <w:r>
        <w:rPr>
          <w:rStyle w:val="86"/>
          <w:rFonts w:ascii="宋体" w:hAnsi="宋体" w:cs="宋体"/>
          <w:sz w:val="24"/>
        </w:rPr>
        <w:t>对应专业的定额约定计取</w:t>
      </w:r>
      <w:r>
        <w:rPr>
          <w:rStyle w:val="86"/>
          <w:rFonts w:hint="eastAsia" w:ascii="宋体" w:hAnsi="宋体" w:cs="宋体"/>
          <w:sz w:val="24"/>
        </w:rPr>
        <w:t>。</w:t>
      </w:r>
      <w:r>
        <w:rPr>
          <w:rStyle w:val="86"/>
          <w:rFonts w:hint="eastAsia" w:ascii="宋体" w:hAnsi="宋体"/>
          <w:sz w:val="24"/>
        </w:rPr>
        <w:t>土石方工程因政策影响（如卸土点变化、交通管制、重要会议）导致费用增加，</w:t>
      </w:r>
      <w:r>
        <w:rPr>
          <w:rStyle w:val="86"/>
          <w:rFonts w:ascii="宋体" w:hAnsi="宋体"/>
          <w:sz w:val="24"/>
        </w:rPr>
        <w:t>均不另行计价</w:t>
      </w:r>
      <w:r>
        <w:rPr>
          <w:rStyle w:val="86"/>
          <w:rFonts w:hint="eastAsia" w:ascii="宋体" w:hAnsi="宋体" w:cs="宋体"/>
          <w:sz w:val="24"/>
        </w:rPr>
        <w:t>。其他有关措施费的计算规定按照</w:t>
      </w:r>
      <w:r>
        <w:rPr>
          <w:rStyle w:val="86"/>
          <w:rFonts w:ascii="宋体" w:hAnsi="宋体" w:cs="宋体"/>
          <w:sz w:val="24"/>
        </w:rPr>
        <w:t>2018</w:t>
      </w:r>
      <w:r>
        <w:rPr>
          <w:rStyle w:val="86"/>
          <w:rFonts w:hint="eastAsia" w:ascii="宋体" w:hAnsi="宋体" w:cs="宋体"/>
          <w:sz w:val="24"/>
        </w:rPr>
        <w:t>年广东省各专业工程综合定额的规定计算，文明工地增加费（省、市级文明工地）、工程优质费（市级、省级、国家级质量奖）、赶工措施费、夜间施工增加费、开工典礼、封顶仪式等不予计算</w:t>
      </w:r>
      <w:r>
        <w:rPr>
          <w:rStyle w:val="86"/>
          <w:rFonts w:hint="eastAsia" w:ascii="宋体" w:hAnsi="宋体"/>
          <w:sz w:val="24"/>
        </w:rPr>
        <w:t>。</w:t>
      </w:r>
    </w:p>
    <w:p w14:paraId="3432D9D5">
      <w:pPr>
        <w:spacing w:line="360" w:lineRule="auto"/>
        <w:ind w:firstLine="480" w:firstLineChars="200"/>
        <w:rPr>
          <w:rStyle w:val="86"/>
          <w:rFonts w:ascii="宋体" w:hAnsi="宋体" w:cs="宋体"/>
          <w:sz w:val="24"/>
        </w:rPr>
      </w:pPr>
      <w:r>
        <w:rPr>
          <w:rStyle w:val="86"/>
          <w:rFonts w:ascii="宋体" w:hAnsi="宋体" w:cs="宋体"/>
          <w:sz w:val="24"/>
        </w:rPr>
        <w:t>（5）主要材料设备单价：</w:t>
      </w:r>
    </w:p>
    <w:p w14:paraId="1230F1E6">
      <w:pPr>
        <w:spacing w:line="360" w:lineRule="auto"/>
        <w:ind w:firstLine="480" w:firstLineChars="200"/>
        <w:rPr>
          <w:rStyle w:val="86"/>
          <w:rFonts w:ascii="宋体" w:hAnsi="宋体" w:cs="宋体"/>
          <w:sz w:val="24"/>
        </w:rPr>
      </w:pPr>
      <w:r>
        <w:rPr>
          <w:rStyle w:val="86"/>
          <w:rFonts w:ascii="宋体" w:hAnsi="宋体" w:cs="宋体"/>
          <w:sz w:val="24"/>
        </w:rPr>
        <w:t>1）主要材料价格执行202</w:t>
      </w:r>
      <w:r>
        <w:rPr>
          <w:rStyle w:val="86"/>
          <w:rFonts w:hint="eastAsia" w:ascii="宋体" w:hAnsi="宋体" w:cs="宋体"/>
          <w:sz w:val="24"/>
          <w:lang w:val="en-US"/>
        </w:rPr>
        <w:t>5</w:t>
      </w:r>
      <w:r>
        <w:rPr>
          <w:rStyle w:val="86"/>
          <w:rFonts w:ascii="宋体" w:hAnsi="宋体" w:cs="宋体"/>
          <w:sz w:val="24"/>
        </w:rPr>
        <w:t>年</w:t>
      </w:r>
      <w:r>
        <w:rPr>
          <w:rFonts w:hint="eastAsia"/>
          <w:bCs/>
          <w:snapToGrid w:val="0"/>
          <w:kern w:val="0"/>
          <w:u w:val="single"/>
          <w:lang w:val="en-US" w:eastAsia="zh-CN"/>
        </w:rPr>
        <w:t>7</w:t>
      </w:r>
      <w:r>
        <w:rPr>
          <w:rStyle w:val="86"/>
          <w:rFonts w:ascii="宋体" w:hAnsi="宋体" w:cs="宋体"/>
          <w:sz w:val="24"/>
        </w:rPr>
        <w:t>月份《广州地区建设工程常用材料税前综合价格》(以下简称“《综合价格》”</w:t>
      </w:r>
      <w:r>
        <w:rPr>
          <w:rStyle w:val="86"/>
          <w:rFonts w:hint="eastAsia" w:ascii="宋体" w:hAnsi="宋体" w:cs="宋体"/>
          <w:sz w:val="24"/>
        </w:rPr>
        <w:t>，如材料价存在区间价格时取平均值</w:t>
      </w:r>
      <w:r>
        <w:rPr>
          <w:rStyle w:val="86"/>
          <w:rFonts w:ascii="宋体" w:hAnsi="宋体" w:cs="宋体"/>
          <w:sz w:val="24"/>
        </w:rPr>
        <w:t>)；</w:t>
      </w:r>
    </w:p>
    <w:p w14:paraId="17681290">
      <w:pPr>
        <w:spacing w:line="360" w:lineRule="auto"/>
        <w:ind w:firstLine="480" w:firstLineChars="200"/>
        <w:rPr>
          <w:rStyle w:val="86"/>
          <w:rFonts w:ascii="宋体" w:hAnsi="宋体" w:cs="宋体"/>
          <w:sz w:val="24"/>
        </w:rPr>
      </w:pPr>
      <w:r>
        <w:rPr>
          <w:rStyle w:val="86"/>
          <w:rFonts w:hint="eastAsia" w:ascii="宋体" w:hAnsi="宋体" w:cs="宋体"/>
          <w:sz w:val="24"/>
        </w:rPr>
        <w:t>2</w:t>
      </w:r>
      <w:r>
        <w:rPr>
          <w:rStyle w:val="86"/>
          <w:rFonts w:ascii="宋体" w:hAnsi="宋体" w:cs="宋体"/>
          <w:sz w:val="24"/>
        </w:rPr>
        <w:t>）《综合价格》中可能有材料或者设备单价但涉及品质、效果的材料设备单价按照发包人审核确定的实物样板以及品质（或者技术）要求，承包人上报后经发包人的询价工作小组根据实物样板经市场询价审核并经发包人审核确定，。</w:t>
      </w:r>
    </w:p>
    <w:p w14:paraId="19184551">
      <w:pPr>
        <w:spacing w:line="360" w:lineRule="auto"/>
        <w:ind w:firstLine="480" w:firstLineChars="200"/>
        <w:rPr>
          <w:rStyle w:val="86"/>
          <w:rFonts w:ascii="宋体" w:hAnsi="宋体" w:cs="宋体"/>
          <w:sz w:val="24"/>
        </w:rPr>
      </w:pPr>
      <w:r>
        <w:rPr>
          <w:rStyle w:val="86"/>
          <w:rFonts w:ascii="宋体" w:hAnsi="宋体" w:cs="宋体"/>
          <w:sz w:val="24"/>
        </w:rPr>
        <w:t>3）</w:t>
      </w:r>
      <w:r>
        <w:rPr>
          <w:rStyle w:val="86"/>
          <w:rFonts w:hint="eastAsia" w:ascii="宋体" w:hAnsi="宋体" w:cs="宋体"/>
          <w:sz w:val="24"/>
        </w:rPr>
        <w:t>《</w:t>
      </w:r>
      <w:r>
        <w:rPr>
          <w:rStyle w:val="86"/>
          <w:rFonts w:ascii="宋体" w:hAnsi="宋体" w:cs="宋体"/>
          <w:sz w:val="24"/>
        </w:rPr>
        <w:t>综合价格》中没有的材料设备单价的则承包人上报、经发包人组建询价工作小组，采用市场询价审核并经发包人审核确定。</w:t>
      </w:r>
    </w:p>
    <w:p w14:paraId="57A9F30E">
      <w:pPr>
        <w:spacing w:line="360" w:lineRule="auto"/>
        <w:ind w:firstLine="480" w:firstLineChars="200"/>
        <w:rPr>
          <w:rStyle w:val="86"/>
          <w:rFonts w:ascii="宋体" w:hAnsi="宋体" w:cs="宋体"/>
          <w:sz w:val="24"/>
        </w:rPr>
      </w:pPr>
      <w:r>
        <w:rPr>
          <w:rStyle w:val="86"/>
          <w:rFonts w:ascii="宋体" w:hAnsi="宋体" w:cs="宋体"/>
          <w:sz w:val="24"/>
        </w:rPr>
        <w:t>（6）发包人确定的材料品牌及范围。</w:t>
      </w:r>
    </w:p>
    <w:p w14:paraId="66E133D1">
      <w:pPr>
        <w:spacing w:line="360" w:lineRule="auto"/>
        <w:ind w:firstLine="480" w:firstLineChars="200"/>
        <w:rPr>
          <w:rStyle w:val="86"/>
          <w:rFonts w:ascii="宋体" w:hAnsi="宋体" w:cs="宋体"/>
          <w:sz w:val="24"/>
        </w:rPr>
      </w:pPr>
      <w:r>
        <w:rPr>
          <w:rStyle w:val="86"/>
          <w:rFonts w:ascii="宋体" w:hAnsi="宋体" w:cs="宋体"/>
          <w:sz w:val="24"/>
        </w:rPr>
        <w:t>（7）双方约定的其他依据，详见附件</w:t>
      </w:r>
      <w:r>
        <w:rPr>
          <w:rStyle w:val="86"/>
          <w:rFonts w:hint="eastAsia" w:ascii="宋体" w:hAnsi="宋体" w:cs="宋体"/>
          <w:sz w:val="24"/>
          <w:lang w:val="en-US"/>
        </w:rPr>
        <w:t>18</w:t>
      </w:r>
      <w:r>
        <w:rPr>
          <w:rStyle w:val="86"/>
          <w:rFonts w:ascii="宋体" w:hAnsi="宋体" w:cs="宋体"/>
          <w:sz w:val="24"/>
        </w:rPr>
        <w:t>专项计量计价约定</w:t>
      </w:r>
      <w:r>
        <w:rPr>
          <w:rStyle w:val="86"/>
          <w:rFonts w:hint="eastAsia" w:ascii="宋体" w:hAnsi="宋体"/>
          <w:sz w:val="24"/>
        </w:rPr>
        <w:t>（</w:t>
      </w:r>
      <w:r>
        <w:rPr>
          <w:rStyle w:val="86"/>
          <w:rFonts w:hint="eastAsia" w:ascii="宋体" w:hAnsi="宋体" w:cs="宋体"/>
          <w:sz w:val="24"/>
        </w:rPr>
        <w:t>直接约定综合单价的，</w:t>
      </w:r>
      <w:r>
        <w:rPr>
          <w:rStyle w:val="86"/>
          <w:rFonts w:hint="eastAsia" w:ascii="宋体" w:hAnsi="宋体" w:cs="宋体"/>
          <w:sz w:val="24"/>
          <w:lang w:val="en-US"/>
        </w:rPr>
        <w:t>对应计算的合计金额不参与下浮5%的计算基数</w:t>
      </w:r>
      <w:r>
        <w:rPr>
          <w:rStyle w:val="86"/>
          <w:rFonts w:hint="eastAsia" w:ascii="宋体" w:hAnsi="宋体" w:cs="宋体"/>
          <w:sz w:val="24"/>
        </w:rPr>
        <w:t>，</w:t>
      </w:r>
      <w:r>
        <w:rPr>
          <w:rStyle w:val="86"/>
          <w:rFonts w:hint="eastAsia" w:ascii="宋体" w:hAnsi="宋体" w:cs="宋体"/>
          <w:sz w:val="24"/>
          <w:lang w:val="en-US"/>
        </w:rPr>
        <w:t>但需</w:t>
      </w:r>
      <w:r>
        <w:rPr>
          <w:rStyle w:val="86"/>
          <w:rFonts w:hint="eastAsia" w:ascii="宋体" w:hAnsi="宋体" w:cs="宋体"/>
          <w:sz w:val="24"/>
        </w:rPr>
        <w:t>执行中标下浮率），并且</w:t>
      </w:r>
      <w:r>
        <w:rPr>
          <w:rStyle w:val="86"/>
          <w:rFonts w:ascii="宋体" w:hAnsi="宋体" w:cs="宋体"/>
          <w:sz w:val="24"/>
        </w:rPr>
        <w:t>附件</w:t>
      </w:r>
      <w:r>
        <w:rPr>
          <w:rStyle w:val="86"/>
          <w:rFonts w:hint="eastAsia" w:ascii="宋体" w:hAnsi="宋体" w:cs="宋体"/>
          <w:sz w:val="24"/>
        </w:rPr>
        <w:t>1</w:t>
      </w:r>
      <w:r>
        <w:rPr>
          <w:rStyle w:val="86"/>
          <w:rFonts w:hint="eastAsia" w:ascii="宋体" w:hAnsi="宋体" w:cs="宋体"/>
          <w:sz w:val="24"/>
          <w:lang w:val="en-US"/>
        </w:rPr>
        <w:t>8</w:t>
      </w:r>
      <w:r>
        <w:rPr>
          <w:rStyle w:val="86"/>
          <w:rFonts w:ascii="宋体" w:hAnsi="宋体" w:cs="宋体"/>
          <w:sz w:val="24"/>
        </w:rPr>
        <w:t>专项计量计价约定</w:t>
      </w:r>
      <w:r>
        <w:rPr>
          <w:rStyle w:val="86"/>
          <w:rFonts w:hint="eastAsia" w:ascii="宋体" w:hAnsi="宋体" w:cs="宋体"/>
          <w:sz w:val="24"/>
        </w:rPr>
        <w:t>，优先于清单计价规范、计价依据（2</w:t>
      </w:r>
      <w:r>
        <w:rPr>
          <w:rStyle w:val="86"/>
          <w:rFonts w:ascii="宋体" w:hAnsi="宋体" w:cs="宋体"/>
          <w:sz w:val="24"/>
        </w:rPr>
        <w:t>018</w:t>
      </w:r>
      <w:r>
        <w:rPr>
          <w:rStyle w:val="86"/>
          <w:rFonts w:hint="eastAsia" w:ascii="宋体" w:hAnsi="宋体" w:cs="宋体"/>
          <w:sz w:val="24"/>
        </w:rPr>
        <w:t>）、</w:t>
      </w:r>
      <w:r>
        <w:rPr>
          <w:rFonts w:hint="eastAsia" w:ascii="宋体" w:hAnsi="宋体" w:cs="宋体"/>
          <w:sz w:val="24"/>
          <w:szCs w:val="24"/>
        </w:rPr>
        <w:t>动态调整、解答</w:t>
      </w:r>
      <w:r>
        <w:rPr>
          <w:rStyle w:val="86"/>
          <w:rFonts w:hint="eastAsia" w:ascii="宋体" w:hAnsi="宋体" w:cs="宋体"/>
          <w:sz w:val="24"/>
        </w:rPr>
        <w:t>等其他计量计价条款</w:t>
      </w:r>
      <w:r>
        <w:rPr>
          <w:rStyle w:val="86"/>
          <w:rFonts w:ascii="宋体" w:hAnsi="宋体" w:cs="宋体"/>
          <w:sz w:val="24"/>
        </w:rPr>
        <w:t>。</w:t>
      </w:r>
    </w:p>
    <w:p w14:paraId="72E5891E">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28.3.4.2物价涨跌的价格调整</w:t>
      </w:r>
    </w:p>
    <w:p w14:paraId="4A0528A5">
      <w:pPr>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szCs w:val="24"/>
        </w:rPr>
        <w:t>整个合同履行期间，除钢材（仅指钢筋、钢结构构件中的钢材、镀锌钢管（管件不参与价差调整）、电线管）、商品砂浆、商品砼、砖墙砌块、电线电缆、母线槽、铝合金型材、铝合金门窗玻璃、幕墙玻璃可以按照合同规定有条件的调整材料价差外，其他的材料设备、人工、机械台班价格不因市场价格波动及其他原因变化而调整合同价格。合同履行期间，采用市场询价的方式重新确定材料价格，则该材料一概不再调整材料价差。</w:t>
      </w:r>
    </w:p>
    <w:p w14:paraId="318DB617">
      <w:pPr>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rPr>
        <w:t>28.3.4.3</w:t>
      </w:r>
      <w:r>
        <w:rPr>
          <w:rFonts w:hint="eastAsia" w:ascii="宋体" w:hAnsi="宋体" w:cs="宋体"/>
          <w:bCs/>
          <w:snapToGrid w:val="0"/>
          <w:kern w:val="0"/>
          <w:sz w:val="24"/>
          <w:szCs w:val="24"/>
        </w:rPr>
        <w:t>材料价差调整的基准价（以下简称“材料基准价”）</w:t>
      </w:r>
    </w:p>
    <w:p w14:paraId="0E58E889">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w:t>
      </w:r>
      <w:r>
        <w:rPr>
          <w:rFonts w:hint="eastAsia" w:ascii="宋体" w:hAnsi="宋体" w:cs="宋体"/>
          <w:bCs/>
          <w:snapToGrid w:val="0"/>
          <w:kern w:val="0"/>
          <w:sz w:val="24"/>
          <w:szCs w:val="24"/>
        </w:rPr>
        <w:t>钢材（仅指钢筋、钢结构构件中的钢材、铝合金幕墙型材、玻璃、镀锌钢管（管件不参与价差调整）、电线管）、商品砂浆、商品砼、砖墙砌块、</w:t>
      </w:r>
      <w:r>
        <w:rPr>
          <w:rFonts w:ascii="宋体" w:hAnsi="宋体" w:cs="宋体"/>
          <w:bCs/>
          <w:snapToGrid w:val="0"/>
          <w:kern w:val="0"/>
          <w:sz w:val="24"/>
        </w:rPr>
        <w:t>电线</w:t>
      </w:r>
      <w:r>
        <w:rPr>
          <w:rFonts w:hint="eastAsia" w:ascii="宋体" w:hAnsi="宋体" w:cs="宋体"/>
          <w:bCs/>
          <w:snapToGrid w:val="0"/>
          <w:sz w:val="24"/>
        </w:rPr>
        <w:t>电缆、</w:t>
      </w:r>
      <w:r>
        <w:rPr>
          <w:rFonts w:hint="eastAsia" w:ascii="宋体" w:hAnsi="宋体" w:cs="宋体"/>
          <w:bCs/>
          <w:snapToGrid w:val="0"/>
          <w:kern w:val="0"/>
          <w:sz w:val="24"/>
          <w:szCs w:val="24"/>
        </w:rPr>
        <w:t>母线槽以</w:t>
      </w:r>
      <w:r>
        <w:rPr>
          <w:rFonts w:hint="eastAsia" w:ascii="宋体" w:hAnsi="宋体" w:cs="宋体"/>
          <w:bCs/>
          <w:snapToGrid w:val="0"/>
          <w:kern w:val="0"/>
          <w:sz w:val="24"/>
        </w:rPr>
        <w:t>广州市建设工程造价管理站发布的</w:t>
      </w:r>
      <w:r>
        <w:rPr>
          <w:rFonts w:ascii="宋体" w:hAnsi="宋体" w:cs="宋体"/>
          <w:bCs/>
          <w:snapToGrid w:val="0"/>
          <w:kern w:val="0"/>
          <w:sz w:val="24"/>
        </w:rPr>
        <w:t>202</w:t>
      </w:r>
      <w:r>
        <w:rPr>
          <w:rFonts w:hint="eastAsia" w:ascii="宋体" w:hAnsi="宋体" w:cs="宋体"/>
          <w:bCs/>
          <w:snapToGrid w:val="0"/>
          <w:kern w:val="0"/>
          <w:sz w:val="24"/>
          <w:lang w:val="en-US" w:eastAsia="zh-CN"/>
        </w:rPr>
        <w:t>5</w:t>
      </w:r>
      <w:r>
        <w:rPr>
          <w:rFonts w:ascii="宋体" w:hAnsi="宋体" w:cs="宋体"/>
          <w:bCs/>
          <w:snapToGrid w:val="0"/>
          <w:kern w:val="0"/>
          <w:sz w:val="24"/>
          <w:szCs w:val="24"/>
          <w:u w:val="single"/>
        </w:rPr>
        <w:t xml:space="preserve"> </w:t>
      </w:r>
      <w:r>
        <w:rPr>
          <w:rFonts w:hint="eastAsia" w:ascii="宋体" w:hAnsi="宋体" w:cs="宋体"/>
          <w:bCs/>
          <w:snapToGrid w:val="0"/>
          <w:kern w:val="0"/>
          <w:sz w:val="24"/>
        </w:rPr>
        <w:t>年</w:t>
      </w:r>
      <w:r>
        <w:rPr>
          <w:rFonts w:hint="eastAsia" w:ascii="宋体" w:hAnsi="宋体" w:cs="宋体"/>
          <w:bCs/>
          <w:snapToGrid w:val="0"/>
          <w:kern w:val="0"/>
          <w:sz w:val="24"/>
          <w:szCs w:val="24"/>
          <w:u w:val="single"/>
          <w:lang w:val="en-US" w:eastAsia="zh-CN"/>
        </w:rPr>
        <w:t>7</w:t>
      </w:r>
      <w:r>
        <w:rPr>
          <w:rFonts w:hint="eastAsia" w:ascii="宋体" w:hAnsi="宋体" w:cs="宋体"/>
          <w:bCs/>
          <w:snapToGrid w:val="0"/>
          <w:kern w:val="0"/>
          <w:sz w:val="24"/>
        </w:rPr>
        <w:t>月份《广州地区建设工程常用材料税前综合价格》(以下简称“《综合价格》”</w:t>
      </w:r>
      <w:r>
        <w:rPr>
          <w:rStyle w:val="86"/>
          <w:rFonts w:hint="eastAsia" w:ascii="宋体" w:hAnsi="宋体" w:cs="宋体"/>
          <w:sz w:val="24"/>
        </w:rPr>
        <w:t>，如材料价存在区间价格时取平均值</w:t>
      </w:r>
      <w:r>
        <w:rPr>
          <w:rFonts w:hint="eastAsia" w:ascii="宋体" w:hAnsi="宋体" w:cs="宋体"/>
          <w:bCs/>
          <w:snapToGrid w:val="0"/>
          <w:kern w:val="0"/>
          <w:sz w:val="24"/>
        </w:rPr>
        <w:t>) 的对应综合价格为基准价（以下简称为“材料基准价”）；</w:t>
      </w:r>
    </w:p>
    <w:p w14:paraId="40B292DB">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（2）钢结构构件中的钢材（预埋钢板、后置埋钢板、螺栓或者化学螺栓均不参与材料价格调整）以广州市建设工程造价管理站发布的</w:t>
      </w:r>
      <w:r>
        <w:rPr>
          <w:rFonts w:ascii="宋体" w:hAnsi="宋体" w:cs="宋体"/>
          <w:bCs/>
          <w:snapToGrid w:val="0"/>
          <w:kern w:val="0"/>
          <w:sz w:val="24"/>
        </w:rPr>
        <w:t>202</w:t>
      </w:r>
      <w:r>
        <w:rPr>
          <w:rFonts w:hint="eastAsia" w:ascii="宋体" w:hAnsi="宋体" w:cs="宋体"/>
          <w:bCs/>
          <w:snapToGrid w:val="0"/>
          <w:kern w:val="0"/>
          <w:sz w:val="24"/>
          <w:lang w:val="en-US" w:eastAsia="zh-CN"/>
        </w:rPr>
        <w:t>5</w:t>
      </w:r>
      <w:r>
        <w:rPr>
          <w:rFonts w:hint="eastAsia" w:ascii="宋体" w:hAnsi="宋体" w:cs="宋体"/>
          <w:bCs/>
          <w:snapToGrid w:val="0"/>
          <w:kern w:val="0"/>
          <w:sz w:val="24"/>
        </w:rPr>
        <w:t>年</w:t>
      </w:r>
      <w:r>
        <w:rPr>
          <w:rFonts w:hint="eastAsia" w:ascii="宋体" w:hAnsi="宋体" w:cs="宋体"/>
          <w:bCs/>
          <w:snapToGrid w:val="0"/>
          <w:kern w:val="0"/>
          <w:sz w:val="24"/>
          <w:szCs w:val="24"/>
          <w:u w:val="single"/>
          <w:lang w:val="en-US" w:eastAsia="zh-CN"/>
        </w:rPr>
        <w:t>7</w:t>
      </w:r>
      <w:r>
        <w:rPr>
          <w:rFonts w:hint="eastAsia" w:ascii="宋体" w:hAnsi="宋体" w:cs="宋体"/>
          <w:bCs/>
          <w:snapToGrid w:val="0"/>
          <w:kern w:val="0"/>
          <w:sz w:val="24"/>
        </w:rPr>
        <w:t>月份《广州地区建设工程常用材料税前综合价格》(以下简称“《综合价格》”</w:t>
      </w:r>
      <w:r>
        <w:rPr>
          <w:rStyle w:val="86"/>
          <w:rFonts w:hint="eastAsia" w:ascii="宋体" w:hAnsi="宋体" w:cs="宋体"/>
          <w:sz w:val="24"/>
        </w:rPr>
        <w:t>，如材料价存在区间价格时取平均值</w:t>
      </w:r>
      <w:r>
        <w:rPr>
          <w:rFonts w:hint="eastAsia" w:ascii="宋体" w:hAnsi="宋体" w:cs="宋体"/>
          <w:bCs/>
          <w:snapToGrid w:val="0"/>
          <w:kern w:val="0"/>
          <w:sz w:val="24"/>
        </w:rPr>
        <w:t>)的Q345热轧厚钢板的各种规格型号的综合价格的算数平均数为材料基准价。</w:t>
      </w:r>
    </w:p>
    <w:p w14:paraId="39D63CAA">
      <w:pPr>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rPr>
        <w:t>28.3.4.4</w:t>
      </w:r>
      <w:r>
        <w:rPr>
          <w:rFonts w:hint="eastAsia" w:ascii="宋体" w:hAnsi="宋体" w:cs="宋体"/>
          <w:bCs/>
          <w:snapToGrid w:val="0"/>
          <w:kern w:val="0"/>
          <w:sz w:val="24"/>
          <w:szCs w:val="24"/>
        </w:rPr>
        <w:t>出现材料价差调整的情况</w:t>
      </w:r>
    </w:p>
    <w:p w14:paraId="2781941B">
      <w:pPr>
        <w:spacing w:line="360" w:lineRule="auto"/>
        <w:ind w:firstLine="480" w:firstLineChars="200"/>
        <w:rPr>
          <w:rFonts w:ascii="宋体" w:hAnsi="宋体"/>
          <w:sz w:val="24"/>
        </w:rPr>
      </w:pPr>
      <w:r>
        <w:rPr>
          <w:rFonts w:hint="eastAsia" w:ascii="宋体" w:hAnsi="宋体" w:cs="宋体"/>
          <w:bCs/>
          <w:snapToGrid w:val="0"/>
          <w:kern w:val="0"/>
          <w:sz w:val="24"/>
        </w:rPr>
        <w:t>（1）</w:t>
      </w:r>
      <w:r>
        <w:rPr>
          <w:rFonts w:hint="eastAsia" w:ascii="宋体" w:hAnsi="宋体" w:cs="宋体"/>
          <w:sz w:val="24"/>
          <w:szCs w:val="24"/>
        </w:rPr>
        <w:t>当实际施工过程中 “《综合价格》”中的</w:t>
      </w:r>
      <w:r>
        <w:rPr>
          <w:rFonts w:hint="eastAsia" w:ascii="宋体" w:hAnsi="宋体" w:cs="宋体"/>
          <w:bCs/>
          <w:snapToGrid w:val="0"/>
          <w:kern w:val="0"/>
          <w:sz w:val="24"/>
          <w:szCs w:val="24"/>
        </w:rPr>
        <w:t>钢材（仅指钢筋、钢结构构件中的钢材、</w:t>
      </w:r>
      <w:r>
        <w:rPr>
          <w:rFonts w:ascii="宋体" w:hAnsi="宋体" w:cs="宋体"/>
          <w:bCs/>
          <w:snapToGrid w:val="0"/>
          <w:kern w:val="0"/>
          <w:sz w:val="24"/>
          <w:szCs w:val="24"/>
        </w:rPr>
        <w:t>6063</w:t>
      </w:r>
      <w:r>
        <w:rPr>
          <w:rFonts w:hint="eastAsia" w:ascii="宋体" w:hAnsi="宋体" w:cs="宋体"/>
          <w:bCs/>
          <w:snapToGrid w:val="0"/>
          <w:kern w:val="0"/>
          <w:sz w:val="24"/>
          <w:szCs w:val="24"/>
        </w:rPr>
        <w:t>铝合金幕墙型材、玻璃、镀锌钢管（管件不参与价差调整）、电线管）、商品砂浆、商品砼、砖墙砌块、</w:t>
      </w:r>
      <w:r>
        <w:rPr>
          <w:rFonts w:ascii="宋体" w:hAnsi="宋体" w:cs="宋体"/>
          <w:bCs/>
          <w:snapToGrid w:val="0"/>
          <w:kern w:val="0"/>
          <w:sz w:val="24"/>
        </w:rPr>
        <w:t>电线</w:t>
      </w:r>
      <w:r>
        <w:rPr>
          <w:rFonts w:hint="eastAsia" w:ascii="宋体" w:hAnsi="宋体" w:cs="宋体"/>
          <w:bCs/>
          <w:snapToGrid w:val="0"/>
          <w:sz w:val="24"/>
        </w:rPr>
        <w:t>电缆、</w:t>
      </w:r>
      <w:r>
        <w:rPr>
          <w:rFonts w:hint="eastAsia" w:ascii="宋体" w:hAnsi="宋体" w:cs="宋体"/>
          <w:bCs/>
          <w:snapToGrid w:val="0"/>
          <w:kern w:val="0"/>
          <w:sz w:val="24"/>
          <w:szCs w:val="24"/>
        </w:rPr>
        <w:t>母线槽</w:t>
      </w:r>
      <w:r>
        <w:rPr>
          <w:rFonts w:hint="eastAsia" w:ascii="宋体" w:hAnsi="宋体" w:cs="宋体"/>
          <w:sz w:val="24"/>
          <w:szCs w:val="24"/>
        </w:rPr>
        <w:t>与对应的“材料基准价”对比涨跌幅度在±5%及以内，则不调整对应材料的单价；反之与“材料基准价”对比涨跌幅度在±5%以外，则超出部分调整</w:t>
      </w:r>
      <w:r>
        <w:rPr>
          <w:rFonts w:hint="eastAsia" w:ascii="宋体" w:hAnsi="宋体" w:cs="宋体"/>
          <w:bCs/>
          <w:snapToGrid w:val="0"/>
          <w:kern w:val="0"/>
          <w:sz w:val="24"/>
          <w:szCs w:val="24"/>
        </w:rPr>
        <w:t>钢材（仅指钢筋、钢结构构件中的钢材、铝合金幕墙型材、玻璃、镀锌钢管（管件不参与价差调整）、电线管）、商品砂浆、商品砼、砖墙砌块、</w:t>
      </w:r>
      <w:r>
        <w:rPr>
          <w:rFonts w:ascii="宋体" w:hAnsi="宋体" w:cs="宋体"/>
          <w:bCs/>
          <w:snapToGrid w:val="0"/>
          <w:kern w:val="0"/>
          <w:sz w:val="24"/>
        </w:rPr>
        <w:t>电线</w:t>
      </w:r>
      <w:r>
        <w:rPr>
          <w:rFonts w:hint="eastAsia" w:ascii="宋体" w:hAnsi="宋体" w:cs="宋体"/>
          <w:bCs/>
          <w:snapToGrid w:val="0"/>
          <w:sz w:val="24"/>
        </w:rPr>
        <w:t>电缆、</w:t>
      </w:r>
      <w:r>
        <w:rPr>
          <w:rFonts w:hint="eastAsia" w:ascii="宋体" w:hAnsi="宋体" w:cs="宋体"/>
          <w:bCs/>
          <w:snapToGrid w:val="0"/>
          <w:kern w:val="0"/>
          <w:sz w:val="24"/>
          <w:szCs w:val="24"/>
        </w:rPr>
        <w:t>母线槽</w:t>
      </w:r>
      <w:r>
        <w:rPr>
          <w:rFonts w:hint="eastAsia" w:ascii="宋体" w:hAnsi="宋体" w:cs="宋体"/>
          <w:sz w:val="24"/>
          <w:szCs w:val="24"/>
        </w:rPr>
        <w:t>材料单价。按《综合价格》所列规格型号进行单独调差。</w:t>
      </w:r>
      <w:r>
        <w:rPr>
          <w:rFonts w:hint="eastAsia" w:ascii="宋体" w:hAnsi="宋体"/>
          <w:sz w:val="24"/>
        </w:rPr>
        <w:t>材料价差的计算示意公式如下：</w:t>
      </w:r>
    </w:p>
    <w:p w14:paraId="22134ACF">
      <w:pPr>
        <w:spacing w:line="360" w:lineRule="auto"/>
        <w:ind w:firstLine="480" w:firstLineChars="200"/>
        <w:rPr>
          <w:rFonts w:ascii="宋体" w:hAnsi="宋体" w:cs="宋体"/>
          <w:sz w:val="24"/>
          <w:szCs w:val="24"/>
        </w:rPr>
      </w:pPr>
      <w:r>
        <w:rPr>
          <w:rFonts w:hint="eastAsia" w:ascii="宋体" w:hAnsi="宋体" w:cs="宋体"/>
          <w:sz w:val="24"/>
          <w:szCs w:val="24"/>
        </w:rPr>
        <w:t>1）涨价时：C1= (B-A*105%）*材料使用量 （A为“材料基准价”，B为施工当月 “《综合价格》”中的</w:t>
      </w:r>
      <w:r>
        <w:rPr>
          <w:rFonts w:hint="eastAsia" w:ascii="宋体" w:hAnsi="宋体" w:cs="宋体"/>
          <w:bCs/>
          <w:snapToGrid w:val="0"/>
          <w:kern w:val="0"/>
          <w:sz w:val="24"/>
          <w:szCs w:val="24"/>
        </w:rPr>
        <w:t>钢材（仅指钢筋、钢结构构件中的钢材、铝合金幕墙型材、玻璃、镀锌钢管（管件不参与价差调整）、电线管）、商品砂浆、商品砼、砖墙砌块、</w:t>
      </w:r>
      <w:r>
        <w:rPr>
          <w:rFonts w:ascii="宋体" w:hAnsi="宋体" w:cs="宋体"/>
          <w:bCs/>
          <w:snapToGrid w:val="0"/>
          <w:kern w:val="0"/>
          <w:sz w:val="24"/>
        </w:rPr>
        <w:t>电线</w:t>
      </w:r>
      <w:r>
        <w:rPr>
          <w:rFonts w:hint="eastAsia" w:ascii="宋体" w:hAnsi="宋体" w:cs="宋体"/>
          <w:bCs/>
          <w:snapToGrid w:val="0"/>
          <w:sz w:val="24"/>
        </w:rPr>
        <w:t>电缆、</w:t>
      </w:r>
      <w:r>
        <w:rPr>
          <w:rFonts w:hint="eastAsia" w:ascii="宋体" w:hAnsi="宋体" w:cs="宋体"/>
          <w:bCs/>
          <w:snapToGrid w:val="0"/>
          <w:kern w:val="0"/>
          <w:sz w:val="24"/>
          <w:szCs w:val="24"/>
        </w:rPr>
        <w:t>母线槽</w:t>
      </w:r>
      <w:r>
        <w:rPr>
          <w:rFonts w:hint="eastAsia" w:ascii="宋体" w:hAnsi="宋体" w:cs="宋体"/>
          <w:sz w:val="24"/>
          <w:szCs w:val="24"/>
        </w:rPr>
        <w:t>综合价格或施工当月 “《综合价格》”中的Q345热轧厚钢板的各种规格型号的综合价格的算数平均数，C1为不含税材料价差）；</w:t>
      </w:r>
    </w:p>
    <w:p w14:paraId="0FB48568">
      <w:pPr>
        <w:spacing w:line="360" w:lineRule="auto"/>
        <w:ind w:firstLine="480" w:firstLineChars="200"/>
        <w:rPr>
          <w:rFonts w:ascii="宋体" w:hAnsi="宋体" w:cs="宋体"/>
          <w:sz w:val="24"/>
          <w:szCs w:val="24"/>
        </w:rPr>
      </w:pPr>
      <w:r>
        <w:rPr>
          <w:rFonts w:hint="eastAsia" w:ascii="宋体" w:hAnsi="宋体" w:cs="宋体"/>
          <w:sz w:val="24"/>
          <w:szCs w:val="24"/>
        </w:rPr>
        <w:t>2）跌价时：C1= (B-A*95%)*材料使用量 （A为“材料基准价”，B为施工当月 “《综合价格》”中的</w:t>
      </w:r>
      <w:r>
        <w:rPr>
          <w:rFonts w:hint="eastAsia" w:ascii="宋体" w:hAnsi="宋体" w:cs="宋体"/>
          <w:bCs/>
          <w:snapToGrid w:val="0"/>
          <w:kern w:val="0"/>
          <w:sz w:val="24"/>
          <w:szCs w:val="24"/>
        </w:rPr>
        <w:t>钢材（仅指钢筋、钢结构构件中的钢材、铝合金幕墙型材、玻璃、镀锌钢管（管件不参与价差调整）、电线管）、商品砂浆、商品砼、砖墙砌块、</w:t>
      </w:r>
      <w:r>
        <w:rPr>
          <w:rFonts w:ascii="宋体" w:hAnsi="宋体" w:cs="宋体"/>
          <w:bCs/>
          <w:snapToGrid w:val="0"/>
          <w:kern w:val="0"/>
          <w:sz w:val="24"/>
        </w:rPr>
        <w:t>电线</w:t>
      </w:r>
      <w:r>
        <w:rPr>
          <w:rFonts w:hint="eastAsia" w:ascii="宋体" w:hAnsi="宋体" w:cs="宋体"/>
          <w:bCs/>
          <w:snapToGrid w:val="0"/>
          <w:sz w:val="24"/>
        </w:rPr>
        <w:t>电缆、</w:t>
      </w:r>
      <w:r>
        <w:rPr>
          <w:rFonts w:hint="eastAsia" w:ascii="宋体" w:hAnsi="宋体" w:cs="宋体"/>
          <w:bCs/>
          <w:snapToGrid w:val="0"/>
          <w:kern w:val="0"/>
          <w:sz w:val="24"/>
          <w:szCs w:val="24"/>
        </w:rPr>
        <w:t>母线槽</w:t>
      </w:r>
      <w:r>
        <w:rPr>
          <w:rFonts w:hint="eastAsia" w:ascii="宋体" w:hAnsi="宋体" w:cs="宋体"/>
          <w:sz w:val="24"/>
          <w:szCs w:val="24"/>
        </w:rPr>
        <w:t>综合价格或施工当月 “《综合价格》”中的Q345热轧厚钢板的各种规格型号的综合价格的算数平均数，C1为不含税材料价差）。</w:t>
      </w:r>
    </w:p>
    <w:p w14:paraId="76C522D1">
      <w:pPr>
        <w:spacing w:line="360" w:lineRule="auto"/>
        <w:ind w:firstLine="480" w:firstLineChars="200"/>
        <w:rPr>
          <w:rFonts w:ascii="宋体" w:hAnsi="宋体" w:cs="宋体"/>
          <w:sz w:val="24"/>
          <w:szCs w:val="24"/>
        </w:rPr>
      </w:pPr>
      <w:r>
        <w:rPr>
          <w:rFonts w:hint="eastAsia" w:ascii="宋体" w:hAnsi="宋体" w:cs="宋体"/>
          <w:bCs/>
          <w:snapToGrid w:val="0"/>
          <w:kern w:val="0"/>
          <w:sz w:val="24"/>
        </w:rPr>
        <w:t>28.3.4.5</w:t>
      </w:r>
      <w:r>
        <w:rPr>
          <w:rFonts w:hint="eastAsia" w:ascii="宋体" w:hAnsi="宋体" w:cs="宋体"/>
          <w:sz w:val="24"/>
          <w:szCs w:val="24"/>
        </w:rPr>
        <w:t>当出现可以调整材料价差时，材料使用量的计算：</w:t>
      </w:r>
    </w:p>
    <w:p w14:paraId="600B352A">
      <w:pPr>
        <w:spacing w:line="360" w:lineRule="auto"/>
        <w:ind w:firstLine="480" w:firstLineChars="200"/>
        <w:rPr>
          <w:rFonts w:ascii="宋体" w:hAnsi="宋体"/>
          <w:sz w:val="24"/>
        </w:rPr>
      </w:pPr>
      <w:r>
        <w:rPr>
          <w:rFonts w:hint="eastAsia" w:ascii="宋体" w:hAnsi="宋体" w:cs="宋体"/>
          <w:snapToGrid w:val="0"/>
          <w:sz w:val="24"/>
          <w:szCs w:val="24"/>
        </w:rPr>
        <w:t>（1）</w:t>
      </w:r>
      <w:r>
        <w:rPr>
          <w:rFonts w:hint="eastAsia" w:ascii="宋体" w:hAnsi="宋体" w:cs="宋体"/>
          <w:bCs/>
          <w:snapToGrid w:val="0"/>
          <w:kern w:val="0"/>
          <w:sz w:val="24"/>
          <w:szCs w:val="24"/>
        </w:rPr>
        <w:t>钢材（仅指钢筋、钢结构构件中的钢材、铝合金幕墙型材、玻璃、镀锌钢管（管件不参与价差调整）、电线管）、商品砂浆、商品砼、砖墙砌块、</w:t>
      </w:r>
      <w:r>
        <w:rPr>
          <w:rFonts w:ascii="宋体" w:hAnsi="宋体" w:cs="宋体"/>
          <w:bCs/>
          <w:snapToGrid w:val="0"/>
          <w:kern w:val="0"/>
          <w:sz w:val="24"/>
        </w:rPr>
        <w:t>电线</w:t>
      </w:r>
      <w:r>
        <w:rPr>
          <w:rFonts w:hint="eastAsia" w:ascii="宋体" w:hAnsi="宋体" w:cs="宋体"/>
          <w:bCs/>
          <w:snapToGrid w:val="0"/>
          <w:sz w:val="24"/>
        </w:rPr>
        <w:t>电缆、</w:t>
      </w:r>
      <w:r>
        <w:rPr>
          <w:rFonts w:hint="eastAsia" w:ascii="宋体" w:hAnsi="宋体" w:cs="宋体"/>
          <w:bCs/>
          <w:snapToGrid w:val="0"/>
          <w:kern w:val="0"/>
          <w:sz w:val="24"/>
          <w:szCs w:val="24"/>
        </w:rPr>
        <w:t>母线槽</w:t>
      </w:r>
      <w:r>
        <w:rPr>
          <w:rFonts w:hint="eastAsia" w:ascii="宋体" w:hAnsi="宋体" w:cs="宋体"/>
          <w:snapToGrid w:val="0"/>
          <w:sz w:val="24"/>
          <w:szCs w:val="24"/>
        </w:rPr>
        <w:t>按照当月进度款签批完成的图纸计算出来的工程量（不含损耗）再乘以消耗量系数。其中商品砼的消耗量系数为1.01；</w:t>
      </w:r>
      <w:r>
        <w:rPr>
          <w:rFonts w:hint="eastAsia" w:ascii="宋体" w:hAnsi="宋体" w:cs="宋体"/>
          <w:bCs/>
          <w:snapToGrid w:val="0"/>
          <w:kern w:val="0"/>
          <w:sz w:val="24"/>
          <w:szCs w:val="24"/>
        </w:rPr>
        <w:t>钢材（仅指钢筋、钢结构构件中的钢材、镀锌钢管（管件不参与价差调整）、电线管）、</w:t>
      </w:r>
      <w:r>
        <w:rPr>
          <w:rFonts w:hint="eastAsia" w:ascii="宋体" w:hAnsi="宋体" w:cs="宋体"/>
          <w:sz w:val="24"/>
          <w:szCs w:val="24"/>
        </w:rPr>
        <w:t>电线电缆</w:t>
      </w:r>
      <w:r>
        <w:rPr>
          <w:rFonts w:hint="eastAsia" w:ascii="宋体" w:hAnsi="宋体" w:cs="宋体"/>
          <w:snapToGrid w:val="0"/>
          <w:sz w:val="24"/>
          <w:szCs w:val="24"/>
        </w:rPr>
        <w:t>及母线槽不计算消耗量，</w:t>
      </w:r>
      <w:r>
        <w:rPr>
          <w:rFonts w:hint="eastAsia" w:ascii="宋体" w:hAnsi="宋体" w:cs="宋体"/>
          <w:bCs/>
          <w:snapToGrid w:val="0"/>
          <w:kern w:val="0"/>
          <w:sz w:val="24"/>
          <w:szCs w:val="24"/>
        </w:rPr>
        <w:t>母线槽配件所占的长度不参与母线槽材料使用量的计算。</w:t>
      </w:r>
      <w:r>
        <w:rPr>
          <w:rFonts w:hint="eastAsia" w:ascii="宋体" w:hAnsi="宋体"/>
          <w:sz w:val="24"/>
        </w:rPr>
        <w:t>砖墙砌块及商品砂浆的消耗量按《广东省房屋建筑与装饰工程综合定额（2018）》中的消耗量执行，其中楼地面找坡层的厚度按该找坡层最薄处厚度计算；</w:t>
      </w:r>
    </w:p>
    <w:p w14:paraId="0956FF48">
      <w:pPr>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（2）铝合金型材（仅为幕墙铝合金门窗或者幕墙部分）材料使用量的计算：按照可调整铝合金型材材料价差，当月现场实际施工安装完成对应施工图纸，计算的铝合金型材用量（不含损耗）；</w:t>
      </w:r>
    </w:p>
    <w:p w14:paraId="4CB5A9BD">
      <w:pPr>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（3）玻璃材料使用量的计算：按照可调整玻璃材料价差，当月现场实际施工安装完成对应施工图纸，计算的玻璃用量（不含损耗）。</w:t>
      </w:r>
    </w:p>
    <w:p w14:paraId="28EC50D0">
      <w:pPr>
        <w:spacing w:line="360" w:lineRule="auto"/>
        <w:ind w:firstLine="480" w:firstLineChars="200"/>
        <w:rPr>
          <w:rFonts w:ascii="宋体" w:hAnsi="宋体"/>
          <w:kern w:val="0"/>
          <w:sz w:val="24"/>
        </w:rPr>
      </w:pPr>
      <w:r>
        <w:rPr>
          <w:rFonts w:hint="eastAsia" w:ascii="宋体" w:hAnsi="宋体" w:cs="宋体"/>
          <w:bCs/>
          <w:snapToGrid w:val="0"/>
          <w:kern w:val="0"/>
          <w:sz w:val="24"/>
        </w:rPr>
        <w:t>28.3.4.6上述</w:t>
      </w:r>
      <w:r>
        <w:rPr>
          <w:rFonts w:hint="eastAsia" w:ascii="宋体" w:hAnsi="宋体"/>
          <w:kern w:val="0"/>
          <w:sz w:val="24"/>
        </w:rPr>
        <w:t>条款所述基准价、综合价格、均价均指不含税价格，以上材料调差后仅计取9%的增值税税金，不再计取管理费利润等，</w:t>
      </w:r>
      <w:r>
        <w:rPr>
          <w:rFonts w:hint="eastAsia" w:ascii="仿宋_GB2312" w:hAnsi="宋体"/>
          <w:kern w:val="0"/>
          <w:sz w:val="24"/>
        </w:rPr>
        <w:t>但需</w:t>
      </w:r>
      <w:r>
        <w:rPr>
          <w:rFonts w:hint="eastAsia" w:ascii="宋体" w:hAnsi="宋体"/>
          <w:kern w:val="0"/>
          <w:sz w:val="24"/>
        </w:rPr>
        <w:t>执行中标下浮率。如果后期增值税税率调整，则从政府规定税率调整日期之后的税率再按政府政策执行。</w:t>
      </w:r>
    </w:p>
    <w:p w14:paraId="16E05829">
      <w:pPr>
        <w:spacing w:line="360" w:lineRule="auto"/>
        <w:ind w:firstLine="480" w:firstLineChars="200"/>
        <w:rPr>
          <w:rFonts w:ascii="宋体" w:hAnsi="宋体" w:cs="宋体"/>
          <w:bCs/>
          <w:snapToGrid w:val="0"/>
          <w:kern w:val="0"/>
          <w:sz w:val="24"/>
        </w:rPr>
      </w:pPr>
      <w:bookmarkStart w:id="446" w:name="_Toc104901780"/>
      <w:r>
        <w:rPr>
          <w:rFonts w:hint="eastAsia" w:ascii="宋体" w:hAnsi="宋体" w:cs="宋体"/>
          <w:bCs/>
          <w:snapToGrid w:val="0"/>
          <w:kern w:val="0"/>
          <w:sz w:val="24"/>
        </w:rPr>
        <w:t>28.3.4.7由于承包人原因导致工期延误的，所延误时段内物价上涨的风险全部由承包人承担，不予调整；如物价下跌，则仍按第28.3.4.2款约定计算及扣回相应价款。</w:t>
      </w:r>
    </w:p>
    <w:p w14:paraId="4641E9A6">
      <w:pPr>
        <w:pStyle w:val="45"/>
        <w:spacing w:after="0" w:line="360" w:lineRule="auto"/>
        <w:ind w:firstLine="480" w:firstLineChars="200"/>
        <w:rPr>
          <w:rFonts w:ascii="宋体" w:hAnsi="宋体" w:cs="宋体"/>
          <w:bCs/>
          <w:snapToGrid w:val="0"/>
          <w:color w:val="FF0000"/>
          <w:kern w:val="0"/>
          <w:sz w:val="24"/>
        </w:rPr>
      </w:pPr>
      <w:r>
        <w:rPr>
          <w:rFonts w:hint="eastAsia" w:ascii="宋体" w:hAnsi="宋体" w:cs="宋体"/>
          <w:bCs/>
          <w:snapToGrid w:val="0"/>
          <w:color w:val="FF0000"/>
          <w:kern w:val="0"/>
          <w:sz w:val="24"/>
        </w:rPr>
        <w:t>。</w:t>
      </w:r>
    </w:p>
    <w:p w14:paraId="47F259E4">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28.3.5其他约定</w:t>
      </w:r>
    </w:p>
    <w:p w14:paraId="267C265A">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承包人不得就未达成一致意见的施工图预算、任何变更或签证拒绝施工，或延缓施工，否则发包人有权将该部分工作另行委托其他单位完成，同时将该工作按发包人另行委托价格从承包人合同价款中扣除，并向承包人收取该部分工程金额 20% 的违约金，由此造成的工期延误由承包人负责。</w:t>
      </w:r>
    </w:p>
    <w:p w14:paraId="14517DA5">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承包人不得以工序安排、条件、赶工、经济等任何问题拒绝对合同范围内工程施工，或延缓施工，否则发包人有权将该部分工作另行委托其他单位完成，同时将该工作按发包人另行委托价格从承包人合同价款中扣除，并向承包人收取该部分工程金额 20% 的违约金，由此造成的工期延误由承包人负责。</w:t>
      </w:r>
    </w:p>
    <w:p w14:paraId="48ED62EB">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注：</w:t>
      </w:r>
    </w:p>
    <w:p w14:paraId="68E634D3">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（1）如</w:t>
      </w:r>
      <w:r>
        <w:rPr>
          <w:rFonts w:hint="eastAsia" w:ascii="宋体" w:hAnsi="宋体" w:cs="宋体"/>
          <w:bCs/>
          <w:snapToGrid w:val="0"/>
          <w:kern w:val="0"/>
          <w:sz w:val="24"/>
          <w:lang w:val="en-US" w:eastAsia="zh-CN"/>
        </w:rPr>
        <w:t>部分</w:t>
      </w:r>
      <w:r>
        <w:rPr>
          <w:rFonts w:hint="eastAsia" w:ascii="宋体" w:hAnsi="宋体" w:cs="宋体"/>
          <w:bCs/>
          <w:snapToGrid w:val="0"/>
          <w:kern w:val="0"/>
          <w:sz w:val="24"/>
        </w:rPr>
        <w:t>专业施工达不到发包人要求，发包人有权另行委托此部分施工，承包人须无条件接受。</w:t>
      </w:r>
    </w:p>
    <w:p w14:paraId="24253A80">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（2）针对材料</w:t>
      </w:r>
      <w:r>
        <w:rPr>
          <w:rFonts w:hint="eastAsia" w:ascii="宋体" w:hAnsi="宋体" w:cs="宋体"/>
          <w:sz w:val="24"/>
          <w:szCs w:val="24"/>
        </w:rPr>
        <w:t>认质认价时，</w:t>
      </w:r>
      <w:r>
        <w:rPr>
          <w:rFonts w:hint="eastAsia" w:ascii="宋体" w:hAnsi="宋体" w:cs="宋体"/>
          <w:bCs/>
          <w:snapToGrid w:val="0"/>
          <w:kern w:val="0"/>
          <w:sz w:val="24"/>
        </w:rPr>
        <w:t>双方价格一直洽谈达不成一致意见的，询价工作小组与承包人共同进行市场调查询价、并一同约谈潜在供货商，按照共同询价及约谈潜在供货商洽谈后的价格作为材料认质认价最终价，承包人须无条件接受。</w:t>
      </w:r>
    </w:p>
    <w:p w14:paraId="47E5B2E1">
      <w:pPr>
        <w:spacing w:line="360" w:lineRule="auto"/>
        <w:ind w:firstLine="482" w:firstLineChars="200"/>
        <w:outlineLvl w:val="1"/>
        <w:rPr>
          <w:rFonts w:ascii="宋体" w:hAnsi="宋体"/>
          <w:b/>
          <w:kern w:val="0"/>
          <w:sz w:val="24"/>
        </w:rPr>
      </w:pPr>
      <w:bookmarkStart w:id="447" w:name="_Toc19424"/>
      <w:bookmarkStart w:id="448" w:name="_Toc144746259"/>
      <w:bookmarkStart w:id="449" w:name="_Toc8639"/>
      <w:bookmarkStart w:id="450" w:name="_Toc144746890"/>
      <w:bookmarkStart w:id="451" w:name="_Toc13251"/>
      <w:bookmarkStart w:id="452" w:name="_Toc518402604"/>
      <w:bookmarkStart w:id="453" w:name="_Toc504465910"/>
      <w:r>
        <w:rPr>
          <w:rFonts w:hint="eastAsia" w:ascii="宋体" w:hAnsi="宋体" w:cs="宋体"/>
          <w:b/>
          <w:bCs/>
          <w:snapToGrid w:val="0"/>
          <w:kern w:val="0"/>
          <w:sz w:val="24"/>
        </w:rPr>
        <w:t>29</w:t>
      </w:r>
      <w:r>
        <w:rPr>
          <w:rFonts w:hint="eastAsia" w:ascii="宋体" w:hAnsi="宋体"/>
          <w:b/>
          <w:kern w:val="0"/>
          <w:sz w:val="24"/>
        </w:rPr>
        <w:t>、预付款</w:t>
      </w:r>
      <w:bookmarkEnd w:id="446"/>
      <w:bookmarkEnd w:id="447"/>
      <w:bookmarkEnd w:id="448"/>
      <w:bookmarkEnd w:id="449"/>
      <w:bookmarkEnd w:id="450"/>
      <w:bookmarkEnd w:id="451"/>
    </w:p>
    <w:p w14:paraId="1A714803">
      <w:pPr>
        <w:spacing w:line="360" w:lineRule="auto"/>
        <w:ind w:firstLine="480" w:firstLineChars="200"/>
        <w:rPr>
          <w:rFonts w:ascii="宋体" w:hAnsi="宋体" w:cs="宋体"/>
          <w:color w:val="0000FF"/>
          <w:sz w:val="24"/>
          <w:szCs w:val="24"/>
        </w:rPr>
      </w:pPr>
      <w:r>
        <w:rPr>
          <w:rFonts w:hint="eastAsia" w:ascii="宋体" w:hAnsi="宋体" w:cs="宋体"/>
          <w:color w:val="0000FF"/>
          <w:sz w:val="24"/>
          <w:szCs w:val="24"/>
        </w:rPr>
        <w:t>29</w:t>
      </w:r>
      <w:r>
        <w:rPr>
          <w:rFonts w:hint="eastAsia" w:ascii="宋体" w:hAnsi="宋体"/>
          <w:color w:val="0000FF"/>
          <w:sz w:val="24"/>
        </w:rPr>
        <w:t>.1</w:t>
      </w:r>
      <w:r>
        <w:rPr>
          <w:rFonts w:hint="eastAsia" w:ascii="宋体" w:hAnsi="宋体" w:cs="宋体"/>
          <w:color w:val="0000FF"/>
          <w:sz w:val="24"/>
          <w:szCs w:val="24"/>
        </w:rPr>
        <w:t>设计费预付款</w:t>
      </w:r>
    </w:p>
    <w:p w14:paraId="44E5EBF7">
      <w:pPr>
        <w:spacing w:line="360" w:lineRule="auto"/>
        <w:ind w:firstLine="480" w:firstLineChars="200"/>
        <w:rPr>
          <w:rFonts w:ascii="宋体" w:hAnsi="宋体" w:cs="宋体"/>
          <w:color w:val="0000FF"/>
          <w:sz w:val="24"/>
          <w:szCs w:val="24"/>
        </w:rPr>
      </w:pPr>
      <w:r>
        <w:rPr>
          <w:rFonts w:hint="eastAsia" w:ascii="宋体" w:hAnsi="宋体"/>
          <w:color w:val="0000FF"/>
          <w:sz w:val="24"/>
        </w:rPr>
        <w:t>承包人</w:t>
      </w:r>
      <w:r>
        <w:rPr>
          <w:rFonts w:hint="eastAsia" w:ascii="宋体" w:hAnsi="宋体" w:cs="宋体"/>
          <w:color w:val="0000FF"/>
          <w:sz w:val="24"/>
          <w:szCs w:val="24"/>
        </w:rPr>
        <w:t>按招标文件要求签订合同并</w:t>
      </w:r>
      <w:r>
        <w:rPr>
          <w:rFonts w:hint="eastAsia" w:ascii="宋体" w:hAnsi="宋体"/>
          <w:color w:val="0000FF"/>
          <w:sz w:val="24"/>
        </w:rPr>
        <w:t>提交符合发包人要求的与预付款等额的无条件不可撤销预付款保函、履约保函</w:t>
      </w:r>
      <w:r>
        <w:rPr>
          <w:rFonts w:hint="eastAsia" w:ascii="宋体" w:hAnsi="宋体" w:cs="宋体"/>
          <w:color w:val="0000FF"/>
          <w:sz w:val="24"/>
          <w:szCs w:val="24"/>
        </w:rPr>
        <w:t>后，方可申请设计费预付款，预付款的比例为设计费暂定金额的</w:t>
      </w:r>
      <w:r>
        <w:rPr>
          <w:rFonts w:ascii="宋体" w:hAnsi="宋体" w:cs="宋体"/>
          <w:color w:val="0000FF"/>
          <w:sz w:val="24"/>
          <w:szCs w:val="24"/>
        </w:rPr>
        <w:t>2</w:t>
      </w:r>
      <w:r>
        <w:rPr>
          <w:rFonts w:hint="eastAsia" w:ascii="宋体" w:hAnsi="宋体" w:cs="宋体"/>
          <w:color w:val="0000FF"/>
          <w:sz w:val="24"/>
          <w:szCs w:val="24"/>
        </w:rPr>
        <w:t>0%。</w:t>
      </w:r>
    </w:p>
    <w:p w14:paraId="5EBB2926">
      <w:pPr>
        <w:spacing w:line="360" w:lineRule="auto"/>
        <w:ind w:firstLine="480" w:firstLineChars="200"/>
        <w:rPr>
          <w:rFonts w:ascii="宋体" w:hAnsi="宋体" w:cs="宋体"/>
          <w:color w:val="0000FF"/>
          <w:sz w:val="24"/>
          <w:szCs w:val="24"/>
        </w:rPr>
      </w:pPr>
      <w:r>
        <w:rPr>
          <w:rFonts w:hint="eastAsia" w:ascii="宋体" w:hAnsi="宋体" w:cs="宋体"/>
          <w:color w:val="0000FF"/>
          <w:sz w:val="24"/>
          <w:szCs w:val="24"/>
        </w:rPr>
        <w:t>29.2</w:t>
      </w:r>
      <w:r>
        <w:rPr>
          <w:rFonts w:hint="eastAsia" w:ascii="宋体" w:hAnsi="宋体" w:cs="宋体"/>
          <w:color w:val="0000FF"/>
          <w:sz w:val="24"/>
          <w:szCs w:val="24"/>
          <w:lang w:val="en-US" w:eastAsia="zh-CN"/>
        </w:rPr>
        <w:t>勘察</w:t>
      </w:r>
      <w:r>
        <w:rPr>
          <w:rFonts w:hint="eastAsia" w:ascii="宋体" w:hAnsi="宋体" w:cs="宋体"/>
          <w:color w:val="0000FF"/>
          <w:sz w:val="24"/>
          <w:szCs w:val="24"/>
        </w:rPr>
        <w:t>费</w:t>
      </w:r>
      <w:r>
        <w:rPr>
          <w:rFonts w:hint="eastAsia" w:ascii="宋体" w:hAnsi="宋体" w:cs="宋体"/>
          <w:color w:val="0000FF"/>
          <w:sz w:val="24"/>
          <w:szCs w:val="24"/>
          <w:lang w:val="en-US" w:eastAsia="zh-CN"/>
        </w:rPr>
        <w:t>及物探费</w:t>
      </w:r>
      <w:r>
        <w:rPr>
          <w:rFonts w:hint="eastAsia" w:ascii="宋体" w:hAnsi="宋体" w:cs="宋体"/>
          <w:color w:val="0000FF"/>
          <w:sz w:val="24"/>
          <w:szCs w:val="24"/>
        </w:rPr>
        <w:t>：不设预付款。</w:t>
      </w:r>
    </w:p>
    <w:p w14:paraId="74B2D6F6">
      <w:pPr>
        <w:spacing w:line="360" w:lineRule="auto"/>
        <w:ind w:firstLine="480" w:firstLineChars="200"/>
        <w:rPr>
          <w:rFonts w:ascii="宋体" w:hAnsi="宋体" w:cs="宋体"/>
          <w:sz w:val="24"/>
          <w:szCs w:val="24"/>
        </w:rPr>
      </w:pPr>
      <w:r>
        <w:rPr>
          <w:rFonts w:hint="eastAsia" w:ascii="宋体" w:hAnsi="宋体" w:cs="宋体"/>
          <w:sz w:val="24"/>
          <w:szCs w:val="24"/>
        </w:rPr>
        <w:t>29.3施工费预付款。</w:t>
      </w:r>
    </w:p>
    <w:p w14:paraId="6200BC9D">
      <w:pPr>
        <w:spacing w:line="360" w:lineRule="auto"/>
        <w:ind w:firstLine="480" w:firstLineChars="200"/>
        <w:rPr>
          <w:rFonts w:ascii="宋体" w:hAnsi="宋体" w:cs="宋体"/>
          <w:sz w:val="24"/>
          <w:szCs w:val="24"/>
        </w:rPr>
      </w:pPr>
      <w:r>
        <w:rPr>
          <w:rFonts w:hint="eastAsia" w:ascii="宋体" w:hAnsi="宋体" w:cs="宋体"/>
          <w:sz w:val="24"/>
          <w:szCs w:val="24"/>
        </w:rPr>
        <w:t>29.3.1</w:t>
      </w:r>
      <w:bookmarkEnd w:id="452"/>
      <w:r>
        <w:rPr>
          <w:rFonts w:hint="eastAsia" w:ascii="宋体" w:hAnsi="宋体" w:cs="宋体"/>
          <w:sz w:val="24"/>
          <w:szCs w:val="24"/>
        </w:rPr>
        <w:t xml:space="preserve"> 施工费</w:t>
      </w:r>
      <w:r>
        <w:rPr>
          <w:rFonts w:hint="eastAsia" w:ascii="宋体" w:hAnsi="宋体"/>
          <w:sz w:val="24"/>
        </w:rPr>
        <w:t>预付款</w:t>
      </w:r>
      <w:r>
        <w:rPr>
          <w:rFonts w:hint="eastAsia" w:ascii="宋体" w:hAnsi="宋体" w:cs="宋体"/>
          <w:sz w:val="24"/>
          <w:szCs w:val="24"/>
        </w:rPr>
        <w:t>的比例</w:t>
      </w:r>
      <w:r>
        <w:rPr>
          <w:rFonts w:hint="eastAsia" w:ascii="宋体" w:hAnsi="宋体"/>
          <w:sz w:val="24"/>
        </w:rPr>
        <w:t>为</w:t>
      </w:r>
      <w:r>
        <w:rPr>
          <w:rFonts w:hint="eastAsia" w:ascii="宋体" w:hAnsi="宋体" w:cs="宋体"/>
          <w:sz w:val="24"/>
          <w:szCs w:val="24"/>
        </w:rPr>
        <w:t>施工费暂定</w:t>
      </w:r>
      <w:r>
        <w:rPr>
          <w:rFonts w:hint="eastAsia" w:ascii="宋体" w:hAnsi="宋体"/>
          <w:sz w:val="24"/>
        </w:rPr>
        <w:t>价（</w:t>
      </w:r>
      <w:r>
        <w:rPr>
          <w:rFonts w:hint="eastAsia" w:ascii="宋体" w:hAnsi="宋体" w:cs="宋体"/>
          <w:sz w:val="24"/>
          <w:szCs w:val="24"/>
        </w:rPr>
        <w:t>不含</w:t>
      </w:r>
      <w:r>
        <w:rPr>
          <w:rFonts w:hint="eastAsia" w:ascii="宋体" w:hAnsi="宋体"/>
          <w:sz w:val="24"/>
        </w:rPr>
        <w:t>暂列</w:t>
      </w:r>
      <w:r>
        <w:rPr>
          <w:rFonts w:hint="eastAsia" w:ascii="宋体" w:hAnsi="宋体" w:cs="宋体"/>
          <w:sz w:val="24"/>
          <w:szCs w:val="24"/>
        </w:rPr>
        <w:t>金额及专业工程暂估价）</w:t>
      </w:r>
      <w:r>
        <w:rPr>
          <w:rFonts w:ascii="宋体" w:hAnsi="宋体"/>
          <w:sz w:val="24"/>
        </w:rPr>
        <w:t>10</w:t>
      </w:r>
      <w:r>
        <w:rPr>
          <w:rFonts w:hint="eastAsia" w:ascii="宋体" w:hAnsi="宋体"/>
          <w:sz w:val="24"/>
        </w:rPr>
        <w:t>%，合同签订后，承包人提交符合发包人要求的预付款申请及无条件、不可撤销的履约保函或履约保证金、对应金额的预付款保函及符合绿色施工安全防护措施费条款要求后方可申请预付款，此预付款已包含绿色施工安全防护措施费</w:t>
      </w:r>
      <w:r>
        <w:rPr>
          <w:rFonts w:hint="eastAsia" w:ascii="宋体" w:hAnsi="宋体"/>
          <w:sz w:val="24"/>
          <w:lang w:eastAsia="zh-CN"/>
        </w:rPr>
        <w:t>。</w:t>
      </w:r>
      <w:r>
        <w:rPr>
          <w:rFonts w:hint="eastAsia" w:ascii="宋体" w:hAnsi="宋体"/>
          <w:sz w:val="24"/>
        </w:rPr>
        <w:t>承包人应将预付款专用于实施本工程所需的施工机械、材料设备及人员费用，并向总监理工程师提交发票或其它证明文件的副本以证明预付款确实专款专用，否则应按合同条款第</w:t>
      </w:r>
      <w:r>
        <w:rPr>
          <w:rFonts w:ascii="宋体" w:hAnsi="宋体"/>
          <w:sz w:val="24"/>
        </w:rPr>
        <w:t>41.16</w:t>
      </w:r>
      <w:r>
        <w:rPr>
          <w:rFonts w:hint="eastAsia" w:ascii="宋体" w:hAnsi="宋体"/>
          <w:sz w:val="24"/>
        </w:rPr>
        <w:t>款承担违约责任。</w:t>
      </w:r>
    </w:p>
    <w:p w14:paraId="2A029868">
      <w:pPr>
        <w:spacing w:line="360" w:lineRule="auto"/>
        <w:ind w:firstLine="480" w:firstLineChars="200"/>
        <w:rPr>
          <w:rFonts w:ascii="宋体" w:hAnsi="宋体"/>
          <w:sz w:val="24"/>
        </w:rPr>
      </w:pPr>
      <w:r>
        <w:rPr>
          <w:rFonts w:ascii="宋体" w:hAnsi="宋体"/>
          <w:sz w:val="24"/>
        </w:rPr>
        <w:t>29.3.2承包人收取预付款后，应</w:t>
      </w:r>
      <w:r>
        <w:rPr>
          <w:rFonts w:hint="eastAsia" w:ascii="宋体" w:hAnsi="宋体"/>
          <w:sz w:val="24"/>
        </w:rPr>
        <w:t>根据《社会保险法》及《建筑法》的规定优先用于为职</w:t>
      </w:r>
      <w:r>
        <w:rPr>
          <w:rFonts w:hint="eastAsia" w:ascii="宋体" w:hAnsi="宋体" w:cs="宋体"/>
          <w:sz w:val="24"/>
          <w:szCs w:val="24"/>
        </w:rPr>
        <w:t>工</w:t>
      </w:r>
      <w:r>
        <w:rPr>
          <w:rFonts w:hint="eastAsia" w:ascii="宋体" w:hAnsi="宋体"/>
          <w:sz w:val="24"/>
        </w:rPr>
        <w:t>缴纳工伤保险和办理建筑意外伤害险，专款专用。</w:t>
      </w:r>
    </w:p>
    <w:p w14:paraId="2093CA45">
      <w:pPr>
        <w:spacing w:line="360" w:lineRule="auto"/>
        <w:ind w:firstLine="480" w:firstLineChars="200"/>
        <w:rPr>
          <w:rFonts w:ascii="宋体" w:hAnsi="宋体"/>
          <w:sz w:val="24"/>
        </w:rPr>
      </w:pPr>
      <w:r>
        <w:rPr>
          <w:rFonts w:hint="eastAsia" w:ascii="宋体" w:hAnsi="宋体" w:cs="宋体"/>
          <w:sz w:val="24"/>
          <w:szCs w:val="24"/>
        </w:rPr>
        <w:t>29.2.4</w:t>
      </w:r>
      <w:r>
        <w:rPr>
          <w:rFonts w:hint="eastAsia" w:ascii="宋体" w:hAnsi="宋体"/>
          <w:sz w:val="24"/>
        </w:rPr>
        <w:t>扣回预付款的时间、比例：按本合同条款</w:t>
      </w:r>
      <w:r>
        <w:rPr>
          <w:rFonts w:hint="eastAsia" w:ascii="宋体" w:hAnsi="宋体" w:cs="宋体"/>
          <w:sz w:val="24"/>
          <w:szCs w:val="24"/>
        </w:rPr>
        <w:t>30.3</w:t>
      </w:r>
      <w:r>
        <w:rPr>
          <w:rFonts w:hint="eastAsia" w:ascii="宋体" w:hAnsi="宋体"/>
          <w:sz w:val="24"/>
        </w:rPr>
        <w:t>条约定执行。</w:t>
      </w:r>
    </w:p>
    <w:p w14:paraId="2891EC26">
      <w:pPr>
        <w:spacing w:line="360" w:lineRule="auto"/>
        <w:ind w:firstLine="482" w:firstLineChars="200"/>
        <w:outlineLvl w:val="1"/>
        <w:rPr>
          <w:rFonts w:ascii="宋体" w:hAnsi="宋体" w:cs="宋体"/>
          <w:b/>
          <w:bCs/>
          <w:snapToGrid w:val="0"/>
          <w:kern w:val="0"/>
          <w:sz w:val="24"/>
        </w:rPr>
      </w:pPr>
      <w:bookmarkStart w:id="454" w:name="_Toc144746260"/>
      <w:bookmarkStart w:id="455" w:name="_Toc22614"/>
      <w:bookmarkStart w:id="456" w:name="_Toc2669"/>
      <w:bookmarkStart w:id="457" w:name="_Toc144746891"/>
      <w:bookmarkStart w:id="458" w:name="_Toc518402605"/>
      <w:bookmarkStart w:id="459" w:name="_Toc22355"/>
      <w:bookmarkStart w:id="460" w:name="_Toc104901782"/>
      <w:r>
        <w:rPr>
          <w:rFonts w:hint="eastAsia" w:ascii="宋体" w:hAnsi="宋体" w:cs="宋体"/>
          <w:b/>
          <w:bCs/>
          <w:snapToGrid w:val="0"/>
          <w:kern w:val="0"/>
          <w:sz w:val="24"/>
        </w:rPr>
        <w:t>30、</w:t>
      </w:r>
      <w:bookmarkEnd w:id="453"/>
      <w:r>
        <w:rPr>
          <w:rFonts w:hint="eastAsia" w:ascii="宋体" w:hAnsi="宋体" w:cs="宋体"/>
          <w:b/>
          <w:bCs/>
          <w:snapToGrid w:val="0"/>
          <w:kern w:val="0"/>
          <w:sz w:val="24"/>
        </w:rPr>
        <w:t>工程进度付款</w:t>
      </w:r>
      <w:bookmarkEnd w:id="454"/>
      <w:bookmarkEnd w:id="455"/>
      <w:bookmarkEnd w:id="456"/>
      <w:bookmarkEnd w:id="457"/>
      <w:bookmarkEnd w:id="458"/>
      <w:bookmarkEnd w:id="459"/>
    </w:p>
    <w:p w14:paraId="4CF0487F">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30.1 设计费</w:t>
      </w:r>
    </w:p>
    <w:p w14:paraId="0F8C8865">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设计费进度款按如下方式分期支付，支付分解表如下：</w:t>
      </w:r>
    </w:p>
    <w:tbl>
      <w:tblPr>
        <w:tblStyle w:val="47"/>
        <w:tblW w:w="9634" w:type="dxa"/>
        <w:tblInd w:w="0" w:type="dxa"/>
        <w:tblLayout w:type="fixed"/>
        <w:tblCellMar>
          <w:top w:w="0" w:type="dxa"/>
          <w:left w:w="108" w:type="dxa"/>
          <w:bottom w:w="0" w:type="dxa"/>
          <w:right w:w="108" w:type="dxa"/>
        </w:tblCellMar>
      </w:tblPr>
      <w:tblGrid>
        <w:gridCol w:w="980"/>
        <w:gridCol w:w="1400"/>
        <w:gridCol w:w="3260"/>
        <w:gridCol w:w="1159"/>
        <w:gridCol w:w="2835"/>
      </w:tblGrid>
      <w:tr w14:paraId="7E463784">
        <w:tblPrEx>
          <w:tblCellMar>
            <w:top w:w="0" w:type="dxa"/>
            <w:left w:w="108" w:type="dxa"/>
            <w:bottom w:w="0" w:type="dxa"/>
            <w:right w:w="108" w:type="dxa"/>
          </w:tblCellMar>
        </w:tblPrEx>
        <w:trPr>
          <w:trHeight w:val="498"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5BB63152">
            <w:pPr>
              <w:widowControl/>
              <w:jc w:val="center"/>
              <w:rPr>
                <w:rFonts w:asciiTheme="majorEastAsia" w:hAnsiTheme="majorEastAsia"/>
                <w:kern w:val="0"/>
                <w:sz w:val="24"/>
              </w:rPr>
            </w:pPr>
            <w:r>
              <w:rPr>
                <w:rFonts w:hint="eastAsia" w:asciiTheme="majorEastAsia" w:hAnsiTheme="majorEastAsia"/>
                <w:kern w:val="0"/>
                <w:sz w:val="24"/>
              </w:rPr>
              <w:t>序号</w:t>
            </w:r>
          </w:p>
        </w:tc>
        <w:tc>
          <w:tcPr>
            <w:tcW w:w="1400" w:type="dxa"/>
            <w:tcBorders>
              <w:top w:val="single" w:color="auto" w:sz="4" w:space="0"/>
              <w:left w:val="nil"/>
              <w:bottom w:val="single" w:color="auto" w:sz="4" w:space="0"/>
              <w:right w:val="single" w:color="auto" w:sz="4" w:space="0"/>
            </w:tcBorders>
            <w:shd w:val="clear" w:color="auto" w:fill="auto"/>
            <w:vAlign w:val="center"/>
          </w:tcPr>
          <w:p w14:paraId="7992C27E">
            <w:pPr>
              <w:widowControl/>
              <w:jc w:val="center"/>
              <w:rPr>
                <w:rFonts w:asciiTheme="majorEastAsia" w:hAnsiTheme="majorEastAsia"/>
                <w:kern w:val="0"/>
                <w:sz w:val="24"/>
              </w:rPr>
            </w:pPr>
            <w:r>
              <w:rPr>
                <w:rFonts w:hint="eastAsia" w:asciiTheme="majorEastAsia" w:hAnsiTheme="majorEastAsia"/>
                <w:kern w:val="0"/>
                <w:sz w:val="24"/>
              </w:rPr>
              <w:t>设计阶段</w:t>
            </w:r>
          </w:p>
        </w:tc>
        <w:tc>
          <w:tcPr>
            <w:tcW w:w="3260" w:type="dxa"/>
            <w:tcBorders>
              <w:top w:val="single" w:color="auto" w:sz="4" w:space="0"/>
              <w:left w:val="nil"/>
              <w:bottom w:val="single" w:color="auto" w:sz="4" w:space="0"/>
              <w:right w:val="single" w:color="auto" w:sz="4" w:space="0"/>
            </w:tcBorders>
            <w:shd w:val="clear" w:color="auto" w:fill="auto"/>
            <w:vAlign w:val="center"/>
          </w:tcPr>
          <w:p w14:paraId="7B9130BC">
            <w:pPr>
              <w:widowControl/>
              <w:jc w:val="center"/>
              <w:rPr>
                <w:rFonts w:asciiTheme="majorEastAsia" w:hAnsiTheme="majorEastAsia"/>
                <w:kern w:val="0"/>
                <w:sz w:val="24"/>
              </w:rPr>
            </w:pPr>
            <w:r>
              <w:rPr>
                <w:rFonts w:hint="eastAsia" w:asciiTheme="majorEastAsia" w:hAnsiTheme="majorEastAsia"/>
                <w:kern w:val="0"/>
                <w:sz w:val="24"/>
              </w:rPr>
              <w:t>支付条件</w:t>
            </w:r>
          </w:p>
        </w:tc>
        <w:tc>
          <w:tcPr>
            <w:tcW w:w="1159" w:type="dxa"/>
            <w:tcBorders>
              <w:top w:val="single" w:color="auto" w:sz="4" w:space="0"/>
              <w:left w:val="nil"/>
              <w:bottom w:val="single" w:color="auto" w:sz="4" w:space="0"/>
              <w:right w:val="single" w:color="auto" w:sz="4" w:space="0"/>
            </w:tcBorders>
            <w:shd w:val="clear" w:color="auto" w:fill="auto"/>
            <w:vAlign w:val="center"/>
          </w:tcPr>
          <w:p w14:paraId="54E994F5">
            <w:pPr>
              <w:widowControl/>
              <w:jc w:val="center"/>
              <w:rPr>
                <w:rFonts w:asciiTheme="majorEastAsia" w:hAnsiTheme="majorEastAsia"/>
                <w:kern w:val="0"/>
                <w:sz w:val="24"/>
              </w:rPr>
            </w:pPr>
            <w:r>
              <w:rPr>
                <w:rFonts w:hint="eastAsia" w:asciiTheme="majorEastAsia" w:hAnsiTheme="majorEastAsia"/>
                <w:kern w:val="0"/>
                <w:sz w:val="24"/>
              </w:rPr>
              <w:t>服务费总额占比（</w:t>
            </w:r>
            <w:r>
              <w:rPr>
                <w:rFonts w:asciiTheme="majorEastAsia" w:hAnsiTheme="majorEastAsia"/>
                <w:kern w:val="0"/>
                <w:sz w:val="24"/>
              </w:rPr>
              <w:t>%</w:t>
            </w:r>
            <w:r>
              <w:rPr>
                <w:rFonts w:hint="eastAsia" w:asciiTheme="majorEastAsia" w:hAnsiTheme="majorEastAsia"/>
                <w:kern w:val="0"/>
                <w:sz w:val="24"/>
              </w:rPr>
              <w:t>）</w:t>
            </w:r>
          </w:p>
        </w:tc>
        <w:tc>
          <w:tcPr>
            <w:tcW w:w="2835" w:type="dxa"/>
            <w:tcBorders>
              <w:top w:val="single" w:color="auto" w:sz="4" w:space="0"/>
              <w:left w:val="nil"/>
              <w:bottom w:val="single" w:color="auto" w:sz="4" w:space="0"/>
              <w:right w:val="single" w:color="auto" w:sz="4" w:space="0"/>
            </w:tcBorders>
            <w:shd w:val="clear" w:color="auto" w:fill="auto"/>
            <w:vAlign w:val="center"/>
          </w:tcPr>
          <w:p w14:paraId="3BD91A9E">
            <w:pPr>
              <w:widowControl/>
              <w:jc w:val="center"/>
              <w:rPr>
                <w:rFonts w:asciiTheme="majorEastAsia" w:hAnsiTheme="majorEastAsia"/>
                <w:kern w:val="0"/>
                <w:sz w:val="24"/>
              </w:rPr>
            </w:pPr>
            <w:r>
              <w:rPr>
                <w:rFonts w:hint="eastAsia" w:asciiTheme="majorEastAsia" w:hAnsiTheme="majorEastAsia"/>
                <w:kern w:val="0"/>
                <w:sz w:val="24"/>
              </w:rPr>
              <w:t>服务费金额</w:t>
            </w:r>
          </w:p>
        </w:tc>
      </w:tr>
      <w:tr w14:paraId="4F68C07B">
        <w:tblPrEx>
          <w:tblCellMar>
            <w:top w:w="0" w:type="dxa"/>
            <w:left w:w="108" w:type="dxa"/>
            <w:bottom w:w="0" w:type="dxa"/>
            <w:right w:w="108" w:type="dxa"/>
          </w:tblCellMar>
        </w:tblPrEx>
        <w:trPr>
          <w:trHeight w:val="948"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5E822FB8">
            <w:pPr>
              <w:widowControl/>
              <w:jc w:val="center"/>
              <w:rPr>
                <w:rFonts w:asciiTheme="majorEastAsia" w:hAnsiTheme="majorEastAsia"/>
                <w:kern w:val="0"/>
                <w:sz w:val="24"/>
              </w:rPr>
            </w:pPr>
            <w:r>
              <w:rPr>
                <w:rFonts w:asciiTheme="majorEastAsia" w:hAnsiTheme="majorEastAsia"/>
                <w:kern w:val="0"/>
                <w:sz w:val="24"/>
              </w:rPr>
              <w:t>1</w:t>
            </w:r>
          </w:p>
        </w:tc>
        <w:tc>
          <w:tcPr>
            <w:tcW w:w="1400" w:type="dxa"/>
            <w:tcBorders>
              <w:top w:val="nil"/>
              <w:left w:val="nil"/>
              <w:bottom w:val="single" w:color="auto" w:sz="4" w:space="0"/>
              <w:right w:val="single" w:color="auto" w:sz="4" w:space="0"/>
            </w:tcBorders>
            <w:shd w:val="clear" w:color="auto" w:fill="auto"/>
            <w:vAlign w:val="center"/>
          </w:tcPr>
          <w:p w14:paraId="7B500037">
            <w:pPr>
              <w:widowControl/>
              <w:jc w:val="center"/>
              <w:rPr>
                <w:rFonts w:asciiTheme="majorEastAsia" w:hAnsiTheme="majorEastAsia"/>
                <w:kern w:val="0"/>
                <w:sz w:val="24"/>
              </w:rPr>
            </w:pPr>
            <w:r>
              <w:rPr>
                <w:rFonts w:hint="eastAsia" w:asciiTheme="majorEastAsia" w:hAnsiTheme="majorEastAsia"/>
                <w:kern w:val="0"/>
                <w:sz w:val="24"/>
              </w:rPr>
              <w:t>预付款</w:t>
            </w:r>
          </w:p>
        </w:tc>
        <w:tc>
          <w:tcPr>
            <w:tcW w:w="3260" w:type="dxa"/>
            <w:tcBorders>
              <w:top w:val="nil"/>
              <w:left w:val="nil"/>
              <w:bottom w:val="single" w:color="auto" w:sz="4" w:space="0"/>
              <w:right w:val="single" w:color="auto" w:sz="4" w:space="0"/>
            </w:tcBorders>
            <w:shd w:val="clear" w:color="auto" w:fill="auto"/>
            <w:vAlign w:val="center"/>
          </w:tcPr>
          <w:p w14:paraId="1C33F6E6">
            <w:pPr>
              <w:widowControl/>
              <w:jc w:val="left"/>
              <w:rPr>
                <w:rFonts w:asciiTheme="majorEastAsia" w:hAnsiTheme="majorEastAsia"/>
                <w:kern w:val="0"/>
                <w:sz w:val="24"/>
              </w:rPr>
            </w:pPr>
            <w:r>
              <w:rPr>
                <w:rFonts w:hint="eastAsia" w:asciiTheme="majorEastAsia" w:hAnsiTheme="majorEastAsia"/>
                <w:kern w:val="0"/>
                <w:sz w:val="24"/>
              </w:rPr>
              <w:t>合同签订后，经承包人申请，经发包人审核同意后支付设计费预付款</w:t>
            </w:r>
          </w:p>
        </w:tc>
        <w:tc>
          <w:tcPr>
            <w:tcW w:w="1159" w:type="dxa"/>
            <w:tcBorders>
              <w:top w:val="nil"/>
              <w:left w:val="nil"/>
              <w:bottom w:val="single" w:color="auto" w:sz="4" w:space="0"/>
              <w:right w:val="single" w:color="auto" w:sz="4" w:space="0"/>
            </w:tcBorders>
            <w:shd w:val="clear" w:color="auto" w:fill="auto"/>
            <w:vAlign w:val="center"/>
          </w:tcPr>
          <w:p w14:paraId="785620DA">
            <w:pPr>
              <w:widowControl/>
              <w:jc w:val="center"/>
              <w:rPr>
                <w:rFonts w:asciiTheme="majorEastAsia" w:hAnsiTheme="majorEastAsia"/>
                <w:kern w:val="0"/>
                <w:sz w:val="24"/>
              </w:rPr>
            </w:pPr>
            <w:r>
              <w:rPr>
                <w:rFonts w:asciiTheme="majorEastAsia" w:hAnsiTheme="majorEastAsia"/>
                <w:kern w:val="0"/>
                <w:sz w:val="24"/>
              </w:rPr>
              <w:t>20%</w:t>
            </w:r>
          </w:p>
        </w:tc>
        <w:tc>
          <w:tcPr>
            <w:tcW w:w="2835" w:type="dxa"/>
            <w:tcBorders>
              <w:top w:val="nil"/>
              <w:left w:val="nil"/>
              <w:bottom w:val="single" w:color="auto" w:sz="4" w:space="0"/>
              <w:right w:val="single" w:color="auto" w:sz="4" w:space="0"/>
            </w:tcBorders>
            <w:shd w:val="clear" w:color="auto" w:fill="auto"/>
            <w:vAlign w:val="center"/>
          </w:tcPr>
          <w:p w14:paraId="23EDF31A">
            <w:pPr>
              <w:widowControl/>
              <w:jc w:val="left"/>
              <w:rPr>
                <w:rFonts w:asciiTheme="majorEastAsia" w:hAnsiTheme="majorEastAsia"/>
                <w:kern w:val="0"/>
                <w:sz w:val="24"/>
              </w:rPr>
            </w:pPr>
            <w:r>
              <w:rPr>
                <w:rFonts w:hint="eastAsia" w:asciiTheme="majorEastAsia" w:hAnsiTheme="majorEastAsia"/>
                <w:kern w:val="0"/>
                <w:sz w:val="24"/>
              </w:rPr>
              <w:t>　</w:t>
            </w:r>
          </w:p>
        </w:tc>
      </w:tr>
      <w:tr w14:paraId="15BE9911">
        <w:tblPrEx>
          <w:tblCellMar>
            <w:top w:w="0" w:type="dxa"/>
            <w:left w:w="108" w:type="dxa"/>
            <w:bottom w:w="0" w:type="dxa"/>
            <w:right w:w="108" w:type="dxa"/>
          </w:tblCellMar>
        </w:tblPrEx>
        <w:trPr>
          <w:trHeight w:val="930"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41785344">
            <w:pPr>
              <w:widowControl/>
              <w:jc w:val="center"/>
              <w:rPr>
                <w:rFonts w:asciiTheme="majorEastAsia" w:hAnsiTheme="majorEastAsia"/>
                <w:kern w:val="0"/>
                <w:sz w:val="24"/>
              </w:rPr>
            </w:pPr>
            <w:r>
              <w:rPr>
                <w:rFonts w:asciiTheme="majorEastAsia" w:hAnsiTheme="majorEastAsia"/>
                <w:kern w:val="0"/>
                <w:sz w:val="24"/>
              </w:rPr>
              <w:t>2</w:t>
            </w:r>
          </w:p>
        </w:tc>
        <w:tc>
          <w:tcPr>
            <w:tcW w:w="1400" w:type="dxa"/>
            <w:tcBorders>
              <w:top w:val="nil"/>
              <w:left w:val="nil"/>
              <w:bottom w:val="single" w:color="auto" w:sz="4" w:space="0"/>
              <w:right w:val="single" w:color="auto" w:sz="4" w:space="0"/>
            </w:tcBorders>
            <w:shd w:val="clear" w:color="auto" w:fill="auto"/>
            <w:vAlign w:val="center"/>
          </w:tcPr>
          <w:p w14:paraId="4290D297">
            <w:pPr>
              <w:widowControl/>
              <w:jc w:val="center"/>
              <w:rPr>
                <w:rFonts w:asciiTheme="majorEastAsia" w:hAnsiTheme="majorEastAsia"/>
                <w:kern w:val="0"/>
                <w:sz w:val="24"/>
              </w:rPr>
            </w:pPr>
            <w:r>
              <w:rPr>
                <w:rFonts w:hint="eastAsia" w:asciiTheme="majorEastAsia" w:hAnsiTheme="majorEastAsia"/>
                <w:kern w:val="0"/>
                <w:sz w:val="24"/>
              </w:rPr>
              <w:t>第二期</w:t>
            </w:r>
          </w:p>
        </w:tc>
        <w:tc>
          <w:tcPr>
            <w:tcW w:w="3260" w:type="dxa"/>
            <w:tcBorders>
              <w:top w:val="nil"/>
              <w:left w:val="nil"/>
              <w:bottom w:val="single" w:color="auto" w:sz="4" w:space="0"/>
              <w:right w:val="single" w:color="auto" w:sz="4" w:space="0"/>
            </w:tcBorders>
            <w:shd w:val="clear" w:color="auto" w:fill="auto"/>
            <w:vAlign w:val="center"/>
          </w:tcPr>
          <w:p w14:paraId="38BFEFCB">
            <w:pPr>
              <w:widowControl/>
              <w:jc w:val="left"/>
              <w:rPr>
                <w:rFonts w:asciiTheme="majorEastAsia" w:hAnsiTheme="majorEastAsia"/>
                <w:kern w:val="0"/>
                <w:sz w:val="24"/>
              </w:rPr>
            </w:pPr>
            <w:r>
              <w:rPr>
                <w:rFonts w:hint="eastAsia" w:ascii="宋体" w:hAnsi="宋体"/>
                <w:kern w:val="0"/>
                <w:sz w:val="24"/>
              </w:rPr>
              <w:t>承包人交付方案</w:t>
            </w:r>
            <w:r>
              <w:rPr>
                <w:rFonts w:hint="eastAsia" w:ascii="宋体" w:hAnsi="宋体"/>
                <w:kern w:val="0"/>
                <w:sz w:val="24"/>
                <w:lang w:val="en-US" w:eastAsia="zh-CN"/>
              </w:rPr>
              <w:t>深化成果</w:t>
            </w:r>
            <w:r>
              <w:rPr>
                <w:rFonts w:hint="eastAsia" w:ascii="宋体" w:hAnsi="宋体"/>
                <w:kern w:val="0"/>
                <w:sz w:val="24"/>
              </w:rPr>
              <w:t>并通过发包人审查最终确定后</w:t>
            </w:r>
          </w:p>
        </w:tc>
        <w:tc>
          <w:tcPr>
            <w:tcW w:w="1159" w:type="dxa"/>
            <w:tcBorders>
              <w:top w:val="nil"/>
              <w:left w:val="nil"/>
              <w:bottom w:val="single" w:color="auto" w:sz="4" w:space="0"/>
              <w:right w:val="single" w:color="auto" w:sz="4" w:space="0"/>
            </w:tcBorders>
            <w:shd w:val="clear" w:color="auto" w:fill="auto"/>
            <w:vAlign w:val="center"/>
          </w:tcPr>
          <w:p w14:paraId="4A16A0CF">
            <w:pPr>
              <w:widowControl/>
              <w:jc w:val="center"/>
              <w:rPr>
                <w:rFonts w:asciiTheme="majorEastAsia" w:hAnsiTheme="majorEastAsia"/>
                <w:kern w:val="0"/>
                <w:sz w:val="24"/>
              </w:rPr>
            </w:pPr>
            <w:r>
              <w:rPr>
                <w:rFonts w:asciiTheme="majorEastAsia" w:hAnsiTheme="majorEastAsia"/>
                <w:kern w:val="0"/>
                <w:sz w:val="24"/>
              </w:rPr>
              <w:t>15%</w:t>
            </w:r>
          </w:p>
        </w:tc>
        <w:tc>
          <w:tcPr>
            <w:tcW w:w="2835" w:type="dxa"/>
            <w:tcBorders>
              <w:top w:val="nil"/>
              <w:left w:val="nil"/>
              <w:bottom w:val="single" w:color="auto" w:sz="4" w:space="0"/>
              <w:right w:val="single" w:color="auto" w:sz="4" w:space="0"/>
            </w:tcBorders>
            <w:shd w:val="clear" w:color="auto" w:fill="auto"/>
            <w:vAlign w:val="center"/>
          </w:tcPr>
          <w:p w14:paraId="68D912D4">
            <w:pPr>
              <w:widowControl/>
              <w:jc w:val="left"/>
              <w:rPr>
                <w:rFonts w:asciiTheme="majorEastAsia" w:hAnsiTheme="majorEastAsia"/>
                <w:kern w:val="0"/>
                <w:sz w:val="24"/>
              </w:rPr>
            </w:pPr>
            <w:r>
              <w:rPr>
                <w:rFonts w:hint="eastAsia" w:asciiTheme="majorEastAsia" w:hAnsiTheme="majorEastAsia"/>
                <w:kern w:val="0"/>
                <w:sz w:val="24"/>
              </w:rPr>
              <w:t>　</w:t>
            </w:r>
          </w:p>
        </w:tc>
      </w:tr>
      <w:tr w14:paraId="74B9068F">
        <w:tblPrEx>
          <w:tblCellMar>
            <w:top w:w="0" w:type="dxa"/>
            <w:left w:w="108" w:type="dxa"/>
            <w:bottom w:w="0" w:type="dxa"/>
            <w:right w:w="108" w:type="dxa"/>
          </w:tblCellMar>
        </w:tblPrEx>
        <w:trPr>
          <w:trHeight w:val="921"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7A4BAB8E">
            <w:pPr>
              <w:widowControl/>
              <w:jc w:val="center"/>
              <w:rPr>
                <w:rFonts w:asciiTheme="majorEastAsia" w:hAnsiTheme="majorEastAsia"/>
                <w:kern w:val="0"/>
                <w:sz w:val="24"/>
              </w:rPr>
            </w:pPr>
            <w:r>
              <w:rPr>
                <w:rFonts w:asciiTheme="majorEastAsia" w:hAnsiTheme="majorEastAsia"/>
                <w:kern w:val="0"/>
                <w:sz w:val="24"/>
              </w:rPr>
              <w:t>3</w:t>
            </w:r>
          </w:p>
        </w:tc>
        <w:tc>
          <w:tcPr>
            <w:tcW w:w="1400" w:type="dxa"/>
            <w:tcBorders>
              <w:top w:val="nil"/>
              <w:left w:val="nil"/>
              <w:bottom w:val="single" w:color="auto" w:sz="4" w:space="0"/>
              <w:right w:val="single" w:color="auto" w:sz="4" w:space="0"/>
            </w:tcBorders>
            <w:shd w:val="clear" w:color="auto" w:fill="auto"/>
            <w:vAlign w:val="center"/>
          </w:tcPr>
          <w:p w14:paraId="49058351">
            <w:pPr>
              <w:widowControl/>
              <w:jc w:val="center"/>
              <w:rPr>
                <w:rFonts w:asciiTheme="majorEastAsia" w:hAnsiTheme="majorEastAsia"/>
                <w:kern w:val="0"/>
                <w:sz w:val="24"/>
              </w:rPr>
            </w:pPr>
            <w:r>
              <w:rPr>
                <w:rFonts w:hint="eastAsia" w:asciiTheme="majorEastAsia" w:hAnsiTheme="majorEastAsia"/>
                <w:kern w:val="0"/>
                <w:sz w:val="24"/>
              </w:rPr>
              <w:t>第三期</w:t>
            </w:r>
          </w:p>
        </w:tc>
        <w:tc>
          <w:tcPr>
            <w:tcW w:w="3260" w:type="dxa"/>
            <w:tcBorders>
              <w:top w:val="nil"/>
              <w:left w:val="nil"/>
              <w:bottom w:val="single" w:color="auto" w:sz="4" w:space="0"/>
              <w:right w:val="single" w:color="auto" w:sz="4" w:space="0"/>
            </w:tcBorders>
            <w:shd w:val="clear" w:color="auto" w:fill="auto"/>
            <w:vAlign w:val="center"/>
          </w:tcPr>
          <w:p w14:paraId="7CAF64C3">
            <w:pPr>
              <w:widowControl/>
              <w:jc w:val="left"/>
              <w:rPr>
                <w:rFonts w:asciiTheme="majorEastAsia" w:hAnsiTheme="majorEastAsia"/>
                <w:kern w:val="0"/>
                <w:sz w:val="24"/>
              </w:rPr>
            </w:pPr>
            <w:r>
              <w:rPr>
                <w:rFonts w:hint="eastAsia" w:ascii="宋体" w:hAnsi="宋体"/>
                <w:kern w:val="0"/>
                <w:sz w:val="24"/>
              </w:rPr>
              <w:t>承包人配合发包人完成</w:t>
            </w:r>
            <w:r>
              <w:rPr>
                <w:rFonts w:hint="eastAsia" w:ascii="宋体" w:hAnsi="宋体"/>
                <w:kern w:val="0"/>
                <w:sz w:val="24"/>
                <w:lang w:val="en-US" w:eastAsia="zh-CN"/>
              </w:rPr>
              <w:t>提交</w:t>
            </w:r>
            <w:r>
              <w:rPr>
                <w:rFonts w:hint="eastAsia" w:ascii="宋体" w:hAnsi="宋体"/>
                <w:kern w:val="0"/>
                <w:sz w:val="24"/>
              </w:rPr>
              <w:t>报建</w:t>
            </w:r>
            <w:r>
              <w:rPr>
                <w:rFonts w:hint="eastAsia" w:ascii="宋体" w:hAnsi="宋体"/>
                <w:kern w:val="0"/>
                <w:sz w:val="24"/>
                <w:lang w:val="en-US" w:eastAsia="zh-CN"/>
              </w:rPr>
              <w:t>资料，并通过报建</w:t>
            </w:r>
            <w:r>
              <w:rPr>
                <w:rFonts w:hint="eastAsia" w:ascii="宋体" w:hAnsi="宋体"/>
                <w:kern w:val="0"/>
                <w:sz w:val="24"/>
              </w:rPr>
              <w:t>工作</w:t>
            </w:r>
          </w:p>
        </w:tc>
        <w:tc>
          <w:tcPr>
            <w:tcW w:w="1159" w:type="dxa"/>
            <w:tcBorders>
              <w:top w:val="nil"/>
              <w:left w:val="nil"/>
              <w:bottom w:val="single" w:color="auto" w:sz="4" w:space="0"/>
              <w:right w:val="single" w:color="auto" w:sz="4" w:space="0"/>
            </w:tcBorders>
            <w:shd w:val="clear" w:color="auto" w:fill="auto"/>
            <w:vAlign w:val="center"/>
          </w:tcPr>
          <w:p w14:paraId="1D015D45">
            <w:pPr>
              <w:widowControl/>
              <w:jc w:val="center"/>
              <w:rPr>
                <w:rFonts w:asciiTheme="majorEastAsia" w:hAnsiTheme="majorEastAsia"/>
                <w:kern w:val="0"/>
                <w:sz w:val="24"/>
              </w:rPr>
            </w:pPr>
            <w:r>
              <w:rPr>
                <w:rFonts w:asciiTheme="majorEastAsia" w:hAnsiTheme="majorEastAsia"/>
                <w:kern w:val="0"/>
                <w:sz w:val="24"/>
              </w:rPr>
              <w:t>15%</w:t>
            </w:r>
          </w:p>
        </w:tc>
        <w:tc>
          <w:tcPr>
            <w:tcW w:w="2835" w:type="dxa"/>
            <w:tcBorders>
              <w:top w:val="nil"/>
              <w:left w:val="nil"/>
              <w:bottom w:val="single" w:color="auto" w:sz="4" w:space="0"/>
              <w:right w:val="single" w:color="auto" w:sz="4" w:space="0"/>
            </w:tcBorders>
            <w:shd w:val="clear" w:color="auto" w:fill="auto"/>
            <w:vAlign w:val="center"/>
          </w:tcPr>
          <w:p w14:paraId="003486E9">
            <w:pPr>
              <w:widowControl/>
              <w:jc w:val="left"/>
              <w:rPr>
                <w:rFonts w:asciiTheme="majorEastAsia" w:hAnsiTheme="majorEastAsia"/>
                <w:kern w:val="0"/>
                <w:sz w:val="24"/>
              </w:rPr>
            </w:pPr>
            <w:r>
              <w:rPr>
                <w:rFonts w:hint="eastAsia" w:asciiTheme="majorEastAsia" w:hAnsiTheme="majorEastAsia"/>
                <w:kern w:val="0"/>
                <w:sz w:val="24"/>
              </w:rPr>
              <w:t>　</w:t>
            </w:r>
          </w:p>
        </w:tc>
      </w:tr>
      <w:tr w14:paraId="3E28B9FB">
        <w:tblPrEx>
          <w:tblCellMar>
            <w:top w:w="0" w:type="dxa"/>
            <w:left w:w="108" w:type="dxa"/>
            <w:bottom w:w="0" w:type="dxa"/>
            <w:right w:w="108" w:type="dxa"/>
          </w:tblCellMar>
        </w:tblPrEx>
        <w:trPr>
          <w:trHeight w:val="705"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00713C52">
            <w:pPr>
              <w:widowControl/>
              <w:jc w:val="center"/>
              <w:rPr>
                <w:rFonts w:asciiTheme="majorEastAsia" w:hAnsiTheme="majorEastAsia"/>
                <w:kern w:val="0"/>
                <w:sz w:val="24"/>
              </w:rPr>
            </w:pPr>
            <w:r>
              <w:rPr>
                <w:rFonts w:asciiTheme="majorEastAsia" w:hAnsiTheme="majorEastAsia"/>
                <w:kern w:val="0"/>
                <w:sz w:val="24"/>
              </w:rPr>
              <w:t>6</w:t>
            </w:r>
          </w:p>
        </w:tc>
        <w:tc>
          <w:tcPr>
            <w:tcW w:w="1400" w:type="dxa"/>
            <w:tcBorders>
              <w:top w:val="nil"/>
              <w:left w:val="nil"/>
              <w:bottom w:val="single" w:color="auto" w:sz="4" w:space="0"/>
              <w:right w:val="single" w:color="auto" w:sz="4" w:space="0"/>
            </w:tcBorders>
            <w:shd w:val="clear" w:color="auto" w:fill="auto"/>
            <w:vAlign w:val="center"/>
          </w:tcPr>
          <w:p w14:paraId="2B4111DC">
            <w:pPr>
              <w:widowControl/>
              <w:jc w:val="center"/>
              <w:rPr>
                <w:rFonts w:asciiTheme="majorEastAsia" w:hAnsiTheme="majorEastAsia"/>
                <w:kern w:val="0"/>
                <w:sz w:val="24"/>
              </w:rPr>
            </w:pPr>
            <w:r>
              <w:rPr>
                <w:rFonts w:hint="eastAsia" w:asciiTheme="majorEastAsia" w:hAnsiTheme="majorEastAsia"/>
                <w:kern w:val="0"/>
                <w:sz w:val="24"/>
              </w:rPr>
              <w:t>第</w:t>
            </w:r>
            <w:r>
              <w:rPr>
                <w:rFonts w:hint="eastAsia" w:asciiTheme="majorEastAsia" w:hAnsiTheme="majorEastAsia"/>
                <w:kern w:val="0"/>
                <w:sz w:val="24"/>
                <w:lang w:val="en-US" w:eastAsia="zh-CN"/>
              </w:rPr>
              <w:t>四</w:t>
            </w:r>
            <w:r>
              <w:rPr>
                <w:rFonts w:hint="eastAsia" w:asciiTheme="majorEastAsia" w:hAnsiTheme="majorEastAsia"/>
                <w:kern w:val="0"/>
                <w:sz w:val="24"/>
              </w:rPr>
              <w:t>期</w:t>
            </w:r>
          </w:p>
        </w:tc>
        <w:tc>
          <w:tcPr>
            <w:tcW w:w="3260" w:type="dxa"/>
            <w:tcBorders>
              <w:top w:val="nil"/>
              <w:left w:val="nil"/>
              <w:bottom w:val="single" w:color="auto" w:sz="4" w:space="0"/>
              <w:right w:val="single" w:color="auto" w:sz="4" w:space="0"/>
            </w:tcBorders>
            <w:shd w:val="clear" w:color="auto" w:fill="auto"/>
            <w:vAlign w:val="center"/>
          </w:tcPr>
          <w:p w14:paraId="5D5334DE">
            <w:pPr>
              <w:widowControl/>
              <w:jc w:val="left"/>
              <w:rPr>
                <w:rFonts w:asciiTheme="majorEastAsia" w:hAnsiTheme="majorEastAsia"/>
                <w:kern w:val="0"/>
                <w:sz w:val="24"/>
              </w:rPr>
            </w:pPr>
            <w:r>
              <w:rPr>
                <w:rFonts w:hint="eastAsia" w:ascii="宋体" w:hAnsi="宋体"/>
                <w:kern w:val="0"/>
                <w:sz w:val="24"/>
              </w:rPr>
              <w:t>承包人完成</w:t>
            </w:r>
            <w:r>
              <w:rPr>
                <w:rFonts w:hint="eastAsia" w:ascii="宋体" w:hAnsi="宋体"/>
                <w:kern w:val="0"/>
                <w:sz w:val="24"/>
                <w:lang w:val="en-US" w:eastAsia="zh-CN"/>
              </w:rPr>
              <w:t>需</w:t>
            </w:r>
            <w:r>
              <w:rPr>
                <w:rFonts w:hint="eastAsia" w:ascii="宋体" w:hAnsi="宋体"/>
                <w:kern w:val="0"/>
                <w:sz w:val="24"/>
              </w:rPr>
              <w:t>审查备案的施工图设计文件，并经发包人审核同意后</w:t>
            </w:r>
          </w:p>
        </w:tc>
        <w:tc>
          <w:tcPr>
            <w:tcW w:w="1159" w:type="dxa"/>
            <w:tcBorders>
              <w:top w:val="nil"/>
              <w:left w:val="nil"/>
              <w:bottom w:val="single" w:color="auto" w:sz="4" w:space="0"/>
              <w:right w:val="single" w:color="auto" w:sz="4" w:space="0"/>
            </w:tcBorders>
            <w:shd w:val="clear" w:color="auto" w:fill="auto"/>
            <w:vAlign w:val="center"/>
          </w:tcPr>
          <w:p w14:paraId="2D357F35">
            <w:pPr>
              <w:widowControl/>
              <w:jc w:val="center"/>
              <w:rPr>
                <w:rFonts w:asciiTheme="majorEastAsia" w:hAnsiTheme="majorEastAsia"/>
                <w:kern w:val="0"/>
                <w:sz w:val="24"/>
              </w:rPr>
            </w:pPr>
            <w:r>
              <w:rPr>
                <w:rFonts w:asciiTheme="majorEastAsia" w:hAnsiTheme="majorEastAsia"/>
                <w:kern w:val="0"/>
                <w:sz w:val="24"/>
              </w:rPr>
              <w:t>1</w:t>
            </w:r>
            <w:r>
              <w:rPr>
                <w:rFonts w:hint="eastAsia" w:asciiTheme="majorEastAsia" w:hAnsiTheme="majorEastAsia"/>
                <w:kern w:val="0"/>
                <w:sz w:val="24"/>
                <w:lang w:val="en-US" w:eastAsia="zh-CN"/>
              </w:rPr>
              <w:t>5</w:t>
            </w:r>
            <w:r>
              <w:rPr>
                <w:rFonts w:asciiTheme="majorEastAsia" w:hAnsiTheme="majorEastAsia"/>
                <w:kern w:val="0"/>
                <w:sz w:val="24"/>
              </w:rPr>
              <w:t>%</w:t>
            </w:r>
          </w:p>
        </w:tc>
        <w:tc>
          <w:tcPr>
            <w:tcW w:w="2835" w:type="dxa"/>
            <w:tcBorders>
              <w:top w:val="nil"/>
              <w:left w:val="nil"/>
              <w:bottom w:val="single" w:color="auto" w:sz="4" w:space="0"/>
              <w:right w:val="single" w:color="auto" w:sz="4" w:space="0"/>
            </w:tcBorders>
            <w:shd w:val="clear" w:color="auto" w:fill="auto"/>
            <w:vAlign w:val="center"/>
          </w:tcPr>
          <w:p w14:paraId="3EBA174B">
            <w:pPr>
              <w:widowControl/>
              <w:jc w:val="left"/>
              <w:rPr>
                <w:rFonts w:asciiTheme="majorEastAsia" w:hAnsiTheme="majorEastAsia"/>
                <w:kern w:val="0"/>
                <w:sz w:val="24"/>
              </w:rPr>
            </w:pPr>
            <w:r>
              <w:rPr>
                <w:rFonts w:hint="eastAsia" w:asciiTheme="majorEastAsia" w:hAnsiTheme="majorEastAsia"/>
                <w:kern w:val="0"/>
                <w:sz w:val="24"/>
              </w:rPr>
              <w:t>　</w:t>
            </w:r>
          </w:p>
        </w:tc>
      </w:tr>
      <w:tr w14:paraId="56497F89">
        <w:tblPrEx>
          <w:tblCellMar>
            <w:top w:w="0" w:type="dxa"/>
            <w:left w:w="108" w:type="dxa"/>
            <w:bottom w:w="0" w:type="dxa"/>
            <w:right w:w="108" w:type="dxa"/>
          </w:tblCellMar>
        </w:tblPrEx>
        <w:trPr>
          <w:trHeight w:val="705"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1C73E1CC">
            <w:pPr>
              <w:widowControl/>
              <w:jc w:val="center"/>
              <w:rPr>
                <w:rFonts w:asciiTheme="majorEastAsia" w:hAnsiTheme="majorEastAsia"/>
                <w:kern w:val="0"/>
                <w:sz w:val="24"/>
              </w:rPr>
            </w:pPr>
            <w:r>
              <w:rPr>
                <w:rFonts w:asciiTheme="majorEastAsia" w:hAnsiTheme="majorEastAsia"/>
                <w:kern w:val="0"/>
                <w:sz w:val="24"/>
              </w:rPr>
              <w:t>7</w:t>
            </w:r>
          </w:p>
        </w:tc>
        <w:tc>
          <w:tcPr>
            <w:tcW w:w="1400" w:type="dxa"/>
            <w:tcBorders>
              <w:top w:val="nil"/>
              <w:left w:val="nil"/>
              <w:bottom w:val="single" w:color="auto" w:sz="4" w:space="0"/>
              <w:right w:val="single" w:color="auto" w:sz="4" w:space="0"/>
            </w:tcBorders>
            <w:shd w:val="clear" w:color="auto" w:fill="auto"/>
            <w:vAlign w:val="center"/>
          </w:tcPr>
          <w:p w14:paraId="6E3EE3C6">
            <w:pPr>
              <w:widowControl/>
              <w:jc w:val="center"/>
              <w:rPr>
                <w:rFonts w:asciiTheme="majorEastAsia" w:hAnsiTheme="majorEastAsia"/>
                <w:kern w:val="0"/>
                <w:sz w:val="24"/>
              </w:rPr>
            </w:pPr>
            <w:r>
              <w:rPr>
                <w:rFonts w:hint="eastAsia" w:asciiTheme="majorEastAsia" w:hAnsiTheme="majorEastAsia"/>
                <w:kern w:val="0"/>
                <w:sz w:val="24"/>
              </w:rPr>
              <w:t>第</w:t>
            </w:r>
            <w:r>
              <w:rPr>
                <w:rFonts w:hint="eastAsia" w:asciiTheme="majorEastAsia" w:hAnsiTheme="majorEastAsia"/>
                <w:kern w:val="0"/>
                <w:sz w:val="24"/>
                <w:lang w:val="en-US" w:eastAsia="zh-CN"/>
              </w:rPr>
              <w:t>五</w:t>
            </w:r>
            <w:r>
              <w:rPr>
                <w:rFonts w:hint="eastAsia" w:asciiTheme="majorEastAsia" w:hAnsiTheme="majorEastAsia"/>
                <w:kern w:val="0"/>
                <w:sz w:val="24"/>
              </w:rPr>
              <w:t>期</w:t>
            </w:r>
          </w:p>
        </w:tc>
        <w:tc>
          <w:tcPr>
            <w:tcW w:w="3260" w:type="dxa"/>
            <w:tcBorders>
              <w:top w:val="nil"/>
              <w:left w:val="nil"/>
              <w:bottom w:val="single" w:color="auto" w:sz="4" w:space="0"/>
              <w:right w:val="single" w:color="auto" w:sz="4" w:space="0"/>
            </w:tcBorders>
            <w:shd w:val="clear" w:color="auto" w:fill="auto"/>
            <w:vAlign w:val="center"/>
          </w:tcPr>
          <w:p w14:paraId="04BDC2BB">
            <w:pPr>
              <w:widowControl/>
              <w:jc w:val="left"/>
              <w:rPr>
                <w:rFonts w:asciiTheme="majorEastAsia" w:hAnsiTheme="majorEastAsia"/>
                <w:kern w:val="0"/>
                <w:sz w:val="24"/>
              </w:rPr>
            </w:pPr>
            <w:r>
              <w:rPr>
                <w:rFonts w:hint="eastAsia" w:ascii="宋体" w:hAnsi="宋体"/>
                <w:kern w:val="0"/>
                <w:sz w:val="24"/>
              </w:rPr>
              <w:t>承包人完成全套施工图审查备案的施工图设计文件，并经发包人审核同意后</w:t>
            </w:r>
          </w:p>
        </w:tc>
        <w:tc>
          <w:tcPr>
            <w:tcW w:w="1159" w:type="dxa"/>
            <w:tcBorders>
              <w:top w:val="nil"/>
              <w:left w:val="nil"/>
              <w:bottom w:val="nil"/>
              <w:right w:val="single" w:color="auto" w:sz="4" w:space="0"/>
            </w:tcBorders>
            <w:shd w:val="clear" w:color="auto" w:fill="auto"/>
            <w:vAlign w:val="center"/>
          </w:tcPr>
          <w:p w14:paraId="05228F18">
            <w:pPr>
              <w:widowControl/>
              <w:jc w:val="center"/>
              <w:rPr>
                <w:rFonts w:asciiTheme="majorEastAsia" w:hAnsiTheme="majorEastAsia"/>
                <w:kern w:val="0"/>
                <w:sz w:val="24"/>
              </w:rPr>
            </w:pPr>
            <w:r>
              <w:rPr>
                <w:rFonts w:hint="eastAsia" w:asciiTheme="majorEastAsia" w:hAnsiTheme="majorEastAsia"/>
                <w:kern w:val="0"/>
                <w:sz w:val="24"/>
                <w:lang w:val="en-US" w:eastAsia="zh-CN"/>
              </w:rPr>
              <w:t>25</w:t>
            </w:r>
            <w:r>
              <w:rPr>
                <w:rFonts w:asciiTheme="majorEastAsia" w:hAnsiTheme="majorEastAsia"/>
                <w:kern w:val="0"/>
                <w:sz w:val="24"/>
              </w:rPr>
              <w:t>%</w:t>
            </w:r>
          </w:p>
        </w:tc>
        <w:tc>
          <w:tcPr>
            <w:tcW w:w="2835" w:type="dxa"/>
            <w:tcBorders>
              <w:top w:val="nil"/>
              <w:left w:val="nil"/>
              <w:bottom w:val="single" w:color="auto" w:sz="4" w:space="0"/>
              <w:right w:val="single" w:color="auto" w:sz="4" w:space="0"/>
            </w:tcBorders>
            <w:shd w:val="clear" w:color="auto" w:fill="auto"/>
            <w:vAlign w:val="center"/>
          </w:tcPr>
          <w:p w14:paraId="723C0407">
            <w:pPr>
              <w:widowControl/>
              <w:jc w:val="left"/>
              <w:rPr>
                <w:rFonts w:asciiTheme="majorEastAsia" w:hAnsiTheme="majorEastAsia"/>
                <w:kern w:val="0"/>
                <w:sz w:val="24"/>
              </w:rPr>
            </w:pPr>
            <w:r>
              <w:rPr>
                <w:rFonts w:hint="eastAsia" w:asciiTheme="majorEastAsia" w:hAnsiTheme="majorEastAsia"/>
                <w:kern w:val="0"/>
                <w:sz w:val="24"/>
              </w:rPr>
              <w:t>　</w:t>
            </w:r>
          </w:p>
        </w:tc>
      </w:tr>
      <w:tr w14:paraId="442D821D">
        <w:tblPrEx>
          <w:tblCellMar>
            <w:top w:w="0" w:type="dxa"/>
            <w:left w:w="108" w:type="dxa"/>
            <w:bottom w:w="0" w:type="dxa"/>
            <w:right w:w="108" w:type="dxa"/>
          </w:tblCellMar>
        </w:tblPrEx>
        <w:trPr>
          <w:trHeight w:val="1320"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3EE86A38">
            <w:pPr>
              <w:widowControl/>
              <w:jc w:val="center"/>
              <w:rPr>
                <w:rFonts w:asciiTheme="majorEastAsia" w:hAnsiTheme="majorEastAsia"/>
                <w:kern w:val="0"/>
                <w:sz w:val="24"/>
              </w:rPr>
            </w:pPr>
            <w:r>
              <w:rPr>
                <w:rFonts w:asciiTheme="majorEastAsia" w:hAnsiTheme="majorEastAsia"/>
                <w:kern w:val="0"/>
                <w:sz w:val="24"/>
              </w:rPr>
              <w:t>9</w:t>
            </w:r>
          </w:p>
        </w:tc>
        <w:tc>
          <w:tcPr>
            <w:tcW w:w="1400" w:type="dxa"/>
            <w:tcBorders>
              <w:top w:val="single" w:color="auto" w:sz="4" w:space="0"/>
              <w:left w:val="nil"/>
              <w:bottom w:val="single" w:color="auto" w:sz="4" w:space="0"/>
              <w:right w:val="single" w:color="auto" w:sz="4" w:space="0"/>
            </w:tcBorders>
            <w:shd w:val="clear" w:color="auto" w:fill="auto"/>
            <w:vAlign w:val="center"/>
          </w:tcPr>
          <w:p w14:paraId="13519569">
            <w:pPr>
              <w:widowControl/>
              <w:jc w:val="center"/>
              <w:rPr>
                <w:rFonts w:asciiTheme="majorEastAsia" w:hAnsiTheme="majorEastAsia"/>
                <w:kern w:val="0"/>
                <w:sz w:val="24"/>
              </w:rPr>
            </w:pPr>
            <w:r>
              <w:rPr>
                <w:rFonts w:hint="eastAsia" w:asciiTheme="majorEastAsia" w:hAnsiTheme="majorEastAsia"/>
                <w:kern w:val="0"/>
                <w:sz w:val="24"/>
              </w:rPr>
              <w:t>第</w:t>
            </w:r>
            <w:r>
              <w:rPr>
                <w:rFonts w:hint="eastAsia" w:asciiTheme="majorEastAsia" w:hAnsiTheme="majorEastAsia"/>
                <w:kern w:val="0"/>
                <w:sz w:val="24"/>
                <w:lang w:val="en-US" w:eastAsia="zh-CN"/>
              </w:rPr>
              <w:t>六</w:t>
            </w:r>
            <w:r>
              <w:rPr>
                <w:rFonts w:hint="eastAsia" w:asciiTheme="majorEastAsia" w:hAnsiTheme="majorEastAsia"/>
                <w:kern w:val="0"/>
                <w:sz w:val="24"/>
              </w:rPr>
              <w:t>期</w:t>
            </w:r>
          </w:p>
        </w:tc>
        <w:tc>
          <w:tcPr>
            <w:tcW w:w="3260" w:type="dxa"/>
            <w:tcBorders>
              <w:top w:val="nil"/>
              <w:left w:val="nil"/>
              <w:bottom w:val="single" w:color="auto" w:sz="4" w:space="0"/>
              <w:right w:val="single" w:color="auto" w:sz="4" w:space="0"/>
            </w:tcBorders>
            <w:shd w:val="clear" w:color="auto" w:fill="auto"/>
            <w:vAlign w:val="center"/>
          </w:tcPr>
          <w:p w14:paraId="684B6B5D">
            <w:pPr>
              <w:widowControl/>
              <w:jc w:val="left"/>
              <w:rPr>
                <w:rFonts w:asciiTheme="majorEastAsia" w:hAnsiTheme="majorEastAsia"/>
                <w:kern w:val="0"/>
                <w:sz w:val="24"/>
              </w:rPr>
            </w:pPr>
            <w:r>
              <w:rPr>
                <w:rFonts w:hint="eastAsia" w:asciiTheme="majorEastAsia" w:hAnsiTheme="majorEastAsia"/>
                <w:kern w:val="0"/>
                <w:sz w:val="24"/>
              </w:rPr>
              <w:t>本合同范围内所有施工项目竣工验收合格</w:t>
            </w:r>
          </w:p>
        </w:tc>
        <w:tc>
          <w:tcPr>
            <w:tcW w:w="1159" w:type="dxa"/>
            <w:tcBorders>
              <w:top w:val="single" w:color="auto" w:sz="4" w:space="0"/>
              <w:left w:val="nil"/>
              <w:bottom w:val="single" w:color="auto" w:sz="4" w:space="0"/>
              <w:right w:val="single" w:color="auto" w:sz="4" w:space="0"/>
            </w:tcBorders>
            <w:shd w:val="clear" w:color="auto" w:fill="auto"/>
            <w:vAlign w:val="center"/>
          </w:tcPr>
          <w:p w14:paraId="4EFE23D8">
            <w:pPr>
              <w:widowControl/>
              <w:jc w:val="center"/>
              <w:rPr>
                <w:rFonts w:asciiTheme="majorEastAsia" w:hAnsiTheme="majorEastAsia"/>
                <w:kern w:val="0"/>
                <w:sz w:val="24"/>
              </w:rPr>
            </w:pPr>
            <w:r>
              <w:rPr>
                <w:rFonts w:hint="eastAsia" w:asciiTheme="majorEastAsia" w:hAnsiTheme="majorEastAsia"/>
                <w:kern w:val="0"/>
                <w:sz w:val="24"/>
                <w:lang w:val="en-US" w:eastAsia="zh-CN"/>
              </w:rPr>
              <w:t>7</w:t>
            </w:r>
            <w:r>
              <w:rPr>
                <w:rFonts w:asciiTheme="majorEastAsia" w:hAnsiTheme="majorEastAsia"/>
                <w:kern w:val="0"/>
                <w:sz w:val="24"/>
              </w:rPr>
              <w:t>%</w:t>
            </w:r>
          </w:p>
        </w:tc>
        <w:tc>
          <w:tcPr>
            <w:tcW w:w="2835" w:type="dxa"/>
            <w:tcBorders>
              <w:top w:val="nil"/>
              <w:left w:val="nil"/>
              <w:bottom w:val="single" w:color="auto" w:sz="4" w:space="0"/>
              <w:right w:val="single" w:color="auto" w:sz="4" w:space="0"/>
            </w:tcBorders>
            <w:shd w:val="clear" w:color="auto" w:fill="auto"/>
            <w:vAlign w:val="center"/>
          </w:tcPr>
          <w:p w14:paraId="01ACA7FB">
            <w:pPr>
              <w:widowControl/>
              <w:jc w:val="left"/>
              <w:rPr>
                <w:rFonts w:asciiTheme="majorEastAsia" w:hAnsiTheme="majorEastAsia"/>
                <w:kern w:val="0"/>
                <w:sz w:val="24"/>
              </w:rPr>
            </w:pPr>
            <w:r>
              <w:rPr>
                <w:rFonts w:hint="eastAsia" w:asciiTheme="majorEastAsia" w:hAnsiTheme="majorEastAsia"/>
                <w:kern w:val="0"/>
                <w:sz w:val="24"/>
              </w:rPr>
              <w:t>　</w:t>
            </w:r>
          </w:p>
        </w:tc>
      </w:tr>
      <w:tr w14:paraId="79C3A0B6">
        <w:tblPrEx>
          <w:tblCellMar>
            <w:top w:w="0" w:type="dxa"/>
            <w:left w:w="108" w:type="dxa"/>
            <w:bottom w:w="0" w:type="dxa"/>
            <w:right w:w="108" w:type="dxa"/>
          </w:tblCellMar>
        </w:tblPrEx>
        <w:trPr>
          <w:trHeight w:val="690"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57DEC5C5">
            <w:pPr>
              <w:widowControl/>
              <w:jc w:val="center"/>
              <w:rPr>
                <w:rFonts w:asciiTheme="majorEastAsia" w:hAnsiTheme="majorEastAsia"/>
                <w:kern w:val="0"/>
                <w:sz w:val="24"/>
              </w:rPr>
            </w:pPr>
            <w:r>
              <w:rPr>
                <w:rFonts w:asciiTheme="majorEastAsia" w:hAnsiTheme="majorEastAsia"/>
                <w:kern w:val="0"/>
                <w:sz w:val="24"/>
              </w:rPr>
              <w:t>10</w:t>
            </w:r>
          </w:p>
        </w:tc>
        <w:tc>
          <w:tcPr>
            <w:tcW w:w="1400" w:type="dxa"/>
            <w:tcBorders>
              <w:top w:val="nil"/>
              <w:left w:val="nil"/>
              <w:bottom w:val="single" w:color="auto" w:sz="4" w:space="0"/>
              <w:right w:val="single" w:color="auto" w:sz="4" w:space="0"/>
            </w:tcBorders>
            <w:shd w:val="clear" w:color="auto" w:fill="auto"/>
            <w:vAlign w:val="center"/>
          </w:tcPr>
          <w:p w14:paraId="7AEFBC5C">
            <w:pPr>
              <w:widowControl/>
              <w:jc w:val="center"/>
              <w:rPr>
                <w:rFonts w:asciiTheme="majorEastAsia" w:hAnsiTheme="majorEastAsia"/>
                <w:kern w:val="0"/>
                <w:sz w:val="24"/>
              </w:rPr>
            </w:pPr>
            <w:r>
              <w:rPr>
                <w:rFonts w:hint="eastAsia" w:asciiTheme="majorEastAsia" w:hAnsiTheme="majorEastAsia"/>
                <w:kern w:val="0"/>
                <w:sz w:val="24"/>
              </w:rPr>
              <w:t>第</w:t>
            </w:r>
            <w:r>
              <w:rPr>
                <w:rFonts w:hint="eastAsia" w:asciiTheme="majorEastAsia" w:hAnsiTheme="majorEastAsia"/>
                <w:kern w:val="0"/>
                <w:sz w:val="24"/>
                <w:lang w:val="en-US" w:eastAsia="zh-CN"/>
              </w:rPr>
              <w:t>七</w:t>
            </w:r>
            <w:r>
              <w:rPr>
                <w:rFonts w:hint="eastAsia" w:asciiTheme="majorEastAsia" w:hAnsiTheme="majorEastAsia"/>
                <w:kern w:val="0"/>
                <w:sz w:val="24"/>
              </w:rPr>
              <w:t>期</w:t>
            </w:r>
          </w:p>
        </w:tc>
        <w:tc>
          <w:tcPr>
            <w:tcW w:w="3260" w:type="dxa"/>
            <w:tcBorders>
              <w:top w:val="nil"/>
              <w:left w:val="nil"/>
              <w:bottom w:val="single" w:color="auto" w:sz="4" w:space="0"/>
              <w:right w:val="single" w:color="auto" w:sz="4" w:space="0"/>
            </w:tcBorders>
            <w:shd w:val="clear" w:color="auto" w:fill="auto"/>
            <w:vAlign w:val="center"/>
          </w:tcPr>
          <w:p w14:paraId="367682B9">
            <w:pPr>
              <w:widowControl/>
              <w:jc w:val="left"/>
              <w:rPr>
                <w:rFonts w:asciiTheme="majorEastAsia" w:hAnsiTheme="majorEastAsia"/>
                <w:kern w:val="0"/>
                <w:sz w:val="24"/>
              </w:rPr>
            </w:pPr>
            <w:r>
              <w:rPr>
                <w:rFonts w:hint="eastAsia" w:asciiTheme="majorEastAsia" w:hAnsiTheme="majorEastAsia"/>
                <w:kern w:val="0"/>
                <w:sz w:val="24"/>
              </w:rPr>
              <w:t>剩余设计费作为质量保证金，工程竣工验收合格且工程质量缺陷期（</w:t>
            </w:r>
            <w:r>
              <w:rPr>
                <w:rFonts w:asciiTheme="majorEastAsia" w:hAnsiTheme="majorEastAsia"/>
                <w:kern w:val="0"/>
                <w:sz w:val="24"/>
              </w:rPr>
              <w:t>24</w:t>
            </w:r>
            <w:r>
              <w:rPr>
                <w:rFonts w:hint="eastAsia" w:asciiTheme="majorEastAsia" w:hAnsiTheme="majorEastAsia"/>
                <w:kern w:val="0"/>
                <w:sz w:val="24"/>
              </w:rPr>
              <w:t>个月）满后无息支付设计费结算价余款</w:t>
            </w:r>
          </w:p>
        </w:tc>
        <w:tc>
          <w:tcPr>
            <w:tcW w:w="1159" w:type="dxa"/>
            <w:tcBorders>
              <w:top w:val="nil"/>
              <w:left w:val="nil"/>
              <w:bottom w:val="single" w:color="auto" w:sz="4" w:space="0"/>
              <w:right w:val="single" w:color="auto" w:sz="4" w:space="0"/>
            </w:tcBorders>
            <w:shd w:val="clear" w:color="auto" w:fill="auto"/>
            <w:vAlign w:val="center"/>
          </w:tcPr>
          <w:p w14:paraId="26B51A88">
            <w:pPr>
              <w:widowControl/>
              <w:jc w:val="center"/>
              <w:rPr>
                <w:rFonts w:asciiTheme="majorEastAsia" w:hAnsiTheme="majorEastAsia"/>
                <w:kern w:val="0"/>
                <w:sz w:val="24"/>
              </w:rPr>
            </w:pPr>
            <w:r>
              <w:rPr>
                <w:rFonts w:asciiTheme="majorEastAsia" w:hAnsiTheme="majorEastAsia"/>
                <w:kern w:val="0"/>
                <w:sz w:val="24"/>
              </w:rPr>
              <w:t>3%</w:t>
            </w:r>
          </w:p>
        </w:tc>
        <w:tc>
          <w:tcPr>
            <w:tcW w:w="2835" w:type="dxa"/>
            <w:tcBorders>
              <w:top w:val="nil"/>
              <w:left w:val="nil"/>
              <w:bottom w:val="single" w:color="auto" w:sz="4" w:space="0"/>
              <w:right w:val="single" w:color="auto" w:sz="4" w:space="0"/>
            </w:tcBorders>
            <w:shd w:val="clear" w:color="auto" w:fill="auto"/>
            <w:vAlign w:val="center"/>
          </w:tcPr>
          <w:p w14:paraId="42FEF3C6">
            <w:pPr>
              <w:widowControl/>
              <w:jc w:val="left"/>
              <w:rPr>
                <w:rFonts w:asciiTheme="majorEastAsia" w:hAnsiTheme="majorEastAsia"/>
                <w:kern w:val="0"/>
                <w:sz w:val="24"/>
              </w:rPr>
            </w:pPr>
            <w:r>
              <w:rPr>
                <w:rFonts w:hint="eastAsia" w:asciiTheme="majorEastAsia" w:hAnsiTheme="majorEastAsia"/>
                <w:kern w:val="0"/>
                <w:sz w:val="24"/>
              </w:rPr>
              <w:t>　</w:t>
            </w:r>
          </w:p>
        </w:tc>
      </w:tr>
      <w:tr w14:paraId="1D6F9B44">
        <w:tblPrEx>
          <w:tblCellMar>
            <w:top w:w="0" w:type="dxa"/>
            <w:left w:w="108" w:type="dxa"/>
            <w:bottom w:w="0" w:type="dxa"/>
            <w:right w:w="108" w:type="dxa"/>
          </w:tblCellMar>
        </w:tblPrEx>
        <w:trPr>
          <w:trHeight w:val="690" w:hRule="atLeast"/>
        </w:trPr>
        <w:tc>
          <w:tcPr>
            <w:tcW w:w="980" w:type="dxa"/>
            <w:tcBorders>
              <w:top w:val="nil"/>
              <w:left w:val="single" w:color="auto" w:sz="4" w:space="0"/>
              <w:bottom w:val="single" w:color="auto" w:sz="4" w:space="0"/>
              <w:right w:val="single" w:color="auto" w:sz="4" w:space="0"/>
            </w:tcBorders>
            <w:shd w:val="clear" w:color="auto" w:fill="auto"/>
            <w:vAlign w:val="center"/>
          </w:tcPr>
          <w:p w14:paraId="6825E9DA">
            <w:pPr>
              <w:widowControl/>
              <w:jc w:val="center"/>
              <w:rPr>
                <w:rFonts w:asciiTheme="majorEastAsia" w:hAnsiTheme="majorEastAsia"/>
                <w:kern w:val="0"/>
                <w:sz w:val="24"/>
              </w:rPr>
            </w:pPr>
            <w:r>
              <w:rPr>
                <w:rFonts w:hint="eastAsia" w:asciiTheme="majorEastAsia" w:hAnsiTheme="majorEastAsia"/>
                <w:kern w:val="0"/>
                <w:sz w:val="24"/>
              </w:rPr>
              <w:t>合计</w:t>
            </w:r>
          </w:p>
        </w:tc>
        <w:tc>
          <w:tcPr>
            <w:tcW w:w="1400" w:type="dxa"/>
            <w:tcBorders>
              <w:top w:val="nil"/>
              <w:left w:val="nil"/>
              <w:bottom w:val="single" w:color="auto" w:sz="4" w:space="0"/>
              <w:right w:val="single" w:color="auto" w:sz="4" w:space="0"/>
            </w:tcBorders>
            <w:shd w:val="clear" w:color="auto" w:fill="auto"/>
            <w:vAlign w:val="center"/>
          </w:tcPr>
          <w:p w14:paraId="2DED8829">
            <w:pPr>
              <w:widowControl/>
              <w:jc w:val="center"/>
              <w:rPr>
                <w:rFonts w:asciiTheme="majorEastAsia" w:hAnsiTheme="majorEastAsia"/>
                <w:kern w:val="0"/>
                <w:sz w:val="24"/>
              </w:rPr>
            </w:pPr>
            <w:r>
              <w:rPr>
                <w:rFonts w:hint="eastAsia" w:asciiTheme="majorEastAsia" w:hAnsiTheme="majorEastAsia"/>
                <w:kern w:val="0"/>
                <w:sz w:val="24"/>
              </w:rPr>
              <w:t>　</w:t>
            </w:r>
          </w:p>
        </w:tc>
        <w:tc>
          <w:tcPr>
            <w:tcW w:w="3260" w:type="dxa"/>
            <w:tcBorders>
              <w:top w:val="nil"/>
              <w:left w:val="nil"/>
              <w:bottom w:val="single" w:color="auto" w:sz="4" w:space="0"/>
              <w:right w:val="single" w:color="auto" w:sz="4" w:space="0"/>
            </w:tcBorders>
            <w:shd w:val="clear" w:color="auto" w:fill="auto"/>
            <w:vAlign w:val="center"/>
          </w:tcPr>
          <w:p w14:paraId="45239AE9">
            <w:pPr>
              <w:widowControl/>
              <w:jc w:val="center"/>
              <w:rPr>
                <w:rFonts w:asciiTheme="majorEastAsia" w:hAnsiTheme="majorEastAsia"/>
                <w:kern w:val="0"/>
                <w:sz w:val="24"/>
              </w:rPr>
            </w:pPr>
            <w:r>
              <w:rPr>
                <w:rFonts w:hint="eastAsia" w:asciiTheme="majorEastAsia" w:hAnsiTheme="majorEastAsia"/>
                <w:kern w:val="0"/>
                <w:sz w:val="24"/>
              </w:rPr>
              <w:t>　</w:t>
            </w:r>
          </w:p>
        </w:tc>
        <w:tc>
          <w:tcPr>
            <w:tcW w:w="1159" w:type="dxa"/>
            <w:tcBorders>
              <w:top w:val="nil"/>
              <w:left w:val="nil"/>
              <w:bottom w:val="single" w:color="auto" w:sz="4" w:space="0"/>
              <w:right w:val="single" w:color="auto" w:sz="4" w:space="0"/>
            </w:tcBorders>
            <w:shd w:val="clear" w:color="auto" w:fill="auto"/>
            <w:vAlign w:val="center"/>
          </w:tcPr>
          <w:p w14:paraId="6BF208F1">
            <w:pPr>
              <w:widowControl/>
              <w:jc w:val="center"/>
              <w:rPr>
                <w:rFonts w:asciiTheme="majorEastAsia" w:hAnsiTheme="majorEastAsia"/>
                <w:kern w:val="0"/>
                <w:sz w:val="24"/>
              </w:rPr>
            </w:pPr>
            <w:r>
              <w:rPr>
                <w:rFonts w:asciiTheme="majorEastAsia" w:hAnsiTheme="majorEastAsia"/>
                <w:kern w:val="0"/>
                <w:sz w:val="24"/>
              </w:rPr>
              <w:t>100%</w:t>
            </w:r>
          </w:p>
        </w:tc>
        <w:tc>
          <w:tcPr>
            <w:tcW w:w="2835" w:type="dxa"/>
            <w:tcBorders>
              <w:top w:val="nil"/>
              <w:left w:val="nil"/>
              <w:bottom w:val="single" w:color="auto" w:sz="4" w:space="0"/>
              <w:right w:val="single" w:color="auto" w:sz="4" w:space="0"/>
            </w:tcBorders>
            <w:shd w:val="clear" w:color="auto" w:fill="auto"/>
            <w:vAlign w:val="center"/>
          </w:tcPr>
          <w:p w14:paraId="35C25992">
            <w:pPr>
              <w:widowControl/>
              <w:jc w:val="left"/>
              <w:rPr>
                <w:rFonts w:asciiTheme="majorEastAsia" w:hAnsiTheme="majorEastAsia"/>
                <w:kern w:val="0"/>
                <w:sz w:val="24"/>
              </w:rPr>
            </w:pPr>
            <w:r>
              <w:rPr>
                <w:rFonts w:hint="eastAsia" w:asciiTheme="majorEastAsia" w:hAnsiTheme="majorEastAsia"/>
                <w:kern w:val="0"/>
                <w:sz w:val="24"/>
              </w:rPr>
              <w:t>　</w:t>
            </w:r>
          </w:p>
        </w:tc>
      </w:tr>
    </w:tbl>
    <w:p w14:paraId="4F6E893E">
      <w:pPr>
        <w:spacing w:line="360" w:lineRule="auto"/>
        <w:ind w:firstLine="480" w:firstLineChars="200"/>
        <w:rPr>
          <w:rFonts w:ascii="宋体" w:hAnsi="宋体" w:cs="宋体"/>
          <w:sz w:val="24"/>
          <w:szCs w:val="24"/>
        </w:rPr>
      </w:pPr>
      <w:r>
        <w:rPr>
          <w:rFonts w:hint="eastAsia" w:ascii="宋体" w:hAnsi="宋体" w:cs="宋体"/>
          <w:sz w:val="24"/>
          <w:szCs w:val="24"/>
        </w:rPr>
        <w:t>备注：</w:t>
      </w:r>
    </w:p>
    <w:p w14:paraId="7C6C20AB">
      <w:pPr>
        <w:spacing w:line="360" w:lineRule="auto"/>
        <w:ind w:firstLine="480" w:firstLineChars="200"/>
        <w:rPr>
          <w:rFonts w:ascii="宋体" w:hAnsi="宋体" w:cs="宋体"/>
          <w:sz w:val="24"/>
          <w:szCs w:val="24"/>
        </w:rPr>
      </w:pPr>
      <w:r>
        <w:rPr>
          <w:rFonts w:hint="eastAsia" w:ascii="宋体" w:hAnsi="宋体" w:cs="宋体"/>
          <w:sz w:val="24"/>
          <w:szCs w:val="24"/>
        </w:rPr>
        <w:t>（1）如果项目分期分批次开工，分期开展设计工作的，则从设计费支付第三期（承包人配合发包人完成单体报建工作）开始，各期设计费按当期开工建筑面积占比以及上述支付条件分别支付。</w:t>
      </w:r>
    </w:p>
    <w:p w14:paraId="3DE3DF56">
      <w:pPr>
        <w:spacing w:line="360" w:lineRule="auto"/>
        <w:ind w:firstLine="480" w:firstLineChars="200"/>
        <w:rPr>
          <w:rFonts w:ascii="宋体" w:hAnsi="宋体" w:cs="宋体"/>
          <w:color w:val="FF0000"/>
          <w:sz w:val="24"/>
          <w:szCs w:val="24"/>
        </w:rPr>
      </w:pPr>
      <w:bookmarkStart w:id="461" w:name="_Hlk145867190"/>
      <w:r>
        <w:rPr>
          <w:rFonts w:hint="eastAsia" w:ascii="宋体" w:hAnsi="宋体" w:cs="宋体"/>
          <w:color w:val="FF0000"/>
          <w:sz w:val="24"/>
          <w:szCs w:val="24"/>
        </w:rPr>
        <w:t>（2）由于本合同工程设计费为暂定价，故待各专业设计概算确定后，重新计算设计费。根据调整后的设计费按上述比例调整付款金额，执行多退少补原则。</w:t>
      </w:r>
    </w:p>
    <w:bookmarkEnd w:id="461"/>
    <w:p w14:paraId="173F530C">
      <w:pPr>
        <w:spacing w:line="360" w:lineRule="auto"/>
        <w:ind w:firstLine="480" w:firstLineChars="200"/>
        <w:rPr>
          <w:rFonts w:ascii="宋体" w:hAnsi="宋体" w:cs="宋体"/>
          <w:sz w:val="24"/>
          <w:szCs w:val="24"/>
        </w:rPr>
      </w:pPr>
      <w:r>
        <w:rPr>
          <w:rFonts w:hint="eastAsia" w:ascii="宋体" w:hAnsi="宋体" w:cs="宋体"/>
          <w:sz w:val="24"/>
          <w:szCs w:val="24"/>
        </w:rPr>
        <w:t>（3）如存在发包人已支付相应阶段设计费，而承包人因自身原因未及时支付给分包单位（如有）的情况，发包人可书面通知承包人后，对分包单位直接支付并从发包人应付承包人任一笔设计费中直接扣除，</w:t>
      </w:r>
      <w:bookmarkStart w:id="462" w:name="OLE_LINK6"/>
      <w:bookmarkStart w:id="463" w:name="OLE_LINK5"/>
      <w:r>
        <w:rPr>
          <w:rFonts w:hint="eastAsia" w:ascii="宋体" w:hAnsi="宋体" w:cs="宋体"/>
          <w:sz w:val="24"/>
          <w:szCs w:val="24"/>
        </w:rPr>
        <w:t>以保证工程开发进度，承包人无条件认可发包人支付给分包单位的费用，</w:t>
      </w:r>
      <w:bookmarkEnd w:id="462"/>
      <w:bookmarkEnd w:id="463"/>
      <w:r>
        <w:rPr>
          <w:rFonts w:hint="eastAsia" w:ascii="宋体" w:hAnsi="宋体" w:cs="宋体"/>
          <w:sz w:val="24"/>
          <w:szCs w:val="24"/>
        </w:rPr>
        <w:t>且视为</w:t>
      </w:r>
      <w:bookmarkStart w:id="464" w:name="OLE_LINK4"/>
      <w:bookmarkStart w:id="465" w:name="OLE_LINK3"/>
      <w:r>
        <w:rPr>
          <w:rFonts w:hint="eastAsia" w:ascii="宋体" w:hAnsi="宋体" w:cs="宋体"/>
          <w:sz w:val="24"/>
          <w:szCs w:val="24"/>
        </w:rPr>
        <w:t>发包人已经向承包人支付了对应金额的</w:t>
      </w:r>
      <w:bookmarkEnd w:id="464"/>
      <w:bookmarkEnd w:id="465"/>
      <w:r>
        <w:rPr>
          <w:rFonts w:hint="eastAsia" w:ascii="宋体" w:hAnsi="宋体" w:cs="宋体"/>
          <w:sz w:val="24"/>
          <w:szCs w:val="24"/>
        </w:rPr>
        <w:t>设计费。</w:t>
      </w:r>
    </w:p>
    <w:p w14:paraId="30847AB4">
      <w:pPr>
        <w:spacing w:line="360" w:lineRule="auto"/>
        <w:ind w:firstLine="480" w:firstLineChars="200"/>
        <w:rPr>
          <w:rFonts w:ascii="宋体" w:hAnsi="宋体" w:cs="宋体"/>
          <w:sz w:val="24"/>
          <w:szCs w:val="24"/>
        </w:rPr>
      </w:pPr>
      <w:r>
        <w:rPr>
          <w:rFonts w:hint="eastAsia" w:ascii="宋体" w:hAnsi="宋体" w:cs="宋体"/>
          <w:sz w:val="24"/>
          <w:szCs w:val="24"/>
        </w:rPr>
        <w:t>勘察费用的支付：</w:t>
      </w:r>
    </w:p>
    <w:p w14:paraId="0C617FCC">
      <w:pPr>
        <w:spacing w:line="360" w:lineRule="auto"/>
        <w:ind w:firstLine="480" w:firstLineChars="200"/>
        <w:rPr>
          <w:rFonts w:ascii="宋体" w:hAnsi="宋体" w:cs="宋体"/>
          <w:sz w:val="24"/>
          <w:szCs w:val="24"/>
        </w:rPr>
      </w:pPr>
      <w:r>
        <w:rPr>
          <w:rFonts w:hint="eastAsia" w:ascii="宋体" w:hAnsi="宋体" w:cs="宋体"/>
          <w:sz w:val="24"/>
          <w:szCs w:val="24"/>
        </w:rPr>
        <w:t xml:space="preserve">（1） </w:t>
      </w:r>
      <w:r>
        <w:rPr>
          <w:rFonts w:hint="eastAsia" w:ascii="宋体" w:hAnsi="宋体"/>
          <w:sz w:val="24"/>
        </w:rPr>
        <w:t>承包人</w:t>
      </w:r>
      <w:r>
        <w:rPr>
          <w:rFonts w:hint="eastAsia" w:ascii="宋体" w:hAnsi="宋体" w:cs="宋体"/>
          <w:sz w:val="24"/>
          <w:szCs w:val="24"/>
        </w:rPr>
        <w:t>向发包人提交勘察成果资料经发包人确认，发包人支付至实际完成勘察工程量对应勘察费的70%；</w:t>
      </w:r>
    </w:p>
    <w:p w14:paraId="62A12463">
      <w:pPr>
        <w:spacing w:line="360" w:lineRule="auto"/>
        <w:ind w:firstLine="480" w:firstLineChars="200"/>
        <w:rPr>
          <w:rFonts w:ascii="宋体" w:hAnsi="宋体" w:cs="宋体"/>
          <w:sz w:val="24"/>
          <w:szCs w:val="24"/>
        </w:rPr>
      </w:pPr>
      <w:r>
        <w:rPr>
          <w:rFonts w:hint="eastAsia" w:ascii="宋体" w:hAnsi="宋体" w:cs="宋体"/>
          <w:sz w:val="24"/>
          <w:szCs w:val="24"/>
        </w:rPr>
        <w:t>（2）本合同项目完成施工图审查，勘察费进行结算并经发包人或其授权委托单位审定，发包人向承包人支付至勘察费结算价的90%；</w:t>
      </w:r>
    </w:p>
    <w:p w14:paraId="40BFC6CC">
      <w:pPr>
        <w:spacing w:line="360" w:lineRule="auto"/>
        <w:ind w:firstLine="480" w:firstLineChars="200"/>
        <w:rPr>
          <w:rFonts w:hint="eastAsia" w:ascii="宋体" w:hAnsi="宋体" w:cs="宋体"/>
          <w:sz w:val="24"/>
          <w:szCs w:val="24"/>
        </w:rPr>
      </w:pPr>
      <w:r>
        <w:rPr>
          <w:rFonts w:hint="eastAsia" w:ascii="宋体" w:hAnsi="宋体" w:cs="宋体"/>
          <w:sz w:val="24"/>
          <w:szCs w:val="24"/>
        </w:rPr>
        <w:t>（3）剩余的勘察费待本合同项目工程竣工验收合格备案后，发包人一次结清（不计利息）。</w:t>
      </w:r>
    </w:p>
    <w:p w14:paraId="73DFA94D">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物探费用的支付：</w:t>
      </w:r>
    </w:p>
    <w:p w14:paraId="3AA75352">
      <w:pPr>
        <w:numPr>
          <w:ilvl w:val="0"/>
          <w:numId w:val="5"/>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承包人向发包人提交物探成果资料经发包人确认，发包人支付实际完成物探工作量对应物探费的30%；</w:t>
      </w:r>
    </w:p>
    <w:p w14:paraId="379C766B">
      <w:pPr>
        <w:numPr>
          <w:ilvl w:val="0"/>
          <w:numId w:val="5"/>
        </w:num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本合同范围内的基础工程开挖完毕，发包人向承包人支付至实际完成物探工作量对应物探费的100%；</w:t>
      </w:r>
    </w:p>
    <w:p w14:paraId="52B7B8B8">
      <w:pPr>
        <w:spacing w:line="360" w:lineRule="auto"/>
        <w:ind w:firstLine="480" w:firstLineChars="200"/>
        <w:rPr>
          <w:rFonts w:ascii="宋体" w:hAnsi="宋体"/>
          <w:kern w:val="0"/>
          <w:sz w:val="24"/>
        </w:rPr>
      </w:pPr>
      <w:r>
        <w:rPr>
          <w:rFonts w:hint="eastAsia" w:ascii="宋体" w:hAnsi="宋体" w:cs="宋体"/>
          <w:kern w:val="0"/>
          <w:sz w:val="24"/>
        </w:rPr>
        <w:t>30.2</w:t>
      </w:r>
      <w:r>
        <w:rPr>
          <w:rFonts w:hint="eastAsia" w:ascii="宋体" w:hAnsi="宋体" w:cs="宋体"/>
          <w:snapToGrid w:val="0"/>
          <w:kern w:val="0"/>
          <w:sz w:val="24"/>
        </w:rPr>
        <w:t>施工费进度</w:t>
      </w:r>
      <w:r>
        <w:rPr>
          <w:rFonts w:hint="eastAsia" w:ascii="宋体" w:hAnsi="宋体"/>
          <w:kern w:val="0"/>
          <w:sz w:val="24"/>
        </w:rPr>
        <w:t>款支付</w:t>
      </w:r>
      <w:bookmarkEnd w:id="460"/>
      <w:r>
        <w:rPr>
          <w:rFonts w:hint="eastAsia" w:ascii="宋体" w:hAnsi="宋体" w:cs="宋体"/>
          <w:snapToGrid w:val="0"/>
          <w:kern w:val="0"/>
          <w:sz w:val="24"/>
        </w:rPr>
        <w:t>原则</w:t>
      </w:r>
    </w:p>
    <w:p w14:paraId="4007D22C">
      <w:pPr>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szCs w:val="24"/>
        </w:rPr>
        <w:t>（1）付款时间：</w:t>
      </w:r>
    </w:p>
    <w:p w14:paraId="583E7DD5">
      <w:pPr>
        <w:spacing w:line="360" w:lineRule="auto"/>
        <w:ind w:firstLine="480" w:firstLineChars="200"/>
        <w:rPr>
          <w:rFonts w:ascii="宋体" w:hAnsi="宋体"/>
          <w:kern w:val="0"/>
          <w:sz w:val="24"/>
        </w:rPr>
      </w:pPr>
      <w:r>
        <w:rPr>
          <w:rFonts w:hint="eastAsia" w:ascii="宋体" w:hAnsi="宋体"/>
          <w:kern w:val="0"/>
          <w:sz w:val="24"/>
        </w:rPr>
        <w:t>承包人每月5日前上报上月已完工程量报表（统计时段为上个月1日至上个月最后一天），经监理审核及发包人审核确认的形象进度，形象进度需要监理单位、发包人委托的全过程造价咨询公司以及发包人三方共同签字确认，监理单位、发包人委托的全过程造价咨询公司审核已完成的合格工程产值以及对应的应支付进度款，实际应支付的进度款按照经发包人审核的月度完成合格工程产值的80％支付当期分部分项工程（含措施费）进度款。各项应由承包人承担的扣款等在每一期付款中同步抵扣。每一期形象进度的审核确认按照累计完成的形象进度进行确认，计算期完成的合格工程产值计算：按照累计至本计算期完成形象进度计算出来的累计完成工程产值、减去累计至上一期完成形象进度计算出来的累计完成工程产值，得出该计算期可计算的完成合格工程产值。</w:t>
      </w:r>
    </w:p>
    <w:p w14:paraId="4B79B20E">
      <w:pPr>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szCs w:val="24"/>
        </w:rPr>
        <w:t>施工图预算未确定前，发包人暂根据合同条款28.3.4款审核承包人完成产值，按经审定月度完成合格工程产值的80％支付当期工程进度款。该完成产值中涉及到的单价仅限于支付进度款，不作他用。承包人超过时限申报预算，发包人有权暂停进度款支付，因此造成的影响由承包人自行承担。</w:t>
      </w:r>
    </w:p>
    <w:p w14:paraId="3DAFBE51">
      <w:pPr>
        <w:spacing w:line="360" w:lineRule="auto"/>
        <w:ind w:firstLine="480" w:firstLineChars="200"/>
        <w:rPr>
          <w:rFonts w:ascii="宋体" w:hAnsi="宋体" w:cs="宋体"/>
          <w:kern w:val="0"/>
          <w:sz w:val="24"/>
        </w:rPr>
      </w:pPr>
      <w:r>
        <w:rPr>
          <w:rFonts w:hint="eastAsia" w:ascii="宋体" w:hAnsi="宋体" w:cs="宋体"/>
          <w:kern w:val="0"/>
          <w:sz w:val="24"/>
        </w:rPr>
        <w:t>从本工程发生的第一次进度款支付起，发包人每次按审定月度进度款的50%逐期扣回工程预付款，每次按审定月度进度款扣除应扣回的预付款后支付承包人当次的工程进度款，直至预付款全部扣回完毕止。</w:t>
      </w:r>
    </w:p>
    <w:p w14:paraId="13754FCD">
      <w:pPr>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szCs w:val="24"/>
        </w:rPr>
        <w:t>为确保本项目建设资金专款专用，避免挪用。本工程对施工费进度款、设计费实行资金共管制度。承包人承诺在合同签署完成后15天内，在项目市级所在地银行开设收付款资金共管账户（发包人、承包人、银行）用于本项目所有款项的收款（施工款共管账户、设计款共管账户），并签署《建设资金共管协议》（参考格式详见附件18，具体以银行要求及实际签署为准），同时向发包人提供可对共管账户进行查询的网银密钥。共管协议签署后，每笔付款均需发包人审核并签字或加盖印鉴。</w:t>
      </w:r>
      <w:r>
        <w:rPr>
          <w:rFonts w:hint="eastAsia" w:ascii="宋体" w:hAnsi="宋体"/>
          <w:kern w:val="0"/>
          <w:sz w:val="24"/>
        </w:rPr>
        <w:t>如承包人因涉及诉讼、仲裁或行政处罚等原因致使名下任一银行</w:t>
      </w:r>
      <w:r>
        <w:rPr>
          <w:rFonts w:ascii="宋体" w:hAnsi="宋体"/>
          <w:kern w:val="0"/>
          <w:sz w:val="24"/>
        </w:rPr>
        <w:t>/共管账户受限（包括被保全、查封、冻结、执行、划扣、根据司法机关或行政主管部门的要求产生资金使用限制等），进而导致未能向本工程分包单位（如有）支付工程款或设计费用的，发包人有权根据本合同约定，要求承包人承担逾期付款所产生的责任，且发包人通知承包人后，有权代承包人向分包单位直接支付对应的工程款或设计费用，承包人无</w:t>
      </w:r>
      <w:r>
        <w:rPr>
          <w:rFonts w:hint="eastAsia" w:ascii="宋体" w:hAnsi="宋体"/>
          <w:kern w:val="0"/>
          <w:sz w:val="24"/>
        </w:rPr>
        <w:t>条件</w:t>
      </w:r>
      <w:r>
        <w:rPr>
          <w:rFonts w:hint="eastAsia" w:ascii="宋体" w:hAnsi="宋体"/>
          <w:sz w:val="24"/>
        </w:rPr>
        <w:t>认可发包人支付给分包单位的费用</w:t>
      </w:r>
      <w:r>
        <w:rPr>
          <w:rFonts w:hint="eastAsia" w:ascii="宋体" w:hAnsi="宋体"/>
          <w:kern w:val="0"/>
          <w:sz w:val="24"/>
        </w:rPr>
        <w:t>，并从应付承包人工程款或设计费用中直接扣除，同时视为</w:t>
      </w:r>
      <w:r>
        <w:rPr>
          <w:rFonts w:hint="eastAsia" w:ascii="宋体" w:hAnsi="宋体"/>
          <w:sz w:val="24"/>
        </w:rPr>
        <w:t>发包人已经向承包人支付了对应金额的工程款</w:t>
      </w:r>
      <w:r>
        <w:rPr>
          <w:rFonts w:hint="eastAsia" w:ascii="宋体" w:hAnsi="宋体"/>
          <w:kern w:val="0"/>
          <w:sz w:val="24"/>
        </w:rPr>
        <w:t>或设计费用，如果承包人因此给发包人带来损失（包含直接和间接损失）的则承包人需要对发包人承担赔偿责任。</w:t>
      </w:r>
    </w:p>
    <w:p w14:paraId="2A95B8DA">
      <w:pPr>
        <w:spacing w:line="360" w:lineRule="auto"/>
        <w:ind w:firstLine="480" w:firstLineChars="200"/>
        <w:rPr>
          <w:rFonts w:ascii="宋体" w:hAnsi="宋体"/>
          <w:kern w:val="0"/>
          <w:sz w:val="24"/>
        </w:rPr>
      </w:pPr>
      <w:r>
        <w:rPr>
          <w:rFonts w:hint="eastAsia" w:ascii="宋体" w:hAnsi="宋体" w:cs="宋体"/>
          <w:bCs/>
          <w:sz w:val="24"/>
          <w:szCs w:val="24"/>
        </w:rPr>
        <w:t>（2）</w:t>
      </w:r>
      <w:r>
        <w:rPr>
          <w:rFonts w:hint="eastAsia" w:ascii="宋体" w:hAnsi="宋体"/>
          <w:kern w:val="0"/>
          <w:sz w:val="24"/>
        </w:rPr>
        <w:t>已完成工程量的计量与支付需得到总监理工程师和发包人的认可。如承包人的工作不能达到总监理工程师和发包人的要求（如：质量不合格，工程进度缓慢，施工总承包管理和配合服务不到位或有其他方面违反合同的行为等），总监理工程师和发包人有权拒绝计量与支付。</w:t>
      </w:r>
    </w:p>
    <w:p w14:paraId="221F7F53">
      <w:pPr>
        <w:spacing w:line="360" w:lineRule="auto"/>
        <w:ind w:firstLine="480" w:firstLineChars="200"/>
        <w:rPr>
          <w:rFonts w:ascii="宋体" w:hAnsi="宋体"/>
          <w:kern w:val="0"/>
          <w:sz w:val="24"/>
        </w:rPr>
      </w:pPr>
      <w:r>
        <w:rPr>
          <w:rFonts w:hint="eastAsia" w:ascii="宋体" w:hAnsi="宋体" w:cs="宋体"/>
          <w:bCs/>
          <w:snapToGrid w:val="0"/>
          <w:kern w:val="0"/>
          <w:sz w:val="24"/>
          <w:szCs w:val="24"/>
        </w:rPr>
        <w:t>（3）</w:t>
      </w:r>
      <w:r>
        <w:rPr>
          <w:rFonts w:hint="eastAsia" w:ascii="宋体" w:hAnsi="宋体"/>
          <w:kern w:val="0"/>
          <w:sz w:val="24"/>
        </w:rPr>
        <w:t>承包人每次申请进度款时需要提交已足额支付分包及材料设备供货单位价款的书面函件（加盖有效印章及项目经理签字以及有关支付凭证）、工人工资支付凭证清单（载明工人姓名、身份证号及其联系电话、工人本人签名并按指模的工人工资发放清单）复印件，并出具已经足额支付应支付工人工资的书面承诺函（承诺函需要有项目经理签字并加盖有效印章），否则发包人有权暂缓支付该期进度，有关责任由承包人承担。</w:t>
      </w:r>
      <w:r>
        <w:rPr>
          <w:rFonts w:hint="eastAsia" w:ascii="宋体" w:hAnsi="宋体" w:cs="宋体"/>
          <w:bCs/>
          <w:snapToGrid w:val="0"/>
          <w:kern w:val="0"/>
          <w:sz w:val="24"/>
        </w:rPr>
        <w:t>进度款时应提交已发生签证变更台账并盖章确认。因承包人原因未及时支付其分包商或供货商相应款项造成项目无法正常推进，发包人有权直接向分包商或供货商付款，并在承包人下一期进度款中扣除相应款项，发包人有权要求承包人承担一次严重违约责任。</w:t>
      </w:r>
    </w:p>
    <w:p w14:paraId="7384E92F">
      <w:pPr>
        <w:spacing w:line="360" w:lineRule="auto"/>
        <w:ind w:firstLine="480" w:firstLineChars="200"/>
        <w:rPr>
          <w:rFonts w:ascii="宋体" w:hAnsi="宋体"/>
          <w:kern w:val="0"/>
          <w:sz w:val="24"/>
        </w:rPr>
      </w:pPr>
      <w:r>
        <w:rPr>
          <w:rFonts w:hint="eastAsia" w:ascii="宋体" w:hAnsi="宋体" w:cs="宋体"/>
          <w:bCs/>
          <w:snapToGrid w:val="0"/>
          <w:kern w:val="0"/>
          <w:sz w:val="24"/>
          <w:szCs w:val="24"/>
        </w:rPr>
        <w:t>（</w:t>
      </w:r>
      <w:r>
        <w:rPr>
          <w:rFonts w:hint="eastAsia" w:ascii="宋体" w:hAnsi="宋体"/>
          <w:kern w:val="0"/>
          <w:sz w:val="24"/>
        </w:rPr>
        <w:t>4</w:t>
      </w:r>
      <w:r>
        <w:rPr>
          <w:rFonts w:hint="eastAsia" w:ascii="宋体" w:hAnsi="宋体" w:cs="宋体"/>
          <w:bCs/>
          <w:snapToGrid w:val="0"/>
          <w:kern w:val="0"/>
          <w:sz w:val="24"/>
          <w:szCs w:val="24"/>
        </w:rPr>
        <w:t>）</w:t>
      </w:r>
      <w:r>
        <w:rPr>
          <w:rFonts w:hint="eastAsia" w:ascii="宋体" w:hAnsi="宋体" w:cs="宋体"/>
          <w:bCs/>
          <w:snapToGrid w:val="0"/>
          <w:kern w:val="0"/>
          <w:sz w:val="24"/>
        </w:rPr>
        <w:t>材料调差、</w:t>
      </w:r>
      <w:r>
        <w:rPr>
          <w:rFonts w:hint="eastAsia" w:ascii="宋体" w:hAnsi="宋体"/>
          <w:kern w:val="0"/>
          <w:sz w:val="24"/>
        </w:rPr>
        <w:t>变更签证价款随合同最终结算款一并支付，不在进度款中支付。若</w:t>
      </w:r>
      <w:r>
        <w:rPr>
          <w:rFonts w:hint="eastAsia" w:ascii="宋体" w:hAnsi="宋体" w:cs="宋体"/>
          <w:bCs/>
          <w:snapToGrid w:val="0"/>
          <w:kern w:val="0"/>
          <w:sz w:val="24"/>
        </w:rPr>
        <w:t>材料调差累计</w:t>
      </w:r>
      <w:r>
        <w:rPr>
          <w:rFonts w:hint="eastAsia" w:ascii="宋体" w:hAnsi="宋体"/>
          <w:kern w:val="0"/>
          <w:sz w:val="24"/>
        </w:rPr>
        <w:t>达到</w:t>
      </w:r>
      <w:r>
        <w:rPr>
          <w:rFonts w:hint="eastAsia" w:ascii="宋体" w:hAnsi="宋体" w:cs="宋体"/>
          <w:bCs/>
          <w:snapToGrid w:val="0"/>
          <w:kern w:val="0"/>
          <w:sz w:val="24"/>
        </w:rPr>
        <w:t>±</w:t>
      </w:r>
      <w:r>
        <w:rPr>
          <w:rFonts w:ascii="宋体" w:hAnsi="宋体"/>
          <w:kern w:val="0"/>
          <w:sz w:val="24"/>
        </w:rPr>
        <w:t>400万元及以上</w:t>
      </w:r>
      <w:r>
        <w:rPr>
          <w:rFonts w:hint="eastAsia" w:ascii="宋体" w:hAnsi="宋体" w:cs="宋体"/>
          <w:bCs/>
          <w:snapToGrid w:val="0"/>
          <w:kern w:val="0"/>
          <w:sz w:val="24"/>
        </w:rPr>
        <w:t>、</w:t>
      </w:r>
      <w:r>
        <w:rPr>
          <w:rFonts w:hint="eastAsia" w:ascii="宋体" w:hAnsi="宋体"/>
          <w:kern w:val="0"/>
          <w:sz w:val="24"/>
        </w:rPr>
        <w:t>单项变更签证金额达到</w:t>
      </w:r>
      <w:r>
        <w:rPr>
          <w:rFonts w:hint="eastAsia" w:ascii="宋体" w:hAnsi="宋体" w:cs="宋体"/>
          <w:bCs/>
          <w:snapToGrid w:val="0"/>
          <w:kern w:val="0"/>
          <w:sz w:val="24"/>
        </w:rPr>
        <w:t>±</w:t>
      </w:r>
      <w:r>
        <w:rPr>
          <w:rFonts w:hint="eastAsia" w:ascii="宋体" w:hAnsi="宋体"/>
          <w:kern w:val="0"/>
          <w:sz w:val="24"/>
        </w:rPr>
        <w:t>400万元及以上</w:t>
      </w:r>
      <w:r>
        <w:rPr>
          <w:rFonts w:hint="eastAsia" w:ascii="宋体" w:hAnsi="宋体" w:cs="宋体"/>
          <w:bCs/>
          <w:snapToGrid w:val="0"/>
          <w:kern w:val="0"/>
          <w:sz w:val="24"/>
        </w:rPr>
        <w:t>，</w:t>
      </w:r>
      <w:r>
        <w:rPr>
          <w:rFonts w:hint="eastAsia" w:ascii="宋体" w:hAnsi="宋体"/>
          <w:kern w:val="0"/>
          <w:sz w:val="24"/>
        </w:rPr>
        <w:t>需签订补充协议，按补充协议约定条款支付</w:t>
      </w:r>
      <w:r>
        <w:rPr>
          <w:rFonts w:hint="eastAsia" w:ascii="宋体" w:hAnsi="宋体" w:cs="宋体"/>
          <w:bCs/>
          <w:snapToGrid w:val="0"/>
          <w:kern w:val="0"/>
          <w:sz w:val="24"/>
        </w:rPr>
        <w:t>。</w:t>
      </w:r>
    </w:p>
    <w:p w14:paraId="0295A8F9">
      <w:pPr>
        <w:spacing w:line="360" w:lineRule="auto"/>
        <w:ind w:firstLine="480" w:firstLineChars="200"/>
        <w:rPr>
          <w:rFonts w:ascii="宋体" w:hAnsi="宋体" w:cs="宋体"/>
          <w:bCs/>
          <w:snapToGrid w:val="0"/>
          <w:kern w:val="0"/>
          <w:sz w:val="24"/>
          <w:szCs w:val="24"/>
          <w:lang w:val="zh-CN"/>
        </w:rPr>
      </w:pPr>
      <w:r>
        <w:rPr>
          <w:rFonts w:hint="eastAsia" w:ascii="宋体" w:hAnsi="宋体"/>
          <w:kern w:val="0"/>
          <w:sz w:val="24"/>
          <w:lang w:val="zh-CN"/>
        </w:rPr>
        <w:t>（</w:t>
      </w:r>
      <w:r>
        <w:rPr>
          <w:rFonts w:ascii="宋体" w:hAnsi="宋体"/>
          <w:kern w:val="0"/>
          <w:sz w:val="24"/>
          <w:lang w:val="zh-CN"/>
        </w:rPr>
        <w:t>5）</w:t>
      </w:r>
      <w:r>
        <w:rPr>
          <w:rFonts w:ascii="宋体" w:hAnsi="宋体" w:cs="宋体"/>
          <w:bCs/>
          <w:snapToGrid w:val="0"/>
          <w:kern w:val="0"/>
          <w:sz w:val="24"/>
          <w:szCs w:val="24"/>
          <w:lang w:val="zh-CN"/>
        </w:rPr>
        <w:t>设计变更及签证累计金额达人民币2000万元后，按照双方需协商签署补充协议，并根据补充协议约定条款支付，若符合本条款约定的工程变更及签证价款中包含了上述第（4）点的</w:t>
      </w:r>
      <w:r>
        <w:rPr>
          <w:rFonts w:hint="eastAsia" w:ascii="宋体" w:hAnsi="宋体" w:cs="宋体"/>
          <w:bCs/>
          <w:snapToGrid w:val="0"/>
          <w:kern w:val="0"/>
          <w:sz w:val="24"/>
          <w:szCs w:val="24"/>
          <w:lang w:val="zh-CN"/>
        </w:rPr>
        <w:t>材料款且已签署补充协议的，则该部分材料款不在本条重复计付。</w:t>
      </w:r>
    </w:p>
    <w:p w14:paraId="76D2BF8F">
      <w:pPr>
        <w:spacing w:line="360" w:lineRule="auto"/>
        <w:ind w:firstLine="480" w:firstLineChars="200"/>
        <w:rPr>
          <w:rFonts w:ascii="宋体" w:hAnsi="宋体"/>
          <w:kern w:val="0"/>
          <w:sz w:val="24"/>
          <w:lang w:val="zh-CN"/>
        </w:rPr>
      </w:pPr>
      <w:r>
        <w:rPr>
          <w:rFonts w:hint="eastAsia" w:ascii="宋体" w:hAnsi="宋体" w:cs="宋体"/>
          <w:bCs/>
          <w:snapToGrid w:val="0"/>
          <w:kern w:val="0"/>
          <w:sz w:val="24"/>
          <w:szCs w:val="24"/>
          <w:lang w:val="zh-CN"/>
        </w:rPr>
        <w:t>（</w:t>
      </w:r>
      <w:r>
        <w:rPr>
          <w:rFonts w:ascii="宋体" w:hAnsi="宋体"/>
          <w:kern w:val="0"/>
          <w:sz w:val="24"/>
        </w:rPr>
        <w:t>6</w:t>
      </w:r>
      <w:r>
        <w:rPr>
          <w:rFonts w:hint="eastAsia" w:ascii="宋体" w:hAnsi="宋体" w:cs="宋体"/>
          <w:bCs/>
          <w:snapToGrid w:val="0"/>
          <w:kern w:val="0"/>
          <w:sz w:val="24"/>
          <w:szCs w:val="24"/>
        </w:rPr>
        <w:t>）</w:t>
      </w:r>
      <w:r>
        <w:rPr>
          <w:rFonts w:hint="eastAsia" w:ascii="宋体" w:hAnsi="宋体"/>
          <w:kern w:val="0"/>
          <w:sz w:val="24"/>
          <w:lang w:val="zh-CN"/>
        </w:rPr>
        <w:t>承包人完成施工工作，竣工验收合格</w:t>
      </w:r>
      <w:r>
        <w:rPr>
          <w:rFonts w:hint="eastAsia" w:ascii="宋体" w:hAnsi="宋体" w:cs="宋体"/>
          <w:bCs/>
          <w:snapToGrid w:val="0"/>
          <w:kern w:val="0"/>
          <w:sz w:val="24"/>
          <w:szCs w:val="24"/>
          <w:lang w:val="zh-CN"/>
        </w:rPr>
        <w:t>，并经发包人书面同意移交和交付后，提交结算资料</w:t>
      </w:r>
      <w:r>
        <w:rPr>
          <w:rFonts w:hint="eastAsia" w:ascii="宋体" w:hAnsi="宋体"/>
          <w:kern w:val="0"/>
          <w:sz w:val="24"/>
          <w:lang w:val="zh-CN"/>
        </w:rPr>
        <w:t>后</w:t>
      </w:r>
      <w:r>
        <w:rPr>
          <w:rFonts w:hint="eastAsia" w:ascii="宋体" w:hAnsi="宋体" w:cs="宋体"/>
          <w:bCs/>
          <w:snapToGrid w:val="0"/>
          <w:kern w:val="0"/>
          <w:sz w:val="24"/>
          <w:szCs w:val="24"/>
          <w:lang w:val="zh-CN"/>
        </w:rPr>
        <w:t>，发包人</w:t>
      </w:r>
      <w:r>
        <w:rPr>
          <w:rFonts w:hint="eastAsia" w:ascii="宋体" w:hAnsi="宋体"/>
          <w:kern w:val="0"/>
          <w:sz w:val="24"/>
          <w:lang w:val="zh-CN"/>
        </w:rPr>
        <w:t>累计支付至</w:t>
      </w:r>
      <w:r>
        <w:rPr>
          <w:rFonts w:hint="eastAsia" w:ascii="宋体" w:hAnsi="宋体" w:cs="宋体"/>
          <w:bCs/>
          <w:snapToGrid w:val="0"/>
          <w:kern w:val="0"/>
          <w:sz w:val="24"/>
          <w:szCs w:val="24"/>
          <w:lang w:val="zh-CN"/>
        </w:rPr>
        <w:t>审定完成合格工程产值</w:t>
      </w:r>
      <w:r>
        <w:rPr>
          <w:rFonts w:hint="eastAsia" w:ascii="宋体" w:hAnsi="宋体"/>
          <w:kern w:val="0"/>
          <w:sz w:val="24"/>
          <w:lang w:val="zh-CN"/>
        </w:rPr>
        <w:t>的</w:t>
      </w:r>
      <w:r>
        <w:rPr>
          <w:rFonts w:ascii="宋体" w:hAnsi="宋体"/>
          <w:kern w:val="0"/>
          <w:sz w:val="24"/>
        </w:rPr>
        <w:t>85</w:t>
      </w:r>
      <w:r>
        <w:rPr>
          <w:rFonts w:ascii="宋体" w:hAnsi="宋体"/>
          <w:kern w:val="0"/>
          <w:sz w:val="24"/>
          <w:lang w:val="zh-CN"/>
        </w:rPr>
        <w:t>%（</w:t>
      </w:r>
      <w:r>
        <w:rPr>
          <w:rFonts w:hint="eastAsia" w:ascii="宋体" w:hAnsi="宋体"/>
          <w:kern w:val="0"/>
          <w:sz w:val="24"/>
          <w:lang w:val="zh-CN"/>
        </w:rPr>
        <w:t>需扣除</w:t>
      </w:r>
      <w:r>
        <w:rPr>
          <w:rFonts w:hint="eastAsia" w:ascii="宋体" w:hAnsi="宋体" w:cs="宋体"/>
          <w:snapToGrid w:val="0"/>
          <w:kern w:val="0"/>
          <w:sz w:val="24"/>
        </w:rPr>
        <w:t>审定预算对应</w:t>
      </w:r>
      <w:r>
        <w:rPr>
          <w:rFonts w:hint="eastAsia" w:ascii="宋体" w:hAnsi="宋体" w:cs="宋体"/>
          <w:bCs/>
          <w:snapToGrid w:val="0"/>
          <w:kern w:val="0"/>
          <w:sz w:val="24"/>
          <w:szCs w:val="24"/>
          <w:lang w:val="zh-CN"/>
        </w:rPr>
        <w:t>施工费</w:t>
      </w:r>
      <w:r>
        <w:rPr>
          <w:rFonts w:hint="eastAsia" w:ascii="宋体" w:hAnsi="宋体" w:cs="宋体"/>
          <w:bCs/>
          <w:snapToGrid w:val="0"/>
          <w:kern w:val="0"/>
          <w:sz w:val="24"/>
          <w:szCs w:val="24"/>
        </w:rPr>
        <w:t>0.2%作为</w:t>
      </w:r>
      <w:r>
        <w:rPr>
          <w:rFonts w:hint="eastAsia" w:ascii="宋体" w:hAnsi="宋体" w:cs="宋体"/>
          <w:bCs/>
          <w:snapToGrid w:val="0"/>
          <w:kern w:val="0"/>
          <w:sz w:val="24"/>
          <w:szCs w:val="24"/>
          <w:lang w:val="zh-CN"/>
        </w:rPr>
        <w:t>按时完成</w:t>
      </w:r>
      <w:r>
        <w:rPr>
          <w:rFonts w:hint="eastAsia" w:ascii="宋体" w:hAnsi="宋体"/>
          <w:kern w:val="0"/>
          <w:sz w:val="24"/>
          <w:lang w:val="zh-CN"/>
        </w:rPr>
        <w:t>移交竣工档案的保证金）。</w:t>
      </w:r>
    </w:p>
    <w:p w14:paraId="3952E700">
      <w:pPr>
        <w:spacing w:line="360" w:lineRule="auto"/>
        <w:ind w:firstLine="480" w:firstLineChars="200"/>
        <w:rPr>
          <w:rFonts w:ascii="宋体" w:hAnsi="宋体"/>
          <w:kern w:val="0"/>
          <w:sz w:val="24"/>
        </w:rPr>
      </w:pPr>
      <w:r>
        <w:rPr>
          <w:rFonts w:hint="eastAsia" w:ascii="宋体" w:hAnsi="宋体" w:cs="宋体"/>
          <w:bCs/>
          <w:snapToGrid w:val="0"/>
          <w:kern w:val="0"/>
          <w:sz w:val="24"/>
          <w:szCs w:val="24"/>
          <w:lang w:val="zh-CN"/>
        </w:rPr>
        <w:t>（</w:t>
      </w:r>
      <w:r>
        <w:rPr>
          <w:rFonts w:ascii="宋体" w:hAnsi="宋体" w:cs="宋体"/>
          <w:bCs/>
          <w:snapToGrid w:val="0"/>
          <w:kern w:val="0"/>
          <w:sz w:val="24"/>
          <w:szCs w:val="24"/>
        </w:rPr>
        <w:t>7</w:t>
      </w:r>
      <w:r>
        <w:rPr>
          <w:rFonts w:hint="eastAsia" w:ascii="宋体" w:hAnsi="宋体" w:cs="宋体"/>
          <w:bCs/>
          <w:snapToGrid w:val="0"/>
          <w:kern w:val="0"/>
          <w:sz w:val="24"/>
          <w:szCs w:val="24"/>
        </w:rPr>
        <w:t>）</w:t>
      </w:r>
      <w:r>
        <w:rPr>
          <w:rFonts w:hint="eastAsia" w:ascii="宋体" w:hAnsi="宋体"/>
          <w:kern w:val="0"/>
          <w:sz w:val="24"/>
        </w:rPr>
        <w:t>本合同工程结算经发包人及其授权委托的第三方</w:t>
      </w:r>
      <w:r>
        <w:rPr>
          <w:rFonts w:hint="eastAsia" w:ascii="宋体" w:hAnsi="宋体" w:cs="宋体"/>
          <w:bCs/>
          <w:snapToGrid w:val="0"/>
          <w:kern w:val="0"/>
          <w:sz w:val="24"/>
          <w:szCs w:val="24"/>
        </w:rPr>
        <w:t>造价</w:t>
      </w:r>
      <w:r>
        <w:rPr>
          <w:rFonts w:hint="eastAsia" w:ascii="宋体" w:hAnsi="宋体"/>
          <w:kern w:val="0"/>
          <w:sz w:val="24"/>
        </w:rPr>
        <w:t>咨询单位审定、承包人按合同条款约定完成竣工验收备案及完整移交工程竣工资料至档案馆、结算资料至发包人档案室</w:t>
      </w:r>
      <w:r>
        <w:rPr>
          <w:rFonts w:hint="eastAsia" w:ascii="宋体" w:hAnsi="宋体"/>
          <w:kern w:val="0"/>
          <w:sz w:val="24"/>
          <w:lang w:val="en-US" w:eastAsia="zh-CN"/>
        </w:rPr>
        <w:t>并经发包人档案室审核通过</w:t>
      </w:r>
      <w:r>
        <w:rPr>
          <w:rFonts w:hint="eastAsia" w:ascii="宋体" w:hAnsi="宋体"/>
          <w:kern w:val="0"/>
          <w:sz w:val="24"/>
        </w:rPr>
        <w:t>后且不发生合同</w:t>
      </w:r>
      <w:r>
        <w:rPr>
          <w:rFonts w:hint="eastAsia" w:ascii="宋体" w:hAnsi="宋体" w:cs="宋体"/>
          <w:bCs/>
          <w:snapToGrid w:val="0"/>
          <w:kern w:val="0"/>
          <w:sz w:val="24"/>
          <w:szCs w:val="24"/>
        </w:rPr>
        <w:t>约定</w:t>
      </w:r>
      <w:r>
        <w:rPr>
          <w:rFonts w:hint="eastAsia" w:ascii="宋体" w:hAnsi="宋体"/>
          <w:kern w:val="0"/>
          <w:sz w:val="24"/>
        </w:rPr>
        <w:t>的违约情形的，发包人累计支付至本合同发包人审核工程结</w:t>
      </w:r>
      <w:r>
        <w:rPr>
          <w:rFonts w:hint="eastAsia" w:ascii="宋体" w:hAnsi="宋体" w:cs="宋体"/>
          <w:bCs/>
          <w:snapToGrid w:val="0"/>
          <w:kern w:val="0"/>
          <w:sz w:val="24"/>
          <w:szCs w:val="24"/>
        </w:rPr>
        <w:t>算</w:t>
      </w:r>
      <w:r>
        <w:rPr>
          <w:rFonts w:hint="eastAsia" w:ascii="宋体" w:hAnsi="宋体"/>
          <w:kern w:val="0"/>
          <w:sz w:val="24"/>
        </w:rPr>
        <w:t>金额的97%。</w:t>
      </w:r>
    </w:p>
    <w:p w14:paraId="62964F4E">
      <w:pPr>
        <w:spacing w:line="360" w:lineRule="auto"/>
        <w:ind w:firstLine="480" w:firstLineChars="200"/>
        <w:rPr>
          <w:rFonts w:ascii="宋体" w:hAnsi="宋体"/>
          <w:kern w:val="0"/>
          <w:sz w:val="24"/>
          <w:lang w:val="zh-CN"/>
        </w:rPr>
      </w:pPr>
      <w:r>
        <w:rPr>
          <w:rFonts w:hint="eastAsia" w:ascii="宋体" w:hAnsi="宋体" w:cs="宋体"/>
          <w:bCs/>
          <w:snapToGrid w:val="0"/>
          <w:kern w:val="0"/>
          <w:sz w:val="24"/>
          <w:szCs w:val="24"/>
        </w:rPr>
        <w:t>（</w:t>
      </w:r>
      <w:r>
        <w:rPr>
          <w:rFonts w:ascii="宋体" w:hAnsi="宋体" w:cs="宋体"/>
          <w:bCs/>
          <w:snapToGrid w:val="0"/>
          <w:kern w:val="0"/>
          <w:sz w:val="24"/>
          <w:szCs w:val="24"/>
        </w:rPr>
        <w:t>8</w:t>
      </w:r>
      <w:r>
        <w:rPr>
          <w:rFonts w:hint="eastAsia" w:ascii="宋体" w:hAnsi="宋体" w:cs="宋体"/>
          <w:bCs/>
          <w:snapToGrid w:val="0"/>
          <w:kern w:val="0"/>
          <w:sz w:val="24"/>
          <w:szCs w:val="24"/>
        </w:rPr>
        <w:t>）</w:t>
      </w:r>
      <w:r>
        <w:rPr>
          <w:rFonts w:hint="eastAsia" w:ascii="宋体" w:hAnsi="宋体"/>
          <w:kern w:val="0"/>
          <w:sz w:val="24"/>
        </w:rPr>
        <w:t>发包人审核最终工程结算金额的3%作为工程质量保证金并按如下约定方式支付：</w:t>
      </w:r>
    </w:p>
    <w:p w14:paraId="3CAED3DF">
      <w:pPr>
        <w:spacing w:line="360" w:lineRule="auto"/>
        <w:ind w:firstLine="480" w:firstLineChars="200"/>
        <w:rPr>
          <w:rFonts w:ascii="宋体" w:hAnsi="宋体"/>
          <w:kern w:val="0"/>
          <w:sz w:val="24"/>
          <w:lang w:val="zh-CN"/>
        </w:rPr>
      </w:pPr>
      <w:r>
        <w:rPr>
          <w:rFonts w:hint="eastAsia" w:ascii="宋体" w:hAnsi="宋体"/>
          <w:kern w:val="0"/>
          <w:sz w:val="24"/>
          <w:lang w:val="zh-CN"/>
        </w:rPr>
        <w:t>1）缺陷责任期</w:t>
      </w:r>
      <w:bookmarkStart w:id="466" w:name="OLE_LINK13"/>
      <w:bookmarkStart w:id="467" w:name="OLE_LINK14"/>
      <w:r>
        <w:rPr>
          <w:rFonts w:hint="eastAsia" w:ascii="宋体" w:hAnsi="宋体"/>
          <w:kern w:val="0"/>
          <w:sz w:val="24"/>
          <w:lang w:val="zh-CN"/>
        </w:rPr>
        <w:t>和质量保修期内</w:t>
      </w:r>
      <w:bookmarkEnd w:id="466"/>
      <w:bookmarkEnd w:id="467"/>
      <w:r>
        <w:rPr>
          <w:rFonts w:hint="eastAsia" w:ascii="宋体" w:hAnsi="宋体"/>
          <w:kern w:val="0"/>
          <w:sz w:val="24"/>
          <w:lang w:val="zh-CN"/>
        </w:rPr>
        <w:t>内，由承包人原因造成的缺陷，承包人应负责维修，并承担鉴定及维修费用；如承包人不维修也不承担费用，发包人可按合同约定扣除工程质量保证金，并由承包人承担违约责任；承包人维修并承担相应费用后，不免除承担对工程损失的赔偿责任。</w:t>
      </w:r>
    </w:p>
    <w:p w14:paraId="0308C81A">
      <w:pPr>
        <w:spacing w:line="360" w:lineRule="auto"/>
        <w:ind w:firstLine="480" w:firstLineChars="200"/>
        <w:rPr>
          <w:rFonts w:ascii="宋体" w:hAnsi="宋体"/>
          <w:kern w:val="0"/>
          <w:sz w:val="24"/>
          <w:lang w:val="zh-CN"/>
        </w:rPr>
      </w:pPr>
      <w:r>
        <w:rPr>
          <w:rFonts w:hint="eastAsia" w:ascii="宋体" w:hAnsi="宋体"/>
          <w:kern w:val="0"/>
          <w:sz w:val="24"/>
          <w:lang w:val="zh-CN"/>
        </w:rPr>
        <w:t>2）工程竣工验收合格后满2年，且承包人在对应的工程缺陷责任期和质量保修期内未出现违约情形，发包人应在收到承包人的款项申请手续</w:t>
      </w:r>
      <w:r>
        <w:rPr>
          <w:rFonts w:hint="eastAsia" w:ascii="宋体" w:hAnsi="宋体" w:cs="宋体"/>
          <w:bCs/>
          <w:snapToGrid w:val="0"/>
          <w:kern w:val="0"/>
          <w:sz w:val="24"/>
          <w:szCs w:val="24"/>
          <w:lang w:val="zh-CN"/>
        </w:rPr>
        <w:t>后2</w:t>
      </w:r>
      <w:r>
        <w:rPr>
          <w:rFonts w:ascii="宋体" w:hAnsi="宋体" w:cs="宋体"/>
          <w:bCs/>
          <w:snapToGrid w:val="0"/>
          <w:kern w:val="0"/>
          <w:sz w:val="24"/>
          <w:szCs w:val="24"/>
          <w:lang w:val="zh-CN"/>
        </w:rPr>
        <w:t>8</w:t>
      </w:r>
      <w:r>
        <w:rPr>
          <w:rFonts w:hint="eastAsia" w:ascii="宋体" w:hAnsi="宋体" w:cs="宋体"/>
          <w:bCs/>
          <w:snapToGrid w:val="0"/>
          <w:kern w:val="0"/>
          <w:sz w:val="24"/>
          <w:szCs w:val="24"/>
          <w:lang w:val="zh-CN"/>
        </w:rPr>
        <w:t>天内</w:t>
      </w:r>
      <w:r>
        <w:rPr>
          <w:rFonts w:hint="eastAsia" w:ascii="宋体" w:hAnsi="宋体"/>
          <w:kern w:val="0"/>
          <w:sz w:val="24"/>
          <w:lang w:val="zh-CN"/>
        </w:rPr>
        <w:t>将经发包人审定的本合同最终结算金额</w:t>
      </w:r>
      <w:r>
        <w:rPr>
          <w:rFonts w:hint="eastAsia" w:ascii="宋体" w:hAnsi="宋体"/>
          <w:kern w:val="0"/>
          <w:sz w:val="24"/>
        </w:rPr>
        <w:t>扣除应扣款项后</w:t>
      </w:r>
      <w:r>
        <w:rPr>
          <w:rFonts w:hint="eastAsia" w:ascii="宋体" w:hAnsi="宋体"/>
          <w:kern w:val="0"/>
          <w:sz w:val="24"/>
          <w:lang w:val="zh-CN"/>
        </w:rPr>
        <w:t>无息支付给承包人。</w:t>
      </w:r>
    </w:p>
    <w:p w14:paraId="581B7A01">
      <w:pPr>
        <w:spacing w:line="360" w:lineRule="auto"/>
        <w:ind w:firstLine="480" w:firstLineChars="200"/>
        <w:rPr>
          <w:rFonts w:ascii="宋体" w:hAnsi="宋体"/>
          <w:kern w:val="0"/>
          <w:sz w:val="24"/>
        </w:rPr>
      </w:pPr>
      <w:r>
        <w:rPr>
          <w:rFonts w:hint="eastAsia" w:ascii="宋体" w:hAnsi="宋体" w:cs="宋体"/>
          <w:bCs/>
          <w:snapToGrid w:val="0"/>
          <w:kern w:val="0"/>
          <w:sz w:val="24"/>
          <w:szCs w:val="24"/>
          <w:lang w:val="en-US" w:eastAsia="zh-CN"/>
        </w:rPr>
        <w:t>3</w:t>
      </w:r>
      <w:r>
        <w:rPr>
          <w:rFonts w:hint="eastAsia" w:ascii="宋体" w:hAnsi="宋体" w:cs="宋体"/>
          <w:bCs/>
          <w:snapToGrid w:val="0"/>
          <w:kern w:val="0"/>
          <w:sz w:val="24"/>
          <w:szCs w:val="24"/>
        </w:rPr>
        <w:t>）</w:t>
      </w:r>
      <w:r>
        <w:rPr>
          <w:rFonts w:hint="eastAsia" w:ascii="宋体" w:hAnsi="宋体"/>
          <w:kern w:val="0"/>
          <w:sz w:val="24"/>
        </w:rPr>
        <w:t>结清工程款尾款不豁免承包人继续按照本合同</w:t>
      </w:r>
      <w:r>
        <w:rPr>
          <w:rFonts w:hint="eastAsia" w:ascii="宋体" w:hAnsi="宋体" w:cs="宋体"/>
          <w:bCs/>
          <w:snapToGrid w:val="0"/>
          <w:kern w:val="0"/>
          <w:sz w:val="24"/>
          <w:szCs w:val="24"/>
        </w:rPr>
        <w:t>及</w:t>
      </w:r>
      <w:r>
        <w:rPr>
          <w:rFonts w:hint="eastAsia" w:ascii="宋体" w:hAnsi="宋体"/>
          <w:kern w:val="0"/>
          <w:sz w:val="24"/>
        </w:rPr>
        <w:t>合同附件约定应承担的保修责任。</w:t>
      </w:r>
    </w:p>
    <w:p w14:paraId="27BFC347">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9</w:t>
      </w:r>
      <w:r>
        <w:rPr>
          <w:rFonts w:hint="eastAsia" w:ascii="宋体" w:hAnsi="宋体"/>
          <w:kern w:val="0"/>
          <w:sz w:val="24"/>
        </w:rPr>
        <w:t>）</w:t>
      </w:r>
      <w:r>
        <w:rPr>
          <w:rFonts w:ascii="宋体" w:hAnsi="宋体"/>
          <w:kern w:val="0"/>
          <w:sz w:val="24"/>
        </w:rPr>
        <w:t>发包人有权但无义务使用商业/银行承兑汇票、信用证或供应链融资（包括但不限于保理）等方式支付不高于合同总价款 30%的工程款，若发包人采用该方式支付，</w:t>
      </w:r>
      <w:r>
        <w:rPr>
          <w:rFonts w:hint="eastAsia" w:ascii="宋体" w:hAnsi="宋体"/>
          <w:kern w:val="0"/>
          <w:sz w:val="24"/>
        </w:rPr>
        <w:t>则商业承兑汇票开具之日或等同文件的签发之日为付款日。</w:t>
      </w:r>
    </w:p>
    <w:p w14:paraId="7FE073A3">
      <w:pPr>
        <w:spacing w:line="360" w:lineRule="auto"/>
        <w:ind w:firstLine="480" w:firstLineChars="200"/>
        <w:rPr>
          <w:rFonts w:ascii="宋体" w:hAnsi="宋体"/>
          <w:kern w:val="0"/>
          <w:sz w:val="24"/>
        </w:rPr>
      </w:pPr>
      <w:r>
        <w:rPr>
          <w:rFonts w:hint="eastAsia" w:ascii="宋体" w:hAnsi="宋体" w:cs="宋体"/>
          <w:bCs/>
          <w:snapToGrid w:val="0"/>
          <w:kern w:val="0"/>
          <w:sz w:val="24"/>
          <w:szCs w:val="24"/>
        </w:rPr>
        <w:t>（</w:t>
      </w:r>
      <w:r>
        <w:rPr>
          <w:rFonts w:ascii="宋体" w:hAnsi="宋体" w:cs="宋体"/>
          <w:bCs/>
          <w:snapToGrid w:val="0"/>
          <w:kern w:val="0"/>
          <w:sz w:val="24"/>
          <w:szCs w:val="24"/>
        </w:rPr>
        <w:t>10</w:t>
      </w:r>
      <w:r>
        <w:rPr>
          <w:rFonts w:hint="eastAsia" w:ascii="宋体" w:hAnsi="宋体" w:cs="宋体"/>
          <w:bCs/>
          <w:snapToGrid w:val="0"/>
          <w:kern w:val="0"/>
          <w:sz w:val="24"/>
          <w:szCs w:val="24"/>
        </w:rPr>
        <w:t>）</w:t>
      </w:r>
      <w:r>
        <w:rPr>
          <w:rFonts w:hint="eastAsia" w:ascii="宋体" w:hAnsi="宋体"/>
          <w:kern w:val="0"/>
          <w:sz w:val="24"/>
        </w:rPr>
        <w:t>发包人已支付的累计金额大于经发包人审定的</w:t>
      </w:r>
      <w:r>
        <w:rPr>
          <w:rFonts w:hint="eastAsia" w:ascii="宋体" w:hAnsi="宋体"/>
          <w:kern w:val="0"/>
          <w:sz w:val="24"/>
          <w:lang w:val="zh-CN"/>
        </w:rPr>
        <w:t>本合同最终</w:t>
      </w:r>
      <w:r>
        <w:rPr>
          <w:rFonts w:hint="eastAsia" w:ascii="宋体" w:hAnsi="宋体"/>
          <w:kern w:val="0"/>
          <w:sz w:val="24"/>
        </w:rPr>
        <w:t>结算金额的97%的，承包人应在工程结算定审之日起15日内向发包人返还多收的款项；否则，发包人有权向承包人追索，承包人除应足额返还多收的款项外，还应每天按多收款项总金额的2‰向发包人支付违约金。</w:t>
      </w:r>
      <w:bookmarkStart w:id="468" w:name="_Toc502215508"/>
      <w:bookmarkStart w:id="469" w:name="_Toc504465911"/>
    </w:p>
    <w:p w14:paraId="11F6375D">
      <w:pPr>
        <w:spacing w:line="360" w:lineRule="auto"/>
        <w:ind w:firstLine="480" w:firstLineChars="200"/>
        <w:rPr>
          <w:rFonts w:ascii="宋体" w:hAnsi="宋体" w:cs="宋体"/>
          <w:bCs/>
          <w:sz w:val="24"/>
          <w:szCs w:val="24"/>
        </w:rPr>
      </w:pPr>
      <w:r>
        <w:rPr>
          <w:rFonts w:hint="eastAsia" w:ascii="宋体" w:hAnsi="宋体" w:cs="宋体"/>
          <w:bCs/>
          <w:snapToGrid w:val="0"/>
          <w:kern w:val="0"/>
          <w:sz w:val="24"/>
          <w:szCs w:val="24"/>
        </w:rPr>
        <w:t>（</w:t>
      </w:r>
      <w:r>
        <w:rPr>
          <w:rFonts w:ascii="宋体" w:hAnsi="宋体" w:cs="宋体"/>
          <w:bCs/>
          <w:snapToGrid w:val="0"/>
          <w:kern w:val="0"/>
          <w:sz w:val="24"/>
          <w:szCs w:val="24"/>
        </w:rPr>
        <w:t>11</w:t>
      </w:r>
      <w:r>
        <w:rPr>
          <w:rFonts w:hint="eastAsia" w:ascii="宋体" w:hAnsi="宋体" w:cs="宋体"/>
          <w:bCs/>
          <w:snapToGrid w:val="0"/>
          <w:kern w:val="0"/>
          <w:sz w:val="24"/>
          <w:szCs w:val="24"/>
        </w:rPr>
        <w:t>）</w:t>
      </w:r>
      <w:r>
        <w:rPr>
          <w:rFonts w:hint="eastAsia" w:ascii="宋体" w:hAnsi="宋体"/>
          <w:sz w:val="24"/>
        </w:rPr>
        <w:t>承包人应按</w:t>
      </w:r>
      <w:r>
        <w:rPr>
          <w:rFonts w:hint="eastAsia" w:ascii="宋体" w:hAnsi="宋体" w:cs="宋体"/>
          <w:bCs/>
          <w:sz w:val="24"/>
        </w:rPr>
        <w:t>发包人</w:t>
      </w:r>
      <w:r>
        <w:rPr>
          <w:rFonts w:hint="eastAsia" w:ascii="宋体" w:hAnsi="宋体"/>
          <w:sz w:val="24"/>
        </w:rPr>
        <w:t>的</w:t>
      </w:r>
      <w:r>
        <w:rPr>
          <w:rFonts w:hint="eastAsia" w:ascii="宋体" w:hAnsi="宋体" w:cs="宋体"/>
          <w:bCs/>
          <w:sz w:val="24"/>
        </w:rPr>
        <w:t>纳税人</w:t>
      </w:r>
      <w:r>
        <w:rPr>
          <w:rFonts w:hint="eastAsia" w:ascii="宋体" w:hAnsi="宋体"/>
          <w:sz w:val="24"/>
        </w:rPr>
        <w:t>的</w:t>
      </w:r>
      <w:r>
        <w:rPr>
          <w:rFonts w:hint="eastAsia" w:ascii="宋体" w:hAnsi="宋体" w:cs="宋体"/>
          <w:bCs/>
          <w:sz w:val="24"/>
        </w:rPr>
        <w:t>信息开具</w:t>
      </w:r>
      <w:r>
        <w:rPr>
          <w:rFonts w:hint="eastAsia" w:ascii="宋体" w:hAnsi="宋体"/>
          <w:sz w:val="24"/>
        </w:rPr>
        <w:t>增值税专用发票</w:t>
      </w:r>
      <w:r>
        <w:rPr>
          <w:rFonts w:hint="eastAsia" w:ascii="宋体" w:hAnsi="宋体" w:cs="宋体"/>
          <w:bCs/>
          <w:sz w:val="24"/>
        </w:rPr>
        <w:t>，</w:t>
      </w:r>
      <w:r>
        <w:rPr>
          <w:rFonts w:hint="eastAsia" w:ascii="宋体" w:hAnsi="宋体" w:cs="宋体"/>
          <w:bCs/>
          <w:sz w:val="24"/>
          <w:szCs w:val="24"/>
        </w:rPr>
        <w:t>具体信息如下：</w:t>
      </w:r>
    </w:p>
    <w:p w14:paraId="525229A3">
      <w:pPr>
        <w:spacing w:line="360" w:lineRule="auto"/>
        <w:ind w:left="1" w:firstLine="480" w:firstLineChars="200"/>
        <w:jc w:val="left"/>
        <w:rPr>
          <w:rFonts w:ascii="宋体" w:hAnsi="宋体" w:cs="宋体"/>
          <w:bCs/>
          <w:sz w:val="24"/>
          <w:szCs w:val="24"/>
        </w:rPr>
      </w:pPr>
      <w:r>
        <w:rPr>
          <w:rFonts w:hint="eastAsia" w:ascii="宋体" w:hAnsi="宋体" w:cs="宋体"/>
          <w:bCs/>
          <w:sz w:val="24"/>
          <w:szCs w:val="24"/>
        </w:rPr>
        <w:t>公司名称：广州</w:t>
      </w:r>
      <w:r>
        <w:rPr>
          <w:rFonts w:hint="eastAsia" w:ascii="宋体" w:hAnsi="宋体" w:cs="宋体"/>
          <w:bCs/>
          <w:sz w:val="24"/>
          <w:szCs w:val="24"/>
          <w:lang w:val="en-US" w:eastAsia="zh-CN"/>
        </w:rPr>
        <w:t>尚龙</w:t>
      </w:r>
      <w:r>
        <w:rPr>
          <w:rFonts w:hint="eastAsia" w:ascii="宋体" w:hAnsi="宋体" w:cs="宋体"/>
          <w:bCs/>
          <w:sz w:val="24"/>
          <w:szCs w:val="24"/>
        </w:rPr>
        <w:t xml:space="preserve">置业有限公司 </w:t>
      </w:r>
    </w:p>
    <w:p w14:paraId="3206802D">
      <w:pPr>
        <w:spacing w:line="360" w:lineRule="auto"/>
        <w:ind w:left="1" w:firstLine="480" w:firstLineChars="200"/>
        <w:jc w:val="left"/>
        <w:rPr>
          <w:rFonts w:ascii="宋体" w:hAnsi="宋体" w:cs="宋体"/>
          <w:bCs/>
          <w:sz w:val="24"/>
          <w:szCs w:val="24"/>
        </w:rPr>
      </w:pPr>
      <w:r>
        <w:rPr>
          <w:rFonts w:hint="eastAsia" w:ascii="宋体" w:hAnsi="宋体" w:cs="宋体"/>
          <w:bCs/>
          <w:sz w:val="24"/>
          <w:szCs w:val="24"/>
        </w:rPr>
        <w:t>税号：</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w:t>
      </w:r>
    </w:p>
    <w:p w14:paraId="1695F095">
      <w:pPr>
        <w:spacing w:line="360" w:lineRule="auto"/>
        <w:ind w:left="1" w:firstLine="480" w:firstLineChars="200"/>
        <w:jc w:val="left"/>
        <w:rPr>
          <w:rFonts w:ascii="宋体" w:hAnsi="宋体" w:cs="宋体"/>
          <w:bCs/>
          <w:sz w:val="24"/>
          <w:szCs w:val="24"/>
        </w:rPr>
      </w:pPr>
      <w:r>
        <w:rPr>
          <w:rFonts w:hint="eastAsia" w:ascii="宋体" w:hAnsi="宋体" w:cs="宋体"/>
          <w:bCs/>
          <w:sz w:val="24"/>
          <w:szCs w:val="24"/>
        </w:rPr>
        <w:t xml:space="preserve">单位地址：广州市黄埔区科学大道60号2801至2808房 </w:t>
      </w:r>
    </w:p>
    <w:p w14:paraId="0AEE967F">
      <w:pPr>
        <w:spacing w:line="360" w:lineRule="auto"/>
        <w:ind w:left="1" w:firstLine="480" w:firstLineChars="200"/>
        <w:jc w:val="left"/>
        <w:rPr>
          <w:rFonts w:ascii="宋体" w:hAnsi="宋体" w:cs="宋体"/>
          <w:bCs/>
          <w:sz w:val="24"/>
          <w:szCs w:val="24"/>
        </w:rPr>
      </w:pPr>
      <w:r>
        <w:rPr>
          <w:rFonts w:hint="eastAsia" w:ascii="宋体" w:hAnsi="宋体" w:cs="宋体"/>
          <w:bCs/>
          <w:sz w:val="24"/>
          <w:szCs w:val="24"/>
        </w:rPr>
        <w:t xml:space="preserve">电话号码：32057636 </w:t>
      </w:r>
    </w:p>
    <w:p w14:paraId="05602F6B">
      <w:pPr>
        <w:spacing w:line="360" w:lineRule="auto"/>
        <w:ind w:left="1" w:firstLine="480" w:firstLineChars="200"/>
        <w:jc w:val="left"/>
        <w:rPr>
          <w:rFonts w:ascii="宋体" w:hAnsi="宋体" w:cs="宋体"/>
          <w:bCs/>
          <w:sz w:val="24"/>
          <w:szCs w:val="24"/>
        </w:rPr>
      </w:pPr>
      <w:r>
        <w:rPr>
          <w:rFonts w:hint="eastAsia" w:ascii="宋体" w:hAnsi="宋体" w:cs="宋体"/>
          <w:bCs/>
          <w:sz w:val="24"/>
          <w:szCs w:val="24"/>
        </w:rPr>
        <w:t>开户银行：</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w:t>
      </w:r>
    </w:p>
    <w:p w14:paraId="566761D5">
      <w:pPr>
        <w:spacing w:line="360" w:lineRule="auto"/>
        <w:ind w:left="1" w:firstLine="480" w:firstLineChars="200"/>
        <w:jc w:val="left"/>
        <w:rPr>
          <w:rFonts w:hint="eastAsia" w:ascii="宋体" w:hAnsi="宋体" w:eastAsia="宋体" w:cs="宋体"/>
          <w:bCs/>
          <w:sz w:val="24"/>
          <w:szCs w:val="24"/>
          <w:lang w:eastAsia="zh-CN"/>
        </w:rPr>
      </w:pPr>
      <w:r>
        <w:rPr>
          <w:rFonts w:hint="eastAsia" w:ascii="宋体" w:hAnsi="宋体" w:cs="宋体"/>
          <w:bCs/>
          <w:sz w:val="24"/>
          <w:szCs w:val="24"/>
        </w:rPr>
        <w:t>银行账户：</w:t>
      </w:r>
      <w:r>
        <w:rPr>
          <w:rFonts w:hint="eastAsia" w:ascii="宋体" w:hAnsi="宋体" w:cs="宋体"/>
          <w:bCs/>
          <w:sz w:val="24"/>
          <w:szCs w:val="24"/>
          <w:lang w:val="en-US" w:eastAsia="zh-CN"/>
        </w:rPr>
        <w:t xml:space="preserve"> </w:t>
      </w:r>
    </w:p>
    <w:p w14:paraId="1F36E69E">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ascii="宋体" w:hAnsi="宋体" w:cs="宋体"/>
          <w:sz w:val="24"/>
          <w:szCs w:val="24"/>
        </w:rPr>
        <w:t>2</w:t>
      </w:r>
      <w:r>
        <w:rPr>
          <w:rFonts w:hint="eastAsia" w:ascii="宋体" w:hAnsi="宋体" w:cs="宋体"/>
          <w:sz w:val="24"/>
          <w:szCs w:val="24"/>
        </w:rPr>
        <w:t>）发包人将勘察费、设计费（海绵城市设计等）支付至承包人（成）银行账号，具体信息如下：</w:t>
      </w:r>
    </w:p>
    <w:p w14:paraId="63FB84F0">
      <w:pPr>
        <w:spacing w:line="360" w:lineRule="auto"/>
        <w:ind w:firstLine="480" w:firstLineChars="200"/>
        <w:rPr>
          <w:rFonts w:hint="eastAsia" w:ascii="宋体" w:hAnsi="宋体" w:eastAsia="宋体" w:cs="宋体"/>
          <w:sz w:val="24"/>
          <w:szCs w:val="24"/>
          <w:lang w:eastAsia="zh-CN"/>
        </w:rPr>
      </w:pPr>
      <w:r>
        <w:rPr>
          <w:rFonts w:hint="eastAsia" w:ascii="宋体" w:hAnsi="宋体"/>
          <w:sz w:val="24"/>
        </w:rPr>
        <w:t>开户银行：</w:t>
      </w:r>
      <w:r>
        <w:rPr>
          <w:rFonts w:hint="eastAsia" w:ascii="宋体" w:hAnsi="宋体"/>
          <w:sz w:val="24"/>
          <w:lang w:val="en-US" w:eastAsia="zh-CN"/>
        </w:rPr>
        <w:t xml:space="preserve"> </w:t>
      </w:r>
    </w:p>
    <w:p w14:paraId="20C1EEA7">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户名：</w:t>
      </w:r>
      <w:r>
        <w:rPr>
          <w:rFonts w:hint="eastAsia" w:ascii="宋体" w:hAnsi="宋体"/>
          <w:sz w:val="24"/>
          <w:lang w:val="en-US" w:eastAsia="zh-CN"/>
        </w:rPr>
        <w:t xml:space="preserve"> </w:t>
      </w:r>
    </w:p>
    <w:p w14:paraId="6B495C6F">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账号：</w:t>
      </w:r>
      <w:r>
        <w:rPr>
          <w:rFonts w:hint="eastAsia" w:ascii="宋体" w:hAnsi="宋体"/>
          <w:sz w:val="24"/>
          <w:lang w:val="en-US" w:eastAsia="zh-CN"/>
        </w:rPr>
        <w:t xml:space="preserve"> </w:t>
      </w:r>
    </w:p>
    <w:p w14:paraId="5782B83A">
      <w:pPr>
        <w:spacing w:line="360" w:lineRule="auto"/>
        <w:ind w:firstLine="480" w:firstLineChars="200"/>
        <w:rPr>
          <w:rFonts w:hint="eastAsia" w:ascii="宋体" w:hAnsi="宋体"/>
          <w:sz w:val="24"/>
          <w:lang w:val="en-US" w:eastAsia="zh-CN"/>
        </w:rPr>
      </w:pPr>
      <w:r>
        <w:rPr>
          <w:rFonts w:hint="eastAsia" w:ascii="宋体" w:hAnsi="宋体" w:cs="宋体"/>
          <w:sz w:val="24"/>
          <w:szCs w:val="24"/>
        </w:rPr>
        <w:t>统一社会信用代码/纳税人识别号：</w:t>
      </w:r>
      <w:r>
        <w:rPr>
          <w:rFonts w:hint="eastAsia" w:ascii="宋体" w:hAnsi="宋体"/>
          <w:sz w:val="24"/>
          <w:lang w:val="en-US" w:eastAsia="zh-CN"/>
        </w:rPr>
        <w:t xml:space="preserve"> </w:t>
      </w:r>
    </w:p>
    <w:p w14:paraId="188C6CA8">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注册地址：</w:t>
      </w:r>
      <w:r>
        <w:rPr>
          <w:rFonts w:hint="eastAsia" w:ascii="宋体" w:hAnsi="宋体"/>
          <w:sz w:val="24"/>
          <w:lang w:val="en-US" w:eastAsia="zh-CN"/>
        </w:rPr>
        <w:t xml:space="preserve"> </w:t>
      </w:r>
    </w:p>
    <w:p w14:paraId="5A5B8EB9">
      <w:pPr>
        <w:spacing w:line="360" w:lineRule="auto"/>
        <w:ind w:firstLine="480" w:firstLineChars="200"/>
        <w:rPr>
          <w:rFonts w:ascii="宋体" w:hAnsi="宋体" w:cs="宋体"/>
          <w:sz w:val="24"/>
          <w:szCs w:val="24"/>
        </w:rPr>
      </w:pPr>
      <w:r>
        <w:rPr>
          <w:rFonts w:hint="eastAsia" w:ascii="宋体" w:hAnsi="宋体" w:cs="宋体"/>
          <w:sz w:val="24"/>
          <w:szCs w:val="24"/>
        </w:rPr>
        <w:t>是否为“增值税一般纳税人”：是</w:t>
      </w:r>
    </w:p>
    <w:p w14:paraId="166CAC70">
      <w:pPr>
        <w:spacing w:line="360" w:lineRule="auto"/>
        <w:ind w:firstLine="480" w:firstLineChars="200"/>
        <w:rPr>
          <w:rFonts w:ascii="宋体" w:hAnsi="宋体"/>
          <w:sz w:val="24"/>
        </w:rPr>
      </w:pPr>
      <w:r>
        <w:rPr>
          <w:rFonts w:hint="eastAsia" w:ascii="宋体" w:hAnsi="宋体" w:cs="宋体"/>
          <w:sz w:val="24"/>
          <w:szCs w:val="24"/>
        </w:rPr>
        <w:t>（1</w:t>
      </w:r>
      <w:r>
        <w:rPr>
          <w:rFonts w:ascii="宋体" w:hAnsi="宋体" w:cs="宋体"/>
          <w:sz w:val="24"/>
          <w:szCs w:val="24"/>
        </w:rPr>
        <w:t>3</w:t>
      </w:r>
      <w:r>
        <w:rPr>
          <w:rFonts w:hint="eastAsia" w:ascii="宋体" w:hAnsi="宋体" w:cs="宋体"/>
          <w:sz w:val="24"/>
          <w:szCs w:val="24"/>
        </w:rPr>
        <w:t>）发包人</w:t>
      </w:r>
      <w:r>
        <w:rPr>
          <w:rFonts w:hint="eastAsia" w:ascii="宋体" w:hAnsi="宋体"/>
          <w:sz w:val="24"/>
        </w:rPr>
        <w:t>将工程施工进度款支付至承包人</w:t>
      </w:r>
      <w:r>
        <w:rPr>
          <w:rFonts w:hint="eastAsia" w:ascii="宋体" w:hAnsi="宋体" w:cs="宋体"/>
          <w:sz w:val="24"/>
          <w:szCs w:val="24"/>
        </w:rPr>
        <w:t>（主）银行账号，具体信息如下：</w:t>
      </w:r>
    </w:p>
    <w:p w14:paraId="5736228B">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开户银行：</w:t>
      </w:r>
      <w:r>
        <w:rPr>
          <w:rFonts w:hint="eastAsia" w:ascii="宋体" w:hAnsi="宋体" w:cs="宋体"/>
          <w:sz w:val="24"/>
          <w:szCs w:val="24"/>
          <w:lang w:val="en-US" w:eastAsia="zh-CN"/>
        </w:rPr>
        <w:t xml:space="preserve"> </w:t>
      </w:r>
    </w:p>
    <w:p w14:paraId="2FB45809">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户名：</w:t>
      </w:r>
      <w:r>
        <w:rPr>
          <w:rFonts w:hint="eastAsia" w:ascii="宋体" w:hAnsi="宋体" w:cs="宋体"/>
          <w:sz w:val="24"/>
          <w:szCs w:val="24"/>
          <w:lang w:val="en-US" w:eastAsia="zh-CN"/>
        </w:rPr>
        <w:t xml:space="preserve"> </w:t>
      </w:r>
    </w:p>
    <w:p w14:paraId="37E6BA5D">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账号：</w:t>
      </w:r>
      <w:r>
        <w:rPr>
          <w:rFonts w:hint="eastAsia" w:ascii="宋体" w:hAnsi="宋体" w:cs="宋体"/>
          <w:sz w:val="24"/>
          <w:szCs w:val="24"/>
          <w:lang w:val="en-US" w:eastAsia="zh-CN"/>
        </w:rPr>
        <w:t xml:space="preserve"> </w:t>
      </w:r>
    </w:p>
    <w:p w14:paraId="3F0CB024">
      <w:pPr>
        <w:spacing w:line="360" w:lineRule="auto"/>
        <w:ind w:firstLine="480" w:firstLineChars="200"/>
        <w:rPr>
          <w:rFonts w:ascii="宋体" w:hAnsi="宋体" w:cs="宋体"/>
          <w:sz w:val="24"/>
          <w:szCs w:val="24"/>
        </w:rPr>
      </w:pPr>
      <w:r>
        <w:rPr>
          <w:rFonts w:hint="eastAsia" w:ascii="宋体" w:hAnsi="宋体" w:cs="宋体"/>
          <w:sz w:val="24"/>
          <w:szCs w:val="24"/>
        </w:rPr>
        <w:t>统一社会信用代码/纳税人识别号：</w:t>
      </w:r>
      <w:r>
        <w:rPr>
          <w:rFonts w:hint="eastAsia" w:ascii="宋体" w:hAnsi="宋体" w:cs="宋体"/>
          <w:sz w:val="24"/>
          <w:szCs w:val="24"/>
          <w:lang w:val="en-US" w:eastAsia="zh-CN"/>
        </w:rPr>
        <w:t xml:space="preserve"> </w:t>
      </w:r>
      <w:r>
        <w:rPr>
          <w:rFonts w:hint="eastAsia" w:ascii="宋体" w:hAnsi="宋体" w:cs="宋体"/>
          <w:sz w:val="24"/>
          <w:szCs w:val="24"/>
        </w:rPr>
        <w:t xml:space="preserve"> </w:t>
      </w:r>
    </w:p>
    <w:p w14:paraId="2927174F">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注册地址：</w:t>
      </w:r>
      <w:r>
        <w:rPr>
          <w:rFonts w:hint="eastAsia" w:ascii="宋体" w:hAnsi="宋体" w:cs="宋体"/>
          <w:sz w:val="24"/>
          <w:szCs w:val="24"/>
          <w:lang w:val="en-US" w:eastAsia="zh-CN"/>
        </w:rPr>
        <w:t xml:space="preserve"> </w:t>
      </w:r>
    </w:p>
    <w:p w14:paraId="52E1F9BE">
      <w:pPr>
        <w:spacing w:line="360" w:lineRule="auto"/>
        <w:ind w:firstLine="480" w:firstLineChars="200"/>
        <w:rPr>
          <w:rFonts w:ascii="宋体" w:hAnsi="宋体" w:cs="宋体"/>
          <w:sz w:val="24"/>
          <w:szCs w:val="24"/>
        </w:rPr>
      </w:pPr>
      <w:r>
        <w:rPr>
          <w:rFonts w:hint="eastAsia" w:ascii="宋体" w:hAnsi="宋体" w:cs="宋体"/>
          <w:sz w:val="24"/>
          <w:szCs w:val="24"/>
        </w:rPr>
        <w:t>是否为“增值税一般纳税人”：是</w:t>
      </w:r>
    </w:p>
    <w:p w14:paraId="2A13E989">
      <w:pPr>
        <w:spacing w:line="360" w:lineRule="auto"/>
        <w:ind w:firstLine="480" w:firstLineChars="200"/>
        <w:rPr>
          <w:rFonts w:ascii="宋体" w:hAnsi="宋体"/>
          <w:kern w:val="0"/>
          <w:sz w:val="24"/>
        </w:rPr>
      </w:pPr>
      <w:r>
        <w:rPr>
          <w:rFonts w:hint="eastAsia" w:ascii="宋体" w:hAnsi="宋体" w:cs="宋体"/>
          <w:bCs/>
          <w:snapToGrid w:val="0"/>
          <w:kern w:val="0"/>
          <w:sz w:val="24"/>
          <w:szCs w:val="24"/>
        </w:rPr>
        <w:t>30.3发包人在审核</w:t>
      </w:r>
      <w:r>
        <w:rPr>
          <w:rFonts w:hint="eastAsia" w:ascii="宋体" w:hAnsi="宋体"/>
          <w:kern w:val="0"/>
          <w:sz w:val="24"/>
        </w:rPr>
        <w:t>每期进度款时，如发现承包人存在欠缴违约金、罚款或其他应承担责任情形的，则发包人有权</w:t>
      </w:r>
      <w:r>
        <w:rPr>
          <w:rFonts w:hint="eastAsia" w:ascii="宋体" w:hAnsi="宋体" w:cs="宋体"/>
          <w:bCs/>
          <w:snapToGrid w:val="0"/>
          <w:kern w:val="0"/>
          <w:sz w:val="24"/>
          <w:szCs w:val="24"/>
        </w:rPr>
        <w:t>要求</w:t>
      </w:r>
      <w:r>
        <w:rPr>
          <w:rFonts w:hint="eastAsia" w:ascii="宋体" w:hAnsi="宋体"/>
          <w:kern w:val="0"/>
          <w:sz w:val="24"/>
        </w:rPr>
        <w:t>暂停支付承包人当期申请支付的进度款，直至承包人缴清违约金及罚款为止，或有权从工程进度款中直接扣除。</w:t>
      </w:r>
    </w:p>
    <w:p w14:paraId="3BB50BE8">
      <w:pPr>
        <w:spacing w:line="360" w:lineRule="auto"/>
        <w:ind w:firstLine="480" w:firstLineChars="200"/>
        <w:rPr>
          <w:rFonts w:ascii="宋体" w:hAnsi="宋体"/>
          <w:kern w:val="0"/>
          <w:sz w:val="24"/>
        </w:rPr>
      </w:pPr>
      <w:r>
        <w:rPr>
          <w:rFonts w:hint="eastAsia" w:ascii="宋体" w:hAnsi="宋体" w:cs="宋体"/>
          <w:bCs/>
          <w:snapToGrid w:val="0"/>
          <w:kern w:val="0"/>
          <w:sz w:val="24"/>
          <w:szCs w:val="24"/>
        </w:rPr>
        <w:t>30.4发包人每次付款</w:t>
      </w:r>
      <w:r>
        <w:rPr>
          <w:rFonts w:hint="eastAsia" w:ascii="宋体" w:hAnsi="宋体"/>
          <w:kern w:val="0"/>
          <w:sz w:val="24"/>
        </w:rPr>
        <w:t>前</w:t>
      </w:r>
      <w:r>
        <w:rPr>
          <w:rFonts w:hint="eastAsia" w:ascii="宋体" w:hAnsi="宋体" w:cs="宋体"/>
          <w:bCs/>
          <w:snapToGrid w:val="0"/>
          <w:kern w:val="0"/>
          <w:sz w:val="24"/>
          <w:szCs w:val="24"/>
        </w:rPr>
        <w:t>，</w:t>
      </w:r>
      <w:r>
        <w:rPr>
          <w:rFonts w:hint="eastAsia" w:ascii="宋体" w:hAnsi="宋体"/>
          <w:kern w:val="0"/>
          <w:sz w:val="24"/>
        </w:rPr>
        <w:t>承包人</w:t>
      </w:r>
      <w:r>
        <w:rPr>
          <w:rFonts w:hint="eastAsia" w:ascii="宋体" w:hAnsi="宋体" w:cs="宋体"/>
          <w:bCs/>
          <w:snapToGrid w:val="0"/>
          <w:kern w:val="0"/>
          <w:sz w:val="24"/>
          <w:szCs w:val="24"/>
        </w:rPr>
        <w:t>应按本合同约定及发包人</w:t>
      </w:r>
      <w:r>
        <w:rPr>
          <w:rFonts w:hint="eastAsia" w:ascii="宋体" w:hAnsi="宋体"/>
          <w:kern w:val="0"/>
          <w:sz w:val="24"/>
        </w:rPr>
        <w:t>确认的金额</w:t>
      </w:r>
      <w:r>
        <w:rPr>
          <w:rFonts w:hint="eastAsia" w:ascii="宋体" w:hAnsi="宋体" w:cs="宋体"/>
          <w:bCs/>
          <w:snapToGrid w:val="0"/>
          <w:kern w:val="0"/>
          <w:sz w:val="24"/>
          <w:szCs w:val="24"/>
        </w:rPr>
        <w:t>，先行向发包人提供符合本合同约定、足额合法且符合发包人所在地税务机关规定要求</w:t>
      </w:r>
      <w:r>
        <w:rPr>
          <w:rFonts w:hint="eastAsia" w:ascii="宋体" w:hAnsi="宋体"/>
          <w:kern w:val="0"/>
          <w:sz w:val="24"/>
        </w:rPr>
        <w:t>的增值税专用发票</w:t>
      </w:r>
      <w:r>
        <w:rPr>
          <w:rFonts w:hint="eastAsia" w:ascii="宋体" w:hAnsi="宋体" w:cs="宋体"/>
          <w:bCs/>
          <w:snapToGrid w:val="0"/>
          <w:kern w:val="0"/>
          <w:sz w:val="24"/>
          <w:szCs w:val="24"/>
        </w:rPr>
        <w:t>。</w:t>
      </w:r>
      <w:r>
        <w:rPr>
          <w:rFonts w:hint="eastAsia" w:ascii="宋体" w:hAnsi="宋体"/>
          <w:kern w:val="0"/>
          <w:sz w:val="24"/>
        </w:rPr>
        <w:t>否则</w:t>
      </w:r>
      <w:r>
        <w:rPr>
          <w:rFonts w:hint="eastAsia" w:ascii="宋体" w:hAnsi="宋体" w:cs="宋体"/>
          <w:bCs/>
          <w:snapToGrid w:val="0"/>
          <w:kern w:val="0"/>
          <w:sz w:val="24"/>
          <w:szCs w:val="24"/>
        </w:rPr>
        <w:t>，发包人</w:t>
      </w:r>
      <w:r>
        <w:rPr>
          <w:rFonts w:hint="eastAsia" w:ascii="宋体" w:hAnsi="宋体"/>
          <w:kern w:val="0"/>
          <w:sz w:val="24"/>
        </w:rPr>
        <w:t>有权拒绝付款并顺延付款时间</w:t>
      </w:r>
      <w:r>
        <w:rPr>
          <w:rFonts w:hint="eastAsia" w:ascii="宋体" w:hAnsi="宋体" w:cs="宋体"/>
          <w:bCs/>
          <w:snapToGrid w:val="0"/>
          <w:kern w:val="0"/>
          <w:sz w:val="24"/>
          <w:szCs w:val="24"/>
        </w:rPr>
        <w:t>，承包人不得以此为由不予或怠于履行合同义务</w:t>
      </w:r>
      <w:r>
        <w:rPr>
          <w:rFonts w:hint="eastAsia" w:ascii="宋体" w:hAnsi="宋体"/>
          <w:kern w:val="0"/>
          <w:sz w:val="24"/>
        </w:rPr>
        <w:t>。</w:t>
      </w:r>
    </w:p>
    <w:p w14:paraId="55D40806">
      <w:pPr>
        <w:spacing w:line="360" w:lineRule="auto"/>
        <w:ind w:firstLine="482" w:firstLineChars="200"/>
        <w:outlineLvl w:val="1"/>
        <w:rPr>
          <w:rFonts w:ascii="宋体" w:hAnsi="宋体"/>
          <w:b/>
          <w:kern w:val="0"/>
          <w:sz w:val="24"/>
        </w:rPr>
      </w:pPr>
      <w:bookmarkStart w:id="470" w:name="_Toc144746262"/>
      <w:bookmarkStart w:id="471" w:name="_Toc104901785"/>
      <w:bookmarkStart w:id="472" w:name="_Toc144746892"/>
      <w:bookmarkStart w:id="473" w:name="_Toc8932"/>
      <w:bookmarkStart w:id="474" w:name="_Toc24251"/>
      <w:bookmarkStart w:id="475" w:name="_Toc807"/>
      <w:r>
        <w:rPr>
          <w:rFonts w:hint="eastAsia" w:ascii="宋体" w:hAnsi="宋体" w:cs="宋体"/>
          <w:b/>
          <w:bCs/>
          <w:snapToGrid w:val="0"/>
          <w:kern w:val="0"/>
          <w:sz w:val="24"/>
        </w:rPr>
        <w:t>31</w:t>
      </w:r>
      <w:r>
        <w:rPr>
          <w:rFonts w:hint="eastAsia" w:ascii="宋体" w:hAnsi="宋体"/>
          <w:b/>
          <w:kern w:val="0"/>
          <w:sz w:val="24"/>
        </w:rPr>
        <w:t>、合同价款调整</w:t>
      </w:r>
      <w:bookmarkEnd w:id="468"/>
      <w:bookmarkEnd w:id="469"/>
      <w:bookmarkEnd w:id="470"/>
      <w:bookmarkEnd w:id="471"/>
      <w:bookmarkEnd w:id="472"/>
      <w:bookmarkEnd w:id="473"/>
      <w:bookmarkEnd w:id="474"/>
      <w:bookmarkEnd w:id="475"/>
    </w:p>
    <w:p w14:paraId="4B8FDBBD">
      <w:pPr>
        <w:spacing w:line="360" w:lineRule="auto"/>
        <w:ind w:firstLine="480" w:firstLineChars="200"/>
        <w:rPr>
          <w:rFonts w:ascii="宋体" w:hAnsi="宋体"/>
          <w:kern w:val="0"/>
          <w:sz w:val="24"/>
        </w:rPr>
      </w:pPr>
      <w:r>
        <w:rPr>
          <w:rFonts w:hint="eastAsia" w:ascii="宋体" w:hAnsi="宋体" w:cs="宋体"/>
          <w:bCs/>
          <w:snapToGrid w:val="0"/>
          <w:kern w:val="0"/>
          <w:sz w:val="24"/>
          <w:szCs w:val="24"/>
        </w:rPr>
        <w:t>31.1合同价款</w:t>
      </w:r>
      <w:r>
        <w:rPr>
          <w:rFonts w:hint="eastAsia" w:ascii="宋体" w:hAnsi="宋体"/>
          <w:kern w:val="0"/>
          <w:sz w:val="24"/>
        </w:rPr>
        <w:t>的调整按照</w:t>
      </w:r>
      <w:r>
        <w:rPr>
          <w:rFonts w:hint="eastAsia" w:ascii="宋体" w:hAnsi="宋体" w:cs="宋体"/>
          <w:bCs/>
          <w:snapToGrid w:val="0"/>
          <w:kern w:val="0"/>
          <w:sz w:val="24"/>
          <w:szCs w:val="24"/>
        </w:rPr>
        <w:t>如下约定执行：</w:t>
      </w:r>
    </w:p>
    <w:p w14:paraId="5CA93B25">
      <w:pPr>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szCs w:val="24"/>
        </w:rPr>
        <w:t>（1）合同价款的调整。当发生下列情况时，可对合同价款进行调整：</w:t>
      </w:r>
    </w:p>
    <w:p w14:paraId="5185876A">
      <w:pPr>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szCs w:val="24"/>
        </w:rPr>
        <w:t>发包人及监理单位共同确认的发包人原因造成变更工程和新增工程（本合同条款中的变更工程和新增工程均是指按合同条款第28条确定预算清单后，发包人原因造成的相对于预算清单发生的新增和变更工程，下同）。</w:t>
      </w:r>
    </w:p>
    <w:p w14:paraId="1D251D87">
      <w:pPr>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szCs w:val="24"/>
        </w:rPr>
        <w:t>（2）所有变更工程和新增工程的单价或价格，按照合同条款第36.2款执行。</w:t>
      </w:r>
    </w:p>
    <w:p w14:paraId="7D065B6B">
      <w:pPr>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szCs w:val="24"/>
        </w:rPr>
        <w:t>31.2承包人应当在合同条款第31.1（1）款情况发生后14天内，将调整原因、金额以书面形式通知总监理工程师，总监理工程师确认后报发包人，发包人调整金额后纳入结算一并处理。承包人应统筹考虑此类变更，及时优化设计，确保施工费结算价在审定施工图预算对应金额之内。</w:t>
      </w:r>
    </w:p>
    <w:p w14:paraId="7AEEEC78">
      <w:pPr>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szCs w:val="24"/>
        </w:rPr>
        <w:t>31.3承包人承诺：</w:t>
      </w:r>
    </w:p>
    <w:p w14:paraId="3786AE4C">
      <w:pPr>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szCs w:val="24"/>
        </w:rPr>
        <w:t>（1）所有变更工程和新增工程引起的计价、计量调整、报批和审批过程，均不得影响变更或新增工程的执行，承包人不得以此为理由公开或变相拖延或延误新增或变更工程的实施，否则，承包人须承担由此造成的发包人经济损失及工期延误的责任，且须按合同条款第41.8、41.9款承担违约责任。</w:t>
      </w:r>
    </w:p>
    <w:p w14:paraId="226D818F">
      <w:pPr>
        <w:spacing w:line="360" w:lineRule="auto"/>
        <w:ind w:firstLine="480" w:firstLineChars="200"/>
        <w:rPr>
          <w:rFonts w:ascii="宋体" w:hAnsi="宋体" w:cs="宋体"/>
          <w:bCs/>
          <w:snapToGrid w:val="0"/>
          <w:kern w:val="0"/>
          <w:sz w:val="24"/>
          <w:szCs w:val="24"/>
        </w:rPr>
      </w:pPr>
      <w:bookmarkStart w:id="476" w:name="_Toc504465912"/>
      <w:bookmarkStart w:id="477" w:name="_Toc502215509"/>
      <w:bookmarkStart w:id="478" w:name="_Toc518402606"/>
      <w:r>
        <w:rPr>
          <w:rFonts w:hint="eastAsia" w:ascii="宋体" w:hAnsi="宋体" w:cs="宋体"/>
          <w:bCs/>
          <w:snapToGrid w:val="0"/>
          <w:kern w:val="0"/>
          <w:sz w:val="24"/>
          <w:szCs w:val="24"/>
        </w:rPr>
        <w:t>31.4物价变化：综合单价按照本合同条款第28款计算后除合同约定外不因市场物价、人工费用等方面的涨跌而调整。</w:t>
      </w:r>
    </w:p>
    <w:p w14:paraId="79D794FD">
      <w:pPr>
        <w:spacing w:line="360" w:lineRule="auto"/>
        <w:ind w:firstLine="482" w:firstLineChars="200"/>
        <w:outlineLvl w:val="1"/>
        <w:rPr>
          <w:rFonts w:ascii="宋体" w:hAnsi="宋体"/>
          <w:b/>
          <w:kern w:val="0"/>
          <w:sz w:val="24"/>
        </w:rPr>
      </w:pPr>
      <w:bookmarkStart w:id="479" w:name="_Toc27047"/>
      <w:bookmarkStart w:id="480" w:name="_Toc144746263"/>
      <w:bookmarkStart w:id="481" w:name="_Toc144746893"/>
      <w:bookmarkStart w:id="482" w:name="_Toc13798"/>
      <w:bookmarkStart w:id="483" w:name="_Toc20198"/>
      <w:r>
        <w:rPr>
          <w:rFonts w:hint="eastAsia" w:ascii="宋体" w:hAnsi="宋体" w:cs="宋体"/>
          <w:b/>
          <w:bCs/>
          <w:snapToGrid w:val="0"/>
          <w:kern w:val="0"/>
          <w:sz w:val="24"/>
        </w:rPr>
        <w:t>32</w:t>
      </w:r>
      <w:r>
        <w:rPr>
          <w:rFonts w:hint="eastAsia" w:ascii="宋体" w:hAnsi="宋体"/>
          <w:b/>
          <w:kern w:val="0"/>
          <w:sz w:val="24"/>
        </w:rPr>
        <w:t>、工程量的确认</w:t>
      </w:r>
      <w:bookmarkEnd w:id="476"/>
      <w:bookmarkEnd w:id="477"/>
      <w:bookmarkEnd w:id="478"/>
      <w:bookmarkEnd w:id="479"/>
      <w:bookmarkEnd w:id="480"/>
      <w:bookmarkEnd w:id="481"/>
      <w:bookmarkEnd w:id="482"/>
      <w:bookmarkEnd w:id="483"/>
    </w:p>
    <w:p w14:paraId="767EC5E4">
      <w:pPr>
        <w:spacing w:line="360" w:lineRule="auto"/>
        <w:ind w:firstLine="480" w:firstLineChars="200"/>
        <w:rPr>
          <w:rFonts w:ascii="宋体" w:hAnsi="宋体"/>
          <w:kern w:val="0"/>
          <w:sz w:val="24"/>
        </w:rPr>
      </w:pPr>
      <w:r>
        <w:rPr>
          <w:rFonts w:hint="eastAsia" w:ascii="宋体" w:hAnsi="宋体" w:cs="宋体"/>
          <w:bCs/>
          <w:snapToGrid w:val="0"/>
          <w:kern w:val="0"/>
          <w:sz w:val="24"/>
          <w:szCs w:val="24"/>
        </w:rPr>
        <w:t>32</w:t>
      </w:r>
      <w:r>
        <w:rPr>
          <w:rFonts w:hint="eastAsia" w:ascii="宋体" w:hAnsi="宋体"/>
          <w:kern w:val="0"/>
          <w:sz w:val="24"/>
        </w:rPr>
        <w:t>.1承包人每次申请工程进度款时应提交已完工程进度款申请报表。</w:t>
      </w:r>
    </w:p>
    <w:p w14:paraId="7C5C94B6">
      <w:pPr>
        <w:spacing w:line="360" w:lineRule="auto"/>
        <w:ind w:firstLine="480" w:firstLineChars="200"/>
        <w:rPr>
          <w:rFonts w:ascii="宋体" w:hAnsi="宋体"/>
          <w:kern w:val="0"/>
          <w:sz w:val="24"/>
        </w:rPr>
      </w:pPr>
      <w:r>
        <w:rPr>
          <w:rFonts w:hint="eastAsia" w:ascii="宋体" w:hAnsi="宋体"/>
          <w:kern w:val="0"/>
          <w:sz w:val="24"/>
        </w:rPr>
        <w:t>已完工程进度款申请报表的提交应按发包人工程项目信息管理系统的要求执行。</w:t>
      </w:r>
    </w:p>
    <w:p w14:paraId="1CD3E4E3">
      <w:pPr>
        <w:spacing w:line="360" w:lineRule="auto"/>
        <w:ind w:firstLine="480" w:firstLineChars="200"/>
        <w:rPr>
          <w:rFonts w:ascii="宋体" w:hAnsi="宋体"/>
          <w:kern w:val="0"/>
          <w:sz w:val="24"/>
        </w:rPr>
      </w:pPr>
      <w:r>
        <w:rPr>
          <w:rFonts w:hint="eastAsia" w:ascii="宋体" w:hAnsi="宋体" w:cs="宋体"/>
          <w:bCs/>
          <w:snapToGrid w:val="0"/>
          <w:kern w:val="0"/>
          <w:sz w:val="24"/>
          <w:szCs w:val="24"/>
        </w:rPr>
        <w:t>32.2</w:t>
      </w:r>
      <w:r>
        <w:rPr>
          <w:rFonts w:hint="eastAsia" w:ascii="宋体" w:hAnsi="宋体"/>
          <w:kern w:val="0"/>
          <w:sz w:val="24"/>
        </w:rPr>
        <w:t>承包人需及时通知监理工程师及发包人进行计量，监理工程师及发包人未能参加计量的，计量结果无效。</w:t>
      </w:r>
    </w:p>
    <w:p w14:paraId="729B4924">
      <w:pPr>
        <w:spacing w:line="360" w:lineRule="auto"/>
        <w:ind w:firstLine="480" w:firstLineChars="200"/>
        <w:rPr>
          <w:rFonts w:ascii="宋体" w:hAnsi="宋体"/>
          <w:kern w:val="0"/>
          <w:sz w:val="24"/>
        </w:rPr>
      </w:pPr>
      <w:r>
        <w:rPr>
          <w:rFonts w:hint="eastAsia" w:ascii="宋体" w:hAnsi="宋体" w:cs="宋体"/>
          <w:bCs/>
          <w:snapToGrid w:val="0"/>
          <w:kern w:val="0"/>
          <w:sz w:val="24"/>
          <w:szCs w:val="24"/>
        </w:rPr>
        <w:t>32.3</w:t>
      </w:r>
      <w:r>
        <w:rPr>
          <w:rFonts w:hint="eastAsia" w:ascii="宋体" w:hAnsi="宋体"/>
          <w:kern w:val="0"/>
          <w:sz w:val="24"/>
        </w:rPr>
        <w:t>不予计量的情况：</w:t>
      </w:r>
    </w:p>
    <w:p w14:paraId="23967D7C">
      <w:pPr>
        <w:spacing w:line="360" w:lineRule="auto"/>
        <w:ind w:firstLine="480" w:firstLineChars="200"/>
        <w:rPr>
          <w:rFonts w:ascii="宋体" w:hAnsi="宋体"/>
          <w:kern w:val="0"/>
          <w:sz w:val="24"/>
        </w:rPr>
      </w:pPr>
      <w:r>
        <w:rPr>
          <w:rFonts w:hint="eastAsia" w:ascii="宋体" w:hAnsi="宋体"/>
          <w:kern w:val="0"/>
          <w:sz w:val="24"/>
        </w:rPr>
        <w:t>（1）隐蔽工程无验收记录表的；</w:t>
      </w:r>
    </w:p>
    <w:p w14:paraId="5FE437B2">
      <w:pPr>
        <w:spacing w:line="360" w:lineRule="auto"/>
        <w:ind w:firstLine="480" w:firstLineChars="200"/>
        <w:rPr>
          <w:rFonts w:ascii="宋体" w:hAnsi="宋体"/>
          <w:kern w:val="0"/>
          <w:sz w:val="24"/>
        </w:rPr>
      </w:pPr>
      <w:r>
        <w:rPr>
          <w:rFonts w:hint="eastAsia" w:ascii="宋体" w:hAnsi="宋体"/>
          <w:kern w:val="0"/>
          <w:sz w:val="24"/>
        </w:rPr>
        <w:t>（2）施工图之外的工作量；</w:t>
      </w:r>
    </w:p>
    <w:p w14:paraId="16DFB9DE">
      <w:pPr>
        <w:spacing w:line="360" w:lineRule="auto"/>
        <w:ind w:firstLine="480" w:firstLineChars="200"/>
        <w:rPr>
          <w:rFonts w:ascii="宋体" w:hAnsi="宋体"/>
          <w:kern w:val="0"/>
          <w:sz w:val="24"/>
        </w:rPr>
      </w:pPr>
      <w:r>
        <w:rPr>
          <w:rFonts w:hint="eastAsia" w:ascii="宋体" w:hAnsi="宋体"/>
          <w:kern w:val="0"/>
          <w:sz w:val="24"/>
        </w:rPr>
        <w:t>（3）因承包人责任而增加的工作量；</w:t>
      </w:r>
    </w:p>
    <w:p w14:paraId="352C5CFF">
      <w:pPr>
        <w:spacing w:line="360" w:lineRule="auto"/>
        <w:ind w:firstLine="480" w:firstLineChars="200"/>
        <w:rPr>
          <w:rFonts w:ascii="宋体" w:hAnsi="宋体"/>
          <w:kern w:val="0"/>
          <w:sz w:val="24"/>
        </w:rPr>
      </w:pPr>
      <w:r>
        <w:rPr>
          <w:rFonts w:hint="eastAsia" w:ascii="宋体" w:hAnsi="宋体"/>
          <w:kern w:val="0"/>
          <w:sz w:val="24"/>
        </w:rPr>
        <w:t>（4）未经发包人批准的分包单位施工的工程；</w:t>
      </w:r>
    </w:p>
    <w:p w14:paraId="66E1AEAB">
      <w:pPr>
        <w:spacing w:line="360" w:lineRule="auto"/>
        <w:ind w:firstLine="480" w:firstLineChars="200"/>
        <w:rPr>
          <w:rFonts w:ascii="宋体" w:hAnsi="宋体"/>
          <w:kern w:val="0"/>
          <w:sz w:val="24"/>
        </w:rPr>
      </w:pPr>
      <w:r>
        <w:rPr>
          <w:rFonts w:hint="eastAsia" w:ascii="宋体" w:hAnsi="宋体"/>
          <w:kern w:val="0"/>
          <w:sz w:val="24"/>
        </w:rPr>
        <w:t>（5）不符合合同约定或设计要求的工程。</w:t>
      </w:r>
    </w:p>
    <w:p w14:paraId="51B1A4DF">
      <w:pPr>
        <w:spacing w:line="360" w:lineRule="auto"/>
        <w:ind w:firstLine="480" w:firstLineChars="200"/>
        <w:rPr>
          <w:rFonts w:ascii="宋体" w:hAnsi="宋体"/>
          <w:kern w:val="0"/>
          <w:sz w:val="24"/>
        </w:rPr>
      </w:pPr>
      <w:r>
        <w:rPr>
          <w:rFonts w:hint="eastAsia" w:ascii="宋体" w:hAnsi="宋体" w:cs="宋体"/>
          <w:bCs/>
          <w:snapToGrid w:val="0"/>
          <w:kern w:val="0"/>
          <w:sz w:val="24"/>
          <w:szCs w:val="24"/>
        </w:rPr>
        <w:t>32.4</w:t>
      </w:r>
      <w:r>
        <w:rPr>
          <w:rFonts w:hint="eastAsia" w:ascii="宋体" w:hAnsi="宋体"/>
          <w:kern w:val="0"/>
          <w:sz w:val="24"/>
        </w:rPr>
        <w:t>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14:paraId="772582CB">
      <w:pPr>
        <w:spacing w:line="360" w:lineRule="auto"/>
        <w:ind w:firstLine="480" w:firstLineChars="200"/>
        <w:rPr>
          <w:rFonts w:ascii="宋体" w:hAnsi="宋体"/>
          <w:kern w:val="0"/>
          <w:sz w:val="24"/>
        </w:rPr>
      </w:pPr>
      <w:r>
        <w:rPr>
          <w:rFonts w:hint="eastAsia" w:ascii="宋体" w:hAnsi="宋体" w:cs="宋体"/>
          <w:bCs/>
          <w:snapToGrid w:val="0"/>
          <w:kern w:val="0"/>
          <w:sz w:val="24"/>
          <w:szCs w:val="24"/>
        </w:rPr>
        <w:t>32.5</w:t>
      </w:r>
      <w:r>
        <w:rPr>
          <w:rFonts w:hint="eastAsia" w:ascii="宋体" w:hAnsi="宋体"/>
          <w:kern w:val="0"/>
          <w:sz w:val="24"/>
        </w:rPr>
        <w:t>工程的计量应以合同约定为准，双方另有约定的除外。</w:t>
      </w:r>
    </w:p>
    <w:p w14:paraId="33B6ABD8">
      <w:pPr>
        <w:pStyle w:val="27"/>
        <w:spacing w:line="360" w:lineRule="auto"/>
        <w:ind w:firstLine="562" w:firstLineChars="200"/>
        <w:outlineLvl w:val="0"/>
        <w:rPr>
          <w:rFonts w:ascii="宋体" w:hAnsi="宋体"/>
          <w:b/>
          <w:sz w:val="28"/>
        </w:rPr>
      </w:pPr>
      <w:bookmarkStart w:id="484" w:name="_Toc518402607"/>
      <w:bookmarkStart w:id="485" w:name="_Toc104901786"/>
      <w:bookmarkStart w:id="486" w:name="_Toc502215510"/>
      <w:bookmarkStart w:id="487" w:name="_Toc19550_WPSOffice_Level2"/>
      <w:bookmarkStart w:id="488" w:name="_Toc504465913"/>
      <w:r>
        <w:rPr>
          <w:rFonts w:hint="eastAsia" w:ascii="宋体" w:hAnsi="宋体" w:cs="宋体"/>
          <w:b/>
          <w:snapToGrid w:val="0"/>
          <w:sz w:val="28"/>
          <w:szCs w:val="28"/>
        </w:rPr>
        <w:t>七</w:t>
      </w:r>
      <w:r>
        <w:rPr>
          <w:rFonts w:hint="eastAsia" w:ascii="宋体" w:hAnsi="宋体"/>
          <w:b/>
          <w:sz w:val="28"/>
        </w:rPr>
        <w:t>、材料设备供应</w:t>
      </w:r>
      <w:bookmarkEnd w:id="484"/>
      <w:bookmarkEnd w:id="485"/>
      <w:bookmarkEnd w:id="486"/>
      <w:bookmarkEnd w:id="487"/>
      <w:bookmarkEnd w:id="488"/>
    </w:p>
    <w:p w14:paraId="21E24403">
      <w:pPr>
        <w:spacing w:line="360" w:lineRule="auto"/>
        <w:ind w:firstLine="482" w:firstLineChars="200"/>
        <w:outlineLvl w:val="1"/>
        <w:rPr>
          <w:rFonts w:ascii="宋体" w:hAnsi="宋体"/>
          <w:b/>
          <w:kern w:val="0"/>
          <w:sz w:val="24"/>
        </w:rPr>
      </w:pPr>
      <w:bookmarkStart w:id="489" w:name="_Toc502215511"/>
      <w:bookmarkStart w:id="490" w:name="_Toc18754"/>
      <w:bookmarkStart w:id="491" w:name="_Toc144746894"/>
      <w:bookmarkStart w:id="492" w:name="_Toc144746264"/>
      <w:bookmarkStart w:id="493" w:name="_Toc504465914"/>
      <w:bookmarkStart w:id="494" w:name="_Toc29744_WPSOffice_Level3"/>
      <w:bookmarkStart w:id="495" w:name="_Toc7536"/>
      <w:bookmarkStart w:id="496" w:name="_Toc14636"/>
      <w:bookmarkStart w:id="497" w:name="_Toc518402608"/>
      <w:r>
        <w:rPr>
          <w:rFonts w:hint="eastAsia" w:ascii="宋体" w:hAnsi="宋体" w:cs="宋体"/>
          <w:b/>
          <w:bCs/>
          <w:snapToGrid w:val="0"/>
          <w:kern w:val="0"/>
          <w:sz w:val="24"/>
        </w:rPr>
        <w:t>33</w:t>
      </w:r>
      <w:r>
        <w:rPr>
          <w:rFonts w:hint="eastAsia" w:ascii="宋体" w:hAnsi="宋体"/>
          <w:b/>
          <w:kern w:val="0"/>
          <w:sz w:val="24"/>
        </w:rPr>
        <w:t>、承包人采购材料设备</w:t>
      </w:r>
      <w:bookmarkEnd w:id="489"/>
      <w:bookmarkEnd w:id="490"/>
      <w:bookmarkEnd w:id="491"/>
      <w:bookmarkEnd w:id="492"/>
      <w:bookmarkEnd w:id="493"/>
      <w:bookmarkEnd w:id="494"/>
      <w:bookmarkEnd w:id="495"/>
      <w:bookmarkEnd w:id="496"/>
      <w:bookmarkEnd w:id="497"/>
    </w:p>
    <w:p w14:paraId="5D32BC73">
      <w:pPr>
        <w:spacing w:line="360" w:lineRule="auto"/>
        <w:ind w:firstLine="480" w:firstLineChars="200"/>
        <w:rPr>
          <w:rFonts w:ascii="宋体" w:hAnsi="宋体"/>
          <w:kern w:val="0"/>
          <w:sz w:val="24"/>
        </w:rPr>
      </w:pPr>
      <w:r>
        <w:rPr>
          <w:rFonts w:hint="eastAsia" w:ascii="宋体" w:hAnsi="宋体" w:cs="宋体"/>
          <w:bCs/>
          <w:snapToGrid w:val="0"/>
          <w:kern w:val="0"/>
          <w:sz w:val="24"/>
          <w:szCs w:val="24"/>
        </w:rPr>
        <w:t>33</w:t>
      </w:r>
      <w:r>
        <w:rPr>
          <w:rFonts w:hint="eastAsia" w:ascii="宋体" w:hAnsi="宋体"/>
          <w:kern w:val="0"/>
          <w:sz w:val="24"/>
        </w:rPr>
        <w:t>.1承包人负责采购材料设备的，应按照合同条款约定及设计和有关标准要求采购，主要材料及设备（</w:t>
      </w:r>
      <w:r>
        <w:rPr>
          <w:rFonts w:hint="eastAsia" w:ascii="宋体" w:hAnsi="宋体" w:cs="宋体"/>
          <w:bCs/>
          <w:snapToGrid w:val="0"/>
          <w:kern w:val="0"/>
          <w:sz w:val="24"/>
        </w:rPr>
        <w:t>详见合同附件14</w:t>
      </w:r>
      <w:r>
        <w:rPr>
          <w:rFonts w:hint="eastAsia" w:ascii="宋体" w:hAnsi="宋体"/>
          <w:kern w:val="0"/>
          <w:sz w:val="24"/>
        </w:rPr>
        <w:t>）必须报发包人书面批准后方可供货，并提供产品合格证明，承包人对材料设备质量负责。承包人在材料设备到货前24小时通知监理工程师清点。</w:t>
      </w:r>
    </w:p>
    <w:p w14:paraId="137506E9">
      <w:pPr>
        <w:spacing w:line="360" w:lineRule="auto"/>
        <w:ind w:firstLine="480" w:firstLineChars="200"/>
        <w:rPr>
          <w:rFonts w:ascii="宋体" w:hAnsi="宋体"/>
          <w:kern w:val="0"/>
          <w:sz w:val="24"/>
        </w:rPr>
      </w:pPr>
      <w:r>
        <w:rPr>
          <w:rFonts w:hint="eastAsia" w:ascii="宋体" w:hAnsi="宋体" w:cs="宋体"/>
          <w:bCs/>
          <w:snapToGrid w:val="0"/>
          <w:kern w:val="0"/>
          <w:sz w:val="24"/>
        </w:rPr>
        <w:t>33</w:t>
      </w:r>
      <w:r>
        <w:rPr>
          <w:rFonts w:hint="eastAsia" w:ascii="宋体" w:hAnsi="宋体"/>
          <w:kern w:val="0"/>
          <w:sz w:val="24"/>
        </w:rPr>
        <w:t>.2承包人采购的材料设备与设计或标准要求不符时，承包人应按监理工程师要求的时间运出施工场地，重新采购符合要求的产品，承担由此发生的费用，由此延误的工期不予顺延。</w:t>
      </w:r>
    </w:p>
    <w:p w14:paraId="04C1C3EC">
      <w:pPr>
        <w:spacing w:line="360" w:lineRule="auto"/>
        <w:ind w:firstLine="480" w:firstLineChars="200"/>
        <w:rPr>
          <w:rFonts w:ascii="宋体" w:hAnsi="宋体"/>
          <w:kern w:val="0"/>
          <w:sz w:val="24"/>
        </w:rPr>
      </w:pPr>
      <w:r>
        <w:rPr>
          <w:rFonts w:hint="eastAsia" w:ascii="宋体" w:hAnsi="宋体" w:cs="宋体"/>
          <w:bCs/>
          <w:snapToGrid w:val="0"/>
          <w:kern w:val="0"/>
          <w:sz w:val="24"/>
        </w:rPr>
        <w:t>33</w:t>
      </w:r>
      <w:r>
        <w:rPr>
          <w:rFonts w:hint="eastAsia" w:ascii="宋体" w:hAnsi="宋体"/>
          <w:kern w:val="0"/>
          <w:sz w:val="24"/>
        </w:rPr>
        <w:t>.3承包人采购的材料设备在使用前，承包人应按监理工程师的要求进行检验或试验，不合格的不得使用，检验或试验费用由承包人承担。</w:t>
      </w:r>
    </w:p>
    <w:p w14:paraId="716E4538">
      <w:pPr>
        <w:spacing w:line="360" w:lineRule="auto"/>
        <w:ind w:firstLine="480" w:firstLineChars="200"/>
        <w:rPr>
          <w:rFonts w:ascii="宋体" w:hAnsi="宋体"/>
          <w:kern w:val="0"/>
          <w:sz w:val="24"/>
        </w:rPr>
      </w:pPr>
      <w:r>
        <w:rPr>
          <w:rFonts w:hint="eastAsia" w:ascii="宋体" w:hAnsi="宋体" w:cs="宋体"/>
          <w:bCs/>
          <w:snapToGrid w:val="0"/>
          <w:kern w:val="0"/>
          <w:sz w:val="24"/>
        </w:rPr>
        <w:t>33</w:t>
      </w:r>
      <w:r>
        <w:rPr>
          <w:rFonts w:hint="eastAsia" w:ascii="宋体" w:hAnsi="宋体"/>
          <w:kern w:val="0"/>
          <w:sz w:val="24"/>
        </w:rPr>
        <w:t>.4监理工程师发现承包人采购并使用不符合设计或标准要求的材料或设备时，应要求由承包人负责修复、拆除或重新采购，并承担发生的费用，由此延误的工期不予顺延。</w:t>
      </w:r>
    </w:p>
    <w:p w14:paraId="0AAD2199">
      <w:pPr>
        <w:spacing w:line="360" w:lineRule="auto"/>
        <w:ind w:firstLine="480" w:firstLineChars="200"/>
        <w:rPr>
          <w:rFonts w:ascii="宋体" w:hAnsi="宋体"/>
          <w:kern w:val="0"/>
          <w:sz w:val="24"/>
        </w:rPr>
      </w:pPr>
      <w:r>
        <w:rPr>
          <w:rFonts w:hint="eastAsia" w:ascii="宋体" w:hAnsi="宋体" w:cs="宋体"/>
          <w:bCs/>
          <w:snapToGrid w:val="0"/>
          <w:kern w:val="0"/>
          <w:sz w:val="24"/>
        </w:rPr>
        <w:t>33</w:t>
      </w:r>
      <w:r>
        <w:rPr>
          <w:rFonts w:hint="eastAsia" w:ascii="宋体" w:hAnsi="宋体"/>
          <w:kern w:val="0"/>
          <w:sz w:val="24"/>
        </w:rPr>
        <w:t>.5承包人需要使用代用材料时，应经发包人及总监理工程师书面认可后才能使用，由此增减的合同价款双方以书面形式议定。</w:t>
      </w:r>
    </w:p>
    <w:p w14:paraId="1044B862">
      <w:pPr>
        <w:autoSpaceDE w:val="0"/>
        <w:autoSpaceDN w:val="0"/>
        <w:spacing w:line="360" w:lineRule="auto"/>
        <w:ind w:firstLine="480" w:firstLineChars="200"/>
        <w:rPr>
          <w:rFonts w:ascii="宋体" w:hAnsi="宋体"/>
          <w:kern w:val="0"/>
          <w:sz w:val="24"/>
        </w:rPr>
      </w:pPr>
      <w:r>
        <w:rPr>
          <w:rFonts w:hint="eastAsia" w:ascii="宋体" w:hAnsi="宋体" w:cs="宋体"/>
          <w:snapToGrid w:val="0"/>
          <w:kern w:val="0"/>
          <w:sz w:val="24"/>
        </w:rPr>
        <w:t>33</w:t>
      </w:r>
      <w:r>
        <w:rPr>
          <w:rFonts w:hint="eastAsia" w:ascii="宋体" w:hAnsi="宋体"/>
          <w:kern w:val="0"/>
          <w:sz w:val="24"/>
        </w:rPr>
        <w:t>.6对材料设备采购的相关要求</w:t>
      </w:r>
    </w:p>
    <w:p w14:paraId="197BA067">
      <w:pPr>
        <w:autoSpaceDE w:val="0"/>
        <w:autoSpaceDN w:val="0"/>
        <w:spacing w:line="360" w:lineRule="auto"/>
        <w:ind w:firstLine="480" w:firstLineChars="200"/>
        <w:rPr>
          <w:rFonts w:ascii="宋体" w:hAnsi="宋体"/>
          <w:kern w:val="0"/>
          <w:sz w:val="24"/>
        </w:rPr>
      </w:pPr>
      <w:r>
        <w:rPr>
          <w:rFonts w:hint="eastAsia" w:ascii="宋体" w:hAnsi="宋体"/>
          <w:kern w:val="0"/>
          <w:sz w:val="24"/>
        </w:rPr>
        <w:t>（1）乙供材料设备</w:t>
      </w:r>
    </w:p>
    <w:p w14:paraId="7884D8BB">
      <w:pPr>
        <w:autoSpaceDE w:val="0"/>
        <w:autoSpaceDN w:val="0"/>
        <w:spacing w:line="360" w:lineRule="auto"/>
        <w:ind w:firstLine="480" w:firstLineChars="200"/>
        <w:rPr>
          <w:rFonts w:ascii="宋体" w:hAnsi="宋体"/>
          <w:kern w:val="0"/>
          <w:sz w:val="24"/>
        </w:rPr>
      </w:pPr>
      <w:r>
        <w:rPr>
          <w:rFonts w:hint="eastAsia" w:ascii="宋体" w:hAnsi="宋体"/>
          <w:kern w:val="0"/>
          <w:sz w:val="24"/>
        </w:rPr>
        <w:t>1）乙供材料设备品牌的选用在发包人招标文件约定的品牌</w:t>
      </w:r>
      <w:r>
        <w:rPr>
          <w:rFonts w:hint="eastAsia" w:ascii="宋体" w:hAnsi="宋体" w:cs="宋体"/>
          <w:snapToGrid w:val="0"/>
          <w:kern w:val="0"/>
          <w:sz w:val="24"/>
        </w:rPr>
        <w:t>库</w:t>
      </w:r>
      <w:r>
        <w:rPr>
          <w:rFonts w:hint="eastAsia" w:ascii="宋体" w:hAnsi="宋体"/>
          <w:kern w:val="0"/>
          <w:sz w:val="24"/>
        </w:rPr>
        <w:t>中选用，报发包人确认。品牌库中未约定的主材由承包人报发包人书面审批确认。</w:t>
      </w:r>
    </w:p>
    <w:p w14:paraId="1024342D">
      <w:pPr>
        <w:pStyle w:val="25"/>
        <w:spacing w:line="360" w:lineRule="auto"/>
        <w:ind w:firstLine="480" w:firstLineChars="200"/>
        <w:rPr>
          <w:rFonts w:hAnsi="宋体"/>
          <w:sz w:val="24"/>
        </w:rPr>
      </w:pPr>
      <w:r>
        <w:rPr>
          <w:rFonts w:hint="eastAsia" w:hAnsi="宋体"/>
          <w:sz w:val="24"/>
        </w:rPr>
        <w:t>2）承包人必须在提交</w:t>
      </w:r>
      <w:r>
        <w:rPr>
          <w:rFonts w:hint="eastAsia" w:hAnsi="宋体" w:cs="宋体"/>
          <w:snapToGrid w:val="0"/>
          <w:sz w:val="24"/>
          <w:szCs w:val="22"/>
        </w:rPr>
        <w:t>工程施工图</w:t>
      </w:r>
      <w:r>
        <w:rPr>
          <w:rFonts w:hint="eastAsia" w:hAnsi="宋体" w:cs="宋体"/>
          <w:sz w:val="24"/>
          <w:szCs w:val="24"/>
        </w:rPr>
        <w:t>预</w:t>
      </w:r>
      <w:r>
        <w:rPr>
          <w:rFonts w:hint="eastAsia" w:hAnsi="宋体" w:cs="宋体"/>
          <w:snapToGrid w:val="0"/>
          <w:sz w:val="24"/>
          <w:szCs w:val="22"/>
        </w:rPr>
        <w:t>算</w:t>
      </w:r>
      <w:r>
        <w:rPr>
          <w:rFonts w:hint="eastAsia" w:hAnsi="宋体"/>
          <w:sz w:val="24"/>
        </w:rPr>
        <w:t>时同时注明所选用材料设备的品牌、产地、规格、等级，该材料设备信息仅作为</w:t>
      </w:r>
      <w:r>
        <w:rPr>
          <w:rFonts w:hint="eastAsia" w:hAnsi="宋体" w:cs="宋体"/>
          <w:snapToGrid w:val="0"/>
          <w:sz w:val="24"/>
          <w:szCs w:val="22"/>
        </w:rPr>
        <w:t>概算及施工图</w:t>
      </w:r>
      <w:r>
        <w:rPr>
          <w:rFonts w:hint="eastAsia" w:hAnsi="宋体"/>
          <w:sz w:val="24"/>
        </w:rPr>
        <w:t>预算审核的依据，乙供材料最终的选用按合同条款第</w:t>
      </w:r>
      <w:r>
        <w:rPr>
          <w:rFonts w:hint="eastAsia" w:hAnsi="宋体" w:cs="宋体"/>
          <w:snapToGrid w:val="0"/>
          <w:sz w:val="24"/>
          <w:szCs w:val="22"/>
        </w:rPr>
        <w:t>33</w:t>
      </w:r>
      <w:r>
        <w:rPr>
          <w:rFonts w:hint="eastAsia" w:hAnsi="宋体"/>
          <w:sz w:val="24"/>
        </w:rPr>
        <w:t>.1款约定执行。</w:t>
      </w:r>
    </w:p>
    <w:p w14:paraId="239B87B9">
      <w:pPr>
        <w:pStyle w:val="25"/>
        <w:spacing w:line="360" w:lineRule="auto"/>
        <w:ind w:firstLine="480" w:firstLineChars="200"/>
        <w:rPr>
          <w:rFonts w:hAnsi="宋体"/>
          <w:sz w:val="24"/>
        </w:rPr>
      </w:pPr>
      <w:r>
        <w:rPr>
          <w:rFonts w:hint="eastAsia" w:hAnsi="宋体"/>
          <w:sz w:val="24"/>
        </w:rPr>
        <w:t>3）承包人必须在满足或优于招标文件（包括各专业发包人要求设备材料技术参数）、招标图纸和相关规范要求的前提下，可以选择一种或多种品牌；履约中只要发包人未有对各专发包人要设备材料技术参数的相关要求进行调整，则均不因承包人改变选用的品牌而调整其承包价。</w:t>
      </w:r>
    </w:p>
    <w:p w14:paraId="4A5E659B">
      <w:pPr>
        <w:pStyle w:val="25"/>
        <w:spacing w:line="360" w:lineRule="auto"/>
        <w:ind w:firstLine="480" w:firstLineChars="200"/>
        <w:rPr>
          <w:rFonts w:hAnsi="宋体"/>
          <w:sz w:val="24"/>
        </w:rPr>
      </w:pPr>
      <w:r>
        <w:rPr>
          <w:rFonts w:hint="eastAsia" w:hAnsi="宋体"/>
          <w:sz w:val="24"/>
        </w:rPr>
        <w:t>（2）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14:paraId="752E811D">
      <w:pPr>
        <w:pStyle w:val="25"/>
        <w:spacing w:line="360" w:lineRule="auto"/>
        <w:ind w:firstLine="480" w:firstLineChars="200"/>
        <w:rPr>
          <w:rFonts w:hAnsi="宋体"/>
          <w:sz w:val="24"/>
        </w:rPr>
      </w:pPr>
      <w:r>
        <w:rPr>
          <w:rFonts w:hint="eastAsia" w:hAnsi="宋体"/>
          <w:sz w:val="24"/>
        </w:rPr>
        <w:t>（3）主要材料设备品牌由承包人在合同品牌范围内选择并报经发包人书面审批同意，实际施工过程中如果承包人需要补充增加品牌的，需要提前上报发包人书面审批同意后才可使用，所选定材料设备的品牌、规格一经发包人确认，原则上承包人不得对此进行更改。</w:t>
      </w:r>
    </w:p>
    <w:p w14:paraId="47C25D81">
      <w:pPr>
        <w:pStyle w:val="25"/>
        <w:spacing w:line="360" w:lineRule="auto"/>
        <w:ind w:firstLine="480" w:firstLineChars="200"/>
        <w:rPr>
          <w:rFonts w:hAnsi="宋体"/>
          <w:sz w:val="24"/>
        </w:rPr>
      </w:pPr>
      <w:r>
        <w:rPr>
          <w:rFonts w:hint="eastAsia" w:hAnsi="宋体"/>
          <w:sz w:val="24"/>
        </w:rPr>
        <w:t>（4）材料设备采购的变更</w:t>
      </w:r>
    </w:p>
    <w:p w14:paraId="65C308E6">
      <w:pPr>
        <w:pStyle w:val="16"/>
        <w:spacing w:line="360" w:lineRule="auto"/>
        <w:ind w:firstLine="480" w:firstLineChars="200"/>
        <w:jc w:val="both"/>
        <w:rPr>
          <w:rFonts w:ascii="宋体" w:hAnsi="宋体"/>
          <w:sz w:val="24"/>
        </w:rPr>
      </w:pPr>
      <w:r>
        <w:rPr>
          <w:rFonts w:hint="eastAsia" w:ascii="宋体" w:hAnsi="宋体"/>
          <w:sz w:val="24"/>
        </w:rPr>
        <w:t>1）在工程施工过程中，根据工程的具体情况，从有利于保证工程质量、进度和投资控制角度考虑，发包人可以对相应材料设备的采购供应方式进行适当的变更（如改为甲供或甲招乙供），承包人在接到发包人的变更通知后，应无条件地接受发包人对材料设备采购供应方式的变更并予以积极配合。</w:t>
      </w:r>
    </w:p>
    <w:p w14:paraId="00F07C7E">
      <w:pPr>
        <w:pStyle w:val="25"/>
        <w:spacing w:line="360" w:lineRule="auto"/>
        <w:ind w:firstLine="480" w:firstLineChars="200"/>
        <w:rPr>
          <w:rFonts w:hAnsi="宋体"/>
          <w:sz w:val="24"/>
        </w:rPr>
      </w:pPr>
      <w:r>
        <w:rPr>
          <w:rFonts w:hint="eastAsia" w:hAnsi="宋体"/>
          <w:sz w:val="24"/>
        </w:rPr>
        <w:t>2）出于为保证本工程的整体质量和效果等特殊原因，发包人决定将某种材料设备的供货方式由乙供改为甲供或甲招乙供时，承包人应提前做好材料到货及使用时间计划给发包人，发包人根据材料到货及使用时间计划确定购买时间后将书面通知承包人。发包人将以设计图纸结算用量（含定额规定的损耗）乘以预算中的相应材料设备价格后从合同总价款中扣除相应的材料设备价款及其相关取费。若实际供应的甲供材料设备数量超出按图纸计算用量（含定额规定的损耗）的差异部分则从承包人的工程结算款中扣除。如不由承包人安装，安装费也相应扣除。</w:t>
      </w:r>
    </w:p>
    <w:p w14:paraId="4E480DC6">
      <w:pPr>
        <w:pStyle w:val="27"/>
        <w:spacing w:line="360" w:lineRule="auto"/>
        <w:ind w:firstLine="562" w:firstLineChars="200"/>
        <w:outlineLvl w:val="0"/>
        <w:rPr>
          <w:rFonts w:ascii="宋体" w:hAnsi="宋体"/>
          <w:b/>
          <w:sz w:val="28"/>
        </w:rPr>
      </w:pPr>
      <w:bookmarkStart w:id="498" w:name="_Toc104901787"/>
      <w:bookmarkStart w:id="499" w:name="_Toc502215512"/>
      <w:bookmarkStart w:id="500" w:name="_Toc518402609"/>
      <w:bookmarkStart w:id="501" w:name="_Toc504465915"/>
      <w:bookmarkStart w:id="502" w:name="_Toc26768_WPSOffice_Level2"/>
      <w:r>
        <w:rPr>
          <w:rFonts w:hint="eastAsia" w:ascii="宋体" w:hAnsi="宋体" w:cs="宋体"/>
          <w:b/>
          <w:snapToGrid w:val="0"/>
          <w:sz w:val="28"/>
          <w:szCs w:val="28"/>
        </w:rPr>
        <w:t>八</w:t>
      </w:r>
      <w:r>
        <w:rPr>
          <w:rFonts w:hint="eastAsia" w:ascii="宋体" w:hAnsi="宋体"/>
          <w:b/>
          <w:sz w:val="28"/>
        </w:rPr>
        <w:t>、工程变更</w:t>
      </w:r>
      <w:bookmarkEnd w:id="498"/>
      <w:bookmarkEnd w:id="499"/>
      <w:bookmarkEnd w:id="500"/>
      <w:bookmarkEnd w:id="501"/>
      <w:bookmarkEnd w:id="502"/>
      <w:bookmarkStart w:id="503" w:name="_Toc504465916"/>
      <w:bookmarkStart w:id="504" w:name="_Toc518402610"/>
      <w:bookmarkStart w:id="505" w:name="_Toc502215513"/>
    </w:p>
    <w:p w14:paraId="658320C9">
      <w:pPr>
        <w:spacing w:line="360" w:lineRule="auto"/>
        <w:ind w:firstLine="482" w:firstLineChars="200"/>
        <w:outlineLvl w:val="1"/>
        <w:rPr>
          <w:rFonts w:ascii="宋体" w:hAnsi="宋体"/>
          <w:b/>
          <w:kern w:val="0"/>
          <w:sz w:val="24"/>
        </w:rPr>
      </w:pPr>
      <w:bookmarkStart w:id="506" w:name="_Toc104901791"/>
      <w:bookmarkStart w:id="507" w:name="_Toc22861"/>
      <w:bookmarkStart w:id="508" w:name="_Toc16396"/>
      <w:bookmarkStart w:id="509" w:name="_Toc5045"/>
      <w:bookmarkStart w:id="510" w:name="_Toc144746895"/>
      <w:bookmarkStart w:id="511" w:name="_Toc144746265"/>
      <w:r>
        <w:rPr>
          <w:rFonts w:hint="eastAsia" w:ascii="宋体" w:hAnsi="宋体"/>
          <w:b/>
          <w:kern w:val="0"/>
          <w:sz w:val="24"/>
        </w:rPr>
        <w:t>34、</w:t>
      </w:r>
      <w:bookmarkEnd w:id="506"/>
      <w:r>
        <w:rPr>
          <w:rFonts w:hint="eastAsia" w:ascii="宋体" w:hAnsi="宋体" w:cs="宋体"/>
          <w:b/>
          <w:bCs/>
          <w:snapToGrid w:val="0"/>
          <w:kern w:val="0"/>
          <w:sz w:val="24"/>
        </w:rPr>
        <w:t>工程设计变更</w:t>
      </w:r>
      <w:bookmarkEnd w:id="503"/>
      <w:bookmarkEnd w:id="504"/>
      <w:bookmarkEnd w:id="505"/>
      <w:bookmarkEnd w:id="507"/>
      <w:bookmarkEnd w:id="508"/>
      <w:bookmarkEnd w:id="509"/>
      <w:bookmarkEnd w:id="510"/>
      <w:bookmarkEnd w:id="511"/>
    </w:p>
    <w:p w14:paraId="1DCAD9D5">
      <w:pPr>
        <w:pStyle w:val="16"/>
        <w:spacing w:line="360" w:lineRule="auto"/>
        <w:ind w:firstLine="480" w:firstLineChars="200"/>
        <w:jc w:val="both"/>
        <w:rPr>
          <w:rFonts w:ascii="宋体" w:hAnsi="宋体"/>
          <w:sz w:val="24"/>
        </w:rPr>
      </w:pPr>
      <w:r>
        <w:rPr>
          <w:rFonts w:hint="eastAsia" w:ascii="宋体" w:hAnsi="宋体"/>
          <w:sz w:val="24"/>
        </w:rPr>
        <w:t>34.1承包人应</w:t>
      </w:r>
      <w:r>
        <w:rPr>
          <w:rFonts w:hint="eastAsia" w:ascii="宋体" w:hAnsi="宋体" w:cs="宋体"/>
          <w:snapToGrid w:val="0"/>
          <w:sz w:val="24"/>
        </w:rPr>
        <w:t>本着对工程质量、工期、投资等三大控制相结合的原则对设计</w:t>
      </w:r>
      <w:r>
        <w:rPr>
          <w:rFonts w:hint="eastAsia" w:ascii="宋体" w:hAnsi="宋体"/>
          <w:sz w:val="24"/>
        </w:rPr>
        <w:t>变更</w:t>
      </w:r>
      <w:r>
        <w:rPr>
          <w:rFonts w:hint="eastAsia" w:ascii="宋体" w:hAnsi="宋体" w:cs="宋体"/>
          <w:snapToGrid w:val="0"/>
          <w:sz w:val="24"/>
        </w:rPr>
        <w:t>进行管理</w:t>
      </w:r>
      <w:r>
        <w:rPr>
          <w:rFonts w:hint="eastAsia" w:ascii="宋体" w:hAnsi="宋体"/>
          <w:sz w:val="24"/>
        </w:rPr>
        <w:t>。</w:t>
      </w:r>
    </w:p>
    <w:p w14:paraId="623931E4">
      <w:pPr>
        <w:pStyle w:val="16"/>
        <w:spacing w:line="360" w:lineRule="auto"/>
        <w:ind w:firstLine="480" w:firstLineChars="200"/>
        <w:jc w:val="both"/>
        <w:rPr>
          <w:rFonts w:ascii="宋体" w:hAnsi="宋体" w:cs="宋体"/>
          <w:snapToGrid w:val="0"/>
          <w:sz w:val="24"/>
        </w:rPr>
      </w:pPr>
      <w:r>
        <w:rPr>
          <w:rFonts w:hint="eastAsia" w:ascii="宋体" w:hAnsi="宋体" w:cs="宋体"/>
          <w:bCs/>
          <w:snapToGrid w:val="0"/>
          <w:sz w:val="24"/>
          <w:szCs w:val="22"/>
        </w:rPr>
        <w:t>34.2</w:t>
      </w:r>
      <w:r>
        <w:rPr>
          <w:rFonts w:hint="eastAsia" w:ascii="宋体" w:hAnsi="宋体" w:cs="宋体"/>
          <w:snapToGrid w:val="0"/>
          <w:sz w:val="24"/>
        </w:rPr>
        <w:t>承包人应根据完成施工图审查备案后的施工图设计进行施工，如果施工过程中出现的由于施工图文件的错、漏、碰等原因造成的需进行设计更改（包括专项工程设计更改）以及为了完善相关工程施工组织文件内容而进行的设计调整或增补，承包人应自行承担由此导致的工程费用的增加；导致减少的工程费用则按完善变更程序后调整合同价格清单。</w:t>
      </w:r>
    </w:p>
    <w:p w14:paraId="31BA14DA">
      <w:pPr>
        <w:pStyle w:val="42"/>
        <w:spacing w:before="0" w:beforeAutospacing="0" w:after="0" w:afterAutospacing="0" w:line="360" w:lineRule="auto"/>
        <w:ind w:firstLine="480" w:firstLineChars="200"/>
        <w:jc w:val="both"/>
        <w:rPr>
          <w:rFonts w:cs="宋体"/>
          <w:snapToGrid w:val="0"/>
        </w:rPr>
      </w:pPr>
      <w:r>
        <w:rPr>
          <w:rFonts w:hint="eastAsia"/>
        </w:rPr>
        <w:t>34.3承包人</w:t>
      </w:r>
      <w:r>
        <w:rPr>
          <w:rFonts w:hint="eastAsia" w:cs="宋体"/>
          <w:snapToGrid w:val="0"/>
        </w:rPr>
        <w:t>应充分考虑施工安装条件和水平、材料供应的条件（即充分考虑设计与施工的衔接），若由于设计错误导致无法施工或采购材料，承包人应无条件修改或重新设计，并按合同条款第41条的相关约定承担违约责任。</w:t>
      </w:r>
    </w:p>
    <w:p w14:paraId="3FC636D3">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34.4在施工中如发包人在发包范围内如需对经完成施工图审查备案的设计文件进行变更，应提前以书面形式向承包人发出变更通知。承包人应相应变更编制预算，用以成本控制。</w:t>
      </w:r>
    </w:p>
    <w:p w14:paraId="700C7C4E">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34.5施工中承包人不得擅自对发包人已评审确认的施工设计图纸进行变更。因承包人擅自变更设计发生的费用和由此导致发包人的直接损失，由承包人承担，延误的工期不予顺延。</w:t>
      </w:r>
    </w:p>
    <w:p w14:paraId="75E35243">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34.6承包人在施工中</w:t>
      </w:r>
      <w:r>
        <w:rPr>
          <w:rFonts w:hint="eastAsia" w:ascii="宋体" w:hAnsi="宋体"/>
          <w:kern w:val="0"/>
          <w:sz w:val="24"/>
        </w:rPr>
        <w:t>提出的合理化建议</w:t>
      </w:r>
      <w:r>
        <w:rPr>
          <w:rFonts w:hint="eastAsia" w:ascii="宋体" w:hAnsi="宋体" w:cs="宋体"/>
          <w:snapToGrid w:val="0"/>
          <w:kern w:val="0"/>
          <w:sz w:val="24"/>
        </w:rPr>
        <w:t>涉及到对经批准的设计图纸或施工组织设计的更改及对材料、设备的换用，须</w:t>
      </w:r>
      <w:r>
        <w:rPr>
          <w:rFonts w:hint="eastAsia" w:ascii="宋体" w:hAnsi="宋体"/>
          <w:kern w:val="0"/>
          <w:sz w:val="24"/>
        </w:rPr>
        <w:t>经发包人</w:t>
      </w:r>
      <w:r>
        <w:rPr>
          <w:rFonts w:hint="eastAsia" w:ascii="宋体" w:hAnsi="宋体" w:cs="宋体"/>
          <w:snapToGrid w:val="0"/>
          <w:kern w:val="0"/>
          <w:sz w:val="24"/>
        </w:rPr>
        <w:t>及总监理工程师书面同意。未经同意擅自更改或换用时，承包人承担由此发生的费用，并赔偿发包人的有关损失，延误的工期不予顺延。</w:t>
      </w:r>
    </w:p>
    <w:p w14:paraId="43117022">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34.7承包人对自身的设计、采购、施工、工程质量存在的缺陷，应自费修正、调整和完善，不属于变更。</w:t>
      </w:r>
    </w:p>
    <w:p w14:paraId="5B1AD03D">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因本项目为设计施工总承包项目，若因承包人设计工作原因导致发生缺项、漏项等工程责任事件，则即使相应的图纸、造价文件等已经过监理等单位的审核，发包人仍有权要求承包人按经双方确认的工程使用要求（设计要求）进行修改、完善，相应费用已包含在本合同价款中，不再另行支付，若因此造成发包人需额外承担费用或损失的，均由承包人负责。</w:t>
      </w:r>
    </w:p>
    <w:p w14:paraId="7DECA85F">
      <w:pPr>
        <w:spacing w:line="360" w:lineRule="auto"/>
        <w:ind w:firstLine="482" w:firstLineChars="200"/>
        <w:outlineLvl w:val="1"/>
        <w:rPr>
          <w:rFonts w:ascii="宋体" w:hAnsi="宋体"/>
          <w:b/>
          <w:kern w:val="0"/>
          <w:sz w:val="24"/>
        </w:rPr>
      </w:pPr>
      <w:bookmarkStart w:id="512" w:name="_Toc104901792"/>
      <w:bookmarkStart w:id="513" w:name="_Toc144746266"/>
      <w:bookmarkStart w:id="514" w:name="_Toc502215514"/>
      <w:bookmarkStart w:id="515" w:name="_Toc504465917"/>
      <w:bookmarkStart w:id="516" w:name="_Toc9224"/>
      <w:bookmarkStart w:id="517" w:name="_Toc23482"/>
      <w:bookmarkStart w:id="518" w:name="_Toc6902"/>
      <w:bookmarkStart w:id="519" w:name="_Toc518402611"/>
      <w:bookmarkStart w:id="520" w:name="_Toc144746896"/>
      <w:r>
        <w:rPr>
          <w:rFonts w:hint="eastAsia" w:ascii="宋体" w:hAnsi="宋体"/>
          <w:b/>
          <w:kern w:val="0"/>
          <w:sz w:val="24"/>
        </w:rPr>
        <w:t>35、</w:t>
      </w:r>
      <w:bookmarkEnd w:id="512"/>
      <w:r>
        <w:rPr>
          <w:rFonts w:hint="eastAsia" w:ascii="宋体" w:hAnsi="宋体" w:cs="宋体"/>
          <w:b/>
          <w:bCs/>
          <w:snapToGrid w:val="0"/>
          <w:kern w:val="0"/>
          <w:sz w:val="24"/>
        </w:rPr>
        <w:t>其它变更</w:t>
      </w:r>
      <w:bookmarkEnd w:id="513"/>
      <w:bookmarkEnd w:id="514"/>
      <w:bookmarkEnd w:id="515"/>
      <w:bookmarkEnd w:id="516"/>
      <w:bookmarkEnd w:id="517"/>
      <w:bookmarkEnd w:id="518"/>
      <w:bookmarkEnd w:id="519"/>
      <w:bookmarkEnd w:id="520"/>
    </w:p>
    <w:p w14:paraId="0862BA45">
      <w:pPr>
        <w:spacing w:line="360" w:lineRule="auto"/>
        <w:ind w:firstLine="480" w:firstLineChars="200"/>
        <w:rPr>
          <w:rFonts w:ascii="宋体" w:hAnsi="宋体"/>
          <w:b/>
          <w:kern w:val="0"/>
          <w:sz w:val="24"/>
        </w:rPr>
      </w:pPr>
      <w:r>
        <w:rPr>
          <w:rFonts w:hint="eastAsia" w:ascii="宋体" w:hAnsi="宋体"/>
          <w:kern w:val="0"/>
          <w:sz w:val="24"/>
        </w:rPr>
        <w:t>35.1</w:t>
      </w:r>
      <w:r>
        <w:rPr>
          <w:rFonts w:hint="eastAsia" w:ascii="宋体" w:hAnsi="宋体" w:cs="宋体"/>
          <w:snapToGrid w:val="0"/>
          <w:kern w:val="0"/>
          <w:sz w:val="24"/>
        </w:rPr>
        <w:t>所有涉及工期、质量标准的变更均应获得</w:t>
      </w:r>
      <w:r>
        <w:rPr>
          <w:rFonts w:hint="eastAsia" w:ascii="宋体" w:hAnsi="宋体"/>
          <w:kern w:val="0"/>
          <w:sz w:val="24"/>
        </w:rPr>
        <w:t>发包人</w:t>
      </w:r>
      <w:r>
        <w:rPr>
          <w:rFonts w:hint="eastAsia" w:ascii="宋体" w:hAnsi="宋体" w:cs="宋体"/>
          <w:snapToGrid w:val="0"/>
          <w:kern w:val="0"/>
          <w:sz w:val="24"/>
        </w:rPr>
        <w:t>正式批准才能生效</w:t>
      </w:r>
      <w:r>
        <w:rPr>
          <w:rFonts w:hint="eastAsia" w:ascii="宋体" w:hAnsi="宋体"/>
          <w:kern w:val="0"/>
          <w:sz w:val="24"/>
        </w:rPr>
        <w:t>。</w:t>
      </w:r>
    </w:p>
    <w:p w14:paraId="1E5FF1A4">
      <w:pPr>
        <w:spacing w:line="360" w:lineRule="auto"/>
        <w:ind w:firstLine="480" w:firstLineChars="200"/>
        <w:rPr>
          <w:rFonts w:ascii="宋体" w:hAnsi="宋体"/>
          <w:kern w:val="0"/>
          <w:sz w:val="24"/>
        </w:rPr>
      </w:pPr>
      <w:r>
        <w:rPr>
          <w:rFonts w:hint="eastAsia" w:ascii="宋体" w:hAnsi="宋体"/>
          <w:kern w:val="0"/>
          <w:sz w:val="24"/>
        </w:rPr>
        <w:t>35.2</w:t>
      </w:r>
      <w:r>
        <w:rPr>
          <w:rFonts w:hint="eastAsia" w:ascii="宋体" w:hAnsi="宋体" w:cs="宋体"/>
          <w:snapToGrid w:val="0"/>
          <w:kern w:val="0"/>
          <w:sz w:val="24"/>
        </w:rPr>
        <w:t>其他变更，按发包人的有关管理制度及实施细则执行</w:t>
      </w:r>
      <w:r>
        <w:rPr>
          <w:rFonts w:hint="eastAsia" w:ascii="宋体" w:hAnsi="宋体"/>
          <w:kern w:val="0"/>
          <w:sz w:val="24"/>
        </w:rPr>
        <w:t>。</w:t>
      </w:r>
    </w:p>
    <w:p w14:paraId="238E4EE5">
      <w:pPr>
        <w:spacing w:line="360" w:lineRule="auto"/>
        <w:ind w:firstLine="482" w:firstLineChars="200"/>
        <w:outlineLvl w:val="1"/>
        <w:rPr>
          <w:rFonts w:ascii="宋体" w:hAnsi="宋体"/>
          <w:b/>
          <w:kern w:val="0"/>
          <w:sz w:val="24"/>
        </w:rPr>
      </w:pPr>
      <w:bookmarkStart w:id="521" w:name="_Toc104901793"/>
      <w:bookmarkStart w:id="522" w:name="_Toc504465918"/>
      <w:bookmarkStart w:id="523" w:name="_Toc144746897"/>
      <w:bookmarkStart w:id="524" w:name="_Toc518402612"/>
      <w:bookmarkStart w:id="525" w:name="_Toc22480"/>
      <w:bookmarkStart w:id="526" w:name="_Toc31980"/>
      <w:bookmarkStart w:id="527" w:name="_Toc502215515"/>
      <w:bookmarkStart w:id="528" w:name="_Toc4250"/>
      <w:bookmarkStart w:id="529" w:name="_Toc144746267"/>
      <w:r>
        <w:rPr>
          <w:rFonts w:hint="eastAsia" w:ascii="宋体" w:hAnsi="宋体"/>
          <w:b/>
          <w:kern w:val="0"/>
          <w:sz w:val="24"/>
        </w:rPr>
        <w:t>36、</w:t>
      </w:r>
      <w:bookmarkEnd w:id="521"/>
      <w:r>
        <w:rPr>
          <w:rFonts w:hint="eastAsia" w:ascii="宋体" w:hAnsi="宋体" w:cs="宋体"/>
          <w:b/>
          <w:bCs/>
          <w:snapToGrid w:val="0"/>
          <w:kern w:val="0"/>
          <w:sz w:val="24"/>
        </w:rPr>
        <w:t>确定变更价款</w:t>
      </w:r>
      <w:bookmarkEnd w:id="522"/>
      <w:bookmarkEnd w:id="523"/>
      <w:bookmarkEnd w:id="524"/>
      <w:bookmarkEnd w:id="525"/>
      <w:bookmarkEnd w:id="526"/>
      <w:bookmarkEnd w:id="527"/>
      <w:bookmarkEnd w:id="528"/>
      <w:bookmarkEnd w:id="529"/>
    </w:p>
    <w:p w14:paraId="2215C539">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当发生下列情况时，可对</w:t>
      </w:r>
      <w:r>
        <w:rPr>
          <w:rFonts w:hint="eastAsia" w:ascii="宋体" w:hAnsi="宋体"/>
          <w:kern w:val="0"/>
          <w:sz w:val="24"/>
        </w:rPr>
        <w:t>合同</w:t>
      </w:r>
      <w:r>
        <w:rPr>
          <w:rFonts w:hint="eastAsia" w:ascii="宋体" w:hAnsi="宋体" w:cs="宋体"/>
          <w:snapToGrid w:val="0"/>
          <w:kern w:val="0"/>
          <w:sz w:val="24"/>
        </w:rPr>
        <w:t>价款进行调整：</w:t>
      </w:r>
    </w:p>
    <w:p w14:paraId="23F02048">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发包人及监理单位共同确认</w:t>
      </w:r>
      <w:r>
        <w:rPr>
          <w:rFonts w:hint="eastAsia" w:ascii="宋体" w:hAnsi="宋体"/>
          <w:kern w:val="0"/>
          <w:sz w:val="24"/>
        </w:rPr>
        <w:t>的</w:t>
      </w:r>
      <w:r>
        <w:rPr>
          <w:rFonts w:hint="eastAsia" w:ascii="宋体" w:hAnsi="宋体" w:cs="宋体"/>
          <w:snapToGrid w:val="0"/>
          <w:kern w:val="0"/>
          <w:sz w:val="24"/>
        </w:rPr>
        <w:t>发包人原因造成变更</w:t>
      </w:r>
      <w:r>
        <w:rPr>
          <w:rFonts w:hint="eastAsia" w:ascii="宋体" w:hAnsi="宋体"/>
          <w:kern w:val="0"/>
          <w:sz w:val="24"/>
        </w:rPr>
        <w:t>工程</w:t>
      </w:r>
      <w:r>
        <w:rPr>
          <w:rFonts w:hint="eastAsia" w:ascii="宋体" w:hAnsi="宋体" w:cs="宋体"/>
          <w:snapToGrid w:val="0"/>
          <w:kern w:val="0"/>
          <w:sz w:val="24"/>
        </w:rPr>
        <w:t>和新增</w:t>
      </w:r>
      <w:r>
        <w:rPr>
          <w:rFonts w:hint="eastAsia" w:ascii="宋体" w:hAnsi="宋体"/>
          <w:kern w:val="0"/>
          <w:sz w:val="24"/>
        </w:rPr>
        <w:t>工程</w:t>
      </w:r>
      <w:r>
        <w:rPr>
          <w:rFonts w:hint="eastAsia" w:ascii="宋体" w:hAnsi="宋体" w:cs="宋体"/>
          <w:snapToGrid w:val="0"/>
          <w:kern w:val="0"/>
          <w:sz w:val="24"/>
        </w:rPr>
        <w:t>（本合同条款中的变更工程和新增工程均是指按合同条款第28条确定施工图预算后，发包人原因造成的相对于预算清单发生的新增和变更工程）。</w:t>
      </w:r>
    </w:p>
    <w:p w14:paraId="5BA5B32B">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承包人在工程变更确定后3天内，提出变更工程价款的报告，经总监理工程师及发包人确认后调整合同价格清单。变更合同价款按下列程序和方法进行：</w:t>
      </w:r>
    </w:p>
    <w:p w14:paraId="119FA599">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36.1在发生合同工程设计变更后，承包人在收到发包人变更通知的3天内按合同约定的计价方式和内容编制出变更工程预算送交本</w:t>
      </w:r>
      <w:r>
        <w:rPr>
          <w:rFonts w:hint="eastAsia" w:ascii="宋体" w:hAnsi="宋体"/>
          <w:kern w:val="0"/>
          <w:sz w:val="24"/>
        </w:rPr>
        <w:t>项目</w:t>
      </w:r>
      <w:r>
        <w:rPr>
          <w:rFonts w:hint="eastAsia" w:ascii="宋体" w:hAnsi="宋体" w:cs="宋体"/>
          <w:snapToGrid w:val="0"/>
          <w:kern w:val="0"/>
          <w:sz w:val="24"/>
        </w:rPr>
        <w:t>监理单位审核，监理单位在2天内审核并签署意见后报发包人，发包人收到后10天内答复。</w:t>
      </w:r>
    </w:p>
    <w:p w14:paraId="17DF0690">
      <w:pPr>
        <w:spacing w:line="360" w:lineRule="auto"/>
        <w:ind w:firstLine="480" w:firstLineChars="200"/>
        <w:rPr>
          <w:rFonts w:ascii="宋体" w:hAnsi="宋体" w:cs="宋体"/>
          <w:kern w:val="0"/>
          <w:sz w:val="24"/>
        </w:rPr>
      </w:pPr>
      <w:r>
        <w:rPr>
          <w:rFonts w:hint="eastAsia" w:ascii="宋体" w:hAnsi="宋体" w:cs="宋体"/>
          <w:snapToGrid w:val="0"/>
          <w:kern w:val="0"/>
          <w:sz w:val="24"/>
        </w:rPr>
        <w:t>36.2</w:t>
      </w:r>
      <w:r>
        <w:rPr>
          <w:rFonts w:hint="eastAsia" w:ascii="宋体" w:hAnsi="宋体" w:cs="宋体"/>
          <w:kern w:val="0"/>
          <w:sz w:val="24"/>
        </w:rPr>
        <w:t>变更及新增项目计价原则</w:t>
      </w:r>
    </w:p>
    <w:p w14:paraId="3DE7A8A5">
      <w:pPr>
        <w:spacing w:line="360" w:lineRule="auto"/>
        <w:ind w:firstLine="480" w:firstLineChars="200"/>
        <w:rPr>
          <w:rFonts w:ascii="宋体" w:hAnsi="宋体" w:cs="宋体"/>
          <w:kern w:val="0"/>
          <w:sz w:val="24"/>
        </w:rPr>
      </w:pPr>
      <w:r>
        <w:rPr>
          <w:rFonts w:hint="eastAsia" w:ascii="宋体" w:hAnsi="宋体" w:cs="宋体"/>
          <w:kern w:val="0"/>
          <w:sz w:val="24"/>
        </w:rPr>
        <w:t>具体计价原则如下：</w:t>
      </w:r>
    </w:p>
    <w:p w14:paraId="50FA703D">
      <w:pPr>
        <w:spacing w:line="360" w:lineRule="auto"/>
        <w:ind w:firstLine="480" w:firstLineChars="200"/>
        <w:rPr>
          <w:rFonts w:ascii="宋体" w:hAnsi="宋体" w:cs="宋体"/>
          <w:sz w:val="24"/>
          <w:u w:val="single"/>
        </w:rPr>
      </w:pPr>
      <w:r>
        <w:rPr>
          <w:rFonts w:hint="eastAsia" w:ascii="宋体" w:hAnsi="宋体" w:cs="宋体"/>
          <w:kern w:val="0"/>
          <w:sz w:val="24"/>
        </w:rPr>
        <w:t>36.2.1设计费：按本合同条款第28条执行</w:t>
      </w:r>
      <w:r>
        <w:rPr>
          <w:rFonts w:hint="eastAsia" w:ascii="宋体" w:hAnsi="宋体" w:cs="宋体"/>
          <w:sz w:val="24"/>
        </w:rPr>
        <w:t>。</w:t>
      </w:r>
    </w:p>
    <w:p w14:paraId="42A2E817">
      <w:pPr>
        <w:spacing w:line="360" w:lineRule="auto"/>
        <w:ind w:firstLine="480" w:firstLineChars="200"/>
        <w:rPr>
          <w:rFonts w:ascii="宋体" w:hAnsi="宋体" w:cs="宋体"/>
          <w:kern w:val="0"/>
          <w:sz w:val="24"/>
        </w:rPr>
      </w:pPr>
      <w:r>
        <w:rPr>
          <w:rFonts w:hint="eastAsia" w:ascii="宋体" w:hAnsi="宋体" w:cs="宋体"/>
          <w:kern w:val="0"/>
          <w:sz w:val="24"/>
        </w:rPr>
        <w:t>36.2.2施工费：按本合同条款第</w:t>
      </w:r>
      <w:r>
        <w:rPr>
          <w:rFonts w:hint="eastAsia" w:ascii="宋体" w:hAnsi="宋体" w:cs="宋体"/>
          <w:bCs/>
          <w:snapToGrid w:val="0"/>
          <w:kern w:val="0"/>
          <w:sz w:val="24"/>
        </w:rPr>
        <w:t>28.3.4款执行。</w:t>
      </w:r>
    </w:p>
    <w:p w14:paraId="34201801">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36.3承包人在双方确定变更后14天内不向总监理工程师提出变更工程价款报告时，视为该项变更不涉及合同价款的变更。</w:t>
      </w:r>
    </w:p>
    <w:p w14:paraId="045E84F5">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36.4总监理工程师应在收到变更工程价款报告之日起14天内予以确认，总监理工程师无正当理由不确认时，自变更工程价款报告送达之日起14天后视为变更工程价款报告已被确认。</w:t>
      </w:r>
    </w:p>
    <w:p w14:paraId="322C9F1C">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36.5总监理工程师不同意承包人提出的变更价款，按合同条款第43条关于争议的约定处理，承包人不得以此为由单方停工。</w:t>
      </w:r>
    </w:p>
    <w:p w14:paraId="2106A9B7">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36.6因承包人自身原因导致的工程变更，承包人无权要求追加合同价款。</w:t>
      </w:r>
    </w:p>
    <w:p w14:paraId="678B0BC9">
      <w:pPr>
        <w:spacing w:line="360" w:lineRule="auto"/>
        <w:ind w:firstLine="480" w:firstLineChars="200"/>
        <w:rPr>
          <w:rFonts w:ascii="宋体" w:hAnsi="宋体"/>
          <w:kern w:val="0"/>
          <w:sz w:val="24"/>
        </w:rPr>
      </w:pPr>
      <w:r>
        <w:rPr>
          <w:rFonts w:hint="eastAsia" w:ascii="宋体" w:hAnsi="宋体" w:cs="宋体"/>
          <w:snapToGrid w:val="0"/>
          <w:kern w:val="0"/>
          <w:sz w:val="24"/>
        </w:rPr>
        <w:t>36.7当发包人提出变更通知，承包人认为产生了</w:t>
      </w:r>
      <w:r>
        <w:rPr>
          <w:rFonts w:hint="eastAsia" w:ascii="宋体" w:hAnsi="宋体"/>
          <w:kern w:val="0"/>
          <w:sz w:val="24"/>
        </w:rPr>
        <w:t>增加费用</w:t>
      </w:r>
      <w:r>
        <w:rPr>
          <w:rFonts w:hint="eastAsia" w:ascii="宋体" w:hAnsi="宋体" w:cs="宋体"/>
          <w:snapToGrid w:val="0"/>
          <w:kern w:val="0"/>
          <w:sz w:val="24"/>
        </w:rPr>
        <w:t>，承包人应在发包人提出通知要求（发出指令）后7天内向发包人提交增加费用报告，经发包人确认后方可予以支付，报告内应说明变更原因、增加费用金额、增加费用计算书；若承包人不在规定的时间内提供增加费用报告，该类变更所涉及的增加费用视同已包含在合同价款中，不另行增加</w:t>
      </w:r>
      <w:r>
        <w:rPr>
          <w:rFonts w:hint="eastAsia" w:ascii="宋体" w:hAnsi="宋体"/>
          <w:kern w:val="0"/>
          <w:sz w:val="24"/>
        </w:rPr>
        <w:t>。</w:t>
      </w:r>
    </w:p>
    <w:p w14:paraId="79538B61">
      <w:pPr>
        <w:pStyle w:val="27"/>
        <w:spacing w:line="360" w:lineRule="auto"/>
        <w:ind w:firstLine="562" w:firstLineChars="200"/>
        <w:outlineLvl w:val="0"/>
        <w:rPr>
          <w:rFonts w:ascii="宋体" w:hAnsi="宋体"/>
          <w:b/>
          <w:sz w:val="28"/>
        </w:rPr>
      </w:pPr>
      <w:bookmarkStart w:id="530" w:name="_Toc104901794"/>
      <w:bookmarkStart w:id="531" w:name="_Toc504465919"/>
      <w:bookmarkStart w:id="532" w:name="_Toc518402613"/>
      <w:bookmarkStart w:id="533" w:name="_Toc502215516"/>
      <w:bookmarkStart w:id="534" w:name="_Toc25762_WPSOffice_Level2"/>
      <w:r>
        <w:rPr>
          <w:rFonts w:hint="eastAsia" w:ascii="宋体" w:hAnsi="宋体" w:cs="宋体"/>
          <w:b/>
          <w:snapToGrid w:val="0"/>
          <w:sz w:val="28"/>
          <w:szCs w:val="28"/>
        </w:rPr>
        <w:t>九</w:t>
      </w:r>
      <w:r>
        <w:rPr>
          <w:rFonts w:hint="eastAsia" w:ascii="宋体" w:hAnsi="宋体"/>
          <w:b/>
          <w:sz w:val="28"/>
        </w:rPr>
        <w:t>、竣工验收与结算</w:t>
      </w:r>
      <w:bookmarkEnd w:id="530"/>
      <w:bookmarkEnd w:id="531"/>
      <w:bookmarkEnd w:id="532"/>
      <w:bookmarkEnd w:id="533"/>
      <w:bookmarkEnd w:id="534"/>
    </w:p>
    <w:p w14:paraId="7BE757D4">
      <w:pPr>
        <w:spacing w:line="360" w:lineRule="auto"/>
        <w:ind w:firstLine="482" w:firstLineChars="200"/>
        <w:outlineLvl w:val="1"/>
        <w:rPr>
          <w:rFonts w:ascii="宋体" w:hAnsi="宋体"/>
          <w:b/>
          <w:kern w:val="0"/>
          <w:sz w:val="24"/>
        </w:rPr>
      </w:pPr>
      <w:bookmarkStart w:id="535" w:name="_Toc2550"/>
      <w:bookmarkStart w:id="536" w:name="_Toc144746268"/>
      <w:bookmarkStart w:id="537" w:name="_Toc144746898"/>
      <w:bookmarkStart w:id="538" w:name="_Toc502215517"/>
      <w:bookmarkStart w:id="539" w:name="_Toc25324"/>
      <w:bookmarkStart w:id="540" w:name="_Toc13586_WPSOffice_Level3"/>
      <w:bookmarkStart w:id="541" w:name="_Toc504465920"/>
      <w:bookmarkStart w:id="542" w:name="_Toc9184"/>
      <w:bookmarkStart w:id="543" w:name="_Toc104901795"/>
      <w:bookmarkStart w:id="544" w:name="_Toc518402614"/>
      <w:r>
        <w:rPr>
          <w:rFonts w:hint="eastAsia" w:ascii="宋体" w:hAnsi="宋体"/>
          <w:b/>
          <w:kern w:val="0"/>
          <w:sz w:val="24"/>
        </w:rPr>
        <w:t>37、竣工验收</w:t>
      </w:r>
      <w:bookmarkEnd w:id="535"/>
      <w:bookmarkEnd w:id="536"/>
      <w:bookmarkEnd w:id="537"/>
      <w:bookmarkEnd w:id="538"/>
      <w:bookmarkEnd w:id="539"/>
      <w:bookmarkEnd w:id="540"/>
      <w:bookmarkEnd w:id="541"/>
      <w:bookmarkEnd w:id="542"/>
      <w:bookmarkEnd w:id="543"/>
      <w:bookmarkEnd w:id="544"/>
    </w:p>
    <w:p w14:paraId="1B485EEA">
      <w:pPr>
        <w:spacing w:line="360" w:lineRule="auto"/>
        <w:ind w:firstLine="480" w:firstLineChars="200"/>
        <w:rPr>
          <w:rFonts w:ascii="宋体" w:hAnsi="宋体"/>
          <w:kern w:val="0"/>
          <w:sz w:val="24"/>
        </w:rPr>
      </w:pPr>
      <w:r>
        <w:rPr>
          <w:rFonts w:hint="eastAsia" w:ascii="宋体" w:hAnsi="宋体"/>
          <w:kern w:val="0"/>
          <w:sz w:val="24"/>
        </w:rPr>
        <w:t xml:space="preserve">37.1工程具备竣工验收条件，承包人按国家工程竣工验收有关规定，在工程竣工后 </w:t>
      </w:r>
      <w:r>
        <w:rPr>
          <w:rFonts w:hint="eastAsia" w:ascii="宋体" w:hAnsi="宋体"/>
          <w:kern w:val="0"/>
          <w:sz w:val="24"/>
          <w:u w:val="single"/>
        </w:rPr>
        <w:t xml:space="preserve">    </w:t>
      </w:r>
      <w:r>
        <w:rPr>
          <w:rFonts w:hint="eastAsia" w:ascii="宋体" w:hAnsi="宋体"/>
          <w:kern w:val="0"/>
          <w:sz w:val="24"/>
        </w:rPr>
        <w:t xml:space="preserve"> 60日内向发包人提供完整竣工资料（包含竣工图）及竣工验收报告。</w:t>
      </w:r>
    </w:p>
    <w:p w14:paraId="5286411A">
      <w:pPr>
        <w:spacing w:line="360" w:lineRule="auto"/>
        <w:ind w:firstLine="480" w:firstLineChars="200"/>
        <w:rPr>
          <w:rFonts w:ascii="宋体" w:hAnsi="宋体"/>
          <w:kern w:val="0"/>
          <w:sz w:val="24"/>
        </w:rPr>
      </w:pPr>
      <w:r>
        <w:rPr>
          <w:rFonts w:hint="eastAsia" w:ascii="宋体" w:hAnsi="宋体"/>
          <w:kern w:val="0"/>
          <w:sz w:val="24"/>
        </w:rPr>
        <w:t>37.2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14:paraId="0B87923C">
      <w:pPr>
        <w:spacing w:line="360" w:lineRule="auto"/>
        <w:ind w:firstLine="480" w:firstLineChars="200"/>
        <w:rPr>
          <w:rFonts w:ascii="宋体" w:hAnsi="宋体"/>
          <w:kern w:val="0"/>
          <w:sz w:val="24"/>
        </w:rPr>
      </w:pPr>
      <w:r>
        <w:rPr>
          <w:rFonts w:hint="eastAsia" w:ascii="宋体" w:hAnsi="宋体"/>
          <w:kern w:val="0"/>
          <w:sz w:val="24"/>
        </w:rPr>
        <w:t>37.3发包人应在验收后14天内给予认可或提出修改意见。承包人按要求修改，并承担由自身原因造成修改的费用。</w:t>
      </w:r>
    </w:p>
    <w:p w14:paraId="1513D76E">
      <w:pPr>
        <w:spacing w:line="360" w:lineRule="auto"/>
        <w:ind w:firstLine="480" w:firstLineChars="200"/>
        <w:rPr>
          <w:rFonts w:ascii="宋体" w:hAnsi="宋体"/>
          <w:kern w:val="0"/>
          <w:sz w:val="24"/>
        </w:rPr>
      </w:pPr>
      <w:r>
        <w:rPr>
          <w:rFonts w:hint="eastAsia" w:ascii="宋体" w:hAnsi="宋体"/>
          <w:kern w:val="0"/>
          <w:sz w:val="24"/>
        </w:rPr>
        <w:t>37.4发包人收到承包人送交的竣工验收报告后28天内无故不组织验收，或验收后14天内不提出修改意见，视为竣工验收报告已被认可。</w:t>
      </w:r>
    </w:p>
    <w:p w14:paraId="374915D6">
      <w:pPr>
        <w:spacing w:line="360" w:lineRule="auto"/>
        <w:ind w:firstLine="480" w:firstLineChars="200"/>
        <w:rPr>
          <w:rFonts w:ascii="宋体" w:hAnsi="宋体"/>
          <w:kern w:val="0"/>
          <w:sz w:val="24"/>
        </w:rPr>
      </w:pPr>
      <w:r>
        <w:rPr>
          <w:rFonts w:hint="eastAsia" w:ascii="宋体" w:hAnsi="宋体"/>
          <w:kern w:val="0"/>
          <w:sz w:val="24"/>
        </w:rPr>
        <w:t>37.5工程竣工验收通过，</w:t>
      </w:r>
      <w:r>
        <w:rPr>
          <w:rFonts w:hint="eastAsia" w:ascii="宋体" w:hAnsi="宋体" w:cs="宋体"/>
          <w:snapToGrid w:val="0"/>
          <w:kern w:val="0"/>
          <w:sz w:val="24"/>
        </w:rPr>
        <w:t>以</w:t>
      </w:r>
      <w:r>
        <w:rPr>
          <w:rFonts w:hint="eastAsia" w:ascii="宋体" w:hAnsi="宋体"/>
          <w:kern w:val="0"/>
          <w:sz w:val="24"/>
        </w:rPr>
        <w:t>竣工验收</w:t>
      </w:r>
      <w:r>
        <w:rPr>
          <w:rFonts w:hint="eastAsia" w:ascii="宋体" w:hAnsi="宋体" w:cs="宋体"/>
          <w:snapToGrid w:val="0"/>
          <w:kern w:val="0"/>
          <w:sz w:val="24"/>
        </w:rPr>
        <w:t>合格之日</w:t>
      </w:r>
      <w:r>
        <w:rPr>
          <w:rFonts w:hint="eastAsia" w:ascii="宋体" w:hAnsi="宋体"/>
          <w:kern w:val="0"/>
          <w:sz w:val="24"/>
        </w:rPr>
        <w:t>为实际竣工日期。工程按发包人要求修改后通过竣工验收的，实际竣工日期为承包人修改后</w:t>
      </w:r>
      <w:r>
        <w:rPr>
          <w:rFonts w:hint="eastAsia" w:ascii="宋体" w:hAnsi="宋体" w:cs="宋体"/>
          <w:snapToGrid w:val="0"/>
          <w:kern w:val="0"/>
          <w:sz w:val="24"/>
        </w:rPr>
        <w:t>经</w:t>
      </w:r>
      <w:r>
        <w:rPr>
          <w:rFonts w:hint="eastAsia" w:ascii="宋体" w:hAnsi="宋体"/>
          <w:kern w:val="0"/>
          <w:sz w:val="24"/>
        </w:rPr>
        <w:t>发包人</w:t>
      </w:r>
      <w:r>
        <w:rPr>
          <w:rFonts w:hint="eastAsia" w:ascii="宋体" w:hAnsi="宋体" w:cs="宋体"/>
          <w:snapToGrid w:val="0"/>
          <w:kern w:val="0"/>
          <w:sz w:val="24"/>
        </w:rPr>
        <w:t>竣工</w:t>
      </w:r>
      <w:r>
        <w:rPr>
          <w:rFonts w:hint="eastAsia" w:ascii="宋体" w:hAnsi="宋体"/>
          <w:kern w:val="0"/>
          <w:sz w:val="24"/>
        </w:rPr>
        <w:t>验收</w:t>
      </w:r>
      <w:r>
        <w:rPr>
          <w:rFonts w:hint="eastAsia" w:ascii="宋体" w:hAnsi="宋体" w:cs="宋体"/>
          <w:snapToGrid w:val="0"/>
          <w:kern w:val="0"/>
          <w:sz w:val="24"/>
        </w:rPr>
        <w:t>合格</w:t>
      </w:r>
      <w:r>
        <w:rPr>
          <w:rFonts w:hint="eastAsia" w:ascii="宋体" w:hAnsi="宋体"/>
          <w:kern w:val="0"/>
          <w:sz w:val="24"/>
        </w:rPr>
        <w:t>的日期。</w:t>
      </w:r>
    </w:p>
    <w:p w14:paraId="65C280F5">
      <w:pPr>
        <w:spacing w:line="360" w:lineRule="auto"/>
        <w:ind w:firstLine="480" w:firstLineChars="200"/>
        <w:rPr>
          <w:rFonts w:ascii="宋体" w:hAnsi="宋体"/>
          <w:kern w:val="0"/>
          <w:sz w:val="24"/>
        </w:rPr>
      </w:pPr>
      <w:r>
        <w:rPr>
          <w:rFonts w:hint="eastAsia" w:ascii="宋体" w:hAnsi="宋体"/>
          <w:kern w:val="0"/>
          <w:sz w:val="24"/>
        </w:rPr>
        <w:t>37.6发包人收到承包人竣工验收报告后28天内无故不组织验收，从第29天起承担工程保管及一切意外责任。</w:t>
      </w:r>
    </w:p>
    <w:p w14:paraId="242ABC04">
      <w:pPr>
        <w:spacing w:line="360" w:lineRule="auto"/>
        <w:ind w:firstLine="480" w:firstLineChars="200"/>
        <w:rPr>
          <w:rFonts w:ascii="宋体" w:hAnsi="宋体"/>
          <w:kern w:val="0"/>
          <w:sz w:val="24"/>
        </w:rPr>
      </w:pPr>
      <w:r>
        <w:rPr>
          <w:rFonts w:hint="eastAsia" w:ascii="宋体" w:hAnsi="宋体"/>
          <w:kern w:val="0"/>
          <w:sz w:val="24"/>
        </w:rPr>
        <w:t>37.7中间交工工程的验收按合同条款第</w:t>
      </w:r>
      <w:r>
        <w:rPr>
          <w:rFonts w:hint="eastAsia" w:ascii="宋体" w:hAnsi="宋体" w:cs="宋体"/>
          <w:snapToGrid w:val="0"/>
          <w:kern w:val="0"/>
          <w:sz w:val="24"/>
        </w:rPr>
        <w:t>21</w:t>
      </w:r>
      <w:r>
        <w:rPr>
          <w:rFonts w:hint="eastAsia" w:ascii="宋体" w:hAnsi="宋体"/>
          <w:kern w:val="0"/>
          <w:sz w:val="24"/>
        </w:rPr>
        <w:t>条的约定办理。</w:t>
      </w:r>
    </w:p>
    <w:p w14:paraId="571A431D">
      <w:pPr>
        <w:spacing w:line="360" w:lineRule="auto"/>
        <w:ind w:firstLine="480" w:firstLineChars="200"/>
        <w:rPr>
          <w:rFonts w:ascii="宋体" w:hAnsi="宋体"/>
          <w:kern w:val="0"/>
          <w:sz w:val="24"/>
        </w:rPr>
      </w:pPr>
      <w:r>
        <w:rPr>
          <w:rFonts w:hint="eastAsia" w:ascii="宋体" w:hAnsi="宋体"/>
          <w:kern w:val="0"/>
          <w:sz w:val="24"/>
        </w:rPr>
        <w:t>37.8因特殊原因，发包人要求部分单位工程或工程部位甩项竣工的，双方另行签订甩项竣工协议，明确双方责任和工程价款的支付方法。</w:t>
      </w:r>
    </w:p>
    <w:p w14:paraId="257A01E5">
      <w:pPr>
        <w:spacing w:line="360" w:lineRule="auto"/>
        <w:ind w:firstLine="480" w:firstLineChars="200"/>
        <w:rPr>
          <w:rFonts w:ascii="宋体" w:hAnsi="宋体"/>
          <w:kern w:val="0"/>
          <w:sz w:val="24"/>
        </w:rPr>
      </w:pPr>
      <w:r>
        <w:rPr>
          <w:rFonts w:hint="eastAsia" w:ascii="宋体" w:hAnsi="宋体"/>
          <w:kern w:val="0"/>
          <w:sz w:val="24"/>
        </w:rPr>
        <w:t>37.9经验收评定，工程质量及工程内容符合合同要求的，发包人、承包人、监理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14:paraId="20BAC9E3">
      <w:pPr>
        <w:spacing w:line="360" w:lineRule="auto"/>
        <w:ind w:firstLine="480" w:firstLineChars="200"/>
        <w:rPr>
          <w:rFonts w:ascii="宋体" w:hAnsi="宋体"/>
          <w:kern w:val="0"/>
          <w:sz w:val="24"/>
        </w:rPr>
      </w:pPr>
      <w:r>
        <w:rPr>
          <w:rFonts w:hint="eastAsia" w:ascii="宋体" w:hAnsi="宋体"/>
          <w:kern w:val="0"/>
          <w:sz w:val="24"/>
        </w:rPr>
        <w:t>37.10工程未经竣工验收或竣工验收未通过的，发包人不得使用。发包人强行使用时，由此发生的质量问题及其它问题，由发包人承担责任；若因承包人不按合同约定提交竣工资料及竣工验收报告，不予配合办理竣工验收的，发包人有权与承包人先行办理交付手续，但不视为竣工验收合格，不免除承包人的工程质量责任，承包人应承担相应的违约责任并赔偿发包人由此遭受的损失（包括但不限于支付第三方的赔偿款、违约金、诉讼费、律师费、鉴定费、保全费等）。</w:t>
      </w:r>
    </w:p>
    <w:p w14:paraId="71F81DF2">
      <w:pPr>
        <w:spacing w:line="360" w:lineRule="auto"/>
        <w:ind w:firstLine="480" w:firstLineChars="200"/>
        <w:rPr>
          <w:rFonts w:ascii="宋体" w:hAnsi="宋体"/>
          <w:kern w:val="0"/>
          <w:sz w:val="24"/>
        </w:rPr>
      </w:pPr>
      <w:r>
        <w:rPr>
          <w:rFonts w:hint="eastAsia" w:ascii="宋体" w:hAnsi="宋体"/>
          <w:kern w:val="0"/>
          <w:sz w:val="24"/>
        </w:rPr>
        <w:t>37.11承包人应按如下程序进行竣工资料准备：</w:t>
      </w:r>
    </w:p>
    <w:p w14:paraId="0032EF1A">
      <w:pPr>
        <w:spacing w:line="360" w:lineRule="auto"/>
        <w:ind w:firstLine="480" w:firstLineChars="200"/>
        <w:rPr>
          <w:rFonts w:ascii="宋体" w:hAnsi="宋体"/>
          <w:kern w:val="0"/>
          <w:sz w:val="24"/>
        </w:rPr>
      </w:pPr>
      <w:r>
        <w:rPr>
          <w:rFonts w:hint="eastAsia" w:ascii="宋体" w:hAnsi="宋体"/>
          <w:kern w:val="0"/>
          <w:sz w:val="24"/>
        </w:rPr>
        <w:t>（1）承包人有责任根据竣工验收要求对分包单位所绘制的竣工图进行符合性审查。</w:t>
      </w:r>
    </w:p>
    <w:p w14:paraId="2DF36381">
      <w:pPr>
        <w:spacing w:line="360" w:lineRule="auto"/>
        <w:ind w:firstLine="480" w:firstLineChars="200"/>
        <w:rPr>
          <w:rFonts w:ascii="宋体" w:hAnsi="宋体"/>
          <w:kern w:val="0"/>
          <w:sz w:val="24"/>
        </w:rPr>
      </w:pPr>
      <w:r>
        <w:rPr>
          <w:rFonts w:hint="eastAsia" w:ascii="宋体" w:hAnsi="宋体"/>
          <w:kern w:val="0"/>
          <w:sz w:val="24"/>
        </w:rPr>
        <w:t>（2）承包人应按照国家《城市建设档案管理规定》、《建筑工程施工技术资料编制指南（2012年版）》（广州市建设工程质量监督站主编）、</w:t>
      </w:r>
      <w:r>
        <w:rPr>
          <w:rFonts w:hint="eastAsia" w:ascii="宋体" w:hAnsi="宋体" w:cs="宋体"/>
          <w:snapToGrid w:val="0"/>
          <w:kern w:val="0"/>
          <w:sz w:val="24"/>
        </w:rPr>
        <w:t>广州市建设工程档案自行验收指南（开发区馆用）（2023.2）、建设工程档案报审办事指南（开发区馆）（2023.4）、</w:t>
      </w:r>
      <w:r>
        <w:rPr>
          <w:rFonts w:hint="eastAsia" w:ascii="宋体" w:hAnsi="宋体"/>
          <w:kern w:val="0"/>
          <w:sz w:val="24"/>
        </w:rPr>
        <w:t>和发包人的具体要求，在工程施工期间及时收集、汇总、整理、编制分包单位的工程资料</w:t>
      </w:r>
      <w:r>
        <w:rPr>
          <w:rFonts w:hint="eastAsia" w:ascii="宋体" w:hAnsi="宋体" w:cs="宋体"/>
          <w:snapToGrid w:val="0"/>
          <w:kern w:val="0"/>
          <w:sz w:val="24"/>
        </w:rPr>
        <w:t>，并按档案馆最新要求同步及时上传完善</w:t>
      </w:r>
      <w:r>
        <w:rPr>
          <w:rFonts w:hint="eastAsia" w:ascii="宋体" w:hAnsi="宋体"/>
          <w:kern w:val="0"/>
          <w:sz w:val="24"/>
        </w:rPr>
        <w:t>。</w:t>
      </w:r>
    </w:p>
    <w:p w14:paraId="2CE2122D">
      <w:pPr>
        <w:spacing w:line="360" w:lineRule="auto"/>
        <w:ind w:firstLine="480" w:firstLineChars="200"/>
        <w:rPr>
          <w:rFonts w:ascii="宋体" w:hAnsi="宋体"/>
          <w:kern w:val="0"/>
          <w:sz w:val="24"/>
        </w:rPr>
      </w:pPr>
      <w:r>
        <w:rPr>
          <w:rFonts w:hint="eastAsia" w:ascii="宋体" w:hAnsi="宋体"/>
          <w:kern w:val="0"/>
          <w:sz w:val="24"/>
        </w:rPr>
        <w:t>37.12验收依据和标准：施工图纸，图纸说明，设计变更资料和图纸，技术交底及会议纪要，国家颁布的施工验收规范、规定，以及本建设项目专家委员会根据国家有关标准、规范制订的针对本工程特殊子项的施工规范及验收标准。</w:t>
      </w:r>
    </w:p>
    <w:p w14:paraId="72A76FC5">
      <w:pPr>
        <w:spacing w:line="360" w:lineRule="auto"/>
        <w:ind w:firstLine="480" w:firstLineChars="200"/>
        <w:rPr>
          <w:rFonts w:ascii="宋体" w:hAnsi="宋体"/>
          <w:kern w:val="0"/>
          <w:sz w:val="24"/>
        </w:rPr>
      </w:pPr>
      <w:r>
        <w:rPr>
          <w:rFonts w:hint="eastAsia" w:ascii="宋体" w:hAnsi="宋体"/>
          <w:kern w:val="0"/>
          <w:sz w:val="24"/>
        </w:rPr>
        <w:t>37.13专业分包工程需单独验收的，经承包人预验合格后，属专业分包项目的再报监理单位进行监理预验；不属专业分包项目的由监理单位进行监理预验，合格后由该分包单位与专业工程验收管理部门、监理单位、发包人协商确定验收时间，并及时通知承包人参与验收。</w:t>
      </w:r>
    </w:p>
    <w:p w14:paraId="511ED610">
      <w:pPr>
        <w:spacing w:line="360" w:lineRule="auto"/>
        <w:ind w:firstLine="480" w:firstLineChars="200"/>
        <w:rPr>
          <w:rFonts w:ascii="宋体" w:hAnsi="宋体"/>
          <w:kern w:val="0"/>
          <w:sz w:val="24"/>
        </w:rPr>
      </w:pPr>
      <w:r>
        <w:rPr>
          <w:rFonts w:hint="eastAsia" w:ascii="宋体" w:hAnsi="宋体"/>
          <w:kern w:val="0"/>
          <w:sz w:val="24"/>
        </w:rPr>
        <w:t>37.14专业分包工程不需要办理单独验收的，经承包人预验合格后，属专业分包项目的再报监理单位进行监理预验；不属专业分包项目的由监理单位进行监理预验，合格后由分包单位、承包人、施工监理单位、发包人协商验收。</w:t>
      </w:r>
    </w:p>
    <w:p w14:paraId="5CED0D94">
      <w:pPr>
        <w:spacing w:line="360" w:lineRule="auto"/>
        <w:ind w:firstLine="480" w:firstLineChars="200"/>
        <w:rPr>
          <w:rFonts w:ascii="宋体" w:hAnsi="宋体"/>
          <w:kern w:val="0"/>
          <w:sz w:val="24"/>
        </w:rPr>
      </w:pPr>
      <w:r>
        <w:rPr>
          <w:rFonts w:hint="eastAsia" w:ascii="宋体" w:hAnsi="宋体"/>
          <w:kern w:val="0"/>
          <w:sz w:val="24"/>
        </w:rPr>
        <w:t>37.15承包人必须全力配合发包人组织的专项验收工作，包括但不限于质量验收、档案验收、消防验收、规划验收、电梯验收、环保验收、人防验收、卫生防疫验收、信息工程测评和信息安全测评等。</w:t>
      </w:r>
    </w:p>
    <w:p w14:paraId="5E930BD2">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3</w:t>
      </w:r>
      <w:r>
        <w:rPr>
          <w:rFonts w:ascii="宋体" w:hAnsi="宋体"/>
          <w:kern w:val="0"/>
          <w:sz w:val="24"/>
        </w:rPr>
        <w:t xml:space="preserve">7.16 </w:t>
      </w:r>
      <w:r>
        <w:rPr>
          <w:rFonts w:hint="eastAsia" w:ascii="宋体" w:hAnsi="宋体"/>
          <w:kern w:val="0"/>
          <w:sz w:val="24"/>
        </w:rPr>
        <w:t>过程结算验收：本工程将采取分期开发，按每期分批次工程进行竣工验收，并以此作为过程结算验收节点，过程结算验收流程及标准和整体工程竣工验收要求一致。</w:t>
      </w:r>
      <w:r>
        <w:rPr>
          <w:rFonts w:hint="eastAsia" w:ascii="宋体" w:hAnsi="宋体"/>
          <w:kern w:val="0"/>
          <w:sz w:val="24"/>
          <w:lang w:eastAsia="zh-CN"/>
        </w:rPr>
        <w:t>（</w:t>
      </w:r>
      <w:r>
        <w:rPr>
          <w:rFonts w:hint="eastAsia" w:ascii="宋体" w:hAnsi="宋体"/>
          <w:kern w:val="0"/>
          <w:sz w:val="24"/>
          <w:lang w:val="en-US" w:eastAsia="zh-CN"/>
        </w:rPr>
        <w:t>不适用</w:t>
      </w:r>
      <w:r>
        <w:rPr>
          <w:rFonts w:hint="eastAsia" w:ascii="宋体" w:hAnsi="宋体"/>
          <w:kern w:val="0"/>
          <w:sz w:val="24"/>
          <w:lang w:eastAsia="zh-CN"/>
        </w:rPr>
        <w:t>）</w:t>
      </w:r>
    </w:p>
    <w:p w14:paraId="4E0CE64B">
      <w:pPr>
        <w:spacing w:line="360" w:lineRule="auto"/>
        <w:ind w:firstLine="482" w:firstLineChars="200"/>
        <w:outlineLvl w:val="1"/>
        <w:rPr>
          <w:rFonts w:ascii="宋体" w:hAnsi="宋体"/>
          <w:b/>
          <w:kern w:val="0"/>
          <w:sz w:val="24"/>
        </w:rPr>
      </w:pPr>
      <w:bookmarkStart w:id="545" w:name="_Toc144746269"/>
      <w:bookmarkStart w:id="546" w:name="_Toc2185"/>
      <w:bookmarkStart w:id="547" w:name="_Toc31354_WPSOffice_Level3"/>
      <w:bookmarkStart w:id="548" w:name="_Toc144746899"/>
      <w:bookmarkStart w:id="549" w:name="_Toc504465921"/>
      <w:bookmarkStart w:id="550" w:name="_Toc16149"/>
      <w:bookmarkStart w:id="551" w:name="_Toc104901796"/>
      <w:bookmarkStart w:id="552" w:name="_Toc502215518"/>
      <w:bookmarkStart w:id="553" w:name="_Toc518402615"/>
      <w:bookmarkStart w:id="554" w:name="_Toc4844"/>
      <w:r>
        <w:rPr>
          <w:rFonts w:hint="eastAsia" w:ascii="宋体" w:hAnsi="宋体"/>
          <w:b/>
          <w:kern w:val="0"/>
          <w:sz w:val="24"/>
        </w:rPr>
        <w:t>38、工程移交</w:t>
      </w:r>
      <w:bookmarkEnd w:id="545"/>
      <w:bookmarkEnd w:id="546"/>
      <w:bookmarkEnd w:id="547"/>
      <w:bookmarkEnd w:id="548"/>
      <w:bookmarkEnd w:id="549"/>
      <w:bookmarkEnd w:id="550"/>
      <w:bookmarkEnd w:id="551"/>
      <w:bookmarkEnd w:id="552"/>
      <w:bookmarkEnd w:id="553"/>
      <w:bookmarkEnd w:id="554"/>
    </w:p>
    <w:p w14:paraId="0ED952CA">
      <w:pPr>
        <w:spacing w:line="360" w:lineRule="auto"/>
        <w:ind w:firstLine="480" w:firstLineChars="200"/>
        <w:rPr>
          <w:rFonts w:ascii="宋体" w:hAnsi="宋体"/>
          <w:kern w:val="0"/>
          <w:sz w:val="24"/>
        </w:rPr>
      </w:pPr>
      <w:r>
        <w:rPr>
          <w:rFonts w:hint="eastAsia" w:ascii="宋体" w:hAnsi="宋体"/>
          <w:kern w:val="0"/>
          <w:sz w:val="24"/>
        </w:rPr>
        <w:t>38.1承包人应在工程项目整体移交</w:t>
      </w:r>
      <w:r>
        <w:rPr>
          <w:rFonts w:hint="eastAsia" w:ascii="宋体" w:hAnsi="宋体"/>
          <w:sz w:val="24"/>
        </w:rPr>
        <w:t>前15天内，清理现场达到合同约定的要求（包括建筑物周围余土、垃圾、生产和生活临时设施拆除），并将门窗、玻璃、地面擦扫干净，室内排水和给水管道清理干净、畅通，做到工完场清。</w:t>
      </w:r>
    </w:p>
    <w:p w14:paraId="4F23ECC3">
      <w:pPr>
        <w:spacing w:line="360" w:lineRule="auto"/>
        <w:ind w:firstLine="480" w:firstLineChars="200"/>
        <w:rPr>
          <w:rFonts w:ascii="宋体" w:hAnsi="宋体"/>
          <w:kern w:val="0"/>
          <w:sz w:val="24"/>
        </w:rPr>
      </w:pPr>
      <w:r>
        <w:rPr>
          <w:rFonts w:hint="eastAsia" w:ascii="宋体" w:hAnsi="宋体"/>
          <w:kern w:val="0"/>
          <w:sz w:val="24"/>
        </w:rPr>
        <w:t>38.2承包人应于工程竣工验收合格后15天内按要求提供相关资料，整理汇编成工程移交手册，协助项目产权管理单位尽快熟悉工程项目各部分（建筑单体、小区市政、周边管线等）、各系统（消防、供水、供电、弱电等）的情况，为项目产权管理单位的接收、使用、维护、管理作准备。移交手册包括但不限于以下内容：</w:t>
      </w:r>
    </w:p>
    <w:p w14:paraId="184584CF">
      <w:pPr>
        <w:spacing w:line="360" w:lineRule="auto"/>
        <w:ind w:firstLine="480" w:firstLineChars="200"/>
        <w:rPr>
          <w:rFonts w:ascii="宋体" w:hAnsi="宋体"/>
          <w:kern w:val="0"/>
          <w:sz w:val="24"/>
        </w:rPr>
      </w:pPr>
      <w:r>
        <w:rPr>
          <w:rFonts w:hint="eastAsia" w:ascii="宋体" w:hAnsi="宋体"/>
          <w:kern w:val="0"/>
          <w:sz w:val="24"/>
        </w:rPr>
        <w:t>（1）工程项目各部分、各系统的工程概况；</w:t>
      </w:r>
    </w:p>
    <w:p w14:paraId="6620024F">
      <w:pPr>
        <w:spacing w:line="360" w:lineRule="auto"/>
        <w:ind w:firstLine="480" w:firstLineChars="200"/>
        <w:rPr>
          <w:rFonts w:ascii="宋体" w:hAnsi="宋体"/>
          <w:kern w:val="0"/>
          <w:sz w:val="24"/>
        </w:rPr>
      </w:pPr>
      <w:r>
        <w:rPr>
          <w:rFonts w:hint="eastAsia" w:ascii="宋体" w:hAnsi="宋体"/>
          <w:kern w:val="0"/>
          <w:sz w:val="24"/>
        </w:rPr>
        <w:t>（2）工程项目全部的图纸及清单；</w:t>
      </w:r>
    </w:p>
    <w:p w14:paraId="10A64C2E">
      <w:pPr>
        <w:spacing w:line="360" w:lineRule="auto"/>
        <w:ind w:firstLine="480" w:firstLineChars="200"/>
        <w:rPr>
          <w:rFonts w:ascii="宋体" w:hAnsi="宋体"/>
          <w:kern w:val="0"/>
          <w:sz w:val="24"/>
        </w:rPr>
      </w:pPr>
      <w:r>
        <w:rPr>
          <w:rFonts w:hint="eastAsia" w:ascii="宋体" w:hAnsi="宋体"/>
          <w:kern w:val="0"/>
          <w:sz w:val="24"/>
        </w:rPr>
        <w:t>（3）工程项目的承包人、主要材料设备供货商清单、联系人及电话；</w:t>
      </w:r>
    </w:p>
    <w:p w14:paraId="0825E915">
      <w:pPr>
        <w:spacing w:line="360" w:lineRule="auto"/>
        <w:ind w:firstLine="480" w:firstLineChars="200"/>
        <w:rPr>
          <w:rFonts w:ascii="宋体" w:hAnsi="宋体"/>
          <w:kern w:val="0"/>
          <w:sz w:val="24"/>
        </w:rPr>
      </w:pPr>
      <w:r>
        <w:rPr>
          <w:rFonts w:hint="eastAsia" w:ascii="宋体" w:hAnsi="宋体"/>
          <w:kern w:val="0"/>
          <w:sz w:val="24"/>
        </w:rPr>
        <w:t>（4）各系统的设计功能、使用功能或使用说明；</w:t>
      </w:r>
    </w:p>
    <w:p w14:paraId="37FE9EC2">
      <w:pPr>
        <w:spacing w:line="360" w:lineRule="auto"/>
        <w:ind w:firstLine="480" w:firstLineChars="200"/>
        <w:rPr>
          <w:rFonts w:hint="default" w:ascii="宋体" w:hAnsi="宋体" w:eastAsia="宋体"/>
          <w:kern w:val="0"/>
          <w:sz w:val="24"/>
          <w:lang w:val="en-US" w:eastAsia="zh-CN"/>
        </w:rPr>
      </w:pPr>
      <w:r>
        <w:rPr>
          <w:rFonts w:hint="eastAsia" w:ascii="宋体" w:hAnsi="宋体"/>
          <w:kern w:val="0"/>
          <w:sz w:val="24"/>
        </w:rPr>
        <w:t>（5）电梯、空调、发电机等主要设备的运行参数；</w:t>
      </w:r>
      <w:r>
        <w:rPr>
          <w:rFonts w:hint="eastAsia" w:ascii="宋体" w:hAnsi="宋体"/>
          <w:kern w:val="0"/>
          <w:sz w:val="24"/>
          <w:lang w:eastAsia="zh-CN"/>
        </w:rPr>
        <w:t>（</w:t>
      </w:r>
      <w:r>
        <w:rPr>
          <w:rFonts w:hint="eastAsia" w:ascii="宋体" w:hAnsi="宋体"/>
          <w:kern w:val="0"/>
          <w:sz w:val="24"/>
          <w:lang w:val="en-US" w:eastAsia="zh-CN"/>
        </w:rPr>
        <w:t>不适用）</w:t>
      </w:r>
    </w:p>
    <w:p w14:paraId="07450E32">
      <w:pPr>
        <w:spacing w:line="360" w:lineRule="auto"/>
        <w:ind w:firstLine="480" w:firstLineChars="200"/>
        <w:rPr>
          <w:rFonts w:ascii="宋体" w:hAnsi="宋体"/>
          <w:kern w:val="0"/>
          <w:sz w:val="24"/>
        </w:rPr>
      </w:pPr>
      <w:r>
        <w:rPr>
          <w:rFonts w:hint="eastAsia" w:ascii="宋体" w:hAnsi="宋体"/>
          <w:kern w:val="0"/>
          <w:sz w:val="24"/>
        </w:rPr>
        <w:t>（6）主要材料设备的数量；</w:t>
      </w:r>
    </w:p>
    <w:p w14:paraId="68F07696">
      <w:pPr>
        <w:spacing w:line="360" w:lineRule="auto"/>
        <w:ind w:firstLine="480" w:firstLineChars="200"/>
        <w:rPr>
          <w:rFonts w:ascii="宋体" w:hAnsi="宋体"/>
          <w:kern w:val="0"/>
          <w:sz w:val="24"/>
        </w:rPr>
      </w:pPr>
      <w:r>
        <w:rPr>
          <w:rFonts w:hint="eastAsia" w:ascii="宋体" w:hAnsi="宋体"/>
          <w:kern w:val="0"/>
          <w:sz w:val="24"/>
        </w:rPr>
        <w:t>（7）工程、材料、设备的保修书（包括保修内容、期限、联系人、电话等）。</w:t>
      </w:r>
    </w:p>
    <w:p w14:paraId="0B59D50C">
      <w:pPr>
        <w:spacing w:line="360" w:lineRule="auto"/>
        <w:ind w:firstLine="480" w:firstLineChars="200"/>
        <w:rPr>
          <w:rFonts w:ascii="宋体" w:hAnsi="宋体"/>
          <w:kern w:val="0"/>
          <w:sz w:val="24"/>
        </w:rPr>
      </w:pPr>
      <w:r>
        <w:rPr>
          <w:rFonts w:hint="eastAsia" w:ascii="宋体" w:hAnsi="宋体"/>
          <w:kern w:val="0"/>
          <w:sz w:val="24"/>
        </w:rPr>
        <w:t>38.3承包人应在进行本条第38.2款工作的同时编写工程项目移交计划，并于本条第38.2款工作完成后3天内组织发包人、承包人、项目产权管理单位按如下程序进行工程项目移交：</w:t>
      </w:r>
    </w:p>
    <w:p w14:paraId="16C6DCD9">
      <w:pPr>
        <w:spacing w:line="360" w:lineRule="auto"/>
        <w:ind w:firstLine="480" w:firstLineChars="200"/>
        <w:rPr>
          <w:rFonts w:ascii="宋体" w:hAnsi="宋体"/>
          <w:kern w:val="0"/>
          <w:sz w:val="24"/>
        </w:rPr>
      </w:pPr>
      <w:r>
        <w:rPr>
          <w:rFonts w:hint="eastAsia" w:ascii="宋体" w:hAnsi="宋体"/>
          <w:kern w:val="0"/>
          <w:sz w:val="24"/>
        </w:rPr>
        <w:t>（1）按移交手册的资料清单移交图纸、资料；</w:t>
      </w:r>
    </w:p>
    <w:p w14:paraId="23AAF0C9">
      <w:pPr>
        <w:spacing w:line="360" w:lineRule="auto"/>
        <w:ind w:firstLine="480" w:firstLineChars="200"/>
        <w:rPr>
          <w:rFonts w:ascii="宋体" w:hAnsi="宋体"/>
          <w:kern w:val="0"/>
          <w:sz w:val="24"/>
        </w:rPr>
      </w:pPr>
      <w:r>
        <w:rPr>
          <w:rFonts w:hint="eastAsia" w:ascii="宋体" w:hAnsi="宋体"/>
          <w:kern w:val="0"/>
          <w:sz w:val="24"/>
        </w:rPr>
        <w:t>（2）按移交手册的数量清单清点主要材料设备的数量；</w:t>
      </w:r>
    </w:p>
    <w:p w14:paraId="659556C2">
      <w:pPr>
        <w:spacing w:line="360" w:lineRule="auto"/>
        <w:ind w:firstLine="480" w:firstLineChars="200"/>
        <w:rPr>
          <w:rFonts w:ascii="宋体" w:hAnsi="宋体"/>
          <w:kern w:val="0"/>
          <w:sz w:val="24"/>
        </w:rPr>
      </w:pPr>
      <w:r>
        <w:rPr>
          <w:rFonts w:hint="eastAsia" w:ascii="宋体" w:hAnsi="宋体"/>
          <w:kern w:val="0"/>
          <w:sz w:val="24"/>
        </w:rPr>
        <w:t>（3）按移交手册的设计、使用功能说明进行必要的功能性试验（或组织各方参加政府指定机构、第三方检测机构进行的功能性试验）；</w:t>
      </w:r>
    </w:p>
    <w:p w14:paraId="40C23056">
      <w:pPr>
        <w:spacing w:line="360" w:lineRule="auto"/>
        <w:ind w:firstLine="480" w:firstLineChars="200"/>
        <w:rPr>
          <w:rFonts w:ascii="宋体" w:hAnsi="宋体"/>
          <w:kern w:val="0"/>
          <w:sz w:val="24"/>
        </w:rPr>
      </w:pPr>
      <w:r>
        <w:rPr>
          <w:rFonts w:hint="eastAsia" w:ascii="宋体" w:hAnsi="宋体"/>
          <w:kern w:val="0"/>
          <w:sz w:val="24"/>
        </w:rPr>
        <w:t>（4）按移交手册的说明进行系统的试运行（或组织各方参加政府指定机构、第三方检测机构进行的功能性试验），测试主要设备的运行参数；</w:t>
      </w:r>
    </w:p>
    <w:p w14:paraId="5E16B7D3">
      <w:pPr>
        <w:spacing w:line="360" w:lineRule="auto"/>
        <w:ind w:firstLine="480" w:firstLineChars="200"/>
        <w:rPr>
          <w:rFonts w:ascii="宋体" w:hAnsi="宋体"/>
          <w:kern w:val="0"/>
          <w:sz w:val="24"/>
        </w:rPr>
      </w:pPr>
      <w:r>
        <w:rPr>
          <w:rFonts w:hint="eastAsia" w:ascii="宋体" w:hAnsi="宋体"/>
          <w:kern w:val="0"/>
          <w:sz w:val="24"/>
        </w:rPr>
        <w:t>（5）组织发包人、承包人、项目产权管理单位各方对上述移交过程进行签认；移交前需对空调管线进行预镀膜处理。</w:t>
      </w:r>
    </w:p>
    <w:p w14:paraId="1932A0C7">
      <w:pPr>
        <w:spacing w:line="360" w:lineRule="auto"/>
        <w:ind w:firstLine="480" w:firstLineChars="200"/>
        <w:rPr>
          <w:rFonts w:ascii="宋体" w:hAnsi="宋体"/>
          <w:kern w:val="0"/>
          <w:sz w:val="24"/>
        </w:rPr>
      </w:pPr>
      <w:r>
        <w:rPr>
          <w:rFonts w:hint="eastAsia" w:ascii="宋体" w:hAnsi="宋体"/>
          <w:kern w:val="0"/>
          <w:sz w:val="24"/>
        </w:rPr>
        <w:t>（6）对移交过程中发现的质量问题进行记录并及时组织责任方进行维修，验收合格后重新组织移交；</w:t>
      </w:r>
    </w:p>
    <w:p w14:paraId="09CAA586">
      <w:pPr>
        <w:spacing w:line="360" w:lineRule="auto"/>
        <w:ind w:firstLine="480" w:firstLineChars="200"/>
        <w:rPr>
          <w:rFonts w:ascii="宋体" w:hAnsi="宋体"/>
          <w:kern w:val="0"/>
          <w:sz w:val="24"/>
        </w:rPr>
      </w:pPr>
      <w:r>
        <w:rPr>
          <w:rFonts w:hint="eastAsia" w:ascii="宋体" w:hAnsi="宋体"/>
          <w:kern w:val="0"/>
          <w:sz w:val="24"/>
        </w:rPr>
        <w:t>（7）对于在操作上有专门要求的机电系统督促承包人编制培训计划，并按合同要求对项目产权管理单位人员进行培训。</w:t>
      </w:r>
    </w:p>
    <w:p w14:paraId="2CE8982B">
      <w:pPr>
        <w:spacing w:line="360" w:lineRule="auto"/>
        <w:ind w:firstLine="480" w:firstLineChars="200"/>
        <w:rPr>
          <w:rFonts w:ascii="宋体" w:hAnsi="宋体"/>
          <w:kern w:val="0"/>
          <w:sz w:val="24"/>
        </w:rPr>
      </w:pPr>
      <w:r>
        <w:rPr>
          <w:rFonts w:hint="eastAsia" w:ascii="宋体" w:hAnsi="宋体"/>
          <w:kern w:val="0"/>
          <w:sz w:val="24"/>
        </w:rPr>
        <w:t>38.4承包人应按照国家《城市建设档案管理规定》、《广州市城市建设档案管理办法》和发包人有关整理工程档案的要求，在工程施工期间及时收集、汇总、整理、编制竣工档案，包括：</w:t>
      </w:r>
    </w:p>
    <w:p w14:paraId="1A693B71">
      <w:pPr>
        <w:spacing w:line="360" w:lineRule="auto"/>
        <w:ind w:firstLine="480" w:firstLineChars="200"/>
        <w:rPr>
          <w:rFonts w:ascii="宋体" w:hAnsi="宋体"/>
          <w:kern w:val="0"/>
          <w:sz w:val="24"/>
        </w:rPr>
      </w:pPr>
      <w:r>
        <w:rPr>
          <w:rFonts w:hint="eastAsia" w:ascii="宋体" w:hAnsi="宋体"/>
          <w:kern w:val="0"/>
          <w:sz w:val="24"/>
        </w:rPr>
        <w:t>（1）竣工文件资料、竣工图档案（原件）各一式六份；</w:t>
      </w:r>
    </w:p>
    <w:p w14:paraId="1F3E40E6">
      <w:pPr>
        <w:spacing w:line="360" w:lineRule="auto"/>
        <w:ind w:firstLine="480" w:firstLineChars="200"/>
        <w:rPr>
          <w:rFonts w:ascii="宋体" w:hAnsi="宋体"/>
          <w:kern w:val="0"/>
          <w:sz w:val="24"/>
        </w:rPr>
      </w:pPr>
      <w:r>
        <w:rPr>
          <w:rFonts w:hint="eastAsia" w:ascii="宋体" w:hAnsi="宋体"/>
          <w:kern w:val="0"/>
          <w:sz w:val="24"/>
        </w:rPr>
        <w:t>（2）与本款（1）项内容相同的电子版档案一式六份；</w:t>
      </w:r>
    </w:p>
    <w:p w14:paraId="1889CB8F">
      <w:pPr>
        <w:spacing w:line="360" w:lineRule="auto"/>
        <w:ind w:firstLine="480" w:firstLineChars="200"/>
        <w:rPr>
          <w:rFonts w:ascii="宋体" w:hAnsi="宋体"/>
          <w:kern w:val="0"/>
          <w:sz w:val="24"/>
        </w:rPr>
      </w:pPr>
      <w:r>
        <w:rPr>
          <w:rFonts w:hint="eastAsia" w:ascii="宋体" w:hAnsi="宋体"/>
          <w:kern w:val="0"/>
          <w:sz w:val="24"/>
        </w:rPr>
        <w:t>（3）声像档案一式六份。</w:t>
      </w:r>
    </w:p>
    <w:p w14:paraId="6188D937">
      <w:pPr>
        <w:spacing w:line="360" w:lineRule="auto"/>
        <w:ind w:firstLine="480" w:firstLineChars="200"/>
        <w:rPr>
          <w:rFonts w:ascii="宋体" w:hAnsi="宋体"/>
          <w:kern w:val="0"/>
          <w:sz w:val="24"/>
        </w:rPr>
      </w:pPr>
      <w:r>
        <w:rPr>
          <w:rFonts w:hint="eastAsia" w:ascii="宋体" w:hAnsi="宋体"/>
          <w:kern w:val="0"/>
          <w:sz w:val="24"/>
        </w:rPr>
        <w:t>38.5承包人移交竣工档案的时限：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14:paraId="1EA9ADB2">
      <w:pPr>
        <w:spacing w:line="360" w:lineRule="auto"/>
        <w:ind w:firstLine="480" w:firstLineChars="200"/>
        <w:rPr>
          <w:rFonts w:ascii="宋体" w:hAnsi="宋体"/>
          <w:kern w:val="0"/>
          <w:sz w:val="24"/>
        </w:rPr>
      </w:pPr>
      <w:r>
        <w:rPr>
          <w:rFonts w:hint="eastAsia" w:ascii="宋体" w:hAnsi="宋体"/>
          <w:kern w:val="0"/>
          <w:sz w:val="24"/>
        </w:rPr>
        <w:t>38.6电子版竣工图的编制，以发包人提供的电子版施工图为基础。承包人在移交竣工档案时，应一并移交发包人提供的电子版施工图。</w:t>
      </w:r>
    </w:p>
    <w:p w14:paraId="0261AE5A">
      <w:pPr>
        <w:spacing w:line="360" w:lineRule="auto"/>
        <w:ind w:firstLine="480" w:firstLineChars="200"/>
        <w:rPr>
          <w:rFonts w:ascii="宋体" w:hAnsi="宋体"/>
          <w:kern w:val="0"/>
          <w:sz w:val="24"/>
        </w:rPr>
      </w:pPr>
      <w:r>
        <w:rPr>
          <w:rFonts w:hint="eastAsia" w:ascii="宋体" w:hAnsi="宋体"/>
          <w:kern w:val="0"/>
          <w:sz w:val="24"/>
        </w:rPr>
        <w:t>38.7电子版施工图和电子版竣工图的知识产权归属发包人所有，非经发包人许可，承包人不得以任何方式复制、备份、转让和利用，否则由此引起的任何纠纷和责任由承包人承担。</w:t>
      </w:r>
    </w:p>
    <w:p w14:paraId="5F16A5C9">
      <w:pPr>
        <w:spacing w:line="360" w:lineRule="auto"/>
        <w:ind w:firstLine="480" w:firstLineChars="200"/>
        <w:rPr>
          <w:rFonts w:ascii="宋体" w:hAnsi="宋体"/>
          <w:kern w:val="0"/>
          <w:sz w:val="24"/>
        </w:rPr>
      </w:pPr>
      <w:r>
        <w:rPr>
          <w:rFonts w:hint="eastAsia" w:ascii="宋体" w:hAnsi="宋体"/>
          <w:kern w:val="0"/>
          <w:sz w:val="24"/>
        </w:rPr>
        <w:t>38.8承包人应督促其工程分包单位及时做好竣工资料整理工作，于分包工程竣工验收后25天内将全部档案资料移交给承包人，由承包人汇总、归档，并在承包人移交竣工档案时一并移交。</w:t>
      </w:r>
    </w:p>
    <w:p w14:paraId="6B70471F">
      <w:pPr>
        <w:spacing w:line="360" w:lineRule="auto"/>
        <w:ind w:firstLine="480" w:firstLineChars="200"/>
        <w:rPr>
          <w:rFonts w:ascii="宋体" w:hAnsi="宋体"/>
          <w:kern w:val="0"/>
          <w:sz w:val="24"/>
        </w:rPr>
      </w:pPr>
      <w:r>
        <w:rPr>
          <w:rFonts w:hint="eastAsia" w:ascii="宋体" w:hAnsi="宋体"/>
          <w:kern w:val="0"/>
          <w:sz w:val="24"/>
        </w:rPr>
        <w:t>38.9发包人留取合同协议书第6条约定的</w:t>
      </w:r>
      <w:r>
        <w:rPr>
          <w:rFonts w:hint="eastAsia" w:ascii="宋体" w:hAnsi="宋体" w:cs="宋体"/>
          <w:snapToGrid w:val="0"/>
          <w:kern w:val="0"/>
          <w:sz w:val="24"/>
        </w:rPr>
        <w:t>审定预算对应施工费</w:t>
      </w:r>
      <w:r>
        <w:rPr>
          <w:rFonts w:hint="eastAsia" w:ascii="宋体" w:hAnsi="宋体"/>
          <w:kern w:val="0"/>
          <w:sz w:val="24"/>
        </w:rPr>
        <w:t>的0.2%作为承包人按时、完整移交竣工档案的保证金。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14:paraId="7FCE7F66">
      <w:pPr>
        <w:spacing w:line="360" w:lineRule="auto"/>
        <w:ind w:firstLine="480" w:firstLineChars="200"/>
        <w:rPr>
          <w:rFonts w:ascii="宋体" w:hAnsi="宋体"/>
          <w:kern w:val="0"/>
          <w:sz w:val="24"/>
        </w:rPr>
      </w:pPr>
      <w:r>
        <w:rPr>
          <w:rFonts w:hint="eastAsia" w:ascii="宋体" w:hAnsi="宋体"/>
          <w:kern w:val="0"/>
          <w:sz w:val="24"/>
        </w:rPr>
        <w:t>38.10因承包人的原因致使发包人未能按照国家规定向政府有关部门移交工程竣工档案而受到经济处罚的，由承包人承担全额赔偿责任。</w:t>
      </w:r>
    </w:p>
    <w:p w14:paraId="07A853E9">
      <w:pPr>
        <w:spacing w:line="360" w:lineRule="auto"/>
        <w:ind w:firstLine="480" w:firstLineChars="200"/>
        <w:rPr>
          <w:rFonts w:ascii="宋体" w:hAnsi="宋体"/>
          <w:kern w:val="0"/>
          <w:sz w:val="24"/>
        </w:rPr>
      </w:pPr>
      <w:r>
        <w:rPr>
          <w:rFonts w:hint="eastAsia" w:ascii="宋体" w:hAnsi="宋体"/>
          <w:kern w:val="0"/>
          <w:sz w:val="24"/>
        </w:rPr>
        <w:t>38.11由承包人先移交给发包人、然后再由发包人移交给项目产权管理单位的工程项目，承包人仍应按发包人的要求及上述约定予以协助。</w:t>
      </w:r>
    </w:p>
    <w:p w14:paraId="5414A1CA">
      <w:pPr>
        <w:spacing w:line="360" w:lineRule="auto"/>
        <w:ind w:firstLine="480" w:firstLineChars="200"/>
        <w:rPr>
          <w:rFonts w:ascii="宋体" w:hAnsi="宋体"/>
          <w:kern w:val="0"/>
          <w:sz w:val="24"/>
        </w:rPr>
      </w:pPr>
      <w:r>
        <w:rPr>
          <w:rFonts w:hint="eastAsia" w:ascii="宋体" w:hAnsi="宋体"/>
          <w:kern w:val="0"/>
          <w:sz w:val="24"/>
        </w:rPr>
        <w:t>38.12工程项目移交给项目产权管理单位后，由项目产权管理单位替代发包人在本合同中的地位，承继发包人的权利义务；承包人不得以任何理由拒绝或拖延向项目产权管理单位履行合同。</w:t>
      </w:r>
    </w:p>
    <w:p w14:paraId="2AEDE882">
      <w:pPr>
        <w:spacing w:line="360" w:lineRule="auto"/>
        <w:ind w:firstLine="480" w:firstLineChars="200"/>
        <w:rPr>
          <w:rFonts w:ascii="宋体" w:hAnsi="宋体"/>
          <w:kern w:val="0"/>
          <w:sz w:val="24"/>
        </w:rPr>
      </w:pPr>
      <w:r>
        <w:rPr>
          <w:rFonts w:hint="eastAsia" w:ascii="宋体" w:hAnsi="宋体"/>
          <w:kern w:val="0"/>
          <w:sz w:val="24"/>
        </w:rPr>
        <w:t>38.13承包人参与移交或协助移交的所有费用均已包含在合同价款之内。</w:t>
      </w:r>
    </w:p>
    <w:p w14:paraId="432797FD">
      <w:pPr>
        <w:pStyle w:val="46"/>
        <w:ind w:left="0" w:leftChars="0" w:firstLine="480"/>
        <w:rPr>
          <w:rFonts w:hint="eastAsia" w:eastAsia="宋体"/>
          <w:lang w:eastAsia="zh-CN"/>
        </w:rPr>
      </w:pPr>
      <w:r>
        <w:rPr>
          <w:rFonts w:hint="eastAsia"/>
        </w:rPr>
        <w:t>3</w:t>
      </w:r>
      <w:r>
        <w:t xml:space="preserve">8.14 </w:t>
      </w:r>
      <w:r>
        <w:rPr>
          <w:rFonts w:hint="eastAsia"/>
        </w:rPr>
        <w:t>过程结算工程移交：本工程将采取分期开发，按每期分批次工程进行竣工移交，并作为过程结算工程移交节点，过程结算工程移交流程及标准和整体工程竣工验收工程移交要求一致。</w:t>
      </w:r>
      <w:r>
        <w:rPr>
          <w:rFonts w:hint="eastAsia"/>
          <w:lang w:eastAsia="zh-CN"/>
        </w:rPr>
        <w:t>（</w:t>
      </w:r>
      <w:r>
        <w:rPr>
          <w:rFonts w:hint="eastAsia"/>
          <w:lang w:val="en-US" w:eastAsia="zh-CN"/>
        </w:rPr>
        <w:t>不适用</w:t>
      </w:r>
      <w:r>
        <w:rPr>
          <w:rFonts w:hint="eastAsia"/>
          <w:lang w:eastAsia="zh-CN"/>
        </w:rPr>
        <w:t>）</w:t>
      </w:r>
    </w:p>
    <w:p w14:paraId="37AF74CD">
      <w:pPr>
        <w:spacing w:line="360" w:lineRule="auto"/>
        <w:ind w:firstLine="482" w:firstLineChars="200"/>
        <w:outlineLvl w:val="1"/>
        <w:rPr>
          <w:rFonts w:ascii="宋体" w:hAnsi="宋体"/>
          <w:b/>
          <w:kern w:val="0"/>
          <w:sz w:val="24"/>
        </w:rPr>
      </w:pPr>
      <w:bookmarkStart w:id="555" w:name="_Toc144746270"/>
      <w:bookmarkStart w:id="556" w:name="_Toc144746900"/>
      <w:bookmarkStart w:id="557" w:name="_Toc19950"/>
      <w:bookmarkStart w:id="558" w:name="_Toc16957"/>
      <w:bookmarkStart w:id="559" w:name="_Toc8719_WPSOffice_Level3"/>
      <w:bookmarkStart w:id="560" w:name="_Toc504465922"/>
      <w:bookmarkStart w:id="561" w:name="_Toc104901797"/>
      <w:bookmarkStart w:id="562" w:name="_Toc32625"/>
      <w:bookmarkStart w:id="563" w:name="_Toc518402616"/>
      <w:bookmarkStart w:id="564" w:name="_Toc502215519"/>
      <w:r>
        <w:rPr>
          <w:rFonts w:hint="eastAsia" w:ascii="宋体" w:hAnsi="宋体"/>
          <w:b/>
          <w:kern w:val="0"/>
          <w:sz w:val="24"/>
        </w:rPr>
        <w:t>39、竣工结算</w:t>
      </w:r>
      <w:bookmarkEnd w:id="555"/>
      <w:bookmarkEnd w:id="556"/>
      <w:bookmarkEnd w:id="557"/>
      <w:bookmarkEnd w:id="558"/>
      <w:bookmarkEnd w:id="559"/>
      <w:bookmarkEnd w:id="560"/>
      <w:bookmarkEnd w:id="561"/>
      <w:bookmarkEnd w:id="562"/>
      <w:bookmarkEnd w:id="563"/>
      <w:bookmarkEnd w:id="564"/>
    </w:p>
    <w:p w14:paraId="0222DF3D">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39.1结算方式：</w:t>
      </w:r>
    </w:p>
    <w:p w14:paraId="7856315E">
      <w:pPr>
        <w:adjustRightInd w:val="0"/>
        <w:snapToGrid w:val="0"/>
        <w:spacing w:line="360" w:lineRule="auto"/>
        <w:ind w:right="11" w:firstLine="480" w:firstLineChars="200"/>
        <w:rPr>
          <w:rFonts w:ascii="宋体" w:hAnsi="宋体" w:cs="宋体"/>
          <w:bCs/>
          <w:snapToGrid w:val="0"/>
          <w:kern w:val="0"/>
          <w:sz w:val="24"/>
        </w:rPr>
      </w:pPr>
      <w:r>
        <w:rPr>
          <w:rFonts w:hint="eastAsia" w:ascii="宋体" w:hAnsi="宋体" w:cs="宋体"/>
          <w:bCs/>
          <w:snapToGrid w:val="0"/>
          <w:kern w:val="0"/>
          <w:sz w:val="24"/>
        </w:rPr>
        <w:t>结算原则：</w:t>
      </w:r>
    </w:p>
    <w:p w14:paraId="627A9AC9">
      <w:pPr>
        <w:adjustRightInd w:val="0"/>
        <w:snapToGrid w:val="0"/>
        <w:spacing w:line="360" w:lineRule="auto"/>
        <w:ind w:right="11" w:firstLine="480" w:firstLineChars="200"/>
        <w:rPr>
          <w:rFonts w:ascii="宋体" w:hAnsi="宋体"/>
          <w:kern w:val="0"/>
          <w:sz w:val="24"/>
        </w:rPr>
      </w:pPr>
      <w:r>
        <w:rPr>
          <w:rFonts w:hint="eastAsia" w:ascii="宋体" w:hAnsi="宋体" w:cs="宋体"/>
          <w:bCs/>
          <w:snapToGrid w:val="0"/>
          <w:kern w:val="0"/>
          <w:sz w:val="24"/>
        </w:rPr>
        <w:t>（</w:t>
      </w:r>
      <w:r>
        <w:rPr>
          <w:rFonts w:hint="eastAsia" w:ascii="宋体" w:hAnsi="宋体"/>
          <w:kern w:val="0"/>
          <w:sz w:val="24"/>
        </w:rPr>
        <w:t>1）按</w:t>
      </w:r>
      <w:r>
        <w:rPr>
          <w:rFonts w:hint="eastAsia" w:ascii="宋体" w:hAnsi="宋体" w:cs="宋体"/>
          <w:snapToGrid w:val="0"/>
          <w:kern w:val="0"/>
          <w:sz w:val="24"/>
        </w:rPr>
        <w:t>招标文件及</w:t>
      </w:r>
      <w:r>
        <w:rPr>
          <w:rFonts w:hint="eastAsia" w:ascii="宋体" w:hAnsi="宋体"/>
          <w:kern w:val="0"/>
          <w:sz w:val="24"/>
        </w:rPr>
        <w:t>本合同有关规定办理，承包人按发包人的具体要求编制结算书，并提交竣工结算资料。</w:t>
      </w:r>
    </w:p>
    <w:p w14:paraId="53BC8086">
      <w:pPr>
        <w:adjustRightInd w:val="0"/>
        <w:snapToGrid w:val="0"/>
        <w:spacing w:line="360" w:lineRule="auto"/>
        <w:ind w:right="11" w:firstLine="480" w:firstLineChars="200"/>
        <w:rPr>
          <w:rFonts w:ascii="宋体" w:hAnsi="宋体" w:cs="宋体"/>
          <w:sz w:val="24"/>
          <w:szCs w:val="24"/>
        </w:rPr>
      </w:pPr>
      <w:r>
        <w:rPr>
          <w:rFonts w:hint="eastAsia" w:ascii="宋体" w:hAnsi="宋体"/>
          <w:kern w:val="0"/>
          <w:sz w:val="24"/>
        </w:rPr>
        <w:t>（2）</w:t>
      </w:r>
      <w:r>
        <w:rPr>
          <w:rFonts w:hint="eastAsia" w:ascii="宋体" w:hAnsi="宋体" w:cs="宋体"/>
          <w:snapToGrid w:val="0"/>
          <w:kern w:val="0"/>
          <w:sz w:val="24"/>
        </w:rPr>
        <w:t>设计费（含海绵城市设计等）、施工费结算原则详见本合同条款第六条规定。</w:t>
      </w:r>
      <w:r>
        <w:rPr>
          <w:rFonts w:hint="eastAsia" w:ascii="宋体" w:hAnsi="宋体" w:cs="宋体"/>
          <w:sz w:val="24"/>
          <w:szCs w:val="24"/>
        </w:rPr>
        <w:t>施工费在施工图预算确定后，针对确定的施工图实行固定总价包干。施工过程中，如因发包人原因增加合同承包范围或者提高建设建造标准或者项目定位、或者调整设计任务书内容要求、或者因政府主管部门政策原因调整（设计规范调整除外）另行计算</w:t>
      </w:r>
      <w:r>
        <w:rPr>
          <w:rFonts w:hint="eastAsia" w:ascii="宋体" w:hAnsi="宋体"/>
          <w:sz w:val="24"/>
        </w:rPr>
        <w:t>、施工图纸实际未施工部分相应扣减，</w:t>
      </w:r>
      <w:r>
        <w:rPr>
          <w:rFonts w:hint="eastAsia" w:ascii="宋体" w:hAnsi="宋体" w:cs="宋体"/>
          <w:sz w:val="24"/>
          <w:szCs w:val="24"/>
        </w:rPr>
        <w:t>材料价差按合同约定调整。其他情况一概不给予调整固定总价。</w:t>
      </w:r>
    </w:p>
    <w:p w14:paraId="5DEF6747">
      <w:pPr>
        <w:adjustRightInd w:val="0"/>
        <w:snapToGrid w:val="0"/>
        <w:spacing w:line="360" w:lineRule="auto"/>
        <w:ind w:right="11" w:firstLine="480" w:firstLineChars="200"/>
        <w:rPr>
          <w:rFonts w:ascii="宋体" w:hAnsi="宋体" w:cs="宋体"/>
          <w:sz w:val="24"/>
          <w:szCs w:val="24"/>
        </w:rPr>
      </w:pPr>
      <w:bookmarkStart w:id="565" w:name="_Hlk144401214"/>
      <w:r>
        <w:rPr>
          <w:rFonts w:hint="eastAsia" w:ascii="宋体" w:hAnsi="宋体" w:cs="宋体"/>
          <w:sz w:val="24"/>
          <w:szCs w:val="24"/>
        </w:rPr>
        <w:t>施工费结算价</w:t>
      </w:r>
      <w:r>
        <w:rPr>
          <w:rFonts w:ascii="宋体" w:hAnsi="宋体" w:cs="宋体"/>
          <w:sz w:val="24"/>
          <w:szCs w:val="24"/>
        </w:rPr>
        <w:t>=总价包干费</w:t>
      </w:r>
      <w:r>
        <w:rPr>
          <w:rFonts w:hint="eastAsia" w:ascii="宋体" w:hAnsi="宋体" w:cs="宋体"/>
          <w:color w:val="0000FF"/>
          <w:sz w:val="24"/>
          <w:szCs w:val="24"/>
          <w:lang w:eastAsia="zh-CN"/>
        </w:rPr>
        <w:t>（</w:t>
      </w:r>
      <w:r>
        <w:rPr>
          <w:rFonts w:hint="eastAsia" w:ascii="宋体" w:hAnsi="宋体" w:cs="宋体"/>
          <w:color w:val="0000FF"/>
          <w:sz w:val="24"/>
          <w:szCs w:val="24"/>
          <w:lang w:val="en-US" w:eastAsia="zh-CN"/>
        </w:rPr>
        <w:t>经发包人审定无争议的施工图预算）</w:t>
      </w:r>
      <w:r>
        <w:rPr>
          <w:rFonts w:ascii="宋体" w:hAnsi="宋体" w:cs="宋体"/>
          <w:sz w:val="24"/>
          <w:szCs w:val="24"/>
        </w:rPr>
        <w:t>±设计变更及工程签证（因发包人原因、不可抗力、政策因素导致）±经发包人确认的施工方案增减费±材料价差±索赔。特殊情况说明：若施工图预算包含的内容未施工或者实际做法与预算图纸不一致，且未有相关设计变更，则结算时，未施工</w:t>
      </w:r>
      <w:r>
        <w:rPr>
          <w:rFonts w:hint="eastAsia" w:ascii="宋体" w:hAnsi="宋体" w:cs="宋体"/>
          <w:sz w:val="24"/>
          <w:szCs w:val="24"/>
        </w:rPr>
        <w:t>的内容</w:t>
      </w:r>
      <w:r>
        <w:rPr>
          <w:rFonts w:ascii="宋体" w:hAnsi="宋体" w:cs="宋体"/>
          <w:sz w:val="24"/>
          <w:szCs w:val="24"/>
        </w:rPr>
        <w:t>需从施工图预算扣除该部分的金额。实际做法与预算图纸不一致</w:t>
      </w:r>
      <w:r>
        <w:rPr>
          <w:rFonts w:hint="eastAsia" w:ascii="宋体" w:hAnsi="宋体" w:cs="宋体"/>
          <w:sz w:val="24"/>
          <w:szCs w:val="24"/>
        </w:rPr>
        <w:t>者，实际施工图费用超过施工图预算对应施工图纸的费用，超过施工图预算金额部分的金额，结算时不予计算实际施工图费用未超过施工图预算对应施工图纸的费用，结算时，按实</w:t>
      </w:r>
      <w:r>
        <w:rPr>
          <w:rFonts w:ascii="宋体" w:hAnsi="宋体" w:cs="宋体"/>
          <w:sz w:val="24"/>
          <w:szCs w:val="24"/>
        </w:rPr>
        <w:t>际做法与预算图纸</w:t>
      </w:r>
      <w:r>
        <w:rPr>
          <w:rFonts w:hint="eastAsia" w:ascii="宋体" w:hAnsi="宋体" w:cs="宋体"/>
          <w:sz w:val="24"/>
          <w:szCs w:val="24"/>
        </w:rPr>
        <w:t>较低的项计算。</w:t>
      </w:r>
      <w:r>
        <w:rPr>
          <w:rFonts w:ascii="宋体" w:hAnsi="宋体" w:cs="宋体"/>
          <w:sz w:val="24"/>
          <w:szCs w:val="24"/>
        </w:rPr>
        <w:t>涉及增减造价的施工方案，承包人须在申报施工方案时，同步专项申报发包人审批，经发包人专项审批的施工方案，方可作为施工图预算、结算依据。未按合同约定时效内申报，则不作为施工图预算、结算依据</w:t>
      </w:r>
      <w:r>
        <w:rPr>
          <w:rFonts w:ascii="宋体" w:hAnsi="宋体" w:cs="宋体"/>
          <w:snapToGrid w:val="0"/>
          <w:kern w:val="0"/>
          <w:sz w:val="24"/>
        </w:rPr>
        <w:t>。</w:t>
      </w:r>
    </w:p>
    <w:bookmarkEnd w:id="565"/>
    <w:p w14:paraId="53840347">
      <w:pPr>
        <w:snapToGrid w:val="0"/>
        <w:spacing w:line="360" w:lineRule="auto"/>
        <w:ind w:right="11" w:firstLine="480" w:firstLineChars="200"/>
        <w:rPr>
          <w:rFonts w:ascii="宋体" w:hAnsi="宋体"/>
          <w:kern w:val="0"/>
          <w:sz w:val="24"/>
        </w:rPr>
      </w:pPr>
      <w:r>
        <w:rPr>
          <w:rFonts w:hint="eastAsia" w:ascii="宋体" w:hAnsi="宋体" w:cs="宋体"/>
          <w:snapToGrid w:val="0"/>
          <w:kern w:val="0"/>
          <w:sz w:val="24"/>
        </w:rPr>
        <w:t>（3）</w:t>
      </w:r>
      <w:r>
        <w:rPr>
          <w:rFonts w:hint="eastAsia" w:ascii="宋体" w:hAnsi="宋体"/>
          <w:kern w:val="0"/>
          <w:sz w:val="24"/>
        </w:rPr>
        <w:t>本合同工程结算价最终以发包人及其授权委托的第三方</w:t>
      </w:r>
      <w:r>
        <w:rPr>
          <w:rFonts w:hint="eastAsia" w:ascii="宋体" w:hAnsi="宋体" w:cs="宋体"/>
          <w:bCs/>
          <w:snapToGrid w:val="0"/>
          <w:kern w:val="0"/>
          <w:sz w:val="24"/>
        </w:rPr>
        <w:t>造价</w:t>
      </w:r>
      <w:r>
        <w:rPr>
          <w:rFonts w:hint="eastAsia" w:ascii="宋体" w:hAnsi="宋体"/>
          <w:kern w:val="0"/>
          <w:sz w:val="24"/>
        </w:rPr>
        <w:t>咨询单位按合同约定审定为准。</w:t>
      </w:r>
    </w:p>
    <w:p w14:paraId="3AD60475">
      <w:pPr>
        <w:spacing w:line="360" w:lineRule="auto"/>
        <w:ind w:firstLine="480" w:firstLineChars="200"/>
        <w:rPr>
          <w:rFonts w:ascii="宋体" w:hAnsi="宋体"/>
          <w:sz w:val="24"/>
        </w:rPr>
      </w:pPr>
      <w:r>
        <w:rPr>
          <w:rFonts w:hint="eastAsia" w:ascii="宋体" w:hAnsi="宋体"/>
          <w:sz w:val="24"/>
        </w:rPr>
        <w:t>39.2承包人提交结算报告的时间</w:t>
      </w:r>
    </w:p>
    <w:p w14:paraId="0BF32C2F">
      <w:pPr>
        <w:spacing w:line="360" w:lineRule="auto"/>
        <w:ind w:firstLine="480" w:firstLineChars="200"/>
        <w:rPr>
          <w:rFonts w:ascii="宋体" w:hAnsi="宋体"/>
          <w:sz w:val="24"/>
        </w:rPr>
      </w:pPr>
      <w:r>
        <w:rPr>
          <w:rFonts w:hint="eastAsia" w:ascii="宋体" w:hAnsi="宋体" w:cs="宋体"/>
          <w:snapToGrid w:val="0"/>
          <w:kern w:val="0"/>
          <w:sz w:val="24"/>
        </w:rPr>
        <w:t>承包人提交竣工结算报告及竣工结算资料的时间：竣工验收合格后</w:t>
      </w:r>
      <w:r>
        <w:rPr>
          <w:rFonts w:hint="eastAsia" w:ascii="宋体" w:hAnsi="宋体" w:cs="宋体"/>
          <w:snapToGrid w:val="0"/>
          <w:kern w:val="0"/>
          <w:sz w:val="24"/>
          <w:u w:val="single"/>
        </w:rPr>
        <w:t>60</w:t>
      </w:r>
      <w:r>
        <w:rPr>
          <w:rFonts w:hint="eastAsia" w:ascii="宋体" w:hAnsi="宋体" w:cs="宋体"/>
          <w:snapToGrid w:val="0"/>
          <w:kern w:val="0"/>
          <w:sz w:val="24"/>
        </w:rPr>
        <w:t>天内。如承包人在60天内不能提供，经发包人催告后30天仍不</w:t>
      </w:r>
      <w:r>
        <w:rPr>
          <w:rFonts w:hint="eastAsia" w:ascii="宋体" w:hAnsi="宋体" w:cs="宋体"/>
          <w:sz w:val="24"/>
          <w:szCs w:val="24"/>
        </w:rPr>
        <w:t>承包人不能按合同约定和发包人的规定，逾期完成竣工档案的整理、移交、送审备案工作及</w:t>
      </w:r>
      <w:r>
        <w:rPr>
          <w:rFonts w:hint="eastAsia" w:ascii="宋体" w:hAnsi="宋体"/>
          <w:sz w:val="24"/>
        </w:rPr>
        <w:t>提供竣工结算资料的，逾期90天以内的，每拖延一天向发包人支付违约金2000元；逾期超过90天的，每拖延一天向发包人支付违约金5000元（该项累计违约金最高为暂定合同金额的</w:t>
      </w:r>
      <w:r>
        <w:rPr>
          <w:rFonts w:ascii="宋体" w:hAnsi="宋体"/>
          <w:sz w:val="24"/>
        </w:rPr>
        <w:t>5%</w:t>
      </w:r>
      <w:r>
        <w:rPr>
          <w:rFonts w:hint="eastAsia" w:ascii="宋体" w:hAnsi="宋体"/>
          <w:sz w:val="24"/>
        </w:rPr>
        <w:t>），</w:t>
      </w:r>
      <w:r>
        <w:rPr>
          <w:rFonts w:hint="eastAsia" w:ascii="宋体" w:hAnsi="宋体" w:cs="宋体"/>
          <w:sz w:val="24"/>
          <w:szCs w:val="24"/>
        </w:rPr>
        <w:t>同时发包人有权自行委托第三方咨询机构进行评估并以此作为结算依据。</w:t>
      </w:r>
    </w:p>
    <w:p w14:paraId="72E3864A">
      <w:pPr>
        <w:spacing w:line="360" w:lineRule="auto"/>
        <w:ind w:firstLine="480" w:firstLineChars="200"/>
        <w:rPr>
          <w:rFonts w:ascii="宋体" w:hAnsi="宋体"/>
          <w:sz w:val="24"/>
        </w:rPr>
      </w:pPr>
      <w:r>
        <w:rPr>
          <w:rFonts w:hint="eastAsia" w:ascii="宋体" w:hAnsi="宋体"/>
          <w:sz w:val="24"/>
        </w:rPr>
        <w:t>39.3发包人审核结算报告的时间</w:t>
      </w:r>
      <w:r>
        <w:rPr>
          <w:rFonts w:hint="eastAsia" w:ascii="宋体" w:hAnsi="宋体" w:cs="宋体"/>
          <w:sz w:val="24"/>
          <w:szCs w:val="24"/>
        </w:rPr>
        <w:t>：</w:t>
      </w:r>
      <w:r>
        <w:rPr>
          <w:rFonts w:hint="eastAsia" w:ascii="宋体" w:hAnsi="宋体"/>
          <w:sz w:val="24"/>
        </w:rPr>
        <w:t>发包人收到承包人提交的完整书面结算报告及竣工结算资料后120天内出具初审意见，原则上从收到承包人提交的完整</w:t>
      </w:r>
      <w:r>
        <w:rPr>
          <w:rFonts w:hint="eastAsia" w:ascii="宋体" w:hAnsi="宋体" w:cs="宋体"/>
          <w:sz w:val="24"/>
          <w:szCs w:val="24"/>
        </w:rPr>
        <w:t>正式</w:t>
      </w:r>
      <w:r>
        <w:rPr>
          <w:rFonts w:hint="eastAsia" w:ascii="宋体" w:hAnsi="宋体"/>
          <w:sz w:val="24"/>
        </w:rPr>
        <w:t>书面结算报告及竣工结算资料后一年内完成结算审核，如果过程中因承包人报送的资料不齐全、不真实</w:t>
      </w:r>
      <w:r>
        <w:rPr>
          <w:rFonts w:hint="eastAsia" w:ascii="宋体" w:hAnsi="宋体" w:cs="宋体"/>
          <w:sz w:val="24"/>
          <w:szCs w:val="24"/>
        </w:rPr>
        <w:t>，</w:t>
      </w:r>
      <w:r>
        <w:rPr>
          <w:rFonts w:hint="eastAsia" w:ascii="宋体" w:hAnsi="宋体"/>
          <w:sz w:val="24"/>
        </w:rPr>
        <w:t>或者因承包人在结算对数过程中不配合等原因导致结算无法完成的，则</w:t>
      </w:r>
      <w:r>
        <w:rPr>
          <w:rFonts w:hint="eastAsia" w:ascii="宋体" w:hAnsi="宋体" w:cs="宋体"/>
          <w:sz w:val="24"/>
          <w:szCs w:val="24"/>
        </w:rPr>
        <w:t>结算审核完成时间后延，有关</w:t>
      </w:r>
      <w:r>
        <w:rPr>
          <w:rFonts w:hint="eastAsia" w:ascii="宋体" w:hAnsi="宋体"/>
          <w:sz w:val="24"/>
        </w:rPr>
        <w:t>责任由承包人负责。</w:t>
      </w:r>
    </w:p>
    <w:p w14:paraId="5D3E9526">
      <w:pPr>
        <w:suppressAutoHyphens/>
        <w:spacing w:line="360" w:lineRule="auto"/>
        <w:ind w:firstLine="480" w:firstLineChars="200"/>
        <w:rPr>
          <w:rFonts w:ascii="宋体" w:hAnsi="宋体"/>
          <w:kern w:val="0"/>
          <w:sz w:val="24"/>
        </w:rPr>
      </w:pPr>
      <w:r>
        <w:rPr>
          <w:rFonts w:hint="eastAsia" w:ascii="宋体" w:hAnsi="宋体"/>
          <w:kern w:val="0"/>
          <w:sz w:val="24"/>
        </w:rPr>
        <w:t>39.</w:t>
      </w:r>
      <w:r>
        <w:rPr>
          <w:rFonts w:hint="eastAsia" w:ascii="宋体" w:hAnsi="宋体" w:cs="宋体"/>
          <w:iCs/>
          <w:snapToGrid w:val="0"/>
          <w:kern w:val="0"/>
          <w:sz w:val="24"/>
        </w:rPr>
        <w:t>4</w:t>
      </w:r>
      <w:r>
        <w:rPr>
          <w:rFonts w:hint="eastAsia" w:ascii="宋体" w:hAnsi="宋体"/>
          <w:kern w:val="0"/>
          <w:sz w:val="24"/>
        </w:rPr>
        <w:t>承包人应当向发包人提供</w:t>
      </w:r>
      <w:r>
        <w:rPr>
          <w:rFonts w:hint="eastAsia" w:ascii="宋体" w:hAnsi="宋体" w:cs="宋体"/>
          <w:bCs/>
          <w:snapToGrid w:val="0"/>
          <w:kern w:val="0"/>
          <w:sz w:val="24"/>
        </w:rPr>
        <w:t>包括但不限于</w:t>
      </w:r>
      <w:r>
        <w:rPr>
          <w:rFonts w:hint="eastAsia" w:ascii="宋体" w:hAnsi="宋体"/>
          <w:kern w:val="0"/>
          <w:sz w:val="24"/>
        </w:rPr>
        <w:t>如下竣工结算资料（具体以发包人</w:t>
      </w:r>
      <w:r>
        <w:rPr>
          <w:rFonts w:hint="eastAsia" w:ascii="宋体" w:hAnsi="宋体" w:cs="宋体"/>
          <w:bCs/>
          <w:snapToGrid w:val="0"/>
          <w:kern w:val="0"/>
          <w:sz w:val="24"/>
        </w:rPr>
        <w:t>届时结算资料</w:t>
      </w:r>
      <w:r>
        <w:rPr>
          <w:rFonts w:hint="eastAsia" w:ascii="宋体" w:hAnsi="宋体"/>
          <w:kern w:val="0"/>
          <w:sz w:val="24"/>
        </w:rPr>
        <w:t>要求为准）：</w:t>
      </w:r>
    </w:p>
    <w:p w14:paraId="76FF3338">
      <w:pPr>
        <w:suppressAutoHyphens/>
        <w:spacing w:line="360" w:lineRule="auto"/>
        <w:ind w:firstLine="480" w:firstLineChars="200"/>
        <w:rPr>
          <w:rFonts w:ascii="宋体" w:hAnsi="宋体"/>
          <w:kern w:val="0"/>
          <w:sz w:val="24"/>
        </w:rPr>
      </w:pPr>
      <w:r>
        <w:rPr>
          <w:rFonts w:hint="eastAsia" w:ascii="宋体" w:hAnsi="宋体"/>
          <w:kern w:val="0"/>
          <w:sz w:val="24"/>
        </w:rPr>
        <w:t>（1）工程结算书；</w:t>
      </w:r>
    </w:p>
    <w:p w14:paraId="6FB99549">
      <w:pPr>
        <w:suppressAutoHyphens/>
        <w:spacing w:line="360" w:lineRule="auto"/>
        <w:ind w:firstLine="480" w:firstLineChars="200"/>
        <w:rPr>
          <w:rFonts w:ascii="宋体" w:hAnsi="宋体"/>
          <w:kern w:val="0"/>
          <w:sz w:val="24"/>
        </w:rPr>
      </w:pPr>
      <w:r>
        <w:rPr>
          <w:rFonts w:hint="eastAsia" w:ascii="宋体" w:hAnsi="宋体"/>
          <w:kern w:val="0"/>
          <w:sz w:val="24"/>
        </w:rPr>
        <w:t>（2）工程量计算书（即计算底稿）及预算软件版；</w:t>
      </w:r>
    </w:p>
    <w:p w14:paraId="3F3F1960">
      <w:pPr>
        <w:suppressAutoHyphens/>
        <w:spacing w:line="360" w:lineRule="auto"/>
        <w:ind w:firstLine="480" w:firstLineChars="200"/>
        <w:rPr>
          <w:rFonts w:ascii="宋体" w:hAnsi="宋体"/>
          <w:kern w:val="0"/>
          <w:sz w:val="24"/>
        </w:rPr>
      </w:pPr>
      <w:r>
        <w:rPr>
          <w:rFonts w:hint="eastAsia" w:ascii="宋体" w:hAnsi="宋体"/>
          <w:kern w:val="0"/>
          <w:sz w:val="24"/>
        </w:rPr>
        <w:t>（3）钢筋抽料表及预算软件版（如有）；</w:t>
      </w:r>
    </w:p>
    <w:p w14:paraId="12F59F47">
      <w:pPr>
        <w:suppressAutoHyphens/>
        <w:spacing w:line="360" w:lineRule="auto"/>
        <w:ind w:firstLine="480" w:firstLineChars="200"/>
        <w:rPr>
          <w:rFonts w:ascii="宋体" w:hAnsi="宋体"/>
          <w:kern w:val="0"/>
          <w:sz w:val="24"/>
        </w:rPr>
      </w:pPr>
      <w:r>
        <w:rPr>
          <w:rFonts w:hint="eastAsia" w:ascii="宋体" w:hAnsi="宋体"/>
          <w:kern w:val="0"/>
          <w:sz w:val="24"/>
        </w:rPr>
        <w:t>（4）合同文件；</w:t>
      </w:r>
    </w:p>
    <w:p w14:paraId="5D1A7AFA">
      <w:pPr>
        <w:suppressAutoHyphens/>
        <w:spacing w:line="360" w:lineRule="auto"/>
        <w:ind w:firstLine="480" w:firstLineChars="200"/>
        <w:rPr>
          <w:rFonts w:ascii="宋体" w:hAnsi="宋体"/>
          <w:kern w:val="0"/>
          <w:sz w:val="24"/>
        </w:rPr>
      </w:pPr>
      <w:r>
        <w:rPr>
          <w:rFonts w:hint="eastAsia" w:ascii="宋体" w:hAnsi="宋体"/>
          <w:kern w:val="0"/>
          <w:sz w:val="24"/>
        </w:rPr>
        <w:t>（5）工程竣工图（必要时提供电子版）；</w:t>
      </w:r>
    </w:p>
    <w:p w14:paraId="0B84A1E9">
      <w:pPr>
        <w:suppressAutoHyphens/>
        <w:spacing w:line="360" w:lineRule="auto"/>
        <w:ind w:firstLine="480" w:firstLineChars="200"/>
        <w:rPr>
          <w:rFonts w:ascii="宋体" w:hAnsi="宋体"/>
          <w:kern w:val="0"/>
          <w:sz w:val="24"/>
        </w:rPr>
      </w:pPr>
      <w:r>
        <w:rPr>
          <w:rFonts w:hint="eastAsia" w:ascii="宋体" w:hAnsi="宋体"/>
          <w:kern w:val="0"/>
          <w:sz w:val="24"/>
        </w:rPr>
        <w:t>（6）工程竣工资料（必要时提供电子版）；</w:t>
      </w:r>
    </w:p>
    <w:p w14:paraId="6C6350AE">
      <w:pPr>
        <w:suppressAutoHyphens/>
        <w:spacing w:line="360" w:lineRule="auto"/>
        <w:ind w:firstLine="480" w:firstLineChars="200"/>
        <w:rPr>
          <w:rFonts w:ascii="宋体" w:hAnsi="宋体"/>
          <w:kern w:val="0"/>
          <w:sz w:val="24"/>
        </w:rPr>
      </w:pPr>
      <w:r>
        <w:rPr>
          <w:rFonts w:hint="eastAsia" w:ascii="宋体" w:hAnsi="宋体"/>
          <w:kern w:val="0"/>
          <w:sz w:val="24"/>
        </w:rPr>
        <w:t>（7）图纸会审记录；</w:t>
      </w:r>
    </w:p>
    <w:p w14:paraId="45BC6C00">
      <w:pPr>
        <w:suppressAutoHyphens/>
        <w:spacing w:line="360" w:lineRule="auto"/>
        <w:ind w:firstLine="480" w:firstLineChars="200"/>
        <w:rPr>
          <w:rFonts w:ascii="宋体" w:hAnsi="宋体"/>
          <w:kern w:val="0"/>
          <w:sz w:val="24"/>
        </w:rPr>
      </w:pPr>
      <w:r>
        <w:rPr>
          <w:rFonts w:hint="eastAsia" w:ascii="宋体" w:hAnsi="宋体"/>
          <w:kern w:val="0"/>
          <w:sz w:val="24"/>
        </w:rPr>
        <w:t>（8）设计变更单；</w:t>
      </w:r>
    </w:p>
    <w:p w14:paraId="32FD8E49">
      <w:pPr>
        <w:suppressAutoHyphens/>
        <w:spacing w:line="360" w:lineRule="auto"/>
        <w:ind w:firstLine="480" w:firstLineChars="200"/>
        <w:rPr>
          <w:rFonts w:ascii="宋体" w:hAnsi="宋体"/>
          <w:kern w:val="0"/>
          <w:sz w:val="24"/>
        </w:rPr>
      </w:pPr>
      <w:r>
        <w:rPr>
          <w:rFonts w:hint="eastAsia" w:ascii="宋体" w:hAnsi="宋体"/>
          <w:kern w:val="0"/>
          <w:sz w:val="24"/>
        </w:rPr>
        <w:t>（9）工程洽商记录；</w:t>
      </w:r>
    </w:p>
    <w:p w14:paraId="2649F3BB">
      <w:pPr>
        <w:suppressAutoHyphens/>
        <w:spacing w:line="360" w:lineRule="auto"/>
        <w:ind w:firstLine="480" w:firstLineChars="200"/>
        <w:rPr>
          <w:rFonts w:ascii="宋体" w:hAnsi="宋体"/>
          <w:kern w:val="0"/>
          <w:sz w:val="24"/>
        </w:rPr>
      </w:pPr>
      <w:r>
        <w:rPr>
          <w:rFonts w:hint="eastAsia" w:ascii="宋体" w:hAnsi="宋体"/>
          <w:kern w:val="0"/>
          <w:sz w:val="24"/>
        </w:rPr>
        <w:t>（10）总监理工程师通知或发包人施工指令；</w:t>
      </w:r>
    </w:p>
    <w:p w14:paraId="4CB4E0ED">
      <w:pPr>
        <w:suppressAutoHyphens/>
        <w:spacing w:line="360" w:lineRule="auto"/>
        <w:ind w:firstLine="480" w:firstLineChars="200"/>
        <w:rPr>
          <w:rFonts w:ascii="宋体" w:hAnsi="宋体"/>
          <w:kern w:val="0"/>
          <w:sz w:val="24"/>
        </w:rPr>
      </w:pPr>
      <w:r>
        <w:rPr>
          <w:rFonts w:hint="eastAsia" w:ascii="宋体" w:hAnsi="宋体"/>
          <w:kern w:val="0"/>
          <w:sz w:val="24"/>
        </w:rPr>
        <w:t>（11）会议纪要；</w:t>
      </w:r>
    </w:p>
    <w:p w14:paraId="17F3DB59">
      <w:pPr>
        <w:suppressAutoHyphens/>
        <w:spacing w:line="360" w:lineRule="auto"/>
        <w:ind w:firstLine="480" w:firstLineChars="200"/>
        <w:rPr>
          <w:rFonts w:ascii="宋体" w:hAnsi="宋体"/>
          <w:kern w:val="0"/>
          <w:sz w:val="24"/>
        </w:rPr>
      </w:pPr>
      <w:r>
        <w:rPr>
          <w:rFonts w:hint="eastAsia" w:ascii="宋体" w:hAnsi="宋体"/>
          <w:kern w:val="0"/>
          <w:sz w:val="24"/>
        </w:rPr>
        <w:t>（12）工程签证；</w:t>
      </w:r>
    </w:p>
    <w:p w14:paraId="06182AA0">
      <w:pPr>
        <w:suppressAutoHyphens/>
        <w:spacing w:line="360" w:lineRule="auto"/>
        <w:ind w:firstLine="480" w:firstLineChars="200"/>
        <w:rPr>
          <w:rFonts w:ascii="宋体" w:hAnsi="宋体"/>
          <w:kern w:val="0"/>
          <w:sz w:val="24"/>
        </w:rPr>
      </w:pPr>
      <w:r>
        <w:rPr>
          <w:rFonts w:hint="eastAsia" w:ascii="宋体" w:hAnsi="宋体"/>
          <w:kern w:val="0"/>
          <w:sz w:val="24"/>
        </w:rPr>
        <w:t>（13）材料设备单价呈批审核单；</w:t>
      </w:r>
    </w:p>
    <w:p w14:paraId="6D114CAC">
      <w:pPr>
        <w:suppressAutoHyphens/>
        <w:spacing w:line="360" w:lineRule="auto"/>
        <w:ind w:firstLine="480" w:firstLineChars="200"/>
        <w:rPr>
          <w:rFonts w:ascii="宋体" w:hAnsi="宋体"/>
          <w:kern w:val="0"/>
          <w:sz w:val="24"/>
        </w:rPr>
      </w:pPr>
      <w:r>
        <w:rPr>
          <w:rFonts w:hint="eastAsia" w:ascii="宋体" w:hAnsi="宋体"/>
          <w:kern w:val="0"/>
          <w:sz w:val="24"/>
        </w:rPr>
        <w:t>（14）综合单价呈批审核单；</w:t>
      </w:r>
    </w:p>
    <w:p w14:paraId="206BA97E">
      <w:pPr>
        <w:suppressAutoHyphens/>
        <w:spacing w:line="360" w:lineRule="auto"/>
        <w:ind w:firstLine="480" w:firstLineChars="200"/>
        <w:rPr>
          <w:rFonts w:ascii="宋体" w:hAnsi="宋体"/>
          <w:kern w:val="0"/>
          <w:sz w:val="24"/>
        </w:rPr>
      </w:pPr>
      <w:r>
        <w:rPr>
          <w:rFonts w:hint="eastAsia" w:ascii="宋体" w:hAnsi="宋体"/>
          <w:kern w:val="0"/>
          <w:sz w:val="24"/>
        </w:rPr>
        <w:t>（15）发包人供应材料收货验收签收单；</w:t>
      </w:r>
    </w:p>
    <w:p w14:paraId="752992A1">
      <w:pPr>
        <w:suppressAutoHyphens/>
        <w:spacing w:line="360" w:lineRule="auto"/>
        <w:ind w:firstLine="480" w:firstLineChars="200"/>
        <w:rPr>
          <w:rFonts w:ascii="宋体" w:hAnsi="宋体"/>
          <w:kern w:val="0"/>
          <w:sz w:val="24"/>
        </w:rPr>
      </w:pPr>
      <w:r>
        <w:rPr>
          <w:rFonts w:hint="eastAsia" w:ascii="宋体" w:hAnsi="宋体"/>
          <w:kern w:val="0"/>
          <w:sz w:val="24"/>
        </w:rPr>
        <w:t>（16）其它结算资料；</w:t>
      </w:r>
    </w:p>
    <w:p w14:paraId="0A3AF8C9">
      <w:pPr>
        <w:suppressAutoHyphens/>
        <w:spacing w:line="360" w:lineRule="auto"/>
        <w:ind w:firstLine="480" w:firstLineChars="200"/>
        <w:rPr>
          <w:rFonts w:ascii="宋体" w:hAnsi="宋体"/>
          <w:kern w:val="0"/>
          <w:sz w:val="24"/>
        </w:rPr>
      </w:pPr>
      <w:r>
        <w:rPr>
          <w:rFonts w:hint="eastAsia" w:ascii="宋体" w:hAnsi="宋体"/>
          <w:kern w:val="0"/>
          <w:sz w:val="24"/>
        </w:rPr>
        <w:t>（17）移交资料签收表。</w:t>
      </w:r>
    </w:p>
    <w:p w14:paraId="354F5746">
      <w:pPr>
        <w:suppressAutoHyphens/>
        <w:spacing w:line="360" w:lineRule="auto"/>
        <w:ind w:firstLine="480" w:firstLineChars="200"/>
        <w:rPr>
          <w:rFonts w:ascii="宋体" w:hAnsi="宋体"/>
          <w:kern w:val="0"/>
          <w:sz w:val="24"/>
        </w:rPr>
      </w:pPr>
      <w:r>
        <w:rPr>
          <w:rFonts w:hint="eastAsia" w:ascii="宋体" w:hAnsi="宋体"/>
          <w:kern w:val="0"/>
          <w:sz w:val="24"/>
        </w:rPr>
        <w:t>39.</w:t>
      </w:r>
      <w:r>
        <w:rPr>
          <w:rFonts w:hint="eastAsia" w:ascii="宋体" w:hAnsi="宋体" w:cs="宋体"/>
          <w:iCs/>
          <w:snapToGrid w:val="0"/>
          <w:kern w:val="0"/>
          <w:sz w:val="24"/>
        </w:rPr>
        <w:t>5</w:t>
      </w:r>
      <w:r>
        <w:rPr>
          <w:rFonts w:hint="eastAsia" w:ascii="宋体" w:hAnsi="宋体"/>
          <w:kern w:val="0"/>
          <w:sz w:val="24"/>
        </w:rPr>
        <w:t>发包人对送审结算资料的具体要求：</w:t>
      </w:r>
    </w:p>
    <w:p w14:paraId="56E43F83">
      <w:pPr>
        <w:tabs>
          <w:tab w:val="left" w:pos="1875"/>
        </w:tabs>
        <w:suppressAutoHyphens/>
        <w:spacing w:line="360" w:lineRule="auto"/>
        <w:ind w:firstLine="480" w:firstLineChars="200"/>
        <w:rPr>
          <w:rFonts w:ascii="宋体" w:hAnsi="宋体"/>
          <w:kern w:val="0"/>
          <w:sz w:val="24"/>
        </w:rPr>
      </w:pPr>
      <w:r>
        <w:rPr>
          <w:rFonts w:hint="eastAsia" w:ascii="宋体" w:hAnsi="宋体"/>
          <w:kern w:val="0"/>
          <w:sz w:val="24"/>
        </w:rPr>
        <w:t>（1）结算书：每项工程的结算书要求分两部分编制：第一部分以竣工图为依据编制，包括竣工图、图纸会审记录、设计变更等内容；第二部分为工程签证及其它有关费用等。上述两部分不应有重复列项的内容，结算书须提供相应的电子文件。</w:t>
      </w:r>
    </w:p>
    <w:p w14:paraId="676261BD">
      <w:pPr>
        <w:tabs>
          <w:tab w:val="left" w:pos="1875"/>
        </w:tabs>
        <w:suppressAutoHyphens/>
        <w:spacing w:line="360" w:lineRule="auto"/>
        <w:ind w:firstLine="480" w:firstLineChars="200"/>
        <w:rPr>
          <w:rFonts w:ascii="宋体" w:hAnsi="宋体"/>
          <w:kern w:val="0"/>
          <w:sz w:val="24"/>
        </w:rPr>
      </w:pPr>
      <w:r>
        <w:rPr>
          <w:rFonts w:hint="eastAsia" w:ascii="宋体" w:hAnsi="宋体"/>
          <w:kern w:val="0"/>
          <w:sz w:val="24"/>
        </w:rPr>
        <w:t>（2）工程量计算书（即计算底稿）：工程量计算书由工程量汇总表和详细的工程量计算表达式组成，结算书须提供相应的电子文件。</w:t>
      </w:r>
    </w:p>
    <w:p w14:paraId="767D19BA">
      <w:pPr>
        <w:tabs>
          <w:tab w:val="left" w:pos="1875"/>
        </w:tabs>
        <w:suppressAutoHyphens/>
        <w:spacing w:line="360" w:lineRule="auto"/>
        <w:ind w:firstLine="480" w:firstLineChars="200"/>
        <w:rPr>
          <w:rFonts w:ascii="宋体" w:hAnsi="宋体"/>
          <w:kern w:val="0"/>
          <w:sz w:val="24"/>
        </w:rPr>
      </w:pPr>
      <w:r>
        <w:rPr>
          <w:rFonts w:hint="eastAsia" w:ascii="宋体" w:hAnsi="宋体"/>
          <w:kern w:val="0"/>
          <w:sz w:val="24"/>
        </w:rPr>
        <w:t>（3）钢筋抽料表（如有）：用电脑抽料的钢筋用量表要求提供相应的拷贝磁盘，用手工抽料的钢筋用量表要求提供详细的抽料表和明细汇总表，详细的抽料表应注明钢筋所在构件名称、施工部位、钢筋编号等。</w:t>
      </w:r>
    </w:p>
    <w:p w14:paraId="7A6F009C">
      <w:pPr>
        <w:tabs>
          <w:tab w:val="left" w:pos="1875"/>
        </w:tabs>
        <w:suppressAutoHyphens/>
        <w:spacing w:line="360" w:lineRule="auto"/>
        <w:ind w:firstLine="480" w:firstLineChars="200"/>
        <w:rPr>
          <w:rFonts w:ascii="宋体" w:hAnsi="宋体"/>
          <w:kern w:val="0"/>
          <w:sz w:val="24"/>
        </w:rPr>
      </w:pPr>
      <w:r>
        <w:rPr>
          <w:rFonts w:hint="eastAsia" w:ascii="宋体" w:hAnsi="宋体"/>
          <w:kern w:val="0"/>
          <w:sz w:val="24"/>
        </w:rPr>
        <w:t>（4）合同文件：包括发包人与承包人签订的合同文件、经发包人确认的承包人与第三方签订的分包合同、各类补充合同、合同附件等，要求将上述合同文件列出总目录按顺序整理装订成册。</w:t>
      </w:r>
    </w:p>
    <w:p w14:paraId="2B9FA733">
      <w:pPr>
        <w:tabs>
          <w:tab w:val="left" w:pos="1875"/>
        </w:tabs>
        <w:suppressAutoHyphens/>
        <w:spacing w:line="360" w:lineRule="auto"/>
        <w:ind w:firstLine="480" w:firstLineChars="200"/>
        <w:rPr>
          <w:rFonts w:ascii="宋体" w:hAnsi="宋体"/>
          <w:kern w:val="0"/>
          <w:sz w:val="24"/>
        </w:rPr>
      </w:pPr>
      <w:r>
        <w:rPr>
          <w:rFonts w:hint="eastAsia" w:ascii="宋体" w:hAnsi="宋体"/>
          <w:kern w:val="0"/>
          <w:sz w:val="24"/>
        </w:rPr>
        <w:t>（5）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14:paraId="434CB2B5">
      <w:pPr>
        <w:tabs>
          <w:tab w:val="left" w:pos="1875"/>
        </w:tabs>
        <w:suppressAutoHyphens/>
        <w:spacing w:line="360" w:lineRule="auto"/>
        <w:ind w:firstLine="480" w:firstLineChars="200"/>
        <w:rPr>
          <w:rFonts w:ascii="宋体" w:hAnsi="宋体"/>
          <w:kern w:val="0"/>
          <w:sz w:val="24"/>
        </w:rPr>
      </w:pPr>
      <w:r>
        <w:rPr>
          <w:rFonts w:hint="eastAsia" w:ascii="宋体" w:hAnsi="宋体"/>
          <w:kern w:val="0"/>
          <w:sz w:val="24"/>
        </w:rPr>
        <w:t>（6）竣工资料：指在进行工程竣工验收和资料归档时所需的资料，具体包括开工报告、竣工报告、</w:t>
      </w:r>
      <w:r>
        <w:rPr>
          <w:rFonts w:hint="eastAsia" w:ascii="宋体" w:hAnsi="宋体" w:cs="宋体"/>
          <w:snapToGrid w:val="0"/>
          <w:kern w:val="0"/>
          <w:sz w:val="24"/>
        </w:rPr>
        <w:t>工程质量验收评定证书、材料检验报告、产品质量合格证、</w:t>
      </w:r>
      <w:r>
        <w:rPr>
          <w:rFonts w:hint="eastAsia" w:ascii="宋体" w:hAnsi="宋体"/>
          <w:kern w:val="0"/>
          <w:sz w:val="24"/>
        </w:rPr>
        <w:t>经发包人批准的施工组织设计或施工方案、</w:t>
      </w:r>
      <w:r>
        <w:rPr>
          <w:rFonts w:hint="eastAsia" w:ascii="宋体" w:hAnsi="宋体" w:cs="宋体"/>
          <w:snapToGrid w:val="0"/>
          <w:kern w:val="0"/>
          <w:sz w:val="24"/>
        </w:rPr>
        <w:t>隐蔽工程验收记录、</w:t>
      </w:r>
      <w:r>
        <w:rPr>
          <w:rFonts w:hint="eastAsia" w:ascii="宋体" w:hAnsi="宋体"/>
          <w:kern w:val="0"/>
          <w:sz w:val="24"/>
        </w:rPr>
        <w:t>安装工程的调试方案和调试记录等</w:t>
      </w:r>
      <w:r>
        <w:rPr>
          <w:rFonts w:hint="eastAsia" w:ascii="宋体" w:hAnsi="宋体" w:cs="宋体"/>
          <w:snapToGrid w:val="0"/>
          <w:kern w:val="0"/>
          <w:sz w:val="24"/>
        </w:rPr>
        <w:t>。整理装订成册的竣工资料需编制总目录，并在每一页的下方统一编号，以便于查找。以上资料以国家规范或竣工图编制指南为准</w:t>
      </w:r>
      <w:r>
        <w:rPr>
          <w:rFonts w:hint="eastAsia" w:ascii="宋体" w:hAnsi="宋体"/>
          <w:kern w:val="0"/>
          <w:sz w:val="24"/>
        </w:rPr>
        <w:t>。</w:t>
      </w:r>
    </w:p>
    <w:p w14:paraId="77BB3A70">
      <w:pPr>
        <w:tabs>
          <w:tab w:val="left" w:pos="1875"/>
        </w:tabs>
        <w:suppressAutoHyphens/>
        <w:spacing w:line="360" w:lineRule="auto"/>
        <w:ind w:firstLine="480" w:firstLineChars="200"/>
        <w:rPr>
          <w:rFonts w:ascii="宋体" w:hAnsi="宋体"/>
          <w:kern w:val="0"/>
          <w:sz w:val="24"/>
        </w:rPr>
      </w:pPr>
      <w:r>
        <w:rPr>
          <w:rFonts w:hint="eastAsia" w:ascii="宋体" w:hAnsi="宋体"/>
          <w:kern w:val="0"/>
          <w:sz w:val="24"/>
        </w:rPr>
        <w:t>（7）图纸会审记录：要求按图纸会审的时间先后整理装订成册，图纸会审记录须有各单位参加会审人员签字及会审单位盖章确认。</w:t>
      </w:r>
    </w:p>
    <w:p w14:paraId="4549C637">
      <w:pPr>
        <w:tabs>
          <w:tab w:val="left" w:pos="1875"/>
        </w:tabs>
        <w:suppressAutoHyphens/>
        <w:spacing w:line="360" w:lineRule="auto"/>
        <w:ind w:firstLine="480" w:firstLineChars="200"/>
        <w:rPr>
          <w:rFonts w:ascii="宋体" w:hAnsi="宋体"/>
          <w:b/>
          <w:kern w:val="0"/>
          <w:sz w:val="24"/>
        </w:rPr>
      </w:pPr>
      <w:r>
        <w:rPr>
          <w:rFonts w:hint="eastAsia" w:ascii="宋体" w:hAnsi="宋体"/>
          <w:kern w:val="0"/>
          <w:sz w:val="24"/>
        </w:rPr>
        <w:t>（8）设计变更单：要求按设计变更的时间先后整理（安装工程要分专业）装订成册。</w:t>
      </w:r>
    </w:p>
    <w:p w14:paraId="33CA4686">
      <w:pPr>
        <w:tabs>
          <w:tab w:val="left" w:pos="1875"/>
        </w:tabs>
        <w:suppressAutoHyphens/>
        <w:spacing w:line="360" w:lineRule="auto"/>
        <w:ind w:firstLine="480" w:firstLineChars="200"/>
        <w:rPr>
          <w:rFonts w:ascii="宋体" w:hAnsi="宋体"/>
          <w:kern w:val="0"/>
          <w:sz w:val="24"/>
        </w:rPr>
      </w:pPr>
      <w:r>
        <w:rPr>
          <w:rFonts w:hint="eastAsia" w:ascii="宋体" w:hAnsi="宋体"/>
          <w:kern w:val="0"/>
          <w:sz w:val="24"/>
        </w:rPr>
        <w:t>（9）工程洽商记录：要求根据工程洽商记录的时间先后整理装订成册，然后在每一页的下方统一编号，以便于查找。工程洽商记录须符合发包人制定的有关规定。</w:t>
      </w:r>
    </w:p>
    <w:p w14:paraId="55411BE2">
      <w:pPr>
        <w:tabs>
          <w:tab w:val="left" w:pos="1875"/>
        </w:tabs>
        <w:suppressAutoHyphens/>
        <w:spacing w:line="360" w:lineRule="auto"/>
        <w:ind w:firstLine="480" w:firstLineChars="200"/>
        <w:rPr>
          <w:rFonts w:ascii="宋体" w:hAnsi="宋体"/>
          <w:kern w:val="0"/>
          <w:sz w:val="24"/>
        </w:rPr>
      </w:pPr>
      <w:r>
        <w:rPr>
          <w:rFonts w:hint="eastAsia" w:ascii="宋体" w:hAnsi="宋体"/>
          <w:kern w:val="0"/>
          <w:sz w:val="24"/>
        </w:rPr>
        <w:t>（10）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7524F76E">
      <w:pPr>
        <w:tabs>
          <w:tab w:val="left" w:pos="1875"/>
        </w:tabs>
        <w:suppressAutoHyphens/>
        <w:spacing w:line="360" w:lineRule="auto"/>
        <w:ind w:firstLine="480" w:firstLineChars="200"/>
        <w:rPr>
          <w:rFonts w:ascii="宋体" w:hAnsi="宋体"/>
          <w:kern w:val="0"/>
          <w:sz w:val="24"/>
        </w:rPr>
      </w:pPr>
      <w:r>
        <w:rPr>
          <w:rFonts w:hint="eastAsia" w:ascii="宋体" w:hAnsi="宋体"/>
          <w:kern w:val="0"/>
          <w:sz w:val="24"/>
        </w:rPr>
        <w:t>（11）会议纪要：指工程质量、安全、技术、经济等现场协调会会议纪要等。要求根据会议纪要的时间先后整理装订成册，然后在每一页的下方统一编号。会议纪要须符合发包人制定的有关规定。</w:t>
      </w:r>
    </w:p>
    <w:p w14:paraId="43E6B9FD">
      <w:pPr>
        <w:tabs>
          <w:tab w:val="left" w:pos="1875"/>
        </w:tabs>
        <w:suppressAutoHyphens/>
        <w:spacing w:line="360" w:lineRule="auto"/>
        <w:ind w:firstLine="480" w:firstLineChars="200"/>
        <w:rPr>
          <w:rFonts w:ascii="宋体" w:hAnsi="宋体"/>
          <w:kern w:val="0"/>
          <w:sz w:val="24"/>
        </w:rPr>
      </w:pPr>
      <w:r>
        <w:rPr>
          <w:rFonts w:hint="eastAsia" w:ascii="宋体" w:hAnsi="宋体"/>
          <w:kern w:val="0"/>
          <w:sz w:val="24"/>
        </w:rPr>
        <w:t>（12）工程签证：要求根据工程签证的时间先后整理装订成册，然后在每一页的下方统一编号，工程签证单上应有工程数量的计算过程和施工简图。</w:t>
      </w:r>
    </w:p>
    <w:p w14:paraId="1F66FCF9">
      <w:pPr>
        <w:tabs>
          <w:tab w:val="left" w:pos="1875"/>
        </w:tabs>
        <w:suppressAutoHyphens/>
        <w:spacing w:line="360" w:lineRule="auto"/>
        <w:ind w:firstLine="480" w:firstLineChars="200"/>
        <w:rPr>
          <w:rFonts w:ascii="宋体" w:hAnsi="宋体"/>
          <w:kern w:val="0"/>
          <w:sz w:val="24"/>
        </w:rPr>
      </w:pPr>
      <w:r>
        <w:rPr>
          <w:rFonts w:hint="eastAsia" w:ascii="宋体" w:hAnsi="宋体"/>
          <w:kern w:val="0"/>
          <w:sz w:val="24"/>
        </w:rPr>
        <w:t>（13）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14:paraId="7502B002">
      <w:pPr>
        <w:tabs>
          <w:tab w:val="left" w:pos="1875"/>
        </w:tabs>
        <w:suppressAutoHyphens/>
        <w:spacing w:line="360" w:lineRule="auto"/>
        <w:ind w:firstLine="480" w:firstLineChars="200"/>
        <w:rPr>
          <w:rFonts w:ascii="宋体" w:hAnsi="宋体"/>
          <w:kern w:val="0"/>
          <w:sz w:val="24"/>
        </w:rPr>
      </w:pPr>
      <w:r>
        <w:rPr>
          <w:rFonts w:hint="eastAsia" w:ascii="宋体" w:hAnsi="宋体"/>
          <w:kern w:val="0"/>
          <w:sz w:val="24"/>
        </w:rPr>
        <w:t>（14）综合单价呈批审核单：预算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14:paraId="7864099D">
      <w:pPr>
        <w:tabs>
          <w:tab w:val="left" w:pos="1875"/>
        </w:tabs>
        <w:suppressAutoHyphens/>
        <w:spacing w:line="360" w:lineRule="auto"/>
        <w:ind w:firstLine="480" w:firstLineChars="200"/>
        <w:rPr>
          <w:rFonts w:ascii="宋体" w:hAnsi="宋体"/>
          <w:kern w:val="0"/>
          <w:sz w:val="24"/>
        </w:rPr>
      </w:pPr>
      <w:r>
        <w:rPr>
          <w:rFonts w:hint="eastAsia" w:ascii="宋体" w:hAnsi="宋体"/>
          <w:kern w:val="0"/>
          <w:sz w:val="24"/>
        </w:rPr>
        <w:t>（15）发包人供应材料收货验收签收单：按发包人供应材料收货验收签收单的编号顺序及不同材料分类整理装订成册。</w:t>
      </w:r>
    </w:p>
    <w:p w14:paraId="71093194">
      <w:pPr>
        <w:tabs>
          <w:tab w:val="left" w:pos="1875"/>
        </w:tabs>
        <w:suppressAutoHyphens/>
        <w:spacing w:line="360" w:lineRule="auto"/>
        <w:ind w:firstLine="480" w:firstLineChars="200"/>
        <w:rPr>
          <w:rFonts w:ascii="宋体" w:hAnsi="宋体"/>
          <w:kern w:val="0"/>
          <w:sz w:val="24"/>
        </w:rPr>
      </w:pPr>
      <w:r>
        <w:rPr>
          <w:rFonts w:hint="eastAsia" w:ascii="宋体" w:hAnsi="宋体"/>
          <w:kern w:val="0"/>
          <w:sz w:val="24"/>
        </w:rPr>
        <w:t>（16）其它结算资料：凡上述未提及而在结算时需要的资料均需提供，例如：施工日记、地质勘察报告、非常用的标准图集、应由承包人承担而由发包人代为支付的费用证明（如发包人代缴的施工水电费票据、余泥排放费证明）等。</w:t>
      </w:r>
    </w:p>
    <w:p w14:paraId="33B3D07C">
      <w:pPr>
        <w:tabs>
          <w:tab w:val="left" w:pos="1378"/>
          <w:tab w:val="left" w:pos="1875"/>
        </w:tabs>
        <w:suppressAutoHyphens/>
        <w:spacing w:line="360" w:lineRule="auto"/>
        <w:ind w:firstLine="480" w:firstLineChars="200"/>
        <w:rPr>
          <w:rFonts w:ascii="宋体" w:hAnsi="宋体"/>
          <w:kern w:val="0"/>
          <w:sz w:val="24"/>
        </w:rPr>
      </w:pPr>
      <w:r>
        <w:rPr>
          <w:rFonts w:hint="eastAsia" w:ascii="宋体" w:hAnsi="宋体"/>
          <w:kern w:val="0"/>
          <w:sz w:val="24"/>
        </w:rPr>
        <w:t>（17）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45ADEEA9">
      <w:pPr>
        <w:spacing w:line="360" w:lineRule="auto"/>
        <w:ind w:firstLine="480" w:firstLineChars="200"/>
        <w:rPr>
          <w:rFonts w:ascii="宋体" w:hAnsi="宋体"/>
          <w:kern w:val="0"/>
          <w:sz w:val="24"/>
        </w:rPr>
      </w:pPr>
      <w:r>
        <w:rPr>
          <w:rFonts w:hint="eastAsia" w:ascii="宋体" w:hAnsi="宋体"/>
          <w:kern w:val="0"/>
          <w:sz w:val="24"/>
        </w:rPr>
        <w:t>39.</w:t>
      </w:r>
      <w:r>
        <w:rPr>
          <w:rFonts w:hint="eastAsia" w:ascii="宋体" w:hAnsi="宋体" w:cs="宋体"/>
          <w:iCs/>
          <w:snapToGrid w:val="0"/>
          <w:kern w:val="0"/>
          <w:sz w:val="24"/>
        </w:rPr>
        <w:t>6</w:t>
      </w:r>
      <w:r>
        <w:rPr>
          <w:rFonts w:hint="eastAsia" w:ascii="宋体" w:hAnsi="宋体"/>
          <w:kern w:val="0"/>
          <w:sz w:val="24"/>
        </w:rPr>
        <w:t>承包人迟延提交竣工结算报告的，发包人完成审核相应结算报告的时间相应顺延。由于结算报告存在错误或不完整而退回承包人修改或补充的，发包人完成审核相应结算报告的时间从收到修改或补充的结算报告后重新计算。</w:t>
      </w:r>
    </w:p>
    <w:p w14:paraId="67B76421">
      <w:pPr>
        <w:spacing w:line="360" w:lineRule="auto"/>
        <w:ind w:firstLine="480" w:firstLineChars="200"/>
        <w:rPr>
          <w:rFonts w:ascii="宋体" w:hAnsi="宋体"/>
          <w:kern w:val="0"/>
          <w:sz w:val="24"/>
        </w:rPr>
      </w:pPr>
      <w:r>
        <w:rPr>
          <w:rFonts w:hint="eastAsia" w:ascii="宋体" w:hAnsi="宋体"/>
          <w:kern w:val="0"/>
          <w:sz w:val="24"/>
        </w:rPr>
        <w:t>39.</w:t>
      </w:r>
      <w:r>
        <w:rPr>
          <w:rFonts w:hint="eastAsia" w:ascii="宋体" w:hAnsi="宋体" w:cs="宋体"/>
          <w:iCs/>
          <w:snapToGrid w:val="0"/>
          <w:kern w:val="0"/>
          <w:sz w:val="24"/>
        </w:rPr>
        <w:t>7</w:t>
      </w:r>
      <w:r>
        <w:rPr>
          <w:rFonts w:hint="eastAsia" w:ascii="宋体" w:hAnsi="宋体"/>
          <w:kern w:val="0"/>
          <w:sz w:val="24"/>
        </w:rPr>
        <w:t>承包人提交的竣工结算报告虽有错误或不完整，但其中有部分手续齐全并可以单独结算的，发包人可就该部分先行审核。</w:t>
      </w:r>
    </w:p>
    <w:p w14:paraId="4979E40B">
      <w:pPr>
        <w:spacing w:line="360" w:lineRule="auto"/>
        <w:ind w:firstLine="480" w:firstLineChars="200"/>
        <w:rPr>
          <w:rFonts w:ascii="宋体" w:hAnsi="宋体"/>
          <w:kern w:val="0"/>
          <w:sz w:val="24"/>
        </w:rPr>
      </w:pPr>
      <w:r>
        <w:rPr>
          <w:rFonts w:hint="eastAsia" w:ascii="宋体" w:hAnsi="宋体"/>
          <w:kern w:val="0"/>
          <w:sz w:val="24"/>
        </w:rPr>
        <w:t>39.</w:t>
      </w:r>
      <w:r>
        <w:rPr>
          <w:rFonts w:hint="eastAsia" w:ascii="宋体" w:hAnsi="宋体" w:cs="宋体"/>
          <w:iCs/>
          <w:snapToGrid w:val="0"/>
          <w:kern w:val="0"/>
          <w:sz w:val="24"/>
        </w:rPr>
        <w:t>8</w:t>
      </w:r>
      <w:r>
        <w:rPr>
          <w:rFonts w:hint="eastAsia" w:ascii="宋体" w:hAnsi="宋体"/>
          <w:kern w:val="0"/>
          <w:sz w:val="24"/>
        </w:rPr>
        <w:t>由于承包人未按发包人要求及时报送竣工结算资料或报送资料不齐全、不完整引起的相应结算滞后或影响支付，应由承包人负责，承包人所主张的材料款、人工工资等申请将不被接受，应由承包人承担责任。</w:t>
      </w:r>
    </w:p>
    <w:p w14:paraId="4C2CB82E">
      <w:pPr>
        <w:spacing w:line="360" w:lineRule="auto"/>
        <w:ind w:firstLine="480" w:firstLineChars="200"/>
        <w:rPr>
          <w:rFonts w:ascii="宋体" w:hAnsi="宋体"/>
          <w:kern w:val="0"/>
          <w:sz w:val="24"/>
        </w:rPr>
      </w:pPr>
      <w:r>
        <w:rPr>
          <w:rFonts w:hint="eastAsia" w:ascii="宋体" w:hAnsi="宋体"/>
          <w:kern w:val="0"/>
          <w:sz w:val="24"/>
        </w:rPr>
        <w:t>39.</w:t>
      </w:r>
      <w:r>
        <w:rPr>
          <w:rFonts w:hint="eastAsia" w:ascii="宋体" w:hAnsi="宋体" w:cs="宋体"/>
          <w:iCs/>
          <w:snapToGrid w:val="0"/>
          <w:kern w:val="0"/>
          <w:sz w:val="24"/>
        </w:rPr>
        <w:t>9</w:t>
      </w:r>
      <w:r>
        <w:rPr>
          <w:rFonts w:hint="eastAsia" w:ascii="宋体" w:hAnsi="宋体"/>
          <w:kern w:val="0"/>
          <w:sz w:val="24"/>
        </w:rPr>
        <w:t>根据项目建设的实际需要，发包人有权要求与承包人按招标文件提供的格式签订工程结算工作协议书，双方严格按照工程结算工作协议书的约定进行工程结算，承包人必须无条件服从。</w:t>
      </w:r>
    </w:p>
    <w:p w14:paraId="2F74CBF9">
      <w:pPr>
        <w:adjustRightInd w:val="0"/>
        <w:spacing w:line="360" w:lineRule="auto"/>
        <w:ind w:firstLine="480" w:firstLineChars="200"/>
        <w:rPr>
          <w:rFonts w:ascii="宋体" w:hAnsi="宋体" w:cs="宋体"/>
          <w:snapToGrid w:val="0"/>
          <w:kern w:val="0"/>
          <w:sz w:val="24"/>
        </w:rPr>
      </w:pPr>
      <w:r>
        <w:rPr>
          <w:rFonts w:ascii="宋体" w:hAnsi="宋体"/>
          <w:kern w:val="0"/>
          <w:sz w:val="24"/>
        </w:rPr>
        <w:t>39.</w:t>
      </w:r>
      <w:r>
        <w:rPr>
          <w:rFonts w:hint="eastAsia" w:ascii="宋体" w:hAnsi="宋体" w:cs="宋体"/>
          <w:snapToGrid w:val="0"/>
          <w:kern w:val="0"/>
          <w:sz w:val="24"/>
        </w:rPr>
        <w:t xml:space="preserve">10 </w:t>
      </w:r>
      <w:r>
        <w:rPr>
          <w:rFonts w:hint="eastAsia" w:ascii="宋体" w:hAnsi="宋体"/>
          <w:kern w:val="0"/>
          <w:sz w:val="24"/>
        </w:rPr>
        <w:t>由于承包人未按发包人要求及时报送竣工结算资料或报送资料不齐全、不完整，经发包人催告后仍未在规定期限内纠正的，发包人有权自行委托有资质的第三方机构进行工程竣工的造价评估及工程结算，</w:t>
      </w:r>
      <w:r>
        <w:rPr>
          <w:rFonts w:hint="eastAsia" w:ascii="宋体" w:hAnsi="宋体" w:cs="宋体"/>
          <w:snapToGrid w:val="0"/>
          <w:kern w:val="0"/>
          <w:sz w:val="24"/>
        </w:rPr>
        <w:t>承包人必须无条件接受该结算结果，并报相关审计部门审核后作为本工程最终结算依据。</w:t>
      </w:r>
    </w:p>
    <w:p w14:paraId="2331C9F7">
      <w:pPr>
        <w:spacing w:line="360" w:lineRule="auto"/>
        <w:ind w:firstLine="480" w:firstLineChars="200"/>
        <w:rPr>
          <w:rFonts w:ascii="宋体" w:hAnsi="宋体"/>
          <w:kern w:val="0"/>
          <w:sz w:val="24"/>
        </w:rPr>
      </w:pPr>
      <w:r>
        <w:rPr>
          <w:rFonts w:ascii="宋体" w:hAnsi="宋体" w:cs="宋体"/>
          <w:snapToGrid w:val="0"/>
          <w:sz w:val="24"/>
        </w:rPr>
        <w:t>39.</w:t>
      </w:r>
      <w:r>
        <w:rPr>
          <w:rFonts w:hint="eastAsia" w:ascii="宋体" w:hAnsi="宋体" w:cs="宋体"/>
          <w:snapToGrid w:val="0"/>
          <w:sz w:val="24"/>
          <w:lang w:val="en-US" w:eastAsia="zh-CN"/>
        </w:rPr>
        <w:t>11</w:t>
      </w:r>
      <w:r>
        <w:rPr>
          <w:rFonts w:hint="eastAsia" w:ascii="宋体" w:hAnsi="宋体" w:cs="宋体"/>
          <w:snapToGrid w:val="0"/>
          <w:sz w:val="24"/>
        </w:rPr>
        <w:t>本工程合同的结算金额计算示意公式如下：合同结算金额=</w:t>
      </w:r>
      <w:r>
        <w:rPr>
          <w:rFonts w:ascii="宋体" w:hAnsi="宋体" w:cs="宋体"/>
          <w:snapToGrid w:val="0"/>
          <w:sz w:val="24"/>
        </w:rPr>
        <w:t>A+B+C+D+E+F(</w:t>
      </w:r>
      <w:r>
        <w:rPr>
          <w:rFonts w:hint="eastAsia" w:ascii="宋体" w:hAnsi="宋体" w:cs="宋体"/>
          <w:snapToGrid w:val="0"/>
          <w:sz w:val="24"/>
        </w:rPr>
        <w:t>其中：“</w:t>
      </w:r>
      <w:r>
        <w:rPr>
          <w:rFonts w:ascii="宋体" w:hAnsi="宋体" w:cs="宋体"/>
          <w:snapToGrid w:val="0"/>
          <w:sz w:val="24"/>
        </w:rPr>
        <w:t>A</w:t>
      </w:r>
      <w:r>
        <w:rPr>
          <w:rFonts w:hint="eastAsia" w:ascii="宋体" w:hAnsi="宋体" w:cs="宋体"/>
          <w:snapToGrid w:val="0"/>
          <w:sz w:val="24"/>
        </w:rPr>
        <w:t>”表示发包人发出的经施工图审查后的正式书面蓝图对应的施工图预算金额；“</w:t>
      </w:r>
      <w:r>
        <w:rPr>
          <w:rFonts w:ascii="宋体" w:hAnsi="宋体" w:cs="宋体"/>
          <w:snapToGrid w:val="0"/>
          <w:sz w:val="24"/>
        </w:rPr>
        <w:t>B</w:t>
      </w:r>
      <w:r>
        <w:rPr>
          <w:rFonts w:hint="eastAsia" w:ascii="宋体" w:hAnsi="宋体" w:cs="宋体"/>
          <w:snapToGrid w:val="0"/>
          <w:sz w:val="24"/>
        </w:rPr>
        <w:t>”表示经发包人审核确认并正式发出（有相应的工程指令）的已经施工完成的合格设计变更计算出来的合计金额；“</w:t>
      </w:r>
      <w:r>
        <w:rPr>
          <w:rFonts w:ascii="宋体" w:hAnsi="宋体" w:cs="宋体"/>
          <w:snapToGrid w:val="0"/>
          <w:sz w:val="24"/>
        </w:rPr>
        <w:t>C</w:t>
      </w:r>
      <w:r>
        <w:rPr>
          <w:rFonts w:hint="eastAsia" w:ascii="宋体" w:hAnsi="宋体" w:cs="宋体"/>
          <w:snapToGrid w:val="0"/>
          <w:sz w:val="24"/>
        </w:rPr>
        <w:t>”表示经发包人等各方审核确认的现场签证计算出来的合计金额；“</w:t>
      </w:r>
      <w:r>
        <w:rPr>
          <w:rFonts w:ascii="宋体" w:hAnsi="宋体" w:cs="宋体"/>
          <w:snapToGrid w:val="0"/>
          <w:sz w:val="24"/>
        </w:rPr>
        <w:t>D</w:t>
      </w:r>
      <w:r>
        <w:rPr>
          <w:rFonts w:hint="eastAsia" w:ascii="宋体" w:hAnsi="宋体" w:cs="宋体"/>
          <w:snapToGrid w:val="0"/>
          <w:sz w:val="24"/>
        </w:rPr>
        <w:t>”表示按照合同规定可计算的各项材料价差合计金额；“</w:t>
      </w:r>
      <w:r>
        <w:rPr>
          <w:rFonts w:ascii="宋体" w:hAnsi="宋体" w:cs="宋体"/>
          <w:snapToGrid w:val="0"/>
          <w:sz w:val="24"/>
        </w:rPr>
        <w:t>E”表示</w:t>
      </w:r>
      <w:r>
        <w:rPr>
          <w:rFonts w:hint="eastAsia" w:ascii="宋体" w:hAnsi="宋体" w:cs="宋体"/>
          <w:snapToGrid w:val="0"/>
          <w:sz w:val="24"/>
        </w:rPr>
        <w:t>对应施工图预算金额的施工图纸未施工部分、减低标准或者范围、或者降低参数或者减低功能等合计减少金额；“</w:t>
      </w:r>
      <w:r>
        <w:rPr>
          <w:rFonts w:ascii="宋体" w:hAnsi="宋体" w:cs="宋体"/>
          <w:snapToGrid w:val="0"/>
          <w:sz w:val="24"/>
        </w:rPr>
        <w:t>F”表示其他方面的费用合计</w:t>
      </w:r>
      <w:r>
        <w:rPr>
          <w:rFonts w:hint="eastAsia" w:ascii="宋体" w:hAnsi="宋体" w:cs="宋体"/>
          <w:snapToGrid w:val="0"/>
          <w:sz w:val="24"/>
        </w:rPr>
        <w:t>增减金额</w:t>
      </w:r>
      <w:r>
        <w:rPr>
          <w:rFonts w:ascii="宋体" w:hAnsi="宋体" w:cs="宋体"/>
          <w:snapToGrid w:val="0"/>
          <w:sz w:val="24"/>
        </w:rPr>
        <w:t>)。</w:t>
      </w:r>
      <w:r>
        <w:rPr>
          <w:rFonts w:hint="eastAsia" w:ascii="宋体" w:hAnsi="宋体" w:cs="宋体"/>
          <w:snapToGrid w:val="0"/>
          <w:sz w:val="24"/>
        </w:rPr>
        <w:t>竣工图纸不作为结算的唯一资料，只作为结算的佐证及参考资料</w:t>
      </w:r>
      <w:r>
        <w:rPr>
          <w:rFonts w:hint="eastAsia" w:ascii="宋体" w:hAnsi="宋体" w:cs="宋体"/>
          <w:snapToGrid w:val="0"/>
          <w:sz w:val="24"/>
          <w:lang w:eastAsia="zh-CN"/>
        </w:rPr>
        <w:t>（</w:t>
      </w:r>
      <w:r>
        <w:rPr>
          <w:rFonts w:hint="eastAsia" w:ascii="宋体" w:hAnsi="宋体" w:cs="宋体"/>
          <w:snapToGrid w:val="0"/>
          <w:sz w:val="24"/>
          <w:lang w:val="en-US" w:eastAsia="zh-CN"/>
        </w:rPr>
        <w:t>如果竣工图纸与实际不符的情况下）</w:t>
      </w:r>
      <w:r>
        <w:rPr>
          <w:rFonts w:hint="eastAsia" w:ascii="宋体" w:hAnsi="宋体"/>
          <w:kern w:val="0"/>
          <w:sz w:val="24"/>
        </w:rPr>
        <w:t>。</w:t>
      </w:r>
    </w:p>
    <w:p w14:paraId="62B88105">
      <w:pPr>
        <w:pStyle w:val="46"/>
        <w:ind w:left="0" w:leftChars="0" w:firstLine="480"/>
        <w:rPr>
          <w:rFonts w:hint="eastAsia" w:eastAsia="宋体"/>
          <w:lang w:eastAsia="zh-CN"/>
        </w:rPr>
      </w:pPr>
      <w:r>
        <w:rPr>
          <w:rFonts w:hint="eastAsia"/>
        </w:rPr>
        <w:t>3</w:t>
      </w:r>
      <w:r>
        <w:t>9.1</w:t>
      </w:r>
      <w:r>
        <w:rPr>
          <w:rFonts w:hint="eastAsia"/>
          <w:lang w:val="en-US" w:eastAsia="zh-CN"/>
        </w:rPr>
        <w:t>2</w:t>
      </w:r>
      <w:r>
        <w:rPr>
          <w:rFonts w:hint="eastAsia"/>
        </w:rPr>
        <w:t>分期开发过程结算：如项目分期开发，各期项目分部（工程）验收合格等符合过程结算条件的，可按符合发包人分期分批次竣工验收条件后进行过程结算。过程结算的原则按合同条款第3</w:t>
      </w:r>
      <w:r>
        <w:t>9</w:t>
      </w:r>
      <w:r>
        <w:rPr>
          <w:rFonts w:hint="eastAsia"/>
        </w:rPr>
        <w:t>条约定执行，</w:t>
      </w:r>
      <w:r>
        <w:rPr>
          <w:rFonts w:hint="eastAsia" w:ascii="宋体" w:hAnsi="宋体"/>
        </w:rPr>
        <w:t>发包人审核过程结算报告的时间</w:t>
      </w:r>
      <w:r>
        <w:rPr>
          <w:rFonts w:hint="eastAsia"/>
        </w:rPr>
        <w:t>按合同条款第3</w:t>
      </w:r>
      <w:r>
        <w:t>9</w:t>
      </w:r>
      <w:r>
        <w:rPr>
          <w:rFonts w:hint="eastAsia"/>
        </w:rPr>
        <w:t>.3条约定。</w:t>
      </w:r>
      <w:r>
        <w:rPr>
          <w:rFonts w:hint="eastAsia"/>
          <w:lang w:eastAsia="zh-CN"/>
        </w:rPr>
        <w:t>（</w:t>
      </w:r>
      <w:r>
        <w:rPr>
          <w:rFonts w:hint="eastAsia"/>
          <w:lang w:val="en-US" w:eastAsia="zh-CN"/>
        </w:rPr>
        <w:t>不适用</w:t>
      </w:r>
      <w:r>
        <w:rPr>
          <w:rFonts w:hint="eastAsia"/>
          <w:lang w:eastAsia="zh-CN"/>
        </w:rPr>
        <w:t>）</w:t>
      </w:r>
    </w:p>
    <w:p w14:paraId="18763F5E">
      <w:pPr>
        <w:spacing w:line="360" w:lineRule="auto"/>
        <w:ind w:firstLine="482" w:firstLineChars="200"/>
        <w:outlineLvl w:val="1"/>
        <w:rPr>
          <w:rFonts w:ascii="宋体" w:hAnsi="宋体"/>
          <w:b/>
          <w:kern w:val="0"/>
          <w:sz w:val="24"/>
        </w:rPr>
      </w:pPr>
      <w:bookmarkStart w:id="566" w:name="_Toc31183"/>
      <w:bookmarkStart w:id="567" w:name="_Toc144746901"/>
      <w:bookmarkStart w:id="568" w:name="_Toc1628"/>
      <w:bookmarkStart w:id="569" w:name="_Toc144746271"/>
      <w:bookmarkStart w:id="570" w:name="_Toc104901798"/>
      <w:bookmarkStart w:id="571" w:name="_Toc5448"/>
      <w:r>
        <w:rPr>
          <w:rFonts w:hint="eastAsia" w:ascii="宋体" w:hAnsi="宋体"/>
          <w:b/>
          <w:kern w:val="0"/>
          <w:sz w:val="24"/>
        </w:rPr>
        <w:t>40、缺陷责任及质量保修</w:t>
      </w:r>
      <w:bookmarkEnd w:id="566"/>
      <w:bookmarkEnd w:id="567"/>
      <w:bookmarkEnd w:id="568"/>
      <w:bookmarkEnd w:id="569"/>
      <w:bookmarkEnd w:id="570"/>
      <w:bookmarkEnd w:id="571"/>
    </w:p>
    <w:p w14:paraId="36CCA4A7">
      <w:pPr>
        <w:spacing w:line="360" w:lineRule="auto"/>
        <w:ind w:firstLine="480" w:firstLineChars="200"/>
        <w:rPr>
          <w:rFonts w:ascii="宋体" w:hAnsi="宋体"/>
          <w:kern w:val="0"/>
          <w:sz w:val="24"/>
        </w:rPr>
      </w:pPr>
      <w:r>
        <w:rPr>
          <w:rFonts w:hint="eastAsia" w:ascii="宋体" w:hAnsi="宋体"/>
          <w:kern w:val="0"/>
          <w:sz w:val="24"/>
        </w:rPr>
        <w:t>40.1承包人应按法律、行政法规或国家关于工程质量保修的有关规定，对交付发包人（或项目产权管理单位）使用的工程在缺陷责任期及质量保修期内承担质量保修责任。</w:t>
      </w:r>
    </w:p>
    <w:p w14:paraId="62D280E7">
      <w:pPr>
        <w:spacing w:line="360" w:lineRule="auto"/>
        <w:ind w:firstLine="480" w:firstLineChars="200"/>
        <w:rPr>
          <w:rFonts w:ascii="宋体" w:hAnsi="宋体"/>
          <w:kern w:val="0"/>
          <w:sz w:val="24"/>
        </w:rPr>
      </w:pPr>
      <w:r>
        <w:rPr>
          <w:rFonts w:hint="eastAsia" w:ascii="宋体" w:hAnsi="宋体"/>
          <w:kern w:val="0"/>
          <w:sz w:val="24"/>
        </w:rPr>
        <w:t>40.2承包人应在签订本合同的同时与发包人签订工程质量保修书（见合同附件）。</w:t>
      </w:r>
    </w:p>
    <w:p w14:paraId="757E4D65">
      <w:pPr>
        <w:spacing w:line="360" w:lineRule="auto"/>
        <w:ind w:firstLine="480" w:firstLineChars="200"/>
        <w:rPr>
          <w:rFonts w:ascii="宋体" w:hAnsi="宋体"/>
          <w:sz w:val="24"/>
        </w:rPr>
      </w:pPr>
      <w:r>
        <w:rPr>
          <w:rFonts w:hint="eastAsia" w:ascii="宋体" w:hAnsi="宋体"/>
          <w:kern w:val="0"/>
          <w:sz w:val="24"/>
        </w:rPr>
        <w:t>40.3</w:t>
      </w:r>
      <w:r>
        <w:rPr>
          <w:rFonts w:hint="eastAsia" w:ascii="宋体" w:hAnsi="宋体"/>
          <w:sz w:val="24"/>
        </w:rPr>
        <w:t>保修期内，承包人应当根据法律规定以及合同约定承担缺陷修复及质量保修责任，承包人不得以其与分包单位之间保修责任划分而拒绝履行缺陷修复及质量保修责任。</w:t>
      </w:r>
    </w:p>
    <w:p w14:paraId="5945AEFC">
      <w:pPr>
        <w:spacing w:line="360" w:lineRule="auto"/>
        <w:ind w:firstLine="480" w:firstLineChars="200"/>
        <w:rPr>
          <w:rFonts w:ascii="宋体" w:hAnsi="宋体"/>
          <w:sz w:val="24"/>
        </w:rPr>
      </w:pPr>
      <w:r>
        <w:rPr>
          <w:rFonts w:ascii="宋体" w:hAnsi="宋体"/>
          <w:sz w:val="24"/>
        </w:rPr>
        <w:t>40.4</w:t>
      </w:r>
      <w:r>
        <w:rPr>
          <w:rFonts w:hint="eastAsia" w:ascii="宋体" w:hAnsi="宋体"/>
          <w:sz w:val="24"/>
        </w:rPr>
        <w:t>如项目分期开发，各期项目分部（工程）竣工验收合格且按发包人要求移交工程的，按每期分批次工程分别计算缺陷责任期和质量保修期。</w:t>
      </w:r>
    </w:p>
    <w:p w14:paraId="5B8B30C6">
      <w:pPr>
        <w:pStyle w:val="27"/>
        <w:spacing w:line="360" w:lineRule="auto"/>
        <w:ind w:firstLine="562" w:firstLineChars="200"/>
        <w:outlineLvl w:val="0"/>
        <w:rPr>
          <w:rFonts w:ascii="宋体" w:hAnsi="宋体"/>
          <w:b/>
          <w:sz w:val="28"/>
        </w:rPr>
      </w:pPr>
      <w:bookmarkStart w:id="572" w:name="_Toc504465924"/>
      <w:bookmarkStart w:id="573" w:name="_Toc502215521"/>
      <w:bookmarkStart w:id="574" w:name="_Toc29460_WPSOffice_Level2"/>
      <w:bookmarkStart w:id="575" w:name="_Toc104901799"/>
      <w:bookmarkStart w:id="576" w:name="_Toc518402618"/>
      <w:r>
        <w:rPr>
          <w:rFonts w:hint="eastAsia" w:ascii="宋体" w:hAnsi="宋体" w:cs="宋体"/>
          <w:b/>
          <w:snapToGrid w:val="0"/>
          <w:sz w:val="28"/>
          <w:szCs w:val="28"/>
        </w:rPr>
        <w:t>十</w:t>
      </w:r>
      <w:r>
        <w:rPr>
          <w:rFonts w:hint="eastAsia" w:ascii="宋体" w:hAnsi="宋体"/>
          <w:b/>
          <w:sz w:val="28"/>
        </w:rPr>
        <w:t>、违约、索赔和争议</w:t>
      </w:r>
      <w:bookmarkEnd w:id="572"/>
      <w:bookmarkEnd w:id="573"/>
      <w:bookmarkEnd w:id="574"/>
      <w:bookmarkEnd w:id="575"/>
      <w:bookmarkEnd w:id="576"/>
    </w:p>
    <w:p w14:paraId="6B347B3C">
      <w:pPr>
        <w:spacing w:line="360" w:lineRule="auto"/>
        <w:ind w:firstLine="482" w:firstLineChars="200"/>
        <w:outlineLvl w:val="1"/>
        <w:rPr>
          <w:rFonts w:ascii="宋体" w:hAnsi="宋体"/>
          <w:b/>
          <w:kern w:val="0"/>
          <w:sz w:val="24"/>
        </w:rPr>
      </w:pPr>
      <w:bookmarkStart w:id="577" w:name="_Toc104901800"/>
      <w:bookmarkStart w:id="578" w:name="_Toc16234"/>
      <w:bookmarkStart w:id="579" w:name="_Toc144746272"/>
      <w:bookmarkStart w:id="580" w:name="_Toc29113"/>
      <w:bookmarkStart w:id="581" w:name="_Toc502215522"/>
      <w:bookmarkStart w:id="582" w:name="_Toc144746902"/>
      <w:bookmarkStart w:id="583" w:name="_Toc518402619"/>
      <w:bookmarkStart w:id="584" w:name="_Toc12424_WPSOffice_Level3"/>
      <w:bookmarkStart w:id="585" w:name="_Toc3760"/>
      <w:bookmarkStart w:id="586" w:name="_Toc504465925"/>
      <w:r>
        <w:rPr>
          <w:rFonts w:hint="eastAsia" w:ascii="宋体" w:hAnsi="宋体"/>
          <w:b/>
          <w:kern w:val="0"/>
          <w:sz w:val="24"/>
        </w:rPr>
        <w:t>41、违约</w:t>
      </w:r>
      <w:bookmarkEnd w:id="577"/>
      <w:bookmarkEnd w:id="578"/>
      <w:bookmarkEnd w:id="579"/>
      <w:bookmarkEnd w:id="580"/>
      <w:bookmarkEnd w:id="581"/>
      <w:bookmarkEnd w:id="582"/>
      <w:bookmarkEnd w:id="583"/>
      <w:bookmarkEnd w:id="584"/>
      <w:bookmarkEnd w:id="585"/>
      <w:bookmarkEnd w:id="586"/>
    </w:p>
    <w:p w14:paraId="07837D31">
      <w:pPr>
        <w:spacing w:line="360" w:lineRule="auto"/>
        <w:ind w:firstLine="480" w:firstLineChars="200"/>
        <w:rPr>
          <w:rFonts w:ascii="宋体" w:hAnsi="宋体"/>
          <w:kern w:val="0"/>
          <w:sz w:val="24"/>
        </w:rPr>
      </w:pPr>
      <w:r>
        <w:rPr>
          <w:rFonts w:hint="eastAsia" w:ascii="宋体" w:hAnsi="宋体"/>
          <w:kern w:val="0"/>
          <w:sz w:val="24"/>
        </w:rPr>
        <w:t>41.1发包人的违约责任</w:t>
      </w:r>
    </w:p>
    <w:p w14:paraId="0B4E0914">
      <w:pPr>
        <w:spacing w:line="360" w:lineRule="auto"/>
        <w:ind w:firstLine="480" w:firstLineChars="200"/>
        <w:rPr>
          <w:rFonts w:ascii="宋体" w:hAnsi="宋体"/>
          <w:kern w:val="0"/>
          <w:sz w:val="24"/>
        </w:rPr>
      </w:pPr>
      <w:r>
        <w:rPr>
          <w:rFonts w:hint="eastAsia" w:ascii="宋体" w:hAnsi="宋体"/>
          <w:kern w:val="0"/>
          <w:sz w:val="24"/>
        </w:rPr>
        <w:t>（1）发包人无正当理由不按合同约定支付预付款、进度款和</w:t>
      </w:r>
      <w:r>
        <w:rPr>
          <w:rFonts w:hint="eastAsia" w:ascii="宋体" w:hAnsi="宋体" w:cs="宋体"/>
          <w:snapToGrid w:val="0"/>
          <w:kern w:val="0"/>
          <w:sz w:val="24"/>
        </w:rPr>
        <w:t>设计费</w:t>
      </w:r>
      <w:r>
        <w:rPr>
          <w:rFonts w:hint="eastAsia" w:ascii="宋体" w:hAnsi="宋体"/>
          <w:kern w:val="0"/>
          <w:sz w:val="24"/>
        </w:rPr>
        <w:t>结算款的，除应继续支付本合同约定的预付款、进度款和</w:t>
      </w:r>
      <w:r>
        <w:rPr>
          <w:rFonts w:hint="eastAsia" w:ascii="宋体" w:hAnsi="宋体" w:cs="宋体"/>
          <w:snapToGrid w:val="0"/>
          <w:kern w:val="0"/>
          <w:sz w:val="24"/>
        </w:rPr>
        <w:t>设计费</w:t>
      </w:r>
      <w:r>
        <w:rPr>
          <w:rFonts w:hint="eastAsia" w:ascii="宋体" w:hAnsi="宋体"/>
          <w:kern w:val="0"/>
          <w:sz w:val="24"/>
        </w:rPr>
        <w:t>结算款外，还</w:t>
      </w:r>
      <w:r>
        <w:rPr>
          <w:rFonts w:hint="eastAsia" w:ascii="宋体" w:hAnsi="宋体" w:cs="宋体"/>
          <w:snapToGrid w:val="0"/>
          <w:kern w:val="0"/>
          <w:sz w:val="24"/>
        </w:rPr>
        <w:t>应向</w:t>
      </w:r>
      <w:r>
        <w:rPr>
          <w:rFonts w:hint="eastAsia" w:ascii="宋体" w:hAnsi="宋体"/>
          <w:kern w:val="0"/>
          <w:sz w:val="24"/>
        </w:rPr>
        <w:t>承包人计付拖欠期间的利息。</w:t>
      </w:r>
      <w:r>
        <w:rPr>
          <w:rFonts w:hint="eastAsia" w:ascii="宋体" w:hAnsi="宋体" w:cs="宋体"/>
          <w:snapToGrid w:val="0"/>
          <w:kern w:val="0"/>
          <w:sz w:val="24"/>
        </w:rPr>
        <w:t>逾期付款利息=当期应付款总额×全国银行间同业拆借中心发布的贷款市场报价利率（一年期）×逾期支付天数（自逾期之日起计算），逾期利息最高不超过发包人应付未付款项的5%。</w:t>
      </w:r>
    </w:p>
    <w:p w14:paraId="6EEC88A5">
      <w:pPr>
        <w:spacing w:line="360" w:lineRule="auto"/>
        <w:ind w:firstLine="480" w:firstLineChars="200"/>
        <w:rPr>
          <w:rFonts w:ascii="宋体" w:hAnsi="宋体"/>
          <w:kern w:val="0"/>
          <w:sz w:val="24"/>
        </w:rPr>
      </w:pPr>
      <w:r>
        <w:rPr>
          <w:rFonts w:hint="eastAsia" w:ascii="宋体" w:hAnsi="宋体"/>
          <w:kern w:val="0"/>
          <w:sz w:val="24"/>
        </w:rPr>
        <w:t>（2）因发包人违约或者过错给承包人造成损失的，在承包人提交足够证据并经查证属实的情况下，发包人应依法赔偿其直接经济损失。当发包人违反本合同的约定符合解除合同的条件时，承包人有权向发包人发出书面解除合同的通知，该通知依法律规定发生法律效力</w:t>
      </w:r>
    </w:p>
    <w:p w14:paraId="0BBCFA0C">
      <w:pPr>
        <w:spacing w:line="360" w:lineRule="auto"/>
        <w:ind w:firstLine="480" w:firstLineChars="200"/>
        <w:rPr>
          <w:rFonts w:ascii="宋体" w:hAnsi="宋体"/>
          <w:kern w:val="0"/>
          <w:sz w:val="24"/>
        </w:rPr>
      </w:pPr>
      <w:r>
        <w:rPr>
          <w:rFonts w:hint="eastAsia" w:ascii="宋体" w:hAnsi="宋体" w:cs="宋体"/>
          <w:snapToGrid w:val="0"/>
          <w:kern w:val="0"/>
          <w:sz w:val="24"/>
        </w:rPr>
        <w:t>41.2承包人违约。当发生下列情况时：</w:t>
      </w:r>
    </w:p>
    <w:p w14:paraId="257B5356">
      <w:pPr>
        <w:spacing w:line="360" w:lineRule="auto"/>
        <w:ind w:firstLine="480" w:firstLineChars="200"/>
        <w:rPr>
          <w:rFonts w:ascii="宋体" w:hAnsi="宋体"/>
          <w:kern w:val="0"/>
          <w:sz w:val="24"/>
        </w:rPr>
      </w:pPr>
      <w:r>
        <w:rPr>
          <w:rFonts w:hint="eastAsia" w:ascii="宋体" w:hAnsi="宋体"/>
          <w:kern w:val="0"/>
          <w:sz w:val="24"/>
        </w:rPr>
        <w:t>（1）合同条款第</w:t>
      </w:r>
      <w:r>
        <w:rPr>
          <w:rFonts w:hint="eastAsia" w:ascii="宋体" w:hAnsi="宋体" w:cs="宋体"/>
          <w:snapToGrid w:val="0"/>
          <w:kern w:val="0"/>
          <w:sz w:val="24"/>
        </w:rPr>
        <w:t>17</w:t>
      </w:r>
      <w:r>
        <w:rPr>
          <w:rFonts w:hint="eastAsia" w:ascii="宋体" w:hAnsi="宋体"/>
          <w:kern w:val="0"/>
          <w:sz w:val="24"/>
        </w:rPr>
        <w:t>条提到的因承包人原因不能按照合同协议书约定的竣工日期或总监理工程师</w:t>
      </w:r>
      <w:r>
        <w:rPr>
          <w:rFonts w:hint="eastAsia" w:ascii="宋体" w:hAnsi="宋体" w:cs="宋体"/>
          <w:snapToGrid w:val="0"/>
          <w:kern w:val="0"/>
          <w:sz w:val="24"/>
        </w:rPr>
        <w:t>和发包人</w:t>
      </w:r>
      <w:r>
        <w:rPr>
          <w:rFonts w:hint="eastAsia" w:ascii="宋体" w:hAnsi="宋体"/>
          <w:kern w:val="0"/>
          <w:sz w:val="24"/>
        </w:rPr>
        <w:t>同意顺延的工期竣工；</w:t>
      </w:r>
    </w:p>
    <w:p w14:paraId="755E9C35">
      <w:pPr>
        <w:spacing w:line="360" w:lineRule="auto"/>
        <w:ind w:firstLine="480" w:firstLineChars="200"/>
        <w:rPr>
          <w:rFonts w:ascii="宋体" w:hAnsi="宋体"/>
          <w:kern w:val="0"/>
          <w:sz w:val="24"/>
        </w:rPr>
      </w:pPr>
      <w:r>
        <w:rPr>
          <w:rFonts w:hint="eastAsia" w:ascii="宋体" w:hAnsi="宋体"/>
          <w:kern w:val="0"/>
          <w:sz w:val="24"/>
        </w:rPr>
        <w:t>（2）合同条款第</w:t>
      </w:r>
      <w:r>
        <w:rPr>
          <w:rFonts w:hint="eastAsia" w:ascii="宋体" w:hAnsi="宋体" w:cs="宋体"/>
          <w:snapToGrid w:val="0"/>
          <w:kern w:val="0"/>
          <w:sz w:val="24"/>
        </w:rPr>
        <w:t>18</w:t>
      </w:r>
      <w:r>
        <w:rPr>
          <w:rFonts w:hint="eastAsia" w:ascii="宋体" w:hAnsi="宋体"/>
          <w:kern w:val="0"/>
          <w:sz w:val="24"/>
        </w:rPr>
        <w:t>.1款提到的因承包人原因工程质量达不到合同协议书约定的质量标准；</w:t>
      </w:r>
    </w:p>
    <w:p w14:paraId="4D20C10D">
      <w:pPr>
        <w:spacing w:line="360" w:lineRule="auto"/>
        <w:ind w:firstLine="480" w:firstLineChars="200"/>
        <w:rPr>
          <w:rFonts w:ascii="宋体" w:hAnsi="宋体"/>
          <w:kern w:val="0"/>
          <w:sz w:val="24"/>
        </w:rPr>
      </w:pPr>
      <w:r>
        <w:rPr>
          <w:rFonts w:hint="eastAsia" w:ascii="宋体" w:hAnsi="宋体"/>
          <w:kern w:val="0"/>
          <w:sz w:val="24"/>
        </w:rPr>
        <w:t>（3）承包人不履行合同义务或不按合同约定履行义务的其它情况。</w:t>
      </w:r>
    </w:p>
    <w:p w14:paraId="533064E2">
      <w:pPr>
        <w:spacing w:line="360" w:lineRule="auto"/>
        <w:ind w:firstLine="480" w:firstLineChars="200"/>
        <w:rPr>
          <w:rFonts w:ascii="宋体" w:hAnsi="宋体"/>
          <w:kern w:val="0"/>
          <w:sz w:val="24"/>
        </w:rPr>
      </w:pPr>
      <w:r>
        <w:rPr>
          <w:rFonts w:hint="eastAsia" w:ascii="宋体" w:hAnsi="宋体"/>
          <w:kern w:val="0"/>
          <w:sz w:val="24"/>
        </w:rPr>
        <w:t>承包人承担违约责任，赔偿因其违约给发包人造成的损失。承包人赔偿发包人损失的计算方法或者承包人应当支付违约金的数额或计算方法按合同条款第41.4款至41.17款的约定执行。</w:t>
      </w:r>
    </w:p>
    <w:p w14:paraId="71B64079">
      <w:pPr>
        <w:spacing w:line="360" w:lineRule="auto"/>
        <w:ind w:firstLine="480" w:firstLineChars="200"/>
        <w:rPr>
          <w:rFonts w:ascii="宋体" w:hAnsi="宋体"/>
          <w:kern w:val="0"/>
          <w:sz w:val="24"/>
        </w:rPr>
      </w:pPr>
      <w:r>
        <w:rPr>
          <w:rFonts w:hint="eastAsia" w:ascii="宋体" w:hAnsi="宋体"/>
          <w:kern w:val="0"/>
          <w:sz w:val="24"/>
        </w:rPr>
        <w:t>41.3一方违约后，另一方要求违约方继续履行合同时，违约方承担违约责任后仍应继续履行合同。</w:t>
      </w:r>
    </w:p>
    <w:p w14:paraId="40653677">
      <w:pPr>
        <w:spacing w:line="360" w:lineRule="auto"/>
        <w:ind w:firstLine="480" w:firstLineChars="200"/>
        <w:rPr>
          <w:rFonts w:ascii="宋体" w:hAnsi="宋体"/>
          <w:kern w:val="0"/>
          <w:sz w:val="24"/>
        </w:rPr>
      </w:pPr>
      <w:r>
        <w:rPr>
          <w:rFonts w:hint="eastAsia" w:ascii="宋体" w:hAnsi="宋体"/>
          <w:kern w:val="0"/>
          <w:sz w:val="24"/>
        </w:rPr>
        <w:t>41.4承包人承担违约责任的方式包括但不限于：</w:t>
      </w:r>
    </w:p>
    <w:p w14:paraId="1EFA5C39">
      <w:pPr>
        <w:tabs>
          <w:tab w:val="left" w:pos="1125"/>
        </w:tabs>
        <w:spacing w:line="360" w:lineRule="auto"/>
        <w:ind w:firstLine="480" w:firstLineChars="200"/>
        <w:rPr>
          <w:rFonts w:ascii="宋体" w:hAnsi="宋体"/>
          <w:kern w:val="0"/>
          <w:sz w:val="24"/>
        </w:rPr>
      </w:pPr>
      <w:r>
        <w:rPr>
          <w:rFonts w:hint="eastAsia" w:ascii="宋体" w:hAnsi="宋体"/>
          <w:kern w:val="0"/>
          <w:sz w:val="24"/>
        </w:rPr>
        <w:t>（1）书面警告。承包人不履行或不完全履行合同约定的义务及责任，或者不执行总监理工程师或发包人的指令时，发包人有权向承包人发出书面警告。承包人必须在书面警告限定的时间内改正，逾期未改正的，发包人有权要求其法定代表人</w:t>
      </w:r>
      <w:r>
        <w:rPr>
          <w:rFonts w:hint="eastAsia" w:ascii="宋体" w:hAnsi="宋体"/>
          <w:sz w:val="24"/>
        </w:rPr>
        <w:t>或者主管领导驻场</w:t>
      </w:r>
      <w:r>
        <w:rPr>
          <w:rFonts w:hint="eastAsia" w:ascii="宋体" w:hAnsi="宋体"/>
          <w:kern w:val="0"/>
          <w:sz w:val="24"/>
        </w:rPr>
        <w:t>办公，直至改正为止。</w:t>
      </w:r>
    </w:p>
    <w:p w14:paraId="771B4D7E">
      <w:pPr>
        <w:tabs>
          <w:tab w:val="left" w:pos="1125"/>
        </w:tabs>
        <w:spacing w:line="360" w:lineRule="auto"/>
        <w:ind w:firstLine="480" w:firstLineChars="200"/>
        <w:rPr>
          <w:rFonts w:ascii="宋体" w:hAnsi="宋体"/>
          <w:kern w:val="0"/>
          <w:sz w:val="24"/>
        </w:rPr>
      </w:pPr>
      <w:r>
        <w:rPr>
          <w:rFonts w:hint="eastAsia" w:ascii="宋体" w:hAnsi="宋体"/>
          <w:kern w:val="0"/>
          <w:sz w:val="24"/>
        </w:rPr>
        <w:t>（2）一般违约责任。承包人违反本合同的约定须承担一般违约责任时，必须向发包人交纳违约金10000元/次。</w:t>
      </w:r>
    </w:p>
    <w:p w14:paraId="1E8EFAC4">
      <w:pPr>
        <w:tabs>
          <w:tab w:val="left" w:pos="1125"/>
        </w:tabs>
        <w:spacing w:line="360" w:lineRule="auto"/>
        <w:ind w:firstLine="480" w:firstLineChars="200"/>
        <w:rPr>
          <w:rFonts w:ascii="宋体" w:hAnsi="宋体"/>
          <w:kern w:val="0"/>
          <w:sz w:val="24"/>
        </w:rPr>
      </w:pPr>
      <w:r>
        <w:rPr>
          <w:rFonts w:hint="eastAsia" w:ascii="宋体" w:hAnsi="宋体"/>
          <w:kern w:val="0"/>
          <w:sz w:val="24"/>
        </w:rPr>
        <w:t>（3）严重违约责任。承包人违反本合同的约定须承担严重违约责任时，必须向发包人交纳违约金</w:t>
      </w:r>
      <w:r>
        <w:rPr>
          <w:rFonts w:hint="eastAsia" w:ascii="宋体" w:hAnsi="宋体" w:cs="宋体"/>
          <w:snapToGrid w:val="0"/>
          <w:kern w:val="0"/>
          <w:sz w:val="24"/>
        </w:rPr>
        <w:t>50000元</w:t>
      </w:r>
      <w:r>
        <w:rPr>
          <w:rFonts w:hint="eastAsia" w:ascii="宋体" w:hAnsi="宋体" w:cs="宋体"/>
          <w:bCs/>
          <w:snapToGrid w:val="0"/>
          <w:kern w:val="0"/>
          <w:sz w:val="24"/>
        </w:rPr>
        <w:t>/次</w:t>
      </w:r>
      <w:r>
        <w:rPr>
          <w:rFonts w:hint="eastAsia" w:ascii="宋体" w:hAnsi="宋体"/>
          <w:kern w:val="0"/>
          <w:sz w:val="24"/>
        </w:rPr>
        <w:t>。</w:t>
      </w:r>
    </w:p>
    <w:p w14:paraId="1FA4702E">
      <w:pPr>
        <w:tabs>
          <w:tab w:val="left" w:pos="1125"/>
        </w:tabs>
        <w:spacing w:line="360" w:lineRule="auto"/>
        <w:ind w:firstLine="480" w:firstLineChars="200"/>
        <w:rPr>
          <w:rFonts w:ascii="宋体" w:hAnsi="宋体"/>
          <w:kern w:val="0"/>
          <w:sz w:val="24"/>
        </w:rPr>
      </w:pPr>
      <w:r>
        <w:rPr>
          <w:rFonts w:hint="eastAsia" w:ascii="宋体" w:hAnsi="宋体"/>
          <w:kern w:val="0"/>
          <w:sz w:val="24"/>
        </w:rPr>
        <w:t>（4）部分解除合同。当承包人违反本合同的约定符合部分解除合同的条件时，发包人有权向承包人发出书面部分解除合同的通知该通知依法律规定发生法律效力。发包人有权从本合同价款中直接扣除被解除部分工程所需的全部费用，同时，承包人应在部分解除合同通知发生法律效力之日起七日内向发包人支付被解除部分工程合同价款20%的违约金并赔偿发包人的实际损失。</w:t>
      </w:r>
    </w:p>
    <w:p w14:paraId="3ED09647">
      <w:pPr>
        <w:tabs>
          <w:tab w:val="left" w:pos="1125"/>
        </w:tabs>
        <w:spacing w:line="360" w:lineRule="auto"/>
        <w:ind w:firstLine="480" w:firstLineChars="200"/>
        <w:rPr>
          <w:rFonts w:ascii="宋体" w:hAnsi="宋体"/>
          <w:kern w:val="0"/>
          <w:sz w:val="24"/>
        </w:rPr>
      </w:pPr>
      <w:r>
        <w:rPr>
          <w:rFonts w:hint="eastAsia" w:ascii="宋体" w:hAnsi="宋体"/>
          <w:kern w:val="0"/>
          <w:sz w:val="24"/>
        </w:rPr>
        <w:t>（5）解除合同。当承包人违反本合同的约定符合解除合同的条件时，发包人有权向承包人发出书面解除合同的通知该通知依法律规定发生法律效力，承包人应在解除合同通知发生法律效力之日起七日内向发包人支付本合同</w:t>
      </w:r>
      <w:r>
        <w:rPr>
          <w:rFonts w:hint="eastAsia" w:ascii="宋体" w:hAnsi="宋体" w:cs="宋体"/>
          <w:snapToGrid w:val="0"/>
          <w:kern w:val="0"/>
          <w:sz w:val="24"/>
        </w:rPr>
        <w:t>暂定</w:t>
      </w:r>
      <w:r>
        <w:rPr>
          <w:rFonts w:hint="eastAsia" w:ascii="宋体" w:hAnsi="宋体"/>
          <w:kern w:val="0"/>
          <w:sz w:val="24"/>
        </w:rPr>
        <w:t>价款20%的违约金并赔偿发包人的实际损失。</w:t>
      </w:r>
    </w:p>
    <w:p w14:paraId="70C94BEF">
      <w:pPr>
        <w:tabs>
          <w:tab w:val="left" w:pos="1125"/>
        </w:tabs>
        <w:spacing w:line="360" w:lineRule="auto"/>
        <w:ind w:firstLine="480" w:firstLineChars="200"/>
        <w:rPr>
          <w:rFonts w:ascii="宋体" w:hAnsi="宋体"/>
          <w:kern w:val="0"/>
          <w:sz w:val="24"/>
        </w:rPr>
      </w:pPr>
      <w:r>
        <w:rPr>
          <w:rFonts w:hint="eastAsia" w:ascii="宋体" w:hAnsi="宋体"/>
          <w:kern w:val="0"/>
          <w:sz w:val="24"/>
        </w:rPr>
        <w:t>（6）赔偿损失。因承包人原因造成发包人经济损失的，承包人应赔偿发包人的经济损失。</w:t>
      </w:r>
    </w:p>
    <w:p w14:paraId="37A35E04">
      <w:pPr>
        <w:tabs>
          <w:tab w:val="left" w:pos="1125"/>
        </w:tabs>
        <w:spacing w:line="360" w:lineRule="auto"/>
        <w:ind w:firstLine="480" w:firstLineChars="200"/>
        <w:rPr>
          <w:rFonts w:ascii="宋体" w:hAnsi="宋体"/>
          <w:kern w:val="0"/>
          <w:sz w:val="24"/>
        </w:rPr>
      </w:pPr>
      <w:r>
        <w:rPr>
          <w:rFonts w:hint="eastAsia" w:ascii="宋体" w:hAnsi="宋体"/>
          <w:kern w:val="0"/>
          <w:sz w:val="24"/>
        </w:rPr>
        <w:t>41.5在本合同有效期内，承包人承担一般违约责任累计达到三次的，另行追加承担一次严重违约责任；承包人累计承担三次严重违约责任的，发包人有权单方面部分或全部解除合同。</w:t>
      </w:r>
    </w:p>
    <w:p w14:paraId="1B63EA56">
      <w:pPr>
        <w:tabs>
          <w:tab w:val="left" w:pos="1125"/>
        </w:tabs>
        <w:spacing w:line="360" w:lineRule="auto"/>
        <w:ind w:firstLine="480" w:firstLineChars="200"/>
        <w:rPr>
          <w:rFonts w:ascii="宋体" w:hAnsi="宋体"/>
          <w:kern w:val="0"/>
          <w:sz w:val="24"/>
        </w:rPr>
      </w:pPr>
      <w:r>
        <w:rPr>
          <w:rFonts w:hint="eastAsia" w:ascii="宋体" w:hAnsi="宋体"/>
          <w:kern w:val="0"/>
          <w:sz w:val="24"/>
        </w:rPr>
        <w:t>41.6承包人按本合同约定应交纳的违约金和赔偿金属于合同条款第41.</w:t>
      </w:r>
      <w:r>
        <w:rPr>
          <w:rFonts w:hint="eastAsia" w:ascii="宋体" w:hAnsi="宋体" w:cs="宋体"/>
          <w:bCs/>
          <w:snapToGrid w:val="0"/>
          <w:kern w:val="0"/>
          <w:sz w:val="24"/>
        </w:rPr>
        <w:t>11</w:t>
      </w:r>
      <w:r>
        <w:rPr>
          <w:rFonts w:hint="eastAsia" w:ascii="宋体" w:hAnsi="宋体"/>
          <w:kern w:val="0"/>
          <w:sz w:val="24"/>
        </w:rPr>
        <w:t>款“工程质量方面的违约责任”、第41.</w:t>
      </w:r>
      <w:r>
        <w:rPr>
          <w:rFonts w:hint="eastAsia" w:ascii="宋体" w:hAnsi="宋体" w:cs="宋体"/>
          <w:bCs/>
          <w:snapToGrid w:val="0"/>
          <w:kern w:val="0"/>
          <w:sz w:val="24"/>
        </w:rPr>
        <w:t>12</w:t>
      </w:r>
      <w:r>
        <w:rPr>
          <w:rFonts w:hint="eastAsia" w:ascii="宋体" w:hAnsi="宋体"/>
          <w:kern w:val="0"/>
          <w:sz w:val="24"/>
        </w:rPr>
        <w:t>款“安全生产方面的违约责任”的，承包人应当按违约处罚决定确定的时间向发包人交纳，否则，发包人有权从应支付给承包人的工程款中直接扣除。</w:t>
      </w:r>
    </w:p>
    <w:p w14:paraId="0D18354F">
      <w:pPr>
        <w:tabs>
          <w:tab w:val="left" w:pos="1125"/>
        </w:tabs>
        <w:spacing w:line="360" w:lineRule="auto"/>
        <w:ind w:firstLine="480" w:firstLineChars="200"/>
        <w:rPr>
          <w:rFonts w:ascii="宋体" w:hAnsi="宋体"/>
          <w:kern w:val="0"/>
          <w:sz w:val="24"/>
        </w:rPr>
      </w:pPr>
      <w:r>
        <w:rPr>
          <w:rFonts w:hint="eastAsia" w:ascii="宋体" w:hAnsi="宋体"/>
          <w:kern w:val="0"/>
          <w:sz w:val="24"/>
        </w:rPr>
        <w:t>承包人按本合同约定应交纳的违约金和赔偿金属于合同条款第41.</w:t>
      </w:r>
      <w:r>
        <w:rPr>
          <w:rFonts w:hint="eastAsia" w:ascii="宋体" w:hAnsi="宋体" w:cs="宋体"/>
          <w:bCs/>
          <w:snapToGrid w:val="0"/>
          <w:kern w:val="0"/>
          <w:sz w:val="24"/>
        </w:rPr>
        <w:t>11</w:t>
      </w:r>
      <w:r>
        <w:rPr>
          <w:rFonts w:hint="eastAsia" w:ascii="宋体" w:hAnsi="宋体"/>
          <w:kern w:val="0"/>
          <w:sz w:val="24"/>
        </w:rPr>
        <w:t>款、第41.</w:t>
      </w:r>
      <w:r>
        <w:rPr>
          <w:rFonts w:hint="eastAsia" w:ascii="宋体" w:hAnsi="宋体" w:cs="宋体"/>
          <w:bCs/>
          <w:snapToGrid w:val="0"/>
          <w:kern w:val="0"/>
          <w:sz w:val="24"/>
        </w:rPr>
        <w:t>12</w:t>
      </w:r>
      <w:r>
        <w:rPr>
          <w:rFonts w:hint="eastAsia" w:ascii="宋体" w:hAnsi="宋体"/>
          <w:kern w:val="0"/>
          <w:sz w:val="24"/>
        </w:rPr>
        <w:t>款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p>
    <w:p w14:paraId="6D6B8420">
      <w:pPr>
        <w:tabs>
          <w:tab w:val="left" w:pos="1125"/>
        </w:tabs>
        <w:spacing w:line="360" w:lineRule="auto"/>
        <w:ind w:firstLine="480" w:firstLineChars="200"/>
        <w:rPr>
          <w:rFonts w:ascii="宋体" w:hAnsi="宋体" w:cs="宋体"/>
          <w:snapToGrid w:val="0"/>
          <w:sz w:val="24"/>
          <w:szCs w:val="24"/>
        </w:rPr>
      </w:pPr>
      <w:r>
        <w:rPr>
          <w:rFonts w:hint="eastAsia" w:ascii="宋体" w:hAnsi="宋体"/>
          <w:sz w:val="24"/>
        </w:rPr>
        <w:t>41.7</w:t>
      </w:r>
      <w:r>
        <w:rPr>
          <w:rFonts w:hint="eastAsia" w:ascii="宋体" w:hAnsi="宋体" w:cs="宋体"/>
          <w:snapToGrid w:val="0"/>
          <w:sz w:val="24"/>
          <w:szCs w:val="24"/>
        </w:rPr>
        <w:t>设计方面的违约责任</w:t>
      </w:r>
    </w:p>
    <w:p w14:paraId="66CD4DC8">
      <w:pPr>
        <w:tabs>
          <w:tab w:val="left" w:pos="1125"/>
        </w:tabs>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1）承包人未能按合同约定投入或没有按时到位的人员为一般设计人员的，每出现1人次，承包人承担一般违约责任1次；如该没有投入或者没有按时到位的人员为设计专业负责人员的，每出现1人次，承包人承担严重违约责任1次，并按合同条款第41.8款的约定支付违约金；承包人要求更换人员的，按合同条款第41.8款的约定执行。承包人在发包人规定的宽限期内仍未将人员投入到位的，发包人有权另请他人接替其工作，另请他人的费用从应支付给承包人的设计费中扣除，承包人不得提出任何异议。</w:t>
      </w:r>
    </w:p>
    <w:p w14:paraId="7DE27C47">
      <w:pPr>
        <w:tabs>
          <w:tab w:val="left" w:pos="1125"/>
        </w:tabs>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2）承包人纳入发包人统一管理的设计服务人员（含现场服务人员）不遵守发包人管理制度或者工作不称职的，必须在发包人规定的时间内予以更换。到期不更换的，视为承包人未能按合同约定投入人员，参照合同条款第41.7款第(1)项的约定执行。</w:t>
      </w:r>
    </w:p>
    <w:p w14:paraId="31741861">
      <w:pPr>
        <w:tabs>
          <w:tab w:val="left" w:pos="1125"/>
        </w:tabs>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（3）按合同约定投入的专为本合同工程服务的承包人驻场设计人员参与其他工程工作的，每发现1人次，视为承包人未能按合同约定投入人员，参照合同条款第41.7款第(1)项的约定执行。</w:t>
      </w:r>
    </w:p>
    <w:p w14:paraId="0293D54B">
      <w:pPr>
        <w:tabs>
          <w:tab w:val="left" w:pos="1125"/>
        </w:tabs>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（4）承包人设计负责人缺席参加的现场问题处理会议、工程验收会议等会议，每缺席一人次承包人承担1次一般违约责任。</w:t>
      </w:r>
    </w:p>
    <w:p w14:paraId="3CA0C70E">
      <w:pPr>
        <w:tabs>
          <w:tab w:val="left" w:pos="1125"/>
        </w:tabs>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5）承包人未能按本合同约定的时间或发包人审核同意的设计计划要求提交各阶段设计成果文件的。逾期3天以内（或累计达5天及以上，不到10天）的，承包人按10000元/天向发包人支付违约金，违约金不足以弥补发包人损失的，承包人应继续足额赔偿发包人所受全部经济损失；逾期3天及以上（或累计达10天及以上）的，承包人按30000元/天向发包人支付违约金，违约金不足以弥补发包人损失的，承包人应继续足额赔偿发包人所受全部经济损失；逾期15天及以上（或累计达30天及以上）的，发包人还有权单方部分或全部解除合同。</w:t>
      </w:r>
    </w:p>
    <w:p w14:paraId="306A1D9E">
      <w:pPr>
        <w:pStyle w:val="42"/>
        <w:spacing w:before="0" w:beforeAutospacing="0" w:after="0" w:afterAutospacing="0" w:line="360" w:lineRule="auto"/>
        <w:ind w:firstLine="480" w:firstLineChars="200"/>
        <w:jc w:val="both"/>
        <w:rPr>
          <w:rFonts w:cs="宋体"/>
          <w:snapToGrid w:val="0"/>
        </w:rPr>
      </w:pPr>
      <w:r>
        <w:rPr>
          <w:rFonts w:hint="eastAsia" w:cs="宋体"/>
          <w:snapToGrid w:val="0"/>
          <w:kern w:val="2"/>
        </w:rPr>
        <w:t>（6）本合同履行期间，承包人的设计质量不符合</w:t>
      </w:r>
      <w:r>
        <w:rPr>
          <w:rFonts w:hint="eastAsia" w:cs="宋体"/>
          <w:szCs w:val="22"/>
        </w:rPr>
        <w:t>合同约定或设计成果文件出现遗漏、错误的，承包人应在发包人规定的限期内对</w:t>
      </w:r>
      <w:r>
        <w:rPr>
          <w:rFonts w:hint="eastAsia" w:cs="宋体"/>
        </w:rPr>
        <w:t>设计成果文件及时进行补充、修改、完善；因此</w:t>
      </w:r>
      <w:r>
        <w:rPr>
          <w:rFonts w:hint="eastAsia" w:cs="宋体"/>
          <w:szCs w:val="22"/>
        </w:rPr>
        <w:t>造成设计成</w:t>
      </w:r>
      <w:r>
        <w:rPr>
          <w:rFonts w:hint="eastAsia" w:cs="宋体"/>
          <w:snapToGrid w:val="0"/>
        </w:rPr>
        <w:t>果</w:t>
      </w:r>
      <w:r>
        <w:rPr>
          <w:rFonts w:hint="eastAsia" w:cs="宋体"/>
        </w:rPr>
        <w:t>文件逾期交付的，按合同条款第41.7款第(5)项的约定处理。</w:t>
      </w:r>
    </w:p>
    <w:p w14:paraId="493353E2">
      <w:pPr>
        <w:pStyle w:val="42"/>
        <w:spacing w:before="0" w:beforeAutospacing="0" w:after="0" w:afterAutospacing="0" w:line="360" w:lineRule="auto"/>
        <w:ind w:firstLine="480" w:firstLineChars="200"/>
        <w:jc w:val="both"/>
        <w:rPr>
          <w:rFonts w:cs="宋体"/>
          <w:snapToGrid w:val="0"/>
        </w:rPr>
      </w:pPr>
      <w:r>
        <w:rPr>
          <w:rFonts w:hint="eastAsia" w:cs="宋体"/>
          <w:snapToGrid w:val="0"/>
        </w:rPr>
        <w:t>（7）非发包人及非不可抗力原因造成设计变更，承包人应负责修改设计。工程费用减少的相应予以扣减，工程费用增加的，由承包人自行承担，发包人不补偿任何费用。</w:t>
      </w:r>
    </w:p>
    <w:p w14:paraId="4B5F9BE2">
      <w:pPr>
        <w:pStyle w:val="42"/>
        <w:spacing w:before="0" w:beforeAutospacing="0" w:after="0" w:afterAutospacing="0" w:line="360" w:lineRule="auto"/>
        <w:ind w:firstLine="480" w:firstLineChars="200"/>
        <w:jc w:val="both"/>
        <w:rPr>
          <w:rFonts w:cs="宋体"/>
          <w:snapToGrid w:val="0"/>
        </w:rPr>
      </w:pPr>
      <w:r>
        <w:rPr>
          <w:rFonts w:hint="eastAsia" w:cs="宋体"/>
          <w:snapToGrid w:val="0"/>
        </w:rPr>
        <w:t>（8）承包人未经发包人同意突破合同约定的投资控制要求的，承包人承担一次严重违约责任1次，且承包人应负责修改设计，保证工程总投资控制在合同约定的投资控制要求内</w:t>
      </w:r>
      <w:r>
        <w:rPr>
          <w:rFonts w:hint="eastAsia" w:cs="宋体"/>
        </w:rPr>
        <w:t>。除合同另有约定，超出总投资控制部分的款项发包人不予支付</w:t>
      </w:r>
    </w:p>
    <w:p w14:paraId="730734B0">
      <w:pPr>
        <w:pStyle w:val="42"/>
        <w:spacing w:before="0" w:beforeAutospacing="0" w:after="0" w:afterAutospacing="0" w:line="360" w:lineRule="auto"/>
        <w:ind w:firstLine="480" w:firstLineChars="200"/>
        <w:jc w:val="both"/>
        <w:rPr>
          <w:rFonts w:cs="宋体"/>
          <w:snapToGrid w:val="0"/>
        </w:rPr>
      </w:pPr>
      <w:r>
        <w:rPr>
          <w:rFonts w:hint="eastAsia" w:cs="宋体"/>
          <w:snapToGrid w:val="0"/>
        </w:rPr>
        <w:t>（9）由承包人编制的工程</w:t>
      </w:r>
      <w:r>
        <w:rPr>
          <w:rFonts w:hint="eastAsia" w:cs="宋体"/>
          <w:snapToGrid w:val="0"/>
          <w:szCs w:val="22"/>
        </w:rPr>
        <w:t>预</w:t>
      </w:r>
      <w:r>
        <w:rPr>
          <w:rFonts w:hint="eastAsia" w:cs="宋体"/>
          <w:snapToGrid w:val="0"/>
        </w:rPr>
        <w:t>算中的建安工程费经过发包人或发包人委托的其它单位审核后，如果出现工程量偏差绝对值累计额相对于承包人报送总数量、误差率在10%～20%的，或建安工程费总价超过10%（不含10%）的，承包人除必须限期修改外，每出现1次，必须承担严重违约责任1次。如承包人不按合同约定时间提交</w:t>
      </w:r>
      <w:r>
        <w:rPr>
          <w:rFonts w:hint="eastAsia" w:cs="宋体"/>
        </w:rPr>
        <w:t>施工图预算的，每延迟一天，应承担2000元/天的违约责任。</w:t>
      </w:r>
    </w:p>
    <w:p w14:paraId="0286EBFD">
      <w:pPr>
        <w:spacing w:line="360" w:lineRule="auto"/>
        <w:ind w:firstLine="480" w:firstLineChars="200"/>
        <w:rPr>
          <w:rFonts w:ascii="宋体" w:hAnsi="宋体" w:cs="宋体"/>
          <w:sz w:val="24"/>
        </w:rPr>
      </w:pPr>
      <w:r>
        <w:rPr>
          <w:rFonts w:hint="eastAsia" w:ascii="宋体" w:hAnsi="宋体" w:cs="宋体"/>
          <w:snapToGrid w:val="0"/>
          <w:sz w:val="24"/>
        </w:rPr>
        <w:t>（10）因承包人对设计变更随意进行合并、分拆导致</w:t>
      </w:r>
      <w:r>
        <w:rPr>
          <w:rFonts w:hint="eastAsia" w:ascii="宋体" w:hAnsi="宋体" w:cs="宋体"/>
          <w:sz w:val="24"/>
        </w:rPr>
        <w:t>本合同工程投资失控，</w:t>
      </w:r>
      <w:r>
        <w:rPr>
          <w:rFonts w:hint="eastAsia" w:ascii="宋体" w:hAnsi="宋体" w:cs="宋体"/>
          <w:snapToGrid w:val="0"/>
          <w:sz w:val="24"/>
        </w:rPr>
        <w:t>造成实际发生的建安工程费增加的，参照合同条款第41.7款第(7)项约定执行；</w:t>
      </w:r>
      <w:r>
        <w:rPr>
          <w:rFonts w:hint="eastAsia" w:ascii="宋体" w:hAnsi="宋体" w:cs="宋体"/>
          <w:sz w:val="24"/>
        </w:rPr>
        <w:t>给发包人造成损失的，承包人应赔偿发包人的全部损失。</w:t>
      </w:r>
    </w:p>
    <w:p w14:paraId="1FA8BE35">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）承包人如未</w:t>
      </w:r>
      <w:r>
        <w:rPr>
          <w:rFonts w:hint="eastAsia" w:ascii="宋体" w:hAnsi="宋体" w:cs="宋体"/>
          <w:snapToGrid w:val="0"/>
          <w:kern w:val="0"/>
          <w:sz w:val="24"/>
        </w:rPr>
        <w:t>按合同相关条款约定派出设计人员常驻现场的，第一次书面警告，</w:t>
      </w:r>
      <w:r>
        <w:rPr>
          <w:rFonts w:hint="eastAsia" w:ascii="宋体" w:hAnsi="宋体" w:cs="宋体"/>
          <w:bCs/>
          <w:snapToGrid w:val="0"/>
          <w:kern w:val="0"/>
          <w:sz w:val="24"/>
        </w:rPr>
        <w:t>逾期未改正的，承担每天5000元/人违约责任。</w:t>
      </w:r>
    </w:p>
    <w:p w14:paraId="31E49824">
      <w:pPr>
        <w:spacing w:line="360" w:lineRule="auto"/>
        <w:ind w:firstLine="480" w:firstLineChars="200"/>
        <w:rPr>
          <w:rFonts w:ascii="宋体" w:hAnsi="宋体"/>
          <w:kern w:val="0"/>
          <w:sz w:val="24"/>
        </w:rPr>
      </w:pPr>
      <w:r>
        <w:rPr>
          <w:rFonts w:hint="eastAsia" w:ascii="宋体" w:hAnsi="宋体" w:cs="宋体"/>
          <w:snapToGrid w:val="0"/>
          <w:kern w:val="0"/>
          <w:sz w:val="24"/>
        </w:rPr>
        <w:t>41.8</w:t>
      </w:r>
      <w:r>
        <w:rPr>
          <w:rFonts w:hint="eastAsia" w:ascii="宋体" w:hAnsi="宋体"/>
          <w:kern w:val="0"/>
          <w:sz w:val="24"/>
        </w:rPr>
        <w:t>工程组织管理方面的违约责任</w:t>
      </w:r>
    </w:p>
    <w:p w14:paraId="6E77DF2D">
      <w:pPr>
        <w:spacing w:line="360" w:lineRule="auto"/>
        <w:ind w:firstLine="480" w:firstLineChars="200"/>
        <w:rPr>
          <w:rFonts w:ascii="宋体" w:hAnsi="宋体"/>
          <w:kern w:val="0"/>
          <w:sz w:val="24"/>
        </w:rPr>
      </w:pPr>
      <w:r>
        <w:rPr>
          <w:rFonts w:hint="eastAsia" w:ascii="宋体" w:hAnsi="宋体"/>
          <w:kern w:val="0"/>
          <w:sz w:val="24"/>
        </w:rPr>
        <w:t>（1）承包人违反合同条款总则第2条、第5条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p>
    <w:p w14:paraId="2EF4FEB4">
      <w:pPr>
        <w:spacing w:line="360" w:lineRule="auto"/>
        <w:ind w:firstLine="480" w:firstLineChars="200"/>
        <w:rPr>
          <w:rFonts w:ascii="宋体" w:hAnsi="宋体"/>
          <w:kern w:val="0"/>
          <w:sz w:val="24"/>
        </w:rPr>
      </w:pPr>
      <w:r>
        <w:rPr>
          <w:rFonts w:hint="eastAsia" w:ascii="宋体" w:hAnsi="宋体"/>
          <w:kern w:val="0"/>
          <w:sz w:val="24"/>
        </w:rPr>
        <w:t>（2）承包人不遵守发包人依据合同条款总则第6条约定所制订的各项制度、规定的，由承包人按所触犯制度、规定的有关规定承担违约责任。所触犯的行为，制度、规定没有明确规定的，由发包人参照合同条款第41.</w:t>
      </w:r>
      <w:r>
        <w:rPr>
          <w:rFonts w:hint="eastAsia" w:ascii="宋体" w:hAnsi="宋体" w:cs="宋体"/>
          <w:snapToGrid w:val="0"/>
          <w:kern w:val="0"/>
          <w:sz w:val="24"/>
        </w:rPr>
        <w:t>8</w:t>
      </w:r>
      <w:r>
        <w:rPr>
          <w:rFonts w:hint="eastAsia" w:ascii="宋体" w:hAnsi="宋体"/>
          <w:kern w:val="0"/>
          <w:sz w:val="24"/>
        </w:rPr>
        <w:t>条第（1）项的约定处理。</w:t>
      </w:r>
    </w:p>
    <w:p w14:paraId="0BD9F1D8">
      <w:pPr>
        <w:spacing w:line="360" w:lineRule="auto"/>
        <w:ind w:firstLine="480" w:firstLineChars="200"/>
        <w:rPr>
          <w:rFonts w:ascii="宋体" w:hAnsi="宋体"/>
          <w:kern w:val="0"/>
          <w:sz w:val="24"/>
        </w:rPr>
      </w:pPr>
      <w:r>
        <w:rPr>
          <w:rFonts w:hint="eastAsia" w:ascii="宋体" w:hAnsi="宋体"/>
          <w:kern w:val="0"/>
          <w:sz w:val="24"/>
        </w:rPr>
        <w:t>（3）承包人不按合同条款第</w:t>
      </w:r>
      <w:r>
        <w:rPr>
          <w:rFonts w:hint="eastAsia" w:ascii="宋体" w:hAnsi="宋体" w:cs="宋体"/>
          <w:snapToGrid w:val="0"/>
          <w:kern w:val="0"/>
          <w:sz w:val="24"/>
        </w:rPr>
        <w:t>7</w:t>
      </w:r>
      <w:r>
        <w:rPr>
          <w:rFonts w:hint="eastAsia" w:ascii="宋体" w:hAnsi="宋体" w:cs="宋体"/>
          <w:bCs/>
          <w:snapToGrid w:val="0"/>
          <w:kern w:val="0"/>
          <w:sz w:val="24"/>
        </w:rPr>
        <w:t>条、第11</w:t>
      </w:r>
      <w:r>
        <w:rPr>
          <w:rFonts w:hint="eastAsia" w:ascii="宋体" w:hAnsi="宋体"/>
          <w:kern w:val="0"/>
          <w:sz w:val="24"/>
        </w:rPr>
        <w:t>条的有关约定投入现场组织管理人员、施工作业人员、施工机械设备，或者擅自变更资源投入计划或者擅自对已投入的资源进行调整的，承包人必须按照总监理工程师或者发包人的指令限期改正；承包人拒不限期改正的，发包人有权要求其承担1次一般违约责任或者1次严重违约责任。情节较轻的，可给予书面警告；情节特别严重的，发包人有权单方面部分解除合同或解除合同。</w:t>
      </w:r>
    </w:p>
    <w:p w14:paraId="4736DDD7">
      <w:pPr>
        <w:spacing w:line="360" w:lineRule="auto"/>
        <w:ind w:firstLine="480" w:firstLineChars="200"/>
        <w:rPr>
          <w:rFonts w:ascii="宋体" w:hAnsi="宋体"/>
          <w:kern w:val="0"/>
          <w:sz w:val="24"/>
        </w:rPr>
      </w:pPr>
      <w:r>
        <w:rPr>
          <w:rFonts w:hint="eastAsia" w:ascii="宋体" w:hAnsi="宋体"/>
          <w:kern w:val="0"/>
          <w:sz w:val="24"/>
        </w:rPr>
        <w:t>经发包人或总监理工程师考核，承包人投入的现场组织管理人员不能满足本工程建设要求的，承包人必须无条件按发包人的要求更换，直至满足本工程建设要求为止。而且，不能满足本工程建设要求的现场组织管理人员按缺勤处理。</w:t>
      </w:r>
    </w:p>
    <w:p w14:paraId="287E777A">
      <w:pPr>
        <w:spacing w:line="360" w:lineRule="auto"/>
        <w:ind w:firstLine="480" w:firstLineChars="200"/>
        <w:rPr>
          <w:rFonts w:ascii="宋体" w:hAnsi="宋体"/>
          <w:kern w:val="0"/>
          <w:sz w:val="24"/>
        </w:rPr>
      </w:pPr>
      <w:r>
        <w:rPr>
          <w:rFonts w:hint="eastAsia" w:ascii="宋体" w:hAnsi="宋体"/>
          <w:kern w:val="0"/>
          <w:sz w:val="24"/>
        </w:rPr>
        <w:t xml:space="preserve">如承包人违背投标承诺，除按上述约定承担责任之外，还应同时无条件按下表约定的金额向发包人支付违约金： </w:t>
      </w:r>
    </w:p>
    <w:tbl>
      <w:tblPr>
        <w:tblStyle w:val="4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070"/>
        <w:gridCol w:w="3863"/>
        <w:gridCol w:w="2835"/>
      </w:tblGrid>
      <w:tr w14:paraId="70E7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91" w:type="dxa"/>
            <w:vAlign w:val="center"/>
          </w:tcPr>
          <w:p w14:paraId="50B6119F">
            <w:pPr>
              <w:adjustRightInd w:val="0"/>
              <w:snapToGrid w:val="0"/>
              <w:spacing w:line="420" w:lineRule="exact"/>
              <w:ind w:right="11"/>
              <w:jc w:val="center"/>
              <w:rPr>
                <w:rFonts w:ascii="宋体" w:hAnsi="宋体"/>
                <w:kern w:val="0"/>
              </w:rPr>
            </w:pPr>
            <w:r>
              <w:rPr>
                <w:rFonts w:hint="eastAsia" w:ascii="宋体" w:hAnsi="宋体"/>
                <w:kern w:val="0"/>
              </w:rPr>
              <w:t>序号</w:t>
            </w:r>
          </w:p>
        </w:tc>
        <w:tc>
          <w:tcPr>
            <w:tcW w:w="2070" w:type="dxa"/>
            <w:vAlign w:val="center"/>
          </w:tcPr>
          <w:p w14:paraId="282D3080">
            <w:pPr>
              <w:adjustRightInd w:val="0"/>
              <w:snapToGrid w:val="0"/>
              <w:spacing w:line="420" w:lineRule="exact"/>
              <w:ind w:right="11"/>
              <w:jc w:val="center"/>
              <w:rPr>
                <w:rFonts w:ascii="宋体" w:hAnsi="宋体"/>
                <w:kern w:val="0"/>
              </w:rPr>
            </w:pPr>
            <w:r>
              <w:rPr>
                <w:rFonts w:hint="eastAsia" w:ascii="宋体" w:hAnsi="宋体"/>
                <w:kern w:val="0"/>
              </w:rPr>
              <w:t>承诺项目</w:t>
            </w:r>
          </w:p>
        </w:tc>
        <w:tc>
          <w:tcPr>
            <w:tcW w:w="3863" w:type="dxa"/>
            <w:vAlign w:val="center"/>
          </w:tcPr>
          <w:p w14:paraId="67044B26">
            <w:pPr>
              <w:adjustRightInd w:val="0"/>
              <w:snapToGrid w:val="0"/>
              <w:spacing w:line="420" w:lineRule="exact"/>
              <w:ind w:right="11"/>
              <w:jc w:val="center"/>
              <w:rPr>
                <w:rFonts w:ascii="宋体" w:hAnsi="宋体"/>
                <w:kern w:val="0"/>
              </w:rPr>
            </w:pPr>
            <w:r>
              <w:rPr>
                <w:rFonts w:hint="eastAsia" w:ascii="宋体" w:hAnsi="宋体"/>
                <w:kern w:val="0"/>
              </w:rPr>
              <w:t>违约说明</w:t>
            </w:r>
          </w:p>
        </w:tc>
        <w:tc>
          <w:tcPr>
            <w:tcW w:w="2835" w:type="dxa"/>
            <w:vAlign w:val="center"/>
          </w:tcPr>
          <w:p w14:paraId="5E4D3C90">
            <w:pPr>
              <w:adjustRightInd w:val="0"/>
              <w:snapToGrid w:val="0"/>
              <w:spacing w:line="420" w:lineRule="exact"/>
              <w:ind w:right="11"/>
              <w:jc w:val="center"/>
              <w:rPr>
                <w:rFonts w:ascii="宋体" w:hAnsi="宋体"/>
                <w:kern w:val="0"/>
              </w:rPr>
            </w:pPr>
            <w:r>
              <w:rPr>
                <w:rFonts w:hint="eastAsia" w:ascii="宋体" w:hAnsi="宋体"/>
                <w:kern w:val="0"/>
              </w:rPr>
              <w:t>承包人承诺的违约金额（元）</w:t>
            </w:r>
          </w:p>
        </w:tc>
      </w:tr>
      <w:tr w14:paraId="7F05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1" w:type="dxa"/>
            <w:vMerge w:val="restart"/>
            <w:vAlign w:val="center"/>
          </w:tcPr>
          <w:p w14:paraId="37E78637">
            <w:pPr>
              <w:adjustRightInd w:val="0"/>
              <w:snapToGrid w:val="0"/>
              <w:spacing w:line="420" w:lineRule="exact"/>
              <w:ind w:right="11"/>
              <w:jc w:val="center"/>
              <w:rPr>
                <w:rFonts w:ascii="宋体" w:hAnsi="宋体"/>
                <w:kern w:val="0"/>
              </w:rPr>
            </w:pPr>
            <w:r>
              <w:rPr>
                <w:rFonts w:hint="eastAsia" w:ascii="宋体" w:hAnsi="宋体"/>
                <w:kern w:val="0"/>
              </w:rPr>
              <w:t>1</w:t>
            </w:r>
          </w:p>
        </w:tc>
        <w:tc>
          <w:tcPr>
            <w:tcW w:w="2070" w:type="dxa"/>
            <w:vMerge w:val="restart"/>
            <w:vAlign w:val="center"/>
          </w:tcPr>
          <w:p w14:paraId="216494BF">
            <w:pPr>
              <w:adjustRightInd w:val="0"/>
              <w:snapToGrid w:val="0"/>
              <w:spacing w:line="420" w:lineRule="exact"/>
              <w:ind w:right="11"/>
              <w:rPr>
                <w:rFonts w:ascii="宋体" w:hAnsi="宋体"/>
                <w:kern w:val="0"/>
              </w:rPr>
            </w:pPr>
            <w:r>
              <w:rPr>
                <w:rFonts w:hint="eastAsia" w:ascii="宋体" w:hAnsi="宋体"/>
                <w:kern w:val="0"/>
              </w:rPr>
              <w:t>项目部</w:t>
            </w:r>
          </w:p>
        </w:tc>
        <w:tc>
          <w:tcPr>
            <w:tcW w:w="3863" w:type="dxa"/>
            <w:vAlign w:val="center"/>
          </w:tcPr>
          <w:p w14:paraId="0E0EFD9B">
            <w:pPr>
              <w:adjustRightInd w:val="0"/>
              <w:snapToGrid w:val="0"/>
              <w:spacing w:line="420" w:lineRule="exact"/>
              <w:ind w:right="11"/>
              <w:jc w:val="left"/>
              <w:rPr>
                <w:rFonts w:ascii="宋体" w:hAnsi="宋体"/>
                <w:kern w:val="0"/>
              </w:rPr>
            </w:pPr>
            <w:r>
              <w:rPr>
                <w:rFonts w:hint="eastAsia" w:ascii="宋体" w:hAnsi="宋体"/>
                <w:kern w:val="0"/>
              </w:rPr>
              <w:t>更换项目负责人</w:t>
            </w:r>
          </w:p>
        </w:tc>
        <w:tc>
          <w:tcPr>
            <w:tcW w:w="2835" w:type="dxa"/>
            <w:vAlign w:val="center"/>
          </w:tcPr>
          <w:p w14:paraId="7C73D774">
            <w:pPr>
              <w:adjustRightInd w:val="0"/>
              <w:snapToGrid w:val="0"/>
              <w:spacing w:line="420" w:lineRule="exact"/>
              <w:ind w:right="11"/>
              <w:jc w:val="center"/>
              <w:rPr>
                <w:rFonts w:ascii="宋体" w:hAnsi="宋体"/>
                <w:kern w:val="0"/>
              </w:rPr>
            </w:pPr>
            <w:r>
              <w:rPr>
                <w:rFonts w:hint="eastAsia" w:ascii="宋体" w:hAnsi="宋体"/>
                <w:kern w:val="0"/>
              </w:rPr>
              <w:t>100000</w:t>
            </w:r>
          </w:p>
        </w:tc>
      </w:tr>
      <w:tr w14:paraId="2B2A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1" w:type="dxa"/>
            <w:vMerge w:val="continue"/>
            <w:vAlign w:val="center"/>
          </w:tcPr>
          <w:p w14:paraId="1B3F73DF">
            <w:pPr>
              <w:adjustRightInd w:val="0"/>
              <w:snapToGrid w:val="0"/>
              <w:spacing w:line="420" w:lineRule="exact"/>
              <w:ind w:right="11" w:firstLine="420" w:firstLineChars="200"/>
              <w:jc w:val="center"/>
              <w:rPr>
                <w:rFonts w:ascii="宋体" w:hAnsi="宋体" w:cs="宋体"/>
                <w:snapToGrid w:val="0"/>
                <w:kern w:val="0"/>
                <w:szCs w:val="21"/>
              </w:rPr>
            </w:pPr>
          </w:p>
        </w:tc>
        <w:tc>
          <w:tcPr>
            <w:tcW w:w="2070" w:type="dxa"/>
            <w:vMerge w:val="continue"/>
            <w:vAlign w:val="center"/>
          </w:tcPr>
          <w:p w14:paraId="200C2287">
            <w:pPr>
              <w:adjustRightInd w:val="0"/>
              <w:snapToGrid w:val="0"/>
              <w:spacing w:line="420" w:lineRule="exact"/>
              <w:ind w:right="11" w:firstLine="420" w:firstLineChars="200"/>
              <w:rPr>
                <w:rFonts w:ascii="宋体" w:hAnsi="宋体" w:cs="宋体"/>
                <w:snapToGrid w:val="0"/>
                <w:kern w:val="0"/>
                <w:szCs w:val="21"/>
              </w:rPr>
            </w:pPr>
          </w:p>
        </w:tc>
        <w:tc>
          <w:tcPr>
            <w:tcW w:w="3863" w:type="dxa"/>
            <w:vAlign w:val="center"/>
          </w:tcPr>
          <w:p w14:paraId="30EDFBE1">
            <w:pPr>
              <w:adjustRightInd w:val="0"/>
              <w:snapToGrid w:val="0"/>
              <w:spacing w:line="420" w:lineRule="exact"/>
              <w:ind w:right="11"/>
              <w:jc w:val="left"/>
              <w:rPr>
                <w:rFonts w:ascii="宋体" w:hAnsi="宋体" w:cs="宋体"/>
                <w:dstrike/>
                <w:snapToGrid w:val="0"/>
                <w:kern w:val="0"/>
                <w:szCs w:val="21"/>
                <w:u w:val="single"/>
              </w:rPr>
            </w:pPr>
            <w:r>
              <w:rPr>
                <w:rFonts w:hint="eastAsia" w:ascii="宋体" w:hAnsi="宋体" w:cs="宋体"/>
                <w:snapToGrid w:val="0"/>
                <w:kern w:val="0"/>
                <w:szCs w:val="21"/>
              </w:rPr>
              <w:t>更换技术负责人、设计负责人或者空缺</w:t>
            </w:r>
          </w:p>
        </w:tc>
        <w:tc>
          <w:tcPr>
            <w:tcW w:w="2835" w:type="dxa"/>
            <w:vAlign w:val="center"/>
          </w:tcPr>
          <w:p w14:paraId="4AA67CD8">
            <w:pPr>
              <w:adjustRightInd w:val="0"/>
              <w:snapToGrid w:val="0"/>
              <w:spacing w:line="420" w:lineRule="exact"/>
              <w:ind w:right="11"/>
              <w:jc w:val="center"/>
              <w:rPr>
                <w:rFonts w:ascii="宋体" w:hAnsi="宋体" w:cs="宋体"/>
                <w:dstrike/>
                <w:snapToGrid w:val="0"/>
                <w:kern w:val="0"/>
                <w:szCs w:val="21"/>
                <w:u w:val="single"/>
              </w:rPr>
            </w:pPr>
            <w:r>
              <w:rPr>
                <w:rFonts w:hint="eastAsia" w:ascii="宋体" w:hAnsi="宋体" w:cs="宋体"/>
                <w:snapToGrid w:val="0"/>
                <w:kern w:val="0"/>
                <w:szCs w:val="21"/>
              </w:rPr>
              <w:t>80000</w:t>
            </w:r>
          </w:p>
        </w:tc>
      </w:tr>
      <w:tr w14:paraId="14B8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1" w:type="dxa"/>
            <w:vMerge w:val="continue"/>
            <w:vAlign w:val="center"/>
          </w:tcPr>
          <w:p w14:paraId="3FB5CFC7">
            <w:pPr>
              <w:adjustRightInd w:val="0"/>
              <w:snapToGrid w:val="0"/>
              <w:spacing w:line="420" w:lineRule="exact"/>
              <w:ind w:right="11" w:firstLine="420" w:firstLineChars="200"/>
              <w:jc w:val="center"/>
              <w:rPr>
                <w:rFonts w:ascii="宋体" w:hAnsi="宋体"/>
                <w:kern w:val="0"/>
              </w:rPr>
            </w:pPr>
          </w:p>
        </w:tc>
        <w:tc>
          <w:tcPr>
            <w:tcW w:w="2070" w:type="dxa"/>
            <w:vMerge w:val="continue"/>
            <w:vAlign w:val="center"/>
          </w:tcPr>
          <w:p w14:paraId="3E938FCB">
            <w:pPr>
              <w:adjustRightInd w:val="0"/>
              <w:snapToGrid w:val="0"/>
              <w:spacing w:line="420" w:lineRule="exact"/>
              <w:ind w:right="11" w:firstLine="420" w:firstLineChars="200"/>
              <w:rPr>
                <w:rFonts w:ascii="宋体" w:hAnsi="宋体"/>
                <w:kern w:val="0"/>
              </w:rPr>
            </w:pPr>
          </w:p>
        </w:tc>
        <w:tc>
          <w:tcPr>
            <w:tcW w:w="3863" w:type="dxa"/>
            <w:vAlign w:val="center"/>
          </w:tcPr>
          <w:p w14:paraId="7C253B19">
            <w:pPr>
              <w:adjustRightInd w:val="0"/>
              <w:snapToGrid w:val="0"/>
              <w:spacing w:line="420" w:lineRule="exact"/>
              <w:ind w:right="11"/>
              <w:jc w:val="left"/>
              <w:rPr>
                <w:rFonts w:ascii="宋体" w:hAnsi="宋体"/>
                <w:kern w:val="0"/>
              </w:rPr>
            </w:pPr>
            <w:r>
              <w:rPr>
                <w:rFonts w:hint="eastAsia" w:ascii="宋体" w:hAnsi="宋体"/>
                <w:kern w:val="0"/>
              </w:rPr>
              <w:t>更换专职安全负责人</w:t>
            </w:r>
          </w:p>
        </w:tc>
        <w:tc>
          <w:tcPr>
            <w:tcW w:w="2835" w:type="dxa"/>
            <w:vAlign w:val="center"/>
          </w:tcPr>
          <w:p w14:paraId="21DBB3D1">
            <w:pPr>
              <w:adjustRightInd w:val="0"/>
              <w:snapToGrid w:val="0"/>
              <w:spacing w:line="420" w:lineRule="exact"/>
              <w:ind w:right="11"/>
              <w:jc w:val="center"/>
              <w:rPr>
                <w:rFonts w:ascii="宋体" w:hAnsi="宋体"/>
                <w:kern w:val="0"/>
              </w:rPr>
            </w:pPr>
            <w:r>
              <w:rPr>
                <w:rFonts w:hint="eastAsia" w:ascii="宋体" w:hAnsi="宋体"/>
                <w:kern w:val="0"/>
              </w:rPr>
              <w:t>50000</w:t>
            </w:r>
          </w:p>
        </w:tc>
      </w:tr>
      <w:tr w14:paraId="4F82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4E603AB3">
            <w:pPr>
              <w:adjustRightInd w:val="0"/>
              <w:snapToGrid w:val="0"/>
              <w:spacing w:line="420" w:lineRule="exact"/>
              <w:ind w:right="11"/>
              <w:jc w:val="center"/>
              <w:rPr>
                <w:rFonts w:ascii="宋体" w:hAnsi="宋体"/>
                <w:kern w:val="0"/>
              </w:rPr>
            </w:pPr>
            <w:r>
              <w:rPr>
                <w:rFonts w:hint="eastAsia" w:ascii="宋体" w:hAnsi="宋体"/>
                <w:kern w:val="0"/>
              </w:rPr>
              <w:t>2</w:t>
            </w:r>
          </w:p>
        </w:tc>
        <w:tc>
          <w:tcPr>
            <w:tcW w:w="2070" w:type="dxa"/>
            <w:vAlign w:val="center"/>
          </w:tcPr>
          <w:p w14:paraId="55C8138D">
            <w:pPr>
              <w:adjustRightInd w:val="0"/>
              <w:snapToGrid w:val="0"/>
              <w:spacing w:line="420" w:lineRule="exact"/>
              <w:ind w:right="11"/>
              <w:rPr>
                <w:rFonts w:ascii="宋体" w:hAnsi="宋体"/>
                <w:kern w:val="0"/>
              </w:rPr>
            </w:pPr>
            <w:r>
              <w:rPr>
                <w:rFonts w:hint="eastAsia" w:ascii="宋体" w:hAnsi="宋体"/>
                <w:kern w:val="0"/>
              </w:rPr>
              <w:t>各阶段投入劳动力</w:t>
            </w:r>
          </w:p>
        </w:tc>
        <w:tc>
          <w:tcPr>
            <w:tcW w:w="3863" w:type="dxa"/>
            <w:vAlign w:val="center"/>
          </w:tcPr>
          <w:p w14:paraId="279FBFC3">
            <w:pPr>
              <w:adjustRightInd w:val="0"/>
              <w:snapToGrid w:val="0"/>
              <w:spacing w:line="420" w:lineRule="exact"/>
              <w:ind w:right="11"/>
              <w:jc w:val="left"/>
              <w:rPr>
                <w:rFonts w:ascii="宋体" w:hAnsi="宋体"/>
                <w:kern w:val="0"/>
              </w:rPr>
            </w:pPr>
            <w:r>
              <w:rPr>
                <w:rFonts w:hint="eastAsia" w:ascii="宋体" w:hAnsi="宋体"/>
                <w:kern w:val="0"/>
              </w:rPr>
              <w:t>每少1人</w:t>
            </w:r>
          </w:p>
        </w:tc>
        <w:tc>
          <w:tcPr>
            <w:tcW w:w="2835" w:type="dxa"/>
            <w:vAlign w:val="center"/>
          </w:tcPr>
          <w:p w14:paraId="3FF33849">
            <w:pPr>
              <w:adjustRightInd w:val="0"/>
              <w:snapToGrid w:val="0"/>
              <w:spacing w:line="420" w:lineRule="exact"/>
              <w:ind w:right="11"/>
              <w:jc w:val="center"/>
              <w:rPr>
                <w:rFonts w:ascii="宋体" w:hAnsi="宋体"/>
                <w:kern w:val="0"/>
              </w:rPr>
            </w:pPr>
            <w:r>
              <w:rPr>
                <w:rFonts w:hint="eastAsia" w:ascii="宋体" w:hAnsi="宋体"/>
                <w:kern w:val="0"/>
              </w:rPr>
              <w:t>1000</w:t>
            </w:r>
          </w:p>
        </w:tc>
      </w:tr>
      <w:tr w14:paraId="5826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14:paraId="008EA894">
            <w:pPr>
              <w:adjustRightInd w:val="0"/>
              <w:snapToGrid w:val="0"/>
              <w:spacing w:line="420" w:lineRule="exact"/>
              <w:ind w:right="11"/>
              <w:jc w:val="center"/>
              <w:rPr>
                <w:rFonts w:ascii="宋体" w:hAnsi="宋体"/>
                <w:kern w:val="0"/>
              </w:rPr>
            </w:pPr>
            <w:r>
              <w:rPr>
                <w:rFonts w:hint="eastAsia" w:ascii="宋体" w:hAnsi="宋体"/>
                <w:kern w:val="0"/>
              </w:rPr>
              <w:t>3</w:t>
            </w:r>
          </w:p>
        </w:tc>
        <w:tc>
          <w:tcPr>
            <w:tcW w:w="2070" w:type="dxa"/>
            <w:vAlign w:val="center"/>
          </w:tcPr>
          <w:p w14:paraId="66A430B0">
            <w:pPr>
              <w:adjustRightInd w:val="0"/>
              <w:snapToGrid w:val="0"/>
              <w:spacing w:line="420" w:lineRule="exact"/>
              <w:ind w:right="11"/>
              <w:rPr>
                <w:rFonts w:ascii="宋体" w:hAnsi="宋体"/>
                <w:kern w:val="0"/>
              </w:rPr>
            </w:pPr>
            <w:r>
              <w:rPr>
                <w:rFonts w:hint="eastAsia" w:ascii="宋体" w:hAnsi="宋体"/>
                <w:kern w:val="0"/>
              </w:rPr>
              <w:t>各阶段投入主要材料</w:t>
            </w:r>
          </w:p>
        </w:tc>
        <w:tc>
          <w:tcPr>
            <w:tcW w:w="3863" w:type="dxa"/>
            <w:vAlign w:val="center"/>
          </w:tcPr>
          <w:p w14:paraId="0104096F">
            <w:pPr>
              <w:adjustRightInd w:val="0"/>
              <w:snapToGrid w:val="0"/>
              <w:spacing w:line="420" w:lineRule="exact"/>
              <w:ind w:right="11"/>
              <w:jc w:val="left"/>
              <w:rPr>
                <w:rFonts w:ascii="宋体" w:hAnsi="宋体"/>
                <w:kern w:val="0"/>
              </w:rPr>
            </w:pPr>
            <w:r>
              <w:rPr>
                <w:rFonts w:hint="eastAsia" w:ascii="宋体" w:hAnsi="宋体"/>
                <w:kern w:val="0"/>
              </w:rPr>
              <w:t>没有按发包人审定的总控或阶段计划投入，每少10%</w:t>
            </w:r>
          </w:p>
        </w:tc>
        <w:tc>
          <w:tcPr>
            <w:tcW w:w="2835" w:type="dxa"/>
            <w:vAlign w:val="center"/>
          </w:tcPr>
          <w:p w14:paraId="101D8BC6">
            <w:pPr>
              <w:adjustRightInd w:val="0"/>
              <w:snapToGrid w:val="0"/>
              <w:spacing w:line="420" w:lineRule="exact"/>
              <w:ind w:right="11"/>
              <w:jc w:val="center"/>
              <w:rPr>
                <w:rFonts w:ascii="宋体" w:hAnsi="宋体"/>
                <w:kern w:val="0"/>
              </w:rPr>
            </w:pPr>
            <w:r>
              <w:rPr>
                <w:rFonts w:hint="eastAsia" w:ascii="宋体" w:hAnsi="宋体"/>
                <w:kern w:val="0"/>
              </w:rPr>
              <w:t>100000</w:t>
            </w:r>
          </w:p>
        </w:tc>
      </w:tr>
      <w:tr w14:paraId="624B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1" w:type="dxa"/>
            <w:vMerge w:val="restart"/>
            <w:vAlign w:val="center"/>
          </w:tcPr>
          <w:p w14:paraId="2FFD2C7A">
            <w:pPr>
              <w:adjustRightInd w:val="0"/>
              <w:snapToGrid w:val="0"/>
              <w:spacing w:line="420" w:lineRule="exact"/>
              <w:ind w:right="11"/>
              <w:jc w:val="center"/>
              <w:rPr>
                <w:rFonts w:ascii="宋体" w:hAnsi="宋体"/>
                <w:kern w:val="0"/>
              </w:rPr>
            </w:pPr>
            <w:r>
              <w:rPr>
                <w:rFonts w:hint="eastAsia" w:ascii="宋体" w:hAnsi="宋体"/>
                <w:kern w:val="0"/>
              </w:rPr>
              <w:t>4</w:t>
            </w:r>
          </w:p>
        </w:tc>
        <w:tc>
          <w:tcPr>
            <w:tcW w:w="2070" w:type="dxa"/>
            <w:vMerge w:val="restart"/>
            <w:vAlign w:val="center"/>
          </w:tcPr>
          <w:p w14:paraId="7D156DDC">
            <w:pPr>
              <w:adjustRightInd w:val="0"/>
              <w:snapToGrid w:val="0"/>
              <w:spacing w:line="420" w:lineRule="exact"/>
              <w:ind w:right="11"/>
              <w:rPr>
                <w:rFonts w:ascii="宋体" w:hAnsi="宋体"/>
                <w:kern w:val="0"/>
              </w:rPr>
            </w:pPr>
            <w:r>
              <w:rPr>
                <w:rFonts w:hint="eastAsia" w:ascii="宋体" w:hAnsi="宋体"/>
                <w:kern w:val="0"/>
              </w:rPr>
              <w:t>各阶段投入施工设备</w:t>
            </w:r>
          </w:p>
        </w:tc>
        <w:tc>
          <w:tcPr>
            <w:tcW w:w="3863" w:type="dxa"/>
            <w:vAlign w:val="center"/>
          </w:tcPr>
          <w:p w14:paraId="1B993BC6">
            <w:pPr>
              <w:adjustRightInd w:val="0"/>
              <w:snapToGrid w:val="0"/>
              <w:spacing w:line="420" w:lineRule="exact"/>
              <w:ind w:right="11"/>
              <w:jc w:val="left"/>
              <w:rPr>
                <w:rFonts w:ascii="宋体" w:hAnsi="宋体"/>
                <w:kern w:val="0"/>
              </w:rPr>
            </w:pPr>
            <w:r>
              <w:rPr>
                <w:rFonts w:hint="eastAsia" w:ascii="宋体" w:hAnsi="宋体"/>
                <w:kern w:val="0"/>
              </w:rPr>
              <w:t>没有按发包人审定的总控或阶段计划投入，主要设备每少1台</w:t>
            </w:r>
          </w:p>
        </w:tc>
        <w:tc>
          <w:tcPr>
            <w:tcW w:w="2835" w:type="dxa"/>
            <w:vAlign w:val="center"/>
          </w:tcPr>
          <w:p w14:paraId="2D2BBA8D">
            <w:pPr>
              <w:adjustRightInd w:val="0"/>
              <w:snapToGrid w:val="0"/>
              <w:spacing w:line="420" w:lineRule="exact"/>
              <w:ind w:right="11"/>
              <w:jc w:val="center"/>
              <w:rPr>
                <w:rFonts w:ascii="宋体" w:hAnsi="宋体"/>
                <w:kern w:val="0"/>
              </w:rPr>
            </w:pPr>
            <w:r>
              <w:rPr>
                <w:rFonts w:hint="eastAsia" w:ascii="宋体" w:hAnsi="宋体"/>
                <w:kern w:val="0"/>
              </w:rPr>
              <w:t>20000</w:t>
            </w:r>
          </w:p>
        </w:tc>
      </w:tr>
      <w:tr w14:paraId="5823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1" w:type="dxa"/>
            <w:vMerge w:val="continue"/>
            <w:vAlign w:val="center"/>
          </w:tcPr>
          <w:p w14:paraId="7819D6E1">
            <w:pPr>
              <w:adjustRightInd w:val="0"/>
              <w:snapToGrid w:val="0"/>
              <w:spacing w:line="420" w:lineRule="exact"/>
              <w:ind w:right="11" w:firstLine="420" w:firstLineChars="200"/>
              <w:jc w:val="left"/>
              <w:rPr>
                <w:rFonts w:ascii="宋体" w:hAnsi="宋体"/>
                <w:kern w:val="0"/>
              </w:rPr>
            </w:pPr>
          </w:p>
        </w:tc>
        <w:tc>
          <w:tcPr>
            <w:tcW w:w="2070" w:type="dxa"/>
            <w:vMerge w:val="continue"/>
            <w:vAlign w:val="center"/>
          </w:tcPr>
          <w:p w14:paraId="1A1624C3">
            <w:pPr>
              <w:adjustRightInd w:val="0"/>
              <w:snapToGrid w:val="0"/>
              <w:spacing w:line="420" w:lineRule="exact"/>
              <w:ind w:right="11" w:firstLine="420" w:firstLineChars="200"/>
              <w:jc w:val="left"/>
              <w:rPr>
                <w:rFonts w:ascii="宋体" w:hAnsi="宋体"/>
                <w:kern w:val="0"/>
              </w:rPr>
            </w:pPr>
          </w:p>
        </w:tc>
        <w:tc>
          <w:tcPr>
            <w:tcW w:w="3863" w:type="dxa"/>
            <w:vAlign w:val="center"/>
          </w:tcPr>
          <w:p w14:paraId="697E0F0F">
            <w:pPr>
              <w:adjustRightInd w:val="0"/>
              <w:snapToGrid w:val="0"/>
              <w:spacing w:line="420" w:lineRule="exact"/>
              <w:ind w:right="11"/>
              <w:jc w:val="left"/>
              <w:rPr>
                <w:rFonts w:ascii="宋体" w:hAnsi="宋体"/>
                <w:kern w:val="0"/>
              </w:rPr>
            </w:pPr>
            <w:r>
              <w:rPr>
                <w:rFonts w:hint="eastAsia" w:ascii="宋体" w:hAnsi="宋体"/>
                <w:kern w:val="0"/>
              </w:rPr>
              <w:t>没有按发包人审定的总控或阶段计划投入，一般设备每少1台</w:t>
            </w:r>
          </w:p>
        </w:tc>
        <w:tc>
          <w:tcPr>
            <w:tcW w:w="2835" w:type="dxa"/>
            <w:vAlign w:val="center"/>
          </w:tcPr>
          <w:p w14:paraId="05B0DB2C">
            <w:pPr>
              <w:adjustRightInd w:val="0"/>
              <w:snapToGrid w:val="0"/>
              <w:spacing w:line="420" w:lineRule="exact"/>
              <w:ind w:right="11"/>
              <w:jc w:val="center"/>
              <w:rPr>
                <w:rFonts w:ascii="宋体" w:hAnsi="宋体"/>
                <w:kern w:val="0"/>
              </w:rPr>
            </w:pPr>
            <w:r>
              <w:rPr>
                <w:rFonts w:hint="eastAsia" w:ascii="宋体" w:hAnsi="宋体"/>
                <w:kern w:val="0"/>
              </w:rPr>
              <w:t>10000</w:t>
            </w:r>
          </w:p>
        </w:tc>
      </w:tr>
    </w:tbl>
    <w:p w14:paraId="34FA2E24">
      <w:pPr>
        <w:spacing w:line="360" w:lineRule="auto"/>
        <w:ind w:firstLine="480" w:firstLineChars="200"/>
        <w:rPr>
          <w:rFonts w:ascii="宋体" w:hAnsi="宋体"/>
          <w:kern w:val="0"/>
          <w:sz w:val="24"/>
        </w:rPr>
      </w:pPr>
      <w:r>
        <w:rPr>
          <w:rFonts w:hint="eastAsia" w:ascii="宋体" w:hAnsi="宋体"/>
          <w:kern w:val="0"/>
          <w:sz w:val="24"/>
        </w:rPr>
        <w:t>（4）对于监理单位或发包人通知承包人参加的会议（包括但不限于进场会、现场问题处理会议、工程验收会议、结算问题处理会议、质保期工作的相关会议等），被通知人员（包括但不限于承包人法定代表人或其分管领导、经监理单位或发包人批准同意的承包人法定代表人授权人、项目负责人、技术负责人、</w:t>
      </w:r>
      <w:r>
        <w:rPr>
          <w:rFonts w:hint="eastAsia" w:ascii="宋体" w:hAnsi="宋体" w:cs="宋体"/>
          <w:snapToGrid w:val="0"/>
          <w:kern w:val="0"/>
          <w:sz w:val="24"/>
        </w:rPr>
        <w:t>设计负责人、</w:t>
      </w:r>
      <w:r>
        <w:rPr>
          <w:rFonts w:hint="eastAsia" w:ascii="宋体" w:hAnsi="宋体"/>
          <w:kern w:val="0"/>
          <w:sz w:val="24"/>
        </w:rPr>
        <w:t>安全负责人等）未经监理单位或发包人书面同意自行缺席的，每缺席一人次承包人承担1次一般违约责任。</w:t>
      </w:r>
    </w:p>
    <w:p w14:paraId="4335A710">
      <w:pPr>
        <w:spacing w:line="360" w:lineRule="auto"/>
        <w:ind w:firstLine="480" w:firstLineChars="200"/>
        <w:rPr>
          <w:rFonts w:ascii="宋体" w:hAnsi="宋体"/>
          <w:kern w:val="0"/>
          <w:sz w:val="24"/>
        </w:rPr>
      </w:pPr>
      <w:r>
        <w:rPr>
          <w:rFonts w:hint="eastAsia" w:ascii="宋体" w:hAnsi="宋体"/>
          <w:kern w:val="0"/>
          <w:sz w:val="24"/>
        </w:rPr>
        <w:t>（5）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5次考评不合格，发包人有权单方解除合同。</w:t>
      </w:r>
    </w:p>
    <w:p w14:paraId="27DF1FE2">
      <w:pPr>
        <w:spacing w:line="360" w:lineRule="auto"/>
        <w:ind w:firstLine="480" w:firstLineChars="200"/>
        <w:rPr>
          <w:rFonts w:ascii="宋体" w:hAnsi="宋体"/>
          <w:b/>
          <w:kern w:val="0"/>
          <w:sz w:val="24"/>
        </w:rPr>
      </w:pPr>
      <w:r>
        <w:rPr>
          <w:rFonts w:hint="eastAsia" w:ascii="宋体" w:hAnsi="宋体"/>
          <w:kern w:val="0"/>
          <w:sz w:val="24"/>
        </w:rPr>
        <w:t>（6）</w:t>
      </w:r>
      <w:r>
        <w:rPr>
          <w:rFonts w:hint="eastAsia" w:ascii="宋体" w:hAnsi="宋体"/>
          <w:sz w:val="24"/>
        </w:rPr>
        <w:t>承包人不能按合同约定和发包人的规定，逾期完成竣工档案的整理、移交、送审备案工作或逾期提供竣工结算资料的，每拖延一天向发包人支付违约金5000元。</w:t>
      </w:r>
    </w:p>
    <w:p w14:paraId="79C8EDCE">
      <w:pPr>
        <w:spacing w:line="360" w:lineRule="auto"/>
        <w:ind w:firstLine="480" w:firstLineChars="200"/>
        <w:rPr>
          <w:rFonts w:ascii="宋体" w:hAnsi="宋体"/>
          <w:kern w:val="0"/>
          <w:sz w:val="24"/>
        </w:rPr>
      </w:pPr>
      <w:r>
        <w:rPr>
          <w:rFonts w:hint="eastAsia" w:ascii="宋体" w:hAnsi="宋体"/>
          <w:kern w:val="0"/>
          <w:sz w:val="24"/>
        </w:rPr>
        <w:t>（7）承包人单方面擅自终止或解除本合同的，应按合同金额20%向发包人支付违约金并赔偿发包人的全部损失。</w:t>
      </w:r>
    </w:p>
    <w:p w14:paraId="33E149D4">
      <w:pPr>
        <w:spacing w:line="360" w:lineRule="auto"/>
        <w:ind w:firstLine="480" w:firstLineChars="200"/>
        <w:rPr>
          <w:rFonts w:ascii="宋体" w:hAnsi="宋体"/>
          <w:kern w:val="0"/>
          <w:sz w:val="24"/>
        </w:rPr>
      </w:pPr>
      <w:r>
        <w:rPr>
          <w:rFonts w:hint="eastAsia" w:ascii="宋体" w:hAnsi="宋体"/>
          <w:kern w:val="0"/>
          <w:sz w:val="24"/>
        </w:rPr>
        <w:t>（8）承包人单方面擅自部分终止或者部分解除本合同的，应按部分终止或部分解除工程造价的20%向发包人支付违约金并赔偿发包人的损失。</w:t>
      </w:r>
    </w:p>
    <w:p w14:paraId="7E8435D0">
      <w:pPr>
        <w:spacing w:line="360" w:lineRule="auto"/>
        <w:ind w:firstLine="480" w:firstLineChars="200"/>
        <w:rPr>
          <w:rFonts w:ascii="宋体" w:hAnsi="宋体"/>
          <w:kern w:val="0"/>
          <w:sz w:val="24"/>
        </w:rPr>
      </w:pPr>
      <w:r>
        <w:rPr>
          <w:rFonts w:hint="eastAsia" w:ascii="宋体" w:hAnsi="宋体"/>
          <w:kern w:val="0"/>
          <w:sz w:val="24"/>
        </w:rPr>
        <w:t>（9）如承包人违反合同协议书第9条、第10条的约定，未在相关信息发生变化时及时将变更情况书面通知发包人的，经发包人每确认1次，承包人承担1次一般违约责任。</w:t>
      </w:r>
    </w:p>
    <w:p w14:paraId="101B84A6">
      <w:pPr>
        <w:spacing w:line="360" w:lineRule="auto"/>
        <w:ind w:firstLine="480" w:firstLineChars="200"/>
        <w:rPr>
          <w:rFonts w:ascii="宋体" w:hAnsi="宋体"/>
          <w:kern w:val="0"/>
          <w:sz w:val="24"/>
        </w:rPr>
      </w:pPr>
      <w:r>
        <w:rPr>
          <w:rFonts w:hint="eastAsia" w:ascii="宋体" w:hAnsi="宋体"/>
          <w:kern w:val="0"/>
          <w:sz w:val="24"/>
        </w:rPr>
        <w:t>（10）本项目要求承包人的项目</w:t>
      </w:r>
      <w:r>
        <w:rPr>
          <w:rFonts w:hint="eastAsia" w:ascii="宋体" w:hAnsi="宋体" w:cs="宋体"/>
          <w:bCs/>
          <w:snapToGrid w:val="0"/>
          <w:kern w:val="0"/>
          <w:sz w:val="24"/>
          <w:szCs w:val="24"/>
        </w:rPr>
        <w:t>负责人、设计</w:t>
      </w:r>
      <w:r>
        <w:rPr>
          <w:rFonts w:hint="eastAsia" w:ascii="宋体" w:hAnsi="宋体"/>
          <w:kern w:val="0"/>
          <w:sz w:val="24"/>
        </w:rPr>
        <w:t>负责人至少每7天，在工地现场亲自组织一次工地现场例会，协调质量、进度、安全、文明施工等会议。如果延期召开，必须获得发包人批准；如果确需缺席会议，必须向发包人请假并获得发包人批准。违反上述规定的，第一次发生，承包人承担1次一般违约责任；从第二次开始，承包人每次承担1次严重违约责任</w:t>
      </w:r>
      <w:r>
        <w:rPr>
          <w:rFonts w:hint="eastAsia" w:ascii="宋体" w:hAnsi="宋体" w:cs="宋体"/>
          <w:bCs/>
          <w:snapToGrid w:val="0"/>
          <w:kern w:val="0"/>
          <w:sz w:val="24"/>
          <w:szCs w:val="24"/>
        </w:rPr>
        <w:t>，且承包人就专业分包单位或劳务分包单位需承担的违约责任承担连带责任</w:t>
      </w:r>
      <w:r>
        <w:rPr>
          <w:rFonts w:hint="eastAsia" w:ascii="宋体" w:hAnsi="宋体"/>
          <w:kern w:val="0"/>
          <w:sz w:val="24"/>
        </w:rPr>
        <w:t>。</w:t>
      </w:r>
    </w:p>
    <w:p w14:paraId="6184DE54">
      <w:pPr>
        <w:spacing w:line="360" w:lineRule="auto"/>
        <w:ind w:firstLine="480" w:firstLineChars="200"/>
        <w:rPr>
          <w:rFonts w:ascii="宋体" w:hAnsi="宋体"/>
          <w:kern w:val="0"/>
          <w:sz w:val="24"/>
        </w:rPr>
      </w:pPr>
      <w:r>
        <w:rPr>
          <w:rFonts w:hint="eastAsia" w:ascii="宋体" w:hAnsi="宋体"/>
          <w:kern w:val="0"/>
          <w:sz w:val="24"/>
        </w:rPr>
        <w:t>（11）承包人负责本项目施工的整体管理，包括对专业分包单位或劳务分包单位的管理，如承包人管理不善而对本工程造成不利影响的，包括但不限于环境污染、文明施工混乱、劳资纠纷、质量缺陷等，每发生1次事件应承担1次严重违约责任</w:t>
      </w:r>
      <w:r>
        <w:rPr>
          <w:rFonts w:hint="eastAsia" w:ascii="宋体" w:hAnsi="宋体" w:cs="宋体"/>
          <w:bCs/>
          <w:snapToGrid w:val="0"/>
          <w:kern w:val="0"/>
          <w:sz w:val="24"/>
          <w:szCs w:val="24"/>
        </w:rPr>
        <w:t>，且承包人就专业分包单位或劳务分包单位需承担的违约责任承担连带责任</w:t>
      </w:r>
      <w:r>
        <w:rPr>
          <w:rFonts w:hint="eastAsia" w:ascii="宋体" w:hAnsi="宋体"/>
          <w:kern w:val="0"/>
          <w:sz w:val="24"/>
        </w:rPr>
        <w:t>。</w:t>
      </w:r>
    </w:p>
    <w:p w14:paraId="25C20F48">
      <w:pPr>
        <w:spacing w:line="360" w:lineRule="auto"/>
        <w:ind w:firstLine="480" w:firstLineChars="200"/>
        <w:rPr>
          <w:rFonts w:ascii="宋体" w:hAnsi="宋体"/>
          <w:kern w:val="0"/>
          <w:sz w:val="24"/>
        </w:rPr>
      </w:pPr>
      <w:r>
        <w:rPr>
          <w:rFonts w:hint="eastAsia" w:ascii="宋体" w:hAnsi="宋体"/>
          <w:kern w:val="0"/>
          <w:sz w:val="24"/>
        </w:rPr>
        <w:t>（12）</w:t>
      </w:r>
      <w:r>
        <w:rPr>
          <w:rFonts w:hint="eastAsia" w:ascii="宋体" w:hAnsi="宋体"/>
          <w:sz w:val="24"/>
        </w:rPr>
        <w:t>联合体</w:t>
      </w:r>
      <w:r>
        <w:rPr>
          <w:rFonts w:hint="eastAsia" w:ascii="宋体" w:hAnsi="宋体" w:cs="宋体"/>
          <w:snapToGrid w:val="0"/>
          <w:sz w:val="24"/>
        </w:rPr>
        <w:t>主办</w:t>
      </w:r>
      <w:r>
        <w:rPr>
          <w:rFonts w:hint="eastAsia" w:ascii="宋体" w:hAnsi="宋体"/>
          <w:sz w:val="24"/>
        </w:rPr>
        <w:t>方应主动协调现场施工、设计的进度，如出现施工方与设计方在发生争议10天内仍无法达成协调一致的意见，影响工作的开展，则每次承担1次严重违约责任。</w:t>
      </w:r>
    </w:p>
    <w:p w14:paraId="39A13F5B">
      <w:pPr>
        <w:spacing w:line="360" w:lineRule="auto"/>
        <w:ind w:firstLine="480" w:firstLineChars="200"/>
        <w:rPr>
          <w:rFonts w:ascii="宋体" w:hAnsi="宋体"/>
          <w:kern w:val="0"/>
          <w:sz w:val="24"/>
        </w:rPr>
      </w:pPr>
      <w:r>
        <w:rPr>
          <w:rFonts w:hint="eastAsia" w:ascii="宋体" w:hAnsi="宋体"/>
          <w:kern w:val="0"/>
          <w:sz w:val="24"/>
        </w:rPr>
        <w:t>41.</w:t>
      </w:r>
      <w:r>
        <w:rPr>
          <w:rFonts w:hint="eastAsia" w:ascii="宋体" w:hAnsi="宋体" w:cs="宋体"/>
          <w:snapToGrid w:val="0"/>
          <w:kern w:val="0"/>
          <w:sz w:val="24"/>
        </w:rPr>
        <w:t>9</w:t>
      </w:r>
      <w:r>
        <w:rPr>
          <w:rFonts w:hint="eastAsia" w:ascii="宋体" w:hAnsi="宋体"/>
          <w:kern w:val="0"/>
          <w:sz w:val="24"/>
        </w:rPr>
        <w:t>工期延误方面的违约责任</w:t>
      </w:r>
    </w:p>
    <w:p w14:paraId="031D50DA">
      <w:pPr>
        <w:spacing w:line="360" w:lineRule="auto"/>
        <w:ind w:firstLine="480" w:firstLineChars="200"/>
        <w:rPr>
          <w:rFonts w:ascii="宋体" w:hAnsi="宋体"/>
          <w:kern w:val="0"/>
          <w:sz w:val="24"/>
        </w:rPr>
      </w:pPr>
      <w:r>
        <w:rPr>
          <w:rFonts w:hint="eastAsia" w:ascii="宋体" w:hAnsi="宋体"/>
          <w:kern w:val="0"/>
          <w:sz w:val="24"/>
        </w:rPr>
        <w:t>（1）承包人违反合同协议书第3.1条约定延期开工的，每迟延开工1天，应向发包人支付本合同中标价款0.5‰的违约金；迟延开工超过10天的，发包人有权单方面解除合同。</w:t>
      </w:r>
    </w:p>
    <w:p w14:paraId="3C2C8539">
      <w:pPr>
        <w:spacing w:line="360" w:lineRule="auto"/>
        <w:ind w:firstLine="480" w:firstLineChars="200"/>
        <w:rPr>
          <w:rFonts w:ascii="宋体" w:hAnsi="宋体"/>
          <w:kern w:val="0"/>
          <w:sz w:val="24"/>
        </w:rPr>
      </w:pPr>
      <w:r>
        <w:rPr>
          <w:rFonts w:hint="eastAsia" w:ascii="宋体" w:hAnsi="宋体"/>
          <w:kern w:val="0"/>
          <w:sz w:val="24"/>
        </w:rPr>
        <w:t>（2）承包人违反合同条款第</w:t>
      </w:r>
      <w:r>
        <w:rPr>
          <w:rFonts w:hint="eastAsia" w:ascii="宋体" w:hAnsi="宋体" w:cs="宋体"/>
          <w:snapToGrid w:val="0"/>
          <w:kern w:val="0"/>
          <w:sz w:val="24"/>
        </w:rPr>
        <w:t>15</w:t>
      </w:r>
      <w:r>
        <w:rPr>
          <w:rFonts w:hint="eastAsia" w:ascii="宋体" w:hAnsi="宋体"/>
          <w:kern w:val="0"/>
          <w:sz w:val="24"/>
        </w:rPr>
        <w:t>.1款约定单方面停工的，每停工1天，应向发包人支付本合同中标价款0.5‰的违约金；连续停工超过5天或累计停工超过10天的，发包人有权单方面解除合同。</w:t>
      </w:r>
    </w:p>
    <w:p w14:paraId="60BF4444">
      <w:pPr>
        <w:spacing w:line="360" w:lineRule="auto"/>
        <w:ind w:firstLine="480" w:firstLineChars="200"/>
        <w:rPr>
          <w:rFonts w:ascii="宋体" w:hAnsi="宋体"/>
          <w:kern w:val="0"/>
          <w:sz w:val="24"/>
        </w:rPr>
      </w:pPr>
      <w:r>
        <w:rPr>
          <w:rFonts w:hint="eastAsia" w:ascii="宋体" w:hAnsi="宋体"/>
          <w:kern w:val="0"/>
          <w:sz w:val="24"/>
        </w:rPr>
        <w:t>（3）承包人违反合同条款第</w:t>
      </w:r>
      <w:r>
        <w:rPr>
          <w:rFonts w:hint="eastAsia" w:ascii="宋体" w:hAnsi="宋体" w:cs="宋体"/>
          <w:snapToGrid w:val="0"/>
          <w:kern w:val="0"/>
          <w:sz w:val="24"/>
        </w:rPr>
        <w:t>14</w:t>
      </w:r>
      <w:r>
        <w:rPr>
          <w:rFonts w:hint="eastAsia" w:ascii="宋体" w:hAnsi="宋体"/>
          <w:kern w:val="0"/>
          <w:sz w:val="24"/>
        </w:rPr>
        <w:t>.1款的约定，延期交付施工组织设计，延期3天以内的（含3天），发包人给予书面警告；延期4～7天的，承包人应承担1次一般违约责任；延期8～10天的，承包人应承担1次严重违约责任；延期11天以上的（含11天），发包人还有权单方面解除合同。</w:t>
      </w:r>
    </w:p>
    <w:p w14:paraId="2E07155E">
      <w:pPr>
        <w:tabs>
          <w:tab w:val="left" w:pos="1846"/>
        </w:tabs>
        <w:spacing w:line="360" w:lineRule="auto"/>
        <w:ind w:firstLine="480" w:firstLineChars="200"/>
        <w:rPr>
          <w:rFonts w:ascii="宋体" w:hAnsi="宋体"/>
          <w:kern w:val="0"/>
          <w:sz w:val="24"/>
        </w:rPr>
      </w:pPr>
      <w:r>
        <w:rPr>
          <w:rFonts w:hint="eastAsia" w:ascii="宋体" w:hAnsi="宋体"/>
          <w:kern w:val="0"/>
          <w:sz w:val="24"/>
        </w:rPr>
        <w:t>（4）承包人违反</w:t>
      </w:r>
      <w:r>
        <w:rPr>
          <w:rFonts w:hint="eastAsia" w:ascii="宋体" w:hAnsi="宋体" w:cs="宋体"/>
          <w:snapToGrid w:val="0"/>
          <w:kern w:val="0"/>
          <w:sz w:val="24"/>
        </w:rPr>
        <w:t>“合同协议书”第</w:t>
      </w:r>
      <w:r>
        <w:rPr>
          <w:rFonts w:hint="eastAsia" w:ascii="宋体" w:hAnsi="宋体" w:cs="宋体"/>
          <w:bCs/>
          <w:snapToGrid w:val="0"/>
          <w:kern w:val="0"/>
          <w:sz w:val="24"/>
        </w:rPr>
        <w:t>3.2.1．3</w:t>
      </w:r>
      <w:r>
        <w:rPr>
          <w:rFonts w:hint="eastAsia" w:ascii="宋体" w:hAnsi="宋体" w:cs="宋体"/>
          <w:snapToGrid w:val="0"/>
          <w:kern w:val="0"/>
          <w:sz w:val="24"/>
        </w:rPr>
        <w:t>款</w:t>
      </w:r>
      <w:r>
        <w:rPr>
          <w:rFonts w:hint="eastAsia" w:ascii="宋体" w:hAnsi="宋体"/>
          <w:kern w:val="0"/>
          <w:sz w:val="24"/>
        </w:rPr>
        <w:t>约定的，</w:t>
      </w:r>
      <w:r>
        <w:rPr>
          <w:rFonts w:hint="eastAsia" w:ascii="宋体" w:hAnsi="宋体" w:cs="宋体"/>
          <w:snapToGrid w:val="0"/>
          <w:kern w:val="0"/>
          <w:sz w:val="24"/>
        </w:rPr>
        <w:t>除按照“合同协议书”第</w:t>
      </w:r>
      <w:r>
        <w:rPr>
          <w:rFonts w:hint="eastAsia" w:ascii="宋体" w:hAnsi="宋体" w:cs="宋体"/>
          <w:bCs/>
          <w:snapToGrid w:val="0"/>
          <w:kern w:val="0"/>
          <w:sz w:val="24"/>
        </w:rPr>
        <w:t>3.2.1．3</w:t>
      </w:r>
      <w:r>
        <w:rPr>
          <w:rFonts w:hint="eastAsia" w:ascii="宋体" w:hAnsi="宋体" w:cs="宋体"/>
          <w:snapToGrid w:val="0"/>
          <w:kern w:val="0"/>
          <w:sz w:val="24"/>
        </w:rPr>
        <w:t>款规定承担违约责任，按合同条款第16条约定造成本工程关键节点工期延误的，每延误1天，应向发包人支付本合同中标价款0.5‰的违约金</w:t>
      </w:r>
      <w:r>
        <w:rPr>
          <w:rFonts w:hint="eastAsia" w:ascii="宋体" w:hAnsi="宋体"/>
          <w:kern w:val="0"/>
          <w:sz w:val="24"/>
        </w:rPr>
        <w:t>；延误超过5天的，发包人有权停止支付当月的工程进度款；延误10天以上的，承包人应在2天内制定出具体可行的自行赶工措施，报总监理工程师和发包人批准。如发包人认为承包人的赶工计划不可行，则发包人还有权解除合同</w:t>
      </w:r>
      <w:r>
        <w:rPr>
          <w:rFonts w:hint="eastAsia" w:ascii="宋体" w:hAnsi="宋体" w:cs="宋体"/>
          <w:snapToGrid w:val="0"/>
          <w:kern w:val="0"/>
          <w:sz w:val="24"/>
        </w:rPr>
        <w:t>或另行采取措施赶工，由此产生的相关费用和损失由承包人承担</w:t>
      </w:r>
      <w:r>
        <w:rPr>
          <w:rFonts w:hint="eastAsia" w:ascii="宋体" w:hAnsi="宋体"/>
          <w:kern w:val="0"/>
          <w:sz w:val="24"/>
        </w:rPr>
        <w:t>。</w:t>
      </w:r>
    </w:p>
    <w:p w14:paraId="33640F8B">
      <w:pPr>
        <w:spacing w:line="360" w:lineRule="auto"/>
        <w:ind w:firstLine="480" w:firstLineChars="200"/>
        <w:rPr>
          <w:rFonts w:ascii="宋体" w:hAnsi="宋体"/>
          <w:kern w:val="0"/>
          <w:sz w:val="24"/>
        </w:rPr>
      </w:pPr>
      <w:r>
        <w:rPr>
          <w:rFonts w:hint="eastAsia" w:ascii="宋体" w:hAnsi="宋体"/>
          <w:kern w:val="0"/>
          <w:sz w:val="24"/>
        </w:rPr>
        <w:t>（5）承包人违反合同条款第</w:t>
      </w:r>
      <w:r>
        <w:rPr>
          <w:rFonts w:hint="eastAsia" w:ascii="宋体" w:hAnsi="宋体" w:cs="宋体"/>
          <w:snapToGrid w:val="0"/>
          <w:kern w:val="0"/>
          <w:sz w:val="24"/>
        </w:rPr>
        <w:t>17</w:t>
      </w:r>
      <w:r>
        <w:rPr>
          <w:rFonts w:hint="eastAsia" w:ascii="宋体" w:hAnsi="宋体"/>
          <w:kern w:val="0"/>
          <w:sz w:val="24"/>
        </w:rPr>
        <w:t>条约定造成本工程不能按照</w:t>
      </w:r>
      <w:r>
        <w:rPr>
          <w:rFonts w:hint="eastAsia" w:ascii="宋体" w:hAnsi="宋体" w:cs="宋体"/>
          <w:snapToGrid w:val="0"/>
          <w:kern w:val="0"/>
          <w:sz w:val="24"/>
        </w:rPr>
        <w:t>“合同协议书”</w:t>
      </w:r>
      <w:r>
        <w:rPr>
          <w:rFonts w:hint="eastAsia" w:ascii="宋体" w:hAnsi="宋体"/>
          <w:kern w:val="0"/>
          <w:sz w:val="24"/>
        </w:rPr>
        <w:t>第3</w:t>
      </w:r>
      <w:r>
        <w:rPr>
          <w:rFonts w:hint="eastAsia" w:ascii="宋体" w:hAnsi="宋体" w:cs="宋体"/>
          <w:bCs/>
          <w:snapToGrid w:val="0"/>
          <w:kern w:val="0"/>
          <w:sz w:val="24"/>
        </w:rPr>
        <w:t>.1</w:t>
      </w:r>
      <w:r>
        <w:rPr>
          <w:rFonts w:hint="eastAsia" w:ascii="宋体" w:hAnsi="宋体" w:cs="宋体"/>
          <w:snapToGrid w:val="0"/>
          <w:kern w:val="0"/>
          <w:sz w:val="24"/>
        </w:rPr>
        <w:t>款</w:t>
      </w:r>
      <w:r>
        <w:rPr>
          <w:rFonts w:hint="eastAsia" w:ascii="宋体" w:hAnsi="宋体"/>
          <w:kern w:val="0"/>
          <w:sz w:val="24"/>
        </w:rPr>
        <w:t>约定的竣工日期竣工的，每逾期1天，承包人必须按</w:t>
      </w:r>
      <w:r>
        <w:rPr>
          <w:rFonts w:hint="eastAsia" w:ascii="宋体" w:hAnsi="宋体" w:cs="宋体"/>
          <w:snapToGrid w:val="0"/>
          <w:kern w:val="0"/>
          <w:sz w:val="24"/>
        </w:rPr>
        <w:t>10万元/天</w:t>
      </w:r>
      <w:r>
        <w:rPr>
          <w:rFonts w:hint="eastAsia" w:ascii="宋体" w:hAnsi="宋体"/>
          <w:kern w:val="0"/>
          <w:sz w:val="24"/>
        </w:rPr>
        <w:t>向发包人支付违约金，同时由发包人按照对本工程最有利的原则，按如下约定选择处理：</w:t>
      </w:r>
    </w:p>
    <w:p w14:paraId="3E4BB558">
      <w:pPr>
        <w:spacing w:line="360" w:lineRule="auto"/>
        <w:ind w:firstLine="480" w:firstLineChars="200"/>
        <w:rPr>
          <w:rFonts w:ascii="宋体" w:hAnsi="宋体"/>
          <w:kern w:val="0"/>
          <w:sz w:val="24"/>
        </w:rPr>
      </w:pPr>
      <w:r>
        <w:rPr>
          <w:rFonts w:hint="eastAsia" w:ascii="宋体" w:hAnsi="宋体"/>
          <w:kern w:val="0"/>
          <w:sz w:val="24"/>
        </w:rPr>
        <w:t>1）承包人在发包人限定时间内竣工；如承包人</w:t>
      </w:r>
      <w:r>
        <w:rPr>
          <w:rFonts w:hint="eastAsia" w:ascii="宋体" w:hAnsi="宋体" w:cs="宋体"/>
          <w:bCs/>
          <w:snapToGrid w:val="0"/>
          <w:kern w:val="0"/>
          <w:sz w:val="24"/>
        </w:rPr>
        <w:t>成</w:t>
      </w:r>
      <w:r>
        <w:rPr>
          <w:rFonts w:hint="eastAsia" w:ascii="宋体" w:hAnsi="宋体"/>
          <w:kern w:val="0"/>
          <w:sz w:val="24"/>
        </w:rPr>
        <w:t>不能在发包人限定时间内竣工，除上述违约金</w:t>
      </w:r>
      <w:r>
        <w:rPr>
          <w:rFonts w:hint="eastAsia" w:ascii="宋体" w:hAnsi="宋体" w:cs="宋体"/>
          <w:bCs/>
          <w:snapToGrid w:val="0"/>
          <w:kern w:val="0"/>
          <w:sz w:val="24"/>
        </w:rPr>
        <w:t>及损失赔偿</w:t>
      </w:r>
      <w:r>
        <w:rPr>
          <w:rFonts w:hint="eastAsia" w:ascii="宋体" w:hAnsi="宋体"/>
          <w:kern w:val="0"/>
          <w:sz w:val="24"/>
        </w:rPr>
        <w:t>外</w:t>
      </w:r>
      <w:r>
        <w:rPr>
          <w:rFonts w:hint="eastAsia" w:ascii="宋体" w:hAnsi="宋体" w:cs="宋体"/>
          <w:bCs/>
          <w:snapToGrid w:val="0"/>
          <w:kern w:val="0"/>
          <w:sz w:val="24"/>
        </w:rPr>
        <w:t>，</w:t>
      </w:r>
      <w:r>
        <w:rPr>
          <w:rFonts w:hint="eastAsia" w:ascii="宋体" w:hAnsi="宋体"/>
          <w:kern w:val="0"/>
          <w:sz w:val="24"/>
        </w:rPr>
        <w:t>还在工程结算时按本工程结算总价款下浮1%作为本工程的最终结算价款</w:t>
      </w:r>
      <w:r>
        <w:rPr>
          <w:rFonts w:hint="eastAsia" w:ascii="宋体" w:hAnsi="宋体" w:cs="宋体"/>
          <w:bCs/>
          <w:snapToGrid w:val="0"/>
          <w:kern w:val="0"/>
          <w:sz w:val="24"/>
        </w:rPr>
        <w:t>；</w:t>
      </w:r>
      <w:r>
        <w:rPr>
          <w:rFonts w:hint="eastAsia" w:ascii="宋体" w:hAnsi="宋体"/>
          <w:kern w:val="0"/>
          <w:sz w:val="24"/>
        </w:rPr>
        <w:t>同时承包人应据实赔偿发包人的实际损失。</w:t>
      </w:r>
    </w:p>
    <w:p w14:paraId="17027FE4">
      <w:pPr>
        <w:spacing w:line="360" w:lineRule="auto"/>
        <w:ind w:firstLine="480" w:firstLineChars="200"/>
        <w:rPr>
          <w:rFonts w:ascii="宋体" w:hAnsi="宋体"/>
          <w:kern w:val="0"/>
          <w:sz w:val="24"/>
        </w:rPr>
      </w:pPr>
      <w:r>
        <w:rPr>
          <w:rFonts w:hint="eastAsia" w:ascii="宋体" w:hAnsi="宋体"/>
          <w:kern w:val="0"/>
          <w:sz w:val="24"/>
        </w:rPr>
        <w:t>2）由发包人将未完工程量从本合同中分割，交由第三方完成，由此发生的费用全部从本合同价款中支付，同时由承包人向发包人支付未完工程量价款</w:t>
      </w:r>
      <w:r>
        <w:rPr>
          <w:rFonts w:hint="eastAsia" w:ascii="宋体" w:hAnsi="宋体" w:cs="宋体"/>
          <w:snapToGrid w:val="0"/>
          <w:kern w:val="0"/>
          <w:sz w:val="24"/>
        </w:rPr>
        <w:t>10</w:t>
      </w:r>
      <w:r>
        <w:rPr>
          <w:rFonts w:hint="eastAsia" w:ascii="宋体" w:hAnsi="宋体"/>
          <w:kern w:val="0"/>
          <w:sz w:val="24"/>
        </w:rPr>
        <w:t>%的违约金并赔偿发包人的实际损失。</w:t>
      </w:r>
    </w:p>
    <w:p w14:paraId="6D0CDBD5">
      <w:pPr>
        <w:spacing w:line="360" w:lineRule="auto"/>
        <w:ind w:firstLine="480" w:firstLineChars="200"/>
        <w:rPr>
          <w:rFonts w:ascii="宋体" w:hAnsi="宋体"/>
          <w:kern w:val="0"/>
          <w:sz w:val="24"/>
        </w:rPr>
      </w:pPr>
      <w:r>
        <w:rPr>
          <w:rFonts w:hint="eastAsia" w:ascii="宋体" w:hAnsi="宋体"/>
          <w:kern w:val="0"/>
          <w:sz w:val="24"/>
        </w:rPr>
        <w:t>41.</w:t>
      </w:r>
      <w:r>
        <w:rPr>
          <w:rFonts w:hint="eastAsia" w:ascii="宋体" w:hAnsi="宋体" w:cs="宋体"/>
          <w:snapToGrid w:val="0"/>
          <w:kern w:val="0"/>
          <w:sz w:val="24"/>
        </w:rPr>
        <w:t>10</w:t>
      </w:r>
      <w:r>
        <w:rPr>
          <w:rFonts w:hint="eastAsia" w:ascii="宋体" w:hAnsi="宋体"/>
          <w:kern w:val="0"/>
          <w:sz w:val="24"/>
        </w:rPr>
        <w:t>材料设备管理方面的违约责任</w:t>
      </w:r>
    </w:p>
    <w:p w14:paraId="1B803E33">
      <w:pPr>
        <w:spacing w:line="360" w:lineRule="auto"/>
        <w:ind w:firstLine="480" w:firstLineChars="200"/>
        <w:rPr>
          <w:rFonts w:ascii="宋体" w:hAnsi="宋体"/>
          <w:kern w:val="0"/>
          <w:sz w:val="24"/>
        </w:rPr>
      </w:pPr>
      <w:r>
        <w:rPr>
          <w:rFonts w:hint="eastAsia" w:ascii="宋体" w:hAnsi="宋体"/>
          <w:kern w:val="0"/>
          <w:sz w:val="24"/>
        </w:rPr>
        <w:t>（1）发包人（包括发包人委托的材料设备检验机构）或监理工程师抽查承包人的工程材料设备，发现所检查的材料与合同约定标准的任何一项不符合时，承包人除必须全部退货、返工，并赔偿发包人由此遭受的实际损失外，还应当根据该批次材料的价值，按照如下约定承担违约责任：</w:t>
      </w:r>
    </w:p>
    <w:p w14:paraId="65E892C7">
      <w:pPr>
        <w:tabs>
          <w:tab w:val="left" w:pos="1276"/>
        </w:tabs>
        <w:spacing w:line="360" w:lineRule="auto"/>
        <w:ind w:firstLine="480" w:firstLineChars="200"/>
        <w:rPr>
          <w:rFonts w:ascii="宋体" w:hAnsi="宋体"/>
          <w:kern w:val="0"/>
          <w:sz w:val="24"/>
        </w:rPr>
      </w:pPr>
      <w:r>
        <w:rPr>
          <w:rFonts w:hint="eastAsia" w:ascii="宋体" w:hAnsi="宋体" w:cs="宋体"/>
          <w:snapToGrid w:val="0"/>
          <w:kern w:val="0"/>
          <w:sz w:val="24"/>
        </w:rPr>
        <w:t>1）</w:t>
      </w:r>
      <w:r>
        <w:rPr>
          <w:rFonts w:hint="eastAsia" w:ascii="宋体" w:hAnsi="宋体"/>
          <w:kern w:val="0"/>
          <w:sz w:val="24"/>
        </w:rPr>
        <w:t>单宗或批次价值不到5万元的材料设备抽检不合格的，每发生3例，由承包人承担1次一般违约责任。</w:t>
      </w:r>
    </w:p>
    <w:p w14:paraId="1EF1273E">
      <w:pPr>
        <w:tabs>
          <w:tab w:val="left" w:pos="1276"/>
        </w:tabs>
        <w:spacing w:line="360" w:lineRule="auto"/>
        <w:ind w:firstLine="480" w:firstLineChars="200"/>
        <w:rPr>
          <w:rFonts w:ascii="宋体" w:hAnsi="宋体"/>
          <w:kern w:val="0"/>
          <w:sz w:val="24"/>
        </w:rPr>
      </w:pPr>
      <w:r>
        <w:rPr>
          <w:rFonts w:hint="eastAsia" w:ascii="宋体" w:hAnsi="宋体" w:cs="宋体"/>
          <w:snapToGrid w:val="0"/>
          <w:kern w:val="0"/>
          <w:sz w:val="24"/>
        </w:rPr>
        <w:t>2）</w:t>
      </w:r>
      <w:r>
        <w:rPr>
          <w:rFonts w:hint="eastAsia" w:ascii="宋体" w:hAnsi="宋体"/>
          <w:kern w:val="0"/>
          <w:sz w:val="24"/>
        </w:rPr>
        <w:t>单宗或批次价值达到5万元不到10万元的材料设备抽检不合格的，每发生1例，由承包人承担1次一般违约责任。</w:t>
      </w:r>
    </w:p>
    <w:p w14:paraId="071F55D0">
      <w:pPr>
        <w:tabs>
          <w:tab w:val="left" w:pos="1276"/>
        </w:tabs>
        <w:spacing w:line="360" w:lineRule="auto"/>
        <w:ind w:firstLine="480" w:firstLineChars="200"/>
        <w:rPr>
          <w:rFonts w:ascii="宋体" w:hAnsi="宋体"/>
          <w:kern w:val="0"/>
          <w:sz w:val="24"/>
        </w:rPr>
      </w:pPr>
      <w:r>
        <w:rPr>
          <w:rFonts w:hint="eastAsia" w:ascii="宋体" w:hAnsi="宋体" w:cs="宋体"/>
          <w:snapToGrid w:val="0"/>
          <w:kern w:val="0"/>
          <w:sz w:val="24"/>
        </w:rPr>
        <w:t>3）</w:t>
      </w:r>
      <w:r>
        <w:rPr>
          <w:rFonts w:hint="eastAsia" w:ascii="宋体" w:hAnsi="宋体"/>
          <w:kern w:val="0"/>
          <w:sz w:val="24"/>
        </w:rPr>
        <w:t>单宗或批次价值达到10万元不到50万元的材料设备抽检不合格的，每发生1例，由承包人承担1次严重违约责任。</w:t>
      </w:r>
    </w:p>
    <w:p w14:paraId="27BB5264">
      <w:pPr>
        <w:tabs>
          <w:tab w:val="left" w:pos="1276"/>
        </w:tabs>
        <w:spacing w:line="360" w:lineRule="auto"/>
        <w:ind w:firstLine="480" w:firstLineChars="200"/>
        <w:rPr>
          <w:rFonts w:ascii="宋体" w:hAnsi="宋体"/>
          <w:kern w:val="0"/>
          <w:sz w:val="24"/>
        </w:rPr>
      </w:pPr>
      <w:r>
        <w:rPr>
          <w:rFonts w:hint="eastAsia" w:ascii="宋体" w:hAnsi="宋体" w:cs="宋体"/>
          <w:snapToGrid w:val="0"/>
          <w:kern w:val="0"/>
          <w:sz w:val="24"/>
        </w:rPr>
        <w:t>4）</w:t>
      </w:r>
      <w:r>
        <w:rPr>
          <w:rFonts w:hint="eastAsia" w:ascii="宋体" w:hAnsi="宋体"/>
          <w:kern w:val="0"/>
          <w:sz w:val="24"/>
        </w:rPr>
        <w:t>单宗或批次价值达到50万元以上的材料设备抽检不合格的，每发生1例，发包人有权单方面部分解除合同或解除合同。</w:t>
      </w:r>
    </w:p>
    <w:p w14:paraId="3FFD93D5">
      <w:pPr>
        <w:spacing w:line="360" w:lineRule="auto"/>
        <w:ind w:firstLine="480" w:firstLineChars="200"/>
        <w:rPr>
          <w:rFonts w:ascii="宋体" w:hAnsi="宋体"/>
          <w:kern w:val="0"/>
          <w:sz w:val="24"/>
        </w:rPr>
      </w:pPr>
      <w:r>
        <w:rPr>
          <w:rFonts w:hint="eastAsia" w:ascii="宋体" w:hAnsi="宋体"/>
          <w:kern w:val="0"/>
          <w:sz w:val="24"/>
        </w:rPr>
        <w:t>（2）承包人必须保证用于本工程所有的材料设备的品牌、型号、规格、质量等符合本合同及招投标文件要求。如发生不符合上述要求的情况（属于不可抗力或不可归责于承包人事由造成的除外），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除承担该批另行采购货物的货款外，并按另行采购的货物总价款的20%向发包人支付违约金。</w:t>
      </w:r>
    </w:p>
    <w:p w14:paraId="610C1688">
      <w:pPr>
        <w:pStyle w:val="25"/>
        <w:spacing w:line="360" w:lineRule="auto"/>
        <w:ind w:firstLine="480" w:firstLineChars="200"/>
        <w:rPr>
          <w:rFonts w:hAnsi="宋体"/>
          <w:sz w:val="24"/>
        </w:rPr>
      </w:pPr>
      <w:r>
        <w:rPr>
          <w:rFonts w:hint="eastAsia" w:hAnsi="宋体"/>
          <w:sz w:val="24"/>
        </w:rPr>
        <w:t>（3）承包人不按合同条款第八章的约定对用于本工程的材料设备进行管理的，视同不服从发包人及监理单位管理，应按合同条款第41.</w:t>
      </w:r>
      <w:r>
        <w:rPr>
          <w:rFonts w:hint="eastAsia" w:hAnsi="宋体" w:cs="宋体"/>
          <w:snapToGrid w:val="0"/>
          <w:sz w:val="24"/>
        </w:rPr>
        <w:t>8</w:t>
      </w:r>
      <w:r>
        <w:rPr>
          <w:rFonts w:hint="eastAsia" w:hAnsi="宋体"/>
          <w:sz w:val="24"/>
        </w:rPr>
        <w:t>（1）款的约定承担违约责任；同时发包人有权暂停支付本工程进度款，直到承包人完成相关工作为止。</w:t>
      </w:r>
    </w:p>
    <w:p w14:paraId="1635522D">
      <w:pPr>
        <w:spacing w:line="360" w:lineRule="auto"/>
        <w:ind w:firstLine="480" w:firstLineChars="200"/>
        <w:rPr>
          <w:rFonts w:ascii="宋体" w:hAnsi="宋体"/>
          <w:kern w:val="0"/>
          <w:sz w:val="24"/>
        </w:rPr>
      </w:pPr>
      <w:r>
        <w:rPr>
          <w:rFonts w:hint="eastAsia" w:ascii="宋体" w:hAnsi="宋体"/>
          <w:kern w:val="0"/>
          <w:sz w:val="24"/>
        </w:rPr>
        <w:t>41.</w:t>
      </w:r>
      <w:r>
        <w:rPr>
          <w:rFonts w:hint="eastAsia" w:ascii="宋体" w:hAnsi="宋体" w:cs="宋体"/>
          <w:snapToGrid w:val="0"/>
          <w:kern w:val="0"/>
          <w:sz w:val="24"/>
        </w:rPr>
        <w:t>11</w:t>
      </w:r>
      <w:r>
        <w:rPr>
          <w:rFonts w:hint="eastAsia" w:ascii="宋体" w:hAnsi="宋体"/>
          <w:kern w:val="0"/>
          <w:sz w:val="24"/>
        </w:rPr>
        <w:t>工程质量方面的违约责任</w:t>
      </w:r>
    </w:p>
    <w:p w14:paraId="2AA7DA83">
      <w:pPr>
        <w:spacing w:line="360" w:lineRule="auto"/>
        <w:ind w:firstLine="480" w:firstLineChars="200"/>
        <w:rPr>
          <w:rFonts w:ascii="宋体" w:hAnsi="宋体"/>
          <w:kern w:val="0"/>
          <w:sz w:val="24"/>
        </w:rPr>
      </w:pPr>
      <w:r>
        <w:rPr>
          <w:rFonts w:hint="eastAsia" w:ascii="宋体" w:hAnsi="宋体"/>
          <w:kern w:val="0"/>
          <w:sz w:val="24"/>
        </w:rPr>
        <w:t>（1）承包人必须对各工序报验核查质量控制点。承包人申请报验后，经总监理工程师或发包人检查发现存在较大质量问题（存在质量问题的部分超过检查部分工程的10%）的，则该工序质量为不合格，承包人必须对不合格部分进行返工，返工后经检查合格才准进入下一工序，工期不予顺延。复检的结果，按每一分项工程计算，</w:t>
      </w:r>
      <w:r>
        <w:rPr>
          <w:rFonts w:hint="eastAsia" w:ascii="宋体" w:hAnsi="宋体" w:cs="宋体"/>
          <w:bCs/>
          <w:snapToGrid w:val="0"/>
          <w:kern w:val="0"/>
          <w:sz w:val="24"/>
        </w:rPr>
        <w:t>总计</w:t>
      </w:r>
      <w:r>
        <w:rPr>
          <w:rFonts w:hint="eastAsia" w:ascii="宋体" w:hAnsi="宋体"/>
          <w:kern w:val="0"/>
          <w:sz w:val="24"/>
        </w:rPr>
        <w:t>发现3次或连续发现2次质量控制点不合格的，每发生一次承包人承担1次一般违约责任；</w:t>
      </w:r>
      <w:r>
        <w:rPr>
          <w:rFonts w:hint="eastAsia" w:ascii="宋体" w:hAnsi="宋体" w:cs="宋体"/>
          <w:bCs/>
          <w:snapToGrid w:val="0"/>
          <w:kern w:val="0"/>
          <w:sz w:val="24"/>
        </w:rPr>
        <w:t>总计</w:t>
      </w:r>
      <w:r>
        <w:rPr>
          <w:rFonts w:hint="eastAsia" w:ascii="宋体" w:hAnsi="宋体"/>
          <w:kern w:val="0"/>
          <w:sz w:val="24"/>
        </w:rPr>
        <w:t>发现3次以上（不含本数）或连续发现2次以上（不含本数）质量控制点不合格的，每发生一次承包人承担1次严重违约责任；承包人采取整改措施后效果仍不明显的，发包人有权部分解除合同，将该分项工程从本合同工程中分解出来另行发包，且不免除承包人应承担的违约赔偿责任。</w:t>
      </w:r>
    </w:p>
    <w:p w14:paraId="72D44437">
      <w:pPr>
        <w:spacing w:line="360" w:lineRule="auto"/>
        <w:ind w:firstLine="480" w:firstLineChars="200"/>
        <w:rPr>
          <w:rFonts w:ascii="宋体" w:hAnsi="宋体"/>
          <w:kern w:val="0"/>
          <w:sz w:val="24"/>
        </w:rPr>
      </w:pPr>
      <w:r>
        <w:rPr>
          <w:rFonts w:hint="eastAsia" w:ascii="宋体" w:hAnsi="宋体"/>
          <w:kern w:val="0"/>
          <w:sz w:val="24"/>
        </w:rPr>
        <w:t>（2）工程竣工验收不符合国家强制性标准及规范要求或者未能实现一次验收合格的，承包人除应向发包人支付本工程合同价款</w:t>
      </w:r>
      <w:r>
        <w:rPr>
          <w:rFonts w:hint="eastAsia" w:ascii="宋体" w:hAnsi="宋体" w:cs="宋体"/>
          <w:snapToGrid w:val="0"/>
          <w:kern w:val="0"/>
          <w:sz w:val="24"/>
        </w:rPr>
        <w:t>（不含</w:t>
      </w:r>
      <w:r>
        <w:rPr>
          <w:rFonts w:hint="eastAsia" w:ascii="宋体" w:hAnsi="宋体" w:cs="宋体"/>
          <w:kern w:val="0"/>
          <w:sz w:val="24"/>
        </w:rPr>
        <w:t>工程设计费</w:t>
      </w:r>
      <w:r>
        <w:rPr>
          <w:rFonts w:hint="eastAsia" w:ascii="宋体" w:hAnsi="宋体" w:cs="宋体"/>
          <w:snapToGrid w:val="0"/>
          <w:kern w:val="0"/>
          <w:sz w:val="24"/>
        </w:rPr>
        <w:t>）</w:t>
      </w:r>
      <w:r>
        <w:rPr>
          <w:rFonts w:hint="eastAsia" w:ascii="宋体" w:hAnsi="宋体"/>
          <w:kern w:val="0"/>
          <w:sz w:val="24"/>
        </w:rPr>
        <w:t>的10%作为违约金并无偿采取补救措施及赔偿发包人的实际损失外，还应承担由此引起的一切责任。</w:t>
      </w:r>
    </w:p>
    <w:p w14:paraId="02CF5486">
      <w:pPr>
        <w:spacing w:line="360" w:lineRule="auto"/>
        <w:ind w:firstLine="480" w:firstLineChars="200"/>
        <w:rPr>
          <w:rFonts w:ascii="宋体" w:hAnsi="宋体"/>
          <w:kern w:val="0"/>
          <w:sz w:val="24"/>
        </w:rPr>
      </w:pPr>
      <w:r>
        <w:rPr>
          <w:rFonts w:hint="eastAsia" w:ascii="宋体" w:hAnsi="宋体"/>
          <w:kern w:val="0"/>
          <w:sz w:val="24"/>
        </w:rPr>
        <w:t>（3）在本工程缺陷责任期及质量保修期内发现有重大质量问题的（该重大质量问题应界定为达不到要求的质量标准，属质量保修的问题除外），承包人必须在规定的期限内返工达到合同约定的质量等级并赔偿由此给发包人造成的损失，同时按工程合同结算价款的1%向发包人支付违约金。</w:t>
      </w:r>
    </w:p>
    <w:p w14:paraId="4F06D01E">
      <w:pPr>
        <w:spacing w:line="360" w:lineRule="auto"/>
        <w:ind w:firstLine="480" w:firstLineChars="200"/>
        <w:rPr>
          <w:rFonts w:ascii="宋体" w:hAnsi="宋体"/>
          <w:kern w:val="0"/>
          <w:sz w:val="24"/>
        </w:rPr>
      </w:pPr>
      <w:r>
        <w:rPr>
          <w:rFonts w:hint="eastAsia" w:ascii="宋体" w:hAnsi="宋体"/>
          <w:kern w:val="0"/>
          <w:sz w:val="24"/>
        </w:rPr>
        <w:t>（4）由于承包人的原因发生工程质量事故的，承包人应全额赔偿发包人的损失并承担相关法律责任。</w:t>
      </w:r>
    </w:p>
    <w:p w14:paraId="47BC2807">
      <w:pPr>
        <w:spacing w:line="360" w:lineRule="auto"/>
        <w:ind w:firstLine="480" w:firstLineChars="200"/>
        <w:rPr>
          <w:rFonts w:ascii="宋体" w:hAnsi="宋体"/>
          <w:kern w:val="0"/>
          <w:sz w:val="24"/>
        </w:rPr>
      </w:pPr>
      <w:r>
        <w:rPr>
          <w:rFonts w:hint="eastAsia" w:ascii="宋体" w:hAnsi="宋体"/>
          <w:kern w:val="0"/>
          <w:sz w:val="24"/>
        </w:rPr>
        <w:t>41.</w:t>
      </w:r>
      <w:r>
        <w:rPr>
          <w:rFonts w:hint="eastAsia" w:ascii="宋体" w:hAnsi="宋体" w:cs="宋体"/>
          <w:snapToGrid w:val="0"/>
          <w:kern w:val="0"/>
          <w:sz w:val="24"/>
        </w:rPr>
        <w:t>12</w:t>
      </w:r>
      <w:r>
        <w:rPr>
          <w:rFonts w:hint="eastAsia" w:ascii="宋体" w:hAnsi="宋体"/>
          <w:kern w:val="0"/>
          <w:sz w:val="24"/>
        </w:rPr>
        <w:t>安全生产方面的违约责任</w:t>
      </w:r>
    </w:p>
    <w:p w14:paraId="248484F8">
      <w:pPr>
        <w:spacing w:line="360" w:lineRule="auto"/>
        <w:ind w:firstLine="480" w:firstLineChars="200"/>
        <w:rPr>
          <w:rFonts w:ascii="宋体" w:hAnsi="宋体"/>
          <w:kern w:val="0"/>
          <w:sz w:val="24"/>
        </w:rPr>
      </w:pPr>
      <w:r>
        <w:rPr>
          <w:rFonts w:hint="eastAsia" w:ascii="宋体" w:hAnsi="宋体"/>
          <w:kern w:val="0"/>
          <w:sz w:val="24"/>
        </w:rPr>
        <w:t>（1）承包人在政府行政主管部门组织的安全生产检查中，被发现存在严重的安全隐患，被通报批评，或被新闻媒体曝光造成不良影响的，被通报或被曝光1次，每发生一次承包人必须承担1次严重违约责任；造成严重社会影响或累计被通报或被曝光3次以上（含本数）的，发包人有权单方解除合同。</w:t>
      </w:r>
    </w:p>
    <w:p w14:paraId="5ABB843D">
      <w:pPr>
        <w:spacing w:line="360" w:lineRule="auto"/>
        <w:ind w:firstLine="480" w:firstLineChars="200"/>
        <w:rPr>
          <w:rFonts w:ascii="宋体" w:hAnsi="宋体"/>
          <w:kern w:val="0"/>
          <w:sz w:val="24"/>
        </w:rPr>
      </w:pPr>
      <w:r>
        <w:rPr>
          <w:rFonts w:hint="eastAsia" w:ascii="宋体" w:hAnsi="宋体"/>
          <w:kern w:val="0"/>
          <w:sz w:val="24"/>
        </w:rPr>
        <w:t>（2）承包人在发包人、总监理工程师进行的日常安全生产检查中，被发现存在安全隐患的，承包人应限期改正。若同样问题被发现2次或累计类似问题被发现3次的，每发生一次承包人必须承担1次一般违约责任。此类问题的认定，以发包人、总监理工程师书面通知、指令、通报或会议纪要为准。</w:t>
      </w:r>
    </w:p>
    <w:p w14:paraId="5DEF682C">
      <w:pPr>
        <w:spacing w:line="360" w:lineRule="auto"/>
        <w:ind w:firstLine="480" w:firstLineChars="200"/>
        <w:rPr>
          <w:rFonts w:ascii="宋体" w:hAnsi="宋体"/>
          <w:kern w:val="0"/>
          <w:sz w:val="24"/>
        </w:rPr>
      </w:pPr>
      <w:r>
        <w:rPr>
          <w:rFonts w:hint="eastAsia" w:ascii="宋体" w:hAnsi="宋体"/>
          <w:kern w:val="0"/>
          <w:sz w:val="24"/>
        </w:rPr>
        <w:t>（3）承包人因自身原因造成安全事故的，除按国家规定由主管部门处罚并承担由此产生的一切法律责任外，承包人必须依照下列约定承担违约责任：</w:t>
      </w:r>
    </w:p>
    <w:p w14:paraId="06DE5460">
      <w:pPr>
        <w:spacing w:line="360" w:lineRule="auto"/>
        <w:ind w:firstLine="480" w:firstLineChars="200"/>
        <w:rPr>
          <w:rFonts w:ascii="宋体" w:hAnsi="宋体"/>
          <w:kern w:val="0"/>
          <w:sz w:val="24"/>
        </w:rPr>
      </w:pPr>
      <w:r>
        <w:rPr>
          <w:rFonts w:hint="eastAsia" w:ascii="宋体" w:hAnsi="宋体"/>
          <w:kern w:val="0"/>
          <w:sz w:val="24"/>
        </w:rPr>
        <w:t>1）发生特别重大事故，承包人按事故所造成损失金额的15%向发包人支付违约金，同时违约金的数额不得低于40万元；</w:t>
      </w:r>
    </w:p>
    <w:p w14:paraId="438129D6">
      <w:pPr>
        <w:spacing w:line="360" w:lineRule="auto"/>
        <w:ind w:firstLine="480" w:firstLineChars="200"/>
        <w:rPr>
          <w:rFonts w:ascii="宋体" w:hAnsi="宋体"/>
          <w:kern w:val="0"/>
          <w:sz w:val="24"/>
        </w:rPr>
      </w:pPr>
      <w:r>
        <w:rPr>
          <w:rFonts w:hint="eastAsia" w:ascii="宋体" w:hAnsi="宋体"/>
          <w:kern w:val="0"/>
          <w:sz w:val="24"/>
        </w:rPr>
        <w:t>2）发生重大事故，承包人按事故所造成损失金额的12%向发包人支付违约金，同时违约金的数额不得低于30万元；</w:t>
      </w:r>
    </w:p>
    <w:p w14:paraId="09ADBD2F">
      <w:pPr>
        <w:spacing w:line="360" w:lineRule="auto"/>
        <w:ind w:firstLine="480" w:firstLineChars="200"/>
        <w:rPr>
          <w:rFonts w:ascii="宋体" w:hAnsi="宋体"/>
          <w:kern w:val="0"/>
          <w:sz w:val="24"/>
        </w:rPr>
      </w:pPr>
      <w:r>
        <w:rPr>
          <w:rFonts w:hint="eastAsia" w:ascii="宋体" w:hAnsi="宋体"/>
          <w:kern w:val="0"/>
          <w:sz w:val="24"/>
        </w:rPr>
        <w:t>3）发生较大事故，承包人按事故所造成损失金额的10%向发包人支付违约金，同时违约金数额不得低于20万元；</w:t>
      </w:r>
    </w:p>
    <w:p w14:paraId="09DBFE88">
      <w:pPr>
        <w:spacing w:line="360" w:lineRule="auto"/>
        <w:ind w:firstLine="480" w:firstLineChars="200"/>
        <w:rPr>
          <w:rFonts w:ascii="宋体" w:hAnsi="宋体"/>
          <w:kern w:val="0"/>
          <w:sz w:val="24"/>
        </w:rPr>
      </w:pPr>
      <w:r>
        <w:rPr>
          <w:rFonts w:hint="eastAsia" w:ascii="宋体" w:hAnsi="宋体"/>
          <w:kern w:val="0"/>
          <w:sz w:val="24"/>
        </w:rPr>
        <w:t>4）发生一般事故，承包人按事故所造成损失金额的8%向发包人支付违约金，同时违约金数额不得低于10万元。</w:t>
      </w:r>
    </w:p>
    <w:p w14:paraId="7BB4347D">
      <w:pPr>
        <w:spacing w:line="360" w:lineRule="auto"/>
        <w:ind w:firstLine="480" w:firstLineChars="200"/>
        <w:rPr>
          <w:rFonts w:ascii="宋体" w:hAnsi="宋体"/>
          <w:kern w:val="0"/>
          <w:sz w:val="24"/>
        </w:rPr>
      </w:pPr>
      <w:r>
        <w:rPr>
          <w:rFonts w:hint="eastAsia" w:ascii="宋体" w:hAnsi="宋体"/>
          <w:kern w:val="0"/>
          <w:sz w:val="24"/>
        </w:rPr>
        <w:t>发生上述安全事故，每发生一次发包人给予承包人1次严重违约处罚，直至部分或全部解除合同。情节较轻的，给予1次一般违约处罚。</w:t>
      </w:r>
    </w:p>
    <w:p w14:paraId="68546E5A">
      <w:pPr>
        <w:spacing w:line="360" w:lineRule="auto"/>
        <w:ind w:firstLine="480" w:firstLineChars="200"/>
        <w:rPr>
          <w:rFonts w:ascii="宋体" w:hAnsi="宋体"/>
          <w:kern w:val="0"/>
          <w:sz w:val="24"/>
        </w:rPr>
      </w:pPr>
      <w:r>
        <w:rPr>
          <w:rFonts w:hint="eastAsia" w:ascii="宋体" w:hAnsi="宋体"/>
          <w:kern w:val="0"/>
          <w:sz w:val="24"/>
        </w:rPr>
        <w:t>承包人依照上述约定支付违约金后，所支付的违约金不足以弥补由此给发包人造成的损失的，承包人还须补偿发包人的其它损失。</w:t>
      </w:r>
    </w:p>
    <w:p w14:paraId="7395F317">
      <w:pPr>
        <w:spacing w:line="360" w:lineRule="auto"/>
        <w:ind w:firstLine="480" w:firstLineChars="200"/>
        <w:rPr>
          <w:rFonts w:ascii="宋体" w:hAnsi="宋体"/>
          <w:kern w:val="0"/>
          <w:sz w:val="24"/>
        </w:rPr>
      </w:pPr>
      <w:r>
        <w:rPr>
          <w:rFonts w:hint="eastAsia" w:ascii="宋体" w:hAnsi="宋体"/>
          <w:kern w:val="0"/>
          <w:sz w:val="24"/>
        </w:rPr>
        <w:t>41.</w:t>
      </w:r>
      <w:r>
        <w:rPr>
          <w:rFonts w:hint="eastAsia" w:ascii="宋体" w:hAnsi="宋体" w:cs="宋体"/>
          <w:snapToGrid w:val="0"/>
          <w:kern w:val="0"/>
          <w:sz w:val="24"/>
        </w:rPr>
        <w:t>13</w:t>
      </w:r>
      <w:r>
        <w:rPr>
          <w:rFonts w:hint="eastAsia" w:ascii="宋体" w:hAnsi="宋体"/>
          <w:kern w:val="0"/>
          <w:sz w:val="24"/>
        </w:rPr>
        <w:t>文明施工、环境保护方面的违约责任</w:t>
      </w:r>
    </w:p>
    <w:p w14:paraId="76EE9BBD">
      <w:pPr>
        <w:spacing w:line="360" w:lineRule="auto"/>
        <w:ind w:firstLine="480" w:firstLineChars="200"/>
        <w:rPr>
          <w:rFonts w:ascii="宋体" w:hAnsi="宋体"/>
          <w:kern w:val="0"/>
          <w:sz w:val="24"/>
        </w:rPr>
      </w:pPr>
      <w:r>
        <w:rPr>
          <w:rFonts w:hint="eastAsia" w:ascii="宋体" w:hAnsi="宋体"/>
          <w:kern w:val="0"/>
          <w:sz w:val="24"/>
        </w:rPr>
        <w:t>（1）发包人、总监理工程师按照合同条款第</w:t>
      </w:r>
      <w:r>
        <w:rPr>
          <w:rFonts w:hint="eastAsia" w:ascii="宋体" w:hAnsi="宋体" w:cs="宋体"/>
          <w:snapToGrid w:val="0"/>
          <w:kern w:val="0"/>
          <w:sz w:val="24"/>
        </w:rPr>
        <w:t>24</w:t>
      </w:r>
      <w:r>
        <w:rPr>
          <w:rFonts w:hint="eastAsia" w:ascii="宋体" w:hAnsi="宋体"/>
          <w:kern w:val="0"/>
          <w:sz w:val="24"/>
        </w:rPr>
        <w:t>条的约定，对承包人文明施工措施进行对照检查。经检查发现承包人因自身原因未能落实的，每发生一次承包人必须承担1次一般违约责任，并限期改正；如限期届满未改正的，每发生一次承包人须承担1次严重违约责任。</w:t>
      </w:r>
    </w:p>
    <w:p w14:paraId="6246D3B7">
      <w:pPr>
        <w:spacing w:line="360" w:lineRule="auto"/>
        <w:ind w:firstLine="480" w:firstLineChars="200"/>
        <w:rPr>
          <w:rFonts w:ascii="宋体" w:hAnsi="宋体"/>
          <w:kern w:val="0"/>
          <w:sz w:val="24"/>
        </w:rPr>
      </w:pPr>
      <w:r>
        <w:rPr>
          <w:rFonts w:hint="eastAsia" w:ascii="宋体" w:hAnsi="宋体"/>
          <w:kern w:val="0"/>
          <w:sz w:val="24"/>
        </w:rPr>
        <w:t>（2）在相关主管部门的检查中，承包人的施工场地被评为不合格工地或者被通报批评或者被新闻媒体曝光的，每发生一次承包人必须承担1次严重违约责任，并立即采取切实有效措施予以整改；拒不采取切实有效措施整改或整改效果不明显的，发包人有权部分或全部解除合同。</w:t>
      </w:r>
    </w:p>
    <w:p w14:paraId="52D72867">
      <w:pPr>
        <w:spacing w:line="360" w:lineRule="auto"/>
        <w:ind w:firstLine="480" w:firstLineChars="200"/>
        <w:rPr>
          <w:rFonts w:ascii="宋体" w:hAnsi="宋体"/>
          <w:kern w:val="0"/>
          <w:sz w:val="24"/>
        </w:rPr>
      </w:pPr>
      <w:r>
        <w:rPr>
          <w:rFonts w:hint="eastAsia" w:ascii="宋体" w:hAnsi="宋体"/>
          <w:kern w:val="0"/>
          <w:sz w:val="24"/>
        </w:rPr>
        <w:t>（3）承包人在施工过程中因其自身原因造成周围环境卫生状况较差，被其它施工单位或周围居民投诉的，承包人必须在当天内整改。若故意拖延或类似问题累计被投诉2次以上且经查实的，每发生一次承包人必须承担1次严重违约责任。</w:t>
      </w:r>
    </w:p>
    <w:p w14:paraId="7E3253B9">
      <w:pPr>
        <w:spacing w:line="360" w:lineRule="auto"/>
        <w:ind w:firstLine="480" w:firstLineChars="200"/>
        <w:rPr>
          <w:rFonts w:ascii="宋体" w:hAnsi="宋体"/>
          <w:kern w:val="0"/>
          <w:sz w:val="24"/>
        </w:rPr>
      </w:pPr>
      <w:r>
        <w:rPr>
          <w:rFonts w:hint="eastAsia" w:ascii="宋体" w:hAnsi="宋体"/>
          <w:kern w:val="0"/>
          <w:sz w:val="24"/>
        </w:rPr>
        <w:t>41.</w:t>
      </w:r>
      <w:r>
        <w:rPr>
          <w:rFonts w:hint="eastAsia" w:ascii="宋体" w:hAnsi="宋体" w:cs="宋体"/>
          <w:snapToGrid w:val="0"/>
          <w:kern w:val="0"/>
          <w:sz w:val="24"/>
        </w:rPr>
        <w:t>14</w:t>
      </w:r>
      <w:r>
        <w:rPr>
          <w:rFonts w:hint="eastAsia" w:ascii="宋体" w:hAnsi="宋体"/>
          <w:kern w:val="0"/>
          <w:sz w:val="24"/>
        </w:rPr>
        <w:t>工程转包、分包方面的违约责任</w:t>
      </w:r>
    </w:p>
    <w:p w14:paraId="26F4D337">
      <w:pPr>
        <w:spacing w:line="360" w:lineRule="auto"/>
        <w:ind w:firstLine="480" w:firstLineChars="200"/>
        <w:rPr>
          <w:rFonts w:ascii="宋体" w:hAnsi="宋体"/>
          <w:kern w:val="0"/>
          <w:sz w:val="24"/>
        </w:rPr>
      </w:pPr>
      <w:r>
        <w:rPr>
          <w:rFonts w:hint="eastAsia" w:ascii="宋体" w:hAnsi="宋体"/>
          <w:kern w:val="0"/>
          <w:sz w:val="24"/>
        </w:rPr>
        <w:t>承包人转包工程或者违法分包工程，经建设行政主管部门调查核实并作出处理决定的，发包人将严格服从建设行政主管部门的处理决定，同时承包人应向发包人支付合同价款20%的违约金，并且发包人有权决定是否解除合同。因承包人转包工程或者违法分包工程给发包人造成损失的，发包人有权要求赔偿。</w:t>
      </w:r>
    </w:p>
    <w:p w14:paraId="43FB6AFA">
      <w:pPr>
        <w:spacing w:line="360" w:lineRule="auto"/>
        <w:ind w:firstLine="480" w:firstLineChars="200"/>
        <w:rPr>
          <w:rFonts w:ascii="宋体" w:hAnsi="宋体"/>
          <w:kern w:val="0"/>
          <w:sz w:val="24"/>
        </w:rPr>
      </w:pPr>
      <w:r>
        <w:rPr>
          <w:rFonts w:hint="eastAsia" w:ascii="宋体" w:hAnsi="宋体"/>
          <w:kern w:val="0"/>
          <w:sz w:val="24"/>
        </w:rPr>
        <w:t>41.</w:t>
      </w:r>
      <w:r>
        <w:rPr>
          <w:rFonts w:hint="eastAsia" w:ascii="宋体" w:hAnsi="宋体" w:cs="宋体"/>
          <w:snapToGrid w:val="0"/>
          <w:kern w:val="0"/>
          <w:sz w:val="24"/>
        </w:rPr>
        <w:t>15</w:t>
      </w:r>
      <w:r>
        <w:rPr>
          <w:rFonts w:hint="eastAsia" w:ascii="宋体" w:hAnsi="宋体"/>
          <w:kern w:val="0"/>
          <w:sz w:val="24"/>
        </w:rPr>
        <w:t>工人工资支付方面的违约责任</w:t>
      </w:r>
      <w:r>
        <w:rPr>
          <w:rFonts w:ascii="宋体" w:hAnsi="宋体"/>
          <w:kern w:val="0"/>
          <w:sz w:val="24"/>
        </w:rPr>
        <w:t>(</w:t>
      </w:r>
      <w:r>
        <w:rPr>
          <w:rFonts w:hint="eastAsia" w:ascii="宋体" w:hAnsi="宋体"/>
          <w:kern w:val="0"/>
          <w:sz w:val="24"/>
        </w:rPr>
        <w:t>发包人有权根据本合同约定或承包人承诺函中按照孰高要求承包人支付违约金或赔偿)</w:t>
      </w:r>
    </w:p>
    <w:p w14:paraId="731D79B4">
      <w:pPr>
        <w:spacing w:line="360" w:lineRule="auto"/>
        <w:ind w:firstLine="480" w:firstLineChars="200"/>
        <w:rPr>
          <w:rFonts w:ascii="宋体" w:hAnsi="宋体"/>
          <w:kern w:val="0"/>
          <w:sz w:val="24"/>
        </w:rPr>
      </w:pPr>
      <w:r>
        <w:rPr>
          <w:rFonts w:hint="eastAsia" w:ascii="宋体" w:hAnsi="宋体"/>
          <w:kern w:val="0"/>
          <w:sz w:val="24"/>
        </w:rPr>
        <w:t>（1）承包人违反合同条款第</w:t>
      </w:r>
      <w:r>
        <w:rPr>
          <w:rFonts w:hint="eastAsia" w:ascii="宋体" w:hAnsi="宋体" w:cs="宋体"/>
          <w:snapToGrid w:val="0"/>
          <w:kern w:val="0"/>
          <w:sz w:val="24"/>
        </w:rPr>
        <w:t>9.4</w:t>
      </w:r>
      <w:r>
        <w:rPr>
          <w:rFonts w:hint="eastAsia" w:ascii="宋体" w:hAnsi="宋体"/>
          <w:kern w:val="0"/>
          <w:sz w:val="24"/>
        </w:rPr>
        <w:t>（2）款的约定，被工人投诉或上访属实的，承包人必须在3天内发放拖欠的款项。若继续拖延被投诉2次及以上，经查实，承包人必须按50万元/次向发包人赔偿。若仍然不予整改并发放拖欠的款项，使工人采取停工、集聚围阻发包人办公地点甚至政府办公部门、阻塞交通要道、围堵或破坏、拆除已移交发包人的工程等过激行动的，每发生一次，承包人必须按100万元/次向发包人赔偿，并立即采取切实有效措施予以整改；拒不采取切实有效措施整改或整改效果不明显的，发包人有权部分或全部解除合同。</w:t>
      </w:r>
    </w:p>
    <w:p w14:paraId="639AFE0C">
      <w:pPr>
        <w:spacing w:line="360" w:lineRule="auto"/>
        <w:ind w:firstLine="480" w:firstLineChars="200"/>
        <w:rPr>
          <w:rFonts w:ascii="宋体" w:hAnsi="宋体"/>
          <w:kern w:val="0"/>
          <w:sz w:val="24"/>
        </w:rPr>
      </w:pPr>
      <w:r>
        <w:rPr>
          <w:rFonts w:hint="eastAsia" w:ascii="宋体" w:hAnsi="宋体"/>
          <w:kern w:val="0"/>
          <w:sz w:val="24"/>
        </w:rPr>
        <w:t>（2）由于承包人或其管理的分包单位（包括施工专业分包、供货分包及劳务分包单位等）拖欠工人工资致使发包人被投诉或起诉并被要求先行垫付工人工资的，承包人除承担1次严重违约责任外，还应向发包人支付发包人先行垫付的工人工资金额的150%作为补偿。</w:t>
      </w:r>
    </w:p>
    <w:p w14:paraId="0B9379BD">
      <w:pPr>
        <w:spacing w:line="360" w:lineRule="auto"/>
        <w:ind w:firstLine="480" w:firstLineChars="200"/>
        <w:rPr>
          <w:rFonts w:ascii="宋体" w:hAnsi="宋体"/>
          <w:kern w:val="0"/>
          <w:sz w:val="24"/>
        </w:rPr>
      </w:pPr>
      <w:r>
        <w:rPr>
          <w:rFonts w:hint="eastAsia" w:ascii="宋体" w:hAnsi="宋体"/>
          <w:kern w:val="0"/>
          <w:sz w:val="24"/>
        </w:rPr>
        <w:t>（3）因承包人违约导致发包人暂停支付工程款时，承包人不得以此为理由拖欠工人工资，在发包人和承包人就暂停支付工程款问题解决之前，承包人有义务先行支付其所属工人工资。</w:t>
      </w:r>
    </w:p>
    <w:p w14:paraId="440A3644">
      <w:pPr>
        <w:spacing w:line="360" w:lineRule="auto"/>
        <w:ind w:firstLine="480" w:firstLineChars="200"/>
        <w:rPr>
          <w:rFonts w:ascii="宋体" w:hAnsi="宋体"/>
          <w:kern w:val="0"/>
          <w:sz w:val="24"/>
        </w:rPr>
      </w:pPr>
      <w:r>
        <w:rPr>
          <w:rFonts w:hint="eastAsia" w:ascii="宋体" w:hAnsi="宋体"/>
          <w:kern w:val="0"/>
          <w:sz w:val="24"/>
        </w:rPr>
        <w:t>（4）承包人不按合同及有关规定按时、足额支付分包单位合同价款及工人工资致使施工人员集体上访、集聚围阻而造成社会不良影响的，发包人有权立即终止与承包人的合同，并上报省、市主管部门建议取消其参加广州地区省、市重大项目的投标资格并予以公告。如属恶意煽动并造成社会不良影响的，发包人将提请司法部门追究其法律责任。</w:t>
      </w:r>
    </w:p>
    <w:p w14:paraId="17F606CE">
      <w:pPr>
        <w:spacing w:line="360" w:lineRule="auto"/>
        <w:ind w:firstLine="480" w:firstLineChars="200"/>
        <w:rPr>
          <w:rFonts w:ascii="宋体" w:hAnsi="宋体"/>
          <w:kern w:val="0"/>
          <w:sz w:val="24"/>
        </w:rPr>
      </w:pPr>
      <w:r>
        <w:rPr>
          <w:rFonts w:hint="eastAsia" w:ascii="宋体" w:hAnsi="宋体"/>
          <w:kern w:val="0"/>
          <w:sz w:val="24"/>
        </w:rPr>
        <w:t>41.</w:t>
      </w:r>
      <w:r>
        <w:rPr>
          <w:rFonts w:hint="eastAsia" w:ascii="宋体" w:hAnsi="宋体" w:cs="宋体"/>
          <w:bCs/>
          <w:snapToGrid w:val="0"/>
          <w:kern w:val="0"/>
          <w:sz w:val="24"/>
        </w:rPr>
        <w:t>16</w:t>
      </w:r>
      <w:r>
        <w:rPr>
          <w:rFonts w:hint="eastAsia" w:ascii="宋体" w:hAnsi="宋体"/>
          <w:kern w:val="0"/>
          <w:sz w:val="24"/>
        </w:rPr>
        <w:t>除上述约定之外，承包人不履行或不完全履行合同其它义务的，均构成违约，应当承担1次一般违约责任。情节较轻的，可给予书面警告；情节较重的，应当承担1次严重违约责任。</w:t>
      </w:r>
    </w:p>
    <w:p w14:paraId="52CBA28B">
      <w:pPr>
        <w:spacing w:line="360" w:lineRule="auto"/>
        <w:ind w:firstLine="480" w:firstLineChars="200"/>
        <w:rPr>
          <w:rFonts w:ascii="宋体" w:hAnsi="宋体"/>
          <w:kern w:val="0"/>
          <w:sz w:val="24"/>
        </w:rPr>
      </w:pPr>
      <w:r>
        <w:rPr>
          <w:rFonts w:hint="eastAsia" w:ascii="宋体" w:hAnsi="宋体"/>
          <w:kern w:val="0"/>
          <w:sz w:val="24"/>
        </w:rPr>
        <w:t>41.</w:t>
      </w:r>
      <w:r>
        <w:rPr>
          <w:rFonts w:hint="eastAsia" w:ascii="宋体" w:hAnsi="宋体" w:cs="宋体"/>
          <w:snapToGrid w:val="0"/>
          <w:kern w:val="0"/>
          <w:sz w:val="24"/>
        </w:rPr>
        <w:t>17</w:t>
      </w:r>
      <w:r>
        <w:rPr>
          <w:rFonts w:hint="eastAsia" w:ascii="宋体" w:hAnsi="宋体"/>
          <w:kern w:val="0"/>
          <w:sz w:val="24"/>
        </w:rPr>
        <w:t>承包人违约责任的认定方式及送达程序及违约金的处理</w:t>
      </w:r>
    </w:p>
    <w:p w14:paraId="78B31FEB">
      <w:pPr>
        <w:spacing w:line="360" w:lineRule="auto"/>
        <w:ind w:firstLine="480" w:firstLineChars="200"/>
        <w:rPr>
          <w:rFonts w:ascii="宋体" w:hAnsi="宋体"/>
          <w:kern w:val="0"/>
          <w:sz w:val="24"/>
        </w:rPr>
      </w:pPr>
      <w:r>
        <w:rPr>
          <w:rFonts w:hint="eastAsia" w:ascii="宋体" w:hAnsi="宋体"/>
          <w:kern w:val="0"/>
          <w:sz w:val="24"/>
        </w:rPr>
        <w:t>（1）认定方式：以发包人发出的通知、通报、会议纪要等书面文件确定的内容为准。</w:t>
      </w:r>
    </w:p>
    <w:p w14:paraId="14A5B3A4">
      <w:pPr>
        <w:spacing w:line="360" w:lineRule="auto"/>
        <w:ind w:firstLine="480" w:firstLineChars="200"/>
        <w:rPr>
          <w:rFonts w:ascii="宋体" w:hAnsi="宋体"/>
          <w:kern w:val="0"/>
          <w:sz w:val="24"/>
        </w:rPr>
      </w:pPr>
      <w:r>
        <w:rPr>
          <w:rFonts w:hint="eastAsia" w:ascii="宋体" w:hAnsi="宋体"/>
          <w:kern w:val="0"/>
          <w:sz w:val="24"/>
        </w:rPr>
        <w:t>（2）送达程序：发包人以下列方式之一将书面违约处理决定送达承包人：</w:t>
      </w:r>
    </w:p>
    <w:p w14:paraId="51A865A5">
      <w:pPr>
        <w:spacing w:line="360" w:lineRule="auto"/>
        <w:ind w:firstLine="480" w:firstLineChars="200"/>
        <w:rPr>
          <w:rFonts w:ascii="宋体" w:hAnsi="宋体"/>
          <w:kern w:val="0"/>
          <w:sz w:val="24"/>
        </w:rPr>
      </w:pPr>
      <w:r>
        <w:rPr>
          <w:rFonts w:hint="eastAsia" w:ascii="宋体" w:hAnsi="宋体"/>
          <w:kern w:val="0"/>
          <w:sz w:val="24"/>
        </w:rPr>
        <w:t>1）承包人现场管理机构工作人员签收。</w:t>
      </w:r>
    </w:p>
    <w:p w14:paraId="0521360F">
      <w:pPr>
        <w:spacing w:line="360" w:lineRule="auto"/>
        <w:ind w:firstLine="480" w:firstLineChars="200"/>
        <w:rPr>
          <w:rFonts w:ascii="宋体" w:hAnsi="宋体"/>
          <w:kern w:val="0"/>
          <w:sz w:val="24"/>
        </w:rPr>
      </w:pPr>
      <w:r>
        <w:rPr>
          <w:rFonts w:hint="eastAsia" w:ascii="宋体" w:hAnsi="宋体"/>
          <w:kern w:val="0"/>
          <w:sz w:val="24"/>
        </w:rPr>
        <w:t>2）承包人其它工作人员签收。</w:t>
      </w:r>
    </w:p>
    <w:p w14:paraId="3F63867E">
      <w:pPr>
        <w:spacing w:line="360" w:lineRule="auto"/>
        <w:ind w:firstLine="480" w:firstLineChars="200"/>
        <w:rPr>
          <w:rFonts w:ascii="宋体" w:hAnsi="宋体"/>
          <w:kern w:val="0"/>
          <w:sz w:val="24"/>
        </w:rPr>
      </w:pPr>
      <w:r>
        <w:rPr>
          <w:rFonts w:hint="eastAsia" w:ascii="宋体" w:hAnsi="宋体"/>
          <w:kern w:val="0"/>
          <w:sz w:val="24"/>
        </w:rPr>
        <w:t>3）发包人邮寄送达。</w:t>
      </w:r>
    </w:p>
    <w:p w14:paraId="305B4280">
      <w:pPr>
        <w:spacing w:line="360" w:lineRule="auto"/>
        <w:ind w:firstLine="480" w:firstLineChars="200"/>
        <w:rPr>
          <w:rFonts w:ascii="宋体" w:hAnsi="宋体"/>
          <w:kern w:val="0"/>
          <w:sz w:val="24"/>
        </w:rPr>
      </w:pPr>
      <w:r>
        <w:rPr>
          <w:rFonts w:hint="eastAsia" w:ascii="宋体" w:hAnsi="宋体"/>
          <w:kern w:val="0"/>
          <w:sz w:val="24"/>
        </w:rPr>
        <w:t>（3）发包人以书面形式作出的违约处理决定一经送达承包人立即生效。承包人如有足够证据证明不应由其承担违约责任的，属不需支付违约金的，应在收到违约处理决定后3天内以书面形式向发包人提出异议并附上有关证据；属需要支付违约金的，应在工程结算报告送达监理单位前以书面形式向发包人提出异议并附有关证据，发包人在收到承包人的异议后15天内审核完毕且作出书面决定并通知承包人；承包人如未在前述期限内提出书面异议的，则视为确认发包人作出的违约处理决定。在异议审核期间，承包人须正常施工，不得以审核未确定为由拖延或者中止工程施工。</w:t>
      </w:r>
    </w:p>
    <w:p w14:paraId="4BD12B1B">
      <w:pPr>
        <w:pStyle w:val="45"/>
        <w:spacing w:after="0" w:line="360" w:lineRule="auto"/>
        <w:ind w:firstLine="200"/>
        <w:rPr>
          <w:rFonts w:ascii="宋体" w:hAnsi="宋体"/>
        </w:rPr>
      </w:pPr>
      <w:r>
        <w:rPr>
          <w:rFonts w:hint="eastAsia" w:ascii="宋体" w:hAnsi="宋体"/>
          <w:kern w:val="0"/>
          <w:sz w:val="24"/>
        </w:rPr>
        <w:t>41.</w:t>
      </w:r>
      <w:r>
        <w:rPr>
          <w:rFonts w:hint="eastAsia" w:ascii="宋体" w:hAnsi="宋体" w:cs="宋体"/>
          <w:bCs/>
          <w:snapToGrid w:val="0"/>
          <w:kern w:val="0"/>
          <w:sz w:val="24"/>
          <w:szCs w:val="22"/>
        </w:rPr>
        <w:t xml:space="preserve">18 </w:t>
      </w:r>
      <w:r>
        <w:rPr>
          <w:rFonts w:hint="eastAsia" w:ascii="宋体" w:hAnsi="宋体"/>
          <w:kern w:val="0"/>
          <w:sz w:val="24"/>
        </w:rPr>
        <w:t xml:space="preserve"> 若</w:t>
      </w:r>
      <w:r>
        <w:rPr>
          <w:rFonts w:hint="eastAsia" w:ascii="宋体" w:hAnsi="宋体"/>
          <w:sz w:val="24"/>
        </w:rPr>
        <w:t>本合同第41条款</w:t>
      </w:r>
      <w:r>
        <w:rPr>
          <w:rFonts w:hint="eastAsia" w:ascii="宋体" w:hAnsi="宋体" w:cs="宋体"/>
          <w:sz w:val="24"/>
        </w:rPr>
        <w:t>及</w:t>
      </w:r>
      <w:r>
        <w:rPr>
          <w:rFonts w:hint="eastAsia" w:ascii="宋体" w:hAnsi="宋体" w:cs="宋体"/>
          <w:bCs/>
          <w:snapToGrid w:val="0"/>
          <w:kern w:val="0"/>
          <w:sz w:val="24"/>
          <w:szCs w:val="22"/>
        </w:rPr>
        <w:t>附件15</w:t>
      </w:r>
      <w:r>
        <w:rPr>
          <w:rFonts w:hint="eastAsia" w:ascii="宋体" w:hAnsi="宋体"/>
          <w:sz w:val="24"/>
        </w:rPr>
        <w:t>就同一违约行为均约定相关责任的，发包人有权选择较重标准追究承包人违约责任。</w:t>
      </w:r>
    </w:p>
    <w:p w14:paraId="758B567E">
      <w:pPr>
        <w:spacing w:line="360" w:lineRule="auto"/>
        <w:ind w:firstLine="482" w:firstLineChars="200"/>
        <w:outlineLvl w:val="1"/>
        <w:rPr>
          <w:rFonts w:ascii="宋体" w:hAnsi="宋体"/>
          <w:b/>
          <w:kern w:val="0"/>
          <w:sz w:val="24"/>
        </w:rPr>
      </w:pPr>
      <w:bookmarkStart w:id="587" w:name="_Toc104901801"/>
      <w:bookmarkStart w:id="588" w:name="_Toc15328_WPSOffice_Level3"/>
      <w:bookmarkStart w:id="589" w:name="_Toc502215523"/>
      <w:bookmarkStart w:id="590" w:name="_Toc144746273"/>
      <w:bookmarkStart w:id="591" w:name="_Toc144746903"/>
      <w:bookmarkStart w:id="592" w:name="_Toc29349"/>
      <w:bookmarkStart w:id="593" w:name="_Toc16041"/>
      <w:bookmarkStart w:id="594" w:name="_Toc504465926"/>
      <w:bookmarkStart w:id="595" w:name="_Toc518402620"/>
      <w:bookmarkStart w:id="596" w:name="_Toc6799"/>
      <w:r>
        <w:rPr>
          <w:rFonts w:hint="eastAsia" w:ascii="宋体" w:hAnsi="宋体"/>
          <w:b/>
          <w:kern w:val="0"/>
          <w:sz w:val="24"/>
        </w:rPr>
        <w:t>42、索赔</w:t>
      </w:r>
      <w:bookmarkEnd w:id="587"/>
      <w:bookmarkEnd w:id="588"/>
      <w:bookmarkEnd w:id="589"/>
      <w:bookmarkEnd w:id="590"/>
      <w:bookmarkEnd w:id="591"/>
      <w:bookmarkEnd w:id="592"/>
      <w:bookmarkEnd w:id="593"/>
      <w:bookmarkEnd w:id="594"/>
      <w:bookmarkEnd w:id="595"/>
      <w:bookmarkEnd w:id="596"/>
    </w:p>
    <w:p w14:paraId="14C22224">
      <w:pPr>
        <w:spacing w:line="360" w:lineRule="auto"/>
        <w:ind w:firstLine="480" w:firstLineChars="200"/>
        <w:rPr>
          <w:rFonts w:ascii="宋体" w:hAnsi="宋体"/>
          <w:kern w:val="0"/>
          <w:sz w:val="24"/>
        </w:rPr>
      </w:pPr>
      <w:r>
        <w:rPr>
          <w:rFonts w:hint="eastAsia" w:ascii="宋体" w:hAnsi="宋体"/>
          <w:kern w:val="0"/>
          <w:sz w:val="24"/>
        </w:rPr>
        <w:t>42.1当一方向另一方提出索赔时，要有正当索赔理由，且有索赔事件发生时的有效证据。</w:t>
      </w:r>
    </w:p>
    <w:p w14:paraId="78B4BFFF">
      <w:pPr>
        <w:spacing w:line="360" w:lineRule="auto"/>
        <w:ind w:firstLine="480" w:firstLineChars="200"/>
        <w:rPr>
          <w:rFonts w:ascii="宋体" w:hAnsi="宋体"/>
          <w:kern w:val="0"/>
          <w:sz w:val="24"/>
        </w:rPr>
      </w:pPr>
      <w:r>
        <w:rPr>
          <w:rFonts w:hint="eastAsia" w:ascii="宋体" w:hAnsi="宋体"/>
          <w:kern w:val="0"/>
          <w:sz w:val="24"/>
        </w:rPr>
        <w:t>42.2承包人向发包人索赔的程序</w:t>
      </w:r>
    </w:p>
    <w:p w14:paraId="442937E8">
      <w:pPr>
        <w:spacing w:line="360" w:lineRule="auto"/>
        <w:ind w:firstLine="480" w:firstLineChars="200"/>
        <w:rPr>
          <w:rFonts w:ascii="宋体" w:hAnsi="宋体"/>
          <w:kern w:val="0"/>
          <w:sz w:val="24"/>
        </w:rPr>
      </w:pPr>
      <w:r>
        <w:rPr>
          <w:rFonts w:hint="eastAsia" w:ascii="宋体" w:hAnsi="宋体"/>
          <w:kern w:val="0"/>
          <w:sz w:val="24"/>
        </w:rPr>
        <w:t>（1）当索赔事件首次发生后的14天内，承包人将自己的索赔意向书面通知监理单位，并呈交给发包人一份副本。若索赔事件首次发生后的14天内，承包人未提出索赔意向书，则从第15天起，监理单位及发包人有权拒绝承包人的索赔要求。</w:t>
      </w:r>
    </w:p>
    <w:p w14:paraId="45F315E3">
      <w:pPr>
        <w:spacing w:line="360" w:lineRule="auto"/>
        <w:ind w:firstLine="480" w:firstLineChars="200"/>
        <w:rPr>
          <w:rFonts w:ascii="宋体" w:hAnsi="宋体"/>
          <w:kern w:val="0"/>
          <w:sz w:val="24"/>
        </w:rPr>
      </w:pPr>
      <w:r>
        <w:rPr>
          <w:rFonts w:hint="eastAsia" w:ascii="宋体" w:hAnsi="宋体"/>
          <w:kern w:val="0"/>
          <w:sz w:val="24"/>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14:paraId="09354878">
      <w:pPr>
        <w:spacing w:line="360" w:lineRule="auto"/>
        <w:ind w:firstLine="480" w:firstLineChars="200"/>
        <w:rPr>
          <w:rFonts w:ascii="宋体" w:hAnsi="宋体"/>
          <w:kern w:val="0"/>
          <w:sz w:val="24"/>
        </w:rPr>
      </w:pPr>
      <w:r>
        <w:rPr>
          <w:rFonts w:hint="eastAsia" w:ascii="宋体" w:hAnsi="宋体"/>
          <w:kern w:val="0"/>
          <w:sz w:val="24"/>
        </w:rPr>
        <w:t>（3）承包人应在发出索赔意向通知后的14天内，向监理单位报送一份说明索赔所依据的理由和索赔款额的具体细节帐目的索赔报告。如果索赔事件尚未结束，承包人在索赔事件结束后的14天内，再报一份最终索赔报告给监理单位。</w:t>
      </w:r>
    </w:p>
    <w:p w14:paraId="7B83C4A2">
      <w:pPr>
        <w:spacing w:line="360" w:lineRule="auto"/>
        <w:ind w:firstLine="480" w:firstLineChars="200"/>
        <w:rPr>
          <w:rFonts w:ascii="宋体" w:hAnsi="宋体"/>
          <w:kern w:val="0"/>
          <w:sz w:val="24"/>
        </w:rPr>
      </w:pPr>
      <w:r>
        <w:rPr>
          <w:rFonts w:hint="eastAsia" w:ascii="宋体" w:hAnsi="宋体"/>
          <w:kern w:val="0"/>
          <w:sz w:val="24"/>
        </w:rPr>
        <w:t>（4）监理单位在收到承包人索赔报告或最终索赔报告后14天内，将处理意见书面通知发包人、承包人双方。若双方接受，此索赔事件结束；若任何一方不接受，经再次协商仍达不成一致的，则按合同条款第43条的约定处理。</w:t>
      </w:r>
    </w:p>
    <w:p w14:paraId="2628A001">
      <w:pPr>
        <w:spacing w:line="360" w:lineRule="auto"/>
        <w:ind w:firstLine="480" w:firstLineChars="200"/>
        <w:rPr>
          <w:rFonts w:ascii="宋体" w:hAnsi="宋体"/>
          <w:kern w:val="0"/>
          <w:sz w:val="24"/>
        </w:rPr>
      </w:pPr>
      <w:r>
        <w:rPr>
          <w:rFonts w:hint="eastAsia" w:ascii="宋体" w:hAnsi="宋体"/>
          <w:kern w:val="0"/>
          <w:sz w:val="24"/>
          <w:lang w:val="zh-CN"/>
        </w:rPr>
        <w:t>42.3承包人未能按合同约定履行自己的各项义务或发生错误，发包人按</w:t>
      </w:r>
      <w:r>
        <w:rPr>
          <w:rFonts w:hint="eastAsia" w:ascii="宋体" w:hAnsi="宋体"/>
          <w:kern w:val="0"/>
          <w:sz w:val="24"/>
        </w:rPr>
        <w:t>如下约定向承包人索赔：</w:t>
      </w:r>
    </w:p>
    <w:p w14:paraId="2CABF562">
      <w:pPr>
        <w:spacing w:line="360" w:lineRule="auto"/>
        <w:ind w:firstLine="480" w:firstLineChars="200"/>
        <w:rPr>
          <w:rFonts w:ascii="宋体" w:hAnsi="宋体"/>
          <w:kern w:val="0"/>
          <w:sz w:val="24"/>
        </w:rPr>
      </w:pPr>
      <w:r>
        <w:rPr>
          <w:rFonts w:hint="eastAsia" w:ascii="宋体" w:hAnsi="宋体"/>
          <w:kern w:val="0"/>
          <w:sz w:val="24"/>
        </w:rPr>
        <w:t>（1）发包人将自己的索赔意向书面通知承包人（同时抄送其担保银行），要求承包人在限期内纠正其违约行为，否则发包人将考虑按合同约定作出相关处理决定。</w:t>
      </w:r>
    </w:p>
    <w:p w14:paraId="155C5BAF">
      <w:pPr>
        <w:spacing w:line="360" w:lineRule="auto"/>
        <w:ind w:firstLine="480" w:firstLineChars="200"/>
        <w:rPr>
          <w:rFonts w:ascii="宋体" w:hAnsi="宋体"/>
          <w:kern w:val="0"/>
          <w:sz w:val="24"/>
        </w:rPr>
      </w:pPr>
      <w:r>
        <w:rPr>
          <w:rFonts w:hint="eastAsia" w:ascii="宋体" w:hAnsi="宋体"/>
          <w:kern w:val="0"/>
          <w:sz w:val="24"/>
        </w:rPr>
        <w:t>（2）限期届满，承包人没有用实际行动纠正自己的违约行为或者纠正行为不能使发包人满意或者纠正行为无法弥补发包人的损失的，则发包人直接按合同约定作出相关处理决定并向银行发出正式书面索赔通知。</w:t>
      </w:r>
    </w:p>
    <w:p w14:paraId="24CC3ADE">
      <w:pPr>
        <w:spacing w:line="360" w:lineRule="auto"/>
        <w:ind w:firstLine="480" w:firstLineChars="200"/>
        <w:rPr>
          <w:rFonts w:ascii="宋体" w:hAnsi="宋体"/>
          <w:kern w:val="0"/>
          <w:sz w:val="24"/>
        </w:rPr>
      </w:pPr>
      <w:r>
        <w:rPr>
          <w:rFonts w:hint="eastAsia" w:ascii="宋体" w:hAnsi="宋体"/>
          <w:kern w:val="0"/>
          <w:sz w:val="24"/>
        </w:rPr>
        <w:t>（3）如果通过向银行索赔的方式依然不能完全弥补发包人的损失，则发包人有权在应支付给承包人的工程款中直接扣取。同时发包人有权要求承包人在规定时间内按合同条款第47</w:t>
      </w:r>
      <w:r>
        <w:rPr>
          <w:rFonts w:hint="eastAsia" w:ascii="宋体" w:hAnsi="宋体"/>
          <w:kern w:val="0"/>
          <w:sz w:val="24"/>
          <w:lang w:val="zh-CN"/>
        </w:rPr>
        <w:t>.</w:t>
      </w:r>
      <w:r>
        <w:rPr>
          <w:rFonts w:hint="eastAsia" w:ascii="宋体" w:hAnsi="宋体" w:cs="宋体"/>
          <w:snapToGrid w:val="0"/>
          <w:kern w:val="0"/>
          <w:sz w:val="24"/>
        </w:rPr>
        <w:t>3</w:t>
      </w:r>
      <w:r>
        <w:rPr>
          <w:rFonts w:hint="eastAsia" w:ascii="宋体" w:hAnsi="宋体"/>
          <w:kern w:val="0"/>
          <w:sz w:val="24"/>
        </w:rPr>
        <w:t>款的约定向发包人补充提交履约银行保函。</w:t>
      </w:r>
    </w:p>
    <w:p w14:paraId="1292950F">
      <w:pPr>
        <w:spacing w:line="360" w:lineRule="auto"/>
        <w:ind w:firstLine="480" w:firstLineChars="200"/>
        <w:rPr>
          <w:rFonts w:ascii="宋体" w:hAnsi="宋体"/>
          <w:kern w:val="0"/>
          <w:sz w:val="24"/>
        </w:rPr>
      </w:pPr>
      <w:r>
        <w:rPr>
          <w:rFonts w:hint="eastAsia" w:ascii="宋体" w:hAnsi="宋体"/>
          <w:kern w:val="0"/>
          <w:sz w:val="24"/>
        </w:rPr>
        <w:t>42.4在任何索赔期间，不论索赔是否有据，均不能免除承包人按合同约定履行合同义务。承包人不得以此为借口，拒不履行或拖延合同的履行，否则发包人有权终止合同，并要求承包人赔偿由此导致的发包人的损失。</w:t>
      </w:r>
    </w:p>
    <w:p w14:paraId="185924BA">
      <w:pPr>
        <w:spacing w:line="360" w:lineRule="auto"/>
        <w:ind w:firstLine="482" w:firstLineChars="200"/>
        <w:outlineLvl w:val="1"/>
        <w:rPr>
          <w:rFonts w:ascii="宋体" w:hAnsi="宋体"/>
          <w:b/>
          <w:kern w:val="0"/>
          <w:sz w:val="24"/>
        </w:rPr>
      </w:pPr>
      <w:bookmarkStart w:id="597" w:name="_Toc144746274"/>
      <w:bookmarkStart w:id="598" w:name="_Toc518402621"/>
      <w:bookmarkStart w:id="599" w:name="_Toc144746904"/>
      <w:bookmarkStart w:id="600" w:name="_Toc11826"/>
      <w:bookmarkStart w:id="601" w:name="_Toc104901802"/>
      <w:bookmarkStart w:id="602" w:name="_Toc18479"/>
      <w:bookmarkStart w:id="603" w:name="_Toc504465927"/>
      <w:bookmarkStart w:id="604" w:name="_Toc4973"/>
      <w:bookmarkStart w:id="605" w:name="_Toc502215524"/>
      <w:bookmarkStart w:id="606" w:name="_Toc2538_WPSOffice_Level3"/>
      <w:r>
        <w:rPr>
          <w:rFonts w:hint="eastAsia" w:ascii="宋体" w:hAnsi="宋体"/>
          <w:b/>
          <w:kern w:val="0"/>
          <w:sz w:val="24"/>
        </w:rPr>
        <w:t>43、争议</w:t>
      </w:r>
      <w:bookmarkEnd w:id="597"/>
      <w:bookmarkEnd w:id="598"/>
      <w:bookmarkEnd w:id="599"/>
      <w:bookmarkEnd w:id="600"/>
      <w:bookmarkEnd w:id="601"/>
      <w:bookmarkEnd w:id="602"/>
      <w:bookmarkEnd w:id="603"/>
      <w:bookmarkEnd w:id="604"/>
      <w:bookmarkEnd w:id="605"/>
      <w:bookmarkEnd w:id="606"/>
    </w:p>
    <w:p w14:paraId="2D149C81">
      <w:pPr>
        <w:spacing w:line="360" w:lineRule="auto"/>
        <w:ind w:firstLine="480" w:firstLineChars="200"/>
        <w:rPr>
          <w:rFonts w:ascii="宋体" w:hAnsi="宋体"/>
          <w:kern w:val="0"/>
          <w:sz w:val="24"/>
        </w:rPr>
      </w:pPr>
      <w:r>
        <w:rPr>
          <w:rFonts w:hint="eastAsia" w:ascii="宋体" w:hAnsi="宋体"/>
          <w:kern w:val="0"/>
          <w:sz w:val="24"/>
        </w:rPr>
        <w:t>43.1因本合同或者履行本合同所产生的争议，由发包人与承包人双方协商解决，经协商达成一致意见的，应签订书面协议；协商不成的，可向本项目工程所在地有关主管部门申请调解；调解不成的，向本项目工程所在地人民法院提起诉讼。</w:t>
      </w:r>
      <w:r>
        <w:rPr>
          <w:rFonts w:hint="eastAsia" w:ascii="宋体" w:hAnsi="宋体" w:cs="宋体"/>
          <w:snapToGrid w:val="0"/>
          <w:kern w:val="0"/>
          <w:sz w:val="24"/>
        </w:rPr>
        <w:t>因提起诉讼所产生的合理费用包括但不限于律师费、公证费、公告费、调查取证费、诉讼费等均由败诉方承担。</w:t>
      </w:r>
    </w:p>
    <w:p w14:paraId="4B614E8F">
      <w:pPr>
        <w:spacing w:line="360" w:lineRule="auto"/>
        <w:ind w:firstLine="480" w:firstLineChars="200"/>
        <w:rPr>
          <w:rFonts w:ascii="宋体" w:hAnsi="宋体"/>
          <w:kern w:val="0"/>
          <w:sz w:val="24"/>
        </w:rPr>
      </w:pPr>
      <w:r>
        <w:rPr>
          <w:rFonts w:hint="eastAsia" w:ascii="宋体" w:hAnsi="宋体"/>
          <w:kern w:val="0"/>
          <w:sz w:val="24"/>
        </w:rPr>
        <w:t>43.2发生争议后，除非出现下列情况的，双方都应继续履行合同，保持施工连续，保护好已完工程：</w:t>
      </w:r>
    </w:p>
    <w:p w14:paraId="6E854F46">
      <w:pPr>
        <w:spacing w:line="360" w:lineRule="auto"/>
        <w:ind w:firstLine="480" w:firstLineChars="200"/>
        <w:rPr>
          <w:rFonts w:ascii="宋体" w:hAnsi="宋体"/>
          <w:kern w:val="0"/>
          <w:sz w:val="24"/>
        </w:rPr>
      </w:pPr>
      <w:r>
        <w:rPr>
          <w:rFonts w:hint="eastAsia" w:ascii="宋体" w:hAnsi="宋体"/>
          <w:kern w:val="0"/>
          <w:sz w:val="24"/>
        </w:rPr>
        <w:t>（1）单方违约导致合同确已无法履行，双方协议停止施工；</w:t>
      </w:r>
    </w:p>
    <w:p w14:paraId="061430A7">
      <w:pPr>
        <w:spacing w:line="360" w:lineRule="auto"/>
        <w:ind w:firstLine="480" w:firstLineChars="200"/>
        <w:rPr>
          <w:rFonts w:ascii="宋体" w:hAnsi="宋体"/>
          <w:kern w:val="0"/>
          <w:sz w:val="24"/>
        </w:rPr>
      </w:pPr>
      <w:r>
        <w:rPr>
          <w:rFonts w:hint="eastAsia" w:ascii="宋体" w:hAnsi="宋体"/>
          <w:kern w:val="0"/>
          <w:sz w:val="24"/>
        </w:rPr>
        <w:t>（2）调解要求停止施工，且为双方接受；</w:t>
      </w:r>
    </w:p>
    <w:p w14:paraId="5068E7EA">
      <w:pPr>
        <w:spacing w:line="360" w:lineRule="auto"/>
        <w:ind w:firstLine="480" w:firstLineChars="200"/>
        <w:rPr>
          <w:rFonts w:ascii="宋体" w:hAnsi="宋体"/>
          <w:kern w:val="0"/>
          <w:sz w:val="24"/>
        </w:rPr>
      </w:pPr>
      <w:r>
        <w:rPr>
          <w:rFonts w:hint="eastAsia" w:ascii="宋体" w:hAnsi="宋体"/>
          <w:kern w:val="0"/>
          <w:sz w:val="24"/>
        </w:rPr>
        <w:t>（3）仲裁机构要求停止施工；</w:t>
      </w:r>
    </w:p>
    <w:p w14:paraId="41EA3C4B">
      <w:pPr>
        <w:spacing w:line="360" w:lineRule="auto"/>
        <w:ind w:firstLine="480" w:firstLineChars="200"/>
        <w:rPr>
          <w:rFonts w:ascii="宋体" w:hAnsi="宋体"/>
          <w:kern w:val="0"/>
          <w:sz w:val="24"/>
        </w:rPr>
      </w:pPr>
      <w:r>
        <w:rPr>
          <w:rFonts w:hint="eastAsia" w:ascii="宋体" w:hAnsi="宋体"/>
          <w:kern w:val="0"/>
          <w:sz w:val="24"/>
        </w:rPr>
        <w:t>（4）法院要求停止施工。</w:t>
      </w:r>
    </w:p>
    <w:p w14:paraId="35F6F863">
      <w:pPr>
        <w:spacing w:line="360" w:lineRule="auto"/>
        <w:ind w:firstLine="480" w:firstLineChars="200"/>
        <w:rPr>
          <w:rFonts w:ascii="宋体" w:hAnsi="宋体"/>
          <w:kern w:val="0"/>
          <w:sz w:val="24"/>
        </w:rPr>
      </w:pPr>
      <w:r>
        <w:rPr>
          <w:rFonts w:hint="eastAsia" w:ascii="宋体" w:hAnsi="宋体"/>
          <w:kern w:val="0"/>
          <w:sz w:val="24"/>
        </w:rPr>
        <w:t>43.3承包人无条件承诺：争议发生后，承包人必须在做好现场证据保全后继续按照合同要求施工，不得以解决争议为由单方面停工，或者以争议解决需要时日为由拖延施工；否则，发包人有权先行解除与承包人的合同，承包人必须在7天内撤场。承包人的撤场不影响发包人另行解决争议和索赔的权利。</w:t>
      </w:r>
    </w:p>
    <w:p w14:paraId="2F706663">
      <w:pPr>
        <w:pStyle w:val="27"/>
        <w:spacing w:line="360" w:lineRule="auto"/>
        <w:ind w:firstLine="562" w:firstLineChars="200"/>
        <w:outlineLvl w:val="0"/>
        <w:rPr>
          <w:rFonts w:ascii="宋体" w:hAnsi="宋体"/>
          <w:b/>
          <w:sz w:val="28"/>
        </w:rPr>
      </w:pPr>
      <w:bookmarkStart w:id="607" w:name="_Toc504465928"/>
      <w:bookmarkStart w:id="608" w:name="_Toc518402622"/>
      <w:bookmarkStart w:id="609" w:name="_Toc104901803"/>
      <w:bookmarkStart w:id="610" w:name="_Toc24074_WPSOffice_Level2"/>
      <w:bookmarkStart w:id="611" w:name="_Toc502215525"/>
      <w:r>
        <w:rPr>
          <w:rFonts w:hint="eastAsia" w:ascii="宋体" w:hAnsi="宋体" w:cs="宋体"/>
          <w:b/>
          <w:snapToGrid w:val="0"/>
          <w:sz w:val="28"/>
          <w:szCs w:val="28"/>
        </w:rPr>
        <w:t>十一</w:t>
      </w:r>
      <w:r>
        <w:rPr>
          <w:rFonts w:hint="eastAsia" w:ascii="宋体" w:hAnsi="宋体"/>
          <w:b/>
          <w:sz w:val="28"/>
        </w:rPr>
        <w:t>、其它</w:t>
      </w:r>
      <w:bookmarkEnd w:id="607"/>
      <w:bookmarkEnd w:id="608"/>
      <w:bookmarkEnd w:id="609"/>
      <w:bookmarkEnd w:id="610"/>
      <w:bookmarkEnd w:id="611"/>
    </w:p>
    <w:p w14:paraId="73128BD7">
      <w:pPr>
        <w:spacing w:line="360" w:lineRule="auto"/>
        <w:ind w:firstLine="482" w:firstLineChars="200"/>
        <w:outlineLvl w:val="1"/>
        <w:rPr>
          <w:rFonts w:ascii="宋体" w:hAnsi="宋体"/>
          <w:b/>
          <w:kern w:val="0"/>
          <w:sz w:val="24"/>
        </w:rPr>
      </w:pPr>
      <w:bookmarkStart w:id="612" w:name="_Toc15265_WPSOffice_Level3"/>
      <w:bookmarkStart w:id="613" w:name="_Toc144746275"/>
      <w:bookmarkStart w:id="614" w:name="_Toc21389"/>
      <w:bookmarkStart w:id="615" w:name="_Toc518402623"/>
      <w:bookmarkStart w:id="616" w:name="_Toc16970"/>
      <w:bookmarkStart w:id="617" w:name="_Toc18761"/>
      <w:bookmarkStart w:id="618" w:name="_Toc144746905"/>
      <w:bookmarkStart w:id="619" w:name="_Toc502215526"/>
      <w:bookmarkStart w:id="620" w:name="_Toc504465929"/>
      <w:bookmarkStart w:id="621" w:name="_Toc104901804"/>
      <w:r>
        <w:rPr>
          <w:rFonts w:hint="eastAsia" w:ascii="宋体" w:hAnsi="宋体"/>
          <w:b/>
          <w:kern w:val="0"/>
          <w:sz w:val="24"/>
        </w:rPr>
        <w:t>44、工程分包</w:t>
      </w:r>
      <w:bookmarkEnd w:id="612"/>
      <w:bookmarkEnd w:id="613"/>
      <w:bookmarkEnd w:id="614"/>
      <w:bookmarkEnd w:id="615"/>
      <w:bookmarkEnd w:id="616"/>
      <w:bookmarkEnd w:id="617"/>
      <w:bookmarkEnd w:id="618"/>
      <w:bookmarkEnd w:id="619"/>
      <w:bookmarkEnd w:id="620"/>
      <w:bookmarkEnd w:id="621"/>
    </w:p>
    <w:p w14:paraId="21B0824A">
      <w:pPr>
        <w:spacing w:line="360" w:lineRule="auto"/>
        <w:ind w:firstLine="480" w:firstLineChars="200"/>
        <w:rPr>
          <w:rFonts w:ascii="宋体" w:hAnsi="宋体"/>
          <w:kern w:val="0"/>
          <w:sz w:val="24"/>
        </w:rPr>
      </w:pPr>
      <w:r>
        <w:rPr>
          <w:rFonts w:hint="eastAsia" w:ascii="宋体" w:hAnsi="宋体"/>
          <w:kern w:val="0"/>
          <w:sz w:val="24"/>
        </w:rPr>
        <w:t>44.1本工程的主体及关键性工作必须由承包人自行完成，不得分包。非主体、非关键性工作的分包应当在投标文件中载明并经发包人同意，承包人应严格按照投标文件的规定或发包人限定的时间与分包单位签订分包合同。</w:t>
      </w:r>
    </w:p>
    <w:p w14:paraId="3DFDB4BC">
      <w:pPr>
        <w:pStyle w:val="25"/>
        <w:spacing w:line="360" w:lineRule="auto"/>
        <w:ind w:firstLine="480" w:firstLineChars="200"/>
        <w:rPr>
          <w:rFonts w:hAnsi="宋体"/>
          <w:sz w:val="24"/>
        </w:rPr>
      </w:pPr>
      <w:r>
        <w:rPr>
          <w:rFonts w:hint="eastAsia" w:hAnsi="宋体"/>
          <w:sz w:val="24"/>
        </w:rPr>
        <w:t>承包人应当对其承包的全部建设工程负责，分包不免除承包人对全部建设工程所负的责任。分包人对其承接的分包工程负直接责任，承包人和分包人就分包工程向发包人承担连带责任。分包人因质量不满足发包人要求，如精装修工程等，发包人有权责令该单位立即退场，承包人应即刻清理该单位退场，否则发包人将按合同约定处罚承包人。因质量问题导致退场者，由此产生的一切损失及责任由承包人和分包共同承担。</w:t>
      </w:r>
    </w:p>
    <w:p w14:paraId="623F498D">
      <w:pPr>
        <w:spacing w:line="360" w:lineRule="auto"/>
        <w:ind w:firstLine="480" w:firstLineChars="200"/>
        <w:rPr>
          <w:rFonts w:ascii="宋体" w:hAnsi="宋体"/>
          <w:kern w:val="0"/>
          <w:sz w:val="24"/>
        </w:rPr>
      </w:pPr>
      <w:r>
        <w:rPr>
          <w:rFonts w:hint="eastAsia" w:ascii="宋体" w:hAnsi="宋体"/>
          <w:kern w:val="0"/>
          <w:sz w:val="24"/>
        </w:rPr>
        <w:t>44.2承包人应严格按照《房屋建筑和市政基础设施工程施工分包管理办法》（建设部令第124号）和本合同的约定做好分包管理工作，禁止将承包的工程进行转包或违法分包，禁止转让、出借企业资质证书或者以其它方式允许他人以本企业名义承揽本项目工程，严禁个人承揽分包本项目工程业务。</w:t>
      </w:r>
    </w:p>
    <w:p w14:paraId="381C2E3F">
      <w:pPr>
        <w:spacing w:line="360" w:lineRule="auto"/>
        <w:ind w:firstLine="480" w:firstLineChars="200"/>
        <w:rPr>
          <w:rFonts w:ascii="宋体" w:hAnsi="宋体"/>
          <w:kern w:val="0"/>
          <w:sz w:val="24"/>
        </w:rPr>
      </w:pPr>
      <w:r>
        <w:rPr>
          <w:rFonts w:hint="eastAsia" w:ascii="宋体" w:hAnsi="宋体"/>
          <w:kern w:val="0"/>
          <w:sz w:val="24"/>
        </w:rPr>
        <w:t>44.3工程分包不能解除承包人任何责任与义务。承包人应在分包场地派驻相应管理人员，保证本合同的履行。分包单位的任何违约行为或疏忽导致工程损害或给发包人造成其它损失，承包人承担连带责任。</w:t>
      </w:r>
    </w:p>
    <w:p w14:paraId="5BFF9C9D">
      <w:pPr>
        <w:spacing w:line="360" w:lineRule="auto"/>
        <w:ind w:firstLine="480" w:firstLineChars="200"/>
        <w:rPr>
          <w:rFonts w:ascii="宋体" w:hAnsi="宋体"/>
          <w:kern w:val="0"/>
          <w:sz w:val="24"/>
        </w:rPr>
      </w:pPr>
      <w:r>
        <w:rPr>
          <w:rFonts w:hint="eastAsia" w:ascii="宋体" w:hAnsi="宋体"/>
          <w:kern w:val="0"/>
          <w:sz w:val="24"/>
        </w:rPr>
        <w:t>44.4承包人不履行合同约定，将其承包的全部工程转包给他人，或者将其承包的全部工程肢解后以分包的名义分别发包给他人的，属于转包行为；将工程分包后，未在施工现场设立项目管理机构和派驻相应人员，未对该工程的施工活动进行组织管理的，视同转包行为。</w:t>
      </w:r>
    </w:p>
    <w:p w14:paraId="2A26139D">
      <w:pPr>
        <w:spacing w:line="360" w:lineRule="auto"/>
        <w:ind w:firstLine="480" w:firstLineChars="200"/>
        <w:rPr>
          <w:rFonts w:ascii="宋体" w:hAnsi="宋体" w:cs="宋体"/>
          <w:snapToGrid w:val="0"/>
          <w:kern w:val="0"/>
          <w:sz w:val="24"/>
        </w:rPr>
      </w:pPr>
      <w:r>
        <w:rPr>
          <w:rFonts w:hint="eastAsia" w:ascii="宋体" w:hAnsi="宋体" w:cs="宋体"/>
          <w:sz w:val="24"/>
          <w:szCs w:val="24"/>
        </w:rPr>
        <w:t>采用联合体方式承包工程的，在联合体分工协议中约定或者在项目实际实施过程中，联合体一方既不按照其资质实施设计或者施工业务，也不对工程实施组织管理，且向联合体其他成员收取管理费或者其他类似费用的，视为联合体一方将其承包的工程转包。</w:t>
      </w:r>
    </w:p>
    <w:p w14:paraId="3415DFBF">
      <w:pPr>
        <w:spacing w:line="360" w:lineRule="auto"/>
        <w:ind w:firstLine="480" w:firstLineChars="200"/>
        <w:rPr>
          <w:rFonts w:ascii="宋体" w:hAnsi="宋体"/>
          <w:kern w:val="0"/>
          <w:sz w:val="24"/>
        </w:rPr>
      </w:pPr>
      <w:r>
        <w:rPr>
          <w:rFonts w:hint="eastAsia" w:ascii="宋体" w:hAnsi="宋体"/>
          <w:kern w:val="0"/>
          <w:sz w:val="24"/>
        </w:rPr>
        <w:t>44.5下列行为，属于违法分包：</w:t>
      </w:r>
    </w:p>
    <w:p w14:paraId="443F21A8">
      <w:pPr>
        <w:spacing w:line="360" w:lineRule="auto"/>
        <w:ind w:firstLine="480" w:firstLineChars="200"/>
        <w:rPr>
          <w:rFonts w:ascii="宋体" w:hAnsi="宋体"/>
          <w:kern w:val="0"/>
          <w:sz w:val="24"/>
        </w:rPr>
      </w:pPr>
      <w:r>
        <w:rPr>
          <w:rFonts w:hint="eastAsia" w:ascii="宋体" w:hAnsi="宋体"/>
          <w:kern w:val="0"/>
          <w:sz w:val="24"/>
        </w:rPr>
        <w:t>（1）承包人将专业工程或者劳务作业分包给不具备相应资质条件的分包人的；</w:t>
      </w:r>
    </w:p>
    <w:p w14:paraId="4387C1C3">
      <w:pPr>
        <w:spacing w:line="360" w:lineRule="auto"/>
        <w:ind w:firstLine="480" w:firstLineChars="200"/>
        <w:rPr>
          <w:rFonts w:ascii="宋体" w:hAnsi="宋体"/>
          <w:kern w:val="0"/>
          <w:sz w:val="24"/>
        </w:rPr>
      </w:pPr>
      <w:r>
        <w:rPr>
          <w:rFonts w:hint="eastAsia" w:ascii="宋体" w:hAnsi="宋体"/>
          <w:kern w:val="0"/>
          <w:sz w:val="24"/>
        </w:rPr>
        <w:t>（2）本合同中未有约定，又未经发包人认可，承包人将承包工程中的部分专业工程分包给他人的。</w:t>
      </w:r>
    </w:p>
    <w:p w14:paraId="3E299E46">
      <w:pPr>
        <w:spacing w:line="360" w:lineRule="auto"/>
        <w:ind w:firstLine="480" w:firstLineChars="200"/>
        <w:rPr>
          <w:rFonts w:ascii="宋体" w:hAnsi="宋体"/>
          <w:kern w:val="0"/>
          <w:sz w:val="24"/>
        </w:rPr>
      </w:pPr>
      <w:r>
        <w:rPr>
          <w:rFonts w:hint="eastAsia" w:ascii="宋体" w:hAnsi="宋体"/>
          <w:kern w:val="0"/>
          <w:sz w:val="24"/>
        </w:rPr>
        <w:t>44.6承包人虽然没有将其承包的工程进行分包，但在施工现场所设项目管理机构的项目经理、技术管理人员、核算管理人员、质量管理人员、安全管理人员不是承包人本单位人员的，视同允许他人以本企业名义承揽工程。</w:t>
      </w:r>
    </w:p>
    <w:p w14:paraId="328B76E5">
      <w:pPr>
        <w:spacing w:line="360" w:lineRule="auto"/>
        <w:ind w:firstLine="480" w:firstLineChars="200"/>
        <w:rPr>
          <w:rFonts w:ascii="宋体" w:hAnsi="宋体"/>
          <w:kern w:val="0"/>
          <w:sz w:val="24"/>
        </w:rPr>
      </w:pPr>
      <w:r>
        <w:rPr>
          <w:rFonts w:hint="eastAsia" w:ascii="宋体" w:hAnsi="宋体"/>
          <w:kern w:val="0"/>
          <w:sz w:val="24"/>
        </w:rPr>
        <w:t>44.7承包人应参照合同条款第</w:t>
      </w:r>
      <w:r>
        <w:rPr>
          <w:rFonts w:hint="eastAsia" w:ascii="宋体" w:hAnsi="宋体" w:cs="宋体"/>
          <w:snapToGrid w:val="0"/>
          <w:kern w:val="0"/>
          <w:sz w:val="24"/>
        </w:rPr>
        <w:t>7</w:t>
      </w:r>
      <w:r>
        <w:rPr>
          <w:rFonts w:hint="eastAsia" w:ascii="宋体" w:hAnsi="宋体"/>
          <w:kern w:val="0"/>
          <w:sz w:val="24"/>
        </w:rPr>
        <w:t>条、第</w:t>
      </w:r>
      <w:r>
        <w:rPr>
          <w:rFonts w:hint="eastAsia" w:ascii="宋体" w:hAnsi="宋体" w:cs="宋体"/>
          <w:snapToGrid w:val="0"/>
          <w:kern w:val="0"/>
          <w:sz w:val="24"/>
        </w:rPr>
        <w:t>9</w:t>
      </w:r>
      <w:r>
        <w:rPr>
          <w:rFonts w:hint="eastAsia" w:ascii="宋体" w:hAnsi="宋体"/>
          <w:kern w:val="0"/>
          <w:sz w:val="24"/>
        </w:rPr>
        <w:t>条的有关约定，在发包人批准分包后5天内将分包单位工程技术管理人员名单及劳动力、施工机械设备投入计划报送发包人且负责落实到位，并接受总监理工程师和发包人代表的查验。</w:t>
      </w:r>
    </w:p>
    <w:p w14:paraId="0DA6098D">
      <w:pPr>
        <w:spacing w:line="360" w:lineRule="auto"/>
        <w:ind w:firstLine="480" w:firstLineChars="200"/>
        <w:rPr>
          <w:rFonts w:ascii="宋体" w:hAnsi="宋体"/>
          <w:kern w:val="0"/>
          <w:sz w:val="24"/>
        </w:rPr>
      </w:pPr>
      <w:r>
        <w:rPr>
          <w:rFonts w:hint="eastAsia" w:ascii="宋体" w:hAnsi="宋体"/>
          <w:kern w:val="0"/>
          <w:sz w:val="24"/>
        </w:rPr>
        <w:t>44.8分包工程价款由承包人与发包人结算。承包人应按本合同及分包合同的有关约定及时审核、申请支付各种工程、劳务及材料设备款项，并向发包人提交下列资料：</w:t>
      </w:r>
    </w:p>
    <w:p w14:paraId="09E6A883">
      <w:pPr>
        <w:spacing w:line="360" w:lineRule="auto"/>
        <w:ind w:firstLine="480" w:firstLineChars="200"/>
        <w:rPr>
          <w:rFonts w:ascii="宋体" w:hAnsi="宋体"/>
          <w:kern w:val="0"/>
          <w:sz w:val="24"/>
        </w:rPr>
      </w:pPr>
      <w:r>
        <w:rPr>
          <w:rFonts w:hint="eastAsia" w:ascii="宋体" w:hAnsi="宋体"/>
          <w:kern w:val="0"/>
          <w:sz w:val="24"/>
        </w:rPr>
        <w:t>（1）属专业工程分包的，应向发包人提交分包人提交给承包人的履约担保文件复印件（应同时携带原件供发包人复核），具体按招标文件或发包人要求执行。</w:t>
      </w:r>
    </w:p>
    <w:p w14:paraId="497D69FF">
      <w:pPr>
        <w:spacing w:line="360" w:lineRule="auto"/>
        <w:ind w:firstLine="480" w:firstLineChars="200"/>
        <w:rPr>
          <w:rFonts w:ascii="宋体" w:hAnsi="宋体"/>
          <w:kern w:val="0"/>
          <w:sz w:val="24"/>
        </w:rPr>
      </w:pPr>
      <w:r>
        <w:rPr>
          <w:rFonts w:hint="eastAsia" w:ascii="宋体" w:hAnsi="宋体"/>
          <w:kern w:val="0"/>
          <w:sz w:val="24"/>
        </w:rPr>
        <w:t>（2）属材料设备供货的，应向发包人提交供货商提交给承包人的履约担保文件复印件（应同时携带原件供发包人复核），具体按招标文件或发包人要求执行。</w:t>
      </w:r>
    </w:p>
    <w:p w14:paraId="289492A0">
      <w:pPr>
        <w:spacing w:line="360" w:lineRule="auto"/>
        <w:ind w:firstLine="480" w:firstLineChars="200"/>
        <w:rPr>
          <w:rFonts w:ascii="宋体" w:hAnsi="宋体"/>
          <w:kern w:val="0"/>
          <w:sz w:val="24"/>
        </w:rPr>
      </w:pPr>
      <w:r>
        <w:rPr>
          <w:rFonts w:hint="eastAsia" w:ascii="宋体" w:hAnsi="宋体"/>
          <w:kern w:val="0"/>
          <w:sz w:val="24"/>
        </w:rPr>
        <w:t>44.9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14:paraId="6AD0FF64">
      <w:pPr>
        <w:spacing w:line="360" w:lineRule="auto"/>
        <w:ind w:firstLine="480" w:firstLineChars="200"/>
        <w:rPr>
          <w:rFonts w:ascii="宋体" w:hAnsi="宋体"/>
          <w:kern w:val="0"/>
          <w:sz w:val="24"/>
        </w:rPr>
      </w:pPr>
      <w:r>
        <w:rPr>
          <w:rFonts w:hint="eastAsia" w:ascii="宋体" w:hAnsi="宋体"/>
          <w:kern w:val="0"/>
          <w:sz w:val="24"/>
        </w:rPr>
        <w:t>44.10承包人擅自更换投标时填报或经发包人审核后认可的专业分包单位，承包人承担50万元/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14:paraId="4F39626A">
      <w:pPr>
        <w:spacing w:line="360" w:lineRule="auto"/>
        <w:ind w:firstLine="482" w:firstLineChars="200"/>
        <w:outlineLvl w:val="1"/>
        <w:rPr>
          <w:rFonts w:ascii="宋体" w:hAnsi="宋体"/>
          <w:b/>
          <w:kern w:val="0"/>
          <w:sz w:val="24"/>
        </w:rPr>
      </w:pPr>
      <w:bookmarkStart w:id="622" w:name="_Toc518402624"/>
      <w:bookmarkStart w:id="623" w:name="_Toc502215527"/>
      <w:bookmarkStart w:id="624" w:name="_Toc104901805"/>
      <w:bookmarkStart w:id="625" w:name="_Toc5861_WPSOffice_Level3"/>
      <w:bookmarkStart w:id="626" w:name="_Toc504465930"/>
      <w:bookmarkStart w:id="627" w:name="_Toc21103"/>
      <w:bookmarkStart w:id="628" w:name="_Toc6371"/>
      <w:bookmarkStart w:id="629" w:name="_Toc144746276"/>
      <w:bookmarkStart w:id="630" w:name="_Toc26224"/>
      <w:bookmarkStart w:id="631" w:name="_Toc144746906"/>
      <w:r>
        <w:rPr>
          <w:rFonts w:hint="eastAsia" w:ascii="宋体" w:hAnsi="宋体"/>
          <w:b/>
          <w:kern w:val="0"/>
          <w:sz w:val="24"/>
        </w:rPr>
        <w:t>45、不可抗力</w:t>
      </w:r>
      <w:bookmarkEnd w:id="622"/>
      <w:bookmarkEnd w:id="623"/>
      <w:bookmarkEnd w:id="624"/>
      <w:bookmarkEnd w:id="625"/>
      <w:bookmarkEnd w:id="626"/>
      <w:bookmarkEnd w:id="627"/>
      <w:bookmarkEnd w:id="628"/>
      <w:bookmarkEnd w:id="629"/>
      <w:bookmarkEnd w:id="630"/>
      <w:bookmarkEnd w:id="631"/>
    </w:p>
    <w:p w14:paraId="67797C44">
      <w:pPr>
        <w:spacing w:line="360" w:lineRule="auto"/>
        <w:ind w:firstLine="480" w:firstLineChars="200"/>
        <w:rPr>
          <w:rFonts w:ascii="宋体" w:hAnsi="宋体"/>
          <w:kern w:val="0"/>
          <w:sz w:val="24"/>
        </w:rPr>
      </w:pPr>
      <w:r>
        <w:rPr>
          <w:rFonts w:hint="eastAsia" w:ascii="宋体" w:hAnsi="宋体"/>
          <w:kern w:val="0"/>
          <w:sz w:val="24"/>
        </w:rPr>
        <w:t>45.1不可抗力，是指不能预见、不能避免并不能克服，对本工程的施工造成重大实质性影响的自然灾害和战争、动乱（不包括承包人内部的任何纠纷和纷争）等事件。政府对本工程的政策变化、计划的调整，导致本工程不能如期进行，也属不可抗力的范围。</w:t>
      </w:r>
    </w:p>
    <w:p w14:paraId="5B67109F">
      <w:pPr>
        <w:spacing w:line="360" w:lineRule="auto"/>
        <w:ind w:firstLine="480" w:firstLineChars="200"/>
        <w:rPr>
          <w:rFonts w:ascii="宋体" w:hAnsi="宋体"/>
          <w:kern w:val="0"/>
          <w:sz w:val="24"/>
        </w:rPr>
      </w:pPr>
      <w:r>
        <w:rPr>
          <w:rFonts w:hint="eastAsia" w:ascii="宋体" w:hAnsi="宋体"/>
          <w:kern w:val="0"/>
          <w:sz w:val="24"/>
        </w:rPr>
        <w:t>自然灾害的范围及其认定方式，按如下约定执行：</w:t>
      </w:r>
    </w:p>
    <w:p w14:paraId="13E00EE4">
      <w:pPr>
        <w:spacing w:line="360" w:lineRule="auto"/>
        <w:ind w:firstLine="480" w:firstLineChars="200"/>
        <w:rPr>
          <w:rFonts w:ascii="宋体" w:hAnsi="宋体"/>
          <w:kern w:val="0"/>
          <w:sz w:val="24"/>
        </w:rPr>
      </w:pPr>
      <w:r>
        <w:rPr>
          <w:rFonts w:hint="eastAsia" w:ascii="宋体" w:hAnsi="宋体"/>
          <w:kern w:val="0"/>
          <w:sz w:val="24"/>
        </w:rPr>
        <w:t>（1）异常天气：仅指50年（含50年）一遇以上的洪水或10级（含10级）以上的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14:paraId="758BE875">
      <w:pPr>
        <w:spacing w:line="360" w:lineRule="auto"/>
        <w:ind w:firstLine="480" w:firstLineChars="200"/>
        <w:rPr>
          <w:rFonts w:ascii="宋体" w:hAnsi="宋体"/>
          <w:kern w:val="0"/>
          <w:sz w:val="24"/>
        </w:rPr>
      </w:pPr>
      <w:r>
        <w:rPr>
          <w:rFonts w:hint="eastAsia" w:ascii="宋体" w:hAnsi="宋体"/>
          <w:kern w:val="0"/>
          <w:sz w:val="24"/>
        </w:rPr>
        <w:t>（2）里氏5级（含5级）以上的地震。</w:t>
      </w:r>
    </w:p>
    <w:p w14:paraId="0D065D73">
      <w:pPr>
        <w:spacing w:line="360" w:lineRule="auto"/>
        <w:ind w:firstLine="480" w:firstLineChars="200"/>
        <w:rPr>
          <w:rFonts w:ascii="宋体" w:hAnsi="宋体"/>
          <w:kern w:val="0"/>
          <w:sz w:val="24"/>
        </w:rPr>
      </w:pPr>
      <w:r>
        <w:rPr>
          <w:rFonts w:hint="eastAsia" w:ascii="宋体" w:hAnsi="宋体"/>
          <w:kern w:val="0"/>
          <w:sz w:val="24"/>
        </w:rPr>
        <w:t>45.2不可抗力事件发生后，承包人应立即通知总监理工程师，并在力所有及的条件下迅速采取措施，尽力减少损失，发包人应协助承包人采取措施。总监理工程师认为应当暂停施工的，承包人应暂停施工。不可抗力事件结束后48小时内承包人向总监理工程师通报受害情况和损失情况，及预计清理和修复的费用。不可抗力事件持续发生，承包人应每隔7天向总监理工程师报告一次受害情况。不可抗力事件结束后14天内，承包人向总监理工程师提交清理和修复费用的正式报告及有关资料。</w:t>
      </w:r>
    </w:p>
    <w:p w14:paraId="61D1831E">
      <w:pPr>
        <w:spacing w:line="360" w:lineRule="auto"/>
        <w:ind w:firstLine="480" w:firstLineChars="200"/>
        <w:rPr>
          <w:rFonts w:ascii="宋体" w:hAnsi="宋体"/>
          <w:kern w:val="0"/>
          <w:sz w:val="24"/>
        </w:rPr>
      </w:pPr>
      <w:r>
        <w:rPr>
          <w:rFonts w:hint="eastAsia" w:ascii="宋体" w:hAnsi="宋体"/>
          <w:kern w:val="0"/>
          <w:sz w:val="24"/>
        </w:rPr>
        <w:t>45.3因不可抗力引起工程停工的，工期按合同条款第</w:t>
      </w:r>
      <w:r>
        <w:rPr>
          <w:rFonts w:hint="eastAsia" w:ascii="宋体" w:hAnsi="宋体" w:cs="宋体"/>
          <w:snapToGrid w:val="0"/>
          <w:kern w:val="0"/>
          <w:sz w:val="24"/>
        </w:rPr>
        <w:t>16</w:t>
      </w:r>
      <w:r>
        <w:rPr>
          <w:rFonts w:hint="eastAsia" w:ascii="宋体" w:hAnsi="宋体"/>
          <w:kern w:val="0"/>
          <w:sz w:val="24"/>
        </w:rPr>
        <w:t>条的有关约定执行，费用承担按如下约定执行：</w:t>
      </w:r>
    </w:p>
    <w:p w14:paraId="057678A0">
      <w:pPr>
        <w:spacing w:line="360" w:lineRule="auto"/>
        <w:ind w:firstLine="480" w:firstLineChars="200"/>
        <w:rPr>
          <w:rFonts w:ascii="宋体" w:hAnsi="宋体"/>
          <w:kern w:val="0"/>
          <w:sz w:val="24"/>
        </w:rPr>
      </w:pPr>
      <w:r>
        <w:rPr>
          <w:rFonts w:hint="eastAsia" w:ascii="宋体" w:hAnsi="宋体"/>
          <w:kern w:val="0"/>
          <w:sz w:val="24"/>
        </w:rPr>
        <w:t xml:space="preserve">(1)工程本身的损害、因工程损害导致第三人人员伤亡和财产损失以及运至施工场地用于施工的材料和待安装的设备的损害，由发包人承担，如因承包人原因所导致的，发包人有权向承包人追偿； </w:t>
      </w:r>
    </w:p>
    <w:p w14:paraId="152099B7">
      <w:pPr>
        <w:spacing w:line="360" w:lineRule="auto"/>
        <w:ind w:firstLine="480" w:firstLineChars="200"/>
        <w:rPr>
          <w:rFonts w:ascii="宋体" w:hAnsi="宋体"/>
          <w:kern w:val="0"/>
          <w:sz w:val="24"/>
        </w:rPr>
      </w:pPr>
      <w:r>
        <w:rPr>
          <w:rFonts w:hint="eastAsia" w:ascii="宋体" w:hAnsi="宋体"/>
          <w:kern w:val="0"/>
          <w:sz w:val="24"/>
        </w:rPr>
        <w:t xml:space="preserve">(2)发包人承包人人员伤亡由其所在单位负责，并承担相应费用； </w:t>
      </w:r>
    </w:p>
    <w:p w14:paraId="603C2AFE">
      <w:pPr>
        <w:spacing w:line="360" w:lineRule="auto"/>
        <w:ind w:firstLine="480" w:firstLineChars="200"/>
        <w:rPr>
          <w:rFonts w:ascii="宋体" w:hAnsi="宋体"/>
          <w:kern w:val="0"/>
          <w:sz w:val="24"/>
        </w:rPr>
      </w:pPr>
      <w:r>
        <w:rPr>
          <w:rFonts w:hint="eastAsia" w:ascii="宋体" w:hAnsi="宋体"/>
          <w:kern w:val="0"/>
          <w:sz w:val="24"/>
        </w:rPr>
        <w:t xml:space="preserve">(3)承包人机械设备损坏及停工损失，由承包人承担； </w:t>
      </w:r>
    </w:p>
    <w:p w14:paraId="3BF87B35">
      <w:pPr>
        <w:spacing w:line="360" w:lineRule="auto"/>
        <w:ind w:firstLine="480" w:firstLineChars="200"/>
        <w:rPr>
          <w:rFonts w:ascii="宋体" w:hAnsi="宋体"/>
          <w:kern w:val="0"/>
          <w:sz w:val="24"/>
        </w:rPr>
      </w:pPr>
      <w:r>
        <w:rPr>
          <w:rFonts w:hint="eastAsia" w:ascii="宋体" w:hAnsi="宋体"/>
          <w:kern w:val="0"/>
          <w:sz w:val="24"/>
        </w:rPr>
        <w:t xml:space="preserve">(4)停工期间，承包人应工程师要求留在施工场地的必要的管理人员及保卫人员的费用由发包人承担； </w:t>
      </w:r>
    </w:p>
    <w:p w14:paraId="13BCDA79">
      <w:pPr>
        <w:spacing w:line="360" w:lineRule="auto"/>
        <w:ind w:firstLine="480" w:firstLineChars="200"/>
        <w:rPr>
          <w:rFonts w:ascii="宋体" w:hAnsi="宋体"/>
          <w:kern w:val="0"/>
          <w:sz w:val="24"/>
        </w:rPr>
      </w:pPr>
      <w:r>
        <w:rPr>
          <w:rFonts w:hint="eastAsia" w:ascii="宋体" w:hAnsi="宋体"/>
          <w:kern w:val="0"/>
          <w:sz w:val="24"/>
        </w:rPr>
        <w:t xml:space="preserve">(5)工程所需清理、修复费用，由发包人承担； </w:t>
      </w:r>
    </w:p>
    <w:p w14:paraId="27102470">
      <w:pPr>
        <w:spacing w:line="360" w:lineRule="auto"/>
        <w:ind w:firstLine="480" w:firstLineChars="200"/>
        <w:rPr>
          <w:rFonts w:ascii="宋体" w:hAnsi="宋体"/>
          <w:kern w:val="0"/>
          <w:sz w:val="24"/>
        </w:rPr>
      </w:pPr>
      <w:r>
        <w:rPr>
          <w:rFonts w:hint="eastAsia" w:ascii="宋体" w:hAnsi="宋体"/>
          <w:kern w:val="0"/>
          <w:sz w:val="24"/>
        </w:rPr>
        <w:t>(6)延误的工期相应顺延，除本合同另有约定外，发包人对此无需给与承包人其他费用补偿或赔偿；</w:t>
      </w:r>
    </w:p>
    <w:p w14:paraId="2526580B">
      <w:pPr>
        <w:spacing w:line="360" w:lineRule="auto"/>
        <w:ind w:firstLine="480" w:firstLineChars="200"/>
        <w:rPr>
          <w:rFonts w:ascii="宋体" w:hAnsi="宋体"/>
          <w:kern w:val="0"/>
          <w:sz w:val="24"/>
        </w:rPr>
      </w:pPr>
      <w:r>
        <w:rPr>
          <w:rFonts w:hint="eastAsia" w:ascii="宋体" w:hAnsi="宋体"/>
          <w:kern w:val="0"/>
          <w:sz w:val="24"/>
        </w:rPr>
        <w:t>（7）承包人在停工期间按照发包人要求照管、清理和修复的费用由经发包人确认后，由发包人承担。</w:t>
      </w:r>
    </w:p>
    <w:p w14:paraId="0B7F0311">
      <w:pPr>
        <w:spacing w:line="360" w:lineRule="auto"/>
        <w:ind w:firstLine="480" w:firstLineChars="200"/>
        <w:rPr>
          <w:rFonts w:ascii="宋体" w:hAnsi="宋体"/>
          <w:kern w:val="0"/>
          <w:sz w:val="24"/>
        </w:rPr>
      </w:pPr>
      <w:r>
        <w:rPr>
          <w:rFonts w:hint="eastAsia" w:ascii="宋体" w:hAnsi="宋体"/>
          <w:kern w:val="0"/>
          <w:sz w:val="24"/>
        </w:rPr>
        <w:t>45.4因合同一方迟延履行合同后发生不可抗力的，不能免除迟延履行方的相应责任。</w:t>
      </w:r>
    </w:p>
    <w:p w14:paraId="18AA687D">
      <w:pPr>
        <w:spacing w:line="360" w:lineRule="auto"/>
        <w:ind w:firstLine="482" w:firstLineChars="200"/>
        <w:outlineLvl w:val="1"/>
        <w:rPr>
          <w:rFonts w:ascii="宋体" w:hAnsi="宋体"/>
          <w:b/>
          <w:kern w:val="0"/>
          <w:sz w:val="24"/>
        </w:rPr>
      </w:pPr>
      <w:bookmarkStart w:id="632" w:name="_Toc104901806"/>
      <w:bookmarkStart w:id="633" w:name="_Toc25587"/>
      <w:bookmarkStart w:id="634" w:name="_Toc144746277"/>
      <w:bookmarkStart w:id="635" w:name="_Toc27536"/>
      <w:bookmarkStart w:id="636" w:name="_Toc25391_WPSOffice_Level3"/>
      <w:bookmarkStart w:id="637" w:name="_Toc12903"/>
      <w:bookmarkStart w:id="638" w:name="_Toc518402625"/>
      <w:bookmarkStart w:id="639" w:name="_Toc144746907"/>
      <w:bookmarkStart w:id="640" w:name="_Toc504465931"/>
      <w:bookmarkStart w:id="641" w:name="_Toc502215528"/>
      <w:r>
        <w:rPr>
          <w:rFonts w:hint="eastAsia" w:ascii="宋体" w:hAnsi="宋体"/>
          <w:b/>
          <w:kern w:val="0"/>
          <w:sz w:val="24"/>
        </w:rPr>
        <w:t>46、保险</w:t>
      </w:r>
      <w:bookmarkEnd w:id="632"/>
      <w:bookmarkEnd w:id="633"/>
      <w:bookmarkEnd w:id="634"/>
      <w:bookmarkEnd w:id="635"/>
      <w:bookmarkEnd w:id="636"/>
      <w:bookmarkEnd w:id="637"/>
      <w:bookmarkEnd w:id="638"/>
      <w:bookmarkEnd w:id="639"/>
      <w:bookmarkEnd w:id="640"/>
      <w:bookmarkEnd w:id="641"/>
    </w:p>
    <w:p w14:paraId="787F0EEF">
      <w:pPr>
        <w:spacing w:line="360" w:lineRule="auto"/>
        <w:ind w:firstLine="480" w:firstLineChars="200"/>
        <w:rPr>
          <w:rFonts w:ascii="宋体" w:hAnsi="宋体"/>
          <w:kern w:val="0"/>
          <w:sz w:val="24"/>
        </w:rPr>
      </w:pPr>
      <w:r>
        <w:rPr>
          <w:rFonts w:hint="eastAsia" w:ascii="宋体" w:hAnsi="宋体"/>
          <w:kern w:val="0"/>
          <w:sz w:val="24"/>
        </w:rPr>
        <w:t>46.1保险事故发生时，发包人、承包人有责任尽力采取必要的措施，防止或者减少损失。</w:t>
      </w:r>
    </w:p>
    <w:p w14:paraId="4259F711">
      <w:pPr>
        <w:spacing w:line="360" w:lineRule="auto"/>
        <w:ind w:firstLine="480" w:firstLineChars="200"/>
        <w:rPr>
          <w:rFonts w:ascii="宋体" w:hAnsi="宋体"/>
          <w:kern w:val="0"/>
          <w:sz w:val="24"/>
        </w:rPr>
      </w:pPr>
      <w:r>
        <w:rPr>
          <w:rFonts w:hint="eastAsia" w:ascii="宋体" w:hAnsi="宋体"/>
          <w:kern w:val="0"/>
          <w:sz w:val="24"/>
        </w:rPr>
        <w:t>46.2承包人应当购买的保险包括：</w:t>
      </w:r>
    </w:p>
    <w:p w14:paraId="6B7206F7">
      <w:pPr>
        <w:spacing w:line="360" w:lineRule="auto"/>
        <w:ind w:firstLine="480" w:firstLineChars="200"/>
        <w:rPr>
          <w:rFonts w:ascii="宋体" w:hAnsi="宋体"/>
          <w:kern w:val="0"/>
          <w:sz w:val="24"/>
        </w:rPr>
      </w:pPr>
      <w:r>
        <w:rPr>
          <w:rFonts w:hint="eastAsia" w:ascii="宋体" w:hAnsi="宋体"/>
          <w:kern w:val="0"/>
          <w:sz w:val="24"/>
        </w:rPr>
        <w:t>（1）建筑职工意外伤害险（足额购买）；</w:t>
      </w:r>
    </w:p>
    <w:p w14:paraId="2C0BB483">
      <w:pPr>
        <w:spacing w:line="360" w:lineRule="auto"/>
        <w:ind w:firstLine="480" w:firstLineChars="200"/>
        <w:rPr>
          <w:rFonts w:ascii="宋体" w:hAnsi="宋体"/>
          <w:b/>
          <w:kern w:val="0"/>
          <w:sz w:val="24"/>
        </w:rPr>
      </w:pPr>
      <w:r>
        <w:rPr>
          <w:rFonts w:hint="eastAsia" w:ascii="宋体" w:hAnsi="宋体"/>
          <w:kern w:val="0"/>
          <w:sz w:val="24"/>
        </w:rPr>
        <w:t>（2）承包人雇主责任险；</w:t>
      </w:r>
    </w:p>
    <w:p w14:paraId="2407AB99">
      <w:pPr>
        <w:spacing w:line="360" w:lineRule="auto"/>
        <w:ind w:firstLine="480" w:firstLineChars="200"/>
        <w:rPr>
          <w:rFonts w:ascii="宋体" w:hAnsi="宋体"/>
          <w:kern w:val="0"/>
          <w:sz w:val="24"/>
        </w:rPr>
      </w:pPr>
      <w:r>
        <w:rPr>
          <w:rFonts w:hint="eastAsia" w:ascii="宋体" w:hAnsi="宋体"/>
          <w:kern w:val="0"/>
          <w:sz w:val="24"/>
        </w:rPr>
        <w:t>（3）施工机械设备保险；</w:t>
      </w:r>
    </w:p>
    <w:p w14:paraId="7E826D04">
      <w:pPr>
        <w:spacing w:line="360" w:lineRule="auto"/>
        <w:ind w:firstLine="480" w:firstLineChars="200"/>
        <w:rPr>
          <w:rFonts w:ascii="宋体" w:hAnsi="宋体" w:cs="宋体"/>
          <w:snapToGrid w:val="0"/>
          <w:kern w:val="0"/>
          <w:sz w:val="24"/>
        </w:rPr>
      </w:pPr>
      <w:r>
        <w:rPr>
          <w:rFonts w:hint="eastAsia" w:ascii="宋体" w:hAnsi="宋体"/>
          <w:kern w:val="0"/>
          <w:sz w:val="24"/>
        </w:rPr>
        <w:t>（4</w:t>
      </w:r>
      <w:r>
        <w:rPr>
          <w:rFonts w:hint="eastAsia" w:ascii="宋体" w:hAnsi="宋体" w:cs="宋体"/>
          <w:snapToGrid w:val="0"/>
          <w:kern w:val="0"/>
          <w:sz w:val="24"/>
        </w:rPr>
        <w:t>）建设工程设计责任险；</w:t>
      </w:r>
    </w:p>
    <w:p w14:paraId="152BCCF9">
      <w:pPr>
        <w:spacing w:line="360" w:lineRule="auto"/>
        <w:ind w:firstLine="480" w:firstLineChars="200"/>
        <w:rPr>
          <w:rFonts w:ascii="宋体" w:hAnsi="宋体"/>
          <w:kern w:val="0"/>
          <w:sz w:val="24"/>
        </w:rPr>
      </w:pPr>
      <w:r>
        <w:rPr>
          <w:rFonts w:hint="eastAsia" w:ascii="宋体" w:hAnsi="宋体" w:cs="宋体"/>
          <w:snapToGrid w:val="0"/>
          <w:kern w:val="0"/>
          <w:sz w:val="24"/>
        </w:rPr>
        <w:t>（5</w:t>
      </w:r>
      <w:r>
        <w:rPr>
          <w:rFonts w:hint="eastAsia" w:ascii="宋体" w:hAnsi="宋体"/>
          <w:kern w:val="0"/>
          <w:sz w:val="24"/>
        </w:rPr>
        <w:t>）建筑业职工工伤保险[按《广州市建筑业职工参加工伤保险实施办法》（穗人社发〔2015〕73号）的规定购买]。</w:t>
      </w:r>
    </w:p>
    <w:p w14:paraId="787EC70E">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（6）工程保险（如建筑工程一切险与安装工程一切险）。保险第一受益人为发包人或发包人指定单位。</w:t>
      </w:r>
    </w:p>
    <w:p w14:paraId="447E4F34">
      <w:pPr>
        <w:spacing w:line="360" w:lineRule="auto"/>
        <w:ind w:firstLine="480" w:firstLineChars="200"/>
        <w:rPr>
          <w:rFonts w:ascii="宋体" w:hAnsi="宋体"/>
          <w:kern w:val="0"/>
          <w:sz w:val="24"/>
        </w:rPr>
      </w:pPr>
      <w:r>
        <w:rPr>
          <w:rFonts w:hint="eastAsia" w:ascii="宋体" w:hAnsi="宋体" w:cs="宋体"/>
          <w:snapToGrid w:val="0"/>
          <w:kern w:val="0"/>
          <w:sz w:val="24"/>
        </w:rPr>
        <w:t>（7）安全生产责任保险[按《广州市年度安全生产责任保险工作方案》、《广州市黄埔区 广州开发区年度安全生产责任保险工作方案》的规定购买]。</w:t>
      </w:r>
    </w:p>
    <w:p w14:paraId="33E81E45">
      <w:pPr>
        <w:spacing w:line="360" w:lineRule="auto"/>
        <w:ind w:firstLine="480" w:firstLineChars="200"/>
        <w:rPr>
          <w:rFonts w:ascii="宋体" w:hAnsi="宋体"/>
          <w:kern w:val="0"/>
          <w:sz w:val="24"/>
        </w:rPr>
      </w:pPr>
      <w:r>
        <w:rPr>
          <w:rFonts w:hint="eastAsia" w:ascii="宋体" w:hAnsi="宋体"/>
          <w:kern w:val="0"/>
          <w:sz w:val="24"/>
        </w:rPr>
        <w:t>承包人不按上述约定购买保险所产生的后果，由承包人自行承担，包括但不限于原应由保险赔付的损失。</w:t>
      </w:r>
    </w:p>
    <w:p w14:paraId="73DE77DD">
      <w:pPr>
        <w:spacing w:line="360" w:lineRule="auto"/>
        <w:ind w:firstLine="482" w:firstLineChars="200"/>
        <w:outlineLvl w:val="1"/>
        <w:rPr>
          <w:rFonts w:ascii="宋体" w:hAnsi="宋体"/>
          <w:b/>
          <w:kern w:val="0"/>
          <w:sz w:val="24"/>
        </w:rPr>
      </w:pPr>
      <w:bookmarkStart w:id="642" w:name="_Toc144746278"/>
      <w:bookmarkStart w:id="643" w:name="_Toc30081_WPSOffice_Level3"/>
      <w:bookmarkStart w:id="644" w:name="_Toc518402626"/>
      <w:bookmarkStart w:id="645" w:name="_Toc16523"/>
      <w:bookmarkStart w:id="646" w:name="_Toc502215529"/>
      <w:bookmarkStart w:id="647" w:name="_Toc504465932"/>
      <w:bookmarkStart w:id="648" w:name="_Toc22573"/>
      <w:bookmarkStart w:id="649" w:name="_Toc104901807"/>
      <w:bookmarkStart w:id="650" w:name="_Toc24861"/>
      <w:bookmarkStart w:id="651" w:name="_Toc144746908"/>
      <w:r>
        <w:rPr>
          <w:rFonts w:hint="eastAsia" w:ascii="宋体" w:hAnsi="宋体"/>
          <w:b/>
          <w:kern w:val="0"/>
          <w:sz w:val="24"/>
        </w:rPr>
        <w:t>47、担保</w:t>
      </w:r>
      <w:bookmarkEnd w:id="642"/>
      <w:bookmarkEnd w:id="643"/>
      <w:bookmarkEnd w:id="644"/>
      <w:bookmarkEnd w:id="645"/>
      <w:bookmarkEnd w:id="646"/>
      <w:bookmarkEnd w:id="647"/>
      <w:bookmarkEnd w:id="648"/>
      <w:bookmarkEnd w:id="649"/>
      <w:bookmarkEnd w:id="650"/>
      <w:bookmarkEnd w:id="651"/>
    </w:p>
    <w:p w14:paraId="39849DB9">
      <w:pPr>
        <w:spacing w:line="360" w:lineRule="auto"/>
        <w:ind w:firstLine="480" w:firstLineChars="200"/>
        <w:rPr>
          <w:rFonts w:ascii="宋体" w:hAnsi="宋体"/>
          <w:kern w:val="0"/>
          <w:sz w:val="24"/>
        </w:rPr>
      </w:pPr>
      <w:r>
        <w:rPr>
          <w:rFonts w:hint="eastAsia" w:ascii="宋体" w:hAnsi="宋体" w:cs="宋体"/>
          <w:snapToGrid w:val="0"/>
          <w:kern w:val="0"/>
          <w:sz w:val="24"/>
        </w:rPr>
        <w:t>47.1双方同意，</w:t>
      </w:r>
      <w:r>
        <w:rPr>
          <w:rFonts w:hint="eastAsia" w:ascii="宋体" w:hAnsi="宋体"/>
          <w:kern w:val="0"/>
          <w:sz w:val="24"/>
        </w:rPr>
        <w:t>承包人按如下</w:t>
      </w:r>
      <w:r>
        <w:rPr>
          <w:rFonts w:hint="eastAsia" w:ascii="宋体" w:hAnsi="宋体" w:cs="宋体"/>
          <w:snapToGrid w:val="0"/>
          <w:kern w:val="0"/>
          <w:sz w:val="24"/>
        </w:rPr>
        <w:t>约定</w:t>
      </w:r>
      <w:r>
        <w:rPr>
          <w:rFonts w:hint="eastAsia" w:ascii="宋体" w:hAnsi="宋体"/>
          <w:kern w:val="0"/>
          <w:sz w:val="24"/>
        </w:rPr>
        <w:t>向发包人提供履约担保：</w:t>
      </w:r>
    </w:p>
    <w:p w14:paraId="1A0107B2">
      <w:pPr>
        <w:pStyle w:val="46"/>
        <w:spacing w:after="0"/>
        <w:ind w:left="0" w:leftChars="0" w:firstLine="480"/>
        <w:rPr>
          <w:rFonts w:ascii="宋体" w:hAnsi="宋体" w:cs="宋体"/>
          <w:snapToGrid w:val="0"/>
          <w:kern w:val="0"/>
          <w:szCs w:val="22"/>
        </w:rPr>
      </w:pPr>
      <w:r>
        <w:rPr>
          <w:rFonts w:hint="eastAsia" w:ascii="宋体" w:hAnsi="宋体" w:cs="宋体"/>
          <w:snapToGrid w:val="0"/>
          <w:kern w:val="0"/>
          <w:szCs w:val="22"/>
        </w:rPr>
        <w:t>（1）</w:t>
      </w:r>
      <w:r>
        <w:rPr>
          <w:rFonts w:ascii="宋体" w:hAnsi="宋体" w:cs="宋体"/>
          <w:snapToGrid w:val="0"/>
          <w:kern w:val="0"/>
          <w:szCs w:val="22"/>
        </w:rPr>
        <w:t>承包人按合同附件的格式向发包人提交担保金额为中标价总额</w:t>
      </w:r>
      <w:r>
        <w:rPr>
          <w:rFonts w:hint="eastAsia" w:ascii="宋体" w:hAnsi="宋体" w:cs="宋体"/>
          <w:snapToGrid w:val="0"/>
          <w:kern w:val="0"/>
          <w:szCs w:val="22"/>
          <w:lang w:eastAsia="zh-CN"/>
        </w:rPr>
        <w:t>（</w:t>
      </w:r>
      <w:r>
        <w:rPr>
          <w:rFonts w:hint="eastAsia" w:ascii="宋体" w:hAnsi="宋体" w:cs="宋体"/>
          <w:snapToGrid w:val="0"/>
          <w:kern w:val="0"/>
          <w:szCs w:val="22"/>
          <w:lang w:val="en-US" w:eastAsia="zh-CN"/>
        </w:rPr>
        <w:t>剔除勘察费，勘察单位无须开具保函</w:t>
      </w:r>
      <w:r>
        <w:rPr>
          <w:rFonts w:hint="eastAsia" w:ascii="宋体" w:hAnsi="宋体" w:cs="宋体"/>
          <w:snapToGrid w:val="0"/>
          <w:kern w:val="0"/>
          <w:szCs w:val="22"/>
          <w:lang w:eastAsia="zh-CN"/>
        </w:rPr>
        <w:t>）</w:t>
      </w:r>
      <w:r>
        <w:rPr>
          <w:rFonts w:ascii="宋体" w:hAnsi="宋体" w:cs="宋体"/>
          <w:snapToGrid w:val="0"/>
          <w:kern w:val="0"/>
          <w:szCs w:val="22"/>
        </w:rPr>
        <w:t>10%的履约担保，以银行保函形式向发包人提交由在中国人民共和国注册并经营的分行以上银行开具的无条件不可撤销、见索即付的履约担保</w:t>
      </w:r>
      <w:r>
        <w:rPr>
          <w:rFonts w:hint="eastAsia" w:ascii="宋体" w:hAnsi="宋体" w:cs="宋体"/>
          <w:snapToGrid w:val="0"/>
          <w:kern w:val="0"/>
          <w:szCs w:val="22"/>
        </w:rPr>
        <w:t>。</w:t>
      </w:r>
    </w:p>
    <w:p w14:paraId="4E7E1AA8">
      <w:pPr>
        <w:pStyle w:val="46"/>
        <w:spacing w:after="0"/>
        <w:ind w:left="0" w:leftChars="0" w:firstLine="480"/>
        <w:rPr>
          <w:rFonts w:ascii="宋体" w:hAnsi="宋体" w:cs="宋体"/>
          <w:snapToGrid w:val="0"/>
          <w:kern w:val="0"/>
          <w:szCs w:val="22"/>
        </w:rPr>
      </w:pPr>
      <w:r>
        <w:rPr>
          <w:rFonts w:hint="eastAsia" w:ascii="宋体" w:hAnsi="宋体" w:cs="宋体"/>
          <w:snapToGrid w:val="0"/>
          <w:kern w:val="0"/>
          <w:szCs w:val="22"/>
        </w:rPr>
        <w:t>（</w:t>
      </w:r>
      <w:r>
        <w:rPr>
          <w:rFonts w:hint="eastAsia" w:ascii="宋体" w:hAnsi="宋体" w:cs="宋体"/>
          <w:snapToGrid w:val="0"/>
          <w:kern w:val="0"/>
          <w:szCs w:val="22"/>
          <w:lang w:val="en-US" w:eastAsia="zh-CN"/>
        </w:rPr>
        <w:t>2</w:t>
      </w:r>
      <w:r>
        <w:rPr>
          <w:rFonts w:hint="eastAsia" w:ascii="宋体" w:hAnsi="宋体" w:cs="宋体"/>
          <w:snapToGrid w:val="0"/>
          <w:kern w:val="0"/>
          <w:szCs w:val="22"/>
        </w:rPr>
        <w:t>）本合同签订生效后</w:t>
      </w:r>
      <w:r>
        <w:rPr>
          <w:rFonts w:ascii="宋体" w:hAnsi="宋体" w:cs="宋体"/>
          <w:snapToGrid w:val="0"/>
          <w:kern w:val="0"/>
          <w:szCs w:val="22"/>
        </w:rPr>
        <w:t>45日内，联合体成员方（即设计单位）按设计费中标价的10%开具履约保函，承包人担保有效期至本合同承包范围内全部工程竣工验收合格且移交之日。</w:t>
      </w:r>
    </w:p>
    <w:p w14:paraId="6BEE2486">
      <w:pPr>
        <w:pStyle w:val="46"/>
        <w:spacing w:after="0"/>
        <w:ind w:left="0" w:leftChars="0" w:firstLine="480"/>
        <w:rPr>
          <w:rFonts w:ascii="宋体" w:hAnsi="宋体"/>
        </w:rPr>
      </w:pPr>
      <w:r>
        <w:rPr>
          <w:rFonts w:hint="eastAsia" w:ascii="宋体" w:hAnsi="宋体" w:cs="宋体"/>
          <w:snapToGrid w:val="0"/>
          <w:kern w:val="0"/>
          <w:szCs w:val="22"/>
        </w:rPr>
        <w:t>（</w:t>
      </w:r>
      <w:r>
        <w:rPr>
          <w:rFonts w:hint="eastAsia" w:ascii="宋体" w:hAnsi="宋体" w:cs="宋体"/>
          <w:snapToGrid w:val="0"/>
          <w:kern w:val="0"/>
          <w:szCs w:val="22"/>
          <w:lang w:val="en-US" w:eastAsia="zh-CN"/>
        </w:rPr>
        <w:t>3</w:t>
      </w:r>
      <w:r>
        <w:rPr>
          <w:rFonts w:hint="eastAsia" w:ascii="宋体" w:hAnsi="宋体" w:cs="宋体"/>
          <w:snapToGrid w:val="0"/>
          <w:kern w:val="0"/>
          <w:szCs w:val="22"/>
        </w:rPr>
        <w:t>）</w:t>
      </w:r>
      <w:r>
        <w:rPr>
          <w:rFonts w:ascii="宋体" w:hAnsi="宋体" w:cs="宋体"/>
          <w:snapToGrid w:val="0"/>
          <w:kern w:val="0"/>
          <w:szCs w:val="22"/>
        </w:rPr>
        <w:t>履约担保到期但工程尚未验收的，承包人应自觉办理保函延期手续，确保担保期限不出现空缺，否则，发包人不予支付工程款。</w:t>
      </w:r>
    </w:p>
    <w:p w14:paraId="7E3E5D79">
      <w:pPr>
        <w:spacing w:line="360" w:lineRule="auto"/>
        <w:ind w:firstLine="480" w:firstLineChars="200"/>
        <w:rPr>
          <w:rFonts w:ascii="宋体" w:hAnsi="宋体"/>
          <w:kern w:val="0"/>
          <w:sz w:val="24"/>
        </w:rPr>
      </w:pPr>
      <w:r>
        <w:rPr>
          <w:rFonts w:hint="eastAsia" w:ascii="宋体" w:hAnsi="宋体"/>
          <w:kern w:val="0"/>
          <w:sz w:val="24"/>
        </w:rPr>
        <w:t>47.</w:t>
      </w:r>
      <w:r>
        <w:rPr>
          <w:rFonts w:hint="eastAsia" w:ascii="宋体" w:hAnsi="宋体" w:cs="宋体"/>
          <w:snapToGrid w:val="0"/>
          <w:kern w:val="0"/>
          <w:sz w:val="24"/>
        </w:rPr>
        <w:t>2</w:t>
      </w:r>
      <w:r>
        <w:rPr>
          <w:rFonts w:hint="eastAsia" w:ascii="宋体" w:hAnsi="宋体"/>
          <w:kern w:val="0"/>
          <w:sz w:val="24"/>
        </w:rPr>
        <w:t>承包人提交的</w:t>
      </w:r>
      <w:r>
        <w:rPr>
          <w:rFonts w:hint="eastAsia" w:ascii="宋体" w:hAnsi="宋体" w:cs="宋体"/>
          <w:snapToGrid w:val="0"/>
          <w:kern w:val="0"/>
          <w:sz w:val="24"/>
        </w:rPr>
        <w:t>履约保函</w:t>
      </w:r>
      <w:r>
        <w:rPr>
          <w:rFonts w:hint="eastAsia" w:ascii="宋体" w:hAnsi="宋体"/>
          <w:kern w:val="0"/>
          <w:sz w:val="24"/>
        </w:rPr>
        <w:t>是对本合同约定的承包人的全部义务（包括但不限于承包人违约后应支付的违约金和赔偿金）的担保，承包人的任何一次不履行或不完全履行合同义务的行为，发包人均有权</w:t>
      </w:r>
      <w:r>
        <w:rPr>
          <w:rFonts w:hint="eastAsia" w:ascii="宋体" w:hAnsi="宋体" w:cs="宋体"/>
          <w:snapToGrid w:val="0"/>
          <w:kern w:val="0"/>
          <w:sz w:val="24"/>
        </w:rPr>
        <w:t>向出函方</w:t>
      </w:r>
      <w:r>
        <w:rPr>
          <w:rFonts w:hint="eastAsia" w:ascii="宋体" w:hAnsi="宋体"/>
          <w:kern w:val="0"/>
          <w:sz w:val="24"/>
        </w:rPr>
        <w:t>提出索赔。</w:t>
      </w:r>
    </w:p>
    <w:p w14:paraId="0962930C">
      <w:pPr>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47.3承包人不履行或不完全履行合同义务的行为导致发包人依据履约保函向出函方索赔履约保函金额的一部分或者全部的，承包人必须在发包人规定的时间内补充提交履约保函，使得本合同履行期间有效的履约保函金额等于承包人第一次提交的履约保函金额。</w:t>
      </w:r>
    </w:p>
    <w:p w14:paraId="4786C272">
      <w:pPr>
        <w:spacing w:line="360" w:lineRule="auto"/>
        <w:ind w:firstLine="480" w:firstLineChars="200"/>
        <w:rPr>
          <w:rFonts w:ascii="宋体" w:hAnsi="宋体"/>
          <w:kern w:val="0"/>
          <w:sz w:val="24"/>
        </w:rPr>
      </w:pPr>
      <w:r>
        <w:rPr>
          <w:rFonts w:hint="eastAsia" w:ascii="宋体" w:hAnsi="宋体"/>
          <w:kern w:val="0"/>
          <w:sz w:val="24"/>
        </w:rPr>
        <w:t>47.4如果承包人不按发包人的要求及时补充提交履约保函，则发包人有权单方面部分解除或解除本合同，并按合同条款第41.4（4）、（5）及50.6、50.7、50.8款的有关约定执行。</w:t>
      </w:r>
    </w:p>
    <w:p w14:paraId="66C84303">
      <w:pPr>
        <w:spacing w:line="360" w:lineRule="auto"/>
        <w:ind w:firstLine="480" w:firstLineChars="200"/>
        <w:rPr>
          <w:rFonts w:ascii="宋体" w:hAnsi="宋体" w:cs="宋体"/>
          <w:snapToGrid w:val="0"/>
          <w:kern w:val="0"/>
          <w:sz w:val="24"/>
        </w:rPr>
      </w:pPr>
      <w:r>
        <w:rPr>
          <w:rFonts w:hint="eastAsia" w:ascii="宋体" w:hAnsi="宋体"/>
          <w:kern w:val="0"/>
          <w:sz w:val="24"/>
        </w:rPr>
        <w:t>47.</w:t>
      </w:r>
      <w:r>
        <w:rPr>
          <w:rFonts w:hint="eastAsia" w:ascii="宋体" w:hAnsi="宋体" w:cs="宋体"/>
          <w:snapToGrid w:val="0"/>
          <w:kern w:val="0"/>
          <w:sz w:val="24"/>
        </w:rPr>
        <w:t>5</w:t>
      </w:r>
      <w:r>
        <w:rPr>
          <w:rFonts w:hint="eastAsia" w:ascii="宋体" w:hAnsi="宋体"/>
          <w:sz w:val="24"/>
        </w:rPr>
        <w:t>工程竣工验收完成后，承包人可以向发包人申请退还履约</w:t>
      </w:r>
      <w:r>
        <w:rPr>
          <w:rFonts w:hint="eastAsia" w:ascii="宋体" w:hAnsi="宋体" w:cs="宋体"/>
          <w:sz w:val="24"/>
        </w:rPr>
        <w:t>保函</w:t>
      </w:r>
      <w:r>
        <w:rPr>
          <w:rFonts w:hint="eastAsia" w:ascii="宋体" w:hAnsi="宋体" w:cs="宋体"/>
          <w:snapToGrid w:val="0"/>
          <w:kern w:val="0"/>
          <w:sz w:val="24"/>
        </w:rPr>
        <w:t>。</w:t>
      </w:r>
    </w:p>
    <w:p w14:paraId="51641E29">
      <w:pPr>
        <w:spacing w:line="360" w:lineRule="auto"/>
        <w:ind w:firstLine="480" w:firstLineChars="200"/>
        <w:rPr>
          <w:rFonts w:ascii="宋体" w:hAnsi="宋体"/>
          <w:kern w:val="0"/>
          <w:sz w:val="24"/>
        </w:rPr>
      </w:pPr>
      <w:bookmarkStart w:id="652" w:name="_Toc502215530"/>
      <w:bookmarkStart w:id="653" w:name="_Toc518402627"/>
      <w:bookmarkStart w:id="654" w:name="_Toc504465933"/>
      <w:r>
        <w:rPr>
          <w:rFonts w:hint="eastAsia" w:ascii="宋体" w:hAnsi="宋体" w:cs="宋体"/>
          <w:snapToGrid w:val="0"/>
          <w:kern w:val="0"/>
          <w:sz w:val="24"/>
        </w:rPr>
        <w:t xml:space="preserve">47.6 </w:t>
      </w:r>
      <w:r>
        <w:rPr>
          <w:rFonts w:hint="eastAsia" w:ascii="宋体" w:hAnsi="宋体"/>
          <w:kern w:val="0"/>
          <w:sz w:val="24"/>
        </w:rPr>
        <w:t>预付款担保：</w:t>
      </w:r>
      <w:r>
        <w:rPr>
          <w:rFonts w:hint="eastAsia" w:ascii="仿宋_GB2312" w:hAnsi="宋体"/>
          <w:kern w:val="0"/>
          <w:sz w:val="24"/>
        </w:rPr>
        <w:t>承包人申请设计、工程预付款的，应在申请预付款之前以银行保函形式向发包人提交由在中国人民共和国注册并经营的分行以上银行开具的无条件不可撤销、见索即付的预付款担保保函，担保期限至预付款全部扣回之日止，其中设计预付款保函担保期限两年。工程预付款担保的返还：预付款全部扣回后返还预付款保函给承包人。若预付款保函过期而预付款尚未从进度款中全部扣回，承包人应自觉及时办理保函延期手续，确保担保期不出现空缺，否则发包人不予支付工程款。</w:t>
      </w:r>
    </w:p>
    <w:p w14:paraId="5F149793">
      <w:pPr>
        <w:spacing w:line="360" w:lineRule="auto"/>
        <w:ind w:firstLine="482" w:firstLineChars="200"/>
        <w:outlineLvl w:val="1"/>
        <w:rPr>
          <w:rFonts w:ascii="宋体" w:hAnsi="宋体"/>
          <w:b/>
          <w:kern w:val="0"/>
          <w:sz w:val="24"/>
        </w:rPr>
      </w:pPr>
      <w:bookmarkStart w:id="655" w:name="_Toc104901808"/>
      <w:bookmarkStart w:id="656" w:name="_Toc32754"/>
      <w:bookmarkStart w:id="657" w:name="_Toc10559"/>
      <w:bookmarkStart w:id="658" w:name="_Toc11784"/>
      <w:bookmarkStart w:id="659" w:name="_Toc25774_WPSOffice_Level3"/>
      <w:bookmarkStart w:id="660" w:name="_Toc144746279"/>
      <w:bookmarkStart w:id="661" w:name="_Toc144746909"/>
      <w:r>
        <w:rPr>
          <w:rFonts w:hint="eastAsia" w:ascii="宋体" w:hAnsi="宋体"/>
          <w:b/>
          <w:kern w:val="0"/>
          <w:sz w:val="24"/>
        </w:rPr>
        <w:t>48、保密、知识产权与专利技术及特殊工艺</w:t>
      </w:r>
      <w:bookmarkEnd w:id="652"/>
      <w:bookmarkEnd w:id="653"/>
      <w:bookmarkEnd w:id="654"/>
      <w:bookmarkEnd w:id="655"/>
      <w:bookmarkEnd w:id="656"/>
      <w:bookmarkEnd w:id="657"/>
      <w:bookmarkEnd w:id="658"/>
      <w:bookmarkEnd w:id="659"/>
      <w:bookmarkEnd w:id="660"/>
      <w:bookmarkEnd w:id="661"/>
    </w:p>
    <w:p w14:paraId="0ACDBA54">
      <w:pPr>
        <w:pStyle w:val="20"/>
        <w:spacing w:after="0" w:line="360" w:lineRule="auto"/>
        <w:ind w:left="0" w:leftChars="0" w:firstLine="480" w:firstLineChars="200"/>
        <w:rPr>
          <w:rFonts w:ascii="宋体" w:hAnsi="宋体"/>
          <w:sz w:val="24"/>
        </w:rPr>
      </w:pPr>
      <w:r>
        <w:rPr>
          <w:rFonts w:hint="eastAsia" w:ascii="宋体" w:hAnsi="宋体"/>
          <w:sz w:val="24"/>
        </w:rPr>
        <w:t>48.1发包人、承包人双方均应保护对方的知识产权，未经对方同意，任何一方都不得对对方的资料、信息及文件擅自修改或向他人转让或</w:t>
      </w:r>
      <w:r>
        <w:rPr>
          <w:rFonts w:hint="eastAsia" w:ascii="宋体" w:hAnsi="宋体"/>
          <w:spacing w:val="9"/>
          <w:sz w:val="24"/>
        </w:rPr>
        <w:t>使用</w:t>
      </w:r>
      <w:r>
        <w:rPr>
          <w:rFonts w:hint="eastAsia" w:ascii="宋体" w:hAnsi="宋体"/>
          <w:sz w:val="24"/>
        </w:rPr>
        <w:t>本合同项目外的项目。如发生以上情况，泄密方</w:t>
      </w:r>
      <w:r>
        <w:rPr>
          <w:rFonts w:hint="eastAsia" w:ascii="宋体" w:hAnsi="宋体" w:cs="宋体"/>
          <w:sz w:val="24"/>
        </w:rPr>
        <w:t>承担一切</w:t>
      </w:r>
      <w:r>
        <w:rPr>
          <w:rFonts w:hint="eastAsia" w:ascii="宋体" w:hAnsi="宋体"/>
          <w:sz w:val="24"/>
        </w:rPr>
        <w:t>由此引起的后果</w:t>
      </w:r>
      <w:r>
        <w:rPr>
          <w:rFonts w:hint="eastAsia" w:ascii="宋体" w:hAnsi="宋体" w:cs="宋体"/>
          <w:sz w:val="24"/>
        </w:rPr>
        <w:t>，同时向对方支付合同设计费总额10%的违约金</w:t>
      </w:r>
      <w:r>
        <w:rPr>
          <w:rFonts w:hint="eastAsia" w:ascii="宋体" w:hAnsi="宋体"/>
          <w:sz w:val="24"/>
        </w:rPr>
        <w:t>并承担赔偿责任。</w:t>
      </w:r>
    </w:p>
    <w:p w14:paraId="5A8A8346">
      <w:pPr>
        <w:spacing w:line="360" w:lineRule="auto"/>
        <w:ind w:firstLine="480" w:firstLineChars="200"/>
        <w:rPr>
          <w:rFonts w:ascii="宋体" w:hAnsi="宋体" w:cs="宋体"/>
          <w:snapToGrid w:val="0"/>
          <w:kern w:val="0"/>
          <w:sz w:val="24"/>
          <w:szCs w:val="24"/>
        </w:rPr>
      </w:pPr>
      <w:r>
        <w:rPr>
          <w:rFonts w:hint="eastAsia" w:ascii="宋体" w:hAnsi="宋体"/>
          <w:kern w:val="0"/>
          <w:sz w:val="24"/>
        </w:rPr>
        <w:t>48.2</w:t>
      </w:r>
      <w:r>
        <w:rPr>
          <w:rFonts w:hint="eastAsia" w:ascii="宋体" w:hAnsi="宋体" w:cs="宋体"/>
          <w:snapToGrid w:val="0"/>
          <w:kern w:val="0"/>
          <w:sz w:val="24"/>
        </w:rPr>
        <w:t>本合同工程设计文件及成果的知识产权归发包人所有。承包人享有本合同工程设计成果文件的设计署名权，并可在经发包人书面同意后将设计成果文件展览或书刊中进行展示、介绍及讨论其设计模型、外观图片、装饰效果图，但不享有知识产权中的其他权利。承包人承诺自本合同签订之日起，为本合同工程所做的全部工作的成果，包括但不限于：方案设计、初步设计、施工图设计及其他设计文件、资料等不再用于其他任何项目的设计并</w:t>
      </w:r>
      <w:r>
        <w:rPr>
          <w:rFonts w:hint="eastAsia" w:ascii="宋体" w:hAnsi="宋体" w:cs="宋体"/>
          <w:spacing w:val="9"/>
          <w:sz w:val="24"/>
          <w:szCs w:val="24"/>
        </w:rPr>
        <w:t>不得以任何形式复制或向第三方泄露</w:t>
      </w:r>
      <w:r>
        <w:rPr>
          <w:rFonts w:hint="eastAsia" w:ascii="宋体" w:hAnsi="宋体" w:cs="宋体"/>
          <w:snapToGrid w:val="0"/>
          <w:kern w:val="0"/>
          <w:sz w:val="24"/>
          <w:szCs w:val="24"/>
        </w:rPr>
        <w:t>，否则发包人有权向承包人追究相关责任。</w:t>
      </w:r>
    </w:p>
    <w:p w14:paraId="0B5A9210">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48.3承包人保证本合同工程的设计文件、资料等均未侵犯第三方的知识产权及其他权利，否则必须承担由此而引起的全部法律责任。</w:t>
      </w:r>
    </w:p>
    <w:p w14:paraId="238A2838">
      <w:pPr>
        <w:spacing w:line="360" w:lineRule="auto"/>
        <w:ind w:firstLine="480" w:firstLineChars="200"/>
        <w:rPr>
          <w:rFonts w:ascii="宋体" w:hAnsi="宋体" w:cs="宋体"/>
          <w:snapToGrid w:val="0"/>
          <w:kern w:val="0"/>
          <w:sz w:val="24"/>
        </w:rPr>
      </w:pPr>
      <w:r>
        <w:rPr>
          <w:rFonts w:hint="eastAsia" w:ascii="宋体" w:hAnsi="宋体" w:cs="宋体"/>
          <w:bCs/>
          <w:snapToGrid w:val="0"/>
          <w:kern w:val="0"/>
          <w:sz w:val="24"/>
        </w:rPr>
        <w:t>48.4发</w:t>
      </w:r>
      <w:r>
        <w:rPr>
          <w:rFonts w:hint="eastAsia" w:ascii="宋体" w:hAnsi="宋体" w:cs="宋体"/>
          <w:snapToGrid w:val="0"/>
          <w:kern w:val="0"/>
          <w:sz w:val="24"/>
        </w:rPr>
        <w:t>包人拥有承包人为本合同工程设计且按本合同要求所提交的全部设计成果文件、资料等的所有权。承包人不享有对设计文件的留置权，由承包人或其分包单位完成的设计文件应依据本合同约定的时间提交给发包人的，不论承包人与其分包单位由何种约定或分工，均不得拒绝或拖延向发包人提交。</w:t>
      </w:r>
    </w:p>
    <w:p w14:paraId="262F00D7">
      <w:pPr>
        <w:spacing w:line="360" w:lineRule="auto"/>
        <w:ind w:firstLine="480" w:firstLineChars="200"/>
        <w:rPr>
          <w:rFonts w:ascii="宋体" w:hAnsi="宋体"/>
          <w:kern w:val="0"/>
          <w:sz w:val="24"/>
        </w:rPr>
      </w:pPr>
      <w:r>
        <w:rPr>
          <w:rFonts w:hint="eastAsia" w:ascii="宋体" w:hAnsi="宋体" w:cs="宋体"/>
          <w:bCs/>
          <w:snapToGrid w:val="0"/>
          <w:kern w:val="0"/>
          <w:sz w:val="24"/>
        </w:rPr>
        <w:t>48.5</w:t>
      </w:r>
      <w:r>
        <w:rPr>
          <w:rFonts w:hint="eastAsia" w:ascii="宋体" w:hAnsi="宋体"/>
          <w:kern w:val="0"/>
          <w:sz w:val="24"/>
        </w:rPr>
        <w:t>发包人要求使用专利技术或特殊工艺，应负责办理相应的申报手续，承担申报、试验、使用等费用；承包人提出使用专利技术或特殊工艺，应取得总监理工程师认可，承包人负责办理申报手续并承担有关费用。</w:t>
      </w:r>
    </w:p>
    <w:p w14:paraId="6EBA6345">
      <w:pPr>
        <w:spacing w:line="360" w:lineRule="auto"/>
        <w:ind w:firstLine="480" w:firstLineChars="200"/>
        <w:rPr>
          <w:rFonts w:ascii="宋体" w:hAnsi="宋体"/>
          <w:kern w:val="0"/>
          <w:sz w:val="24"/>
        </w:rPr>
      </w:pPr>
      <w:r>
        <w:rPr>
          <w:rFonts w:hint="eastAsia" w:ascii="宋体" w:hAnsi="宋体"/>
          <w:kern w:val="0"/>
          <w:sz w:val="24"/>
        </w:rPr>
        <w:t>48.</w:t>
      </w:r>
      <w:r>
        <w:rPr>
          <w:rFonts w:hint="eastAsia" w:ascii="宋体" w:hAnsi="宋体" w:cs="宋体"/>
          <w:bCs/>
          <w:snapToGrid w:val="0"/>
          <w:kern w:val="0"/>
          <w:sz w:val="24"/>
        </w:rPr>
        <w:t>6</w:t>
      </w:r>
      <w:r>
        <w:rPr>
          <w:rFonts w:hint="eastAsia" w:ascii="宋体" w:hAnsi="宋体"/>
          <w:b/>
          <w:kern w:val="0"/>
          <w:sz w:val="24"/>
        </w:rPr>
        <w:t xml:space="preserve"> </w:t>
      </w:r>
      <w:r>
        <w:rPr>
          <w:rFonts w:hint="eastAsia" w:ascii="宋体" w:hAnsi="宋体"/>
          <w:kern w:val="0"/>
          <w:sz w:val="24"/>
        </w:rPr>
        <w:t>擅自使用专利技术侵犯他人专利权的，由责任方依法承担有关责任。</w:t>
      </w:r>
    </w:p>
    <w:p w14:paraId="705487F4">
      <w:pPr>
        <w:spacing w:line="360" w:lineRule="auto"/>
        <w:ind w:firstLine="482" w:firstLineChars="200"/>
        <w:outlineLvl w:val="1"/>
        <w:rPr>
          <w:rFonts w:ascii="宋体" w:hAnsi="宋体"/>
          <w:b/>
          <w:kern w:val="0"/>
          <w:sz w:val="24"/>
        </w:rPr>
      </w:pPr>
      <w:bookmarkStart w:id="662" w:name="_Toc7720"/>
      <w:bookmarkStart w:id="663" w:name="_Toc518402628"/>
      <w:bookmarkStart w:id="664" w:name="_Toc16815_WPSOffice_Level3"/>
      <w:bookmarkStart w:id="665" w:name="_Toc502215531"/>
      <w:bookmarkStart w:id="666" w:name="_Toc27229"/>
      <w:bookmarkStart w:id="667" w:name="_Toc504465934"/>
      <w:bookmarkStart w:id="668" w:name="_Toc144746910"/>
      <w:bookmarkStart w:id="669" w:name="_Toc3111"/>
      <w:bookmarkStart w:id="670" w:name="_Toc104901809"/>
      <w:bookmarkStart w:id="671" w:name="_Toc144746280"/>
      <w:r>
        <w:rPr>
          <w:rFonts w:hint="eastAsia" w:ascii="宋体" w:hAnsi="宋体"/>
          <w:b/>
          <w:kern w:val="0"/>
          <w:sz w:val="24"/>
        </w:rPr>
        <w:t>49、文物和地下障碍物</w:t>
      </w:r>
      <w:bookmarkEnd w:id="662"/>
      <w:bookmarkEnd w:id="663"/>
      <w:bookmarkEnd w:id="664"/>
      <w:bookmarkEnd w:id="665"/>
      <w:bookmarkEnd w:id="666"/>
      <w:bookmarkEnd w:id="667"/>
      <w:bookmarkEnd w:id="668"/>
      <w:bookmarkEnd w:id="669"/>
      <w:bookmarkEnd w:id="670"/>
      <w:bookmarkEnd w:id="671"/>
    </w:p>
    <w:p w14:paraId="60FA310F">
      <w:pPr>
        <w:spacing w:line="360" w:lineRule="auto"/>
        <w:ind w:firstLine="480" w:firstLineChars="200"/>
        <w:rPr>
          <w:rFonts w:ascii="宋体" w:hAnsi="宋体"/>
          <w:kern w:val="0"/>
          <w:sz w:val="24"/>
        </w:rPr>
      </w:pPr>
      <w:r>
        <w:rPr>
          <w:rFonts w:hint="eastAsia" w:ascii="宋体" w:hAnsi="宋体"/>
          <w:kern w:val="0"/>
          <w:sz w:val="24"/>
        </w:rPr>
        <w:t>49.1在施工中发现古墓、古建筑遗址等文物及化石或其它有考古、地质研究等价值的物品时，承包人应立即保护好现场并于4小时内以书面形式通知总监理工程师，总监理工程师应于收到书面通知后24小时内报告当地文物管理部门，承包人应按管理部门的要求采取妥善保护措施。</w:t>
      </w:r>
      <w:r>
        <w:rPr>
          <w:rFonts w:hint="eastAsia" w:ascii="宋体" w:hAnsi="宋体" w:cs="宋体"/>
          <w:sz w:val="24"/>
          <w:szCs w:val="24"/>
        </w:rPr>
        <w:t>经发包人确认后</w:t>
      </w:r>
      <w:r>
        <w:rPr>
          <w:rFonts w:hint="eastAsia" w:ascii="宋体" w:hAnsi="宋体"/>
          <w:kern w:val="0"/>
          <w:sz w:val="24"/>
        </w:rPr>
        <w:t>发包人承担由此发生的费用，顺延延误的工期。</w:t>
      </w:r>
    </w:p>
    <w:p w14:paraId="30F6DA8F">
      <w:pPr>
        <w:spacing w:line="360" w:lineRule="auto"/>
        <w:ind w:firstLine="480" w:firstLineChars="200"/>
        <w:rPr>
          <w:rFonts w:ascii="宋体" w:hAnsi="宋体"/>
          <w:kern w:val="0"/>
          <w:sz w:val="24"/>
        </w:rPr>
      </w:pPr>
      <w:r>
        <w:rPr>
          <w:rFonts w:hint="eastAsia" w:ascii="宋体" w:hAnsi="宋体"/>
          <w:kern w:val="0"/>
          <w:sz w:val="24"/>
        </w:rPr>
        <w:t>如发现隐瞒不报，致使文物遭受破坏，责任者依法承担相应责任。</w:t>
      </w:r>
    </w:p>
    <w:p w14:paraId="226E7782">
      <w:pPr>
        <w:spacing w:line="360" w:lineRule="auto"/>
        <w:ind w:firstLine="480" w:firstLineChars="200"/>
        <w:rPr>
          <w:rFonts w:ascii="宋体" w:hAnsi="宋体"/>
          <w:kern w:val="0"/>
          <w:sz w:val="24"/>
        </w:rPr>
      </w:pPr>
      <w:r>
        <w:rPr>
          <w:rFonts w:hint="eastAsia" w:ascii="宋体" w:hAnsi="宋体"/>
          <w:kern w:val="0"/>
          <w:sz w:val="24"/>
        </w:rPr>
        <w:t>49.2施工中发现影响施工的地下障碍物时，承包人应于8小时内以书面形式通知总监理工程师，同时提出处置方案，总监理工程师收到处置方案后24小时内予以认可或提出修正方案。</w:t>
      </w:r>
      <w:r>
        <w:rPr>
          <w:rFonts w:hint="eastAsia" w:ascii="宋体" w:hAnsi="宋体" w:cs="宋体"/>
          <w:sz w:val="24"/>
          <w:szCs w:val="24"/>
        </w:rPr>
        <w:t>经发包人确认后</w:t>
      </w:r>
      <w:r>
        <w:rPr>
          <w:rFonts w:hint="eastAsia" w:ascii="宋体" w:hAnsi="宋体"/>
          <w:kern w:val="0"/>
          <w:sz w:val="24"/>
        </w:rPr>
        <w:t>发包人承担由此发生的费用，顺延延误的工期。</w:t>
      </w:r>
    </w:p>
    <w:p w14:paraId="1FCC38B6">
      <w:pPr>
        <w:spacing w:line="360" w:lineRule="auto"/>
        <w:ind w:firstLine="480" w:firstLineChars="200"/>
        <w:rPr>
          <w:rFonts w:ascii="宋体" w:hAnsi="宋体"/>
          <w:kern w:val="0"/>
          <w:sz w:val="24"/>
        </w:rPr>
      </w:pPr>
      <w:r>
        <w:rPr>
          <w:rFonts w:hint="eastAsia" w:ascii="宋体" w:hAnsi="宋体"/>
          <w:kern w:val="0"/>
          <w:sz w:val="24"/>
        </w:rPr>
        <w:t>所发现的地下障碍物有归属单位时，发包人应报请有关部门协同处置。</w:t>
      </w:r>
    </w:p>
    <w:p w14:paraId="47E753A4">
      <w:pPr>
        <w:spacing w:line="360" w:lineRule="auto"/>
        <w:ind w:firstLine="482" w:firstLineChars="200"/>
        <w:outlineLvl w:val="1"/>
        <w:rPr>
          <w:rFonts w:ascii="宋体" w:hAnsi="宋体"/>
          <w:b/>
          <w:kern w:val="0"/>
          <w:sz w:val="24"/>
        </w:rPr>
      </w:pPr>
      <w:bookmarkStart w:id="672" w:name="_Toc144746281"/>
      <w:bookmarkStart w:id="673" w:name="_Toc23126"/>
      <w:bookmarkStart w:id="674" w:name="_Toc350"/>
      <w:bookmarkStart w:id="675" w:name="_Toc504465935"/>
      <w:bookmarkStart w:id="676" w:name="_Toc518402629"/>
      <w:bookmarkStart w:id="677" w:name="_Toc20630"/>
      <w:bookmarkStart w:id="678" w:name="_Toc144746911"/>
      <w:bookmarkStart w:id="679" w:name="_Toc104901810"/>
      <w:bookmarkStart w:id="680" w:name="_Toc5185_WPSOffice_Level3"/>
      <w:bookmarkStart w:id="681" w:name="_Toc502215532"/>
      <w:r>
        <w:rPr>
          <w:rFonts w:hint="eastAsia" w:ascii="宋体" w:hAnsi="宋体"/>
          <w:b/>
          <w:kern w:val="0"/>
          <w:sz w:val="24"/>
        </w:rPr>
        <w:t>50、合同解除</w:t>
      </w:r>
      <w:bookmarkEnd w:id="672"/>
      <w:bookmarkEnd w:id="673"/>
      <w:bookmarkEnd w:id="674"/>
      <w:bookmarkEnd w:id="675"/>
      <w:bookmarkEnd w:id="676"/>
      <w:bookmarkEnd w:id="677"/>
      <w:bookmarkEnd w:id="678"/>
      <w:bookmarkEnd w:id="679"/>
      <w:bookmarkEnd w:id="680"/>
      <w:bookmarkEnd w:id="681"/>
    </w:p>
    <w:p w14:paraId="379FA57D">
      <w:pPr>
        <w:spacing w:line="360" w:lineRule="auto"/>
        <w:ind w:firstLine="480" w:firstLineChars="200"/>
        <w:rPr>
          <w:rFonts w:ascii="宋体" w:hAnsi="宋体"/>
          <w:kern w:val="0"/>
          <w:sz w:val="24"/>
        </w:rPr>
      </w:pPr>
      <w:r>
        <w:rPr>
          <w:rFonts w:hint="eastAsia" w:ascii="宋体" w:hAnsi="宋体"/>
          <w:kern w:val="0"/>
          <w:sz w:val="24"/>
        </w:rPr>
        <w:t>50.1发包人、承包人协商一致，可以解除合同。</w:t>
      </w:r>
    </w:p>
    <w:p w14:paraId="75A74168">
      <w:pPr>
        <w:spacing w:line="360" w:lineRule="auto"/>
        <w:ind w:firstLine="480" w:firstLineChars="200"/>
        <w:rPr>
          <w:rFonts w:ascii="宋体" w:hAnsi="宋体"/>
          <w:kern w:val="0"/>
          <w:sz w:val="24"/>
        </w:rPr>
      </w:pPr>
      <w:r>
        <w:rPr>
          <w:rFonts w:hint="eastAsia" w:ascii="宋体" w:hAnsi="宋体"/>
          <w:kern w:val="0"/>
          <w:sz w:val="24"/>
        </w:rPr>
        <w:t>50.2有下列情形之一的，发包人、承包人可以解除合同：</w:t>
      </w:r>
    </w:p>
    <w:p w14:paraId="5B6AD7F7">
      <w:pPr>
        <w:spacing w:line="360" w:lineRule="auto"/>
        <w:ind w:firstLine="480" w:firstLineChars="200"/>
        <w:rPr>
          <w:rFonts w:ascii="宋体" w:hAnsi="宋体"/>
          <w:kern w:val="0"/>
          <w:sz w:val="24"/>
        </w:rPr>
      </w:pPr>
      <w:r>
        <w:rPr>
          <w:rFonts w:hint="eastAsia" w:ascii="宋体" w:hAnsi="宋体"/>
          <w:kern w:val="0"/>
          <w:sz w:val="24"/>
        </w:rPr>
        <w:t>（1）因不可抗力致使合同无法履行；</w:t>
      </w:r>
    </w:p>
    <w:p w14:paraId="0A2F39EB">
      <w:pPr>
        <w:spacing w:line="360" w:lineRule="auto"/>
        <w:ind w:firstLine="480" w:firstLineChars="200"/>
        <w:rPr>
          <w:rFonts w:ascii="宋体" w:hAnsi="宋体"/>
          <w:kern w:val="0"/>
          <w:sz w:val="24"/>
        </w:rPr>
      </w:pPr>
      <w:r>
        <w:rPr>
          <w:rFonts w:hint="eastAsia" w:ascii="宋体" w:hAnsi="宋体"/>
          <w:kern w:val="0"/>
          <w:sz w:val="24"/>
        </w:rPr>
        <w:t>（2）因一方违约（包括因发包人原因造成工程停建或缓建）致使合同无法履行。</w:t>
      </w:r>
    </w:p>
    <w:p w14:paraId="2A12B9ED">
      <w:pPr>
        <w:spacing w:line="360" w:lineRule="auto"/>
        <w:ind w:firstLine="480" w:firstLineChars="200"/>
        <w:rPr>
          <w:rFonts w:ascii="宋体" w:hAnsi="宋体"/>
          <w:kern w:val="0"/>
          <w:sz w:val="24"/>
        </w:rPr>
      </w:pPr>
      <w:r>
        <w:rPr>
          <w:rFonts w:hint="eastAsia" w:ascii="宋体" w:hAnsi="宋体"/>
          <w:kern w:val="0"/>
          <w:sz w:val="24"/>
        </w:rPr>
        <w:t>50.3依据本合同约定可以单方面解除合同的，要求解除合同的一方，应以书面形式向对方发出解除合同的通知，并在发出通知前7天书面告知对方，该通知依法律规定发生解除合同的法律效力。对解除合同效力有争议的，按合同条款第43条关于争议的约定处理。</w:t>
      </w:r>
    </w:p>
    <w:p w14:paraId="604FAFE1">
      <w:pPr>
        <w:spacing w:line="360" w:lineRule="auto"/>
        <w:ind w:firstLine="480" w:firstLineChars="200"/>
        <w:rPr>
          <w:rFonts w:ascii="宋体" w:hAnsi="宋体"/>
          <w:kern w:val="0"/>
          <w:sz w:val="24"/>
        </w:rPr>
      </w:pPr>
      <w:r>
        <w:rPr>
          <w:rFonts w:hint="eastAsia" w:ascii="宋体" w:hAnsi="宋体"/>
          <w:kern w:val="0"/>
          <w:sz w:val="24"/>
        </w:rPr>
        <w:t>50.4合同依法解除后，不影响双方在合同中约定的结算和清理条款的效力，亦不能免除承包人对已完工项目的保修责任。</w:t>
      </w:r>
    </w:p>
    <w:p w14:paraId="144DD838">
      <w:pPr>
        <w:spacing w:line="360" w:lineRule="auto"/>
        <w:ind w:firstLine="480" w:firstLineChars="200"/>
        <w:rPr>
          <w:rFonts w:ascii="宋体" w:hAnsi="宋体"/>
          <w:b/>
          <w:kern w:val="0"/>
          <w:sz w:val="24"/>
        </w:rPr>
      </w:pPr>
      <w:r>
        <w:rPr>
          <w:rFonts w:hint="eastAsia" w:ascii="宋体" w:hAnsi="宋体"/>
          <w:kern w:val="0"/>
          <w:sz w:val="24"/>
        </w:rPr>
        <w:t>50.5发包人有权依据本合同有关条款的约定部分解除合同或解除合同。</w:t>
      </w:r>
    </w:p>
    <w:p w14:paraId="19C100E1">
      <w:pPr>
        <w:spacing w:line="360" w:lineRule="auto"/>
        <w:ind w:firstLine="480" w:firstLineChars="200"/>
        <w:rPr>
          <w:rFonts w:ascii="宋体" w:hAnsi="宋体"/>
          <w:kern w:val="0"/>
          <w:sz w:val="24"/>
        </w:rPr>
      </w:pPr>
      <w:r>
        <w:rPr>
          <w:rFonts w:hint="eastAsia" w:ascii="宋体" w:hAnsi="宋体"/>
          <w:kern w:val="0"/>
          <w:sz w:val="24"/>
        </w:rPr>
        <w:t>50.6部分解除合同</w:t>
      </w:r>
    </w:p>
    <w:p w14:paraId="1AB743A4">
      <w:pPr>
        <w:spacing w:line="360" w:lineRule="auto"/>
        <w:ind w:firstLine="480" w:firstLineChars="200"/>
        <w:rPr>
          <w:rFonts w:ascii="宋体" w:hAnsi="宋体"/>
          <w:kern w:val="0"/>
          <w:sz w:val="24"/>
        </w:rPr>
      </w:pPr>
      <w:r>
        <w:rPr>
          <w:rFonts w:hint="eastAsia" w:ascii="宋体" w:hAnsi="宋体"/>
          <w:kern w:val="0"/>
          <w:sz w:val="24"/>
        </w:rPr>
        <w:t>承包人违约致部分解除合同的条件成就时，承包人在此承诺：</w:t>
      </w:r>
    </w:p>
    <w:p w14:paraId="179DA838">
      <w:pPr>
        <w:spacing w:line="360" w:lineRule="auto"/>
        <w:ind w:firstLine="480" w:firstLineChars="200"/>
        <w:rPr>
          <w:rFonts w:ascii="宋体" w:hAnsi="宋体"/>
          <w:kern w:val="0"/>
          <w:sz w:val="24"/>
        </w:rPr>
      </w:pPr>
      <w:r>
        <w:rPr>
          <w:rFonts w:hint="eastAsia" w:ascii="宋体" w:hAnsi="宋体"/>
          <w:kern w:val="0"/>
          <w:sz w:val="24"/>
        </w:rPr>
        <w:t>（1）因承包人违约致部分解除合同的条件成就时，发包人有权向承包人发出部分解除合同的通知，该通知依法律规定发生解除合同的法律效力，并立即按照合同条款第41.4（4）款的约定执行。</w:t>
      </w:r>
    </w:p>
    <w:p w14:paraId="700F536F">
      <w:pPr>
        <w:spacing w:line="360" w:lineRule="auto"/>
        <w:ind w:firstLine="480" w:firstLineChars="200"/>
        <w:rPr>
          <w:rFonts w:ascii="宋体" w:hAnsi="宋体"/>
          <w:kern w:val="0"/>
          <w:sz w:val="24"/>
        </w:rPr>
      </w:pPr>
      <w:r>
        <w:rPr>
          <w:rFonts w:hint="eastAsia" w:ascii="宋体" w:hAnsi="宋体"/>
          <w:kern w:val="0"/>
          <w:sz w:val="24"/>
        </w:rPr>
        <w:t>（2）承包人在接到部分解除合同的通知发生法律效力后，在2天内停止该部分工程的施工，并将机械、材料、物件、人员从该部分工程的施工场地撤离。</w:t>
      </w:r>
    </w:p>
    <w:p w14:paraId="20C33C26">
      <w:pPr>
        <w:spacing w:line="360" w:lineRule="auto"/>
        <w:ind w:firstLine="480" w:firstLineChars="200"/>
        <w:rPr>
          <w:rFonts w:ascii="宋体" w:hAnsi="宋体"/>
          <w:kern w:val="0"/>
          <w:sz w:val="24"/>
        </w:rPr>
      </w:pPr>
      <w:r>
        <w:rPr>
          <w:rFonts w:hint="eastAsia" w:ascii="宋体" w:hAnsi="宋体"/>
          <w:kern w:val="0"/>
          <w:sz w:val="24"/>
        </w:rPr>
        <w:t>（3）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14:paraId="672A22DA">
      <w:pPr>
        <w:spacing w:line="360" w:lineRule="auto"/>
        <w:ind w:firstLine="480" w:firstLineChars="200"/>
        <w:rPr>
          <w:rFonts w:ascii="宋体" w:hAnsi="宋体"/>
          <w:kern w:val="0"/>
          <w:sz w:val="24"/>
        </w:rPr>
      </w:pPr>
      <w:r>
        <w:rPr>
          <w:rFonts w:hint="eastAsia" w:ascii="宋体" w:hAnsi="宋体"/>
          <w:kern w:val="0"/>
          <w:sz w:val="24"/>
        </w:rPr>
        <w:t>（4）承包人在收到部分解除合同的通知发生法律效力后，若不按上述约定执行，发包人有权自行处理承包人滞留在施工现场的物品，处理费用及因此所造成的损失由承包人承担。</w:t>
      </w:r>
    </w:p>
    <w:p w14:paraId="5122FA48">
      <w:pPr>
        <w:spacing w:line="360" w:lineRule="auto"/>
        <w:ind w:firstLine="480" w:firstLineChars="200"/>
        <w:rPr>
          <w:rFonts w:ascii="宋体" w:hAnsi="宋体"/>
          <w:kern w:val="0"/>
          <w:sz w:val="24"/>
        </w:rPr>
      </w:pPr>
      <w:r>
        <w:rPr>
          <w:rFonts w:hint="eastAsia" w:ascii="宋体" w:hAnsi="宋体"/>
          <w:kern w:val="0"/>
          <w:sz w:val="24"/>
        </w:rPr>
        <w:t>（5）部分解除合同的通知送达承包人发生法律效力后，发包人就该部分解除合同的工程即可另行与其它单位签订施工合同，承包人不得阻碍新的单位进场施工。</w:t>
      </w:r>
    </w:p>
    <w:p w14:paraId="76005921">
      <w:pPr>
        <w:spacing w:line="360" w:lineRule="auto"/>
        <w:ind w:firstLine="480" w:firstLineChars="200"/>
        <w:rPr>
          <w:rFonts w:ascii="宋体" w:hAnsi="宋体"/>
          <w:kern w:val="0"/>
          <w:sz w:val="24"/>
        </w:rPr>
      </w:pPr>
      <w:r>
        <w:rPr>
          <w:rFonts w:hint="eastAsia" w:ascii="宋体" w:hAnsi="宋体"/>
          <w:kern w:val="0"/>
          <w:sz w:val="24"/>
        </w:rPr>
        <w:t>（6）当部分解除合同的工程额达到本合同价款的50%时，发包人有权解除合同。</w:t>
      </w:r>
    </w:p>
    <w:p w14:paraId="41E70D0A">
      <w:pPr>
        <w:spacing w:line="360" w:lineRule="auto"/>
        <w:ind w:firstLine="480" w:firstLineChars="200"/>
        <w:rPr>
          <w:rFonts w:ascii="宋体" w:hAnsi="宋体"/>
          <w:kern w:val="0"/>
          <w:sz w:val="24"/>
        </w:rPr>
      </w:pPr>
      <w:r>
        <w:rPr>
          <w:rFonts w:hint="eastAsia" w:ascii="宋体" w:hAnsi="宋体"/>
          <w:kern w:val="0"/>
          <w:sz w:val="24"/>
        </w:rPr>
        <w:t>50.7解除合同</w:t>
      </w:r>
    </w:p>
    <w:p w14:paraId="5D086F10">
      <w:pPr>
        <w:spacing w:line="360" w:lineRule="auto"/>
        <w:ind w:firstLine="480" w:firstLineChars="200"/>
        <w:rPr>
          <w:rFonts w:ascii="宋体" w:hAnsi="宋体"/>
          <w:kern w:val="0"/>
          <w:sz w:val="24"/>
        </w:rPr>
      </w:pPr>
      <w:r>
        <w:rPr>
          <w:rFonts w:hint="eastAsia" w:ascii="宋体" w:hAnsi="宋体"/>
          <w:kern w:val="0"/>
          <w:sz w:val="24"/>
        </w:rPr>
        <w:t>承包人违约致解除合同的条件成就时，承包人在此承诺：</w:t>
      </w:r>
    </w:p>
    <w:p w14:paraId="39ABC858">
      <w:pPr>
        <w:spacing w:line="360" w:lineRule="auto"/>
        <w:ind w:firstLine="480" w:firstLineChars="200"/>
        <w:rPr>
          <w:rFonts w:ascii="宋体" w:hAnsi="宋体"/>
          <w:kern w:val="0"/>
          <w:sz w:val="24"/>
        </w:rPr>
      </w:pPr>
      <w:r>
        <w:rPr>
          <w:rFonts w:hint="eastAsia" w:ascii="宋体" w:hAnsi="宋体"/>
          <w:kern w:val="0"/>
          <w:sz w:val="24"/>
        </w:rPr>
        <w:t>（1）因承包人违约致解除合同的条件成就时，发包人有权向承包人发出解除合同的通知，该通知依法律规定发生解除合同的法律效力，并立即按照合同条款第41.4（5）款的约定执行。</w:t>
      </w:r>
    </w:p>
    <w:p w14:paraId="4F083BBE">
      <w:pPr>
        <w:spacing w:line="360" w:lineRule="auto"/>
        <w:ind w:firstLine="480" w:firstLineChars="200"/>
        <w:rPr>
          <w:rFonts w:ascii="宋体" w:hAnsi="宋体"/>
          <w:kern w:val="0"/>
          <w:sz w:val="24"/>
        </w:rPr>
      </w:pPr>
      <w:r>
        <w:rPr>
          <w:rFonts w:hint="eastAsia" w:ascii="宋体" w:hAnsi="宋体"/>
          <w:kern w:val="0"/>
          <w:sz w:val="24"/>
        </w:rPr>
        <w:t>（2）承包人接到解除合同的通知发生法律效力后，必须在2天内停止工程施工，并在10天内将机械、材料、物件、人员从施工现场撤离。停工3天内，发包人、监理单位将会同承包人对已完成工程量进行清点，清点规则比照部分解除合同的情形处理。</w:t>
      </w:r>
    </w:p>
    <w:p w14:paraId="67B6616E">
      <w:pPr>
        <w:spacing w:line="360" w:lineRule="auto"/>
        <w:ind w:firstLine="480" w:firstLineChars="200"/>
        <w:rPr>
          <w:rFonts w:ascii="宋体" w:hAnsi="宋体"/>
          <w:kern w:val="0"/>
          <w:sz w:val="24"/>
        </w:rPr>
      </w:pPr>
      <w:r>
        <w:rPr>
          <w:rFonts w:hint="eastAsia" w:ascii="宋体" w:hAnsi="宋体"/>
          <w:kern w:val="0"/>
          <w:sz w:val="24"/>
        </w:rPr>
        <w:t>（3）承包人未在规定期限内离场的，发包人有权将其留在现场的材料、设备和其它物件临时转运到其它堆放处，由此产生的搬运、保管费用由承包人负责，在此过程中出现的任何非发包人主观故意引起的损坏、遗失及因此所造成的其它损失全部由承包人自行负责，处理费用由承包人承担。</w:t>
      </w:r>
    </w:p>
    <w:p w14:paraId="7225F441">
      <w:pPr>
        <w:spacing w:line="360" w:lineRule="auto"/>
        <w:ind w:firstLine="480" w:firstLineChars="200"/>
        <w:rPr>
          <w:rFonts w:ascii="宋体" w:hAnsi="宋体"/>
          <w:kern w:val="0"/>
          <w:sz w:val="24"/>
        </w:rPr>
      </w:pPr>
      <w:r>
        <w:rPr>
          <w:rFonts w:hint="eastAsia" w:ascii="宋体" w:hAnsi="宋体"/>
          <w:kern w:val="0"/>
          <w:sz w:val="24"/>
        </w:rPr>
        <w:t>（4）解除合同的通知送达承包人依法发生法律效力后，发包人就该解除合同的工程即可另行与其它单位签订施工合同，承包人不得阻碍新的单位进场施工。</w:t>
      </w:r>
    </w:p>
    <w:p w14:paraId="7AB34AC5">
      <w:pPr>
        <w:spacing w:line="360" w:lineRule="auto"/>
        <w:ind w:firstLine="480" w:firstLineChars="200"/>
        <w:rPr>
          <w:rFonts w:ascii="宋体" w:hAnsi="宋体"/>
          <w:kern w:val="0"/>
          <w:sz w:val="24"/>
        </w:rPr>
      </w:pPr>
      <w:r>
        <w:rPr>
          <w:rFonts w:hint="eastAsia" w:ascii="宋体" w:hAnsi="宋体"/>
          <w:kern w:val="0"/>
          <w:sz w:val="24"/>
        </w:rPr>
        <w:t>50.8承包人在部分解除合同或全部解除合同后，必须在规定期限内撤离场地、移交已完并经验收合格的工程、作好已施工项目技术资料和实物的交底、移交工作。承包人因未履行上述义务，每逾期一日，应按中标价款千分之一 向发包人支付为违约金，由此给发包人带来工期延误和其它损失的，应赔偿发包人的实际损失。</w:t>
      </w:r>
    </w:p>
    <w:p w14:paraId="6281409A">
      <w:pPr>
        <w:pStyle w:val="46"/>
        <w:ind w:left="0" w:leftChars="0" w:firstLine="480"/>
      </w:pPr>
      <w:bookmarkStart w:id="682" w:name="_Toc144746282"/>
      <w:bookmarkStart w:id="683" w:name="_Toc12101"/>
      <w:bookmarkStart w:id="684" w:name="_Toc3210"/>
      <w:bookmarkStart w:id="685" w:name="_Toc518402630"/>
      <w:bookmarkStart w:id="686" w:name="_Toc1870"/>
      <w:bookmarkStart w:id="687" w:name="_Toc144746912"/>
      <w:bookmarkStart w:id="688" w:name="_Toc502215533"/>
      <w:bookmarkStart w:id="689" w:name="_Toc504465936"/>
      <w:r>
        <w:rPr>
          <w:rFonts w:ascii="宋体" w:hAnsi="宋体" w:cs="宋体"/>
          <w:snapToGrid w:val="0"/>
          <w:kern w:val="0"/>
        </w:rPr>
        <w:t>50.9</w:t>
      </w:r>
      <w:r>
        <w:rPr>
          <w:rFonts w:hint="eastAsia" w:ascii="宋体" w:hAnsi="宋体" w:cs="宋体"/>
          <w:snapToGrid w:val="0"/>
          <w:kern w:val="0"/>
        </w:rPr>
        <w:t>因发生政策调整、项目变化等原因致使本合同项下施工工程需暂停或终止的，发包人有权解除本合同，并按承包人实际完成并经发包人确认的工程量进行结算，不视为发包人违约，发包人对此不作其他费用补偿或赔偿。</w:t>
      </w:r>
    </w:p>
    <w:p w14:paraId="10472D91">
      <w:pPr>
        <w:spacing w:line="360" w:lineRule="auto"/>
        <w:ind w:firstLine="482" w:firstLineChars="200"/>
        <w:outlineLvl w:val="1"/>
        <w:rPr>
          <w:rFonts w:ascii="宋体" w:hAnsi="宋体"/>
          <w:b/>
          <w:kern w:val="0"/>
          <w:sz w:val="24"/>
        </w:rPr>
      </w:pPr>
      <w:bookmarkStart w:id="690" w:name="_Toc104901811"/>
      <w:r>
        <w:rPr>
          <w:rFonts w:hint="eastAsia" w:ascii="宋体" w:hAnsi="宋体"/>
          <w:b/>
          <w:kern w:val="0"/>
          <w:sz w:val="24"/>
        </w:rPr>
        <w:t>51、合同生效与终止</w:t>
      </w:r>
      <w:bookmarkEnd w:id="682"/>
      <w:bookmarkEnd w:id="683"/>
      <w:bookmarkEnd w:id="684"/>
      <w:bookmarkEnd w:id="685"/>
      <w:bookmarkEnd w:id="686"/>
      <w:bookmarkEnd w:id="687"/>
      <w:bookmarkEnd w:id="688"/>
      <w:bookmarkEnd w:id="689"/>
      <w:bookmarkEnd w:id="690"/>
    </w:p>
    <w:p w14:paraId="0EA2FE36">
      <w:pPr>
        <w:spacing w:line="360" w:lineRule="auto"/>
        <w:ind w:firstLine="480" w:firstLineChars="200"/>
        <w:rPr>
          <w:rFonts w:ascii="宋体" w:hAnsi="宋体"/>
          <w:kern w:val="0"/>
          <w:sz w:val="24"/>
        </w:rPr>
      </w:pPr>
      <w:r>
        <w:rPr>
          <w:rFonts w:hint="eastAsia" w:ascii="宋体" w:hAnsi="宋体"/>
          <w:kern w:val="0"/>
          <w:sz w:val="24"/>
        </w:rPr>
        <w:t>51.1本合同生效及终止的方式均按合同协议书的约定执行。</w:t>
      </w:r>
    </w:p>
    <w:p w14:paraId="4BBEC5E9">
      <w:pPr>
        <w:spacing w:line="360" w:lineRule="auto"/>
        <w:ind w:firstLine="480" w:firstLineChars="200"/>
        <w:rPr>
          <w:rFonts w:ascii="宋体" w:hAnsi="宋体"/>
          <w:kern w:val="0"/>
          <w:sz w:val="24"/>
        </w:rPr>
      </w:pPr>
      <w:r>
        <w:rPr>
          <w:rFonts w:hint="eastAsia" w:ascii="宋体" w:hAnsi="宋体"/>
          <w:kern w:val="0"/>
          <w:sz w:val="24"/>
        </w:rPr>
        <w:t>51.2合同的权利和义务终止时，发包人、承包人应当遵循诚实信用原则，履行通知，协助、保密等义务。</w:t>
      </w:r>
    </w:p>
    <w:p w14:paraId="53DB515E">
      <w:pPr>
        <w:spacing w:line="360" w:lineRule="auto"/>
        <w:ind w:firstLine="482" w:firstLineChars="200"/>
        <w:outlineLvl w:val="1"/>
        <w:rPr>
          <w:rFonts w:ascii="宋体" w:hAnsi="宋体"/>
          <w:b/>
          <w:kern w:val="0"/>
          <w:sz w:val="24"/>
        </w:rPr>
      </w:pPr>
      <w:bookmarkStart w:id="691" w:name="_Toc504465937"/>
      <w:bookmarkStart w:id="692" w:name="_Toc104901812"/>
      <w:bookmarkStart w:id="693" w:name="_Toc144746913"/>
      <w:bookmarkStart w:id="694" w:name="_Toc18390"/>
      <w:bookmarkStart w:id="695" w:name="_Toc29936"/>
      <w:bookmarkStart w:id="696" w:name="_Toc502215534"/>
      <w:bookmarkStart w:id="697" w:name="_Toc518402631"/>
      <w:bookmarkStart w:id="698" w:name="_Toc144746283"/>
      <w:bookmarkStart w:id="699" w:name="_Toc38"/>
      <w:r>
        <w:rPr>
          <w:rFonts w:hint="eastAsia" w:ascii="宋体" w:hAnsi="宋体"/>
          <w:b/>
          <w:kern w:val="0"/>
          <w:sz w:val="24"/>
        </w:rPr>
        <w:t>52、补充条款</w:t>
      </w:r>
      <w:bookmarkEnd w:id="691"/>
      <w:bookmarkEnd w:id="692"/>
      <w:bookmarkEnd w:id="693"/>
      <w:bookmarkEnd w:id="694"/>
      <w:bookmarkEnd w:id="695"/>
      <w:bookmarkEnd w:id="696"/>
      <w:bookmarkEnd w:id="697"/>
      <w:bookmarkEnd w:id="698"/>
      <w:bookmarkEnd w:id="699"/>
    </w:p>
    <w:p w14:paraId="7049D0D6">
      <w:pPr>
        <w:spacing w:line="360" w:lineRule="auto"/>
        <w:ind w:firstLine="480" w:firstLineChars="200"/>
        <w:rPr>
          <w:rFonts w:ascii="宋体" w:hAnsi="宋体"/>
          <w:kern w:val="0"/>
          <w:sz w:val="24"/>
        </w:rPr>
      </w:pPr>
      <w:r>
        <w:rPr>
          <w:rFonts w:hint="eastAsia" w:ascii="宋体" w:hAnsi="宋体"/>
          <w:kern w:val="0"/>
          <w:sz w:val="24"/>
        </w:rPr>
        <w:t>52.1施工水电费（含发包人现场办公水电费）由承包人</w:t>
      </w:r>
      <w:r>
        <w:rPr>
          <w:rFonts w:hint="eastAsia" w:ascii="宋体" w:hAnsi="宋体" w:cs="宋体"/>
          <w:snapToGrid w:val="0"/>
          <w:kern w:val="0"/>
          <w:sz w:val="24"/>
        </w:rPr>
        <w:t>按供电供水部门</w:t>
      </w:r>
      <w:r>
        <w:rPr>
          <w:rFonts w:hint="eastAsia" w:ascii="宋体" w:hAnsi="宋体"/>
          <w:kern w:val="0"/>
          <w:sz w:val="24"/>
        </w:rPr>
        <w:t>的</w:t>
      </w:r>
      <w:r>
        <w:rPr>
          <w:rFonts w:hint="eastAsia" w:ascii="宋体" w:hAnsi="宋体" w:cs="宋体"/>
          <w:snapToGrid w:val="0"/>
          <w:kern w:val="0"/>
          <w:sz w:val="24"/>
        </w:rPr>
        <w:t>要求</w:t>
      </w:r>
      <w:r>
        <w:rPr>
          <w:rFonts w:hint="eastAsia" w:ascii="宋体" w:hAnsi="宋体"/>
          <w:kern w:val="0"/>
          <w:sz w:val="24"/>
        </w:rPr>
        <w:t>自行</w:t>
      </w:r>
      <w:r>
        <w:rPr>
          <w:rFonts w:hint="eastAsia" w:ascii="宋体" w:hAnsi="宋体" w:cs="宋体"/>
          <w:snapToGrid w:val="0"/>
          <w:kern w:val="0"/>
          <w:sz w:val="24"/>
        </w:rPr>
        <w:t>缴纳，</w:t>
      </w:r>
      <w:r>
        <w:rPr>
          <w:rFonts w:hint="eastAsia" w:ascii="宋体" w:hAnsi="宋体"/>
          <w:kern w:val="0"/>
          <w:sz w:val="24"/>
        </w:rPr>
        <w:t>承包人负责承担本开工直至工程移交前的水电费，</w:t>
      </w:r>
      <w:r>
        <w:rPr>
          <w:rFonts w:hint="eastAsia" w:ascii="宋体" w:hAnsi="宋体" w:cs="宋体"/>
          <w:snapToGrid w:val="0"/>
          <w:kern w:val="0"/>
          <w:sz w:val="24"/>
        </w:rPr>
        <w:t>水电设施在本工程期间的维护保养</w:t>
      </w:r>
      <w:r>
        <w:rPr>
          <w:rFonts w:hint="eastAsia" w:ascii="宋体" w:hAnsi="宋体"/>
          <w:kern w:val="0"/>
          <w:sz w:val="24"/>
        </w:rPr>
        <w:t>由承包人自行</w:t>
      </w:r>
      <w:r>
        <w:rPr>
          <w:rFonts w:hint="eastAsia" w:ascii="宋体" w:hAnsi="宋体" w:cs="宋体"/>
          <w:snapToGrid w:val="0"/>
          <w:kern w:val="0"/>
          <w:sz w:val="24"/>
        </w:rPr>
        <w:t>负责</w:t>
      </w:r>
      <w:r>
        <w:rPr>
          <w:rFonts w:hint="eastAsia" w:ascii="宋体" w:hAnsi="宋体"/>
          <w:kern w:val="0"/>
          <w:sz w:val="24"/>
        </w:rPr>
        <w:t>。</w:t>
      </w:r>
    </w:p>
    <w:p w14:paraId="7AF20263">
      <w:pPr>
        <w:spacing w:line="360" w:lineRule="auto"/>
        <w:ind w:firstLine="480" w:firstLineChars="200"/>
        <w:rPr>
          <w:rFonts w:ascii="宋体" w:hAnsi="宋体"/>
          <w:kern w:val="0"/>
          <w:sz w:val="24"/>
        </w:rPr>
      </w:pPr>
      <w:r>
        <w:rPr>
          <w:rFonts w:hint="eastAsia" w:ascii="宋体" w:hAnsi="宋体"/>
          <w:kern w:val="0"/>
          <w:sz w:val="24"/>
        </w:rPr>
        <w:t>52.2承包人承诺：</w:t>
      </w:r>
    </w:p>
    <w:p w14:paraId="79B7615D">
      <w:pPr>
        <w:spacing w:line="360" w:lineRule="auto"/>
        <w:ind w:firstLine="480" w:firstLineChars="200"/>
        <w:rPr>
          <w:rFonts w:ascii="宋体" w:hAnsi="宋体"/>
          <w:kern w:val="0"/>
          <w:sz w:val="24"/>
        </w:rPr>
      </w:pPr>
      <w:r>
        <w:rPr>
          <w:rFonts w:hint="eastAsia" w:ascii="宋体" w:hAnsi="宋体"/>
          <w:kern w:val="0"/>
          <w:sz w:val="24"/>
        </w:rPr>
        <w:t>（1）严格按照合同和招投标文件规定履行义务，并同意发包人将其执行国家强制性规范、标准和履行合同、招投标文件义务的情况（包括但不限于由发包人组织的考核、考评通报、违约处理决定等）在发包人网站及其它媒体上公开披露，并且不向发包人提出任何赔偿或补偿要求。</w:t>
      </w:r>
    </w:p>
    <w:p w14:paraId="78753368">
      <w:pPr>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sz w:val="24"/>
        </w:rPr>
        <w:t>因承包人原因导致发包人参与诉讼、仲裁事项的，应赔偿发包人的经济损失，以及承担由此支出的所有诉讼费、仲裁费、律师费及其他费用，并且在收到发包人赔付通知后立即支付，否则，每逾期1日应按逾付款项总额的1‰向发包人承担违约责任。</w:t>
      </w:r>
    </w:p>
    <w:p w14:paraId="080D4DEB">
      <w:pPr>
        <w:spacing w:line="360" w:lineRule="auto"/>
        <w:ind w:firstLine="480" w:firstLineChars="200"/>
        <w:rPr>
          <w:rFonts w:ascii="宋体" w:hAnsi="宋体"/>
          <w:kern w:val="0"/>
          <w:sz w:val="24"/>
        </w:rPr>
      </w:pPr>
      <w:r>
        <w:rPr>
          <w:rFonts w:hint="eastAsia" w:ascii="宋体" w:hAnsi="宋体"/>
          <w:kern w:val="0"/>
          <w:sz w:val="24"/>
        </w:rPr>
        <w:t>52.3双方一致同意，在工程未竣工验收移交前所有工程资料均归发包人所有，并必须在现场存放保管，发包人委托监理单位负责看管，在未得到发包人同意前，上述资料不得移出工地现场。</w:t>
      </w:r>
    </w:p>
    <w:p w14:paraId="1EC5EAF7">
      <w:pPr>
        <w:spacing w:line="360" w:lineRule="auto"/>
        <w:ind w:firstLine="480" w:firstLineChars="200"/>
        <w:rPr>
          <w:rFonts w:ascii="宋体" w:hAnsi="宋体"/>
          <w:kern w:val="0"/>
          <w:sz w:val="24"/>
        </w:rPr>
      </w:pPr>
      <w:r>
        <w:rPr>
          <w:rFonts w:hint="eastAsia" w:ascii="宋体" w:hAnsi="宋体"/>
          <w:kern w:val="0"/>
          <w:sz w:val="24"/>
        </w:rPr>
        <w:t>52.4当发生下列情况之一时，双方应在事件发生后三个月内签订补充合同（协议），双方另有约定的除外：</w:t>
      </w:r>
    </w:p>
    <w:p w14:paraId="2DADF440">
      <w:pPr>
        <w:spacing w:line="360" w:lineRule="auto"/>
        <w:ind w:firstLine="480" w:firstLineChars="200"/>
        <w:rPr>
          <w:rFonts w:ascii="宋体" w:hAnsi="宋体"/>
          <w:kern w:val="0"/>
          <w:sz w:val="24"/>
        </w:rPr>
      </w:pPr>
      <w:r>
        <w:rPr>
          <w:rFonts w:hint="eastAsia" w:ascii="宋体" w:hAnsi="宋体"/>
          <w:kern w:val="0"/>
          <w:sz w:val="24"/>
        </w:rPr>
        <w:t>（1）发包人根据合同协议书第3.</w:t>
      </w:r>
      <w:r>
        <w:rPr>
          <w:rFonts w:hint="eastAsia" w:ascii="宋体" w:hAnsi="宋体" w:cs="宋体"/>
          <w:snapToGrid w:val="0"/>
          <w:kern w:val="0"/>
          <w:sz w:val="24"/>
        </w:rPr>
        <w:t>4</w:t>
      </w:r>
      <w:r>
        <w:rPr>
          <w:rFonts w:hint="eastAsia" w:ascii="宋体" w:hAnsi="宋体"/>
          <w:kern w:val="0"/>
          <w:sz w:val="24"/>
        </w:rPr>
        <w:t>款的约定调整合同工期；</w:t>
      </w:r>
    </w:p>
    <w:p w14:paraId="2A56DDF7">
      <w:pPr>
        <w:spacing w:line="360" w:lineRule="auto"/>
        <w:ind w:firstLine="480" w:firstLineChars="200"/>
        <w:rPr>
          <w:rFonts w:ascii="宋体" w:hAnsi="宋体"/>
          <w:kern w:val="0"/>
          <w:sz w:val="24"/>
        </w:rPr>
      </w:pPr>
      <w:r>
        <w:rPr>
          <w:rFonts w:hint="eastAsia" w:ascii="宋体" w:hAnsi="宋体"/>
          <w:kern w:val="0"/>
          <w:sz w:val="24"/>
        </w:rPr>
        <w:t>（2）发包人根据合同协议书第2.1、2.2款的约定调整承包范围、或发生设计变更、工程签证等情况导致</w:t>
      </w:r>
      <w:r>
        <w:rPr>
          <w:rFonts w:hint="eastAsia" w:ascii="宋体" w:hAnsi="宋体"/>
          <w:kern w:val="0"/>
          <w:sz w:val="24"/>
          <w:lang w:val="zh-CN"/>
        </w:rPr>
        <w:t>本合同承包范围内的总金额</w:t>
      </w:r>
      <w:r>
        <w:rPr>
          <w:rFonts w:hint="eastAsia" w:ascii="宋体" w:hAnsi="宋体"/>
          <w:kern w:val="0"/>
          <w:sz w:val="24"/>
        </w:rPr>
        <w:t>超过本合同价款；</w:t>
      </w:r>
    </w:p>
    <w:p w14:paraId="67F79D42">
      <w:pPr>
        <w:spacing w:line="360" w:lineRule="auto"/>
        <w:ind w:firstLine="480" w:firstLineChars="200"/>
        <w:rPr>
          <w:rFonts w:ascii="宋体" w:hAnsi="宋体"/>
          <w:kern w:val="0"/>
          <w:sz w:val="24"/>
        </w:rPr>
      </w:pPr>
      <w:r>
        <w:rPr>
          <w:rFonts w:hint="eastAsia" w:ascii="宋体" w:hAnsi="宋体"/>
          <w:kern w:val="0"/>
          <w:sz w:val="24"/>
        </w:rPr>
        <w:t>（3）发包人根据合同条款总则第6条约定制订的制度、规定涉及双方经济利益变动；</w:t>
      </w:r>
    </w:p>
    <w:p w14:paraId="7BC7A4DC">
      <w:pPr>
        <w:spacing w:line="360" w:lineRule="auto"/>
        <w:ind w:firstLine="480" w:firstLineChars="200"/>
        <w:rPr>
          <w:rFonts w:ascii="宋体" w:hAnsi="宋体"/>
          <w:kern w:val="0"/>
          <w:sz w:val="24"/>
        </w:rPr>
      </w:pPr>
      <w:r>
        <w:rPr>
          <w:rFonts w:hint="eastAsia" w:ascii="宋体" w:hAnsi="宋体"/>
          <w:kern w:val="0"/>
          <w:sz w:val="24"/>
        </w:rPr>
        <w:t>（4）原合同条款欠完善或存在歧义；</w:t>
      </w:r>
    </w:p>
    <w:p w14:paraId="7251B0BA">
      <w:pPr>
        <w:spacing w:line="360" w:lineRule="auto"/>
        <w:ind w:firstLine="480" w:firstLineChars="200"/>
        <w:rPr>
          <w:rFonts w:ascii="宋体" w:hAnsi="宋体"/>
          <w:kern w:val="0"/>
          <w:sz w:val="24"/>
        </w:rPr>
      </w:pPr>
      <w:r>
        <w:rPr>
          <w:rFonts w:hint="eastAsia" w:ascii="宋体" w:hAnsi="宋体"/>
          <w:kern w:val="0"/>
          <w:sz w:val="24"/>
        </w:rPr>
        <w:t>（5）发包人、承包人双方认为需要签订补充合同（协议）的其它情形。</w:t>
      </w:r>
    </w:p>
    <w:p w14:paraId="642DD12F">
      <w:pPr>
        <w:autoSpaceDE w:val="0"/>
        <w:autoSpaceDN w:val="0"/>
        <w:spacing w:line="360" w:lineRule="auto"/>
        <w:ind w:firstLine="480" w:firstLineChars="200"/>
        <w:rPr>
          <w:rFonts w:ascii="宋体" w:hAnsi="宋体"/>
          <w:kern w:val="0"/>
          <w:sz w:val="24"/>
        </w:rPr>
      </w:pPr>
      <w:r>
        <w:rPr>
          <w:rFonts w:hint="eastAsia" w:ascii="宋体" w:hAnsi="宋体"/>
          <w:kern w:val="0"/>
          <w:sz w:val="24"/>
        </w:rPr>
        <w:t>52.5 承包人必须接受政府有关部门对本工程的监督，并无条件配合政府指定的审计机构的审计。</w:t>
      </w:r>
    </w:p>
    <w:p w14:paraId="3AF81890">
      <w:pPr>
        <w:autoSpaceDE w:val="0"/>
        <w:autoSpaceDN w:val="0"/>
        <w:spacing w:line="360" w:lineRule="auto"/>
        <w:ind w:firstLine="480" w:firstLineChars="200"/>
        <w:rPr>
          <w:rFonts w:ascii="宋体" w:hAnsi="宋体"/>
          <w:kern w:val="0"/>
          <w:sz w:val="24"/>
        </w:rPr>
      </w:pPr>
      <w:r>
        <w:rPr>
          <w:rFonts w:hint="eastAsia" w:ascii="宋体" w:hAnsi="宋体"/>
          <w:kern w:val="0"/>
          <w:sz w:val="24"/>
        </w:rPr>
        <w:t>52.6 综合考评</w:t>
      </w:r>
    </w:p>
    <w:p w14:paraId="3D3EF9B6">
      <w:pPr>
        <w:autoSpaceDE w:val="0"/>
        <w:autoSpaceDN w:val="0"/>
        <w:spacing w:line="360" w:lineRule="auto"/>
        <w:ind w:firstLine="480" w:firstLineChars="200"/>
        <w:rPr>
          <w:rFonts w:ascii="宋体" w:hAnsi="宋体"/>
          <w:kern w:val="0"/>
          <w:sz w:val="24"/>
        </w:rPr>
      </w:pPr>
      <w:r>
        <w:rPr>
          <w:rFonts w:hint="eastAsia" w:ascii="宋体" w:hAnsi="宋体"/>
          <w:kern w:val="0"/>
          <w:sz w:val="24"/>
        </w:rPr>
        <w:t>鉴于本工程的重要性，为确保本合同工程质量，发包人将对参与本合同项目建设的承包人和监理单位进行综合考评，并根据综合考评的结果按照相关规定执行。</w:t>
      </w:r>
    </w:p>
    <w:p w14:paraId="40107D40">
      <w:pPr>
        <w:adjustRightInd w:val="0"/>
        <w:snapToGrid w:val="0"/>
        <w:spacing w:line="360" w:lineRule="auto"/>
        <w:ind w:right="11" w:firstLine="663" w:firstLineChars="150"/>
        <w:jc w:val="center"/>
        <w:rPr>
          <w:rFonts w:ascii="宋体" w:hAnsi="宋体"/>
          <w:b/>
          <w:kern w:val="0"/>
          <w:sz w:val="44"/>
        </w:rPr>
        <w:sectPr>
          <w:footerReference r:id="rId3" w:type="default"/>
          <w:pgSz w:w="11906" w:h="16838"/>
          <w:pgMar w:top="1440" w:right="1134" w:bottom="1440" w:left="1134" w:header="851" w:footer="992" w:gutter="0"/>
          <w:pgNumType w:start="1"/>
          <w:cols w:space="720" w:num="1"/>
          <w:docGrid w:type="lines" w:linePitch="312" w:charSpace="0"/>
        </w:sectPr>
      </w:pPr>
    </w:p>
    <w:p w14:paraId="1529BF58">
      <w:pPr>
        <w:adjustRightInd w:val="0"/>
        <w:snapToGrid w:val="0"/>
        <w:spacing w:line="360" w:lineRule="auto"/>
        <w:jc w:val="center"/>
        <w:outlineLvl w:val="0"/>
        <w:rPr>
          <w:rFonts w:ascii="宋体" w:hAnsi="宋体"/>
          <w:b/>
          <w:kern w:val="0"/>
          <w:sz w:val="44"/>
        </w:rPr>
      </w:pPr>
      <w:bookmarkStart w:id="700" w:name="_Toc144746284"/>
      <w:bookmarkStart w:id="701" w:name="_Toc2902"/>
      <w:bookmarkStart w:id="702" w:name="_Toc104901813"/>
      <w:bookmarkStart w:id="703" w:name="_Toc502215535"/>
      <w:bookmarkStart w:id="704" w:name="_Toc13737"/>
      <w:bookmarkStart w:id="705" w:name="_Toc144746914"/>
      <w:bookmarkStart w:id="706" w:name="_Toc518402632"/>
      <w:bookmarkStart w:id="707" w:name="_Toc25655_WPSOffice_Level1"/>
      <w:bookmarkStart w:id="708" w:name="_Toc3514"/>
      <w:bookmarkStart w:id="709" w:name="_Toc504465938"/>
      <w:r>
        <w:rPr>
          <w:rFonts w:hint="eastAsia" w:ascii="宋体" w:hAnsi="宋体"/>
          <w:b/>
          <w:kern w:val="0"/>
          <w:sz w:val="44"/>
        </w:rPr>
        <w:t>第三篇  合同附件</w:t>
      </w:r>
      <w:bookmarkEnd w:id="700"/>
      <w:bookmarkEnd w:id="701"/>
      <w:bookmarkEnd w:id="702"/>
      <w:bookmarkEnd w:id="703"/>
      <w:bookmarkEnd w:id="704"/>
      <w:bookmarkEnd w:id="705"/>
      <w:bookmarkEnd w:id="706"/>
      <w:bookmarkEnd w:id="707"/>
      <w:bookmarkEnd w:id="708"/>
      <w:bookmarkEnd w:id="709"/>
    </w:p>
    <w:bookmarkEnd w:id="4"/>
    <w:p w14:paraId="26386454">
      <w:pPr>
        <w:spacing w:line="360" w:lineRule="auto"/>
        <w:ind w:firstLine="480" w:firstLineChars="200"/>
        <w:rPr>
          <w:rFonts w:ascii="宋体" w:hAnsi="宋体"/>
          <w:kern w:val="0"/>
          <w:sz w:val="24"/>
        </w:rPr>
      </w:pPr>
      <w:r>
        <w:rPr>
          <w:rFonts w:hint="eastAsia" w:ascii="宋体" w:hAnsi="宋体"/>
          <w:kern w:val="0"/>
          <w:sz w:val="24"/>
        </w:rPr>
        <w:t>附件1：工程质量保修书</w:t>
      </w:r>
    </w:p>
    <w:p w14:paraId="6464EC7C">
      <w:pPr>
        <w:spacing w:line="360" w:lineRule="auto"/>
        <w:ind w:firstLine="480" w:firstLineChars="200"/>
        <w:rPr>
          <w:rFonts w:ascii="宋体" w:hAnsi="宋体"/>
          <w:kern w:val="0"/>
          <w:sz w:val="24"/>
        </w:rPr>
      </w:pPr>
      <w:r>
        <w:rPr>
          <w:rFonts w:hint="eastAsia" w:ascii="宋体" w:hAnsi="宋体"/>
          <w:kern w:val="0"/>
          <w:sz w:val="24"/>
        </w:rPr>
        <w:t>附件2：工程建设廉洁协议书</w:t>
      </w:r>
    </w:p>
    <w:p w14:paraId="0FD6E8CD">
      <w:pPr>
        <w:spacing w:line="360" w:lineRule="auto"/>
        <w:ind w:firstLine="480" w:firstLineChars="200"/>
        <w:rPr>
          <w:rFonts w:ascii="宋体" w:hAnsi="宋体"/>
          <w:kern w:val="0"/>
          <w:sz w:val="24"/>
        </w:rPr>
      </w:pPr>
      <w:r>
        <w:rPr>
          <w:rFonts w:hint="eastAsia" w:ascii="宋体" w:hAnsi="宋体"/>
          <w:kern w:val="0"/>
          <w:sz w:val="24"/>
        </w:rPr>
        <w:t>附件3：安全生产合同</w:t>
      </w:r>
    </w:p>
    <w:p w14:paraId="2D57F040">
      <w:pPr>
        <w:spacing w:line="360" w:lineRule="auto"/>
        <w:ind w:firstLine="480" w:firstLineChars="200"/>
        <w:rPr>
          <w:rFonts w:ascii="宋体" w:hAnsi="宋体"/>
          <w:kern w:val="0"/>
          <w:sz w:val="24"/>
        </w:rPr>
      </w:pPr>
      <w:r>
        <w:rPr>
          <w:rFonts w:hint="eastAsia" w:ascii="宋体" w:hAnsi="宋体"/>
          <w:kern w:val="0"/>
          <w:sz w:val="24"/>
        </w:rPr>
        <w:t>附件4：承包人履约银行保函（</w:t>
      </w:r>
      <w:r>
        <w:rPr>
          <w:rFonts w:hint="eastAsia" w:ascii="宋体" w:hAnsi="宋体"/>
          <w:snapToGrid w:val="0"/>
          <w:kern w:val="0"/>
          <w:sz w:val="24"/>
        </w:rPr>
        <w:t>参考</w:t>
      </w:r>
      <w:r>
        <w:rPr>
          <w:rFonts w:hint="eastAsia" w:ascii="宋体" w:hAnsi="宋体"/>
          <w:kern w:val="0"/>
          <w:sz w:val="24"/>
        </w:rPr>
        <w:t>格式）及承诺书、</w:t>
      </w:r>
      <w:r>
        <w:rPr>
          <w:rFonts w:hint="eastAsia" w:ascii="宋体" w:hAnsi="宋体"/>
          <w:sz w:val="24"/>
        </w:rPr>
        <w:t>预付款保函（</w:t>
      </w:r>
      <w:r>
        <w:rPr>
          <w:rFonts w:hint="eastAsia" w:ascii="宋体" w:hAnsi="宋体" w:cs="宋体"/>
          <w:sz w:val="24"/>
          <w:szCs w:val="24"/>
        </w:rPr>
        <w:t>参考</w:t>
      </w:r>
      <w:r>
        <w:rPr>
          <w:rFonts w:hint="eastAsia" w:ascii="宋体" w:hAnsi="宋体"/>
          <w:sz w:val="24"/>
        </w:rPr>
        <w:t>格式）</w:t>
      </w:r>
    </w:p>
    <w:p w14:paraId="11383FDC">
      <w:pPr>
        <w:spacing w:line="360" w:lineRule="auto"/>
        <w:ind w:firstLine="480" w:firstLineChars="200"/>
        <w:rPr>
          <w:rFonts w:ascii="宋体" w:hAnsi="宋体"/>
          <w:kern w:val="0"/>
          <w:sz w:val="24"/>
          <w:u w:val="single"/>
        </w:rPr>
      </w:pPr>
      <w:r>
        <w:rPr>
          <w:rFonts w:hint="eastAsia" w:ascii="宋体" w:hAnsi="宋体"/>
          <w:kern w:val="0"/>
          <w:sz w:val="24"/>
        </w:rPr>
        <w:t>附件5：投入主要施工管理及技术人员列表</w:t>
      </w:r>
      <w:r>
        <w:rPr>
          <w:rFonts w:hint="eastAsia" w:ascii="宋体" w:hAnsi="宋体" w:cs="宋体"/>
          <w:bCs/>
          <w:snapToGrid w:val="0"/>
          <w:kern w:val="0"/>
          <w:sz w:val="24"/>
        </w:rPr>
        <w:t>、投入主要设计人员列表</w:t>
      </w:r>
    </w:p>
    <w:p w14:paraId="22710852">
      <w:pPr>
        <w:spacing w:line="360" w:lineRule="auto"/>
        <w:ind w:firstLine="480" w:firstLineChars="200"/>
        <w:rPr>
          <w:rFonts w:ascii="宋体" w:hAnsi="宋体"/>
          <w:b/>
          <w:kern w:val="0"/>
          <w:sz w:val="32"/>
        </w:rPr>
      </w:pPr>
      <w:r>
        <w:rPr>
          <w:rFonts w:hint="eastAsia" w:ascii="宋体" w:hAnsi="宋体"/>
          <w:kern w:val="0"/>
          <w:sz w:val="24"/>
        </w:rPr>
        <w:t>附件6：招标答疑及澄清文件（复印件）</w:t>
      </w:r>
    </w:p>
    <w:p w14:paraId="2BDDB3D3">
      <w:pPr>
        <w:spacing w:line="360" w:lineRule="auto"/>
        <w:ind w:firstLine="480" w:firstLineChars="200"/>
        <w:rPr>
          <w:rFonts w:ascii="宋体" w:hAnsi="宋体"/>
          <w:b/>
          <w:kern w:val="0"/>
          <w:sz w:val="32"/>
        </w:rPr>
      </w:pPr>
      <w:r>
        <w:rPr>
          <w:rFonts w:hint="eastAsia" w:ascii="宋体" w:hAnsi="宋体"/>
          <w:kern w:val="0"/>
          <w:sz w:val="24"/>
        </w:rPr>
        <w:t>附件7：工程质量终身责任承诺书（含法定代表人授权书）</w:t>
      </w:r>
    </w:p>
    <w:p w14:paraId="6E318D60">
      <w:pPr>
        <w:adjustRightInd w:val="0"/>
        <w:snapToGrid w:val="0"/>
        <w:spacing w:line="360" w:lineRule="auto"/>
        <w:ind w:firstLine="480" w:firstLineChars="200"/>
        <w:rPr>
          <w:rFonts w:ascii="宋体" w:hAnsi="宋体"/>
          <w:kern w:val="0"/>
          <w:sz w:val="24"/>
        </w:rPr>
      </w:pPr>
      <w:r>
        <w:rPr>
          <w:rFonts w:hint="eastAsia" w:ascii="宋体" w:hAnsi="宋体"/>
          <w:kern w:val="0"/>
          <w:sz w:val="24"/>
        </w:rPr>
        <w:t>附件8：工人工资支付分账管理协议书（格式）</w:t>
      </w:r>
    </w:p>
    <w:p w14:paraId="3A94E149">
      <w:pPr>
        <w:adjustRightInd w:val="0"/>
        <w:snapToGrid w:val="0"/>
        <w:spacing w:line="360" w:lineRule="auto"/>
        <w:ind w:left="1439" w:leftChars="228" w:hanging="960" w:hangingChars="400"/>
        <w:rPr>
          <w:rFonts w:ascii="宋体" w:hAnsi="宋体"/>
          <w:kern w:val="0"/>
          <w:sz w:val="24"/>
        </w:rPr>
      </w:pPr>
      <w:r>
        <w:rPr>
          <w:rFonts w:hint="eastAsia" w:ascii="宋体" w:hAnsi="宋体"/>
          <w:kern w:val="0"/>
          <w:sz w:val="24"/>
        </w:rPr>
        <w:t>附件9：承包人法定代表人、本工程项目负责人、技术负责人</w:t>
      </w:r>
      <w:r>
        <w:rPr>
          <w:rFonts w:hint="eastAsia" w:ascii="宋体" w:hAnsi="宋体" w:cs="宋体"/>
          <w:bCs/>
          <w:snapToGrid w:val="0"/>
          <w:kern w:val="0"/>
          <w:sz w:val="24"/>
        </w:rPr>
        <w:t>、设计负责人及驻场设计人员</w:t>
      </w:r>
      <w:r>
        <w:rPr>
          <w:rFonts w:hint="eastAsia" w:ascii="宋体" w:hAnsi="宋体"/>
          <w:kern w:val="0"/>
          <w:sz w:val="24"/>
        </w:rPr>
        <w:t>的身份证、职务、职称及通信联系方式</w:t>
      </w:r>
    </w:p>
    <w:p w14:paraId="72681E7F">
      <w:pPr>
        <w:spacing w:line="360" w:lineRule="auto"/>
        <w:ind w:firstLine="480" w:firstLineChars="200"/>
        <w:rPr>
          <w:rFonts w:ascii="宋体" w:hAnsi="宋体" w:cs="宋体"/>
          <w:bCs/>
          <w:snapToGrid w:val="0"/>
          <w:kern w:val="0"/>
          <w:sz w:val="24"/>
        </w:rPr>
      </w:pPr>
      <w:r>
        <w:rPr>
          <w:rFonts w:hint="eastAsia" w:ascii="宋体" w:hAnsi="宋体"/>
          <w:kern w:val="0"/>
          <w:sz w:val="24"/>
        </w:rPr>
        <w:t>附件10：</w:t>
      </w:r>
      <w:r>
        <w:rPr>
          <w:rFonts w:hint="eastAsia" w:ascii="宋体" w:hAnsi="宋体" w:cs="宋体"/>
          <w:bCs/>
          <w:snapToGrid w:val="0"/>
          <w:kern w:val="0"/>
          <w:sz w:val="24"/>
        </w:rPr>
        <w:t>联合体投标协议书</w:t>
      </w:r>
    </w:p>
    <w:p w14:paraId="4417168F">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附件11：投标书（报价表）</w:t>
      </w:r>
    </w:p>
    <w:p w14:paraId="0951C29F">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附件12：设计任务书</w:t>
      </w:r>
    </w:p>
    <w:p w14:paraId="40C28F1B">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附件13：施工管理任务书</w:t>
      </w:r>
    </w:p>
    <w:p w14:paraId="01B05CAF">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附件14：设备材料品牌表</w:t>
      </w:r>
    </w:p>
    <w:p w14:paraId="358FDD8B">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附件15：承包人现场进度、质量、安全、材料、规章管理及罚款细则</w:t>
      </w:r>
    </w:p>
    <w:p w14:paraId="01597DC2">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附件</w:t>
      </w:r>
      <w:r>
        <w:rPr>
          <w:rFonts w:ascii="宋体" w:hAnsi="宋体" w:cs="宋体"/>
          <w:bCs/>
          <w:snapToGrid w:val="0"/>
          <w:kern w:val="0"/>
          <w:sz w:val="24"/>
        </w:rPr>
        <w:t>16：《</w:t>
      </w:r>
      <w:r>
        <w:rPr>
          <w:rFonts w:hint="eastAsia" w:ascii="宋体" w:hAnsi="宋体" w:cs="宋体"/>
          <w:bCs/>
          <w:snapToGrid w:val="0"/>
          <w:kern w:val="0"/>
          <w:sz w:val="24"/>
        </w:rPr>
        <w:t>交付标准》</w:t>
      </w:r>
    </w:p>
    <w:p w14:paraId="2F496FB5">
      <w:pPr>
        <w:spacing w:line="360" w:lineRule="auto"/>
        <w:ind w:firstLine="480" w:firstLineChars="200"/>
        <w:rPr>
          <w:rFonts w:ascii="宋体" w:hAnsi="宋体" w:cs="宋体"/>
          <w:bCs/>
          <w:snapToGrid w:val="0"/>
          <w:kern w:val="0"/>
          <w:sz w:val="24"/>
        </w:rPr>
      </w:pPr>
      <w:r>
        <w:rPr>
          <w:rFonts w:hint="eastAsia" w:ascii="宋体" w:hAnsi="宋体" w:cs="宋体"/>
          <w:bCs/>
          <w:snapToGrid w:val="0"/>
          <w:kern w:val="0"/>
          <w:sz w:val="24"/>
        </w:rPr>
        <w:t>附件1</w:t>
      </w:r>
      <w:r>
        <w:rPr>
          <w:rFonts w:hint="eastAsia" w:ascii="宋体" w:hAnsi="宋体" w:cs="宋体"/>
          <w:bCs/>
          <w:snapToGrid w:val="0"/>
          <w:kern w:val="0"/>
          <w:sz w:val="24"/>
          <w:lang w:val="en-US" w:eastAsia="zh-CN"/>
        </w:rPr>
        <w:t>7</w:t>
      </w:r>
      <w:r>
        <w:rPr>
          <w:rFonts w:hint="eastAsia" w:ascii="宋体" w:hAnsi="宋体" w:cs="宋体"/>
          <w:bCs/>
          <w:snapToGrid w:val="0"/>
          <w:kern w:val="0"/>
          <w:sz w:val="24"/>
        </w:rPr>
        <w:t>：建设资金共管协议</w:t>
      </w:r>
    </w:p>
    <w:p w14:paraId="1EF7D6C9">
      <w:pPr>
        <w:ind w:firstLine="480" w:firstLineChars="200"/>
        <w:rPr>
          <w:rFonts w:ascii="宋体" w:hAnsi="宋体"/>
        </w:rPr>
      </w:pPr>
      <w:r>
        <w:rPr>
          <w:rFonts w:hint="eastAsia" w:ascii="宋体" w:hAnsi="宋体" w:cs="宋体"/>
          <w:bCs/>
          <w:snapToGrid w:val="0"/>
          <w:kern w:val="0"/>
          <w:sz w:val="24"/>
        </w:rPr>
        <w:t>附件1</w:t>
      </w:r>
      <w:r>
        <w:rPr>
          <w:rFonts w:hint="eastAsia" w:ascii="宋体" w:hAnsi="宋体" w:cs="宋体"/>
          <w:bCs/>
          <w:snapToGrid w:val="0"/>
          <w:kern w:val="0"/>
          <w:sz w:val="24"/>
          <w:lang w:val="en-US" w:eastAsia="zh-CN"/>
        </w:rPr>
        <w:t>8</w:t>
      </w:r>
      <w:r>
        <w:rPr>
          <w:rFonts w:hint="eastAsia" w:ascii="宋体" w:hAnsi="宋体" w:cs="宋体"/>
          <w:bCs/>
          <w:snapToGrid w:val="0"/>
          <w:kern w:val="0"/>
          <w:sz w:val="24"/>
        </w:rPr>
        <w:t>：专项计量计价约定</w:t>
      </w:r>
    </w:p>
    <w:p w14:paraId="29B5B000">
      <w:pPr>
        <w:spacing w:line="360" w:lineRule="auto"/>
        <w:ind w:firstLine="480" w:firstLineChars="200"/>
        <w:rPr>
          <w:rFonts w:ascii="宋体" w:hAnsi="宋体"/>
          <w:kern w:val="0"/>
          <w:sz w:val="24"/>
        </w:rPr>
      </w:pPr>
    </w:p>
    <w:p w14:paraId="29D7703D">
      <w:pPr>
        <w:spacing w:line="360" w:lineRule="auto"/>
        <w:ind w:firstLine="480" w:firstLineChars="200"/>
        <w:rPr>
          <w:rFonts w:ascii="宋体" w:hAnsi="宋体"/>
          <w:kern w:val="0"/>
          <w:sz w:val="24"/>
          <w:u w:val="single"/>
        </w:rPr>
      </w:pPr>
    </w:p>
    <w:p w14:paraId="2D1A3CBB">
      <w:pPr>
        <w:spacing w:line="360" w:lineRule="auto"/>
        <w:ind w:firstLine="480" w:firstLineChars="200"/>
        <w:rPr>
          <w:rFonts w:ascii="宋体" w:hAnsi="宋体"/>
          <w:kern w:val="0"/>
          <w:sz w:val="24"/>
          <w:u w:val="single"/>
        </w:rPr>
      </w:pPr>
    </w:p>
    <w:p w14:paraId="0B0CECD4">
      <w:pPr>
        <w:pStyle w:val="45"/>
        <w:rPr>
          <w:rFonts w:ascii="宋体" w:hAnsi="宋体"/>
          <w:kern w:val="0"/>
          <w:u w:val="single"/>
        </w:rPr>
      </w:pPr>
    </w:p>
    <w:p w14:paraId="3108A0D4">
      <w:pPr>
        <w:pStyle w:val="45"/>
        <w:rPr>
          <w:rFonts w:ascii="宋体" w:hAnsi="宋体"/>
          <w:kern w:val="0"/>
          <w:sz w:val="24"/>
          <w:u w:val="single"/>
        </w:rPr>
      </w:pPr>
    </w:p>
    <w:p w14:paraId="7407E28A">
      <w:pPr>
        <w:pStyle w:val="45"/>
        <w:rPr>
          <w:rFonts w:ascii="宋体" w:hAnsi="宋体"/>
          <w:kern w:val="0"/>
          <w:sz w:val="24"/>
          <w:u w:val="single"/>
        </w:rPr>
      </w:pPr>
    </w:p>
    <w:p w14:paraId="5005FC99">
      <w:pPr>
        <w:spacing w:line="240" w:lineRule="auto"/>
        <w:outlineLvl w:val="9"/>
        <w:rPr>
          <w:rFonts w:hint="eastAsia" w:ascii="宋体" w:hAnsi="宋体"/>
          <w:kern w:val="0"/>
          <w:sz w:val="24"/>
        </w:rPr>
      </w:pPr>
      <w:bookmarkStart w:id="710" w:name="_Toc504735669"/>
      <w:bookmarkStart w:id="711" w:name="_Toc59802263"/>
      <w:bookmarkStart w:id="712" w:name="_Toc518402633"/>
      <w:bookmarkStart w:id="713" w:name="_Toc104901814"/>
      <w:bookmarkStart w:id="714" w:name="_Toc104901618"/>
      <w:r>
        <w:rPr>
          <w:rFonts w:hint="eastAsia" w:ascii="宋体" w:hAnsi="宋体"/>
          <w:kern w:val="0"/>
          <w:sz w:val="24"/>
        </w:rPr>
        <w:br w:type="page"/>
      </w:r>
    </w:p>
    <w:p w14:paraId="099055C0">
      <w:pPr>
        <w:spacing w:line="360" w:lineRule="auto"/>
        <w:outlineLvl w:val="1"/>
        <w:rPr>
          <w:rFonts w:ascii="宋体" w:hAnsi="宋体"/>
          <w:kern w:val="0"/>
          <w:sz w:val="24"/>
        </w:rPr>
      </w:pPr>
      <w:r>
        <w:rPr>
          <w:rFonts w:hint="eastAsia" w:ascii="宋体" w:hAnsi="宋体"/>
          <w:kern w:val="0"/>
          <w:sz w:val="24"/>
        </w:rPr>
        <w:t>附件1：</w:t>
      </w:r>
      <w:bookmarkEnd w:id="710"/>
      <w:bookmarkEnd w:id="711"/>
      <w:bookmarkEnd w:id="712"/>
      <w:bookmarkEnd w:id="713"/>
      <w:bookmarkEnd w:id="714"/>
      <w:r>
        <w:rPr>
          <w:rFonts w:hint="eastAsia" w:ascii="宋体" w:hAnsi="宋体"/>
          <w:kern w:val="0"/>
          <w:sz w:val="24"/>
        </w:rPr>
        <w:t>工程质量保修书</w:t>
      </w:r>
    </w:p>
    <w:p w14:paraId="0B657715">
      <w:pPr>
        <w:adjustRightInd w:val="0"/>
        <w:snapToGrid w:val="0"/>
        <w:spacing w:line="360" w:lineRule="auto"/>
        <w:jc w:val="center"/>
        <w:rPr>
          <w:rFonts w:ascii="宋体" w:hAnsi="宋体"/>
          <w:b/>
          <w:kern w:val="0"/>
          <w:sz w:val="32"/>
        </w:rPr>
      </w:pPr>
      <w:bookmarkStart w:id="715" w:name="_Toc20479_WPSOffice_Level1"/>
      <w:r>
        <w:rPr>
          <w:rFonts w:hint="eastAsia" w:ascii="宋体" w:hAnsi="宋体"/>
          <w:b/>
          <w:kern w:val="0"/>
          <w:sz w:val="32"/>
        </w:rPr>
        <w:t>工程质量保修书</w:t>
      </w:r>
      <w:bookmarkEnd w:id="715"/>
    </w:p>
    <w:p w14:paraId="5F7986DF">
      <w:pPr>
        <w:adjustRightInd w:val="0"/>
        <w:snapToGrid w:val="0"/>
        <w:spacing w:line="360" w:lineRule="auto"/>
        <w:ind w:right="11"/>
        <w:rPr>
          <w:rFonts w:ascii="宋体" w:hAnsi="宋体"/>
          <w:b/>
          <w:kern w:val="0"/>
          <w:sz w:val="24"/>
        </w:rPr>
      </w:pPr>
      <w:r>
        <w:rPr>
          <w:rFonts w:hint="eastAsia" w:ascii="宋体" w:hAnsi="宋体"/>
          <w:b/>
          <w:kern w:val="0"/>
          <w:sz w:val="24"/>
        </w:rPr>
        <w:t>发包人：广州</w:t>
      </w:r>
      <w:r>
        <w:rPr>
          <w:rFonts w:hint="eastAsia" w:ascii="宋体" w:hAnsi="宋体"/>
          <w:b/>
          <w:kern w:val="0"/>
          <w:sz w:val="24"/>
          <w:lang w:val="en-US" w:eastAsia="zh-CN"/>
        </w:rPr>
        <w:t>尚龙</w:t>
      </w:r>
      <w:r>
        <w:rPr>
          <w:rFonts w:hint="eastAsia" w:ascii="宋体" w:hAnsi="宋体"/>
          <w:b/>
          <w:kern w:val="0"/>
          <w:sz w:val="24"/>
        </w:rPr>
        <w:t>置业有限公司</w:t>
      </w:r>
    </w:p>
    <w:p w14:paraId="76054AB6">
      <w:pPr>
        <w:tabs>
          <w:tab w:val="left" w:pos="632"/>
          <w:tab w:val="left" w:pos="9240"/>
        </w:tabs>
        <w:adjustRightInd w:val="0"/>
        <w:snapToGrid w:val="0"/>
        <w:spacing w:line="341" w:lineRule="auto"/>
        <w:ind w:right="-31" w:rightChars="-15"/>
        <w:rPr>
          <w:rFonts w:hint="eastAsia" w:ascii="宋体" w:hAnsi="宋体" w:eastAsia="宋体"/>
          <w:b/>
          <w:kern w:val="0"/>
          <w:sz w:val="24"/>
          <w:lang w:eastAsia="zh-CN"/>
        </w:rPr>
      </w:pPr>
      <w:bookmarkStart w:id="716" w:name="_Toc504465939"/>
      <w:bookmarkStart w:id="717" w:name="_Toc496887425"/>
      <w:bookmarkStart w:id="718" w:name="_Toc497206459"/>
      <w:bookmarkStart w:id="719" w:name="_Toc502215536"/>
      <w:r>
        <w:rPr>
          <w:rFonts w:hint="eastAsia" w:ascii="宋体" w:hAnsi="宋体"/>
          <w:b/>
          <w:kern w:val="0"/>
          <w:sz w:val="24"/>
        </w:rPr>
        <w:t>承包人：</w:t>
      </w:r>
      <w:bookmarkEnd w:id="716"/>
      <w:bookmarkEnd w:id="717"/>
      <w:bookmarkEnd w:id="718"/>
      <w:bookmarkEnd w:id="719"/>
      <w:r>
        <w:rPr>
          <w:rFonts w:hint="eastAsia" w:ascii="宋体" w:hAnsi="宋体" w:cs="宋体"/>
          <w:b/>
          <w:snapToGrid w:val="0"/>
          <w:kern w:val="0"/>
          <w:sz w:val="24"/>
        </w:rPr>
        <w:t xml:space="preserve">(主) </w:t>
      </w:r>
      <w:r>
        <w:rPr>
          <w:rFonts w:hint="eastAsia" w:ascii="宋体" w:hAnsi="宋体"/>
          <w:b/>
          <w:kern w:val="0"/>
          <w:sz w:val="24"/>
        </w:rPr>
        <w:t xml:space="preserve"> </w:t>
      </w:r>
      <w:r>
        <w:rPr>
          <w:rFonts w:hint="eastAsia" w:ascii="宋体" w:hAnsi="宋体"/>
          <w:b/>
          <w:kern w:val="0"/>
          <w:sz w:val="24"/>
          <w:lang w:val="en-US" w:eastAsia="zh-CN"/>
        </w:rPr>
        <w:t xml:space="preserve"> </w:t>
      </w:r>
    </w:p>
    <w:p w14:paraId="60236B1F">
      <w:pPr>
        <w:tabs>
          <w:tab w:val="left" w:pos="632"/>
          <w:tab w:val="left" w:pos="9240"/>
        </w:tabs>
        <w:adjustRightInd w:val="0"/>
        <w:snapToGrid w:val="0"/>
        <w:spacing w:line="341" w:lineRule="auto"/>
        <w:ind w:right="-31" w:rightChars="-15" w:firstLine="964" w:firstLineChars="400"/>
        <w:rPr>
          <w:rFonts w:hint="eastAsia" w:ascii="宋体" w:hAnsi="宋体" w:eastAsia="宋体" w:cs="宋体"/>
          <w:b/>
          <w:snapToGrid w:val="0"/>
          <w:kern w:val="0"/>
          <w:sz w:val="24"/>
          <w:lang w:eastAsia="zh-CN"/>
        </w:rPr>
      </w:pPr>
      <w:r>
        <w:rPr>
          <w:rFonts w:hint="eastAsia" w:ascii="宋体" w:hAnsi="宋体" w:cs="宋体"/>
          <w:b/>
          <w:snapToGrid w:val="0"/>
          <w:kern w:val="0"/>
          <w:sz w:val="24"/>
        </w:rPr>
        <w:t xml:space="preserve">(成) </w:t>
      </w:r>
      <w:r>
        <w:rPr>
          <w:rFonts w:hint="eastAsia" w:ascii="宋体" w:hAnsi="宋体" w:cs="宋体"/>
          <w:b/>
          <w:snapToGrid w:val="0"/>
          <w:kern w:val="0"/>
          <w:sz w:val="24"/>
          <w:lang w:val="en-US" w:eastAsia="zh-CN"/>
        </w:rPr>
        <w:t xml:space="preserve"> </w:t>
      </w:r>
    </w:p>
    <w:p w14:paraId="3C4BAC77">
      <w:pPr>
        <w:tabs>
          <w:tab w:val="left" w:pos="632"/>
          <w:tab w:val="left" w:pos="9240"/>
        </w:tabs>
        <w:adjustRightInd w:val="0"/>
        <w:snapToGrid w:val="0"/>
        <w:spacing w:line="341" w:lineRule="auto"/>
        <w:ind w:right="-31" w:rightChars="-15" w:firstLine="964" w:firstLineChars="400"/>
        <w:rPr>
          <w:rFonts w:ascii="宋体" w:hAnsi="宋体" w:cs="宋体"/>
          <w:b/>
          <w:snapToGrid w:val="0"/>
          <w:kern w:val="0"/>
          <w:sz w:val="24"/>
        </w:rPr>
      </w:pPr>
      <w:r>
        <w:rPr>
          <w:rFonts w:hint="eastAsia" w:ascii="宋体" w:hAnsi="宋体" w:cs="宋体"/>
          <w:b/>
          <w:snapToGrid w:val="0"/>
          <w:kern w:val="0"/>
          <w:sz w:val="24"/>
        </w:rPr>
        <w:t xml:space="preserve"> </w:t>
      </w:r>
    </w:p>
    <w:p w14:paraId="5C4D7022">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发包人、承包人根据《中华人民共和国建筑法》、《建设工程质量管理条例》和《房屋建筑工程质量保修办法》，经协商一致，对</w:t>
      </w:r>
      <w:r>
        <w:rPr>
          <w:rFonts w:hint="eastAsia" w:ascii="宋体" w:hAnsi="宋体"/>
          <w:kern w:val="0"/>
          <w:sz w:val="24"/>
          <w:u w:val="single"/>
          <w:lang w:val="en-US" w:eastAsia="zh-CN"/>
        </w:rPr>
        <w:t xml:space="preserve">     </w:t>
      </w:r>
      <w:r>
        <w:rPr>
          <w:rFonts w:hint="eastAsia" w:ascii="宋体" w:hAnsi="宋体"/>
          <w:kern w:val="0"/>
          <w:sz w:val="24"/>
          <w:u w:val="single"/>
        </w:rPr>
        <w:t>项目设计施工总承包工程</w:t>
      </w:r>
      <w:r>
        <w:rPr>
          <w:rFonts w:hint="eastAsia" w:ascii="宋体" w:hAnsi="宋体" w:cs="宋体"/>
          <w:snapToGrid w:val="0"/>
          <w:kern w:val="0"/>
          <w:sz w:val="24"/>
          <w:u w:val="single"/>
        </w:rPr>
        <w:t xml:space="preserve"> </w:t>
      </w:r>
      <w:r>
        <w:rPr>
          <w:rFonts w:hint="eastAsia" w:ascii="宋体" w:hAnsi="宋体" w:cs="宋体"/>
          <w:snapToGrid w:val="0"/>
          <w:kern w:val="0"/>
          <w:sz w:val="24"/>
        </w:rPr>
        <w:t xml:space="preserve"> </w:t>
      </w:r>
      <w:r>
        <w:rPr>
          <w:rFonts w:hint="eastAsia" w:ascii="宋体" w:hAnsi="宋体" w:cs="宋体"/>
          <w:snapToGrid w:val="0"/>
          <w:kern w:val="0"/>
          <w:sz w:val="24"/>
          <w:szCs w:val="24"/>
        </w:rPr>
        <w:t>项目</w:t>
      </w:r>
      <w:r>
        <w:rPr>
          <w:rFonts w:hint="eastAsia" w:ascii="宋体" w:hAnsi="宋体"/>
          <w:kern w:val="0"/>
          <w:sz w:val="24"/>
        </w:rPr>
        <w:t>签订工程质量保修书。</w:t>
      </w:r>
    </w:p>
    <w:p w14:paraId="61A64E5C">
      <w:pPr>
        <w:adjustRightInd w:val="0"/>
        <w:snapToGrid w:val="0"/>
        <w:spacing w:line="360" w:lineRule="auto"/>
        <w:ind w:right="11" w:firstLine="480" w:firstLineChars="200"/>
        <w:rPr>
          <w:rFonts w:ascii="宋体" w:hAnsi="宋体"/>
          <w:kern w:val="0"/>
          <w:sz w:val="24"/>
        </w:rPr>
      </w:pPr>
      <w:bookmarkStart w:id="720" w:name="_Toc8605_WPSOffice_Level1"/>
      <w:r>
        <w:rPr>
          <w:rFonts w:hint="eastAsia" w:ascii="宋体" w:hAnsi="宋体"/>
          <w:kern w:val="0"/>
          <w:sz w:val="24"/>
        </w:rPr>
        <w:t>一、工程质量保修范围和内容</w:t>
      </w:r>
      <w:bookmarkEnd w:id="720"/>
    </w:p>
    <w:p w14:paraId="1540652A">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承包人在质量保修期内，按照有关法律、法规、规章的管理规定和双方约定，承担本工程质量保修责任。</w:t>
      </w:r>
    </w:p>
    <w:p w14:paraId="2CA6673D">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质量保修范围包括地基基础工程、主体结构工程，屋面防水工程、有防水要求的—卫生间、房间和外墙面的防渗漏，供热与供冷系统，</w:t>
      </w:r>
      <w:r>
        <w:rPr>
          <w:rFonts w:hint="eastAsia" w:ascii="宋体" w:hAnsi="宋体" w:cs="宋体"/>
          <w:snapToGrid w:val="0"/>
          <w:kern w:val="0"/>
          <w:sz w:val="24"/>
        </w:rPr>
        <w:t>电气设备及</w:t>
      </w:r>
      <w:r>
        <w:rPr>
          <w:rFonts w:hint="eastAsia" w:ascii="宋体" w:hAnsi="宋体"/>
          <w:kern w:val="0"/>
          <w:sz w:val="24"/>
        </w:rPr>
        <w:t>管线、给排水管道设备安装</w:t>
      </w:r>
      <w:r>
        <w:rPr>
          <w:rFonts w:hint="eastAsia" w:ascii="宋体" w:hAnsi="宋体" w:cs="宋体"/>
          <w:snapToGrid w:val="0"/>
          <w:kern w:val="0"/>
          <w:sz w:val="24"/>
        </w:rPr>
        <w:t>、消防设施和系统、环保设施</w:t>
      </w:r>
      <w:r>
        <w:rPr>
          <w:rFonts w:hint="eastAsia" w:ascii="宋体" w:hAnsi="宋体"/>
          <w:kern w:val="0"/>
          <w:sz w:val="24"/>
        </w:rPr>
        <w:t>和装修工程</w:t>
      </w:r>
      <w:r>
        <w:rPr>
          <w:rFonts w:hint="eastAsia" w:ascii="宋体" w:hAnsi="宋体" w:cs="宋体"/>
          <w:snapToGrid w:val="0"/>
          <w:kern w:val="0"/>
          <w:sz w:val="24"/>
        </w:rPr>
        <w:t>等</w:t>
      </w:r>
      <w:r>
        <w:rPr>
          <w:rFonts w:hint="eastAsia" w:ascii="宋体" w:hAnsi="宋体"/>
          <w:kern w:val="0"/>
          <w:sz w:val="24"/>
        </w:rPr>
        <w:t>，以及双方约定的其他项目。</w:t>
      </w:r>
    </w:p>
    <w:p w14:paraId="548D6F3C">
      <w:pPr>
        <w:spacing w:line="360" w:lineRule="auto"/>
        <w:ind w:firstLine="480" w:firstLineChars="200"/>
        <w:rPr>
          <w:rFonts w:ascii="宋体" w:hAnsi="宋体"/>
          <w:kern w:val="0"/>
          <w:sz w:val="24"/>
        </w:rPr>
      </w:pPr>
      <w:bookmarkStart w:id="721" w:name="_Toc13844_WPSOffice_Level1"/>
      <w:r>
        <w:rPr>
          <w:rFonts w:hint="eastAsia" w:ascii="宋体" w:hAnsi="宋体"/>
          <w:kern w:val="0"/>
          <w:sz w:val="24"/>
        </w:rPr>
        <w:t>二、质量保修期</w:t>
      </w:r>
      <w:bookmarkEnd w:id="721"/>
    </w:p>
    <w:p w14:paraId="1532756A">
      <w:pPr>
        <w:spacing w:line="360" w:lineRule="auto"/>
        <w:ind w:firstLine="480" w:firstLineChars="200"/>
        <w:rPr>
          <w:rFonts w:ascii="宋体" w:hAnsi="宋体"/>
          <w:kern w:val="0"/>
          <w:sz w:val="24"/>
        </w:rPr>
      </w:pPr>
      <w:r>
        <w:rPr>
          <w:rFonts w:hint="eastAsia" w:ascii="宋体" w:hAnsi="宋体"/>
          <w:kern w:val="0"/>
          <w:sz w:val="24"/>
        </w:rPr>
        <w:t>双方根据《建设工程质量管理条例》及有关规定，约定本工程的质量保修期如下：</w:t>
      </w:r>
    </w:p>
    <w:p w14:paraId="32262600">
      <w:pPr>
        <w:spacing w:line="360" w:lineRule="auto"/>
        <w:ind w:firstLine="480" w:firstLineChars="200"/>
        <w:rPr>
          <w:rFonts w:ascii="宋体" w:hAnsi="宋体"/>
          <w:kern w:val="0"/>
          <w:sz w:val="24"/>
        </w:rPr>
      </w:pPr>
      <w:bookmarkStart w:id="722" w:name="_Toc17445_WPSOffice_Level2"/>
      <w:r>
        <w:rPr>
          <w:rFonts w:hint="eastAsia" w:ascii="宋体" w:hAnsi="宋体"/>
          <w:kern w:val="0"/>
          <w:sz w:val="24"/>
        </w:rPr>
        <w:t>1.地基基础工程和主体结构工程，为设计文件规定的该工程的合理使用年限；</w:t>
      </w:r>
      <w:bookmarkEnd w:id="722"/>
    </w:p>
    <w:p w14:paraId="1918B4D1">
      <w:pPr>
        <w:spacing w:line="360" w:lineRule="auto"/>
        <w:ind w:firstLine="480" w:firstLineChars="200"/>
        <w:rPr>
          <w:rFonts w:ascii="宋体" w:hAnsi="宋体"/>
          <w:kern w:val="0"/>
          <w:sz w:val="24"/>
        </w:rPr>
      </w:pPr>
      <w:bookmarkStart w:id="723" w:name="_Toc16702_WPSOffice_Level2"/>
      <w:r>
        <w:rPr>
          <w:rFonts w:hint="eastAsia" w:ascii="宋体" w:hAnsi="宋体"/>
          <w:kern w:val="0"/>
          <w:sz w:val="24"/>
        </w:rPr>
        <w:t>2.屋面防水工程、有防水要求的卫生间、房间和外墙面的防渗漏，为5年；</w:t>
      </w:r>
      <w:bookmarkEnd w:id="723"/>
    </w:p>
    <w:p w14:paraId="7258E704">
      <w:pPr>
        <w:spacing w:line="360" w:lineRule="auto"/>
        <w:ind w:firstLine="480" w:firstLineChars="200"/>
        <w:rPr>
          <w:rFonts w:ascii="宋体" w:hAnsi="宋体"/>
          <w:kern w:val="0"/>
          <w:sz w:val="24"/>
        </w:rPr>
      </w:pPr>
      <w:bookmarkStart w:id="724" w:name="_Toc10910"/>
      <w:bookmarkStart w:id="725" w:name="_Toc30464_WPSOffice_Level2"/>
      <w:bookmarkStart w:id="726" w:name="_Toc144746285"/>
      <w:bookmarkStart w:id="727" w:name="_Toc27050"/>
      <w:r>
        <w:rPr>
          <w:rFonts w:hint="eastAsia" w:ascii="宋体" w:hAnsi="宋体"/>
          <w:kern w:val="0"/>
          <w:sz w:val="24"/>
        </w:rPr>
        <w:t>3.供热与供冷系统，为2个采暖期、供冷期；</w:t>
      </w:r>
      <w:bookmarkEnd w:id="724"/>
      <w:bookmarkEnd w:id="725"/>
      <w:bookmarkEnd w:id="726"/>
      <w:bookmarkEnd w:id="727"/>
    </w:p>
    <w:p w14:paraId="0BA4BF12">
      <w:pPr>
        <w:spacing w:line="360" w:lineRule="auto"/>
        <w:ind w:firstLine="480" w:firstLineChars="200"/>
        <w:rPr>
          <w:rFonts w:ascii="宋体" w:hAnsi="宋体"/>
          <w:kern w:val="0"/>
          <w:sz w:val="24"/>
        </w:rPr>
      </w:pPr>
      <w:bookmarkStart w:id="728" w:name="_Toc9671_WPSOffice_Level2"/>
      <w:r>
        <w:rPr>
          <w:rFonts w:hint="eastAsia" w:ascii="宋体" w:hAnsi="宋体"/>
          <w:kern w:val="0"/>
          <w:sz w:val="24"/>
        </w:rPr>
        <w:t>4.电气管线、给排水管道、设备安装</w:t>
      </w:r>
      <w:r>
        <w:rPr>
          <w:rFonts w:hint="eastAsia" w:ascii="宋体" w:hAnsi="宋体" w:cs="宋体"/>
          <w:snapToGrid w:val="0"/>
          <w:kern w:val="0"/>
          <w:sz w:val="24"/>
        </w:rPr>
        <w:t>、消防设施和系统、环保设施</w:t>
      </w:r>
      <w:r>
        <w:rPr>
          <w:rFonts w:hint="eastAsia" w:ascii="宋体" w:hAnsi="宋体"/>
          <w:kern w:val="0"/>
          <w:sz w:val="24"/>
        </w:rPr>
        <w:t>为2年；</w:t>
      </w:r>
      <w:bookmarkEnd w:id="728"/>
    </w:p>
    <w:p w14:paraId="255153DA">
      <w:pPr>
        <w:spacing w:line="360" w:lineRule="auto"/>
        <w:ind w:firstLine="480" w:firstLineChars="200"/>
        <w:rPr>
          <w:rFonts w:ascii="宋体" w:hAnsi="宋体"/>
          <w:kern w:val="0"/>
          <w:sz w:val="24"/>
        </w:rPr>
      </w:pPr>
      <w:bookmarkStart w:id="729" w:name="_Toc25533_WPSOffice_Level2"/>
      <w:r>
        <w:rPr>
          <w:rFonts w:hint="eastAsia" w:ascii="宋体" w:hAnsi="宋体"/>
          <w:kern w:val="0"/>
          <w:sz w:val="24"/>
        </w:rPr>
        <w:t>5.装修工程为2年；</w:t>
      </w:r>
      <w:bookmarkEnd w:id="729"/>
    </w:p>
    <w:p w14:paraId="22DFFBF3">
      <w:pPr>
        <w:spacing w:line="360" w:lineRule="auto"/>
        <w:ind w:firstLine="480" w:firstLineChars="200"/>
        <w:rPr>
          <w:rFonts w:ascii="宋体" w:hAnsi="宋体"/>
          <w:kern w:val="0"/>
          <w:sz w:val="24"/>
        </w:rPr>
      </w:pPr>
      <w:bookmarkStart w:id="730" w:name="_Toc23462_WPSOffice_Level2"/>
      <w:r>
        <w:rPr>
          <w:rFonts w:hint="eastAsia" w:ascii="宋体" w:hAnsi="宋体"/>
          <w:kern w:val="0"/>
          <w:sz w:val="24"/>
        </w:rPr>
        <w:t>6.其他项目的保修期限为2年。</w:t>
      </w:r>
      <w:bookmarkEnd w:id="730"/>
    </w:p>
    <w:p w14:paraId="55163DC0">
      <w:pPr>
        <w:pStyle w:val="46"/>
        <w:spacing w:after="0"/>
        <w:ind w:left="0" w:leftChars="0" w:firstLine="480" w:firstLineChars="0"/>
        <w:rPr>
          <w:rFonts w:ascii="宋体" w:hAnsi="宋体"/>
          <w:kern w:val="0"/>
        </w:rPr>
      </w:pPr>
      <w:r>
        <w:rPr>
          <w:rFonts w:hint="eastAsia" w:ascii="宋体" w:hAnsi="宋体" w:cs="宋体"/>
          <w:snapToGrid w:val="0"/>
          <w:kern w:val="0"/>
        </w:rPr>
        <w:t>7.白蚁防治的保治期为：自工程竣工验收合格之日起15年</w:t>
      </w:r>
      <w:r>
        <w:rPr>
          <w:rFonts w:hint="eastAsia" w:ascii="宋体" w:hAnsi="宋体" w:cs="宋体"/>
          <w:snapToGrid w:val="0"/>
          <w:kern w:val="0"/>
          <w:lang w:eastAsia="zh-CN"/>
        </w:rPr>
        <w:t>；</w:t>
      </w:r>
    </w:p>
    <w:p w14:paraId="32906DD8">
      <w:pPr>
        <w:pStyle w:val="46"/>
        <w:spacing w:after="0"/>
        <w:ind w:left="0" w:leftChars="0" w:firstLine="480" w:firstLineChars="0"/>
        <w:rPr>
          <w:rFonts w:hint="eastAsia" w:ascii="宋体" w:hAnsi="宋体" w:eastAsia="宋体"/>
          <w:kern w:val="0"/>
          <w:lang w:eastAsia="zh-CN"/>
        </w:rPr>
      </w:pPr>
      <w:r>
        <w:rPr>
          <w:rFonts w:hint="eastAsia" w:ascii="宋体" w:hAnsi="宋体"/>
          <w:bCs/>
          <w:snapToGrid w:val="0"/>
          <w:kern w:val="0"/>
        </w:rPr>
        <w:t>8.</w:t>
      </w:r>
      <w:r>
        <w:rPr>
          <w:rFonts w:hint="eastAsia" w:ascii="宋体" w:hAnsi="宋体"/>
          <w:kern w:val="0"/>
        </w:rPr>
        <w:t>电梯设备质保期从全部电梯设备通过当地质量技术监督部门验收合格、取得《安全检验合格证》、《电梯设备使用登记证》之日起计算</w:t>
      </w:r>
      <w:r>
        <w:rPr>
          <w:rFonts w:ascii="宋体" w:hAnsi="宋体"/>
          <w:kern w:val="0"/>
        </w:rPr>
        <w:t>24</w:t>
      </w:r>
      <w:r>
        <w:rPr>
          <w:rFonts w:hint="eastAsia" w:ascii="宋体" w:hAnsi="宋体"/>
          <w:kern w:val="0"/>
        </w:rPr>
        <w:t>个月</w:t>
      </w:r>
      <w:r>
        <w:rPr>
          <w:rFonts w:hint="eastAsia" w:ascii="宋体" w:hAnsi="宋体"/>
          <w:kern w:val="0"/>
          <w:lang w:eastAsia="zh-CN"/>
        </w:rPr>
        <w:t>；</w:t>
      </w:r>
    </w:p>
    <w:p w14:paraId="052B793A">
      <w:pPr>
        <w:pStyle w:val="46"/>
        <w:spacing w:after="0"/>
        <w:ind w:left="0" w:leftChars="0" w:firstLine="480" w:firstLineChars="0"/>
        <w:rPr>
          <w:rFonts w:hint="eastAsia" w:ascii="宋体" w:hAnsi="宋体"/>
          <w:kern w:val="0"/>
          <w:lang w:val="en-US" w:eastAsia="zh-CN"/>
        </w:rPr>
      </w:pPr>
      <w:r>
        <w:rPr>
          <w:rFonts w:hint="eastAsia" w:ascii="宋体" w:hAnsi="宋体"/>
          <w:kern w:val="0"/>
          <w:lang w:val="en-US" w:eastAsia="zh-CN"/>
        </w:rPr>
        <w:t>9.市政道路排水工程为2年，市政供水工程为2年；</w:t>
      </w:r>
    </w:p>
    <w:p w14:paraId="051DEC65">
      <w:pPr>
        <w:pStyle w:val="46"/>
        <w:spacing w:after="0"/>
        <w:ind w:left="0" w:leftChars="0" w:firstLine="480" w:firstLineChars="0"/>
        <w:rPr>
          <w:rFonts w:hint="default" w:ascii="宋体" w:hAnsi="宋体"/>
          <w:kern w:val="0"/>
          <w:lang w:val="en-US" w:eastAsia="zh-CN"/>
        </w:rPr>
      </w:pPr>
      <w:r>
        <w:rPr>
          <w:rFonts w:hint="eastAsia" w:ascii="宋体" w:hAnsi="宋体"/>
          <w:kern w:val="0"/>
          <w:lang w:val="en-US" w:eastAsia="zh-CN"/>
        </w:rPr>
        <w:t>10.市政供电工程为2年，市政道路照明工程为2年，市政交通设施工程为2年</w:t>
      </w:r>
    </w:p>
    <w:p w14:paraId="27A8ADE1">
      <w:pPr>
        <w:spacing w:line="360" w:lineRule="auto"/>
        <w:ind w:firstLine="480" w:firstLineChars="200"/>
        <w:rPr>
          <w:rFonts w:ascii="宋体" w:hAnsi="宋体"/>
          <w:kern w:val="0"/>
          <w:sz w:val="24"/>
        </w:rPr>
      </w:pPr>
      <w:r>
        <w:rPr>
          <w:rFonts w:hint="eastAsia" w:ascii="宋体" w:hAnsi="宋体"/>
          <w:kern w:val="0"/>
          <w:sz w:val="24"/>
        </w:rPr>
        <w:t>质量保修期自工程竣工验收合格之日起计算。</w:t>
      </w:r>
    </w:p>
    <w:p w14:paraId="7FCAE096">
      <w:pPr>
        <w:adjustRightInd w:val="0"/>
        <w:snapToGrid w:val="0"/>
        <w:spacing w:line="360" w:lineRule="auto"/>
        <w:ind w:right="11" w:firstLine="480" w:firstLineChars="200"/>
        <w:rPr>
          <w:rFonts w:ascii="宋体" w:hAnsi="宋体"/>
          <w:kern w:val="0"/>
          <w:sz w:val="24"/>
        </w:rPr>
      </w:pPr>
      <w:bookmarkStart w:id="731" w:name="_Toc27772_WPSOffice_Level1"/>
      <w:r>
        <w:rPr>
          <w:rFonts w:hint="eastAsia" w:ascii="宋体" w:hAnsi="宋体"/>
          <w:kern w:val="0"/>
          <w:sz w:val="24"/>
        </w:rPr>
        <w:t>三、质量保修责任</w:t>
      </w:r>
      <w:bookmarkEnd w:id="731"/>
    </w:p>
    <w:p w14:paraId="339AFDA1">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1.属于保修范围、内容的项目，承包人应当在接到保修通知之日起7天内派人保修。承包人不在约定期限内派人保修的，发包人可以委托他人修理。</w:t>
      </w:r>
    </w:p>
    <w:p w14:paraId="49E059E0">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2.发生紧急抢修事故的，承包人在接到事故通知后，应当立即到达事故现场抢修。</w:t>
      </w:r>
    </w:p>
    <w:p w14:paraId="2C4FC7EA">
      <w:pPr>
        <w:adjustRightInd w:val="0"/>
        <w:snapToGrid w:val="0"/>
        <w:spacing w:line="360" w:lineRule="auto"/>
        <w:ind w:right="11" w:firstLine="480" w:firstLineChars="200"/>
        <w:rPr>
          <w:rFonts w:ascii="宋体" w:hAnsi="宋体"/>
          <w:kern w:val="0"/>
          <w:sz w:val="24"/>
        </w:rPr>
      </w:pPr>
      <w:r>
        <w:rPr>
          <w:rFonts w:hint="eastAsia" w:ascii="宋体" w:hAnsi="宋体"/>
          <w:kern w:val="0"/>
          <w:sz w:val="24"/>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14:paraId="6C14CBDD">
      <w:pPr>
        <w:spacing w:line="360" w:lineRule="auto"/>
        <w:ind w:firstLine="480" w:firstLineChars="200"/>
        <w:rPr>
          <w:rFonts w:ascii="宋体" w:hAnsi="宋体"/>
          <w:kern w:val="0"/>
          <w:sz w:val="24"/>
        </w:rPr>
      </w:pPr>
      <w:bookmarkStart w:id="732" w:name="_Toc144746286"/>
      <w:bookmarkStart w:id="733" w:name="_Toc31024"/>
      <w:bookmarkStart w:id="734" w:name="_Toc27238"/>
      <w:bookmarkStart w:id="735" w:name="_Toc6443"/>
      <w:r>
        <w:rPr>
          <w:rFonts w:hint="eastAsia" w:ascii="宋体" w:hAnsi="宋体"/>
          <w:kern w:val="0"/>
          <w:sz w:val="24"/>
        </w:rPr>
        <w:t>4.质量保修完成后，由发包人组织验收。</w:t>
      </w:r>
      <w:bookmarkEnd w:id="732"/>
      <w:bookmarkEnd w:id="733"/>
      <w:bookmarkEnd w:id="734"/>
      <w:bookmarkEnd w:id="735"/>
    </w:p>
    <w:p w14:paraId="77839256">
      <w:pPr>
        <w:spacing w:line="360" w:lineRule="auto"/>
        <w:ind w:firstLine="480" w:firstLineChars="200"/>
        <w:rPr>
          <w:rFonts w:ascii="宋体" w:hAnsi="宋体"/>
          <w:kern w:val="0"/>
          <w:sz w:val="24"/>
        </w:rPr>
      </w:pPr>
      <w:bookmarkStart w:id="736" w:name="_Toc26233_WPSOffice_Level1"/>
      <w:r>
        <w:rPr>
          <w:rFonts w:hint="eastAsia" w:ascii="宋体" w:hAnsi="宋体"/>
          <w:kern w:val="0"/>
          <w:sz w:val="24"/>
        </w:rPr>
        <w:t>四、保修费用</w:t>
      </w:r>
      <w:bookmarkEnd w:id="736"/>
    </w:p>
    <w:p w14:paraId="2B6445FE">
      <w:pPr>
        <w:spacing w:line="360" w:lineRule="auto"/>
        <w:ind w:firstLine="480" w:firstLineChars="200"/>
        <w:rPr>
          <w:rFonts w:ascii="宋体" w:hAnsi="宋体"/>
          <w:kern w:val="0"/>
          <w:sz w:val="24"/>
        </w:rPr>
      </w:pPr>
      <w:r>
        <w:rPr>
          <w:rFonts w:hint="eastAsia" w:ascii="宋体" w:hAnsi="宋体"/>
          <w:kern w:val="0"/>
          <w:sz w:val="24"/>
        </w:rPr>
        <w:t>保修费用由造成质量缺陷的责任方承担，具体按照以下约定处理：</w:t>
      </w:r>
    </w:p>
    <w:p w14:paraId="68DDA4EB">
      <w:pPr>
        <w:spacing w:line="360" w:lineRule="auto"/>
        <w:ind w:firstLine="480" w:firstLineChars="200"/>
        <w:rPr>
          <w:rFonts w:ascii="宋体" w:hAnsi="宋体"/>
          <w:kern w:val="0"/>
          <w:sz w:val="24"/>
        </w:rPr>
      </w:pPr>
      <w:r>
        <w:rPr>
          <w:rFonts w:hint="eastAsia" w:ascii="宋体" w:hAnsi="宋体"/>
          <w:kern w:val="0"/>
          <w:sz w:val="24"/>
        </w:rPr>
        <w:t>1.保修期内，因承包人原因造成工程的缺陷、损坏，承包人应负责修复，并承担修复的费用以及因工程的缺陷、损坏造成的人身伤害和财产损失；承包人拒绝维修或未能在合理期限内修复缺陷或损坏，且经发包人书面催告后仍未修复的，发包人有权自行修复或委托第三方修复，所需费用由承包人承担。</w:t>
      </w:r>
    </w:p>
    <w:p w14:paraId="13197B72">
      <w:pPr>
        <w:spacing w:line="360" w:lineRule="auto"/>
        <w:ind w:firstLine="480" w:firstLineChars="200"/>
        <w:rPr>
          <w:rFonts w:ascii="宋体" w:hAnsi="宋体"/>
          <w:kern w:val="0"/>
          <w:sz w:val="24"/>
        </w:rPr>
      </w:pPr>
      <w:r>
        <w:rPr>
          <w:rFonts w:hint="eastAsia" w:ascii="宋体" w:hAnsi="宋体"/>
          <w:kern w:val="0"/>
          <w:sz w:val="24"/>
        </w:rPr>
        <w:t>2.保修期内，因发包人使用不当造成工程的缺陷、损坏，可以委托承包人修复，但发包人应承担修复的费用。</w:t>
      </w:r>
    </w:p>
    <w:p w14:paraId="3FEF6B21">
      <w:pPr>
        <w:spacing w:line="360" w:lineRule="auto"/>
        <w:ind w:firstLine="480" w:firstLineChars="200"/>
        <w:rPr>
          <w:rFonts w:ascii="宋体" w:hAnsi="宋体"/>
          <w:kern w:val="0"/>
          <w:sz w:val="24"/>
        </w:rPr>
      </w:pPr>
      <w:r>
        <w:rPr>
          <w:rFonts w:hint="eastAsia" w:ascii="宋体" w:hAnsi="宋体"/>
          <w:kern w:val="0"/>
          <w:sz w:val="24"/>
        </w:rPr>
        <w:t>3.因其他原因造成工程的缺陷、损坏，可以委托承包人修复，发包人应承担修复的费用，因工程的缺陷、损坏造成的人身伤害和财产损失由责任方承担。</w:t>
      </w:r>
    </w:p>
    <w:p w14:paraId="076DEFD4">
      <w:pPr>
        <w:spacing w:line="360" w:lineRule="auto"/>
        <w:ind w:firstLine="480" w:firstLineChars="200"/>
        <w:rPr>
          <w:rFonts w:ascii="宋体" w:hAnsi="宋体"/>
          <w:kern w:val="0"/>
          <w:sz w:val="24"/>
        </w:rPr>
      </w:pPr>
      <w:bookmarkStart w:id="737" w:name="_Toc28785_WPSOffice_Level1"/>
      <w:r>
        <w:rPr>
          <w:rFonts w:hint="eastAsia" w:ascii="宋体" w:hAnsi="宋体"/>
          <w:kern w:val="0"/>
          <w:sz w:val="24"/>
        </w:rPr>
        <w:t>五、其他</w:t>
      </w:r>
      <w:bookmarkEnd w:id="737"/>
    </w:p>
    <w:p w14:paraId="41DAEDA3">
      <w:pPr>
        <w:spacing w:line="360" w:lineRule="auto"/>
        <w:ind w:firstLine="480" w:firstLineChars="200"/>
        <w:rPr>
          <w:rFonts w:ascii="宋体" w:hAnsi="宋体"/>
          <w:kern w:val="0"/>
          <w:sz w:val="24"/>
        </w:rPr>
      </w:pPr>
      <w:r>
        <w:rPr>
          <w:rFonts w:hint="eastAsia" w:ascii="宋体" w:hAnsi="宋体"/>
          <w:kern w:val="0"/>
          <w:sz w:val="24"/>
        </w:rPr>
        <w:t>双方约定的其他工程质量保修事项。</w:t>
      </w:r>
    </w:p>
    <w:p w14:paraId="64B50BA6">
      <w:pPr>
        <w:spacing w:line="360" w:lineRule="auto"/>
        <w:ind w:firstLine="480" w:firstLineChars="200"/>
        <w:rPr>
          <w:rFonts w:ascii="宋体" w:hAnsi="宋体"/>
          <w:kern w:val="0"/>
          <w:sz w:val="24"/>
        </w:rPr>
      </w:pPr>
      <w:r>
        <w:rPr>
          <w:rFonts w:hint="eastAsia" w:ascii="宋体" w:hAnsi="宋体"/>
          <w:kern w:val="0"/>
          <w:sz w:val="24"/>
        </w:rPr>
        <w:t>本工程质量保修书，由施工合同发包人、承包人双方在竣工验收前共同签署，作为施工合同附件其有效期限至保修期满。</w:t>
      </w:r>
    </w:p>
    <w:p w14:paraId="06628BD9">
      <w:pPr>
        <w:pStyle w:val="20"/>
        <w:adjustRightInd w:val="0"/>
        <w:snapToGrid w:val="0"/>
        <w:spacing w:line="360" w:lineRule="auto"/>
        <w:ind w:left="0" w:leftChars="0" w:right="11"/>
        <w:rPr>
          <w:rFonts w:ascii="宋体" w:hAnsi="宋体"/>
          <w:sz w:val="24"/>
        </w:rPr>
      </w:pPr>
      <w:r>
        <w:rPr>
          <w:rFonts w:hint="eastAsia" w:ascii="宋体" w:hAnsi="宋体"/>
          <w:sz w:val="24"/>
        </w:rPr>
        <w:t>（本页以下无正文）</w:t>
      </w:r>
    </w:p>
    <w:p w14:paraId="22D21E5E">
      <w:pPr>
        <w:adjustRightInd w:val="0"/>
        <w:snapToGrid w:val="0"/>
        <w:spacing w:line="400" w:lineRule="exact"/>
        <w:ind w:right="11"/>
        <w:rPr>
          <w:rFonts w:ascii="宋体" w:hAnsi="宋体"/>
          <w:kern w:val="0"/>
          <w:sz w:val="24"/>
        </w:rPr>
      </w:pPr>
      <w:r>
        <w:rPr>
          <w:rFonts w:hint="eastAsia" w:ascii="宋体" w:hAnsi="宋体"/>
          <w:spacing w:val="-20"/>
          <w:kern w:val="0"/>
          <w:sz w:val="24"/>
        </w:rPr>
        <w:br w:type="page"/>
      </w:r>
      <w:r>
        <w:rPr>
          <w:rFonts w:hint="eastAsia" w:ascii="宋体" w:hAnsi="宋体"/>
          <w:kern w:val="0"/>
          <w:sz w:val="24"/>
        </w:rPr>
        <w:t>（本页无正文）</w:t>
      </w:r>
    </w:p>
    <w:p w14:paraId="2806FC7D">
      <w:pPr>
        <w:adjustRightInd w:val="0"/>
        <w:snapToGrid w:val="0"/>
        <w:spacing w:line="400" w:lineRule="exact"/>
        <w:ind w:right="11"/>
        <w:rPr>
          <w:rFonts w:ascii="宋体" w:hAnsi="宋体"/>
          <w:kern w:val="0"/>
          <w:sz w:val="24"/>
        </w:rPr>
      </w:pPr>
    </w:p>
    <w:p w14:paraId="5110B166">
      <w:pPr>
        <w:adjustRightInd w:val="0"/>
        <w:snapToGrid w:val="0"/>
        <w:spacing w:line="400" w:lineRule="exact"/>
        <w:ind w:right="11"/>
        <w:rPr>
          <w:rFonts w:hint="eastAsia" w:ascii="宋体" w:hAnsi="宋体" w:eastAsia="宋体"/>
          <w:spacing w:val="-20"/>
          <w:kern w:val="0"/>
          <w:sz w:val="24"/>
          <w:lang w:val="en-US" w:eastAsia="zh-CN"/>
        </w:rPr>
      </w:pPr>
      <w:r>
        <w:rPr>
          <w:rFonts w:hint="eastAsia" w:ascii="宋体" w:hAnsi="宋体"/>
          <w:kern w:val="0"/>
          <w:sz w:val="24"/>
        </w:rPr>
        <w:t>发包人：广州</w:t>
      </w:r>
      <w:r>
        <w:rPr>
          <w:rFonts w:hint="eastAsia" w:ascii="宋体" w:hAnsi="宋体"/>
          <w:kern w:val="0"/>
          <w:sz w:val="24"/>
          <w:lang w:val="en-US" w:eastAsia="zh-CN"/>
        </w:rPr>
        <w:t>尚龙</w:t>
      </w:r>
      <w:r>
        <w:rPr>
          <w:rFonts w:hint="eastAsia" w:ascii="宋体" w:hAnsi="宋体"/>
          <w:kern w:val="0"/>
          <w:sz w:val="24"/>
        </w:rPr>
        <w:t xml:space="preserve">置业有限公司  </w:t>
      </w:r>
      <w:r>
        <w:rPr>
          <w:rFonts w:hint="eastAsia" w:ascii="宋体" w:hAnsi="宋体"/>
          <w:spacing w:val="-20"/>
          <w:kern w:val="0"/>
          <w:sz w:val="24"/>
        </w:rPr>
        <w:t xml:space="preserve">           </w:t>
      </w:r>
      <w:r>
        <w:rPr>
          <w:rFonts w:hint="eastAsia" w:ascii="宋体" w:hAnsi="宋体"/>
          <w:kern w:val="0"/>
          <w:sz w:val="24"/>
        </w:rPr>
        <w:t>承包人：</w:t>
      </w:r>
      <w:r>
        <w:rPr>
          <w:rFonts w:hint="eastAsia" w:ascii="宋体" w:hAnsi="宋体" w:cs="宋体"/>
          <w:b/>
          <w:snapToGrid w:val="0"/>
          <w:kern w:val="0"/>
          <w:sz w:val="24"/>
        </w:rPr>
        <w:t>(主)</w:t>
      </w:r>
      <w:r>
        <w:rPr>
          <w:rFonts w:hint="eastAsia" w:ascii="宋体" w:hAnsi="宋体" w:cs="宋体"/>
          <w:b/>
          <w:snapToGrid w:val="0"/>
          <w:kern w:val="0"/>
          <w:sz w:val="24"/>
          <w:lang w:val="en-US" w:eastAsia="zh-CN"/>
        </w:rPr>
        <w:t xml:space="preserve"> </w:t>
      </w:r>
    </w:p>
    <w:p w14:paraId="34630092">
      <w:pPr>
        <w:adjustRightInd w:val="0"/>
        <w:snapToGrid w:val="0"/>
        <w:spacing w:line="400" w:lineRule="exact"/>
        <w:ind w:right="11" w:firstLine="2280" w:firstLineChars="950"/>
        <w:rPr>
          <w:rFonts w:ascii="宋体" w:hAnsi="宋体"/>
          <w:kern w:val="0"/>
          <w:sz w:val="24"/>
        </w:rPr>
      </w:pPr>
      <w:r>
        <w:rPr>
          <w:rFonts w:hint="eastAsia" w:ascii="宋体" w:hAnsi="宋体"/>
          <w:kern w:val="0"/>
          <w:sz w:val="24"/>
        </w:rPr>
        <w:t xml:space="preserve">（盖章）                         </w:t>
      </w:r>
      <w:r>
        <w:rPr>
          <w:rFonts w:hint="eastAsia" w:ascii="宋体" w:hAnsi="宋体" w:cs="宋体"/>
          <w:snapToGrid w:val="0"/>
          <w:kern w:val="0"/>
          <w:sz w:val="24"/>
        </w:rPr>
        <w:t xml:space="preserve">       </w:t>
      </w:r>
      <w:r>
        <w:rPr>
          <w:rFonts w:hint="eastAsia" w:ascii="宋体" w:hAnsi="宋体"/>
          <w:kern w:val="0"/>
          <w:sz w:val="24"/>
        </w:rPr>
        <w:t>（盖章）</w:t>
      </w:r>
    </w:p>
    <w:p w14:paraId="6F651408">
      <w:pPr>
        <w:adjustRightInd w:val="0"/>
        <w:snapToGrid w:val="0"/>
        <w:spacing w:line="400" w:lineRule="exact"/>
        <w:ind w:right="11"/>
        <w:rPr>
          <w:rFonts w:ascii="宋体" w:hAnsi="宋体"/>
          <w:kern w:val="0"/>
          <w:sz w:val="24"/>
        </w:rPr>
      </w:pPr>
      <w:r>
        <w:rPr>
          <w:rFonts w:hint="eastAsia" w:ascii="宋体" w:hAnsi="宋体"/>
          <w:kern w:val="0"/>
          <w:sz w:val="24"/>
        </w:rPr>
        <w:t xml:space="preserve">法定代表人：                        </w:t>
      </w:r>
      <w:r>
        <w:rPr>
          <w:rFonts w:hint="eastAsia" w:ascii="宋体" w:hAnsi="宋体" w:cs="宋体"/>
          <w:snapToGrid w:val="0"/>
          <w:kern w:val="0"/>
          <w:sz w:val="24"/>
        </w:rPr>
        <w:t xml:space="preserve">   </w:t>
      </w:r>
      <w:r>
        <w:rPr>
          <w:rFonts w:hint="eastAsia" w:ascii="宋体" w:hAnsi="宋体"/>
          <w:kern w:val="0"/>
          <w:sz w:val="24"/>
        </w:rPr>
        <w:t>法定代表人：</w:t>
      </w:r>
    </w:p>
    <w:p w14:paraId="485E9791">
      <w:pPr>
        <w:tabs>
          <w:tab w:val="left" w:pos="5460"/>
        </w:tabs>
        <w:adjustRightInd w:val="0"/>
        <w:snapToGrid w:val="0"/>
        <w:spacing w:line="400" w:lineRule="exact"/>
        <w:ind w:left="-2" w:leftChars="-1" w:right="11"/>
        <w:rPr>
          <w:rFonts w:ascii="宋体" w:hAnsi="宋体"/>
          <w:kern w:val="0"/>
          <w:sz w:val="24"/>
        </w:rPr>
      </w:pPr>
    </w:p>
    <w:p w14:paraId="65A4E5F5">
      <w:pPr>
        <w:tabs>
          <w:tab w:val="left" w:pos="5460"/>
        </w:tabs>
        <w:adjustRightInd w:val="0"/>
        <w:snapToGrid w:val="0"/>
        <w:spacing w:line="400" w:lineRule="exact"/>
        <w:ind w:left="-2" w:leftChars="-1" w:right="11"/>
        <w:rPr>
          <w:rFonts w:ascii="宋体" w:hAnsi="宋体"/>
          <w:kern w:val="0"/>
          <w:sz w:val="24"/>
        </w:rPr>
      </w:pPr>
      <w:r>
        <w:rPr>
          <w:rFonts w:hint="eastAsia" w:ascii="宋体" w:hAnsi="宋体"/>
          <w:kern w:val="0"/>
          <w:sz w:val="24"/>
        </w:rPr>
        <w:t xml:space="preserve">或委托代理人：                       </w:t>
      </w:r>
      <w:r>
        <w:rPr>
          <w:rFonts w:hint="eastAsia" w:ascii="宋体" w:hAnsi="宋体" w:cs="宋体"/>
          <w:snapToGrid w:val="0"/>
          <w:kern w:val="0"/>
          <w:sz w:val="24"/>
        </w:rPr>
        <w:t xml:space="preserve">  </w:t>
      </w:r>
      <w:r>
        <w:rPr>
          <w:rFonts w:hint="eastAsia" w:ascii="宋体" w:hAnsi="宋体"/>
          <w:kern w:val="0"/>
          <w:sz w:val="24"/>
        </w:rPr>
        <w:t>或委托代理人：</w:t>
      </w:r>
    </w:p>
    <w:p w14:paraId="7D002AE2">
      <w:pPr>
        <w:tabs>
          <w:tab w:val="left" w:pos="5460"/>
        </w:tabs>
        <w:adjustRightInd w:val="0"/>
        <w:snapToGrid w:val="0"/>
        <w:spacing w:line="400" w:lineRule="exact"/>
        <w:ind w:left="-2" w:leftChars="-1" w:right="11"/>
        <w:rPr>
          <w:rFonts w:ascii="宋体" w:hAnsi="宋体"/>
          <w:kern w:val="0"/>
          <w:sz w:val="24"/>
        </w:rPr>
      </w:pPr>
    </w:p>
    <w:p w14:paraId="74FC4041">
      <w:pPr>
        <w:tabs>
          <w:tab w:val="left" w:pos="5460"/>
        </w:tabs>
        <w:adjustRightInd w:val="0"/>
        <w:snapToGrid w:val="0"/>
        <w:spacing w:line="440" w:lineRule="exact"/>
        <w:ind w:right="11"/>
        <w:jc w:val="left"/>
        <w:rPr>
          <w:rFonts w:ascii="宋体" w:hAnsi="宋体"/>
          <w:kern w:val="0"/>
          <w:sz w:val="24"/>
        </w:rPr>
      </w:pPr>
    </w:p>
    <w:p w14:paraId="0B84FBE2">
      <w:pPr>
        <w:tabs>
          <w:tab w:val="left" w:pos="5460"/>
        </w:tabs>
        <w:adjustRightInd w:val="0"/>
        <w:snapToGrid w:val="0"/>
        <w:spacing w:line="440" w:lineRule="exact"/>
        <w:ind w:right="11"/>
        <w:jc w:val="left"/>
        <w:rPr>
          <w:rFonts w:ascii="宋体" w:hAnsi="宋体"/>
          <w:kern w:val="0"/>
          <w:sz w:val="24"/>
        </w:rPr>
      </w:pPr>
    </w:p>
    <w:p w14:paraId="26AC134C">
      <w:pPr>
        <w:tabs>
          <w:tab w:val="left" w:pos="5460"/>
        </w:tabs>
        <w:adjustRightInd w:val="0"/>
        <w:snapToGrid w:val="0"/>
        <w:spacing w:line="440" w:lineRule="exact"/>
        <w:ind w:right="11"/>
        <w:jc w:val="left"/>
        <w:rPr>
          <w:rFonts w:ascii="宋体" w:hAnsi="宋体" w:cs="宋体"/>
          <w:b/>
          <w:snapToGrid w:val="0"/>
          <w:kern w:val="0"/>
          <w:sz w:val="24"/>
          <w:szCs w:val="24"/>
        </w:rPr>
      </w:pPr>
      <w:r>
        <w:rPr>
          <w:rFonts w:hint="eastAsia" w:ascii="宋体" w:hAnsi="宋体" w:cs="宋体"/>
          <w:snapToGrid w:val="0"/>
          <w:kern w:val="0"/>
          <w:sz w:val="24"/>
          <w:szCs w:val="24"/>
        </w:rPr>
        <w:t>承包人：</w:t>
      </w:r>
      <w:r>
        <w:rPr>
          <w:rFonts w:hint="eastAsia" w:ascii="宋体" w:hAnsi="宋体" w:cs="宋体"/>
          <w:b/>
          <w:snapToGrid w:val="0"/>
          <w:spacing w:val="-16"/>
          <w:kern w:val="0"/>
          <w:sz w:val="24"/>
          <w:szCs w:val="24"/>
        </w:rPr>
        <w:t xml:space="preserve">(成)                          </w:t>
      </w:r>
      <w:r>
        <w:rPr>
          <w:rFonts w:hint="eastAsia" w:ascii="宋体" w:hAnsi="宋体" w:cs="宋体"/>
          <w:snapToGrid w:val="0"/>
          <w:kern w:val="0"/>
          <w:sz w:val="24"/>
          <w:szCs w:val="24"/>
        </w:rPr>
        <w:t xml:space="preserve">  </w:t>
      </w:r>
    </w:p>
    <w:p w14:paraId="43EEE565">
      <w:pPr>
        <w:tabs>
          <w:tab w:val="left" w:pos="5460"/>
        </w:tabs>
        <w:adjustRightInd w:val="0"/>
        <w:snapToGrid w:val="0"/>
        <w:spacing w:line="440" w:lineRule="exact"/>
        <w:ind w:right="11" w:firstLine="2520" w:firstLineChars="1050"/>
        <w:jc w:val="left"/>
        <w:rPr>
          <w:rFonts w:ascii="宋体" w:hAnsi="宋体" w:cs="宋体"/>
          <w:snapToGrid w:val="0"/>
          <w:kern w:val="0"/>
          <w:sz w:val="24"/>
        </w:rPr>
      </w:pPr>
      <w:r>
        <w:rPr>
          <w:rFonts w:hint="eastAsia" w:ascii="宋体" w:hAnsi="宋体" w:cs="宋体"/>
          <w:snapToGrid w:val="0"/>
          <w:kern w:val="0"/>
          <w:sz w:val="24"/>
        </w:rPr>
        <w:t xml:space="preserve">（盖章）                          </w:t>
      </w:r>
    </w:p>
    <w:p w14:paraId="6C5CB9D9">
      <w:pPr>
        <w:tabs>
          <w:tab w:val="center" w:pos="4535"/>
        </w:tabs>
        <w:adjustRightInd w:val="0"/>
        <w:snapToGrid w:val="0"/>
        <w:spacing w:line="440" w:lineRule="exact"/>
        <w:ind w:right="11"/>
        <w:jc w:val="left"/>
        <w:rPr>
          <w:rFonts w:ascii="宋体" w:hAnsi="宋体" w:cs="宋体"/>
          <w:snapToGrid w:val="0"/>
          <w:kern w:val="0"/>
          <w:sz w:val="24"/>
        </w:rPr>
      </w:pPr>
      <w:r>
        <w:rPr>
          <w:rFonts w:hint="eastAsia" w:ascii="宋体" w:hAnsi="宋体" w:cs="宋体"/>
          <w:snapToGrid w:val="0"/>
          <w:kern w:val="0"/>
          <w:sz w:val="24"/>
        </w:rPr>
        <w:t>法定代表人：</w:t>
      </w:r>
      <w:r>
        <w:rPr>
          <w:rFonts w:hint="eastAsia" w:ascii="宋体" w:hAnsi="宋体" w:cs="宋体"/>
          <w:snapToGrid w:val="0"/>
          <w:kern w:val="0"/>
          <w:sz w:val="24"/>
        </w:rPr>
        <w:tab/>
      </w:r>
      <w:r>
        <w:rPr>
          <w:rFonts w:hint="eastAsia" w:ascii="宋体" w:hAnsi="宋体" w:cs="宋体"/>
          <w:snapToGrid w:val="0"/>
          <w:kern w:val="0"/>
          <w:sz w:val="24"/>
        </w:rPr>
        <w:t xml:space="preserve">        </w:t>
      </w:r>
    </w:p>
    <w:p w14:paraId="1A46DD10">
      <w:pPr>
        <w:tabs>
          <w:tab w:val="left" w:pos="5460"/>
        </w:tabs>
        <w:adjustRightInd w:val="0"/>
        <w:snapToGrid w:val="0"/>
        <w:spacing w:line="440" w:lineRule="exact"/>
        <w:ind w:left="-2" w:leftChars="-1" w:right="11" w:firstLine="4560" w:firstLineChars="1900"/>
        <w:jc w:val="left"/>
        <w:rPr>
          <w:rFonts w:ascii="宋体" w:hAnsi="宋体" w:cs="宋体"/>
          <w:snapToGrid w:val="0"/>
          <w:kern w:val="0"/>
          <w:sz w:val="24"/>
        </w:rPr>
      </w:pPr>
      <w:r>
        <w:rPr>
          <w:rFonts w:hint="eastAsia" w:ascii="宋体" w:hAnsi="宋体" w:cs="宋体"/>
          <w:snapToGrid w:val="0"/>
          <w:kern w:val="0"/>
          <w:sz w:val="24"/>
        </w:rPr>
        <w:t xml:space="preserve"> </w:t>
      </w:r>
    </w:p>
    <w:p w14:paraId="794703CC">
      <w:pPr>
        <w:tabs>
          <w:tab w:val="left" w:pos="5460"/>
        </w:tabs>
        <w:adjustRightInd w:val="0"/>
        <w:snapToGrid w:val="0"/>
        <w:spacing w:line="440" w:lineRule="exact"/>
        <w:ind w:right="11"/>
        <w:jc w:val="left"/>
        <w:rPr>
          <w:rFonts w:ascii="宋体" w:hAnsi="宋体" w:cs="宋体"/>
          <w:snapToGrid w:val="0"/>
          <w:kern w:val="0"/>
          <w:sz w:val="24"/>
        </w:rPr>
      </w:pPr>
      <w:r>
        <w:rPr>
          <w:rFonts w:hint="eastAsia" w:ascii="宋体" w:hAnsi="宋体" w:cs="宋体"/>
          <w:snapToGrid w:val="0"/>
          <w:kern w:val="0"/>
          <w:sz w:val="24"/>
        </w:rPr>
        <w:t xml:space="preserve">或委托代理人：                       </w:t>
      </w:r>
    </w:p>
    <w:p w14:paraId="1703BD6B">
      <w:pPr>
        <w:tabs>
          <w:tab w:val="left" w:pos="360"/>
        </w:tabs>
        <w:adjustRightInd w:val="0"/>
        <w:snapToGrid w:val="0"/>
        <w:spacing w:line="360" w:lineRule="auto"/>
        <w:ind w:right="11"/>
        <w:rPr>
          <w:rFonts w:ascii="宋体" w:hAnsi="宋体"/>
          <w:kern w:val="0"/>
          <w:sz w:val="24"/>
        </w:rPr>
      </w:pPr>
    </w:p>
    <w:p w14:paraId="4FF13A0A">
      <w:pPr>
        <w:adjustRightInd w:val="0"/>
        <w:snapToGrid w:val="0"/>
        <w:spacing w:line="360" w:lineRule="auto"/>
        <w:outlineLvl w:val="1"/>
        <w:rPr>
          <w:rFonts w:ascii="宋体" w:hAnsi="宋体"/>
          <w:kern w:val="0"/>
          <w:sz w:val="24"/>
        </w:rPr>
      </w:pPr>
      <w:r>
        <w:rPr>
          <w:rFonts w:hint="eastAsia" w:ascii="宋体" w:hAnsi="宋体"/>
          <w:kern w:val="0"/>
        </w:rPr>
        <w:br w:type="page"/>
      </w:r>
      <w:bookmarkStart w:id="738" w:name="_Toc59802264"/>
      <w:bookmarkStart w:id="739" w:name="_Toc504735670"/>
      <w:bookmarkStart w:id="740" w:name="_Toc104901815"/>
      <w:bookmarkStart w:id="741" w:name="_Toc518402634"/>
      <w:bookmarkStart w:id="742" w:name="_Toc104901619"/>
      <w:bookmarkStart w:id="743" w:name="_Toc132199656"/>
      <w:bookmarkStart w:id="744" w:name="_Toc132199655"/>
      <w:r>
        <w:rPr>
          <w:rFonts w:hint="eastAsia" w:ascii="宋体" w:hAnsi="宋体"/>
          <w:kern w:val="0"/>
          <w:sz w:val="24"/>
        </w:rPr>
        <w:t>附件2：</w:t>
      </w:r>
      <w:bookmarkEnd w:id="738"/>
      <w:bookmarkEnd w:id="739"/>
      <w:bookmarkEnd w:id="740"/>
      <w:bookmarkEnd w:id="741"/>
      <w:bookmarkEnd w:id="742"/>
      <w:r>
        <w:rPr>
          <w:rFonts w:hint="eastAsia" w:ascii="宋体" w:hAnsi="宋体"/>
          <w:kern w:val="0"/>
          <w:sz w:val="24"/>
        </w:rPr>
        <w:t>工程建设廉洁协议书</w:t>
      </w:r>
    </w:p>
    <w:p w14:paraId="5688A41C">
      <w:pPr>
        <w:adjustRightInd w:val="0"/>
        <w:snapToGrid w:val="0"/>
        <w:spacing w:line="360" w:lineRule="auto"/>
        <w:jc w:val="center"/>
        <w:rPr>
          <w:rFonts w:ascii="宋体" w:hAnsi="宋体"/>
          <w:b/>
          <w:kern w:val="0"/>
          <w:sz w:val="32"/>
        </w:rPr>
      </w:pPr>
      <w:bookmarkStart w:id="745" w:name="_Toc12912_WPSOffice_Level1"/>
      <w:r>
        <w:rPr>
          <w:rFonts w:hint="eastAsia" w:ascii="宋体" w:hAnsi="宋体"/>
          <w:b/>
          <w:kern w:val="0"/>
          <w:sz w:val="32"/>
        </w:rPr>
        <w:t>工程建设廉洁协议书</w:t>
      </w:r>
      <w:bookmarkEnd w:id="745"/>
    </w:p>
    <w:p w14:paraId="48F76D7A">
      <w:pPr>
        <w:adjustRightInd w:val="0"/>
        <w:snapToGrid w:val="0"/>
        <w:spacing w:line="360" w:lineRule="auto"/>
        <w:ind w:right="11"/>
        <w:rPr>
          <w:rFonts w:ascii="宋体" w:hAnsi="宋体"/>
          <w:b/>
          <w:kern w:val="0"/>
          <w:sz w:val="24"/>
        </w:rPr>
      </w:pPr>
      <w:r>
        <w:rPr>
          <w:rFonts w:hint="eastAsia" w:ascii="宋体" w:hAnsi="宋体"/>
          <w:b/>
          <w:kern w:val="0"/>
          <w:sz w:val="24"/>
        </w:rPr>
        <w:t>发包人</w:t>
      </w:r>
      <w:r>
        <w:rPr>
          <w:rFonts w:hint="eastAsia" w:ascii="宋体" w:hAnsi="宋体" w:cs="宋体"/>
          <w:b/>
          <w:snapToGrid w:val="0"/>
          <w:kern w:val="0"/>
          <w:sz w:val="24"/>
        </w:rPr>
        <w:t>：广州</w:t>
      </w:r>
      <w:r>
        <w:rPr>
          <w:rFonts w:hint="eastAsia" w:ascii="宋体" w:hAnsi="宋体" w:cs="宋体"/>
          <w:b/>
          <w:snapToGrid w:val="0"/>
          <w:kern w:val="0"/>
          <w:sz w:val="24"/>
          <w:lang w:val="en-US" w:eastAsia="zh-CN"/>
        </w:rPr>
        <w:t>尚龙</w:t>
      </w:r>
      <w:r>
        <w:rPr>
          <w:rFonts w:hint="eastAsia" w:ascii="宋体" w:hAnsi="宋体" w:cs="宋体"/>
          <w:b/>
          <w:snapToGrid w:val="0"/>
          <w:kern w:val="0"/>
          <w:sz w:val="24"/>
        </w:rPr>
        <w:t>置业有限公司</w:t>
      </w:r>
    </w:p>
    <w:p w14:paraId="37CC1F28">
      <w:pPr>
        <w:tabs>
          <w:tab w:val="left" w:pos="632"/>
          <w:tab w:val="left" w:pos="9240"/>
        </w:tabs>
        <w:adjustRightInd w:val="0"/>
        <w:snapToGrid w:val="0"/>
        <w:spacing w:line="341" w:lineRule="auto"/>
        <w:ind w:right="-31" w:rightChars="-15"/>
        <w:rPr>
          <w:rFonts w:hint="eastAsia" w:ascii="宋体" w:hAnsi="宋体" w:eastAsia="宋体" w:cs="宋体"/>
          <w:b/>
          <w:snapToGrid w:val="0"/>
          <w:kern w:val="0"/>
          <w:sz w:val="24"/>
          <w:lang w:eastAsia="zh-CN"/>
        </w:rPr>
      </w:pPr>
      <w:bookmarkStart w:id="746" w:name="_Toc504465940"/>
      <w:bookmarkStart w:id="747" w:name="_Toc496887426"/>
      <w:bookmarkStart w:id="748" w:name="_Toc502215537"/>
      <w:bookmarkStart w:id="749" w:name="_Toc497206460"/>
      <w:r>
        <w:rPr>
          <w:rFonts w:hint="eastAsia" w:ascii="宋体" w:hAnsi="宋体"/>
          <w:b/>
          <w:kern w:val="0"/>
          <w:sz w:val="24"/>
        </w:rPr>
        <w:t>承包人</w:t>
      </w:r>
      <w:bookmarkEnd w:id="746"/>
      <w:bookmarkEnd w:id="747"/>
      <w:bookmarkEnd w:id="748"/>
      <w:bookmarkEnd w:id="749"/>
      <w:r>
        <w:rPr>
          <w:rFonts w:hint="eastAsia" w:ascii="宋体" w:hAnsi="宋体" w:cs="宋体"/>
          <w:b/>
          <w:snapToGrid w:val="0"/>
          <w:kern w:val="0"/>
          <w:sz w:val="24"/>
        </w:rPr>
        <w:t xml:space="preserve">：(主)  </w:t>
      </w:r>
      <w:r>
        <w:rPr>
          <w:rFonts w:hint="eastAsia" w:ascii="宋体" w:hAnsi="宋体" w:cs="宋体"/>
          <w:b/>
          <w:snapToGrid w:val="0"/>
          <w:kern w:val="0"/>
          <w:sz w:val="24"/>
          <w:lang w:val="en-US" w:eastAsia="zh-CN"/>
        </w:rPr>
        <w:t xml:space="preserve"> </w:t>
      </w:r>
    </w:p>
    <w:p w14:paraId="11330678">
      <w:pPr>
        <w:tabs>
          <w:tab w:val="left" w:pos="632"/>
          <w:tab w:val="left" w:pos="9240"/>
        </w:tabs>
        <w:adjustRightInd w:val="0"/>
        <w:snapToGrid w:val="0"/>
        <w:spacing w:line="341" w:lineRule="auto"/>
        <w:ind w:right="-31" w:rightChars="-15" w:firstLine="964" w:firstLineChars="400"/>
        <w:rPr>
          <w:rFonts w:hint="eastAsia" w:ascii="宋体" w:hAnsi="宋体" w:eastAsia="宋体"/>
          <w:kern w:val="0"/>
          <w:sz w:val="24"/>
          <w:lang w:eastAsia="zh-CN"/>
        </w:rPr>
      </w:pPr>
      <w:r>
        <w:rPr>
          <w:rFonts w:hint="eastAsia" w:ascii="宋体" w:hAnsi="宋体" w:cs="宋体"/>
          <w:b/>
          <w:snapToGrid w:val="0"/>
          <w:kern w:val="0"/>
          <w:sz w:val="24"/>
        </w:rPr>
        <w:t>(成)</w:t>
      </w:r>
      <w:r>
        <w:rPr>
          <w:rFonts w:hint="eastAsia" w:ascii="宋体" w:hAnsi="宋体" w:cs="宋体"/>
          <w:b/>
          <w:snapToGrid w:val="0"/>
          <w:kern w:val="0"/>
          <w:sz w:val="24"/>
          <w:lang w:val="en-US" w:eastAsia="zh-CN"/>
        </w:rPr>
        <w:t xml:space="preserve"> </w:t>
      </w:r>
    </w:p>
    <w:p w14:paraId="6C78F540">
      <w:pPr>
        <w:tabs>
          <w:tab w:val="left" w:pos="632"/>
          <w:tab w:val="left" w:pos="9240"/>
        </w:tabs>
        <w:adjustRightInd w:val="0"/>
        <w:snapToGrid w:val="0"/>
        <w:spacing w:line="341" w:lineRule="auto"/>
        <w:ind w:right="-31" w:rightChars="-15"/>
        <w:rPr>
          <w:rFonts w:ascii="宋体" w:hAnsi="宋体"/>
          <w:kern w:val="0"/>
          <w:sz w:val="24"/>
        </w:rPr>
      </w:pPr>
    </w:p>
    <w:p w14:paraId="49425FB4">
      <w:pPr>
        <w:spacing w:line="360" w:lineRule="auto"/>
        <w:ind w:firstLine="480" w:firstLineChars="200"/>
        <w:rPr>
          <w:rFonts w:ascii="宋体" w:hAnsi="宋体"/>
          <w:kern w:val="0"/>
          <w:sz w:val="24"/>
        </w:rPr>
      </w:pPr>
      <w:r>
        <w:rPr>
          <w:rFonts w:hint="eastAsia" w:ascii="宋体" w:hAnsi="宋体"/>
          <w:kern w:val="0"/>
          <w:sz w:val="24"/>
        </w:rPr>
        <w:t>为切实规范甲乙双方的各项建筑活动，预防本工程违法违纪等腐败现象的发生，保障工程建设优质、安全和廉洁，根据《广州市建筑市场廉洁准入规定》及相关法律法规的规定，特订立本协议书。</w:t>
      </w:r>
    </w:p>
    <w:p w14:paraId="7AE76C58">
      <w:pPr>
        <w:spacing w:line="360" w:lineRule="auto"/>
        <w:ind w:firstLine="470" w:firstLineChars="196"/>
        <w:rPr>
          <w:rFonts w:ascii="宋体" w:hAnsi="宋体"/>
          <w:kern w:val="0"/>
          <w:sz w:val="24"/>
        </w:rPr>
      </w:pPr>
      <w:r>
        <w:rPr>
          <w:rFonts w:hint="eastAsia" w:ascii="宋体" w:hAnsi="宋体"/>
          <w:kern w:val="0"/>
          <w:sz w:val="24"/>
        </w:rPr>
        <w:t>第一条 发包人及承包人双方责任</w:t>
      </w:r>
    </w:p>
    <w:p w14:paraId="035EF6E7">
      <w:pPr>
        <w:spacing w:line="360" w:lineRule="auto"/>
        <w:ind w:firstLine="470" w:firstLineChars="196"/>
        <w:rPr>
          <w:rFonts w:ascii="宋体" w:hAnsi="宋体"/>
          <w:kern w:val="0"/>
          <w:sz w:val="24"/>
        </w:rPr>
      </w:pPr>
      <w:r>
        <w:rPr>
          <w:rFonts w:hint="eastAsia" w:ascii="宋体" w:hAnsi="宋体"/>
          <w:kern w:val="0"/>
          <w:sz w:val="24"/>
        </w:rPr>
        <w:t>（一）严格遵守国家和省、市关于市场准入、项目招标投标、工程施工、工程验收、结算和市场活动等有关法律、法规，相关政策，以及廉政建设的各项约定。</w:t>
      </w:r>
    </w:p>
    <w:p w14:paraId="188CD981">
      <w:pPr>
        <w:spacing w:line="360" w:lineRule="auto"/>
        <w:ind w:firstLine="470" w:firstLineChars="196"/>
        <w:rPr>
          <w:rFonts w:ascii="宋体" w:hAnsi="宋体"/>
          <w:kern w:val="0"/>
          <w:sz w:val="24"/>
        </w:rPr>
      </w:pPr>
      <w:r>
        <w:rPr>
          <w:rFonts w:hint="eastAsia" w:ascii="宋体" w:hAnsi="宋体"/>
          <w:kern w:val="0"/>
          <w:sz w:val="24"/>
        </w:rPr>
        <w:t>（二）严格执行建设工程项目承发包合同文件，自觉按合同办事。</w:t>
      </w:r>
    </w:p>
    <w:p w14:paraId="1AAFC3AB">
      <w:pPr>
        <w:spacing w:line="360" w:lineRule="auto"/>
        <w:ind w:firstLine="470" w:firstLineChars="196"/>
        <w:rPr>
          <w:rFonts w:ascii="宋体" w:hAnsi="宋体"/>
          <w:kern w:val="0"/>
          <w:sz w:val="24"/>
        </w:rPr>
      </w:pPr>
      <w:r>
        <w:rPr>
          <w:rFonts w:hint="eastAsia" w:ascii="宋体" w:hAnsi="宋体"/>
          <w:kern w:val="0"/>
          <w:sz w:val="24"/>
        </w:rPr>
        <w:t>（三）建筑活动必须坚持公开、公平、公正、诚信、透明的原则（除法律法规另有规定者外），不得为获取不正当的利益，损害国家、集体和对方利益，不得违反国家、省、市和发包人有关工程建设管理的规章制度。</w:t>
      </w:r>
    </w:p>
    <w:p w14:paraId="73256FED">
      <w:pPr>
        <w:spacing w:line="360" w:lineRule="auto"/>
        <w:ind w:firstLine="470" w:firstLineChars="196"/>
        <w:rPr>
          <w:rFonts w:ascii="宋体" w:hAnsi="宋体"/>
          <w:kern w:val="0"/>
          <w:sz w:val="24"/>
        </w:rPr>
      </w:pPr>
      <w:r>
        <w:rPr>
          <w:rFonts w:hint="eastAsia" w:ascii="宋体" w:hAnsi="宋体"/>
          <w:kern w:val="0"/>
          <w:sz w:val="24"/>
        </w:rPr>
        <w:t>（四）发现对方在建筑活动中存在违规、违纪、违法行为的，有权向其上级主管部门或纪检监察、检察等有关机关举报。</w:t>
      </w:r>
    </w:p>
    <w:p w14:paraId="5E48DB2C">
      <w:pPr>
        <w:spacing w:line="360" w:lineRule="auto"/>
        <w:ind w:firstLine="480" w:firstLineChars="200"/>
        <w:rPr>
          <w:rFonts w:ascii="宋体" w:hAnsi="宋体"/>
          <w:kern w:val="0"/>
          <w:sz w:val="24"/>
        </w:rPr>
      </w:pPr>
      <w:r>
        <w:rPr>
          <w:rFonts w:hint="eastAsia" w:ascii="宋体" w:hAnsi="宋体"/>
          <w:kern w:val="0"/>
          <w:sz w:val="24"/>
        </w:rPr>
        <w:t>（五）发包人和承包人双方单位监督部门应充分发挥各自职能作用，积极互动形成纵向监督合力，依照本协议书规定，对本工程廉洁从业情况实施监督，及时制止不廉洁行为的发生。</w:t>
      </w:r>
    </w:p>
    <w:p w14:paraId="6AEA57D0">
      <w:pPr>
        <w:spacing w:line="360" w:lineRule="auto"/>
        <w:ind w:firstLine="470" w:firstLineChars="196"/>
        <w:rPr>
          <w:rFonts w:ascii="宋体" w:hAnsi="宋体"/>
          <w:kern w:val="0"/>
          <w:sz w:val="24"/>
        </w:rPr>
      </w:pPr>
      <w:r>
        <w:rPr>
          <w:rFonts w:hint="eastAsia" w:ascii="宋体" w:hAnsi="宋体"/>
          <w:kern w:val="0"/>
          <w:sz w:val="24"/>
        </w:rPr>
        <w:t>第二条 发包人责任</w:t>
      </w:r>
    </w:p>
    <w:p w14:paraId="422C9C48">
      <w:pPr>
        <w:spacing w:line="360" w:lineRule="auto"/>
        <w:ind w:firstLine="480" w:firstLineChars="200"/>
        <w:rPr>
          <w:rFonts w:ascii="宋体" w:hAnsi="宋体"/>
          <w:kern w:val="0"/>
          <w:sz w:val="24"/>
        </w:rPr>
      </w:pPr>
      <w:r>
        <w:rPr>
          <w:rFonts w:hint="eastAsia" w:ascii="宋体" w:hAnsi="宋体"/>
          <w:kern w:val="0"/>
          <w:sz w:val="24"/>
        </w:rPr>
        <w:t>（一）发包人领导干部和从事该工程建设的管理人员，在建筑活动中须严格遵守以下廉洁从业规定：</w:t>
      </w:r>
    </w:p>
    <w:p w14:paraId="74DEA0F2">
      <w:pPr>
        <w:spacing w:line="360" w:lineRule="auto"/>
        <w:ind w:firstLine="480" w:firstLineChars="200"/>
        <w:rPr>
          <w:rFonts w:ascii="宋体" w:hAnsi="宋体"/>
          <w:kern w:val="0"/>
          <w:sz w:val="24"/>
        </w:rPr>
      </w:pPr>
      <w:r>
        <w:rPr>
          <w:rFonts w:hint="eastAsia" w:ascii="宋体" w:hAnsi="宋体"/>
          <w:kern w:val="0"/>
          <w:sz w:val="24"/>
        </w:rPr>
        <w:t>1.不准向承包人和相关单位或个人索取钱物或接受回扣、礼金、各种有价证券、信用卡和好处费、感谢费以及其它支付凭证等。</w:t>
      </w:r>
    </w:p>
    <w:p w14:paraId="47DFCBC9">
      <w:pPr>
        <w:spacing w:line="360" w:lineRule="auto"/>
        <w:ind w:firstLine="480" w:firstLineChars="200"/>
        <w:rPr>
          <w:rFonts w:ascii="宋体" w:hAnsi="宋体"/>
          <w:kern w:val="0"/>
          <w:sz w:val="24"/>
        </w:rPr>
      </w:pPr>
      <w:r>
        <w:rPr>
          <w:rFonts w:hint="eastAsia" w:ascii="宋体" w:hAnsi="宋体"/>
          <w:kern w:val="0"/>
          <w:sz w:val="24"/>
        </w:rPr>
        <w:t>2.不准接受可能影响公正执行公务的承包人和相关单位或个人的礼物馈赠、宴请、各种形式俱乐部会员资格、高消费娱乐活动。</w:t>
      </w:r>
    </w:p>
    <w:p w14:paraId="5C85C3BF">
      <w:pPr>
        <w:spacing w:line="360" w:lineRule="auto"/>
        <w:ind w:firstLine="480" w:firstLineChars="200"/>
        <w:rPr>
          <w:rFonts w:ascii="宋体" w:hAnsi="宋体"/>
          <w:kern w:val="0"/>
          <w:sz w:val="24"/>
        </w:rPr>
      </w:pPr>
      <w:bookmarkStart w:id="750" w:name="_Toc31708"/>
      <w:bookmarkStart w:id="751" w:name="_Toc3211"/>
      <w:bookmarkStart w:id="752" w:name="_Toc330"/>
      <w:bookmarkStart w:id="753" w:name="_Toc144746287"/>
      <w:r>
        <w:rPr>
          <w:rFonts w:hint="eastAsia" w:ascii="宋体" w:hAnsi="宋体"/>
          <w:kern w:val="0"/>
          <w:sz w:val="24"/>
        </w:rPr>
        <w:t>3.不准在承包人和相关单位报销任何应由发包人或个人负担的费用。</w:t>
      </w:r>
      <w:bookmarkEnd w:id="750"/>
      <w:bookmarkEnd w:id="751"/>
      <w:bookmarkEnd w:id="752"/>
      <w:bookmarkEnd w:id="753"/>
    </w:p>
    <w:p w14:paraId="47A2E04D">
      <w:pPr>
        <w:spacing w:line="360" w:lineRule="auto"/>
        <w:ind w:firstLine="480" w:firstLineChars="200"/>
        <w:rPr>
          <w:rFonts w:ascii="宋体" w:hAnsi="宋体"/>
          <w:kern w:val="0"/>
          <w:sz w:val="24"/>
        </w:rPr>
      </w:pPr>
      <w:r>
        <w:rPr>
          <w:rFonts w:hint="eastAsia" w:ascii="宋体" w:hAnsi="宋体"/>
          <w:kern w:val="0"/>
          <w:sz w:val="24"/>
        </w:rPr>
        <w:t>4.不准要求、暗示或接受承包人和相关单位或个人为自己、配偶、子女、其他亲属朋友及身边工作人员的装修住房、婚丧嫁娶、工作安排、学习培训、经商办企业以及出国（境）、旅游、度假等支付费用。</w:t>
      </w:r>
    </w:p>
    <w:p w14:paraId="68FF0355">
      <w:pPr>
        <w:spacing w:line="360" w:lineRule="auto"/>
        <w:ind w:firstLine="480" w:firstLineChars="200"/>
        <w:rPr>
          <w:rFonts w:ascii="宋体" w:hAnsi="宋体"/>
          <w:kern w:val="0"/>
          <w:sz w:val="24"/>
        </w:rPr>
      </w:pPr>
      <w:r>
        <w:rPr>
          <w:rFonts w:hint="eastAsia" w:ascii="宋体" w:hAnsi="宋体"/>
          <w:kern w:val="0"/>
          <w:sz w:val="24"/>
        </w:rPr>
        <w:t>5.不准向承包人介绍配偶、子女、其他亲属朋友及身边工作人员参与同发包人项目工程合同有关的设备、材料、工程分包、劳务等经济活动。</w:t>
      </w:r>
    </w:p>
    <w:p w14:paraId="211E373E">
      <w:pPr>
        <w:spacing w:line="360" w:lineRule="auto"/>
        <w:ind w:firstLine="480" w:firstLineChars="200"/>
        <w:rPr>
          <w:rFonts w:ascii="宋体" w:hAnsi="宋体"/>
          <w:kern w:val="0"/>
          <w:sz w:val="24"/>
        </w:rPr>
      </w:pPr>
      <w:r>
        <w:rPr>
          <w:rFonts w:hint="eastAsia" w:ascii="宋体" w:hAnsi="宋体"/>
          <w:kern w:val="0"/>
          <w:sz w:val="24"/>
        </w:rPr>
        <w:t>6.不得以任何理由向承包人和相关单位推荐分包单位和要求或暗示承包人购买项目工程合同规定外的材料、设备等。</w:t>
      </w:r>
    </w:p>
    <w:p w14:paraId="01D7BB36">
      <w:pPr>
        <w:spacing w:line="360" w:lineRule="auto"/>
        <w:ind w:firstLine="480" w:firstLineChars="200"/>
        <w:rPr>
          <w:rFonts w:ascii="宋体" w:hAnsi="宋体"/>
          <w:kern w:val="0"/>
          <w:sz w:val="24"/>
        </w:rPr>
      </w:pPr>
      <w:r>
        <w:rPr>
          <w:rFonts w:hint="eastAsia" w:ascii="宋体" w:hAnsi="宋体"/>
          <w:kern w:val="0"/>
          <w:sz w:val="24"/>
        </w:rPr>
        <w:t>（二）正式开工前组织与承包人廉洁责任人见面会，进行廉洁工程建设交底，明确廉洁工程建设责任和目标任务、举报方式。</w:t>
      </w:r>
    </w:p>
    <w:p w14:paraId="6E14768C">
      <w:pPr>
        <w:spacing w:line="360" w:lineRule="auto"/>
        <w:ind w:firstLine="480" w:firstLineChars="200"/>
        <w:rPr>
          <w:rFonts w:ascii="宋体" w:hAnsi="宋体"/>
          <w:kern w:val="0"/>
          <w:sz w:val="24"/>
        </w:rPr>
      </w:pPr>
      <w:r>
        <w:rPr>
          <w:rFonts w:hint="eastAsia" w:ascii="宋体" w:hAnsi="宋体"/>
          <w:kern w:val="0"/>
          <w:sz w:val="24"/>
        </w:rPr>
        <w:t>（三）加强对质量安全、计量支付、工程变更以及工程结算等建设管理环节的监督管理，特别是各业务审批效能方面的监察检查，提高建设管理服务水平。</w:t>
      </w:r>
    </w:p>
    <w:p w14:paraId="706364AA">
      <w:pPr>
        <w:spacing w:line="360" w:lineRule="auto"/>
        <w:ind w:firstLine="480" w:firstLineChars="200"/>
        <w:rPr>
          <w:rFonts w:ascii="宋体" w:hAnsi="宋体"/>
          <w:kern w:val="0"/>
          <w:sz w:val="24"/>
        </w:rPr>
      </w:pPr>
      <w:r>
        <w:rPr>
          <w:rFonts w:hint="eastAsia" w:ascii="宋体" w:hAnsi="宋体"/>
          <w:kern w:val="0"/>
          <w:sz w:val="24"/>
        </w:rPr>
        <w:t>（四）在工地现场设置反腐倡廉举报箱和公开举报电话，并组织开展廉政座谈、法制讲座、参观监狱等活动，加强廉洁自律教育，营造廉洁工地文化氛围，筑牢文化防腐第一道防线。</w:t>
      </w:r>
    </w:p>
    <w:p w14:paraId="4A3D8D93">
      <w:pPr>
        <w:spacing w:line="360" w:lineRule="auto"/>
        <w:ind w:firstLine="480" w:firstLineChars="200"/>
        <w:rPr>
          <w:rFonts w:ascii="宋体" w:hAnsi="宋体"/>
          <w:kern w:val="0"/>
          <w:sz w:val="24"/>
        </w:rPr>
      </w:pPr>
      <w:r>
        <w:rPr>
          <w:rFonts w:hint="eastAsia" w:ascii="宋体" w:hAnsi="宋体"/>
          <w:kern w:val="0"/>
          <w:sz w:val="24"/>
        </w:rPr>
        <w:t>（五）成立现场监督工作机构，不定期对工地建设管理及监督工作情况开展巡查，对发现的有关问题，及时协调给予现场解决。</w:t>
      </w:r>
    </w:p>
    <w:p w14:paraId="54813B78">
      <w:pPr>
        <w:spacing w:line="360" w:lineRule="auto"/>
        <w:ind w:firstLine="480" w:firstLineChars="200"/>
        <w:rPr>
          <w:rFonts w:ascii="宋体" w:hAnsi="宋体"/>
          <w:kern w:val="0"/>
          <w:sz w:val="24"/>
        </w:rPr>
      </w:pPr>
      <w:r>
        <w:rPr>
          <w:rFonts w:hint="eastAsia" w:ascii="宋体" w:hAnsi="宋体"/>
          <w:kern w:val="0"/>
          <w:sz w:val="24"/>
        </w:rPr>
        <w:t>第三条 承包人责任</w:t>
      </w:r>
    </w:p>
    <w:p w14:paraId="6CCEFB70">
      <w:pPr>
        <w:spacing w:line="360" w:lineRule="auto"/>
        <w:ind w:firstLine="480" w:firstLineChars="200"/>
        <w:rPr>
          <w:rFonts w:ascii="宋体" w:hAnsi="宋体"/>
          <w:kern w:val="0"/>
          <w:sz w:val="24"/>
        </w:rPr>
      </w:pPr>
      <w:r>
        <w:rPr>
          <w:rFonts w:hint="eastAsia" w:ascii="宋体" w:hAnsi="宋体"/>
          <w:kern w:val="0"/>
          <w:sz w:val="24"/>
        </w:rPr>
        <w:t>（一）与发包人保持正常的业务交往，遵守以下规定：</w:t>
      </w:r>
    </w:p>
    <w:p w14:paraId="3BEED10C">
      <w:pPr>
        <w:spacing w:line="360" w:lineRule="auto"/>
        <w:ind w:firstLine="480" w:firstLineChars="200"/>
        <w:rPr>
          <w:rFonts w:ascii="宋体" w:hAnsi="宋体"/>
          <w:kern w:val="0"/>
          <w:sz w:val="24"/>
        </w:rPr>
      </w:pPr>
      <w:r>
        <w:rPr>
          <w:rFonts w:hint="eastAsia" w:ascii="宋体" w:hAnsi="宋体"/>
          <w:kern w:val="0"/>
          <w:sz w:val="24"/>
        </w:rPr>
        <w:t>1.不准以任何理由向发包人人员行贿或赠送回扣、礼金、各种有价证券、信用卡和好处费、感谢费及其它支付凭证等。</w:t>
      </w:r>
    </w:p>
    <w:p w14:paraId="3DE5D4BD">
      <w:pPr>
        <w:spacing w:line="360" w:lineRule="auto"/>
        <w:ind w:firstLine="480" w:firstLineChars="200"/>
        <w:rPr>
          <w:rFonts w:ascii="宋体" w:hAnsi="宋体"/>
          <w:kern w:val="0"/>
          <w:sz w:val="24"/>
        </w:rPr>
      </w:pPr>
      <w:r>
        <w:rPr>
          <w:rFonts w:hint="eastAsia" w:ascii="宋体" w:hAnsi="宋体"/>
          <w:kern w:val="0"/>
          <w:sz w:val="24"/>
        </w:rPr>
        <w:t>2.不准以任何理由为发包人人员组织有可能影响公正执行公务的宴请、各种形式俱乐部及高消费娱乐等活动。</w:t>
      </w:r>
    </w:p>
    <w:p w14:paraId="0CB3F3DE">
      <w:pPr>
        <w:spacing w:line="360" w:lineRule="auto"/>
        <w:ind w:firstLine="480" w:firstLineChars="200"/>
        <w:rPr>
          <w:rFonts w:ascii="宋体" w:hAnsi="宋体"/>
          <w:kern w:val="0"/>
          <w:sz w:val="24"/>
        </w:rPr>
      </w:pPr>
      <w:bookmarkStart w:id="754" w:name="_Toc2152"/>
      <w:bookmarkStart w:id="755" w:name="_Toc29038"/>
      <w:bookmarkStart w:id="756" w:name="_Toc25434"/>
      <w:bookmarkStart w:id="757" w:name="_Toc144746288"/>
      <w:r>
        <w:rPr>
          <w:rFonts w:hint="eastAsia" w:ascii="宋体" w:hAnsi="宋体"/>
          <w:kern w:val="0"/>
          <w:sz w:val="24"/>
        </w:rPr>
        <w:t>3.不准以任何理由为发包人或个人报销应由对方或个人支付的费用。</w:t>
      </w:r>
      <w:bookmarkEnd w:id="754"/>
      <w:bookmarkEnd w:id="755"/>
      <w:bookmarkEnd w:id="756"/>
      <w:bookmarkEnd w:id="757"/>
    </w:p>
    <w:p w14:paraId="29A36A0A">
      <w:pPr>
        <w:spacing w:line="360" w:lineRule="auto"/>
        <w:ind w:firstLine="480" w:firstLineChars="200"/>
        <w:rPr>
          <w:rFonts w:ascii="宋体" w:hAnsi="宋体"/>
          <w:kern w:val="0"/>
          <w:sz w:val="24"/>
        </w:rPr>
      </w:pPr>
      <w:r>
        <w:rPr>
          <w:rFonts w:hint="eastAsia" w:ascii="宋体" w:hAnsi="宋体"/>
          <w:kern w:val="0"/>
          <w:sz w:val="24"/>
        </w:rPr>
        <w:t>4.不准暗示或要求为发包人人员及其配偶、子女、其他亲属朋友及身边工作人员的装修住房、婚丧嫁娶、工作安排、学习培训、经商办企业以及出国（境）、旅游、度假提供方便和支付费用。</w:t>
      </w:r>
    </w:p>
    <w:p w14:paraId="6A45309E">
      <w:pPr>
        <w:spacing w:line="360" w:lineRule="auto"/>
        <w:ind w:firstLine="480" w:firstLineChars="200"/>
        <w:rPr>
          <w:rFonts w:ascii="宋体" w:hAnsi="宋体"/>
          <w:kern w:val="0"/>
          <w:sz w:val="24"/>
        </w:rPr>
      </w:pPr>
      <w:r>
        <w:rPr>
          <w:rFonts w:hint="eastAsia" w:ascii="宋体" w:hAnsi="宋体"/>
          <w:kern w:val="0"/>
          <w:sz w:val="24"/>
        </w:rPr>
        <w:t>5.不准介绍和安排发包人人员及其配偶、子女、其他亲属朋友及身边工作人员参与同发包人工程项目有关的设备、材料、工程分包、劳务等经济活动。</w:t>
      </w:r>
    </w:p>
    <w:p w14:paraId="0BD6E492">
      <w:pPr>
        <w:spacing w:line="360" w:lineRule="auto"/>
        <w:ind w:firstLine="480" w:firstLineChars="200"/>
        <w:rPr>
          <w:rFonts w:ascii="宋体" w:hAnsi="宋体"/>
          <w:kern w:val="0"/>
          <w:sz w:val="24"/>
        </w:rPr>
      </w:pPr>
      <w:r>
        <w:rPr>
          <w:rFonts w:hint="eastAsia" w:ascii="宋体" w:hAnsi="宋体"/>
          <w:kern w:val="0"/>
          <w:sz w:val="24"/>
        </w:rPr>
        <w:t>（二）细化内部廉洁工程建设任务，分解责任，明确落实到项目部管理人员，层层签订廉洁从业责任状，形成有效的管理机制。</w:t>
      </w:r>
    </w:p>
    <w:p w14:paraId="6CCAC79F">
      <w:pPr>
        <w:spacing w:line="360" w:lineRule="auto"/>
        <w:ind w:firstLine="480" w:firstLineChars="200"/>
        <w:rPr>
          <w:rFonts w:ascii="宋体" w:hAnsi="宋体"/>
          <w:kern w:val="0"/>
          <w:sz w:val="24"/>
        </w:rPr>
      </w:pPr>
      <w:r>
        <w:rPr>
          <w:rFonts w:hint="eastAsia" w:ascii="宋体" w:hAnsi="宋体"/>
          <w:kern w:val="0"/>
          <w:sz w:val="24"/>
        </w:rPr>
        <w:t>（三）成立现场施工监督工作组，负责项目部廉政责任组织落实，工地廉洁文化建设以及对现场实施进行监督管理，并接受发包人监督工作机构的再监督。</w:t>
      </w:r>
    </w:p>
    <w:p w14:paraId="3D97ED40">
      <w:pPr>
        <w:spacing w:line="360" w:lineRule="auto"/>
        <w:ind w:firstLine="200"/>
        <w:rPr>
          <w:rFonts w:ascii="宋体" w:hAnsi="宋体"/>
          <w:kern w:val="0"/>
          <w:sz w:val="24"/>
        </w:rPr>
      </w:pPr>
      <w:r>
        <w:rPr>
          <w:rFonts w:hint="eastAsia" w:ascii="宋体" w:hAnsi="宋体"/>
          <w:kern w:val="0"/>
          <w:sz w:val="24"/>
        </w:rPr>
        <w:t>（四）按发包人要求在工地项目部设置廉洁文化教育专区，开展观看警示教育片、图片展览等教育活动，加强对员工的法律法规、廉洁和职业道德教育。</w:t>
      </w:r>
    </w:p>
    <w:p w14:paraId="5FC64B31">
      <w:pPr>
        <w:spacing w:line="360" w:lineRule="auto"/>
        <w:ind w:firstLine="480" w:firstLineChars="200"/>
        <w:rPr>
          <w:rFonts w:ascii="宋体" w:hAnsi="宋体"/>
          <w:kern w:val="0"/>
          <w:sz w:val="24"/>
        </w:rPr>
      </w:pPr>
      <w:r>
        <w:rPr>
          <w:rFonts w:hint="eastAsia" w:ascii="宋体" w:hAnsi="宋体"/>
          <w:kern w:val="0"/>
          <w:sz w:val="24"/>
        </w:rPr>
        <w:t>第四条 违约责任</w:t>
      </w:r>
    </w:p>
    <w:p w14:paraId="77227599">
      <w:pPr>
        <w:spacing w:line="360" w:lineRule="auto"/>
        <w:ind w:firstLine="480" w:firstLineChars="200"/>
        <w:rPr>
          <w:rFonts w:ascii="宋体" w:hAnsi="宋体"/>
          <w:kern w:val="0"/>
          <w:sz w:val="24"/>
        </w:rPr>
      </w:pPr>
      <w:bookmarkStart w:id="758" w:name="_Toc13746_WPSOffice_Level1"/>
      <w:r>
        <w:rPr>
          <w:rFonts w:hint="eastAsia" w:ascii="宋体" w:hAnsi="宋体"/>
          <w:kern w:val="0"/>
          <w:sz w:val="24"/>
        </w:rPr>
        <w:t>（一）发包人违约责任</w:t>
      </w:r>
      <w:bookmarkEnd w:id="758"/>
    </w:p>
    <w:p w14:paraId="2CAC400F">
      <w:pPr>
        <w:spacing w:line="360" w:lineRule="auto"/>
        <w:ind w:firstLine="480" w:firstLineChars="200"/>
        <w:rPr>
          <w:rFonts w:ascii="宋体" w:hAnsi="宋体"/>
          <w:kern w:val="0"/>
          <w:sz w:val="24"/>
        </w:rPr>
      </w:pPr>
      <w:r>
        <w:rPr>
          <w:rFonts w:hint="eastAsia" w:ascii="宋体" w:hAnsi="宋体"/>
          <w:kern w:val="0"/>
          <w:sz w:val="24"/>
        </w:rPr>
        <w:t>1.发包人不履行或不完全履行本协议书有关责任义务给承包人造成损失的，在承包人提交足够证据并经查证属实的情况下，发包人赔偿其直接经济损失。</w:t>
      </w:r>
    </w:p>
    <w:p w14:paraId="6C7A6803">
      <w:pPr>
        <w:spacing w:line="360" w:lineRule="auto"/>
        <w:ind w:firstLine="480" w:firstLineChars="200"/>
        <w:rPr>
          <w:rFonts w:ascii="宋体" w:hAnsi="宋体"/>
          <w:kern w:val="0"/>
          <w:sz w:val="24"/>
        </w:rPr>
      </w:pPr>
      <w:r>
        <w:rPr>
          <w:rFonts w:hint="eastAsia" w:ascii="宋体" w:hAnsi="宋体"/>
          <w:kern w:val="0"/>
          <w:sz w:val="24"/>
        </w:rPr>
        <w:t>2.发包人人员出现受贿等严重违法违纪违规行为的，按照管理权限，依据有关法律法规和规定给予党纪、政纪处分或组织处理；涉嫌犯罪的，移交司法机关追究刑事责任。</w:t>
      </w:r>
    </w:p>
    <w:p w14:paraId="066B5DEC">
      <w:pPr>
        <w:spacing w:line="360" w:lineRule="auto"/>
        <w:ind w:firstLine="480" w:firstLineChars="200"/>
        <w:rPr>
          <w:rFonts w:ascii="宋体" w:hAnsi="宋体"/>
          <w:kern w:val="0"/>
          <w:sz w:val="24"/>
        </w:rPr>
      </w:pPr>
      <w:bookmarkStart w:id="759" w:name="_Toc21854_WPSOffice_Level1"/>
      <w:r>
        <w:rPr>
          <w:rFonts w:hint="eastAsia" w:ascii="宋体" w:hAnsi="宋体"/>
          <w:kern w:val="0"/>
          <w:sz w:val="24"/>
        </w:rPr>
        <w:t>（二）承包人违约责任</w:t>
      </w:r>
      <w:bookmarkEnd w:id="759"/>
    </w:p>
    <w:p w14:paraId="03912D32">
      <w:pPr>
        <w:spacing w:line="360" w:lineRule="auto"/>
        <w:ind w:firstLine="480" w:firstLineChars="200"/>
        <w:rPr>
          <w:rFonts w:ascii="宋体" w:hAnsi="宋体"/>
          <w:kern w:val="0"/>
          <w:sz w:val="24"/>
        </w:rPr>
      </w:pPr>
      <w:r>
        <w:rPr>
          <w:rFonts w:hint="eastAsia" w:ascii="宋体" w:hAnsi="宋体"/>
          <w:kern w:val="0"/>
          <w:sz w:val="24"/>
        </w:rPr>
        <w:t>1.承包人不履行或不完全履行本协议书有关责任义务的，按本工程合同规定须承担一次一般违约责任。情节较轻的，可给予书面警告；情节较重的，须承担一次严重违约责任。</w:t>
      </w:r>
    </w:p>
    <w:p w14:paraId="5F4FE45E">
      <w:pPr>
        <w:spacing w:line="360" w:lineRule="auto"/>
        <w:ind w:firstLine="480" w:firstLineChars="200"/>
        <w:rPr>
          <w:rFonts w:ascii="宋体" w:hAnsi="宋体"/>
          <w:kern w:val="0"/>
          <w:sz w:val="24"/>
        </w:rPr>
      </w:pPr>
      <w:r>
        <w:rPr>
          <w:rFonts w:hint="eastAsia" w:ascii="宋体" w:hAnsi="宋体"/>
          <w:kern w:val="0"/>
          <w:sz w:val="24"/>
        </w:rPr>
        <w:t>2.承包人出现严重违法违纪违规行为的，发包人将上报市检察院或监察机关依法查处，并提请建设行政主管部门根据《广州市建筑市场廉洁准入规定（试行）》给予限制或者取消其进入广州市建筑市场从事建筑活动的资格等处罚。</w:t>
      </w:r>
    </w:p>
    <w:p w14:paraId="62CEFDB4">
      <w:pPr>
        <w:spacing w:line="360" w:lineRule="auto"/>
        <w:ind w:firstLine="480" w:firstLineChars="200"/>
        <w:rPr>
          <w:rFonts w:ascii="宋体" w:hAnsi="宋体"/>
          <w:kern w:val="0"/>
          <w:sz w:val="24"/>
        </w:rPr>
      </w:pPr>
      <w:r>
        <w:rPr>
          <w:rFonts w:hint="eastAsia" w:ascii="宋体" w:hAnsi="宋体"/>
          <w:kern w:val="0"/>
          <w:sz w:val="24"/>
        </w:rPr>
        <w:t>第五条 本协议书作为合同的附件，与合同具有同等法律效力。经双方签字盖章后生效。</w:t>
      </w:r>
    </w:p>
    <w:p w14:paraId="741D99C5">
      <w:pPr>
        <w:spacing w:line="360" w:lineRule="auto"/>
        <w:ind w:firstLine="480" w:firstLineChars="200"/>
        <w:rPr>
          <w:rFonts w:ascii="宋体" w:hAnsi="宋体"/>
          <w:kern w:val="0"/>
          <w:sz w:val="24"/>
        </w:rPr>
      </w:pPr>
      <w:r>
        <w:rPr>
          <w:rFonts w:hint="eastAsia" w:ascii="宋体" w:hAnsi="宋体"/>
          <w:kern w:val="0"/>
          <w:sz w:val="24"/>
        </w:rPr>
        <w:t>第六条 本协议书有效期为双方签字盖章之日起至所属工程项目合同履行完毕时止。</w:t>
      </w:r>
    </w:p>
    <w:p w14:paraId="0CB1571A">
      <w:pPr>
        <w:spacing w:line="360" w:lineRule="auto"/>
        <w:ind w:firstLine="480" w:firstLineChars="200"/>
        <w:rPr>
          <w:rFonts w:ascii="宋体" w:hAnsi="宋体"/>
          <w:kern w:val="0"/>
          <w:sz w:val="24"/>
        </w:rPr>
      </w:pPr>
      <w:r>
        <w:rPr>
          <w:rFonts w:hint="eastAsia" w:ascii="宋体" w:hAnsi="宋体"/>
          <w:kern w:val="0"/>
          <w:sz w:val="24"/>
        </w:rPr>
        <w:t>第七条 未尽事宜，由双方协商解决。</w:t>
      </w:r>
    </w:p>
    <w:p w14:paraId="58904591">
      <w:pPr>
        <w:adjustRightInd w:val="0"/>
        <w:snapToGrid w:val="0"/>
        <w:spacing w:line="360" w:lineRule="auto"/>
        <w:rPr>
          <w:rFonts w:ascii="宋体" w:hAnsi="宋体"/>
          <w:kern w:val="0"/>
          <w:sz w:val="24"/>
        </w:rPr>
      </w:pPr>
      <w:r>
        <w:rPr>
          <w:rFonts w:hint="eastAsia" w:ascii="宋体" w:hAnsi="宋体"/>
          <w:kern w:val="0"/>
          <w:sz w:val="24"/>
        </w:rPr>
        <w:t>（本页以下无正文）</w:t>
      </w:r>
    </w:p>
    <w:p w14:paraId="24A7E858">
      <w:pPr>
        <w:adjustRightInd w:val="0"/>
        <w:snapToGrid w:val="0"/>
        <w:spacing w:line="360" w:lineRule="auto"/>
        <w:rPr>
          <w:rFonts w:ascii="宋体" w:hAnsi="宋体"/>
          <w:kern w:val="0"/>
          <w:sz w:val="24"/>
        </w:rPr>
      </w:pPr>
    </w:p>
    <w:p w14:paraId="53BBC9BC">
      <w:pPr>
        <w:adjustRightInd w:val="0"/>
        <w:snapToGrid w:val="0"/>
        <w:spacing w:line="360" w:lineRule="auto"/>
        <w:rPr>
          <w:rFonts w:ascii="宋体" w:hAnsi="宋体"/>
          <w:kern w:val="0"/>
          <w:sz w:val="24"/>
        </w:rPr>
      </w:pPr>
    </w:p>
    <w:p w14:paraId="664E46DF">
      <w:pPr>
        <w:pStyle w:val="45"/>
        <w:rPr>
          <w:rFonts w:ascii="宋体" w:hAnsi="宋体"/>
          <w:kern w:val="0"/>
          <w:sz w:val="24"/>
        </w:rPr>
      </w:pPr>
    </w:p>
    <w:p w14:paraId="48D5AE86">
      <w:pPr>
        <w:pStyle w:val="45"/>
        <w:rPr>
          <w:rFonts w:ascii="宋体" w:hAnsi="宋体"/>
          <w:kern w:val="0"/>
          <w:sz w:val="24"/>
        </w:rPr>
      </w:pPr>
    </w:p>
    <w:p w14:paraId="2E9F8753">
      <w:pPr>
        <w:pStyle w:val="45"/>
        <w:rPr>
          <w:rFonts w:ascii="宋体" w:hAnsi="宋体"/>
          <w:kern w:val="0"/>
          <w:sz w:val="24"/>
        </w:rPr>
      </w:pPr>
    </w:p>
    <w:p w14:paraId="4EC0E450">
      <w:pPr>
        <w:pStyle w:val="45"/>
        <w:rPr>
          <w:rFonts w:ascii="宋体" w:hAnsi="宋体"/>
          <w:kern w:val="0"/>
          <w:sz w:val="24"/>
        </w:rPr>
      </w:pPr>
    </w:p>
    <w:p w14:paraId="0357F6EB">
      <w:pPr>
        <w:pStyle w:val="45"/>
        <w:rPr>
          <w:rFonts w:ascii="宋体" w:hAnsi="宋体"/>
          <w:kern w:val="0"/>
          <w:sz w:val="24"/>
        </w:rPr>
      </w:pPr>
    </w:p>
    <w:p w14:paraId="2C0916D2">
      <w:pPr>
        <w:pStyle w:val="45"/>
        <w:rPr>
          <w:rFonts w:ascii="宋体" w:hAnsi="宋体"/>
          <w:kern w:val="0"/>
          <w:sz w:val="24"/>
        </w:rPr>
      </w:pPr>
    </w:p>
    <w:p w14:paraId="09DEC055">
      <w:pPr>
        <w:pStyle w:val="45"/>
        <w:rPr>
          <w:rFonts w:ascii="宋体" w:hAnsi="宋体"/>
          <w:kern w:val="0"/>
          <w:sz w:val="24"/>
        </w:rPr>
      </w:pPr>
    </w:p>
    <w:p w14:paraId="019EEC00">
      <w:pPr>
        <w:pStyle w:val="45"/>
        <w:rPr>
          <w:rFonts w:ascii="宋体" w:hAnsi="宋体" w:cs="宋体"/>
          <w:snapToGrid w:val="0"/>
          <w:kern w:val="0"/>
          <w:sz w:val="24"/>
        </w:rPr>
      </w:pPr>
    </w:p>
    <w:p w14:paraId="1CE7D34F">
      <w:pPr>
        <w:pStyle w:val="45"/>
        <w:rPr>
          <w:rFonts w:ascii="宋体" w:hAnsi="宋体" w:cs="宋体"/>
          <w:snapToGrid w:val="0"/>
          <w:kern w:val="0"/>
          <w:sz w:val="24"/>
        </w:rPr>
      </w:pPr>
    </w:p>
    <w:p w14:paraId="3AB00BAF">
      <w:pPr>
        <w:adjustRightInd w:val="0"/>
        <w:snapToGrid w:val="0"/>
        <w:spacing w:line="400" w:lineRule="exact"/>
        <w:ind w:right="11"/>
        <w:rPr>
          <w:rFonts w:hint="eastAsia" w:ascii="宋体" w:hAnsi="宋体" w:eastAsia="宋体"/>
          <w:kern w:val="0"/>
          <w:sz w:val="24"/>
          <w:lang w:eastAsia="zh-CN"/>
        </w:rPr>
      </w:pPr>
      <w:r>
        <w:rPr>
          <w:rFonts w:hint="eastAsia" w:ascii="宋体" w:hAnsi="宋体"/>
          <w:kern w:val="0"/>
          <w:sz w:val="24"/>
        </w:rPr>
        <w:t>发包人：广州</w:t>
      </w:r>
      <w:r>
        <w:rPr>
          <w:rFonts w:hint="eastAsia" w:ascii="宋体" w:hAnsi="宋体"/>
          <w:kern w:val="0"/>
          <w:sz w:val="24"/>
          <w:lang w:val="en-US" w:eastAsia="zh-CN"/>
        </w:rPr>
        <w:t>尚龙</w:t>
      </w:r>
      <w:r>
        <w:rPr>
          <w:rFonts w:hint="eastAsia" w:ascii="宋体" w:hAnsi="宋体"/>
          <w:kern w:val="0"/>
          <w:sz w:val="24"/>
        </w:rPr>
        <w:t>置业有限公司            承包人：</w:t>
      </w:r>
      <w:r>
        <w:rPr>
          <w:rFonts w:hint="eastAsia" w:ascii="宋体" w:hAnsi="宋体" w:cs="宋体"/>
          <w:b/>
          <w:snapToGrid w:val="0"/>
          <w:kern w:val="0"/>
          <w:sz w:val="24"/>
        </w:rPr>
        <w:t>(主)</w:t>
      </w:r>
      <w:r>
        <w:rPr>
          <w:rFonts w:hint="eastAsia" w:ascii="宋体" w:hAnsi="宋体"/>
          <w:kern w:val="0"/>
          <w:sz w:val="24"/>
          <w:lang w:val="en-US" w:eastAsia="zh-CN"/>
        </w:rPr>
        <w:t xml:space="preserve"> </w:t>
      </w:r>
    </w:p>
    <w:p w14:paraId="10802B20">
      <w:pPr>
        <w:adjustRightInd w:val="0"/>
        <w:snapToGrid w:val="0"/>
        <w:spacing w:line="400" w:lineRule="exact"/>
        <w:ind w:right="11" w:firstLine="2280" w:firstLineChars="950"/>
        <w:rPr>
          <w:rFonts w:ascii="宋体" w:hAnsi="宋体"/>
          <w:kern w:val="0"/>
          <w:sz w:val="24"/>
        </w:rPr>
      </w:pPr>
      <w:r>
        <w:rPr>
          <w:rFonts w:hint="eastAsia" w:ascii="宋体" w:hAnsi="宋体"/>
          <w:kern w:val="0"/>
          <w:sz w:val="24"/>
        </w:rPr>
        <w:t xml:space="preserve">（盖章）                      </w:t>
      </w:r>
      <w:r>
        <w:rPr>
          <w:rFonts w:hint="eastAsia" w:ascii="宋体" w:hAnsi="宋体" w:cs="宋体"/>
          <w:snapToGrid w:val="0"/>
          <w:kern w:val="0"/>
          <w:sz w:val="24"/>
        </w:rPr>
        <w:t xml:space="preserve">          </w:t>
      </w:r>
      <w:r>
        <w:rPr>
          <w:rFonts w:hint="eastAsia" w:ascii="宋体" w:hAnsi="宋体"/>
          <w:kern w:val="0"/>
          <w:sz w:val="24"/>
        </w:rPr>
        <w:t>（盖章）</w:t>
      </w:r>
    </w:p>
    <w:p w14:paraId="4AF64154">
      <w:pPr>
        <w:adjustRightInd w:val="0"/>
        <w:snapToGrid w:val="0"/>
        <w:spacing w:line="400" w:lineRule="exact"/>
        <w:ind w:right="11"/>
        <w:rPr>
          <w:rFonts w:ascii="宋体" w:hAnsi="宋体"/>
          <w:kern w:val="0"/>
          <w:sz w:val="24"/>
        </w:rPr>
      </w:pPr>
      <w:r>
        <w:rPr>
          <w:rFonts w:hint="eastAsia" w:ascii="宋体" w:hAnsi="宋体"/>
          <w:kern w:val="0"/>
          <w:sz w:val="24"/>
        </w:rPr>
        <w:t xml:space="preserve">法定代表人：                        </w:t>
      </w:r>
      <w:r>
        <w:rPr>
          <w:rFonts w:hint="eastAsia" w:ascii="宋体" w:hAnsi="宋体" w:cs="宋体"/>
          <w:snapToGrid w:val="0"/>
          <w:kern w:val="0"/>
          <w:sz w:val="24"/>
        </w:rPr>
        <w:t xml:space="preserve">    </w:t>
      </w:r>
      <w:r>
        <w:rPr>
          <w:rFonts w:hint="eastAsia" w:ascii="宋体" w:hAnsi="宋体"/>
          <w:kern w:val="0"/>
          <w:sz w:val="24"/>
        </w:rPr>
        <w:t>法定代表人：</w:t>
      </w:r>
    </w:p>
    <w:p w14:paraId="3821AB1F">
      <w:pPr>
        <w:tabs>
          <w:tab w:val="left" w:pos="5460"/>
        </w:tabs>
        <w:adjustRightInd w:val="0"/>
        <w:snapToGrid w:val="0"/>
        <w:spacing w:line="400" w:lineRule="exact"/>
        <w:ind w:left="-2" w:leftChars="-1" w:right="11"/>
        <w:rPr>
          <w:rFonts w:ascii="宋体" w:hAnsi="宋体"/>
          <w:kern w:val="0"/>
          <w:sz w:val="24"/>
        </w:rPr>
      </w:pPr>
    </w:p>
    <w:p w14:paraId="5F39B2F6">
      <w:pPr>
        <w:tabs>
          <w:tab w:val="left" w:pos="5460"/>
        </w:tabs>
        <w:adjustRightInd w:val="0"/>
        <w:snapToGrid w:val="0"/>
        <w:spacing w:line="400" w:lineRule="exact"/>
        <w:ind w:left="-2" w:leftChars="-1" w:right="11"/>
        <w:rPr>
          <w:rFonts w:ascii="宋体" w:hAnsi="宋体"/>
          <w:kern w:val="0"/>
          <w:sz w:val="24"/>
        </w:rPr>
      </w:pPr>
      <w:r>
        <w:rPr>
          <w:rFonts w:hint="eastAsia" w:ascii="宋体" w:hAnsi="宋体"/>
          <w:kern w:val="0"/>
          <w:sz w:val="24"/>
        </w:rPr>
        <w:t xml:space="preserve">或委托代理人：                       </w:t>
      </w:r>
      <w:r>
        <w:rPr>
          <w:rFonts w:hint="eastAsia" w:ascii="宋体" w:hAnsi="宋体" w:cs="宋体"/>
          <w:snapToGrid w:val="0"/>
          <w:kern w:val="0"/>
          <w:sz w:val="24"/>
        </w:rPr>
        <w:t xml:space="preserve">   </w:t>
      </w:r>
      <w:r>
        <w:rPr>
          <w:rFonts w:hint="eastAsia" w:ascii="宋体" w:hAnsi="宋体"/>
          <w:kern w:val="0"/>
          <w:sz w:val="24"/>
        </w:rPr>
        <w:t>或委托代理人：</w:t>
      </w:r>
    </w:p>
    <w:p w14:paraId="04D966B4">
      <w:pPr>
        <w:adjustRightInd w:val="0"/>
        <w:snapToGrid w:val="0"/>
        <w:spacing w:line="400" w:lineRule="exact"/>
        <w:ind w:right="11"/>
        <w:rPr>
          <w:rFonts w:ascii="宋体" w:hAnsi="宋体"/>
          <w:kern w:val="0"/>
          <w:sz w:val="24"/>
        </w:rPr>
      </w:pPr>
    </w:p>
    <w:p w14:paraId="264D9AC8">
      <w:pPr>
        <w:tabs>
          <w:tab w:val="left" w:pos="5460"/>
        </w:tabs>
        <w:adjustRightInd w:val="0"/>
        <w:snapToGrid w:val="0"/>
        <w:spacing w:line="400" w:lineRule="exact"/>
        <w:ind w:left="-2" w:leftChars="-1" w:right="11"/>
        <w:rPr>
          <w:rFonts w:ascii="宋体" w:hAnsi="宋体"/>
          <w:kern w:val="0"/>
          <w:sz w:val="24"/>
        </w:rPr>
      </w:pPr>
    </w:p>
    <w:p w14:paraId="74AB15AF">
      <w:pPr>
        <w:tabs>
          <w:tab w:val="left" w:pos="5460"/>
        </w:tabs>
        <w:adjustRightInd w:val="0"/>
        <w:snapToGrid w:val="0"/>
        <w:spacing w:line="440" w:lineRule="exact"/>
        <w:ind w:right="11"/>
        <w:jc w:val="left"/>
        <w:rPr>
          <w:rFonts w:ascii="宋体" w:hAnsi="宋体"/>
          <w:kern w:val="0"/>
          <w:sz w:val="24"/>
        </w:rPr>
      </w:pPr>
    </w:p>
    <w:p w14:paraId="43B10027">
      <w:pPr>
        <w:tabs>
          <w:tab w:val="left" w:pos="5460"/>
        </w:tabs>
        <w:adjustRightInd w:val="0"/>
        <w:snapToGrid w:val="0"/>
        <w:spacing w:line="440" w:lineRule="exact"/>
        <w:ind w:right="11"/>
        <w:jc w:val="left"/>
        <w:rPr>
          <w:rFonts w:ascii="宋体" w:hAnsi="宋体" w:cs="宋体"/>
          <w:snapToGrid w:val="0"/>
          <w:kern w:val="0"/>
          <w:sz w:val="24"/>
          <w:szCs w:val="24"/>
        </w:rPr>
      </w:pPr>
    </w:p>
    <w:p w14:paraId="74A3FCC7">
      <w:pPr>
        <w:tabs>
          <w:tab w:val="left" w:pos="5460"/>
        </w:tabs>
        <w:adjustRightInd w:val="0"/>
        <w:snapToGrid w:val="0"/>
        <w:spacing w:line="440" w:lineRule="exact"/>
        <w:ind w:right="11"/>
        <w:jc w:val="left"/>
        <w:rPr>
          <w:rFonts w:ascii="宋体" w:hAnsi="宋体" w:cs="宋体"/>
          <w:snapToGrid w:val="0"/>
          <w:kern w:val="0"/>
          <w:sz w:val="24"/>
        </w:rPr>
      </w:pPr>
      <w:r>
        <w:rPr>
          <w:rFonts w:hint="eastAsia" w:ascii="宋体" w:hAnsi="宋体" w:cs="宋体"/>
          <w:snapToGrid w:val="0"/>
          <w:kern w:val="0"/>
          <w:sz w:val="24"/>
          <w:szCs w:val="24"/>
        </w:rPr>
        <w:t>承包人：</w:t>
      </w:r>
      <w:r>
        <w:rPr>
          <w:rFonts w:hint="eastAsia" w:ascii="宋体" w:hAnsi="宋体" w:cs="宋体"/>
          <w:bCs/>
          <w:snapToGrid w:val="0"/>
          <w:spacing w:val="-16"/>
          <w:kern w:val="0"/>
          <w:sz w:val="24"/>
          <w:szCs w:val="24"/>
        </w:rPr>
        <w:t>(成)</w:t>
      </w:r>
      <w:r>
        <w:rPr>
          <w:rFonts w:hint="eastAsia" w:ascii="宋体" w:hAnsi="宋体" w:cs="宋体"/>
          <w:snapToGrid w:val="0"/>
          <w:kern w:val="0"/>
          <w:sz w:val="24"/>
        </w:rPr>
        <w:t xml:space="preserve"> </w:t>
      </w:r>
      <w:r>
        <w:rPr>
          <w:rFonts w:hint="eastAsia" w:ascii="宋体" w:hAnsi="宋体" w:cs="宋体"/>
          <w:snapToGrid w:val="0"/>
          <w:kern w:val="0"/>
          <w:sz w:val="24"/>
          <w:lang w:val="en-US" w:eastAsia="zh-CN"/>
        </w:rPr>
        <w:t xml:space="preserve"> </w:t>
      </w:r>
      <w:r>
        <w:rPr>
          <w:rFonts w:hint="eastAsia" w:ascii="宋体" w:hAnsi="宋体" w:cs="宋体"/>
          <w:snapToGrid w:val="0"/>
          <w:kern w:val="0"/>
          <w:sz w:val="24"/>
        </w:rPr>
        <w:t xml:space="preserve">                            </w:t>
      </w:r>
    </w:p>
    <w:p w14:paraId="536EA60A">
      <w:pPr>
        <w:tabs>
          <w:tab w:val="left" w:pos="5460"/>
        </w:tabs>
        <w:adjustRightInd w:val="0"/>
        <w:snapToGrid w:val="0"/>
        <w:spacing w:line="440" w:lineRule="exact"/>
        <w:ind w:right="11" w:firstLine="2520" w:firstLineChars="1050"/>
        <w:jc w:val="left"/>
        <w:rPr>
          <w:rFonts w:ascii="宋体" w:hAnsi="宋体" w:cs="宋体"/>
          <w:snapToGrid w:val="0"/>
          <w:kern w:val="0"/>
          <w:sz w:val="24"/>
        </w:rPr>
      </w:pPr>
      <w:r>
        <w:rPr>
          <w:rFonts w:hint="eastAsia" w:ascii="宋体" w:hAnsi="宋体" w:cs="宋体"/>
          <w:snapToGrid w:val="0"/>
          <w:kern w:val="0"/>
          <w:sz w:val="24"/>
        </w:rPr>
        <w:t xml:space="preserve">（盖章）                          </w:t>
      </w:r>
    </w:p>
    <w:p w14:paraId="55551CCE">
      <w:pPr>
        <w:tabs>
          <w:tab w:val="center" w:pos="4535"/>
        </w:tabs>
        <w:adjustRightInd w:val="0"/>
        <w:snapToGrid w:val="0"/>
        <w:spacing w:line="440" w:lineRule="exact"/>
        <w:ind w:right="11"/>
        <w:jc w:val="left"/>
        <w:rPr>
          <w:rFonts w:ascii="宋体" w:hAnsi="宋体" w:cs="宋体"/>
          <w:snapToGrid w:val="0"/>
          <w:kern w:val="0"/>
          <w:sz w:val="24"/>
        </w:rPr>
      </w:pPr>
      <w:r>
        <w:rPr>
          <w:rFonts w:hint="eastAsia" w:ascii="宋体" w:hAnsi="宋体" w:cs="宋体"/>
          <w:snapToGrid w:val="0"/>
          <w:kern w:val="0"/>
          <w:sz w:val="24"/>
        </w:rPr>
        <w:t>法定代表人：</w:t>
      </w:r>
      <w:r>
        <w:rPr>
          <w:rFonts w:hint="eastAsia" w:ascii="宋体" w:hAnsi="宋体" w:cs="宋体"/>
          <w:snapToGrid w:val="0"/>
          <w:kern w:val="0"/>
          <w:sz w:val="24"/>
        </w:rPr>
        <w:tab/>
      </w:r>
      <w:r>
        <w:rPr>
          <w:rFonts w:hint="eastAsia" w:ascii="宋体" w:hAnsi="宋体" w:cs="宋体"/>
          <w:snapToGrid w:val="0"/>
          <w:kern w:val="0"/>
          <w:sz w:val="24"/>
        </w:rPr>
        <w:t xml:space="preserve">        </w:t>
      </w:r>
    </w:p>
    <w:p w14:paraId="2B9CFDEB">
      <w:pPr>
        <w:tabs>
          <w:tab w:val="left" w:pos="5460"/>
        </w:tabs>
        <w:adjustRightInd w:val="0"/>
        <w:snapToGrid w:val="0"/>
        <w:spacing w:line="440" w:lineRule="exact"/>
        <w:ind w:left="-2" w:leftChars="-1" w:right="11" w:firstLine="4560" w:firstLineChars="1900"/>
        <w:jc w:val="left"/>
        <w:rPr>
          <w:rFonts w:ascii="宋体" w:hAnsi="宋体" w:cs="宋体"/>
          <w:snapToGrid w:val="0"/>
          <w:kern w:val="0"/>
          <w:sz w:val="24"/>
        </w:rPr>
      </w:pPr>
      <w:r>
        <w:rPr>
          <w:rFonts w:hint="eastAsia" w:ascii="宋体" w:hAnsi="宋体" w:cs="宋体"/>
          <w:snapToGrid w:val="0"/>
          <w:kern w:val="0"/>
          <w:sz w:val="24"/>
        </w:rPr>
        <w:t xml:space="preserve"> </w:t>
      </w:r>
    </w:p>
    <w:p w14:paraId="7610037D">
      <w:pPr>
        <w:tabs>
          <w:tab w:val="left" w:pos="5460"/>
        </w:tabs>
        <w:adjustRightInd w:val="0"/>
        <w:snapToGrid w:val="0"/>
        <w:spacing w:line="440" w:lineRule="exact"/>
        <w:ind w:right="11"/>
        <w:jc w:val="left"/>
        <w:rPr>
          <w:rFonts w:ascii="宋体" w:hAnsi="宋体" w:cs="宋体"/>
          <w:snapToGrid w:val="0"/>
          <w:kern w:val="0"/>
          <w:sz w:val="24"/>
        </w:rPr>
      </w:pPr>
      <w:r>
        <w:rPr>
          <w:rFonts w:hint="eastAsia" w:ascii="宋体" w:hAnsi="宋体" w:cs="宋体"/>
          <w:snapToGrid w:val="0"/>
          <w:kern w:val="0"/>
          <w:sz w:val="24"/>
        </w:rPr>
        <w:t xml:space="preserve">或委托代理人：                       </w:t>
      </w:r>
    </w:p>
    <w:bookmarkEnd w:id="743"/>
    <w:p w14:paraId="5FA09032">
      <w:pPr>
        <w:adjustRightInd w:val="0"/>
        <w:snapToGrid w:val="0"/>
        <w:spacing w:line="360" w:lineRule="auto"/>
        <w:outlineLvl w:val="1"/>
        <w:rPr>
          <w:rFonts w:ascii="宋体" w:hAnsi="宋体"/>
          <w:kern w:val="0"/>
          <w:sz w:val="28"/>
        </w:rPr>
      </w:pPr>
      <w:bookmarkStart w:id="760" w:name="_Toc504735671"/>
      <w:bookmarkStart w:id="761" w:name="_Toc518402635"/>
      <w:r>
        <w:rPr>
          <w:rFonts w:hint="eastAsia" w:ascii="宋体" w:hAnsi="宋体"/>
          <w:kern w:val="0"/>
          <w:sz w:val="24"/>
        </w:rPr>
        <w:br w:type="page"/>
      </w:r>
      <w:bookmarkStart w:id="762" w:name="_Toc59802265"/>
      <w:bookmarkStart w:id="763" w:name="_Toc104901620"/>
      <w:bookmarkStart w:id="764" w:name="_Toc104901816"/>
      <w:r>
        <w:rPr>
          <w:rFonts w:hint="eastAsia" w:ascii="宋体" w:hAnsi="宋体"/>
          <w:kern w:val="0"/>
          <w:sz w:val="24"/>
        </w:rPr>
        <w:t>附件3：</w:t>
      </w:r>
      <w:bookmarkEnd w:id="744"/>
      <w:bookmarkEnd w:id="760"/>
      <w:bookmarkEnd w:id="761"/>
      <w:bookmarkEnd w:id="762"/>
      <w:bookmarkEnd w:id="763"/>
      <w:bookmarkEnd w:id="764"/>
      <w:r>
        <w:rPr>
          <w:rFonts w:hint="eastAsia" w:ascii="宋体" w:hAnsi="宋体"/>
          <w:kern w:val="0"/>
          <w:sz w:val="24"/>
        </w:rPr>
        <w:t>安全生产合同</w:t>
      </w:r>
    </w:p>
    <w:p w14:paraId="2B1AB795">
      <w:pPr>
        <w:adjustRightInd w:val="0"/>
        <w:snapToGrid w:val="0"/>
        <w:spacing w:line="360" w:lineRule="auto"/>
        <w:jc w:val="center"/>
        <w:rPr>
          <w:rFonts w:ascii="宋体" w:hAnsi="宋体"/>
          <w:b/>
          <w:kern w:val="0"/>
          <w:sz w:val="32"/>
        </w:rPr>
      </w:pPr>
      <w:bookmarkStart w:id="765" w:name="_Toc10868_WPSOffice_Level1"/>
      <w:r>
        <w:rPr>
          <w:rFonts w:hint="eastAsia" w:ascii="宋体" w:hAnsi="宋体"/>
          <w:b/>
          <w:kern w:val="0"/>
          <w:sz w:val="32"/>
        </w:rPr>
        <w:t>安全生产合同</w:t>
      </w:r>
      <w:bookmarkEnd w:id="765"/>
    </w:p>
    <w:p w14:paraId="04503AA4">
      <w:pPr>
        <w:adjustRightInd w:val="0"/>
        <w:snapToGrid w:val="0"/>
        <w:spacing w:line="360" w:lineRule="auto"/>
        <w:rPr>
          <w:rFonts w:ascii="宋体" w:hAnsi="宋体"/>
          <w:b/>
          <w:kern w:val="0"/>
          <w:sz w:val="24"/>
        </w:rPr>
      </w:pPr>
    </w:p>
    <w:p w14:paraId="6633A24C">
      <w:pPr>
        <w:adjustRightInd w:val="0"/>
        <w:snapToGrid w:val="0"/>
        <w:spacing w:line="360" w:lineRule="auto"/>
        <w:ind w:right="11"/>
        <w:rPr>
          <w:rFonts w:ascii="宋体" w:hAnsi="宋体"/>
          <w:b/>
          <w:kern w:val="0"/>
          <w:sz w:val="24"/>
        </w:rPr>
      </w:pPr>
      <w:r>
        <w:rPr>
          <w:rFonts w:hint="eastAsia" w:ascii="宋体" w:hAnsi="宋体" w:cs="宋体"/>
          <w:b/>
          <w:snapToGrid w:val="0"/>
          <w:kern w:val="0"/>
          <w:sz w:val="24"/>
          <w:lang w:val="zh-CN"/>
        </w:rPr>
        <w:t>甲方（</w:t>
      </w:r>
      <w:r>
        <w:rPr>
          <w:rFonts w:hint="eastAsia" w:ascii="宋体" w:hAnsi="宋体"/>
          <w:b/>
          <w:kern w:val="0"/>
          <w:sz w:val="24"/>
        </w:rPr>
        <w:t>发包人）</w:t>
      </w:r>
      <w:r>
        <w:rPr>
          <w:rFonts w:hint="eastAsia" w:ascii="宋体" w:hAnsi="宋体" w:cs="宋体"/>
          <w:b/>
          <w:snapToGrid w:val="0"/>
          <w:kern w:val="0"/>
          <w:sz w:val="24"/>
        </w:rPr>
        <w:t>：广州</w:t>
      </w:r>
      <w:r>
        <w:rPr>
          <w:rFonts w:hint="eastAsia" w:ascii="宋体" w:hAnsi="宋体" w:cs="宋体"/>
          <w:b/>
          <w:snapToGrid w:val="0"/>
          <w:kern w:val="0"/>
          <w:sz w:val="24"/>
          <w:lang w:val="en-US" w:eastAsia="zh-CN"/>
        </w:rPr>
        <w:t>尚龙</w:t>
      </w:r>
      <w:r>
        <w:rPr>
          <w:rFonts w:hint="eastAsia" w:ascii="宋体" w:hAnsi="宋体" w:cs="宋体"/>
          <w:b/>
          <w:snapToGrid w:val="0"/>
          <w:kern w:val="0"/>
          <w:sz w:val="24"/>
        </w:rPr>
        <w:t>置业有限公司</w:t>
      </w:r>
    </w:p>
    <w:p w14:paraId="65E68D47">
      <w:pPr>
        <w:tabs>
          <w:tab w:val="left" w:pos="632"/>
          <w:tab w:val="left" w:pos="9240"/>
        </w:tabs>
        <w:adjustRightInd w:val="0"/>
        <w:snapToGrid w:val="0"/>
        <w:spacing w:line="341" w:lineRule="auto"/>
        <w:ind w:right="-31" w:rightChars="-15"/>
        <w:rPr>
          <w:rFonts w:hint="eastAsia" w:ascii="宋体" w:hAnsi="宋体" w:eastAsia="宋体" w:cs="宋体"/>
          <w:b/>
          <w:snapToGrid w:val="0"/>
          <w:kern w:val="0"/>
          <w:sz w:val="24"/>
          <w:lang w:eastAsia="zh-CN"/>
        </w:rPr>
      </w:pPr>
      <w:r>
        <w:rPr>
          <w:rFonts w:hint="eastAsia" w:ascii="宋体" w:hAnsi="宋体" w:cs="宋体"/>
          <w:b/>
          <w:snapToGrid w:val="0"/>
          <w:kern w:val="0"/>
          <w:sz w:val="24"/>
          <w:lang w:val="zh-CN"/>
        </w:rPr>
        <w:t>乙方</w:t>
      </w:r>
      <w:r>
        <w:rPr>
          <w:rFonts w:hint="eastAsia" w:ascii="宋体" w:hAnsi="宋体" w:cs="宋体"/>
          <w:b/>
          <w:snapToGrid w:val="0"/>
          <w:kern w:val="0"/>
          <w:sz w:val="24"/>
        </w:rPr>
        <w:t>（</w:t>
      </w:r>
      <w:r>
        <w:rPr>
          <w:rFonts w:hint="eastAsia" w:ascii="宋体" w:hAnsi="宋体"/>
          <w:b/>
          <w:kern w:val="0"/>
          <w:sz w:val="24"/>
        </w:rPr>
        <w:t>承包人）</w:t>
      </w:r>
      <w:r>
        <w:rPr>
          <w:rFonts w:hint="eastAsia" w:ascii="宋体" w:hAnsi="宋体" w:cs="宋体"/>
          <w:b/>
          <w:snapToGrid w:val="0"/>
          <w:kern w:val="0"/>
          <w:sz w:val="24"/>
        </w:rPr>
        <w:t xml:space="preserve">：(主)  </w:t>
      </w:r>
      <w:r>
        <w:rPr>
          <w:rFonts w:hint="eastAsia" w:ascii="宋体" w:hAnsi="宋体" w:cs="宋体"/>
          <w:b/>
          <w:snapToGrid w:val="0"/>
          <w:kern w:val="0"/>
          <w:sz w:val="24"/>
          <w:lang w:val="en-US" w:eastAsia="zh-CN"/>
        </w:rPr>
        <w:t xml:space="preserve"> </w:t>
      </w:r>
    </w:p>
    <w:p w14:paraId="1BA6D16D">
      <w:pPr>
        <w:tabs>
          <w:tab w:val="left" w:pos="632"/>
          <w:tab w:val="left" w:pos="9240"/>
        </w:tabs>
        <w:adjustRightInd w:val="0"/>
        <w:snapToGrid w:val="0"/>
        <w:spacing w:line="341" w:lineRule="auto"/>
        <w:ind w:right="-31" w:rightChars="-15" w:firstLine="1687" w:firstLineChars="700"/>
        <w:rPr>
          <w:rFonts w:hint="eastAsia" w:ascii="宋体" w:hAnsi="宋体" w:eastAsia="宋体"/>
          <w:b/>
          <w:kern w:val="0"/>
          <w:sz w:val="24"/>
          <w:lang w:eastAsia="zh-CN"/>
        </w:rPr>
      </w:pPr>
      <w:r>
        <w:rPr>
          <w:rFonts w:hint="eastAsia" w:ascii="宋体" w:hAnsi="宋体" w:cs="宋体"/>
          <w:b/>
          <w:snapToGrid w:val="0"/>
          <w:kern w:val="0"/>
          <w:sz w:val="24"/>
        </w:rPr>
        <w:t>(成)</w:t>
      </w:r>
      <w:r>
        <w:rPr>
          <w:rFonts w:hint="eastAsia" w:ascii="宋体" w:hAnsi="宋体" w:cs="宋体"/>
          <w:b/>
          <w:snapToGrid w:val="0"/>
          <w:kern w:val="0"/>
          <w:sz w:val="24"/>
          <w:lang w:val="en-US" w:eastAsia="zh-CN"/>
        </w:rPr>
        <w:t xml:space="preserve"> </w:t>
      </w:r>
    </w:p>
    <w:p w14:paraId="202BCD0F">
      <w:pPr>
        <w:tabs>
          <w:tab w:val="left" w:pos="632"/>
          <w:tab w:val="left" w:pos="9240"/>
        </w:tabs>
        <w:adjustRightInd w:val="0"/>
        <w:snapToGrid w:val="0"/>
        <w:spacing w:line="341" w:lineRule="auto"/>
        <w:ind w:right="-31" w:rightChars="-15" w:firstLine="480" w:firstLineChars="200"/>
        <w:rPr>
          <w:rFonts w:ascii="宋体" w:hAnsi="宋体"/>
          <w:kern w:val="0"/>
          <w:sz w:val="24"/>
          <w:lang w:val="zh-CN"/>
        </w:rPr>
      </w:pPr>
      <w:r>
        <w:rPr>
          <w:rFonts w:hint="eastAsia" w:ascii="宋体" w:hAnsi="宋体"/>
          <w:kern w:val="0"/>
          <w:sz w:val="24"/>
          <w:lang w:val="zh-CN"/>
        </w:rPr>
        <w:t>为确保</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项目设计施工总承包</w:t>
      </w:r>
      <w:r>
        <w:rPr>
          <w:rFonts w:hint="eastAsia" w:ascii="宋体" w:hAnsi="宋体" w:cs="宋体"/>
          <w:snapToGrid w:val="0"/>
          <w:kern w:val="0"/>
          <w:sz w:val="24"/>
          <w:u w:val="single"/>
        </w:rPr>
        <w:t xml:space="preserve"> </w:t>
      </w:r>
      <w:r>
        <w:rPr>
          <w:rFonts w:hint="eastAsia" w:ascii="宋体" w:hAnsi="宋体" w:cs="宋体"/>
          <w:snapToGrid w:val="0"/>
          <w:kern w:val="0"/>
          <w:sz w:val="24"/>
        </w:rPr>
        <w:t>工程</w:t>
      </w:r>
      <w:r>
        <w:rPr>
          <w:rFonts w:hint="eastAsia" w:ascii="宋体" w:hAnsi="宋体"/>
          <w:kern w:val="0"/>
          <w:sz w:val="24"/>
          <w:lang w:val="zh-CN"/>
        </w:rPr>
        <w:t>实施过程中的安全，发包人</w:t>
      </w:r>
      <w:r>
        <w:rPr>
          <w:rFonts w:hint="eastAsia" w:ascii="宋体" w:hAnsi="宋体" w:cs="宋体"/>
          <w:b/>
          <w:snapToGrid w:val="0"/>
          <w:kern w:val="0"/>
          <w:sz w:val="24"/>
        </w:rPr>
        <w:t>广州</w:t>
      </w:r>
      <w:r>
        <w:rPr>
          <w:rFonts w:hint="eastAsia" w:ascii="宋体" w:hAnsi="宋体" w:cs="宋体"/>
          <w:b/>
          <w:snapToGrid w:val="0"/>
          <w:kern w:val="0"/>
          <w:sz w:val="24"/>
          <w:lang w:val="en-US" w:eastAsia="zh-CN"/>
        </w:rPr>
        <w:t>尚龙</w:t>
      </w:r>
      <w:r>
        <w:rPr>
          <w:rFonts w:hint="eastAsia" w:ascii="宋体" w:hAnsi="宋体" w:cs="宋体"/>
          <w:b/>
          <w:snapToGrid w:val="0"/>
          <w:kern w:val="0"/>
          <w:sz w:val="24"/>
        </w:rPr>
        <w:t>置业有限公司</w:t>
      </w:r>
      <w:r>
        <w:rPr>
          <w:rFonts w:hint="eastAsia" w:ascii="宋体" w:hAnsi="宋体" w:cs="宋体"/>
          <w:snapToGrid w:val="0"/>
          <w:kern w:val="0"/>
          <w:sz w:val="24"/>
          <w:lang w:val="zh-CN"/>
        </w:rPr>
        <w:t>（</w:t>
      </w:r>
      <w:r>
        <w:rPr>
          <w:rFonts w:hint="eastAsia" w:ascii="宋体" w:hAnsi="宋体" w:cs="宋体"/>
          <w:snapToGrid w:val="0"/>
          <w:kern w:val="0"/>
          <w:sz w:val="24"/>
        </w:rPr>
        <w:t xml:space="preserve"> </w:t>
      </w:r>
      <w:r>
        <w:rPr>
          <w:rFonts w:hint="eastAsia" w:ascii="宋体" w:hAnsi="宋体"/>
          <w:kern w:val="0"/>
          <w:sz w:val="24"/>
          <w:lang w:val="zh-CN"/>
        </w:rPr>
        <w:t>以下称甲方）与承包人</w:t>
      </w:r>
      <w:r>
        <w:rPr>
          <w:rFonts w:hint="eastAsia" w:ascii="宋体" w:hAnsi="宋体" w:cs="宋体"/>
          <w:snapToGrid w:val="0"/>
          <w:kern w:val="0"/>
          <w:sz w:val="24"/>
          <w:u w:val="single"/>
        </w:rPr>
        <w:t xml:space="preserve"> </w:t>
      </w:r>
      <w:r>
        <w:rPr>
          <w:rFonts w:hint="eastAsia" w:ascii="宋体" w:hAnsi="宋体" w:cs="宋体"/>
          <w:b/>
          <w:snapToGrid w:val="0"/>
          <w:kern w:val="0"/>
          <w:sz w:val="24"/>
        </w:rPr>
        <w:t xml:space="preserve">(主) </w:t>
      </w:r>
      <w:r>
        <w:rPr>
          <w:rFonts w:hint="eastAsia" w:ascii="宋体" w:hAnsi="宋体" w:cs="宋体"/>
          <w:b/>
          <w:snapToGrid w:val="0"/>
          <w:kern w:val="0"/>
          <w:sz w:val="24"/>
          <w:lang w:val="en-US" w:eastAsia="zh-CN"/>
        </w:rPr>
        <w:t xml:space="preserve">        </w:t>
      </w:r>
      <w:r>
        <w:rPr>
          <w:rFonts w:hint="eastAsia" w:ascii="宋体" w:hAnsi="宋体" w:cs="宋体"/>
          <w:b/>
          <w:snapToGrid w:val="0"/>
          <w:kern w:val="0"/>
          <w:sz w:val="24"/>
        </w:rPr>
        <w:t>(成)</w:t>
      </w:r>
      <w:r>
        <w:rPr>
          <w:rFonts w:hint="eastAsia" w:ascii="宋体" w:hAnsi="宋体" w:cs="宋体"/>
          <w:b/>
          <w:snapToGrid w:val="0"/>
          <w:kern w:val="0"/>
          <w:sz w:val="24"/>
          <w:lang w:val="en-US" w:eastAsia="zh-CN"/>
        </w:rPr>
        <w:t xml:space="preserve">     </w:t>
      </w:r>
      <w:r>
        <w:rPr>
          <w:rFonts w:hint="eastAsia" w:ascii="宋体" w:hAnsi="宋体" w:cs="宋体"/>
          <w:snapToGrid w:val="0"/>
          <w:kern w:val="0"/>
          <w:sz w:val="24"/>
          <w:u w:val="single"/>
        </w:rPr>
        <w:t xml:space="preserve">   </w:t>
      </w:r>
      <w:r>
        <w:rPr>
          <w:rFonts w:hint="eastAsia" w:ascii="宋体" w:hAnsi="宋体"/>
          <w:kern w:val="0"/>
          <w:sz w:val="24"/>
          <w:lang w:val="zh-CN"/>
        </w:rPr>
        <w:t>（以下称乙方），特签订本安全生产合同，明确双方职责。</w:t>
      </w:r>
    </w:p>
    <w:p w14:paraId="0E354A77">
      <w:pPr>
        <w:tabs>
          <w:tab w:val="left" w:pos="480"/>
        </w:tabs>
        <w:autoSpaceDE w:val="0"/>
        <w:autoSpaceDN w:val="0"/>
        <w:adjustRightInd w:val="0"/>
        <w:snapToGrid w:val="0"/>
        <w:spacing w:line="360" w:lineRule="auto"/>
        <w:ind w:left="461"/>
        <w:rPr>
          <w:rFonts w:ascii="宋体" w:hAnsi="宋体"/>
          <w:b/>
          <w:kern w:val="0"/>
          <w:sz w:val="24"/>
          <w:lang w:val="zh-CN"/>
        </w:rPr>
      </w:pPr>
      <w:bookmarkStart w:id="766" w:name="_Toc15758_WPSOffice_Level1"/>
      <w:r>
        <w:rPr>
          <w:rFonts w:hint="eastAsia" w:ascii="宋体" w:hAnsi="宋体"/>
          <w:b/>
          <w:kern w:val="0"/>
          <w:sz w:val="24"/>
          <w:lang w:val="zh-CN"/>
        </w:rPr>
        <w:t>一、甲方职责</w:t>
      </w:r>
      <w:bookmarkEnd w:id="766"/>
    </w:p>
    <w:p w14:paraId="11132F20">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（一）认真履行《建设工程安全生产管理条例》规定的安全责任及执行工程承包合同中的有关安全条款。</w:t>
      </w:r>
    </w:p>
    <w:p w14:paraId="0FC526B8">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（二）重要的安全设施必须坚持与主体工程“三同时”的原则，即：同时设计、审批；同时施工；同时验收，投入使用。</w:t>
      </w:r>
    </w:p>
    <w:p w14:paraId="5DE73EEF">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（三）定期召开安全生产会议，指出施工现场存在的安全隐患，及时传达上级关于安全文明施工的要求。</w:t>
      </w:r>
    </w:p>
    <w:p w14:paraId="694ACB37">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（四）组织对乙方施工现场安全生产检查，监督乙方及时排除各种安全隐患。</w:t>
      </w:r>
    </w:p>
    <w:p w14:paraId="16BA79DD">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（五）依据甲方制定的</w:t>
      </w:r>
      <w:r>
        <w:rPr>
          <w:rFonts w:hint="eastAsia" w:ascii="宋体" w:hAnsi="宋体"/>
          <w:kern w:val="0"/>
          <w:sz w:val="24"/>
        </w:rPr>
        <w:t>《广州市重点公共建设项目管理办公室建设项目环境管理规定》（试行）、《广州市重点公共建设项目管理办公室建设项目职业健康安全管理规定》（试行）</w:t>
      </w:r>
      <w:r>
        <w:rPr>
          <w:rFonts w:hint="eastAsia" w:ascii="宋体" w:hAnsi="宋体"/>
          <w:kern w:val="0"/>
          <w:sz w:val="24"/>
          <w:lang w:val="zh-CN"/>
        </w:rPr>
        <w:t>进行工程项目管理。</w:t>
      </w:r>
    </w:p>
    <w:p w14:paraId="21B139A8">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（六）协助与促进乙方创建“广州市安全文明施工样板工地”。</w:t>
      </w:r>
    </w:p>
    <w:p w14:paraId="791020B5">
      <w:pPr>
        <w:autoSpaceDE w:val="0"/>
        <w:autoSpaceDN w:val="0"/>
        <w:adjustRightInd w:val="0"/>
        <w:snapToGrid w:val="0"/>
        <w:spacing w:line="360" w:lineRule="auto"/>
        <w:ind w:firstLine="482" w:firstLineChars="200"/>
        <w:rPr>
          <w:rFonts w:ascii="宋体" w:hAnsi="宋体"/>
          <w:b/>
          <w:kern w:val="0"/>
          <w:sz w:val="24"/>
          <w:lang w:val="zh-CN"/>
        </w:rPr>
      </w:pPr>
      <w:bookmarkStart w:id="767" w:name="_Toc283_WPSOffice_Level1"/>
      <w:r>
        <w:rPr>
          <w:rFonts w:hint="eastAsia" w:ascii="宋体" w:hAnsi="宋体"/>
          <w:b/>
          <w:kern w:val="0"/>
          <w:sz w:val="24"/>
          <w:lang w:val="zh-CN"/>
        </w:rPr>
        <w:t>二、乙方职责</w:t>
      </w:r>
      <w:bookmarkEnd w:id="767"/>
    </w:p>
    <w:p w14:paraId="0C803FB8">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（一）认真履行《建设工程安全生产管理条例》规定的安全责任及执行工程承包合同中的有关安全条款。</w:t>
      </w:r>
    </w:p>
    <w:p w14:paraId="3BB1BAF8">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（二）坚持</w:t>
      </w:r>
      <w:r>
        <w:rPr>
          <w:rFonts w:hint="eastAsia" w:ascii="宋体" w:hAnsi="宋体"/>
          <w:kern w:val="0"/>
          <w:sz w:val="24"/>
        </w:rPr>
        <w:t>“</w:t>
      </w:r>
      <w:r>
        <w:rPr>
          <w:rFonts w:hint="eastAsia" w:ascii="宋体" w:hAnsi="宋体"/>
          <w:kern w:val="0"/>
          <w:sz w:val="24"/>
          <w:lang w:val="zh-CN"/>
        </w:rPr>
        <w:t>安全</w:t>
      </w:r>
      <w:r>
        <w:rPr>
          <w:rFonts w:hint="eastAsia" w:ascii="宋体" w:hAnsi="宋体"/>
          <w:kern w:val="0"/>
          <w:sz w:val="24"/>
        </w:rPr>
        <w:t>第一</w:t>
      </w:r>
      <w:r>
        <w:rPr>
          <w:rFonts w:hint="eastAsia" w:ascii="宋体" w:hAnsi="宋体"/>
          <w:kern w:val="0"/>
          <w:sz w:val="24"/>
          <w:lang w:val="zh-CN"/>
        </w:rPr>
        <w:t>、预防为主</w:t>
      </w:r>
      <w:r>
        <w:rPr>
          <w:rFonts w:hint="eastAsia" w:ascii="宋体" w:hAnsi="宋体"/>
          <w:kern w:val="0"/>
          <w:sz w:val="24"/>
        </w:rPr>
        <w:t>”</w:t>
      </w:r>
      <w:r>
        <w:rPr>
          <w:rFonts w:hint="eastAsia" w:ascii="宋体" w:hAnsi="宋体"/>
          <w:kern w:val="0"/>
          <w:sz w:val="24"/>
          <w:lang w:val="zh-CN"/>
        </w:rPr>
        <w:t>和</w:t>
      </w:r>
      <w:r>
        <w:rPr>
          <w:rFonts w:hint="eastAsia" w:ascii="宋体" w:hAnsi="宋体"/>
          <w:kern w:val="0"/>
          <w:sz w:val="24"/>
        </w:rPr>
        <w:t>“</w:t>
      </w:r>
      <w:r>
        <w:rPr>
          <w:rFonts w:hint="eastAsia" w:ascii="宋体" w:hAnsi="宋体"/>
          <w:kern w:val="0"/>
          <w:sz w:val="24"/>
          <w:lang w:val="zh-CN"/>
        </w:rPr>
        <w:t>管生产必须管安全</w:t>
      </w:r>
      <w:r>
        <w:rPr>
          <w:rFonts w:hint="eastAsia" w:ascii="宋体" w:hAnsi="宋体"/>
          <w:kern w:val="0"/>
          <w:sz w:val="24"/>
        </w:rPr>
        <w:t>”</w:t>
      </w:r>
      <w:r>
        <w:rPr>
          <w:rFonts w:hint="eastAsia" w:ascii="宋体" w:hAnsi="宋体"/>
          <w:kern w:val="0"/>
          <w:sz w:val="24"/>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14:paraId="385AD1A1">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（三）建立</w:t>
      </w:r>
      <w:r>
        <w:rPr>
          <w:rFonts w:hint="eastAsia" w:ascii="宋体" w:hAnsi="宋体"/>
          <w:kern w:val="0"/>
          <w:sz w:val="24"/>
        </w:rPr>
        <w:t>安全生产</w:t>
      </w:r>
      <w:r>
        <w:rPr>
          <w:rFonts w:hint="eastAsia" w:ascii="宋体" w:hAnsi="宋体"/>
          <w:kern w:val="0"/>
          <w:sz w:val="24"/>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14:paraId="4A43AC93">
      <w:pPr>
        <w:autoSpaceDE w:val="0"/>
        <w:autoSpaceDN w:val="0"/>
        <w:adjustRightInd w:val="0"/>
        <w:snapToGrid w:val="0"/>
        <w:spacing w:line="360" w:lineRule="auto"/>
        <w:ind w:firstLine="480" w:firstLineChars="200"/>
        <w:rPr>
          <w:rFonts w:ascii="宋体" w:hAnsi="宋体"/>
          <w:kern w:val="0"/>
          <w:sz w:val="24"/>
        </w:rPr>
      </w:pPr>
      <w:r>
        <w:rPr>
          <w:rFonts w:hint="eastAsia" w:ascii="宋体" w:hAnsi="宋体"/>
          <w:kern w:val="0"/>
          <w:sz w:val="24"/>
          <w:lang w:val="zh-CN"/>
        </w:rPr>
        <w:t>（四）</w:t>
      </w:r>
      <w:r>
        <w:rPr>
          <w:rFonts w:hint="eastAsia" w:ascii="宋体" w:hAnsi="宋体"/>
          <w:kern w:val="0"/>
          <w:sz w:val="24"/>
        </w:rPr>
        <w:t>有责任采取各种合理的预防措施，防止其员工发生各种违法、违禁、暴力或妨碍治安的行为。</w:t>
      </w:r>
    </w:p>
    <w:p w14:paraId="017398CF">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rPr>
        <w:t>（五）参加施工的人员，必须接受安全技术教育，熟知和遵守所在岗位（工种）的各项安全技术操作规程，定期进行安全技术考核。对于从事电气、</w:t>
      </w:r>
      <w:r>
        <w:rPr>
          <w:rFonts w:hint="eastAsia" w:ascii="宋体" w:hAnsi="宋体"/>
          <w:kern w:val="0"/>
          <w:sz w:val="24"/>
          <w:lang w:val="zh-CN"/>
        </w:rPr>
        <w:t>起重、登高作业、焊接等特殊工种的人员，须经过专业培训，获得《安全操作合格证》后，方准上岗。施工现场如出现特种行业无证上岗时，项目经理必须承担责任。</w:t>
      </w:r>
    </w:p>
    <w:p w14:paraId="5FD61C81">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（六）对于</w:t>
      </w:r>
      <w:r>
        <w:rPr>
          <w:rFonts w:hint="eastAsia" w:ascii="宋体" w:hAnsi="宋体"/>
          <w:kern w:val="0"/>
          <w:sz w:val="24"/>
        </w:rPr>
        <w:t>易燃易爆</w:t>
      </w:r>
      <w:r>
        <w:rPr>
          <w:rFonts w:hint="eastAsia" w:ascii="宋体" w:hAnsi="宋体"/>
          <w:kern w:val="0"/>
          <w:sz w:val="24"/>
          <w:lang w:val="zh-CN"/>
        </w:rPr>
        <w:t>的材料除应专门妥善保管之外，还应配备足够的消防设施，所有施工人员都应熟悉消防设备的性能和使用方法；乙方不能将任何种类的爆炸物给予、易货或以其他方式转让给任何其他人，或允许、容忍上述同样行为。</w:t>
      </w:r>
    </w:p>
    <w:p w14:paraId="334C63A5">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（七）</w:t>
      </w:r>
      <w:r>
        <w:rPr>
          <w:rFonts w:hint="eastAsia" w:ascii="宋体" w:hAnsi="宋体"/>
          <w:kern w:val="0"/>
          <w:sz w:val="24"/>
        </w:rPr>
        <w:t>操作</w:t>
      </w:r>
      <w:r>
        <w:rPr>
          <w:rFonts w:hint="eastAsia" w:ascii="宋体" w:hAnsi="宋体"/>
          <w:kern w:val="0"/>
          <w:sz w:val="24"/>
          <w:lang w:val="zh-CN"/>
        </w:rPr>
        <w:t>人员上岗，必须按规定穿戴安全帽等防护用品。项目经理和专职安全员应随时检查劳动防护用品的穿戴情况，不按规定穿戴防护用品的人员不得上岗。</w:t>
      </w:r>
    </w:p>
    <w:p w14:paraId="7CF804BA">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（八）所有施工</w:t>
      </w:r>
      <w:r>
        <w:rPr>
          <w:rFonts w:hint="eastAsia" w:ascii="宋体" w:hAnsi="宋体"/>
          <w:kern w:val="0"/>
          <w:sz w:val="24"/>
        </w:rPr>
        <w:t>机具</w:t>
      </w:r>
      <w:r>
        <w:rPr>
          <w:rFonts w:hint="eastAsia" w:ascii="宋体" w:hAnsi="宋体"/>
          <w:kern w:val="0"/>
          <w:sz w:val="24"/>
          <w:lang w:val="zh-CN"/>
        </w:rPr>
        <w:t>设备和高处作业的设备均应定期检查，并有安全员的签名记录，保证其经常处于完好状态，不合格的机具、设备和劳动保护用品严禁使用。</w:t>
      </w:r>
    </w:p>
    <w:p w14:paraId="0457CCC0">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（九）施工中采用新技术、新工艺、新设备、新材料，必须制定相应的安全技术措施。施工现场必须按规定有针对性地悬挂安全标志牌。</w:t>
      </w:r>
    </w:p>
    <w:p w14:paraId="16040044">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（十）乙方</w:t>
      </w:r>
      <w:r>
        <w:rPr>
          <w:rFonts w:hint="eastAsia" w:ascii="宋体" w:hAnsi="宋体"/>
          <w:kern w:val="0"/>
          <w:sz w:val="24"/>
        </w:rPr>
        <w:t>必须</w:t>
      </w:r>
      <w:r>
        <w:rPr>
          <w:rFonts w:hint="eastAsia" w:ascii="宋体" w:hAnsi="宋体"/>
          <w:kern w:val="0"/>
          <w:sz w:val="24"/>
          <w:lang w:val="zh-CN"/>
        </w:rPr>
        <w:t>按照本工程项目特点，制定安全事故应急救援预案；如果发生安全事故，应按照《建设工程安全管理条例》的有关规定上报有关部门，并按照</w:t>
      </w:r>
      <w:r>
        <w:rPr>
          <w:rFonts w:hint="eastAsia" w:ascii="宋体" w:hAnsi="宋体"/>
          <w:kern w:val="0"/>
          <w:sz w:val="24"/>
        </w:rPr>
        <w:t>“</w:t>
      </w:r>
      <w:r>
        <w:rPr>
          <w:rFonts w:hint="eastAsia" w:ascii="宋体" w:hAnsi="宋体"/>
          <w:kern w:val="0"/>
          <w:sz w:val="24"/>
          <w:lang w:val="zh-CN"/>
        </w:rPr>
        <w:t>四不放过</w:t>
      </w:r>
      <w:r>
        <w:rPr>
          <w:rFonts w:hint="eastAsia" w:ascii="宋体" w:hAnsi="宋体"/>
          <w:kern w:val="0"/>
          <w:sz w:val="24"/>
        </w:rPr>
        <w:t>”</w:t>
      </w:r>
      <w:r>
        <w:rPr>
          <w:rFonts w:hint="eastAsia" w:ascii="宋体" w:hAnsi="宋体"/>
          <w:kern w:val="0"/>
          <w:sz w:val="24"/>
          <w:lang w:val="zh-CN"/>
        </w:rPr>
        <w:t>的原则调查处理。</w:t>
      </w:r>
    </w:p>
    <w:p w14:paraId="5829863F">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（十一）遵守</w:t>
      </w:r>
      <w:r>
        <w:rPr>
          <w:rFonts w:hint="eastAsia" w:ascii="宋体" w:hAnsi="宋体"/>
          <w:kern w:val="0"/>
          <w:sz w:val="24"/>
        </w:rPr>
        <w:t>《广州市重点公共建设项目管理办公室建设项目环境管理规定》（试行）、《广州市重点公共建设项目管理办公室建设项目职业健康安全管理规定》（试行）</w:t>
      </w:r>
      <w:r>
        <w:rPr>
          <w:rFonts w:hint="eastAsia" w:ascii="宋体" w:hAnsi="宋体"/>
          <w:kern w:val="0"/>
          <w:sz w:val="24"/>
          <w:lang w:val="zh-CN"/>
        </w:rPr>
        <w:t>等安全生产管理制度。</w:t>
      </w:r>
    </w:p>
    <w:p w14:paraId="2DBBB2F2">
      <w:pPr>
        <w:autoSpaceDE w:val="0"/>
        <w:autoSpaceDN w:val="0"/>
        <w:adjustRightInd w:val="0"/>
        <w:snapToGrid w:val="0"/>
        <w:spacing w:line="360" w:lineRule="auto"/>
        <w:ind w:firstLine="482" w:firstLineChars="200"/>
        <w:rPr>
          <w:rFonts w:ascii="宋体" w:hAnsi="宋体"/>
          <w:b/>
          <w:kern w:val="0"/>
          <w:sz w:val="24"/>
          <w:lang w:val="zh-CN"/>
        </w:rPr>
      </w:pPr>
      <w:bookmarkStart w:id="768" w:name="_Toc25618_WPSOffice_Level1"/>
      <w:r>
        <w:rPr>
          <w:rFonts w:hint="eastAsia" w:ascii="宋体" w:hAnsi="宋体"/>
          <w:b/>
          <w:kern w:val="0"/>
          <w:sz w:val="24"/>
          <w:lang w:val="zh-CN"/>
        </w:rPr>
        <w:t>三、违约责任</w:t>
      </w:r>
      <w:bookmarkEnd w:id="768"/>
    </w:p>
    <w:p w14:paraId="313DE6D5">
      <w:pPr>
        <w:autoSpaceDE w:val="0"/>
        <w:autoSpaceDN w:val="0"/>
        <w:adjustRightInd w:val="0"/>
        <w:snapToGrid w:val="0"/>
        <w:spacing w:line="360" w:lineRule="auto"/>
        <w:ind w:firstLine="480" w:firstLineChars="200"/>
        <w:rPr>
          <w:rFonts w:ascii="宋体" w:hAnsi="宋体"/>
          <w:kern w:val="0"/>
          <w:sz w:val="24"/>
          <w:lang w:val="zh-CN"/>
        </w:rPr>
      </w:pPr>
      <w:r>
        <w:rPr>
          <w:rFonts w:hint="eastAsia" w:ascii="宋体" w:hAnsi="宋体"/>
          <w:kern w:val="0"/>
          <w:sz w:val="24"/>
          <w:lang w:val="zh-CN"/>
        </w:rPr>
        <w:t>如因甲方或乙方失职或违约，将依据《建设工程安全管理条例》、总承包合同及有关规定追究责任。</w:t>
      </w:r>
    </w:p>
    <w:p w14:paraId="69C11ED2">
      <w:pPr>
        <w:adjustRightInd w:val="0"/>
        <w:snapToGrid w:val="0"/>
        <w:spacing w:line="360" w:lineRule="auto"/>
        <w:ind w:firstLine="480" w:firstLineChars="200"/>
        <w:rPr>
          <w:rFonts w:ascii="宋体" w:hAnsi="宋体"/>
          <w:kern w:val="0"/>
          <w:sz w:val="24"/>
        </w:rPr>
      </w:pPr>
      <w:r>
        <w:rPr>
          <w:rFonts w:hint="eastAsia" w:ascii="宋体" w:hAnsi="宋体"/>
          <w:kern w:val="0"/>
          <w:sz w:val="24"/>
          <w:lang w:val="zh-CN"/>
        </w:rPr>
        <w:t>本安全生产合同由双方</w:t>
      </w:r>
      <w:r>
        <w:rPr>
          <w:rFonts w:hint="eastAsia" w:ascii="宋体" w:hAnsi="宋体"/>
          <w:kern w:val="0"/>
          <w:sz w:val="24"/>
        </w:rPr>
        <w:t>法定代表人（或委托代理人）签字或加盖公章</w:t>
      </w:r>
      <w:r>
        <w:rPr>
          <w:rFonts w:hint="eastAsia" w:ascii="宋体" w:hAnsi="宋体"/>
          <w:kern w:val="0"/>
          <w:sz w:val="24"/>
          <w:lang w:val="zh-CN"/>
        </w:rPr>
        <w:t>后生效。工程竣工验收后失效。</w:t>
      </w:r>
    </w:p>
    <w:p w14:paraId="48B7522D">
      <w:pPr>
        <w:adjustRightInd w:val="0"/>
        <w:snapToGrid w:val="0"/>
        <w:spacing w:line="400" w:lineRule="exact"/>
        <w:ind w:right="11"/>
        <w:rPr>
          <w:rFonts w:ascii="宋体" w:hAnsi="宋体"/>
          <w:kern w:val="0"/>
          <w:sz w:val="24"/>
        </w:rPr>
      </w:pPr>
      <w:r>
        <w:rPr>
          <w:rFonts w:hint="eastAsia" w:ascii="宋体" w:hAnsi="宋体"/>
          <w:kern w:val="0"/>
          <w:sz w:val="24"/>
        </w:rPr>
        <w:t>（本页以下无正文）</w:t>
      </w:r>
    </w:p>
    <w:p w14:paraId="19D74755">
      <w:pPr>
        <w:adjustRightInd w:val="0"/>
        <w:snapToGrid w:val="0"/>
        <w:spacing w:line="400" w:lineRule="exact"/>
        <w:ind w:right="11"/>
        <w:rPr>
          <w:rFonts w:ascii="宋体" w:hAnsi="宋体"/>
          <w:kern w:val="0"/>
          <w:sz w:val="24"/>
        </w:rPr>
      </w:pPr>
    </w:p>
    <w:p w14:paraId="2539A9D1">
      <w:pPr>
        <w:adjustRightInd w:val="0"/>
        <w:snapToGrid w:val="0"/>
        <w:spacing w:line="400" w:lineRule="exact"/>
        <w:ind w:right="11"/>
        <w:rPr>
          <w:rFonts w:hint="default" w:ascii="宋体" w:hAnsi="宋体" w:eastAsia="宋体"/>
          <w:spacing w:val="-20"/>
          <w:kern w:val="0"/>
          <w:sz w:val="24"/>
          <w:lang w:val="en-US" w:eastAsia="zh-CN"/>
        </w:rPr>
      </w:pPr>
      <w:r>
        <w:rPr>
          <w:rFonts w:hint="eastAsia" w:ascii="宋体" w:hAnsi="宋体"/>
          <w:kern w:val="0"/>
          <w:sz w:val="24"/>
        </w:rPr>
        <w:t>发包人：广州</w:t>
      </w:r>
      <w:r>
        <w:rPr>
          <w:rFonts w:hint="eastAsia" w:ascii="宋体" w:hAnsi="宋体"/>
          <w:kern w:val="0"/>
          <w:sz w:val="24"/>
          <w:lang w:val="en-US" w:eastAsia="zh-CN"/>
        </w:rPr>
        <w:t>尚龙</w:t>
      </w:r>
      <w:r>
        <w:rPr>
          <w:rFonts w:hint="eastAsia" w:ascii="宋体" w:hAnsi="宋体"/>
          <w:kern w:val="0"/>
          <w:sz w:val="24"/>
        </w:rPr>
        <w:t xml:space="preserve">置业有限公司 </w:t>
      </w:r>
      <w:r>
        <w:rPr>
          <w:rFonts w:hint="eastAsia" w:ascii="宋体" w:hAnsi="宋体"/>
          <w:spacing w:val="-20"/>
          <w:kern w:val="0"/>
          <w:sz w:val="24"/>
        </w:rPr>
        <w:t xml:space="preserve">           </w:t>
      </w:r>
      <w:r>
        <w:rPr>
          <w:rFonts w:hint="eastAsia" w:ascii="宋体" w:hAnsi="宋体"/>
          <w:kern w:val="0"/>
          <w:sz w:val="24"/>
        </w:rPr>
        <w:t>承包人：</w:t>
      </w:r>
      <w:r>
        <w:rPr>
          <w:rFonts w:hint="eastAsia" w:ascii="宋体" w:hAnsi="宋体" w:cs="宋体"/>
          <w:b/>
          <w:snapToGrid w:val="0"/>
          <w:kern w:val="0"/>
          <w:sz w:val="24"/>
        </w:rPr>
        <w:t>(主)</w:t>
      </w:r>
      <w:r>
        <w:rPr>
          <w:rFonts w:hint="eastAsia" w:ascii="宋体" w:hAnsi="宋体" w:cs="宋体"/>
          <w:bCs/>
          <w:snapToGrid w:val="0"/>
          <w:kern w:val="0"/>
          <w:sz w:val="24"/>
        </w:rPr>
        <w:t xml:space="preserve"> </w:t>
      </w:r>
      <w:r>
        <w:rPr>
          <w:rFonts w:hint="eastAsia" w:ascii="宋体" w:hAnsi="宋体" w:cs="宋体"/>
          <w:bCs/>
          <w:snapToGrid w:val="0"/>
          <w:kern w:val="0"/>
          <w:sz w:val="24"/>
          <w:lang w:val="en-US" w:eastAsia="zh-CN"/>
        </w:rPr>
        <w:t xml:space="preserve">    </w:t>
      </w:r>
    </w:p>
    <w:p w14:paraId="6FA7B56F">
      <w:pPr>
        <w:adjustRightInd w:val="0"/>
        <w:snapToGrid w:val="0"/>
        <w:spacing w:line="400" w:lineRule="exact"/>
        <w:ind w:right="11" w:firstLine="2280" w:firstLineChars="950"/>
        <w:rPr>
          <w:rFonts w:ascii="宋体" w:hAnsi="宋体"/>
          <w:kern w:val="0"/>
          <w:sz w:val="24"/>
        </w:rPr>
      </w:pPr>
      <w:r>
        <w:rPr>
          <w:rFonts w:hint="eastAsia" w:ascii="宋体" w:hAnsi="宋体"/>
          <w:kern w:val="0"/>
          <w:sz w:val="24"/>
        </w:rPr>
        <w:t xml:space="preserve">（盖章）                              </w:t>
      </w:r>
      <w:r>
        <w:rPr>
          <w:rFonts w:hint="eastAsia" w:ascii="宋体" w:hAnsi="宋体" w:cs="宋体"/>
          <w:snapToGrid w:val="0"/>
          <w:kern w:val="0"/>
          <w:sz w:val="24"/>
        </w:rPr>
        <w:t xml:space="preserve">  </w:t>
      </w:r>
      <w:r>
        <w:rPr>
          <w:rFonts w:hint="eastAsia" w:ascii="宋体" w:hAnsi="宋体"/>
          <w:kern w:val="0"/>
          <w:sz w:val="24"/>
        </w:rPr>
        <w:t>（盖章）</w:t>
      </w:r>
    </w:p>
    <w:p w14:paraId="682B23A0">
      <w:pPr>
        <w:adjustRightInd w:val="0"/>
        <w:snapToGrid w:val="0"/>
        <w:spacing w:line="400" w:lineRule="exact"/>
        <w:ind w:right="11"/>
        <w:rPr>
          <w:rFonts w:ascii="宋体" w:hAnsi="宋体"/>
          <w:kern w:val="0"/>
          <w:sz w:val="24"/>
        </w:rPr>
      </w:pPr>
      <w:r>
        <w:rPr>
          <w:rFonts w:hint="eastAsia" w:ascii="宋体" w:hAnsi="宋体"/>
          <w:kern w:val="0"/>
          <w:sz w:val="24"/>
        </w:rPr>
        <w:t>法定代表人：                        法定代表人：</w:t>
      </w:r>
    </w:p>
    <w:p w14:paraId="443B3038">
      <w:pPr>
        <w:tabs>
          <w:tab w:val="left" w:pos="5460"/>
        </w:tabs>
        <w:adjustRightInd w:val="0"/>
        <w:snapToGrid w:val="0"/>
        <w:spacing w:line="400" w:lineRule="exact"/>
        <w:ind w:left="-2" w:leftChars="-1" w:right="11"/>
        <w:rPr>
          <w:rFonts w:ascii="宋体" w:hAnsi="宋体"/>
          <w:kern w:val="0"/>
          <w:sz w:val="24"/>
        </w:rPr>
      </w:pPr>
    </w:p>
    <w:p w14:paraId="593D7157">
      <w:pPr>
        <w:tabs>
          <w:tab w:val="left" w:pos="5460"/>
        </w:tabs>
        <w:adjustRightInd w:val="0"/>
        <w:snapToGrid w:val="0"/>
        <w:spacing w:line="400" w:lineRule="exact"/>
        <w:ind w:left="-2" w:leftChars="-1" w:right="11"/>
        <w:rPr>
          <w:rFonts w:ascii="宋体" w:hAnsi="宋体"/>
          <w:kern w:val="0"/>
          <w:sz w:val="24"/>
        </w:rPr>
      </w:pPr>
      <w:r>
        <w:rPr>
          <w:rFonts w:hint="eastAsia" w:ascii="宋体" w:hAnsi="宋体"/>
          <w:kern w:val="0"/>
          <w:sz w:val="24"/>
        </w:rPr>
        <w:t>或委托代理人：                       或委托代理人：</w:t>
      </w:r>
    </w:p>
    <w:p w14:paraId="5B90AC9A">
      <w:pPr>
        <w:tabs>
          <w:tab w:val="left" w:pos="5460"/>
        </w:tabs>
        <w:adjustRightInd w:val="0"/>
        <w:snapToGrid w:val="0"/>
        <w:spacing w:line="400" w:lineRule="exact"/>
        <w:ind w:right="11"/>
        <w:rPr>
          <w:rFonts w:ascii="宋体" w:hAnsi="宋体" w:cs="宋体"/>
          <w:snapToGrid w:val="0"/>
          <w:kern w:val="0"/>
          <w:sz w:val="24"/>
        </w:rPr>
      </w:pPr>
    </w:p>
    <w:p w14:paraId="1290861F">
      <w:pPr>
        <w:tabs>
          <w:tab w:val="left" w:pos="5460"/>
        </w:tabs>
        <w:adjustRightInd w:val="0"/>
        <w:snapToGrid w:val="0"/>
        <w:spacing w:line="440" w:lineRule="exact"/>
        <w:ind w:right="11"/>
        <w:jc w:val="left"/>
        <w:rPr>
          <w:rFonts w:ascii="宋体" w:hAnsi="宋体" w:cs="宋体"/>
          <w:snapToGrid w:val="0"/>
          <w:kern w:val="0"/>
          <w:sz w:val="24"/>
        </w:rPr>
      </w:pPr>
    </w:p>
    <w:p w14:paraId="599DB962">
      <w:pPr>
        <w:tabs>
          <w:tab w:val="left" w:pos="5460"/>
        </w:tabs>
        <w:adjustRightInd w:val="0"/>
        <w:snapToGrid w:val="0"/>
        <w:spacing w:line="440" w:lineRule="exact"/>
        <w:ind w:right="11"/>
        <w:jc w:val="left"/>
        <w:rPr>
          <w:rFonts w:ascii="宋体" w:hAnsi="宋体" w:cs="宋体"/>
          <w:snapToGrid w:val="0"/>
          <w:kern w:val="0"/>
          <w:sz w:val="24"/>
          <w:szCs w:val="24"/>
        </w:rPr>
      </w:pPr>
    </w:p>
    <w:p w14:paraId="3957E102">
      <w:pPr>
        <w:tabs>
          <w:tab w:val="left" w:pos="5460"/>
        </w:tabs>
        <w:adjustRightInd w:val="0"/>
        <w:snapToGrid w:val="0"/>
        <w:spacing w:line="440" w:lineRule="exact"/>
        <w:ind w:right="11"/>
        <w:jc w:val="left"/>
        <w:rPr>
          <w:rFonts w:ascii="宋体" w:hAnsi="宋体" w:cs="宋体"/>
          <w:b/>
          <w:snapToGrid w:val="0"/>
          <w:kern w:val="0"/>
          <w:sz w:val="24"/>
          <w:szCs w:val="24"/>
        </w:rPr>
      </w:pPr>
      <w:r>
        <w:rPr>
          <w:rFonts w:hint="eastAsia" w:ascii="宋体" w:hAnsi="宋体" w:cs="宋体"/>
          <w:snapToGrid w:val="0"/>
          <w:kern w:val="0"/>
          <w:sz w:val="24"/>
          <w:szCs w:val="24"/>
        </w:rPr>
        <w:t>承包人：（成）</w:t>
      </w:r>
      <w:r>
        <w:rPr>
          <w:rFonts w:hint="eastAsia" w:ascii="宋体" w:hAnsi="宋体" w:cs="宋体"/>
          <w:b/>
          <w:snapToGrid w:val="0"/>
          <w:kern w:val="0"/>
          <w:sz w:val="24"/>
          <w:lang w:val="en-US" w:eastAsia="zh-CN"/>
        </w:rPr>
        <w:t xml:space="preserve"> </w:t>
      </w:r>
      <w:r>
        <w:rPr>
          <w:rFonts w:hint="eastAsia" w:ascii="宋体" w:hAnsi="宋体" w:cs="宋体"/>
          <w:b/>
          <w:snapToGrid w:val="0"/>
          <w:spacing w:val="-16"/>
          <w:kern w:val="0"/>
          <w:sz w:val="24"/>
          <w:szCs w:val="24"/>
        </w:rPr>
        <w:t xml:space="preserve">                           </w:t>
      </w:r>
      <w:r>
        <w:rPr>
          <w:rFonts w:hint="eastAsia" w:ascii="宋体" w:hAnsi="宋体" w:cs="宋体"/>
          <w:snapToGrid w:val="0"/>
          <w:kern w:val="0"/>
          <w:sz w:val="24"/>
          <w:szCs w:val="24"/>
        </w:rPr>
        <w:t xml:space="preserve">  </w:t>
      </w:r>
    </w:p>
    <w:p w14:paraId="135AED5C">
      <w:pPr>
        <w:tabs>
          <w:tab w:val="left" w:pos="5460"/>
        </w:tabs>
        <w:adjustRightInd w:val="0"/>
        <w:snapToGrid w:val="0"/>
        <w:spacing w:line="440" w:lineRule="exact"/>
        <w:ind w:right="11" w:firstLine="2520" w:firstLineChars="1050"/>
        <w:jc w:val="left"/>
        <w:rPr>
          <w:rFonts w:ascii="宋体" w:hAnsi="宋体" w:cs="宋体"/>
          <w:snapToGrid w:val="0"/>
          <w:kern w:val="0"/>
          <w:sz w:val="24"/>
        </w:rPr>
      </w:pPr>
      <w:r>
        <w:rPr>
          <w:rFonts w:hint="eastAsia" w:ascii="宋体" w:hAnsi="宋体" w:cs="宋体"/>
          <w:snapToGrid w:val="0"/>
          <w:kern w:val="0"/>
          <w:sz w:val="24"/>
        </w:rPr>
        <w:t xml:space="preserve">（盖章）                          </w:t>
      </w:r>
    </w:p>
    <w:p w14:paraId="2A90B5BA">
      <w:pPr>
        <w:tabs>
          <w:tab w:val="center" w:pos="4535"/>
        </w:tabs>
        <w:adjustRightInd w:val="0"/>
        <w:snapToGrid w:val="0"/>
        <w:spacing w:line="440" w:lineRule="exact"/>
        <w:ind w:right="11"/>
        <w:jc w:val="left"/>
        <w:rPr>
          <w:rFonts w:ascii="宋体" w:hAnsi="宋体" w:cs="宋体"/>
          <w:snapToGrid w:val="0"/>
          <w:kern w:val="0"/>
          <w:sz w:val="24"/>
        </w:rPr>
      </w:pPr>
      <w:r>
        <w:rPr>
          <w:rFonts w:hint="eastAsia" w:ascii="宋体" w:hAnsi="宋体" w:cs="宋体"/>
          <w:snapToGrid w:val="0"/>
          <w:kern w:val="0"/>
          <w:sz w:val="24"/>
        </w:rPr>
        <w:t>法定代表人：</w:t>
      </w:r>
      <w:r>
        <w:rPr>
          <w:rFonts w:hint="eastAsia" w:ascii="宋体" w:hAnsi="宋体" w:cs="宋体"/>
          <w:snapToGrid w:val="0"/>
          <w:kern w:val="0"/>
          <w:sz w:val="24"/>
        </w:rPr>
        <w:tab/>
      </w:r>
      <w:r>
        <w:rPr>
          <w:rFonts w:hint="eastAsia" w:ascii="宋体" w:hAnsi="宋体" w:cs="宋体"/>
          <w:snapToGrid w:val="0"/>
          <w:kern w:val="0"/>
          <w:sz w:val="24"/>
        </w:rPr>
        <w:t xml:space="preserve">        </w:t>
      </w:r>
    </w:p>
    <w:p w14:paraId="528743F8">
      <w:pPr>
        <w:tabs>
          <w:tab w:val="left" w:pos="5460"/>
        </w:tabs>
        <w:adjustRightInd w:val="0"/>
        <w:snapToGrid w:val="0"/>
        <w:spacing w:line="440" w:lineRule="exact"/>
        <w:ind w:left="-2" w:leftChars="-1" w:right="11" w:firstLine="4560" w:firstLineChars="1900"/>
        <w:jc w:val="left"/>
        <w:rPr>
          <w:rFonts w:ascii="宋体" w:hAnsi="宋体" w:cs="宋体"/>
          <w:snapToGrid w:val="0"/>
          <w:kern w:val="0"/>
          <w:sz w:val="24"/>
        </w:rPr>
      </w:pPr>
      <w:r>
        <w:rPr>
          <w:rFonts w:hint="eastAsia" w:ascii="宋体" w:hAnsi="宋体" w:cs="宋体"/>
          <w:snapToGrid w:val="0"/>
          <w:kern w:val="0"/>
          <w:sz w:val="24"/>
        </w:rPr>
        <w:t xml:space="preserve"> </w:t>
      </w:r>
    </w:p>
    <w:p w14:paraId="447EA1EC">
      <w:pPr>
        <w:tabs>
          <w:tab w:val="left" w:pos="5460"/>
        </w:tabs>
        <w:adjustRightInd w:val="0"/>
        <w:snapToGrid w:val="0"/>
        <w:spacing w:line="440" w:lineRule="exact"/>
        <w:ind w:right="11"/>
        <w:jc w:val="left"/>
        <w:rPr>
          <w:rFonts w:ascii="宋体" w:hAnsi="宋体" w:cs="宋体"/>
          <w:snapToGrid w:val="0"/>
          <w:kern w:val="0"/>
          <w:sz w:val="24"/>
        </w:rPr>
      </w:pPr>
      <w:r>
        <w:rPr>
          <w:rFonts w:hint="eastAsia" w:ascii="宋体" w:hAnsi="宋体" w:cs="宋体"/>
          <w:snapToGrid w:val="0"/>
          <w:kern w:val="0"/>
          <w:sz w:val="24"/>
        </w:rPr>
        <w:t xml:space="preserve">或委托代理人：                       </w:t>
      </w:r>
    </w:p>
    <w:p w14:paraId="2CA2D91E">
      <w:pPr>
        <w:tabs>
          <w:tab w:val="left" w:pos="5460"/>
        </w:tabs>
        <w:adjustRightInd w:val="0"/>
        <w:snapToGrid w:val="0"/>
        <w:spacing w:line="440" w:lineRule="exact"/>
        <w:ind w:left="-2" w:leftChars="-1" w:right="11" w:firstLine="4560" w:firstLineChars="1900"/>
        <w:jc w:val="left"/>
        <w:rPr>
          <w:rFonts w:ascii="宋体" w:hAnsi="宋体" w:cs="宋体"/>
          <w:snapToGrid w:val="0"/>
          <w:kern w:val="0"/>
          <w:sz w:val="24"/>
        </w:rPr>
      </w:pPr>
      <w:r>
        <w:rPr>
          <w:rFonts w:hint="eastAsia" w:ascii="宋体" w:hAnsi="宋体" w:cs="宋体"/>
          <w:snapToGrid w:val="0"/>
          <w:kern w:val="0"/>
          <w:sz w:val="24"/>
        </w:rPr>
        <w:t xml:space="preserve"> </w:t>
      </w:r>
    </w:p>
    <w:p w14:paraId="54AE240A">
      <w:pPr>
        <w:tabs>
          <w:tab w:val="left" w:pos="5460"/>
        </w:tabs>
        <w:adjustRightInd w:val="0"/>
        <w:snapToGrid w:val="0"/>
        <w:spacing w:line="400" w:lineRule="exact"/>
        <w:ind w:left="-2" w:leftChars="-1" w:right="11"/>
        <w:rPr>
          <w:rFonts w:ascii="宋体" w:hAnsi="宋体"/>
          <w:kern w:val="0"/>
          <w:sz w:val="24"/>
        </w:rPr>
      </w:pPr>
    </w:p>
    <w:p w14:paraId="1D937797">
      <w:pPr>
        <w:rPr>
          <w:rFonts w:ascii="宋体" w:hAnsi="宋体"/>
          <w:kern w:val="0"/>
          <w:sz w:val="24"/>
        </w:rPr>
      </w:pPr>
    </w:p>
    <w:p w14:paraId="76CDAC25">
      <w:pPr>
        <w:tabs>
          <w:tab w:val="left" w:pos="5460"/>
        </w:tabs>
        <w:adjustRightInd w:val="0"/>
        <w:snapToGrid w:val="0"/>
        <w:spacing w:line="360" w:lineRule="exact"/>
        <w:ind w:left="-2" w:leftChars="-1" w:right="11"/>
        <w:rPr>
          <w:rFonts w:ascii="宋体" w:hAnsi="宋体"/>
          <w:kern w:val="0"/>
          <w:sz w:val="24"/>
        </w:rPr>
      </w:pPr>
    </w:p>
    <w:p w14:paraId="21314AE4">
      <w:pPr>
        <w:tabs>
          <w:tab w:val="left" w:pos="5460"/>
        </w:tabs>
        <w:adjustRightInd w:val="0"/>
        <w:snapToGrid w:val="0"/>
        <w:spacing w:line="360" w:lineRule="exact"/>
        <w:ind w:right="11"/>
        <w:jc w:val="left"/>
        <w:rPr>
          <w:rFonts w:ascii="宋体" w:hAnsi="宋体"/>
          <w:kern w:val="0"/>
          <w:sz w:val="24"/>
        </w:rPr>
      </w:pPr>
    </w:p>
    <w:p w14:paraId="2A09615A">
      <w:pPr>
        <w:tabs>
          <w:tab w:val="left" w:pos="5460"/>
        </w:tabs>
        <w:adjustRightInd w:val="0"/>
        <w:snapToGrid w:val="0"/>
        <w:spacing w:line="360" w:lineRule="exact"/>
        <w:ind w:right="11"/>
        <w:jc w:val="left"/>
        <w:rPr>
          <w:rFonts w:ascii="宋体" w:hAnsi="宋体"/>
          <w:kern w:val="0"/>
          <w:sz w:val="24"/>
        </w:rPr>
      </w:pPr>
    </w:p>
    <w:p w14:paraId="000A6690">
      <w:pPr>
        <w:tabs>
          <w:tab w:val="left" w:pos="5460"/>
        </w:tabs>
        <w:adjustRightInd w:val="0"/>
        <w:snapToGrid w:val="0"/>
        <w:spacing w:line="360" w:lineRule="exact"/>
        <w:ind w:right="11"/>
        <w:jc w:val="left"/>
        <w:rPr>
          <w:rFonts w:ascii="宋体" w:hAnsi="宋体"/>
          <w:kern w:val="0"/>
          <w:sz w:val="24"/>
        </w:rPr>
      </w:pPr>
    </w:p>
    <w:p w14:paraId="46415BB1">
      <w:pPr>
        <w:tabs>
          <w:tab w:val="left" w:pos="5460"/>
        </w:tabs>
        <w:adjustRightInd w:val="0"/>
        <w:snapToGrid w:val="0"/>
        <w:spacing w:line="360" w:lineRule="exact"/>
        <w:ind w:right="11"/>
        <w:jc w:val="left"/>
        <w:rPr>
          <w:rFonts w:ascii="宋体" w:hAnsi="宋体"/>
          <w:kern w:val="0"/>
          <w:sz w:val="24"/>
        </w:rPr>
      </w:pPr>
    </w:p>
    <w:p w14:paraId="3B4F4627">
      <w:pPr>
        <w:tabs>
          <w:tab w:val="left" w:pos="5460"/>
        </w:tabs>
        <w:adjustRightInd w:val="0"/>
        <w:snapToGrid w:val="0"/>
        <w:spacing w:line="360" w:lineRule="exact"/>
        <w:ind w:right="11"/>
        <w:jc w:val="left"/>
        <w:rPr>
          <w:rFonts w:ascii="宋体" w:hAnsi="宋体"/>
          <w:kern w:val="0"/>
          <w:sz w:val="24"/>
        </w:rPr>
      </w:pPr>
    </w:p>
    <w:p w14:paraId="58D78E74">
      <w:pPr>
        <w:tabs>
          <w:tab w:val="left" w:pos="5460"/>
        </w:tabs>
        <w:adjustRightInd w:val="0"/>
        <w:snapToGrid w:val="0"/>
        <w:spacing w:line="360" w:lineRule="exact"/>
        <w:ind w:right="11"/>
        <w:jc w:val="left"/>
        <w:rPr>
          <w:rFonts w:ascii="宋体" w:hAnsi="宋体"/>
          <w:kern w:val="0"/>
          <w:sz w:val="24"/>
        </w:rPr>
      </w:pPr>
    </w:p>
    <w:p w14:paraId="1F0A99CF">
      <w:pPr>
        <w:tabs>
          <w:tab w:val="left" w:pos="5460"/>
        </w:tabs>
        <w:adjustRightInd w:val="0"/>
        <w:snapToGrid w:val="0"/>
        <w:spacing w:line="360" w:lineRule="exact"/>
        <w:ind w:right="11"/>
        <w:jc w:val="left"/>
        <w:rPr>
          <w:rFonts w:ascii="宋体" w:hAnsi="宋体"/>
          <w:kern w:val="0"/>
          <w:sz w:val="24"/>
        </w:rPr>
      </w:pPr>
    </w:p>
    <w:p w14:paraId="7C4D5F2A">
      <w:pPr>
        <w:tabs>
          <w:tab w:val="left" w:pos="5460"/>
        </w:tabs>
        <w:adjustRightInd w:val="0"/>
        <w:snapToGrid w:val="0"/>
        <w:spacing w:line="360" w:lineRule="exact"/>
        <w:ind w:right="11"/>
        <w:jc w:val="left"/>
        <w:rPr>
          <w:rFonts w:ascii="宋体" w:hAnsi="宋体"/>
          <w:kern w:val="0"/>
          <w:sz w:val="24"/>
        </w:rPr>
      </w:pPr>
    </w:p>
    <w:p w14:paraId="7BE7E400">
      <w:pPr>
        <w:tabs>
          <w:tab w:val="left" w:pos="5460"/>
        </w:tabs>
        <w:adjustRightInd w:val="0"/>
        <w:snapToGrid w:val="0"/>
        <w:spacing w:line="360" w:lineRule="exact"/>
        <w:ind w:right="11"/>
        <w:jc w:val="left"/>
        <w:rPr>
          <w:rFonts w:ascii="宋体" w:hAnsi="宋体"/>
          <w:kern w:val="0"/>
          <w:sz w:val="24"/>
        </w:rPr>
      </w:pPr>
    </w:p>
    <w:p w14:paraId="34F60696">
      <w:pPr>
        <w:adjustRightInd w:val="0"/>
        <w:snapToGrid w:val="0"/>
        <w:spacing w:line="360" w:lineRule="auto"/>
        <w:outlineLvl w:val="1"/>
        <w:rPr>
          <w:rFonts w:ascii="宋体" w:hAnsi="宋体"/>
          <w:kern w:val="0"/>
          <w:sz w:val="24"/>
        </w:rPr>
      </w:pPr>
      <w:r>
        <w:rPr>
          <w:rFonts w:hint="eastAsia" w:ascii="宋体" w:hAnsi="宋体"/>
          <w:kern w:val="0"/>
          <w:sz w:val="24"/>
        </w:rPr>
        <w:br w:type="page"/>
      </w:r>
      <w:bookmarkStart w:id="769" w:name="_Toc104901621"/>
      <w:bookmarkStart w:id="770" w:name="_Toc518402639"/>
      <w:bookmarkStart w:id="771" w:name="_Toc104901817"/>
      <w:bookmarkStart w:id="772" w:name="_Toc504735674"/>
      <w:bookmarkStart w:id="773" w:name="_Toc59802266"/>
      <w:r>
        <w:rPr>
          <w:rFonts w:hint="eastAsia" w:ascii="宋体" w:hAnsi="宋体"/>
          <w:kern w:val="0"/>
          <w:sz w:val="24"/>
        </w:rPr>
        <w:t>附件4：</w:t>
      </w:r>
      <w:bookmarkEnd w:id="769"/>
      <w:bookmarkEnd w:id="770"/>
      <w:bookmarkEnd w:id="771"/>
      <w:bookmarkEnd w:id="772"/>
      <w:bookmarkEnd w:id="773"/>
      <w:r>
        <w:rPr>
          <w:rFonts w:hint="eastAsia" w:ascii="宋体" w:hAnsi="宋体"/>
          <w:kern w:val="0"/>
          <w:sz w:val="24"/>
        </w:rPr>
        <w:t>承包人预付款/履约银行保函</w:t>
      </w:r>
    </w:p>
    <w:p w14:paraId="39031FAA">
      <w:pPr>
        <w:adjustRightInd w:val="0"/>
        <w:snapToGrid w:val="0"/>
        <w:spacing w:line="360" w:lineRule="auto"/>
        <w:jc w:val="center"/>
        <w:rPr>
          <w:rFonts w:ascii="宋体" w:hAnsi="宋体"/>
          <w:b/>
          <w:kern w:val="0"/>
          <w:sz w:val="32"/>
        </w:rPr>
      </w:pPr>
      <w:bookmarkStart w:id="774" w:name="_Toc1476_WPSOffice_Level1"/>
      <w:r>
        <w:rPr>
          <w:rFonts w:hint="eastAsia" w:ascii="宋体" w:hAnsi="宋体"/>
          <w:b/>
          <w:kern w:val="0"/>
          <w:sz w:val="32"/>
        </w:rPr>
        <w:t>履约银行保函（参考格式）</w:t>
      </w:r>
      <w:bookmarkEnd w:id="774"/>
    </w:p>
    <w:p w14:paraId="268E6D0F">
      <w:pPr>
        <w:autoSpaceDE w:val="0"/>
        <w:autoSpaceDN w:val="0"/>
        <w:spacing w:line="360" w:lineRule="auto"/>
        <w:ind w:firstLine="480" w:firstLineChars="200"/>
        <w:jc w:val="center"/>
        <w:rPr>
          <w:rFonts w:ascii="宋体" w:hAnsi="宋体"/>
          <w:kern w:val="0"/>
          <w:sz w:val="24"/>
          <w:lang w:val="zh-CN"/>
        </w:rPr>
      </w:pPr>
      <w:bookmarkStart w:id="775" w:name="_Toc1692_WPSOffice_Level2"/>
      <w:r>
        <w:rPr>
          <w:rFonts w:hint="eastAsia" w:ascii="宋体" w:hAnsi="宋体"/>
          <w:kern w:val="0"/>
          <w:sz w:val="24"/>
          <w:lang w:val="zh-CN"/>
        </w:rPr>
        <w:t>编号：</w:t>
      </w:r>
      <w:bookmarkEnd w:id="775"/>
    </w:p>
    <w:p w14:paraId="3BE2C88A">
      <w:pPr>
        <w:spacing w:line="360" w:lineRule="auto"/>
        <w:ind w:firstLine="480" w:firstLineChars="200"/>
        <w:jc w:val="left"/>
        <w:rPr>
          <w:rFonts w:ascii="宋体" w:hAnsi="宋体"/>
          <w:sz w:val="24"/>
          <w:u w:val="single"/>
        </w:rPr>
      </w:pPr>
      <w:r>
        <w:rPr>
          <w:rFonts w:hint="eastAsia" w:ascii="宋体" w:hAnsi="宋体"/>
          <w:sz w:val="24"/>
        </w:rPr>
        <w:t xml:space="preserve">                                                     保函编号：            致：</w:t>
      </w:r>
      <w:r>
        <w:rPr>
          <w:rFonts w:hint="eastAsia" w:ascii="宋体" w:hAnsi="宋体"/>
          <w:sz w:val="24"/>
          <w:u w:val="single"/>
        </w:rPr>
        <w:t xml:space="preserve">                  </w:t>
      </w:r>
    </w:p>
    <w:p w14:paraId="46B65FD4">
      <w:pPr>
        <w:spacing w:line="360" w:lineRule="auto"/>
        <w:ind w:firstLine="480" w:firstLineChars="200"/>
        <w:jc w:val="left"/>
        <w:rPr>
          <w:rFonts w:ascii="宋体" w:hAnsi="宋体"/>
          <w:sz w:val="24"/>
        </w:rPr>
      </w:pPr>
      <w:r>
        <w:rPr>
          <w:rFonts w:hint="eastAsia" w:ascii="宋体" w:hAnsi="宋体"/>
          <w:sz w:val="24"/>
        </w:rPr>
        <w:t>鉴于（下称“委托人”）在贵单位的     项目</w:t>
      </w:r>
      <w:r>
        <w:rPr>
          <w:rFonts w:hint="eastAsia" w:ascii="宋体" w:hAnsi="宋体" w:cs="宋体"/>
          <w:sz w:val="24"/>
          <w:szCs w:val="24"/>
        </w:rPr>
        <w:t xml:space="preserve"> </w:t>
      </w:r>
      <w:r>
        <w:rPr>
          <w:rFonts w:hint="eastAsia" w:ascii="宋体" w:hAnsi="宋体"/>
          <w:sz w:val="24"/>
        </w:rPr>
        <w:t>中标，我行同意为委托人出具履约保函，就作为委托人履行</w:t>
      </w:r>
      <w:r>
        <w:rPr>
          <w:rFonts w:hint="eastAsia" w:ascii="宋体" w:hAnsi="宋体"/>
          <w:sz w:val="24"/>
          <w:u w:val="single"/>
        </w:rPr>
        <w:t xml:space="preserve">                           </w:t>
      </w:r>
      <w:r>
        <w:rPr>
          <w:rFonts w:hint="eastAsia" w:ascii="宋体" w:hAnsi="宋体"/>
          <w:sz w:val="24"/>
        </w:rPr>
        <w:t>项目合同（以下称“合同”）责任提供无条件的、不可撤销的连带担保，以使你方得到履约保函的保障。</w:t>
      </w:r>
    </w:p>
    <w:p w14:paraId="109145EB">
      <w:pPr>
        <w:spacing w:line="360" w:lineRule="auto"/>
        <w:ind w:firstLine="480" w:firstLineChars="200"/>
        <w:jc w:val="left"/>
        <w:rPr>
          <w:rFonts w:ascii="宋体" w:hAnsi="宋体"/>
          <w:sz w:val="24"/>
        </w:rPr>
      </w:pPr>
      <w:r>
        <w:rPr>
          <w:rFonts w:hint="eastAsia" w:ascii="宋体" w:hAnsi="宋体"/>
          <w:sz w:val="24"/>
        </w:rPr>
        <w:t>一、我行保证在收到贵单位于保函保证期间内送达的依本保函约定的索赔文件原件后，在 7 个工作日内无条件和不可改变地向贵单位支付金额最高不超过人民币（币种）</w:t>
      </w:r>
      <w:r>
        <w:rPr>
          <w:rFonts w:hint="eastAsia" w:ascii="宋体" w:hAnsi="宋体"/>
          <w:sz w:val="24"/>
          <w:u w:val="single"/>
        </w:rPr>
        <w:t xml:space="preserve">    </w:t>
      </w:r>
      <w:r>
        <w:rPr>
          <w:rFonts w:hint="eastAsia" w:ascii="宋体" w:hAnsi="宋体"/>
          <w:sz w:val="24"/>
        </w:rPr>
        <w:t>元的履约保证金，并放弃向你方提出任何异议和追索的权利。</w:t>
      </w:r>
    </w:p>
    <w:p w14:paraId="652F4A3C">
      <w:pPr>
        <w:spacing w:line="360" w:lineRule="auto"/>
        <w:ind w:firstLine="480" w:firstLineChars="200"/>
        <w:jc w:val="left"/>
        <w:rPr>
          <w:rFonts w:ascii="宋体" w:hAnsi="宋体"/>
          <w:sz w:val="24"/>
        </w:rPr>
      </w:pPr>
      <w:r>
        <w:rPr>
          <w:rFonts w:hint="eastAsia" w:ascii="宋体" w:hAnsi="宋体"/>
          <w:sz w:val="24"/>
        </w:rPr>
        <w:t>二、贵单位的索赔文件应符合下述条件：</w:t>
      </w:r>
    </w:p>
    <w:p w14:paraId="5DC7A096">
      <w:pPr>
        <w:spacing w:line="360" w:lineRule="auto"/>
        <w:ind w:firstLine="480" w:firstLineChars="200"/>
        <w:jc w:val="left"/>
        <w:rPr>
          <w:rFonts w:ascii="宋体" w:hAnsi="宋体"/>
          <w:sz w:val="24"/>
        </w:rPr>
      </w:pPr>
      <w:bookmarkStart w:id="776" w:name="_Toc16695_WPSOffice_Level2"/>
      <w:r>
        <w:rPr>
          <w:rFonts w:hint="eastAsia" w:ascii="宋体" w:hAnsi="宋体"/>
          <w:sz w:val="24"/>
        </w:rPr>
        <w:t>（一）贵单位法定代表人或其授权代表签字并加盖单位公章；</w:t>
      </w:r>
      <w:bookmarkEnd w:id="776"/>
    </w:p>
    <w:p w14:paraId="319C2A48">
      <w:pPr>
        <w:spacing w:line="360" w:lineRule="auto"/>
        <w:ind w:firstLine="480" w:firstLineChars="200"/>
        <w:jc w:val="left"/>
        <w:rPr>
          <w:rFonts w:ascii="宋体" w:hAnsi="宋体"/>
          <w:sz w:val="24"/>
        </w:rPr>
      </w:pPr>
      <w:bookmarkStart w:id="777" w:name="_Toc19757_WPSOffice_Level2"/>
      <w:r>
        <w:rPr>
          <w:rFonts w:hint="eastAsia" w:ascii="宋体" w:hAnsi="宋体"/>
          <w:sz w:val="24"/>
        </w:rPr>
        <w:t>（二）在保函保证期间内送达我行；</w:t>
      </w:r>
      <w:bookmarkEnd w:id="777"/>
    </w:p>
    <w:p w14:paraId="5766C04A">
      <w:pPr>
        <w:spacing w:line="360" w:lineRule="auto"/>
        <w:ind w:firstLine="480" w:firstLineChars="200"/>
        <w:jc w:val="left"/>
        <w:rPr>
          <w:rFonts w:ascii="宋体" w:hAnsi="宋体"/>
          <w:sz w:val="24"/>
        </w:rPr>
      </w:pPr>
      <w:bookmarkStart w:id="778" w:name="_Toc23656_WPSOffice_Level2"/>
      <w:r>
        <w:rPr>
          <w:rFonts w:hint="eastAsia" w:ascii="宋体" w:hAnsi="宋体"/>
          <w:sz w:val="24"/>
        </w:rPr>
        <w:t>（三）明确的索赔金额（不得超过本保函第一条所列之限额）；</w:t>
      </w:r>
      <w:bookmarkEnd w:id="778"/>
    </w:p>
    <w:p w14:paraId="1000687D">
      <w:pPr>
        <w:spacing w:line="360" w:lineRule="auto"/>
        <w:ind w:firstLine="480" w:firstLineChars="200"/>
        <w:jc w:val="left"/>
        <w:rPr>
          <w:rFonts w:ascii="宋体" w:hAnsi="宋体"/>
          <w:sz w:val="24"/>
        </w:rPr>
      </w:pPr>
      <w:bookmarkStart w:id="779" w:name="_Toc8724_WPSOffice_Level2"/>
      <w:r>
        <w:rPr>
          <w:rFonts w:hint="eastAsia" w:ascii="宋体" w:hAnsi="宋体"/>
          <w:sz w:val="24"/>
        </w:rPr>
        <w:t>（四）贵单位出具的委托人违约事项说明。</w:t>
      </w:r>
      <w:bookmarkEnd w:id="779"/>
    </w:p>
    <w:p w14:paraId="4D32FABD">
      <w:pPr>
        <w:spacing w:line="360" w:lineRule="auto"/>
        <w:ind w:firstLine="480" w:firstLineChars="200"/>
        <w:jc w:val="left"/>
        <w:rPr>
          <w:rFonts w:ascii="宋体" w:hAnsi="宋体"/>
          <w:sz w:val="24"/>
        </w:rPr>
      </w:pPr>
      <w:r>
        <w:rPr>
          <w:rFonts w:hint="eastAsia" w:ascii="宋体" w:hAnsi="宋体"/>
          <w:sz w:val="24"/>
        </w:rPr>
        <w:t>三、本保函保证期间为</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日，除非你方提前终止或解除本保函，本保函于下述任一事项发生之时立即失效，我行在本保函项下的保证义务即刻解除：</w:t>
      </w:r>
    </w:p>
    <w:p w14:paraId="7816A0BA">
      <w:pPr>
        <w:spacing w:line="360" w:lineRule="auto"/>
        <w:ind w:firstLine="480" w:firstLineChars="200"/>
        <w:jc w:val="left"/>
        <w:rPr>
          <w:rFonts w:ascii="宋体" w:hAnsi="宋体"/>
          <w:sz w:val="24"/>
        </w:rPr>
      </w:pPr>
      <w:bookmarkStart w:id="780" w:name="_Toc4328_WPSOffice_Level1"/>
      <w:r>
        <w:rPr>
          <w:rFonts w:hint="eastAsia" w:ascii="宋体" w:hAnsi="宋体"/>
          <w:sz w:val="24"/>
        </w:rPr>
        <w:t>（一）本保函保证期间届满；</w:t>
      </w:r>
      <w:bookmarkEnd w:id="780"/>
    </w:p>
    <w:p w14:paraId="6EEB9D2A">
      <w:pPr>
        <w:spacing w:line="360" w:lineRule="auto"/>
        <w:ind w:firstLine="480" w:firstLineChars="200"/>
        <w:jc w:val="left"/>
        <w:rPr>
          <w:rFonts w:ascii="宋体" w:hAnsi="宋体"/>
          <w:sz w:val="24"/>
        </w:rPr>
      </w:pPr>
      <w:bookmarkStart w:id="781" w:name="_Toc30487_WPSOffice_Level1"/>
      <w:r>
        <w:rPr>
          <w:rFonts w:hint="eastAsia" w:ascii="宋体" w:hAnsi="宋体"/>
          <w:sz w:val="24"/>
        </w:rPr>
        <w:t>（二）委托人履行了合同项下全部义务；</w:t>
      </w:r>
      <w:bookmarkEnd w:id="781"/>
    </w:p>
    <w:p w14:paraId="42F7E091">
      <w:pPr>
        <w:spacing w:line="360" w:lineRule="auto"/>
        <w:ind w:firstLine="480" w:firstLineChars="200"/>
        <w:jc w:val="left"/>
        <w:rPr>
          <w:rFonts w:ascii="宋体" w:hAnsi="宋体"/>
          <w:sz w:val="24"/>
        </w:rPr>
      </w:pPr>
      <w:bookmarkStart w:id="782" w:name="_Toc5622_WPSOffice_Level1"/>
      <w:r>
        <w:rPr>
          <w:rFonts w:hint="eastAsia" w:ascii="宋体" w:hAnsi="宋体"/>
          <w:sz w:val="24"/>
        </w:rPr>
        <w:t>（三）我行保证的义务履行完毕。</w:t>
      </w:r>
      <w:bookmarkEnd w:id="782"/>
    </w:p>
    <w:p w14:paraId="55BBBA2C">
      <w:pPr>
        <w:spacing w:line="360" w:lineRule="auto"/>
        <w:ind w:firstLine="480" w:firstLineChars="200"/>
        <w:jc w:val="left"/>
        <w:rPr>
          <w:rFonts w:ascii="宋体" w:hAnsi="宋体"/>
          <w:sz w:val="24"/>
        </w:rPr>
      </w:pPr>
      <w:r>
        <w:rPr>
          <w:rFonts w:hint="eastAsia" w:ascii="宋体" w:hAnsi="宋体"/>
          <w:sz w:val="24"/>
        </w:rPr>
        <w:t>四、我方受本保函制约的责任是延续的、独立的和无条件的，合同的任何修改、变更、解释或不可执行都不能削弱或影响我方受本保函制约的责任，委托人在</w:t>
      </w:r>
      <w:r>
        <w:rPr>
          <w:rFonts w:hint="eastAsia" w:ascii="宋体" w:hAnsi="宋体"/>
          <w:sz w:val="24"/>
          <w:u w:val="single"/>
        </w:rPr>
        <w:t xml:space="preserve">         </w:t>
      </w:r>
      <w:r>
        <w:rPr>
          <w:rFonts w:hint="eastAsia" w:ascii="宋体" w:hAnsi="宋体"/>
          <w:sz w:val="24"/>
        </w:rPr>
        <w:t>合同项下对你方的任何抗辩也不能削弱或影响我方在本保函项下的付款责任。若贵单位与委托人协商变更</w:t>
      </w:r>
      <w:r>
        <w:rPr>
          <w:rFonts w:hint="eastAsia" w:ascii="宋体" w:hAnsi="宋体"/>
          <w:sz w:val="24"/>
          <w:u w:val="single"/>
        </w:rPr>
        <w:t xml:space="preserve">       </w:t>
      </w:r>
      <w:r>
        <w:rPr>
          <w:rFonts w:hint="eastAsia" w:ascii="宋体" w:hAnsi="宋体"/>
          <w:sz w:val="24"/>
        </w:rPr>
        <w:t>合同，应督促委托人书面告知我行并将变更后的合同送一份给我行备案。</w:t>
      </w:r>
    </w:p>
    <w:p w14:paraId="69130F49">
      <w:pPr>
        <w:spacing w:line="360" w:lineRule="auto"/>
        <w:ind w:firstLine="480" w:firstLineChars="200"/>
        <w:jc w:val="left"/>
        <w:rPr>
          <w:rFonts w:ascii="宋体" w:hAnsi="宋体"/>
          <w:sz w:val="24"/>
        </w:rPr>
      </w:pPr>
      <w:r>
        <w:rPr>
          <w:rFonts w:hint="eastAsia" w:ascii="宋体" w:hAnsi="宋体"/>
          <w:sz w:val="24"/>
        </w:rPr>
        <w:t>五、保函失效后请将本保函退回我方注销。无论正本最终退回与否，不影响本保函依上述约定自动失效。</w:t>
      </w:r>
    </w:p>
    <w:p w14:paraId="48CF3866">
      <w:pPr>
        <w:spacing w:line="360" w:lineRule="auto"/>
        <w:ind w:firstLine="480" w:firstLineChars="200"/>
        <w:jc w:val="left"/>
        <w:rPr>
          <w:rFonts w:ascii="宋体" w:hAnsi="宋体"/>
          <w:sz w:val="24"/>
        </w:rPr>
      </w:pPr>
      <w:r>
        <w:rPr>
          <w:rFonts w:hint="eastAsia" w:ascii="宋体" w:hAnsi="宋体"/>
          <w:sz w:val="24"/>
        </w:rPr>
        <w:t>本保函项下的所有权利和义务受中华人民共和国法律管辖和制约，我行在保函项下做出的付款承诺决不反悔。</w:t>
      </w:r>
    </w:p>
    <w:p w14:paraId="4E659C3E">
      <w:pPr>
        <w:spacing w:line="360" w:lineRule="auto"/>
        <w:ind w:firstLine="480" w:firstLineChars="200"/>
        <w:jc w:val="left"/>
        <w:rPr>
          <w:rFonts w:ascii="宋体" w:hAnsi="宋体"/>
          <w:sz w:val="24"/>
        </w:rPr>
      </w:pPr>
      <w:r>
        <w:rPr>
          <w:rFonts w:hint="eastAsia" w:ascii="宋体" w:hAnsi="宋体"/>
          <w:sz w:val="24"/>
        </w:rPr>
        <w:t>未经我行书面同意，本保函不可转让。</w:t>
      </w:r>
    </w:p>
    <w:p w14:paraId="1869A84C">
      <w:pPr>
        <w:spacing w:line="360" w:lineRule="auto"/>
        <w:ind w:firstLine="480" w:firstLineChars="200"/>
        <w:jc w:val="left"/>
        <w:rPr>
          <w:rFonts w:ascii="宋体" w:hAnsi="宋体"/>
          <w:sz w:val="24"/>
        </w:rPr>
      </w:pPr>
      <w:r>
        <w:rPr>
          <w:rFonts w:hint="eastAsia" w:ascii="宋体" w:hAnsi="宋体"/>
          <w:sz w:val="24"/>
        </w:rPr>
        <w:t xml:space="preserve"> </w:t>
      </w:r>
    </w:p>
    <w:p w14:paraId="68D43C97">
      <w:pPr>
        <w:spacing w:line="360" w:lineRule="auto"/>
        <w:ind w:firstLine="480" w:firstLineChars="200"/>
        <w:jc w:val="left"/>
        <w:rPr>
          <w:rFonts w:ascii="宋体" w:hAnsi="宋体"/>
          <w:sz w:val="24"/>
        </w:rPr>
      </w:pPr>
      <w:r>
        <w:rPr>
          <w:rFonts w:hint="eastAsia" w:ascii="宋体" w:hAnsi="宋体"/>
          <w:sz w:val="24"/>
        </w:rPr>
        <w:t xml:space="preserve"> </w:t>
      </w:r>
    </w:p>
    <w:p w14:paraId="2B4ECDA7">
      <w:pPr>
        <w:spacing w:line="360" w:lineRule="auto"/>
        <w:ind w:firstLine="480" w:firstLineChars="200"/>
        <w:jc w:val="left"/>
        <w:rPr>
          <w:rFonts w:ascii="宋体" w:hAnsi="宋体"/>
          <w:sz w:val="24"/>
        </w:rPr>
      </w:pPr>
      <w:r>
        <w:rPr>
          <w:rFonts w:hint="eastAsia" w:ascii="宋体" w:hAnsi="宋体"/>
          <w:sz w:val="24"/>
        </w:rPr>
        <w:t>担保银行名称：（盖公章）              法定代表人或授权人：（盖章、签字）</w:t>
      </w:r>
    </w:p>
    <w:p w14:paraId="4E591273">
      <w:pPr>
        <w:spacing w:line="360" w:lineRule="auto"/>
        <w:ind w:firstLine="480" w:firstLineChars="200"/>
        <w:jc w:val="left"/>
        <w:rPr>
          <w:rFonts w:ascii="宋体" w:hAnsi="宋体"/>
          <w:sz w:val="24"/>
        </w:rPr>
      </w:pPr>
      <w:r>
        <w:rPr>
          <w:rFonts w:hint="eastAsia" w:ascii="宋体" w:hAnsi="宋体"/>
          <w:sz w:val="24"/>
        </w:rPr>
        <w:t>银行地址：                            邮政编码：</w:t>
      </w:r>
    </w:p>
    <w:p w14:paraId="34050711">
      <w:pPr>
        <w:spacing w:line="360" w:lineRule="auto"/>
        <w:ind w:firstLine="480" w:firstLineChars="200"/>
        <w:jc w:val="left"/>
        <w:rPr>
          <w:rFonts w:ascii="宋体" w:hAnsi="宋体"/>
          <w:sz w:val="24"/>
        </w:rPr>
      </w:pPr>
      <w:r>
        <w:rPr>
          <w:rFonts w:hint="eastAsia" w:ascii="宋体" w:hAnsi="宋体"/>
          <w:sz w:val="24"/>
        </w:rPr>
        <w:t>传真：                                电话：</w:t>
      </w:r>
    </w:p>
    <w:p w14:paraId="472369F7">
      <w:pPr>
        <w:spacing w:line="360" w:lineRule="auto"/>
        <w:ind w:firstLine="480" w:firstLineChars="200"/>
        <w:jc w:val="left"/>
        <w:rPr>
          <w:rFonts w:ascii="宋体" w:hAnsi="宋体"/>
          <w:sz w:val="24"/>
        </w:rPr>
      </w:pPr>
      <w:r>
        <w:rPr>
          <w:rFonts w:hint="eastAsia" w:ascii="宋体" w:hAnsi="宋体"/>
          <w:sz w:val="24"/>
        </w:rPr>
        <w:t>开立日期：年月日</w:t>
      </w:r>
    </w:p>
    <w:p w14:paraId="4ABE1EB0">
      <w:pPr>
        <w:spacing w:line="360" w:lineRule="auto"/>
        <w:ind w:firstLine="480" w:firstLineChars="200"/>
        <w:jc w:val="left"/>
        <w:rPr>
          <w:rFonts w:ascii="宋体" w:hAnsi="宋体"/>
          <w:sz w:val="24"/>
        </w:rPr>
      </w:pPr>
      <w:r>
        <w:rPr>
          <w:rFonts w:hint="eastAsia" w:ascii="宋体" w:hAnsi="宋体"/>
          <w:sz w:val="24"/>
        </w:rPr>
        <w:t xml:space="preserve"> </w:t>
      </w:r>
    </w:p>
    <w:p w14:paraId="661EB5A4">
      <w:pPr>
        <w:spacing w:line="360" w:lineRule="auto"/>
        <w:ind w:firstLine="480" w:firstLineChars="200"/>
        <w:jc w:val="left"/>
        <w:rPr>
          <w:rFonts w:ascii="宋体" w:hAnsi="宋体"/>
          <w:sz w:val="24"/>
        </w:rPr>
      </w:pPr>
      <w:r>
        <w:rPr>
          <w:rFonts w:hint="eastAsia" w:ascii="宋体" w:hAnsi="宋体"/>
          <w:sz w:val="24"/>
        </w:rPr>
        <w:t>出具人：（加盖公章）</w:t>
      </w:r>
    </w:p>
    <w:p w14:paraId="7C2A52B4">
      <w:pPr>
        <w:spacing w:line="360" w:lineRule="auto"/>
        <w:ind w:firstLine="480" w:firstLineChars="200"/>
        <w:jc w:val="left"/>
        <w:rPr>
          <w:rFonts w:ascii="宋体" w:hAnsi="宋体"/>
          <w:sz w:val="24"/>
        </w:rPr>
      </w:pPr>
      <w:r>
        <w:rPr>
          <w:rFonts w:hint="eastAsia" w:ascii="宋体" w:hAnsi="宋体"/>
          <w:sz w:val="24"/>
        </w:rPr>
        <w:t xml:space="preserve">                               日期: _____年______月______日</w:t>
      </w:r>
    </w:p>
    <w:p w14:paraId="34FEC5E7">
      <w:pPr>
        <w:spacing w:line="360" w:lineRule="auto"/>
        <w:ind w:firstLine="480" w:firstLineChars="200"/>
        <w:jc w:val="center"/>
        <w:rPr>
          <w:rFonts w:ascii="宋体" w:hAnsi="宋体"/>
          <w:b/>
          <w:kern w:val="0"/>
          <w:sz w:val="32"/>
        </w:rPr>
      </w:pPr>
      <w:r>
        <w:rPr>
          <w:rFonts w:hint="eastAsia" w:ascii="宋体" w:hAnsi="宋体"/>
          <w:kern w:val="0"/>
          <w:sz w:val="24"/>
          <w:u w:val="single"/>
        </w:rPr>
        <w:br w:type="page"/>
      </w:r>
      <w:bookmarkStart w:id="783" w:name="_Toc18625_WPSOffice_Level1"/>
      <w:r>
        <w:rPr>
          <w:rFonts w:hint="eastAsia" w:ascii="宋体" w:hAnsi="宋体"/>
          <w:b/>
          <w:kern w:val="0"/>
          <w:sz w:val="32"/>
        </w:rPr>
        <w:t>承 诺 书</w:t>
      </w:r>
      <w:bookmarkEnd w:id="783"/>
    </w:p>
    <w:p w14:paraId="54B81D78">
      <w:pPr>
        <w:autoSpaceDE w:val="0"/>
        <w:autoSpaceDN w:val="0"/>
        <w:spacing w:line="360" w:lineRule="auto"/>
        <w:ind w:firstLine="482" w:firstLineChars="200"/>
        <w:rPr>
          <w:rFonts w:ascii="宋体" w:hAnsi="宋体"/>
          <w:b/>
          <w:kern w:val="0"/>
          <w:sz w:val="24"/>
        </w:rPr>
      </w:pPr>
      <w:bookmarkStart w:id="784" w:name="_Toc14104_WPSOffice_Level1"/>
      <w:r>
        <w:rPr>
          <w:rFonts w:hint="eastAsia" w:ascii="宋体" w:hAnsi="宋体" w:cs="宋体"/>
          <w:b/>
          <w:snapToGrid w:val="0"/>
          <w:kern w:val="0"/>
          <w:sz w:val="24"/>
          <w:szCs w:val="21"/>
          <w:u w:val="single"/>
        </w:rPr>
        <w:t xml:space="preserve">             </w:t>
      </w:r>
      <w:r>
        <w:rPr>
          <w:rFonts w:hint="eastAsia" w:ascii="宋体" w:hAnsi="宋体" w:cs="宋体"/>
          <w:b/>
          <w:snapToGrid w:val="0"/>
          <w:kern w:val="0"/>
          <w:sz w:val="24"/>
          <w:szCs w:val="21"/>
        </w:rPr>
        <w:t>有限公司</w:t>
      </w:r>
      <w:r>
        <w:rPr>
          <w:rFonts w:hint="eastAsia" w:ascii="宋体" w:hAnsi="宋体"/>
          <w:b/>
          <w:kern w:val="0"/>
          <w:sz w:val="24"/>
        </w:rPr>
        <w:t>：</w:t>
      </w:r>
      <w:bookmarkEnd w:id="784"/>
    </w:p>
    <w:p w14:paraId="5A8EC5B2">
      <w:pPr>
        <w:autoSpaceDE w:val="0"/>
        <w:autoSpaceDN w:val="0"/>
        <w:spacing w:line="360" w:lineRule="auto"/>
        <w:ind w:firstLine="480" w:firstLineChars="200"/>
        <w:rPr>
          <w:rFonts w:ascii="宋体" w:hAnsi="宋体"/>
          <w:kern w:val="0"/>
          <w:sz w:val="24"/>
          <w:lang w:val="zh-CN"/>
        </w:rPr>
      </w:pPr>
      <w:r>
        <w:rPr>
          <w:rFonts w:hint="eastAsia" w:ascii="宋体" w:hAnsi="宋体"/>
          <w:kern w:val="0"/>
          <w:sz w:val="24"/>
          <w:lang w:val="zh-CN"/>
        </w:rPr>
        <w:t>我司已于</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w:t>
      </w:r>
      <w:r>
        <w:rPr>
          <w:rFonts w:hint="eastAsia" w:ascii="宋体" w:hAnsi="宋体"/>
          <w:kern w:val="0"/>
          <w:sz w:val="24"/>
          <w:lang w:val="zh-CN"/>
        </w:rPr>
        <w:t>向单位提交了</w:t>
      </w:r>
      <w:r>
        <w:rPr>
          <w:rFonts w:hint="eastAsia" w:ascii="宋体" w:hAnsi="宋体"/>
          <w:kern w:val="0"/>
          <w:sz w:val="24"/>
        </w:rPr>
        <w:t xml:space="preserve">         </w:t>
      </w:r>
      <w:r>
        <w:rPr>
          <w:rFonts w:hint="eastAsia" w:ascii="宋体" w:hAnsi="宋体"/>
          <w:kern w:val="0"/>
          <w:sz w:val="24"/>
          <w:lang w:val="zh-CN"/>
        </w:rPr>
        <w:t>项目的履约银行保函，保证期间最迟不超过</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w:t>
      </w:r>
      <w:r>
        <w:rPr>
          <w:rFonts w:hint="eastAsia" w:ascii="宋体" w:hAnsi="宋体"/>
          <w:kern w:val="0"/>
          <w:sz w:val="24"/>
          <w:lang w:val="zh-CN"/>
        </w:rPr>
        <w:t>。</w:t>
      </w:r>
    </w:p>
    <w:p w14:paraId="4E21166A">
      <w:pPr>
        <w:autoSpaceDE w:val="0"/>
        <w:autoSpaceDN w:val="0"/>
        <w:spacing w:line="360" w:lineRule="auto"/>
        <w:ind w:firstLine="480" w:firstLineChars="200"/>
        <w:rPr>
          <w:rFonts w:ascii="宋体" w:hAnsi="宋体"/>
          <w:kern w:val="0"/>
          <w:sz w:val="24"/>
          <w:lang w:val="zh-CN"/>
        </w:rPr>
      </w:pPr>
      <w:r>
        <w:rPr>
          <w:rFonts w:hint="eastAsia" w:ascii="宋体" w:hAnsi="宋体"/>
          <w:kern w:val="0"/>
          <w:sz w:val="24"/>
          <w:lang w:val="zh-CN"/>
        </w:rPr>
        <w:t>在保函保证期间届满时，若合同约定项目</w:t>
      </w:r>
      <w:r>
        <w:rPr>
          <w:rFonts w:hint="eastAsia" w:ascii="宋体" w:hAnsi="宋体"/>
          <w:kern w:val="0"/>
          <w:sz w:val="24"/>
        </w:rPr>
        <w:t>工程未完成竣工验收备案的</w:t>
      </w:r>
      <w:r>
        <w:rPr>
          <w:rFonts w:hint="eastAsia" w:ascii="宋体" w:hAnsi="宋体"/>
          <w:kern w:val="0"/>
          <w:sz w:val="24"/>
          <w:lang w:val="zh-CN"/>
        </w:rPr>
        <w:t>，则贵单位有权要求我司另行提交新的保函。若我司不按贵单位要求提交新的保函，则贵单位有权暂停支付余下的合同价款，直至我司提交新的保函或</w:t>
      </w:r>
      <w:r>
        <w:rPr>
          <w:rFonts w:hint="eastAsia" w:ascii="宋体" w:hAnsi="宋体"/>
          <w:kern w:val="0"/>
          <w:sz w:val="24"/>
        </w:rPr>
        <w:t>完成竣工验收备案</w:t>
      </w:r>
      <w:r>
        <w:rPr>
          <w:rFonts w:hint="eastAsia" w:ascii="宋体" w:hAnsi="宋体"/>
          <w:kern w:val="0"/>
          <w:sz w:val="24"/>
          <w:lang w:val="zh-CN"/>
        </w:rPr>
        <w:t>。</w:t>
      </w:r>
    </w:p>
    <w:p w14:paraId="4A801A5F">
      <w:pPr>
        <w:autoSpaceDE w:val="0"/>
        <w:autoSpaceDN w:val="0"/>
        <w:spacing w:line="360" w:lineRule="auto"/>
        <w:ind w:firstLine="480" w:firstLineChars="200"/>
        <w:rPr>
          <w:rFonts w:ascii="宋体" w:hAnsi="宋体"/>
          <w:kern w:val="0"/>
          <w:sz w:val="24"/>
          <w:lang w:val="zh-CN"/>
        </w:rPr>
      </w:pPr>
      <w:r>
        <w:rPr>
          <w:rFonts w:hint="eastAsia" w:ascii="宋体" w:hAnsi="宋体"/>
          <w:kern w:val="0"/>
          <w:sz w:val="24"/>
          <w:lang w:val="zh-CN"/>
        </w:rPr>
        <w:t>特此承诺。</w:t>
      </w:r>
    </w:p>
    <w:p w14:paraId="5011B4B2">
      <w:pPr>
        <w:autoSpaceDE w:val="0"/>
        <w:autoSpaceDN w:val="0"/>
        <w:spacing w:line="360" w:lineRule="auto"/>
        <w:ind w:firstLine="480" w:firstLineChars="200"/>
        <w:rPr>
          <w:rFonts w:ascii="宋体" w:hAnsi="宋体"/>
          <w:kern w:val="0"/>
          <w:sz w:val="24"/>
          <w:lang w:val="zh-CN"/>
        </w:rPr>
      </w:pPr>
    </w:p>
    <w:p w14:paraId="1585FBFB">
      <w:pPr>
        <w:autoSpaceDE w:val="0"/>
        <w:autoSpaceDN w:val="0"/>
        <w:spacing w:line="360" w:lineRule="auto"/>
        <w:ind w:firstLine="480" w:firstLineChars="200"/>
        <w:rPr>
          <w:rFonts w:ascii="宋体" w:hAnsi="宋体"/>
          <w:kern w:val="0"/>
          <w:sz w:val="24"/>
          <w:lang w:val="zh-CN"/>
        </w:rPr>
      </w:pPr>
    </w:p>
    <w:p w14:paraId="63450D52">
      <w:pPr>
        <w:autoSpaceDE w:val="0"/>
        <w:autoSpaceDN w:val="0"/>
        <w:spacing w:line="360" w:lineRule="auto"/>
        <w:ind w:firstLine="480" w:firstLineChars="200"/>
        <w:rPr>
          <w:rFonts w:ascii="宋体" w:hAnsi="宋体"/>
          <w:kern w:val="0"/>
          <w:sz w:val="24"/>
          <w:lang w:val="zh-CN"/>
        </w:rPr>
      </w:pPr>
    </w:p>
    <w:p w14:paraId="301D4096">
      <w:pPr>
        <w:autoSpaceDE w:val="0"/>
        <w:autoSpaceDN w:val="0"/>
        <w:spacing w:line="360" w:lineRule="auto"/>
        <w:ind w:firstLine="480" w:firstLineChars="200"/>
        <w:rPr>
          <w:rFonts w:ascii="宋体" w:hAnsi="宋体"/>
          <w:kern w:val="0"/>
          <w:sz w:val="24"/>
          <w:u w:val="single"/>
          <w:lang w:val="zh-CN"/>
        </w:rPr>
      </w:pPr>
      <w:r>
        <w:rPr>
          <w:rFonts w:hint="eastAsia" w:ascii="宋体" w:hAnsi="宋体"/>
          <w:kern w:val="0"/>
          <w:sz w:val="24"/>
          <w:lang w:val="zh-CN"/>
        </w:rPr>
        <w:t xml:space="preserve">                                           承诺人：</w:t>
      </w:r>
      <w:r>
        <w:rPr>
          <w:rFonts w:hint="eastAsia" w:ascii="宋体" w:hAnsi="宋体"/>
          <w:kern w:val="0"/>
          <w:sz w:val="24"/>
          <w:u w:val="single"/>
          <w:lang w:val="zh-CN"/>
        </w:rPr>
        <w:t xml:space="preserve">                  </w:t>
      </w:r>
    </w:p>
    <w:p w14:paraId="1069A0E3">
      <w:pPr>
        <w:autoSpaceDE w:val="0"/>
        <w:autoSpaceDN w:val="0"/>
        <w:spacing w:line="360" w:lineRule="auto"/>
        <w:ind w:firstLine="480" w:firstLineChars="200"/>
        <w:rPr>
          <w:rFonts w:ascii="宋体" w:hAnsi="宋体"/>
          <w:kern w:val="0"/>
          <w:sz w:val="24"/>
          <w:lang w:val="zh-CN"/>
        </w:rPr>
      </w:pPr>
    </w:p>
    <w:p w14:paraId="7286626B">
      <w:pPr>
        <w:autoSpaceDE w:val="0"/>
        <w:autoSpaceDN w:val="0"/>
        <w:spacing w:line="360" w:lineRule="auto"/>
        <w:ind w:firstLine="480" w:firstLineChars="200"/>
        <w:rPr>
          <w:rFonts w:ascii="宋体" w:hAnsi="宋体"/>
          <w:kern w:val="0"/>
          <w:sz w:val="24"/>
          <w:u w:val="single"/>
          <w:lang w:val="zh-CN"/>
        </w:rPr>
      </w:pPr>
      <w:r>
        <w:rPr>
          <w:rFonts w:hint="eastAsia" w:ascii="宋体" w:hAnsi="宋体"/>
          <w:kern w:val="0"/>
          <w:sz w:val="24"/>
          <w:lang w:val="zh-CN"/>
        </w:rPr>
        <w:t xml:space="preserve">                                           法定代表人或授权人： </w:t>
      </w:r>
      <w:r>
        <w:rPr>
          <w:rFonts w:hint="eastAsia" w:ascii="宋体" w:hAnsi="宋体"/>
          <w:kern w:val="0"/>
          <w:sz w:val="24"/>
          <w:u w:val="single"/>
          <w:lang w:val="zh-CN"/>
        </w:rPr>
        <w:t xml:space="preserve">              </w:t>
      </w:r>
    </w:p>
    <w:p w14:paraId="17F5014F">
      <w:pPr>
        <w:spacing w:line="360" w:lineRule="auto"/>
        <w:ind w:firstLine="480" w:firstLineChars="200"/>
        <w:rPr>
          <w:rFonts w:ascii="宋体" w:hAnsi="宋体"/>
          <w:kern w:val="0"/>
          <w:sz w:val="24"/>
          <w:u w:val="single"/>
        </w:rPr>
      </w:pPr>
    </w:p>
    <w:p w14:paraId="5EC63D8D">
      <w:pPr>
        <w:spacing w:line="360" w:lineRule="auto"/>
        <w:ind w:firstLine="480" w:firstLineChars="200"/>
        <w:jc w:val="right"/>
        <w:rPr>
          <w:rFonts w:ascii="宋体" w:hAnsi="宋体"/>
          <w:kern w:val="0"/>
          <w:sz w:val="24"/>
          <w:lang w:val="zh-CN"/>
        </w:rPr>
      </w:pPr>
      <w:r>
        <w:rPr>
          <w:rFonts w:hint="eastAsia" w:ascii="宋体" w:hAnsi="宋体"/>
          <w:kern w:val="0"/>
          <w:sz w:val="24"/>
        </w:rPr>
        <w:t xml:space="preserve">日期：年   月   </w:t>
      </w:r>
      <w:r>
        <w:rPr>
          <w:rFonts w:hint="eastAsia" w:ascii="宋体" w:hAnsi="宋体"/>
          <w:kern w:val="0"/>
          <w:sz w:val="24"/>
          <w:lang w:val="zh-CN"/>
        </w:rPr>
        <w:t>日</w:t>
      </w:r>
    </w:p>
    <w:p w14:paraId="1A657CD6">
      <w:pPr>
        <w:adjustRightInd w:val="0"/>
        <w:snapToGrid w:val="0"/>
        <w:spacing w:line="360" w:lineRule="auto"/>
        <w:rPr>
          <w:rFonts w:ascii="宋体" w:hAnsi="宋体"/>
          <w:kern w:val="0"/>
          <w:sz w:val="24"/>
          <w:lang w:val="zh-CN"/>
        </w:rPr>
      </w:pPr>
    </w:p>
    <w:p w14:paraId="427DB40C">
      <w:pPr>
        <w:adjustRightInd w:val="0"/>
        <w:snapToGrid w:val="0"/>
        <w:spacing w:line="360" w:lineRule="auto"/>
        <w:rPr>
          <w:rFonts w:ascii="宋体" w:hAnsi="宋体" w:cs="宋体"/>
          <w:snapToGrid w:val="0"/>
          <w:kern w:val="0"/>
          <w:sz w:val="24"/>
          <w:szCs w:val="21"/>
          <w:lang w:val="zh-CN"/>
        </w:rPr>
      </w:pPr>
    </w:p>
    <w:p w14:paraId="7ED716A7">
      <w:pPr>
        <w:spacing w:line="360" w:lineRule="auto"/>
        <w:rPr>
          <w:rFonts w:ascii="宋体" w:hAnsi="宋体" w:cs="宋体"/>
          <w:sz w:val="28"/>
          <w:szCs w:val="28"/>
        </w:rPr>
      </w:pPr>
    </w:p>
    <w:p w14:paraId="3BB88E35">
      <w:pPr>
        <w:spacing w:line="360" w:lineRule="auto"/>
        <w:rPr>
          <w:rFonts w:ascii="宋体" w:hAnsi="宋体" w:cs="宋体"/>
          <w:sz w:val="28"/>
          <w:szCs w:val="28"/>
        </w:rPr>
      </w:pPr>
    </w:p>
    <w:p w14:paraId="2930BA42">
      <w:pPr>
        <w:spacing w:line="360" w:lineRule="auto"/>
        <w:rPr>
          <w:rFonts w:ascii="宋体" w:hAnsi="宋体" w:cs="宋体"/>
          <w:sz w:val="28"/>
          <w:szCs w:val="28"/>
        </w:rPr>
      </w:pPr>
    </w:p>
    <w:p w14:paraId="3AE30DA0">
      <w:pPr>
        <w:spacing w:line="360" w:lineRule="auto"/>
        <w:rPr>
          <w:rFonts w:ascii="宋体" w:hAnsi="宋体" w:cs="宋体"/>
          <w:sz w:val="28"/>
          <w:szCs w:val="28"/>
        </w:rPr>
      </w:pPr>
    </w:p>
    <w:p w14:paraId="40C5BC05">
      <w:pPr>
        <w:spacing w:line="360" w:lineRule="auto"/>
        <w:rPr>
          <w:rFonts w:ascii="宋体" w:hAnsi="宋体" w:cs="宋体"/>
          <w:sz w:val="28"/>
          <w:szCs w:val="28"/>
        </w:rPr>
      </w:pPr>
    </w:p>
    <w:p w14:paraId="2C5AB0D2">
      <w:pPr>
        <w:spacing w:line="360" w:lineRule="auto"/>
        <w:rPr>
          <w:rFonts w:ascii="宋体" w:hAnsi="宋体" w:cs="宋体"/>
          <w:sz w:val="28"/>
          <w:szCs w:val="28"/>
        </w:rPr>
      </w:pPr>
    </w:p>
    <w:p w14:paraId="7F2837D2">
      <w:pPr>
        <w:spacing w:line="360" w:lineRule="auto"/>
        <w:rPr>
          <w:rFonts w:ascii="宋体" w:hAnsi="宋体" w:cs="宋体"/>
          <w:sz w:val="28"/>
          <w:szCs w:val="28"/>
        </w:rPr>
      </w:pPr>
    </w:p>
    <w:p w14:paraId="20336DC7">
      <w:pPr>
        <w:spacing w:line="360" w:lineRule="auto"/>
        <w:rPr>
          <w:rFonts w:ascii="宋体" w:hAnsi="宋体"/>
          <w:sz w:val="28"/>
        </w:rPr>
      </w:pPr>
    </w:p>
    <w:p w14:paraId="412A3624">
      <w:pPr>
        <w:widowControl/>
        <w:jc w:val="left"/>
        <w:rPr>
          <w:rFonts w:ascii="宋体" w:hAnsi="宋体"/>
          <w:b/>
          <w:sz w:val="32"/>
        </w:rPr>
      </w:pPr>
      <w:r>
        <w:rPr>
          <w:rFonts w:ascii="宋体" w:hAnsi="宋体"/>
          <w:b/>
          <w:sz w:val="32"/>
        </w:rPr>
        <w:br w:type="page"/>
      </w:r>
    </w:p>
    <w:p w14:paraId="241A12B1">
      <w:pPr>
        <w:adjustRightInd w:val="0"/>
        <w:snapToGrid w:val="0"/>
        <w:spacing w:line="440" w:lineRule="exact"/>
        <w:jc w:val="center"/>
        <w:rPr>
          <w:rFonts w:ascii="宋体" w:hAnsi="宋体"/>
          <w:b/>
          <w:sz w:val="32"/>
        </w:rPr>
      </w:pPr>
      <w:bookmarkStart w:id="785" w:name="_Toc31006_WPSOffice_Level1"/>
      <w:r>
        <w:rPr>
          <w:rFonts w:hint="eastAsia" w:ascii="宋体" w:hAnsi="宋体"/>
          <w:b/>
          <w:sz w:val="32"/>
        </w:rPr>
        <w:t>预付款保函(参考格式)</w:t>
      </w:r>
      <w:bookmarkEnd w:id="785"/>
    </w:p>
    <w:p w14:paraId="3795DBB8">
      <w:pPr>
        <w:adjustRightInd w:val="0"/>
        <w:snapToGrid w:val="0"/>
        <w:spacing w:line="300" w:lineRule="exact"/>
        <w:ind w:firstLine="5812"/>
        <w:contextualSpacing/>
        <w:rPr>
          <w:rFonts w:ascii="宋体" w:hAnsi="宋体"/>
          <w:sz w:val="24"/>
        </w:rPr>
      </w:pPr>
    </w:p>
    <w:p w14:paraId="3520AFE4">
      <w:pPr>
        <w:spacing w:line="360" w:lineRule="auto"/>
        <w:ind w:firstLine="480" w:firstLineChars="200"/>
        <w:contextualSpacing/>
        <w:rPr>
          <w:rFonts w:ascii="宋体" w:hAnsi="宋体" w:cs="宋体"/>
          <w:snapToGrid w:val="0"/>
          <w:sz w:val="24"/>
          <w:szCs w:val="24"/>
        </w:rPr>
      </w:pPr>
      <w:r>
        <w:rPr>
          <w:rFonts w:hint="eastAsia" w:ascii="宋体" w:hAnsi="宋体" w:cs="宋体"/>
          <w:snapToGrid w:val="0"/>
          <w:sz w:val="24"/>
          <w:szCs w:val="24"/>
        </w:rPr>
        <w:t>编号：</w:t>
      </w:r>
    </w:p>
    <w:p w14:paraId="571C4F05">
      <w:pPr>
        <w:spacing w:line="360" w:lineRule="auto"/>
        <w:ind w:firstLine="480" w:firstLineChars="200"/>
        <w:rPr>
          <w:rFonts w:ascii="宋体" w:hAnsi="宋体" w:cs="宋体"/>
          <w:snapToGrid w:val="0"/>
          <w:sz w:val="24"/>
          <w:szCs w:val="24"/>
        </w:rPr>
      </w:pPr>
    </w:p>
    <w:p w14:paraId="1674FAC2">
      <w:pPr>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 xml:space="preserve">致： </w:t>
      </w:r>
    </w:p>
    <w:p w14:paraId="63632450">
      <w:pPr>
        <w:spacing w:line="360" w:lineRule="auto"/>
        <w:ind w:firstLine="480" w:firstLineChars="200"/>
        <w:rPr>
          <w:rFonts w:ascii="宋体" w:hAnsi="宋体" w:cs="宋体"/>
          <w:snapToGrid w:val="0"/>
          <w:sz w:val="24"/>
          <w:szCs w:val="24"/>
          <w:lang w:val="zh-CN"/>
        </w:rPr>
      </w:pPr>
      <w:r>
        <w:rPr>
          <w:rFonts w:hint="eastAsia" w:ascii="宋体" w:hAnsi="宋体" w:cs="宋体"/>
          <w:snapToGrid w:val="0"/>
          <w:sz w:val="24"/>
          <w:szCs w:val="24"/>
        </w:rPr>
        <w:t>根据 《</w:t>
      </w:r>
      <w:r>
        <w:rPr>
          <w:rFonts w:hint="eastAsia" w:ascii="宋体" w:hAnsi="宋体" w:cs="宋体"/>
          <w:snapToGrid w:val="0"/>
          <w:sz w:val="24"/>
          <w:szCs w:val="24"/>
          <w:u w:val="single"/>
        </w:rPr>
        <w:t xml:space="preserve">                        施工合同</w:t>
      </w:r>
      <w:r>
        <w:rPr>
          <w:rFonts w:hint="eastAsia" w:ascii="宋体" w:hAnsi="宋体" w:cs="宋体"/>
          <w:snapToGrid w:val="0"/>
          <w:sz w:val="24"/>
          <w:szCs w:val="24"/>
        </w:rPr>
        <w:t>》（合同编号为       ）中的支付约定，</w:t>
      </w:r>
      <w:r>
        <w:rPr>
          <w:rFonts w:hint="eastAsia" w:ascii="宋体" w:hAnsi="宋体" w:cs="宋体"/>
          <w:snapToGrid w:val="0"/>
          <w:sz w:val="24"/>
          <w:szCs w:val="24"/>
          <w:u w:val="single"/>
        </w:rPr>
        <w:t xml:space="preserve">             </w:t>
      </w:r>
      <w:r>
        <w:rPr>
          <w:rFonts w:hint="eastAsia" w:ascii="宋体" w:hAnsi="宋体" w:cs="宋体"/>
          <w:snapToGrid w:val="0"/>
          <w:sz w:val="24"/>
          <w:szCs w:val="24"/>
        </w:rPr>
        <w:t>（以下称“承包人”）应向</w:t>
      </w:r>
      <w:r>
        <w:rPr>
          <w:rFonts w:hint="eastAsia" w:ascii="宋体" w:hAnsi="宋体" w:cs="宋体"/>
          <w:snapToGrid w:val="0"/>
          <w:sz w:val="24"/>
          <w:szCs w:val="24"/>
          <w:u w:val="single"/>
        </w:rPr>
        <w:t xml:space="preserve">                     </w:t>
      </w:r>
      <w:r>
        <w:rPr>
          <w:rFonts w:hint="eastAsia" w:ascii="宋体" w:hAnsi="宋体" w:cs="宋体"/>
          <w:snapToGrid w:val="0"/>
          <w:sz w:val="24"/>
          <w:szCs w:val="24"/>
        </w:rPr>
        <w:t>（以下称“发包人”）提交等额的预付款银行保函，以保证其忠实合格地履行合同中有关预付款的约定。</w:t>
      </w:r>
      <w:r>
        <w:rPr>
          <w:rFonts w:hint="eastAsia" w:ascii="宋体" w:hAnsi="宋体" w:cs="宋体"/>
          <w:snapToGrid w:val="0"/>
          <w:sz w:val="24"/>
          <w:szCs w:val="24"/>
          <w:u w:val="single"/>
        </w:rPr>
        <w:t xml:space="preserve">                              </w:t>
      </w:r>
      <w:r>
        <w:rPr>
          <w:rFonts w:hint="eastAsia" w:ascii="宋体" w:hAnsi="宋体" w:cs="宋体"/>
          <w:snapToGrid w:val="0"/>
          <w:sz w:val="24"/>
          <w:szCs w:val="24"/>
        </w:rPr>
        <w:t>（下称“本行”）受承包人委托，不仅作为担保人也作为主要债务人，</w:t>
      </w:r>
      <w:r>
        <w:rPr>
          <w:rFonts w:hint="eastAsia" w:ascii="宋体" w:hAnsi="宋体" w:cs="宋体"/>
          <w:snapToGrid w:val="0"/>
          <w:sz w:val="24"/>
          <w:szCs w:val="24"/>
          <w:lang w:val="zh-CN"/>
        </w:rPr>
        <w:t>同意为承包人出具</w:t>
      </w:r>
      <w:r>
        <w:rPr>
          <w:rFonts w:hint="eastAsia" w:ascii="宋体" w:hAnsi="宋体" w:cs="宋体"/>
          <w:snapToGrid w:val="0"/>
          <w:sz w:val="24"/>
          <w:szCs w:val="24"/>
        </w:rPr>
        <w:t>人民币</w:t>
      </w:r>
      <w:r>
        <w:rPr>
          <w:rFonts w:hint="eastAsia" w:ascii="宋体" w:hAnsi="宋体" w:cs="宋体"/>
          <w:b/>
          <w:snapToGrid w:val="0"/>
          <w:sz w:val="24"/>
          <w:szCs w:val="24"/>
          <w:u w:val="single"/>
        </w:rPr>
        <w:t xml:space="preserve">      </w:t>
      </w:r>
      <w:r>
        <w:rPr>
          <w:rFonts w:hint="eastAsia" w:ascii="宋体" w:hAnsi="宋体" w:cs="宋体"/>
          <w:b/>
          <w:snapToGrid w:val="0"/>
          <w:sz w:val="24"/>
          <w:szCs w:val="24"/>
        </w:rPr>
        <w:t>（￥</w:t>
      </w:r>
      <w:r>
        <w:rPr>
          <w:rFonts w:hint="eastAsia" w:ascii="宋体" w:hAnsi="宋体" w:cs="宋体"/>
          <w:b/>
          <w:snapToGrid w:val="0"/>
          <w:sz w:val="24"/>
          <w:szCs w:val="24"/>
          <w:u w:val="single"/>
        </w:rPr>
        <w:t xml:space="preserve">      元</w:t>
      </w:r>
      <w:r>
        <w:rPr>
          <w:rFonts w:hint="eastAsia" w:ascii="宋体" w:hAnsi="宋体" w:cs="宋体"/>
          <w:b/>
          <w:snapToGrid w:val="0"/>
          <w:sz w:val="24"/>
          <w:szCs w:val="24"/>
        </w:rPr>
        <w:t>）</w:t>
      </w:r>
      <w:r>
        <w:rPr>
          <w:rFonts w:hint="eastAsia" w:ascii="宋体" w:hAnsi="宋体" w:cs="宋体"/>
          <w:snapToGrid w:val="0"/>
          <w:sz w:val="24"/>
          <w:szCs w:val="24"/>
          <w:lang w:val="zh-CN"/>
        </w:rPr>
        <w:t>的预付款保函。</w:t>
      </w:r>
    </w:p>
    <w:p w14:paraId="158CF300">
      <w:pPr>
        <w:spacing w:line="360" w:lineRule="auto"/>
        <w:ind w:firstLine="480" w:firstLineChars="200"/>
        <w:rPr>
          <w:rFonts w:ascii="宋体" w:hAnsi="宋体" w:cs="宋体"/>
          <w:snapToGrid w:val="0"/>
          <w:sz w:val="24"/>
          <w:szCs w:val="24"/>
          <w:lang w:val="zh-CN"/>
        </w:rPr>
      </w:pPr>
      <w:r>
        <w:rPr>
          <w:rFonts w:hint="eastAsia" w:ascii="宋体" w:hAnsi="宋体" w:cs="宋体"/>
          <w:snapToGrid w:val="0"/>
          <w:sz w:val="24"/>
          <w:szCs w:val="24"/>
          <w:lang w:val="zh-CN"/>
        </w:rPr>
        <w:t>我行承诺如下：</w:t>
      </w:r>
    </w:p>
    <w:p w14:paraId="0646FA21">
      <w:pPr>
        <w:spacing w:line="360" w:lineRule="auto"/>
        <w:ind w:firstLine="480" w:firstLineChars="200"/>
        <w:rPr>
          <w:rFonts w:ascii="宋体" w:hAnsi="宋体" w:cs="宋体"/>
          <w:snapToGrid w:val="0"/>
          <w:sz w:val="24"/>
          <w:szCs w:val="24"/>
          <w:lang w:val="zh-CN"/>
        </w:rPr>
      </w:pPr>
      <w:r>
        <w:rPr>
          <w:rFonts w:hint="eastAsia" w:ascii="宋体" w:hAnsi="宋体" w:cs="宋体"/>
          <w:snapToGrid w:val="0"/>
          <w:sz w:val="24"/>
          <w:szCs w:val="24"/>
          <w:lang w:val="zh-CN"/>
        </w:rPr>
        <w:t>1、本行无条件、不可撤消的按发包人书面索赔通知和本保函的原件立即支付累计不超过上述金额的任何款项，也无需发包人出具任何证明或说明背景、理由。</w:t>
      </w:r>
    </w:p>
    <w:p w14:paraId="4F650E22">
      <w:pPr>
        <w:autoSpaceDE w:val="0"/>
        <w:autoSpaceDN w:val="0"/>
        <w:spacing w:line="360" w:lineRule="auto"/>
        <w:ind w:firstLine="480" w:firstLineChars="200"/>
        <w:rPr>
          <w:rFonts w:ascii="宋体" w:hAnsi="宋体" w:cs="宋体"/>
          <w:snapToGrid w:val="0"/>
          <w:sz w:val="24"/>
          <w:szCs w:val="24"/>
          <w:lang w:val="zh-CN"/>
        </w:rPr>
      </w:pPr>
      <w:r>
        <w:rPr>
          <w:rFonts w:hint="eastAsia" w:ascii="宋体" w:hAnsi="宋体"/>
          <w:sz w:val="24"/>
          <w:lang w:val="zh-CN"/>
        </w:rPr>
        <w:t>2</w:t>
      </w:r>
      <w:r>
        <w:rPr>
          <w:rFonts w:hint="eastAsia" w:ascii="宋体" w:hAnsi="宋体" w:cs="宋体"/>
          <w:snapToGrid w:val="0"/>
          <w:sz w:val="24"/>
          <w:szCs w:val="24"/>
          <w:lang w:val="zh-CN"/>
        </w:rPr>
        <w:t>、我行放弃发包人应先向</w:t>
      </w:r>
      <w:r>
        <w:rPr>
          <w:rFonts w:hint="eastAsia" w:ascii="宋体" w:hAnsi="宋体"/>
          <w:sz w:val="24"/>
          <w:lang w:val="zh-CN"/>
        </w:rPr>
        <w:t>承包人</w:t>
      </w:r>
      <w:r>
        <w:rPr>
          <w:rFonts w:hint="eastAsia" w:ascii="宋体" w:hAnsi="宋体" w:cs="宋体"/>
          <w:snapToGrid w:val="0"/>
          <w:sz w:val="24"/>
          <w:szCs w:val="24"/>
          <w:lang w:val="zh-CN"/>
        </w:rPr>
        <w:t>要求赔偿上述金额然后再向我行提出要求的权利。</w:t>
      </w:r>
    </w:p>
    <w:p w14:paraId="12540A26">
      <w:pPr>
        <w:autoSpaceDE w:val="0"/>
        <w:autoSpaceDN w:val="0"/>
        <w:spacing w:line="360" w:lineRule="auto"/>
        <w:ind w:firstLine="480" w:firstLineChars="200"/>
        <w:rPr>
          <w:rFonts w:ascii="宋体" w:hAnsi="宋体" w:cs="宋体"/>
          <w:snapToGrid w:val="0"/>
          <w:sz w:val="24"/>
          <w:szCs w:val="24"/>
          <w:lang w:val="zh-CN"/>
        </w:rPr>
      </w:pPr>
      <w:r>
        <w:rPr>
          <w:rFonts w:hint="eastAsia" w:ascii="宋体" w:hAnsi="宋体" w:cs="宋体"/>
          <w:snapToGrid w:val="0"/>
          <w:sz w:val="24"/>
          <w:szCs w:val="24"/>
          <w:lang w:val="zh-CN"/>
        </w:rPr>
        <w:t>3、我行进一步同意，在发包人和承包人之间的合同条件、合同项下的工程或合同发生变化、补充或修改，</w:t>
      </w:r>
      <w:r>
        <w:rPr>
          <w:rFonts w:hint="eastAsia" w:ascii="宋体" w:hAnsi="宋体" w:cs="宋体"/>
          <w:snapToGrid w:val="0"/>
          <w:sz w:val="24"/>
          <w:szCs w:val="24"/>
        </w:rPr>
        <w:t>在不加重我行担保责任的情况下，</w:t>
      </w:r>
      <w:r>
        <w:rPr>
          <w:rFonts w:hint="eastAsia" w:ascii="宋体" w:hAnsi="宋体" w:cs="宋体"/>
          <w:snapToGrid w:val="0"/>
          <w:sz w:val="24"/>
          <w:szCs w:val="24"/>
          <w:lang w:val="zh-CN"/>
        </w:rPr>
        <w:t>我行承担</w:t>
      </w:r>
      <w:r>
        <w:rPr>
          <w:rFonts w:hint="eastAsia" w:ascii="宋体" w:hAnsi="宋体"/>
          <w:sz w:val="24"/>
          <w:lang w:val="zh-CN"/>
        </w:rPr>
        <w:t>本保函</w:t>
      </w:r>
      <w:r>
        <w:rPr>
          <w:rFonts w:hint="eastAsia" w:ascii="宋体" w:hAnsi="宋体" w:cs="宋体"/>
          <w:snapToGrid w:val="0"/>
          <w:sz w:val="24"/>
          <w:szCs w:val="24"/>
          <w:lang w:val="zh-CN"/>
        </w:rPr>
        <w:t>的责任也不改变。有关上述变化、补充和修改也无须通知我行。</w:t>
      </w:r>
    </w:p>
    <w:p w14:paraId="5EABBBE1">
      <w:pPr>
        <w:spacing w:line="360" w:lineRule="auto"/>
        <w:ind w:firstLine="480" w:firstLineChars="200"/>
        <w:rPr>
          <w:rFonts w:ascii="宋体" w:hAnsi="宋体" w:cs="宋体"/>
          <w:snapToGrid w:val="0"/>
          <w:sz w:val="24"/>
          <w:szCs w:val="24"/>
        </w:rPr>
      </w:pPr>
      <w:r>
        <w:rPr>
          <w:rFonts w:hint="eastAsia" w:ascii="宋体" w:hAnsi="宋体" w:cs="宋体"/>
          <w:sz w:val="24"/>
          <w:szCs w:val="24"/>
        </w:rPr>
        <w:t>4、我行的保证期限为：从本保函开立之日起至发包人向承包人全部收回预付款之日止。</w:t>
      </w:r>
      <w:r>
        <w:rPr>
          <w:rFonts w:hint="eastAsia" w:ascii="宋体" w:hAnsi="宋体" w:cs="宋体"/>
          <w:snapToGrid w:val="0"/>
          <w:sz w:val="24"/>
          <w:szCs w:val="24"/>
        </w:rPr>
        <w:t xml:space="preserve"> </w:t>
      </w:r>
    </w:p>
    <w:p w14:paraId="06A2F841">
      <w:pPr>
        <w:autoSpaceDE w:val="0"/>
        <w:autoSpaceDN w:val="0"/>
        <w:adjustRightInd w:val="0"/>
        <w:snapToGrid w:val="0"/>
        <w:spacing w:line="400" w:lineRule="exact"/>
        <w:rPr>
          <w:rFonts w:ascii="宋体" w:hAnsi="宋体" w:cs="宋体"/>
          <w:snapToGrid w:val="0"/>
          <w:sz w:val="24"/>
          <w:szCs w:val="24"/>
          <w:lang w:val="zh-CN"/>
        </w:rPr>
      </w:pPr>
    </w:p>
    <w:p w14:paraId="3D52DC45">
      <w:pPr>
        <w:autoSpaceDE w:val="0"/>
        <w:autoSpaceDN w:val="0"/>
        <w:adjustRightInd w:val="0"/>
        <w:snapToGrid w:val="0"/>
        <w:spacing w:line="400" w:lineRule="exact"/>
        <w:rPr>
          <w:rFonts w:ascii="宋体" w:hAnsi="宋体" w:cs="宋体"/>
          <w:snapToGrid w:val="0"/>
          <w:sz w:val="24"/>
          <w:szCs w:val="24"/>
          <w:lang w:val="zh-CN"/>
        </w:rPr>
      </w:pPr>
    </w:p>
    <w:p w14:paraId="2453BA13">
      <w:pPr>
        <w:autoSpaceDE w:val="0"/>
        <w:autoSpaceDN w:val="0"/>
        <w:spacing w:line="360" w:lineRule="auto"/>
        <w:ind w:firstLine="4680" w:firstLineChars="1950"/>
        <w:rPr>
          <w:rFonts w:ascii="宋体" w:hAnsi="宋体" w:cs="宋体"/>
          <w:snapToGrid w:val="0"/>
          <w:sz w:val="24"/>
          <w:szCs w:val="24"/>
          <w:lang w:val="zh-CN"/>
        </w:rPr>
      </w:pPr>
      <w:r>
        <w:rPr>
          <w:rFonts w:hint="eastAsia" w:ascii="宋体" w:hAnsi="宋体" w:cs="宋体"/>
          <w:snapToGrid w:val="0"/>
          <w:sz w:val="24"/>
          <w:szCs w:val="24"/>
          <w:lang w:val="zh-CN"/>
        </w:rPr>
        <w:t>银行名称：（盖章）</w:t>
      </w:r>
    </w:p>
    <w:p w14:paraId="0CD81620">
      <w:pPr>
        <w:autoSpaceDE w:val="0"/>
        <w:autoSpaceDN w:val="0"/>
        <w:spacing w:line="360" w:lineRule="auto"/>
        <w:rPr>
          <w:rFonts w:ascii="宋体" w:hAnsi="宋体" w:cs="宋体"/>
          <w:snapToGrid w:val="0"/>
          <w:sz w:val="24"/>
          <w:szCs w:val="24"/>
          <w:lang w:val="zh-CN"/>
        </w:rPr>
      </w:pPr>
    </w:p>
    <w:p w14:paraId="23EA8CF6">
      <w:pPr>
        <w:autoSpaceDE w:val="0"/>
        <w:autoSpaceDN w:val="0"/>
        <w:spacing w:line="360" w:lineRule="auto"/>
        <w:ind w:firstLine="4680" w:firstLineChars="1950"/>
        <w:rPr>
          <w:rFonts w:ascii="宋体" w:hAnsi="宋体" w:cs="宋体"/>
          <w:snapToGrid w:val="0"/>
          <w:sz w:val="24"/>
          <w:szCs w:val="24"/>
          <w:lang w:val="zh-CN"/>
        </w:rPr>
      </w:pPr>
      <w:r>
        <w:rPr>
          <w:rFonts w:hint="eastAsia" w:ascii="宋体" w:hAnsi="宋体" w:cs="宋体"/>
          <w:snapToGrid w:val="0"/>
          <w:sz w:val="24"/>
          <w:szCs w:val="24"/>
          <w:lang w:val="zh-CN"/>
        </w:rPr>
        <w:t>银行负责人（或委托代理人）：</w:t>
      </w:r>
    </w:p>
    <w:p w14:paraId="6A6B3DD2">
      <w:pPr>
        <w:autoSpaceDE w:val="0"/>
        <w:autoSpaceDN w:val="0"/>
        <w:spacing w:line="360" w:lineRule="auto"/>
        <w:rPr>
          <w:rFonts w:ascii="宋体" w:hAnsi="宋体" w:cs="宋体"/>
          <w:snapToGrid w:val="0"/>
          <w:sz w:val="24"/>
          <w:szCs w:val="24"/>
          <w:lang w:val="zh-CN"/>
        </w:rPr>
      </w:pPr>
    </w:p>
    <w:p w14:paraId="6EC1E676">
      <w:pPr>
        <w:autoSpaceDE w:val="0"/>
        <w:autoSpaceDN w:val="0"/>
        <w:spacing w:line="360" w:lineRule="auto"/>
        <w:ind w:firstLine="4680" w:firstLineChars="1950"/>
        <w:rPr>
          <w:rFonts w:ascii="宋体" w:hAnsi="宋体" w:cs="宋体"/>
          <w:snapToGrid w:val="0"/>
          <w:sz w:val="24"/>
          <w:szCs w:val="24"/>
          <w:lang w:val="zh-CN"/>
        </w:rPr>
      </w:pPr>
      <w:r>
        <w:rPr>
          <w:rFonts w:hint="eastAsia" w:ascii="宋体" w:hAnsi="宋体" w:cs="宋体"/>
          <w:snapToGrid w:val="0"/>
          <w:sz w:val="24"/>
          <w:szCs w:val="24"/>
          <w:lang w:val="zh-CN"/>
        </w:rPr>
        <w:t>地址：</w:t>
      </w:r>
    </w:p>
    <w:p w14:paraId="16DA0973">
      <w:pPr>
        <w:autoSpaceDE w:val="0"/>
        <w:autoSpaceDN w:val="0"/>
        <w:spacing w:line="360" w:lineRule="auto"/>
        <w:ind w:firstLine="4680" w:firstLineChars="1950"/>
        <w:rPr>
          <w:rFonts w:ascii="宋体" w:hAnsi="宋体" w:cs="宋体"/>
          <w:snapToGrid w:val="0"/>
          <w:sz w:val="24"/>
          <w:szCs w:val="24"/>
          <w:lang w:val="zh-CN"/>
        </w:rPr>
      </w:pPr>
      <w:r>
        <w:rPr>
          <w:rFonts w:hint="eastAsia" w:ascii="宋体" w:hAnsi="宋体" w:cs="宋体"/>
          <w:snapToGrid w:val="0"/>
          <w:sz w:val="24"/>
          <w:szCs w:val="24"/>
          <w:lang w:val="zh-CN"/>
        </w:rPr>
        <w:t>邮政编码：</w:t>
      </w:r>
    </w:p>
    <w:p w14:paraId="4767E0DF">
      <w:pPr>
        <w:autoSpaceDE w:val="0"/>
        <w:autoSpaceDN w:val="0"/>
        <w:spacing w:line="360" w:lineRule="auto"/>
        <w:ind w:firstLine="4680" w:firstLineChars="1950"/>
        <w:rPr>
          <w:rFonts w:ascii="宋体" w:hAnsi="宋体" w:cs="宋体"/>
          <w:snapToGrid w:val="0"/>
          <w:sz w:val="24"/>
          <w:szCs w:val="24"/>
          <w:lang w:val="zh-CN"/>
        </w:rPr>
      </w:pPr>
      <w:r>
        <w:rPr>
          <w:rFonts w:hint="eastAsia" w:ascii="宋体" w:hAnsi="宋体" w:cs="宋体"/>
          <w:snapToGrid w:val="0"/>
          <w:sz w:val="24"/>
          <w:szCs w:val="24"/>
          <w:lang w:val="zh-CN"/>
        </w:rPr>
        <w:t>联系电话：</w:t>
      </w:r>
    </w:p>
    <w:p w14:paraId="3DFBC71E">
      <w:pPr>
        <w:spacing w:line="360" w:lineRule="auto"/>
        <w:ind w:firstLine="4680" w:firstLineChars="1950"/>
        <w:rPr>
          <w:rFonts w:ascii="宋体" w:hAnsi="宋体"/>
          <w:sz w:val="24"/>
          <w:lang w:val="zh-CN"/>
        </w:rPr>
      </w:pPr>
      <w:r>
        <w:rPr>
          <w:rFonts w:hint="eastAsia" w:ascii="宋体" w:hAnsi="宋体" w:cs="宋体"/>
          <w:snapToGrid w:val="0"/>
          <w:sz w:val="24"/>
          <w:szCs w:val="24"/>
          <w:lang w:val="zh-CN"/>
        </w:rPr>
        <w:t>日期：</w:t>
      </w:r>
      <w:r>
        <w:rPr>
          <w:rFonts w:hint="eastAsia" w:ascii="宋体" w:hAnsi="宋体"/>
          <w:sz w:val="24"/>
          <w:u w:val="single"/>
          <w:lang w:val="zh-CN"/>
        </w:rPr>
        <w:t xml:space="preserve">    </w:t>
      </w:r>
      <w:r>
        <w:rPr>
          <w:rFonts w:hint="eastAsia" w:ascii="宋体" w:hAnsi="宋体"/>
          <w:sz w:val="24"/>
          <w:lang w:val="zh-CN"/>
        </w:rPr>
        <w:t>年</w:t>
      </w:r>
      <w:r>
        <w:rPr>
          <w:rFonts w:hint="eastAsia" w:ascii="宋体" w:hAnsi="宋体"/>
          <w:sz w:val="24"/>
          <w:u w:val="single"/>
          <w:lang w:val="zh-CN"/>
        </w:rPr>
        <w:t xml:space="preserve">   </w:t>
      </w:r>
      <w:r>
        <w:rPr>
          <w:rFonts w:hint="eastAsia" w:ascii="宋体" w:hAnsi="宋体"/>
          <w:sz w:val="24"/>
          <w:lang w:val="zh-CN"/>
        </w:rPr>
        <w:t>月</w:t>
      </w:r>
      <w:r>
        <w:rPr>
          <w:rFonts w:hint="eastAsia" w:ascii="宋体" w:hAnsi="宋体"/>
          <w:sz w:val="24"/>
          <w:u w:val="single"/>
          <w:lang w:val="zh-CN"/>
        </w:rPr>
        <w:t xml:space="preserve">   </w:t>
      </w:r>
      <w:r>
        <w:rPr>
          <w:rFonts w:hint="eastAsia" w:ascii="宋体" w:hAnsi="宋体"/>
          <w:sz w:val="24"/>
          <w:lang w:val="zh-CN"/>
        </w:rPr>
        <w:t>日</w:t>
      </w:r>
    </w:p>
    <w:p w14:paraId="48C297CB">
      <w:pPr>
        <w:adjustRightInd w:val="0"/>
        <w:snapToGrid w:val="0"/>
        <w:spacing w:line="360" w:lineRule="auto"/>
        <w:outlineLvl w:val="1"/>
        <w:rPr>
          <w:rFonts w:ascii="宋体" w:hAnsi="宋体"/>
          <w:kern w:val="0"/>
          <w:sz w:val="24"/>
        </w:rPr>
      </w:pPr>
      <w:r>
        <w:rPr>
          <w:rFonts w:hint="eastAsia" w:ascii="宋体" w:hAnsi="宋体"/>
          <w:sz w:val="28"/>
        </w:rPr>
        <w:br w:type="page"/>
      </w:r>
      <w:bookmarkStart w:id="786" w:name="_Toc504735676"/>
      <w:bookmarkStart w:id="787" w:name="_Toc518402642"/>
      <w:bookmarkStart w:id="788" w:name="_Toc59802267"/>
      <w:bookmarkStart w:id="789" w:name="_Toc104901818"/>
      <w:bookmarkStart w:id="790" w:name="_Toc104901622"/>
      <w:r>
        <w:rPr>
          <w:rFonts w:hint="eastAsia" w:ascii="宋体" w:hAnsi="宋体"/>
          <w:kern w:val="0"/>
          <w:sz w:val="24"/>
        </w:rPr>
        <w:t>附件5：</w:t>
      </w:r>
      <w:bookmarkEnd w:id="786"/>
      <w:bookmarkEnd w:id="787"/>
      <w:bookmarkEnd w:id="788"/>
      <w:r>
        <w:rPr>
          <w:rFonts w:hint="eastAsia" w:ascii="宋体" w:hAnsi="宋体"/>
          <w:kern w:val="0"/>
          <w:sz w:val="24"/>
        </w:rPr>
        <w:t>投入主要施工管理及技术人员列表、投入主要设计人员列表</w:t>
      </w:r>
    </w:p>
    <w:p w14:paraId="20B92F0F">
      <w:pPr>
        <w:adjustRightInd w:val="0"/>
        <w:snapToGrid w:val="0"/>
        <w:spacing w:line="360" w:lineRule="auto"/>
        <w:jc w:val="center"/>
        <w:rPr>
          <w:rFonts w:ascii="宋体" w:hAnsi="宋体" w:cs="宋体"/>
          <w:b/>
          <w:snapToGrid w:val="0"/>
          <w:kern w:val="0"/>
          <w:sz w:val="32"/>
          <w:szCs w:val="32"/>
        </w:rPr>
      </w:pPr>
      <w:bookmarkStart w:id="791" w:name="_Toc26713_WPSOffice_Level2"/>
      <w:r>
        <w:rPr>
          <w:rFonts w:hint="eastAsia" w:ascii="宋体" w:hAnsi="宋体"/>
          <w:b/>
          <w:kern w:val="0"/>
          <w:sz w:val="32"/>
        </w:rPr>
        <w:t>投入主要施工管理及技术人员列表</w:t>
      </w:r>
      <w:bookmarkEnd w:id="789"/>
      <w:bookmarkEnd w:id="790"/>
      <w:bookmarkStart w:id="792" w:name="_Toc59802268"/>
      <w:r>
        <w:rPr>
          <w:rFonts w:hint="eastAsia" w:ascii="宋体" w:hAnsi="宋体" w:cs="宋体"/>
          <w:b/>
          <w:snapToGrid w:val="0"/>
          <w:kern w:val="0"/>
          <w:sz w:val="32"/>
          <w:szCs w:val="32"/>
        </w:rPr>
        <w:t>、投入主要设计人员列表（包括但不限于）</w:t>
      </w:r>
      <w:bookmarkEnd w:id="791"/>
    </w:p>
    <w:p w14:paraId="5961F177">
      <w:pPr>
        <w:adjustRightInd w:val="0"/>
        <w:snapToGrid w:val="0"/>
        <w:spacing w:line="360" w:lineRule="auto"/>
        <w:jc w:val="center"/>
        <w:rPr>
          <w:rFonts w:ascii="宋体" w:hAnsi="宋体" w:cs="宋体"/>
          <w:b/>
          <w:snapToGrid w:val="0"/>
          <w:kern w:val="0"/>
          <w:sz w:val="32"/>
          <w:szCs w:val="32"/>
        </w:rPr>
      </w:pPr>
    </w:p>
    <w:p w14:paraId="0B9BCE6A">
      <w:pPr>
        <w:adjustRightInd w:val="0"/>
        <w:snapToGrid w:val="0"/>
        <w:spacing w:line="360" w:lineRule="auto"/>
        <w:jc w:val="center"/>
        <w:rPr>
          <w:rFonts w:ascii="宋体" w:hAnsi="宋体" w:cs="宋体"/>
          <w:b/>
          <w:snapToGrid w:val="0"/>
          <w:kern w:val="0"/>
          <w:sz w:val="32"/>
          <w:szCs w:val="32"/>
        </w:rPr>
      </w:pPr>
      <w:bookmarkStart w:id="793" w:name="_Toc9590_WPSOffice_Level1"/>
      <w:r>
        <w:rPr>
          <w:rFonts w:hint="eastAsia" w:ascii="宋体" w:hAnsi="宋体" w:cs="宋体"/>
          <w:b/>
          <w:snapToGrid w:val="0"/>
          <w:kern w:val="0"/>
          <w:sz w:val="32"/>
          <w:szCs w:val="32"/>
        </w:rPr>
        <w:t>主要施工管理及技术人员列表</w:t>
      </w:r>
      <w:bookmarkEnd w:id="793"/>
    </w:p>
    <w:p w14:paraId="6516F0A2">
      <w:pPr>
        <w:adjustRightInd w:val="0"/>
        <w:snapToGrid w:val="0"/>
        <w:spacing w:line="360" w:lineRule="auto"/>
        <w:jc w:val="center"/>
        <w:rPr>
          <w:rFonts w:ascii="宋体" w:hAnsi="宋体" w:cs="宋体"/>
          <w:b/>
          <w:snapToGrid w:val="0"/>
          <w:kern w:val="0"/>
          <w:sz w:val="32"/>
          <w:szCs w:val="32"/>
        </w:rPr>
      </w:pPr>
      <w:bookmarkStart w:id="794" w:name="_Toc3490_WPSOffice_Level1"/>
    </w:p>
    <w:p w14:paraId="10458162">
      <w:pPr>
        <w:adjustRightInd w:val="0"/>
        <w:snapToGrid w:val="0"/>
        <w:spacing w:line="360" w:lineRule="auto"/>
        <w:jc w:val="center"/>
        <w:rPr>
          <w:rFonts w:ascii="宋体" w:hAnsi="宋体" w:cs="宋体"/>
          <w:b/>
          <w:snapToGrid w:val="0"/>
          <w:kern w:val="0"/>
          <w:sz w:val="32"/>
          <w:szCs w:val="32"/>
        </w:rPr>
      </w:pPr>
    </w:p>
    <w:p w14:paraId="1D07F8A1">
      <w:pPr>
        <w:pStyle w:val="46"/>
        <w:ind w:firstLine="643"/>
        <w:rPr>
          <w:rFonts w:ascii="宋体" w:hAnsi="宋体" w:cs="宋体"/>
          <w:b/>
          <w:snapToGrid w:val="0"/>
          <w:kern w:val="0"/>
          <w:sz w:val="32"/>
          <w:szCs w:val="32"/>
        </w:rPr>
      </w:pPr>
    </w:p>
    <w:p w14:paraId="75C54B1B">
      <w:pPr>
        <w:pStyle w:val="46"/>
        <w:ind w:firstLine="643"/>
        <w:rPr>
          <w:rFonts w:ascii="宋体" w:hAnsi="宋体" w:cs="宋体"/>
          <w:b/>
          <w:snapToGrid w:val="0"/>
          <w:kern w:val="0"/>
          <w:sz w:val="32"/>
          <w:szCs w:val="32"/>
        </w:rPr>
      </w:pPr>
    </w:p>
    <w:p w14:paraId="0340BA62">
      <w:pPr>
        <w:pStyle w:val="46"/>
        <w:ind w:firstLine="643"/>
        <w:rPr>
          <w:rFonts w:ascii="宋体" w:hAnsi="宋体" w:cs="宋体"/>
          <w:b/>
          <w:snapToGrid w:val="0"/>
          <w:kern w:val="0"/>
          <w:sz w:val="32"/>
          <w:szCs w:val="32"/>
        </w:rPr>
      </w:pPr>
    </w:p>
    <w:p w14:paraId="07E19206">
      <w:pPr>
        <w:pStyle w:val="46"/>
        <w:ind w:firstLine="643"/>
        <w:rPr>
          <w:rFonts w:ascii="宋体" w:hAnsi="宋体" w:cs="宋体"/>
          <w:b/>
          <w:snapToGrid w:val="0"/>
          <w:kern w:val="0"/>
          <w:sz w:val="32"/>
          <w:szCs w:val="32"/>
        </w:rPr>
      </w:pPr>
    </w:p>
    <w:p w14:paraId="5BCE7213">
      <w:pPr>
        <w:adjustRightInd w:val="0"/>
        <w:snapToGrid w:val="0"/>
        <w:spacing w:line="360" w:lineRule="auto"/>
        <w:jc w:val="center"/>
        <w:rPr>
          <w:rFonts w:ascii="宋体" w:hAnsi="宋体" w:cs="宋体"/>
          <w:b/>
          <w:snapToGrid w:val="0"/>
          <w:kern w:val="0"/>
          <w:sz w:val="32"/>
          <w:szCs w:val="32"/>
        </w:rPr>
      </w:pPr>
      <w:r>
        <w:rPr>
          <w:rFonts w:hint="eastAsia" w:ascii="宋体" w:hAnsi="宋体" w:cs="宋体"/>
          <w:b/>
          <w:snapToGrid w:val="0"/>
          <w:kern w:val="0"/>
          <w:sz w:val="32"/>
          <w:szCs w:val="32"/>
        </w:rPr>
        <w:t>投入主要设计人员列表</w:t>
      </w:r>
      <w:bookmarkEnd w:id="794"/>
    </w:p>
    <w:p w14:paraId="7843982F">
      <w:pPr>
        <w:adjustRightInd w:val="0"/>
        <w:snapToGrid w:val="0"/>
        <w:spacing w:line="360" w:lineRule="auto"/>
        <w:outlineLvl w:val="1"/>
        <w:rPr>
          <w:rFonts w:ascii="宋体" w:hAnsi="宋体"/>
          <w:kern w:val="0"/>
          <w:sz w:val="24"/>
        </w:rPr>
      </w:pPr>
      <w:r>
        <w:rPr>
          <w:rFonts w:hint="eastAsia" w:ascii="宋体" w:hAnsi="宋体" w:cs="宋体"/>
          <w:b/>
          <w:snapToGrid w:val="0"/>
          <w:kern w:val="0"/>
          <w:sz w:val="30"/>
          <w:szCs w:val="30"/>
        </w:rPr>
        <w:br w:type="page"/>
      </w:r>
      <w:bookmarkStart w:id="795" w:name="_Toc518402644"/>
      <w:bookmarkStart w:id="796" w:name="_Toc504735678"/>
      <w:bookmarkStart w:id="797" w:name="_Toc104901623"/>
      <w:bookmarkStart w:id="798" w:name="_Toc104901819"/>
      <w:r>
        <w:rPr>
          <w:rFonts w:hint="eastAsia" w:ascii="宋体" w:hAnsi="宋体"/>
          <w:kern w:val="0"/>
          <w:sz w:val="24"/>
        </w:rPr>
        <w:t>附件6：</w:t>
      </w:r>
      <w:bookmarkEnd w:id="792"/>
      <w:bookmarkEnd w:id="795"/>
      <w:bookmarkEnd w:id="796"/>
      <w:r>
        <w:rPr>
          <w:rFonts w:hint="eastAsia" w:ascii="宋体" w:hAnsi="宋体"/>
          <w:kern w:val="0"/>
          <w:sz w:val="24"/>
        </w:rPr>
        <w:t>招标答疑及澄清文件</w:t>
      </w:r>
    </w:p>
    <w:p w14:paraId="2357F845">
      <w:pPr>
        <w:adjustRightInd w:val="0"/>
        <w:snapToGrid w:val="0"/>
        <w:spacing w:line="360" w:lineRule="auto"/>
        <w:ind w:firstLine="643"/>
        <w:jc w:val="left"/>
        <w:rPr>
          <w:rFonts w:hint="eastAsia" w:ascii="宋体" w:hAnsi="宋体"/>
          <w:sz w:val="24"/>
        </w:rPr>
      </w:pPr>
      <w:bookmarkStart w:id="799" w:name="_Toc30405_WPSOffice_Level1"/>
      <w:r>
        <w:rPr>
          <w:rFonts w:hint="eastAsia" w:ascii="宋体" w:hAnsi="宋体"/>
          <w:b/>
          <w:kern w:val="0"/>
          <w:sz w:val="32"/>
        </w:rPr>
        <w:t>招标答疑及澄清文件（复印件）</w:t>
      </w:r>
      <w:bookmarkEnd w:id="797"/>
      <w:bookmarkEnd w:id="798"/>
      <w:bookmarkEnd w:id="799"/>
      <w:r>
        <w:rPr>
          <w:rFonts w:hint="eastAsia" w:ascii="宋体" w:hAnsi="宋体" w:cs="宋体"/>
        </w:rPr>
        <w:t xml:space="preserve"> </w:t>
      </w:r>
      <w:r>
        <w:rPr>
          <w:rFonts w:hint="eastAsia" w:ascii="宋体" w:hAnsi="宋体"/>
          <w:sz w:val="24"/>
        </w:rPr>
        <w:br w:type="page"/>
      </w:r>
      <w:bookmarkStart w:id="800" w:name="_Toc18666"/>
      <w:bookmarkStart w:id="801" w:name="_Toc20892"/>
      <w:bookmarkStart w:id="802" w:name="_Toc18540"/>
      <w:bookmarkStart w:id="803" w:name="_Toc21210"/>
      <w:bookmarkStart w:id="804" w:name="_Toc104901624"/>
      <w:bookmarkStart w:id="805" w:name="_Toc59802269"/>
      <w:bookmarkStart w:id="806" w:name="_Toc104901820"/>
    </w:p>
    <w:p w14:paraId="721ACB49">
      <w:pPr>
        <w:adjustRightInd w:val="0"/>
        <w:snapToGrid w:val="0"/>
        <w:spacing w:line="360" w:lineRule="auto"/>
        <w:ind w:firstLine="0"/>
        <w:jc w:val="left"/>
        <w:outlineLvl w:val="1"/>
        <w:rPr>
          <w:rFonts w:hint="eastAsia" w:ascii="宋体" w:hAnsi="宋体"/>
          <w:b w:val="0"/>
          <w:kern w:val="0"/>
          <w:sz w:val="24"/>
        </w:rPr>
      </w:pPr>
      <w:r>
        <w:rPr>
          <w:rFonts w:hint="eastAsia" w:ascii="宋体" w:hAnsi="宋体"/>
          <w:sz w:val="24"/>
        </w:rPr>
        <w:t>附件7：</w:t>
      </w:r>
      <w:bookmarkEnd w:id="800"/>
      <w:bookmarkEnd w:id="801"/>
      <w:bookmarkEnd w:id="802"/>
      <w:bookmarkEnd w:id="803"/>
      <w:r>
        <w:rPr>
          <w:rFonts w:hint="eastAsia" w:ascii="宋体" w:hAnsi="宋体"/>
          <w:sz w:val="24"/>
        </w:rPr>
        <w:t>工程质量终身责任承诺书</w:t>
      </w:r>
    </w:p>
    <w:p w14:paraId="3BF4DC74">
      <w:pPr>
        <w:adjustRightInd w:val="0"/>
        <w:snapToGrid w:val="0"/>
        <w:spacing w:line="360" w:lineRule="auto"/>
        <w:ind w:firstLine="643"/>
        <w:jc w:val="center"/>
        <w:rPr>
          <w:rFonts w:ascii="宋体" w:hAnsi="宋体"/>
          <w:b/>
          <w:kern w:val="0"/>
          <w:sz w:val="32"/>
        </w:rPr>
      </w:pPr>
      <w:r>
        <w:rPr>
          <w:rFonts w:hint="eastAsia" w:ascii="宋体" w:hAnsi="宋体"/>
          <w:b/>
          <w:kern w:val="0"/>
          <w:sz w:val="32"/>
        </w:rPr>
        <w:t>工程质量终身责任承诺书（含法定代表人授权书）</w:t>
      </w:r>
      <w:bookmarkEnd w:id="804"/>
      <w:bookmarkEnd w:id="805"/>
      <w:bookmarkEnd w:id="806"/>
    </w:p>
    <w:p w14:paraId="42A60CCF">
      <w:pPr>
        <w:spacing w:line="400" w:lineRule="exact"/>
        <w:jc w:val="center"/>
        <w:rPr>
          <w:rFonts w:ascii="宋体" w:hAnsi="宋体" w:cs="宋体"/>
          <w:b/>
          <w:sz w:val="32"/>
          <w:szCs w:val="32"/>
        </w:rPr>
      </w:pPr>
    </w:p>
    <w:p w14:paraId="42456DCE">
      <w:pPr>
        <w:spacing w:line="400" w:lineRule="exact"/>
        <w:jc w:val="center"/>
        <w:rPr>
          <w:rFonts w:ascii="宋体" w:hAnsi="宋体" w:cs="宋体"/>
          <w:b/>
          <w:szCs w:val="21"/>
        </w:rPr>
      </w:pPr>
      <w:bookmarkStart w:id="807" w:name="_Toc5585_WPSOffice_Level1"/>
      <w:r>
        <w:rPr>
          <w:rFonts w:hint="eastAsia" w:ascii="宋体" w:hAnsi="宋体" w:cs="宋体"/>
          <w:b/>
          <w:sz w:val="32"/>
          <w:szCs w:val="32"/>
        </w:rPr>
        <w:t>法定代表人授权书</w:t>
      </w:r>
      <w:bookmarkEnd w:id="807"/>
    </w:p>
    <w:p w14:paraId="28AD09FA">
      <w:pPr>
        <w:spacing w:line="400" w:lineRule="exact"/>
        <w:jc w:val="center"/>
        <w:rPr>
          <w:rFonts w:ascii="宋体" w:hAnsi="宋体" w:cs="宋体"/>
          <w:b/>
          <w:szCs w:val="21"/>
        </w:rPr>
      </w:pPr>
    </w:p>
    <w:p w14:paraId="060A45E7">
      <w:pPr>
        <w:spacing w:line="360" w:lineRule="auto"/>
        <w:ind w:firstLine="480" w:firstLineChars="200"/>
        <w:rPr>
          <w:rFonts w:ascii="宋体" w:hAnsi="宋体" w:cs="宋体"/>
          <w:sz w:val="24"/>
        </w:rPr>
      </w:pPr>
      <w:r>
        <w:rPr>
          <w:rFonts w:hint="eastAsia" w:ascii="宋体" w:hAnsi="宋体" w:cs="宋体"/>
          <w:sz w:val="24"/>
        </w:rPr>
        <w:t>兹授权我单位</w:t>
      </w:r>
      <w:r>
        <w:rPr>
          <w:rFonts w:hint="eastAsia" w:ascii="宋体" w:hAnsi="宋体" w:cs="宋体"/>
          <w:sz w:val="24"/>
          <w:u w:val="single"/>
          <w:lang w:val="en-US" w:eastAsia="zh-CN"/>
        </w:rPr>
        <w:t xml:space="preserve">     </w:t>
      </w:r>
      <w:r>
        <w:rPr>
          <w:rFonts w:hint="eastAsia" w:ascii="宋体" w:hAnsi="宋体" w:cs="宋体"/>
          <w:sz w:val="24"/>
        </w:rPr>
        <w:t>担任</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工程项目设计施工总承包工程</w:t>
      </w:r>
      <w:r>
        <w:rPr>
          <w:rFonts w:hint="eastAsia" w:ascii="宋体" w:hAnsi="宋体" w:cs="宋体"/>
          <w:sz w:val="24"/>
        </w:rPr>
        <w:t>项目的设计项目负责人，对该工程项目的设计工作实施组织管理，依据国家有关法律法规及标准规范履行职责，并依法对设计使用年限内的工程质量承担相应终身责任。</w:t>
      </w:r>
    </w:p>
    <w:p w14:paraId="69F94B4D">
      <w:pPr>
        <w:spacing w:line="360" w:lineRule="auto"/>
        <w:ind w:firstLine="480" w:firstLineChars="200"/>
        <w:rPr>
          <w:rFonts w:ascii="宋体" w:hAnsi="宋体" w:cs="宋体"/>
          <w:sz w:val="24"/>
        </w:rPr>
      </w:pPr>
      <w:r>
        <w:rPr>
          <w:rFonts w:hint="eastAsia" w:ascii="宋体" w:hAnsi="宋体" w:cs="宋体"/>
          <w:sz w:val="24"/>
        </w:rPr>
        <w:t>本授权书自授权之日起生效。</w:t>
      </w:r>
    </w:p>
    <w:tbl>
      <w:tblPr>
        <w:tblStyle w:val="4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947"/>
        <w:gridCol w:w="1920"/>
        <w:gridCol w:w="2758"/>
      </w:tblGrid>
      <w:tr w14:paraId="4F72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4"/>
          </w:tcPr>
          <w:p w14:paraId="0C3E7A8B">
            <w:pPr>
              <w:spacing w:line="360" w:lineRule="auto"/>
              <w:ind w:firstLine="200"/>
              <w:jc w:val="center"/>
              <w:rPr>
                <w:rFonts w:ascii="宋体" w:hAnsi="宋体" w:cs="宋体"/>
                <w:sz w:val="24"/>
              </w:rPr>
            </w:pPr>
            <w:r>
              <w:rPr>
                <w:rFonts w:hint="eastAsia" w:ascii="宋体" w:hAnsi="宋体" w:cs="宋体"/>
                <w:b/>
                <w:bCs/>
                <w:sz w:val="24"/>
              </w:rPr>
              <w:t>被授权人基本情况</w:t>
            </w:r>
          </w:p>
        </w:tc>
      </w:tr>
      <w:tr w14:paraId="204C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5587A01">
            <w:pPr>
              <w:spacing w:line="360" w:lineRule="auto"/>
              <w:ind w:firstLine="200"/>
              <w:rPr>
                <w:rFonts w:ascii="宋体" w:hAnsi="宋体" w:cs="宋体"/>
                <w:sz w:val="24"/>
              </w:rPr>
            </w:pPr>
            <w:r>
              <w:rPr>
                <w:rFonts w:hint="eastAsia" w:ascii="宋体" w:hAnsi="宋体" w:cs="宋体"/>
                <w:sz w:val="24"/>
              </w:rPr>
              <w:t>姓  名</w:t>
            </w:r>
          </w:p>
        </w:tc>
        <w:tc>
          <w:tcPr>
            <w:tcW w:w="1947" w:type="dxa"/>
          </w:tcPr>
          <w:p w14:paraId="539FD9B1">
            <w:pPr>
              <w:spacing w:line="360" w:lineRule="auto"/>
              <w:ind w:firstLine="200"/>
              <w:rPr>
                <w:rFonts w:hint="eastAsia" w:ascii="宋体" w:hAnsi="宋体" w:eastAsia="宋体" w:cs="宋体"/>
                <w:sz w:val="24"/>
                <w:lang w:eastAsia="zh-CN"/>
              </w:rPr>
            </w:pPr>
            <w:r>
              <w:rPr>
                <w:rFonts w:hint="eastAsia" w:ascii="宋体" w:hAnsi="宋体" w:cs="宋体"/>
                <w:sz w:val="24"/>
                <w:lang w:val="en-US" w:eastAsia="zh-CN"/>
              </w:rPr>
              <w:t xml:space="preserve"> </w:t>
            </w:r>
          </w:p>
        </w:tc>
        <w:tc>
          <w:tcPr>
            <w:tcW w:w="1920" w:type="dxa"/>
          </w:tcPr>
          <w:p w14:paraId="38192764">
            <w:pPr>
              <w:spacing w:line="360" w:lineRule="auto"/>
              <w:ind w:firstLine="200"/>
              <w:rPr>
                <w:rFonts w:ascii="宋体" w:hAnsi="宋体" w:cs="宋体"/>
                <w:sz w:val="24"/>
              </w:rPr>
            </w:pPr>
            <w:r>
              <w:rPr>
                <w:rFonts w:hint="eastAsia" w:ascii="宋体" w:hAnsi="宋体" w:cs="宋体"/>
                <w:sz w:val="24"/>
              </w:rPr>
              <w:t>身份证号</w:t>
            </w:r>
          </w:p>
        </w:tc>
        <w:tc>
          <w:tcPr>
            <w:tcW w:w="2758" w:type="dxa"/>
          </w:tcPr>
          <w:p w14:paraId="70B1F228">
            <w:pPr>
              <w:spacing w:line="360" w:lineRule="auto"/>
              <w:ind w:firstLine="200"/>
              <w:rPr>
                <w:rFonts w:hint="eastAsia" w:ascii="宋体" w:hAnsi="宋体" w:eastAsia="宋体" w:cs="宋体"/>
                <w:sz w:val="24"/>
                <w:lang w:eastAsia="zh-CN"/>
              </w:rPr>
            </w:pPr>
            <w:r>
              <w:rPr>
                <w:rFonts w:hint="eastAsia" w:ascii="宋体" w:hAnsi="宋体" w:cs="宋体"/>
                <w:sz w:val="24"/>
                <w:lang w:val="en-US" w:eastAsia="zh-CN"/>
              </w:rPr>
              <w:t xml:space="preserve"> </w:t>
            </w:r>
          </w:p>
        </w:tc>
      </w:tr>
      <w:tr w14:paraId="2733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050E598">
            <w:pPr>
              <w:spacing w:line="360" w:lineRule="auto"/>
              <w:ind w:firstLine="200"/>
              <w:rPr>
                <w:rFonts w:ascii="宋体" w:hAnsi="宋体" w:cs="宋体"/>
                <w:sz w:val="24"/>
              </w:rPr>
            </w:pPr>
            <w:r>
              <w:rPr>
                <w:rFonts w:hint="eastAsia" w:ascii="宋体" w:hAnsi="宋体" w:cs="宋体"/>
                <w:sz w:val="24"/>
              </w:rPr>
              <w:t xml:space="preserve"> </w:t>
            </w:r>
          </w:p>
        </w:tc>
        <w:tc>
          <w:tcPr>
            <w:tcW w:w="1947" w:type="dxa"/>
          </w:tcPr>
          <w:p w14:paraId="4655E777">
            <w:pPr>
              <w:spacing w:line="360" w:lineRule="auto"/>
              <w:ind w:firstLine="200"/>
              <w:rPr>
                <w:rFonts w:ascii="宋体" w:hAnsi="宋体" w:cs="宋体"/>
                <w:sz w:val="24"/>
              </w:rPr>
            </w:pPr>
          </w:p>
        </w:tc>
        <w:tc>
          <w:tcPr>
            <w:tcW w:w="1920" w:type="dxa"/>
          </w:tcPr>
          <w:p w14:paraId="258A343F">
            <w:pPr>
              <w:spacing w:line="360" w:lineRule="auto"/>
              <w:ind w:firstLine="200"/>
              <w:rPr>
                <w:rFonts w:ascii="宋体" w:hAnsi="宋体" w:cs="宋体"/>
                <w:sz w:val="24"/>
              </w:rPr>
            </w:pPr>
            <w:r>
              <w:rPr>
                <w:rFonts w:hint="eastAsia" w:ascii="宋体" w:hAnsi="宋体" w:cs="宋体"/>
                <w:sz w:val="24"/>
              </w:rPr>
              <w:t>注册执业证号</w:t>
            </w:r>
          </w:p>
        </w:tc>
        <w:tc>
          <w:tcPr>
            <w:tcW w:w="2758" w:type="dxa"/>
          </w:tcPr>
          <w:p w14:paraId="3D84E531">
            <w:pPr>
              <w:spacing w:line="360" w:lineRule="auto"/>
              <w:ind w:firstLine="200"/>
              <w:rPr>
                <w:rFonts w:hint="eastAsia" w:ascii="宋体" w:hAnsi="宋体" w:eastAsia="宋体" w:cs="宋体"/>
                <w:sz w:val="24"/>
                <w:lang w:eastAsia="zh-CN"/>
              </w:rPr>
            </w:pPr>
            <w:r>
              <w:rPr>
                <w:rFonts w:hint="eastAsia" w:ascii="宋体" w:hAnsi="宋体" w:cs="宋体"/>
                <w:sz w:val="24"/>
                <w:lang w:val="en-US" w:eastAsia="zh-CN"/>
              </w:rPr>
              <w:t xml:space="preserve"> </w:t>
            </w:r>
          </w:p>
        </w:tc>
      </w:tr>
      <w:tr w14:paraId="144A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4"/>
          </w:tcPr>
          <w:p w14:paraId="56E822D2">
            <w:pPr>
              <w:spacing w:line="360" w:lineRule="auto"/>
              <w:ind w:firstLine="200"/>
              <w:rPr>
                <w:rFonts w:ascii="宋体" w:hAnsi="宋体" w:cs="宋体"/>
                <w:sz w:val="24"/>
              </w:rPr>
            </w:pPr>
            <w:r>
              <w:rPr>
                <w:rFonts w:hint="eastAsia" w:ascii="宋体" w:hAnsi="宋体" w:cs="宋体"/>
                <w:sz w:val="24"/>
              </w:rPr>
              <w:t xml:space="preserve">                              被授权人签字：</w:t>
            </w:r>
          </w:p>
        </w:tc>
      </w:tr>
    </w:tbl>
    <w:p w14:paraId="5BDAF2F6">
      <w:pPr>
        <w:spacing w:line="360" w:lineRule="auto"/>
        <w:ind w:firstLine="560" w:firstLineChars="200"/>
        <w:rPr>
          <w:rFonts w:ascii="宋体" w:hAnsi="宋体" w:cs="宋体"/>
          <w:sz w:val="28"/>
          <w:szCs w:val="28"/>
        </w:rPr>
      </w:pPr>
    </w:p>
    <w:p w14:paraId="3BE5C525">
      <w:pPr>
        <w:spacing w:line="360" w:lineRule="auto"/>
        <w:ind w:firstLine="560" w:firstLineChars="200"/>
        <w:rPr>
          <w:rFonts w:ascii="宋体" w:hAnsi="宋体" w:cs="宋体"/>
          <w:sz w:val="28"/>
          <w:szCs w:val="28"/>
        </w:rPr>
      </w:pPr>
    </w:p>
    <w:p w14:paraId="3CAAE2C8">
      <w:pPr>
        <w:spacing w:line="360" w:lineRule="auto"/>
        <w:ind w:firstLine="560" w:firstLineChars="200"/>
        <w:rPr>
          <w:rFonts w:hint="eastAsia" w:ascii="宋体" w:hAnsi="宋体" w:eastAsia="宋体" w:cs="宋体"/>
          <w:sz w:val="24"/>
          <w:u w:val="single"/>
          <w:lang w:eastAsia="zh-CN"/>
        </w:rPr>
      </w:pPr>
      <w:r>
        <w:rPr>
          <w:rFonts w:hint="eastAsia" w:ascii="宋体" w:hAnsi="宋体" w:cs="宋体"/>
          <w:sz w:val="28"/>
          <w:szCs w:val="28"/>
        </w:rPr>
        <w:t xml:space="preserve">                      </w:t>
      </w:r>
      <w:r>
        <w:rPr>
          <w:rFonts w:hint="eastAsia" w:ascii="宋体" w:hAnsi="宋体" w:cs="宋体"/>
          <w:spacing w:val="21"/>
          <w:sz w:val="24"/>
        </w:rPr>
        <w:t>授权单位（盖章）</w:t>
      </w:r>
      <w:r>
        <w:rPr>
          <w:rFonts w:hint="eastAsia" w:ascii="宋体" w:hAnsi="宋体" w:cs="宋体"/>
          <w:sz w:val="24"/>
        </w:rPr>
        <w:t>：</w:t>
      </w:r>
      <w:r>
        <w:rPr>
          <w:rFonts w:hint="eastAsia" w:ascii="宋体" w:hAnsi="宋体" w:cs="宋体"/>
          <w:sz w:val="24"/>
          <w:u w:val="single"/>
          <w:lang w:val="en-US" w:eastAsia="zh-CN"/>
        </w:rPr>
        <w:t xml:space="preserve"> </w:t>
      </w:r>
    </w:p>
    <w:p w14:paraId="7F7FD36E">
      <w:pPr>
        <w:spacing w:line="360" w:lineRule="auto"/>
        <w:ind w:firstLine="3960" w:firstLineChars="1650"/>
        <w:rPr>
          <w:rFonts w:ascii="宋体" w:hAnsi="宋体" w:cs="宋体"/>
          <w:sz w:val="24"/>
          <w:u w:val="single"/>
        </w:rPr>
      </w:pPr>
      <w:r>
        <w:rPr>
          <w:rFonts w:hint="eastAsia" w:ascii="宋体" w:hAnsi="宋体" w:cs="宋体"/>
          <w:sz w:val="24"/>
        </w:rPr>
        <w:t>法定代表人或授权人（签字）：</w:t>
      </w:r>
      <w:r>
        <w:rPr>
          <w:rFonts w:hint="eastAsia" w:ascii="宋体" w:hAnsi="宋体" w:cs="宋体"/>
          <w:sz w:val="24"/>
          <w:u w:val="single"/>
        </w:rPr>
        <w:t xml:space="preserve">            </w:t>
      </w:r>
    </w:p>
    <w:p w14:paraId="0DFF7E8B">
      <w:pPr>
        <w:spacing w:line="360" w:lineRule="auto"/>
        <w:ind w:firstLine="3948" w:firstLineChars="1400"/>
        <w:rPr>
          <w:rFonts w:ascii="宋体" w:hAnsi="宋体" w:cs="宋体"/>
          <w:sz w:val="24"/>
        </w:rPr>
      </w:pPr>
      <w:r>
        <w:rPr>
          <w:rFonts w:hint="eastAsia" w:ascii="宋体" w:hAnsi="宋体" w:cs="宋体"/>
          <w:spacing w:val="21"/>
          <w:sz w:val="24"/>
        </w:rPr>
        <w:t>授权日期：</w:t>
      </w:r>
      <w:r>
        <w:rPr>
          <w:rFonts w:hint="eastAsia" w:ascii="宋体" w:hAnsi="宋体" w:cs="宋体"/>
          <w:sz w:val="24"/>
        </w:rPr>
        <w:t xml:space="preserve">    年   月   日</w:t>
      </w:r>
    </w:p>
    <w:p w14:paraId="4D0B71B1">
      <w:pPr>
        <w:spacing w:line="360" w:lineRule="auto"/>
        <w:rPr>
          <w:rFonts w:ascii="宋体" w:hAnsi="宋体" w:cs="宋体"/>
          <w:sz w:val="24"/>
        </w:rPr>
      </w:pPr>
    </w:p>
    <w:p w14:paraId="515100D9">
      <w:pPr>
        <w:spacing w:before="312" w:beforeLines="100" w:after="312" w:afterLines="100" w:line="400" w:lineRule="exact"/>
        <w:rPr>
          <w:rFonts w:ascii="宋体" w:hAnsi="宋体" w:cs="宋体"/>
          <w:sz w:val="24"/>
        </w:rPr>
      </w:pPr>
      <w:r>
        <w:rPr>
          <w:rFonts w:hint="eastAsia" w:ascii="宋体" w:hAnsi="宋体" w:cs="宋体"/>
          <w:sz w:val="24"/>
        </w:rPr>
        <w:br w:type="page"/>
      </w:r>
    </w:p>
    <w:p w14:paraId="3D83D262">
      <w:pPr>
        <w:spacing w:before="312" w:beforeLines="100" w:after="312" w:afterLines="100" w:line="400" w:lineRule="exact"/>
        <w:jc w:val="center"/>
        <w:rPr>
          <w:rFonts w:ascii="宋体" w:hAnsi="宋体" w:cs="宋体"/>
          <w:b/>
          <w:sz w:val="32"/>
          <w:szCs w:val="32"/>
        </w:rPr>
      </w:pPr>
      <w:bookmarkStart w:id="808" w:name="_Toc11007_WPSOffice_Level1"/>
      <w:r>
        <w:rPr>
          <w:rFonts w:hint="eastAsia" w:ascii="宋体" w:hAnsi="宋体" w:cs="宋体"/>
          <w:b/>
          <w:sz w:val="32"/>
          <w:szCs w:val="32"/>
        </w:rPr>
        <w:t>工程质量终身责任承诺书</w:t>
      </w:r>
      <w:bookmarkEnd w:id="808"/>
    </w:p>
    <w:p w14:paraId="4FDBD79C">
      <w:pPr>
        <w:spacing w:before="312" w:beforeLines="100" w:after="312" w:afterLines="100" w:line="360" w:lineRule="auto"/>
        <w:ind w:firstLine="480" w:firstLineChars="200"/>
        <w:rPr>
          <w:rFonts w:ascii="宋体" w:hAnsi="宋体" w:cs="宋体"/>
          <w:sz w:val="24"/>
        </w:rPr>
      </w:pPr>
      <w:r>
        <w:rPr>
          <w:rFonts w:hint="eastAsia" w:ascii="宋体" w:hAnsi="宋体" w:cs="宋体"/>
          <w:sz w:val="24"/>
        </w:rPr>
        <w:t>本人受</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）授权，担任</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工程项目设计施工总承包工程</w:t>
      </w:r>
      <w:r>
        <w:rPr>
          <w:rFonts w:hint="eastAsia" w:ascii="宋体" w:hAnsi="宋体" w:cs="宋体"/>
          <w:sz w:val="24"/>
        </w:rPr>
        <w:t>项目的设计项目负责人，对该工程项目的设计工作实施组织管理。本人经承包人及法定代表人授权承诺严格依据国家有关法律法规及标准规范履行职责，并对设计使用年限内的工程质量承担相应终身责任。</w:t>
      </w:r>
    </w:p>
    <w:p w14:paraId="360E8E83">
      <w:pPr>
        <w:spacing w:line="360" w:lineRule="auto"/>
        <w:ind w:firstLine="480" w:firstLineChars="200"/>
        <w:rPr>
          <w:rFonts w:ascii="宋体" w:hAnsi="宋体" w:cs="宋体"/>
          <w:sz w:val="24"/>
        </w:rPr>
      </w:pPr>
    </w:p>
    <w:p w14:paraId="76044745">
      <w:pPr>
        <w:spacing w:line="360" w:lineRule="auto"/>
        <w:ind w:firstLine="480" w:firstLineChars="200"/>
        <w:rPr>
          <w:rFonts w:ascii="宋体" w:hAnsi="宋体" w:cs="宋体"/>
          <w:sz w:val="24"/>
        </w:rPr>
      </w:pPr>
    </w:p>
    <w:p w14:paraId="2FCA5BB6">
      <w:pPr>
        <w:spacing w:line="360" w:lineRule="auto"/>
        <w:ind w:firstLine="480" w:firstLineChars="200"/>
        <w:rPr>
          <w:rFonts w:ascii="宋体" w:hAnsi="宋体" w:cs="宋体"/>
          <w:sz w:val="24"/>
          <w:u w:val="single"/>
        </w:rPr>
      </w:pPr>
      <w:r>
        <w:rPr>
          <w:rFonts w:hint="eastAsia" w:ascii="宋体" w:hAnsi="宋体" w:cs="宋体"/>
          <w:sz w:val="24"/>
        </w:rPr>
        <w:t xml:space="preserve">                           </w:t>
      </w:r>
      <w:r>
        <w:rPr>
          <w:rFonts w:hint="eastAsia" w:ascii="宋体" w:hAnsi="宋体" w:cs="宋体"/>
          <w:spacing w:val="30"/>
          <w:sz w:val="24"/>
        </w:rPr>
        <w:t>承诺人签字</w:t>
      </w:r>
      <w:r>
        <w:rPr>
          <w:rFonts w:hint="eastAsia" w:ascii="宋体" w:hAnsi="宋体" w:cs="宋体"/>
          <w:sz w:val="24"/>
        </w:rPr>
        <w:t>：</w:t>
      </w:r>
      <w:r>
        <w:rPr>
          <w:rFonts w:hint="eastAsia" w:ascii="宋体" w:hAnsi="宋体" w:cs="宋体"/>
          <w:sz w:val="24"/>
          <w:u w:val="single"/>
        </w:rPr>
        <w:t xml:space="preserve">                    </w:t>
      </w:r>
    </w:p>
    <w:p w14:paraId="7482FE7F">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 xml:space="preserve">                           </w:t>
      </w:r>
      <w:r>
        <w:rPr>
          <w:rFonts w:hint="eastAsia" w:ascii="宋体" w:hAnsi="宋体" w:cs="宋体"/>
          <w:spacing w:val="28"/>
          <w:sz w:val="24"/>
        </w:rPr>
        <w:t>身份证号</w:t>
      </w:r>
      <w:r>
        <w:rPr>
          <w:rFonts w:hint="eastAsia" w:ascii="宋体" w:hAnsi="宋体" w:cs="宋体"/>
          <w:sz w:val="24"/>
        </w:rPr>
        <w:t>：</w:t>
      </w:r>
      <w:r>
        <w:rPr>
          <w:rFonts w:hint="eastAsia" w:ascii="宋体" w:hAnsi="宋体" w:cs="宋体"/>
          <w:sz w:val="24"/>
          <w:lang w:val="en-US" w:eastAsia="zh-CN"/>
        </w:rPr>
        <w:t xml:space="preserve"> </w:t>
      </w:r>
    </w:p>
    <w:p w14:paraId="217F09DE">
      <w:pPr>
        <w:spacing w:line="360" w:lineRule="auto"/>
        <w:ind w:firstLine="480" w:firstLineChars="200"/>
        <w:rPr>
          <w:rFonts w:hint="eastAsia" w:ascii="宋体" w:hAnsi="宋体" w:cs="宋体"/>
          <w:sz w:val="24"/>
          <w:lang w:val="en-US" w:eastAsia="zh-CN"/>
        </w:rPr>
      </w:pPr>
      <w:r>
        <w:rPr>
          <w:rFonts w:hint="eastAsia" w:ascii="宋体" w:hAnsi="宋体" w:cs="宋体"/>
          <w:sz w:val="24"/>
        </w:rPr>
        <w:t xml:space="preserve">                           注册执业资格：</w:t>
      </w:r>
      <w:r>
        <w:rPr>
          <w:rFonts w:hint="eastAsia" w:ascii="宋体" w:hAnsi="宋体" w:cs="宋体"/>
          <w:sz w:val="24"/>
          <w:lang w:val="en-US" w:eastAsia="zh-CN"/>
        </w:rPr>
        <w:t xml:space="preserve"> </w:t>
      </w:r>
    </w:p>
    <w:p w14:paraId="13364F9B">
      <w:pPr>
        <w:spacing w:line="360" w:lineRule="auto"/>
        <w:ind w:firstLine="480" w:firstLineChars="200"/>
        <w:rPr>
          <w:rFonts w:hint="eastAsia" w:ascii="宋体" w:hAnsi="宋体" w:eastAsia="宋体" w:cs="宋体"/>
          <w:sz w:val="24"/>
          <w:u w:val="single"/>
          <w:lang w:val="en-US" w:eastAsia="zh-CN"/>
        </w:rPr>
      </w:pPr>
      <w:r>
        <w:rPr>
          <w:rFonts w:hint="eastAsia" w:ascii="宋体" w:hAnsi="宋体" w:cs="宋体"/>
          <w:sz w:val="24"/>
        </w:rPr>
        <w:t xml:space="preserve">                           注册执业证号：</w:t>
      </w:r>
      <w:r>
        <w:rPr>
          <w:rFonts w:hint="eastAsia" w:ascii="宋体" w:hAnsi="宋体" w:cs="宋体"/>
          <w:sz w:val="24"/>
          <w:lang w:val="en-US" w:eastAsia="zh-CN"/>
        </w:rPr>
        <w:t xml:space="preserve"> </w:t>
      </w:r>
    </w:p>
    <w:p w14:paraId="32989DB9">
      <w:pPr>
        <w:spacing w:line="360" w:lineRule="auto"/>
        <w:rPr>
          <w:rFonts w:ascii="宋体" w:hAnsi="宋体" w:cs="宋体"/>
          <w:bCs/>
          <w:snapToGrid w:val="0"/>
          <w:kern w:val="0"/>
          <w:sz w:val="24"/>
        </w:rPr>
      </w:pPr>
      <w:r>
        <w:rPr>
          <w:rFonts w:hint="eastAsia" w:ascii="宋体" w:hAnsi="宋体" w:cs="宋体"/>
          <w:sz w:val="24"/>
        </w:rPr>
        <w:t xml:space="preserve">                               </w:t>
      </w:r>
      <w:r>
        <w:rPr>
          <w:rFonts w:hint="eastAsia" w:ascii="宋体" w:hAnsi="宋体" w:cs="宋体"/>
          <w:spacing w:val="28"/>
          <w:sz w:val="24"/>
        </w:rPr>
        <w:t>签字日期</w:t>
      </w:r>
      <w:r>
        <w:rPr>
          <w:rFonts w:hint="eastAsia" w:ascii="宋体" w:hAnsi="宋体" w:cs="宋体"/>
          <w:sz w:val="24"/>
        </w:rPr>
        <w:t>：    年  月  日</w:t>
      </w:r>
    </w:p>
    <w:p w14:paraId="768ADCB4">
      <w:pPr>
        <w:spacing w:line="360" w:lineRule="auto"/>
        <w:rPr>
          <w:rFonts w:ascii="宋体" w:hAnsi="宋体" w:cs="宋体"/>
          <w:bCs/>
          <w:snapToGrid w:val="0"/>
          <w:kern w:val="0"/>
          <w:sz w:val="24"/>
        </w:rPr>
      </w:pPr>
    </w:p>
    <w:p w14:paraId="2858D0A9">
      <w:pPr>
        <w:spacing w:line="360" w:lineRule="auto"/>
        <w:rPr>
          <w:rFonts w:ascii="宋体" w:hAnsi="宋体" w:cs="宋体"/>
          <w:bCs/>
          <w:snapToGrid w:val="0"/>
          <w:kern w:val="0"/>
          <w:sz w:val="24"/>
        </w:rPr>
      </w:pPr>
      <w:r>
        <w:rPr>
          <w:rFonts w:hint="eastAsia" w:ascii="宋体" w:hAnsi="宋体" w:cs="宋体"/>
          <w:bCs/>
          <w:snapToGrid w:val="0"/>
          <w:kern w:val="0"/>
          <w:sz w:val="24"/>
        </w:rPr>
        <w:br w:type="page"/>
      </w:r>
    </w:p>
    <w:p w14:paraId="1FB2743D">
      <w:pPr>
        <w:spacing w:line="400" w:lineRule="exact"/>
        <w:jc w:val="center"/>
        <w:rPr>
          <w:rFonts w:ascii="宋体" w:hAnsi="宋体" w:cs="宋体"/>
          <w:b/>
          <w:szCs w:val="21"/>
        </w:rPr>
      </w:pPr>
      <w:bookmarkStart w:id="809" w:name="_Toc20336_WPSOffice_Level1"/>
      <w:r>
        <w:rPr>
          <w:rFonts w:hint="eastAsia" w:ascii="宋体" w:hAnsi="宋体" w:cs="宋体"/>
          <w:b/>
          <w:sz w:val="32"/>
          <w:szCs w:val="32"/>
        </w:rPr>
        <w:t>法定代表人授权书</w:t>
      </w:r>
      <w:r>
        <w:rPr>
          <w:rFonts w:hint="eastAsia" w:ascii="宋体" w:hAnsi="宋体" w:cs="宋体"/>
          <w:szCs w:val="21"/>
        </w:rPr>
        <w:t>（施工方）</w:t>
      </w:r>
      <w:bookmarkEnd w:id="809"/>
    </w:p>
    <w:p w14:paraId="3B151E63">
      <w:pPr>
        <w:spacing w:line="400" w:lineRule="exact"/>
        <w:jc w:val="center"/>
        <w:rPr>
          <w:rFonts w:ascii="宋体" w:hAnsi="宋体" w:cs="宋体"/>
          <w:b/>
          <w:szCs w:val="21"/>
        </w:rPr>
      </w:pPr>
    </w:p>
    <w:p w14:paraId="512AFC25">
      <w:pPr>
        <w:spacing w:line="360" w:lineRule="auto"/>
        <w:ind w:firstLine="480" w:firstLineChars="200"/>
        <w:rPr>
          <w:rFonts w:ascii="宋体" w:hAnsi="宋体" w:cs="宋体"/>
          <w:sz w:val="24"/>
          <w:u w:val="single"/>
        </w:rPr>
      </w:pPr>
      <w:r>
        <w:rPr>
          <w:rFonts w:hint="eastAsia" w:ascii="宋体" w:hAnsi="宋体" w:cs="宋体"/>
          <w:sz w:val="24"/>
        </w:rPr>
        <w:t>兹授权我单位</w:t>
      </w:r>
      <w:r>
        <w:rPr>
          <w:rFonts w:hint="eastAsia" w:ascii="宋体" w:hAnsi="宋体" w:cs="宋体"/>
          <w:sz w:val="24"/>
          <w:u w:val="single"/>
        </w:rPr>
        <w:t xml:space="preserve"> </w:t>
      </w:r>
      <w:r>
        <w:rPr>
          <w:rFonts w:hint="eastAsia" w:ascii="宋体" w:hAnsi="宋体"/>
          <w:kern w:val="0"/>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担任</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工程项目设计施工总承包  </w:t>
      </w:r>
      <w:r>
        <w:rPr>
          <w:rFonts w:hint="eastAsia" w:ascii="宋体" w:hAnsi="宋体" w:cs="宋体"/>
          <w:sz w:val="24"/>
        </w:rPr>
        <w:t>项目的施工项目负责人，对该工程项目的施工工作实施组织管理，依据国家有关法律法规及标准规范履行职责，并依法对设计使用年限内的工程质量承担相应终身责任。</w:t>
      </w:r>
    </w:p>
    <w:p w14:paraId="32725D6C">
      <w:pPr>
        <w:spacing w:line="360" w:lineRule="auto"/>
        <w:ind w:firstLine="480" w:firstLineChars="200"/>
        <w:rPr>
          <w:rFonts w:ascii="宋体" w:hAnsi="宋体" w:cs="宋体"/>
          <w:sz w:val="24"/>
        </w:rPr>
      </w:pPr>
      <w:r>
        <w:rPr>
          <w:rFonts w:hint="eastAsia" w:ascii="宋体" w:hAnsi="宋体" w:cs="宋体"/>
          <w:sz w:val="24"/>
        </w:rPr>
        <w:t>本授权书自授权之日起生效。</w:t>
      </w:r>
    </w:p>
    <w:tbl>
      <w:tblPr>
        <w:tblStyle w:val="4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2100"/>
        <w:gridCol w:w="2514"/>
      </w:tblGrid>
      <w:tr w14:paraId="5886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4"/>
          </w:tcPr>
          <w:p w14:paraId="36D7E2CD">
            <w:pPr>
              <w:spacing w:line="360" w:lineRule="auto"/>
              <w:jc w:val="center"/>
              <w:rPr>
                <w:rFonts w:ascii="宋体" w:hAnsi="宋体" w:cs="宋体"/>
                <w:sz w:val="24"/>
              </w:rPr>
            </w:pPr>
            <w:r>
              <w:rPr>
                <w:rFonts w:hint="eastAsia" w:ascii="宋体" w:hAnsi="宋体" w:cs="宋体"/>
                <w:b/>
                <w:bCs/>
                <w:sz w:val="24"/>
              </w:rPr>
              <w:t>被授权人基本情况</w:t>
            </w:r>
          </w:p>
        </w:tc>
      </w:tr>
      <w:tr w14:paraId="5CD1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430C3F3">
            <w:pPr>
              <w:spacing w:line="360" w:lineRule="auto"/>
              <w:jc w:val="center"/>
              <w:rPr>
                <w:rFonts w:ascii="宋体" w:hAnsi="宋体" w:cs="宋体"/>
                <w:sz w:val="24"/>
              </w:rPr>
            </w:pPr>
            <w:r>
              <w:rPr>
                <w:rFonts w:hint="eastAsia" w:ascii="宋体" w:hAnsi="宋体" w:cs="宋体"/>
                <w:sz w:val="24"/>
              </w:rPr>
              <w:t>姓  名</w:t>
            </w:r>
          </w:p>
        </w:tc>
        <w:tc>
          <w:tcPr>
            <w:tcW w:w="2011" w:type="dxa"/>
          </w:tcPr>
          <w:p w14:paraId="2ECF3DAC">
            <w:pPr>
              <w:spacing w:line="360" w:lineRule="auto"/>
              <w:jc w:val="center"/>
              <w:rPr>
                <w:rFonts w:hint="eastAsia" w:ascii="宋体" w:hAnsi="宋体" w:eastAsia="宋体" w:cs="宋体"/>
                <w:sz w:val="24"/>
                <w:szCs w:val="24"/>
                <w:lang w:eastAsia="zh-CN"/>
              </w:rPr>
            </w:pPr>
            <w:r>
              <w:rPr>
                <w:rFonts w:hint="eastAsia" w:ascii="宋体" w:hAnsi="宋体" w:cs="宋体"/>
                <w:sz w:val="24"/>
                <w:lang w:val="en-US" w:eastAsia="zh-CN"/>
              </w:rPr>
              <w:t xml:space="preserve"> </w:t>
            </w:r>
          </w:p>
        </w:tc>
        <w:tc>
          <w:tcPr>
            <w:tcW w:w="2100" w:type="dxa"/>
          </w:tcPr>
          <w:p w14:paraId="7406B0E3">
            <w:pPr>
              <w:spacing w:line="360" w:lineRule="auto"/>
              <w:jc w:val="center"/>
              <w:rPr>
                <w:rFonts w:ascii="宋体" w:hAnsi="宋体" w:cs="宋体"/>
                <w:sz w:val="24"/>
              </w:rPr>
            </w:pPr>
            <w:r>
              <w:rPr>
                <w:rFonts w:hint="eastAsia" w:ascii="宋体" w:hAnsi="宋体" w:cs="宋体"/>
                <w:sz w:val="24"/>
              </w:rPr>
              <w:t>身份证号</w:t>
            </w:r>
          </w:p>
        </w:tc>
        <w:tc>
          <w:tcPr>
            <w:tcW w:w="2514" w:type="dxa"/>
          </w:tcPr>
          <w:p w14:paraId="1793B105">
            <w:pPr>
              <w:spacing w:line="360" w:lineRule="auto"/>
              <w:rPr>
                <w:rFonts w:hint="eastAsia" w:ascii="宋体" w:hAnsi="宋体" w:eastAsia="宋体" w:cs="宋体"/>
                <w:sz w:val="24"/>
                <w:lang w:eastAsia="zh-CN"/>
              </w:rPr>
            </w:pPr>
            <w:r>
              <w:rPr>
                <w:rFonts w:hint="eastAsia" w:ascii="宋体" w:hAnsi="宋体" w:cs="宋体"/>
                <w:sz w:val="24"/>
                <w:lang w:val="en-US" w:eastAsia="zh-CN"/>
              </w:rPr>
              <w:t xml:space="preserve"> </w:t>
            </w:r>
          </w:p>
        </w:tc>
      </w:tr>
      <w:tr w14:paraId="6BA8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A569912">
            <w:pPr>
              <w:spacing w:line="360" w:lineRule="auto"/>
              <w:jc w:val="center"/>
              <w:rPr>
                <w:rFonts w:ascii="宋体" w:hAnsi="宋体" w:cs="宋体"/>
                <w:sz w:val="24"/>
              </w:rPr>
            </w:pPr>
            <w:r>
              <w:rPr>
                <w:rFonts w:hint="eastAsia" w:ascii="宋体" w:hAnsi="宋体" w:cs="宋体"/>
                <w:sz w:val="24"/>
              </w:rPr>
              <w:t xml:space="preserve"> </w:t>
            </w:r>
          </w:p>
        </w:tc>
        <w:tc>
          <w:tcPr>
            <w:tcW w:w="2011" w:type="dxa"/>
          </w:tcPr>
          <w:p w14:paraId="43A0AB9D">
            <w:pPr>
              <w:spacing w:line="360" w:lineRule="auto"/>
              <w:jc w:val="center"/>
              <w:rPr>
                <w:rFonts w:ascii="宋体" w:hAnsi="宋体" w:cs="宋体"/>
                <w:sz w:val="24"/>
              </w:rPr>
            </w:pPr>
          </w:p>
        </w:tc>
        <w:tc>
          <w:tcPr>
            <w:tcW w:w="2100" w:type="dxa"/>
          </w:tcPr>
          <w:p w14:paraId="5DFD77F2">
            <w:pPr>
              <w:spacing w:line="360" w:lineRule="auto"/>
              <w:jc w:val="center"/>
              <w:rPr>
                <w:rFonts w:ascii="宋体" w:hAnsi="宋体" w:cs="宋体"/>
                <w:sz w:val="24"/>
              </w:rPr>
            </w:pPr>
            <w:r>
              <w:rPr>
                <w:rFonts w:hint="eastAsia" w:ascii="宋体" w:hAnsi="宋体" w:cs="宋体"/>
                <w:sz w:val="24"/>
              </w:rPr>
              <w:t>注册执业证号</w:t>
            </w:r>
          </w:p>
        </w:tc>
        <w:tc>
          <w:tcPr>
            <w:tcW w:w="2514" w:type="dxa"/>
          </w:tcPr>
          <w:p w14:paraId="55615530">
            <w:pPr>
              <w:spacing w:line="360" w:lineRule="auto"/>
              <w:rPr>
                <w:rFonts w:hint="eastAsia" w:ascii="宋体" w:hAnsi="宋体" w:eastAsia="宋体" w:cs="宋体"/>
                <w:sz w:val="24"/>
                <w:lang w:eastAsia="zh-CN"/>
              </w:rPr>
            </w:pPr>
            <w:r>
              <w:rPr>
                <w:rFonts w:hint="eastAsia" w:ascii="宋体" w:hAnsi="宋体" w:cs="宋体"/>
                <w:sz w:val="24"/>
                <w:lang w:val="en-US" w:eastAsia="zh-CN"/>
              </w:rPr>
              <w:t xml:space="preserve"> </w:t>
            </w:r>
          </w:p>
        </w:tc>
      </w:tr>
      <w:tr w14:paraId="7CB1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4"/>
          </w:tcPr>
          <w:p w14:paraId="3741EFA9">
            <w:pPr>
              <w:spacing w:line="360" w:lineRule="auto"/>
              <w:rPr>
                <w:rFonts w:ascii="宋体" w:hAnsi="宋体" w:cs="宋体"/>
                <w:sz w:val="24"/>
              </w:rPr>
            </w:pPr>
            <w:r>
              <w:rPr>
                <w:rFonts w:hint="eastAsia" w:ascii="宋体" w:hAnsi="宋体" w:cs="宋体"/>
                <w:sz w:val="24"/>
              </w:rPr>
              <w:t xml:space="preserve">                              被授权人签字：</w:t>
            </w:r>
          </w:p>
        </w:tc>
      </w:tr>
    </w:tbl>
    <w:p w14:paraId="57C12361">
      <w:pPr>
        <w:spacing w:line="360" w:lineRule="auto"/>
        <w:ind w:firstLine="560" w:firstLineChars="200"/>
        <w:rPr>
          <w:rFonts w:ascii="宋体" w:hAnsi="宋体" w:cs="宋体"/>
          <w:sz w:val="28"/>
          <w:szCs w:val="28"/>
        </w:rPr>
      </w:pPr>
    </w:p>
    <w:p w14:paraId="5D1594CB">
      <w:pPr>
        <w:spacing w:line="360" w:lineRule="auto"/>
        <w:ind w:firstLine="560" w:firstLineChars="200"/>
        <w:rPr>
          <w:rFonts w:ascii="宋体" w:hAnsi="宋体" w:cs="宋体"/>
          <w:sz w:val="28"/>
          <w:szCs w:val="28"/>
        </w:rPr>
      </w:pPr>
    </w:p>
    <w:p w14:paraId="3B8D2342">
      <w:pPr>
        <w:spacing w:line="360" w:lineRule="auto"/>
        <w:ind w:firstLine="560" w:firstLineChars="200"/>
        <w:rPr>
          <w:rFonts w:ascii="宋体" w:hAnsi="宋体" w:cs="宋体"/>
          <w:sz w:val="24"/>
          <w:u w:val="single"/>
        </w:rPr>
      </w:pPr>
      <w:r>
        <w:rPr>
          <w:rFonts w:hint="eastAsia" w:ascii="宋体" w:hAnsi="宋体" w:cs="宋体"/>
          <w:sz w:val="28"/>
          <w:szCs w:val="28"/>
        </w:rPr>
        <w:t xml:space="preserve">                        </w:t>
      </w:r>
      <w:r>
        <w:rPr>
          <w:rFonts w:hint="eastAsia" w:ascii="宋体" w:hAnsi="宋体" w:cs="宋体"/>
          <w:spacing w:val="21"/>
          <w:sz w:val="24"/>
        </w:rPr>
        <w:t>授权单位（盖章）</w:t>
      </w:r>
      <w:r>
        <w:rPr>
          <w:rFonts w:hint="eastAsia" w:ascii="宋体" w:hAnsi="宋体" w:cs="宋体"/>
          <w:sz w:val="24"/>
        </w:rPr>
        <w:t>：</w:t>
      </w:r>
      <w:r>
        <w:rPr>
          <w:rFonts w:hint="eastAsia" w:ascii="宋体" w:hAnsi="宋体" w:cs="宋体"/>
          <w:sz w:val="24"/>
          <w:u w:val="single"/>
        </w:rPr>
        <w:t xml:space="preserve">            </w:t>
      </w:r>
    </w:p>
    <w:p w14:paraId="72E9B5B1">
      <w:pPr>
        <w:spacing w:line="360" w:lineRule="auto"/>
        <w:ind w:firstLine="3960" w:firstLineChars="1650"/>
        <w:rPr>
          <w:rFonts w:ascii="宋体" w:hAnsi="宋体" w:cs="宋体"/>
          <w:sz w:val="24"/>
          <w:u w:val="single"/>
        </w:rPr>
      </w:pPr>
      <w:r>
        <w:rPr>
          <w:rFonts w:hint="eastAsia" w:ascii="宋体" w:hAnsi="宋体" w:cs="宋体"/>
          <w:sz w:val="24"/>
        </w:rPr>
        <w:t>法定代表人或授权人（签字）：</w:t>
      </w:r>
      <w:r>
        <w:rPr>
          <w:rFonts w:hint="eastAsia" w:ascii="宋体" w:hAnsi="宋体" w:cs="宋体"/>
          <w:sz w:val="24"/>
          <w:u w:val="single"/>
        </w:rPr>
        <w:t xml:space="preserve">            </w:t>
      </w:r>
    </w:p>
    <w:p w14:paraId="041FB917">
      <w:pPr>
        <w:spacing w:line="360" w:lineRule="auto"/>
        <w:ind w:firstLine="3948" w:firstLineChars="1400"/>
        <w:rPr>
          <w:rFonts w:ascii="宋体" w:hAnsi="宋体" w:cs="宋体"/>
          <w:sz w:val="24"/>
        </w:rPr>
      </w:pPr>
      <w:r>
        <w:rPr>
          <w:rFonts w:hint="eastAsia" w:ascii="宋体" w:hAnsi="宋体" w:cs="宋体"/>
          <w:spacing w:val="21"/>
          <w:sz w:val="24"/>
        </w:rPr>
        <w:t>授权日期：</w:t>
      </w:r>
      <w:r>
        <w:rPr>
          <w:rFonts w:hint="eastAsia" w:ascii="宋体" w:hAnsi="宋体" w:cs="宋体"/>
          <w:sz w:val="24"/>
        </w:rPr>
        <w:t xml:space="preserve">    年   月   日</w:t>
      </w:r>
    </w:p>
    <w:p w14:paraId="20BF37F2">
      <w:pPr>
        <w:spacing w:line="360" w:lineRule="auto"/>
        <w:rPr>
          <w:rFonts w:ascii="宋体" w:hAnsi="宋体" w:cs="宋体"/>
          <w:bCs/>
          <w:snapToGrid w:val="0"/>
          <w:kern w:val="0"/>
          <w:sz w:val="24"/>
        </w:rPr>
      </w:pPr>
      <w:r>
        <w:rPr>
          <w:rFonts w:hint="eastAsia" w:ascii="宋体" w:hAnsi="宋体" w:cs="宋体"/>
          <w:bCs/>
          <w:snapToGrid w:val="0"/>
          <w:kern w:val="0"/>
          <w:sz w:val="24"/>
        </w:rPr>
        <w:br w:type="page"/>
      </w:r>
    </w:p>
    <w:p w14:paraId="22C7EA82">
      <w:pPr>
        <w:spacing w:before="312" w:beforeLines="100" w:after="312" w:afterLines="100" w:line="400" w:lineRule="exact"/>
        <w:jc w:val="center"/>
        <w:rPr>
          <w:rFonts w:ascii="宋体" w:hAnsi="宋体" w:cs="宋体"/>
          <w:szCs w:val="21"/>
        </w:rPr>
      </w:pPr>
      <w:bookmarkStart w:id="810" w:name="_Toc17759_WPSOffice_Level1"/>
      <w:r>
        <w:rPr>
          <w:rFonts w:hint="eastAsia" w:ascii="宋体" w:hAnsi="宋体" w:cs="宋体"/>
          <w:b/>
          <w:sz w:val="32"/>
          <w:szCs w:val="32"/>
        </w:rPr>
        <w:t>工程质量终身责任承诺书</w:t>
      </w:r>
      <w:r>
        <w:rPr>
          <w:rFonts w:hint="eastAsia" w:ascii="宋体" w:hAnsi="宋体" w:cs="宋体"/>
          <w:szCs w:val="21"/>
        </w:rPr>
        <w:t>（施工方）</w:t>
      </w:r>
      <w:bookmarkEnd w:id="810"/>
    </w:p>
    <w:p w14:paraId="5DF326F8">
      <w:pPr>
        <w:spacing w:before="312" w:beforeLines="100" w:after="312" w:afterLines="100" w:line="360" w:lineRule="auto"/>
        <w:ind w:firstLine="480" w:firstLineChars="200"/>
        <w:rPr>
          <w:rFonts w:ascii="宋体" w:hAnsi="宋体" w:cs="宋体"/>
          <w:sz w:val="24"/>
        </w:rPr>
      </w:pPr>
      <w:r>
        <w:rPr>
          <w:rFonts w:hint="eastAsia" w:ascii="宋体" w:hAnsi="宋体" w:cs="宋体"/>
          <w:sz w:val="24"/>
        </w:rPr>
        <w:t>本人受</w:t>
      </w:r>
      <w:r>
        <w:rPr>
          <w:rFonts w:hint="eastAsia" w:ascii="宋体" w:hAnsi="宋体" w:cs="宋体"/>
          <w:sz w:val="24"/>
          <w:u w:val="single"/>
        </w:rPr>
        <w:t xml:space="preserve"> </w:t>
      </w:r>
      <w:r>
        <w:rPr>
          <w:rFonts w:hint="eastAsia" w:ascii="宋体" w:hAnsi="宋体"/>
          <w:kern w:val="0"/>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）授权，担任</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工程项目设计施工总承包</w:t>
      </w:r>
      <w:r>
        <w:rPr>
          <w:rFonts w:hint="eastAsia" w:ascii="宋体" w:hAnsi="宋体" w:cs="宋体"/>
          <w:sz w:val="24"/>
        </w:rPr>
        <w:t>项目的施工项目负责人，对该工程项目的施工工作实施组织管理。本人经承包人及法定代表人授权承诺严格依据国家有关法律法规及标准规范履行职责，并对设计使用年限内的工程质量承担相应终身责任。</w:t>
      </w:r>
    </w:p>
    <w:p w14:paraId="630D1FE8">
      <w:pPr>
        <w:spacing w:line="360" w:lineRule="auto"/>
        <w:ind w:firstLine="480" w:firstLineChars="200"/>
        <w:rPr>
          <w:rFonts w:ascii="宋体" w:hAnsi="宋体" w:cs="宋体"/>
          <w:sz w:val="24"/>
        </w:rPr>
      </w:pPr>
    </w:p>
    <w:p w14:paraId="378F9FBB">
      <w:pPr>
        <w:spacing w:line="360" w:lineRule="auto"/>
        <w:ind w:firstLine="480" w:firstLineChars="200"/>
        <w:rPr>
          <w:rFonts w:ascii="宋体" w:hAnsi="宋体" w:cs="宋体"/>
          <w:sz w:val="24"/>
        </w:rPr>
      </w:pPr>
    </w:p>
    <w:p w14:paraId="01951AD9">
      <w:pPr>
        <w:spacing w:line="360" w:lineRule="auto"/>
        <w:ind w:firstLine="480" w:firstLineChars="200"/>
        <w:rPr>
          <w:rFonts w:ascii="宋体" w:hAnsi="宋体" w:cs="宋体"/>
          <w:sz w:val="24"/>
          <w:u w:val="single"/>
        </w:rPr>
      </w:pPr>
      <w:r>
        <w:rPr>
          <w:rFonts w:hint="eastAsia" w:ascii="宋体" w:hAnsi="宋体" w:cs="宋体"/>
          <w:sz w:val="24"/>
        </w:rPr>
        <w:t xml:space="preserve">                           </w:t>
      </w:r>
      <w:r>
        <w:rPr>
          <w:rFonts w:hint="eastAsia" w:ascii="宋体" w:hAnsi="宋体" w:cs="宋体"/>
          <w:spacing w:val="30"/>
          <w:sz w:val="24"/>
        </w:rPr>
        <w:t>承诺人签字</w:t>
      </w:r>
      <w:r>
        <w:rPr>
          <w:rFonts w:hint="eastAsia" w:ascii="宋体" w:hAnsi="宋体" w:cs="宋体"/>
          <w:sz w:val="24"/>
        </w:rPr>
        <w:t>：</w:t>
      </w:r>
      <w:r>
        <w:rPr>
          <w:rFonts w:hint="eastAsia" w:ascii="宋体" w:hAnsi="宋体" w:cs="宋体"/>
          <w:sz w:val="24"/>
          <w:u w:val="single"/>
        </w:rPr>
        <w:t xml:space="preserve">                    </w:t>
      </w:r>
    </w:p>
    <w:p w14:paraId="1873F82D">
      <w:pPr>
        <w:spacing w:line="360" w:lineRule="auto"/>
        <w:ind w:firstLine="480" w:firstLineChars="200"/>
        <w:rPr>
          <w:rFonts w:hint="eastAsia" w:ascii="宋体" w:hAnsi="宋体" w:cs="宋体"/>
          <w:sz w:val="24"/>
          <w:lang w:val="en-US" w:eastAsia="zh-CN"/>
        </w:rPr>
      </w:pPr>
      <w:r>
        <w:rPr>
          <w:rFonts w:hint="eastAsia" w:ascii="宋体" w:hAnsi="宋体" w:cs="宋体"/>
          <w:sz w:val="24"/>
        </w:rPr>
        <w:t xml:space="preserve">                           </w:t>
      </w:r>
      <w:r>
        <w:rPr>
          <w:rFonts w:hint="eastAsia" w:ascii="宋体" w:hAnsi="宋体" w:cs="宋体"/>
          <w:spacing w:val="28"/>
          <w:sz w:val="24"/>
        </w:rPr>
        <w:t>身份证号</w:t>
      </w:r>
      <w:r>
        <w:rPr>
          <w:rFonts w:hint="eastAsia" w:ascii="宋体" w:hAnsi="宋体" w:cs="宋体"/>
          <w:sz w:val="24"/>
        </w:rPr>
        <w:t>：</w:t>
      </w:r>
      <w:r>
        <w:rPr>
          <w:rFonts w:hint="eastAsia" w:ascii="宋体" w:hAnsi="宋体" w:cs="宋体"/>
          <w:sz w:val="24"/>
          <w:lang w:val="en-US" w:eastAsia="zh-CN"/>
        </w:rPr>
        <w:t xml:space="preserve"> </w:t>
      </w:r>
    </w:p>
    <w:p w14:paraId="21AA67B1">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 xml:space="preserve">                           注册执业资格：</w:t>
      </w:r>
      <w:r>
        <w:rPr>
          <w:rFonts w:hint="eastAsia" w:ascii="宋体" w:hAnsi="宋体" w:cs="宋体"/>
          <w:sz w:val="24"/>
          <w:lang w:val="en-US" w:eastAsia="zh-CN"/>
        </w:rPr>
        <w:t xml:space="preserve"> </w:t>
      </w:r>
    </w:p>
    <w:p w14:paraId="696538C6">
      <w:pPr>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rPr>
        <w:t xml:space="preserve">                           注册执业证号：</w:t>
      </w:r>
      <w:r>
        <w:rPr>
          <w:rFonts w:hint="eastAsia" w:ascii="宋体" w:hAnsi="宋体" w:cs="宋体"/>
          <w:sz w:val="24"/>
          <w:lang w:val="en-US" w:eastAsia="zh-CN"/>
        </w:rPr>
        <w:t xml:space="preserve"> </w:t>
      </w:r>
    </w:p>
    <w:p w14:paraId="22A96877">
      <w:pPr>
        <w:spacing w:line="360" w:lineRule="auto"/>
        <w:rPr>
          <w:rFonts w:ascii="宋体" w:hAnsi="宋体" w:cs="宋体"/>
          <w:bCs/>
          <w:snapToGrid w:val="0"/>
          <w:kern w:val="0"/>
          <w:sz w:val="24"/>
        </w:rPr>
      </w:pPr>
      <w:r>
        <w:rPr>
          <w:rFonts w:hint="eastAsia" w:ascii="宋体" w:hAnsi="宋体" w:cs="宋体"/>
          <w:sz w:val="24"/>
        </w:rPr>
        <w:t xml:space="preserve">                               </w:t>
      </w:r>
      <w:r>
        <w:rPr>
          <w:rFonts w:hint="eastAsia" w:ascii="宋体" w:hAnsi="宋体" w:cs="宋体"/>
          <w:spacing w:val="28"/>
          <w:sz w:val="24"/>
        </w:rPr>
        <w:t>签字日期</w:t>
      </w:r>
      <w:r>
        <w:rPr>
          <w:rFonts w:hint="eastAsia" w:ascii="宋体" w:hAnsi="宋体" w:cs="宋体"/>
          <w:sz w:val="24"/>
        </w:rPr>
        <w:t>：    年  月  日</w:t>
      </w:r>
    </w:p>
    <w:p w14:paraId="44376FFD">
      <w:pPr>
        <w:spacing w:line="360" w:lineRule="auto"/>
        <w:rPr>
          <w:rFonts w:ascii="宋体" w:hAnsi="宋体" w:cs="宋体"/>
          <w:bCs/>
          <w:snapToGrid w:val="0"/>
          <w:kern w:val="0"/>
          <w:sz w:val="24"/>
        </w:rPr>
      </w:pPr>
    </w:p>
    <w:p w14:paraId="2FE16027">
      <w:pPr>
        <w:spacing w:before="312" w:beforeLines="100" w:after="312" w:afterLines="100" w:line="400" w:lineRule="exact"/>
        <w:jc w:val="center"/>
        <w:rPr>
          <w:rFonts w:ascii="宋体" w:hAnsi="宋体" w:cs="宋体"/>
          <w:bCs/>
          <w:snapToGrid w:val="0"/>
          <w:kern w:val="0"/>
          <w:sz w:val="24"/>
        </w:rPr>
      </w:pPr>
      <w:bookmarkStart w:id="811" w:name="_Toc518402646"/>
      <w:bookmarkStart w:id="812" w:name="_Toc504735680"/>
    </w:p>
    <w:p w14:paraId="03093717">
      <w:pPr>
        <w:spacing w:line="360" w:lineRule="auto"/>
        <w:rPr>
          <w:rFonts w:ascii="宋体" w:hAnsi="宋体" w:cs="宋体"/>
          <w:bCs/>
          <w:snapToGrid w:val="0"/>
          <w:kern w:val="0"/>
          <w:sz w:val="24"/>
        </w:rPr>
      </w:pPr>
    </w:p>
    <w:p w14:paraId="34778C07">
      <w:pPr>
        <w:adjustRightInd w:val="0"/>
        <w:snapToGrid w:val="0"/>
        <w:spacing w:line="360" w:lineRule="auto"/>
        <w:outlineLvl w:val="1"/>
        <w:rPr>
          <w:rFonts w:ascii="宋体" w:hAnsi="宋体"/>
          <w:kern w:val="0"/>
          <w:sz w:val="24"/>
        </w:rPr>
      </w:pPr>
      <w:r>
        <w:rPr>
          <w:rFonts w:hint="eastAsia" w:ascii="宋体" w:hAnsi="宋体" w:cs="宋体"/>
          <w:bCs/>
          <w:snapToGrid w:val="0"/>
          <w:kern w:val="0"/>
          <w:sz w:val="24"/>
        </w:rPr>
        <w:br w:type="page"/>
      </w:r>
      <w:bookmarkEnd w:id="811"/>
      <w:bookmarkEnd w:id="812"/>
      <w:bookmarkStart w:id="813" w:name="_Toc518402647"/>
      <w:bookmarkStart w:id="814" w:name="_Toc104901625"/>
      <w:bookmarkStart w:id="815" w:name="_Toc59802270"/>
      <w:bookmarkStart w:id="816" w:name="_Toc104901821"/>
      <w:bookmarkStart w:id="817" w:name="_Toc504735681"/>
      <w:r>
        <w:rPr>
          <w:rFonts w:hint="eastAsia" w:ascii="宋体" w:hAnsi="宋体"/>
          <w:kern w:val="0"/>
          <w:sz w:val="24"/>
        </w:rPr>
        <w:t>附件8：</w:t>
      </w:r>
      <w:bookmarkEnd w:id="813"/>
      <w:bookmarkEnd w:id="814"/>
      <w:bookmarkEnd w:id="815"/>
      <w:bookmarkEnd w:id="816"/>
      <w:bookmarkEnd w:id="817"/>
      <w:r>
        <w:rPr>
          <w:rFonts w:hint="eastAsia" w:ascii="宋体" w:hAnsi="宋体"/>
          <w:kern w:val="0"/>
          <w:sz w:val="24"/>
        </w:rPr>
        <w:t>工人工资支付分账管理协议书</w:t>
      </w:r>
    </w:p>
    <w:p w14:paraId="063DBF12">
      <w:pPr>
        <w:adjustRightInd w:val="0"/>
        <w:snapToGrid w:val="0"/>
        <w:spacing w:line="360" w:lineRule="auto"/>
        <w:jc w:val="center"/>
        <w:rPr>
          <w:rFonts w:ascii="宋体" w:hAnsi="宋体"/>
          <w:b/>
          <w:kern w:val="0"/>
          <w:sz w:val="32"/>
        </w:rPr>
      </w:pPr>
      <w:bookmarkStart w:id="818" w:name="_Toc1624_WPSOffice_Level1"/>
      <w:r>
        <w:rPr>
          <w:rFonts w:hint="eastAsia" w:ascii="宋体" w:hAnsi="宋体"/>
          <w:b/>
          <w:kern w:val="0"/>
          <w:sz w:val="32"/>
        </w:rPr>
        <w:t>工人工资支付分账管理协议书(参考格式）</w:t>
      </w:r>
      <w:bookmarkEnd w:id="818"/>
    </w:p>
    <w:p w14:paraId="3A4E4F6D">
      <w:pPr>
        <w:adjustRightInd w:val="0"/>
        <w:snapToGrid w:val="0"/>
        <w:spacing w:line="360" w:lineRule="auto"/>
        <w:rPr>
          <w:rFonts w:ascii="宋体" w:hAnsi="宋体"/>
          <w:b/>
          <w:kern w:val="0"/>
          <w:sz w:val="24"/>
        </w:rPr>
      </w:pPr>
    </w:p>
    <w:p w14:paraId="7C43889A">
      <w:pPr>
        <w:adjustRightInd w:val="0"/>
        <w:snapToGrid w:val="0"/>
        <w:spacing w:line="360" w:lineRule="auto"/>
        <w:rPr>
          <w:rFonts w:ascii="宋体" w:hAnsi="宋体"/>
          <w:kern w:val="0"/>
          <w:sz w:val="24"/>
        </w:rPr>
      </w:pPr>
      <w:r>
        <w:rPr>
          <w:rFonts w:hint="eastAsia" w:ascii="宋体" w:hAnsi="宋体"/>
          <w:b/>
          <w:kern w:val="0"/>
          <w:sz w:val="24"/>
        </w:rPr>
        <w:t>发包人（甲方）</w:t>
      </w:r>
    </w:p>
    <w:p w14:paraId="386AEB47">
      <w:pPr>
        <w:adjustRightInd w:val="0"/>
        <w:snapToGrid w:val="0"/>
        <w:spacing w:line="360" w:lineRule="auto"/>
        <w:rPr>
          <w:rFonts w:ascii="宋体" w:hAnsi="宋体"/>
          <w:kern w:val="0"/>
          <w:sz w:val="24"/>
        </w:rPr>
      </w:pPr>
      <w:r>
        <w:rPr>
          <w:rFonts w:hint="eastAsia" w:ascii="宋体" w:hAnsi="宋体"/>
          <w:b/>
          <w:kern w:val="0"/>
          <w:sz w:val="24"/>
        </w:rPr>
        <w:t>承包人（乙方）：</w:t>
      </w:r>
    </w:p>
    <w:p w14:paraId="67B37F5F">
      <w:pPr>
        <w:spacing w:line="360" w:lineRule="auto"/>
        <w:ind w:firstLine="480" w:firstLineChars="200"/>
        <w:rPr>
          <w:rFonts w:ascii="宋体" w:hAnsi="宋体"/>
          <w:kern w:val="0"/>
          <w:sz w:val="24"/>
        </w:rPr>
      </w:pPr>
      <w:r>
        <w:rPr>
          <w:rFonts w:hint="eastAsia" w:ascii="宋体" w:hAnsi="宋体"/>
          <w:kern w:val="0"/>
          <w:sz w:val="24"/>
        </w:rPr>
        <w:t>鉴于</w:t>
      </w:r>
      <w:r>
        <w:rPr>
          <w:rFonts w:hint="eastAsia" w:ascii="宋体" w:hAnsi="宋体" w:cs="宋体"/>
          <w:snapToGrid w:val="0"/>
          <w:kern w:val="0"/>
          <w:sz w:val="24"/>
          <w:u w:val="single"/>
        </w:rPr>
        <w:t>202</w:t>
      </w:r>
      <w:r>
        <w:rPr>
          <w:rFonts w:hint="eastAsia" w:ascii="宋体" w:hAnsi="宋体" w:cs="宋体"/>
          <w:snapToGrid w:val="0"/>
          <w:kern w:val="0"/>
          <w:sz w:val="24"/>
          <w:u w:val="single"/>
          <w:lang w:val="en-US" w:eastAsia="zh-CN"/>
        </w:rPr>
        <w:t>5</w:t>
      </w:r>
      <w:r>
        <w:rPr>
          <w:rFonts w:hint="eastAsia" w:ascii="宋体" w:hAnsi="宋体"/>
          <w:kern w:val="0"/>
          <w:sz w:val="24"/>
        </w:rPr>
        <w:t>年</w:t>
      </w:r>
      <w:r>
        <w:rPr>
          <w:rFonts w:hint="eastAsia" w:ascii="宋体" w:hAnsi="宋体" w:cs="宋体"/>
          <w:snapToGrid w:val="0"/>
          <w:kern w:val="0"/>
          <w:sz w:val="24"/>
          <w:u w:val="single"/>
        </w:rPr>
        <w:t xml:space="preserve"> </w:t>
      </w:r>
      <w:r>
        <w:rPr>
          <w:rFonts w:hint="eastAsia" w:ascii="宋体" w:hAnsi="宋体"/>
          <w:kern w:val="0"/>
          <w:sz w:val="24"/>
          <w:u w:val="single"/>
        </w:rPr>
        <w:t xml:space="preserve">  </w:t>
      </w:r>
      <w:r>
        <w:rPr>
          <w:rFonts w:hint="eastAsia" w:ascii="宋体" w:hAnsi="宋体"/>
          <w:kern w:val="0"/>
          <w:sz w:val="24"/>
        </w:rPr>
        <w:t>月，发包人</w:t>
      </w:r>
      <w:r>
        <w:rPr>
          <w:rFonts w:hint="eastAsia" w:ascii="宋体" w:hAnsi="宋体"/>
          <w:kern w:val="0"/>
          <w:sz w:val="24"/>
          <w:u w:val="single"/>
        </w:rPr>
        <w:t xml:space="preserve">     </w:t>
      </w:r>
      <w:r>
        <w:rPr>
          <w:rFonts w:hint="eastAsia" w:ascii="宋体" w:hAnsi="宋体"/>
          <w:kern w:val="0"/>
          <w:sz w:val="24"/>
        </w:rPr>
        <w:t>（以下称甲方）、承包人</w:t>
      </w:r>
      <w:r>
        <w:rPr>
          <w:rFonts w:hint="eastAsia" w:ascii="宋体" w:hAnsi="宋体"/>
          <w:kern w:val="0"/>
          <w:sz w:val="24"/>
          <w:u w:val="single"/>
        </w:rPr>
        <w:t xml:space="preserve">        </w:t>
      </w:r>
      <w:r>
        <w:rPr>
          <w:rFonts w:hint="eastAsia" w:ascii="宋体" w:hAnsi="宋体" w:cs="宋体"/>
          <w:snapToGrid w:val="0"/>
          <w:kern w:val="0"/>
          <w:sz w:val="24"/>
          <w:u w:val="single"/>
        </w:rPr>
        <w:t xml:space="preserve">(主) 、(成) </w:t>
      </w:r>
      <w:r>
        <w:rPr>
          <w:rFonts w:hint="eastAsia" w:ascii="宋体" w:hAnsi="宋体"/>
          <w:kern w:val="0"/>
          <w:sz w:val="24"/>
        </w:rPr>
        <w:t>（以下称乙方）双方就</w:t>
      </w:r>
      <w:r>
        <w:rPr>
          <w:rFonts w:hint="eastAsia" w:ascii="宋体" w:hAnsi="宋体"/>
          <w:kern w:val="0"/>
          <w:sz w:val="24"/>
          <w:u w:val="single"/>
        </w:rPr>
        <w:t xml:space="preserve"> </w:t>
      </w:r>
      <w:r>
        <w:rPr>
          <w:rFonts w:hint="eastAsia" w:ascii="宋体" w:hAnsi="宋体" w:cs="宋体"/>
          <w:snapToGrid w:val="0"/>
          <w:kern w:val="0"/>
          <w:sz w:val="24"/>
        </w:rPr>
        <w:t>设计</w:t>
      </w:r>
      <w:r>
        <w:rPr>
          <w:rFonts w:hint="eastAsia" w:ascii="宋体" w:hAnsi="宋体"/>
          <w:kern w:val="0"/>
          <w:sz w:val="24"/>
        </w:rPr>
        <w:t>施工（以下称本项目）总承包签订</w:t>
      </w:r>
      <w:r>
        <w:rPr>
          <w:rFonts w:hint="eastAsia" w:ascii="宋体" w:hAnsi="宋体" w:cs="宋体"/>
          <w:snapToGrid w:val="0"/>
          <w:kern w:val="0"/>
          <w:sz w:val="24"/>
          <w:u w:val="single"/>
        </w:rPr>
        <w:t xml:space="preserve">        合同》</w:t>
      </w:r>
      <w:r>
        <w:rPr>
          <w:rFonts w:hint="eastAsia" w:ascii="宋体" w:hAnsi="宋体"/>
          <w:kern w:val="0"/>
          <w:sz w:val="24"/>
        </w:rPr>
        <w:t xml:space="preserve">（合同编号： </w:t>
      </w:r>
      <w:r>
        <w:rPr>
          <w:rFonts w:hint="eastAsia" w:ascii="宋体" w:hAnsi="宋体" w:cs="宋体"/>
          <w:snapToGrid w:val="0"/>
          <w:kern w:val="0"/>
          <w:sz w:val="24"/>
        </w:rPr>
        <w:t>施</w:t>
      </w:r>
      <w:r>
        <w:rPr>
          <w:rFonts w:hint="eastAsia" w:ascii="宋体" w:hAnsi="宋体"/>
          <w:kern w:val="0"/>
          <w:sz w:val="24"/>
        </w:rPr>
        <w:t>，以下称原合同）。</w:t>
      </w:r>
    </w:p>
    <w:p w14:paraId="288B406C">
      <w:pPr>
        <w:spacing w:line="360" w:lineRule="auto"/>
        <w:ind w:firstLine="480" w:firstLineChars="200"/>
        <w:rPr>
          <w:rFonts w:ascii="宋体" w:hAnsi="宋体"/>
          <w:kern w:val="0"/>
          <w:sz w:val="24"/>
        </w:rPr>
      </w:pPr>
      <w:r>
        <w:rPr>
          <w:rFonts w:hint="eastAsia" w:ascii="宋体" w:hAnsi="宋体"/>
          <w:kern w:val="0"/>
          <w:sz w:val="24"/>
        </w:rPr>
        <w:t>现根据《广东省建设领域工人工资支付分账管理暂行办法》(粤人社规〔2015〕3号)、《广州市建设领域工人工资支付分账管理实施细则》（穗建规字〔2017〕10号）等有关规定，双方就本项目工人工资支付分账管理事宜协商一致，达成如下协议，以资共同遵守。</w:t>
      </w:r>
    </w:p>
    <w:p w14:paraId="3FABBCAE">
      <w:pPr>
        <w:spacing w:line="360" w:lineRule="auto"/>
        <w:ind w:firstLine="482" w:firstLineChars="200"/>
        <w:rPr>
          <w:rFonts w:ascii="宋体" w:hAnsi="宋体"/>
          <w:kern w:val="0"/>
          <w:sz w:val="24"/>
        </w:rPr>
      </w:pPr>
      <w:r>
        <w:rPr>
          <w:rFonts w:hint="eastAsia" w:ascii="宋体" w:hAnsi="宋体"/>
          <w:b/>
          <w:kern w:val="0"/>
          <w:sz w:val="24"/>
        </w:rPr>
        <w:t xml:space="preserve">第一条 </w:t>
      </w:r>
      <w:r>
        <w:rPr>
          <w:rFonts w:hint="eastAsia" w:ascii="宋体" w:hAnsi="宋体"/>
          <w:kern w:val="0"/>
          <w:sz w:val="24"/>
        </w:rPr>
        <w:t>甲方负责监督乙方的工人工资支付情况，协调本项目的工人工资支付事宜。乙方服从甲方有关工人工资支付的监督管理，否则由此导致拖欠或克扣工人工资造成群体性事件或其他不良行为的，由乙方承担全部责任。</w:t>
      </w:r>
    </w:p>
    <w:p w14:paraId="7A3F0361">
      <w:pPr>
        <w:spacing w:line="360" w:lineRule="auto"/>
        <w:ind w:firstLine="482" w:firstLineChars="200"/>
        <w:rPr>
          <w:rFonts w:ascii="宋体" w:hAnsi="宋体"/>
          <w:kern w:val="0"/>
          <w:sz w:val="24"/>
        </w:rPr>
      </w:pPr>
      <w:r>
        <w:rPr>
          <w:rFonts w:hint="eastAsia" w:ascii="宋体" w:hAnsi="宋体"/>
          <w:b/>
          <w:kern w:val="0"/>
          <w:sz w:val="24"/>
        </w:rPr>
        <w:t xml:space="preserve">第二条 </w:t>
      </w:r>
      <w:r>
        <w:rPr>
          <w:rFonts w:hint="eastAsia" w:ascii="宋体" w:hAnsi="宋体"/>
          <w:kern w:val="0"/>
          <w:sz w:val="24"/>
        </w:rPr>
        <w:t>乙方须对本项目工程款中的工人工资开立工人工资支付专用账户，严禁挪作他用，确保专款专用，其提供的具体账户信息如下：</w:t>
      </w:r>
    </w:p>
    <w:p w14:paraId="5E18959B">
      <w:pPr>
        <w:spacing w:line="360" w:lineRule="auto"/>
        <w:ind w:firstLine="480" w:firstLineChars="200"/>
        <w:rPr>
          <w:rFonts w:ascii="宋体" w:hAnsi="宋体"/>
          <w:kern w:val="0"/>
          <w:sz w:val="24"/>
        </w:rPr>
      </w:pPr>
      <w:r>
        <w:rPr>
          <w:rFonts w:hint="eastAsia" w:ascii="宋体" w:hAnsi="宋体"/>
          <w:kern w:val="0"/>
          <w:sz w:val="24"/>
        </w:rPr>
        <w:t>开户名称：</w:t>
      </w:r>
      <w:r>
        <w:rPr>
          <w:rFonts w:hint="eastAsia" w:ascii="宋体" w:hAnsi="宋体"/>
          <w:kern w:val="0"/>
          <w:sz w:val="24"/>
          <w:u w:val="single"/>
        </w:rPr>
        <w:t xml:space="preserve">                        </w:t>
      </w:r>
      <w:r>
        <w:rPr>
          <w:rFonts w:hint="eastAsia" w:ascii="宋体" w:hAnsi="宋体"/>
          <w:kern w:val="0"/>
          <w:sz w:val="24"/>
        </w:rPr>
        <w:t>；</w:t>
      </w:r>
    </w:p>
    <w:p w14:paraId="4CA7A0C4">
      <w:pPr>
        <w:spacing w:line="360" w:lineRule="auto"/>
        <w:ind w:firstLine="480" w:firstLineChars="200"/>
        <w:rPr>
          <w:rFonts w:ascii="宋体" w:hAnsi="宋体"/>
          <w:kern w:val="0"/>
          <w:sz w:val="24"/>
        </w:rPr>
      </w:pPr>
      <w:r>
        <w:rPr>
          <w:rFonts w:hint="eastAsia" w:ascii="宋体" w:hAnsi="宋体"/>
          <w:kern w:val="0"/>
          <w:sz w:val="24"/>
        </w:rPr>
        <w:t>开户银行：</w:t>
      </w:r>
      <w:r>
        <w:rPr>
          <w:rFonts w:hint="eastAsia" w:ascii="宋体" w:hAnsi="宋体"/>
          <w:kern w:val="0"/>
          <w:sz w:val="24"/>
          <w:u w:val="single"/>
        </w:rPr>
        <w:t xml:space="preserve">                        </w:t>
      </w:r>
      <w:r>
        <w:rPr>
          <w:rFonts w:hint="eastAsia" w:ascii="宋体" w:hAnsi="宋体"/>
          <w:kern w:val="0"/>
          <w:sz w:val="24"/>
        </w:rPr>
        <w:t>；</w:t>
      </w:r>
    </w:p>
    <w:p w14:paraId="13E14504">
      <w:pPr>
        <w:spacing w:line="360" w:lineRule="auto"/>
        <w:ind w:firstLine="480" w:firstLineChars="200"/>
        <w:rPr>
          <w:rFonts w:ascii="宋体" w:hAnsi="宋体"/>
          <w:kern w:val="0"/>
          <w:sz w:val="24"/>
        </w:rPr>
      </w:pPr>
      <w:r>
        <w:rPr>
          <w:rFonts w:hint="eastAsia" w:ascii="宋体" w:hAnsi="宋体"/>
          <w:kern w:val="0"/>
          <w:sz w:val="24"/>
        </w:rPr>
        <w:t>开户账号：</w:t>
      </w:r>
      <w:r>
        <w:rPr>
          <w:rFonts w:hint="eastAsia" w:ascii="宋体" w:hAnsi="宋体"/>
          <w:kern w:val="0"/>
          <w:sz w:val="24"/>
          <w:u w:val="single"/>
        </w:rPr>
        <w:t xml:space="preserve">                        </w:t>
      </w:r>
      <w:r>
        <w:rPr>
          <w:rFonts w:hint="eastAsia" w:ascii="宋体" w:hAnsi="宋体"/>
          <w:kern w:val="0"/>
          <w:sz w:val="24"/>
        </w:rPr>
        <w:t>。</w:t>
      </w:r>
    </w:p>
    <w:p w14:paraId="6DC008C5">
      <w:pPr>
        <w:spacing w:line="360" w:lineRule="auto"/>
        <w:ind w:firstLine="480" w:firstLineChars="200"/>
        <w:rPr>
          <w:rFonts w:ascii="宋体" w:hAnsi="宋体"/>
          <w:kern w:val="0"/>
          <w:sz w:val="24"/>
        </w:rPr>
      </w:pPr>
      <w:r>
        <w:rPr>
          <w:rFonts w:hint="eastAsia" w:ascii="宋体" w:hAnsi="宋体"/>
          <w:kern w:val="0"/>
          <w:sz w:val="24"/>
        </w:rPr>
        <w:t>乙方办理工人工资支付专用账户撤销手续的，应当取得甲方对本项目完工且乙方已结清工人工资的确认意见。</w:t>
      </w:r>
    </w:p>
    <w:p w14:paraId="20C35272">
      <w:pPr>
        <w:spacing w:line="360" w:lineRule="auto"/>
        <w:ind w:firstLine="482" w:firstLineChars="200"/>
        <w:rPr>
          <w:rFonts w:ascii="宋体" w:hAnsi="宋体"/>
          <w:kern w:val="0"/>
          <w:sz w:val="24"/>
        </w:rPr>
      </w:pPr>
      <w:r>
        <w:rPr>
          <w:rFonts w:hint="eastAsia" w:ascii="宋体" w:hAnsi="宋体"/>
          <w:b/>
          <w:kern w:val="0"/>
          <w:sz w:val="24"/>
        </w:rPr>
        <w:t xml:space="preserve">第三条 </w:t>
      </w:r>
      <w:r>
        <w:rPr>
          <w:rFonts w:hint="eastAsia" w:ascii="宋体" w:hAnsi="宋体"/>
          <w:kern w:val="0"/>
          <w:sz w:val="24"/>
        </w:rPr>
        <w:t>乙方按照原合同约定申请工程款时，每一期工程款都必须按照规定比例将工程款项中的工人工资单列，以便甲方进行分账支付。如因乙方错误提供工人工资单列金额而导致相关工人工资无法支付的，由乙方承担由此引起的一切法律责任。</w:t>
      </w:r>
    </w:p>
    <w:p w14:paraId="7989A2C3">
      <w:pPr>
        <w:spacing w:line="360" w:lineRule="auto"/>
        <w:ind w:firstLine="480" w:firstLineChars="200"/>
        <w:rPr>
          <w:rFonts w:ascii="宋体" w:hAnsi="宋体"/>
          <w:kern w:val="0"/>
          <w:sz w:val="24"/>
        </w:rPr>
      </w:pPr>
      <w:r>
        <w:rPr>
          <w:rFonts w:hint="eastAsia" w:ascii="宋体" w:hAnsi="宋体"/>
          <w:kern w:val="0"/>
          <w:sz w:val="24"/>
        </w:rPr>
        <w:t>工人工资款比例按照施工图预算中单列的人工费除以工程总价计算，暂定为</w:t>
      </w:r>
      <w:r>
        <w:rPr>
          <w:rFonts w:hint="eastAsia" w:ascii="宋体" w:hAnsi="宋体" w:cs="宋体"/>
          <w:snapToGrid w:val="0"/>
          <w:kern w:val="0"/>
          <w:sz w:val="24"/>
          <w:u w:val="single"/>
        </w:rPr>
        <w:t>15</w:t>
      </w:r>
      <w:r>
        <w:rPr>
          <w:rFonts w:hint="eastAsia" w:ascii="宋体" w:hAnsi="宋体"/>
          <w:kern w:val="0"/>
          <w:sz w:val="24"/>
        </w:rPr>
        <w:t>%，由甲方按照原合同约定每一期足额支付至第二条所述乙方工人工资专用账户，且工人工资款金额最终以有权结算终审部门审定为准。</w:t>
      </w:r>
    </w:p>
    <w:p w14:paraId="015FC420">
      <w:pPr>
        <w:spacing w:line="360" w:lineRule="auto"/>
        <w:ind w:firstLine="482" w:firstLineChars="200"/>
        <w:rPr>
          <w:rFonts w:ascii="宋体" w:hAnsi="宋体"/>
          <w:kern w:val="0"/>
          <w:sz w:val="24"/>
        </w:rPr>
      </w:pPr>
      <w:r>
        <w:rPr>
          <w:rFonts w:hint="eastAsia" w:ascii="宋体" w:hAnsi="宋体"/>
          <w:b/>
          <w:kern w:val="0"/>
          <w:sz w:val="24"/>
        </w:rPr>
        <w:t xml:space="preserve">第四条 </w:t>
      </w:r>
      <w:r>
        <w:rPr>
          <w:rFonts w:hint="eastAsia" w:ascii="宋体" w:hAnsi="宋体"/>
          <w:kern w:val="0"/>
          <w:sz w:val="24"/>
        </w:rPr>
        <w:t>乙方须建立工人考勤、工资结算和支付等管理台账，并于每次申请工程款时向甲方报备。</w:t>
      </w:r>
    </w:p>
    <w:p w14:paraId="67D6BA7A">
      <w:pPr>
        <w:spacing w:line="360" w:lineRule="auto"/>
        <w:ind w:firstLine="482" w:firstLineChars="200"/>
        <w:rPr>
          <w:rFonts w:ascii="宋体" w:hAnsi="宋体"/>
          <w:kern w:val="0"/>
          <w:sz w:val="24"/>
        </w:rPr>
      </w:pPr>
      <w:r>
        <w:rPr>
          <w:rFonts w:hint="eastAsia" w:ascii="宋体" w:hAnsi="宋体"/>
          <w:b/>
          <w:kern w:val="0"/>
          <w:sz w:val="24"/>
        </w:rPr>
        <w:t>第五条</w:t>
      </w:r>
      <w:r>
        <w:rPr>
          <w:rFonts w:hint="eastAsia" w:ascii="宋体" w:hAnsi="宋体"/>
          <w:kern w:val="0"/>
          <w:sz w:val="24"/>
        </w:rPr>
        <w:t xml:space="preserve"> 本协议是原合同的补充完善，与原合同效力等同。本协议与原合同不一致的，以本协议约定为准；本协议未约定的，仍按原合同约定执行。</w:t>
      </w:r>
    </w:p>
    <w:p w14:paraId="43AE7DB5">
      <w:pPr>
        <w:spacing w:line="360" w:lineRule="auto"/>
        <w:ind w:firstLine="482" w:firstLineChars="200"/>
        <w:rPr>
          <w:rFonts w:ascii="宋体" w:hAnsi="宋体"/>
          <w:b/>
          <w:kern w:val="0"/>
          <w:sz w:val="24"/>
        </w:rPr>
      </w:pPr>
      <w:r>
        <w:rPr>
          <w:rFonts w:hint="eastAsia" w:ascii="宋体" w:hAnsi="宋体"/>
          <w:b/>
          <w:kern w:val="0"/>
          <w:sz w:val="24"/>
        </w:rPr>
        <w:t xml:space="preserve">第六条 </w:t>
      </w:r>
      <w:r>
        <w:rPr>
          <w:rFonts w:hint="eastAsia" w:ascii="宋体" w:hAnsi="宋体"/>
          <w:kern w:val="0"/>
          <w:sz w:val="24"/>
        </w:rPr>
        <w:t>双方因本协议或者履行本协议所产生的争议，可先行协商解决，经协商达成一致意见的，应签订补充协议；若协商不成的，可向工程所在地人民法院提请诉讼。</w:t>
      </w:r>
    </w:p>
    <w:p w14:paraId="505F827B">
      <w:pPr>
        <w:spacing w:line="360" w:lineRule="auto"/>
        <w:ind w:firstLine="482" w:firstLineChars="200"/>
        <w:rPr>
          <w:rFonts w:ascii="宋体" w:hAnsi="宋体"/>
          <w:kern w:val="0"/>
          <w:sz w:val="24"/>
        </w:rPr>
      </w:pPr>
      <w:r>
        <w:rPr>
          <w:rFonts w:hint="eastAsia" w:ascii="宋体" w:hAnsi="宋体"/>
          <w:b/>
          <w:kern w:val="0"/>
          <w:sz w:val="24"/>
        </w:rPr>
        <w:t>第七条</w:t>
      </w:r>
      <w:r>
        <w:rPr>
          <w:rFonts w:hint="eastAsia" w:ascii="宋体" w:hAnsi="宋体"/>
          <w:kern w:val="0"/>
          <w:sz w:val="24"/>
        </w:rPr>
        <w:t xml:space="preserve"> 本协议自双方法定代表人（或委托代理人）签字并加盖公章之日起生效。</w:t>
      </w:r>
    </w:p>
    <w:p w14:paraId="09FE988C">
      <w:pPr>
        <w:spacing w:line="360" w:lineRule="auto"/>
        <w:ind w:firstLine="482" w:firstLineChars="200"/>
        <w:rPr>
          <w:rFonts w:ascii="宋体" w:hAnsi="宋体"/>
          <w:kern w:val="0"/>
          <w:sz w:val="24"/>
        </w:rPr>
      </w:pPr>
      <w:r>
        <w:rPr>
          <w:rFonts w:hint="eastAsia" w:ascii="宋体" w:hAnsi="宋体"/>
          <w:b/>
          <w:kern w:val="0"/>
          <w:sz w:val="24"/>
        </w:rPr>
        <w:t xml:space="preserve">第八条 </w:t>
      </w:r>
      <w:r>
        <w:rPr>
          <w:rFonts w:hint="eastAsia" w:ascii="宋体" w:hAnsi="宋体"/>
          <w:kern w:val="0"/>
          <w:sz w:val="24"/>
        </w:rPr>
        <w:t>本协议正本两份，双方各执一份；副本十份，其中甲方执九份，乙方执一份。协议正、副本具有同等效力，但当协议正本与副本的表述不一致时，以协议正本为准。</w:t>
      </w:r>
    </w:p>
    <w:p w14:paraId="258199BF">
      <w:pPr>
        <w:spacing w:line="360" w:lineRule="auto"/>
        <w:ind w:firstLine="480" w:firstLineChars="200"/>
        <w:rPr>
          <w:rFonts w:ascii="宋体" w:hAnsi="宋体"/>
          <w:kern w:val="0"/>
          <w:sz w:val="24"/>
        </w:rPr>
      </w:pPr>
      <w:r>
        <w:rPr>
          <w:rFonts w:hint="eastAsia" w:ascii="宋体" w:hAnsi="宋体"/>
          <w:kern w:val="0"/>
          <w:sz w:val="24"/>
        </w:rPr>
        <w:t>（本页以下无正文）</w:t>
      </w:r>
    </w:p>
    <w:p w14:paraId="26E5F845">
      <w:pPr>
        <w:spacing w:line="360" w:lineRule="auto"/>
        <w:ind w:firstLine="480" w:firstLineChars="200"/>
        <w:rPr>
          <w:rFonts w:ascii="宋体" w:hAnsi="宋体"/>
          <w:spacing w:val="-20"/>
          <w:kern w:val="0"/>
          <w:sz w:val="24"/>
        </w:rPr>
      </w:pPr>
      <w:r>
        <w:rPr>
          <w:rFonts w:hint="eastAsia" w:ascii="宋体" w:hAnsi="宋体"/>
          <w:kern w:val="0"/>
          <w:sz w:val="24"/>
        </w:rPr>
        <w:t>甲方：</w:t>
      </w:r>
      <w:r>
        <w:rPr>
          <w:rFonts w:hint="eastAsia" w:ascii="宋体" w:hAnsi="宋体"/>
          <w:spacing w:val="-20"/>
          <w:kern w:val="0"/>
          <w:sz w:val="24"/>
        </w:rPr>
        <w:t xml:space="preserve">                                           </w:t>
      </w:r>
      <w:r>
        <w:rPr>
          <w:rFonts w:hint="eastAsia" w:ascii="宋体" w:hAnsi="宋体" w:cs="宋体"/>
          <w:snapToGrid w:val="0"/>
          <w:spacing w:val="-20"/>
          <w:kern w:val="0"/>
          <w:sz w:val="24"/>
        </w:rPr>
        <w:t xml:space="preserve">  </w:t>
      </w:r>
      <w:r>
        <w:rPr>
          <w:rFonts w:hint="eastAsia" w:ascii="宋体" w:hAnsi="宋体" w:cs="宋体"/>
          <w:snapToGrid w:val="0"/>
          <w:kern w:val="0"/>
          <w:sz w:val="24"/>
        </w:rPr>
        <w:t>乙方（主）：</w:t>
      </w:r>
    </w:p>
    <w:p w14:paraId="6B55129F">
      <w:pPr>
        <w:spacing w:line="360" w:lineRule="auto"/>
        <w:ind w:firstLine="480" w:firstLineChars="200"/>
        <w:rPr>
          <w:rFonts w:ascii="宋体" w:hAnsi="宋体"/>
          <w:kern w:val="0"/>
          <w:sz w:val="24"/>
        </w:rPr>
      </w:pPr>
      <w:r>
        <w:rPr>
          <w:rFonts w:hint="eastAsia" w:ascii="宋体" w:hAnsi="宋体"/>
          <w:kern w:val="0"/>
          <w:sz w:val="24"/>
        </w:rPr>
        <w:t>（盖章）                             （盖章）</w:t>
      </w:r>
    </w:p>
    <w:p w14:paraId="0019145D">
      <w:pPr>
        <w:tabs>
          <w:tab w:val="left" w:pos="5460"/>
        </w:tabs>
        <w:spacing w:line="360" w:lineRule="auto"/>
        <w:ind w:firstLine="480" w:firstLineChars="200"/>
        <w:rPr>
          <w:rFonts w:ascii="宋体" w:hAnsi="宋体"/>
          <w:kern w:val="0"/>
          <w:sz w:val="24"/>
        </w:rPr>
      </w:pPr>
    </w:p>
    <w:p w14:paraId="23482AB0">
      <w:pPr>
        <w:tabs>
          <w:tab w:val="left" w:pos="5460"/>
        </w:tabs>
        <w:spacing w:line="360" w:lineRule="auto"/>
        <w:ind w:firstLine="480" w:firstLineChars="200"/>
        <w:rPr>
          <w:rFonts w:ascii="宋体" w:hAnsi="宋体"/>
          <w:kern w:val="0"/>
          <w:sz w:val="24"/>
        </w:rPr>
      </w:pPr>
      <w:r>
        <w:rPr>
          <w:rFonts w:hint="eastAsia" w:ascii="宋体" w:hAnsi="宋体"/>
          <w:kern w:val="0"/>
          <w:sz w:val="24"/>
        </w:rPr>
        <w:t>签约代表：                          签约代表：</w:t>
      </w:r>
    </w:p>
    <w:p w14:paraId="40461432">
      <w:pPr>
        <w:spacing w:line="360" w:lineRule="auto"/>
        <w:ind w:firstLine="480" w:firstLineChars="200"/>
        <w:rPr>
          <w:rFonts w:ascii="宋体" w:hAnsi="宋体"/>
          <w:spacing w:val="-24"/>
          <w:kern w:val="0"/>
          <w:sz w:val="24"/>
        </w:rPr>
      </w:pPr>
      <w:r>
        <w:rPr>
          <w:rFonts w:hint="eastAsia" w:ascii="宋体" w:hAnsi="宋体"/>
          <w:kern w:val="0"/>
          <w:sz w:val="24"/>
        </w:rPr>
        <w:t>地址：                              地址：</w:t>
      </w:r>
    </w:p>
    <w:p w14:paraId="7C874863">
      <w:pPr>
        <w:spacing w:line="360" w:lineRule="auto"/>
        <w:ind w:firstLine="480" w:firstLineChars="200"/>
        <w:rPr>
          <w:rFonts w:ascii="宋体" w:hAnsi="宋体"/>
          <w:kern w:val="0"/>
          <w:sz w:val="24"/>
        </w:rPr>
      </w:pPr>
      <w:r>
        <w:rPr>
          <w:rFonts w:hint="eastAsia" w:ascii="宋体" w:hAnsi="宋体"/>
          <w:kern w:val="0"/>
          <w:sz w:val="24"/>
        </w:rPr>
        <w:t>邮政编码：                          邮政编码：</w:t>
      </w:r>
    </w:p>
    <w:p w14:paraId="19BAD391">
      <w:pPr>
        <w:spacing w:line="360" w:lineRule="auto"/>
        <w:ind w:firstLine="480" w:firstLineChars="200"/>
        <w:rPr>
          <w:rFonts w:ascii="宋体" w:hAnsi="宋体"/>
          <w:kern w:val="0"/>
          <w:sz w:val="24"/>
        </w:rPr>
      </w:pPr>
      <w:r>
        <w:rPr>
          <w:rFonts w:hint="eastAsia" w:ascii="宋体" w:hAnsi="宋体"/>
          <w:kern w:val="0"/>
          <w:sz w:val="24"/>
        </w:rPr>
        <w:t>电话：                              电话：</w:t>
      </w:r>
    </w:p>
    <w:p w14:paraId="7E8C6C25">
      <w:pPr>
        <w:spacing w:line="360" w:lineRule="auto"/>
        <w:ind w:firstLine="480" w:firstLineChars="200"/>
        <w:rPr>
          <w:rFonts w:ascii="宋体" w:hAnsi="宋体"/>
          <w:kern w:val="0"/>
          <w:sz w:val="24"/>
        </w:rPr>
      </w:pPr>
      <w:r>
        <w:rPr>
          <w:rFonts w:hint="eastAsia" w:ascii="宋体" w:hAnsi="宋体"/>
          <w:kern w:val="0"/>
          <w:sz w:val="24"/>
        </w:rPr>
        <w:t>传真：                              传真：</w:t>
      </w:r>
    </w:p>
    <w:p w14:paraId="70091C62">
      <w:pPr>
        <w:tabs>
          <w:tab w:val="left" w:pos="5460"/>
        </w:tabs>
        <w:spacing w:line="360" w:lineRule="auto"/>
        <w:ind w:firstLine="480" w:firstLineChars="200"/>
        <w:rPr>
          <w:rFonts w:ascii="宋体" w:hAnsi="宋体"/>
          <w:kern w:val="0"/>
          <w:sz w:val="24"/>
        </w:rPr>
      </w:pPr>
      <w:r>
        <w:rPr>
          <w:rFonts w:hint="eastAsia" w:ascii="宋体" w:hAnsi="宋体"/>
          <w:kern w:val="0"/>
          <w:sz w:val="24"/>
        </w:rPr>
        <w:t>签订时间：    年  月  日            签订时间：    年  月  日</w:t>
      </w:r>
    </w:p>
    <w:p w14:paraId="01474C37">
      <w:pPr>
        <w:tabs>
          <w:tab w:val="left" w:pos="5460"/>
        </w:tabs>
        <w:spacing w:line="360" w:lineRule="auto"/>
        <w:ind w:firstLine="480" w:firstLineChars="200"/>
        <w:rPr>
          <w:rFonts w:ascii="宋体" w:hAnsi="宋体"/>
          <w:kern w:val="0"/>
          <w:sz w:val="24"/>
        </w:rPr>
      </w:pPr>
    </w:p>
    <w:p w14:paraId="606C3726">
      <w:pPr>
        <w:tabs>
          <w:tab w:val="left" w:pos="5460"/>
        </w:tabs>
        <w:spacing w:line="360" w:lineRule="auto"/>
        <w:ind w:firstLine="480" w:firstLineChars="200"/>
        <w:rPr>
          <w:rFonts w:ascii="宋体" w:hAnsi="宋体" w:cs="宋体"/>
          <w:snapToGrid w:val="0"/>
          <w:spacing w:val="-20"/>
          <w:kern w:val="0"/>
          <w:sz w:val="24"/>
          <w:u w:val="single"/>
        </w:rPr>
      </w:pPr>
      <w:r>
        <w:rPr>
          <w:rFonts w:hint="eastAsia" w:ascii="宋体" w:hAnsi="宋体" w:cs="宋体"/>
          <w:snapToGrid w:val="0"/>
          <w:kern w:val="0"/>
          <w:sz w:val="24"/>
        </w:rPr>
        <w:t>乙方（成）：</w:t>
      </w:r>
      <w:r>
        <w:rPr>
          <w:rFonts w:hint="eastAsia" w:ascii="宋体" w:hAnsi="宋体" w:cs="宋体"/>
          <w:snapToGrid w:val="0"/>
          <w:spacing w:val="-20"/>
          <w:kern w:val="0"/>
          <w:sz w:val="24"/>
        </w:rPr>
        <w:t xml:space="preserve"> </w:t>
      </w:r>
      <w:r>
        <w:rPr>
          <w:rFonts w:hint="eastAsia" w:ascii="宋体" w:hAnsi="宋体" w:cs="宋体"/>
          <w:snapToGrid w:val="0"/>
          <w:kern w:val="0"/>
          <w:sz w:val="24"/>
        </w:rPr>
        <w:t xml:space="preserve">                           </w:t>
      </w:r>
    </w:p>
    <w:p w14:paraId="41BD780E">
      <w:pPr>
        <w:tabs>
          <w:tab w:val="left" w:pos="5460"/>
        </w:tabs>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 xml:space="preserve">（盖章）              </w:t>
      </w:r>
    </w:p>
    <w:p w14:paraId="01DE904D">
      <w:pPr>
        <w:tabs>
          <w:tab w:val="left" w:pos="5460"/>
        </w:tabs>
        <w:spacing w:line="360" w:lineRule="auto"/>
        <w:ind w:firstLine="480" w:firstLineChars="200"/>
        <w:rPr>
          <w:rFonts w:ascii="宋体" w:hAnsi="宋体" w:cs="宋体"/>
          <w:snapToGrid w:val="0"/>
          <w:kern w:val="0"/>
          <w:sz w:val="24"/>
        </w:rPr>
      </w:pPr>
    </w:p>
    <w:p w14:paraId="70E3D3B1">
      <w:pPr>
        <w:tabs>
          <w:tab w:val="left" w:pos="5460"/>
        </w:tabs>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 xml:space="preserve">签约代表：                          </w:t>
      </w:r>
    </w:p>
    <w:p w14:paraId="44C0EFFC">
      <w:pPr>
        <w:tabs>
          <w:tab w:val="center" w:pos="4535"/>
        </w:tabs>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 xml:space="preserve">地址：                           </w:t>
      </w:r>
    </w:p>
    <w:p w14:paraId="6E30088C">
      <w:pPr>
        <w:tabs>
          <w:tab w:val="center" w:pos="4535"/>
        </w:tabs>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邮政编码：</w:t>
      </w:r>
      <w:r>
        <w:rPr>
          <w:rFonts w:hint="eastAsia" w:ascii="宋体" w:hAnsi="宋体" w:cs="宋体"/>
          <w:snapToGrid w:val="0"/>
          <w:kern w:val="0"/>
          <w:sz w:val="24"/>
        </w:rPr>
        <w:tab/>
      </w:r>
      <w:r>
        <w:rPr>
          <w:rFonts w:hint="eastAsia" w:ascii="宋体" w:hAnsi="宋体" w:cs="宋体"/>
          <w:snapToGrid w:val="0"/>
          <w:kern w:val="0"/>
          <w:sz w:val="24"/>
        </w:rPr>
        <w:t xml:space="preserve">      </w:t>
      </w:r>
    </w:p>
    <w:p w14:paraId="5D8AD6D4">
      <w:pPr>
        <w:tabs>
          <w:tab w:val="center" w:pos="4535"/>
        </w:tabs>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传真：</w:t>
      </w:r>
      <w:r>
        <w:rPr>
          <w:rFonts w:hint="eastAsia" w:ascii="宋体" w:hAnsi="宋体" w:cs="宋体"/>
          <w:snapToGrid w:val="0"/>
          <w:kern w:val="0"/>
          <w:sz w:val="24"/>
        </w:rPr>
        <w:tab/>
      </w:r>
      <w:r>
        <w:rPr>
          <w:rFonts w:hint="eastAsia" w:ascii="宋体" w:hAnsi="宋体" w:cs="宋体"/>
          <w:snapToGrid w:val="0"/>
          <w:kern w:val="0"/>
          <w:sz w:val="24"/>
        </w:rPr>
        <w:t xml:space="preserve">  </w:t>
      </w:r>
    </w:p>
    <w:p w14:paraId="60018280">
      <w:pPr>
        <w:tabs>
          <w:tab w:val="center" w:pos="4535"/>
        </w:tabs>
        <w:spacing w:line="360" w:lineRule="auto"/>
        <w:ind w:firstLine="480" w:firstLineChars="200"/>
        <w:rPr>
          <w:rFonts w:ascii="宋体" w:hAnsi="宋体" w:cs="宋体"/>
          <w:snapToGrid w:val="0"/>
          <w:kern w:val="0"/>
          <w:sz w:val="24"/>
        </w:rPr>
      </w:pPr>
      <w:r>
        <w:rPr>
          <w:rFonts w:hint="eastAsia" w:ascii="宋体" w:hAnsi="宋体" w:cs="宋体"/>
          <w:snapToGrid w:val="0"/>
          <w:kern w:val="0"/>
          <w:sz w:val="24"/>
        </w:rPr>
        <w:t xml:space="preserve">签订时间：    年  月  日           </w:t>
      </w:r>
    </w:p>
    <w:p w14:paraId="4414B77E">
      <w:pPr>
        <w:spacing w:line="360" w:lineRule="auto"/>
        <w:ind w:firstLine="480" w:firstLineChars="200"/>
        <w:rPr>
          <w:rFonts w:ascii="宋体" w:hAnsi="宋体" w:cs="宋体"/>
        </w:rPr>
      </w:pPr>
      <w:bookmarkStart w:id="819" w:name="_Toc4577_WPSOffice_Level2"/>
      <w:r>
        <w:rPr>
          <w:rFonts w:hint="eastAsia" w:ascii="宋体" w:hAnsi="宋体" w:cs="宋体"/>
          <w:snapToGrid w:val="0"/>
          <w:kern w:val="0"/>
          <w:sz w:val="24"/>
        </w:rPr>
        <w:t>本协议签订于广东省广州市黄埔区。</w:t>
      </w:r>
      <w:bookmarkEnd w:id="819"/>
    </w:p>
    <w:p w14:paraId="1AEC0AF1">
      <w:pPr>
        <w:adjustRightInd w:val="0"/>
        <w:snapToGrid w:val="0"/>
        <w:spacing w:line="360" w:lineRule="auto"/>
        <w:outlineLvl w:val="1"/>
        <w:rPr>
          <w:rFonts w:ascii="宋体" w:hAnsi="宋体"/>
          <w:kern w:val="0"/>
          <w:sz w:val="24"/>
        </w:rPr>
      </w:pPr>
      <w:r>
        <w:rPr>
          <w:rFonts w:hint="eastAsia" w:ascii="宋体" w:hAnsi="宋体"/>
          <w:kern w:val="0"/>
          <w:sz w:val="24"/>
        </w:rPr>
        <w:br w:type="page"/>
      </w:r>
      <w:bookmarkStart w:id="820" w:name="_Toc504735682"/>
      <w:bookmarkStart w:id="821" w:name="_Toc518402648"/>
      <w:bookmarkStart w:id="822" w:name="_Toc59802271"/>
      <w:bookmarkStart w:id="823" w:name="_Toc104901626"/>
      <w:bookmarkStart w:id="824" w:name="_Toc104901822"/>
      <w:r>
        <w:rPr>
          <w:rFonts w:hint="eastAsia" w:ascii="宋体" w:hAnsi="宋体"/>
          <w:kern w:val="0"/>
          <w:sz w:val="24"/>
        </w:rPr>
        <w:t>附件9：</w:t>
      </w:r>
      <w:bookmarkEnd w:id="820"/>
      <w:bookmarkEnd w:id="821"/>
      <w:r>
        <w:rPr>
          <w:rFonts w:hint="eastAsia" w:ascii="宋体" w:hAnsi="宋体"/>
          <w:kern w:val="0"/>
          <w:sz w:val="24"/>
        </w:rPr>
        <w:t>承包人法定代表人、项目负责人、技术负责人、设计负责人及驻场人员的身份证、职务、职称及通信联系方式</w:t>
      </w:r>
    </w:p>
    <w:p w14:paraId="7173F60C">
      <w:pPr>
        <w:adjustRightInd w:val="0"/>
        <w:snapToGrid w:val="0"/>
        <w:spacing w:line="360" w:lineRule="auto"/>
        <w:jc w:val="center"/>
        <w:rPr>
          <w:rFonts w:ascii="宋体" w:hAnsi="宋体"/>
          <w:b/>
          <w:kern w:val="0"/>
          <w:sz w:val="32"/>
        </w:rPr>
      </w:pPr>
      <w:r>
        <w:rPr>
          <w:rFonts w:hint="eastAsia" w:ascii="宋体" w:hAnsi="宋体"/>
          <w:b/>
          <w:kern w:val="0"/>
          <w:sz w:val="32"/>
        </w:rPr>
        <w:t>承包人法定代表人、项目负责人、技术负责人</w:t>
      </w:r>
      <w:r>
        <w:rPr>
          <w:rFonts w:hint="eastAsia" w:ascii="宋体" w:hAnsi="宋体" w:cs="宋体"/>
          <w:b/>
          <w:snapToGrid w:val="0"/>
          <w:kern w:val="0"/>
          <w:sz w:val="32"/>
          <w:szCs w:val="32"/>
        </w:rPr>
        <w:t>、设计负责人</w:t>
      </w:r>
      <w:r>
        <w:rPr>
          <w:rFonts w:hint="eastAsia" w:ascii="宋体" w:hAnsi="宋体"/>
          <w:b/>
          <w:kern w:val="0"/>
          <w:sz w:val="32"/>
        </w:rPr>
        <w:t>及驻场人员的身份证、职务、职称及通信联系方式</w:t>
      </w:r>
      <w:bookmarkEnd w:id="822"/>
      <w:bookmarkEnd w:id="823"/>
      <w:bookmarkEnd w:id="824"/>
    </w:p>
    <w:p w14:paraId="772BC33A">
      <w:pPr>
        <w:adjustRightInd w:val="0"/>
        <w:snapToGrid w:val="0"/>
        <w:spacing w:line="360" w:lineRule="auto"/>
        <w:rPr>
          <w:rFonts w:ascii="宋体" w:hAnsi="宋体" w:cs="宋体"/>
          <w:bCs/>
          <w:snapToGrid w:val="0"/>
          <w:kern w:val="0"/>
          <w:sz w:val="24"/>
        </w:rPr>
      </w:pPr>
    </w:p>
    <w:p w14:paraId="35DAAF12">
      <w:pPr>
        <w:adjustRightInd w:val="0"/>
        <w:snapToGrid w:val="0"/>
        <w:spacing w:line="360" w:lineRule="auto"/>
        <w:rPr>
          <w:rFonts w:ascii="宋体" w:hAnsi="宋体" w:cs="宋体"/>
        </w:rPr>
      </w:pPr>
    </w:p>
    <w:p w14:paraId="7CB0B044">
      <w:pPr>
        <w:adjustRightInd w:val="0"/>
        <w:snapToGrid w:val="0"/>
        <w:spacing w:line="360" w:lineRule="auto"/>
        <w:rPr>
          <w:rFonts w:ascii="宋体" w:hAnsi="宋体" w:cs="宋体"/>
        </w:rPr>
      </w:pPr>
    </w:p>
    <w:p w14:paraId="567D86C4">
      <w:pPr>
        <w:adjustRightInd w:val="0"/>
        <w:snapToGrid w:val="0"/>
        <w:spacing w:line="360" w:lineRule="auto"/>
        <w:rPr>
          <w:rFonts w:ascii="宋体" w:hAnsi="宋体" w:cs="宋体"/>
        </w:rPr>
      </w:pPr>
    </w:p>
    <w:p w14:paraId="15D2C656">
      <w:pPr>
        <w:pStyle w:val="45"/>
        <w:rPr>
          <w:rFonts w:ascii="宋体" w:hAnsi="宋体" w:cs="宋体"/>
        </w:rPr>
      </w:pPr>
    </w:p>
    <w:p w14:paraId="08EB38DB">
      <w:pPr>
        <w:pStyle w:val="45"/>
        <w:rPr>
          <w:rFonts w:ascii="宋体" w:hAnsi="宋体" w:cs="宋体"/>
        </w:rPr>
      </w:pPr>
    </w:p>
    <w:p w14:paraId="7BD9E1A0">
      <w:pPr>
        <w:pStyle w:val="45"/>
        <w:rPr>
          <w:rFonts w:ascii="宋体" w:hAnsi="宋体" w:cs="宋体"/>
        </w:rPr>
      </w:pPr>
    </w:p>
    <w:p w14:paraId="5D6C0FE7">
      <w:pPr>
        <w:pStyle w:val="45"/>
        <w:rPr>
          <w:rFonts w:ascii="宋体" w:hAnsi="宋体" w:cs="宋体"/>
        </w:rPr>
      </w:pPr>
    </w:p>
    <w:p w14:paraId="546914E7">
      <w:pPr>
        <w:pStyle w:val="45"/>
        <w:rPr>
          <w:rFonts w:ascii="宋体" w:hAnsi="宋体" w:cs="宋体"/>
        </w:rPr>
      </w:pPr>
    </w:p>
    <w:p w14:paraId="4E9783E6">
      <w:pPr>
        <w:pStyle w:val="45"/>
        <w:rPr>
          <w:rFonts w:ascii="宋体" w:hAnsi="宋体" w:cs="宋体"/>
        </w:rPr>
      </w:pPr>
    </w:p>
    <w:p w14:paraId="48B74ECF">
      <w:pPr>
        <w:pStyle w:val="45"/>
        <w:rPr>
          <w:rFonts w:ascii="宋体" w:hAnsi="宋体" w:cs="宋体"/>
        </w:rPr>
      </w:pPr>
    </w:p>
    <w:p w14:paraId="589EA0F0">
      <w:pPr>
        <w:adjustRightInd/>
        <w:snapToGrid/>
        <w:spacing w:line="240" w:lineRule="auto"/>
        <w:outlineLvl w:val="9"/>
        <w:rPr>
          <w:rFonts w:hint="eastAsia" w:ascii="宋体" w:hAnsi="宋体"/>
          <w:kern w:val="0"/>
          <w:sz w:val="24"/>
        </w:rPr>
      </w:pPr>
      <w:r>
        <w:rPr>
          <w:rFonts w:hint="eastAsia" w:ascii="宋体" w:hAnsi="宋体"/>
          <w:kern w:val="0"/>
          <w:sz w:val="24"/>
        </w:rPr>
        <w:br w:type="page"/>
      </w:r>
    </w:p>
    <w:p w14:paraId="4DF56751">
      <w:pPr>
        <w:adjustRightInd w:val="0"/>
        <w:snapToGrid w:val="0"/>
        <w:spacing w:line="360" w:lineRule="auto"/>
        <w:outlineLvl w:val="1"/>
        <w:rPr>
          <w:rFonts w:ascii="宋体" w:hAnsi="宋体"/>
          <w:kern w:val="0"/>
          <w:sz w:val="24"/>
        </w:rPr>
      </w:pPr>
      <w:r>
        <w:rPr>
          <w:rFonts w:hint="eastAsia" w:ascii="宋体" w:hAnsi="宋体"/>
          <w:kern w:val="0"/>
          <w:sz w:val="24"/>
        </w:rPr>
        <w:t>附件10：联合体投标协议书</w:t>
      </w:r>
    </w:p>
    <w:p w14:paraId="5546467F">
      <w:pPr>
        <w:adjustRightInd w:val="0"/>
        <w:snapToGrid w:val="0"/>
        <w:spacing w:line="360" w:lineRule="auto"/>
        <w:jc w:val="center"/>
        <w:rPr>
          <w:rFonts w:ascii="宋体" w:hAnsi="宋体" w:cs="宋体"/>
          <w:b/>
          <w:snapToGrid w:val="0"/>
          <w:kern w:val="0"/>
          <w:sz w:val="32"/>
          <w:szCs w:val="32"/>
        </w:rPr>
      </w:pPr>
      <w:r>
        <w:rPr>
          <w:rFonts w:hint="eastAsia" w:ascii="宋体" w:hAnsi="宋体" w:cs="宋体"/>
          <w:b/>
          <w:snapToGrid w:val="0"/>
          <w:kern w:val="0"/>
          <w:sz w:val="32"/>
          <w:szCs w:val="32"/>
        </w:rPr>
        <w:t>联合体投标协议书</w:t>
      </w:r>
    </w:p>
    <w:p w14:paraId="3593115E">
      <w:pPr>
        <w:adjustRightInd w:val="0"/>
        <w:snapToGrid w:val="0"/>
        <w:spacing w:line="360" w:lineRule="auto"/>
        <w:rPr>
          <w:rFonts w:ascii="宋体" w:hAnsi="宋体" w:cs="宋体"/>
        </w:rPr>
      </w:pPr>
    </w:p>
    <w:p w14:paraId="13FE8012">
      <w:pPr>
        <w:pStyle w:val="45"/>
        <w:rPr>
          <w:rFonts w:ascii="宋体" w:hAnsi="宋体" w:cs="宋体"/>
        </w:rPr>
      </w:pPr>
    </w:p>
    <w:p w14:paraId="0FD1398C">
      <w:pPr>
        <w:adjustRightInd/>
        <w:snapToGrid/>
        <w:spacing w:line="240" w:lineRule="auto"/>
        <w:outlineLvl w:val="9"/>
        <w:rPr>
          <w:rFonts w:hint="eastAsia" w:ascii="宋体" w:hAnsi="宋体"/>
          <w:kern w:val="0"/>
          <w:sz w:val="24"/>
        </w:rPr>
      </w:pPr>
      <w:r>
        <w:rPr>
          <w:rFonts w:hint="eastAsia" w:ascii="宋体" w:hAnsi="宋体"/>
          <w:kern w:val="0"/>
          <w:sz w:val="24"/>
        </w:rPr>
        <w:br w:type="page"/>
      </w:r>
    </w:p>
    <w:p w14:paraId="28729B02">
      <w:pPr>
        <w:adjustRightInd w:val="0"/>
        <w:snapToGrid w:val="0"/>
        <w:spacing w:line="360" w:lineRule="auto"/>
        <w:outlineLvl w:val="1"/>
        <w:rPr>
          <w:rFonts w:ascii="宋体" w:hAnsi="宋体"/>
          <w:kern w:val="0"/>
          <w:sz w:val="24"/>
        </w:rPr>
      </w:pPr>
      <w:r>
        <w:rPr>
          <w:rFonts w:hint="eastAsia" w:ascii="宋体" w:hAnsi="宋体"/>
          <w:kern w:val="0"/>
          <w:sz w:val="24"/>
        </w:rPr>
        <w:t>附件11：投标书</w:t>
      </w:r>
    </w:p>
    <w:p w14:paraId="15A0246B">
      <w:pPr>
        <w:adjustRightInd w:val="0"/>
        <w:snapToGrid w:val="0"/>
        <w:spacing w:line="360" w:lineRule="auto"/>
        <w:jc w:val="center"/>
        <w:rPr>
          <w:rFonts w:ascii="宋体" w:hAnsi="宋体" w:cs="宋体"/>
          <w:b/>
          <w:snapToGrid w:val="0"/>
          <w:kern w:val="0"/>
          <w:sz w:val="32"/>
          <w:szCs w:val="32"/>
        </w:rPr>
      </w:pPr>
      <w:r>
        <w:rPr>
          <w:rFonts w:hint="eastAsia" w:ascii="宋体" w:hAnsi="宋体" w:cs="宋体"/>
          <w:b/>
          <w:snapToGrid w:val="0"/>
          <w:kern w:val="0"/>
          <w:sz w:val="32"/>
          <w:szCs w:val="32"/>
        </w:rPr>
        <w:t>投标书（报价表）</w:t>
      </w:r>
    </w:p>
    <w:p w14:paraId="50AFAE4B">
      <w:pPr>
        <w:adjustRightInd w:val="0"/>
        <w:snapToGrid w:val="0"/>
        <w:spacing w:line="360" w:lineRule="auto"/>
        <w:rPr>
          <w:rFonts w:ascii="宋体" w:hAnsi="宋体" w:cs="宋体"/>
        </w:rPr>
      </w:pPr>
    </w:p>
    <w:p w14:paraId="4E73B961">
      <w:pPr>
        <w:adjustRightInd w:val="0"/>
        <w:snapToGrid w:val="0"/>
        <w:spacing w:line="360" w:lineRule="auto"/>
        <w:rPr>
          <w:rFonts w:ascii="宋体" w:hAnsi="宋体" w:cs="宋体"/>
        </w:rPr>
      </w:pPr>
    </w:p>
    <w:p w14:paraId="24F184E2">
      <w:pPr>
        <w:adjustRightInd w:val="0"/>
        <w:snapToGrid w:val="0"/>
        <w:spacing w:line="360" w:lineRule="auto"/>
        <w:rPr>
          <w:rFonts w:ascii="宋体" w:hAnsi="宋体" w:cs="宋体"/>
        </w:rPr>
      </w:pPr>
    </w:p>
    <w:p w14:paraId="2001BE19">
      <w:pPr>
        <w:adjustRightInd w:val="0"/>
        <w:snapToGrid w:val="0"/>
        <w:spacing w:line="360" w:lineRule="auto"/>
        <w:rPr>
          <w:rFonts w:ascii="宋体" w:hAnsi="宋体" w:cs="宋体"/>
        </w:rPr>
      </w:pPr>
    </w:p>
    <w:p w14:paraId="7D890BD6">
      <w:pPr>
        <w:adjustRightInd w:val="0"/>
        <w:snapToGrid w:val="0"/>
        <w:spacing w:line="360" w:lineRule="auto"/>
        <w:rPr>
          <w:rFonts w:ascii="宋体" w:hAnsi="宋体" w:cs="宋体"/>
        </w:rPr>
      </w:pPr>
    </w:p>
    <w:p w14:paraId="1057F083">
      <w:pPr>
        <w:adjustRightInd w:val="0"/>
        <w:snapToGrid w:val="0"/>
        <w:spacing w:line="360" w:lineRule="auto"/>
        <w:rPr>
          <w:rFonts w:ascii="宋体" w:hAnsi="宋体" w:cs="宋体"/>
        </w:rPr>
      </w:pPr>
    </w:p>
    <w:p w14:paraId="73BAE823">
      <w:pPr>
        <w:adjustRightInd w:val="0"/>
        <w:snapToGrid w:val="0"/>
        <w:spacing w:line="360" w:lineRule="auto"/>
        <w:rPr>
          <w:rFonts w:ascii="宋体" w:hAnsi="宋体" w:cs="宋体"/>
        </w:rPr>
      </w:pPr>
    </w:p>
    <w:p w14:paraId="6E35F27F">
      <w:pPr>
        <w:adjustRightInd w:val="0"/>
        <w:snapToGrid w:val="0"/>
        <w:spacing w:line="360" w:lineRule="auto"/>
        <w:rPr>
          <w:rFonts w:ascii="宋体" w:hAnsi="宋体" w:cs="宋体"/>
        </w:rPr>
      </w:pPr>
    </w:p>
    <w:p w14:paraId="33022C31">
      <w:pPr>
        <w:adjustRightInd w:val="0"/>
        <w:snapToGrid w:val="0"/>
        <w:spacing w:line="360" w:lineRule="auto"/>
        <w:rPr>
          <w:rFonts w:ascii="宋体" w:hAnsi="宋体" w:cs="宋体"/>
        </w:rPr>
      </w:pPr>
    </w:p>
    <w:p w14:paraId="2B8593CF">
      <w:pPr>
        <w:adjustRightInd w:val="0"/>
        <w:snapToGrid w:val="0"/>
        <w:spacing w:line="360" w:lineRule="auto"/>
        <w:rPr>
          <w:rFonts w:ascii="宋体" w:hAnsi="宋体" w:cs="宋体"/>
        </w:rPr>
      </w:pPr>
    </w:p>
    <w:p w14:paraId="4133E3ED">
      <w:pPr>
        <w:adjustRightInd w:val="0"/>
        <w:snapToGrid w:val="0"/>
        <w:spacing w:line="360" w:lineRule="auto"/>
        <w:rPr>
          <w:rFonts w:ascii="宋体" w:hAnsi="宋体" w:cs="宋体"/>
        </w:rPr>
      </w:pPr>
    </w:p>
    <w:p w14:paraId="29D2304F">
      <w:pPr>
        <w:adjustRightInd w:val="0"/>
        <w:snapToGrid w:val="0"/>
        <w:spacing w:line="360" w:lineRule="auto"/>
        <w:rPr>
          <w:rFonts w:ascii="宋体" w:hAnsi="宋体" w:cs="宋体"/>
        </w:rPr>
      </w:pPr>
    </w:p>
    <w:p w14:paraId="3F5A1CA7">
      <w:pPr>
        <w:adjustRightInd w:val="0"/>
        <w:snapToGrid w:val="0"/>
        <w:spacing w:line="360" w:lineRule="auto"/>
        <w:rPr>
          <w:rFonts w:ascii="宋体" w:hAnsi="宋体" w:cs="宋体"/>
        </w:rPr>
      </w:pPr>
    </w:p>
    <w:p w14:paraId="43F8BAFD">
      <w:pPr>
        <w:adjustRightInd/>
        <w:snapToGrid/>
        <w:spacing w:line="240" w:lineRule="auto"/>
        <w:outlineLvl w:val="9"/>
        <w:rPr>
          <w:rFonts w:hint="eastAsia" w:ascii="宋体" w:hAnsi="宋体" w:cs="宋体"/>
          <w:snapToGrid w:val="0"/>
          <w:kern w:val="0"/>
          <w:sz w:val="24"/>
        </w:rPr>
      </w:pPr>
      <w:r>
        <w:rPr>
          <w:rFonts w:hint="eastAsia" w:ascii="宋体" w:hAnsi="宋体" w:cs="宋体"/>
          <w:snapToGrid w:val="0"/>
          <w:kern w:val="0"/>
          <w:sz w:val="24"/>
        </w:rPr>
        <w:br w:type="page"/>
      </w:r>
    </w:p>
    <w:p w14:paraId="3F413AC7">
      <w:pPr>
        <w:adjustRightInd w:val="0"/>
        <w:snapToGrid w:val="0"/>
        <w:spacing w:line="360" w:lineRule="auto"/>
        <w:outlineLvl w:val="1"/>
        <w:rPr>
          <w:rFonts w:ascii="宋体" w:hAnsi="宋体" w:cs="宋体"/>
          <w:snapToGrid w:val="0"/>
          <w:kern w:val="0"/>
          <w:sz w:val="24"/>
        </w:rPr>
      </w:pPr>
      <w:r>
        <w:rPr>
          <w:rFonts w:hint="eastAsia" w:ascii="宋体" w:hAnsi="宋体" w:cs="宋体"/>
          <w:snapToGrid w:val="0"/>
          <w:kern w:val="0"/>
          <w:sz w:val="24"/>
        </w:rPr>
        <w:t>附件12：设计任务书</w:t>
      </w:r>
    </w:p>
    <w:p w14:paraId="7F7B3464">
      <w:pPr>
        <w:pStyle w:val="19"/>
        <w:tabs>
          <w:tab w:val="left" w:pos="425"/>
        </w:tabs>
        <w:kinsoku w:val="0"/>
        <w:overflowPunct w:val="0"/>
        <w:snapToGrid w:val="0"/>
        <w:spacing w:after="0" w:line="360" w:lineRule="auto"/>
        <w:ind w:left="132" w:leftChars="63" w:right="63" w:firstLine="480" w:firstLineChars="200"/>
        <w:rPr>
          <w:rFonts w:ascii="宋体" w:hAnsi="宋体"/>
          <w:sz w:val="24"/>
          <w:szCs w:val="24"/>
        </w:rPr>
      </w:pPr>
      <w:r>
        <w:rPr>
          <w:rFonts w:hint="eastAsia" w:ascii="宋体" w:hAnsi="宋体"/>
          <w:sz w:val="24"/>
          <w:szCs w:val="24"/>
        </w:rPr>
        <w:t>。</w:t>
      </w:r>
    </w:p>
    <w:p w14:paraId="14BD6AD9">
      <w:pPr>
        <w:widowControl/>
        <w:snapToGrid w:val="0"/>
        <w:spacing w:line="360" w:lineRule="auto"/>
        <w:jc w:val="left"/>
        <w:rPr>
          <w:b/>
          <w:bCs/>
          <w:kern w:val="44"/>
          <w:sz w:val="44"/>
          <w:szCs w:val="44"/>
        </w:rPr>
      </w:pPr>
      <w:r>
        <w:br w:type="page"/>
      </w:r>
    </w:p>
    <w:p w14:paraId="07A9EEE2">
      <w:pPr>
        <w:adjustRightInd w:val="0"/>
        <w:snapToGrid w:val="0"/>
        <w:spacing w:line="360" w:lineRule="auto"/>
        <w:rPr>
          <w:rFonts w:ascii="宋体" w:hAnsi="宋体" w:cs="宋体"/>
          <w:bCs/>
          <w:snapToGrid w:val="0"/>
          <w:kern w:val="0"/>
          <w:sz w:val="24"/>
        </w:rPr>
      </w:pPr>
    </w:p>
    <w:p w14:paraId="49A46E79">
      <w:pPr>
        <w:pStyle w:val="46"/>
        <w:ind w:firstLine="480"/>
        <w:rPr>
          <w:rFonts w:ascii="宋体" w:hAnsi="宋体" w:cs="宋体"/>
        </w:rPr>
      </w:pPr>
    </w:p>
    <w:p w14:paraId="03D6CA3A">
      <w:pPr>
        <w:pStyle w:val="46"/>
        <w:ind w:firstLine="480"/>
        <w:rPr>
          <w:rFonts w:ascii="宋体" w:hAnsi="宋体" w:cs="宋体"/>
        </w:rPr>
      </w:pPr>
    </w:p>
    <w:p w14:paraId="2FE4C7A4">
      <w:pPr>
        <w:pStyle w:val="46"/>
        <w:ind w:firstLine="480"/>
        <w:rPr>
          <w:rFonts w:ascii="宋体" w:hAnsi="宋体" w:cs="宋体"/>
        </w:rPr>
      </w:pPr>
    </w:p>
    <w:p w14:paraId="5AD770F2">
      <w:pPr>
        <w:pStyle w:val="46"/>
        <w:ind w:firstLine="480"/>
        <w:rPr>
          <w:rFonts w:ascii="宋体" w:hAnsi="宋体" w:cs="宋体"/>
        </w:rPr>
      </w:pPr>
    </w:p>
    <w:p w14:paraId="70C7E1C9">
      <w:pPr>
        <w:adjustRightInd/>
        <w:snapToGrid/>
        <w:spacing w:line="240" w:lineRule="auto"/>
        <w:outlineLvl w:val="9"/>
        <w:rPr>
          <w:rFonts w:hint="eastAsia" w:ascii="宋体" w:hAnsi="宋体"/>
          <w:kern w:val="0"/>
          <w:sz w:val="24"/>
        </w:rPr>
      </w:pPr>
      <w:r>
        <w:rPr>
          <w:rFonts w:hint="eastAsia" w:ascii="宋体" w:hAnsi="宋体"/>
          <w:kern w:val="0"/>
          <w:sz w:val="24"/>
        </w:rPr>
        <w:br w:type="page"/>
      </w:r>
    </w:p>
    <w:p w14:paraId="01567688">
      <w:pPr>
        <w:adjustRightInd w:val="0"/>
        <w:snapToGrid w:val="0"/>
        <w:spacing w:line="360" w:lineRule="auto"/>
        <w:outlineLvl w:val="1"/>
        <w:rPr>
          <w:rFonts w:ascii="宋体" w:hAnsi="宋体"/>
          <w:kern w:val="0"/>
          <w:sz w:val="24"/>
        </w:rPr>
      </w:pPr>
      <w:r>
        <w:rPr>
          <w:rFonts w:hint="eastAsia" w:ascii="宋体" w:hAnsi="宋体"/>
          <w:kern w:val="0"/>
          <w:sz w:val="24"/>
        </w:rPr>
        <w:t>附件13：施工管理任务书</w:t>
      </w:r>
    </w:p>
    <w:p w14:paraId="245A5E28">
      <w:pPr>
        <w:adjustRightInd w:val="0"/>
        <w:snapToGrid w:val="0"/>
        <w:spacing w:line="360" w:lineRule="auto"/>
        <w:outlineLvl w:val="1"/>
        <w:rPr>
          <w:rFonts w:ascii="宋体" w:hAnsi="宋体"/>
          <w:kern w:val="0"/>
          <w:sz w:val="24"/>
        </w:rPr>
      </w:pPr>
      <w:bookmarkStart w:id="825" w:name="_Hlk73111492"/>
      <w:r>
        <w:rPr>
          <w:rFonts w:hint="eastAsia" w:ascii="宋体" w:hAnsi="宋体"/>
        </w:rPr>
        <w:br w:type="page"/>
      </w:r>
      <w:r>
        <w:rPr>
          <w:rFonts w:hint="eastAsia" w:ascii="宋体" w:hAnsi="宋体"/>
          <w:kern w:val="0"/>
          <w:sz w:val="24"/>
        </w:rPr>
        <w:t>附件14：</w:t>
      </w:r>
      <w:bookmarkEnd w:id="825"/>
      <w:r>
        <w:rPr>
          <w:rFonts w:hint="eastAsia" w:ascii="宋体" w:hAnsi="宋体"/>
          <w:kern w:val="0"/>
          <w:sz w:val="24"/>
        </w:rPr>
        <w:t>设备材料品牌表</w:t>
      </w:r>
    </w:p>
    <w:p w14:paraId="725EAE45">
      <w:pPr>
        <w:adjustRightInd w:val="0"/>
        <w:snapToGrid w:val="0"/>
        <w:spacing w:line="360" w:lineRule="auto"/>
        <w:jc w:val="center"/>
        <w:rPr>
          <w:rFonts w:ascii="宋体" w:hAnsi="宋体" w:cs="宋体"/>
          <w:b/>
          <w:snapToGrid w:val="0"/>
          <w:kern w:val="0"/>
          <w:sz w:val="32"/>
          <w:szCs w:val="32"/>
        </w:rPr>
      </w:pPr>
      <w:r>
        <w:rPr>
          <w:rFonts w:hint="eastAsia" w:ascii="宋体" w:hAnsi="宋体" w:cs="宋体"/>
          <w:b/>
          <w:snapToGrid w:val="0"/>
          <w:kern w:val="0"/>
          <w:sz w:val="32"/>
          <w:szCs w:val="32"/>
        </w:rPr>
        <w:t>设备材料品牌表</w:t>
      </w:r>
    </w:p>
    <w:p w14:paraId="41398470">
      <w:pPr>
        <w:adjustRightInd w:val="0"/>
        <w:snapToGrid w:val="0"/>
        <w:spacing w:line="360" w:lineRule="auto"/>
        <w:outlineLvl w:val="9"/>
        <w:rPr>
          <w:rFonts w:ascii="宋体" w:hAnsi="宋体" w:cs="宋体"/>
        </w:rPr>
      </w:pPr>
    </w:p>
    <w:p w14:paraId="75B691B4">
      <w:pPr>
        <w:adjustRightInd w:val="0"/>
        <w:snapToGrid w:val="0"/>
        <w:spacing w:line="360" w:lineRule="auto"/>
        <w:outlineLvl w:val="9"/>
        <w:rPr>
          <w:rFonts w:ascii="宋体" w:hAnsi="宋体" w:cs="宋体"/>
        </w:rPr>
      </w:pPr>
    </w:p>
    <w:p w14:paraId="0BDCD6D3">
      <w:pPr>
        <w:adjustRightInd w:val="0"/>
        <w:snapToGrid w:val="0"/>
        <w:spacing w:line="360" w:lineRule="auto"/>
        <w:outlineLvl w:val="9"/>
        <w:rPr>
          <w:rFonts w:ascii="宋体" w:hAnsi="宋体" w:cs="宋体"/>
        </w:rPr>
      </w:pPr>
    </w:p>
    <w:p w14:paraId="012E0643">
      <w:pPr>
        <w:adjustRightInd w:val="0"/>
        <w:snapToGrid w:val="0"/>
        <w:spacing w:line="360" w:lineRule="auto"/>
        <w:outlineLvl w:val="9"/>
        <w:rPr>
          <w:rFonts w:ascii="宋体" w:hAnsi="宋体" w:cs="宋体"/>
        </w:rPr>
      </w:pPr>
    </w:p>
    <w:p w14:paraId="63F721C7">
      <w:pPr>
        <w:adjustRightInd w:val="0"/>
        <w:snapToGrid w:val="0"/>
        <w:spacing w:line="360" w:lineRule="auto"/>
        <w:outlineLvl w:val="9"/>
        <w:rPr>
          <w:rFonts w:ascii="宋体" w:hAnsi="宋体" w:cs="宋体"/>
        </w:rPr>
      </w:pPr>
    </w:p>
    <w:p w14:paraId="3A0DF834">
      <w:pPr>
        <w:adjustRightInd w:val="0"/>
        <w:snapToGrid w:val="0"/>
        <w:spacing w:line="360" w:lineRule="auto"/>
        <w:outlineLvl w:val="9"/>
        <w:rPr>
          <w:rFonts w:ascii="宋体" w:hAnsi="宋体" w:cs="宋体"/>
        </w:rPr>
      </w:pPr>
    </w:p>
    <w:p w14:paraId="65FB48FB">
      <w:pPr>
        <w:adjustRightInd w:val="0"/>
        <w:snapToGrid w:val="0"/>
        <w:spacing w:line="360" w:lineRule="auto"/>
        <w:outlineLvl w:val="9"/>
        <w:rPr>
          <w:rFonts w:ascii="宋体" w:hAnsi="宋体" w:cs="宋体"/>
        </w:rPr>
      </w:pPr>
    </w:p>
    <w:p w14:paraId="52E1454F">
      <w:pPr>
        <w:adjustRightInd w:val="0"/>
        <w:snapToGrid w:val="0"/>
        <w:spacing w:line="360" w:lineRule="auto"/>
        <w:outlineLvl w:val="9"/>
        <w:rPr>
          <w:rFonts w:ascii="宋体" w:hAnsi="宋体" w:cs="宋体"/>
        </w:rPr>
      </w:pPr>
    </w:p>
    <w:p w14:paraId="5EA50A90">
      <w:pPr>
        <w:adjustRightInd w:val="0"/>
        <w:snapToGrid w:val="0"/>
        <w:spacing w:line="360" w:lineRule="auto"/>
        <w:outlineLvl w:val="9"/>
        <w:rPr>
          <w:rFonts w:ascii="宋体" w:hAnsi="宋体" w:cs="宋体"/>
        </w:rPr>
      </w:pPr>
    </w:p>
    <w:p w14:paraId="33C2DA42">
      <w:pPr>
        <w:adjustRightInd w:val="0"/>
        <w:snapToGrid w:val="0"/>
        <w:spacing w:line="360" w:lineRule="auto"/>
        <w:outlineLvl w:val="9"/>
        <w:rPr>
          <w:rFonts w:ascii="宋体" w:hAnsi="宋体" w:cs="宋体"/>
        </w:rPr>
      </w:pPr>
    </w:p>
    <w:p w14:paraId="3C4F2622">
      <w:pPr>
        <w:adjustRightInd w:val="0"/>
        <w:snapToGrid w:val="0"/>
        <w:spacing w:line="360" w:lineRule="auto"/>
        <w:outlineLvl w:val="9"/>
        <w:rPr>
          <w:rFonts w:ascii="宋体" w:hAnsi="宋体"/>
          <w:kern w:val="0"/>
          <w:sz w:val="24"/>
        </w:rPr>
      </w:pPr>
    </w:p>
    <w:p w14:paraId="2458469A">
      <w:pPr>
        <w:adjustRightInd w:val="0"/>
        <w:snapToGrid w:val="0"/>
        <w:spacing w:line="360" w:lineRule="auto"/>
        <w:outlineLvl w:val="9"/>
        <w:rPr>
          <w:rFonts w:ascii="宋体" w:hAnsi="宋体"/>
          <w:kern w:val="0"/>
          <w:sz w:val="24"/>
        </w:rPr>
      </w:pPr>
    </w:p>
    <w:p w14:paraId="64E62A9D">
      <w:pPr>
        <w:adjustRightInd/>
        <w:snapToGrid/>
        <w:spacing w:line="240" w:lineRule="auto"/>
        <w:outlineLvl w:val="9"/>
        <w:rPr>
          <w:rFonts w:hint="eastAsia" w:ascii="宋体" w:hAnsi="宋体"/>
          <w:kern w:val="0"/>
          <w:sz w:val="24"/>
        </w:rPr>
      </w:pPr>
      <w:r>
        <w:rPr>
          <w:rFonts w:hint="eastAsia" w:ascii="宋体" w:hAnsi="宋体"/>
          <w:kern w:val="0"/>
          <w:sz w:val="24"/>
        </w:rPr>
        <w:br w:type="page"/>
      </w:r>
    </w:p>
    <w:p w14:paraId="446FC771">
      <w:pPr>
        <w:adjustRightInd w:val="0"/>
        <w:snapToGrid w:val="0"/>
        <w:spacing w:line="360" w:lineRule="auto"/>
        <w:outlineLvl w:val="1"/>
        <w:rPr>
          <w:rFonts w:ascii="宋体" w:hAnsi="宋体" w:cs="宋体"/>
          <w:snapToGrid w:val="0"/>
          <w:kern w:val="0"/>
          <w:sz w:val="24"/>
        </w:rPr>
      </w:pPr>
      <w:r>
        <w:rPr>
          <w:rFonts w:hint="eastAsia" w:ascii="宋体" w:hAnsi="宋体"/>
          <w:kern w:val="0"/>
          <w:sz w:val="24"/>
        </w:rPr>
        <w:t>附件15：承包人现场进度、质量、安全、材料、规章管理及罚款细则</w:t>
      </w:r>
    </w:p>
    <w:p w14:paraId="0F24C7D4">
      <w:pPr>
        <w:rPr>
          <w:rFonts w:ascii="宋体" w:hAnsi="宋体"/>
          <w:b/>
          <w:kern w:val="0"/>
          <w:sz w:val="32"/>
        </w:rPr>
      </w:pPr>
      <w:r>
        <w:rPr>
          <w:rFonts w:hint="eastAsia" w:ascii="宋体" w:hAnsi="宋体" w:cs="宋体"/>
        </w:rPr>
        <w:t xml:space="preserve">  </w:t>
      </w:r>
      <w:r>
        <w:rPr>
          <w:rFonts w:hint="eastAsia" w:ascii="宋体" w:hAnsi="宋体"/>
          <w:b/>
          <w:kern w:val="0"/>
          <w:sz w:val="32"/>
        </w:rPr>
        <w:t>承包人现场进度、质量、安全、材料、规章管理及罚款细则</w:t>
      </w:r>
    </w:p>
    <w:tbl>
      <w:tblPr>
        <w:tblStyle w:val="47"/>
        <w:tblpPr w:leftFromText="180" w:rightFromText="180" w:vertAnchor="text" w:tblpXSpec="center" w:tblpY="1"/>
        <w:tblOverlap w:val="never"/>
        <w:tblW w:w="8326" w:type="dxa"/>
        <w:tblInd w:w="0" w:type="dxa"/>
        <w:tblLayout w:type="fixed"/>
        <w:tblCellMar>
          <w:top w:w="0" w:type="dxa"/>
          <w:left w:w="108" w:type="dxa"/>
          <w:bottom w:w="0" w:type="dxa"/>
          <w:right w:w="108" w:type="dxa"/>
        </w:tblCellMar>
      </w:tblPr>
      <w:tblGrid>
        <w:gridCol w:w="426"/>
        <w:gridCol w:w="4320"/>
        <w:gridCol w:w="1410"/>
        <w:gridCol w:w="2170"/>
      </w:tblGrid>
      <w:tr w14:paraId="04CAF46F">
        <w:tblPrEx>
          <w:tblCellMar>
            <w:top w:w="0" w:type="dxa"/>
            <w:left w:w="108" w:type="dxa"/>
            <w:bottom w:w="0" w:type="dxa"/>
            <w:right w:w="108" w:type="dxa"/>
          </w:tblCellMar>
        </w:tblPrEx>
        <w:trPr>
          <w:trHeight w:val="1020" w:hRule="atLeast"/>
          <w:tblHeader/>
        </w:trPr>
        <w:tc>
          <w:tcPr>
            <w:tcW w:w="426" w:type="dxa"/>
            <w:tcBorders>
              <w:top w:val="single" w:color="auto" w:sz="4" w:space="0"/>
              <w:left w:val="single" w:color="auto" w:sz="4" w:space="0"/>
              <w:bottom w:val="single" w:color="auto" w:sz="4" w:space="0"/>
              <w:right w:val="single" w:color="auto" w:sz="4" w:space="0"/>
            </w:tcBorders>
            <w:vAlign w:val="center"/>
          </w:tcPr>
          <w:p w14:paraId="129C12E9">
            <w:pPr>
              <w:widowControl/>
              <w:jc w:val="left"/>
              <w:rPr>
                <w:rFonts w:ascii="宋体" w:hAnsi="宋体"/>
              </w:rPr>
            </w:pPr>
            <w:r>
              <w:rPr>
                <w:rFonts w:hint="eastAsia" w:ascii="宋体" w:hAnsi="宋体"/>
              </w:rPr>
              <w:t>序号</w:t>
            </w:r>
          </w:p>
        </w:tc>
        <w:tc>
          <w:tcPr>
            <w:tcW w:w="4320" w:type="dxa"/>
            <w:tcBorders>
              <w:top w:val="single" w:color="auto" w:sz="4" w:space="0"/>
              <w:left w:val="nil"/>
              <w:bottom w:val="single" w:color="auto" w:sz="4" w:space="0"/>
              <w:right w:val="single" w:color="auto" w:sz="4" w:space="0"/>
            </w:tcBorders>
            <w:vAlign w:val="center"/>
          </w:tcPr>
          <w:p w14:paraId="66AFEEF0">
            <w:pPr>
              <w:widowControl/>
              <w:jc w:val="left"/>
              <w:rPr>
                <w:rFonts w:ascii="宋体" w:hAnsi="宋体"/>
              </w:rPr>
            </w:pPr>
            <w:r>
              <w:rPr>
                <w:rFonts w:hint="eastAsia" w:ascii="宋体" w:hAnsi="宋体"/>
              </w:rPr>
              <w:t>项目</w:t>
            </w:r>
          </w:p>
        </w:tc>
        <w:tc>
          <w:tcPr>
            <w:tcW w:w="1410" w:type="dxa"/>
            <w:tcBorders>
              <w:top w:val="single" w:color="auto" w:sz="4" w:space="0"/>
              <w:left w:val="nil"/>
              <w:bottom w:val="single" w:color="auto" w:sz="4" w:space="0"/>
              <w:right w:val="single" w:color="auto" w:sz="4" w:space="0"/>
            </w:tcBorders>
            <w:vAlign w:val="center"/>
          </w:tcPr>
          <w:p w14:paraId="2B02BADA">
            <w:pPr>
              <w:widowControl/>
              <w:jc w:val="left"/>
              <w:rPr>
                <w:rFonts w:ascii="宋体" w:hAnsi="宋体"/>
              </w:rPr>
            </w:pPr>
            <w:r>
              <w:rPr>
                <w:rFonts w:hint="eastAsia" w:ascii="宋体" w:hAnsi="宋体"/>
              </w:rPr>
              <w:t>处理方法</w:t>
            </w:r>
          </w:p>
        </w:tc>
        <w:tc>
          <w:tcPr>
            <w:tcW w:w="2170" w:type="dxa"/>
            <w:tcBorders>
              <w:top w:val="single" w:color="auto" w:sz="4" w:space="0"/>
              <w:left w:val="nil"/>
              <w:bottom w:val="single" w:color="auto" w:sz="4" w:space="0"/>
              <w:right w:val="single" w:color="auto" w:sz="4" w:space="0"/>
            </w:tcBorders>
            <w:vAlign w:val="center"/>
          </w:tcPr>
          <w:p w14:paraId="6294C41D">
            <w:pPr>
              <w:widowControl/>
              <w:jc w:val="left"/>
              <w:rPr>
                <w:rFonts w:ascii="宋体" w:hAnsi="宋体"/>
              </w:rPr>
            </w:pPr>
            <w:r>
              <w:rPr>
                <w:rFonts w:hint="eastAsia" w:ascii="宋体" w:hAnsi="宋体"/>
              </w:rPr>
              <w:t>并向发包人支付违约金或罚款额度（由发包人从应向承包人支付的工程款中扣除）</w:t>
            </w:r>
          </w:p>
        </w:tc>
      </w:tr>
      <w:tr w14:paraId="735F8459">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60CA47CE">
            <w:pPr>
              <w:widowControl/>
              <w:jc w:val="left"/>
              <w:rPr>
                <w:rFonts w:ascii="宋体" w:hAnsi="宋体"/>
              </w:rPr>
            </w:pPr>
            <w:r>
              <w:rPr>
                <w:rFonts w:hint="eastAsia" w:ascii="宋体" w:hAnsi="宋体"/>
              </w:rPr>
              <w:t>一</w:t>
            </w:r>
          </w:p>
        </w:tc>
        <w:tc>
          <w:tcPr>
            <w:tcW w:w="4320" w:type="dxa"/>
            <w:tcBorders>
              <w:top w:val="single" w:color="auto" w:sz="4" w:space="0"/>
              <w:left w:val="nil"/>
              <w:bottom w:val="single" w:color="auto" w:sz="4" w:space="0"/>
              <w:right w:val="single" w:color="auto" w:sz="4" w:space="0"/>
            </w:tcBorders>
            <w:vAlign w:val="center"/>
          </w:tcPr>
          <w:p w14:paraId="63DCAD2B">
            <w:pPr>
              <w:widowControl/>
              <w:jc w:val="left"/>
              <w:rPr>
                <w:rFonts w:ascii="宋体" w:hAnsi="宋体"/>
              </w:rPr>
            </w:pPr>
            <w:r>
              <w:rPr>
                <w:rFonts w:hint="eastAsia" w:ascii="宋体" w:hAnsi="宋体"/>
              </w:rPr>
              <w:t>工程进度</w:t>
            </w:r>
          </w:p>
        </w:tc>
        <w:tc>
          <w:tcPr>
            <w:tcW w:w="1410" w:type="dxa"/>
            <w:tcBorders>
              <w:top w:val="nil"/>
              <w:left w:val="nil"/>
              <w:bottom w:val="single" w:color="auto" w:sz="4" w:space="0"/>
              <w:right w:val="single" w:color="auto" w:sz="4" w:space="0"/>
            </w:tcBorders>
            <w:vAlign w:val="center"/>
          </w:tcPr>
          <w:p w14:paraId="2C5687CE">
            <w:pPr>
              <w:widowControl/>
              <w:jc w:val="left"/>
              <w:rPr>
                <w:rFonts w:ascii="宋体" w:hAnsi="宋体"/>
              </w:rPr>
            </w:pPr>
            <w:r>
              <w:rPr>
                <w:rFonts w:hint="eastAsia" w:ascii="宋体" w:hAnsi="宋体"/>
              </w:rPr>
              <w:t>　</w:t>
            </w:r>
          </w:p>
        </w:tc>
        <w:tc>
          <w:tcPr>
            <w:tcW w:w="2170" w:type="dxa"/>
            <w:tcBorders>
              <w:top w:val="nil"/>
              <w:left w:val="nil"/>
              <w:bottom w:val="single" w:color="auto" w:sz="4" w:space="0"/>
              <w:right w:val="single" w:color="auto" w:sz="4" w:space="0"/>
            </w:tcBorders>
            <w:vAlign w:val="center"/>
          </w:tcPr>
          <w:p w14:paraId="2B43298E">
            <w:pPr>
              <w:widowControl/>
              <w:jc w:val="left"/>
              <w:rPr>
                <w:rFonts w:ascii="宋体" w:hAnsi="宋体"/>
              </w:rPr>
            </w:pPr>
            <w:r>
              <w:rPr>
                <w:rFonts w:hint="eastAsia" w:ascii="宋体" w:hAnsi="宋体"/>
              </w:rPr>
              <w:t>　</w:t>
            </w:r>
          </w:p>
        </w:tc>
      </w:tr>
      <w:tr w14:paraId="2110DD16">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46FC2559">
            <w:pPr>
              <w:widowControl/>
              <w:jc w:val="left"/>
              <w:rPr>
                <w:rFonts w:ascii="宋体" w:hAnsi="宋体"/>
              </w:rPr>
            </w:pPr>
            <w:r>
              <w:rPr>
                <w:rFonts w:ascii="宋体" w:hAnsi="宋体"/>
              </w:rPr>
              <w:t>1</w:t>
            </w:r>
          </w:p>
        </w:tc>
        <w:tc>
          <w:tcPr>
            <w:tcW w:w="4320" w:type="dxa"/>
            <w:tcBorders>
              <w:top w:val="single" w:color="auto" w:sz="4" w:space="0"/>
              <w:left w:val="nil"/>
              <w:bottom w:val="single" w:color="auto" w:sz="4" w:space="0"/>
              <w:right w:val="single" w:color="auto" w:sz="4" w:space="0"/>
            </w:tcBorders>
            <w:vAlign w:val="center"/>
          </w:tcPr>
          <w:p w14:paraId="295BA470">
            <w:pPr>
              <w:widowControl/>
              <w:jc w:val="left"/>
              <w:rPr>
                <w:rFonts w:ascii="宋体" w:hAnsi="宋体"/>
              </w:rPr>
            </w:pPr>
            <w:r>
              <w:rPr>
                <w:rFonts w:hint="eastAsia" w:ascii="宋体" w:hAnsi="宋体"/>
              </w:rPr>
              <w:t>总工期、关键节点工期拖延</w:t>
            </w:r>
          </w:p>
        </w:tc>
        <w:tc>
          <w:tcPr>
            <w:tcW w:w="1410" w:type="dxa"/>
            <w:tcBorders>
              <w:top w:val="nil"/>
              <w:left w:val="nil"/>
              <w:bottom w:val="single" w:color="auto" w:sz="4" w:space="0"/>
              <w:right w:val="single" w:color="auto" w:sz="4" w:space="0"/>
            </w:tcBorders>
            <w:vAlign w:val="center"/>
          </w:tcPr>
          <w:p w14:paraId="6D3A7669">
            <w:pPr>
              <w:widowControl/>
              <w:jc w:val="left"/>
              <w:rPr>
                <w:rFonts w:ascii="宋体" w:hAnsi="宋体"/>
              </w:rPr>
            </w:pPr>
            <w:r>
              <w:rPr>
                <w:rFonts w:hint="eastAsia" w:ascii="宋体" w:hAnsi="宋体"/>
              </w:rPr>
              <w:t>追究违约责任</w:t>
            </w:r>
          </w:p>
        </w:tc>
        <w:tc>
          <w:tcPr>
            <w:tcW w:w="2170" w:type="dxa"/>
            <w:tcBorders>
              <w:top w:val="nil"/>
              <w:left w:val="nil"/>
              <w:bottom w:val="single" w:color="auto" w:sz="4" w:space="0"/>
              <w:right w:val="single" w:color="auto" w:sz="4" w:space="0"/>
            </w:tcBorders>
          </w:tcPr>
          <w:p w14:paraId="2A2A7DD0">
            <w:pPr>
              <w:widowControl/>
              <w:jc w:val="left"/>
              <w:rPr>
                <w:rFonts w:ascii="宋体" w:hAnsi="宋体"/>
              </w:rPr>
            </w:pPr>
            <w:r>
              <w:rPr>
                <w:rFonts w:ascii="宋体" w:hAnsi="宋体"/>
              </w:rPr>
              <w:t>10</w:t>
            </w:r>
            <w:r>
              <w:rPr>
                <w:rFonts w:hint="eastAsia" w:ascii="宋体" w:hAnsi="宋体"/>
              </w:rPr>
              <w:t>万元</w:t>
            </w:r>
            <w:r>
              <w:rPr>
                <w:rFonts w:ascii="宋体" w:hAnsi="宋体"/>
              </w:rPr>
              <w:t>/</w:t>
            </w:r>
            <w:r>
              <w:rPr>
                <w:rFonts w:hint="eastAsia" w:ascii="宋体" w:hAnsi="宋体"/>
              </w:rPr>
              <w:t>天</w:t>
            </w:r>
          </w:p>
        </w:tc>
      </w:tr>
      <w:tr w14:paraId="435E407D">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160EA281">
            <w:pPr>
              <w:widowControl/>
              <w:jc w:val="left"/>
              <w:rPr>
                <w:rFonts w:ascii="宋体" w:hAnsi="宋体"/>
              </w:rPr>
            </w:pPr>
            <w:r>
              <w:rPr>
                <w:rFonts w:ascii="宋体" w:hAnsi="宋体"/>
              </w:rPr>
              <w:t>2</w:t>
            </w:r>
          </w:p>
        </w:tc>
        <w:tc>
          <w:tcPr>
            <w:tcW w:w="4320" w:type="dxa"/>
            <w:tcBorders>
              <w:top w:val="single" w:color="auto" w:sz="4" w:space="0"/>
              <w:left w:val="nil"/>
              <w:bottom w:val="single" w:color="auto" w:sz="4" w:space="0"/>
              <w:right w:val="single" w:color="auto" w:sz="4" w:space="0"/>
            </w:tcBorders>
            <w:vAlign w:val="center"/>
          </w:tcPr>
          <w:p w14:paraId="32B846B7">
            <w:pPr>
              <w:widowControl/>
              <w:jc w:val="left"/>
              <w:rPr>
                <w:rFonts w:ascii="宋体" w:hAnsi="宋体"/>
              </w:rPr>
            </w:pPr>
            <w:r>
              <w:rPr>
                <w:rFonts w:hint="eastAsia" w:ascii="宋体" w:hAnsi="宋体"/>
              </w:rPr>
              <w:t>未按开工通知（令）规定日期进场施工，延迟进场</w:t>
            </w:r>
          </w:p>
        </w:tc>
        <w:tc>
          <w:tcPr>
            <w:tcW w:w="1410" w:type="dxa"/>
            <w:tcBorders>
              <w:top w:val="nil"/>
              <w:left w:val="nil"/>
              <w:bottom w:val="single" w:color="auto" w:sz="4" w:space="0"/>
              <w:right w:val="single" w:color="auto" w:sz="4" w:space="0"/>
            </w:tcBorders>
            <w:vAlign w:val="center"/>
          </w:tcPr>
          <w:p w14:paraId="6AE19E06">
            <w:pPr>
              <w:widowControl/>
              <w:jc w:val="left"/>
              <w:rPr>
                <w:rFonts w:ascii="宋体" w:hAnsi="宋体"/>
              </w:rPr>
            </w:pPr>
            <w:r>
              <w:rPr>
                <w:rFonts w:hint="eastAsia" w:ascii="宋体" w:hAnsi="宋体"/>
              </w:rPr>
              <w:t>追究违约责任</w:t>
            </w:r>
          </w:p>
        </w:tc>
        <w:tc>
          <w:tcPr>
            <w:tcW w:w="2170" w:type="dxa"/>
            <w:tcBorders>
              <w:top w:val="nil"/>
              <w:left w:val="nil"/>
              <w:bottom w:val="single" w:color="auto" w:sz="4" w:space="0"/>
              <w:right w:val="single" w:color="auto" w:sz="4" w:space="0"/>
            </w:tcBorders>
            <w:vAlign w:val="center"/>
          </w:tcPr>
          <w:p w14:paraId="163FDFBB">
            <w:pPr>
              <w:widowControl/>
              <w:jc w:val="left"/>
              <w:rPr>
                <w:rFonts w:ascii="宋体" w:hAnsi="宋体"/>
              </w:rPr>
            </w:pPr>
            <w:r>
              <w:rPr>
                <w:rFonts w:ascii="宋体" w:hAnsi="宋体"/>
              </w:rPr>
              <w:t>2000</w:t>
            </w:r>
            <w:r>
              <w:rPr>
                <w:rFonts w:hint="eastAsia" w:ascii="宋体" w:hAnsi="宋体"/>
              </w:rPr>
              <w:t>元</w:t>
            </w:r>
            <w:r>
              <w:rPr>
                <w:rFonts w:ascii="宋体" w:hAnsi="宋体"/>
              </w:rPr>
              <w:t>/</w:t>
            </w:r>
            <w:r>
              <w:rPr>
                <w:rFonts w:hint="eastAsia" w:ascii="宋体" w:hAnsi="宋体"/>
              </w:rPr>
              <w:t>天</w:t>
            </w:r>
          </w:p>
        </w:tc>
      </w:tr>
      <w:tr w14:paraId="14FE20D7">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3C476CD1">
            <w:pPr>
              <w:widowControl/>
              <w:jc w:val="left"/>
              <w:rPr>
                <w:rFonts w:ascii="宋体" w:hAnsi="宋体"/>
              </w:rPr>
            </w:pPr>
            <w:r>
              <w:rPr>
                <w:rFonts w:ascii="宋体" w:hAnsi="宋体"/>
              </w:rPr>
              <w:t>3</w:t>
            </w:r>
          </w:p>
        </w:tc>
        <w:tc>
          <w:tcPr>
            <w:tcW w:w="4320" w:type="dxa"/>
            <w:tcBorders>
              <w:top w:val="single" w:color="auto" w:sz="4" w:space="0"/>
              <w:left w:val="nil"/>
              <w:bottom w:val="single" w:color="auto" w:sz="4" w:space="0"/>
              <w:right w:val="single" w:color="auto" w:sz="4" w:space="0"/>
            </w:tcBorders>
            <w:vAlign w:val="center"/>
          </w:tcPr>
          <w:p w14:paraId="5EBE17B4">
            <w:pPr>
              <w:widowControl/>
              <w:jc w:val="left"/>
              <w:rPr>
                <w:rFonts w:ascii="宋体" w:hAnsi="宋体"/>
              </w:rPr>
            </w:pPr>
            <w:r>
              <w:rPr>
                <w:rFonts w:hint="eastAsia" w:ascii="宋体" w:hAnsi="宋体"/>
              </w:rPr>
              <w:t>未按期提交施工组织设计及进度计划并经监理和发包人批准；</w:t>
            </w:r>
          </w:p>
        </w:tc>
        <w:tc>
          <w:tcPr>
            <w:tcW w:w="1410" w:type="dxa"/>
            <w:tcBorders>
              <w:top w:val="nil"/>
              <w:left w:val="nil"/>
              <w:bottom w:val="single" w:color="auto" w:sz="4" w:space="0"/>
              <w:right w:val="single" w:color="auto" w:sz="4" w:space="0"/>
            </w:tcBorders>
            <w:vAlign w:val="center"/>
          </w:tcPr>
          <w:p w14:paraId="56F208D9">
            <w:pPr>
              <w:widowControl/>
              <w:jc w:val="left"/>
              <w:rPr>
                <w:rFonts w:ascii="宋体" w:hAnsi="宋体"/>
              </w:rPr>
            </w:pPr>
            <w:r>
              <w:rPr>
                <w:rFonts w:hint="eastAsia" w:ascii="宋体" w:hAnsi="宋体"/>
              </w:rPr>
              <w:t>追究违约责任</w:t>
            </w:r>
          </w:p>
        </w:tc>
        <w:tc>
          <w:tcPr>
            <w:tcW w:w="2170" w:type="dxa"/>
            <w:tcBorders>
              <w:top w:val="nil"/>
              <w:left w:val="nil"/>
              <w:bottom w:val="single" w:color="auto" w:sz="4" w:space="0"/>
              <w:right w:val="single" w:color="auto" w:sz="4" w:space="0"/>
            </w:tcBorders>
            <w:vAlign w:val="center"/>
          </w:tcPr>
          <w:p w14:paraId="594DED21">
            <w:pPr>
              <w:widowControl/>
              <w:jc w:val="left"/>
              <w:rPr>
                <w:rFonts w:ascii="宋体" w:hAnsi="宋体"/>
              </w:rPr>
            </w:pPr>
            <w:r>
              <w:rPr>
                <w:rFonts w:ascii="宋体" w:hAnsi="宋体"/>
              </w:rPr>
              <w:t>2000</w:t>
            </w:r>
            <w:r>
              <w:rPr>
                <w:rFonts w:hint="eastAsia" w:ascii="宋体" w:hAnsi="宋体"/>
              </w:rPr>
              <w:t>元</w:t>
            </w:r>
            <w:r>
              <w:rPr>
                <w:rFonts w:ascii="宋体" w:hAnsi="宋体"/>
              </w:rPr>
              <w:t>/</w:t>
            </w:r>
            <w:r>
              <w:rPr>
                <w:rFonts w:hint="eastAsia" w:ascii="宋体" w:hAnsi="宋体"/>
              </w:rPr>
              <w:t>天</w:t>
            </w:r>
          </w:p>
        </w:tc>
      </w:tr>
      <w:tr w14:paraId="1EBBDB21">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40640BE0">
            <w:pPr>
              <w:widowControl/>
              <w:jc w:val="left"/>
              <w:rPr>
                <w:rFonts w:ascii="宋体" w:hAnsi="宋体"/>
              </w:rPr>
            </w:pPr>
            <w:r>
              <w:rPr>
                <w:rFonts w:ascii="宋体" w:hAnsi="宋体"/>
              </w:rPr>
              <w:t>4</w:t>
            </w:r>
          </w:p>
        </w:tc>
        <w:tc>
          <w:tcPr>
            <w:tcW w:w="4320" w:type="dxa"/>
            <w:tcBorders>
              <w:top w:val="single" w:color="auto" w:sz="4" w:space="0"/>
              <w:left w:val="nil"/>
              <w:bottom w:val="single" w:color="auto" w:sz="4" w:space="0"/>
              <w:right w:val="single" w:color="auto" w:sz="4" w:space="0"/>
            </w:tcBorders>
            <w:vAlign w:val="center"/>
          </w:tcPr>
          <w:p w14:paraId="4D8B0C18">
            <w:pPr>
              <w:widowControl/>
              <w:jc w:val="left"/>
              <w:rPr>
                <w:rFonts w:ascii="宋体" w:hAnsi="宋体"/>
              </w:rPr>
            </w:pPr>
            <w:r>
              <w:rPr>
                <w:rFonts w:hint="eastAsia" w:ascii="宋体" w:hAnsi="宋体"/>
              </w:rPr>
              <w:t>在竣工验收后，若仍有需整改的遗留事项，需按与发包人确认的时间限期整改，如拖延未按期完成整改</w:t>
            </w:r>
          </w:p>
        </w:tc>
        <w:tc>
          <w:tcPr>
            <w:tcW w:w="1410" w:type="dxa"/>
            <w:tcBorders>
              <w:top w:val="nil"/>
              <w:left w:val="nil"/>
              <w:bottom w:val="single" w:color="auto" w:sz="4" w:space="0"/>
              <w:right w:val="single" w:color="auto" w:sz="4" w:space="0"/>
            </w:tcBorders>
            <w:vAlign w:val="center"/>
          </w:tcPr>
          <w:p w14:paraId="3AC6FB53">
            <w:pPr>
              <w:widowControl/>
              <w:jc w:val="left"/>
              <w:rPr>
                <w:rFonts w:ascii="宋体" w:hAnsi="宋体"/>
              </w:rPr>
            </w:pPr>
            <w:r>
              <w:rPr>
                <w:rFonts w:hint="eastAsia" w:ascii="宋体" w:hAnsi="宋体"/>
              </w:rPr>
              <w:t>追究违约责任</w:t>
            </w:r>
          </w:p>
        </w:tc>
        <w:tc>
          <w:tcPr>
            <w:tcW w:w="2170" w:type="dxa"/>
            <w:tcBorders>
              <w:top w:val="nil"/>
              <w:left w:val="nil"/>
              <w:bottom w:val="single" w:color="auto" w:sz="4" w:space="0"/>
              <w:right w:val="single" w:color="auto" w:sz="4" w:space="0"/>
            </w:tcBorders>
            <w:vAlign w:val="center"/>
          </w:tcPr>
          <w:p w14:paraId="13D93189">
            <w:pPr>
              <w:widowControl/>
              <w:jc w:val="left"/>
              <w:rPr>
                <w:rFonts w:ascii="宋体" w:hAnsi="宋体"/>
              </w:rPr>
            </w:pPr>
            <w:r>
              <w:rPr>
                <w:rFonts w:hint="eastAsia" w:ascii="宋体" w:hAnsi="宋体"/>
              </w:rPr>
              <w:t>每项</w:t>
            </w:r>
            <w:r>
              <w:rPr>
                <w:rFonts w:ascii="宋体" w:hAnsi="宋体"/>
              </w:rPr>
              <w:t>2000</w:t>
            </w:r>
            <w:r>
              <w:rPr>
                <w:rFonts w:hint="eastAsia" w:ascii="宋体" w:hAnsi="宋体"/>
              </w:rPr>
              <w:t>元</w:t>
            </w:r>
            <w:r>
              <w:rPr>
                <w:rFonts w:ascii="宋体" w:hAnsi="宋体"/>
              </w:rPr>
              <w:t>/</w:t>
            </w:r>
            <w:r>
              <w:rPr>
                <w:rFonts w:hint="eastAsia" w:ascii="宋体" w:hAnsi="宋体"/>
              </w:rPr>
              <w:t>天</w:t>
            </w:r>
          </w:p>
        </w:tc>
      </w:tr>
      <w:tr w14:paraId="1A1CA904">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639681CF">
            <w:pPr>
              <w:widowControl/>
              <w:jc w:val="left"/>
              <w:rPr>
                <w:rFonts w:ascii="宋体" w:hAnsi="宋体"/>
              </w:rPr>
            </w:pPr>
          </w:p>
        </w:tc>
        <w:tc>
          <w:tcPr>
            <w:tcW w:w="7900" w:type="dxa"/>
            <w:gridSpan w:val="3"/>
            <w:tcBorders>
              <w:top w:val="single" w:color="auto" w:sz="4" w:space="0"/>
              <w:left w:val="nil"/>
              <w:bottom w:val="single" w:color="auto" w:sz="4" w:space="0"/>
              <w:right w:val="single" w:color="auto" w:sz="4" w:space="0"/>
            </w:tcBorders>
            <w:vAlign w:val="center"/>
          </w:tcPr>
          <w:p w14:paraId="2C5238AF">
            <w:pPr>
              <w:widowControl/>
              <w:jc w:val="left"/>
              <w:rPr>
                <w:rFonts w:ascii="宋体" w:hAnsi="宋体"/>
              </w:rPr>
            </w:pPr>
            <w:r>
              <w:rPr>
                <w:rFonts w:hint="eastAsia" w:ascii="宋体" w:hAnsi="宋体"/>
              </w:rPr>
              <w:t>注：如果承包人按自己承诺完成了最终工期，在结算时发包人可以考虑向承包人退还一部分工程进度的违约金。</w:t>
            </w:r>
          </w:p>
        </w:tc>
      </w:tr>
      <w:tr w14:paraId="5FB32DE2">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2EA11F0F">
            <w:pPr>
              <w:widowControl/>
              <w:jc w:val="left"/>
              <w:rPr>
                <w:rFonts w:ascii="宋体" w:hAnsi="宋体"/>
              </w:rPr>
            </w:pPr>
            <w:r>
              <w:rPr>
                <w:rFonts w:hint="eastAsia" w:ascii="宋体" w:hAnsi="宋体"/>
              </w:rPr>
              <w:t>二</w:t>
            </w:r>
          </w:p>
        </w:tc>
        <w:tc>
          <w:tcPr>
            <w:tcW w:w="4320" w:type="dxa"/>
            <w:tcBorders>
              <w:top w:val="single" w:color="auto" w:sz="4" w:space="0"/>
              <w:left w:val="nil"/>
              <w:bottom w:val="single" w:color="auto" w:sz="4" w:space="0"/>
              <w:right w:val="single" w:color="auto" w:sz="4" w:space="0"/>
            </w:tcBorders>
            <w:vAlign w:val="center"/>
          </w:tcPr>
          <w:p w14:paraId="0635AF6C">
            <w:pPr>
              <w:widowControl/>
              <w:rPr>
                <w:rFonts w:ascii="宋体" w:hAnsi="宋体"/>
              </w:rPr>
            </w:pPr>
            <w:r>
              <w:rPr>
                <w:rFonts w:hint="eastAsia" w:ascii="宋体" w:hAnsi="宋体"/>
              </w:rPr>
              <w:t>工程质量</w:t>
            </w:r>
          </w:p>
        </w:tc>
        <w:tc>
          <w:tcPr>
            <w:tcW w:w="1410" w:type="dxa"/>
            <w:tcBorders>
              <w:top w:val="nil"/>
              <w:left w:val="nil"/>
              <w:bottom w:val="single" w:color="auto" w:sz="4" w:space="0"/>
              <w:right w:val="single" w:color="auto" w:sz="4" w:space="0"/>
            </w:tcBorders>
            <w:vAlign w:val="center"/>
          </w:tcPr>
          <w:p w14:paraId="027132AC">
            <w:pPr>
              <w:widowControl/>
              <w:jc w:val="left"/>
              <w:rPr>
                <w:rFonts w:ascii="宋体" w:hAnsi="宋体"/>
              </w:rPr>
            </w:pPr>
          </w:p>
        </w:tc>
        <w:tc>
          <w:tcPr>
            <w:tcW w:w="2170" w:type="dxa"/>
            <w:tcBorders>
              <w:top w:val="nil"/>
              <w:left w:val="nil"/>
              <w:bottom w:val="single" w:color="auto" w:sz="4" w:space="0"/>
              <w:right w:val="single" w:color="auto" w:sz="4" w:space="0"/>
            </w:tcBorders>
            <w:vAlign w:val="center"/>
          </w:tcPr>
          <w:p w14:paraId="15C15890">
            <w:pPr>
              <w:widowControl/>
              <w:jc w:val="left"/>
              <w:rPr>
                <w:rFonts w:ascii="宋体" w:hAnsi="宋体"/>
              </w:rPr>
            </w:pPr>
            <w:r>
              <w:rPr>
                <w:rFonts w:hint="eastAsia" w:ascii="宋体" w:hAnsi="宋体"/>
              </w:rPr>
              <w:t>　</w:t>
            </w:r>
          </w:p>
        </w:tc>
      </w:tr>
      <w:tr w14:paraId="25453833">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2BFA4410">
            <w:pPr>
              <w:widowControl/>
              <w:jc w:val="left"/>
              <w:rPr>
                <w:rFonts w:ascii="宋体" w:hAnsi="宋体"/>
              </w:rPr>
            </w:pPr>
            <w:r>
              <w:rPr>
                <w:rFonts w:ascii="宋体" w:hAnsi="宋体"/>
              </w:rPr>
              <w:t>1</w:t>
            </w:r>
          </w:p>
        </w:tc>
        <w:tc>
          <w:tcPr>
            <w:tcW w:w="4320" w:type="dxa"/>
            <w:tcBorders>
              <w:top w:val="single" w:color="auto" w:sz="4" w:space="0"/>
              <w:left w:val="nil"/>
              <w:bottom w:val="single" w:color="auto" w:sz="4" w:space="0"/>
              <w:right w:val="single" w:color="auto" w:sz="4" w:space="0"/>
            </w:tcBorders>
            <w:vAlign w:val="center"/>
          </w:tcPr>
          <w:p w14:paraId="5CE8E529">
            <w:pPr>
              <w:widowControl/>
              <w:jc w:val="left"/>
              <w:rPr>
                <w:rFonts w:ascii="宋体" w:hAnsi="宋体"/>
              </w:rPr>
            </w:pPr>
            <w:r>
              <w:rPr>
                <w:rFonts w:hint="eastAsia" w:ascii="宋体" w:hAnsi="宋体"/>
              </w:rPr>
              <w:t>出现重大结构质量问题</w:t>
            </w:r>
          </w:p>
        </w:tc>
        <w:tc>
          <w:tcPr>
            <w:tcW w:w="1410" w:type="dxa"/>
            <w:tcBorders>
              <w:top w:val="nil"/>
              <w:left w:val="nil"/>
              <w:bottom w:val="single" w:color="auto" w:sz="4" w:space="0"/>
              <w:right w:val="single" w:color="auto" w:sz="4" w:space="0"/>
            </w:tcBorders>
            <w:vAlign w:val="center"/>
          </w:tcPr>
          <w:p w14:paraId="49A2D9DF">
            <w:pPr>
              <w:widowControl/>
              <w:jc w:val="left"/>
              <w:rPr>
                <w:rFonts w:ascii="宋体" w:hAnsi="宋体"/>
              </w:rPr>
            </w:pPr>
            <w:r>
              <w:rPr>
                <w:rFonts w:hint="eastAsia" w:ascii="宋体" w:hAnsi="宋体"/>
              </w:rPr>
              <w:t>限期完成</w:t>
            </w:r>
          </w:p>
        </w:tc>
        <w:tc>
          <w:tcPr>
            <w:tcW w:w="2170" w:type="dxa"/>
            <w:tcBorders>
              <w:top w:val="nil"/>
              <w:left w:val="nil"/>
              <w:bottom w:val="single" w:color="auto" w:sz="4" w:space="0"/>
              <w:right w:val="single" w:color="auto" w:sz="4" w:space="0"/>
            </w:tcBorders>
            <w:vAlign w:val="center"/>
          </w:tcPr>
          <w:p w14:paraId="7226BA57">
            <w:pPr>
              <w:widowControl/>
              <w:jc w:val="left"/>
              <w:rPr>
                <w:rFonts w:ascii="宋体" w:hAnsi="宋体"/>
              </w:rPr>
            </w:pPr>
            <w:r>
              <w:rPr>
                <w:rFonts w:ascii="宋体" w:hAnsi="宋体"/>
              </w:rPr>
              <w:t>100000</w:t>
            </w:r>
            <w:r>
              <w:rPr>
                <w:rFonts w:hint="eastAsia" w:ascii="宋体" w:hAnsi="宋体"/>
              </w:rPr>
              <w:t>元</w:t>
            </w:r>
            <w:r>
              <w:rPr>
                <w:rFonts w:ascii="宋体" w:hAnsi="宋体"/>
              </w:rPr>
              <w:t>/</w:t>
            </w:r>
            <w:r>
              <w:rPr>
                <w:rFonts w:hint="eastAsia" w:ascii="宋体" w:hAnsi="宋体"/>
              </w:rPr>
              <w:t>次</w:t>
            </w:r>
          </w:p>
        </w:tc>
      </w:tr>
      <w:tr w14:paraId="0FD66EE4">
        <w:tblPrEx>
          <w:tblCellMar>
            <w:top w:w="0" w:type="dxa"/>
            <w:left w:w="108" w:type="dxa"/>
            <w:bottom w:w="0" w:type="dxa"/>
            <w:right w:w="108" w:type="dxa"/>
          </w:tblCellMar>
        </w:tblPrEx>
        <w:trPr>
          <w:trHeight w:val="1035" w:hRule="atLeast"/>
        </w:trPr>
        <w:tc>
          <w:tcPr>
            <w:tcW w:w="426" w:type="dxa"/>
            <w:tcBorders>
              <w:top w:val="nil"/>
              <w:left w:val="single" w:color="auto" w:sz="4" w:space="0"/>
              <w:bottom w:val="single" w:color="auto" w:sz="4" w:space="0"/>
              <w:right w:val="single" w:color="auto" w:sz="4" w:space="0"/>
            </w:tcBorders>
            <w:vAlign w:val="center"/>
          </w:tcPr>
          <w:p w14:paraId="450F5180">
            <w:pPr>
              <w:widowControl/>
              <w:jc w:val="left"/>
              <w:rPr>
                <w:rFonts w:ascii="宋体" w:hAnsi="宋体"/>
              </w:rPr>
            </w:pPr>
            <w:r>
              <w:rPr>
                <w:rFonts w:ascii="宋体" w:hAnsi="宋体"/>
              </w:rPr>
              <w:t>2</w:t>
            </w:r>
          </w:p>
        </w:tc>
        <w:tc>
          <w:tcPr>
            <w:tcW w:w="4320" w:type="dxa"/>
            <w:tcBorders>
              <w:top w:val="single" w:color="auto" w:sz="4" w:space="0"/>
              <w:left w:val="nil"/>
              <w:bottom w:val="single" w:color="auto" w:sz="4" w:space="0"/>
              <w:right w:val="single" w:color="000000" w:sz="4" w:space="0"/>
            </w:tcBorders>
            <w:vAlign w:val="center"/>
          </w:tcPr>
          <w:p w14:paraId="53A6E5A5">
            <w:pPr>
              <w:widowControl/>
              <w:jc w:val="left"/>
              <w:rPr>
                <w:rFonts w:ascii="宋体" w:hAnsi="宋体"/>
              </w:rPr>
            </w:pPr>
            <w:r>
              <w:rPr>
                <w:rFonts w:hint="eastAsia" w:ascii="宋体" w:hAnsi="宋体"/>
              </w:rPr>
              <w:t>对于发包人发现并要求的整改的问题，承包人必须做出回复，明确整改方案及完成时间，对于承包人拒不整改或整改造假的情况</w:t>
            </w:r>
          </w:p>
        </w:tc>
        <w:tc>
          <w:tcPr>
            <w:tcW w:w="1410" w:type="dxa"/>
            <w:tcBorders>
              <w:top w:val="nil"/>
              <w:left w:val="nil"/>
              <w:bottom w:val="single" w:color="auto" w:sz="4" w:space="0"/>
              <w:right w:val="single" w:color="auto" w:sz="4" w:space="0"/>
            </w:tcBorders>
            <w:vAlign w:val="center"/>
          </w:tcPr>
          <w:p w14:paraId="7E77DD35">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55DD8C78">
            <w:pPr>
              <w:widowControl/>
              <w:jc w:val="left"/>
              <w:rPr>
                <w:rFonts w:ascii="宋体" w:hAnsi="宋体"/>
              </w:rPr>
            </w:pPr>
            <w:r>
              <w:rPr>
                <w:rFonts w:ascii="宋体" w:hAnsi="宋体"/>
              </w:rPr>
              <w:t>3000-50000</w:t>
            </w:r>
            <w:r>
              <w:rPr>
                <w:rFonts w:hint="eastAsia" w:ascii="宋体" w:hAnsi="宋体"/>
              </w:rPr>
              <w:t>元</w:t>
            </w:r>
            <w:r>
              <w:rPr>
                <w:rFonts w:ascii="宋体" w:hAnsi="宋体"/>
              </w:rPr>
              <w:t>/</w:t>
            </w:r>
            <w:r>
              <w:rPr>
                <w:rFonts w:hint="eastAsia" w:ascii="宋体" w:hAnsi="宋体"/>
              </w:rPr>
              <w:t>次</w:t>
            </w:r>
          </w:p>
          <w:p w14:paraId="5DF083F0">
            <w:pPr>
              <w:widowControl/>
              <w:jc w:val="left"/>
              <w:rPr>
                <w:rFonts w:ascii="宋体" w:hAnsi="宋体"/>
              </w:rPr>
            </w:pPr>
            <w:r>
              <w:rPr>
                <w:rFonts w:hint="eastAsia" w:ascii="宋体" w:hAnsi="宋体"/>
              </w:rPr>
              <w:t>【视情节严重性】</w:t>
            </w:r>
          </w:p>
        </w:tc>
      </w:tr>
      <w:tr w14:paraId="116092F3">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74D70728">
            <w:pPr>
              <w:widowControl/>
              <w:jc w:val="left"/>
              <w:rPr>
                <w:rFonts w:ascii="宋体" w:hAnsi="宋体"/>
              </w:rPr>
            </w:pPr>
            <w:r>
              <w:rPr>
                <w:rFonts w:ascii="宋体" w:hAnsi="宋体"/>
              </w:rPr>
              <w:t>3</w:t>
            </w:r>
          </w:p>
        </w:tc>
        <w:tc>
          <w:tcPr>
            <w:tcW w:w="4320" w:type="dxa"/>
            <w:tcBorders>
              <w:top w:val="single" w:color="auto" w:sz="4" w:space="0"/>
              <w:left w:val="nil"/>
              <w:bottom w:val="single" w:color="auto" w:sz="4" w:space="0"/>
              <w:right w:val="single" w:color="auto" w:sz="4" w:space="0"/>
            </w:tcBorders>
            <w:vAlign w:val="center"/>
          </w:tcPr>
          <w:p w14:paraId="137935DB">
            <w:pPr>
              <w:widowControl/>
              <w:jc w:val="left"/>
              <w:rPr>
                <w:rFonts w:ascii="宋体" w:hAnsi="宋体"/>
              </w:rPr>
            </w:pPr>
            <w:r>
              <w:rPr>
                <w:rFonts w:hint="eastAsia" w:ascii="宋体" w:hAnsi="宋体"/>
              </w:rPr>
              <w:t>对监理通知指出的质量问题未及时整改并回复</w:t>
            </w:r>
          </w:p>
        </w:tc>
        <w:tc>
          <w:tcPr>
            <w:tcW w:w="1410" w:type="dxa"/>
            <w:tcBorders>
              <w:top w:val="nil"/>
              <w:left w:val="nil"/>
              <w:bottom w:val="single" w:color="auto" w:sz="4" w:space="0"/>
              <w:right w:val="single" w:color="auto" w:sz="4" w:space="0"/>
            </w:tcBorders>
            <w:vAlign w:val="center"/>
          </w:tcPr>
          <w:p w14:paraId="59B06B94">
            <w:pPr>
              <w:widowControl/>
              <w:jc w:val="left"/>
              <w:rPr>
                <w:rFonts w:ascii="宋体" w:hAnsi="宋体"/>
              </w:rPr>
            </w:pPr>
            <w:r>
              <w:rPr>
                <w:rFonts w:hint="eastAsia" w:ascii="宋体" w:hAnsi="宋体"/>
              </w:rPr>
              <w:t>限期完成</w:t>
            </w:r>
          </w:p>
        </w:tc>
        <w:tc>
          <w:tcPr>
            <w:tcW w:w="2170" w:type="dxa"/>
            <w:tcBorders>
              <w:top w:val="nil"/>
              <w:left w:val="nil"/>
              <w:bottom w:val="single" w:color="auto" w:sz="4" w:space="0"/>
              <w:right w:val="single" w:color="auto" w:sz="4" w:space="0"/>
            </w:tcBorders>
            <w:vAlign w:val="center"/>
          </w:tcPr>
          <w:p w14:paraId="03938A0E">
            <w:pPr>
              <w:widowControl/>
              <w:jc w:val="left"/>
              <w:rPr>
                <w:rFonts w:ascii="宋体" w:hAnsi="宋体"/>
              </w:rPr>
            </w:pPr>
            <w:r>
              <w:rPr>
                <w:rFonts w:ascii="宋体" w:hAnsi="宋体"/>
              </w:rPr>
              <w:t>5000</w:t>
            </w:r>
            <w:r>
              <w:rPr>
                <w:rFonts w:hint="eastAsia" w:ascii="宋体" w:hAnsi="宋体"/>
              </w:rPr>
              <w:t>元</w:t>
            </w:r>
            <w:r>
              <w:rPr>
                <w:rFonts w:ascii="宋体" w:hAnsi="宋体"/>
              </w:rPr>
              <w:t>/</w:t>
            </w:r>
            <w:r>
              <w:rPr>
                <w:rFonts w:hint="eastAsia" w:ascii="宋体" w:hAnsi="宋体"/>
              </w:rPr>
              <w:t>次；三次及以上未及时整改并回复，处罚</w:t>
            </w:r>
            <w:r>
              <w:rPr>
                <w:rFonts w:ascii="宋体" w:hAnsi="宋体"/>
              </w:rPr>
              <w:t>5</w:t>
            </w:r>
            <w:r>
              <w:rPr>
                <w:rFonts w:hint="eastAsia" w:ascii="宋体" w:hAnsi="宋体"/>
              </w:rPr>
              <w:t>万元</w:t>
            </w:r>
            <w:r>
              <w:rPr>
                <w:rFonts w:ascii="宋体" w:hAnsi="宋体"/>
              </w:rPr>
              <w:t>/</w:t>
            </w:r>
            <w:r>
              <w:rPr>
                <w:rFonts w:hint="eastAsia" w:ascii="宋体" w:hAnsi="宋体"/>
              </w:rPr>
              <w:t>次</w:t>
            </w:r>
          </w:p>
        </w:tc>
      </w:tr>
      <w:tr w14:paraId="10C01FD7">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6F76C48C">
            <w:pPr>
              <w:jc w:val="left"/>
              <w:rPr>
                <w:rFonts w:ascii="宋体" w:hAnsi="宋体"/>
              </w:rPr>
            </w:pPr>
            <w:r>
              <w:rPr>
                <w:rFonts w:ascii="宋体" w:hAnsi="宋体"/>
              </w:rPr>
              <w:t>4</w:t>
            </w:r>
          </w:p>
        </w:tc>
        <w:tc>
          <w:tcPr>
            <w:tcW w:w="4320" w:type="dxa"/>
            <w:tcBorders>
              <w:top w:val="single" w:color="auto" w:sz="4" w:space="0"/>
              <w:left w:val="nil"/>
              <w:bottom w:val="single" w:color="auto" w:sz="4" w:space="0"/>
              <w:right w:val="single" w:color="auto" w:sz="4" w:space="0"/>
            </w:tcBorders>
            <w:vAlign w:val="center"/>
          </w:tcPr>
          <w:p w14:paraId="5AF78A5B">
            <w:pPr>
              <w:jc w:val="left"/>
              <w:rPr>
                <w:rFonts w:ascii="宋体" w:hAnsi="宋体"/>
              </w:rPr>
            </w:pPr>
            <w:r>
              <w:rPr>
                <w:rFonts w:hint="eastAsia" w:ascii="宋体" w:hAnsi="宋体"/>
              </w:rPr>
              <w:t>地基、边坡、支护未按要求处理，存在安全隐患的</w:t>
            </w:r>
          </w:p>
        </w:tc>
        <w:tc>
          <w:tcPr>
            <w:tcW w:w="1410" w:type="dxa"/>
            <w:tcBorders>
              <w:top w:val="nil"/>
              <w:left w:val="nil"/>
              <w:bottom w:val="single" w:color="auto" w:sz="4" w:space="0"/>
              <w:right w:val="single" w:color="auto" w:sz="4" w:space="0"/>
            </w:tcBorders>
            <w:vAlign w:val="center"/>
          </w:tcPr>
          <w:p w14:paraId="7762EE4A">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tcPr>
          <w:p w14:paraId="565B10E2">
            <w:pPr>
              <w:jc w:val="left"/>
              <w:rPr>
                <w:rFonts w:ascii="宋体" w:hAnsi="宋体"/>
              </w:rPr>
            </w:pPr>
            <w:r>
              <w:rPr>
                <w:rFonts w:ascii="宋体" w:hAnsi="宋体"/>
              </w:rPr>
              <w:t>5000</w:t>
            </w:r>
            <w:r>
              <w:rPr>
                <w:rFonts w:hint="eastAsia" w:ascii="宋体" w:hAnsi="宋体"/>
              </w:rPr>
              <w:t>—</w:t>
            </w:r>
            <w:r>
              <w:rPr>
                <w:rFonts w:ascii="宋体" w:hAnsi="宋体"/>
              </w:rPr>
              <w:t>50000</w:t>
            </w:r>
            <w:r>
              <w:rPr>
                <w:rFonts w:hint="eastAsia" w:ascii="宋体" w:hAnsi="宋体"/>
              </w:rPr>
              <w:t>元</w:t>
            </w:r>
            <w:r>
              <w:rPr>
                <w:rFonts w:ascii="宋体" w:hAnsi="宋体"/>
              </w:rPr>
              <w:t>/</w:t>
            </w:r>
            <w:r>
              <w:rPr>
                <w:rFonts w:hint="eastAsia" w:ascii="宋体" w:hAnsi="宋体"/>
              </w:rPr>
              <w:t>处，</w:t>
            </w:r>
          </w:p>
          <w:p w14:paraId="59194C4F">
            <w:pPr>
              <w:jc w:val="left"/>
              <w:rPr>
                <w:rFonts w:ascii="宋体" w:hAnsi="宋体"/>
              </w:rPr>
            </w:pPr>
            <w:r>
              <w:rPr>
                <w:rFonts w:hint="eastAsia" w:ascii="宋体" w:hAnsi="宋体"/>
              </w:rPr>
              <w:t>如普遍存在或拒绝整改的</w:t>
            </w:r>
            <w:r>
              <w:rPr>
                <w:rFonts w:ascii="宋体" w:hAnsi="宋体"/>
              </w:rPr>
              <w:t>20000</w:t>
            </w:r>
            <w:r>
              <w:rPr>
                <w:rFonts w:hint="eastAsia" w:ascii="宋体" w:hAnsi="宋体"/>
              </w:rPr>
              <w:t>—</w:t>
            </w:r>
            <w:r>
              <w:rPr>
                <w:rFonts w:ascii="宋体" w:hAnsi="宋体"/>
              </w:rPr>
              <w:t>100000</w:t>
            </w:r>
            <w:r>
              <w:rPr>
                <w:rFonts w:hint="eastAsia" w:ascii="宋体" w:hAnsi="宋体"/>
              </w:rPr>
              <w:t>元</w:t>
            </w:r>
          </w:p>
        </w:tc>
      </w:tr>
      <w:tr w14:paraId="0F1504B9">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7C3FF84D">
            <w:pPr>
              <w:widowControl/>
              <w:jc w:val="left"/>
              <w:rPr>
                <w:rFonts w:ascii="宋体" w:hAnsi="宋体"/>
              </w:rPr>
            </w:pPr>
            <w:r>
              <w:rPr>
                <w:rFonts w:ascii="宋体" w:hAnsi="宋体"/>
              </w:rPr>
              <w:t>5</w:t>
            </w:r>
          </w:p>
        </w:tc>
        <w:tc>
          <w:tcPr>
            <w:tcW w:w="4320" w:type="dxa"/>
            <w:tcBorders>
              <w:top w:val="single" w:color="auto" w:sz="4" w:space="0"/>
              <w:left w:val="nil"/>
              <w:bottom w:val="single" w:color="auto" w:sz="4" w:space="0"/>
              <w:right w:val="single" w:color="auto" w:sz="4" w:space="0"/>
            </w:tcBorders>
            <w:vAlign w:val="center"/>
          </w:tcPr>
          <w:p w14:paraId="1A8B70FD">
            <w:pPr>
              <w:widowControl/>
              <w:jc w:val="left"/>
              <w:rPr>
                <w:rFonts w:ascii="宋体" w:hAnsi="宋体"/>
              </w:rPr>
            </w:pPr>
            <w:r>
              <w:rPr>
                <w:rFonts w:hint="eastAsia" w:ascii="宋体" w:hAnsi="宋体"/>
              </w:rPr>
              <w:t>经检测，混凝土</w:t>
            </w:r>
            <w:r>
              <w:rPr>
                <w:rFonts w:ascii="宋体" w:hAnsi="宋体"/>
              </w:rPr>
              <w:t>28</w:t>
            </w:r>
            <w:r>
              <w:rPr>
                <w:rFonts w:hint="eastAsia" w:ascii="宋体" w:hAnsi="宋体"/>
              </w:rPr>
              <w:t>天强度达不到图纸要求，除按方案要求进行补强处理外</w:t>
            </w:r>
          </w:p>
        </w:tc>
        <w:tc>
          <w:tcPr>
            <w:tcW w:w="1410" w:type="dxa"/>
            <w:tcBorders>
              <w:top w:val="nil"/>
              <w:left w:val="nil"/>
              <w:bottom w:val="single" w:color="auto" w:sz="4" w:space="0"/>
              <w:right w:val="single" w:color="auto" w:sz="4" w:space="0"/>
            </w:tcBorders>
            <w:vAlign w:val="center"/>
          </w:tcPr>
          <w:p w14:paraId="5DD08582">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438F84F0">
            <w:pPr>
              <w:widowControl/>
              <w:jc w:val="left"/>
              <w:rPr>
                <w:rFonts w:ascii="宋体" w:hAnsi="宋体"/>
              </w:rPr>
            </w:pPr>
            <w:r>
              <w:rPr>
                <w:rFonts w:ascii="宋体" w:hAnsi="宋体"/>
              </w:rPr>
              <w:t>30000</w:t>
            </w:r>
            <w:r>
              <w:rPr>
                <w:rFonts w:hint="eastAsia" w:ascii="宋体" w:hAnsi="宋体"/>
              </w:rPr>
              <w:t>—</w:t>
            </w:r>
            <w:r>
              <w:rPr>
                <w:rFonts w:ascii="宋体" w:hAnsi="宋体"/>
              </w:rPr>
              <w:t>100000</w:t>
            </w:r>
            <w:r>
              <w:rPr>
                <w:rFonts w:hint="eastAsia" w:ascii="宋体" w:hAnsi="宋体"/>
              </w:rPr>
              <w:t>元</w:t>
            </w:r>
          </w:p>
        </w:tc>
      </w:tr>
      <w:tr w14:paraId="2D690798">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434A20CC">
            <w:pPr>
              <w:widowControl/>
              <w:jc w:val="left"/>
              <w:rPr>
                <w:rFonts w:ascii="宋体" w:hAnsi="宋体"/>
              </w:rPr>
            </w:pPr>
            <w:r>
              <w:rPr>
                <w:rFonts w:ascii="宋体" w:hAnsi="宋体"/>
              </w:rPr>
              <w:t>6</w:t>
            </w:r>
          </w:p>
        </w:tc>
        <w:tc>
          <w:tcPr>
            <w:tcW w:w="4320" w:type="dxa"/>
            <w:tcBorders>
              <w:top w:val="single" w:color="auto" w:sz="4" w:space="0"/>
              <w:left w:val="nil"/>
              <w:bottom w:val="single" w:color="auto" w:sz="4" w:space="0"/>
              <w:right w:val="single" w:color="auto" w:sz="4" w:space="0"/>
            </w:tcBorders>
            <w:vAlign w:val="center"/>
          </w:tcPr>
          <w:p w14:paraId="2E724582">
            <w:pPr>
              <w:widowControl/>
              <w:jc w:val="left"/>
              <w:rPr>
                <w:rFonts w:ascii="宋体" w:hAnsi="宋体"/>
              </w:rPr>
            </w:pPr>
            <w:r>
              <w:rPr>
                <w:rFonts w:hint="eastAsia" w:ascii="宋体" w:hAnsi="宋体"/>
              </w:rPr>
              <w:t>预埋的套管、墙管、预埋件、预留的孔洞、槽口位置或者尺寸有误，对混凝土墙体、楼板重新开凿的（由发包人原因导致的除外）</w:t>
            </w:r>
          </w:p>
        </w:tc>
        <w:tc>
          <w:tcPr>
            <w:tcW w:w="1410" w:type="dxa"/>
            <w:tcBorders>
              <w:top w:val="nil"/>
              <w:left w:val="nil"/>
              <w:bottom w:val="single" w:color="auto" w:sz="4" w:space="0"/>
              <w:right w:val="single" w:color="auto" w:sz="4" w:space="0"/>
            </w:tcBorders>
            <w:vAlign w:val="center"/>
          </w:tcPr>
          <w:p w14:paraId="2EE3DFD7">
            <w:pPr>
              <w:widowControl/>
              <w:jc w:val="left"/>
              <w:rPr>
                <w:rFonts w:ascii="宋体" w:hAnsi="宋体"/>
              </w:rPr>
            </w:pPr>
            <w:r>
              <w:rPr>
                <w:rFonts w:hint="eastAsia" w:ascii="宋体" w:hAnsi="宋体"/>
              </w:rPr>
              <w:t>追究违约责任</w:t>
            </w:r>
          </w:p>
        </w:tc>
        <w:tc>
          <w:tcPr>
            <w:tcW w:w="2170" w:type="dxa"/>
            <w:tcBorders>
              <w:top w:val="nil"/>
              <w:left w:val="nil"/>
              <w:bottom w:val="single" w:color="auto" w:sz="4" w:space="0"/>
              <w:right w:val="single" w:color="auto" w:sz="4" w:space="0"/>
            </w:tcBorders>
            <w:vAlign w:val="center"/>
          </w:tcPr>
          <w:p w14:paraId="01855482">
            <w:pPr>
              <w:widowControl/>
              <w:jc w:val="left"/>
              <w:rPr>
                <w:rFonts w:ascii="宋体" w:hAnsi="宋体"/>
              </w:rPr>
            </w:pPr>
            <w:r>
              <w:rPr>
                <w:rFonts w:ascii="宋体" w:hAnsi="宋体"/>
              </w:rPr>
              <w:t>1000</w:t>
            </w:r>
            <w:r>
              <w:rPr>
                <w:rFonts w:hint="eastAsia" w:ascii="宋体" w:hAnsi="宋体"/>
              </w:rPr>
              <w:t>元</w:t>
            </w:r>
            <w:r>
              <w:rPr>
                <w:rFonts w:ascii="宋体" w:hAnsi="宋体"/>
              </w:rPr>
              <w:t>/</w:t>
            </w:r>
            <w:r>
              <w:rPr>
                <w:rFonts w:hint="eastAsia" w:ascii="宋体" w:hAnsi="宋体"/>
              </w:rPr>
              <w:t>处</w:t>
            </w:r>
          </w:p>
        </w:tc>
      </w:tr>
      <w:tr w14:paraId="517A61EF">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2DECE339">
            <w:pPr>
              <w:widowControl/>
              <w:jc w:val="left"/>
              <w:rPr>
                <w:rFonts w:ascii="宋体" w:hAnsi="宋体"/>
              </w:rPr>
            </w:pPr>
            <w:r>
              <w:rPr>
                <w:rFonts w:ascii="宋体" w:hAnsi="宋体"/>
              </w:rPr>
              <w:t>7</w:t>
            </w:r>
          </w:p>
        </w:tc>
        <w:tc>
          <w:tcPr>
            <w:tcW w:w="4320" w:type="dxa"/>
            <w:tcBorders>
              <w:top w:val="single" w:color="auto" w:sz="4" w:space="0"/>
              <w:left w:val="nil"/>
              <w:bottom w:val="single" w:color="auto" w:sz="4" w:space="0"/>
              <w:right w:val="single" w:color="auto" w:sz="4" w:space="0"/>
            </w:tcBorders>
            <w:vAlign w:val="center"/>
          </w:tcPr>
          <w:p w14:paraId="3B1E0361">
            <w:pPr>
              <w:widowControl/>
              <w:jc w:val="left"/>
              <w:rPr>
                <w:rFonts w:ascii="宋体" w:hAnsi="宋体"/>
              </w:rPr>
            </w:pPr>
            <w:r>
              <w:rPr>
                <w:rFonts w:hint="eastAsia" w:ascii="宋体" w:hAnsi="宋体"/>
              </w:rPr>
              <w:t>混凝土结构及时养护，养护不到位造成楼面不平整或开裂</w:t>
            </w:r>
          </w:p>
        </w:tc>
        <w:tc>
          <w:tcPr>
            <w:tcW w:w="1410" w:type="dxa"/>
            <w:tcBorders>
              <w:top w:val="nil"/>
              <w:left w:val="nil"/>
              <w:bottom w:val="single" w:color="auto" w:sz="4" w:space="0"/>
              <w:right w:val="single" w:color="auto" w:sz="4" w:space="0"/>
            </w:tcBorders>
            <w:vAlign w:val="center"/>
          </w:tcPr>
          <w:p w14:paraId="3D6EAE05">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7580A335">
            <w:pPr>
              <w:widowControl/>
              <w:jc w:val="left"/>
              <w:rPr>
                <w:rFonts w:ascii="宋体" w:hAnsi="宋体"/>
              </w:rPr>
            </w:pPr>
            <w:r>
              <w:rPr>
                <w:rFonts w:ascii="宋体" w:hAnsi="宋体"/>
              </w:rPr>
              <w:t>5000</w:t>
            </w:r>
            <w:r>
              <w:rPr>
                <w:rFonts w:hint="eastAsia" w:ascii="宋体" w:hAnsi="宋体"/>
              </w:rPr>
              <w:t>元</w:t>
            </w:r>
            <w:r>
              <w:rPr>
                <w:rFonts w:ascii="宋体" w:hAnsi="宋体"/>
              </w:rPr>
              <w:t>/</w:t>
            </w:r>
            <w:r>
              <w:rPr>
                <w:rFonts w:hint="eastAsia" w:ascii="宋体" w:hAnsi="宋体"/>
              </w:rPr>
              <w:t>次</w:t>
            </w:r>
          </w:p>
        </w:tc>
      </w:tr>
      <w:tr w14:paraId="2DAB4078">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07E5C21B">
            <w:pPr>
              <w:widowControl/>
              <w:jc w:val="left"/>
              <w:rPr>
                <w:rFonts w:ascii="宋体" w:hAnsi="宋体"/>
              </w:rPr>
            </w:pPr>
            <w:r>
              <w:rPr>
                <w:rFonts w:ascii="宋体" w:hAnsi="宋体"/>
              </w:rPr>
              <w:t>8</w:t>
            </w:r>
          </w:p>
        </w:tc>
        <w:tc>
          <w:tcPr>
            <w:tcW w:w="4320" w:type="dxa"/>
            <w:tcBorders>
              <w:top w:val="single" w:color="auto" w:sz="4" w:space="0"/>
              <w:left w:val="nil"/>
              <w:bottom w:val="single" w:color="auto" w:sz="4" w:space="0"/>
              <w:right w:val="single" w:color="auto" w:sz="4" w:space="0"/>
            </w:tcBorders>
            <w:vAlign w:val="center"/>
          </w:tcPr>
          <w:p w14:paraId="5274A550">
            <w:pPr>
              <w:widowControl/>
              <w:jc w:val="left"/>
              <w:rPr>
                <w:rFonts w:ascii="宋体" w:hAnsi="宋体"/>
              </w:rPr>
            </w:pPr>
            <w:r>
              <w:rPr>
                <w:rFonts w:hint="eastAsia" w:ascii="宋体" w:hAnsi="宋体"/>
              </w:rPr>
              <w:t>本工程所用不锈钢材料需满足技术需求书要求，若现场发现生锈情况，承包人无条件予以更换。若承包人不更换或不能在整改期限内完成</w:t>
            </w:r>
          </w:p>
        </w:tc>
        <w:tc>
          <w:tcPr>
            <w:tcW w:w="1410" w:type="dxa"/>
            <w:tcBorders>
              <w:top w:val="nil"/>
              <w:left w:val="nil"/>
              <w:bottom w:val="single" w:color="auto" w:sz="4" w:space="0"/>
              <w:right w:val="single" w:color="auto" w:sz="4" w:space="0"/>
            </w:tcBorders>
            <w:vAlign w:val="center"/>
          </w:tcPr>
          <w:p w14:paraId="74BC71AA">
            <w:pPr>
              <w:widowControl/>
              <w:jc w:val="left"/>
              <w:rPr>
                <w:rFonts w:ascii="宋体" w:hAnsi="宋体"/>
              </w:rPr>
            </w:pPr>
            <w:r>
              <w:rPr>
                <w:rFonts w:hint="eastAsia" w:ascii="宋体" w:hAnsi="宋体"/>
              </w:rPr>
              <w:t>限期整改</w:t>
            </w:r>
          </w:p>
          <w:p w14:paraId="2F53D885">
            <w:pPr>
              <w:pStyle w:val="46"/>
              <w:widowControl/>
              <w:ind w:left="0" w:leftChars="0" w:firstLine="0" w:firstLineChars="0"/>
              <w:jc w:val="left"/>
              <w:rPr>
                <w:rFonts w:ascii="宋体" w:hAnsi="宋体"/>
              </w:rPr>
            </w:pPr>
            <w:r>
              <w:rPr>
                <w:rFonts w:hint="eastAsia" w:ascii="宋体" w:hAnsi="宋体"/>
                <w:sz w:val="21"/>
              </w:rPr>
              <w:t>追究违约责任</w:t>
            </w:r>
          </w:p>
        </w:tc>
        <w:tc>
          <w:tcPr>
            <w:tcW w:w="2170" w:type="dxa"/>
            <w:tcBorders>
              <w:top w:val="nil"/>
              <w:left w:val="nil"/>
              <w:bottom w:val="single" w:color="auto" w:sz="4" w:space="0"/>
              <w:right w:val="single" w:color="auto" w:sz="4" w:space="0"/>
            </w:tcBorders>
            <w:vAlign w:val="center"/>
          </w:tcPr>
          <w:p w14:paraId="0F924E60">
            <w:pPr>
              <w:widowControl/>
              <w:jc w:val="left"/>
              <w:rPr>
                <w:rFonts w:ascii="宋体" w:hAnsi="宋体"/>
              </w:rPr>
            </w:pPr>
            <w:r>
              <w:rPr>
                <w:rFonts w:ascii="宋体" w:hAnsi="宋体"/>
              </w:rPr>
              <w:t>3000</w:t>
            </w:r>
            <w:r>
              <w:rPr>
                <w:rFonts w:hint="eastAsia" w:ascii="宋体" w:hAnsi="宋体"/>
              </w:rPr>
              <w:t>元</w:t>
            </w:r>
            <w:r>
              <w:rPr>
                <w:rFonts w:ascii="宋体" w:hAnsi="宋体"/>
              </w:rPr>
              <w:t>/</w:t>
            </w:r>
            <w:r>
              <w:rPr>
                <w:rFonts w:hint="eastAsia" w:ascii="宋体" w:hAnsi="宋体"/>
              </w:rPr>
              <w:t>次，且承包人应当承担该部分</w:t>
            </w:r>
            <w:r>
              <w:rPr>
                <w:rFonts w:hint="eastAsia" w:ascii="宋体" w:hAnsi="宋体"/>
                <w:kern w:val="0"/>
                <w:sz w:val="24"/>
              </w:rPr>
              <w:t>工程合同价款</w:t>
            </w:r>
            <w:r>
              <w:rPr>
                <w:rFonts w:ascii="宋体" w:hAnsi="宋体"/>
              </w:rPr>
              <w:t>50</w:t>
            </w:r>
            <w:r>
              <w:rPr>
                <w:rFonts w:hint="eastAsia" w:ascii="宋体" w:hAnsi="宋体"/>
              </w:rPr>
              <w:t>％作为违约金</w:t>
            </w:r>
          </w:p>
        </w:tc>
      </w:tr>
      <w:tr w14:paraId="62377091">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43F5FE65">
            <w:pPr>
              <w:widowControl/>
              <w:jc w:val="left"/>
              <w:rPr>
                <w:rFonts w:ascii="宋体" w:hAnsi="宋体"/>
              </w:rPr>
            </w:pPr>
            <w:r>
              <w:rPr>
                <w:rFonts w:ascii="宋体" w:hAnsi="宋体"/>
              </w:rPr>
              <w:t>9</w:t>
            </w:r>
          </w:p>
        </w:tc>
        <w:tc>
          <w:tcPr>
            <w:tcW w:w="4320" w:type="dxa"/>
            <w:tcBorders>
              <w:top w:val="single" w:color="auto" w:sz="4" w:space="0"/>
              <w:left w:val="nil"/>
              <w:bottom w:val="single" w:color="auto" w:sz="4" w:space="0"/>
              <w:right w:val="single" w:color="auto" w:sz="4" w:space="0"/>
            </w:tcBorders>
            <w:vAlign w:val="center"/>
          </w:tcPr>
          <w:p w14:paraId="062F44F0">
            <w:pPr>
              <w:widowControl/>
              <w:jc w:val="left"/>
              <w:rPr>
                <w:rFonts w:ascii="宋体" w:hAnsi="宋体"/>
              </w:rPr>
            </w:pPr>
            <w:r>
              <w:rPr>
                <w:rFonts w:hint="eastAsia" w:ascii="宋体" w:hAnsi="宋体"/>
              </w:rPr>
              <w:t>关键工序施工完毕后，未经监理、发包人验收合格并签字，擅自进行下道工序施工</w:t>
            </w:r>
          </w:p>
        </w:tc>
        <w:tc>
          <w:tcPr>
            <w:tcW w:w="1410" w:type="dxa"/>
            <w:tcBorders>
              <w:top w:val="nil"/>
              <w:left w:val="nil"/>
              <w:bottom w:val="single" w:color="auto" w:sz="4" w:space="0"/>
              <w:right w:val="single" w:color="auto" w:sz="4" w:space="0"/>
            </w:tcBorders>
            <w:vAlign w:val="center"/>
          </w:tcPr>
          <w:p w14:paraId="220EF5D5">
            <w:pPr>
              <w:widowControl/>
              <w:jc w:val="left"/>
              <w:rPr>
                <w:rFonts w:ascii="宋体" w:hAnsi="宋体"/>
              </w:rPr>
            </w:pPr>
            <w:r>
              <w:rPr>
                <w:rFonts w:hint="eastAsia" w:ascii="宋体" w:hAnsi="宋体"/>
              </w:rPr>
              <w:t>限期完成</w:t>
            </w:r>
          </w:p>
        </w:tc>
        <w:tc>
          <w:tcPr>
            <w:tcW w:w="2170" w:type="dxa"/>
            <w:tcBorders>
              <w:top w:val="nil"/>
              <w:left w:val="nil"/>
              <w:bottom w:val="single" w:color="auto" w:sz="4" w:space="0"/>
              <w:right w:val="single" w:color="auto" w:sz="4" w:space="0"/>
            </w:tcBorders>
            <w:vAlign w:val="center"/>
          </w:tcPr>
          <w:p w14:paraId="10145A5F">
            <w:pPr>
              <w:widowControl/>
              <w:jc w:val="left"/>
              <w:rPr>
                <w:rFonts w:ascii="宋体" w:hAnsi="宋体"/>
              </w:rPr>
            </w:pPr>
            <w:r>
              <w:rPr>
                <w:rFonts w:ascii="宋体" w:hAnsi="宋体"/>
              </w:rPr>
              <w:t>20000</w:t>
            </w:r>
            <w:r>
              <w:rPr>
                <w:rFonts w:hint="eastAsia" w:ascii="宋体" w:hAnsi="宋体"/>
              </w:rPr>
              <w:t>元</w:t>
            </w:r>
            <w:r>
              <w:rPr>
                <w:rFonts w:ascii="宋体" w:hAnsi="宋体"/>
              </w:rPr>
              <w:t>/</w:t>
            </w:r>
            <w:r>
              <w:rPr>
                <w:rFonts w:hint="eastAsia" w:ascii="宋体" w:hAnsi="宋体"/>
              </w:rPr>
              <w:t>次</w:t>
            </w:r>
          </w:p>
        </w:tc>
      </w:tr>
      <w:tr w14:paraId="66641ADB">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609223E2">
            <w:pPr>
              <w:widowControl/>
              <w:jc w:val="left"/>
              <w:rPr>
                <w:rFonts w:ascii="宋体" w:hAnsi="宋体"/>
              </w:rPr>
            </w:pPr>
            <w:r>
              <w:rPr>
                <w:rFonts w:ascii="宋体" w:hAnsi="宋体"/>
              </w:rPr>
              <w:t>10</w:t>
            </w:r>
          </w:p>
        </w:tc>
        <w:tc>
          <w:tcPr>
            <w:tcW w:w="4320" w:type="dxa"/>
            <w:tcBorders>
              <w:top w:val="single" w:color="auto" w:sz="4" w:space="0"/>
              <w:left w:val="nil"/>
              <w:bottom w:val="single" w:color="auto" w:sz="4" w:space="0"/>
              <w:right w:val="single" w:color="auto" w:sz="4" w:space="0"/>
            </w:tcBorders>
            <w:vAlign w:val="center"/>
          </w:tcPr>
          <w:p w14:paraId="5A390F8D">
            <w:pPr>
              <w:widowControl/>
              <w:jc w:val="left"/>
              <w:rPr>
                <w:rFonts w:ascii="宋体" w:hAnsi="宋体"/>
              </w:rPr>
            </w:pPr>
            <w:r>
              <w:rPr>
                <w:rFonts w:hint="eastAsia" w:ascii="宋体" w:hAnsi="宋体"/>
              </w:rPr>
              <w:t>施工难点以及容易发生质量通病的地方，由承包人首先提交需报送施工方案的项目清单，经监理和发包人确认后承包人根据项目清单报送施工方案经监理和发包人确认。若未履行上述程序，视为承包人违约</w:t>
            </w:r>
          </w:p>
        </w:tc>
        <w:tc>
          <w:tcPr>
            <w:tcW w:w="1410" w:type="dxa"/>
            <w:tcBorders>
              <w:top w:val="nil"/>
              <w:left w:val="nil"/>
              <w:bottom w:val="single" w:color="auto" w:sz="4" w:space="0"/>
              <w:right w:val="single" w:color="auto" w:sz="4" w:space="0"/>
            </w:tcBorders>
            <w:vAlign w:val="center"/>
          </w:tcPr>
          <w:p w14:paraId="784B2DC5">
            <w:pPr>
              <w:widowControl/>
              <w:jc w:val="left"/>
              <w:rPr>
                <w:rFonts w:ascii="宋体" w:hAnsi="宋体"/>
              </w:rPr>
            </w:pPr>
            <w:r>
              <w:rPr>
                <w:rFonts w:hint="eastAsia" w:ascii="宋体" w:hAnsi="宋体"/>
              </w:rPr>
              <w:t>限期完成</w:t>
            </w:r>
          </w:p>
        </w:tc>
        <w:tc>
          <w:tcPr>
            <w:tcW w:w="2170" w:type="dxa"/>
            <w:tcBorders>
              <w:top w:val="nil"/>
              <w:left w:val="nil"/>
              <w:bottom w:val="single" w:color="auto" w:sz="4" w:space="0"/>
              <w:right w:val="single" w:color="auto" w:sz="4" w:space="0"/>
            </w:tcBorders>
            <w:vAlign w:val="center"/>
          </w:tcPr>
          <w:p w14:paraId="40F66E45">
            <w:pPr>
              <w:widowControl/>
              <w:jc w:val="left"/>
              <w:rPr>
                <w:rFonts w:ascii="宋体" w:hAnsi="宋体"/>
              </w:rPr>
            </w:pPr>
            <w:r>
              <w:rPr>
                <w:rFonts w:ascii="宋体" w:hAnsi="宋体"/>
              </w:rPr>
              <w:t>10000</w:t>
            </w:r>
            <w:r>
              <w:rPr>
                <w:rFonts w:hint="eastAsia" w:ascii="宋体" w:hAnsi="宋体"/>
              </w:rPr>
              <w:t>元</w:t>
            </w:r>
            <w:r>
              <w:rPr>
                <w:rFonts w:ascii="宋体" w:hAnsi="宋体"/>
              </w:rPr>
              <w:t>/</w:t>
            </w:r>
            <w:r>
              <w:rPr>
                <w:rFonts w:hint="eastAsia" w:ascii="宋体" w:hAnsi="宋体"/>
              </w:rPr>
              <w:t>天</w:t>
            </w:r>
          </w:p>
        </w:tc>
      </w:tr>
      <w:tr w14:paraId="4D60B970">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61AC504B">
            <w:pPr>
              <w:widowControl/>
              <w:jc w:val="left"/>
              <w:rPr>
                <w:rFonts w:ascii="宋体" w:hAnsi="宋体"/>
              </w:rPr>
            </w:pPr>
            <w:r>
              <w:rPr>
                <w:rFonts w:ascii="宋体" w:hAnsi="宋体"/>
              </w:rPr>
              <w:t>11</w:t>
            </w:r>
          </w:p>
        </w:tc>
        <w:tc>
          <w:tcPr>
            <w:tcW w:w="4320" w:type="dxa"/>
            <w:tcBorders>
              <w:top w:val="single" w:color="auto" w:sz="4" w:space="0"/>
              <w:left w:val="nil"/>
              <w:bottom w:val="single" w:color="auto" w:sz="4" w:space="0"/>
              <w:right w:val="single" w:color="auto" w:sz="4" w:space="0"/>
            </w:tcBorders>
            <w:vAlign w:val="center"/>
          </w:tcPr>
          <w:p w14:paraId="5DAF5388">
            <w:pPr>
              <w:widowControl/>
              <w:jc w:val="left"/>
              <w:rPr>
                <w:rFonts w:ascii="宋体" w:hAnsi="宋体"/>
              </w:rPr>
            </w:pPr>
            <w:r>
              <w:rPr>
                <w:rFonts w:hint="eastAsia" w:ascii="宋体" w:hAnsi="宋体"/>
              </w:rPr>
              <w:t>隐蔽工程未在隐蔽或中间验收前</w:t>
            </w:r>
            <w:r>
              <w:rPr>
                <w:rFonts w:ascii="宋体" w:hAnsi="宋体"/>
              </w:rPr>
              <w:t>48</w:t>
            </w:r>
            <w:r>
              <w:rPr>
                <w:rFonts w:hint="eastAsia" w:ascii="宋体" w:hAnsi="宋体"/>
              </w:rPr>
              <w:t>小时以书面形式通知监理验收，或验收不合格承包人擅自进行下道工序施工</w:t>
            </w:r>
          </w:p>
        </w:tc>
        <w:tc>
          <w:tcPr>
            <w:tcW w:w="1410" w:type="dxa"/>
            <w:tcBorders>
              <w:top w:val="nil"/>
              <w:left w:val="nil"/>
              <w:bottom w:val="single" w:color="auto" w:sz="4" w:space="0"/>
              <w:right w:val="single" w:color="auto" w:sz="4" w:space="0"/>
            </w:tcBorders>
            <w:vAlign w:val="center"/>
          </w:tcPr>
          <w:p w14:paraId="78C3B62E">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37A6D129">
            <w:pPr>
              <w:widowControl/>
              <w:jc w:val="left"/>
              <w:rPr>
                <w:rFonts w:ascii="宋体" w:hAnsi="宋体"/>
              </w:rPr>
            </w:pPr>
            <w:r>
              <w:rPr>
                <w:rFonts w:ascii="宋体" w:hAnsi="宋体"/>
              </w:rPr>
              <w:t>3000-50000</w:t>
            </w:r>
            <w:r>
              <w:rPr>
                <w:rFonts w:hint="eastAsia" w:ascii="宋体" w:hAnsi="宋体"/>
              </w:rPr>
              <w:t>元</w:t>
            </w:r>
            <w:r>
              <w:rPr>
                <w:rFonts w:ascii="宋体" w:hAnsi="宋体"/>
              </w:rPr>
              <w:t>/</w:t>
            </w:r>
            <w:r>
              <w:rPr>
                <w:rFonts w:hint="eastAsia" w:ascii="宋体" w:hAnsi="宋体"/>
              </w:rPr>
              <w:t>次</w:t>
            </w:r>
            <w:r>
              <w:rPr>
                <w:rFonts w:ascii="宋体" w:hAnsi="宋体"/>
              </w:rPr>
              <w:t xml:space="preserve"> </w:t>
            </w:r>
            <w:r>
              <w:rPr>
                <w:rFonts w:hint="eastAsia" w:ascii="宋体" w:hAnsi="宋体"/>
              </w:rPr>
              <w:t>【视情节严重性】</w:t>
            </w:r>
          </w:p>
        </w:tc>
      </w:tr>
      <w:tr w14:paraId="598E086A">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49D60DB2">
            <w:pPr>
              <w:widowControl/>
              <w:jc w:val="left"/>
              <w:rPr>
                <w:rFonts w:ascii="宋体" w:hAnsi="宋体"/>
              </w:rPr>
            </w:pPr>
            <w:r>
              <w:rPr>
                <w:rFonts w:ascii="宋体" w:hAnsi="宋体"/>
              </w:rPr>
              <w:t>12</w:t>
            </w:r>
          </w:p>
        </w:tc>
        <w:tc>
          <w:tcPr>
            <w:tcW w:w="4320" w:type="dxa"/>
            <w:tcBorders>
              <w:top w:val="single" w:color="auto" w:sz="4" w:space="0"/>
              <w:left w:val="nil"/>
              <w:bottom w:val="single" w:color="auto" w:sz="4" w:space="0"/>
              <w:right w:val="single" w:color="auto" w:sz="4" w:space="0"/>
            </w:tcBorders>
            <w:vAlign w:val="center"/>
          </w:tcPr>
          <w:p w14:paraId="714FE5C5">
            <w:pPr>
              <w:widowControl/>
              <w:jc w:val="left"/>
              <w:rPr>
                <w:rFonts w:ascii="宋体" w:hAnsi="宋体"/>
              </w:rPr>
            </w:pPr>
            <w:r>
              <w:rPr>
                <w:rFonts w:hint="eastAsia" w:ascii="宋体" w:hAnsi="宋体"/>
              </w:rPr>
              <w:t>重要、关键部位未在施工前</w:t>
            </w:r>
            <w:r>
              <w:rPr>
                <w:rFonts w:ascii="宋体" w:hAnsi="宋体"/>
              </w:rPr>
              <w:t>5</w:t>
            </w:r>
            <w:r>
              <w:rPr>
                <w:rFonts w:hint="eastAsia" w:ascii="宋体" w:hAnsi="宋体"/>
              </w:rPr>
              <w:t>天提交专项施工技术方案</w:t>
            </w:r>
          </w:p>
        </w:tc>
        <w:tc>
          <w:tcPr>
            <w:tcW w:w="1410" w:type="dxa"/>
            <w:tcBorders>
              <w:top w:val="nil"/>
              <w:left w:val="nil"/>
              <w:bottom w:val="single" w:color="auto" w:sz="4" w:space="0"/>
              <w:right w:val="single" w:color="auto" w:sz="4" w:space="0"/>
            </w:tcBorders>
            <w:vAlign w:val="center"/>
          </w:tcPr>
          <w:p w14:paraId="72C2861A">
            <w:pPr>
              <w:widowControl/>
              <w:jc w:val="left"/>
              <w:rPr>
                <w:rFonts w:ascii="宋体" w:hAnsi="宋体"/>
              </w:rPr>
            </w:pPr>
            <w:r>
              <w:rPr>
                <w:rFonts w:hint="eastAsia" w:ascii="宋体" w:hAnsi="宋体"/>
              </w:rPr>
              <w:t>限期完成</w:t>
            </w:r>
          </w:p>
        </w:tc>
        <w:tc>
          <w:tcPr>
            <w:tcW w:w="2170" w:type="dxa"/>
            <w:tcBorders>
              <w:top w:val="nil"/>
              <w:left w:val="nil"/>
              <w:bottom w:val="single" w:color="auto" w:sz="4" w:space="0"/>
              <w:right w:val="single" w:color="auto" w:sz="4" w:space="0"/>
            </w:tcBorders>
            <w:vAlign w:val="center"/>
          </w:tcPr>
          <w:p w14:paraId="2E412432">
            <w:pPr>
              <w:widowControl/>
              <w:jc w:val="left"/>
              <w:rPr>
                <w:rFonts w:ascii="宋体" w:hAnsi="宋体"/>
              </w:rPr>
            </w:pPr>
            <w:r>
              <w:rPr>
                <w:rFonts w:ascii="宋体" w:hAnsi="宋体"/>
              </w:rPr>
              <w:t>20000</w:t>
            </w:r>
            <w:r>
              <w:rPr>
                <w:rFonts w:hint="eastAsia" w:ascii="宋体" w:hAnsi="宋体"/>
              </w:rPr>
              <w:t>元</w:t>
            </w:r>
            <w:r>
              <w:rPr>
                <w:rFonts w:ascii="宋体" w:hAnsi="宋体"/>
              </w:rPr>
              <w:t>/</w:t>
            </w:r>
            <w:r>
              <w:rPr>
                <w:rFonts w:hint="eastAsia" w:ascii="宋体" w:hAnsi="宋体"/>
              </w:rPr>
              <w:t>次</w:t>
            </w:r>
          </w:p>
        </w:tc>
      </w:tr>
      <w:tr w14:paraId="3F9A61B5">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6E2FF059">
            <w:pPr>
              <w:widowControl/>
              <w:jc w:val="left"/>
              <w:rPr>
                <w:rFonts w:ascii="宋体" w:hAnsi="宋体"/>
              </w:rPr>
            </w:pPr>
            <w:r>
              <w:rPr>
                <w:rFonts w:hint="eastAsia" w:ascii="宋体" w:hAnsi="宋体"/>
              </w:rPr>
              <w:t>三</w:t>
            </w:r>
          </w:p>
        </w:tc>
        <w:tc>
          <w:tcPr>
            <w:tcW w:w="4320" w:type="dxa"/>
            <w:tcBorders>
              <w:top w:val="single" w:color="auto" w:sz="4" w:space="0"/>
              <w:left w:val="nil"/>
              <w:bottom w:val="single" w:color="auto" w:sz="4" w:space="0"/>
              <w:right w:val="single" w:color="auto" w:sz="4" w:space="0"/>
            </w:tcBorders>
            <w:vAlign w:val="center"/>
          </w:tcPr>
          <w:p w14:paraId="520406C3">
            <w:pPr>
              <w:widowControl/>
              <w:rPr>
                <w:rFonts w:ascii="宋体" w:hAnsi="宋体"/>
              </w:rPr>
            </w:pPr>
            <w:r>
              <w:rPr>
                <w:rFonts w:hint="eastAsia" w:ascii="宋体" w:hAnsi="宋体"/>
              </w:rPr>
              <w:t>安全文明施工</w:t>
            </w:r>
          </w:p>
        </w:tc>
        <w:tc>
          <w:tcPr>
            <w:tcW w:w="1410" w:type="dxa"/>
            <w:tcBorders>
              <w:top w:val="nil"/>
              <w:left w:val="nil"/>
              <w:bottom w:val="single" w:color="auto" w:sz="4" w:space="0"/>
              <w:right w:val="single" w:color="auto" w:sz="4" w:space="0"/>
            </w:tcBorders>
            <w:vAlign w:val="center"/>
          </w:tcPr>
          <w:p w14:paraId="447BC9D9">
            <w:pPr>
              <w:widowControl/>
              <w:jc w:val="left"/>
              <w:rPr>
                <w:rFonts w:ascii="宋体" w:hAnsi="宋体"/>
              </w:rPr>
            </w:pPr>
          </w:p>
        </w:tc>
        <w:tc>
          <w:tcPr>
            <w:tcW w:w="2170" w:type="dxa"/>
            <w:tcBorders>
              <w:top w:val="single" w:color="auto" w:sz="4" w:space="0"/>
              <w:left w:val="nil"/>
              <w:bottom w:val="single" w:color="auto" w:sz="4" w:space="0"/>
              <w:right w:val="single" w:color="auto" w:sz="4" w:space="0"/>
            </w:tcBorders>
            <w:vAlign w:val="center"/>
          </w:tcPr>
          <w:p w14:paraId="7590E2AB">
            <w:pPr>
              <w:widowControl/>
              <w:jc w:val="left"/>
              <w:rPr>
                <w:rFonts w:ascii="宋体" w:hAnsi="宋体"/>
              </w:rPr>
            </w:pPr>
            <w:r>
              <w:rPr>
                <w:rFonts w:hint="eastAsia" w:ascii="宋体" w:hAnsi="宋体"/>
              </w:rPr>
              <w:t>　</w:t>
            </w:r>
          </w:p>
        </w:tc>
      </w:tr>
      <w:tr w14:paraId="1BB62077">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54093DD9">
            <w:pPr>
              <w:widowControl/>
              <w:jc w:val="left"/>
              <w:rPr>
                <w:rFonts w:ascii="宋体" w:hAnsi="宋体"/>
              </w:rPr>
            </w:pPr>
            <w:r>
              <w:rPr>
                <w:rFonts w:ascii="宋体" w:hAnsi="宋体"/>
              </w:rPr>
              <w:t>1</w:t>
            </w:r>
          </w:p>
        </w:tc>
        <w:tc>
          <w:tcPr>
            <w:tcW w:w="4320" w:type="dxa"/>
            <w:tcBorders>
              <w:top w:val="single" w:color="auto" w:sz="4" w:space="0"/>
              <w:left w:val="nil"/>
              <w:bottom w:val="single" w:color="auto" w:sz="4" w:space="0"/>
              <w:right w:val="single" w:color="auto" w:sz="4" w:space="0"/>
            </w:tcBorders>
            <w:vAlign w:val="center"/>
          </w:tcPr>
          <w:p w14:paraId="5A6A5DE5">
            <w:pPr>
              <w:widowControl/>
              <w:rPr>
                <w:rFonts w:ascii="宋体" w:hAnsi="宋体"/>
              </w:rPr>
            </w:pPr>
            <w:r>
              <w:rPr>
                <w:rFonts w:hint="eastAsia" w:ascii="宋体" w:hAnsi="宋体"/>
              </w:rPr>
              <w:t>未按要求设置标志标识</w:t>
            </w:r>
          </w:p>
        </w:tc>
        <w:tc>
          <w:tcPr>
            <w:tcW w:w="1410" w:type="dxa"/>
            <w:tcBorders>
              <w:top w:val="nil"/>
              <w:left w:val="nil"/>
              <w:bottom w:val="single" w:color="auto" w:sz="4" w:space="0"/>
              <w:right w:val="single" w:color="auto" w:sz="4" w:space="0"/>
            </w:tcBorders>
            <w:vAlign w:val="center"/>
          </w:tcPr>
          <w:p w14:paraId="3BB4455A">
            <w:pPr>
              <w:widowControl/>
              <w:jc w:val="left"/>
              <w:rPr>
                <w:rFonts w:ascii="宋体" w:hAnsi="宋体"/>
              </w:rPr>
            </w:pPr>
            <w:r>
              <w:rPr>
                <w:rFonts w:hint="eastAsia" w:ascii="宋体" w:hAnsi="宋体"/>
              </w:rPr>
              <w:t>停工整改至完成</w:t>
            </w:r>
          </w:p>
        </w:tc>
        <w:tc>
          <w:tcPr>
            <w:tcW w:w="2170" w:type="dxa"/>
            <w:tcBorders>
              <w:top w:val="nil"/>
              <w:left w:val="nil"/>
              <w:bottom w:val="single" w:color="auto" w:sz="4" w:space="0"/>
              <w:right w:val="single" w:color="auto" w:sz="4" w:space="0"/>
            </w:tcBorders>
            <w:vAlign w:val="center"/>
          </w:tcPr>
          <w:p w14:paraId="7B705D28">
            <w:pPr>
              <w:widowControl/>
              <w:jc w:val="left"/>
              <w:rPr>
                <w:rFonts w:ascii="宋体" w:hAnsi="宋体"/>
              </w:rPr>
            </w:pPr>
            <w:r>
              <w:rPr>
                <w:rFonts w:ascii="宋体" w:hAnsi="宋体"/>
              </w:rPr>
              <w:t>100-500</w:t>
            </w:r>
            <w:r>
              <w:rPr>
                <w:rFonts w:hint="eastAsia" w:ascii="宋体" w:hAnsi="宋体"/>
              </w:rPr>
              <w:t>元</w:t>
            </w:r>
            <w:r>
              <w:rPr>
                <w:rFonts w:ascii="宋体" w:hAnsi="宋体"/>
              </w:rPr>
              <w:t>/</w:t>
            </w:r>
            <w:r>
              <w:rPr>
                <w:rFonts w:hint="eastAsia" w:ascii="宋体" w:hAnsi="宋体"/>
              </w:rPr>
              <w:t>次</w:t>
            </w:r>
          </w:p>
        </w:tc>
      </w:tr>
      <w:tr w14:paraId="59D5C5D5">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0A42096D">
            <w:pPr>
              <w:widowControl/>
              <w:jc w:val="left"/>
              <w:rPr>
                <w:rFonts w:ascii="宋体" w:hAnsi="宋体"/>
              </w:rPr>
            </w:pPr>
            <w:r>
              <w:rPr>
                <w:rFonts w:ascii="宋体" w:hAnsi="宋体"/>
              </w:rPr>
              <w:t>2</w:t>
            </w:r>
          </w:p>
        </w:tc>
        <w:tc>
          <w:tcPr>
            <w:tcW w:w="4320" w:type="dxa"/>
            <w:tcBorders>
              <w:top w:val="single" w:color="auto" w:sz="4" w:space="0"/>
              <w:left w:val="nil"/>
              <w:bottom w:val="single" w:color="auto" w:sz="4" w:space="0"/>
              <w:right w:val="single" w:color="auto" w:sz="4" w:space="0"/>
            </w:tcBorders>
            <w:vAlign w:val="center"/>
          </w:tcPr>
          <w:p w14:paraId="474F98C8">
            <w:pPr>
              <w:widowControl/>
              <w:rPr>
                <w:rFonts w:ascii="宋体" w:hAnsi="宋体"/>
              </w:rPr>
            </w:pPr>
            <w:r>
              <w:rPr>
                <w:rFonts w:hint="eastAsia" w:ascii="宋体" w:hAnsi="宋体"/>
              </w:rPr>
              <w:t>现场材料堆放混乱</w:t>
            </w:r>
          </w:p>
        </w:tc>
        <w:tc>
          <w:tcPr>
            <w:tcW w:w="1410" w:type="dxa"/>
            <w:tcBorders>
              <w:top w:val="nil"/>
              <w:left w:val="nil"/>
              <w:bottom w:val="single" w:color="auto" w:sz="4" w:space="0"/>
              <w:right w:val="single" w:color="auto" w:sz="4" w:space="0"/>
            </w:tcBorders>
            <w:vAlign w:val="center"/>
          </w:tcPr>
          <w:p w14:paraId="1D9BBEEF">
            <w:pPr>
              <w:widowControl/>
              <w:jc w:val="left"/>
              <w:rPr>
                <w:rFonts w:ascii="宋体" w:hAnsi="宋体"/>
              </w:rPr>
            </w:pPr>
            <w:r>
              <w:rPr>
                <w:rFonts w:hint="eastAsia" w:ascii="宋体" w:hAnsi="宋体"/>
              </w:rPr>
              <w:t>停工整改至完成</w:t>
            </w:r>
          </w:p>
        </w:tc>
        <w:tc>
          <w:tcPr>
            <w:tcW w:w="2170" w:type="dxa"/>
            <w:tcBorders>
              <w:top w:val="nil"/>
              <w:left w:val="nil"/>
              <w:bottom w:val="single" w:color="auto" w:sz="4" w:space="0"/>
              <w:right w:val="single" w:color="auto" w:sz="4" w:space="0"/>
            </w:tcBorders>
            <w:vAlign w:val="center"/>
          </w:tcPr>
          <w:p w14:paraId="2E89BD82">
            <w:pPr>
              <w:widowControl/>
              <w:jc w:val="left"/>
              <w:rPr>
                <w:rFonts w:ascii="宋体" w:hAnsi="宋体"/>
              </w:rPr>
            </w:pPr>
            <w:r>
              <w:rPr>
                <w:rFonts w:ascii="宋体" w:hAnsi="宋体"/>
              </w:rPr>
              <w:t>1000</w:t>
            </w:r>
            <w:r>
              <w:rPr>
                <w:rFonts w:hint="eastAsia" w:ascii="宋体" w:hAnsi="宋体"/>
              </w:rPr>
              <w:t>元</w:t>
            </w:r>
            <w:r>
              <w:rPr>
                <w:rFonts w:ascii="宋体" w:hAnsi="宋体"/>
              </w:rPr>
              <w:t>/</w:t>
            </w:r>
            <w:r>
              <w:rPr>
                <w:rFonts w:hint="eastAsia" w:ascii="宋体" w:hAnsi="宋体"/>
              </w:rPr>
              <w:t>处</w:t>
            </w:r>
          </w:p>
        </w:tc>
      </w:tr>
      <w:tr w14:paraId="01A1DDD3">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62C30FA1">
            <w:pPr>
              <w:widowControl/>
              <w:jc w:val="left"/>
              <w:rPr>
                <w:rFonts w:ascii="宋体" w:hAnsi="宋体"/>
              </w:rPr>
            </w:pPr>
            <w:r>
              <w:rPr>
                <w:rFonts w:ascii="宋体" w:hAnsi="宋体"/>
              </w:rPr>
              <w:t>3</w:t>
            </w:r>
          </w:p>
        </w:tc>
        <w:tc>
          <w:tcPr>
            <w:tcW w:w="4320" w:type="dxa"/>
            <w:tcBorders>
              <w:top w:val="single" w:color="auto" w:sz="4" w:space="0"/>
              <w:left w:val="nil"/>
              <w:bottom w:val="single" w:color="auto" w:sz="4" w:space="0"/>
              <w:right w:val="single" w:color="auto" w:sz="4" w:space="0"/>
            </w:tcBorders>
            <w:vAlign w:val="center"/>
          </w:tcPr>
          <w:p w14:paraId="6C8A9B3A">
            <w:pPr>
              <w:widowControl/>
              <w:rPr>
                <w:rFonts w:ascii="宋体" w:hAnsi="宋体"/>
              </w:rPr>
            </w:pPr>
            <w:r>
              <w:rPr>
                <w:rFonts w:hint="eastAsia" w:ascii="宋体" w:hAnsi="宋体"/>
              </w:rPr>
              <w:t>现场施工垃圾清理不及时</w:t>
            </w:r>
          </w:p>
        </w:tc>
        <w:tc>
          <w:tcPr>
            <w:tcW w:w="1410" w:type="dxa"/>
            <w:tcBorders>
              <w:top w:val="nil"/>
              <w:left w:val="nil"/>
              <w:bottom w:val="single" w:color="auto" w:sz="4" w:space="0"/>
              <w:right w:val="single" w:color="auto" w:sz="4" w:space="0"/>
            </w:tcBorders>
            <w:vAlign w:val="center"/>
          </w:tcPr>
          <w:p w14:paraId="5CF5906C">
            <w:pPr>
              <w:widowControl/>
              <w:jc w:val="left"/>
              <w:rPr>
                <w:rFonts w:ascii="宋体" w:hAnsi="宋体"/>
              </w:rPr>
            </w:pPr>
            <w:r>
              <w:rPr>
                <w:rFonts w:hint="eastAsia" w:ascii="宋体" w:hAnsi="宋体"/>
              </w:rPr>
              <w:t>限期清理</w:t>
            </w:r>
          </w:p>
        </w:tc>
        <w:tc>
          <w:tcPr>
            <w:tcW w:w="2170" w:type="dxa"/>
            <w:tcBorders>
              <w:top w:val="nil"/>
              <w:left w:val="nil"/>
              <w:bottom w:val="single" w:color="auto" w:sz="4" w:space="0"/>
              <w:right w:val="single" w:color="auto" w:sz="4" w:space="0"/>
            </w:tcBorders>
            <w:vAlign w:val="center"/>
          </w:tcPr>
          <w:p w14:paraId="5242F897">
            <w:pPr>
              <w:widowControl/>
              <w:jc w:val="left"/>
              <w:rPr>
                <w:rFonts w:ascii="宋体" w:hAnsi="宋体"/>
              </w:rPr>
            </w:pPr>
            <w:r>
              <w:rPr>
                <w:rFonts w:ascii="宋体" w:hAnsi="宋体"/>
              </w:rPr>
              <w:t>200</w:t>
            </w:r>
            <w:r>
              <w:rPr>
                <w:rFonts w:hint="eastAsia" w:ascii="宋体" w:hAnsi="宋体"/>
              </w:rPr>
              <w:t>元（每处）</w:t>
            </w:r>
            <w:r>
              <w:rPr>
                <w:rFonts w:ascii="宋体" w:hAnsi="宋体"/>
              </w:rPr>
              <w:t>/</w:t>
            </w:r>
            <w:r>
              <w:rPr>
                <w:rFonts w:hint="eastAsia" w:ascii="宋体" w:hAnsi="宋体"/>
              </w:rPr>
              <w:t>天</w:t>
            </w:r>
          </w:p>
        </w:tc>
      </w:tr>
      <w:tr w14:paraId="10B24EA8">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68934E7D">
            <w:pPr>
              <w:widowControl/>
              <w:jc w:val="left"/>
              <w:rPr>
                <w:rFonts w:ascii="宋体" w:hAnsi="宋体"/>
              </w:rPr>
            </w:pPr>
            <w:r>
              <w:rPr>
                <w:rFonts w:ascii="宋体" w:hAnsi="宋体"/>
              </w:rPr>
              <w:t>4</w:t>
            </w:r>
          </w:p>
        </w:tc>
        <w:tc>
          <w:tcPr>
            <w:tcW w:w="4320" w:type="dxa"/>
            <w:tcBorders>
              <w:top w:val="single" w:color="auto" w:sz="4" w:space="0"/>
              <w:left w:val="nil"/>
              <w:bottom w:val="single" w:color="auto" w:sz="4" w:space="0"/>
              <w:right w:val="single" w:color="auto" w:sz="4" w:space="0"/>
            </w:tcBorders>
            <w:vAlign w:val="center"/>
          </w:tcPr>
          <w:p w14:paraId="0665949B">
            <w:pPr>
              <w:widowControl/>
              <w:rPr>
                <w:rFonts w:ascii="宋体" w:hAnsi="宋体"/>
              </w:rPr>
            </w:pPr>
            <w:r>
              <w:rPr>
                <w:rFonts w:hint="eastAsia" w:ascii="宋体" w:hAnsi="宋体"/>
              </w:rPr>
              <w:t>浪费施工水源、电源</w:t>
            </w:r>
          </w:p>
        </w:tc>
        <w:tc>
          <w:tcPr>
            <w:tcW w:w="1410" w:type="dxa"/>
            <w:tcBorders>
              <w:top w:val="nil"/>
              <w:left w:val="nil"/>
              <w:bottom w:val="single" w:color="auto" w:sz="4" w:space="0"/>
              <w:right w:val="single" w:color="auto" w:sz="4" w:space="0"/>
            </w:tcBorders>
            <w:vAlign w:val="center"/>
          </w:tcPr>
          <w:p w14:paraId="4B244754">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052385F2">
            <w:pPr>
              <w:widowControl/>
              <w:jc w:val="left"/>
              <w:rPr>
                <w:rFonts w:ascii="宋体" w:hAnsi="宋体"/>
              </w:rPr>
            </w:pPr>
            <w:r>
              <w:rPr>
                <w:rFonts w:ascii="宋体" w:hAnsi="宋体"/>
              </w:rPr>
              <w:t>5000</w:t>
            </w:r>
            <w:r>
              <w:rPr>
                <w:rFonts w:hint="eastAsia" w:ascii="宋体" w:hAnsi="宋体"/>
              </w:rPr>
              <w:t>元</w:t>
            </w:r>
            <w:r>
              <w:rPr>
                <w:rFonts w:ascii="宋体" w:hAnsi="宋体"/>
              </w:rPr>
              <w:t>/</w:t>
            </w:r>
            <w:r>
              <w:rPr>
                <w:rFonts w:hint="eastAsia" w:ascii="宋体" w:hAnsi="宋体"/>
              </w:rPr>
              <w:t>次</w:t>
            </w:r>
          </w:p>
        </w:tc>
      </w:tr>
      <w:tr w14:paraId="5B044E52">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0E051A34">
            <w:pPr>
              <w:widowControl/>
              <w:jc w:val="left"/>
              <w:rPr>
                <w:rFonts w:ascii="宋体" w:hAnsi="宋体"/>
              </w:rPr>
            </w:pPr>
            <w:r>
              <w:rPr>
                <w:rFonts w:ascii="宋体" w:hAnsi="宋体"/>
              </w:rPr>
              <w:t>5</w:t>
            </w:r>
          </w:p>
        </w:tc>
        <w:tc>
          <w:tcPr>
            <w:tcW w:w="4320" w:type="dxa"/>
            <w:tcBorders>
              <w:top w:val="single" w:color="auto" w:sz="4" w:space="0"/>
              <w:left w:val="nil"/>
              <w:bottom w:val="single" w:color="auto" w:sz="4" w:space="0"/>
              <w:right w:val="single" w:color="auto" w:sz="4" w:space="0"/>
            </w:tcBorders>
            <w:vAlign w:val="center"/>
          </w:tcPr>
          <w:p w14:paraId="62602995">
            <w:pPr>
              <w:widowControl/>
              <w:rPr>
                <w:rFonts w:ascii="宋体" w:hAnsi="宋体"/>
              </w:rPr>
            </w:pPr>
            <w:r>
              <w:rPr>
                <w:rFonts w:hint="eastAsia" w:ascii="宋体" w:hAnsi="宋体"/>
              </w:rPr>
              <w:t>安全防护设施不到位</w:t>
            </w:r>
          </w:p>
        </w:tc>
        <w:tc>
          <w:tcPr>
            <w:tcW w:w="1410" w:type="dxa"/>
            <w:tcBorders>
              <w:top w:val="nil"/>
              <w:left w:val="nil"/>
              <w:bottom w:val="single" w:color="auto" w:sz="4" w:space="0"/>
              <w:right w:val="single" w:color="auto" w:sz="4" w:space="0"/>
            </w:tcBorders>
            <w:vAlign w:val="center"/>
          </w:tcPr>
          <w:p w14:paraId="49965271">
            <w:pPr>
              <w:widowControl/>
              <w:jc w:val="left"/>
              <w:rPr>
                <w:rFonts w:ascii="宋体" w:hAnsi="宋体"/>
              </w:rPr>
            </w:pPr>
            <w:r>
              <w:rPr>
                <w:rFonts w:hint="eastAsia" w:ascii="宋体" w:hAnsi="宋体"/>
              </w:rPr>
              <w:t>制止并整改</w:t>
            </w:r>
          </w:p>
        </w:tc>
        <w:tc>
          <w:tcPr>
            <w:tcW w:w="2170" w:type="dxa"/>
            <w:tcBorders>
              <w:top w:val="nil"/>
              <w:left w:val="nil"/>
              <w:bottom w:val="single" w:color="auto" w:sz="4" w:space="0"/>
              <w:right w:val="single" w:color="auto" w:sz="4" w:space="0"/>
            </w:tcBorders>
            <w:vAlign w:val="center"/>
          </w:tcPr>
          <w:p w14:paraId="4295449F">
            <w:pPr>
              <w:widowControl/>
              <w:jc w:val="left"/>
              <w:rPr>
                <w:rFonts w:ascii="宋体" w:hAnsi="宋体"/>
              </w:rPr>
            </w:pPr>
            <w:r>
              <w:rPr>
                <w:rFonts w:ascii="宋体" w:hAnsi="宋体"/>
              </w:rPr>
              <w:t>300</w:t>
            </w:r>
            <w:r>
              <w:rPr>
                <w:rFonts w:hint="eastAsia" w:ascii="宋体" w:hAnsi="宋体"/>
              </w:rPr>
              <w:t>元</w:t>
            </w:r>
            <w:r>
              <w:rPr>
                <w:rFonts w:ascii="宋体" w:hAnsi="宋体"/>
              </w:rPr>
              <w:t>/</w:t>
            </w:r>
            <w:r>
              <w:rPr>
                <w:rFonts w:hint="eastAsia" w:ascii="宋体" w:hAnsi="宋体"/>
              </w:rPr>
              <w:t>处</w:t>
            </w:r>
          </w:p>
        </w:tc>
      </w:tr>
      <w:tr w14:paraId="337A080C">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77DED9F0">
            <w:pPr>
              <w:widowControl/>
              <w:jc w:val="left"/>
              <w:rPr>
                <w:rFonts w:ascii="宋体" w:hAnsi="宋体"/>
              </w:rPr>
            </w:pPr>
            <w:r>
              <w:rPr>
                <w:rFonts w:ascii="宋体" w:hAnsi="宋体"/>
              </w:rPr>
              <w:t>6</w:t>
            </w:r>
          </w:p>
        </w:tc>
        <w:tc>
          <w:tcPr>
            <w:tcW w:w="4320" w:type="dxa"/>
            <w:tcBorders>
              <w:top w:val="single" w:color="auto" w:sz="4" w:space="0"/>
              <w:left w:val="nil"/>
              <w:bottom w:val="single" w:color="auto" w:sz="4" w:space="0"/>
              <w:right w:val="single" w:color="auto" w:sz="4" w:space="0"/>
            </w:tcBorders>
            <w:vAlign w:val="center"/>
          </w:tcPr>
          <w:p w14:paraId="22A09312">
            <w:pPr>
              <w:widowControl/>
              <w:rPr>
                <w:rFonts w:ascii="宋体" w:hAnsi="宋体"/>
              </w:rPr>
            </w:pPr>
            <w:r>
              <w:rPr>
                <w:rFonts w:hint="eastAsia" w:ascii="宋体" w:hAnsi="宋体"/>
              </w:rPr>
              <w:t>施工人员不配戴或者未正确配戴安全帽</w:t>
            </w:r>
          </w:p>
        </w:tc>
        <w:tc>
          <w:tcPr>
            <w:tcW w:w="1410" w:type="dxa"/>
            <w:tcBorders>
              <w:top w:val="nil"/>
              <w:left w:val="nil"/>
              <w:bottom w:val="single" w:color="auto" w:sz="4" w:space="0"/>
              <w:right w:val="single" w:color="auto" w:sz="4" w:space="0"/>
            </w:tcBorders>
            <w:vAlign w:val="center"/>
          </w:tcPr>
          <w:p w14:paraId="331C7138">
            <w:pPr>
              <w:widowControl/>
              <w:jc w:val="left"/>
              <w:rPr>
                <w:rFonts w:ascii="宋体" w:hAnsi="宋体"/>
              </w:rPr>
            </w:pPr>
            <w:r>
              <w:rPr>
                <w:rFonts w:hint="eastAsia" w:ascii="宋体" w:hAnsi="宋体"/>
              </w:rPr>
              <w:t>制止作业并整改</w:t>
            </w:r>
          </w:p>
        </w:tc>
        <w:tc>
          <w:tcPr>
            <w:tcW w:w="2170" w:type="dxa"/>
            <w:tcBorders>
              <w:top w:val="nil"/>
              <w:left w:val="nil"/>
              <w:bottom w:val="single" w:color="auto" w:sz="4" w:space="0"/>
              <w:right w:val="single" w:color="auto" w:sz="4" w:space="0"/>
            </w:tcBorders>
            <w:vAlign w:val="center"/>
          </w:tcPr>
          <w:p w14:paraId="5BDEB446">
            <w:pPr>
              <w:widowControl/>
              <w:jc w:val="left"/>
              <w:rPr>
                <w:rFonts w:ascii="宋体" w:hAnsi="宋体"/>
              </w:rPr>
            </w:pPr>
            <w:r>
              <w:rPr>
                <w:rFonts w:ascii="宋体" w:hAnsi="宋体"/>
              </w:rPr>
              <w:t>300</w:t>
            </w:r>
            <w:r>
              <w:rPr>
                <w:rFonts w:hint="eastAsia" w:ascii="宋体" w:hAnsi="宋体"/>
              </w:rPr>
              <w:t>元</w:t>
            </w:r>
            <w:r>
              <w:rPr>
                <w:rFonts w:ascii="宋体" w:hAnsi="宋体"/>
              </w:rPr>
              <w:t>/</w:t>
            </w:r>
            <w:r>
              <w:rPr>
                <w:rFonts w:hint="eastAsia" w:ascii="宋体" w:hAnsi="宋体"/>
              </w:rPr>
              <w:t>人</w:t>
            </w:r>
          </w:p>
        </w:tc>
      </w:tr>
      <w:tr w14:paraId="0EBFA954">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405C973F">
            <w:pPr>
              <w:widowControl/>
              <w:jc w:val="left"/>
              <w:rPr>
                <w:rFonts w:ascii="宋体" w:hAnsi="宋体"/>
              </w:rPr>
            </w:pPr>
            <w:r>
              <w:rPr>
                <w:rFonts w:ascii="宋体" w:hAnsi="宋体"/>
              </w:rPr>
              <w:t>7</w:t>
            </w:r>
          </w:p>
        </w:tc>
        <w:tc>
          <w:tcPr>
            <w:tcW w:w="4320" w:type="dxa"/>
            <w:tcBorders>
              <w:top w:val="single" w:color="auto" w:sz="4" w:space="0"/>
              <w:left w:val="nil"/>
              <w:bottom w:val="single" w:color="auto" w:sz="4" w:space="0"/>
              <w:right w:val="single" w:color="auto" w:sz="4" w:space="0"/>
            </w:tcBorders>
            <w:vAlign w:val="center"/>
          </w:tcPr>
          <w:p w14:paraId="5CF1FBBD">
            <w:pPr>
              <w:widowControl/>
              <w:rPr>
                <w:rFonts w:ascii="宋体" w:hAnsi="宋体"/>
              </w:rPr>
            </w:pPr>
            <w:r>
              <w:rPr>
                <w:rFonts w:hint="eastAsia" w:ascii="宋体" w:hAnsi="宋体"/>
              </w:rPr>
              <w:t>施工配电系统应实行三级配电两级保护；每台设备有专用开关箱且箱内严禁私拉乱接，严禁使用倒顺开关，电缆、电线采用埋地或架空铺设，严禁沿地面明设、随地拖拉或绑在脚手架上，违反以上规定的</w:t>
            </w:r>
          </w:p>
        </w:tc>
        <w:tc>
          <w:tcPr>
            <w:tcW w:w="1410" w:type="dxa"/>
            <w:tcBorders>
              <w:top w:val="nil"/>
              <w:left w:val="nil"/>
              <w:bottom w:val="single" w:color="auto" w:sz="4" w:space="0"/>
              <w:right w:val="single" w:color="auto" w:sz="4" w:space="0"/>
            </w:tcBorders>
            <w:vAlign w:val="center"/>
          </w:tcPr>
          <w:p w14:paraId="1A035747">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7F2D60E9">
            <w:pPr>
              <w:widowControl/>
              <w:jc w:val="left"/>
              <w:rPr>
                <w:rFonts w:ascii="宋体" w:hAnsi="宋体"/>
              </w:rPr>
            </w:pPr>
            <w:r>
              <w:rPr>
                <w:rFonts w:ascii="宋体" w:hAnsi="宋体"/>
              </w:rPr>
              <w:t>2000-10000</w:t>
            </w:r>
            <w:r>
              <w:rPr>
                <w:rFonts w:hint="eastAsia" w:ascii="宋体" w:hAnsi="宋体"/>
              </w:rPr>
              <w:t>元</w:t>
            </w:r>
            <w:r>
              <w:rPr>
                <w:rFonts w:ascii="宋体" w:hAnsi="宋体"/>
              </w:rPr>
              <w:t>/</w:t>
            </w:r>
            <w:r>
              <w:rPr>
                <w:rFonts w:hint="eastAsia" w:ascii="宋体" w:hAnsi="宋体"/>
              </w:rPr>
              <w:t>处</w:t>
            </w:r>
          </w:p>
        </w:tc>
      </w:tr>
      <w:tr w14:paraId="4D102B2E">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01E62DA1">
            <w:pPr>
              <w:widowControl/>
              <w:jc w:val="left"/>
              <w:rPr>
                <w:rFonts w:ascii="宋体" w:hAnsi="宋体"/>
              </w:rPr>
            </w:pPr>
            <w:r>
              <w:rPr>
                <w:rFonts w:ascii="宋体" w:hAnsi="宋体"/>
              </w:rPr>
              <w:t>8</w:t>
            </w:r>
          </w:p>
        </w:tc>
        <w:tc>
          <w:tcPr>
            <w:tcW w:w="4320" w:type="dxa"/>
            <w:tcBorders>
              <w:top w:val="single" w:color="auto" w:sz="4" w:space="0"/>
              <w:left w:val="nil"/>
              <w:bottom w:val="single" w:color="auto" w:sz="4" w:space="0"/>
              <w:right w:val="single" w:color="auto" w:sz="4" w:space="0"/>
            </w:tcBorders>
            <w:vAlign w:val="center"/>
          </w:tcPr>
          <w:p w14:paraId="0AE1D71C">
            <w:pPr>
              <w:widowControl/>
              <w:rPr>
                <w:rFonts w:ascii="宋体" w:hAnsi="宋体"/>
              </w:rPr>
            </w:pPr>
            <w:r>
              <w:rPr>
                <w:rFonts w:hint="eastAsia" w:ascii="宋体" w:hAnsi="宋体"/>
              </w:rPr>
              <w:t>在政府部门或集团公司的检查中受到通报批评</w:t>
            </w:r>
          </w:p>
        </w:tc>
        <w:tc>
          <w:tcPr>
            <w:tcW w:w="1410" w:type="dxa"/>
            <w:tcBorders>
              <w:top w:val="nil"/>
              <w:left w:val="nil"/>
              <w:bottom w:val="single" w:color="auto" w:sz="4" w:space="0"/>
              <w:right w:val="single" w:color="auto" w:sz="4" w:space="0"/>
            </w:tcBorders>
            <w:vAlign w:val="center"/>
          </w:tcPr>
          <w:p w14:paraId="6B30A235">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7B0FB674">
            <w:pPr>
              <w:widowControl/>
              <w:jc w:val="left"/>
              <w:rPr>
                <w:rFonts w:ascii="宋体" w:hAnsi="宋体"/>
              </w:rPr>
            </w:pPr>
            <w:r>
              <w:rPr>
                <w:rFonts w:ascii="宋体" w:hAnsi="宋体"/>
              </w:rPr>
              <w:t>10000-30000</w:t>
            </w:r>
            <w:r>
              <w:rPr>
                <w:rFonts w:hint="eastAsia" w:ascii="宋体" w:hAnsi="宋体"/>
              </w:rPr>
              <w:t>元</w:t>
            </w:r>
            <w:r>
              <w:rPr>
                <w:rFonts w:ascii="宋体" w:hAnsi="宋体"/>
              </w:rPr>
              <w:t>/</w:t>
            </w:r>
            <w:r>
              <w:rPr>
                <w:rFonts w:hint="eastAsia" w:ascii="宋体" w:hAnsi="宋体"/>
              </w:rPr>
              <w:t>次</w:t>
            </w:r>
          </w:p>
        </w:tc>
      </w:tr>
      <w:tr w14:paraId="42210185">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2A2B7BAC">
            <w:pPr>
              <w:widowControl/>
              <w:jc w:val="left"/>
              <w:rPr>
                <w:rFonts w:ascii="宋体" w:hAnsi="宋体"/>
              </w:rPr>
            </w:pPr>
            <w:r>
              <w:rPr>
                <w:rFonts w:ascii="宋体" w:hAnsi="宋体"/>
              </w:rPr>
              <w:t>9</w:t>
            </w:r>
          </w:p>
        </w:tc>
        <w:tc>
          <w:tcPr>
            <w:tcW w:w="4320" w:type="dxa"/>
            <w:tcBorders>
              <w:top w:val="single" w:color="auto" w:sz="4" w:space="0"/>
              <w:left w:val="nil"/>
              <w:bottom w:val="single" w:color="auto" w:sz="4" w:space="0"/>
              <w:right w:val="single" w:color="auto" w:sz="4" w:space="0"/>
            </w:tcBorders>
            <w:vAlign w:val="center"/>
          </w:tcPr>
          <w:p w14:paraId="251E2730">
            <w:pPr>
              <w:widowControl/>
              <w:rPr>
                <w:rFonts w:ascii="宋体" w:hAnsi="宋体"/>
              </w:rPr>
            </w:pPr>
            <w:r>
              <w:rPr>
                <w:rFonts w:hint="eastAsia" w:ascii="宋体" w:hAnsi="宋体"/>
              </w:rPr>
              <w:t>出现重大安全事故，影响工程正常进行</w:t>
            </w:r>
          </w:p>
        </w:tc>
        <w:tc>
          <w:tcPr>
            <w:tcW w:w="1410" w:type="dxa"/>
            <w:tcBorders>
              <w:top w:val="nil"/>
              <w:left w:val="nil"/>
              <w:bottom w:val="single" w:color="auto" w:sz="4" w:space="0"/>
              <w:right w:val="single" w:color="auto" w:sz="4" w:space="0"/>
            </w:tcBorders>
            <w:vAlign w:val="center"/>
          </w:tcPr>
          <w:p w14:paraId="3C5D8644">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36EBA36F">
            <w:pPr>
              <w:widowControl/>
              <w:jc w:val="left"/>
              <w:rPr>
                <w:rFonts w:ascii="宋体" w:hAnsi="宋体"/>
              </w:rPr>
            </w:pPr>
            <w:r>
              <w:rPr>
                <w:rFonts w:ascii="宋体" w:hAnsi="宋体"/>
              </w:rPr>
              <w:t>50000-100000</w:t>
            </w:r>
            <w:r>
              <w:rPr>
                <w:rFonts w:hint="eastAsia" w:ascii="宋体" w:hAnsi="宋体"/>
              </w:rPr>
              <w:t>元</w:t>
            </w:r>
            <w:r>
              <w:rPr>
                <w:rFonts w:ascii="宋体" w:hAnsi="宋体"/>
              </w:rPr>
              <w:t>/</w:t>
            </w:r>
            <w:r>
              <w:rPr>
                <w:rFonts w:hint="eastAsia" w:ascii="宋体" w:hAnsi="宋体"/>
              </w:rPr>
              <w:t>次</w:t>
            </w:r>
          </w:p>
        </w:tc>
      </w:tr>
      <w:tr w14:paraId="3FAF1BD6">
        <w:tblPrEx>
          <w:tblCellMar>
            <w:top w:w="0" w:type="dxa"/>
            <w:left w:w="108" w:type="dxa"/>
            <w:bottom w:w="0" w:type="dxa"/>
            <w:right w:w="108" w:type="dxa"/>
          </w:tblCellMar>
        </w:tblPrEx>
        <w:trPr>
          <w:trHeight w:val="885" w:hRule="atLeast"/>
        </w:trPr>
        <w:tc>
          <w:tcPr>
            <w:tcW w:w="426" w:type="dxa"/>
            <w:tcBorders>
              <w:top w:val="nil"/>
              <w:left w:val="single" w:color="auto" w:sz="4" w:space="0"/>
              <w:bottom w:val="single" w:color="auto" w:sz="4" w:space="0"/>
              <w:right w:val="single" w:color="auto" w:sz="4" w:space="0"/>
            </w:tcBorders>
            <w:vAlign w:val="center"/>
          </w:tcPr>
          <w:p w14:paraId="08AB109D">
            <w:pPr>
              <w:widowControl/>
              <w:jc w:val="left"/>
              <w:rPr>
                <w:rFonts w:ascii="宋体" w:hAnsi="宋体"/>
              </w:rPr>
            </w:pPr>
            <w:r>
              <w:rPr>
                <w:rFonts w:ascii="宋体" w:hAnsi="宋体"/>
              </w:rPr>
              <w:t>10</w:t>
            </w:r>
          </w:p>
        </w:tc>
        <w:tc>
          <w:tcPr>
            <w:tcW w:w="4320" w:type="dxa"/>
            <w:tcBorders>
              <w:top w:val="single" w:color="auto" w:sz="4" w:space="0"/>
              <w:left w:val="nil"/>
              <w:bottom w:val="single" w:color="auto" w:sz="4" w:space="0"/>
              <w:right w:val="single" w:color="000000" w:sz="4" w:space="0"/>
            </w:tcBorders>
            <w:vAlign w:val="center"/>
          </w:tcPr>
          <w:p w14:paraId="344C2B6E">
            <w:pPr>
              <w:widowControl/>
              <w:jc w:val="left"/>
              <w:rPr>
                <w:rFonts w:ascii="宋体" w:hAnsi="宋体"/>
              </w:rPr>
            </w:pPr>
            <w:r>
              <w:rPr>
                <w:rFonts w:hint="eastAsia" w:ascii="宋体" w:hAnsi="宋体"/>
              </w:rPr>
              <w:t>现场存在重大安全隐患或出现重大伤亡安全事故或政府职能部门责令停工整顿的</w:t>
            </w:r>
          </w:p>
        </w:tc>
        <w:tc>
          <w:tcPr>
            <w:tcW w:w="1410" w:type="dxa"/>
            <w:tcBorders>
              <w:top w:val="nil"/>
              <w:left w:val="nil"/>
              <w:bottom w:val="single" w:color="auto" w:sz="4" w:space="0"/>
              <w:right w:val="single" w:color="auto" w:sz="4" w:space="0"/>
            </w:tcBorders>
            <w:vAlign w:val="center"/>
          </w:tcPr>
          <w:p w14:paraId="3B500DBA">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6A9EFFE6">
            <w:pPr>
              <w:widowControl/>
              <w:jc w:val="left"/>
              <w:rPr>
                <w:rFonts w:ascii="宋体" w:hAnsi="宋体"/>
              </w:rPr>
            </w:pPr>
            <w:r>
              <w:rPr>
                <w:rFonts w:ascii="宋体" w:hAnsi="宋体"/>
              </w:rPr>
              <w:t>100000</w:t>
            </w:r>
            <w:r>
              <w:rPr>
                <w:rFonts w:hint="eastAsia" w:ascii="宋体" w:hAnsi="宋体"/>
              </w:rPr>
              <w:t>—</w:t>
            </w:r>
            <w:r>
              <w:rPr>
                <w:rFonts w:ascii="宋体" w:hAnsi="宋体"/>
              </w:rPr>
              <w:t>200000</w:t>
            </w:r>
            <w:r>
              <w:rPr>
                <w:rFonts w:hint="eastAsia" w:ascii="宋体" w:hAnsi="宋体"/>
              </w:rPr>
              <w:t>元</w:t>
            </w:r>
            <w:r>
              <w:rPr>
                <w:rFonts w:ascii="宋体" w:hAnsi="宋体"/>
              </w:rPr>
              <w:t>/</w:t>
            </w:r>
            <w:r>
              <w:rPr>
                <w:rFonts w:hint="eastAsia" w:ascii="宋体" w:hAnsi="宋体"/>
              </w:rPr>
              <w:t>次</w:t>
            </w:r>
          </w:p>
        </w:tc>
      </w:tr>
      <w:tr w14:paraId="61C31952">
        <w:tblPrEx>
          <w:tblCellMar>
            <w:top w:w="0" w:type="dxa"/>
            <w:left w:w="108" w:type="dxa"/>
            <w:bottom w:w="0" w:type="dxa"/>
            <w:right w:w="108" w:type="dxa"/>
          </w:tblCellMar>
        </w:tblPrEx>
        <w:trPr>
          <w:trHeight w:val="795" w:hRule="atLeast"/>
        </w:trPr>
        <w:tc>
          <w:tcPr>
            <w:tcW w:w="426" w:type="dxa"/>
            <w:tcBorders>
              <w:top w:val="nil"/>
              <w:left w:val="single" w:color="auto" w:sz="4" w:space="0"/>
              <w:bottom w:val="single" w:color="auto" w:sz="4" w:space="0"/>
              <w:right w:val="single" w:color="auto" w:sz="4" w:space="0"/>
            </w:tcBorders>
            <w:vAlign w:val="center"/>
          </w:tcPr>
          <w:p w14:paraId="4DB7051E">
            <w:pPr>
              <w:widowControl/>
              <w:jc w:val="left"/>
              <w:rPr>
                <w:rFonts w:ascii="宋体" w:hAnsi="宋体"/>
              </w:rPr>
            </w:pPr>
            <w:r>
              <w:rPr>
                <w:rFonts w:ascii="宋体" w:hAnsi="宋体"/>
              </w:rPr>
              <w:t>11</w:t>
            </w:r>
          </w:p>
        </w:tc>
        <w:tc>
          <w:tcPr>
            <w:tcW w:w="4320" w:type="dxa"/>
            <w:tcBorders>
              <w:top w:val="single" w:color="auto" w:sz="4" w:space="0"/>
              <w:left w:val="nil"/>
              <w:bottom w:val="single" w:color="auto" w:sz="4" w:space="0"/>
              <w:right w:val="single" w:color="000000" w:sz="4" w:space="0"/>
            </w:tcBorders>
            <w:vAlign w:val="center"/>
          </w:tcPr>
          <w:p w14:paraId="00859124">
            <w:pPr>
              <w:widowControl/>
              <w:jc w:val="left"/>
              <w:rPr>
                <w:rFonts w:ascii="宋体" w:hAnsi="宋体"/>
              </w:rPr>
            </w:pPr>
            <w:r>
              <w:rPr>
                <w:rFonts w:hint="eastAsia" w:ascii="宋体" w:hAnsi="宋体"/>
              </w:rPr>
              <w:t>现场存在重大安全隐患或出现重大伤亡安全事故或政府职能部门责令停工整顿的，隐瞒情况不上报的</w:t>
            </w:r>
          </w:p>
        </w:tc>
        <w:tc>
          <w:tcPr>
            <w:tcW w:w="1410" w:type="dxa"/>
            <w:tcBorders>
              <w:top w:val="nil"/>
              <w:left w:val="nil"/>
              <w:bottom w:val="single" w:color="auto" w:sz="4" w:space="0"/>
              <w:right w:val="single" w:color="auto" w:sz="4" w:space="0"/>
            </w:tcBorders>
            <w:vAlign w:val="center"/>
          </w:tcPr>
          <w:p w14:paraId="261854B5">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427BB502">
            <w:pPr>
              <w:widowControl/>
              <w:jc w:val="left"/>
              <w:rPr>
                <w:rFonts w:ascii="宋体" w:hAnsi="宋体"/>
              </w:rPr>
            </w:pPr>
            <w:r>
              <w:rPr>
                <w:rFonts w:ascii="宋体" w:hAnsi="宋体"/>
              </w:rPr>
              <w:t>200000</w:t>
            </w:r>
            <w:r>
              <w:rPr>
                <w:rFonts w:hint="eastAsia" w:ascii="宋体" w:hAnsi="宋体"/>
              </w:rPr>
              <w:t>元</w:t>
            </w:r>
            <w:r>
              <w:rPr>
                <w:rFonts w:ascii="宋体" w:hAnsi="宋体"/>
              </w:rPr>
              <w:t>/</w:t>
            </w:r>
            <w:r>
              <w:rPr>
                <w:rFonts w:hint="eastAsia" w:ascii="宋体" w:hAnsi="宋体"/>
              </w:rPr>
              <w:t>次</w:t>
            </w:r>
          </w:p>
        </w:tc>
      </w:tr>
      <w:tr w14:paraId="69F3D260">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1180465E">
            <w:pPr>
              <w:widowControl/>
              <w:jc w:val="left"/>
              <w:rPr>
                <w:rFonts w:ascii="宋体" w:hAnsi="宋体"/>
              </w:rPr>
            </w:pPr>
            <w:r>
              <w:rPr>
                <w:rFonts w:ascii="宋体" w:hAnsi="宋体"/>
              </w:rPr>
              <w:t>12</w:t>
            </w:r>
          </w:p>
        </w:tc>
        <w:tc>
          <w:tcPr>
            <w:tcW w:w="4320" w:type="dxa"/>
            <w:tcBorders>
              <w:top w:val="single" w:color="auto" w:sz="4" w:space="0"/>
              <w:left w:val="nil"/>
              <w:bottom w:val="single" w:color="auto" w:sz="4" w:space="0"/>
              <w:right w:val="single" w:color="auto" w:sz="4" w:space="0"/>
            </w:tcBorders>
            <w:vAlign w:val="center"/>
          </w:tcPr>
          <w:p w14:paraId="15FADD0B">
            <w:pPr>
              <w:widowControl/>
              <w:rPr>
                <w:rFonts w:ascii="宋体" w:hAnsi="宋体"/>
              </w:rPr>
            </w:pPr>
            <w:r>
              <w:rPr>
                <w:rFonts w:hint="eastAsia" w:ascii="宋体" w:hAnsi="宋体"/>
              </w:rPr>
              <w:t>未达到合同约定的安全文明施工目标</w:t>
            </w:r>
          </w:p>
        </w:tc>
        <w:tc>
          <w:tcPr>
            <w:tcW w:w="1410" w:type="dxa"/>
            <w:tcBorders>
              <w:top w:val="nil"/>
              <w:left w:val="nil"/>
              <w:bottom w:val="single" w:color="auto" w:sz="4" w:space="0"/>
              <w:right w:val="single" w:color="auto" w:sz="4" w:space="0"/>
            </w:tcBorders>
            <w:vAlign w:val="center"/>
          </w:tcPr>
          <w:p w14:paraId="366762F2">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0BA546DC">
            <w:pPr>
              <w:widowControl/>
              <w:jc w:val="left"/>
              <w:rPr>
                <w:rFonts w:ascii="宋体" w:hAnsi="宋体"/>
              </w:rPr>
            </w:pPr>
            <w:r>
              <w:rPr>
                <w:rFonts w:ascii="宋体" w:hAnsi="宋体"/>
              </w:rPr>
              <w:t>20000</w:t>
            </w:r>
            <w:r>
              <w:rPr>
                <w:rFonts w:hint="eastAsia" w:ascii="宋体" w:hAnsi="宋体"/>
              </w:rPr>
              <w:t>元</w:t>
            </w:r>
            <w:r>
              <w:rPr>
                <w:rFonts w:ascii="宋体" w:hAnsi="宋体"/>
              </w:rPr>
              <w:t>/</w:t>
            </w:r>
            <w:r>
              <w:rPr>
                <w:rFonts w:hint="eastAsia" w:ascii="宋体" w:hAnsi="宋体"/>
              </w:rPr>
              <w:t>次</w:t>
            </w:r>
          </w:p>
        </w:tc>
      </w:tr>
      <w:tr w14:paraId="01921252">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0F37F91C">
            <w:pPr>
              <w:widowControl/>
              <w:jc w:val="left"/>
              <w:rPr>
                <w:rFonts w:ascii="宋体" w:hAnsi="宋体"/>
              </w:rPr>
            </w:pPr>
            <w:r>
              <w:rPr>
                <w:rFonts w:ascii="宋体" w:hAnsi="宋体"/>
              </w:rPr>
              <w:t>13</w:t>
            </w:r>
          </w:p>
        </w:tc>
        <w:tc>
          <w:tcPr>
            <w:tcW w:w="4320" w:type="dxa"/>
            <w:tcBorders>
              <w:top w:val="single" w:color="auto" w:sz="4" w:space="0"/>
              <w:left w:val="nil"/>
              <w:bottom w:val="single" w:color="auto" w:sz="4" w:space="0"/>
              <w:right w:val="single" w:color="auto" w:sz="4" w:space="0"/>
            </w:tcBorders>
            <w:vAlign w:val="center"/>
          </w:tcPr>
          <w:p w14:paraId="61C376BF">
            <w:pPr>
              <w:widowControl/>
              <w:rPr>
                <w:rFonts w:ascii="宋体" w:hAnsi="宋体"/>
              </w:rPr>
            </w:pPr>
            <w:r>
              <w:rPr>
                <w:rFonts w:hint="eastAsia" w:ascii="宋体" w:hAnsi="宋体"/>
              </w:rPr>
              <w:t>工人及管理人员现场不在指定区域抽烟</w:t>
            </w:r>
          </w:p>
        </w:tc>
        <w:tc>
          <w:tcPr>
            <w:tcW w:w="1410" w:type="dxa"/>
            <w:tcBorders>
              <w:top w:val="nil"/>
              <w:left w:val="nil"/>
              <w:bottom w:val="single" w:color="auto" w:sz="4" w:space="0"/>
              <w:right w:val="single" w:color="auto" w:sz="4" w:space="0"/>
            </w:tcBorders>
            <w:vAlign w:val="center"/>
          </w:tcPr>
          <w:p w14:paraId="593F97B6">
            <w:pPr>
              <w:widowControl/>
              <w:jc w:val="left"/>
              <w:rPr>
                <w:rFonts w:ascii="宋体" w:hAnsi="宋体"/>
              </w:rPr>
            </w:pPr>
            <w:r>
              <w:rPr>
                <w:rFonts w:hint="eastAsia" w:ascii="宋体" w:hAnsi="宋体"/>
              </w:rPr>
              <w:t>制止并整改</w:t>
            </w:r>
          </w:p>
        </w:tc>
        <w:tc>
          <w:tcPr>
            <w:tcW w:w="2170" w:type="dxa"/>
            <w:tcBorders>
              <w:top w:val="nil"/>
              <w:left w:val="nil"/>
              <w:bottom w:val="single" w:color="auto" w:sz="4" w:space="0"/>
              <w:right w:val="single" w:color="auto" w:sz="4" w:space="0"/>
            </w:tcBorders>
            <w:vAlign w:val="center"/>
          </w:tcPr>
          <w:p w14:paraId="57EDE85F">
            <w:pPr>
              <w:widowControl/>
              <w:jc w:val="left"/>
              <w:rPr>
                <w:rFonts w:ascii="宋体" w:hAnsi="宋体"/>
              </w:rPr>
            </w:pPr>
            <w:r>
              <w:rPr>
                <w:rFonts w:ascii="宋体" w:hAnsi="宋体"/>
              </w:rPr>
              <w:t>200</w:t>
            </w:r>
            <w:r>
              <w:rPr>
                <w:rFonts w:hint="eastAsia" w:ascii="宋体" w:hAnsi="宋体"/>
              </w:rPr>
              <w:t>元</w:t>
            </w:r>
            <w:r>
              <w:rPr>
                <w:rFonts w:ascii="宋体" w:hAnsi="宋体"/>
              </w:rPr>
              <w:t>/</w:t>
            </w:r>
            <w:r>
              <w:rPr>
                <w:rFonts w:hint="eastAsia" w:ascii="宋体" w:hAnsi="宋体"/>
              </w:rPr>
              <w:t>人</w:t>
            </w:r>
          </w:p>
        </w:tc>
      </w:tr>
      <w:tr w14:paraId="44B61507">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52F4DF41">
            <w:pPr>
              <w:widowControl/>
              <w:jc w:val="left"/>
              <w:rPr>
                <w:rFonts w:ascii="宋体" w:hAnsi="宋体"/>
              </w:rPr>
            </w:pPr>
            <w:r>
              <w:rPr>
                <w:rFonts w:ascii="宋体" w:hAnsi="宋体"/>
              </w:rPr>
              <w:t>14</w:t>
            </w:r>
          </w:p>
        </w:tc>
        <w:tc>
          <w:tcPr>
            <w:tcW w:w="4320" w:type="dxa"/>
            <w:tcBorders>
              <w:top w:val="single" w:color="auto" w:sz="4" w:space="0"/>
              <w:left w:val="nil"/>
              <w:bottom w:val="single" w:color="auto" w:sz="4" w:space="0"/>
              <w:right w:val="single" w:color="auto" w:sz="4" w:space="0"/>
            </w:tcBorders>
            <w:vAlign w:val="center"/>
          </w:tcPr>
          <w:p w14:paraId="3A6A112E">
            <w:pPr>
              <w:widowControl/>
              <w:rPr>
                <w:rFonts w:ascii="宋体" w:hAnsi="宋体"/>
              </w:rPr>
            </w:pPr>
            <w:r>
              <w:rPr>
                <w:rFonts w:hint="eastAsia" w:ascii="宋体" w:hAnsi="宋体"/>
              </w:rPr>
              <w:t>高空作业未按要求正确佩戴或未使用安全带</w:t>
            </w:r>
          </w:p>
        </w:tc>
        <w:tc>
          <w:tcPr>
            <w:tcW w:w="1410" w:type="dxa"/>
            <w:tcBorders>
              <w:top w:val="nil"/>
              <w:left w:val="nil"/>
              <w:bottom w:val="single" w:color="auto" w:sz="4" w:space="0"/>
              <w:right w:val="single" w:color="auto" w:sz="4" w:space="0"/>
            </w:tcBorders>
            <w:vAlign w:val="center"/>
          </w:tcPr>
          <w:p w14:paraId="5DE5617D">
            <w:pPr>
              <w:widowControl/>
              <w:jc w:val="left"/>
              <w:rPr>
                <w:rFonts w:ascii="宋体" w:hAnsi="宋体"/>
              </w:rPr>
            </w:pPr>
            <w:r>
              <w:rPr>
                <w:rFonts w:hint="eastAsia" w:ascii="宋体" w:hAnsi="宋体"/>
              </w:rPr>
              <w:t>制止作业并整改</w:t>
            </w:r>
          </w:p>
        </w:tc>
        <w:tc>
          <w:tcPr>
            <w:tcW w:w="2170" w:type="dxa"/>
            <w:tcBorders>
              <w:top w:val="nil"/>
              <w:left w:val="nil"/>
              <w:bottom w:val="single" w:color="auto" w:sz="4" w:space="0"/>
              <w:right w:val="single" w:color="auto" w:sz="4" w:space="0"/>
            </w:tcBorders>
            <w:vAlign w:val="center"/>
          </w:tcPr>
          <w:p w14:paraId="33EA9494">
            <w:pPr>
              <w:widowControl/>
              <w:jc w:val="left"/>
              <w:rPr>
                <w:rFonts w:ascii="宋体" w:hAnsi="宋体"/>
              </w:rPr>
            </w:pPr>
            <w:r>
              <w:rPr>
                <w:rFonts w:ascii="宋体" w:hAnsi="宋体"/>
              </w:rPr>
              <w:t>5000</w:t>
            </w:r>
            <w:r>
              <w:rPr>
                <w:rFonts w:hint="eastAsia" w:ascii="宋体" w:hAnsi="宋体"/>
              </w:rPr>
              <w:t>元</w:t>
            </w:r>
            <w:r>
              <w:rPr>
                <w:rFonts w:ascii="宋体" w:hAnsi="宋体"/>
              </w:rPr>
              <w:t>/</w:t>
            </w:r>
            <w:r>
              <w:rPr>
                <w:rFonts w:hint="eastAsia" w:ascii="宋体" w:hAnsi="宋体"/>
              </w:rPr>
              <w:t>人</w:t>
            </w:r>
          </w:p>
        </w:tc>
      </w:tr>
      <w:tr w14:paraId="3AD7FE19">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64877275">
            <w:pPr>
              <w:widowControl/>
              <w:jc w:val="left"/>
              <w:rPr>
                <w:rFonts w:ascii="宋体" w:hAnsi="宋体"/>
              </w:rPr>
            </w:pPr>
            <w:r>
              <w:rPr>
                <w:rFonts w:ascii="宋体" w:hAnsi="宋体"/>
              </w:rPr>
              <w:t>15</w:t>
            </w:r>
          </w:p>
        </w:tc>
        <w:tc>
          <w:tcPr>
            <w:tcW w:w="4320" w:type="dxa"/>
            <w:tcBorders>
              <w:top w:val="single" w:color="auto" w:sz="4" w:space="0"/>
              <w:left w:val="nil"/>
              <w:bottom w:val="single" w:color="auto" w:sz="4" w:space="0"/>
              <w:right w:val="single" w:color="auto" w:sz="4" w:space="0"/>
            </w:tcBorders>
            <w:vAlign w:val="center"/>
          </w:tcPr>
          <w:p w14:paraId="4CB8F153">
            <w:pPr>
              <w:widowControl/>
              <w:rPr>
                <w:rFonts w:ascii="宋体" w:hAnsi="宋体"/>
              </w:rPr>
            </w:pPr>
            <w:r>
              <w:rPr>
                <w:rFonts w:hint="eastAsia" w:ascii="宋体" w:hAnsi="宋体"/>
              </w:rPr>
              <w:t>工程完成时及移交发包人前，承包人进行全面的清理、清洁工作，做到工完场清，如未完成</w:t>
            </w:r>
          </w:p>
        </w:tc>
        <w:tc>
          <w:tcPr>
            <w:tcW w:w="1410" w:type="dxa"/>
            <w:tcBorders>
              <w:top w:val="nil"/>
              <w:left w:val="nil"/>
              <w:bottom w:val="single" w:color="auto" w:sz="4" w:space="0"/>
              <w:right w:val="single" w:color="auto" w:sz="4" w:space="0"/>
            </w:tcBorders>
            <w:vAlign w:val="center"/>
          </w:tcPr>
          <w:p w14:paraId="1D11CC68">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2D42DB3E">
            <w:pPr>
              <w:widowControl/>
              <w:jc w:val="left"/>
              <w:rPr>
                <w:rFonts w:ascii="宋体" w:hAnsi="宋体"/>
              </w:rPr>
            </w:pPr>
            <w:r>
              <w:rPr>
                <w:rFonts w:ascii="宋体" w:hAnsi="宋体"/>
              </w:rPr>
              <w:t>2000</w:t>
            </w:r>
            <w:r>
              <w:rPr>
                <w:rFonts w:hint="eastAsia" w:ascii="宋体" w:hAnsi="宋体"/>
              </w:rPr>
              <w:t>元</w:t>
            </w:r>
            <w:r>
              <w:rPr>
                <w:rFonts w:ascii="宋体" w:hAnsi="宋体"/>
              </w:rPr>
              <w:t>/</w:t>
            </w:r>
            <w:r>
              <w:rPr>
                <w:rFonts w:hint="eastAsia" w:ascii="宋体" w:hAnsi="宋体"/>
              </w:rPr>
              <w:t>天</w:t>
            </w:r>
          </w:p>
        </w:tc>
      </w:tr>
      <w:tr w14:paraId="180891B5">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2FEABBA2">
            <w:pPr>
              <w:widowControl/>
              <w:jc w:val="left"/>
              <w:rPr>
                <w:rFonts w:ascii="宋体" w:hAnsi="宋体"/>
              </w:rPr>
            </w:pPr>
            <w:r>
              <w:rPr>
                <w:rFonts w:hint="eastAsia" w:ascii="宋体" w:hAnsi="宋体"/>
              </w:rPr>
              <w:t>四</w:t>
            </w:r>
          </w:p>
        </w:tc>
        <w:tc>
          <w:tcPr>
            <w:tcW w:w="4320" w:type="dxa"/>
            <w:tcBorders>
              <w:top w:val="single" w:color="auto" w:sz="4" w:space="0"/>
              <w:left w:val="nil"/>
              <w:bottom w:val="single" w:color="auto" w:sz="4" w:space="0"/>
              <w:right w:val="single" w:color="auto" w:sz="4" w:space="0"/>
            </w:tcBorders>
            <w:vAlign w:val="center"/>
          </w:tcPr>
          <w:p w14:paraId="706F6A17">
            <w:pPr>
              <w:widowControl/>
              <w:rPr>
                <w:rFonts w:ascii="宋体" w:hAnsi="宋体"/>
              </w:rPr>
            </w:pPr>
            <w:r>
              <w:rPr>
                <w:rFonts w:hint="eastAsia" w:ascii="宋体" w:hAnsi="宋体"/>
              </w:rPr>
              <w:t>工程技术能力</w:t>
            </w:r>
          </w:p>
        </w:tc>
        <w:tc>
          <w:tcPr>
            <w:tcW w:w="1410" w:type="dxa"/>
            <w:tcBorders>
              <w:top w:val="nil"/>
              <w:left w:val="nil"/>
              <w:bottom w:val="single" w:color="auto" w:sz="4" w:space="0"/>
              <w:right w:val="single" w:color="auto" w:sz="4" w:space="0"/>
            </w:tcBorders>
            <w:vAlign w:val="center"/>
          </w:tcPr>
          <w:p w14:paraId="7BC7E2EC">
            <w:pPr>
              <w:widowControl/>
              <w:jc w:val="left"/>
              <w:rPr>
                <w:rFonts w:ascii="宋体" w:hAnsi="宋体"/>
              </w:rPr>
            </w:pPr>
          </w:p>
        </w:tc>
        <w:tc>
          <w:tcPr>
            <w:tcW w:w="2170" w:type="dxa"/>
            <w:tcBorders>
              <w:top w:val="nil"/>
              <w:left w:val="nil"/>
              <w:bottom w:val="single" w:color="auto" w:sz="4" w:space="0"/>
              <w:right w:val="single" w:color="auto" w:sz="4" w:space="0"/>
            </w:tcBorders>
            <w:vAlign w:val="center"/>
          </w:tcPr>
          <w:p w14:paraId="681345E1">
            <w:pPr>
              <w:widowControl/>
              <w:jc w:val="left"/>
              <w:rPr>
                <w:rFonts w:ascii="宋体" w:hAnsi="宋体"/>
              </w:rPr>
            </w:pPr>
            <w:r>
              <w:rPr>
                <w:rFonts w:hint="eastAsia" w:ascii="宋体" w:hAnsi="宋体"/>
              </w:rPr>
              <w:t>　</w:t>
            </w:r>
          </w:p>
        </w:tc>
      </w:tr>
      <w:tr w14:paraId="73484B60">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056608E9">
            <w:pPr>
              <w:widowControl/>
              <w:jc w:val="left"/>
              <w:rPr>
                <w:rFonts w:ascii="宋体" w:hAnsi="宋体"/>
              </w:rPr>
            </w:pPr>
            <w:r>
              <w:rPr>
                <w:rFonts w:ascii="宋体" w:hAnsi="宋体"/>
              </w:rPr>
              <w:t>1</w:t>
            </w:r>
          </w:p>
        </w:tc>
        <w:tc>
          <w:tcPr>
            <w:tcW w:w="4320" w:type="dxa"/>
            <w:tcBorders>
              <w:top w:val="single" w:color="auto" w:sz="4" w:space="0"/>
              <w:left w:val="nil"/>
              <w:bottom w:val="single" w:color="auto" w:sz="4" w:space="0"/>
              <w:right w:val="single" w:color="auto" w:sz="4" w:space="0"/>
            </w:tcBorders>
            <w:vAlign w:val="center"/>
          </w:tcPr>
          <w:p w14:paraId="7C2DAA7F">
            <w:pPr>
              <w:widowControl/>
              <w:rPr>
                <w:rFonts w:ascii="宋体" w:hAnsi="宋体"/>
              </w:rPr>
            </w:pPr>
            <w:r>
              <w:rPr>
                <w:rFonts w:hint="eastAsia" w:ascii="宋体" w:hAnsi="宋体"/>
              </w:rPr>
              <w:t>未按施工方案编制计划完成各种方案编制</w:t>
            </w:r>
          </w:p>
        </w:tc>
        <w:tc>
          <w:tcPr>
            <w:tcW w:w="1410" w:type="dxa"/>
            <w:tcBorders>
              <w:top w:val="nil"/>
              <w:left w:val="nil"/>
              <w:bottom w:val="single" w:color="auto" w:sz="4" w:space="0"/>
              <w:right w:val="single" w:color="auto" w:sz="4" w:space="0"/>
            </w:tcBorders>
            <w:vAlign w:val="center"/>
          </w:tcPr>
          <w:p w14:paraId="6C7C0987">
            <w:pPr>
              <w:widowControl/>
              <w:jc w:val="left"/>
              <w:rPr>
                <w:rFonts w:ascii="宋体" w:hAnsi="宋体"/>
              </w:rPr>
            </w:pPr>
            <w:r>
              <w:rPr>
                <w:rFonts w:hint="eastAsia" w:ascii="宋体" w:hAnsi="宋体"/>
              </w:rPr>
              <w:t>限期完成</w:t>
            </w:r>
          </w:p>
        </w:tc>
        <w:tc>
          <w:tcPr>
            <w:tcW w:w="2170" w:type="dxa"/>
            <w:tcBorders>
              <w:top w:val="nil"/>
              <w:left w:val="nil"/>
              <w:bottom w:val="single" w:color="auto" w:sz="4" w:space="0"/>
              <w:right w:val="single" w:color="auto" w:sz="4" w:space="0"/>
            </w:tcBorders>
            <w:vAlign w:val="center"/>
          </w:tcPr>
          <w:p w14:paraId="4D92614B">
            <w:pPr>
              <w:widowControl/>
              <w:jc w:val="left"/>
              <w:rPr>
                <w:rFonts w:ascii="宋体" w:hAnsi="宋体"/>
              </w:rPr>
            </w:pPr>
            <w:r>
              <w:rPr>
                <w:rFonts w:ascii="宋体" w:hAnsi="宋体"/>
              </w:rPr>
              <w:t>500</w:t>
            </w:r>
            <w:r>
              <w:rPr>
                <w:rFonts w:hint="eastAsia" w:ascii="宋体" w:hAnsi="宋体"/>
              </w:rPr>
              <w:t>元</w:t>
            </w:r>
            <w:r>
              <w:rPr>
                <w:rFonts w:ascii="宋体" w:hAnsi="宋体"/>
              </w:rPr>
              <w:t>/</w:t>
            </w:r>
            <w:r>
              <w:rPr>
                <w:rFonts w:hint="eastAsia" w:ascii="宋体" w:hAnsi="宋体"/>
              </w:rPr>
              <w:t>次</w:t>
            </w:r>
          </w:p>
        </w:tc>
      </w:tr>
      <w:tr w14:paraId="69FDE5E4">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0E9790E3">
            <w:pPr>
              <w:widowControl/>
              <w:jc w:val="left"/>
              <w:rPr>
                <w:rFonts w:ascii="宋体" w:hAnsi="宋体"/>
              </w:rPr>
            </w:pPr>
            <w:r>
              <w:rPr>
                <w:rFonts w:ascii="宋体" w:hAnsi="宋体"/>
              </w:rPr>
              <w:t>2</w:t>
            </w:r>
          </w:p>
        </w:tc>
        <w:tc>
          <w:tcPr>
            <w:tcW w:w="4320" w:type="dxa"/>
            <w:tcBorders>
              <w:top w:val="single" w:color="auto" w:sz="4" w:space="0"/>
              <w:left w:val="nil"/>
              <w:bottom w:val="single" w:color="auto" w:sz="4" w:space="0"/>
              <w:right w:val="single" w:color="auto" w:sz="4" w:space="0"/>
            </w:tcBorders>
            <w:vAlign w:val="center"/>
          </w:tcPr>
          <w:p w14:paraId="391607F0">
            <w:pPr>
              <w:widowControl/>
              <w:rPr>
                <w:rFonts w:ascii="宋体" w:hAnsi="宋体"/>
              </w:rPr>
            </w:pPr>
            <w:r>
              <w:rPr>
                <w:rFonts w:hint="eastAsia" w:ascii="宋体" w:hAnsi="宋体"/>
              </w:rPr>
              <w:t>未按照图纸施工造成返工</w:t>
            </w:r>
          </w:p>
        </w:tc>
        <w:tc>
          <w:tcPr>
            <w:tcW w:w="1410" w:type="dxa"/>
            <w:tcBorders>
              <w:top w:val="nil"/>
              <w:left w:val="nil"/>
              <w:bottom w:val="single" w:color="auto" w:sz="4" w:space="0"/>
              <w:right w:val="single" w:color="auto" w:sz="4" w:space="0"/>
            </w:tcBorders>
            <w:vAlign w:val="center"/>
          </w:tcPr>
          <w:p w14:paraId="7A79BC0F">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61CD9C5B">
            <w:pPr>
              <w:widowControl/>
              <w:jc w:val="left"/>
              <w:rPr>
                <w:rFonts w:ascii="宋体" w:hAnsi="宋体"/>
              </w:rPr>
            </w:pPr>
            <w:r>
              <w:rPr>
                <w:rFonts w:ascii="宋体" w:hAnsi="宋体"/>
              </w:rPr>
              <w:t>20000</w:t>
            </w:r>
            <w:r>
              <w:rPr>
                <w:rFonts w:hint="eastAsia" w:ascii="宋体" w:hAnsi="宋体"/>
              </w:rPr>
              <w:t>元</w:t>
            </w:r>
            <w:r>
              <w:rPr>
                <w:rFonts w:ascii="宋体" w:hAnsi="宋体"/>
              </w:rPr>
              <w:t>/</w:t>
            </w:r>
            <w:r>
              <w:rPr>
                <w:rFonts w:hint="eastAsia" w:ascii="宋体" w:hAnsi="宋体"/>
              </w:rPr>
              <w:t>次</w:t>
            </w:r>
          </w:p>
        </w:tc>
      </w:tr>
      <w:tr w14:paraId="330FA586">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4ACEF78C">
            <w:pPr>
              <w:widowControl/>
              <w:jc w:val="left"/>
              <w:rPr>
                <w:rFonts w:ascii="宋体" w:hAnsi="宋体"/>
              </w:rPr>
            </w:pPr>
            <w:r>
              <w:rPr>
                <w:rFonts w:ascii="宋体" w:hAnsi="宋体"/>
              </w:rPr>
              <w:t>3</w:t>
            </w:r>
          </w:p>
        </w:tc>
        <w:tc>
          <w:tcPr>
            <w:tcW w:w="4320" w:type="dxa"/>
            <w:tcBorders>
              <w:top w:val="single" w:color="auto" w:sz="4" w:space="0"/>
              <w:left w:val="nil"/>
              <w:bottom w:val="single" w:color="auto" w:sz="4" w:space="0"/>
              <w:right w:val="single" w:color="auto" w:sz="4" w:space="0"/>
            </w:tcBorders>
            <w:vAlign w:val="center"/>
          </w:tcPr>
          <w:p w14:paraId="74858087">
            <w:pPr>
              <w:widowControl/>
              <w:rPr>
                <w:rFonts w:ascii="宋体" w:hAnsi="宋体"/>
              </w:rPr>
            </w:pPr>
            <w:r>
              <w:rPr>
                <w:rFonts w:hint="eastAsia" w:ascii="宋体" w:hAnsi="宋体"/>
              </w:rPr>
              <w:t>技术交底针对性不强，造成施工错误</w:t>
            </w:r>
          </w:p>
        </w:tc>
        <w:tc>
          <w:tcPr>
            <w:tcW w:w="1410" w:type="dxa"/>
            <w:tcBorders>
              <w:top w:val="nil"/>
              <w:left w:val="nil"/>
              <w:bottom w:val="single" w:color="auto" w:sz="4" w:space="0"/>
              <w:right w:val="single" w:color="auto" w:sz="4" w:space="0"/>
            </w:tcBorders>
            <w:vAlign w:val="center"/>
          </w:tcPr>
          <w:p w14:paraId="3493704E">
            <w:pPr>
              <w:widowControl/>
              <w:jc w:val="left"/>
              <w:rPr>
                <w:rFonts w:ascii="宋体" w:hAnsi="宋体"/>
              </w:rPr>
            </w:pPr>
            <w:r>
              <w:rPr>
                <w:rFonts w:hint="eastAsia" w:ascii="宋体" w:hAnsi="宋体"/>
              </w:rPr>
              <w:t>返工</w:t>
            </w:r>
          </w:p>
        </w:tc>
        <w:tc>
          <w:tcPr>
            <w:tcW w:w="2170" w:type="dxa"/>
            <w:tcBorders>
              <w:top w:val="nil"/>
              <w:left w:val="nil"/>
              <w:bottom w:val="single" w:color="auto" w:sz="4" w:space="0"/>
              <w:right w:val="single" w:color="auto" w:sz="4" w:space="0"/>
            </w:tcBorders>
            <w:vAlign w:val="center"/>
          </w:tcPr>
          <w:p w14:paraId="0AE62350">
            <w:pPr>
              <w:widowControl/>
              <w:jc w:val="left"/>
              <w:rPr>
                <w:rFonts w:ascii="宋体" w:hAnsi="宋体"/>
              </w:rPr>
            </w:pPr>
            <w:r>
              <w:rPr>
                <w:rFonts w:ascii="宋体" w:hAnsi="宋体"/>
              </w:rPr>
              <w:t>10000</w:t>
            </w:r>
            <w:r>
              <w:rPr>
                <w:rFonts w:hint="eastAsia" w:ascii="宋体" w:hAnsi="宋体"/>
              </w:rPr>
              <w:t>元</w:t>
            </w:r>
            <w:r>
              <w:rPr>
                <w:rFonts w:ascii="宋体" w:hAnsi="宋体"/>
              </w:rPr>
              <w:t>/</w:t>
            </w:r>
            <w:r>
              <w:rPr>
                <w:rFonts w:hint="eastAsia" w:ascii="宋体" w:hAnsi="宋体"/>
              </w:rPr>
              <w:t>次</w:t>
            </w:r>
          </w:p>
        </w:tc>
      </w:tr>
      <w:tr w14:paraId="270A1379">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31139610">
            <w:pPr>
              <w:widowControl/>
              <w:jc w:val="left"/>
              <w:rPr>
                <w:rFonts w:ascii="宋体" w:hAnsi="宋体"/>
              </w:rPr>
            </w:pPr>
            <w:r>
              <w:rPr>
                <w:rFonts w:ascii="宋体" w:hAnsi="宋体"/>
              </w:rPr>
              <w:t>4</w:t>
            </w:r>
          </w:p>
        </w:tc>
        <w:tc>
          <w:tcPr>
            <w:tcW w:w="4320" w:type="dxa"/>
            <w:tcBorders>
              <w:top w:val="single" w:color="auto" w:sz="4" w:space="0"/>
              <w:left w:val="nil"/>
              <w:bottom w:val="single" w:color="auto" w:sz="4" w:space="0"/>
              <w:right w:val="single" w:color="auto" w:sz="4" w:space="0"/>
            </w:tcBorders>
            <w:vAlign w:val="center"/>
          </w:tcPr>
          <w:p w14:paraId="618EC33D">
            <w:pPr>
              <w:widowControl/>
              <w:rPr>
                <w:rFonts w:ascii="宋体" w:hAnsi="宋体"/>
              </w:rPr>
            </w:pPr>
            <w:r>
              <w:rPr>
                <w:rFonts w:hint="eastAsia" w:ascii="宋体" w:hAnsi="宋体"/>
              </w:rPr>
              <w:t>未按深化设计计划完成深化设计图纸及报批工作，影响工程正常进行</w:t>
            </w:r>
          </w:p>
        </w:tc>
        <w:tc>
          <w:tcPr>
            <w:tcW w:w="1410" w:type="dxa"/>
            <w:tcBorders>
              <w:top w:val="nil"/>
              <w:left w:val="nil"/>
              <w:bottom w:val="single" w:color="auto" w:sz="4" w:space="0"/>
              <w:right w:val="single" w:color="auto" w:sz="4" w:space="0"/>
            </w:tcBorders>
            <w:vAlign w:val="center"/>
          </w:tcPr>
          <w:p w14:paraId="1BFE42C5">
            <w:pPr>
              <w:widowControl/>
              <w:jc w:val="left"/>
              <w:rPr>
                <w:rFonts w:ascii="宋体" w:hAnsi="宋体"/>
              </w:rPr>
            </w:pPr>
            <w:r>
              <w:rPr>
                <w:rFonts w:hint="eastAsia" w:ascii="宋体" w:hAnsi="宋体"/>
              </w:rPr>
              <w:t>限期完成</w:t>
            </w:r>
          </w:p>
        </w:tc>
        <w:tc>
          <w:tcPr>
            <w:tcW w:w="2170" w:type="dxa"/>
            <w:tcBorders>
              <w:top w:val="nil"/>
              <w:left w:val="nil"/>
              <w:bottom w:val="single" w:color="auto" w:sz="4" w:space="0"/>
              <w:right w:val="single" w:color="auto" w:sz="4" w:space="0"/>
            </w:tcBorders>
            <w:vAlign w:val="center"/>
          </w:tcPr>
          <w:p w14:paraId="51AFE5FE">
            <w:pPr>
              <w:widowControl/>
              <w:jc w:val="left"/>
              <w:rPr>
                <w:rFonts w:ascii="宋体" w:hAnsi="宋体"/>
              </w:rPr>
            </w:pPr>
            <w:r>
              <w:rPr>
                <w:rFonts w:ascii="宋体" w:hAnsi="宋体"/>
              </w:rPr>
              <w:t>30000</w:t>
            </w:r>
            <w:r>
              <w:rPr>
                <w:rFonts w:hint="eastAsia" w:ascii="宋体" w:hAnsi="宋体"/>
              </w:rPr>
              <w:t>元</w:t>
            </w:r>
            <w:r>
              <w:rPr>
                <w:rFonts w:ascii="宋体" w:hAnsi="宋体"/>
              </w:rPr>
              <w:t>/</w:t>
            </w:r>
            <w:r>
              <w:rPr>
                <w:rFonts w:hint="eastAsia" w:ascii="宋体" w:hAnsi="宋体"/>
              </w:rPr>
              <w:t>次</w:t>
            </w:r>
          </w:p>
        </w:tc>
      </w:tr>
      <w:tr w14:paraId="7E7B440D">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1CBDE78D">
            <w:pPr>
              <w:widowControl/>
              <w:jc w:val="left"/>
              <w:rPr>
                <w:rFonts w:ascii="宋体" w:hAnsi="宋体"/>
              </w:rPr>
            </w:pPr>
            <w:r>
              <w:rPr>
                <w:rFonts w:ascii="宋体" w:hAnsi="宋体"/>
              </w:rPr>
              <w:t>5</w:t>
            </w:r>
          </w:p>
        </w:tc>
        <w:tc>
          <w:tcPr>
            <w:tcW w:w="4320" w:type="dxa"/>
            <w:tcBorders>
              <w:top w:val="single" w:color="auto" w:sz="4" w:space="0"/>
              <w:left w:val="nil"/>
              <w:bottom w:val="single" w:color="auto" w:sz="4" w:space="0"/>
              <w:right w:val="single" w:color="auto" w:sz="4" w:space="0"/>
            </w:tcBorders>
            <w:vAlign w:val="center"/>
          </w:tcPr>
          <w:p w14:paraId="0F16AD66">
            <w:pPr>
              <w:widowControl/>
              <w:rPr>
                <w:rFonts w:ascii="宋体" w:hAnsi="宋体"/>
              </w:rPr>
            </w:pPr>
            <w:r>
              <w:rPr>
                <w:rFonts w:hint="eastAsia" w:ascii="宋体" w:hAnsi="宋体"/>
              </w:rPr>
              <w:t>深化设计图纸未考虑各专业交接问题，造成施工错误，或标高、功能等违背原设计要求</w:t>
            </w:r>
          </w:p>
        </w:tc>
        <w:tc>
          <w:tcPr>
            <w:tcW w:w="1410" w:type="dxa"/>
            <w:tcBorders>
              <w:top w:val="nil"/>
              <w:left w:val="nil"/>
              <w:bottom w:val="single" w:color="auto" w:sz="4" w:space="0"/>
              <w:right w:val="single" w:color="auto" w:sz="4" w:space="0"/>
            </w:tcBorders>
            <w:vAlign w:val="center"/>
          </w:tcPr>
          <w:p w14:paraId="2D2A28C0">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7FBC0C3B">
            <w:pPr>
              <w:widowControl/>
              <w:jc w:val="left"/>
              <w:rPr>
                <w:rFonts w:ascii="宋体" w:hAnsi="宋体"/>
              </w:rPr>
            </w:pPr>
            <w:r>
              <w:rPr>
                <w:rFonts w:ascii="宋体" w:hAnsi="宋体"/>
              </w:rPr>
              <w:t>5000</w:t>
            </w:r>
            <w:r>
              <w:rPr>
                <w:rFonts w:hint="eastAsia" w:ascii="宋体" w:hAnsi="宋体"/>
              </w:rPr>
              <w:t>元</w:t>
            </w:r>
            <w:r>
              <w:rPr>
                <w:rFonts w:ascii="宋体" w:hAnsi="宋体"/>
              </w:rPr>
              <w:t>/</w:t>
            </w:r>
            <w:r>
              <w:rPr>
                <w:rFonts w:hint="eastAsia" w:ascii="宋体" w:hAnsi="宋体"/>
              </w:rPr>
              <w:t>次</w:t>
            </w:r>
          </w:p>
        </w:tc>
      </w:tr>
      <w:tr w14:paraId="545983DF">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44557D0E">
            <w:pPr>
              <w:widowControl/>
              <w:jc w:val="left"/>
              <w:rPr>
                <w:rFonts w:ascii="宋体" w:hAnsi="宋体"/>
              </w:rPr>
            </w:pPr>
            <w:r>
              <w:rPr>
                <w:rFonts w:ascii="宋体" w:hAnsi="宋体"/>
              </w:rPr>
              <w:t>6</w:t>
            </w:r>
          </w:p>
        </w:tc>
        <w:tc>
          <w:tcPr>
            <w:tcW w:w="4320" w:type="dxa"/>
            <w:tcBorders>
              <w:top w:val="single" w:color="auto" w:sz="4" w:space="0"/>
              <w:left w:val="nil"/>
              <w:bottom w:val="single" w:color="auto" w:sz="4" w:space="0"/>
              <w:right w:val="single" w:color="auto" w:sz="4" w:space="0"/>
            </w:tcBorders>
            <w:vAlign w:val="center"/>
          </w:tcPr>
          <w:p w14:paraId="457240C7">
            <w:pPr>
              <w:widowControl/>
              <w:rPr>
                <w:rFonts w:ascii="宋体" w:hAnsi="宋体"/>
              </w:rPr>
            </w:pPr>
            <w:r>
              <w:rPr>
                <w:rFonts w:hint="eastAsia" w:ascii="宋体" w:hAnsi="宋体"/>
              </w:rPr>
              <w:t>未按深化设计计划完成深化设计图纸，或深化设计图纸深度不满足现场施工要求，影响工程正常进行。</w:t>
            </w:r>
          </w:p>
        </w:tc>
        <w:tc>
          <w:tcPr>
            <w:tcW w:w="1410" w:type="dxa"/>
            <w:tcBorders>
              <w:top w:val="nil"/>
              <w:left w:val="nil"/>
              <w:bottom w:val="single" w:color="auto" w:sz="4" w:space="0"/>
              <w:right w:val="single" w:color="auto" w:sz="4" w:space="0"/>
            </w:tcBorders>
            <w:vAlign w:val="center"/>
          </w:tcPr>
          <w:p w14:paraId="45519062">
            <w:pPr>
              <w:widowControl/>
              <w:jc w:val="left"/>
              <w:rPr>
                <w:rFonts w:ascii="宋体" w:hAnsi="宋体"/>
              </w:rPr>
            </w:pPr>
            <w:r>
              <w:rPr>
                <w:rFonts w:hint="eastAsia" w:ascii="宋体" w:hAnsi="宋体"/>
              </w:rPr>
              <w:t>限期完成</w:t>
            </w:r>
          </w:p>
        </w:tc>
        <w:tc>
          <w:tcPr>
            <w:tcW w:w="2170" w:type="dxa"/>
            <w:tcBorders>
              <w:top w:val="nil"/>
              <w:left w:val="nil"/>
              <w:bottom w:val="single" w:color="auto" w:sz="4" w:space="0"/>
              <w:right w:val="single" w:color="auto" w:sz="4" w:space="0"/>
            </w:tcBorders>
            <w:vAlign w:val="center"/>
          </w:tcPr>
          <w:p w14:paraId="4BA98B9A">
            <w:pPr>
              <w:widowControl/>
              <w:jc w:val="left"/>
              <w:rPr>
                <w:rFonts w:ascii="宋体" w:hAnsi="宋体"/>
              </w:rPr>
            </w:pPr>
            <w:r>
              <w:rPr>
                <w:rFonts w:ascii="宋体" w:hAnsi="宋体"/>
              </w:rPr>
              <w:t>2000</w:t>
            </w:r>
            <w:r>
              <w:rPr>
                <w:rFonts w:hint="eastAsia" w:ascii="宋体" w:hAnsi="宋体"/>
              </w:rPr>
              <w:t>元</w:t>
            </w:r>
            <w:r>
              <w:rPr>
                <w:rFonts w:ascii="宋体" w:hAnsi="宋体"/>
              </w:rPr>
              <w:t>/</w:t>
            </w:r>
            <w:r>
              <w:rPr>
                <w:rFonts w:hint="eastAsia" w:ascii="宋体" w:hAnsi="宋体"/>
              </w:rPr>
              <w:t>天</w:t>
            </w:r>
          </w:p>
        </w:tc>
      </w:tr>
      <w:tr w14:paraId="39D37D45">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0F32C162">
            <w:pPr>
              <w:widowControl/>
              <w:jc w:val="left"/>
              <w:rPr>
                <w:rFonts w:ascii="宋体" w:hAnsi="宋体"/>
              </w:rPr>
            </w:pPr>
            <w:r>
              <w:rPr>
                <w:rFonts w:ascii="宋体" w:hAnsi="宋体"/>
              </w:rPr>
              <w:t>7</w:t>
            </w:r>
          </w:p>
        </w:tc>
        <w:tc>
          <w:tcPr>
            <w:tcW w:w="4320" w:type="dxa"/>
            <w:tcBorders>
              <w:top w:val="single" w:color="auto" w:sz="4" w:space="0"/>
              <w:left w:val="nil"/>
              <w:bottom w:val="single" w:color="auto" w:sz="4" w:space="0"/>
              <w:right w:val="single" w:color="auto" w:sz="4" w:space="0"/>
            </w:tcBorders>
            <w:vAlign w:val="center"/>
          </w:tcPr>
          <w:p w14:paraId="14839A9B">
            <w:pPr>
              <w:widowControl/>
              <w:rPr>
                <w:rFonts w:ascii="宋体" w:hAnsi="宋体"/>
              </w:rPr>
            </w:pPr>
            <w:r>
              <w:rPr>
                <w:rFonts w:hint="eastAsia" w:ascii="宋体" w:hAnsi="宋体"/>
              </w:rPr>
              <w:t>图纸管理：施工前务必出正式图纸，并发放至发包人、监理、施工方</w:t>
            </w:r>
            <w:r>
              <w:rPr>
                <w:rFonts w:ascii="宋体" w:hAnsi="宋体"/>
              </w:rPr>
              <w:t>.</w:t>
            </w:r>
            <w:r>
              <w:rPr>
                <w:rFonts w:hint="eastAsia" w:ascii="宋体" w:hAnsi="宋体"/>
              </w:rPr>
              <w:t>未有正式蓝图，不得施工。如擅自开工者</w:t>
            </w:r>
          </w:p>
        </w:tc>
        <w:tc>
          <w:tcPr>
            <w:tcW w:w="1410" w:type="dxa"/>
            <w:tcBorders>
              <w:top w:val="nil"/>
              <w:left w:val="nil"/>
              <w:bottom w:val="single" w:color="auto" w:sz="4" w:space="0"/>
              <w:right w:val="single" w:color="auto" w:sz="4" w:space="0"/>
            </w:tcBorders>
            <w:vAlign w:val="center"/>
          </w:tcPr>
          <w:p w14:paraId="6541E9E8">
            <w:pPr>
              <w:widowControl/>
              <w:jc w:val="left"/>
              <w:rPr>
                <w:rFonts w:ascii="宋体" w:hAnsi="宋体"/>
              </w:rPr>
            </w:pPr>
            <w:r>
              <w:rPr>
                <w:rFonts w:hint="eastAsia" w:ascii="宋体" w:hAnsi="宋体"/>
              </w:rPr>
              <w:t>停工并完善图纸报审</w:t>
            </w:r>
          </w:p>
        </w:tc>
        <w:tc>
          <w:tcPr>
            <w:tcW w:w="2170" w:type="dxa"/>
            <w:tcBorders>
              <w:top w:val="nil"/>
              <w:left w:val="nil"/>
              <w:bottom w:val="single" w:color="auto" w:sz="4" w:space="0"/>
              <w:right w:val="single" w:color="auto" w:sz="4" w:space="0"/>
            </w:tcBorders>
            <w:vAlign w:val="center"/>
          </w:tcPr>
          <w:p w14:paraId="19C4167E">
            <w:pPr>
              <w:widowControl/>
              <w:jc w:val="left"/>
              <w:rPr>
                <w:rFonts w:ascii="宋体" w:hAnsi="宋体"/>
              </w:rPr>
            </w:pPr>
            <w:r>
              <w:rPr>
                <w:rFonts w:ascii="宋体" w:hAnsi="宋体"/>
              </w:rPr>
              <w:t>5000</w:t>
            </w:r>
            <w:r>
              <w:rPr>
                <w:rFonts w:hint="eastAsia" w:ascii="宋体" w:hAnsi="宋体"/>
              </w:rPr>
              <w:t>元</w:t>
            </w:r>
            <w:r>
              <w:rPr>
                <w:rFonts w:ascii="宋体" w:hAnsi="宋体"/>
              </w:rPr>
              <w:t>/</w:t>
            </w:r>
            <w:r>
              <w:rPr>
                <w:rFonts w:hint="eastAsia" w:ascii="宋体" w:hAnsi="宋体"/>
              </w:rPr>
              <w:t>次</w:t>
            </w:r>
          </w:p>
        </w:tc>
      </w:tr>
      <w:tr w14:paraId="7220285C">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022E765A">
            <w:pPr>
              <w:widowControl/>
              <w:jc w:val="left"/>
              <w:rPr>
                <w:rFonts w:ascii="宋体" w:hAnsi="宋体"/>
              </w:rPr>
            </w:pPr>
            <w:r>
              <w:rPr>
                <w:rFonts w:ascii="宋体" w:hAnsi="宋体"/>
              </w:rPr>
              <w:t>8</w:t>
            </w:r>
          </w:p>
        </w:tc>
        <w:tc>
          <w:tcPr>
            <w:tcW w:w="4320" w:type="dxa"/>
            <w:tcBorders>
              <w:top w:val="single" w:color="auto" w:sz="4" w:space="0"/>
              <w:left w:val="nil"/>
              <w:bottom w:val="single" w:color="auto" w:sz="4" w:space="0"/>
              <w:right w:val="single" w:color="auto" w:sz="4" w:space="0"/>
            </w:tcBorders>
            <w:vAlign w:val="center"/>
          </w:tcPr>
          <w:p w14:paraId="7A29B460">
            <w:pPr>
              <w:widowControl/>
              <w:rPr>
                <w:rFonts w:ascii="宋体" w:hAnsi="宋体"/>
              </w:rPr>
            </w:pPr>
            <w:r>
              <w:rPr>
                <w:rFonts w:hint="eastAsia" w:ascii="宋体" w:hAnsi="宋体"/>
              </w:rPr>
              <w:t>样板先行，工序开始前须做试验段或实体样板，经验收合格后方可进入全面施工：未经验收合格的就擅自施工</w:t>
            </w:r>
          </w:p>
        </w:tc>
        <w:tc>
          <w:tcPr>
            <w:tcW w:w="1410" w:type="dxa"/>
            <w:tcBorders>
              <w:top w:val="nil"/>
              <w:left w:val="nil"/>
              <w:bottom w:val="single" w:color="auto" w:sz="4" w:space="0"/>
              <w:right w:val="single" w:color="auto" w:sz="4" w:space="0"/>
            </w:tcBorders>
            <w:vAlign w:val="center"/>
          </w:tcPr>
          <w:p w14:paraId="7CF392FD">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221D10CB">
            <w:pPr>
              <w:widowControl/>
              <w:jc w:val="left"/>
              <w:rPr>
                <w:rFonts w:ascii="宋体" w:hAnsi="宋体"/>
              </w:rPr>
            </w:pPr>
            <w:r>
              <w:rPr>
                <w:rFonts w:ascii="宋体" w:hAnsi="宋体"/>
              </w:rPr>
              <w:t>5000</w:t>
            </w:r>
            <w:r>
              <w:rPr>
                <w:rFonts w:hint="eastAsia" w:ascii="宋体" w:hAnsi="宋体"/>
              </w:rPr>
              <w:t>元</w:t>
            </w:r>
            <w:r>
              <w:rPr>
                <w:rFonts w:ascii="宋体" w:hAnsi="宋体"/>
              </w:rPr>
              <w:t>/</w:t>
            </w:r>
            <w:r>
              <w:rPr>
                <w:rFonts w:hint="eastAsia" w:ascii="宋体" w:hAnsi="宋体"/>
              </w:rPr>
              <w:t>次</w:t>
            </w:r>
          </w:p>
        </w:tc>
      </w:tr>
      <w:tr w14:paraId="65E907EF">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3F62FC1B">
            <w:pPr>
              <w:widowControl/>
              <w:jc w:val="left"/>
              <w:rPr>
                <w:rFonts w:ascii="宋体" w:hAnsi="宋体"/>
              </w:rPr>
            </w:pPr>
            <w:r>
              <w:rPr>
                <w:rFonts w:hint="eastAsia" w:ascii="宋体" w:hAnsi="宋体"/>
              </w:rPr>
              <w:t>五</w:t>
            </w:r>
          </w:p>
        </w:tc>
        <w:tc>
          <w:tcPr>
            <w:tcW w:w="4320" w:type="dxa"/>
            <w:tcBorders>
              <w:top w:val="single" w:color="auto" w:sz="4" w:space="0"/>
              <w:left w:val="nil"/>
              <w:bottom w:val="single" w:color="auto" w:sz="4" w:space="0"/>
              <w:right w:val="single" w:color="auto" w:sz="4" w:space="0"/>
            </w:tcBorders>
            <w:vAlign w:val="center"/>
          </w:tcPr>
          <w:p w14:paraId="31D42960">
            <w:pPr>
              <w:widowControl/>
              <w:rPr>
                <w:rFonts w:ascii="宋体" w:hAnsi="宋体"/>
              </w:rPr>
            </w:pPr>
            <w:r>
              <w:rPr>
                <w:rFonts w:hint="eastAsia" w:ascii="宋体" w:hAnsi="宋体"/>
              </w:rPr>
              <w:t>规章制度</w:t>
            </w:r>
          </w:p>
        </w:tc>
        <w:tc>
          <w:tcPr>
            <w:tcW w:w="1410" w:type="dxa"/>
            <w:tcBorders>
              <w:top w:val="nil"/>
              <w:left w:val="nil"/>
              <w:bottom w:val="single" w:color="auto" w:sz="4" w:space="0"/>
              <w:right w:val="single" w:color="auto" w:sz="4" w:space="0"/>
            </w:tcBorders>
            <w:vAlign w:val="center"/>
          </w:tcPr>
          <w:p w14:paraId="1E54A1DC">
            <w:pPr>
              <w:widowControl/>
              <w:jc w:val="left"/>
              <w:rPr>
                <w:rFonts w:ascii="宋体" w:hAnsi="宋体"/>
              </w:rPr>
            </w:pPr>
          </w:p>
        </w:tc>
        <w:tc>
          <w:tcPr>
            <w:tcW w:w="2170" w:type="dxa"/>
            <w:tcBorders>
              <w:top w:val="nil"/>
              <w:left w:val="nil"/>
              <w:bottom w:val="single" w:color="auto" w:sz="4" w:space="0"/>
              <w:right w:val="single" w:color="auto" w:sz="4" w:space="0"/>
            </w:tcBorders>
            <w:vAlign w:val="center"/>
          </w:tcPr>
          <w:p w14:paraId="65C80939">
            <w:pPr>
              <w:widowControl/>
              <w:jc w:val="left"/>
              <w:rPr>
                <w:rFonts w:ascii="宋体" w:hAnsi="宋体"/>
              </w:rPr>
            </w:pPr>
            <w:r>
              <w:rPr>
                <w:rFonts w:hint="eastAsia" w:ascii="宋体" w:hAnsi="宋体"/>
              </w:rPr>
              <w:t>　</w:t>
            </w:r>
          </w:p>
        </w:tc>
      </w:tr>
      <w:tr w14:paraId="18AE047E">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4DA32640">
            <w:pPr>
              <w:widowControl/>
              <w:jc w:val="left"/>
              <w:rPr>
                <w:rFonts w:ascii="宋体" w:hAnsi="宋体"/>
              </w:rPr>
            </w:pPr>
            <w:r>
              <w:rPr>
                <w:rFonts w:ascii="宋体" w:hAnsi="宋体"/>
              </w:rPr>
              <w:t>1</w:t>
            </w:r>
          </w:p>
        </w:tc>
        <w:tc>
          <w:tcPr>
            <w:tcW w:w="4320" w:type="dxa"/>
            <w:tcBorders>
              <w:top w:val="single" w:color="auto" w:sz="4" w:space="0"/>
              <w:left w:val="nil"/>
              <w:bottom w:val="single" w:color="auto" w:sz="4" w:space="0"/>
              <w:right w:val="single" w:color="auto" w:sz="4" w:space="0"/>
            </w:tcBorders>
            <w:vAlign w:val="center"/>
          </w:tcPr>
          <w:p w14:paraId="2D5F123B">
            <w:pPr>
              <w:widowControl/>
              <w:rPr>
                <w:rFonts w:ascii="宋体" w:hAnsi="宋体"/>
              </w:rPr>
            </w:pPr>
            <w:r>
              <w:rPr>
                <w:rFonts w:hint="eastAsia" w:ascii="宋体" w:hAnsi="宋体"/>
              </w:rPr>
              <w:t>未经发包人</w:t>
            </w:r>
            <w:r>
              <w:rPr>
                <w:rFonts w:ascii="宋体" w:hAnsi="宋体"/>
              </w:rPr>
              <w:t>/</w:t>
            </w:r>
            <w:r>
              <w:rPr>
                <w:rFonts w:hint="eastAsia" w:ascii="宋体" w:hAnsi="宋体"/>
              </w:rPr>
              <w:t>监理工程师认可私自更换项目经理及主要管理人员</w:t>
            </w:r>
          </w:p>
        </w:tc>
        <w:tc>
          <w:tcPr>
            <w:tcW w:w="1410" w:type="dxa"/>
            <w:tcBorders>
              <w:top w:val="nil"/>
              <w:left w:val="nil"/>
              <w:bottom w:val="single" w:color="auto" w:sz="4" w:space="0"/>
              <w:right w:val="single" w:color="auto" w:sz="4" w:space="0"/>
            </w:tcBorders>
            <w:vAlign w:val="center"/>
          </w:tcPr>
          <w:p w14:paraId="28BE8BD4">
            <w:pPr>
              <w:widowControl/>
              <w:jc w:val="left"/>
              <w:rPr>
                <w:rFonts w:ascii="宋体" w:hAnsi="宋体"/>
              </w:rPr>
            </w:pPr>
            <w:r>
              <w:rPr>
                <w:rFonts w:hint="eastAsia" w:ascii="宋体" w:hAnsi="宋体"/>
              </w:rPr>
              <w:t>换回原管理人员</w:t>
            </w:r>
          </w:p>
        </w:tc>
        <w:tc>
          <w:tcPr>
            <w:tcW w:w="2170" w:type="dxa"/>
            <w:tcBorders>
              <w:top w:val="nil"/>
              <w:left w:val="nil"/>
              <w:bottom w:val="single" w:color="auto" w:sz="4" w:space="0"/>
              <w:right w:val="single" w:color="auto" w:sz="4" w:space="0"/>
            </w:tcBorders>
            <w:vAlign w:val="center"/>
          </w:tcPr>
          <w:p w14:paraId="4EA5C0BC">
            <w:pPr>
              <w:widowControl/>
              <w:jc w:val="left"/>
              <w:rPr>
                <w:rFonts w:ascii="宋体" w:hAnsi="宋体"/>
              </w:rPr>
            </w:pPr>
            <w:r>
              <w:rPr>
                <w:rFonts w:ascii="宋体" w:hAnsi="宋体"/>
              </w:rPr>
              <w:t>50000</w:t>
            </w:r>
            <w:r>
              <w:rPr>
                <w:rFonts w:hint="eastAsia" w:ascii="宋体" w:hAnsi="宋体"/>
              </w:rPr>
              <w:t>元</w:t>
            </w:r>
            <w:r>
              <w:rPr>
                <w:rFonts w:ascii="宋体" w:hAnsi="宋体"/>
              </w:rPr>
              <w:t>/</w:t>
            </w:r>
            <w:r>
              <w:rPr>
                <w:rFonts w:hint="eastAsia" w:ascii="宋体" w:hAnsi="宋体"/>
              </w:rPr>
              <w:t>次</w:t>
            </w:r>
          </w:p>
        </w:tc>
      </w:tr>
      <w:tr w14:paraId="6D4ED29A">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0D29BEEE">
            <w:pPr>
              <w:widowControl/>
              <w:jc w:val="left"/>
              <w:rPr>
                <w:rFonts w:ascii="宋体" w:hAnsi="宋体"/>
              </w:rPr>
            </w:pPr>
            <w:r>
              <w:rPr>
                <w:rFonts w:ascii="宋体" w:hAnsi="宋体"/>
              </w:rPr>
              <w:t>2</w:t>
            </w:r>
          </w:p>
        </w:tc>
        <w:tc>
          <w:tcPr>
            <w:tcW w:w="4320" w:type="dxa"/>
            <w:tcBorders>
              <w:top w:val="single" w:color="auto" w:sz="4" w:space="0"/>
              <w:left w:val="nil"/>
              <w:bottom w:val="single" w:color="auto" w:sz="4" w:space="0"/>
              <w:right w:val="single" w:color="auto" w:sz="4" w:space="0"/>
            </w:tcBorders>
            <w:vAlign w:val="center"/>
          </w:tcPr>
          <w:p w14:paraId="48480913">
            <w:pPr>
              <w:widowControl/>
              <w:rPr>
                <w:rFonts w:ascii="宋体" w:hAnsi="宋体"/>
              </w:rPr>
            </w:pPr>
            <w:r>
              <w:rPr>
                <w:rFonts w:hint="eastAsia" w:ascii="宋体" w:hAnsi="宋体"/>
              </w:rPr>
              <w:t>项目经理或现场人员不称职并且未按发包人要求及时更换的</w:t>
            </w:r>
          </w:p>
        </w:tc>
        <w:tc>
          <w:tcPr>
            <w:tcW w:w="1410" w:type="dxa"/>
            <w:tcBorders>
              <w:top w:val="nil"/>
              <w:left w:val="nil"/>
              <w:bottom w:val="single" w:color="auto" w:sz="4" w:space="0"/>
              <w:right w:val="single" w:color="auto" w:sz="4" w:space="0"/>
            </w:tcBorders>
            <w:vAlign w:val="center"/>
          </w:tcPr>
          <w:p w14:paraId="5804715E">
            <w:pPr>
              <w:widowControl/>
              <w:jc w:val="left"/>
              <w:rPr>
                <w:rFonts w:ascii="宋体" w:hAnsi="宋体"/>
              </w:rPr>
            </w:pPr>
            <w:r>
              <w:rPr>
                <w:rFonts w:hint="eastAsia" w:ascii="宋体" w:hAnsi="宋体"/>
              </w:rPr>
              <w:t>立即更换为称职人员</w:t>
            </w:r>
          </w:p>
        </w:tc>
        <w:tc>
          <w:tcPr>
            <w:tcW w:w="2170" w:type="dxa"/>
            <w:tcBorders>
              <w:top w:val="nil"/>
              <w:left w:val="nil"/>
              <w:bottom w:val="single" w:color="auto" w:sz="4" w:space="0"/>
              <w:right w:val="single" w:color="auto" w:sz="4" w:space="0"/>
            </w:tcBorders>
            <w:vAlign w:val="center"/>
          </w:tcPr>
          <w:p w14:paraId="1C25BD13">
            <w:pPr>
              <w:widowControl/>
              <w:jc w:val="left"/>
              <w:rPr>
                <w:rFonts w:ascii="宋体" w:hAnsi="宋体"/>
              </w:rPr>
            </w:pPr>
            <w:r>
              <w:rPr>
                <w:rFonts w:ascii="宋体" w:hAnsi="宋体"/>
              </w:rPr>
              <w:t>20000</w:t>
            </w:r>
            <w:r>
              <w:rPr>
                <w:rFonts w:hint="eastAsia" w:ascii="宋体" w:hAnsi="宋体"/>
              </w:rPr>
              <w:t>元</w:t>
            </w:r>
            <w:r>
              <w:rPr>
                <w:rFonts w:ascii="宋体" w:hAnsi="宋体"/>
              </w:rPr>
              <w:t>/</w:t>
            </w:r>
            <w:r>
              <w:rPr>
                <w:rFonts w:hint="eastAsia" w:ascii="宋体" w:hAnsi="宋体"/>
              </w:rPr>
              <w:t>天</w:t>
            </w:r>
          </w:p>
        </w:tc>
      </w:tr>
      <w:tr w14:paraId="7D16F094">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54F09F8B">
            <w:pPr>
              <w:widowControl/>
              <w:jc w:val="left"/>
              <w:rPr>
                <w:rFonts w:ascii="宋体" w:hAnsi="宋体"/>
              </w:rPr>
            </w:pPr>
            <w:r>
              <w:rPr>
                <w:rFonts w:ascii="宋体" w:hAnsi="宋体"/>
              </w:rPr>
              <w:t>3</w:t>
            </w:r>
          </w:p>
        </w:tc>
        <w:tc>
          <w:tcPr>
            <w:tcW w:w="4320" w:type="dxa"/>
            <w:tcBorders>
              <w:top w:val="single" w:color="auto" w:sz="4" w:space="0"/>
              <w:left w:val="nil"/>
              <w:bottom w:val="single" w:color="auto" w:sz="4" w:space="0"/>
              <w:right w:val="single" w:color="auto" w:sz="4" w:space="0"/>
            </w:tcBorders>
            <w:vAlign w:val="center"/>
          </w:tcPr>
          <w:p w14:paraId="7D6A5A03">
            <w:pPr>
              <w:widowControl/>
              <w:rPr>
                <w:rFonts w:ascii="宋体" w:hAnsi="宋体"/>
              </w:rPr>
            </w:pPr>
            <w:r>
              <w:rPr>
                <w:rFonts w:hint="eastAsia" w:ascii="宋体" w:hAnsi="宋体"/>
              </w:rPr>
              <w:t>工程管理人员不及时到位</w:t>
            </w:r>
          </w:p>
        </w:tc>
        <w:tc>
          <w:tcPr>
            <w:tcW w:w="1410" w:type="dxa"/>
            <w:tcBorders>
              <w:top w:val="nil"/>
              <w:left w:val="nil"/>
              <w:bottom w:val="single" w:color="auto" w:sz="4" w:space="0"/>
              <w:right w:val="single" w:color="auto" w:sz="4" w:space="0"/>
            </w:tcBorders>
            <w:vAlign w:val="center"/>
          </w:tcPr>
          <w:p w14:paraId="41E3C527">
            <w:pPr>
              <w:widowControl/>
              <w:jc w:val="left"/>
              <w:rPr>
                <w:rFonts w:ascii="宋体" w:hAnsi="宋体"/>
              </w:rPr>
            </w:pPr>
            <w:r>
              <w:rPr>
                <w:rFonts w:hint="eastAsia" w:ascii="宋体" w:hAnsi="宋体"/>
              </w:rPr>
              <w:t>限期到位</w:t>
            </w:r>
          </w:p>
        </w:tc>
        <w:tc>
          <w:tcPr>
            <w:tcW w:w="2170" w:type="dxa"/>
            <w:tcBorders>
              <w:top w:val="nil"/>
              <w:left w:val="nil"/>
              <w:bottom w:val="single" w:color="auto" w:sz="4" w:space="0"/>
              <w:right w:val="single" w:color="auto" w:sz="4" w:space="0"/>
            </w:tcBorders>
            <w:vAlign w:val="center"/>
          </w:tcPr>
          <w:p w14:paraId="73EED899">
            <w:pPr>
              <w:widowControl/>
              <w:jc w:val="left"/>
              <w:rPr>
                <w:rFonts w:ascii="宋体" w:hAnsi="宋体"/>
              </w:rPr>
            </w:pPr>
            <w:r>
              <w:rPr>
                <w:rFonts w:ascii="宋体" w:hAnsi="宋体"/>
              </w:rPr>
              <w:t>500-2000</w:t>
            </w:r>
            <w:r>
              <w:rPr>
                <w:rFonts w:hint="eastAsia" w:ascii="宋体" w:hAnsi="宋体"/>
              </w:rPr>
              <w:t>元</w:t>
            </w:r>
            <w:r>
              <w:rPr>
                <w:rFonts w:ascii="宋体" w:hAnsi="宋体"/>
              </w:rPr>
              <w:t>/</w:t>
            </w:r>
            <w:r>
              <w:rPr>
                <w:rFonts w:hint="eastAsia" w:ascii="宋体" w:hAnsi="宋体"/>
              </w:rPr>
              <w:t>人</w:t>
            </w:r>
          </w:p>
        </w:tc>
      </w:tr>
      <w:tr w14:paraId="1BE3E42D">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6AAB3EBD">
            <w:pPr>
              <w:widowControl/>
              <w:jc w:val="left"/>
              <w:rPr>
                <w:rFonts w:ascii="宋体" w:hAnsi="宋体"/>
              </w:rPr>
            </w:pPr>
            <w:r>
              <w:rPr>
                <w:rFonts w:ascii="宋体" w:hAnsi="宋体"/>
              </w:rPr>
              <w:t>4</w:t>
            </w:r>
          </w:p>
        </w:tc>
        <w:tc>
          <w:tcPr>
            <w:tcW w:w="4320" w:type="dxa"/>
            <w:tcBorders>
              <w:top w:val="single" w:color="auto" w:sz="4" w:space="0"/>
              <w:left w:val="nil"/>
              <w:bottom w:val="single" w:color="auto" w:sz="4" w:space="0"/>
              <w:right w:val="single" w:color="auto" w:sz="4" w:space="0"/>
            </w:tcBorders>
            <w:vAlign w:val="center"/>
          </w:tcPr>
          <w:p w14:paraId="2C22B924">
            <w:pPr>
              <w:widowControl/>
              <w:rPr>
                <w:rFonts w:ascii="宋体" w:hAnsi="宋体"/>
              </w:rPr>
            </w:pPr>
            <w:r>
              <w:rPr>
                <w:rFonts w:hint="eastAsia" w:ascii="宋体" w:hAnsi="宋体"/>
              </w:rPr>
              <w:t>项目经理或主要管理人员无故不在现场</w:t>
            </w:r>
          </w:p>
        </w:tc>
        <w:tc>
          <w:tcPr>
            <w:tcW w:w="1410" w:type="dxa"/>
            <w:tcBorders>
              <w:top w:val="nil"/>
              <w:left w:val="nil"/>
              <w:bottom w:val="single" w:color="auto" w:sz="4" w:space="0"/>
              <w:right w:val="single" w:color="auto" w:sz="4" w:space="0"/>
            </w:tcBorders>
            <w:vAlign w:val="center"/>
          </w:tcPr>
          <w:p w14:paraId="31873EAE">
            <w:pPr>
              <w:widowControl/>
              <w:jc w:val="left"/>
              <w:rPr>
                <w:rFonts w:ascii="宋体" w:hAnsi="宋体"/>
              </w:rPr>
            </w:pPr>
          </w:p>
        </w:tc>
        <w:tc>
          <w:tcPr>
            <w:tcW w:w="2170" w:type="dxa"/>
            <w:tcBorders>
              <w:top w:val="nil"/>
              <w:left w:val="nil"/>
              <w:bottom w:val="single" w:color="auto" w:sz="4" w:space="0"/>
              <w:right w:val="single" w:color="auto" w:sz="4" w:space="0"/>
            </w:tcBorders>
            <w:vAlign w:val="center"/>
          </w:tcPr>
          <w:p w14:paraId="144C5C9E">
            <w:pPr>
              <w:widowControl/>
              <w:jc w:val="left"/>
              <w:rPr>
                <w:rFonts w:ascii="宋体" w:hAnsi="宋体"/>
              </w:rPr>
            </w:pPr>
            <w:r>
              <w:rPr>
                <w:rFonts w:ascii="宋体" w:hAnsi="宋体"/>
              </w:rPr>
              <w:t>5000-10000</w:t>
            </w:r>
            <w:r>
              <w:rPr>
                <w:rFonts w:hint="eastAsia" w:ascii="宋体" w:hAnsi="宋体"/>
              </w:rPr>
              <w:t>元</w:t>
            </w:r>
            <w:r>
              <w:rPr>
                <w:rFonts w:ascii="宋体" w:hAnsi="宋体"/>
              </w:rPr>
              <w:t>/</w:t>
            </w:r>
            <w:r>
              <w:rPr>
                <w:rFonts w:hint="eastAsia" w:ascii="宋体" w:hAnsi="宋体"/>
              </w:rPr>
              <w:t>人次</w:t>
            </w:r>
          </w:p>
        </w:tc>
      </w:tr>
      <w:tr w14:paraId="75405394">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579AB29D">
            <w:pPr>
              <w:widowControl/>
              <w:jc w:val="left"/>
              <w:rPr>
                <w:rFonts w:ascii="宋体" w:hAnsi="宋体"/>
              </w:rPr>
            </w:pPr>
            <w:r>
              <w:rPr>
                <w:rFonts w:ascii="宋体" w:hAnsi="宋体"/>
              </w:rPr>
              <w:t>5</w:t>
            </w:r>
          </w:p>
        </w:tc>
        <w:tc>
          <w:tcPr>
            <w:tcW w:w="4320" w:type="dxa"/>
            <w:tcBorders>
              <w:top w:val="single" w:color="auto" w:sz="4" w:space="0"/>
              <w:left w:val="nil"/>
              <w:bottom w:val="single" w:color="auto" w:sz="4" w:space="0"/>
              <w:right w:val="single" w:color="auto" w:sz="4" w:space="0"/>
            </w:tcBorders>
            <w:vAlign w:val="center"/>
          </w:tcPr>
          <w:p w14:paraId="79740590">
            <w:pPr>
              <w:widowControl/>
              <w:rPr>
                <w:rFonts w:ascii="宋体" w:hAnsi="宋体"/>
              </w:rPr>
            </w:pPr>
            <w:r>
              <w:rPr>
                <w:rFonts w:hint="eastAsia" w:ascii="宋体" w:hAnsi="宋体"/>
              </w:rPr>
              <w:t>项目经理跨项目管理</w:t>
            </w:r>
          </w:p>
        </w:tc>
        <w:tc>
          <w:tcPr>
            <w:tcW w:w="1410" w:type="dxa"/>
            <w:tcBorders>
              <w:top w:val="nil"/>
              <w:left w:val="nil"/>
              <w:bottom w:val="single" w:color="auto" w:sz="4" w:space="0"/>
              <w:right w:val="single" w:color="auto" w:sz="4" w:space="0"/>
            </w:tcBorders>
            <w:vAlign w:val="center"/>
          </w:tcPr>
          <w:p w14:paraId="678C86D3">
            <w:pPr>
              <w:widowControl/>
              <w:jc w:val="left"/>
              <w:rPr>
                <w:rFonts w:ascii="宋体" w:hAnsi="宋体"/>
              </w:rPr>
            </w:pPr>
            <w:r>
              <w:rPr>
                <w:rFonts w:hint="eastAsia" w:ascii="宋体" w:hAnsi="宋体"/>
              </w:rPr>
              <w:t>限期纠正</w:t>
            </w:r>
          </w:p>
        </w:tc>
        <w:tc>
          <w:tcPr>
            <w:tcW w:w="2170" w:type="dxa"/>
            <w:tcBorders>
              <w:top w:val="nil"/>
              <w:left w:val="nil"/>
              <w:bottom w:val="single" w:color="auto" w:sz="4" w:space="0"/>
              <w:right w:val="single" w:color="auto" w:sz="4" w:space="0"/>
            </w:tcBorders>
            <w:vAlign w:val="center"/>
          </w:tcPr>
          <w:p w14:paraId="6601C9D7">
            <w:pPr>
              <w:widowControl/>
              <w:jc w:val="left"/>
              <w:rPr>
                <w:rFonts w:ascii="宋体" w:hAnsi="宋体"/>
              </w:rPr>
            </w:pPr>
            <w:r>
              <w:rPr>
                <w:rFonts w:ascii="宋体" w:hAnsi="宋体"/>
              </w:rPr>
              <w:t>10000-30000</w:t>
            </w:r>
            <w:r>
              <w:rPr>
                <w:rFonts w:hint="eastAsia" w:ascii="宋体" w:hAnsi="宋体"/>
              </w:rPr>
              <w:t>元</w:t>
            </w:r>
            <w:r>
              <w:rPr>
                <w:rFonts w:ascii="宋体" w:hAnsi="宋体"/>
              </w:rPr>
              <w:t>/</w:t>
            </w:r>
            <w:r>
              <w:rPr>
                <w:rFonts w:hint="eastAsia" w:ascii="宋体" w:hAnsi="宋体"/>
              </w:rPr>
              <w:t>次</w:t>
            </w:r>
          </w:p>
        </w:tc>
      </w:tr>
      <w:tr w14:paraId="2CECBE39">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2FB5CF8A">
            <w:pPr>
              <w:widowControl/>
              <w:jc w:val="left"/>
              <w:rPr>
                <w:rFonts w:ascii="宋体" w:hAnsi="宋体"/>
              </w:rPr>
            </w:pPr>
            <w:r>
              <w:rPr>
                <w:rFonts w:ascii="宋体" w:hAnsi="宋体"/>
              </w:rPr>
              <w:t>6</w:t>
            </w:r>
          </w:p>
        </w:tc>
        <w:tc>
          <w:tcPr>
            <w:tcW w:w="4320" w:type="dxa"/>
            <w:tcBorders>
              <w:top w:val="single" w:color="auto" w:sz="4" w:space="0"/>
              <w:left w:val="nil"/>
              <w:bottom w:val="single" w:color="auto" w:sz="4" w:space="0"/>
              <w:right w:val="single" w:color="auto" w:sz="4" w:space="0"/>
            </w:tcBorders>
            <w:vAlign w:val="center"/>
          </w:tcPr>
          <w:p w14:paraId="6DD67E69">
            <w:pPr>
              <w:widowControl/>
              <w:rPr>
                <w:rFonts w:ascii="宋体" w:hAnsi="宋体"/>
              </w:rPr>
            </w:pPr>
            <w:r>
              <w:rPr>
                <w:rFonts w:hint="eastAsia" w:ascii="宋体" w:hAnsi="宋体"/>
              </w:rPr>
              <w:t>违反现场各种规章制度</w:t>
            </w:r>
          </w:p>
        </w:tc>
        <w:tc>
          <w:tcPr>
            <w:tcW w:w="1410" w:type="dxa"/>
            <w:tcBorders>
              <w:top w:val="nil"/>
              <w:left w:val="nil"/>
              <w:bottom w:val="single" w:color="auto" w:sz="4" w:space="0"/>
              <w:right w:val="single" w:color="auto" w:sz="4" w:space="0"/>
            </w:tcBorders>
            <w:vAlign w:val="center"/>
          </w:tcPr>
          <w:p w14:paraId="28C83845">
            <w:pPr>
              <w:widowControl/>
              <w:jc w:val="left"/>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2763AB7A">
            <w:pPr>
              <w:widowControl/>
              <w:jc w:val="left"/>
              <w:rPr>
                <w:rFonts w:ascii="宋体" w:hAnsi="宋体"/>
              </w:rPr>
            </w:pPr>
            <w:r>
              <w:rPr>
                <w:rFonts w:ascii="宋体" w:hAnsi="宋体"/>
              </w:rPr>
              <w:t>500</w:t>
            </w:r>
            <w:r>
              <w:rPr>
                <w:rFonts w:hint="eastAsia" w:ascii="宋体" w:hAnsi="宋体"/>
              </w:rPr>
              <w:t>元</w:t>
            </w:r>
            <w:r>
              <w:rPr>
                <w:rFonts w:ascii="宋体" w:hAnsi="宋体"/>
              </w:rPr>
              <w:t>/</w:t>
            </w:r>
            <w:r>
              <w:rPr>
                <w:rFonts w:hint="eastAsia" w:ascii="宋体" w:hAnsi="宋体"/>
              </w:rPr>
              <w:t>次</w:t>
            </w:r>
          </w:p>
        </w:tc>
      </w:tr>
      <w:tr w14:paraId="6AF79B12">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427E2B2E">
            <w:pPr>
              <w:widowControl/>
              <w:jc w:val="left"/>
              <w:rPr>
                <w:rFonts w:ascii="宋体" w:hAnsi="宋体"/>
              </w:rPr>
            </w:pPr>
            <w:r>
              <w:rPr>
                <w:rFonts w:ascii="宋体" w:hAnsi="宋体"/>
              </w:rPr>
              <w:t>7</w:t>
            </w:r>
          </w:p>
        </w:tc>
        <w:tc>
          <w:tcPr>
            <w:tcW w:w="4320" w:type="dxa"/>
            <w:tcBorders>
              <w:top w:val="single" w:color="auto" w:sz="4" w:space="0"/>
              <w:left w:val="nil"/>
              <w:bottom w:val="single" w:color="auto" w:sz="4" w:space="0"/>
              <w:right w:val="single" w:color="auto" w:sz="4" w:space="0"/>
            </w:tcBorders>
            <w:vAlign w:val="center"/>
          </w:tcPr>
          <w:p w14:paraId="5C9FB9C4">
            <w:pPr>
              <w:widowControl/>
              <w:rPr>
                <w:rFonts w:ascii="宋体" w:hAnsi="宋体"/>
              </w:rPr>
            </w:pPr>
            <w:r>
              <w:rPr>
                <w:rFonts w:hint="eastAsia" w:ascii="宋体" w:hAnsi="宋体"/>
              </w:rPr>
              <w:t>会议（含现场检查）无故迟到</w:t>
            </w:r>
          </w:p>
        </w:tc>
        <w:tc>
          <w:tcPr>
            <w:tcW w:w="1410" w:type="dxa"/>
            <w:tcBorders>
              <w:top w:val="nil"/>
              <w:left w:val="nil"/>
              <w:bottom w:val="single" w:color="auto" w:sz="4" w:space="0"/>
              <w:right w:val="single" w:color="auto" w:sz="4" w:space="0"/>
            </w:tcBorders>
            <w:vAlign w:val="center"/>
          </w:tcPr>
          <w:p w14:paraId="67656747">
            <w:pPr>
              <w:widowControl/>
              <w:jc w:val="left"/>
              <w:rPr>
                <w:rFonts w:ascii="宋体" w:hAnsi="宋体"/>
              </w:rPr>
            </w:pPr>
          </w:p>
        </w:tc>
        <w:tc>
          <w:tcPr>
            <w:tcW w:w="2170" w:type="dxa"/>
            <w:tcBorders>
              <w:top w:val="nil"/>
              <w:left w:val="nil"/>
              <w:bottom w:val="single" w:color="auto" w:sz="4" w:space="0"/>
              <w:right w:val="single" w:color="auto" w:sz="4" w:space="0"/>
            </w:tcBorders>
            <w:vAlign w:val="center"/>
          </w:tcPr>
          <w:p w14:paraId="264F00A3">
            <w:pPr>
              <w:widowControl/>
              <w:jc w:val="left"/>
              <w:rPr>
                <w:rFonts w:ascii="宋体" w:hAnsi="宋体"/>
              </w:rPr>
            </w:pPr>
            <w:r>
              <w:rPr>
                <w:rFonts w:ascii="宋体" w:hAnsi="宋体"/>
              </w:rPr>
              <w:t>5</w:t>
            </w:r>
            <w:r>
              <w:rPr>
                <w:rFonts w:hint="eastAsia" w:ascii="宋体" w:hAnsi="宋体"/>
              </w:rPr>
              <w:t>分钟以内</w:t>
            </w:r>
            <w:r>
              <w:rPr>
                <w:rFonts w:ascii="宋体" w:hAnsi="宋体"/>
              </w:rPr>
              <w:t>200-500</w:t>
            </w:r>
            <w:r>
              <w:rPr>
                <w:rFonts w:hint="eastAsia" w:ascii="宋体" w:hAnsi="宋体"/>
              </w:rPr>
              <w:t>元</w:t>
            </w:r>
            <w:r>
              <w:rPr>
                <w:rFonts w:ascii="宋体" w:hAnsi="宋体"/>
              </w:rPr>
              <w:t>/</w:t>
            </w:r>
            <w:r>
              <w:rPr>
                <w:rFonts w:hint="eastAsia" w:ascii="宋体" w:hAnsi="宋体"/>
              </w:rPr>
              <w:t>人</w:t>
            </w:r>
          </w:p>
          <w:p w14:paraId="707981E4">
            <w:pPr>
              <w:widowControl/>
              <w:jc w:val="left"/>
              <w:rPr>
                <w:rFonts w:ascii="宋体" w:hAnsi="宋体"/>
              </w:rPr>
            </w:pPr>
            <w:r>
              <w:rPr>
                <w:rFonts w:ascii="宋体" w:hAnsi="宋体"/>
              </w:rPr>
              <w:t>5</w:t>
            </w:r>
            <w:r>
              <w:rPr>
                <w:rFonts w:hint="eastAsia" w:ascii="宋体" w:hAnsi="宋体"/>
              </w:rPr>
              <w:t>分钟以上</w:t>
            </w:r>
            <w:r>
              <w:rPr>
                <w:rFonts w:ascii="宋体" w:hAnsi="宋体"/>
              </w:rPr>
              <w:t>500</w:t>
            </w:r>
            <w:r>
              <w:rPr>
                <w:rFonts w:hint="eastAsia" w:ascii="宋体" w:hAnsi="宋体"/>
              </w:rPr>
              <w:t>元</w:t>
            </w:r>
            <w:r>
              <w:rPr>
                <w:rFonts w:ascii="宋体" w:hAnsi="宋体"/>
              </w:rPr>
              <w:t>/</w:t>
            </w:r>
            <w:r>
              <w:rPr>
                <w:rFonts w:hint="eastAsia" w:ascii="宋体" w:hAnsi="宋体"/>
              </w:rPr>
              <w:t>人</w:t>
            </w:r>
          </w:p>
        </w:tc>
      </w:tr>
      <w:tr w14:paraId="64C00DE1">
        <w:tblPrEx>
          <w:tblCellMar>
            <w:top w:w="0" w:type="dxa"/>
            <w:left w:w="108" w:type="dxa"/>
            <w:bottom w:w="0" w:type="dxa"/>
            <w:right w:w="108" w:type="dxa"/>
          </w:tblCellMar>
        </w:tblPrEx>
        <w:trPr>
          <w:trHeight w:val="499" w:hRule="atLeast"/>
        </w:trPr>
        <w:tc>
          <w:tcPr>
            <w:tcW w:w="426" w:type="dxa"/>
            <w:tcBorders>
              <w:top w:val="nil"/>
              <w:left w:val="single" w:color="auto" w:sz="4" w:space="0"/>
              <w:bottom w:val="single" w:color="auto" w:sz="4" w:space="0"/>
              <w:right w:val="single" w:color="auto" w:sz="4" w:space="0"/>
            </w:tcBorders>
            <w:vAlign w:val="center"/>
          </w:tcPr>
          <w:p w14:paraId="23ACF253">
            <w:pPr>
              <w:widowControl/>
              <w:jc w:val="left"/>
              <w:rPr>
                <w:rFonts w:ascii="宋体" w:hAnsi="宋体"/>
              </w:rPr>
            </w:pPr>
            <w:r>
              <w:rPr>
                <w:rFonts w:ascii="宋体" w:hAnsi="宋体"/>
              </w:rPr>
              <w:t>8</w:t>
            </w:r>
          </w:p>
        </w:tc>
        <w:tc>
          <w:tcPr>
            <w:tcW w:w="4320" w:type="dxa"/>
            <w:tcBorders>
              <w:top w:val="single" w:color="auto" w:sz="4" w:space="0"/>
              <w:left w:val="nil"/>
              <w:bottom w:val="single" w:color="auto" w:sz="4" w:space="0"/>
              <w:right w:val="single" w:color="auto" w:sz="4" w:space="0"/>
            </w:tcBorders>
            <w:vAlign w:val="center"/>
          </w:tcPr>
          <w:p w14:paraId="24E4001A">
            <w:pPr>
              <w:widowControl/>
              <w:rPr>
                <w:rFonts w:ascii="宋体" w:hAnsi="宋体"/>
              </w:rPr>
            </w:pPr>
            <w:r>
              <w:rPr>
                <w:rFonts w:hint="eastAsia" w:ascii="宋体" w:hAnsi="宋体"/>
              </w:rPr>
              <w:t>会议（含现场检查）无故缺席</w:t>
            </w:r>
          </w:p>
        </w:tc>
        <w:tc>
          <w:tcPr>
            <w:tcW w:w="1410" w:type="dxa"/>
            <w:tcBorders>
              <w:top w:val="nil"/>
              <w:left w:val="nil"/>
              <w:bottom w:val="single" w:color="auto" w:sz="4" w:space="0"/>
              <w:right w:val="single" w:color="auto" w:sz="4" w:space="0"/>
            </w:tcBorders>
            <w:vAlign w:val="center"/>
          </w:tcPr>
          <w:p w14:paraId="4CAB9DD8">
            <w:pPr>
              <w:widowControl/>
              <w:jc w:val="left"/>
              <w:rPr>
                <w:rFonts w:ascii="宋体" w:hAnsi="宋体"/>
              </w:rPr>
            </w:pPr>
          </w:p>
        </w:tc>
        <w:tc>
          <w:tcPr>
            <w:tcW w:w="2170" w:type="dxa"/>
            <w:tcBorders>
              <w:top w:val="nil"/>
              <w:left w:val="nil"/>
              <w:bottom w:val="single" w:color="auto" w:sz="4" w:space="0"/>
              <w:right w:val="single" w:color="auto" w:sz="4" w:space="0"/>
            </w:tcBorders>
            <w:vAlign w:val="center"/>
          </w:tcPr>
          <w:p w14:paraId="390E8CC1">
            <w:pPr>
              <w:widowControl/>
              <w:jc w:val="left"/>
              <w:rPr>
                <w:rFonts w:ascii="宋体" w:hAnsi="宋体"/>
              </w:rPr>
            </w:pPr>
            <w:r>
              <w:rPr>
                <w:rFonts w:ascii="宋体" w:hAnsi="宋体"/>
              </w:rPr>
              <w:t>1000</w:t>
            </w:r>
            <w:r>
              <w:rPr>
                <w:rFonts w:hint="eastAsia" w:ascii="宋体" w:hAnsi="宋体"/>
              </w:rPr>
              <w:t>元</w:t>
            </w:r>
            <w:r>
              <w:rPr>
                <w:rFonts w:ascii="宋体" w:hAnsi="宋体"/>
              </w:rPr>
              <w:t>/</w:t>
            </w:r>
            <w:r>
              <w:rPr>
                <w:rFonts w:hint="eastAsia" w:ascii="宋体" w:hAnsi="宋体"/>
              </w:rPr>
              <w:t>次</w:t>
            </w:r>
          </w:p>
        </w:tc>
      </w:tr>
      <w:tr w14:paraId="6689C157">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32474EE7">
            <w:pPr>
              <w:widowControl/>
              <w:jc w:val="left"/>
              <w:rPr>
                <w:rFonts w:ascii="宋体" w:hAnsi="宋体"/>
              </w:rPr>
            </w:pPr>
            <w:r>
              <w:rPr>
                <w:rFonts w:ascii="宋体" w:hAnsi="宋体"/>
              </w:rPr>
              <w:t>9</w:t>
            </w:r>
          </w:p>
        </w:tc>
        <w:tc>
          <w:tcPr>
            <w:tcW w:w="4320" w:type="dxa"/>
            <w:tcBorders>
              <w:top w:val="single" w:color="auto" w:sz="4" w:space="0"/>
              <w:left w:val="nil"/>
              <w:bottom w:val="single" w:color="auto" w:sz="4" w:space="0"/>
              <w:right w:val="single" w:color="auto" w:sz="4" w:space="0"/>
            </w:tcBorders>
            <w:vAlign w:val="center"/>
          </w:tcPr>
          <w:p w14:paraId="17EE36B5">
            <w:pPr>
              <w:widowControl/>
              <w:rPr>
                <w:rFonts w:ascii="宋体" w:hAnsi="宋体"/>
              </w:rPr>
            </w:pPr>
            <w:r>
              <w:rPr>
                <w:rFonts w:hint="eastAsia" w:ascii="宋体" w:hAnsi="宋体"/>
              </w:rPr>
              <w:t>对发包人</w:t>
            </w:r>
            <w:r>
              <w:rPr>
                <w:rFonts w:ascii="宋体" w:hAnsi="宋体"/>
              </w:rPr>
              <w:t>/</w:t>
            </w:r>
            <w:r>
              <w:rPr>
                <w:rFonts w:hint="eastAsia" w:ascii="宋体" w:hAnsi="宋体"/>
              </w:rPr>
              <w:t>监理指令、会议决议执行不力，经一次督促仍未完成</w:t>
            </w:r>
          </w:p>
        </w:tc>
        <w:tc>
          <w:tcPr>
            <w:tcW w:w="1410" w:type="dxa"/>
            <w:tcBorders>
              <w:top w:val="nil"/>
              <w:left w:val="nil"/>
              <w:bottom w:val="single" w:color="auto" w:sz="4" w:space="0"/>
              <w:right w:val="single" w:color="auto" w:sz="4" w:space="0"/>
            </w:tcBorders>
            <w:vAlign w:val="center"/>
          </w:tcPr>
          <w:p w14:paraId="09E63C30">
            <w:pPr>
              <w:widowControl/>
              <w:jc w:val="left"/>
              <w:rPr>
                <w:rFonts w:ascii="宋体" w:hAnsi="宋体"/>
              </w:rPr>
            </w:pPr>
            <w:r>
              <w:rPr>
                <w:rFonts w:hint="eastAsia" w:ascii="宋体" w:hAnsi="宋体"/>
              </w:rPr>
              <w:t>限期完成</w:t>
            </w:r>
          </w:p>
        </w:tc>
        <w:tc>
          <w:tcPr>
            <w:tcW w:w="2170" w:type="dxa"/>
            <w:tcBorders>
              <w:top w:val="nil"/>
              <w:left w:val="nil"/>
              <w:bottom w:val="single" w:color="auto" w:sz="4" w:space="0"/>
              <w:right w:val="single" w:color="auto" w:sz="4" w:space="0"/>
            </w:tcBorders>
            <w:vAlign w:val="center"/>
          </w:tcPr>
          <w:p w14:paraId="628CFD0F">
            <w:pPr>
              <w:widowControl/>
              <w:jc w:val="left"/>
              <w:rPr>
                <w:rFonts w:ascii="宋体" w:hAnsi="宋体"/>
              </w:rPr>
            </w:pPr>
            <w:r>
              <w:rPr>
                <w:rFonts w:ascii="宋体" w:hAnsi="宋体"/>
              </w:rPr>
              <w:t>1000-5000</w:t>
            </w:r>
            <w:r>
              <w:rPr>
                <w:rFonts w:hint="eastAsia" w:ascii="宋体" w:hAnsi="宋体"/>
              </w:rPr>
              <w:t>元</w:t>
            </w:r>
            <w:r>
              <w:rPr>
                <w:rFonts w:ascii="宋体" w:hAnsi="宋体"/>
              </w:rPr>
              <w:t>/</w:t>
            </w:r>
            <w:r>
              <w:rPr>
                <w:rFonts w:hint="eastAsia" w:ascii="宋体" w:hAnsi="宋体"/>
              </w:rPr>
              <w:t>次</w:t>
            </w:r>
          </w:p>
        </w:tc>
      </w:tr>
      <w:tr w14:paraId="0EA19B1B">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6C6E02A4">
            <w:pPr>
              <w:widowControl/>
              <w:jc w:val="left"/>
              <w:rPr>
                <w:rFonts w:ascii="宋体" w:hAnsi="宋体"/>
              </w:rPr>
            </w:pPr>
            <w:r>
              <w:rPr>
                <w:rFonts w:ascii="宋体" w:hAnsi="宋体"/>
              </w:rPr>
              <w:t>10</w:t>
            </w:r>
          </w:p>
        </w:tc>
        <w:tc>
          <w:tcPr>
            <w:tcW w:w="4320" w:type="dxa"/>
            <w:tcBorders>
              <w:top w:val="single" w:color="auto" w:sz="4" w:space="0"/>
              <w:left w:val="nil"/>
              <w:bottom w:val="single" w:color="auto" w:sz="4" w:space="0"/>
              <w:right w:val="single" w:color="auto" w:sz="4" w:space="0"/>
            </w:tcBorders>
            <w:vAlign w:val="center"/>
          </w:tcPr>
          <w:p w14:paraId="7DEEED35">
            <w:pPr>
              <w:widowControl/>
              <w:rPr>
                <w:rFonts w:ascii="宋体" w:hAnsi="宋体"/>
              </w:rPr>
            </w:pPr>
            <w:r>
              <w:rPr>
                <w:rFonts w:hint="eastAsia" w:ascii="宋体" w:hAnsi="宋体"/>
              </w:rPr>
              <w:t>付款不及时、拖欠分包单位民工工资致使民工聚众滋事、围堵售楼部或发生上访事件</w:t>
            </w:r>
          </w:p>
        </w:tc>
        <w:tc>
          <w:tcPr>
            <w:tcW w:w="1410" w:type="dxa"/>
            <w:tcBorders>
              <w:top w:val="nil"/>
              <w:left w:val="nil"/>
              <w:bottom w:val="single" w:color="auto" w:sz="4" w:space="0"/>
              <w:right w:val="single" w:color="auto" w:sz="4" w:space="0"/>
            </w:tcBorders>
            <w:vAlign w:val="center"/>
          </w:tcPr>
          <w:p w14:paraId="796686D3">
            <w:pPr>
              <w:widowControl/>
              <w:jc w:val="left"/>
              <w:rPr>
                <w:rFonts w:ascii="宋体" w:hAnsi="宋体"/>
              </w:rPr>
            </w:pPr>
            <w:r>
              <w:rPr>
                <w:rFonts w:hint="eastAsia" w:ascii="宋体" w:hAnsi="宋体"/>
              </w:rPr>
              <w:t>限期解决</w:t>
            </w:r>
          </w:p>
        </w:tc>
        <w:tc>
          <w:tcPr>
            <w:tcW w:w="2170" w:type="dxa"/>
            <w:tcBorders>
              <w:top w:val="nil"/>
              <w:left w:val="nil"/>
              <w:bottom w:val="single" w:color="auto" w:sz="4" w:space="0"/>
              <w:right w:val="single" w:color="auto" w:sz="4" w:space="0"/>
            </w:tcBorders>
            <w:vAlign w:val="center"/>
          </w:tcPr>
          <w:p w14:paraId="4ACED0F1">
            <w:pPr>
              <w:widowControl/>
              <w:jc w:val="left"/>
              <w:rPr>
                <w:rFonts w:ascii="宋体" w:hAnsi="宋体"/>
              </w:rPr>
            </w:pPr>
            <w:r>
              <w:rPr>
                <w:rFonts w:ascii="宋体" w:hAnsi="宋体"/>
              </w:rPr>
              <w:t>100000-200000</w:t>
            </w:r>
            <w:r>
              <w:rPr>
                <w:rFonts w:hint="eastAsia" w:ascii="宋体" w:hAnsi="宋体"/>
              </w:rPr>
              <w:t>元</w:t>
            </w:r>
            <w:r>
              <w:rPr>
                <w:rFonts w:ascii="宋体" w:hAnsi="宋体"/>
              </w:rPr>
              <w:t>/</w:t>
            </w:r>
            <w:r>
              <w:rPr>
                <w:rFonts w:hint="eastAsia" w:ascii="宋体" w:hAnsi="宋体"/>
              </w:rPr>
              <w:t>次</w:t>
            </w:r>
          </w:p>
        </w:tc>
      </w:tr>
      <w:tr w14:paraId="5A4ADEBE">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0A5D72FC">
            <w:pPr>
              <w:widowControl/>
              <w:jc w:val="left"/>
              <w:rPr>
                <w:rFonts w:ascii="宋体" w:hAnsi="宋体"/>
              </w:rPr>
            </w:pPr>
            <w:r>
              <w:rPr>
                <w:rFonts w:ascii="宋体" w:hAnsi="宋体"/>
              </w:rPr>
              <w:t>11</w:t>
            </w:r>
          </w:p>
        </w:tc>
        <w:tc>
          <w:tcPr>
            <w:tcW w:w="4320" w:type="dxa"/>
            <w:tcBorders>
              <w:top w:val="single" w:color="auto" w:sz="4" w:space="0"/>
              <w:left w:val="nil"/>
              <w:bottom w:val="single" w:color="auto" w:sz="4" w:space="0"/>
              <w:right w:val="single" w:color="auto" w:sz="4" w:space="0"/>
            </w:tcBorders>
            <w:vAlign w:val="center"/>
          </w:tcPr>
          <w:p w14:paraId="01DDA8E1">
            <w:pPr>
              <w:widowControl/>
              <w:rPr>
                <w:rFonts w:ascii="宋体" w:hAnsi="宋体"/>
              </w:rPr>
            </w:pPr>
            <w:r>
              <w:rPr>
                <w:rFonts w:hint="eastAsia" w:ascii="宋体" w:hAnsi="宋体"/>
              </w:rPr>
              <w:t>未按期或按要求向监理单位上报工程周报</w:t>
            </w:r>
          </w:p>
        </w:tc>
        <w:tc>
          <w:tcPr>
            <w:tcW w:w="1410" w:type="dxa"/>
            <w:tcBorders>
              <w:top w:val="nil"/>
              <w:left w:val="nil"/>
              <w:bottom w:val="single" w:color="auto" w:sz="4" w:space="0"/>
              <w:right w:val="single" w:color="auto" w:sz="4" w:space="0"/>
            </w:tcBorders>
            <w:vAlign w:val="center"/>
          </w:tcPr>
          <w:p w14:paraId="6FFFD2B0">
            <w:pPr>
              <w:widowControl/>
              <w:jc w:val="left"/>
              <w:rPr>
                <w:rFonts w:ascii="宋体" w:hAnsi="宋体"/>
              </w:rPr>
            </w:pPr>
            <w:r>
              <w:rPr>
                <w:rFonts w:hint="eastAsia" w:ascii="宋体" w:hAnsi="宋体"/>
              </w:rPr>
              <w:t>限期完成</w:t>
            </w:r>
          </w:p>
        </w:tc>
        <w:tc>
          <w:tcPr>
            <w:tcW w:w="2170" w:type="dxa"/>
            <w:tcBorders>
              <w:top w:val="nil"/>
              <w:left w:val="nil"/>
              <w:bottom w:val="single" w:color="auto" w:sz="4" w:space="0"/>
              <w:right w:val="single" w:color="auto" w:sz="4" w:space="0"/>
            </w:tcBorders>
            <w:vAlign w:val="center"/>
          </w:tcPr>
          <w:p w14:paraId="54668B8F">
            <w:pPr>
              <w:widowControl/>
              <w:jc w:val="left"/>
              <w:rPr>
                <w:rFonts w:ascii="宋体" w:hAnsi="宋体"/>
              </w:rPr>
            </w:pPr>
            <w:r>
              <w:rPr>
                <w:rFonts w:ascii="宋体" w:hAnsi="宋体"/>
              </w:rPr>
              <w:t>2000</w:t>
            </w:r>
            <w:r>
              <w:rPr>
                <w:rFonts w:hint="eastAsia" w:ascii="宋体" w:hAnsi="宋体"/>
              </w:rPr>
              <w:t>元</w:t>
            </w:r>
            <w:r>
              <w:rPr>
                <w:rFonts w:ascii="宋体" w:hAnsi="宋体"/>
              </w:rPr>
              <w:t>/</w:t>
            </w:r>
            <w:r>
              <w:rPr>
                <w:rFonts w:hint="eastAsia" w:ascii="宋体" w:hAnsi="宋体"/>
              </w:rPr>
              <w:t>次</w:t>
            </w:r>
          </w:p>
        </w:tc>
      </w:tr>
      <w:tr w14:paraId="31832E65">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65D878F2">
            <w:pPr>
              <w:widowControl/>
              <w:jc w:val="left"/>
              <w:rPr>
                <w:rFonts w:ascii="宋体" w:hAnsi="宋体"/>
              </w:rPr>
            </w:pPr>
            <w:r>
              <w:rPr>
                <w:rFonts w:ascii="宋体" w:hAnsi="宋体"/>
              </w:rPr>
              <w:t>12</w:t>
            </w:r>
          </w:p>
        </w:tc>
        <w:tc>
          <w:tcPr>
            <w:tcW w:w="4320" w:type="dxa"/>
            <w:tcBorders>
              <w:top w:val="single" w:color="auto" w:sz="4" w:space="0"/>
              <w:left w:val="nil"/>
              <w:bottom w:val="single" w:color="auto" w:sz="4" w:space="0"/>
              <w:right w:val="single" w:color="auto" w:sz="4" w:space="0"/>
            </w:tcBorders>
            <w:vAlign w:val="center"/>
          </w:tcPr>
          <w:p w14:paraId="49CB07CE">
            <w:pPr>
              <w:widowControl/>
              <w:rPr>
                <w:rFonts w:ascii="宋体" w:hAnsi="宋体"/>
              </w:rPr>
            </w:pPr>
            <w:r>
              <w:rPr>
                <w:rFonts w:hint="eastAsia" w:ascii="宋体" w:hAnsi="宋体"/>
              </w:rPr>
              <w:t>未按期或按要求向监理单位上报工程月报</w:t>
            </w:r>
          </w:p>
        </w:tc>
        <w:tc>
          <w:tcPr>
            <w:tcW w:w="1410" w:type="dxa"/>
            <w:tcBorders>
              <w:top w:val="nil"/>
              <w:left w:val="nil"/>
              <w:bottom w:val="single" w:color="auto" w:sz="4" w:space="0"/>
              <w:right w:val="single" w:color="auto" w:sz="4" w:space="0"/>
            </w:tcBorders>
            <w:vAlign w:val="center"/>
          </w:tcPr>
          <w:p w14:paraId="52403391">
            <w:pPr>
              <w:widowControl/>
              <w:jc w:val="left"/>
              <w:rPr>
                <w:rFonts w:ascii="宋体" w:hAnsi="宋体"/>
              </w:rPr>
            </w:pPr>
            <w:r>
              <w:rPr>
                <w:rFonts w:hint="eastAsia" w:ascii="宋体" w:hAnsi="宋体"/>
              </w:rPr>
              <w:t>限期完成</w:t>
            </w:r>
          </w:p>
        </w:tc>
        <w:tc>
          <w:tcPr>
            <w:tcW w:w="2170" w:type="dxa"/>
            <w:tcBorders>
              <w:top w:val="nil"/>
              <w:left w:val="nil"/>
              <w:bottom w:val="single" w:color="auto" w:sz="4" w:space="0"/>
              <w:right w:val="single" w:color="auto" w:sz="4" w:space="0"/>
            </w:tcBorders>
            <w:vAlign w:val="center"/>
          </w:tcPr>
          <w:p w14:paraId="26CD02AE">
            <w:pPr>
              <w:widowControl/>
              <w:jc w:val="left"/>
              <w:rPr>
                <w:rFonts w:ascii="宋体" w:hAnsi="宋体"/>
              </w:rPr>
            </w:pPr>
            <w:r>
              <w:rPr>
                <w:rFonts w:ascii="宋体" w:hAnsi="宋体"/>
              </w:rPr>
              <w:t>5000</w:t>
            </w:r>
            <w:r>
              <w:rPr>
                <w:rFonts w:hint="eastAsia" w:ascii="宋体" w:hAnsi="宋体"/>
              </w:rPr>
              <w:t>元</w:t>
            </w:r>
            <w:r>
              <w:rPr>
                <w:rFonts w:ascii="宋体" w:hAnsi="宋体"/>
              </w:rPr>
              <w:t>/</w:t>
            </w:r>
            <w:r>
              <w:rPr>
                <w:rFonts w:hint="eastAsia" w:ascii="宋体" w:hAnsi="宋体"/>
              </w:rPr>
              <w:t>次</w:t>
            </w:r>
          </w:p>
        </w:tc>
      </w:tr>
      <w:tr w14:paraId="3CE9FAA7">
        <w:tblPrEx>
          <w:tblCellMar>
            <w:top w:w="0" w:type="dxa"/>
            <w:left w:w="108" w:type="dxa"/>
            <w:bottom w:w="0" w:type="dxa"/>
            <w:right w:w="108" w:type="dxa"/>
          </w:tblCellMar>
        </w:tblPrEx>
        <w:trPr>
          <w:trHeight w:val="434" w:hRule="atLeast"/>
        </w:trPr>
        <w:tc>
          <w:tcPr>
            <w:tcW w:w="426" w:type="dxa"/>
            <w:tcBorders>
              <w:top w:val="single" w:color="auto" w:sz="4" w:space="0"/>
              <w:left w:val="single" w:color="auto" w:sz="4" w:space="0"/>
              <w:bottom w:val="single" w:color="auto" w:sz="4" w:space="0"/>
              <w:right w:val="single" w:color="auto" w:sz="4" w:space="0"/>
            </w:tcBorders>
            <w:vAlign w:val="center"/>
          </w:tcPr>
          <w:p w14:paraId="4A50D6FC">
            <w:pPr>
              <w:widowControl/>
              <w:jc w:val="left"/>
              <w:rPr>
                <w:rFonts w:ascii="宋体" w:hAnsi="宋体"/>
              </w:rPr>
            </w:pPr>
            <w:r>
              <w:rPr>
                <w:rFonts w:hint="eastAsia" w:ascii="宋体" w:hAnsi="宋体"/>
              </w:rPr>
              <w:t>六</w:t>
            </w:r>
          </w:p>
        </w:tc>
        <w:tc>
          <w:tcPr>
            <w:tcW w:w="4320" w:type="dxa"/>
            <w:tcBorders>
              <w:top w:val="single" w:color="auto" w:sz="4" w:space="0"/>
              <w:left w:val="nil"/>
              <w:bottom w:val="single" w:color="auto" w:sz="4" w:space="0"/>
              <w:right w:val="single" w:color="auto" w:sz="4" w:space="0"/>
            </w:tcBorders>
            <w:vAlign w:val="center"/>
          </w:tcPr>
          <w:p w14:paraId="5B555E89">
            <w:pPr>
              <w:widowControl/>
              <w:rPr>
                <w:rFonts w:ascii="宋体" w:hAnsi="宋体"/>
              </w:rPr>
            </w:pPr>
            <w:r>
              <w:rPr>
                <w:rFonts w:hint="eastAsia" w:ascii="宋体" w:hAnsi="宋体"/>
              </w:rPr>
              <w:t>材料管理</w:t>
            </w:r>
          </w:p>
        </w:tc>
        <w:tc>
          <w:tcPr>
            <w:tcW w:w="1410" w:type="dxa"/>
            <w:tcBorders>
              <w:top w:val="single" w:color="auto" w:sz="4" w:space="0"/>
              <w:left w:val="nil"/>
              <w:bottom w:val="single" w:color="auto" w:sz="4" w:space="0"/>
              <w:right w:val="single" w:color="auto" w:sz="4" w:space="0"/>
            </w:tcBorders>
            <w:vAlign w:val="center"/>
          </w:tcPr>
          <w:p w14:paraId="22366045">
            <w:pPr>
              <w:widowControl/>
              <w:rPr>
                <w:rFonts w:ascii="宋体" w:hAnsi="宋体"/>
              </w:rPr>
            </w:pPr>
          </w:p>
        </w:tc>
        <w:tc>
          <w:tcPr>
            <w:tcW w:w="2170" w:type="dxa"/>
            <w:tcBorders>
              <w:top w:val="single" w:color="auto" w:sz="4" w:space="0"/>
              <w:left w:val="nil"/>
              <w:bottom w:val="single" w:color="auto" w:sz="4" w:space="0"/>
              <w:right w:val="single" w:color="auto" w:sz="4" w:space="0"/>
            </w:tcBorders>
            <w:vAlign w:val="center"/>
          </w:tcPr>
          <w:p w14:paraId="3A82048C">
            <w:pPr>
              <w:widowControl/>
              <w:jc w:val="left"/>
              <w:rPr>
                <w:rFonts w:ascii="宋体" w:hAnsi="宋体"/>
              </w:rPr>
            </w:pPr>
          </w:p>
        </w:tc>
      </w:tr>
      <w:tr w14:paraId="6A880AEA">
        <w:tblPrEx>
          <w:tblCellMar>
            <w:top w:w="0" w:type="dxa"/>
            <w:left w:w="108" w:type="dxa"/>
            <w:bottom w:w="0" w:type="dxa"/>
            <w:right w:w="108" w:type="dxa"/>
          </w:tblCellMar>
        </w:tblPrEx>
        <w:trPr>
          <w:trHeight w:val="434" w:hRule="atLeast"/>
        </w:trPr>
        <w:tc>
          <w:tcPr>
            <w:tcW w:w="426" w:type="dxa"/>
            <w:tcBorders>
              <w:top w:val="single" w:color="auto" w:sz="4" w:space="0"/>
              <w:left w:val="single" w:color="auto" w:sz="4" w:space="0"/>
              <w:bottom w:val="single" w:color="auto" w:sz="4" w:space="0"/>
              <w:right w:val="single" w:color="auto" w:sz="4" w:space="0"/>
            </w:tcBorders>
            <w:vAlign w:val="center"/>
          </w:tcPr>
          <w:p w14:paraId="768A0E35">
            <w:pPr>
              <w:widowControl/>
              <w:jc w:val="left"/>
              <w:rPr>
                <w:rFonts w:ascii="宋体" w:hAnsi="宋体"/>
              </w:rPr>
            </w:pPr>
            <w:r>
              <w:rPr>
                <w:rFonts w:ascii="宋体" w:hAnsi="宋体"/>
              </w:rPr>
              <w:t>1</w:t>
            </w:r>
          </w:p>
        </w:tc>
        <w:tc>
          <w:tcPr>
            <w:tcW w:w="4320" w:type="dxa"/>
            <w:tcBorders>
              <w:top w:val="single" w:color="auto" w:sz="4" w:space="0"/>
              <w:left w:val="nil"/>
              <w:bottom w:val="single" w:color="auto" w:sz="4" w:space="0"/>
              <w:right w:val="single" w:color="auto" w:sz="4" w:space="0"/>
            </w:tcBorders>
            <w:vAlign w:val="center"/>
          </w:tcPr>
          <w:p w14:paraId="0FA78A18">
            <w:pPr>
              <w:widowControl/>
              <w:rPr>
                <w:rFonts w:ascii="宋体" w:hAnsi="宋体"/>
              </w:rPr>
            </w:pPr>
            <w:r>
              <w:rPr>
                <w:rFonts w:hint="eastAsia" w:ascii="宋体" w:hAnsi="宋体"/>
              </w:rPr>
              <w:t>材料进场前报审：未提供报审材料的或提供资料存在弄虚作假</w:t>
            </w:r>
          </w:p>
        </w:tc>
        <w:tc>
          <w:tcPr>
            <w:tcW w:w="1410" w:type="dxa"/>
            <w:tcBorders>
              <w:top w:val="single" w:color="auto" w:sz="4" w:space="0"/>
              <w:left w:val="nil"/>
              <w:bottom w:val="single" w:color="auto" w:sz="4" w:space="0"/>
              <w:right w:val="single" w:color="auto" w:sz="4" w:space="0"/>
            </w:tcBorders>
            <w:vAlign w:val="center"/>
          </w:tcPr>
          <w:p w14:paraId="291F5F7B">
            <w:pPr>
              <w:widowControl/>
              <w:rPr>
                <w:rFonts w:ascii="宋体" w:hAnsi="宋体"/>
              </w:rPr>
            </w:pPr>
            <w:r>
              <w:rPr>
                <w:rFonts w:hint="eastAsia" w:ascii="宋体" w:hAnsi="宋体"/>
              </w:rPr>
              <w:t>限期整改</w:t>
            </w:r>
          </w:p>
        </w:tc>
        <w:tc>
          <w:tcPr>
            <w:tcW w:w="2170" w:type="dxa"/>
            <w:tcBorders>
              <w:top w:val="single" w:color="auto" w:sz="4" w:space="0"/>
              <w:left w:val="nil"/>
              <w:bottom w:val="single" w:color="auto" w:sz="4" w:space="0"/>
              <w:right w:val="single" w:color="auto" w:sz="4" w:space="0"/>
            </w:tcBorders>
            <w:vAlign w:val="center"/>
          </w:tcPr>
          <w:p w14:paraId="78E7F709">
            <w:pPr>
              <w:widowControl/>
              <w:jc w:val="left"/>
              <w:rPr>
                <w:rFonts w:ascii="宋体" w:hAnsi="宋体"/>
              </w:rPr>
            </w:pPr>
            <w:r>
              <w:rPr>
                <w:rFonts w:ascii="宋体" w:hAnsi="宋体"/>
              </w:rPr>
              <w:t>5000</w:t>
            </w:r>
            <w:r>
              <w:rPr>
                <w:rFonts w:hint="eastAsia" w:ascii="宋体" w:hAnsi="宋体"/>
              </w:rPr>
              <w:t>元</w:t>
            </w:r>
            <w:r>
              <w:rPr>
                <w:rFonts w:ascii="宋体" w:hAnsi="宋体"/>
              </w:rPr>
              <w:t>/</w:t>
            </w:r>
            <w:r>
              <w:rPr>
                <w:rFonts w:hint="eastAsia" w:ascii="宋体" w:hAnsi="宋体"/>
              </w:rPr>
              <w:t>次；限期退场，监理做好退场台账记录</w:t>
            </w:r>
          </w:p>
        </w:tc>
      </w:tr>
      <w:tr w14:paraId="08F046D8">
        <w:tblPrEx>
          <w:tblCellMar>
            <w:top w:w="0" w:type="dxa"/>
            <w:left w:w="108" w:type="dxa"/>
            <w:bottom w:w="0" w:type="dxa"/>
            <w:right w:w="108" w:type="dxa"/>
          </w:tblCellMar>
        </w:tblPrEx>
        <w:trPr>
          <w:trHeight w:val="434" w:hRule="atLeast"/>
        </w:trPr>
        <w:tc>
          <w:tcPr>
            <w:tcW w:w="426" w:type="dxa"/>
            <w:tcBorders>
              <w:top w:val="single" w:color="auto" w:sz="4" w:space="0"/>
              <w:left w:val="single" w:color="auto" w:sz="4" w:space="0"/>
              <w:bottom w:val="single" w:color="auto" w:sz="4" w:space="0"/>
              <w:right w:val="single" w:color="auto" w:sz="4" w:space="0"/>
            </w:tcBorders>
            <w:vAlign w:val="center"/>
          </w:tcPr>
          <w:p w14:paraId="333C21F1">
            <w:pPr>
              <w:widowControl/>
              <w:jc w:val="left"/>
              <w:rPr>
                <w:rFonts w:ascii="宋体" w:hAnsi="宋体"/>
              </w:rPr>
            </w:pPr>
            <w:r>
              <w:rPr>
                <w:rFonts w:ascii="宋体" w:hAnsi="宋体"/>
              </w:rPr>
              <w:t>2</w:t>
            </w:r>
          </w:p>
        </w:tc>
        <w:tc>
          <w:tcPr>
            <w:tcW w:w="4320" w:type="dxa"/>
            <w:tcBorders>
              <w:top w:val="single" w:color="auto" w:sz="4" w:space="0"/>
              <w:left w:val="nil"/>
              <w:bottom w:val="single" w:color="auto" w:sz="4" w:space="0"/>
              <w:right w:val="single" w:color="auto" w:sz="4" w:space="0"/>
            </w:tcBorders>
            <w:vAlign w:val="center"/>
          </w:tcPr>
          <w:p w14:paraId="44A7A9B7">
            <w:pPr>
              <w:widowControl/>
              <w:rPr>
                <w:rFonts w:ascii="宋体" w:hAnsi="宋体"/>
              </w:rPr>
            </w:pPr>
            <w:r>
              <w:rPr>
                <w:rFonts w:hint="eastAsia" w:ascii="宋体" w:hAnsi="宋体"/>
              </w:rPr>
              <w:t>材料进场台账：每周检查一次，未及时更新或存在弄虚作假</w:t>
            </w:r>
          </w:p>
        </w:tc>
        <w:tc>
          <w:tcPr>
            <w:tcW w:w="1410" w:type="dxa"/>
            <w:tcBorders>
              <w:top w:val="single" w:color="auto" w:sz="4" w:space="0"/>
              <w:left w:val="nil"/>
              <w:bottom w:val="single" w:color="auto" w:sz="4" w:space="0"/>
              <w:right w:val="single" w:color="auto" w:sz="4" w:space="0"/>
            </w:tcBorders>
            <w:vAlign w:val="center"/>
          </w:tcPr>
          <w:p w14:paraId="10748761">
            <w:pPr>
              <w:widowControl/>
              <w:rPr>
                <w:rFonts w:ascii="宋体" w:hAnsi="宋体"/>
              </w:rPr>
            </w:pPr>
            <w:r>
              <w:rPr>
                <w:rFonts w:hint="eastAsia" w:ascii="宋体" w:hAnsi="宋体"/>
              </w:rPr>
              <w:t>限期整改</w:t>
            </w:r>
          </w:p>
        </w:tc>
        <w:tc>
          <w:tcPr>
            <w:tcW w:w="2170" w:type="dxa"/>
            <w:tcBorders>
              <w:top w:val="single" w:color="auto" w:sz="4" w:space="0"/>
              <w:left w:val="nil"/>
              <w:bottom w:val="single" w:color="auto" w:sz="4" w:space="0"/>
              <w:right w:val="single" w:color="auto" w:sz="4" w:space="0"/>
            </w:tcBorders>
            <w:vAlign w:val="center"/>
          </w:tcPr>
          <w:p w14:paraId="0573EF1A">
            <w:pPr>
              <w:widowControl/>
              <w:jc w:val="left"/>
              <w:rPr>
                <w:rFonts w:ascii="宋体" w:hAnsi="宋体"/>
              </w:rPr>
            </w:pPr>
            <w:r>
              <w:rPr>
                <w:rFonts w:ascii="宋体" w:hAnsi="宋体"/>
              </w:rPr>
              <w:t>2000</w:t>
            </w:r>
            <w:r>
              <w:rPr>
                <w:rFonts w:hint="eastAsia" w:ascii="宋体" w:hAnsi="宋体"/>
              </w:rPr>
              <w:t>元</w:t>
            </w:r>
            <w:r>
              <w:rPr>
                <w:rFonts w:ascii="宋体" w:hAnsi="宋体"/>
              </w:rPr>
              <w:t>/</w:t>
            </w:r>
            <w:r>
              <w:rPr>
                <w:rFonts w:hint="eastAsia" w:ascii="宋体" w:hAnsi="宋体"/>
              </w:rPr>
              <w:t>次</w:t>
            </w:r>
          </w:p>
        </w:tc>
      </w:tr>
      <w:tr w14:paraId="3099B174">
        <w:tblPrEx>
          <w:tblCellMar>
            <w:top w:w="0" w:type="dxa"/>
            <w:left w:w="108" w:type="dxa"/>
            <w:bottom w:w="0" w:type="dxa"/>
            <w:right w:w="108" w:type="dxa"/>
          </w:tblCellMar>
        </w:tblPrEx>
        <w:trPr>
          <w:trHeight w:val="434" w:hRule="atLeast"/>
        </w:trPr>
        <w:tc>
          <w:tcPr>
            <w:tcW w:w="426" w:type="dxa"/>
            <w:tcBorders>
              <w:top w:val="single" w:color="auto" w:sz="4" w:space="0"/>
              <w:left w:val="single" w:color="auto" w:sz="4" w:space="0"/>
              <w:bottom w:val="single" w:color="auto" w:sz="4" w:space="0"/>
              <w:right w:val="single" w:color="auto" w:sz="4" w:space="0"/>
            </w:tcBorders>
            <w:vAlign w:val="center"/>
          </w:tcPr>
          <w:p w14:paraId="37FC67E5">
            <w:pPr>
              <w:widowControl/>
              <w:jc w:val="left"/>
              <w:rPr>
                <w:rFonts w:ascii="宋体" w:hAnsi="宋体"/>
              </w:rPr>
            </w:pPr>
            <w:r>
              <w:rPr>
                <w:rFonts w:ascii="宋体" w:hAnsi="宋体"/>
              </w:rPr>
              <w:t>3</w:t>
            </w:r>
          </w:p>
        </w:tc>
        <w:tc>
          <w:tcPr>
            <w:tcW w:w="4320" w:type="dxa"/>
            <w:tcBorders>
              <w:top w:val="single" w:color="auto" w:sz="4" w:space="0"/>
              <w:left w:val="nil"/>
              <w:bottom w:val="single" w:color="auto" w:sz="4" w:space="0"/>
              <w:right w:val="single" w:color="auto" w:sz="4" w:space="0"/>
            </w:tcBorders>
            <w:vAlign w:val="center"/>
          </w:tcPr>
          <w:p w14:paraId="45C98E90">
            <w:pPr>
              <w:widowControl/>
              <w:rPr>
                <w:rFonts w:ascii="宋体" w:hAnsi="宋体"/>
              </w:rPr>
            </w:pPr>
            <w:r>
              <w:rPr>
                <w:rFonts w:hint="eastAsia" w:ascii="宋体" w:hAnsi="宋体"/>
              </w:rPr>
              <w:t>进场材料合规性：进场材料必须符合图纸及规范要求，如未按要求执行</w:t>
            </w:r>
          </w:p>
        </w:tc>
        <w:tc>
          <w:tcPr>
            <w:tcW w:w="1410" w:type="dxa"/>
            <w:tcBorders>
              <w:top w:val="single" w:color="auto" w:sz="4" w:space="0"/>
              <w:left w:val="nil"/>
              <w:bottom w:val="single" w:color="auto" w:sz="4" w:space="0"/>
              <w:right w:val="single" w:color="auto" w:sz="4" w:space="0"/>
            </w:tcBorders>
            <w:vAlign w:val="center"/>
          </w:tcPr>
          <w:p w14:paraId="549F9A5C">
            <w:pPr>
              <w:widowControl/>
              <w:rPr>
                <w:rFonts w:ascii="宋体" w:hAnsi="宋体"/>
              </w:rPr>
            </w:pPr>
            <w:r>
              <w:rPr>
                <w:rFonts w:hint="eastAsia" w:ascii="宋体" w:hAnsi="宋体"/>
              </w:rPr>
              <w:t>限期退场</w:t>
            </w:r>
          </w:p>
        </w:tc>
        <w:tc>
          <w:tcPr>
            <w:tcW w:w="2170" w:type="dxa"/>
            <w:tcBorders>
              <w:top w:val="single" w:color="auto" w:sz="4" w:space="0"/>
              <w:left w:val="nil"/>
              <w:bottom w:val="single" w:color="auto" w:sz="4" w:space="0"/>
              <w:right w:val="single" w:color="auto" w:sz="4" w:space="0"/>
            </w:tcBorders>
            <w:vAlign w:val="center"/>
          </w:tcPr>
          <w:p w14:paraId="70A744CA">
            <w:pPr>
              <w:widowControl/>
              <w:jc w:val="left"/>
              <w:rPr>
                <w:rFonts w:ascii="宋体" w:hAnsi="宋体"/>
              </w:rPr>
            </w:pPr>
            <w:r>
              <w:rPr>
                <w:rFonts w:ascii="宋体" w:hAnsi="宋体"/>
              </w:rPr>
              <w:t>2000</w:t>
            </w:r>
            <w:r>
              <w:rPr>
                <w:rFonts w:hint="eastAsia" w:ascii="宋体" w:hAnsi="宋体"/>
              </w:rPr>
              <w:t>元</w:t>
            </w:r>
            <w:r>
              <w:rPr>
                <w:rFonts w:ascii="宋体" w:hAnsi="宋体"/>
              </w:rPr>
              <w:t>/</w:t>
            </w:r>
            <w:r>
              <w:rPr>
                <w:rFonts w:hint="eastAsia" w:ascii="宋体" w:hAnsi="宋体"/>
              </w:rPr>
              <w:t>次</w:t>
            </w:r>
          </w:p>
        </w:tc>
      </w:tr>
      <w:tr w14:paraId="51ECB82E">
        <w:tblPrEx>
          <w:tblCellMar>
            <w:top w:w="0" w:type="dxa"/>
            <w:left w:w="108" w:type="dxa"/>
            <w:bottom w:w="0" w:type="dxa"/>
            <w:right w:w="108" w:type="dxa"/>
          </w:tblCellMar>
        </w:tblPrEx>
        <w:trPr>
          <w:trHeight w:val="434" w:hRule="atLeast"/>
        </w:trPr>
        <w:tc>
          <w:tcPr>
            <w:tcW w:w="426" w:type="dxa"/>
            <w:tcBorders>
              <w:top w:val="single" w:color="auto" w:sz="4" w:space="0"/>
              <w:left w:val="single" w:color="auto" w:sz="4" w:space="0"/>
              <w:bottom w:val="single" w:color="auto" w:sz="4" w:space="0"/>
              <w:right w:val="single" w:color="auto" w:sz="4" w:space="0"/>
            </w:tcBorders>
            <w:vAlign w:val="center"/>
          </w:tcPr>
          <w:p w14:paraId="3E579E52">
            <w:pPr>
              <w:widowControl/>
              <w:jc w:val="left"/>
              <w:rPr>
                <w:rFonts w:ascii="宋体" w:hAnsi="宋体"/>
              </w:rPr>
            </w:pPr>
            <w:r>
              <w:rPr>
                <w:rFonts w:ascii="宋体" w:hAnsi="宋体"/>
              </w:rPr>
              <w:t>4</w:t>
            </w:r>
          </w:p>
        </w:tc>
        <w:tc>
          <w:tcPr>
            <w:tcW w:w="4320" w:type="dxa"/>
            <w:tcBorders>
              <w:top w:val="single" w:color="auto" w:sz="4" w:space="0"/>
              <w:left w:val="nil"/>
              <w:bottom w:val="single" w:color="auto" w:sz="4" w:space="0"/>
              <w:right w:val="single" w:color="auto" w:sz="4" w:space="0"/>
            </w:tcBorders>
            <w:vAlign w:val="center"/>
          </w:tcPr>
          <w:p w14:paraId="0E20E183">
            <w:pPr>
              <w:widowControl/>
              <w:rPr>
                <w:rFonts w:ascii="宋体" w:hAnsi="宋体"/>
              </w:rPr>
            </w:pPr>
            <w:r>
              <w:rPr>
                <w:rFonts w:hint="eastAsia" w:ascii="宋体" w:hAnsi="宋体"/>
              </w:rPr>
              <w:t>材料检测报告：材料使用前务必有现场取样的检测报告</w:t>
            </w:r>
            <w:r>
              <w:rPr>
                <w:rFonts w:ascii="宋体" w:hAnsi="宋体"/>
              </w:rPr>
              <w:t>(</w:t>
            </w:r>
            <w:r>
              <w:rPr>
                <w:rFonts w:hint="eastAsia" w:ascii="宋体" w:hAnsi="宋体"/>
              </w:rPr>
              <w:t>如时间紧张可与检测单位取得合格信息）</w:t>
            </w:r>
          </w:p>
        </w:tc>
        <w:tc>
          <w:tcPr>
            <w:tcW w:w="1410" w:type="dxa"/>
            <w:tcBorders>
              <w:top w:val="single" w:color="auto" w:sz="4" w:space="0"/>
              <w:left w:val="nil"/>
              <w:bottom w:val="single" w:color="auto" w:sz="4" w:space="0"/>
              <w:right w:val="single" w:color="auto" w:sz="4" w:space="0"/>
            </w:tcBorders>
            <w:vAlign w:val="center"/>
          </w:tcPr>
          <w:p w14:paraId="64CBC313">
            <w:pPr>
              <w:widowControl/>
              <w:rPr>
                <w:rFonts w:ascii="宋体" w:hAnsi="宋体"/>
              </w:rPr>
            </w:pPr>
            <w:r>
              <w:rPr>
                <w:rFonts w:hint="eastAsia" w:ascii="宋体" w:hAnsi="宋体"/>
              </w:rPr>
              <w:t>限期退场</w:t>
            </w:r>
          </w:p>
        </w:tc>
        <w:tc>
          <w:tcPr>
            <w:tcW w:w="2170" w:type="dxa"/>
            <w:tcBorders>
              <w:top w:val="single" w:color="auto" w:sz="4" w:space="0"/>
              <w:left w:val="nil"/>
              <w:bottom w:val="single" w:color="auto" w:sz="4" w:space="0"/>
              <w:right w:val="single" w:color="auto" w:sz="4" w:space="0"/>
            </w:tcBorders>
            <w:vAlign w:val="center"/>
          </w:tcPr>
          <w:p w14:paraId="084ED632">
            <w:pPr>
              <w:widowControl/>
              <w:jc w:val="left"/>
              <w:rPr>
                <w:rFonts w:ascii="宋体" w:hAnsi="宋体"/>
              </w:rPr>
            </w:pPr>
            <w:r>
              <w:rPr>
                <w:rFonts w:ascii="宋体" w:hAnsi="宋体"/>
              </w:rPr>
              <w:t>2000</w:t>
            </w:r>
            <w:r>
              <w:rPr>
                <w:rFonts w:hint="eastAsia" w:ascii="宋体" w:hAnsi="宋体"/>
              </w:rPr>
              <w:t>元</w:t>
            </w:r>
            <w:r>
              <w:rPr>
                <w:rFonts w:ascii="宋体" w:hAnsi="宋体"/>
              </w:rPr>
              <w:t>/</w:t>
            </w:r>
            <w:r>
              <w:rPr>
                <w:rFonts w:hint="eastAsia" w:ascii="宋体" w:hAnsi="宋体"/>
              </w:rPr>
              <w:t>次</w:t>
            </w:r>
          </w:p>
        </w:tc>
      </w:tr>
      <w:tr w14:paraId="622F4583">
        <w:tblPrEx>
          <w:tblCellMar>
            <w:top w:w="0" w:type="dxa"/>
            <w:left w:w="108" w:type="dxa"/>
            <w:bottom w:w="0" w:type="dxa"/>
            <w:right w:w="108" w:type="dxa"/>
          </w:tblCellMar>
        </w:tblPrEx>
        <w:trPr>
          <w:trHeight w:val="434" w:hRule="atLeast"/>
        </w:trPr>
        <w:tc>
          <w:tcPr>
            <w:tcW w:w="426" w:type="dxa"/>
            <w:tcBorders>
              <w:top w:val="single" w:color="auto" w:sz="4" w:space="0"/>
              <w:left w:val="single" w:color="auto" w:sz="4" w:space="0"/>
              <w:bottom w:val="single" w:color="auto" w:sz="4" w:space="0"/>
              <w:right w:val="single" w:color="auto" w:sz="4" w:space="0"/>
            </w:tcBorders>
            <w:vAlign w:val="center"/>
          </w:tcPr>
          <w:p w14:paraId="7AFEC6EE">
            <w:pPr>
              <w:widowControl/>
              <w:jc w:val="left"/>
              <w:rPr>
                <w:rFonts w:ascii="宋体" w:hAnsi="宋体"/>
              </w:rPr>
            </w:pPr>
            <w:r>
              <w:rPr>
                <w:rFonts w:ascii="宋体" w:hAnsi="宋体"/>
              </w:rPr>
              <w:t>5</w:t>
            </w:r>
          </w:p>
        </w:tc>
        <w:tc>
          <w:tcPr>
            <w:tcW w:w="4320" w:type="dxa"/>
            <w:tcBorders>
              <w:top w:val="single" w:color="auto" w:sz="4" w:space="0"/>
              <w:left w:val="nil"/>
              <w:bottom w:val="single" w:color="auto" w:sz="4" w:space="0"/>
              <w:right w:val="single" w:color="auto" w:sz="4" w:space="0"/>
            </w:tcBorders>
            <w:vAlign w:val="center"/>
          </w:tcPr>
          <w:p w14:paraId="13B9B70A">
            <w:pPr>
              <w:widowControl/>
              <w:rPr>
                <w:rFonts w:ascii="宋体" w:hAnsi="宋体"/>
              </w:rPr>
            </w:pPr>
            <w:r>
              <w:rPr>
                <w:rFonts w:hint="eastAsia" w:ascii="宋体" w:hAnsi="宋体"/>
              </w:rPr>
              <w:t>材料送检不合格：除材料退场外</w:t>
            </w:r>
          </w:p>
        </w:tc>
        <w:tc>
          <w:tcPr>
            <w:tcW w:w="1410" w:type="dxa"/>
            <w:tcBorders>
              <w:top w:val="single" w:color="auto" w:sz="4" w:space="0"/>
              <w:left w:val="nil"/>
              <w:bottom w:val="single" w:color="auto" w:sz="4" w:space="0"/>
              <w:right w:val="single" w:color="auto" w:sz="4" w:space="0"/>
            </w:tcBorders>
            <w:vAlign w:val="center"/>
          </w:tcPr>
          <w:p w14:paraId="7244789C">
            <w:pPr>
              <w:widowControl/>
              <w:rPr>
                <w:rFonts w:ascii="宋体" w:hAnsi="宋体"/>
              </w:rPr>
            </w:pPr>
            <w:r>
              <w:rPr>
                <w:rFonts w:hint="eastAsia" w:ascii="宋体" w:hAnsi="宋体"/>
              </w:rPr>
              <w:t>限期退场</w:t>
            </w:r>
          </w:p>
        </w:tc>
        <w:tc>
          <w:tcPr>
            <w:tcW w:w="2170" w:type="dxa"/>
            <w:tcBorders>
              <w:top w:val="single" w:color="auto" w:sz="4" w:space="0"/>
              <w:left w:val="nil"/>
              <w:bottom w:val="single" w:color="auto" w:sz="4" w:space="0"/>
              <w:right w:val="single" w:color="auto" w:sz="4" w:space="0"/>
            </w:tcBorders>
            <w:vAlign w:val="center"/>
          </w:tcPr>
          <w:p w14:paraId="1BC674F3">
            <w:pPr>
              <w:widowControl/>
              <w:jc w:val="left"/>
              <w:rPr>
                <w:rFonts w:ascii="宋体" w:hAnsi="宋体"/>
              </w:rPr>
            </w:pPr>
            <w:r>
              <w:rPr>
                <w:rFonts w:ascii="宋体" w:hAnsi="宋体"/>
              </w:rPr>
              <w:t>50000</w:t>
            </w:r>
            <w:r>
              <w:rPr>
                <w:rFonts w:hint="eastAsia" w:ascii="宋体" w:hAnsi="宋体"/>
              </w:rPr>
              <w:t>元</w:t>
            </w:r>
            <w:r>
              <w:rPr>
                <w:rFonts w:ascii="宋体" w:hAnsi="宋体"/>
              </w:rPr>
              <w:t>/</w:t>
            </w:r>
            <w:r>
              <w:rPr>
                <w:rFonts w:hint="eastAsia" w:ascii="宋体" w:hAnsi="宋体"/>
              </w:rPr>
              <w:t>次</w:t>
            </w:r>
          </w:p>
        </w:tc>
      </w:tr>
      <w:tr w14:paraId="4F9F3779">
        <w:tblPrEx>
          <w:tblCellMar>
            <w:top w:w="0" w:type="dxa"/>
            <w:left w:w="108" w:type="dxa"/>
            <w:bottom w:w="0" w:type="dxa"/>
            <w:right w:w="108" w:type="dxa"/>
          </w:tblCellMar>
        </w:tblPrEx>
        <w:trPr>
          <w:trHeight w:val="434" w:hRule="atLeast"/>
        </w:trPr>
        <w:tc>
          <w:tcPr>
            <w:tcW w:w="426" w:type="dxa"/>
            <w:tcBorders>
              <w:top w:val="single" w:color="auto" w:sz="4" w:space="0"/>
              <w:left w:val="single" w:color="auto" w:sz="4" w:space="0"/>
              <w:bottom w:val="single" w:color="auto" w:sz="4" w:space="0"/>
              <w:right w:val="single" w:color="auto" w:sz="4" w:space="0"/>
            </w:tcBorders>
            <w:vAlign w:val="center"/>
          </w:tcPr>
          <w:p w14:paraId="7E488569">
            <w:pPr>
              <w:widowControl/>
              <w:jc w:val="left"/>
              <w:rPr>
                <w:rFonts w:ascii="宋体" w:hAnsi="宋体"/>
              </w:rPr>
            </w:pPr>
            <w:r>
              <w:rPr>
                <w:rFonts w:hint="eastAsia" w:ascii="宋体" w:hAnsi="宋体"/>
              </w:rPr>
              <w:t>七</w:t>
            </w:r>
          </w:p>
        </w:tc>
        <w:tc>
          <w:tcPr>
            <w:tcW w:w="4320" w:type="dxa"/>
            <w:tcBorders>
              <w:top w:val="single" w:color="auto" w:sz="4" w:space="0"/>
              <w:left w:val="nil"/>
              <w:bottom w:val="single" w:color="auto" w:sz="4" w:space="0"/>
              <w:right w:val="single" w:color="auto" w:sz="4" w:space="0"/>
            </w:tcBorders>
            <w:vAlign w:val="center"/>
          </w:tcPr>
          <w:p w14:paraId="146DE994">
            <w:pPr>
              <w:widowControl/>
              <w:rPr>
                <w:rFonts w:ascii="宋体" w:hAnsi="宋体"/>
              </w:rPr>
            </w:pPr>
            <w:r>
              <w:rPr>
                <w:rFonts w:hint="eastAsia" w:ascii="宋体" w:hAnsi="宋体"/>
              </w:rPr>
              <w:t>承包人偷工减料</w:t>
            </w:r>
          </w:p>
        </w:tc>
        <w:tc>
          <w:tcPr>
            <w:tcW w:w="1410" w:type="dxa"/>
            <w:tcBorders>
              <w:top w:val="single" w:color="auto" w:sz="4" w:space="0"/>
              <w:left w:val="nil"/>
              <w:bottom w:val="single" w:color="auto" w:sz="4" w:space="0"/>
              <w:right w:val="single" w:color="auto" w:sz="4" w:space="0"/>
            </w:tcBorders>
            <w:vAlign w:val="center"/>
          </w:tcPr>
          <w:p w14:paraId="19171CE3">
            <w:pPr>
              <w:widowControl/>
              <w:rPr>
                <w:rFonts w:ascii="宋体" w:hAnsi="宋体"/>
              </w:rPr>
            </w:pPr>
          </w:p>
        </w:tc>
        <w:tc>
          <w:tcPr>
            <w:tcW w:w="2170" w:type="dxa"/>
            <w:tcBorders>
              <w:top w:val="single" w:color="auto" w:sz="4" w:space="0"/>
              <w:left w:val="nil"/>
              <w:bottom w:val="single" w:color="auto" w:sz="4" w:space="0"/>
              <w:right w:val="single" w:color="auto" w:sz="4" w:space="0"/>
            </w:tcBorders>
            <w:vAlign w:val="center"/>
          </w:tcPr>
          <w:p w14:paraId="35514A77">
            <w:pPr>
              <w:widowControl/>
              <w:jc w:val="left"/>
              <w:rPr>
                <w:rFonts w:ascii="宋体" w:hAnsi="宋体"/>
              </w:rPr>
            </w:pPr>
          </w:p>
        </w:tc>
      </w:tr>
      <w:tr w14:paraId="65BBEE35">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137C71D9">
            <w:pPr>
              <w:jc w:val="left"/>
              <w:rPr>
                <w:rFonts w:ascii="宋体" w:hAnsi="宋体"/>
              </w:rPr>
            </w:pPr>
            <w:r>
              <w:rPr>
                <w:rFonts w:ascii="宋体" w:hAnsi="宋体"/>
              </w:rPr>
              <w:t>1</w:t>
            </w:r>
          </w:p>
        </w:tc>
        <w:tc>
          <w:tcPr>
            <w:tcW w:w="4320" w:type="dxa"/>
            <w:tcBorders>
              <w:top w:val="single" w:color="auto" w:sz="4" w:space="0"/>
              <w:left w:val="nil"/>
              <w:bottom w:val="single" w:color="auto" w:sz="4" w:space="0"/>
              <w:right w:val="single" w:color="auto" w:sz="4" w:space="0"/>
            </w:tcBorders>
            <w:vAlign w:val="center"/>
          </w:tcPr>
          <w:p w14:paraId="12349E0C">
            <w:pPr>
              <w:rPr>
                <w:rFonts w:ascii="宋体" w:hAnsi="宋体"/>
              </w:rPr>
            </w:pPr>
            <w:r>
              <w:rPr>
                <w:rFonts w:hint="eastAsia" w:ascii="宋体" w:hAnsi="宋体"/>
              </w:rPr>
              <w:t>钢筋级别、直径、数量、品牌普遍不符合设计或合同要求的</w:t>
            </w:r>
          </w:p>
        </w:tc>
        <w:tc>
          <w:tcPr>
            <w:tcW w:w="1410" w:type="dxa"/>
            <w:tcBorders>
              <w:top w:val="nil"/>
              <w:left w:val="nil"/>
              <w:bottom w:val="single" w:color="auto" w:sz="4" w:space="0"/>
              <w:right w:val="single" w:color="auto" w:sz="4" w:space="0"/>
            </w:tcBorders>
            <w:vAlign w:val="center"/>
          </w:tcPr>
          <w:p w14:paraId="485CCD7B">
            <w:pPr>
              <w:widowControl/>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4A05284E">
            <w:pPr>
              <w:jc w:val="left"/>
              <w:rPr>
                <w:rFonts w:ascii="宋体" w:hAnsi="宋体"/>
              </w:rPr>
            </w:pPr>
            <w:r>
              <w:rPr>
                <w:rFonts w:ascii="宋体" w:hAnsi="宋体"/>
              </w:rPr>
              <w:t>20000</w:t>
            </w:r>
            <w:r>
              <w:rPr>
                <w:rFonts w:hint="eastAsia" w:ascii="宋体" w:hAnsi="宋体"/>
              </w:rPr>
              <w:t>—</w:t>
            </w:r>
            <w:r>
              <w:rPr>
                <w:rFonts w:ascii="宋体" w:hAnsi="宋体"/>
              </w:rPr>
              <w:t>100000</w:t>
            </w:r>
            <w:r>
              <w:rPr>
                <w:rFonts w:hint="eastAsia" w:ascii="宋体" w:hAnsi="宋体"/>
              </w:rPr>
              <w:t>元</w:t>
            </w:r>
          </w:p>
        </w:tc>
      </w:tr>
      <w:tr w14:paraId="0210E24F">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34301873">
            <w:pPr>
              <w:jc w:val="left"/>
              <w:rPr>
                <w:rFonts w:ascii="宋体" w:hAnsi="宋体"/>
              </w:rPr>
            </w:pPr>
            <w:r>
              <w:rPr>
                <w:rFonts w:ascii="宋体" w:hAnsi="宋体"/>
              </w:rPr>
              <w:t>2</w:t>
            </w:r>
          </w:p>
        </w:tc>
        <w:tc>
          <w:tcPr>
            <w:tcW w:w="4320" w:type="dxa"/>
            <w:tcBorders>
              <w:top w:val="single" w:color="auto" w:sz="4" w:space="0"/>
              <w:left w:val="nil"/>
              <w:bottom w:val="single" w:color="auto" w:sz="4" w:space="0"/>
              <w:right w:val="single" w:color="auto" w:sz="4" w:space="0"/>
            </w:tcBorders>
            <w:vAlign w:val="center"/>
          </w:tcPr>
          <w:p w14:paraId="0B59674D">
            <w:pPr>
              <w:rPr>
                <w:rFonts w:ascii="宋体" w:hAnsi="宋体"/>
              </w:rPr>
            </w:pPr>
            <w:r>
              <w:rPr>
                <w:rFonts w:hint="eastAsia" w:ascii="宋体" w:hAnsi="宋体"/>
              </w:rPr>
              <w:t>其它私自更换材料、偷工减料或进场使用不合格、缺陷材料的情况</w:t>
            </w:r>
          </w:p>
        </w:tc>
        <w:tc>
          <w:tcPr>
            <w:tcW w:w="1410" w:type="dxa"/>
            <w:tcBorders>
              <w:top w:val="nil"/>
              <w:left w:val="nil"/>
              <w:bottom w:val="single" w:color="auto" w:sz="4" w:space="0"/>
              <w:right w:val="single" w:color="auto" w:sz="4" w:space="0"/>
            </w:tcBorders>
            <w:vAlign w:val="center"/>
          </w:tcPr>
          <w:p w14:paraId="4B91D7C8">
            <w:pPr>
              <w:widowControl/>
              <w:rPr>
                <w:rFonts w:ascii="宋体" w:hAnsi="宋体"/>
              </w:rPr>
            </w:pPr>
            <w:r>
              <w:rPr>
                <w:rFonts w:hint="eastAsia" w:ascii="宋体" w:hAnsi="宋体"/>
              </w:rPr>
              <w:t>限期整改</w:t>
            </w:r>
          </w:p>
        </w:tc>
        <w:tc>
          <w:tcPr>
            <w:tcW w:w="2170" w:type="dxa"/>
            <w:tcBorders>
              <w:top w:val="nil"/>
              <w:left w:val="nil"/>
              <w:bottom w:val="single" w:color="auto" w:sz="4" w:space="0"/>
              <w:right w:val="single" w:color="auto" w:sz="4" w:space="0"/>
            </w:tcBorders>
            <w:vAlign w:val="center"/>
          </w:tcPr>
          <w:p w14:paraId="63481D29">
            <w:pPr>
              <w:jc w:val="left"/>
              <w:rPr>
                <w:rFonts w:ascii="宋体" w:hAnsi="宋体"/>
              </w:rPr>
            </w:pPr>
            <w:r>
              <w:rPr>
                <w:rFonts w:ascii="宋体" w:hAnsi="宋体"/>
              </w:rPr>
              <w:t>10000-50000</w:t>
            </w:r>
            <w:r>
              <w:rPr>
                <w:rFonts w:hint="eastAsia" w:ascii="宋体" w:hAnsi="宋体"/>
              </w:rPr>
              <w:t>元</w:t>
            </w:r>
            <w:r>
              <w:rPr>
                <w:rFonts w:ascii="宋体" w:hAnsi="宋体"/>
              </w:rPr>
              <w:t>/</w:t>
            </w:r>
            <w:r>
              <w:rPr>
                <w:rFonts w:hint="eastAsia" w:ascii="宋体" w:hAnsi="宋体"/>
              </w:rPr>
              <w:t>次</w:t>
            </w:r>
          </w:p>
        </w:tc>
      </w:tr>
      <w:tr w14:paraId="71919AEA">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6F39D2B8">
            <w:pPr>
              <w:jc w:val="left"/>
              <w:rPr>
                <w:rFonts w:ascii="宋体" w:hAnsi="宋体"/>
              </w:rPr>
            </w:pPr>
            <w:r>
              <w:rPr>
                <w:rFonts w:ascii="宋体" w:hAnsi="宋体"/>
              </w:rPr>
              <w:t>3</w:t>
            </w:r>
          </w:p>
        </w:tc>
        <w:tc>
          <w:tcPr>
            <w:tcW w:w="4320" w:type="dxa"/>
            <w:tcBorders>
              <w:top w:val="single" w:color="auto" w:sz="4" w:space="0"/>
              <w:left w:val="nil"/>
              <w:bottom w:val="single" w:color="auto" w:sz="4" w:space="0"/>
              <w:right w:val="single" w:color="auto" w:sz="4" w:space="0"/>
            </w:tcBorders>
            <w:vAlign w:val="center"/>
          </w:tcPr>
          <w:p w14:paraId="5EFC995C">
            <w:pPr>
              <w:rPr>
                <w:rFonts w:ascii="宋体" w:hAnsi="宋体"/>
              </w:rPr>
            </w:pPr>
            <w:r>
              <w:rPr>
                <w:rFonts w:hint="eastAsia" w:ascii="宋体" w:hAnsi="宋体"/>
              </w:rPr>
              <w:t>不合格材料仍用，累教不改</w:t>
            </w:r>
          </w:p>
        </w:tc>
        <w:tc>
          <w:tcPr>
            <w:tcW w:w="1410" w:type="dxa"/>
            <w:tcBorders>
              <w:top w:val="nil"/>
              <w:left w:val="nil"/>
              <w:bottom w:val="single" w:color="auto" w:sz="4" w:space="0"/>
              <w:right w:val="single" w:color="auto" w:sz="4" w:space="0"/>
            </w:tcBorders>
            <w:vAlign w:val="center"/>
          </w:tcPr>
          <w:p w14:paraId="5522BE9A">
            <w:pPr>
              <w:widowControl/>
              <w:rPr>
                <w:rFonts w:ascii="宋体" w:hAnsi="宋体"/>
              </w:rPr>
            </w:pPr>
            <w:r>
              <w:rPr>
                <w:rFonts w:hint="eastAsia" w:ascii="宋体" w:hAnsi="宋体"/>
              </w:rPr>
              <w:t>追究违约责任</w:t>
            </w:r>
          </w:p>
        </w:tc>
        <w:tc>
          <w:tcPr>
            <w:tcW w:w="2170" w:type="dxa"/>
            <w:tcBorders>
              <w:top w:val="nil"/>
              <w:left w:val="nil"/>
              <w:bottom w:val="single" w:color="auto" w:sz="4" w:space="0"/>
              <w:right w:val="single" w:color="auto" w:sz="4" w:space="0"/>
            </w:tcBorders>
            <w:vAlign w:val="center"/>
          </w:tcPr>
          <w:p w14:paraId="58BD471F">
            <w:pPr>
              <w:jc w:val="left"/>
              <w:rPr>
                <w:rFonts w:ascii="宋体" w:hAnsi="宋体"/>
              </w:rPr>
            </w:pPr>
            <w:r>
              <w:rPr>
                <w:rFonts w:ascii="宋体" w:hAnsi="宋体"/>
              </w:rPr>
              <w:t>200000</w:t>
            </w:r>
            <w:r>
              <w:rPr>
                <w:rFonts w:hint="eastAsia" w:ascii="宋体" w:hAnsi="宋体"/>
              </w:rPr>
              <w:t>元</w:t>
            </w:r>
            <w:r>
              <w:rPr>
                <w:rFonts w:ascii="宋体" w:hAnsi="宋体"/>
              </w:rPr>
              <w:t>/</w:t>
            </w:r>
            <w:r>
              <w:rPr>
                <w:rFonts w:hint="eastAsia" w:ascii="宋体" w:hAnsi="宋体"/>
              </w:rPr>
              <w:t>次</w:t>
            </w:r>
          </w:p>
        </w:tc>
      </w:tr>
      <w:tr w14:paraId="33B994EB">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516E8EB3">
            <w:pPr>
              <w:jc w:val="left"/>
              <w:rPr>
                <w:rFonts w:ascii="宋体" w:hAnsi="宋体"/>
              </w:rPr>
            </w:pPr>
            <w:r>
              <w:rPr>
                <w:rFonts w:hint="eastAsia" w:ascii="宋体" w:hAnsi="宋体"/>
              </w:rPr>
              <w:t>八</w:t>
            </w:r>
          </w:p>
        </w:tc>
        <w:tc>
          <w:tcPr>
            <w:tcW w:w="4320" w:type="dxa"/>
            <w:tcBorders>
              <w:top w:val="single" w:color="auto" w:sz="4" w:space="0"/>
              <w:left w:val="nil"/>
              <w:bottom w:val="single" w:color="auto" w:sz="4" w:space="0"/>
              <w:right w:val="single" w:color="auto" w:sz="4" w:space="0"/>
            </w:tcBorders>
            <w:vAlign w:val="center"/>
          </w:tcPr>
          <w:p w14:paraId="41569646">
            <w:pPr>
              <w:rPr>
                <w:rFonts w:ascii="宋体" w:hAnsi="宋体"/>
              </w:rPr>
            </w:pPr>
            <w:r>
              <w:rPr>
                <w:rFonts w:hint="eastAsia" w:ascii="宋体" w:hAnsi="宋体"/>
              </w:rPr>
              <w:t>造价管理</w:t>
            </w:r>
          </w:p>
        </w:tc>
        <w:tc>
          <w:tcPr>
            <w:tcW w:w="1410" w:type="dxa"/>
            <w:tcBorders>
              <w:top w:val="nil"/>
              <w:left w:val="nil"/>
              <w:bottom w:val="single" w:color="auto" w:sz="4" w:space="0"/>
              <w:right w:val="single" w:color="auto" w:sz="4" w:space="0"/>
            </w:tcBorders>
            <w:vAlign w:val="center"/>
          </w:tcPr>
          <w:p w14:paraId="76561A62">
            <w:pPr>
              <w:widowControl/>
              <w:rPr>
                <w:rFonts w:ascii="宋体" w:hAnsi="宋体"/>
              </w:rPr>
            </w:pPr>
          </w:p>
        </w:tc>
        <w:tc>
          <w:tcPr>
            <w:tcW w:w="2170" w:type="dxa"/>
            <w:tcBorders>
              <w:top w:val="nil"/>
              <w:left w:val="nil"/>
              <w:bottom w:val="single" w:color="auto" w:sz="4" w:space="0"/>
              <w:right w:val="single" w:color="auto" w:sz="4" w:space="0"/>
            </w:tcBorders>
            <w:vAlign w:val="center"/>
          </w:tcPr>
          <w:p w14:paraId="315495D5">
            <w:pPr>
              <w:jc w:val="left"/>
              <w:rPr>
                <w:rFonts w:ascii="宋体" w:hAnsi="宋体"/>
              </w:rPr>
            </w:pPr>
          </w:p>
        </w:tc>
      </w:tr>
      <w:tr w14:paraId="09E76BF6">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261DCC2E">
            <w:pPr>
              <w:jc w:val="left"/>
              <w:rPr>
                <w:rFonts w:ascii="宋体" w:hAnsi="宋体"/>
              </w:rPr>
            </w:pPr>
            <w:r>
              <w:rPr>
                <w:rFonts w:ascii="宋体" w:hAnsi="宋体"/>
              </w:rPr>
              <w:t>1</w:t>
            </w:r>
          </w:p>
        </w:tc>
        <w:tc>
          <w:tcPr>
            <w:tcW w:w="4320" w:type="dxa"/>
            <w:tcBorders>
              <w:top w:val="single" w:color="auto" w:sz="4" w:space="0"/>
              <w:left w:val="nil"/>
              <w:bottom w:val="single" w:color="auto" w:sz="4" w:space="0"/>
              <w:right w:val="single" w:color="auto" w:sz="4" w:space="0"/>
            </w:tcBorders>
            <w:vAlign w:val="center"/>
          </w:tcPr>
          <w:p w14:paraId="24FE8C9E">
            <w:pPr>
              <w:rPr>
                <w:rFonts w:ascii="宋体" w:hAnsi="宋体"/>
              </w:rPr>
            </w:pPr>
            <w:r>
              <w:rPr>
                <w:rFonts w:hint="eastAsia" w:ascii="宋体" w:hAnsi="宋体"/>
              </w:rPr>
              <w:t>未按要求及时申报施工图预算、变更签证的情况</w:t>
            </w:r>
          </w:p>
        </w:tc>
        <w:tc>
          <w:tcPr>
            <w:tcW w:w="1410" w:type="dxa"/>
            <w:tcBorders>
              <w:top w:val="nil"/>
              <w:left w:val="nil"/>
              <w:bottom w:val="single" w:color="auto" w:sz="4" w:space="0"/>
              <w:right w:val="single" w:color="auto" w:sz="4" w:space="0"/>
            </w:tcBorders>
            <w:vAlign w:val="center"/>
          </w:tcPr>
          <w:p w14:paraId="5E43AA48">
            <w:pPr>
              <w:widowControl/>
              <w:rPr>
                <w:rFonts w:ascii="宋体" w:hAnsi="宋体"/>
              </w:rPr>
            </w:pPr>
            <w:r>
              <w:rPr>
                <w:rFonts w:hint="eastAsia" w:ascii="宋体" w:hAnsi="宋体"/>
              </w:rPr>
              <w:t>限期解决</w:t>
            </w:r>
          </w:p>
        </w:tc>
        <w:tc>
          <w:tcPr>
            <w:tcW w:w="2170" w:type="dxa"/>
            <w:tcBorders>
              <w:top w:val="nil"/>
              <w:left w:val="nil"/>
              <w:bottom w:val="single" w:color="auto" w:sz="4" w:space="0"/>
              <w:right w:val="single" w:color="auto" w:sz="4" w:space="0"/>
            </w:tcBorders>
            <w:vAlign w:val="center"/>
          </w:tcPr>
          <w:p w14:paraId="16767A62">
            <w:pPr>
              <w:jc w:val="left"/>
              <w:rPr>
                <w:rFonts w:ascii="宋体" w:hAnsi="宋体"/>
              </w:rPr>
            </w:pPr>
            <w:r>
              <w:rPr>
                <w:rFonts w:ascii="宋体" w:hAnsi="宋体"/>
              </w:rPr>
              <w:t>2000</w:t>
            </w:r>
            <w:r>
              <w:rPr>
                <w:rFonts w:hint="eastAsia" w:ascii="宋体" w:hAnsi="宋体"/>
              </w:rPr>
              <w:t>—</w:t>
            </w:r>
            <w:r>
              <w:rPr>
                <w:rFonts w:ascii="宋体" w:hAnsi="宋体"/>
              </w:rPr>
              <w:t>10000</w:t>
            </w:r>
            <w:r>
              <w:rPr>
                <w:rFonts w:hint="eastAsia" w:ascii="宋体" w:hAnsi="宋体"/>
              </w:rPr>
              <w:t>元</w:t>
            </w:r>
            <w:r>
              <w:rPr>
                <w:rFonts w:ascii="宋体" w:hAnsi="宋体"/>
              </w:rPr>
              <w:t>/</w:t>
            </w:r>
            <w:r>
              <w:rPr>
                <w:rFonts w:hint="eastAsia" w:ascii="宋体" w:hAnsi="宋体"/>
              </w:rPr>
              <w:t>次</w:t>
            </w:r>
          </w:p>
        </w:tc>
      </w:tr>
      <w:tr w14:paraId="4F287B93">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2D413961">
            <w:pPr>
              <w:jc w:val="left"/>
              <w:rPr>
                <w:rFonts w:ascii="宋体" w:hAnsi="宋体"/>
              </w:rPr>
            </w:pPr>
            <w:r>
              <w:rPr>
                <w:rFonts w:ascii="宋体" w:hAnsi="宋体"/>
              </w:rPr>
              <w:t>2</w:t>
            </w:r>
          </w:p>
        </w:tc>
        <w:tc>
          <w:tcPr>
            <w:tcW w:w="4320" w:type="dxa"/>
            <w:tcBorders>
              <w:top w:val="single" w:color="auto" w:sz="4" w:space="0"/>
              <w:left w:val="nil"/>
              <w:bottom w:val="single" w:color="auto" w:sz="4" w:space="0"/>
              <w:right w:val="single" w:color="auto" w:sz="4" w:space="0"/>
            </w:tcBorders>
            <w:vAlign w:val="center"/>
          </w:tcPr>
          <w:p w14:paraId="1E61039F">
            <w:pPr>
              <w:rPr>
                <w:rFonts w:ascii="宋体" w:hAnsi="宋体"/>
              </w:rPr>
            </w:pPr>
            <w:r>
              <w:rPr>
                <w:rFonts w:hint="eastAsia" w:ascii="宋体" w:hAnsi="宋体"/>
              </w:rPr>
              <w:t>申报施工图预算、变更签证核减率超</w:t>
            </w:r>
            <w:r>
              <w:rPr>
                <w:rFonts w:ascii="宋体" w:hAnsi="宋体"/>
              </w:rPr>
              <w:t>10%</w:t>
            </w:r>
            <w:r>
              <w:rPr>
                <w:rFonts w:hint="eastAsia" w:ascii="宋体" w:hAnsi="宋体"/>
              </w:rPr>
              <w:t>及以上的情况</w:t>
            </w:r>
          </w:p>
        </w:tc>
        <w:tc>
          <w:tcPr>
            <w:tcW w:w="1410" w:type="dxa"/>
            <w:tcBorders>
              <w:top w:val="nil"/>
              <w:left w:val="nil"/>
              <w:bottom w:val="single" w:color="auto" w:sz="4" w:space="0"/>
              <w:right w:val="single" w:color="auto" w:sz="4" w:space="0"/>
            </w:tcBorders>
            <w:vAlign w:val="center"/>
          </w:tcPr>
          <w:p w14:paraId="05E5A365">
            <w:pPr>
              <w:widowControl/>
              <w:rPr>
                <w:rFonts w:ascii="宋体" w:hAnsi="宋体"/>
              </w:rPr>
            </w:pPr>
          </w:p>
        </w:tc>
        <w:tc>
          <w:tcPr>
            <w:tcW w:w="2170" w:type="dxa"/>
            <w:tcBorders>
              <w:top w:val="nil"/>
              <w:left w:val="nil"/>
              <w:bottom w:val="single" w:color="auto" w:sz="4" w:space="0"/>
              <w:right w:val="single" w:color="auto" w:sz="4" w:space="0"/>
            </w:tcBorders>
            <w:vAlign w:val="center"/>
          </w:tcPr>
          <w:p w14:paraId="5409E298">
            <w:pPr>
              <w:jc w:val="left"/>
              <w:rPr>
                <w:rFonts w:ascii="宋体" w:hAnsi="宋体"/>
              </w:rPr>
            </w:pPr>
            <w:r>
              <w:rPr>
                <w:rFonts w:ascii="宋体" w:hAnsi="宋体"/>
              </w:rPr>
              <w:t>1000-10000</w:t>
            </w:r>
            <w:r>
              <w:rPr>
                <w:rFonts w:hint="eastAsia" w:ascii="宋体" w:hAnsi="宋体"/>
              </w:rPr>
              <w:t>元</w:t>
            </w:r>
            <w:r>
              <w:rPr>
                <w:rFonts w:ascii="宋体" w:hAnsi="宋体"/>
              </w:rPr>
              <w:t>/</w:t>
            </w:r>
            <w:r>
              <w:rPr>
                <w:rFonts w:hint="eastAsia" w:ascii="宋体" w:hAnsi="宋体"/>
              </w:rPr>
              <w:t>次</w:t>
            </w:r>
          </w:p>
        </w:tc>
      </w:tr>
      <w:tr w14:paraId="45916E07">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6857CE98">
            <w:pPr>
              <w:jc w:val="left"/>
              <w:rPr>
                <w:rFonts w:ascii="宋体" w:hAnsi="宋体"/>
              </w:rPr>
            </w:pPr>
            <w:r>
              <w:rPr>
                <w:rFonts w:hint="eastAsia" w:ascii="宋体" w:hAnsi="宋体"/>
              </w:rPr>
              <w:t>九</w:t>
            </w:r>
          </w:p>
        </w:tc>
        <w:tc>
          <w:tcPr>
            <w:tcW w:w="4320" w:type="dxa"/>
            <w:tcBorders>
              <w:top w:val="single" w:color="auto" w:sz="4" w:space="0"/>
              <w:left w:val="nil"/>
              <w:bottom w:val="single" w:color="auto" w:sz="4" w:space="0"/>
              <w:right w:val="single" w:color="auto" w:sz="4" w:space="0"/>
            </w:tcBorders>
            <w:vAlign w:val="center"/>
          </w:tcPr>
          <w:p w14:paraId="53996041">
            <w:pPr>
              <w:rPr>
                <w:rFonts w:ascii="宋体" w:hAnsi="宋体"/>
              </w:rPr>
            </w:pPr>
            <w:r>
              <w:rPr>
                <w:rFonts w:hint="eastAsia" w:ascii="宋体" w:hAnsi="宋体"/>
              </w:rPr>
              <w:t>安全质量评价</w:t>
            </w:r>
          </w:p>
        </w:tc>
        <w:tc>
          <w:tcPr>
            <w:tcW w:w="1410" w:type="dxa"/>
            <w:tcBorders>
              <w:top w:val="nil"/>
              <w:left w:val="nil"/>
              <w:bottom w:val="single" w:color="auto" w:sz="4" w:space="0"/>
              <w:right w:val="single" w:color="auto" w:sz="4" w:space="0"/>
            </w:tcBorders>
            <w:vAlign w:val="center"/>
          </w:tcPr>
          <w:p w14:paraId="05002773">
            <w:pPr>
              <w:widowControl/>
              <w:rPr>
                <w:rFonts w:ascii="宋体" w:hAnsi="宋体"/>
              </w:rPr>
            </w:pPr>
          </w:p>
        </w:tc>
        <w:tc>
          <w:tcPr>
            <w:tcW w:w="2170" w:type="dxa"/>
            <w:tcBorders>
              <w:top w:val="nil"/>
              <w:left w:val="nil"/>
              <w:bottom w:val="single" w:color="auto" w:sz="4" w:space="0"/>
              <w:right w:val="single" w:color="auto" w:sz="4" w:space="0"/>
            </w:tcBorders>
            <w:vAlign w:val="center"/>
          </w:tcPr>
          <w:p w14:paraId="747C8EAA">
            <w:pPr>
              <w:jc w:val="left"/>
              <w:rPr>
                <w:rFonts w:ascii="宋体" w:hAnsi="宋体"/>
              </w:rPr>
            </w:pPr>
          </w:p>
        </w:tc>
      </w:tr>
      <w:tr w14:paraId="600B3DF0">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08923556">
            <w:pPr>
              <w:jc w:val="left"/>
              <w:rPr>
                <w:rFonts w:ascii="宋体" w:hAnsi="宋体"/>
              </w:rPr>
            </w:pPr>
            <w:r>
              <w:rPr>
                <w:rFonts w:ascii="宋体" w:hAnsi="宋体"/>
              </w:rPr>
              <w:t>1</w:t>
            </w:r>
          </w:p>
        </w:tc>
        <w:tc>
          <w:tcPr>
            <w:tcW w:w="4320" w:type="dxa"/>
            <w:tcBorders>
              <w:top w:val="single" w:color="auto" w:sz="4" w:space="0"/>
              <w:left w:val="nil"/>
              <w:bottom w:val="single" w:color="auto" w:sz="4" w:space="0"/>
              <w:right w:val="single" w:color="auto" w:sz="4" w:space="0"/>
            </w:tcBorders>
            <w:vAlign w:val="center"/>
          </w:tcPr>
          <w:p w14:paraId="12347B1D">
            <w:pPr>
              <w:rPr>
                <w:rFonts w:ascii="宋体" w:hAnsi="宋体"/>
              </w:rPr>
            </w:pPr>
            <w:r>
              <w:rPr>
                <w:rFonts w:hint="eastAsia" w:ascii="宋体" w:hAnsi="宋体" w:cs="宋体"/>
              </w:rPr>
              <w:t>第三方巡检评估成绩未达到前三名（含）</w:t>
            </w:r>
          </w:p>
        </w:tc>
        <w:tc>
          <w:tcPr>
            <w:tcW w:w="1410" w:type="dxa"/>
            <w:tcBorders>
              <w:top w:val="nil"/>
              <w:left w:val="nil"/>
              <w:bottom w:val="single" w:color="auto" w:sz="4" w:space="0"/>
              <w:right w:val="single" w:color="auto" w:sz="4" w:space="0"/>
            </w:tcBorders>
            <w:vAlign w:val="center"/>
          </w:tcPr>
          <w:p w14:paraId="110554D1">
            <w:pPr>
              <w:widowControl/>
              <w:rPr>
                <w:rFonts w:ascii="宋体" w:hAnsi="宋体"/>
              </w:rPr>
            </w:pPr>
            <w:r>
              <w:rPr>
                <w:rFonts w:hint="eastAsia" w:ascii="宋体" w:hAnsi="宋体" w:cs="宋体"/>
              </w:rPr>
              <w:t>限期整改</w:t>
            </w:r>
          </w:p>
        </w:tc>
        <w:tc>
          <w:tcPr>
            <w:tcW w:w="2170" w:type="dxa"/>
            <w:tcBorders>
              <w:top w:val="nil"/>
              <w:left w:val="nil"/>
              <w:bottom w:val="single" w:color="auto" w:sz="4" w:space="0"/>
              <w:right w:val="single" w:color="auto" w:sz="4" w:space="0"/>
            </w:tcBorders>
            <w:vAlign w:val="center"/>
          </w:tcPr>
          <w:p w14:paraId="41865896">
            <w:pPr>
              <w:jc w:val="left"/>
              <w:rPr>
                <w:rFonts w:ascii="宋体" w:hAnsi="宋体"/>
              </w:rPr>
            </w:pPr>
            <w:r>
              <w:rPr>
                <w:rFonts w:hint="eastAsia" w:ascii="宋体" w:hAnsi="宋体" w:cs="宋体"/>
              </w:rPr>
              <w:t>30000元/次</w:t>
            </w:r>
          </w:p>
        </w:tc>
      </w:tr>
      <w:tr w14:paraId="6631058E">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vAlign w:val="center"/>
          </w:tcPr>
          <w:p w14:paraId="0EDF7A03">
            <w:pPr>
              <w:jc w:val="left"/>
              <w:rPr>
                <w:rFonts w:ascii="宋体" w:hAnsi="宋体"/>
              </w:rPr>
            </w:pPr>
            <w:r>
              <w:rPr>
                <w:rFonts w:ascii="宋体" w:hAnsi="宋体"/>
              </w:rPr>
              <w:t>2</w:t>
            </w:r>
          </w:p>
        </w:tc>
        <w:tc>
          <w:tcPr>
            <w:tcW w:w="4320" w:type="dxa"/>
            <w:tcBorders>
              <w:top w:val="single" w:color="auto" w:sz="4" w:space="0"/>
              <w:left w:val="nil"/>
              <w:bottom w:val="single" w:color="auto" w:sz="4" w:space="0"/>
              <w:right w:val="single" w:color="auto" w:sz="4" w:space="0"/>
            </w:tcBorders>
            <w:vAlign w:val="center"/>
          </w:tcPr>
          <w:p w14:paraId="25312EB1">
            <w:pPr>
              <w:rPr>
                <w:rFonts w:ascii="宋体" w:hAnsi="宋体"/>
              </w:rPr>
            </w:pPr>
            <w:r>
              <w:rPr>
                <w:rFonts w:hint="eastAsia" w:ascii="宋体" w:hAnsi="宋体" w:cs="宋体"/>
              </w:rPr>
              <w:t>第三方巡检评估成绩排名第一</w:t>
            </w:r>
          </w:p>
        </w:tc>
        <w:tc>
          <w:tcPr>
            <w:tcW w:w="1410" w:type="dxa"/>
            <w:tcBorders>
              <w:top w:val="nil"/>
              <w:left w:val="nil"/>
              <w:bottom w:val="single" w:color="auto" w:sz="4" w:space="0"/>
              <w:right w:val="single" w:color="auto" w:sz="4" w:space="0"/>
            </w:tcBorders>
            <w:vAlign w:val="center"/>
          </w:tcPr>
          <w:p w14:paraId="63CA2438">
            <w:pPr>
              <w:widowControl/>
              <w:rPr>
                <w:rFonts w:ascii="宋体" w:hAnsi="宋体"/>
              </w:rPr>
            </w:pPr>
            <w:r>
              <w:rPr>
                <w:rFonts w:hint="eastAsia" w:ascii="宋体" w:hAnsi="宋体" w:cs="宋体"/>
              </w:rPr>
              <w:t>/</w:t>
            </w:r>
          </w:p>
        </w:tc>
        <w:tc>
          <w:tcPr>
            <w:tcW w:w="2170" w:type="dxa"/>
            <w:tcBorders>
              <w:top w:val="nil"/>
              <w:left w:val="nil"/>
              <w:bottom w:val="single" w:color="auto" w:sz="4" w:space="0"/>
              <w:right w:val="single" w:color="auto" w:sz="4" w:space="0"/>
            </w:tcBorders>
            <w:vAlign w:val="center"/>
          </w:tcPr>
          <w:p w14:paraId="0D1FE7DA">
            <w:pPr>
              <w:jc w:val="left"/>
              <w:rPr>
                <w:rFonts w:ascii="宋体" w:hAnsi="宋体" w:cs="宋体"/>
              </w:rPr>
            </w:pPr>
            <w:r>
              <w:rPr>
                <w:rFonts w:hint="eastAsia" w:ascii="宋体" w:hAnsi="宋体" w:cs="宋体"/>
              </w:rPr>
              <w:t>在累计罚款资金池内</w:t>
            </w:r>
          </w:p>
          <w:p w14:paraId="63F54FBA">
            <w:pPr>
              <w:jc w:val="left"/>
              <w:rPr>
                <w:rFonts w:ascii="宋体" w:hAnsi="宋体"/>
              </w:rPr>
            </w:pPr>
            <w:r>
              <w:rPr>
                <w:rFonts w:hint="eastAsia" w:ascii="宋体" w:hAnsi="宋体" w:cs="宋体"/>
              </w:rPr>
              <w:t>奖励30000元/次</w:t>
            </w:r>
          </w:p>
        </w:tc>
      </w:tr>
    </w:tbl>
    <w:p w14:paraId="643EFB19">
      <w:pPr>
        <w:spacing w:line="360" w:lineRule="auto"/>
        <w:ind w:firstLine="480" w:firstLineChars="200"/>
        <w:rPr>
          <w:rFonts w:hint="eastAsia" w:ascii="宋体" w:hAnsi="宋体" w:cs="宋体"/>
          <w:sz w:val="24"/>
          <w:szCs w:val="24"/>
        </w:rPr>
      </w:pPr>
      <w:r>
        <w:rPr>
          <w:rFonts w:hint="default" w:ascii="宋体" w:hAnsi="宋体" w:cs="宋体"/>
          <w:sz w:val="24"/>
          <w:szCs w:val="24"/>
        </w:rPr>
        <w:t>本合同正文部分（包括协议书等）与附件</w:t>
      </w:r>
      <w:r>
        <w:rPr>
          <w:rFonts w:hint="eastAsia" w:ascii="宋体" w:hAnsi="宋体" w:cs="宋体"/>
          <w:sz w:val="24"/>
          <w:szCs w:val="24"/>
        </w:rPr>
        <w:t>15</w:t>
      </w:r>
      <w:r>
        <w:rPr>
          <w:rFonts w:hint="default" w:ascii="宋体" w:hAnsi="宋体" w:cs="宋体"/>
          <w:sz w:val="24"/>
          <w:szCs w:val="24"/>
        </w:rPr>
        <w:t>就同一违约行为均约定相关责任的，发包人有权选择较重标准追究承包人违约责任。若本合同正文部分的条款未涉及的违约情形，承包人应按附件</w:t>
      </w:r>
      <w:r>
        <w:rPr>
          <w:rFonts w:hint="eastAsia" w:ascii="宋体" w:hAnsi="宋体" w:cs="宋体"/>
          <w:sz w:val="24"/>
          <w:szCs w:val="24"/>
        </w:rPr>
        <w:t>15</w:t>
      </w:r>
      <w:r>
        <w:rPr>
          <w:rFonts w:hint="default" w:ascii="宋体" w:hAnsi="宋体" w:cs="宋体"/>
          <w:sz w:val="24"/>
          <w:szCs w:val="24"/>
        </w:rPr>
        <w:t>规定承担违约责任。</w:t>
      </w:r>
    </w:p>
    <w:p w14:paraId="478502D0">
      <w:pPr>
        <w:adjustRightInd w:val="0"/>
        <w:snapToGrid w:val="0"/>
        <w:spacing w:line="360" w:lineRule="auto"/>
        <w:ind w:firstLine="9120" w:firstLineChars="3800"/>
        <w:outlineLvl w:val="9"/>
        <w:rPr>
          <w:rFonts w:hint="eastAsia" w:ascii="宋体" w:hAnsi="宋体"/>
          <w:kern w:val="0"/>
          <w:sz w:val="24"/>
        </w:rPr>
      </w:pPr>
      <w:r>
        <w:rPr>
          <w:rFonts w:hint="eastAsia" w:ascii="宋体" w:hAnsi="宋体"/>
          <w:kern w:val="0"/>
          <w:sz w:val="24"/>
        </w:rPr>
        <w:t xml:space="preserve">     </w:t>
      </w:r>
      <w:r>
        <w:rPr>
          <w:rFonts w:hint="eastAsia" w:ascii="宋体" w:hAnsi="宋体"/>
          <w:kern w:val="0"/>
          <w:sz w:val="24"/>
        </w:rPr>
        <w:br w:type="page"/>
      </w:r>
    </w:p>
    <w:p w14:paraId="79E7C2E7">
      <w:pPr>
        <w:adjustRightInd w:val="0"/>
        <w:snapToGrid w:val="0"/>
        <w:spacing w:line="360" w:lineRule="auto"/>
        <w:ind w:firstLine="0" w:firstLineChars="0"/>
        <w:outlineLvl w:val="1"/>
        <w:rPr>
          <w:rFonts w:ascii="宋体" w:hAnsi="宋体"/>
          <w:kern w:val="0"/>
          <w:sz w:val="24"/>
        </w:rPr>
      </w:pPr>
      <w:r>
        <w:rPr>
          <w:rFonts w:hint="eastAsia" w:ascii="宋体" w:hAnsi="宋体"/>
          <w:kern w:val="0"/>
          <w:sz w:val="24"/>
        </w:rPr>
        <w:t>附件16：《交付标准》</w:t>
      </w:r>
    </w:p>
    <w:p w14:paraId="7A87274F">
      <w:pPr>
        <w:adjustRightInd w:val="0"/>
        <w:snapToGrid w:val="0"/>
        <w:spacing w:line="360" w:lineRule="auto"/>
        <w:jc w:val="center"/>
        <w:rPr>
          <w:rFonts w:ascii="宋体" w:hAnsi="宋体" w:cs="宋体"/>
          <w:b/>
          <w:snapToGrid w:val="0"/>
          <w:kern w:val="0"/>
          <w:sz w:val="32"/>
          <w:szCs w:val="32"/>
        </w:rPr>
      </w:pPr>
      <w:r>
        <w:rPr>
          <w:rFonts w:hint="eastAsia" w:ascii="宋体" w:hAnsi="宋体" w:cs="宋体"/>
          <w:b/>
          <w:snapToGrid w:val="0"/>
          <w:kern w:val="0"/>
          <w:sz w:val="32"/>
          <w:szCs w:val="32"/>
        </w:rPr>
        <w:t xml:space="preserve"> 《交付标准》</w:t>
      </w:r>
    </w:p>
    <w:p w14:paraId="3195D94F">
      <w:pPr>
        <w:pStyle w:val="46"/>
        <w:ind w:left="0" w:leftChars="0" w:firstLine="0" w:firstLineChars="0"/>
        <w:rPr>
          <w:rFonts w:ascii="宋体" w:hAnsi="宋体" w:cs="宋体"/>
        </w:rPr>
      </w:pPr>
    </w:p>
    <w:p w14:paraId="24031526">
      <w:pPr>
        <w:pStyle w:val="46"/>
        <w:ind w:firstLine="480"/>
        <w:rPr>
          <w:rFonts w:ascii="宋体" w:hAnsi="宋体" w:cs="宋体"/>
        </w:rPr>
      </w:pPr>
    </w:p>
    <w:p w14:paraId="7DF8641F">
      <w:pPr>
        <w:pStyle w:val="46"/>
        <w:ind w:firstLine="480"/>
        <w:rPr>
          <w:rFonts w:ascii="宋体" w:hAnsi="宋体" w:cs="宋体"/>
        </w:rPr>
      </w:pPr>
    </w:p>
    <w:p w14:paraId="5E1F1794">
      <w:pPr>
        <w:pStyle w:val="46"/>
        <w:ind w:firstLine="480"/>
        <w:rPr>
          <w:rFonts w:ascii="宋体" w:hAnsi="宋体" w:cs="宋体"/>
        </w:rPr>
      </w:pPr>
    </w:p>
    <w:p w14:paraId="0EDF51B9">
      <w:pPr>
        <w:pStyle w:val="46"/>
        <w:ind w:firstLine="480"/>
        <w:rPr>
          <w:rFonts w:ascii="宋体" w:hAnsi="宋体" w:cs="宋体"/>
        </w:rPr>
      </w:pPr>
    </w:p>
    <w:p w14:paraId="5F5531A3">
      <w:pPr>
        <w:pStyle w:val="46"/>
        <w:ind w:firstLine="480"/>
        <w:rPr>
          <w:rFonts w:ascii="宋体" w:hAnsi="宋体" w:cs="宋体"/>
        </w:rPr>
      </w:pPr>
    </w:p>
    <w:p w14:paraId="6C2870A8">
      <w:pPr>
        <w:pStyle w:val="46"/>
        <w:ind w:firstLine="480"/>
        <w:rPr>
          <w:rFonts w:ascii="宋体" w:hAnsi="宋体" w:cs="宋体"/>
        </w:rPr>
      </w:pPr>
    </w:p>
    <w:p w14:paraId="7367ED78">
      <w:pPr>
        <w:pStyle w:val="46"/>
        <w:ind w:firstLine="480"/>
        <w:rPr>
          <w:rFonts w:ascii="宋体" w:hAnsi="宋体" w:cs="宋体"/>
        </w:rPr>
      </w:pPr>
    </w:p>
    <w:p w14:paraId="1A431076">
      <w:pPr>
        <w:pStyle w:val="46"/>
        <w:ind w:firstLine="480"/>
        <w:rPr>
          <w:rFonts w:ascii="宋体" w:hAnsi="宋体" w:cs="宋体"/>
        </w:rPr>
      </w:pPr>
    </w:p>
    <w:p w14:paraId="58902886">
      <w:pPr>
        <w:pStyle w:val="46"/>
        <w:ind w:firstLine="480"/>
        <w:rPr>
          <w:rFonts w:ascii="宋体" w:hAnsi="宋体" w:cs="宋体"/>
        </w:rPr>
      </w:pPr>
    </w:p>
    <w:p w14:paraId="20306E45">
      <w:pPr>
        <w:pStyle w:val="46"/>
        <w:ind w:firstLine="480"/>
        <w:rPr>
          <w:rFonts w:ascii="宋体" w:hAnsi="宋体" w:cs="宋体"/>
        </w:rPr>
      </w:pPr>
    </w:p>
    <w:p w14:paraId="3E352320">
      <w:pPr>
        <w:pStyle w:val="46"/>
        <w:ind w:firstLine="480"/>
        <w:rPr>
          <w:rFonts w:ascii="宋体" w:hAnsi="宋体" w:cs="宋体"/>
        </w:rPr>
      </w:pPr>
    </w:p>
    <w:p w14:paraId="68579C5B">
      <w:pPr>
        <w:pStyle w:val="46"/>
        <w:ind w:firstLine="480"/>
        <w:rPr>
          <w:rFonts w:ascii="宋体" w:hAnsi="宋体" w:cs="宋体"/>
        </w:rPr>
      </w:pPr>
    </w:p>
    <w:p w14:paraId="6764D9D9">
      <w:pPr>
        <w:pStyle w:val="46"/>
        <w:ind w:firstLine="480"/>
        <w:rPr>
          <w:rFonts w:ascii="宋体" w:hAnsi="宋体" w:cs="宋体"/>
        </w:rPr>
      </w:pPr>
    </w:p>
    <w:p w14:paraId="155404BA">
      <w:pPr>
        <w:pStyle w:val="46"/>
        <w:ind w:firstLine="480"/>
        <w:rPr>
          <w:rFonts w:ascii="宋体" w:hAnsi="宋体" w:cs="宋体"/>
        </w:rPr>
      </w:pPr>
    </w:p>
    <w:p w14:paraId="29CDB87F">
      <w:pPr>
        <w:pStyle w:val="46"/>
        <w:ind w:firstLine="480"/>
        <w:rPr>
          <w:rFonts w:ascii="宋体" w:hAnsi="宋体" w:cs="宋体"/>
        </w:rPr>
      </w:pPr>
    </w:p>
    <w:p w14:paraId="71FFEB93">
      <w:pPr>
        <w:pStyle w:val="46"/>
        <w:ind w:left="0" w:leftChars="0" w:firstLine="0" w:firstLineChars="0"/>
        <w:rPr>
          <w:rFonts w:ascii="宋体" w:hAnsi="宋体" w:cs="宋体"/>
        </w:rPr>
      </w:pPr>
    </w:p>
    <w:p w14:paraId="3E754692">
      <w:pPr>
        <w:rPr>
          <w:rFonts w:ascii="宋体" w:hAnsi="宋体" w:cs="宋体"/>
        </w:rPr>
      </w:pPr>
    </w:p>
    <w:p w14:paraId="2BFF7F57">
      <w:pPr>
        <w:pStyle w:val="46"/>
        <w:ind w:firstLine="480"/>
        <w:rPr>
          <w:rFonts w:ascii="宋体" w:hAnsi="宋体" w:cs="宋体"/>
        </w:rPr>
      </w:pPr>
    </w:p>
    <w:p w14:paraId="246891E2">
      <w:pPr>
        <w:pStyle w:val="46"/>
        <w:ind w:firstLine="480"/>
        <w:rPr>
          <w:rFonts w:ascii="宋体" w:hAnsi="宋体" w:cs="宋体"/>
        </w:rPr>
      </w:pPr>
    </w:p>
    <w:p w14:paraId="225375D1">
      <w:pPr>
        <w:pStyle w:val="46"/>
        <w:ind w:firstLine="480"/>
        <w:rPr>
          <w:rFonts w:ascii="宋体" w:hAnsi="宋体" w:cs="宋体"/>
        </w:rPr>
      </w:pPr>
    </w:p>
    <w:p w14:paraId="27E46D3C">
      <w:pPr>
        <w:pStyle w:val="46"/>
        <w:ind w:firstLine="480"/>
        <w:rPr>
          <w:rFonts w:ascii="宋体" w:hAnsi="宋体" w:cs="宋体"/>
        </w:rPr>
      </w:pPr>
    </w:p>
    <w:p w14:paraId="05829B73">
      <w:pPr>
        <w:pStyle w:val="46"/>
        <w:ind w:firstLine="480"/>
        <w:rPr>
          <w:rFonts w:ascii="宋体" w:hAnsi="宋体" w:cs="宋体"/>
        </w:rPr>
      </w:pPr>
    </w:p>
    <w:p w14:paraId="6E4E70CB">
      <w:pPr>
        <w:adjustRightInd w:val="0"/>
        <w:snapToGrid w:val="0"/>
        <w:spacing w:line="360" w:lineRule="auto"/>
        <w:outlineLvl w:val="1"/>
        <w:rPr>
          <w:rFonts w:ascii="宋体" w:hAnsi="宋体"/>
          <w:kern w:val="0"/>
          <w:sz w:val="24"/>
        </w:rPr>
      </w:pPr>
      <w:r>
        <w:rPr>
          <w:rFonts w:hint="eastAsia" w:ascii="宋体" w:hAnsi="宋体"/>
          <w:kern w:val="0"/>
          <w:sz w:val="24"/>
        </w:rPr>
        <w:t>附件1</w:t>
      </w:r>
      <w:r>
        <w:rPr>
          <w:rFonts w:hint="eastAsia" w:ascii="宋体" w:hAnsi="宋体"/>
          <w:kern w:val="0"/>
          <w:sz w:val="24"/>
          <w:lang w:val="en-US" w:eastAsia="zh-CN"/>
        </w:rPr>
        <w:t>7</w:t>
      </w:r>
      <w:r>
        <w:rPr>
          <w:rFonts w:hint="eastAsia" w:ascii="宋体" w:hAnsi="宋体"/>
          <w:kern w:val="0"/>
          <w:sz w:val="24"/>
        </w:rPr>
        <w:t>：建设资金共管协议</w:t>
      </w:r>
    </w:p>
    <w:p w14:paraId="308669E4">
      <w:pPr>
        <w:adjustRightInd w:val="0"/>
        <w:snapToGrid w:val="0"/>
        <w:spacing w:line="360" w:lineRule="auto"/>
        <w:jc w:val="center"/>
        <w:rPr>
          <w:rFonts w:ascii="宋体" w:hAnsi="宋体" w:cs="宋体"/>
          <w:b/>
          <w:snapToGrid w:val="0"/>
          <w:kern w:val="0"/>
          <w:sz w:val="32"/>
          <w:szCs w:val="32"/>
        </w:rPr>
      </w:pPr>
      <w:r>
        <w:rPr>
          <w:rFonts w:hint="eastAsia" w:ascii="宋体" w:hAnsi="宋体" w:cs="宋体"/>
          <w:b/>
          <w:snapToGrid w:val="0"/>
          <w:kern w:val="0"/>
          <w:sz w:val="32"/>
          <w:szCs w:val="32"/>
        </w:rPr>
        <w:t>建设资金共管协议（参考格式）</w:t>
      </w:r>
    </w:p>
    <w:p w14:paraId="48F1ACF4">
      <w:pPr>
        <w:jc w:val="center"/>
        <w:rPr>
          <w:rFonts w:ascii="宋体" w:hAnsi="宋体" w:cs="宋体"/>
          <w:b/>
          <w:sz w:val="28"/>
          <w:szCs w:val="28"/>
        </w:rPr>
      </w:pPr>
      <w:r>
        <w:rPr>
          <w:rFonts w:hint="eastAsia" w:ascii="宋体" w:hAnsi="宋体" w:cs="宋体"/>
          <w:b/>
          <w:sz w:val="28"/>
          <w:szCs w:val="28"/>
        </w:rPr>
        <w:t xml:space="preserve">                                            协议编号：                   </w:t>
      </w:r>
    </w:p>
    <w:p w14:paraId="2B6D3037">
      <w:pPr>
        <w:spacing w:line="360" w:lineRule="auto"/>
        <w:ind w:firstLine="482" w:firstLineChars="200"/>
        <w:rPr>
          <w:rFonts w:ascii="宋体" w:hAnsi="宋体" w:cs="宋体"/>
          <w:sz w:val="24"/>
          <w:szCs w:val="24"/>
        </w:rPr>
      </w:pPr>
      <w:r>
        <w:rPr>
          <w:rFonts w:hint="eastAsia" w:ascii="宋体" w:hAnsi="宋体" w:cs="宋体"/>
          <w:b/>
          <w:sz w:val="24"/>
          <w:szCs w:val="24"/>
        </w:rPr>
        <w:t>甲      方：</w:t>
      </w:r>
      <w:r>
        <w:rPr>
          <w:rFonts w:hint="eastAsia" w:ascii="宋体" w:hAnsi="宋体" w:cs="宋体"/>
          <w:sz w:val="24"/>
          <w:szCs w:val="24"/>
        </w:rPr>
        <w:t xml:space="preserve">  </w:t>
      </w:r>
    </w:p>
    <w:p w14:paraId="047D0B63">
      <w:pPr>
        <w:spacing w:line="360" w:lineRule="auto"/>
        <w:ind w:firstLine="482" w:firstLineChars="200"/>
        <w:rPr>
          <w:rFonts w:ascii="宋体" w:hAnsi="宋体" w:cs="宋体"/>
          <w:b/>
          <w:sz w:val="24"/>
          <w:szCs w:val="24"/>
        </w:rPr>
      </w:pPr>
    </w:p>
    <w:p w14:paraId="51B988EB">
      <w:pPr>
        <w:spacing w:line="360" w:lineRule="auto"/>
        <w:ind w:firstLine="480" w:firstLineChars="200"/>
        <w:rPr>
          <w:rFonts w:ascii="宋体" w:hAnsi="宋体" w:cs="宋体"/>
          <w:sz w:val="24"/>
          <w:szCs w:val="24"/>
        </w:rPr>
      </w:pPr>
      <w:r>
        <w:rPr>
          <w:rFonts w:hint="eastAsia" w:ascii="宋体" w:hAnsi="宋体" w:cs="宋体"/>
          <w:sz w:val="24"/>
          <w:szCs w:val="24"/>
        </w:rPr>
        <w:t xml:space="preserve">地      址：  </w:t>
      </w:r>
    </w:p>
    <w:p w14:paraId="594030D5">
      <w:pPr>
        <w:spacing w:line="360" w:lineRule="auto"/>
        <w:ind w:firstLine="480" w:firstLineChars="200"/>
        <w:rPr>
          <w:rFonts w:ascii="宋体" w:hAnsi="宋体" w:cs="宋体"/>
          <w:sz w:val="24"/>
          <w:szCs w:val="24"/>
        </w:rPr>
      </w:pPr>
      <w:r>
        <w:rPr>
          <w:rFonts w:hint="eastAsia" w:ascii="宋体" w:hAnsi="宋体" w:cs="宋体"/>
          <w:sz w:val="24"/>
          <w:szCs w:val="24"/>
        </w:rPr>
        <w:t xml:space="preserve">电      话：  </w:t>
      </w:r>
    </w:p>
    <w:p w14:paraId="52B65D65">
      <w:pPr>
        <w:spacing w:line="360" w:lineRule="auto"/>
        <w:ind w:firstLine="480" w:firstLineChars="200"/>
        <w:rPr>
          <w:rFonts w:ascii="宋体" w:hAnsi="宋体" w:cs="宋体"/>
          <w:sz w:val="24"/>
          <w:szCs w:val="24"/>
        </w:rPr>
      </w:pPr>
      <w:r>
        <w:rPr>
          <w:rFonts w:hint="eastAsia" w:ascii="宋体" w:hAnsi="宋体" w:cs="宋体"/>
          <w:sz w:val="24"/>
          <w:szCs w:val="24"/>
        </w:rPr>
        <w:t xml:space="preserve"> </w:t>
      </w:r>
    </w:p>
    <w:p w14:paraId="1EF6168C">
      <w:pPr>
        <w:spacing w:line="360" w:lineRule="auto"/>
        <w:ind w:firstLine="480" w:firstLineChars="200"/>
        <w:rPr>
          <w:rFonts w:ascii="宋体" w:hAnsi="宋体" w:cs="宋体"/>
          <w:sz w:val="24"/>
          <w:szCs w:val="24"/>
        </w:rPr>
      </w:pPr>
      <w:r>
        <w:rPr>
          <w:rFonts w:hint="eastAsia" w:ascii="宋体" w:hAnsi="宋体" w:cs="宋体"/>
          <w:sz w:val="24"/>
          <w:szCs w:val="24"/>
        </w:rPr>
        <w:t xml:space="preserve">乙      方（总承包单位）：  </w:t>
      </w:r>
    </w:p>
    <w:p w14:paraId="51105F74">
      <w:pPr>
        <w:spacing w:line="360" w:lineRule="auto"/>
        <w:ind w:firstLine="480" w:firstLineChars="200"/>
        <w:rPr>
          <w:rFonts w:ascii="宋体" w:hAnsi="宋体" w:cs="宋体"/>
          <w:sz w:val="24"/>
          <w:szCs w:val="24"/>
        </w:rPr>
      </w:pPr>
      <w:r>
        <w:rPr>
          <w:rFonts w:hint="eastAsia" w:ascii="宋体" w:hAnsi="宋体" w:cs="宋体"/>
          <w:sz w:val="24"/>
          <w:szCs w:val="24"/>
        </w:rPr>
        <w:t xml:space="preserve">地      址：  </w:t>
      </w:r>
    </w:p>
    <w:p w14:paraId="6044A776">
      <w:pPr>
        <w:spacing w:line="360" w:lineRule="auto"/>
        <w:ind w:firstLine="480" w:firstLineChars="200"/>
        <w:rPr>
          <w:rFonts w:ascii="宋体" w:hAnsi="宋体" w:cs="宋体"/>
          <w:sz w:val="24"/>
          <w:szCs w:val="24"/>
        </w:rPr>
      </w:pPr>
    </w:p>
    <w:p w14:paraId="337BD14E">
      <w:pPr>
        <w:spacing w:line="360" w:lineRule="auto"/>
        <w:ind w:firstLine="480" w:firstLineChars="200"/>
        <w:rPr>
          <w:rFonts w:ascii="宋体" w:hAnsi="宋体" w:cs="宋体"/>
          <w:sz w:val="24"/>
          <w:szCs w:val="24"/>
        </w:rPr>
      </w:pPr>
      <w:r>
        <w:rPr>
          <w:rFonts w:hint="eastAsia" w:ascii="宋体" w:hAnsi="宋体" w:cs="宋体"/>
          <w:sz w:val="24"/>
          <w:szCs w:val="24"/>
        </w:rPr>
        <w:t xml:space="preserve">电      话： </w:t>
      </w:r>
    </w:p>
    <w:p w14:paraId="782474F1">
      <w:pPr>
        <w:spacing w:line="360" w:lineRule="auto"/>
        <w:ind w:firstLine="480" w:firstLineChars="200"/>
        <w:rPr>
          <w:rFonts w:ascii="宋体" w:hAnsi="宋体" w:cs="宋体"/>
          <w:sz w:val="24"/>
          <w:szCs w:val="24"/>
        </w:rPr>
      </w:pPr>
    </w:p>
    <w:p w14:paraId="54FBFFB0">
      <w:pPr>
        <w:spacing w:line="360" w:lineRule="auto"/>
        <w:ind w:firstLine="480" w:firstLineChars="200"/>
        <w:rPr>
          <w:rFonts w:ascii="宋体" w:hAnsi="宋体" w:cs="宋体"/>
          <w:sz w:val="24"/>
          <w:szCs w:val="24"/>
        </w:rPr>
      </w:pPr>
      <w:r>
        <w:rPr>
          <w:rFonts w:hint="eastAsia" w:ascii="宋体" w:hAnsi="宋体" w:cs="宋体"/>
          <w:sz w:val="24"/>
          <w:szCs w:val="24"/>
        </w:rPr>
        <w:t xml:space="preserve">乙      方（设计院）：  </w:t>
      </w:r>
    </w:p>
    <w:p w14:paraId="73E173B3">
      <w:pPr>
        <w:spacing w:line="360" w:lineRule="auto"/>
        <w:ind w:firstLine="480" w:firstLineChars="200"/>
        <w:rPr>
          <w:rFonts w:ascii="宋体" w:hAnsi="宋体" w:cs="宋体"/>
          <w:sz w:val="24"/>
          <w:szCs w:val="24"/>
        </w:rPr>
      </w:pPr>
      <w:r>
        <w:rPr>
          <w:rFonts w:hint="eastAsia" w:ascii="宋体" w:hAnsi="宋体" w:cs="宋体"/>
          <w:sz w:val="24"/>
          <w:szCs w:val="24"/>
        </w:rPr>
        <w:t xml:space="preserve">地      址：  </w:t>
      </w:r>
    </w:p>
    <w:p w14:paraId="291039FA">
      <w:pPr>
        <w:spacing w:line="360" w:lineRule="auto"/>
        <w:ind w:firstLine="480" w:firstLineChars="200"/>
        <w:rPr>
          <w:rFonts w:ascii="宋体" w:hAnsi="宋体" w:cs="宋体"/>
          <w:sz w:val="24"/>
          <w:szCs w:val="24"/>
        </w:rPr>
      </w:pPr>
    </w:p>
    <w:p w14:paraId="3C48F389">
      <w:pPr>
        <w:spacing w:line="360" w:lineRule="auto"/>
        <w:ind w:firstLine="480" w:firstLineChars="200"/>
        <w:rPr>
          <w:rFonts w:ascii="宋体" w:hAnsi="宋体" w:cs="宋体"/>
          <w:sz w:val="24"/>
          <w:szCs w:val="24"/>
        </w:rPr>
      </w:pPr>
      <w:r>
        <w:rPr>
          <w:rFonts w:hint="eastAsia" w:ascii="宋体" w:hAnsi="宋体" w:cs="宋体"/>
          <w:sz w:val="24"/>
          <w:szCs w:val="24"/>
        </w:rPr>
        <w:t xml:space="preserve">电      话： </w:t>
      </w:r>
    </w:p>
    <w:p w14:paraId="13BA4CB0">
      <w:pPr>
        <w:spacing w:line="360" w:lineRule="auto"/>
        <w:ind w:firstLine="480" w:firstLineChars="200"/>
        <w:rPr>
          <w:rFonts w:ascii="宋体" w:hAnsi="宋体" w:cs="宋体"/>
          <w:sz w:val="24"/>
          <w:szCs w:val="24"/>
        </w:rPr>
      </w:pPr>
    </w:p>
    <w:p w14:paraId="2A10C28E">
      <w:pPr>
        <w:spacing w:line="360" w:lineRule="auto"/>
        <w:ind w:firstLine="480" w:firstLineChars="200"/>
        <w:rPr>
          <w:rFonts w:ascii="宋体" w:hAnsi="宋体" w:cs="宋体"/>
          <w:sz w:val="24"/>
          <w:szCs w:val="24"/>
        </w:rPr>
      </w:pPr>
      <w:r>
        <w:rPr>
          <w:rFonts w:hint="eastAsia" w:ascii="宋体" w:hAnsi="宋体" w:cs="宋体"/>
          <w:sz w:val="24"/>
          <w:szCs w:val="24"/>
        </w:rPr>
        <w:t xml:space="preserve">丙    方（共管银行）：  </w:t>
      </w:r>
    </w:p>
    <w:p w14:paraId="180C9F87">
      <w:pPr>
        <w:spacing w:line="360" w:lineRule="auto"/>
        <w:ind w:firstLine="480" w:firstLineChars="200"/>
        <w:rPr>
          <w:rFonts w:ascii="宋体" w:hAnsi="宋体" w:cs="宋体"/>
          <w:sz w:val="24"/>
          <w:szCs w:val="24"/>
        </w:rPr>
      </w:pPr>
    </w:p>
    <w:p w14:paraId="4A9153CC">
      <w:pPr>
        <w:spacing w:line="360" w:lineRule="auto"/>
        <w:ind w:firstLine="480" w:firstLineChars="200"/>
        <w:rPr>
          <w:rFonts w:ascii="宋体" w:hAnsi="宋体" w:cs="宋体"/>
          <w:sz w:val="24"/>
          <w:szCs w:val="24"/>
        </w:rPr>
      </w:pPr>
      <w:r>
        <w:rPr>
          <w:rFonts w:hint="eastAsia" w:ascii="宋体" w:hAnsi="宋体" w:cs="宋体"/>
          <w:sz w:val="24"/>
          <w:szCs w:val="24"/>
        </w:rPr>
        <w:t xml:space="preserve">地      址：  </w:t>
      </w:r>
    </w:p>
    <w:p w14:paraId="3FB42620">
      <w:pPr>
        <w:spacing w:line="360" w:lineRule="auto"/>
        <w:ind w:firstLine="480" w:firstLineChars="200"/>
        <w:rPr>
          <w:rFonts w:ascii="宋体" w:hAnsi="宋体" w:cs="宋体"/>
          <w:sz w:val="24"/>
          <w:szCs w:val="24"/>
        </w:rPr>
      </w:pPr>
    </w:p>
    <w:p w14:paraId="13E8187A">
      <w:pPr>
        <w:spacing w:line="360" w:lineRule="auto"/>
        <w:ind w:firstLine="480" w:firstLineChars="200"/>
        <w:rPr>
          <w:rFonts w:ascii="宋体" w:hAnsi="宋体" w:cs="宋体"/>
          <w:sz w:val="24"/>
          <w:szCs w:val="24"/>
        </w:rPr>
      </w:pPr>
      <w:r>
        <w:rPr>
          <w:rFonts w:hint="eastAsia" w:ascii="宋体" w:hAnsi="宋体" w:cs="宋体"/>
          <w:sz w:val="24"/>
          <w:szCs w:val="24"/>
        </w:rPr>
        <w:t xml:space="preserve">电      话：  </w:t>
      </w:r>
    </w:p>
    <w:p w14:paraId="501205FE">
      <w:pPr>
        <w:spacing w:line="360" w:lineRule="auto"/>
        <w:ind w:firstLine="480" w:firstLineChars="200"/>
        <w:rPr>
          <w:rFonts w:ascii="宋体" w:hAnsi="宋体" w:cs="宋体"/>
          <w:sz w:val="24"/>
          <w:szCs w:val="24"/>
        </w:rPr>
      </w:pPr>
      <w:r>
        <w:rPr>
          <w:rFonts w:hint="eastAsia" w:ascii="宋体" w:hAnsi="宋体" w:cs="宋体"/>
          <w:sz w:val="24"/>
          <w:szCs w:val="24"/>
        </w:rPr>
        <w:t>根据甲乙双方签署的《</w:t>
      </w:r>
      <w:r>
        <w:rPr>
          <w:rFonts w:ascii="宋体" w:hAnsi="宋体" w:cs="宋体"/>
          <w:sz w:val="24"/>
          <w:szCs w:val="24"/>
        </w:rPr>
        <w:t xml:space="preserve"> </w:t>
      </w:r>
      <w:r>
        <w:rPr>
          <w:rFonts w:hint="eastAsia" w:ascii="宋体" w:hAnsi="宋体" w:cs="宋体"/>
          <w:sz w:val="24"/>
          <w:szCs w:val="24"/>
        </w:rPr>
        <w:t>合同》（合同编号：</w:t>
      </w:r>
      <w:r>
        <w:rPr>
          <w:rFonts w:ascii="宋体" w:hAnsi="宋体" w:cs="宋体"/>
          <w:sz w:val="24"/>
          <w:szCs w:val="24"/>
        </w:rPr>
        <w:t xml:space="preserve">  </w:t>
      </w:r>
      <w:r>
        <w:rPr>
          <w:rFonts w:hint="eastAsia" w:ascii="宋体" w:hAnsi="宋体" w:cs="宋体"/>
          <w:sz w:val="24"/>
          <w:szCs w:val="24"/>
        </w:rPr>
        <w:t>）（以下简称“</w:t>
      </w:r>
      <w:r>
        <w:rPr>
          <w:rFonts w:ascii="宋体" w:hAnsi="宋体" w:cs="宋体"/>
          <w:sz w:val="24"/>
          <w:szCs w:val="24"/>
        </w:rPr>
        <w:t xml:space="preserve">  </w:t>
      </w:r>
      <w:r>
        <w:rPr>
          <w:rFonts w:hint="eastAsia" w:ascii="宋体" w:hAnsi="宋体" w:cs="宋体"/>
          <w:sz w:val="24"/>
          <w:szCs w:val="24"/>
        </w:rPr>
        <w:t>合同”）。为加强和规范</w:t>
      </w:r>
      <w:r>
        <w:rPr>
          <w:rFonts w:ascii="宋体" w:hAnsi="宋体" w:cs="宋体"/>
          <w:sz w:val="24"/>
          <w:szCs w:val="24"/>
        </w:rPr>
        <w:t xml:space="preserve">  </w:t>
      </w:r>
      <w:r>
        <w:rPr>
          <w:rFonts w:hint="eastAsia" w:ascii="宋体" w:hAnsi="宋体" w:cs="宋体"/>
          <w:sz w:val="24"/>
          <w:szCs w:val="24"/>
        </w:rPr>
        <w:t xml:space="preserve">合同下工程建设资金使用的控制管理，防范和化解资金风险，确保建设资金安全和专款专用，确保合同的顺利履行，以满足工程建设资金需要，进一步提高工程投资效益，根据《中华人民共和国民法典》、《中华人民共和国建筑法》、《人民币银行结算账户管理办法》等有关规定，经甲、乙、丙三方在平等、自愿基础上协商一致，特订立本协议。    </w:t>
      </w:r>
    </w:p>
    <w:p w14:paraId="10A3EC6F">
      <w:pPr>
        <w:spacing w:line="360" w:lineRule="auto"/>
        <w:ind w:firstLine="480" w:firstLineChars="200"/>
        <w:rPr>
          <w:rFonts w:ascii="宋体" w:hAnsi="宋体" w:cs="宋体"/>
          <w:sz w:val="24"/>
          <w:szCs w:val="24"/>
        </w:rPr>
      </w:pPr>
      <w:r>
        <w:rPr>
          <w:rFonts w:hint="eastAsia" w:ascii="宋体" w:hAnsi="宋体" w:cs="宋体"/>
          <w:sz w:val="24"/>
          <w:szCs w:val="24"/>
        </w:rPr>
        <w:t>第一条 共管资金及共管账户</w:t>
      </w:r>
    </w:p>
    <w:p w14:paraId="0CD1CE7C">
      <w:pPr>
        <w:pStyle w:val="46"/>
        <w:spacing w:after="0"/>
        <w:ind w:left="0" w:leftChars="0" w:firstLine="480"/>
        <w:rPr>
          <w:rFonts w:ascii="宋体" w:hAnsi="宋体" w:cs="宋体"/>
        </w:rPr>
      </w:pPr>
      <w:r>
        <w:rPr>
          <w:rFonts w:hint="eastAsia" w:ascii="宋体" w:hAnsi="宋体" w:cs="宋体"/>
        </w:rPr>
        <w:t xml:space="preserve"> 1.共管资金：指依据</w:t>
      </w:r>
      <w:r>
        <w:rPr>
          <w:rFonts w:ascii="宋体" w:hAnsi="宋体" w:cs="宋体"/>
        </w:rPr>
        <w:t xml:space="preserve">   </w:t>
      </w:r>
      <w:r>
        <w:rPr>
          <w:rFonts w:hint="eastAsia" w:ascii="宋体" w:hAnsi="宋体" w:cs="宋体"/>
        </w:rPr>
        <w:t>合同相关约定，甲、乙、丙三方约定共同管理在本协议有效期内转入共管账户的专项资金，且委托丙方对共管资金进行保管，并遵循专款专用原则，在符合约定划款程序的情况下按甲、乙双方的指令要求进行资金的使用划转。</w:t>
      </w:r>
    </w:p>
    <w:p w14:paraId="3BE57C41">
      <w:pPr>
        <w:spacing w:line="360" w:lineRule="auto"/>
        <w:ind w:left="1" w:firstLine="480" w:firstLineChars="200"/>
        <w:rPr>
          <w:rFonts w:ascii="宋体" w:hAnsi="宋体" w:cs="宋体"/>
          <w:sz w:val="24"/>
          <w:szCs w:val="24"/>
        </w:rPr>
      </w:pPr>
      <w:r>
        <w:rPr>
          <w:rFonts w:hint="eastAsia" w:ascii="宋体" w:hAnsi="宋体" w:cs="宋体"/>
          <w:sz w:val="24"/>
          <w:szCs w:val="24"/>
        </w:rPr>
        <w:t>2.共管账户：乙方应在本协议签订之日起五个工作日内，持本协议及其他开户资料在丙方辖区内分支机构开立资金共管账户，用于共管资金的转入及划转。</w:t>
      </w:r>
    </w:p>
    <w:p w14:paraId="7428D7B7">
      <w:pPr>
        <w:spacing w:line="360" w:lineRule="auto"/>
        <w:ind w:left="1" w:firstLine="480" w:firstLineChars="200"/>
        <w:rPr>
          <w:rFonts w:ascii="宋体" w:hAnsi="宋体" w:cs="宋体"/>
          <w:sz w:val="24"/>
          <w:szCs w:val="24"/>
        </w:rPr>
      </w:pPr>
      <w:r>
        <w:rPr>
          <w:rFonts w:hint="eastAsia" w:ascii="宋体" w:hAnsi="宋体" w:cs="宋体"/>
          <w:sz w:val="24"/>
          <w:szCs w:val="24"/>
        </w:rPr>
        <w:t>3.该账户仅限于本协议约定之专项资金的共管和清算使用，不得用于除此之外的其它任何活动。共管账户由丙方管理，账户资金不得提现、通兑及透支，仅可开通查询版网银。</w:t>
      </w:r>
    </w:p>
    <w:p w14:paraId="1519CB01">
      <w:pPr>
        <w:spacing w:line="360" w:lineRule="auto"/>
        <w:ind w:firstLine="480" w:firstLineChars="200"/>
        <w:rPr>
          <w:rFonts w:ascii="宋体" w:hAnsi="宋体" w:cs="宋体"/>
          <w:sz w:val="24"/>
          <w:szCs w:val="24"/>
        </w:rPr>
      </w:pPr>
      <w:r>
        <w:rPr>
          <w:rFonts w:hint="eastAsia" w:ascii="宋体" w:hAnsi="宋体" w:cs="宋体"/>
          <w:sz w:val="24"/>
          <w:szCs w:val="24"/>
        </w:rPr>
        <w:t>该账户不可出售凭证，不得开通代发、代扣、定期借记等其他被动支付类业务。</w:t>
      </w:r>
    </w:p>
    <w:p w14:paraId="0142C634">
      <w:pPr>
        <w:spacing w:line="360" w:lineRule="auto"/>
        <w:ind w:firstLine="480" w:firstLineChars="200"/>
        <w:rPr>
          <w:rFonts w:ascii="宋体" w:hAnsi="宋体" w:cs="宋体"/>
          <w:sz w:val="24"/>
          <w:szCs w:val="24"/>
        </w:rPr>
      </w:pPr>
      <w:r>
        <w:rPr>
          <w:rFonts w:hint="eastAsia" w:ascii="宋体" w:hAnsi="宋体" w:cs="宋体"/>
          <w:sz w:val="24"/>
          <w:szCs w:val="24"/>
        </w:rPr>
        <w:t>第二条 合同各方的权利与义务</w:t>
      </w:r>
    </w:p>
    <w:p w14:paraId="4865FCB1">
      <w:pPr>
        <w:spacing w:line="360" w:lineRule="auto"/>
        <w:ind w:firstLine="480" w:firstLineChars="200"/>
        <w:rPr>
          <w:rFonts w:ascii="宋体" w:hAnsi="宋体" w:cs="宋体"/>
          <w:sz w:val="24"/>
          <w:szCs w:val="24"/>
        </w:rPr>
      </w:pPr>
      <w:bookmarkStart w:id="826" w:name="_Toc16375"/>
      <w:bookmarkStart w:id="827" w:name="_Toc144746289"/>
      <w:bookmarkStart w:id="828" w:name="_Toc3234"/>
      <w:bookmarkStart w:id="829" w:name="_Toc29111"/>
      <w:r>
        <w:rPr>
          <w:rFonts w:hint="eastAsia" w:ascii="宋体" w:hAnsi="宋体" w:cs="宋体"/>
          <w:sz w:val="24"/>
          <w:szCs w:val="24"/>
        </w:rPr>
        <w:t>1. 甲方的权利与义务</w:t>
      </w:r>
      <w:bookmarkEnd w:id="826"/>
      <w:bookmarkEnd w:id="827"/>
      <w:bookmarkEnd w:id="828"/>
      <w:bookmarkEnd w:id="829"/>
    </w:p>
    <w:p w14:paraId="70FABEFE">
      <w:pPr>
        <w:spacing w:line="360" w:lineRule="auto"/>
        <w:ind w:firstLine="480" w:firstLineChars="200"/>
        <w:rPr>
          <w:rFonts w:ascii="宋体" w:hAnsi="宋体" w:cs="宋体"/>
          <w:sz w:val="24"/>
          <w:szCs w:val="24"/>
        </w:rPr>
      </w:pPr>
      <w:r>
        <w:rPr>
          <w:rFonts w:hint="eastAsia" w:ascii="宋体" w:hAnsi="宋体" w:cs="宋体"/>
          <w:sz w:val="24"/>
          <w:szCs w:val="24"/>
        </w:rPr>
        <w:t>（1）本协议约定之共管资金，甲方划拨至本协议约定的共管账户。甲方有权审核乙方提出的共管账户资金的《用款申请书》（格式见附件一），并出具《共管账户划款通知书》（格式见附件二）；</w:t>
      </w:r>
    </w:p>
    <w:p w14:paraId="57B2D082">
      <w:pPr>
        <w:spacing w:line="360" w:lineRule="auto"/>
        <w:ind w:firstLine="480" w:firstLineChars="200"/>
        <w:rPr>
          <w:rFonts w:ascii="宋体" w:hAnsi="宋体" w:cs="宋体"/>
          <w:sz w:val="24"/>
          <w:szCs w:val="24"/>
        </w:rPr>
      </w:pPr>
      <w:r>
        <w:rPr>
          <w:rFonts w:hint="eastAsia" w:ascii="宋体" w:hAnsi="宋体" w:cs="宋体"/>
          <w:sz w:val="24"/>
          <w:szCs w:val="24"/>
        </w:rPr>
        <w:t>（2）甲方需在资金共管账户开户印鉴卡上留存项目总经理签名及其名章印鉴样式；未经甲方书面许可，乙方不可单方变更共管账户的预留印鉴。</w:t>
      </w:r>
    </w:p>
    <w:p w14:paraId="5A8EA2C0">
      <w:pPr>
        <w:spacing w:line="360" w:lineRule="auto"/>
        <w:ind w:firstLine="480" w:firstLineChars="200"/>
        <w:rPr>
          <w:rFonts w:ascii="宋体" w:hAnsi="宋体" w:cs="宋体"/>
          <w:sz w:val="24"/>
          <w:szCs w:val="24"/>
        </w:rPr>
      </w:pPr>
      <w:r>
        <w:rPr>
          <w:rFonts w:hint="eastAsia" w:ascii="宋体" w:hAnsi="宋体" w:cs="宋体"/>
          <w:sz w:val="24"/>
          <w:szCs w:val="24"/>
        </w:rPr>
        <w:t>（3）甲方有权按本协议约定查阅该共管账户的收支情况；甲方有权依本协议要求乙方提供资金流向支付凭证（包括但不仅限于合同、发票、采购清单等）和银行存款日记账等，要求丙方提供该账户余额、流水等信息；如在柜面查询，需乙方出具公函及经办人身份证件。</w:t>
      </w:r>
    </w:p>
    <w:p w14:paraId="16B1A3C6">
      <w:pPr>
        <w:spacing w:line="360" w:lineRule="auto"/>
        <w:ind w:firstLine="480" w:firstLineChars="200"/>
        <w:rPr>
          <w:rFonts w:ascii="宋体" w:hAnsi="宋体" w:cs="宋体"/>
          <w:sz w:val="24"/>
          <w:szCs w:val="24"/>
        </w:rPr>
      </w:pPr>
      <w:bookmarkStart w:id="830" w:name="_Toc24590"/>
      <w:bookmarkStart w:id="831" w:name="_Toc28940"/>
      <w:bookmarkStart w:id="832" w:name="_Toc144746290"/>
      <w:bookmarkStart w:id="833" w:name="_Toc5969"/>
      <w:r>
        <w:rPr>
          <w:rFonts w:hint="eastAsia" w:ascii="宋体" w:hAnsi="宋体" w:cs="宋体"/>
          <w:sz w:val="24"/>
          <w:szCs w:val="24"/>
        </w:rPr>
        <w:t>2. 乙方的权利与义务</w:t>
      </w:r>
      <w:bookmarkEnd w:id="830"/>
      <w:bookmarkEnd w:id="831"/>
      <w:bookmarkEnd w:id="832"/>
      <w:bookmarkEnd w:id="833"/>
    </w:p>
    <w:p w14:paraId="6BF876B8">
      <w:pPr>
        <w:spacing w:line="360" w:lineRule="auto"/>
        <w:ind w:firstLine="480" w:firstLineChars="200"/>
        <w:rPr>
          <w:rFonts w:ascii="宋体" w:hAnsi="宋体" w:cs="宋体"/>
          <w:sz w:val="24"/>
          <w:szCs w:val="24"/>
        </w:rPr>
      </w:pPr>
      <w:r>
        <w:rPr>
          <w:rFonts w:hint="eastAsia" w:ascii="宋体" w:hAnsi="宋体" w:cs="宋体"/>
          <w:sz w:val="24"/>
          <w:szCs w:val="24"/>
        </w:rPr>
        <w:t>（1）乙方依据本协议约定向甲方提交《用款申请书》（格式见附件一）及相关文件凭证，相关材料必须真实、准确、合法；</w:t>
      </w:r>
    </w:p>
    <w:p w14:paraId="0B046772">
      <w:pPr>
        <w:spacing w:line="360" w:lineRule="auto"/>
        <w:ind w:firstLine="480" w:firstLineChars="200"/>
        <w:rPr>
          <w:rFonts w:ascii="宋体" w:hAnsi="宋体" w:cs="宋体"/>
          <w:sz w:val="24"/>
          <w:szCs w:val="24"/>
        </w:rPr>
      </w:pPr>
      <w:r>
        <w:rPr>
          <w:rFonts w:hint="eastAsia" w:ascii="宋体" w:hAnsi="宋体" w:cs="宋体"/>
          <w:sz w:val="24"/>
          <w:szCs w:val="24"/>
        </w:rPr>
        <w:t>（2）按照专款专用的原则使用共管资金，不得将资金挪作他用，未经甲方书面同意不得转入乙方其他银行账户，否则视为乙方违约，甲方有权向乙方追回该笔挪用资金并按该笔资金金额的20%要求乙方支付违约金。乙方需将总包合同项下所涉及的与本工程相关的所有合同（包括但不限于分包合同、劳务合同、采购合同等）报甲方备案方可申请相应款项。乙方接受甲方对共管资金使用情况的检查和监督，接受丙方对共管资金支出的监督；</w:t>
      </w:r>
    </w:p>
    <w:p w14:paraId="364C170C">
      <w:pPr>
        <w:spacing w:line="360" w:lineRule="auto"/>
        <w:ind w:firstLine="480" w:firstLineChars="200"/>
        <w:rPr>
          <w:rFonts w:ascii="宋体" w:hAnsi="宋体" w:cs="宋体"/>
          <w:sz w:val="24"/>
          <w:szCs w:val="24"/>
        </w:rPr>
      </w:pPr>
      <w:r>
        <w:rPr>
          <w:rFonts w:hint="eastAsia" w:ascii="宋体" w:hAnsi="宋体" w:cs="宋体"/>
          <w:sz w:val="24"/>
          <w:szCs w:val="24"/>
        </w:rPr>
        <w:t>（3）向丙方支付共管资金划转所产生的业务手续费。</w:t>
      </w:r>
    </w:p>
    <w:p w14:paraId="405B86FB">
      <w:pPr>
        <w:spacing w:line="360" w:lineRule="auto"/>
        <w:ind w:firstLine="480" w:firstLineChars="200"/>
        <w:rPr>
          <w:rFonts w:ascii="宋体" w:hAnsi="宋体" w:cs="宋体"/>
          <w:sz w:val="24"/>
          <w:szCs w:val="24"/>
        </w:rPr>
      </w:pPr>
      <w:r>
        <w:rPr>
          <w:rFonts w:hint="eastAsia" w:ascii="宋体" w:hAnsi="宋体" w:cs="宋体"/>
          <w:sz w:val="24"/>
          <w:szCs w:val="24"/>
        </w:rPr>
        <w:t>（4）乙方应向丙方留存其项目经理及项目财务专用章印鉴样式。</w:t>
      </w:r>
    </w:p>
    <w:p w14:paraId="1AFC5447">
      <w:pPr>
        <w:spacing w:line="360" w:lineRule="auto"/>
        <w:ind w:firstLine="480" w:firstLineChars="200"/>
        <w:rPr>
          <w:rFonts w:ascii="宋体" w:hAnsi="宋体" w:cs="宋体"/>
          <w:sz w:val="24"/>
          <w:szCs w:val="24"/>
        </w:rPr>
      </w:pPr>
      <w:bookmarkStart w:id="834" w:name="_Toc144746291"/>
      <w:bookmarkStart w:id="835" w:name="_Toc2804"/>
      <w:bookmarkStart w:id="836" w:name="_Toc17633"/>
      <w:bookmarkStart w:id="837" w:name="_Toc20703"/>
      <w:r>
        <w:rPr>
          <w:rFonts w:hint="eastAsia" w:ascii="宋体" w:hAnsi="宋体" w:cs="宋体"/>
          <w:sz w:val="24"/>
          <w:szCs w:val="24"/>
        </w:rPr>
        <w:t>3.丙方权利与义务</w:t>
      </w:r>
      <w:bookmarkEnd w:id="834"/>
      <w:bookmarkEnd w:id="835"/>
      <w:bookmarkEnd w:id="836"/>
      <w:bookmarkEnd w:id="837"/>
    </w:p>
    <w:p w14:paraId="13E5387F">
      <w:pPr>
        <w:spacing w:line="360" w:lineRule="auto"/>
        <w:ind w:firstLine="480" w:firstLineChars="200"/>
        <w:rPr>
          <w:rFonts w:ascii="宋体" w:hAnsi="宋体" w:cs="宋体"/>
          <w:sz w:val="24"/>
          <w:szCs w:val="24"/>
        </w:rPr>
      </w:pPr>
      <w:r>
        <w:rPr>
          <w:rFonts w:hint="eastAsia" w:ascii="宋体" w:hAnsi="宋体" w:cs="宋体"/>
          <w:sz w:val="24"/>
          <w:szCs w:val="24"/>
        </w:rPr>
        <w:t xml:space="preserve">（1）依法为乙方开立工程款、设计费共管账户，提供便捷有效的银行业务服务，保管共管资金，确保资金安全。在没有征得甲乙双方书面同意情况下 ，丙方不得擅自以任何方式向乙方上级管理单位归集资金，如丙方擅自向乙方上级管理单位归集资金，视同丙方违规处理，对因此造成的损失甲乙双方有权向丙方索赔。 </w:t>
      </w:r>
    </w:p>
    <w:p w14:paraId="222FE8D0">
      <w:pPr>
        <w:spacing w:line="360" w:lineRule="auto"/>
        <w:ind w:firstLine="480" w:firstLineChars="200"/>
        <w:rPr>
          <w:rFonts w:ascii="宋体" w:hAnsi="宋体" w:cs="宋体"/>
          <w:sz w:val="24"/>
          <w:szCs w:val="24"/>
        </w:rPr>
      </w:pPr>
      <w:r>
        <w:rPr>
          <w:rFonts w:hint="eastAsia" w:ascii="宋体" w:hAnsi="宋体" w:cs="宋体"/>
          <w:sz w:val="24"/>
          <w:szCs w:val="24"/>
        </w:rPr>
        <w:t>（2）丙方仅对《电汇凭证》的预留印鉴、签名进行一致性形式性的审查（印鉴相符即视为由甲乙双方共同出具，至于划转资金的条件否满足甲乙双方业务合同的约定和甲方要求，由甲方自行审核判断，丙方不对资料内容的真实性及合理性负责），并按约定将共管资金划入收款方。</w:t>
      </w:r>
    </w:p>
    <w:p w14:paraId="23B0DBFF">
      <w:pPr>
        <w:spacing w:line="360" w:lineRule="auto"/>
        <w:ind w:firstLine="480" w:firstLineChars="200"/>
        <w:rPr>
          <w:rFonts w:ascii="宋体" w:hAnsi="宋体" w:cs="宋体"/>
          <w:sz w:val="24"/>
          <w:szCs w:val="24"/>
        </w:rPr>
      </w:pPr>
      <w:r>
        <w:rPr>
          <w:rFonts w:hint="eastAsia" w:ascii="宋体" w:hAnsi="宋体" w:cs="宋体"/>
          <w:sz w:val="24"/>
          <w:szCs w:val="24"/>
        </w:rPr>
        <w:t>第三条 共管资金的使用</w:t>
      </w:r>
    </w:p>
    <w:p w14:paraId="6DFF179A">
      <w:pPr>
        <w:spacing w:line="360" w:lineRule="auto"/>
        <w:ind w:firstLine="480" w:firstLineChars="200"/>
        <w:rPr>
          <w:rFonts w:ascii="宋体" w:hAnsi="宋体" w:cs="宋体"/>
          <w:sz w:val="24"/>
          <w:szCs w:val="24"/>
        </w:rPr>
      </w:pPr>
      <w:bookmarkStart w:id="838" w:name="_Toc144746292"/>
      <w:bookmarkStart w:id="839" w:name="_Toc22640"/>
      <w:bookmarkStart w:id="840" w:name="_Toc28619"/>
      <w:bookmarkStart w:id="841" w:name="_Toc28317"/>
      <w:r>
        <w:rPr>
          <w:rFonts w:hint="eastAsia" w:ascii="宋体" w:hAnsi="宋体" w:cs="宋体"/>
          <w:sz w:val="24"/>
          <w:szCs w:val="24"/>
        </w:rPr>
        <w:t>1.共管资金指定用途为总包合同实施支出；</w:t>
      </w:r>
      <w:bookmarkEnd w:id="838"/>
      <w:bookmarkEnd w:id="839"/>
      <w:bookmarkEnd w:id="840"/>
      <w:bookmarkEnd w:id="841"/>
    </w:p>
    <w:p w14:paraId="06D3303F">
      <w:pPr>
        <w:spacing w:line="360" w:lineRule="auto"/>
        <w:ind w:firstLine="480" w:firstLineChars="200"/>
        <w:rPr>
          <w:rFonts w:ascii="宋体" w:hAnsi="宋体" w:cs="宋体"/>
          <w:sz w:val="24"/>
          <w:szCs w:val="24"/>
        </w:rPr>
      </w:pPr>
      <w:r>
        <w:rPr>
          <w:rFonts w:hint="eastAsia" w:ascii="宋体" w:hAnsi="宋体" w:cs="宋体"/>
          <w:sz w:val="24"/>
          <w:szCs w:val="24"/>
        </w:rPr>
        <w:t>2.乙方申请支付共管资金，应向甲方提交《用款申请书》（格式见附件一）。甲方完成审批且双方确认金额和达成一致的书面意见后5个工作日内出具《共管资金划款通知书》和《电汇凭证》，由乙方到丙方柜台交付《电汇凭证》并办理付款手续。《用款申请书》应正确清楚地列明收取托管资金的收款账户，乙方应自行承担因提供账户错误信息导致资金划转延误或发生损失的后果；</w:t>
      </w:r>
    </w:p>
    <w:p w14:paraId="6BA7A9C5">
      <w:pPr>
        <w:spacing w:line="360" w:lineRule="auto"/>
        <w:ind w:firstLine="480" w:firstLineChars="200"/>
        <w:rPr>
          <w:rFonts w:ascii="宋体" w:hAnsi="宋体" w:cs="宋体"/>
          <w:sz w:val="24"/>
          <w:szCs w:val="24"/>
        </w:rPr>
      </w:pPr>
      <w:r>
        <w:rPr>
          <w:rFonts w:hint="eastAsia" w:ascii="宋体" w:hAnsi="宋体" w:cs="宋体"/>
          <w:sz w:val="24"/>
          <w:szCs w:val="24"/>
        </w:rPr>
        <w:t>3.甲方根据乙方提出的用款申请进行审核，如因乙方文件不合规、不符合甲方要求或者提供的其它支付证明材料未符合甲方要求，甲方有权拒绝支付；</w:t>
      </w:r>
    </w:p>
    <w:p w14:paraId="0501419D">
      <w:pPr>
        <w:spacing w:line="360" w:lineRule="auto"/>
        <w:ind w:firstLine="480" w:firstLineChars="200"/>
        <w:rPr>
          <w:rFonts w:ascii="宋体" w:hAnsi="宋体" w:cs="宋体"/>
          <w:sz w:val="24"/>
          <w:szCs w:val="24"/>
        </w:rPr>
      </w:pPr>
      <w:r>
        <w:rPr>
          <w:rFonts w:hint="eastAsia" w:ascii="宋体" w:hAnsi="宋体" w:cs="宋体"/>
          <w:sz w:val="24"/>
          <w:szCs w:val="24"/>
        </w:rPr>
        <w:t>4.乙方办理共管资金支付每一笔款项，仅可在丙方柜台以转账方式办理，办理时须提供以下资料且与预留印鉴相符：加盖乙方财务专用章和乙方项目经理名章、甲方项目总经理签名及其印鉴的《电汇凭证》，不能通过他行进行提出票处理，如未能遵守该约定造成损失及不良影响，则乙方自行承担。</w:t>
      </w:r>
    </w:p>
    <w:p w14:paraId="172216E4">
      <w:pPr>
        <w:spacing w:line="360" w:lineRule="auto"/>
        <w:ind w:firstLine="480" w:firstLineChars="200"/>
        <w:rPr>
          <w:rFonts w:ascii="宋体" w:hAnsi="宋体" w:cs="宋体"/>
          <w:sz w:val="24"/>
          <w:szCs w:val="24"/>
        </w:rPr>
      </w:pPr>
      <w:r>
        <w:rPr>
          <w:rFonts w:hint="eastAsia" w:ascii="宋体" w:hAnsi="宋体" w:cs="宋体"/>
          <w:sz w:val="24"/>
          <w:szCs w:val="24"/>
        </w:rPr>
        <w:t>第四条  共管资金的拒付</w:t>
      </w:r>
    </w:p>
    <w:p w14:paraId="0242A024">
      <w:pPr>
        <w:spacing w:line="360" w:lineRule="auto"/>
        <w:ind w:firstLine="480" w:firstLineChars="200"/>
        <w:rPr>
          <w:rFonts w:ascii="宋体" w:hAnsi="宋体" w:cs="宋体"/>
          <w:sz w:val="24"/>
          <w:szCs w:val="24"/>
        </w:rPr>
      </w:pPr>
      <w:r>
        <w:rPr>
          <w:rFonts w:hint="eastAsia" w:ascii="宋体" w:hAnsi="宋体" w:cs="宋体"/>
          <w:sz w:val="24"/>
          <w:szCs w:val="24"/>
        </w:rPr>
        <w:t>具备下列情形之一的，丙方有权拒绝乙方从共管账户划款的请求，由此造成的后果由乙方承担：</w:t>
      </w:r>
    </w:p>
    <w:p w14:paraId="7A3FB75F">
      <w:pPr>
        <w:spacing w:line="360" w:lineRule="auto"/>
        <w:ind w:firstLine="480" w:firstLineChars="200"/>
        <w:rPr>
          <w:rFonts w:ascii="宋体" w:hAnsi="宋体" w:cs="宋体"/>
          <w:sz w:val="24"/>
          <w:szCs w:val="24"/>
        </w:rPr>
      </w:pPr>
      <w:r>
        <w:rPr>
          <w:rFonts w:hint="eastAsia" w:ascii="宋体" w:hAnsi="宋体" w:cs="宋体"/>
          <w:sz w:val="24"/>
          <w:szCs w:val="24"/>
        </w:rPr>
        <w:t>1.《电汇凭证》付款金额超出共管资金余额；</w:t>
      </w:r>
    </w:p>
    <w:p w14:paraId="36128977">
      <w:pPr>
        <w:spacing w:line="360" w:lineRule="auto"/>
        <w:ind w:firstLine="480" w:firstLineChars="200"/>
        <w:rPr>
          <w:rFonts w:ascii="宋体" w:hAnsi="宋体" w:cs="宋体"/>
          <w:sz w:val="24"/>
          <w:szCs w:val="24"/>
        </w:rPr>
      </w:pPr>
      <w:r>
        <w:rPr>
          <w:rFonts w:hint="eastAsia" w:ascii="宋体" w:hAnsi="宋体" w:cs="宋体"/>
          <w:sz w:val="24"/>
          <w:szCs w:val="24"/>
        </w:rPr>
        <w:t>2.乙方提交的资料不符合法律法规规定和本协议约定；</w:t>
      </w:r>
    </w:p>
    <w:p w14:paraId="7568A774">
      <w:pPr>
        <w:spacing w:line="360" w:lineRule="auto"/>
        <w:ind w:firstLine="480" w:firstLineChars="200"/>
        <w:rPr>
          <w:rFonts w:ascii="宋体" w:hAnsi="宋体" w:cs="宋体"/>
          <w:sz w:val="24"/>
          <w:szCs w:val="24"/>
        </w:rPr>
      </w:pPr>
      <w:r>
        <w:rPr>
          <w:rFonts w:hint="eastAsia" w:ascii="宋体" w:hAnsi="宋体" w:cs="宋体"/>
          <w:sz w:val="24"/>
          <w:szCs w:val="24"/>
        </w:rPr>
        <w:t>第五条  共管资金的冻结和止付</w:t>
      </w:r>
    </w:p>
    <w:p w14:paraId="43EBF9E0">
      <w:pPr>
        <w:spacing w:line="360" w:lineRule="auto"/>
        <w:ind w:firstLine="480" w:firstLineChars="200"/>
        <w:rPr>
          <w:rFonts w:ascii="宋体" w:hAnsi="宋体" w:cs="宋体"/>
          <w:sz w:val="24"/>
          <w:szCs w:val="24"/>
        </w:rPr>
      </w:pPr>
      <w:r>
        <w:rPr>
          <w:rFonts w:hint="eastAsia" w:ascii="宋体" w:hAnsi="宋体" w:cs="宋体"/>
          <w:sz w:val="24"/>
          <w:szCs w:val="24"/>
        </w:rPr>
        <w:t>1.本协议生效之日起，甲方发现乙方将本项目资金挪用、转移或资金流向异常时，有权授权丙方在共管期间中止支付共管账户资金，直至乙方改正为止。</w:t>
      </w:r>
    </w:p>
    <w:p w14:paraId="5DD36073">
      <w:pPr>
        <w:spacing w:line="360" w:lineRule="auto"/>
        <w:ind w:firstLine="480" w:firstLineChars="200"/>
        <w:rPr>
          <w:rFonts w:ascii="宋体" w:hAnsi="宋体" w:cs="宋体"/>
          <w:sz w:val="24"/>
          <w:szCs w:val="24"/>
        </w:rPr>
      </w:pPr>
      <w:r>
        <w:rPr>
          <w:rFonts w:hint="eastAsia" w:ascii="宋体" w:hAnsi="宋体" w:cs="宋体"/>
          <w:sz w:val="24"/>
          <w:szCs w:val="24"/>
        </w:rPr>
        <w:t>2.共管账户资金只用于向乙方支付本协议中涉及的款项或退款，不得用于其他用途。</w:t>
      </w:r>
    </w:p>
    <w:p w14:paraId="0B2D2A12">
      <w:pPr>
        <w:spacing w:line="360" w:lineRule="auto"/>
        <w:ind w:firstLine="480" w:firstLineChars="200"/>
        <w:rPr>
          <w:rFonts w:ascii="宋体" w:hAnsi="宋体" w:cs="宋体"/>
          <w:sz w:val="24"/>
          <w:szCs w:val="24"/>
        </w:rPr>
      </w:pPr>
      <w:r>
        <w:rPr>
          <w:rFonts w:hint="eastAsia" w:ascii="宋体" w:hAnsi="宋体" w:cs="宋体"/>
          <w:sz w:val="24"/>
          <w:szCs w:val="24"/>
        </w:rPr>
        <w:t>第六条 共管期间及协议终止</w:t>
      </w:r>
    </w:p>
    <w:p w14:paraId="5D4B8CF8">
      <w:pPr>
        <w:spacing w:line="360" w:lineRule="auto"/>
        <w:ind w:firstLine="480" w:firstLineChars="200"/>
        <w:rPr>
          <w:rFonts w:ascii="宋体" w:hAnsi="宋体" w:cs="宋体"/>
          <w:sz w:val="24"/>
          <w:szCs w:val="24"/>
        </w:rPr>
      </w:pPr>
      <w:r>
        <w:rPr>
          <w:rFonts w:hint="eastAsia" w:ascii="宋体" w:hAnsi="宋体" w:cs="宋体"/>
          <w:sz w:val="24"/>
          <w:szCs w:val="24"/>
        </w:rPr>
        <w:t>共管期间为共管资金转入共管账户直至共管账户资金全部提取完毕。甲、乙、丙三方可协商缩短或延展共管期间或提前终止共管，但须达成书面补充协议。</w:t>
      </w:r>
    </w:p>
    <w:p w14:paraId="7CAA1350">
      <w:pPr>
        <w:spacing w:line="360" w:lineRule="auto"/>
        <w:ind w:firstLine="480" w:firstLineChars="200"/>
        <w:rPr>
          <w:rFonts w:ascii="宋体" w:hAnsi="宋体" w:cs="宋体"/>
          <w:sz w:val="24"/>
          <w:szCs w:val="24"/>
        </w:rPr>
      </w:pPr>
      <w:r>
        <w:rPr>
          <w:rFonts w:hint="eastAsia" w:ascii="宋体" w:hAnsi="宋体" w:cs="宋体"/>
          <w:sz w:val="24"/>
          <w:szCs w:val="24"/>
        </w:rPr>
        <w:t>第七条 违约责任</w:t>
      </w:r>
    </w:p>
    <w:p w14:paraId="184B1F06">
      <w:pPr>
        <w:spacing w:line="360" w:lineRule="auto"/>
        <w:ind w:firstLine="480" w:firstLineChars="200"/>
        <w:rPr>
          <w:rFonts w:ascii="宋体" w:hAnsi="宋体" w:cs="宋体"/>
          <w:sz w:val="24"/>
          <w:szCs w:val="24"/>
        </w:rPr>
      </w:pPr>
      <w:r>
        <w:rPr>
          <w:rFonts w:hint="eastAsia" w:ascii="宋体" w:hAnsi="宋体" w:cs="宋体"/>
          <w:sz w:val="24"/>
          <w:szCs w:val="24"/>
        </w:rPr>
        <w:t>甲、乙、丙三方均应遵守并履行本协议约定的义务与责任，不得设置任何妨碍其他各方履行本协议的事实上或法律上的障碍，任何一方违反本协议的约定，应承担由此造成相应的经济损失的赔偿责任。</w:t>
      </w:r>
    </w:p>
    <w:p w14:paraId="724DDF58">
      <w:pPr>
        <w:spacing w:line="360" w:lineRule="auto"/>
        <w:ind w:firstLine="480" w:firstLineChars="200"/>
        <w:rPr>
          <w:rFonts w:ascii="宋体" w:hAnsi="宋体" w:cs="宋体"/>
          <w:sz w:val="24"/>
          <w:szCs w:val="24"/>
        </w:rPr>
      </w:pPr>
      <w:r>
        <w:rPr>
          <w:rFonts w:hint="eastAsia" w:ascii="宋体" w:hAnsi="宋体" w:cs="宋体"/>
          <w:sz w:val="24"/>
          <w:szCs w:val="24"/>
        </w:rPr>
        <w:t>第八条 特别声明</w:t>
      </w:r>
    </w:p>
    <w:p w14:paraId="4452A5EB">
      <w:pPr>
        <w:spacing w:line="360" w:lineRule="auto"/>
        <w:ind w:firstLine="480" w:firstLineChars="200"/>
        <w:rPr>
          <w:rFonts w:ascii="宋体" w:hAnsi="宋体" w:cs="宋体"/>
          <w:sz w:val="24"/>
          <w:szCs w:val="24"/>
        </w:rPr>
      </w:pPr>
      <w:r>
        <w:rPr>
          <w:rFonts w:hint="eastAsia" w:ascii="宋体" w:hAnsi="宋体" w:cs="宋体"/>
          <w:sz w:val="24"/>
          <w:szCs w:val="24"/>
        </w:rPr>
        <w:t>1.乙方与其交易对象在签订和履行交易合同过程中出现任何问题和纠纷，均应自行协商或通过法律途径解决；</w:t>
      </w:r>
    </w:p>
    <w:p w14:paraId="77F4C071">
      <w:pPr>
        <w:spacing w:line="360" w:lineRule="auto"/>
        <w:ind w:firstLine="480" w:firstLineChars="200"/>
        <w:rPr>
          <w:rFonts w:ascii="宋体" w:hAnsi="宋体" w:cs="宋体"/>
          <w:sz w:val="24"/>
          <w:szCs w:val="24"/>
        </w:rPr>
      </w:pPr>
      <w:r>
        <w:rPr>
          <w:rFonts w:hint="eastAsia" w:ascii="宋体" w:hAnsi="宋体" w:cs="宋体"/>
          <w:sz w:val="24"/>
          <w:szCs w:val="24"/>
        </w:rPr>
        <w:t>2. 因国家政策或相关法律法规限制，或者共管资金在由丙方保管期间被有权机关托管、查封、止付、冻结、扣划，或存在其他情况，致使资金无法按协议约定划转的，甲方及（或）丙方不承担任何法律责任；</w:t>
      </w:r>
    </w:p>
    <w:p w14:paraId="2684792B">
      <w:pPr>
        <w:spacing w:line="360" w:lineRule="auto"/>
        <w:ind w:firstLine="480" w:firstLineChars="200"/>
        <w:rPr>
          <w:rFonts w:ascii="宋体" w:hAnsi="宋体" w:cs="宋体"/>
          <w:sz w:val="24"/>
          <w:szCs w:val="24"/>
        </w:rPr>
      </w:pPr>
      <w:r>
        <w:rPr>
          <w:rFonts w:hint="eastAsia" w:ascii="宋体" w:hAnsi="宋体" w:cs="宋体"/>
          <w:sz w:val="24"/>
          <w:szCs w:val="24"/>
        </w:rPr>
        <w:t>3. 乙方承诺并保证共管资金的用途合法，乙方与其交易对象所从事的任何与本协议相关的活动均应符合法律法规，因违反法律法规并给甲方及（或）丙方造成任何损失的，应对甲方及（或）丙方的损失承担赔偿责任；</w:t>
      </w:r>
    </w:p>
    <w:p w14:paraId="0294E251">
      <w:pPr>
        <w:spacing w:line="360" w:lineRule="auto"/>
        <w:ind w:firstLine="480" w:firstLineChars="200"/>
        <w:rPr>
          <w:rFonts w:ascii="宋体" w:hAnsi="宋体" w:cs="宋体"/>
          <w:sz w:val="24"/>
          <w:szCs w:val="24"/>
        </w:rPr>
      </w:pPr>
      <w:r>
        <w:rPr>
          <w:rFonts w:hint="eastAsia" w:ascii="宋体" w:hAnsi="宋体" w:cs="宋体"/>
          <w:sz w:val="24"/>
          <w:szCs w:val="24"/>
        </w:rPr>
        <w:t>4. 除法律、法规规定，以及因本项目专项资金共管业务的需要和三方特别约定外，未经三方一致同意，任何一方不得向外提供涉及三方商业秘密的资料。</w:t>
      </w:r>
    </w:p>
    <w:p w14:paraId="6844B763">
      <w:pPr>
        <w:spacing w:line="360" w:lineRule="auto"/>
        <w:ind w:firstLine="480" w:firstLineChars="200"/>
        <w:rPr>
          <w:rFonts w:ascii="宋体" w:hAnsi="宋体" w:cs="宋体"/>
          <w:sz w:val="24"/>
          <w:szCs w:val="24"/>
        </w:rPr>
      </w:pPr>
      <w:r>
        <w:rPr>
          <w:rFonts w:hint="eastAsia" w:ascii="宋体" w:hAnsi="宋体" w:cs="宋体"/>
          <w:sz w:val="24"/>
          <w:szCs w:val="24"/>
        </w:rPr>
        <w:t>第九条 争议解决</w:t>
      </w:r>
    </w:p>
    <w:p w14:paraId="376C364F">
      <w:pPr>
        <w:spacing w:line="360" w:lineRule="auto"/>
        <w:ind w:firstLine="480" w:firstLineChars="200"/>
        <w:rPr>
          <w:rFonts w:ascii="宋体" w:hAnsi="宋体" w:cs="宋体"/>
          <w:sz w:val="24"/>
          <w:szCs w:val="24"/>
        </w:rPr>
      </w:pPr>
      <w:r>
        <w:rPr>
          <w:rFonts w:hint="eastAsia" w:ascii="宋体" w:hAnsi="宋体" w:cs="宋体"/>
          <w:sz w:val="24"/>
          <w:szCs w:val="24"/>
        </w:rPr>
        <w:t>本协议在履行过程中需对协议进行修订、或需解除本协议时，均须三方协商一致，并达成书面协议。书面协议达成之前，不影响本协议条款效力。</w:t>
      </w:r>
    </w:p>
    <w:p w14:paraId="5281B5A1">
      <w:pPr>
        <w:spacing w:line="360" w:lineRule="auto"/>
        <w:ind w:firstLine="480" w:firstLineChars="200"/>
        <w:rPr>
          <w:rFonts w:ascii="宋体" w:hAnsi="宋体" w:cs="宋体"/>
          <w:sz w:val="24"/>
          <w:szCs w:val="24"/>
        </w:rPr>
      </w:pPr>
      <w:r>
        <w:rPr>
          <w:rFonts w:hint="eastAsia" w:ascii="宋体" w:hAnsi="宋体" w:cs="宋体"/>
          <w:sz w:val="24"/>
          <w:szCs w:val="24"/>
        </w:rPr>
        <w:t>本协议未尽事宜，由三方协商解决，未能友好协商解决的，任何一方均有权向甲方所在地人民法院提起诉讼。</w:t>
      </w:r>
    </w:p>
    <w:p w14:paraId="748C26CE">
      <w:pPr>
        <w:spacing w:line="360" w:lineRule="auto"/>
        <w:ind w:firstLine="480" w:firstLineChars="200"/>
        <w:rPr>
          <w:rFonts w:ascii="宋体" w:hAnsi="宋体" w:cs="宋体"/>
          <w:sz w:val="24"/>
          <w:szCs w:val="24"/>
        </w:rPr>
      </w:pPr>
      <w:r>
        <w:rPr>
          <w:rFonts w:hint="eastAsia" w:ascii="宋体" w:hAnsi="宋体" w:cs="宋体"/>
          <w:sz w:val="24"/>
          <w:szCs w:val="24"/>
        </w:rPr>
        <w:t>第十条 本协议的生效</w:t>
      </w:r>
    </w:p>
    <w:p w14:paraId="2DA9FD78">
      <w:pPr>
        <w:spacing w:line="360" w:lineRule="auto"/>
        <w:ind w:firstLine="480" w:firstLineChars="200"/>
        <w:rPr>
          <w:rFonts w:ascii="宋体" w:hAnsi="宋体" w:cs="宋体"/>
          <w:sz w:val="24"/>
          <w:szCs w:val="24"/>
        </w:rPr>
      </w:pPr>
      <w:r>
        <w:rPr>
          <w:rFonts w:hint="eastAsia" w:ascii="宋体" w:hAnsi="宋体" w:cs="宋体"/>
          <w:sz w:val="24"/>
          <w:szCs w:val="24"/>
        </w:rPr>
        <w:t>本协议自甲、乙、丙三方法定代表人（或负责人）或其授权代理人签字并加盖公章之日起生效。</w:t>
      </w:r>
    </w:p>
    <w:p w14:paraId="7602313F">
      <w:pPr>
        <w:spacing w:line="360" w:lineRule="auto"/>
        <w:ind w:firstLine="480" w:firstLineChars="200"/>
        <w:rPr>
          <w:rFonts w:ascii="宋体" w:hAnsi="宋体" w:cs="宋体"/>
          <w:sz w:val="24"/>
          <w:szCs w:val="24"/>
        </w:rPr>
      </w:pPr>
      <w:r>
        <w:rPr>
          <w:rFonts w:hint="eastAsia" w:ascii="宋体" w:hAnsi="宋体" w:cs="宋体"/>
          <w:sz w:val="24"/>
          <w:szCs w:val="24"/>
        </w:rPr>
        <w:t>第十一条 附则</w:t>
      </w:r>
    </w:p>
    <w:p w14:paraId="0237767A">
      <w:pPr>
        <w:spacing w:line="360" w:lineRule="auto"/>
        <w:ind w:firstLine="480" w:firstLineChars="200"/>
        <w:rPr>
          <w:rFonts w:ascii="宋体" w:hAnsi="宋体" w:cs="宋体"/>
          <w:sz w:val="24"/>
          <w:szCs w:val="24"/>
        </w:rPr>
      </w:pPr>
      <w:r>
        <w:rPr>
          <w:rFonts w:hint="eastAsia" w:ascii="宋体" w:hAnsi="宋体" w:cs="宋体"/>
          <w:sz w:val="24"/>
          <w:szCs w:val="24"/>
        </w:rPr>
        <w:t>本协议一式六份，甲方、乙方、丙方各执贰份，具有同等法律效力。</w:t>
      </w:r>
    </w:p>
    <w:p w14:paraId="3EB634EF">
      <w:pPr>
        <w:spacing w:line="360" w:lineRule="auto"/>
        <w:ind w:firstLine="480" w:firstLineChars="200"/>
        <w:rPr>
          <w:rFonts w:ascii="宋体" w:hAnsi="宋体" w:cs="宋体"/>
          <w:sz w:val="24"/>
          <w:szCs w:val="24"/>
        </w:rPr>
      </w:pPr>
    </w:p>
    <w:p w14:paraId="462670DB">
      <w:pPr>
        <w:spacing w:line="360" w:lineRule="auto"/>
        <w:ind w:firstLine="480" w:firstLineChars="200"/>
        <w:rPr>
          <w:rFonts w:ascii="宋体" w:hAnsi="宋体" w:cs="宋体"/>
          <w:sz w:val="24"/>
          <w:szCs w:val="24"/>
        </w:rPr>
      </w:pPr>
      <w:r>
        <w:rPr>
          <w:rFonts w:hint="eastAsia" w:ascii="宋体" w:hAnsi="宋体" w:cs="宋体"/>
          <w:sz w:val="24"/>
          <w:szCs w:val="24"/>
        </w:rPr>
        <w:t>附件:</w:t>
      </w:r>
    </w:p>
    <w:p w14:paraId="0FF66F92">
      <w:pPr>
        <w:spacing w:line="360" w:lineRule="auto"/>
        <w:ind w:firstLine="480" w:firstLineChars="200"/>
        <w:rPr>
          <w:rFonts w:ascii="宋体" w:hAnsi="宋体" w:cs="宋体"/>
          <w:sz w:val="24"/>
          <w:szCs w:val="24"/>
        </w:rPr>
      </w:pPr>
      <w:r>
        <w:rPr>
          <w:rFonts w:hint="eastAsia" w:ascii="宋体" w:hAnsi="宋体" w:cs="宋体"/>
          <w:sz w:val="24"/>
          <w:szCs w:val="24"/>
        </w:rPr>
        <w:t>一、《用款申请书》；</w:t>
      </w:r>
    </w:p>
    <w:p w14:paraId="4DACB3CE">
      <w:pPr>
        <w:spacing w:line="360" w:lineRule="auto"/>
        <w:ind w:firstLine="480" w:firstLineChars="200"/>
        <w:rPr>
          <w:rFonts w:ascii="宋体" w:hAnsi="宋体" w:cs="宋体"/>
          <w:sz w:val="24"/>
          <w:szCs w:val="24"/>
        </w:rPr>
      </w:pPr>
      <w:r>
        <w:rPr>
          <w:rFonts w:hint="eastAsia" w:ascii="宋体" w:hAnsi="宋体" w:cs="宋体"/>
          <w:sz w:val="24"/>
          <w:szCs w:val="24"/>
        </w:rPr>
        <w:t>三、《共管账户划款通知书》；</w:t>
      </w:r>
    </w:p>
    <w:p w14:paraId="0C475B49">
      <w:pPr>
        <w:spacing w:line="360" w:lineRule="auto"/>
        <w:ind w:firstLine="480" w:firstLineChars="200"/>
        <w:rPr>
          <w:rFonts w:ascii="宋体" w:hAnsi="宋体" w:cs="宋体"/>
          <w:sz w:val="24"/>
          <w:szCs w:val="24"/>
        </w:rPr>
      </w:pPr>
      <w:r>
        <w:rPr>
          <w:rFonts w:hint="eastAsia" w:ascii="宋体" w:hAnsi="宋体" w:cs="宋体"/>
          <w:sz w:val="24"/>
          <w:szCs w:val="24"/>
        </w:rPr>
        <w:t>三、项目资金支付审批流程概览。</w:t>
      </w:r>
    </w:p>
    <w:p w14:paraId="2E0D5118">
      <w:pPr>
        <w:spacing w:line="360" w:lineRule="auto"/>
        <w:ind w:firstLine="480" w:firstLineChars="200"/>
        <w:rPr>
          <w:rFonts w:ascii="宋体" w:hAnsi="宋体" w:cs="宋体"/>
          <w:sz w:val="24"/>
          <w:szCs w:val="24"/>
        </w:rPr>
      </w:pPr>
      <w:r>
        <w:rPr>
          <w:rFonts w:hint="eastAsia" w:ascii="宋体" w:hAnsi="宋体"/>
          <w:sz w:val="24"/>
        </w:rPr>
        <w:t>以下无正文</w:t>
      </w:r>
    </w:p>
    <w:p w14:paraId="002420EA">
      <w:pPr>
        <w:spacing w:line="360" w:lineRule="auto"/>
        <w:ind w:firstLine="200"/>
        <w:rPr>
          <w:rFonts w:ascii="宋体" w:hAnsi="宋体" w:cs="宋体"/>
          <w:sz w:val="24"/>
          <w:szCs w:val="24"/>
        </w:rPr>
      </w:pPr>
    </w:p>
    <w:p w14:paraId="0574ABE2">
      <w:pPr>
        <w:spacing w:line="360" w:lineRule="auto"/>
        <w:ind w:firstLine="200"/>
        <w:rPr>
          <w:rFonts w:ascii="宋体" w:hAnsi="宋体" w:cs="宋体"/>
          <w:sz w:val="24"/>
          <w:szCs w:val="24"/>
        </w:rPr>
      </w:pPr>
      <w:r>
        <w:rPr>
          <w:rFonts w:hint="eastAsia" w:ascii="宋体" w:hAnsi="宋体" w:cs="宋体"/>
          <w:sz w:val="24"/>
          <w:szCs w:val="24"/>
        </w:rPr>
        <w:t xml:space="preserve">甲方（盖公章）： </w:t>
      </w:r>
    </w:p>
    <w:p w14:paraId="05CAAA46">
      <w:pPr>
        <w:spacing w:line="360" w:lineRule="auto"/>
        <w:ind w:firstLine="200"/>
        <w:rPr>
          <w:rFonts w:ascii="宋体" w:hAnsi="宋体" w:cs="宋体"/>
          <w:sz w:val="24"/>
          <w:szCs w:val="24"/>
        </w:rPr>
      </w:pPr>
    </w:p>
    <w:p w14:paraId="7FE38B3A">
      <w:pPr>
        <w:spacing w:line="360" w:lineRule="auto"/>
        <w:ind w:firstLine="200"/>
        <w:rPr>
          <w:rFonts w:ascii="宋体" w:hAnsi="宋体" w:cs="宋体"/>
          <w:sz w:val="24"/>
          <w:szCs w:val="24"/>
        </w:rPr>
      </w:pPr>
      <w:r>
        <w:rPr>
          <w:rFonts w:hint="eastAsia" w:ascii="宋体" w:hAnsi="宋体" w:cs="宋体"/>
          <w:sz w:val="24"/>
          <w:szCs w:val="24"/>
        </w:rPr>
        <w:t>法定代表人（授权代理人）：</w:t>
      </w:r>
    </w:p>
    <w:p w14:paraId="5140AD96">
      <w:pPr>
        <w:spacing w:line="360" w:lineRule="auto"/>
        <w:ind w:firstLine="200"/>
        <w:rPr>
          <w:rFonts w:ascii="宋体" w:hAnsi="宋体" w:cs="宋体"/>
          <w:sz w:val="24"/>
          <w:szCs w:val="24"/>
        </w:rPr>
      </w:pPr>
    </w:p>
    <w:p w14:paraId="35FC1455">
      <w:pPr>
        <w:spacing w:line="360" w:lineRule="auto"/>
        <w:ind w:firstLine="200"/>
        <w:rPr>
          <w:rFonts w:ascii="宋体" w:hAnsi="宋体" w:cs="宋体"/>
          <w:sz w:val="24"/>
          <w:szCs w:val="24"/>
        </w:rPr>
      </w:pPr>
      <w:r>
        <w:rPr>
          <w:rFonts w:hint="eastAsia" w:ascii="宋体" w:hAnsi="宋体" w:cs="宋体"/>
          <w:sz w:val="24"/>
          <w:szCs w:val="24"/>
        </w:rPr>
        <w:t xml:space="preserve">签订日期： </w:t>
      </w:r>
    </w:p>
    <w:p w14:paraId="2218FE4F">
      <w:pPr>
        <w:spacing w:line="360" w:lineRule="auto"/>
        <w:ind w:right="-867" w:rightChars="-413" w:firstLine="200"/>
        <w:rPr>
          <w:rFonts w:ascii="宋体" w:hAnsi="宋体" w:cs="宋体"/>
          <w:sz w:val="24"/>
          <w:szCs w:val="24"/>
        </w:rPr>
      </w:pPr>
    </w:p>
    <w:p w14:paraId="47731576">
      <w:pPr>
        <w:spacing w:line="360" w:lineRule="auto"/>
        <w:ind w:right="-867" w:rightChars="-413" w:firstLine="200"/>
        <w:rPr>
          <w:rFonts w:ascii="宋体" w:hAnsi="宋体" w:cs="宋体"/>
          <w:sz w:val="24"/>
          <w:szCs w:val="24"/>
        </w:rPr>
      </w:pPr>
      <w:r>
        <w:rPr>
          <w:rFonts w:hint="eastAsia" w:ascii="宋体" w:hAnsi="宋体" w:cs="宋体"/>
          <w:sz w:val="24"/>
          <w:szCs w:val="24"/>
        </w:rPr>
        <w:t xml:space="preserve">乙方（总包单位盖公章）：                  </w:t>
      </w:r>
    </w:p>
    <w:p w14:paraId="3E2E1F14">
      <w:pPr>
        <w:spacing w:line="360" w:lineRule="auto"/>
        <w:ind w:firstLine="200"/>
        <w:rPr>
          <w:rFonts w:ascii="宋体" w:hAnsi="宋体" w:cs="宋体"/>
          <w:sz w:val="24"/>
          <w:szCs w:val="24"/>
        </w:rPr>
      </w:pPr>
    </w:p>
    <w:p w14:paraId="77CC13D4">
      <w:pPr>
        <w:spacing w:line="360" w:lineRule="auto"/>
        <w:ind w:firstLine="200"/>
        <w:rPr>
          <w:rFonts w:ascii="宋体" w:hAnsi="宋体" w:cs="宋体"/>
          <w:sz w:val="24"/>
          <w:szCs w:val="24"/>
        </w:rPr>
      </w:pPr>
      <w:r>
        <w:rPr>
          <w:rFonts w:hint="eastAsia" w:ascii="宋体" w:hAnsi="宋体" w:cs="宋体"/>
          <w:sz w:val="24"/>
          <w:szCs w:val="24"/>
        </w:rPr>
        <w:t>法定代表人（授权代理人）：</w:t>
      </w:r>
    </w:p>
    <w:p w14:paraId="19BF9C20">
      <w:pPr>
        <w:spacing w:line="360" w:lineRule="auto"/>
        <w:ind w:firstLine="200"/>
        <w:rPr>
          <w:rFonts w:ascii="宋体" w:hAnsi="宋体" w:cs="宋体"/>
          <w:sz w:val="24"/>
          <w:szCs w:val="24"/>
        </w:rPr>
      </w:pPr>
    </w:p>
    <w:p w14:paraId="7F922B2D">
      <w:pPr>
        <w:spacing w:line="360" w:lineRule="auto"/>
        <w:ind w:firstLine="200"/>
        <w:rPr>
          <w:rFonts w:ascii="宋体" w:hAnsi="宋体" w:cs="宋体"/>
          <w:sz w:val="24"/>
          <w:szCs w:val="24"/>
        </w:rPr>
      </w:pPr>
      <w:r>
        <w:rPr>
          <w:rFonts w:hint="eastAsia" w:ascii="宋体" w:hAnsi="宋体" w:cs="宋体"/>
          <w:sz w:val="24"/>
          <w:szCs w:val="24"/>
        </w:rPr>
        <w:t>签订日期：     年     月     日</w:t>
      </w:r>
    </w:p>
    <w:p w14:paraId="53926E99">
      <w:pPr>
        <w:spacing w:line="360" w:lineRule="auto"/>
        <w:ind w:right="-867" w:rightChars="-413" w:firstLine="200"/>
        <w:rPr>
          <w:rFonts w:ascii="宋体" w:hAnsi="宋体" w:cs="宋体"/>
          <w:sz w:val="24"/>
          <w:szCs w:val="24"/>
        </w:rPr>
      </w:pPr>
    </w:p>
    <w:p w14:paraId="69111870">
      <w:pPr>
        <w:pStyle w:val="46"/>
        <w:ind w:firstLine="480"/>
      </w:pPr>
    </w:p>
    <w:p w14:paraId="7FA2CBC9">
      <w:pPr>
        <w:spacing w:line="360" w:lineRule="auto"/>
        <w:ind w:right="-867" w:rightChars="-413" w:firstLine="200"/>
        <w:rPr>
          <w:rFonts w:ascii="宋体" w:hAnsi="宋体" w:cs="宋体"/>
          <w:sz w:val="24"/>
          <w:szCs w:val="24"/>
        </w:rPr>
      </w:pPr>
      <w:r>
        <w:rPr>
          <w:rFonts w:hint="eastAsia" w:ascii="宋体" w:hAnsi="宋体" w:cs="宋体"/>
          <w:sz w:val="24"/>
          <w:szCs w:val="24"/>
        </w:rPr>
        <w:t xml:space="preserve">乙方（设计院盖公章）：                  </w:t>
      </w:r>
    </w:p>
    <w:p w14:paraId="7F6DD6DF">
      <w:pPr>
        <w:spacing w:line="360" w:lineRule="auto"/>
        <w:ind w:firstLine="200"/>
        <w:rPr>
          <w:rFonts w:ascii="宋体" w:hAnsi="宋体" w:cs="宋体"/>
          <w:sz w:val="24"/>
          <w:szCs w:val="24"/>
        </w:rPr>
      </w:pPr>
    </w:p>
    <w:p w14:paraId="366FD248">
      <w:pPr>
        <w:spacing w:line="360" w:lineRule="auto"/>
        <w:ind w:firstLine="200"/>
        <w:rPr>
          <w:rFonts w:ascii="宋体" w:hAnsi="宋体" w:cs="宋体"/>
          <w:sz w:val="24"/>
          <w:szCs w:val="24"/>
        </w:rPr>
      </w:pPr>
      <w:r>
        <w:rPr>
          <w:rFonts w:hint="eastAsia" w:ascii="宋体" w:hAnsi="宋体" w:cs="宋体"/>
          <w:sz w:val="24"/>
          <w:szCs w:val="24"/>
        </w:rPr>
        <w:t>法定代表人（授权代理人）：</w:t>
      </w:r>
    </w:p>
    <w:p w14:paraId="411C96A5">
      <w:pPr>
        <w:spacing w:line="360" w:lineRule="auto"/>
        <w:ind w:firstLine="200"/>
        <w:rPr>
          <w:rFonts w:ascii="宋体" w:hAnsi="宋体" w:cs="宋体"/>
          <w:sz w:val="24"/>
          <w:szCs w:val="24"/>
        </w:rPr>
      </w:pPr>
    </w:p>
    <w:p w14:paraId="7BF1541F">
      <w:pPr>
        <w:spacing w:line="360" w:lineRule="auto"/>
        <w:ind w:firstLine="200"/>
        <w:rPr>
          <w:rFonts w:ascii="宋体" w:hAnsi="宋体" w:cs="宋体"/>
          <w:sz w:val="24"/>
          <w:szCs w:val="24"/>
        </w:rPr>
      </w:pPr>
      <w:r>
        <w:rPr>
          <w:rFonts w:hint="eastAsia" w:ascii="宋体" w:hAnsi="宋体" w:cs="宋体"/>
          <w:sz w:val="24"/>
          <w:szCs w:val="24"/>
        </w:rPr>
        <w:t>签订日期：     年     月     日</w:t>
      </w:r>
    </w:p>
    <w:p w14:paraId="70AE9CF5"/>
    <w:p w14:paraId="1445917D">
      <w:pPr>
        <w:spacing w:line="360" w:lineRule="auto"/>
        <w:ind w:firstLine="200"/>
        <w:rPr>
          <w:rFonts w:ascii="宋体" w:hAnsi="宋体" w:cs="宋体"/>
          <w:sz w:val="24"/>
          <w:szCs w:val="24"/>
        </w:rPr>
      </w:pPr>
    </w:p>
    <w:p w14:paraId="19B9E06C">
      <w:pPr>
        <w:spacing w:line="360" w:lineRule="auto"/>
        <w:ind w:right="-867" w:rightChars="-413" w:firstLine="200"/>
        <w:rPr>
          <w:rFonts w:ascii="宋体" w:hAnsi="宋体" w:cs="宋体"/>
          <w:sz w:val="24"/>
          <w:szCs w:val="24"/>
        </w:rPr>
      </w:pPr>
    </w:p>
    <w:p w14:paraId="0B01C2F7">
      <w:pPr>
        <w:spacing w:line="360" w:lineRule="auto"/>
        <w:ind w:right="-867" w:rightChars="-413" w:firstLine="200"/>
        <w:rPr>
          <w:rFonts w:ascii="宋体" w:hAnsi="宋体" w:cs="宋体"/>
          <w:sz w:val="24"/>
          <w:szCs w:val="24"/>
        </w:rPr>
      </w:pPr>
    </w:p>
    <w:p w14:paraId="5F6F3FF2">
      <w:pPr>
        <w:spacing w:line="360" w:lineRule="auto"/>
        <w:ind w:right="-867" w:rightChars="-413" w:firstLine="200"/>
        <w:rPr>
          <w:rFonts w:ascii="宋体" w:hAnsi="宋体" w:cs="宋体"/>
          <w:sz w:val="24"/>
          <w:szCs w:val="24"/>
        </w:rPr>
      </w:pPr>
      <w:r>
        <w:rPr>
          <w:rFonts w:hint="eastAsia" w:ascii="宋体" w:hAnsi="宋体" w:cs="宋体"/>
          <w:sz w:val="24"/>
          <w:szCs w:val="24"/>
        </w:rPr>
        <w:t xml:space="preserve">丙方（盖公章）：            </w:t>
      </w:r>
    </w:p>
    <w:p w14:paraId="3CF4FA99">
      <w:pPr>
        <w:spacing w:line="360" w:lineRule="auto"/>
        <w:ind w:firstLine="200"/>
        <w:rPr>
          <w:rFonts w:ascii="宋体" w:hAnsi="宋体" w:cs="宋体"/>
          <w:sz w:val="24"/>
          <w:szCs w:val="24"/>
        </w:rPr>
      </w:pPr>
    </w:p>
    <w:p w14:paraId="79512AE9">
      <w:pPr>
        <w:spacing w:line="360" w:lineRule="auto"/>
        <w:ind w:firstLine="200"/>
        <w:rPr>
          <w:rFonts w:ascii="宋体" w:hAnsi="宋体" w:cs="宋体"/>
          <w:sz w:val="24"/>
          <w:szCs w:val="24"/>
        </w:rPr>
      </w:pPr>
      <w:r>
        <w:rPr>
          <w:rFonts w:hint="eastAsia" w:ascii="宋体" w:hAnsi="宋体" w:cs="宋体"/>
          <w:sz w:val="24"/>
          <w:szCs w:val="24"/>
        </w:rPr>
        <w:t>法定代表人（授权代理人）：</w:t>
      </w:r>
    </w:p>
    <w:p w14:paraId="4B501E48">
      <w:pPr>
        <w:spacing w:line="360" w:lineRule="auto"/>
        <w:ind w:firstLine="200"/>
        <w:rPr>
          <w:rFonts w:ascii="宋体" w:hAnsi="宋体" w:cs="宋体"/>
          <w:sz w:val="24"/>
          <w:szCs w:val="24"/>
        </w:rPr>
      </w:pPr>
    </w:p>
    <w:p w14:paraId="471670A9">
      <w:pPr>
        <w:spacing w:line="360" w:lineRule="auto"/>
        <w:ind w:firstLine="200"/>
        <w:rPr>
          <w:rFonts w:ascii="宋体" w:hAnsi="宋体" w:cs="宋体"/>
          <w:sz w:val="24"/>
          <w:szCs w:val="24"/>
        </w:rPr>
        <w:sectPr>
          <w:headerReference r:id="rId4" w:type="default"/>
          <w:footerReference r:id="rId5" w:type="default"/>
          <w:pgSz w:w="11907" w:h="16840"/>
          <w:pgMar w:top="1134" w:right="1418" w:bottom="1134" w:left="1418" w:header="851" w:footer="992" w:gutter="0"/>
          <w:cols w:space="720" w:num="1"/>
          <w:docGrid w:linePitch="312" w:charSpace="0"/>
        </w:sectPr>
      </w:pPr>
      <w:r>
        <w:rPr>
          <w:rFonts w:hint="eastAsia" w:ascii="宋体" w:hAnsi="宋体" w:cs="宋体"/>
          <w:sz w:val="24"/>
          <w:szCs w:val="24"/>
        </w:rPr>
        <w:t>签订日期：    年     月     日</w:t>
      </w:r>
      <w:bookmarkStart w:id="842" w:name="_Toc85854822"/>
      <w:bookmarkStart w:id="843" w:name="_Toc101777645"/>
      <w:bookmarkStart w:id="844" w:name="_Toc447620668"/>
    </w:p>
    <w:bookmarkEnd w:id="842"/>
    <w:bookmarkEnd w:id="843"/>
    <w:bookmarkEnd w:id="844"/>
    <w:tbl>
      <w:tblPr>
        <w:tblStyle w:val="47"/>
        <w:tblW w:w="15507" w:type="dxa"/>
        <w:tblInd w:w="-679" w:type="dxa"/>
        <w:tblLayout w:type="fixed"/>
        <w:tblCellMar>
          <w:top w:w="0" w:type="dxa"/>
          <w:left w:w="108" w:type="dxa"/>
          <w:bottom w:w="0" w:type="dxa"/>
          <w:right w:w="108" w:type="dxa"/>
        </w:tblCellMar>
      </w:tblPr>
      <w:tblGrid>
        <w:gridCol w:w="448"/>
        <w:gridCol w:w="1258"/>
        <w:gridCol w:w="885"/>
        <w:gridCol w:w="1979"/>
        <w:gridCol w:w="760"/>
        <w:gridCol w:w="2261"/>
        <w:gridCol w:w="198"/>
        <w:gridCol w:w="1400"/>
        <w:gridCol w:w="1400"/>
        <w:gridCol w:w="2119"/>
        <w:gridCol w:w="1703"/>
        <w:gridCol w:w="1096"/>
      </w:tblGrid>
      <w:tr w14:paraId="3A5232E6">
        <w:tblPrEx>
          <w:tblCellMar>
            <w:top w:w="0" w:type="dxa"/>
            <w:left w:w="108" w:type="dxa"/>
            <w:bottom w:w="0" w:type="dxa"/>
            <w:right w:w="108" w:type="dxa"/>
          </w:tblCellMar>
        </w:tblPrEx>
        <w:trPr>
          <w:trHeight w:val="510" w:hRule="atLeast"/>
        </w:trPr>
        <w:tc>
          <w:tcPr>
            <w:tcW w:w="15507" w:type="dxa"/>
            <w:gridSpan w:val="12"/>
            <w:tcBorders>
              <w:top w:val="nil"/>
              <w:left w:val="nil"/>
              <w:bottom w:val="nil"/>
              <w:right w:val="nil"/>
            </w:tcBorders>
            <w:vAlign w:val="center"/>
          </w:tcPr>
          <w:p w14:paraId="0486BE97">
            <w:pPr>
              <w:widowControl/>
              <w:jc w:val="center"/>
              <w:rPr>
                <w:rFonts w:ascii="宋体" w:hAnsi="宋体" w:cs="宋体"/>
                <w:bCs/>
                <w:kern w:val="0"/>
                <w:szCs w:val="21"/>
              </w:rPr>
            </w:pPr>
            <w:r>
              <w:rPr>
                <w:rFonts w:hint="eastAsia" w:ascii="宋体" w:hAnsi="宋体" w:cs="宋体"/>
                <w:bCs/>
                <w:kern w:val="0"/>
                <w:szCs w:val="21"/>
                <w:u w:val="single"/>
              </w:rPr>
              <w:t xml:space="preserve">    </w:t>
            </w:r>
            <w:r>
              <w:rPr>
                <w:rFonts w:hint="eastAsia" w:ascii="宋体" w:hAnsi="宋体" w:cs="宋体"/>
                <w:bCs/>
                <w:kern w:val="0"/>
                <w:szCs w:val="21"/>
              </w:rPr>
              <w:t>工程用款申请书</w:t>
            </w:r>
          </w:p>
        </w:tc>
      </w:tr>
      <w:tr w14:paraId="062D4D12">
        <w:tblPrEx>
          <w:tblCellMar>
            <w:top w:w="0" w:type="dxa"/>
            <w:left w:w="108" w:type="dxa"/>
            <w:bottom w:w="0" w:type="dxa"/>
            <w:right w:w="108" w:type="dxa"/>
          </w:tblCellMar>
        </w:tblPrEx>
        <w:trPr>
          <w:trHeight w:val="510" w:hRule="atLeast"/>
        </w:trPr>
        <w:tc>
          <w:tcPr>
            <w:tcW w:w="15507" w:type="dxa"/>
            <w:gridSpan w:val="12"/>
            <w:tcBorders>
              <w:top w:val="nil"/>
              <w:left w:val="nil"/>
              <w:bottom w:val="single" w:color="auto" w:sz="4" w:space="0"/>
              <w:right w:val="nil"/>
            </w:tcBorders>
            <w:vAlign w:val="center"/>
          </w:tcPr>
          <w:p w14:paraId="5115B9C5">
            <w:pPr>
              <w:widowControl/>
              <w:rPr>
                <w:rFonts w:ascii="宋体" w:hAnsi="宋体" w:cs="宋体"/>
                <w:bCs/>
                <w:kern w:val="0"/>
                <w:szCs w:val="21"/>
              </w:rPr>
            </w:pPr>
            <w:r>
              <w:rPr>
                <w:rFonts w:hint="eastAsia" w:ascii="宋体" w:hAnsi="宋体" w:cs="宋体"/>
                <w:bCs/>
                <w:kern w:val="0"/>
                <w:szCs w:val="21"/>
              </w:rPr>
              <w:t>申请编号：   年第  次申请                  用款申请书                  申请日期：    年   月   日</w:t>
            </w:r>
          </w:p>
        </w:tc>
      </w:tr>
      <w:tr w14:paraId="1492257B">
        <w:tblPrEx>
          <w:tblCellMar>
            <w:top w:w="0" w:type="dxa"/>
            <w:left w:w="108" w:type="dxa"/>
            <w:bottom w:w="0" w:type="dxa"/>
            <w:right w:w="108" w:type="dxa"/>
          </w:tblCellMar>
        </w:tblPrEx>
        <w:trPr>
          <w:trHeight w:val="485" w:hRule="atLeast"/>
        </w:trPr>
        <w:tc>
          <w:tcPr>
            <w:tcW w:w="1706" w:type="dxa"/>
            <w:gridSpan w:val="2"/>
            <w:tcBorders>
              <w:top w:val="single" w:color="auto" w:sz="4" w:space="0"/>
              <w:left w:val="single" w:color="auto" w:sz="4" w:space="0"/>
              <w:bottom w:val="single" w:color="auto" w:sz="4" w:space="0"/>
              <w:right w:val="single" w:color="auto" w:sz="4" w:space="0"/>
            </w:tcBorders>
            <w:vAlign w:val="center"/>
          </w:tcPr>
          <w:p w14:paraId="5322EA32">
            <w:pPr>
              <w:widowControl/>
              <w:jc w:val="center"/>
              <w:rPr>
                <w:rFonts w:ascii="宋体" w:hAnsi="宋体" w:cs="宋体"/>
                <w:bCs/>
                <w:kern w:val="0"/>
                <w:szCs w:val="21"/>
              </w:rPr>
            </w:pPr>
            <w:r>
              <w:rPr>
                <w:rFonts w:hint="eastAsia" w:ascii="宋体" w:hAnsi="宋体" w:cs="宋体"/>
                <w:bCs/>
                <w:kern w:val="0"/>
                <w:szCs w:val="21"/>
              </w:rPr>
              <w:t>申请单位全称</w:t>
            </w:r>
          </w:p>
        </w:tc>
        <w:tc>
          <w:tcPr>
            <w:tcW w:w="3624" w:type="dxa"/>
            <w:gridSpan w:val="3"/>
            <w:tcBorders>
              <w:top w:val="single" w:color="auto" w:sz="4" w:space="0"/>
              <w:left w:val="nil"/>
              <w:bottom w:val="single" w:color="auto" w:sz="4" w:space="0"/>
              <w:right w:val="single" w:color="000000" w:sz="4" w:space="0"/>
            </w:tcBorders>
            <w:vAlign w:val="center"/>
          </w:tcPr>
          <w:p w14:paraId="67621A89">
            <w:pPr>
              <w:widowControl/>
              <w:jc w:val="center"/>
              <w:rPr>
                <w:rFonts w:ascii="宋体" w:hAnsi="宋体" w:cs="宋体"/>
                <w:bCs/>
                <w:kern w:val="0"/>
                <w:szCs w:val="21"/>
              </w:rPr>
            </w:pPr>
            <w:r>
              <w:rPr>
                <w:rFonts w:hint="eastAsia" w:ascii="宋体" w:hAnsi="宋体" w:cs="宋体"/>
                <w:bCs/>
                <w:kern w:val="0"/>
                <w:szCs w:val="21"/>
              </w:rPr>
              <w:t>　</w:t>
            </w:r>
          </w:p>
        </w:tc>
        <w:tc>
          <w:tcPr>
            <w:tcW w:w="2459" w:type="dxa"/>
            <w:gridSpan w:val="2"/>
            <w:tcBorders>
              <w:top w:val="single" w:color="auto" w:sz="4" w:space="0"/>
              <w:left w:val="nil"/>
              <w:bottom w:val="single" w:color="auto" w:sz="4" w:space="0"/>
              <w:right w:val="single" w:color="000000" w:sz="4" w:space="0"/>
            </w:tcBorders>
            <w:vAlign w:val="center"/>
          </w:tcPr>
          <w:p w14:paraId="53E2628D">
            <w:pPr>
              <w:widowControl/>
              <w:jc w:val="center"/>
              <w:rPr>
                <w:rFonts w:ascii="宋体" w:hAnsi="宋体" w:cs="宋体"/>
                <w:bCs/>
                <w:kern w:val="0"/>
                <w:szCs w:val="21"/>
              </w:rPr>
            </w:pPr>
            <w:r>
              <w:rPr>
                <w:rFonts w:hint="eastAsia" w:ascii="宋体" w:hAnsi="宋体" w:cs="宋体"/>
                <w:bCs/>
                <w:kern w:val="0"/>
                <w:szCs w:val="21"/>
              </w:rPr>
              <w:t>共管账户开户银行</w:t>
            </w:r>
          </w:p>
        </w:tc>
        <w:tc>
          <w:tcPr>
            <w:tcW w:w="2800" w:type="dxa"/>
            <w:gridSpan w:val="2"/>
            <w:tcBorders>
              <w:top w:val="single" w:color="auto" w:sz="4" w:space="0"/>
              <w:left w:val="nil"/>
              <w:bottom w:val="single" w:color="auto" w:sz="4" w:space="0"/>
              <w:right w:val="single" w:color="000000" w:sz="4" w:space="0"/>
            </w:tcBorders>
            <w:vAlign w:val="center"/>
          </w:tcPr>
          <w:p w14:paraId="5259997A">
            <w:pPr>
              <w:widowControl/>
              <w:jc w:val="center"/>
              <w:rPr>
                <w:rFonts w:ascii="宋体" w:hAnsi="宋体" w:cs="宋体"/>
                <w:kern w:val="0"/>
                <w:szCs w:val="21"/>
              </w:rPr>
            </w:pPr>
            <w:r>
              <w:rPr>
                <w:rFonts w:hint="eastAsia" w:ascii="宋体" w:hAnsi="宋体" w:cs="宋体"/>
                <w:kern w:val="0"/>
                <w:szCs w:val="21"/>
              </w:rPr>
              <w:t>　</w:t>
            </w:r>
          </w:p>
        </w:tc>
        <w:tc>
          <w:tcPr>
            <w:tcW w:w="2119" w:type="dxa"/>
            <w:tcBorders>
              <w:top w:val="single" w:color="auto" w:sz="4" w:space="0"/>
              <w:left w:val="nil"/>
              <w:bottom w:val="single" w:color="auto" w:sz="4" w:space="0"/>
              <w:right w:val="single" w:color="000000" w:sz="4" w:space="0"/>
            </w:tcBorders>
            <w:vAlign w:val="center"/>
          </w:tcPr>
          <w:p w14:paraId="453E7A2D">
            <w:pPr>
              <w:widowControl/>
              <w:jc w:val="center"/>
              <w:rPr>
                <w:rFonts w:ascii="宋体" w:hAnsi="宋体" w:cs="宋体"/>
                <w:bCs/>
                <w:kern w:val="0"/>
                <w:szCs w:val="21"/>
              </w:rPr>
            </w:pPr>
            <w:r>
              <w:rPr>
                <w:rFonts w:hint="eastAsia" w:ascii="宋体" w:hAnsi="宋体" w:cs="宋体"/>
                <w:bCs/>
                <w:kern w:val="0"/>
                <w:szCs w:val="21"/>
              </w:rPr>
              <w:t>共管账户银行账号</w:t>
            </w:r>
          </w:p>
        </w:tc>
        <w:tc>
          <w:tcPr>
            <w:tcW w:w="2799" w:type="dxa"/>
            <w:gridSpan w:val="2"/>
            <w:tcBorders>
              <w:top w:val="single" w:color="auto" w:sz="4" w:space="0"/>
              <w:left w:val="nil"/>
              <w:bottom w:val="single" w:color="auto" w:sz="4" w:space="0"/>
              <w:right w:val="single" w:color="000000" w:sz="4" w:space="0"/>
            </w:tcBorders>
            <w:vAlign w:val="center"/>
          </w:tcPr>
          <w:p w14:paraId="370A2746">
            <w:pPr>
              <w:widowControl/>
              <w:jc w:val="center"/>
              <w:rPr>
                <w:rFonts w:ascii="宋体" w:hAnsi="宋体" w:cs="宋体"/>
                <w:bCs/>
                <w:kern w:val="0"/>
                <w:szCs w:val="21"/>
              </w:rPr>
            </w:pPr>
            <w:r>
              <w:rPr>
                <w:rFonts w:hint="eastAsia" w:ascii="宋体" w:hAnsi="宋体" w:cs="宋体"/>
                <w:bCs/>
                <w:kern w:val="0"/>
                <w:szCs w:val="21"/>
              </w:rPr>
              <w:t>　</w:t>
            </w:r>
          </w:p>
        </w:tc>
      </w:tr>
      <w:tr w14:paraId="44A6EE9B">
        <w:tblPrEx>
          <w:tblCellMar>
            <w:top w:w="0" w:type="dxa"/>
            <w:left w:w="108" w:type="dxa"/>
            <w:bottom w:w="0" w:type="dxa"/>
            <w:right w:w="108" w:type="dxa"/>
          </w:tblCellMar>
        </w:tblPrEx>
        <w:trPr>
          <w:trHeight w:val="461" w:hRule="atLeast"/>
        </w:trPr>
        <w:tc>
          <w:tcPr>
            <w:tcW w:w="2591" w:type="dxa"/>
            <w:gridSpan w:val="3"/>
            <w:tcBorders>
              <w:top w:val="single" w:color="auto" w:sz="4" w:space="0"/>
              <w:left w:val="single" w:color="auto" w:sz="4" w:space="0"/>
              <w:bottom w:val="single" w:color="auto" w:sz="4" w:space="0"/>
              <w:right w:val="single" w:color="000000" w:sz="4" w:space="0"/>
            </w:tcBorders>
            <w:vAlign w:val="center"/>
          </w:tcPr>
          <w:p w14:paraId="69CD9C88">
            <w:pPr>
              <w:widowControl/>
              <w:jc w:val="center"/>
              <w:rPr>
                <w:rFonts w:ascii="宋体" w:hAnsi="宋体" w:cs="宋体"/>
                <w:bCs/>
                <w:kern w:val="0"/>
                <w:szCs w:val="21"/>
              </w:rPr>
            </w:pPr>
            <w:r>
              <w:rPr>
                <w:rFonts w:hint="eastAsia" w:ascii="宋体" w:hAnsi="宋体" w:cs="宋体"/>
                <w:bCs/>
                <w:kern w:val="0"/>
                <w:szCs w:val="21"/>
              </w:rPr>
              <w:t>本期审定应付金额（元）</w:t>
            </w:r>
          </w:p>
        </w:tc>
        <w:tc>
          <w:tcPr>
            <w:tcW w:w="2739" w:type="dxa"/>
            <w:gridSpan w:val="2"/>
            <w:tcBorders>
              <w:top w:val="single" w:color="auto" w:sz="4" w:space="0"/>
              <w:left w:val="nil"/>
              <w:bottom w:val="single" w:color="auto" w:sz="4" w:space="0"/>
              <w:right w:val="single" w:color="000000" w:sz="4" w:space="0"/>
            </w:tcBorders>
            <w:vAlign w:val="center"/>
          </w:tcPr>
          <w:p w14:paraId="519F9CC9">
            <w:pPr>
              <w:widowControl/>
              <w:jc w:val="center"/>
              <w:rPr>
                <w:rFonts w:ascii="宋体" w:hAnsi="宋体" w:cs="宋体"/>
                <w:bCs/>
                <w:kern w:val="0"/>
                <w:szCs w:val="21"/>
              </w:rPr>
            </w:pPr>
            <w:r>
              <w:rPr>
                <w:rFonts w:hint="eastAsia" w:ascii="宋体" w:hAnsi="宋体" w:cs="宋体"/>
                <w:bCs/>
                <w:kern w:val="0"/>
                <w:szCs w:val="21"/>
              </w:rPr>
              <w:t>　</w:t>
            </w:r>
          </w:p>
        </w:tc>
        <w:tc>
          <w:tcPr>
            <w:tcW w:w="2459" w:type="dxa"/>
            <w:gridSpan w:val="2"/>
            <w:tcBorders>
              <w:top w:val="single" w:color="auto" w:sz="4" w:space="0"/>
              <w:left w:val="nil"/>
              <w:bottom w:val="single" w:color="auto" w:sz="4" w:space="0"/>
              <w:right w:val="single" w:color="000000" w:sz="4" w:space="0"/>
            </w:tcBorders>
            <w:vAlign w:val="center"/>
          </w:tcPr>
          <w:p w14:paraId="151CC702">
            <w:pPr>
              <w:widowControl/>
              <w:jc w:val="center"/>
              <w:rPr>
                <w:rFonts w:ascii="宋体" w:hAnsi="宋体" w:cs="宋体"/>
                <w:bCs/>
                <w:kern w:val="0"/>
                <w:szCs w:val="21"/>
              </w:rPr>
            </w:pPr>
            <w:r>
              <w:rPr>
                <w:rFonts w:hint="eastAsia" w:ascii="宋体" w:hAnsi="宋体" w:cs="宋体"/>
                <w:bCs/>
                <w:kern w:val="0"/>
                <w:szCs w:val="21"/>
              </w:rPr>
              <w:t>共管帐户余额（元）</w:t>
            </w:r>
          </w:p>
        </w:tc>
        <w:tc>
          <w:tcPr>
            <w:tcW w:w="2800" w:type="dxa"/>
            <w:gridSpan w:val="2"/>
            <w:tcBorders>
              <w:top w:val="single" w:color="auto" w:sz="4" w:space="0"/>
              <w:left w:val="nil"/>
              <w:bottom w:val="single" w:color="auto" w:sz="4" w:space="0"/>
              <w:right w:val="single" w:color="000000" w:sz="4" w:space="0"/>
            </w:tcBorders>
            <w:vAlign w:val="center"/>
          </w:tcPr>
          <w:p w14:paraId="2F46ECD4">
            <w:pPr>
              <w:widowControl/>
              <w:jc w:val="center"/>
              <w:rPr>
                <w:rFonts w:ascii="宋体" w:hAnsi="宋体" w:cs="宋体"/>
                <w:kern w:val="0"/>
                <w:szCs w:val="21"/>
              </w:rPr>
            </w:pPr>
            <w:r>
              <w:rPr>
                <w:rFonts w:hint="eastAsia" w:ascii="宋体" w:hAnsi="宋体" w:cs="宋体"/>
                <w:kern w:val="0"/>
                <w:szCs w:val="21"/>
              </w:rPr>
              <w:t>　</w:t>
            </w:r>
          </w:p>
        </w:tc>
        <w:tc>
          <w:tcPr>
            <w:tcW w:w="3822" w:type="dxa"/>
            <w:gridSpan w:val="2"/>
            <w:tcBorders>
              <w:top w:val="single" w:color="auto" w:sz="4" w:space="0"/>
              <w:left w:val="nil"/>
              <w:bottom w:val="single" w:color="auto" w:sz="4" w:space="0"/>
              <w:right w:val="single" w:color="000000" w:sz="4" w:space="0"/>
            </w:tcBorders>
            <w:vAlign w:val="center"/>
          </w:tcPr>
          <w:p w14:paraId="47020211">
            <w:pPr>
              <w:widowControl/>
              <w:jc w:val="center"/>
              <w:rPr>
                <w:rFonts w:ascii="宋体" w:hAnsi="宋体" w:cs="宋体"/>
                <w:bCs/>
                <w:kern w:val="0"/>
                <w:szCs w:val="21"/>
              </w:rPr>
            </w:pPr>
            <w:r>
              <w:rPr>
                <w:rFonts w:hint="eastAsia" w:ascii="宋体" w:hAnsi="宋体" w:cs="宋体"/>
                <w:bCs/>
                <w:kern w:val="0"/>
                <w:szCs w:val="21"/>
              </w:rPr>
              <w:t>本次支付后共管账户余额（元）</w:t>
            </w:r>
          </w:p>
        </w:tc>
        <w:tc>
          <w:tcPr>
            <w:tcW w:w="1096" w:type="dxa"/>
            <w:tcBorders>
              <w:top w:val="nil"/>
              <w:left w:val="nil"/>
              <w:bottom w:val="single" w:color="auto" w:sz="4" w:space="0"/>
              <w:right w:val="single" w:color="auto" w:sz="4" w:space="0"/>
            </w:tcBorders>
            <w:vAlign w:val="center"/>
          </w:tcPr>
          <w:p w14:paraId="586DAFA8">
            <w:pPr>
              <w:widowControl/>
              <w:jc w:val="center"/>
              <w:rPr>
                <w:rFonts w:ascii="宋体" w:hAnsi="宋体" w:cs="宋体"/>
                <w:kern w:val="0"/>
                <w:szCs w:val="21"/>
              </w:rPr>
            </w:pPr>
            <w:r>
              <w:rPr>
                <w:rFonts w:hint="eastAsia" w:ascii="宋体" w:hAnsi="宋体" w:cs="宋体"/>
                <w:kern w:val="0"/>
                <w:szCs w:val="21"/>
              </w:rPr>
              <w:t>　</w:t>
            </w:r>
          </w:p>
        </w:tc>
      </w:tr>
      <w:tr w14:paraId="289EA677">
        <w:tblPrEx>
          <w:tblCellMar>
            <w:top w:w="0" w:type="dxa"/>
            <w:left w:w="108" w:type="dxa"/>
            <w:bottom w:w="0" w:type="dxa"/>
            <w:right w:w="108" w:type="dxa"/>
          </w:tblCellMar>
        </w:tblPrEx>
        <w:trPr>
          <w:trHeight w:val="810" w:hRule="atLeast"/>
        </w:trPr>
        <w:tc>
          <w:tcPr>
            <w:tcW w:w="448" w:type="dxa"/>
            <w:tcBorders>
              <w:top w:val="nil"/>
              <w:left w:val="single" w:color="auto" w:sz="4" w:space="0"/>
              <w:bottom w:val="single" w:color="auto" w:sz="4" w:space="0"/>
              <w:right w:val="single" w:color="auto" w:sz="4" w:space="0"/>
            </w:tcBorders>
            <w:vAlign w:val="center"/>
          </w:tcPr>
          <w:p w14:paraId="06748CE7">
            <w:pPr>
              <w:widowControl/>
              <w:jc w:val="center"/>
              <w:rPr>
                <w:rFonts w:ascii="宋体" w:hAnsi="宋体" w:cs="宋体"/>
                <w:bCs/>
                <w:kern w:val="0"/>
                <w:szCs w:val="21"/>
              </w:rPr>
            </w:pPr>
            <w:r>
              <w:rPr>
                <w:rFonts w:hint="eastAsia" w:ascii="宋体" w:hAnsi="宋体" w:cs="宋体"/>
                <w:bCs/>
                <w:kern w:val="0"/>
                <w:szCs w:val="21"/>
              </w:rPr>
              <w:t>序号</w:t>
            </w:r>
          </w:p>
        </w:tc>
        <w:tc>
          <w:tcPr>
            <w:tcW w:w="2143" w:type="dxa"/>
            <w:gridSpan w:val="2"/>
            <w:tcBorders>
              <w:top w:val="single" w:color="auto" w:sz="4" w:space="0"/>
              <w:left w:val="nil"/>
              <w:bottom w:val="single" w:color="auto" w:sz="4" w:space="0"/>
              <w:right w:val="single" w:color="auto" w:sz="4" w:space="0"/>
            </w:tcBorders>
            <w:vAlign w:val="center"/>
          </w:tcPr>
          <w:p w14:paraId="081F5288">
            <w:pPr>
              <w:widowControl/>
              <w:jc w:val="center"/>
              <w:rPr>
                <w:rFonts w:ascii="宋体" w:hAnsi="宋体" w:cs="宋体"/>
                <w:bCs/>
                <w:kern w:val="0"/>
                <w:szCs w:val="21"/>
              </w:rPr>
            </w:pPr>
            <w:r>
              <w:rPr>
                <w:rFonts w:hint="eastAsia" w:ascii="宋体" w:hAnsi="宋体" w:cs="宋体"/>
                <w:bCs/>
                <w:kern w:val="0"/>
                <w:szCs w:val="21"/>
              </w:rPr>
              <w:t>用款单位</w:t>
            </w:r>
          </w:p>
        </w:tc>
        <w:tc>
          <w:tcPr>
            <w:tcW w:w="1979" w:type="dxa"/>
            <w:tcBorders>
              <w:top w:val="nil"/>
              <w:left w:val="nil"/>
              <w:bottom w:val="single" w:color="auto" w:sz="4" w:space="0"/>
              <w:right w:val="single" w:color="auto" w:sz="4" w:space="0"/>
            </w:tcBorders>
            <w:vAlign w:val="center"/>
          </w:tcPr>
          <w:p w14:paraId="60F9C844">
            <w:pPr>
              <w:widowControl/>
              <w:jc w:val="center"/>
              <w:rPr>
                <w:rFonts w:ascii="宋体" w:hAnsi="宋体" w:cs="宋体"/>
                <w:bCs/>
                <w:kern w:val="0"/>
                <w:szCs w:val="21"/>
              </w:rPr>
            </w:pPr>
            <w:r>
              <w:rPr>
                <w:rFonts w:hint="eastAsia" w:ascii="宋体" w:hAnsi="宋体" w:cs="宋体"/>
                <w:bCs/>
                <w:kern w:val="0"/>
                <w:szCs w:val="21"/>
              </w:rPr>
              <w:t>用款单位开户银行和账号</w:t>
            </w:r>
          </w:p>
        </w:tc>
        <w:tc>
          <w:tcPr>
            <w:tcW w:w="760" w:type="dxa"/>
            <w:tcBorders>
              <w:top w:val="nil"/>
              <w:left w:val="nil"/>
              <w:bottom w:val="single" w:color="auto" w:sz="4" w:space="0"/>
              <w:right w:val="single" w:color="auto" w:sz="4" w:space="0"/>
            </w:tcBorders>
            <w:vAlign w:val="center"/>
          </w:tcPr>
          <w:p w14:paraId="4BC25B88">
            <w:pPr>
              <w:widowControl/>
              <w:jc w:val="center"/>
              <w:rPr>
                <w:rFonts w:ascii="宋体" w:hAnsi="宋体" w:cs="宋体"/>
                <w:bCs/>
                <w:kern w:val="0"/>
                <w:szCs w:val="21"/>
              </w:rPr>
            </w:pPr>
            <w:r>
              <w:rPr>
                <w:rFonts w:hint="eastAsia" w:ascii="宋体" w:hAnsi="宋体" w:cs="宋体"/>
                <w:bCs/>
                <w:kern w:val="0"/>
                <w:szCs w:val="21"/>
              </w:rPr>
              <w:t>合同            编号</w:t>
            </w:r>
          </w:p>
        </w:tc>
        <w:tc>
          <w:tcPr>
            <w:tcW w:w="2459" w:type="dxa"/>
            <w:gridSpan w:val="2"/>
            <w:tcBorders>
              <w:top w:val="single" w:color="auto" w:sz="4" w:space="0"/>
              <w:left w:val="nil"/>
              <w:bottom w:val="single" w:color="auto" w:sz="4" w:space="0"/>
              <w:right w:val="single" w:color="000000" w:sz="4" w:space="0"/>
            </w:tcBorders>
            <w:vAlign w:val="center"/>
          </w:tcPr>
          <w:p w14:paraId="0F61B096">
            <w:pPr>
              <w:widowControl/>
              <w:jc w:val="center"/>
              <w:rPr>
                <w:rFonts w:ascii="宋体" w:hAnsi="宋体" w:cs="宋体"/>
                <w:bCs/>
                <w:kern w:val="0"/>
                <w:szCs w:val="21"/>
              </w:rPr>
            </w:pPr>
            <w:r>
              <w:rPr>
                <w:rFonts w:hint="eastAsia" w:ascii="宋体" w:hAnsi="宋体" w:cs="宋体"/>
                <w:bCs/>
                <w:kern w:val="0"/>
                <w:szCs w:val="21"/>
              </w:rPr>
              <w:t>合同名称</w:t>
            </w:r>
          </w:p>
        </w:tc>
        <w:tc>
          <w:tcPr>
            <w:tcW w:w="1400" w:type="dxa"/>
            <w:tcBorders>
              <w:top w:val="nil"/>
              <w:left w:val="nil"/>
              <w:bottom w:val="single" w:color="auto" w:sz="4" w:space="0"/>
              <w:right w:val="single" w:color="auto" w:sz="4" w:space="0"/>
            </w:tcBorders>
            <w:vAlign w:val="center"/>
          </w:tcPr>
          <w:p w14:paraId="5D52F1CC">
            <w:pPr>
              <w:widowControl/>
              <w:jc w:val="center"/>
              <w:rPr>
                <w:rFonts w:ascii="宋体" w:hAnsi="宋体" w:cs="宋体"/>
                <w:bCs/>
                <w:kern w:val="0"/>
                <w:szCs w:val="21"/>
              </w:rPr>
            </w:pPr>
            <w:r>
              <w:rPr>
                <w:rFonts w:hint="eastAsia" w:ascii="宋体" w:hAnsi="宋体" w:cs="宋体"/>
                <w:bCs/>
                <w:kern w:val="0"/>
                <w:szCs w:val="21"/>
              </w:rPr>
              <w:t>合同或结算金额（元）</w:t>
            </w:r>
          </w:p>
        </w:tc>
        <w:tc>
          <w:tcPr>
            <w:tcW w:w="1400" w:type="dxa"/>
            <w:tcBorders>
              <w:top w:val="nil"/>
              <w:left w:val="nil"/>
              <w:bottom w:val="single" w:color="auto" w:sz="4" w:space="0"/>
              <w:right w:val="single" w:color="auto" w:sz="4" w:space="0"/>
            </w:tcBorders>
            <w:vAlign w:val="center"/>
          </w:tcPr>
          <w:p w14:paraId="244358AB">
            <w:pPr>
              <w:widowControl/>
              <w:jc w:val="center"/>
              <w:rPr>
                <w:rFonts w:ascii="宋体" w:hAnsi="宋体" w:cs="宋体"/>
                <w:bCs/>
                <w:kern w:val="0"/>
                <w:szCs w:val="21"/>
              </w:rPr>
            </w:pPr>
            <w:r>
              <w:rPr>
                <w:rFonts w:hint="eastAsia" w:ascii="宋体" w:hAnsi="宋体" w:cs="宋体"/>
                <w:bCs/>
                <w:kern w:val="0"/>
                <w:szCs w:val="21"/>
              </w:rPr>
              <w:t>本次申请划款金额（元）</w:t>
            </w:r>
          </w:p>
        </w:tc>
        <w:tc>
          <w:tcPr>
            <w:tcW w:w="2119" w:type="dxa"/>
            <w:tcBorders>
              <w:top w:val="single" w:color="auto" w:sz="4" w:space="0"/>
              <w:left w:val="nil"/>
              <w:bottom w:val="single" w:color="auto" w:sz="4" w:space="0"/>
              <w:right w:val="single" w:color="000000" w:sz="4" w:space="0"/>
            </w:tcBorders>
            <w:vAlign w:val="center"/>
          </w:tcPr>
          <w:p w14:paraId="7B122865">
            <w:pPr>
              <w:widowControl/>
              <w:jc w:val="center"/>
              <w:rPr>
                <w:rFonts w:ascii="宋体" w:hAnsi="宋体" w:cs="宋体"/>
                <w:bCs/>
                <w:kern w:val="0"/>
                <w:szCs w:val="21"/>
              </w:rPr>
            </w:pPr>
            <w:r>
              <w:rPr>
                <w:rFonts w:hint="eastAsia" w:ascii="宋体" w:hAnsi="宋体" w:cs="宋体"/>
                <w:bCs/>
                <w:kern w:val="0"/>
                <w:szCs w:val="21"/>
              </w:rPr>
              <w:t>划款用途</w:t>
            </w:r>
          </w:p>
        </w:tc>
        <w:tc>
          <w:tcPr>
            <w:tcW w:w="1703" w:type="dxa"/>
            <w:tcBorders>
              <w:top w:val="nil"/>
              <w:left w:val="nil"/>
              <w:bottom w:val="single" w:color="auto" w:sz="4" w:space="0"/>
              <w:right w:val="single" w:color="auto" w:sz="4" w:space="0"/>
            </w:tcBorders>
            <w:vAlign w:val="center"/>
          </w:tcPr>
          <w:p w14:paraId="447A0E9F">
            <w:pPr>
              <w:widowControl/>
              <w:jc w:val="center"/>
              <w:rPr>
                <w:rFonts w:ascii="宋体" w:hAnsi="宋体" w:cs="宋体"/>
                <w:bCs/>
                <w:kern w:val="0"/>
                <w:szCs w:val="21"/>
              </w:rPr>
            </w:pPr>
            <w:r>
              <w:rPr>
                <w:rFonts w:hint="eastAsia" w:ascii="宋体" w:hAnsi="宋体" w:cs="宋体"/>
                <w:bCs/>
                <w:kern w:val="0"/>
                <w:szCs w:val="21"/>
              </w:rPr>
              <w:t>至本次止累计划款（元）</w:t>
            </w:r>
          </w:p>
          <w:p w14:paraId="41F6F788">
            <w:pPr>
              <w:widowControl/>
              <w:jc w:val="center"/>
              <w:rPr>
                <w:rFonts w:ascii="宋体" w:hAnsi="宋体" w:cs="宋体"/>
                <w:bCs/>
                <w:kern w:val="0"/>
                <w:szCs w:val="21"/>
              </w:rPr>
            </w:pPr>
            <w:r>
              <w:rPr>
                <w:rFonts w:hint="eastAsia" w:ascii="宋体" w:hAnsi="宋体" w:cs="宋体"/>
                <w:bCs/>
                <w:kern w:val="0"/>
                <w:szCs w:val="21"/>
              </w:rPr>
              <w:t>（含本次支付）</w:t>
            </w:r>
          </w:p>
        </w:tc>
        <w:tc>
          <w:tcPr>
            <w:tcW w:w="1096" w:type="dxa"/>
            <w:tcBorders>
              <w:top w:val="nil"/>
              <w:left w:val="nil"/>
              <w:bottom w:val="single" w:color="auto" w:sz="4" w:space="0"/>
              <w:right w:val="single" w:color="auto" w:sz="4" w:space="0"/>
            </w:tcBorders>
            <w:vAlign w:val="center"/>
          </w:tcPr>
          <w:p w14:paraId="31C08784">
            <w:pPr>
              <w:widowControl/>
              <w:jc w:val="center"/>
              <w:rPr>
                <w:rFonts w:ascii="宋体" w:hAnsi="宋体" w:cs="宋体"/>
                <w:bCs/>
                <w:kern w:val="0"/>
                <w:szCs w:val="21"/>
              </w:rPr>
            </w:pPr>
            <w:r>
              <w:rPr>
                <w:rFonts w:hint="eastAsia" w:ascii="宋体" w:hAnsi="宋体" w:cs="宋体"/>
                <w:bCs/>
                <w:kern w:val="0"/>
                <w:szCs w:val="21"/>
              </w:rPr>
              <w:t>备注</w:t>
            </w:r>
          </w:p>
        </w:tc>
      </w:tr>
      <w:tr w14:paraId="66322E04">
        <w:tblPrEx>
          <w:tblCellMar>
            <w:top w:w="0" w:type="dxa"/>
            <w:left w:w="108" w:type="dxa"/>
            <w:bottom w:w="0" w:type="dxa"/>
            <w:right w:w="108" w:type="dxa"/>
          </w:tblCellMar>
        </w:tblPrEx>
        <w:trPr>
          <w:trHeight w:val="150" w:hRule="atLeast"/>
        </w:trPr>
        <w:tc>
          <w:tcPr>
            <w:tcW w:w="15507" w:type="dxa"/>
            <w:gridSpan w:val="12"/>
            <w:tcBorders>
              <w:top w:val="single" w:color="auto" w:sz="4" w:space="0"/>
              <w:left w:val="single" w:color="auto" w:sz="4" w:space="0"/>
              <w:bottom w:val="single" w:color="auto" w:sz="4" w:space="0"/>
              <w:right w:val="single" w:color="000000" w:sz="4" w:space="0"/>
            </w:tcBorders>
            <w:shd w:val="clear" w:color="auto" w:fill="FFCC99"/>
            <w:vAlign w:val="center"/>
          </w:tcPr>
          <w:p w14:paraId="2C773F07">
            <w:pPr>
              <w:widowControl/>
              <w:jc w:val="center"/>
              <w:rPr>
                <w:rFonts w:ascii="宋体" w:hAnsi="宋体" w:cs="宋体"/>
                <w:kern w:val="0"/>
                <w:szCs w:val="21"/>
              </w:rPr>
            </w:pPr>
            <w:r>
              <w:rPr>
                <w:rFonts w:hint="eastAsia" w:ascii="宋体" w:hAnsi="宋体" w:cs="宋体"/>
                <w:kern w:val="0"/>
                <w:szCs w:val="21"/>
              </w:rPr>
              <w:t>　</w:t>
            </w:r>
          </w:p>
        </w:tc>
      </w:tr>
      <w:tr w14:paraId="29D03E11">
        <w:tblPrEx>
          <w:tblCellMar>
            <w:top w:w="0" w:type="dxa"/>
            <w:left w:w="108" w:type="dxa"/>
            <w:bottom w:w="0" w:type="dxa"/>
            <w:right w:w="108" w:type="dxa"/>
          </w:tblCellMar>
        </w:tblPrEx>
        <w:trPr>
          <w:trHeight w:val="389" w:hRule="atLeast"/>
        </w:trPr>
        <w:tc>
          <w:tcPr>
            <w:tcW w:w="448" w:type="dxa"/>
            <w:tcBorders>
              <w:top w:val="nil"/>
              <w:left w:val="single" w:color="auto" w:sz="4" w:space="0"/>
              <w:bottom w:val="single" w:color="auto" w:sz="4" w:space="0"/>
              <w:right w:val="single" w:color="auto" w:sz="4" w:space="0"/>
            </w:tcBorders>
            <w:vAlign w:val="center"/>
          </w:tcPr>
          <w:p w14:paraId="5FA05F81">
            <w:pPr>
              <w:widowControl/>
              <w:jc w:val="center"/>
              <w:rPr>
                <w:rFonts w:ascii="宋体" w:hAnsi="宋体" w:cs="宋体"/>
                <w:bCs/>
                <w:kern w:val="0"/>
                <w:szCs w:val="21"/>
              </w:rPr>
            </w:pPr>
            <w:r>
              <w:rPr>
                <w:rFonts w:hint="eastAsia" w:ascii="宋体" w:hAnsi="宋体" w:cs="宋体"/>
                <w:bCs/>
                <w:kern w:val="0"/>
                <w:szCs w:val="21"/>
              </w:rPr>
              <w:t>一</w:t>
            </w:r>
          </w:p>
        </w:tc>
        <w:tc>
          <w:tcPr>
            <w:tcW w:w="15059" w:type="dxa"/>
            <w:gridSpan w:val="11"/>
            <w:tcBorders>
              <w:top w:val="single" w:color="auto" w:sz="4" w:space="0"/>
              <w:left w:val="nil"/>
              <w:bottom w:val="single" w:color="auto" w:sz="4" w:space="0"/>
              <w:right w:val="single" w:color="000000" w:sz="4" w:space="0"/>
            </w:tcBorders>
            <w:vAlign w:val="center"/>
          </w:tcPr>
          <w:p w14:paraId="44AC3D62">
            <w:pPr>
              <w:widowControl/>
              <w:jc w:val="center"/>
              <w:rPr>
                <w:rFonts w:ascii="宋体" w:hAnsi="宋体" w:cs="宋体"/>
                <w:bCs/>
                <w:kern w:val="0"/>
                <w:szCs w:val="21"/>
              </w:rPr>
            </w:pPr>
            <w:r>
              <w:rPr>
                <w:rFonts w:hint="eastAsia" w:ascii="宋体" w:hAnsi="宋体" w:cs="宋体"/>
                <w:bCs/>
                <w:kern w:val="0"/>
                <w:szCs w:val="21"/>
              </w:rPr>
              <w:t>大型设备、大宗材料款</w:t>
            </w:r>
          </w:p>
        </w:tc>
      </w:tr>
      <w:tr w14:paraId="48958382">
        <w:tblPrEx>
          <w:tblCellMar>
            <w:top w:w="0" w:type="dxa"/>
            <w:left w:w="108" w:type="dxa"/>
            <w:bottom w:w="0" w:type="dxa"/>
            <w:right w:w="108" w:type="dxa"/>
          </w:tblCellMar>
        </w:tblPrEx>
        <w:trPr>
          <w:trHeight w:val="300" w:hRule="atLeast"/>
        </w:trPr>
        <w:tc>
          <w:tcPr>
            <w:tcW w:w="448" w:type="dxa"/>
            <w:tcBorders>
              <w:top w:val="nil"/>
              <w:left w:val="single" w:color="auto" w:sz="4" w:space="0"/>
              <w:bottom w:val="single" w:color="auto" w:sz="4" w:space="0"/>
              <w:right w:val="single" w:color="auto" w:sz="4" w:space="0"/>
            </w:tcBorders>
            <w:vAlign w:val="center"/>
          </w:tcPr>
          <w:p w14:paraId="27DA9F72">
            <w:pPr>
              <w:widowControl/>
              <w:jc w:val="center"/>
              <w:rPr>
                <w:rFonts w:ascii="宋体" w:hAnsi="宋体" w:cs="宋体"/>
                <w:kern w:val="0"/>
                <w:szCs w:val="21"/>
              </w:rPr>
            </w:pPr>
            <w:r>
              <w:rPr>
                <w:rFonts w:hint="eastAsia" w:ascii="宋体" w:hAnsi="宋体" w:cs="宋体"/>
                <w:kern w:val="0"/>
                <w:szCs w:val="21"/>
              </w:rPr>
              <w:t>1</w:t>
            </w:r>
          </w:p>
        </w:tc>
        <w:tc>
          <w:tcPr>
            <w:tcW w:w="2143" w:type="dxa"/>
            <w:gridSpan w:val="2"/>
            <w:tcBorders>
              <w:top w:val="single" w:color="auto" w:sz="4" w:space="0"/>
              <w:left w:val="nil"/>
              <w:bottom w:val="single" w:color="auto" w:sz="4" w:space="0"/>
              <w:right w:val="single" w:color="auto" w:sz="4" w:space="0"/>
            </w:tcBorders>
            <w:vAlign w:val="center"/>
          </w:tcPr>
          <w:p w14:paraId="1CFE52BF">
            <w:pPr>
              <w:widowControl/>
              <w:jc w:val="center"/>
              <w:rPr>
                <w:rFonts w:ascii="宋体" w:hAnsi="宋体" w:cs="宋体"/>
                <w:kern w:val="0"/>
                <w:szCs w:val="21"/>
              </w:rPr>
            </w:pPr>
            <w:r>
              <w:rPr>
                <w:rFonts w:hint="eastAsia" w:ascii="宋体" w:hAnsi="宋体" w:cs="宋体"/>
                <w:kern w:val="0"/>
                <w:szCs w:val="21"/>
              </w:rPr>
              <w:t>　</w:t>
            </w:r>
          </w:p>
        </w:tc>
        <w:tc>
          <w:tcPr>
            <w:tcW w:w="1979" w:type="dxa"/>
            <w:tcBorders>
              <w:top w:val="nil"/>
              <w:left w:val="nil"/>
              <w:bottom w:val="single" w:color="auto" w:sz="4" w:space="0"/>
              <w:right w:val="single" w:color="auto" w:sz="4" w:space="0"/>
            </w:tcBorders>
            <w:vAlign w:val="center"/>
          </w:tcPr>
          <w:p w14:paraId="53A03F72">
            <w:pPr>
              <w:widowControl/>
              <w:jc w:val="center"/>
              <w:rPr>
                <w:rFonts w:ascii="宋体" w:hAnsi="宋体" w:cs="宋体"/>
                <w:kern w:val="0"/>
                <w:szCs w:val="21"/>
              </w:rPr>
            </w:pPr>
            <w:r>
              <w:rPr>
                <w:rFonts w:hint="eastAsia" w:ascii="宋体" w:hAnsi="宋体" w:cs="宋体"/>
                <w:kern w:val="0"/>
                <w:szCs w:val="21"/>
              </w:rPr>
              <w:t>　</w:t>
            </w:r>
          </w:p>
        </w:tc>
        <w:tc>
          <w:tcPr>
            <w:tcW w:w="760" w:type="dxa"/>
            <w:tcBorders>
              <w:top w:val="nil"/>
              <w:left w:val="nil"/>
              <w:bottom w:val="single" w:color="auto" w:sz="4" w:space="0"/>
              <w:right w:val="single" w:color="auto" w:sz="4" w:space="0"/>
            </w:tcBorders>
            <w:vAlign w:val="center"/>
          </w:tcPr>
          <w:p w14:paraId="14529FFD">
            <w:pPr>
              <w:widowControl/>
              <w:jc w:val="center"/>
              <w:rPr>
                <w:rFonts w:ascii="宋体" w:hAnsi="宋体" w:cs="宋体"/>
                <w:kern w:val="0"/>
                <w:szCs w:val="21"/>
              </w:rPr>
            </w:pPr>
            <w:r>
              <w:rPr>
                <w:rFonts w:hint="eastAsia" w:ascii="宋体" w:hAnsi="宋体" w:cs="宋体"/>
                <w:kern w:val="0"/>
                <w:szCs w:val="21"/>
              </w:rPr>
              <w:t>　</w:t>
            </w:r>
          </w:p>
        </w:tc>
        <w:tc>
          <w:tcPr>
            <w:tcW w:w="2459" w:type="dxa"/>
            <w:gridSpan w:val="2"/>
            <w:tcBorders>
              <w:top w:val="single" w:color="auto" w:sz="4" w:space="0"/>
              <w:left w:val="nil"/>
              <w:bottom w:val="single" w:color="auto" w:sz="4" w:space="0"/>
              <w:right w:val="single" w:color="000000" w:sz="4" w:space="0"/>
            </w:tcBorders>
            <w:vAlign w:val="center"/>
          </w:tcPr>
          <w:p w14:paraId="54A7BDF3">
            <w:pPr>
              <w:widowControl/>
              <w:jc w:val="center"/>
              <w:rPr>
                <w:rFonts w:ascii="宋体" w:hAnsi="宋体" w:cs="宋体"/>
                <w:kern w:val="0"/>
                <w:szCs w:val="21"/>
              </w:rPr>
            </w:pPr>
            <w:r>
              <w:rPr>
                <w:rFonts w:hint="eastAsia" w:ascii="宋体" w:hAnsi="宋体" w:cs="宋体"/>
                <w:kern w:val="0"/>
                <w:szCs w:val="21"/>
              </w:rPr>
              <w:t>　</w:t>
            </w:r>
          </w:p>
        </w:tc>
        <w:tc>
          <w:tcPr>
            <w:tcW w:w="1400" w:type="dxa"/>
            <w:tcBorders>
              <w:top w:val="nil"/>
              <w:left w:val="nil"/>
              <w:bottom w:val="single" w:color="auto" w:sz="4" w:space="0"/>
              <w:right w:val="single" w:color="auto" w:sz="4" w:space="0"/>
            </w:tcBorders>
            <w:vAlign w:val="center"/>
          </w:tcPr>
          <w:p w14:paraId="35648D9F">
            <w:pPr>
              <w:widowControl/>
              <w:jc w:val="center"/>
              <w:rPr>
                <w:rFonts w:ascii="宋体" w:hAnsi="宋体" w:cs="宋体"/>
                <w:kern w:val="0"/>
                <w:szCs w:val="21"/>
              </w:rPr>
            </w:pPr>
            <w:r>
              <w:rPr>
                <w:rFonts w:hint="eastAsia" w:ascii="宋体" w:hAnsi="宋体" w:cs="宋体"/>
                <w:kern w:val="0"/>
                <w:szCs w:val="21"/>
              </w:rPr>
              <w:t>　</w:t>
            </w:r>
          </w:p>
        </w:tc>
        <w:tc>
          <w:tcPr>
            <w:tcW w:w="1400" w:type="dxa"/>
            <w:tcBorders>
              <w:top w:val="nil"/>
              <w:left w:val="nil"/>
              <w:bottom w:val="single" w:color="auto" w:sz="4" w:space="0"/>
              <w:right w:val="single" w:color="auto" w:sz="4" w:space="0"/>
            </w:tcBorders>
            <w:vAlign w:val="center"/>
          </w:tcPr>
          <w:p w14:paraId="22432D68">
            <w:pPr>
              <w:widowControl/>
              <w:jc w:val="center"/>
              <w:rPr>
                <w:rFonts w:ascii="宋体" w:hAnsi="宋体" w:cs="宋体"/>
                <w:kern w:val="0"/>
                <w:szCs w:val="21"/>
              </w:rPr>
            </w:pPr>
            <w:r>
              <w:rPr>
                <w:rFonts w:hint="eastAsia" w:ascii="宋体" w:hAnsi="宋体" w:cs="宋体"/>
                <w:kern w:val="0"/>
                <w:szCs w:val="21"/>
              </w:rPr>
              <w:t>　</w:t>
            </w:r>
          </w:p>
        </w:tc>
        <w:tc>
          <w:tcPr>
            <w:tcW w:w="2119" w:type="dxa"/>
            <w:tcBorders>
              <w:top w:val="single" w:color="auto" w:sz="4" w:space="0"/>
              <w:left w:val="nil"/>
              <w:bottom w:val="single" w:color="auto" w:sz="4" w:space="0"/>
              <w:right w:val="single" w:color="000000" w:sz="4" w:space="0"/>
            </w:tcBorders>
            <w:vAlign w:val="center"/>
          </w:tcPr>
          <w:p w14:paraId="4C6C9B5D">
            <w:pPr>
              <w:widowControl/>
              <w:jc w:val="center"/>
              <w:rPr>
                <w:rFonts w:ascii="宋体" w:hAnsi="宋体" w:cs="宋体"/>
                <w:kern w:val="0"/>
                <w:szCs w:val="21"/>
              </w:rPr>
            </w:pPr>
            <w:r>
              <w:rPr>
                <w:rFonts w:hint="eastAsia" w:ascii="宋体" w:hAnsi="宋体" w:cs="宋体"/>
                <w:kern w:val="0"/>
                <w:szCs w:val="21"/>
              </w:rPr>
              <w:t>　</w:t>
            </w:r>
          </w:p>
        </w:tc>
        <w:tc>
          <w:tcPr>
            <w:tcW w:w="1703" w:type="dxa"/>
            <w:tcBorders>
              <w:top w:val="nil"/>
              <w:left w:val="nil"/>
              <w:bottom w:val="single" w:color="auto" w:sz="4" w:space="0"/>
              <w:right w:val="single" w:color="auto" w:sz="4" w:space="0"/>
            </w:tcBorders>
            <w:vAlign w:val="center"/>
          </w:tcPr>
          <w:p w14:paraId="6212115E">
            <w:pPr>
              <w:widowControl/>
              <w:jc w:val="center"/>
              <w:rPr>
                <w:rFonts w:ascii="宋体" w:hAnsi="宋体" w:cs="宋体"/>
                <w:kern w:val="0"/>
                <w:szCs w:val="21"/>
              </w:rPr>
            </w:pPr>
            <w:r>
              <w:rPr>
                <w:rFonts w:hint="eastAsia" w:ascii="宋体" w:hAnsi="宋体" w:cs="宋体"/>
                <w:kern w:val="0"/>
                <w:szCs w:val="21"/>
              </w:rPr>
              <w:t>　</w:t>
            </w:r>
          </w:p>
        </w:tc>
        <w:tc>
          <w:tcPr>
            <w:tcW w:w="1096" w:type="dxa"/>
            <w:tcBorders>
              <w:top w:val="nil"/>
              <w:left w:val="nil"/>
              <w:bottom w:val="single" w:color="auto" w:sz="4" w:space="0"/>
              <w:right w:val="single" w:color="auto" w:sz="4" w:space="0"/>
            </w:tcBorders>
            <w:vAlign w:val="center"/>
          </w:tcPr>
          <w:p w14:paraId="0B9D9E76">
            <w:pPr>
              <w:widowControl/>
              <w:jc w:val="center"/>
              <w:rPr>
                <w:rFonts w:ascii="宋体" w:hAnsi="宋体" w:cs="宋体"/>
                <w:kern w:val="0"/>
                <w:szCs w:val="21"/>
              </w:rPr>
            </w:pPr>
            <w:r>
              <w:rPr>
                <w:rFonts w:hint="eastAsia" w:ascii="宋体" w:hAnsi="宋体" w:cs="宋体"/>
                <w:kern w:val="0"/>
                <w:szCs w:val="21"/>
              </w:rPr>
              <w:t>　</w:t>
            </w:r>
          </w:p>
        </w:tc>
      </w:tr>
      <w:tr w14:paraId="238EB1D4">
        <w:tblPrEx>
          <w:tblCellMar>
            <w:top w:w="0" w:type="dxa"/>
            <w:left w:w="108" w:type="dxa"/>
            <w:bottom w:w="0" w:type="dxa"/>
            <w:right w:w="108" w:type="dxa"/>
          </w:tblCellMar>
        </w:tblPrEx>
        <w:trPr>
          <w:trHeight w:val="300" w:hRule="atLeast"/>
        </w:trPr>
        <w:tc>
          <w:tcPr>
            <w:tcW w:w="448" w:type="dxa"/>
            <w:tcBorders>
              <w:top w:val="nil"/>
              <w:left w:val="single" w:color="auto" w:sz="4" w:space="0"/>
              <w:bottom w:val="single" w:color="auto" w:sz="4" w:space="0"/>
              <w:right w:val="single" w:color="auto" w:sz="4" w:space="0"/>
            </w:tcBorders>
            <w:vAlign w:val="center"/>
          </w:tcPr>
          <w:p w14:paraId="4F44D552">
            <w:pPr>
              <w:widowControl/>
              <w:jc w:val="center"/>
              <w:rPr>
                <w:rFonts w:ascii="宋体" w:hAnsi="宋体" w:cs="宋体"/>
                <w:kern w:val="0"/>
                <w:szCs w:val="21"/>
              </w:rPr>
            </w:pPr>
            <w:r>
              <w:rPr>
                <w:rFonts w:hint="eastAsia" w:ascii="宋体" w:hAnsi="宋体" w:cs="宋体"/>
                <w:kern w:val="0"/>
                <w:szCs w:val="21"/>
              </w:rPr>
              <w:t>2</w:t>
            </w:r>
          </w:p>
        </w:tc>
        <w:tc>
          <w:tcPr>
            <w:tcW w:w="2143" w:type="dxa"/>
            <w:gridSpan w:val="2"/>
            <w:tcBorders>
              <w:top w:val="single" w:color="auto" w:sz="4" w:space="0"/>
              <w:left w:val="nil"/>
              <w:bottom w:val="single" w:color="auto" w:sz="4" w:space="0"/>
              <w:right w:val="single" w:color="auto" w:sz="4" w:space="0"/>
            </w:tcBorders>
            <w:vAlign w:val="center"/>
          </w:tcPr>
          <w:p w14:paraId="3F97B24B">
            <w:pPr>
              <w:widowControl/>
              <w:jc w:val="center"/>
              <w:rPr>
                <w:rFonts w:ascii="宋体" w:hAnsi="宋体" w:cs="宋体"/>
                <w:kern w:val="0"/>
                <w:szCs w:val="21"/>
              </w:rPr>
            </w:pPr>
            <w:r>
              <w:rPr>
                <w:rFonts w:hint="eastAsia" w:ascii="宋体" w:hAnsi="宋体" w:cs="宋体"/>
                <w:kern w:val="0"/>
                <w:szCs w:val="21"/>
              </w:rPr>
              <w:t>　</w:t>
            </w:r>
          </w:p>
        </w:tc>
        <w:tc>
          <w:tcPr>
            <w:tcW w:w="1979" w:type="dxa"/>
            <w:tcBorders>
              <w:top w:val="nil"/>
              <w:left w:val="nil"/>
              <w:bottom w:val="single" w:color="auto" w:sz="4" w:space="0"/>
              <w:right w:val="single" w:color="auto" w:sz="4" w:space="0"/>
            </w:tcBorders>
            <w:vAlign w:val="center"/>
          </w:tcPr>
          <w:p w14:paraId="78ECD3D7">
            <w:pPr>
              <w:widowControl/>
              <w:jc w:val="center"/>
              <w:rPr>
                <w:rFonts w:ascii="宋体" w:hAnsi="宋体" w:cs="宋体"/>
                <w:kern w:val="0"/>
                <w:szCs w:val="21"/>
              </w:rPr>
            </w:pPr>
            <w:r>
              <w:rPr>
                <w:rFonts w:hint="eastAsia" w:ascii="宋体" w:hAnsi="宋体" w:cs="宋体"/>
                <w:kern w:val="0"/>
                <w:szCs w:val="21"/>
              </w:rPr>
              <w:t>　</w:t>
            </w:r>
          </w:p>
        </w:tc>
        <w:tc>
          <w:tcPr>
            <w:tcW w:w="760" w:type="dxa"/>
            <w:tcBorders>
              <w:top w:val="nil"/>
              <w:left w:val="nil"/>
              <w:bottom w:val="single" w:color="auto" w:sz="4" w:space="0"/>
              <w:right w:val="single" w:color="auto" w:sz="4" w:space="0"/>
            </w:tcBorders>
            <w:vAlign w:val="center"/>
          </w:tcPr>
          <w:p w14:paraId="0BB29670">
            <w:pPr>
              <w:widowControl/>
              <w:jc w:val="center"/>
              <w:rPr>
                <w:rFonts w:ascii="宋体" w:hAnsi="宋体" w:cs="宋体"/>
                <w:kern w:val="0"/>
                <w:szCs w:val="21"/>
              </w:rPr>
            </w:pPr>
            <w:r>
              <w:rPr>
                <w:rFonts w:hint="eastAsia" w:ascii="宋体" w:hAnsi="宋体" w:cs="宋体"/>
                <w:kern w:val="0"/>
                <w:szCs w:val="21"/>
              </w:rPr>
              <w:t>　</w:t>
            </w:r>
          </w:p>
        </w:tc>
        <w:tc>
          <w:tcPr>
            <w:tcW w:w="2459" w:type="dxa"/>
            <w:gridSpan w:val="2"/>
            <w:tcBorders>
              <w:top w:val="single" w:color="auto" w:sz="4" w:space="0"/>
              <w:left w:val="nil"/>
              <w:bottom w:val="single" w:color="auto" w:sz="4" w:space="0"/>
              <w:right w:val="single" w:color="000000" w:sz="4" w:space="0"/>
            </w:tcBorders>
            <w:vAlign w:val="center"/>
          </w:tcPr>
          <w:p w14:paraId="6B4A6306">
            <w:pPr>
              <w:widowControl/>
              <w:jc w:val="center"/>
              <w:rPr>
                <w:rFonts w:ascii="宋体" w:hAnsi="宋体" w:cs="宋体"/>
                <w:kern w:val="0"/>
                <w:szCs w:val="21"/>
              </w:rPr>
            </w:pPr>
            <w:r>
              <w:rPr>
                <w:rFonts w:hint="eastAsia" w:ascii="宋体" w:hAnsi="宋体" w:cs="宋体"/>
                <w:kern w:val="0"/>
                <w:szCs w:val="21"/>
              </w:rPr>
              <w:t>　</w:t>
            </w:r>
          </w:p>
        </w:tc>
        <w:tc>
          <w:tcPr>
            <w:tcW w:w="1400" w:type="dxa"/>
            <w:tcBorders>
              <w:top w:val="nil"/>
              <w:left w:val="nil"/>
              <w:bottom w:val="single" w:color="auto" w:sz="4" w:space="0"/>
              <w:right w:val="single" w:color="auto" w:sz="4" w:space="0"/>
            </w:tcBorders>
            <w:vAlign w:val="center"/>
          </w:tcPr>
          <w:p w14:paraId="4CA0FEC3">
            <w:pPr>
              <w:widowControl/>
              <w:jc w:val="center"/>
              <w:rPr>
                <w:rFonts w:ascii="宋体" w:hAnsi="宋体" w:cs="宋体"/>
                <w:kern w:val="0"/>
                <w:szCs w:val="21"/>
              </w:rPr>
            </w:pPr>
            <w:r>
              <w:rPr>
                <w:rFonts w:hint="eastAsia" w:ascii="宋体" w:hAnsi="宋体" w:cs="宋体"/>
                <w:kern w:val="0"/>
                <w:szCs w:val="21"/>
              </w:rPr>
              <w:t>　</w:t>
            </w:r>
          </w:p>
        </w:tc>
        <w:tc>
          <w:tcPr>
            <w:tcW w:w="1400" w:type="dxa"/>
            <w:tcBorders>
              <w:top w:val="nil"/>
              <w:left w:val="nil"/>
              <w:bottom w:val="single" w:color="auto" w:sz="4" w:space="0"/>
              <w:right w:val="single" w:color="auto" w:sz="4" w:space="0"/>
            </w:tcBorders>
            <w:vAlign w:val="center"/>
          </w:tcPr>
          <w:p w14:paraId="2E5804C6">
            <w:pPr>
              <w:widowControl/>
              <w:jc w:val="center"/>
              <w:rPr>
                <w:rFonts w:ascii="宋体" w:hAnsi="宋体" w:cs="宋体"/>
                <w:kern w:val="0"/>
                <w:szCs w:val="21"/>
              </w:rPr>
            </w:pPr>
            <w:r>
              <w:rPr>
                <w:rFonts w:hint="eastAsia" w:ascii="宋体" w:hAnsi="宋体" w:cs="宋体"/>
                <w:kern w:val="0"/>
                <w:szCs w:val="21"/>
              </w:rPr>
              <w:t>　</w:t>
            </w:r>
          </w:p>
        </w:tc>
        <w:tc>
          <w:tcPr>
            <w:tcW w:w="2119" w:type="dxa"/>
            <w:tcBorders>
              <w:top w:val="single" w:color="auto" w:sz="4" w:space="0"/>
              <w:left w:val="nil"/>
              <w:bottom w:val="single" w:color="auto" w:sz="4" w:space="0"/>
              <w:right w:val="single" w:color="000000" w:sz="4" w:space="0"/>
            </w:tcBorders>
            <w:vAlign w:val="center"/>
          </w:tcPr>
          <w:p w14:paraId="08E29A8D">
            <w:pPr>
              <w:widowControl/>
              <w:jc w:val="center"/>
              <w:rPr>
                <w:rFonts w:ascii="宋体" w:hAnsi="宋体" w:cs="宋体"/>
                <w:kern w:val="0"/>
                <w:szCs w:val="21"/>
              </w:rPr>
            </w:pPr>
            <w:r>
              <w:rPr>
                <w:rFonts w:hint="eastAsia" w:ascii="宋体" w:hAnsi="宋体" w:cs="宋体"/>
                <w:kern w:val="0"/>
                <w:szCs w:val="21"/>
              </w:rPr>
              <w:t>　</w:t>
            </w:r>
          </w:p>
        </w:tc>
        <w:tc>
          <w:tcPr>
            <w:tcW w:w="1703" w:type="dxa"/>
            <w:tcBorders>
              <w:top w:val="nil"/>
              <w:left w:val="nil"/>
              <w:bottom w:val="single" w:color="auto" w:sz="4" w:space="0"/>
              <w:right w:val="single" w:color="auto" w:sz="4" w:space="0"/>
            </w:tcBorders>
            <w:vAlign w:val="center"/>
          </w:tcPr>
          <w:p w14:paraId="0A72B64B">
            <w:pPr>
              <w:widowControl/>
              <w:jc w:val="center"/>
              <w:rPr>
                <w:rFonts w:ascii="宋体" w:hAnsi="宋体" w:cs="宋体"/>
                <w:kern w:val="0"/>
                <w:szCs w:val="21"/>
              </w:rPr>
            </w:pPr>
            <w:r>
              <w:rPr>
                <w:rFonts w:hint="eastAsia" w:ascii="宋体" w:hAnsi="宋体" w:cs="宋体"/>
                <w:kern w:val="0"/>
                <w:szCs w:val="21"/>
              </w:rPr>
              <w:t>　</w:t>
            </w:r>
          </w:p>
        </w:tc>
        <w:tc>
          <w:tcPr>
            <w:tcW w:w="1096" w:type="dxa"/>
            <w:tcBorders>
              <w:top w:val="nil"/>
              <w:left w:val="nil"/>
              <w:bottom w:val="single" w:color="auto" w:sz="4" w:space="0"/>
              <w:right w:val="single" w:color="auto" w:sz="4" w:space="0"/>
            </w:tcBorders>
            <w:vAlign w:val="center"/>
          </w:tcPr>
          <w:p w14:paraId="6C4139D1">
            <w:pPr>
              <w:widowControl/>
              <w:jc w:val="center"/>
              <w:rPr>
                <w:rFonts w:ascii="宋体" w:hAnsi="宋体" w:cs="宋体"/>
                <w:kern w:val="0"/>
                <w:szCs w:val="21"/>
              </w:rPr>
            </w:pPr>
            <w:r>
              <w:rPr>
                <w:rFonts w:hint="eastAsia" w:ascii="宋体" w:hAnsi="宋体" w:cs="宋体"/>
                <w:kern w:val="0"/>
                <w:szCs w:val="21"/>
              </w:rPr>
              <w:t>　</w:t>
            </w:r>
          </w:p>
        </w:tc>
      </w:tr>
      <w:tr w14:paraId="332BCB48">
        <w:tblPrEx>
          <w:tblCellMar>
            <w:top w:w="0" w:type="dxa"/>
            <w:left w:w="108" w:type="dxa"/>
            <w:bottom w:w="0" w:type="dxa"/>
            <w:right w:w="108" w:type="dxa"/>
          </w:tblCellMar>
        </w:tblPrEx>
        <w:trPr>
          <w:trHeight w:val="150" w:hRule="atLeast"/>
        </w:trPr>
        <w:tc>
          <w:tcPr>
            <w:tcW w:w="15507" w:type="dxa"/>
            <w:gridSpan w:val="12"/>
            <w:tcBorders>
              <w:top w:val="single" w:color="auto" w:sz="4" w:space="0"/>
              <w:left w:val="single" w:color="auto" w:sz="4" w:space="0"/>
              <w:bottom w:val="single" w:color="auto" w:sz="4" w:space="0"/>
              <w:right w:val="single" w:color="000000" w:sz="4" w:space="0"/>
            </w:tcBorders>
            <w:shd w:val="clear" w:color="auto" w:fill="FFCC99"/>
            <w:vAlign w:val="center"/>
          </w:tcPr>
          <w:p w14:paraId="020D859A">
            <w:pPr>
              <w:widowControl/>
              <w:jc w:val="center"/>
              <w:rPr>
                <w:rFonts w:ascii="宋体" w:hAnsi="宋体" w:cs="宋体"/>
                <w:kern w:val="0"/>
                <w:szCs w:val="21"/>
              </w:rPr>
            </w:pPr>
            <w:r>
              <w:rPr>
                <w:rFonts w:hint="eastAsia" w:ascii="宋体" w:hAnsi="宋体" w:cs="宋体"/>
                <w:kern w:val="0"/>
                <w:szCs w:val="21"/>
              </w:rPr>
              <w:t>　</w:t>
            </w:r>
          </w:p>
        </w:tc>
      </w:tr>
      <w:tr w14:paraId="2315DAEA">
        <w:tblPrEx>
          <w:tblCellMar>
            <w:top w:w="0" w:type="dxa"/>
            <w:left w:w="108" w:type="dxa"/>
            <w:bottom w:w="0" w:type="dxa"/>
            <w:right w:w="108" w:type="dxa"/>
          </w:tblCellMar>
        </w:tblPrEx>
        <w:trPr>
          <w:trHeight w:val="615" w:hRule="atLeast"/>
        </w:trPr>
        <w:tc>
          <w:tcPr>
            <w:tcW w:w="448" w:type="dxa"/>
            <w:tcBorders>
              <w:top w:val="nil"/>
              <w:left w:val="single" w:color="auto" w:sz="4" w:space="0"/>
              <w:bottom w:val="single" w:color="auto" w:sz="4" w:space="0"/>
              <w:right w:val="single" w:color="auto" w:sz="4" w:space="0"/>
            </w:tcBorders>
            <w:vAlign w:val="center"/>
          </w:tcPr>
          <w:p w14:paraId="3E322B0C">
            <w:pPr>
              <w:widowControl/>
              <w:jc w:val="center"/>
              <w:rPr>
                <w:rFonts w:ascii="宋体" w:hAnsi="宋体" w:cs="宋体"/>
                <w:bCs/>
                <w:kern w:val="0"/>
                <w:szCs w:val="21"/>
              </w:rPr>
            </w:pPr>
            <w:r>
              <w:rPr>
                <w:rFonts w:hint="eastAsia" w:ascii="宋体" w:hAnsi="宋体" w:cs="宋体"/>
                <w:bCs/>
                <w:kern w:val="0"/>
                <w:szCs w:val="21"/>
              </w:rPr>
              <w:t>二</w:t>
            </w:r>
          </w:p>
        </w:tc>
        <w:tc>
          <w:tcPr>
            <w:tcW w:w="13963" w:type="dxa"/>
            <w:gridSpan w:val="10"/>
            <w:tcBorders>
              <w:top w:val="single" w:color="auto" w:sz="4" w:space="0"/>
              <w:left w:val="nil"/>
              <w:bottom w:val="single" w:color="auto" w:sz="4" w:space="0"/>
              <w:right w:val="single" w:color="auto" w:sz="4" w:space="0"/>
            </w:tcBorders>
            <w:vAlign w:val="center"/>
          </w:tcPr>
          <w:p w14:paraId="68DE1A61">
            <w:pPr>
              <w:widowControl/>
              <w:jc w:val="center"/>
              <w:rPr>
                <w:rFonts w:ascii="宋体" w:hAnsi="宋体" w:cs="宋体"/>
                <w:bCs/>
                <w:kern w:val="0"/>
                <w:szCs w:val="21"/>
              </w:rPr>
            </w:pPr>
            <w:r>
              <w:rPr>
                <w:rFonts w:hint="eastAsia" w:ascii="宋体" w:hAnsi="宋体" w:cs="宋体"/>
                <w:bCs/>
                <w:kern w:val="0"/>
                <w:szCs w:val="21"/>
              </w:rPr>
              <w:t>一般材料费用、管理费、税金及其他费用</w:t>
            </w:r>
          </w:p>
        </w:tc>
        <w:tc>
          <w:tcPr>
            <w:tcW w:w="1096" w:type="dxa"/>
            <w:tcBorders>
              <w:top w:val="nil"/>
              <w:left w:val="nil"/>
              <w:bottom w:val="single" w:color="auto" w:sz="4" w:space="0"/>
              <w:right w:val="single" w:color="auto" w:sz="4" w:space="0"/>
            </w:tcBorders>
            <w:vAlign w:val="center"/>
          </w:tcPr>
          <w:p w14:paraId="0FBA8D0C">
            <w:pPr>
              <w:widowControl/>
              <w:jc w:val="left"/>
              <w:rPr>
                <w:rFonts w:ascii="宋体" w:hAnsi="宋体" w:cs="宋体"/>
                <w:bCs/>
                <w:kern w:val="0"/>
                <w:szCs w:val="21"/>
              </w:rPr>
            </w:pPr>
          </w:p>
        </w:tc>
      </w:tr>
      <w:tr w14:paraId="2C08F9B6">
        <w:tblPrEx>
          <w:tblCellMar>
            <w:top w:w="0" w:type="dxa"/>
            <w:left w:w="108" w:type="dxa"/>
            <w:bottom w:w="0" w:type="dxa"/>
            <w:right w:w="108" w:type="dxa"/>
          </w:tblCellMar>
        </w:tblPrEx>
        <w:trPr>
          <w:trHeight w:val="300" w:hRule="atLeast"/>
        </w:trPr>
        <w:tc>
          <w:tcPr>
            <w:tcW w:w="448" w:type="dxa"/>
            <w:tcBorders>
              <w:top w:val="nil"/>
              <w:left w:val="single" w:color="auto" w:sz="4" w:space="0"/>
              <w:bottom w:val="single" w:color="auto" w:sz="4" w:space="0"/>
              <w:right w:val="single" w:color="auto" w:sz="4" w:space="0"/>
            </w:tcBorders>
            <w:vAlign w:val="center"/>
          </w:tcPr>
          <w:p w14:paraId="16EDCFFE">
            <w:pPr>
              <w:widowControl/>
              <w:jc w:val="center"/>
              <w:rPr>
                <w:rFonts w:ascii="宋体" w:hAnsi="宋体" w:cs="宋体"/>
                <w:kern w:val="0"/>
                <w:szCs w:val="21"/>
              </w:rPr>
            </w:pPr>
            <w:r>
              <w:rPr>
                <w:rFonts w:hint="eastAsia" w:ascii="宋体" w:hAnsi="宋体" w:cs="宋体"/>
                <w:kern w:val="0"/>
                <w:szCs w:val="21"/>
              </w:rPr>
              <w:t>1</w:t>
            </w:r>
          </w:p>
        </w:tc>
        <w:tc>
          <w:tcPr>
            <w:tcW w:w="2143" w:type="dxa"/>
            <w:gridSpan w:val="2"/>
            <w:tcBorders>
              <w:top w:val="single" w:color="auto" w:sz="4" w:space="0"/>
              <w:left w:val="nil"/>
              <w:bottom w:val="single" w:color="auto" w:sz="4" w:space="0"/>
              <w:right w:val="single" w:color="auto" w:sz="4" w:space="0"/>
            </w:tcBorders>
            <w:vAlign w:val="center"/>
          </w:tcPr>
          <w:p w14:paraId="29E09D19">
            <w:pPr>
              <w:widowControl/>
              <w:jc w:val="center"/>
              <w:rPr>
                <w:rFonts w:ascii="宋体" w:hAnsi="宋体" w:cs="宋体"/>
                <w:kern w:val="0"/>
                <w:szCs w:val="21"/>
              </w:rPr>
            </w:pPr>
            <w:r>
              <w:rPr>
                <w:rFonts w:hint="eastAsia" w:ascii="宋体" w:hAnsi="宋体" w:cs="宋体"/>
                <w:kern w:val="0"/>
                <w:szCs w:val="21"/>
              </w:rPr>
              <w:t>　</w:t>
            </w:r>
          </w:p>
        </w:tc>
        <w:tc>
          <w:tcPr>
            <w:tcW w:w="1979" w:type="dxa"/>
            <w:tcBorders>
              <w:top w:val="nil"/>
              <w:left w:val="nil"/>
              <w:bottom w:val="single" w:color="auto" w:sz="4" w:space="0"/>
              <w:right w:val="single" w:color="auto" w:sz="4" w:space="0"/>
            </w:tcBorders>
            <w:vAlign w:val="center"/>
          </w:tcPr>
          <w:p w14:paraId="71A4C7CC">
            <w:pPr>
              <w:widowControl/>
              <w:jc w:val="center"/>
              <w:rPr>
                <w:rFonts w:ascii="宋体" w:hAnsi="宋体" w:cs="宋体"/>
                <w:kern w:val="0"/>
                <w:szCs w:val="21"/>
              </w:rPr>
            </w:pPr>
            <w:r>
              <w:rPr>
                <w:rFonts w:hint="eastAsia" w:ascii="宋体" w:hAnsi="宋体" w:cs="宋体"/>
                <w:kern w:val="0"/>
                <w:szCs w:val="21"/>
              </w:rPr>
              <w:t>　</w:t>
            </w:r>
          </w:p>
        </w:tc>
        <w:tc>
          <w:tcPr>
            <w:tcW w:w="760" w:type="dxa"/>
            <w:tcBorders>
              <w:top w:val="nil"/>
              <w:left w:val="nil"/>
              <w:bottom w:val="single" w:color="auto" w:sz="4" w:space="0"/>
              <w:right w:val="single" w:color="auto" w:sz="4" w:space="0"/>
            </w:tcBorders>
            <w:vAlign w:val="center"/>
          </w:tcPr>
          <w:p w14:paraId="1726D6AA">
            <w:pPr>
              <w:widowControl/>
              <w:jc w:val="center"/>
              <w:rPr>
                <w:rFonts w:ascii="宋体" w:hAnsi="宋体" w:cs="宋体"/>
                <w:kern w:val="0"/>
                <w:szCs w:val="21"/>
              </w:rPr>
            </w:pPr>
            <w:r>
              <w:rPr>
                <w:rFonts w:hint="eastAsia" w:ascii="宋体" w:hAnsi="宋体" w:cs="宋体"/>
                <w:kern w:val="0"/>
                <w:szCs w:val="21"/>
              </w:rPr>
              <w:t>　</w:t>
            </w:r>
          </w:p>
        </w:tc>
        <w:tc>
          <w:tcPr>
            <w:tcW w:w="2459" w:type="dxa"/>
            <w:gridSpan w:val="2"/>
            <w:tcBorders>
              <w:top w:val="single" w:color="auto" w:sz="4" w:space="0"/>
              <w:left w:val="nil"/>
              <w:bottom w:val="single" w:color="auto" w:sz="4" w:space="0"/>
              <w:right w:val="single" w:color="auto" w:sz="4" w:space="0"/>
            </w:tcBorders>
            <w:vAlign w:val="center"/>
          </w:tcPr>
          <w:p w14:paraId="560EFF34">
            <w:pPr>
              <w:widowControl/>
              <w:jc w:val="center"/>
              <w:rPr>
                <w:rFonts w:ascii="宋体" w:hAnsi="宋体" w:cs="宋体"/>
                <w:kern w:val="0"/>
                <w:szCs w:val="21"/>
              </w:rPr>
            </w:pPr>
            <w:r>
              <w:rPr>
                <w:rFonts w:hint="eastAsia" w:ascii="宋体" w:hAnsi="宋体" w:cs="宋体"/>
                <w:kern w:val="0"/>
                <w:szCs w:val="21"/>
              </w:rPr>
              <w:t>　</w:t>
            </w:r>
          </w:p>
        </w:tc>
        <w:tc>
          <w:tcPr>
            <w:tcW w:w="1400" w:type="dxa"/>
            <w:tcBorders>
              <w:top w:val="nil"/>
              <w:left w:val="nil"/>
              <w:bottom w:val="single" w:color="auto" w:sz="4" w:space="0"/>
              <w:right w:val="single" w:color="auto" w:sz="4" w:space="0"/>
            </w:tcBorders>
            <w:vAlign w:val="center"/>
          </w:tcPr>
          <w:p w14:paraId="2B33066D">
            <w:pPr>
              <w:widowControl/>
              <w:jc w:val="center"/>
              <w:rPr>
                <w:rFonts w:ascii="宋体" w:hAnsi="宋体" w:cs="宋体"/>
                <w:kern w:val="0"/>
                <w:szCs w:val="21"/>
              </w:rPr>
            </w:pPr>
            <w:r>
              <w:rPr>
                <w:rFonts w:hint="eastAsia" w:ascii="宋体" w:hAnsi="宋体" w:cs="宋体"/>
                <w:kern w:val="0"/>
                <w:szCs w:val="21"/>
              </w:rPr>
              <w:t>　</w:t>
            </w:r>
          </w:p>
        </w:tc>
        <w:tc>
          <w:tcPr>
            <w:tcW w:w="1400" w:type="dxa"/>
            <w:tcBorders>
              <w:top w:val="nil"/>
              <w:left w:val="nil"/>
              <w:bottom w:val="single" w:color="auto" w:sz="4" w:space="0"/>
              <w:right w:val="single" w:color="auto" w:sz="4" w:space="0"/>
            </w:tcBorders>
            <w:vAlign w:val="center"/>
          </w:tcPr>
          <w:p w14:paraId="584B8A98">
            <w:pPr>
              <w:widowControl/>
              <w:jc w:val="center"/>
              <w:rPr>
                <w:rFonts w:ascii="宋体" w:hAnsi="宋体" w:cs="宋体"/>
                <w:kern w:val="0"/>
                <w:szCs w:val="21"/>
              </w:rPr>
            </w:pPr>
            <w:r>
              <w:rPr>
                <w:rFonts w:hint="eastAsia" w:ascii="宋体" w:hAnsi="宋体" w:cs="宋体"/>
                <w:kern w:val="0"/>
                <w:szCs w:val="21"/>
              </w:rPr>
              <w:t>　</w:t>
            </w:r>
          </w:p>
        </w:tc>
        <w:tc>
          <w:tcPr>
            <w:tcW w:w="2119" w:type="dxa"/>
            <w:tcBorders>
              <w:top w:val="single" w:color="auto" w:sz="4" w:space="0"/>
              <w:left w:val="nil"/>
              <w:bottom w:val="single" w:color="auto" w:sz="4" w:space="0"/>
              <w:right w:val="single" w:color="auto" w:sz="4" w:space="0"/>
            </w:tcBorders>
            <w:vAlign w:val="center"/>
          </w:tcPr>
          <w:p w14:paraId="505E7E35">
            <w:pPr>
              <w:widowControl/>
              <w:jc w:val="center"/>
              <w:rPr>
                <w:rFonts w:ascii="宋体" w:hAnsi="宋体" w:cs="宋体"/>
                <w:kern w:val="0"/>
                <w:szCs w:val="21"/>
              </w:rPr>
            </w:pPr>
            <w:r>
              <w:rPr>
                <w:rFonts w:hint="eastAsia" w:ascii="宋体" w:hAnsi="宋体" w:cs="宋体"/>
                <w:kern w:val="0"/>
                <w:szCs w:val="21"/>
              </w:rPr>
              <w:t>　</w:t>
            </w:r>
          </w:p>
        </w:tc>
        <w:tc>
          <w:tcPr>
            <w:tcW w:w="1703" w:type="dxa"/>
            <w:tcBorders>
              <w:top w:val="nil"/>
              <w:left w:val="nil"/>
              <w:bottom w:val="single" w:color="auto" w:sz="4" w:space="0"/>
              <w:right w:val="single" w:color="auto" w:sz="4" w:space="0"/>
            </w:tcBorders>
            <w:vAlign w:val="center"/>
          </w:tcPr>
          <w:p w14:paraId="685EF676">
            <w:pPr>
              <w:widowControl/>
              <w:jc w:val="center"/>
              <w:rPr>
                <w:rFonts w:ascii="宋体" w:hAnsi="宋体" w:cs="宋体"/>
                <w:kern w:val="0"/>
                <w:szCs w:val="21"/>
              </w:rPr>
            </w:pPr>
            <w:r>
              <w:rPr>
                <w:rFonts w:hint="eastAsia" w:ascii="宋体" w:hAnsi="宋体" w:cs="宋体"/>
                <w:kern w:val="0"/>
                <w:szCs w:val="21"/>
              </w:rPr>
              <w:t>　</w:t>
            </w:r>
          </w:p>
        </w:tc>
        <w:tc>
          <w:tcPr>
            <w:tcW w:w="1096" w:type="dxa"/>
            <w:tcBorders>
              <w:top w:val="nil"/>
              <w:left w:val="nil"/>
              <w:bottom w:val="single" w:color="auto" w:sz="4" w:space="0"/>
              <w:right w:val="single" w:color="auto" w:sz="4" w:space="0"/>
            </w:tcBorders>
            <w:vAlign w:val="center"/>
          </w:tcPr>
          <w:p w14:paraId="79A85C0C">
            <w:pPr>
              <w:widowControl/>
              <w:jc w:val="center"/>
              <w:rPr>
                <w:rFonts w:ascii="宋体" w:hAnsi="宋体" w:cs="宋体"/>
                <w:kern w:val="0"/>
                <w:szCs w:val="21"/>
              </w:rPr>
            </w:pPr>
            <w:r>
              <w:rPr>
                <w:rFonts w:hint="eastAsia" w:ascii="宋体" w:hAnsi="宋体" w:cs="宋体"/>
                <w:kern w:val="0"/>
                <w:szCs w:val="21"/>
              </w:rPr>
              <w:t>　</w:t>
            </w:r>
          </w:p>
        </w:tc>
      </w:tr>
      <w:tr w14:paraId="4510A1AE">
        <w:tblPrEx>
          <w:tblCellMar>
            <w:top w:w="0" w:type="dxa"/>
            <w:left w:w="108" w:type="dxa"/>
            <w:bottom w:w="0" w:type="dxa"/>
            <w:right w:w="108" w:type="dxa"/>
          </w:tblCellMar>
        </w:tblPrEx>
        <w:trPr>
          <w:trHeight w:val="300" w:hRule="atLeast"/>
        </w:trPr>
        <w:tc>
          <w:tcPr>
            <w:tcW w:w="448" w:type="dxa"/>
            <w:tcBorders>
              <w:top w:val="nil"/>
              <w:left w:val="single" w:color="auto" w:sz="4" w:space="0"/>
              <w:bottom w:val="single" w:color="auto" w:sz="4" w:space="0"/>
              <w:right w:val="single" w:color="auto" w:sz="4" w:space="0"/>
            </w:tcBorders>
            <w:vAlign w:val="center"/>
          </w:tcPr>
          <w:p w14:paraId="3F63D394">
            <w:pPr>
              <w:widowControl/>
              <w:jc w:val="center"/>
              <w:rPr>
                <w:rFonts w:ascii="宋体" w:hAnsi="宋体" w:cs="宋体"/>
                <w:kern w:val="0"/>
                <w:szCs w:val="21"/>
              </w:rPr>
            </w:pPr>
            <w:r>
              <w:rPr>
                <w:rFonts w:hint="eastAsia" w:ascii="宋体" w:hAnsi="宋体" w:cs="宋体"/>
                <w:kern w:val="0"/>
                <w:szCs w:val="21"/>
              </w:rPr>
              <w:t>2</w:t>
            </w:r>
          </w:p>
        </w:tc>
        <w:tc>
          <w:tcPr>
            <w:tcW w:w="2143" w:type="dxa"/>
            <w:gridSpan w:val="2"/>
            <w:tcBorders>
              <w:top w:val="single" w:color="auto" w:sz="4" w:space="0"/>
              <w:left w:val="nil"/>
              <w:bottom w:val="single" w:color="auto" w:sz="4" w:space="0"/>
              <w:right w:val="single" w:color="auto" w:sz="4" w:space="0"/>
            </w:tcBorders>
            <w:vAlign w:val="center"/>
          </w:tcPr>
          <w:p w14:paraId="303C6A09">
            <w:pPr>
              <w:widowControl/>
              <w:jc w:val="center"/>
              <w:rPr>
                <w:rFonts w:ascii="宋体" w:hAnsi="宋体" w:cs="宋体"/>
                <w:kern w:val="0"/>
                <w:szCs w:val="21"/>
              </w:rPr>
            </w:pPr>
            <w:r>
              <w:rPr>
                <w:rFonts w:hint="eastAsia" w:ascii="宋体" w:hAnsi="宋体" w:cs="宋体"/>
                <w:kern w:val="0"/>
                <w:szCs w:val="21"/>
              </w:rPr>
              <w:t>　</w:t>
            </w:r>
          </w:p>
        </w:tc>
        <w:tc>
          <w:tcPr>
            <w:tcW w:w="1979" w:type="dxa"/>
            <w:tcBorders>
              <w:top w:val="nil"/>
              <w:left w:val="nil"/>
              <w:bottom w:val="single" w:color="auto" w:sz="4" w:space="0"/>
              <w:right w:val="single" w:color="auto" w:sz="4" w:space="0"/>
            </w:tcBorders>
            <w:vAlign w:val="center"/>
          </w:tcPr>
          <w:p w14:paraId="3C408798">
            <w:pPr>
              <w:widowControl/>
              <w:jc w:val="center"/>
              <w:rPr>
                <w:rFonts w:ascii="宋体" w:hAnsi="宋体" w:cs="宋体"/>
                <w:kern w:val="0"/>
                <w:szCs w:val="21"/>
              </w:rPr>
            </w:pPr>
            <w:r>
              <w:rPr>
                <w:rFonts w:hint="eastAsia" w:ascii="宋体" w:hAnsi="宋体" w:cs="宋体"/>
                <w:kern w:val="0"/>
                <w:szCs w:val="21"/>
              </w:rPr>
              <w:t>　</w:t>
            </w:r>
          </w:p>
        </w:tc>
        <w:tc>
          <w:tcPr>
            <w:tcW w:w="760" w:type="dxa"/>
            <w:tcBorders>
              <w:top w:val="nil"/>
              <w:left w:val="nil"/>
              <w:bottom w:val="single" w:color="auto" w:sz="4" w:space="0"/>
              <w:right w:val="single" w:color="auto" w:sz="4" w:space="0"/>
            </w:tcBorders>
            <w:vAlign w:val="center"/>
          </w:tcPr>
          <w:p w14:paraId="7D01AAFC">
            <w:pPr>
              <w:widowControl/>
              <w:jc w:val="center"/>
              <w:rPr>
                <w:rFonts w:ascii="宋体" w:hAnsi="宋体" w:cs="宋体"/>
                <w:kern w:val="0"/>
                <w:szCs w:val="21"/>
              </w:rPr>
            </w:pPr>
            <w:r>
              <w:rPr>
                <w:rFonts w:hint="eastAsia" w:ascii="宋体" w:hAnsi="宋体" w:cs="宋体"/>
                <w:kern w:val="0"/>
                <w:szCs w:val="21"/>
              </w:rPr>
              <w:t>　</w:t>
            </w:r>
          </w:p>
        </w:tc>
        <w:tc>
          <w:tcPr>
            <w:tcW w:w="2459" w:type="dxa"/>
            <w:gridSpan w:val="2"/>
            <w:tcBorders>
              <w:top w:val="single" w:color="auto" w:sz="4" w:space="0"/>
              <w:left w:val="nil"/>
              <w:bottom w:val="single" w:color="auto" w:sz="4" w:space="0"/>
              <w:right w:val="single" w:color="auto" w:sz="4" w:space="0"/>
            </w:tcBorders>
            <w:vAlign w:val="center"/>
          </w:tcPr>
          <w:p w14:paraId="679A3018">
            <w:pPr>
              <w:widowControl/>
              <w:jc w:val="center"/>
              <w:rPr>
                <w:rFonts w:ascii="宋体" w:hAnsi="宋体" w:cs="宋体"/>
                <w:kern w:val="0"/>
                <w:szCs w:val="21"/>
              </w:rPr>
            </w:pPr>
            <w:r>
              <w:rPr>
                <w:rFonts w:hint="eastAsia" w:ascii="宋体" w:hAnsi="宋体" w:cs="宋体"/>
                <w:kern w:val="0"/>
                <w:szCs w:val="21"/>
              </w:rPr>
              <w:t>　</w:t>
            </w:r>
          </w:p>
        </w:tc>
        <w:tc>
          <w:tcPr>
            <w:tcW w:w="1400" w:type="dxa"/>
            <w:tcBorders>
              <w:top w:val="nil"/>
              <w:left w:val="nil"/>
              <w:bottom w:val="single" w:color="auto" w:sz="4" w:space="0"/>
              <w:right w:val="single" w:color="auto" w:sz="4" w:space="0"/>
            </w:tcBorders>
            <w:vAlign w:val="center"/>
          </w:tcPr>
          <w:p w14:paraId="0127A56C">
            <w:pPr>
              <w:widowControl/>
              <w:jc w:val="center"/>
              <w:rPr>
                <w:rFonts w:ascii="宋体" w:hAnsi="宋体" w:cs="宋体"/>
                <w:kern w:val="0"/>
                <w:szCs w:val="21"/>
              </w:rPr>
            </w:pPr>
            <w:r>
              <w:rPr>
                <w:rFonts w:hint="eastAsia" w:ascii="宋体" w:hAnsi="宋体" w:cs="宋体"/>
                <w:kern w:val="0"/>
                <w:szCs w:val="21"/>
              </w:rPr>
              <w:t>　</w:t>
            </w:r>
          </w:p>
        </w:tc>
        <w:tc>
          <w:tcPr>
            <w:tcW w:w="1400" w:type="dxa"/>
            <w:tcBorders>
              <w:top w:val="nil"/>
              <w:left w:val="nil"/>
              <w:bottom w:val="single" w:color="auto" w:sz="4" w:space="0"/>
              <w:right w:val="single" w:color="auto" w:sz="4" w:space="0"/>
            </w:tcBorders>
            <w:vAlign w:val="center"/>
          </w:tcPr>
          <w:p w14:paraId="4FD1CB2E">
            <w:pPr>
              <w:widowControl/>
              <w:jc w:val="center"/>
              <w:rPr>
                <w:rFonts w:ascii="宋体" w:hAnsi="宋体" w:cs="宋体"/>
                <w:kern w:val="0"/>
                <w:szCs w:val="21"/>
              </w:rPr>
            </w:pPr>
            <w:r>
              <w:rPr>
                <w:rFonts w:hint="eastAsia" w:ascii="宋体" w:hAnsi="宋体" w:cs="宋体"/>
                <w:kern w:val="0"/>
                <w:szCs w:val="21"/>
              </w:rPr>
              <w:t>　</w:t>
            </w:r>
          </w:p>
        </w:tc>
        <w:tc>
          <w:tcPr>
            <w:tcW w:w="2119" w:type="dxa"/>
            <w:tcBorders>
              <w:top w:val="single" w:color="auto" w:sz="4" w:space="0"/>
              <w:left w:val="nil"/>
              <w:bottom w:val="single" w:color="auto" w:sz="4" w:space="0"/>
              <w:right w:val="single" w:color="auto" w:sz="4" w:space="0"/>
            </w:tcBorders>
            <w:vAlign w:val="center"/>
          </w:tcPr>
          <w:p w14:paraId="5B4786F9">
            <w:pPr>
              <w:widowControl/>
              <w:jc w:val="center"/>
              <w:rPr>
                <w:rFonts w:ascii="宋体" w:hAnsi="宋体" w:cs="宋体"/>
                <w:kern w:val="0"/>
                <w:szCs w:val="21"/>
              </w:rPr>
            </w:pPr>
            <w:r>
              <w:rPr>
                <w:rFonts w:hint="eastAsia" w:ascii="宋体" w:hAnsi="宋体" w:cs="宋体"/>
                <w:kern w:val="0"/>
                <w:szCs w:val="21"/>
              </w:rPr>
              <w:t>　</w:t>
            </w:r>
          </w:p>
        </w:tc>
        <w:tc>
          <w:tcPr>
            <w:tcW w:w="1703" w:type="dxa"/>
            <w:tcBorders>
              <w:top w:val="nil"/>
              <w:left w:val="nil"/>
              <w:bottom w:val="single" w:color="auto" w:sz="4" w:space="0"/>
              <w:right w:val="single" w:color="auto" w:sz="4" w:space="0"/>
            </w:tcBorders>
            <w:vAlign w:val="center"/>
          </w:tcPr>
          <w:p w14:paraId="5DC89212">
            <w:pPr>
              <w:widowControl/>
              <w:jc w:val="center"/>
              <w:rPr>
                <w:rFonts w:ascii="宋体" w:hAnsi="宋体" w:cs="宋体"/>
                <w:kern w:val="0"/>
                <w:szCs w:val="21"/>
              </w:rPr>
            </w:pPr>
            <w:r>
              <w:rPr>
                <w:rFonts w:hint="eastAsia" w:ascii="宋体" w:hAnsi="宋体" w:cs="宋体"/>
                <w:kern w:val="0"/>
                <w:szCs w:val="21"/>
              </w:rPr>
              <w:t>　</w:t>
            </w:r>
          </w:p>
        </w:tc>
        <w:tc>
          <w:tcPr>
            <w:tcW w:w="1096" w:type="dxa"/>
            <w:tcBorders>
              <w:top w:val="nil"/>
              <w:left w:val="nil"/>
              <w:bottom w:val="single" w:color="auto" w:sz="4" w:space="0"/>
              <w:right w:val="single" w:color="auto" w:sz="4" w:space="0"/>
            </w:tcBorders>
            <w:vAlign w:val="center"/>
          </w:tcPr>
          <w:p w14:paraId="2026E180">
            <w:pPr>
              <w:widowControl/>
              <w:jc w:val="center"/>
              <w:rPr>
                <w:rFonts w:ascii="宋体" w:hAnsi="宋体" w:cs="宋体"/>
                <w:kern w:val="0"/>
                <w:szCs w:val="21"/>
              </w:rPr>
            </w:pPr>
            <w:r>
              <w:rPr>
                <w:rFonts w:hint="eastAsia" w:ascii="宋体" w:hAnsi="宋体" w:cs="宋体"/>
                <w:kern w:val="0"/>
                <w:szCs w:val="21"/>
              </w:rPr>
              <w:t>　</w:t>
            </w:r>
          </w:p>
        </w:tc>
      </w:tr>
      <w:tr w14:paraId="2B6C0770">
        <w:tblPrEx>
          <w:tblCellMar>
            <w:top w:w="0" w:type="dxa"/>
            <w:left w:w="108" w:type="dxa"/>
            <w:bottom w:w="0" w:type="dxa"/>
            <w:right w:w="108" w:type="dxa"/>
          </w:tblCellMar>
        </w:tblPrEx>
        <w:trPr>
          <w:trHeight w:val="300" w:hRule="atLeast"/>
        </w:trPr>
        <w:tc>
          <w:tcPr>
            <w:tcW w:w="7591" w:type="dxa"/>
            <w:gridSpan w:val="6"/>
            <w:tcBorders>
              <w:top w:val="single" w:color="auto" w:sz="4" w:space="0"/>
              <w:left w:val="single" w:color="auto" w:sz="4" w:space="0"/>
              <w:bottom w:val="single" w:color="auto" w:sz="4" w:space="0"/>
              <w:right w:val="single" w:color="auto" w:sz="4" w:space="0"/>
            </w:tcBorders>
            <w:shd w:val="clear" w:color="auto" w:fill="FFFF99"/>
            <w:vAlign w:val="center"/>
          </w:tcPr>
          <w:p w14:paraId="406AC5DA">
            <w:pPr>
              <w:widowControl/>
              <w:jc w:val="center"/>
              <w:rPr>
                <w:rFonts w:ascii="宋体" w:hAnsi="宋体" w:cs="宋体"/>
                <w:bCs/>
                <w:kern w:val="0"/>
                <w:szCs w:val="21"/>
              </w:rPr>
            </w:pPr>
            <w:r>
              <w:rPr>
                <w:rFonts w:hint="eastAsia" w:ascii="宋体" w:hAnsi="宋体" w:cs="宋体"/>
                <w:bCs/>
                <w:kern w:val="0"/>
                <w:szCs w:val="21"/>
              </w:rPr>
              <w:t>本次申请划款合计（元）</w:t>
            </w:r>
          </w:p>
        </w:tc>
        <w:tc>
          <w:tcPr>
            <w:tcW w:w="2998" w:type="dxa"/>
            <w:gridSpan w:val="3"/>
            <w:tcBorders>
              <w:top w:val="nil"/>
              <w:left w:val="nil"/>
              <w:bottom w:val="single" w:color="auto" w:sz="4" w:space="0"/>
              <w:right w:val="single" w:color="auto" w:sz="4" w:space="0"/>
            </w:tcBorders>
            <w:shd w:val="clear" w:color="auto" w:fill="FFFF99"/>
            <w:vAlign w:val="center"/>
          </w:tcPr>
          <w:p w14:paraId="6DA663B5">
            <w:pPr>
              <w:widowControl/>
              <w:jc w:val="center"/>
              <w:rPr>
                <w:rFonts w:ascii="宋体" w:hAnsi="宋体" w:cs="宋体"/>
                <w:bCs/>
                <w:kern w:val="0"/>
                <w:szCs w:val="21"/>
                <w:u w:val="single"/>
              </w:rPr>
            </w:pPr>
            <w:r>
              <w:rPr>
                <w:rFonts w:hint="eastAsia" w:ascii="宋体" w:hAnsi="宋体" w:cs="宋体"/>
                <w:bCs/>
                <w:kern w:val="0"/>
                <w:szCs w:val="21"/>
                <w:u w:val="single"/>
              </w:rPr>
              <w:t>　</w:t>
            </w:r>
          </w:p>
        </w:tc>
        <w:tc>
          <w:tcPr>
            <w:tcW w:w="2119" w:type="dxa"/>
            <w:tcBorders>
              <w:top w:val="single" w:color="auto" w:sz="4" w:space="0"/>
              <w:left w:val="nil"/>
              <w:bottom w:val="single" w:color="auto" w:sz="4" w:space="0"/>
              <w:right w:val="single" w:color="000000" w:sz="4" w:space="0"/>
            </w:tcBorders>
            <w:vAlign w:val="center"/>
          </w:tcPr>
          <w:p w14:paraId="65E2A1E0">
            <w:pPr>
              <w:widowControl/>
              <w:jc w:val="center"/>
              <w:rPr>
                <w:rFonts w:ascii="宋体" w:hAnsi="宋体" w:cs="宋体"/>
                <w:kern w:val="0"/>
                <w:szCs w:val="21"/>
              </w:rPr>
            </w:pPr>
            <w:r>
              <w:rPr>
                <w:rFonts w:hint="eastAsia" w:ascii="宋体" w:hAnsi="宋体" w:cs="宋体"/>
                <w:kern w:val="0"/>
                <w:szCs w:val="21"/>
              </w:rPr>
              <w:t>/</w:t>
            </w:r>
          </w:p>
        </w:tc>
        <w:tc>
          <w:tcPr>
            <w:tcW w:w="1703" w:type="dxa"/>
            <w:tcBorders>
              <w:top w:val="nil"/>
              <w:left w:val="nil"/>
              <w:bottom w:val="single" w:color="auto" w:sz="4" w:space="0"/>
              <w:right w:val="single" w:color="auto" w:sz="4" w:space="0"/>
            </w:tcBorders>
            <w:vAlign w:val="center"/>
          </w:tcPr>
          <w:p w14:paraId="238E799B">
            <w:pPr>
              <w:widowControl/>
              <w:jc w:val="center"/>
              <w:rPr>
                <w:rFonts w:ascii="宋体" w:hAnsi="宋体" w:cs="宋体"/>
                <w:kern w:val="0"/>
                <w:szCs w:val="21"/>
              </w:rPr>
            </w:pPr>
            <w:r>
              <w:rPr>
                <w:rFonts w:hint="eastAsia" w:ascii="宋体" w:hAnsi="宋体" w:cs="宋体"/>
                <w:kern w:val="0"/>
                <w:szCs w:val="21"/>
              </w:rPr>
              <w:t>/</w:t>
            </w:r>
          </w:p>
        </w:tc>
        <w:tc>
          <w:tcPr>
            <w:tcW w:w="1096" w:type="dxa"/>
            <w:tcBorders>
              <w:top w:val="nil"/>
              <w:left w:val="nil"/>
              <w:bottom w:val="single" w:color="auto" w:sz="4" w:space="0"/>
              <w:right w:val="single" w:color="auto" w:sz="4" w:space="0"/>
            </w:tcBorders>
            <w:vAlign w:val="center"/>
          </w:tcPr>
          <w:p w14:paraId="4AA9830F">
            <w:pPr>
              <w:widowControl/>
              <w:jc w:val="center"/>
              <w:rPr>
                <w:rFonts w:ascii="宋体" w:hAnsi="宋体" w:cs="宋体"/>
                <w:kern w:val="0"/>
                <w:szCs w:val="21"/>
              </w:rPr>
            </w:pPr>
            <w:r>
              <w:rPr>
                <w:rFonts w:hint="eastAsia" w:ascii="宋体" w:hAnsi="宋体" w:cs="宋体"/>
                <w:kern w:val="0"/>
                <w:szCs w:val="21"/>
              </w:rPr>
              <w:t>/</w:t>
            </w:r>
          </w:p>
        </w:tc>
      </w:tr>
      <w:tr w14:paraId="616724FF">
        <w:tblPrEx>
          <w:tblCellMar>
            <w:top w:w="0" w:type="dxa"/>
            <w:left w:w="108" w:type="dxa"/>
            <w:bottom w:w="0" w:type="dxa"/>
            <w:right w:w="108" w:type="dxa"/>
          </w:tblCellMar>
        </w:tblPrEx>
        <w:trPr>
          <w:trHeight w:val="1565" w:hRule="atLeast"/>
        </w:trPr>
        <w:tc>
          <w:tcPr>
            <w:tcW w:w="7591" w:type="dxa"/>
            <w:gridSpan w:val="6"/>
            <w:tcBorders>
              <w:top w:val="single" w:color="auto" w:sz="4" w:space="0"/>
              <w:left w:val="single" w:color="auto" w:sz="4" w:space="0"/>
              <w:right w:val="single" w:color="000000" w:sz="4" w:space="0"/>
            </w:tcBorders>
            <w:vAlign w:val="center"/>
          </w:tcPr>
          <w:p w14:paraId="291F534E">
            <w:pPr>
              <w:widowControl/>
              <w:jc w:val="left"/>
              <w:rPr>
                <w:rFonts w:ascii="宋体" w:hAnsi="宋体" w:cs="宋体"/>
                <w:bCs/>
                <w:kern w:val="0"/>
                <w:szCs w:val="21"/>
              </w:rPr>
            </w:pPr>
          </w:p>
          <w:p w14:paraId="27602ECA">
            <w:pPr>
              <w:widowControl/>
              <w:jc w:val="left"/>
              <w:rPr>
                <w:rFonts w:ascii="宋体" w:hAnsi="宋体" w:cs="宋体"/>
                <w:bCs/>
                <w:kern w:val="0"/>
                <w:szCs w:val="21"/>
              </w:rPr>
            </w:pPr>
            <w:r>
              <w:rPr>
                <w:rFonts w:hint="eastAsia" w:ascii="宋体" w:hAnsi="宋体" w:cs="宋体"/>
                <w:bCs/>
                <w:kern w:val="0"/>
                <w:szCs w:val="21"/>
              </w:rPr>
              <w:t>承包人项目经理签名及手机：</w:t>
            </w:r>
          </w:p>
          <w:p w14:paraId="1400D846">
            <w:pPr>
              <w:widowControl/>
              <w:jc w:val="left"/>
              <w:rPr>
                <w:rFonts w:ascii="宋体" w:hAnsi="宋体" w:cs="宋体"/>
                <w:bCs/>
                <w:kern w:val="0"/>
                <w:szCs w:val="21"/>
              </w:rPr>
            </w:pPr>
          </w:p>
          <w:p w14:paraId="25C2E1DA">
            <w:pPr>
              <w:widowControl/>
              <w:jc w:val="left"/>
              <w:rPr>
                <w:rFonts w:ascii="宋体" w:hAnsi="宋体" w:cs="宋体"/>
                <w:bCs/>
                <w:kern w:val="0"/>
                <w:szCs w:val="21"/>
              </w:rPr>
            </w:pPr>
            <w:r>
              <w:rPr>
                <w:rFonts w:hint="eastAsia" w:ascii="宋体" w:hAnsi="宋体" w:cs="宋体"/>
                <w:bCs/>
                <w:kern w:val="0"/>
                <w:szCs w:val="21"/>
              </w:rPr>
              <w:t>项目经理印鉴、项目财务专用章：          日期：     年     月     日</w:t>
            </w:r>
          </w:p>
        </w:tc>
        <w:tc>
          <w:tcPr>
            <w:tcW w:w="7916" w:type="dxa"/>
            <w:gridSpan w:val="6"/>
            <w:tcBorders>
              <w:top w:val="single" w:color="auto" w:sz="4" w:space="0"/>
              <w:left w:val="nil"/>
              <w:bottom w:val="single" w:color="auto" w:sz="4" w:space="0"/>
              <w:right w:val="single" w:color="000000" w:sz="4" w:space="0"/>
            </w:tcBorders>
            <w:vAlign w:val="center"/>
          </w:tcPr>
          <w:p w14:paraId="55BE64D8">
            <w:pPr>
              <w:widowControl/>
              <w:jc w:val="left"/>
              <w:rPr>
                <w:rFonts w:ascii="宋体" w:hAnsi="宋体" w:cs="宋体"/>
                <w:bCs/>
                <w:kern w:val="0"/>
                <w:szCs w:val="21"/>
              </w:rPr>
            </w:pPr>
          </w:p>
          <w:p w14:paraId="42DF36D2">
            <w:pPr>
              <w:widowControl/>
              <w:jc w:val="left"/>
              <w:rPr>
                <w:rFonts w:ascii="宋体" w:hAnsi="宋体" w:cs="宋体"/>
                <w:bCs/>
                <w:kern w:val="0"/>
                <w:szCs w:val="21"/>
              </w:rPr>
            </w:pPr>
            <w:r>
              <w:rPr>
                <w:rFonts w:hint="eastAsia" w:ascii="宋体" w:hAnsi="宋体" w:cs="宋体"/>
                <w:bCs/>
                <w:kern w:val="0"/>
                <w:szCs w:val="21"/>
              </w:rPr>
              <w:t>发包人项目总经理签名：</w:t>
            </w:r>
          </w:p>
          <w:p w14:paraId="18A25CCD">
            <w:pPr>
              <w:widowControl/>
              <w:jc w:val="left"/>
              <w:rPr>
                <w:rFonts w:ascii="宋体" w:hAnsi="宋体" w:cs="宋体"/>
                <w:szCs w:val="21"/>
              </w:rPr>
            </w:pPr>
          </w:p>
          <w:p w14:paraId="61CEC618">
            <w:pPr>
              <w:widowControl/>
              <w:jc w:val="left"/>
              <w:rPr>
                <w:rFonts w:ascii="宋体" w:hAnsi="宋体" w:cs="宋体"/>
                <w:bCs/>
                <w:kern w:val="0"/>
                <w:szCs w:val="21"/>
              </w:rPr>
            </w:pPr>
            <w:r>
              <w:rPr>
                <w:rFonts w:hint="eastAsia" w:ascii="宋体" w:hAnsi="宋体" w:cs="宋体"/>
                <w:bCs/>
                <w:kern w:val="0"/>
                <w:szCs w:val="21"/>
              </w:rPr>
              <w:t>项目总经理印鉴：                          日期：     年     月     日</w:t>
            </w:r>
          </w:p>
        </w:tc>
      </w:tr>
      <w:tr w14:paraId="0F0B04F3">
        <w:tblPrEx>
          <w:tblCellMar>
            <w:top w:w="0" w:type="dxa"/>
            <w:left w:w="108" w:type="dxa"/>
            <w:bottom w:w="0" w:type="dxa"/>
            <w:right w:w="108" w:type="dxa"/>
          </w:tblCellMar>
        </w:tblPrEx>
        <w:trPr>
          <w:trHeight w:val="721" w:hRule="atLeast"/>
        </w:trPr>
        <w:tc>
          <w:tcPr>
            <w:tcW w:w="15507" w:type="dxa"/>
            <w:gridSpan w:val="12"/>
            <w:tcBorders>
              <w:top w:val="single" w:color="auto" w:sz="4" w:space="0"/>
              <w:left w:val="nil"/>
              <w:bottom w:val="nil"/>
              <w:right w:val="nil"/>
            </w:tcBorders>
            <w:vAlign w:val="bottom"/>
          </w:tcPr>
          <w:p w14:paraId="2E938385">
            <w:pPr>
              <w:widowControl/>
              <w:spacing w:after="240"/>
              <w:jc w:val="left"/>
              <w:rPr>
                <w:rFonts w:ascii="宋体" w:hAnsi="宋体" w:cs="宋体"/>
                <w:bCs/>
                <w:kern w:val="0"/>
                <w:szCs w:val="21"/>
              </w:rPr>
            </w:pPr>
            <w:r>
              <w:rPr>
                <w:rFonts w:hint="eastAsia" w:ascii="宋体" w:hAnsi="宋体" w:cs="宋体"/>
                <w:snapToGrid w:val="0"/>
                <w:kern w:val="0"/>
                <w:szCs w:val="21"/>
              </w:rPr>
              <w:t xml:space="preserve">备注：本表一式三份，甲方、乙方、丙方各执一份 </w:t>
            </w:r>
            <w:r>
              <w:rPr>
                <w:rFonts w:hint="eastAsia" w:ascii="宋体" w:hAnsi="宋体" w:cs="宋体"/>
                <w:bCs/>
                <w:kern w:val="0"/>
                <w:szCs w:val="21"/>
              </w:rPr>
              <w:t xml:space="preserve"> </w:t>
            </w:r>
          </w:p>
        </w:tc>
      </w:tr>
    </w:tbl>
    <w:p w14:paraId="3458EFF2">
      <w:pPr>
        <w:rPr>
          <w:rFonts w:ascii="宋体" w:hAnsi="宋体" w:cs="宋体"/>
          <w:sz w:val="28"/>
          <w:szCs w:val="28"/>
        </w:rPr>
      </w:pPr>
    </w:p>
    <w:p w14:paraId="6385FB5E">
      <w:pPr>
        <w:rPr>
          <w:rFonts w:ascii="宋体" w:hAnsi="宋体" w:cs="宋体"/>
          <w:sz w:val="28"/>
          <w:szCs w:val="28"/>
        </w:rPr>
        <w:sectPr>
          <w:headerReference r:id="rId6" w:type="default"/>
          <w:footerReference r:id="rId7" w:type="default"/>
          <w:pgSz w:w="16840" w:h="11907" w:orient="landscape"/>
          <w:pgMar w:top="1418" w:right="1134" w:bottom="1418" w:left="1134" w:header="851" w:footer="992" w:gutter="0"/>
          <w:cols w:space="720" w:num="1"/>
          <w:docGrid w:linePitch="312" w:charSpace="0"/>
        </w:sectPr>
      </w:pPr>
    </w:p>
    <w:p w14:paraId="612685C3">
      <w:pPr>
        <w:jc w:val="center"/>
        <w:rPr>
          <w:rFonts w:ascii="宋体" w:hAnsi="宋体" w:cs="宋体"/>
          <w:sz w:val="24"/>
          <w:szCs w:val="24"/>
        </w:rPr>
      </w:pPr>
      <w:r>
        <w:rPr>
          <w:rFonts w:hint="eastAsia" w:ascii="宋体" w:hAnsi="宋体" w:cs="宋体"/>
          <w:b/>
          <w:sz w:val="24"/>
          <w:szCs w:val="24"/>
        </w:rPr>
        <w:t>共管账户划款通知</w:t>
      </w:r>
    </w:p>
    <w:p w14:paraId="51B9C443">
      <w:pPr>
        <w:jc w:val="center"/>
        <w:rPr>
          <w:rFonts w:ascii="宋体" w:hAnsi="宋体" w:cs="宋体"/>
          <w:sz w:val="24"/>
          <w:szCs w:val="24"/>
        </w:rPr>
      </w:pPr>
      <w:r>
        <w:rPr>
          <w:rFonts w:hint="eastAsia" w:ascii="宋体" w:hAnsi="宋体" w:cs="宋体"/>
          <w:sz w:val="24"/>
          <w:szCs w:val="24"/>
        </w:rPr>
        <w:t>年   月    日</w:t>
      </w:r>
    </w:p>
    <w:tbl>
      <w:tblPr>
        <w:tblStyle w:val="47"/>
        <w:tblW w:w="89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5040"/>
      </w:tblGrid>
      <w:tr w14:paraId="3365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888" w:type="dxa"/>
          </w:tcPr>
          <w:p w14:paraId="05BE9E46">
            <w:pPr>
              <w:rPr>
                <w:rFonts w:ascii="宋体" w:hAnsi="宋体" w:cs="宋体"/>
                <w:sz w:val="24"/>
                <w:szCs w:val="24"/>
              </w:rPr>
            </w:pPr>
            <w:r>
              <w:rPr>
                <w:rFonts w:hint="eastAsia" w:ascii="宋体" w:hAnsi="宋体" w:cs="宋体"/>
                <w:sz w:val="24"/>
                <w:szCs w:val="24"/>
              </w:rPr>
              <w:t>账户名称</w:t>
            </w:r>
          </w:p>
        </w:tc>
        <w:tc>
          <w:tcPr>
            <w:tcW w:w="5040" w:type="dxa"/>
          </w:tcPr>
          <w:p w14:paraId="43558B0A">
            <w:pPr>
              <w:rPr>
                <w:rFonts w:ascii="宋体" w:hAnsi="宋体" w:cs="宋体"/>
                <w:sz w:val="24"/>
                <w:szCs w:val="24"/>
              </w:rPr>
            </w:pPr>
          </w:p>
        </w:tc>
      </w:tr>
      <w:tr w14:paraId="337C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888" w:type="dxa"/>
          </w:tcPr>
          <w:p w14:paraId="746C732F">
            <w:pPr>
              <w:rPr>
                <w:rFonts w:ascii="宋体" w:hAnsi="宋体" w:cs="宋体"/>
                <w:sz w:val="24"/>
                <w:szCs w:val="24"/>
              </w:rPr>
            </w:pPr>
            <w:r>
              <w:rPr>
                <w:rFonts w:hint="eastAsia" w:ascii="宋体" w:hAnsi="宋体" w:cs="宋体"/>
                <w:sz w:val="24"/>
                <w:szCs w:val="24"/>
              </w:rPr>
              <w:t>账户账号</w:t>
            </w:r>
          </w:p>
        </w:tc>
        <w:tc>
          <w:tcPr>
            <w:tcW w:w="5040" w:type="dxa"/>
          </w:tcPr>
          <w:p w14:paraId="34F5CCEE">
            <w:pPr>
              <w:rPr>
                <w:rFonts w:ascii="宋体" w:hAnsi="宋体" w:cs="宋体"/>
                <w:sz w:val="24"/>
                <w:szCs w:val="24"/>
              </w:rPr>
            </w:pPr>
          </w:p>
        </w:tc>
      </w:tr>
      <w:tr w14:paraId="73F1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3888" w:type="dxa"/>
          </w:tcPr>
          <w:p w14:paraId="3789585F">
            <w:pPr>
              <w:rPr>
                <w:rFonts w:ascii="宋体" w:hAnsi="宋体" w:cs="宋体"/>
                <w:sz w:val="24"/>
                <w:szCs w:val="24"/>
              </w:rPr>
            </w:pPr>
            <w:r>
              <w:rPr>
                <w:rFonts w:hint="eastAsia" w:ascii="宋体" w:hAnsi="宋体" w:cs="宋体"/>
                <w:sz w:val="24"/>
                <w:szCs w:val="24"/>
              </w:rPr>
              <w:t>工程项目名称</w:t>
            </w:r>
          </w:p>
        </w:tc>
        <w:tc>
          <w:tcPr>
            <w:tcW w:w="5040" w:type="dxa"/>
          </w:tcPr>
          <w:p w14:paraId="1848968A">
            <w:pPr>
              <w:rPr>
                <w:rFonts w:ascii="宋体" w:hAnsi="宋体" w:cs="宋体"/>
                <w:sz w:val="24"/>
                <w:szCs w:val="24"/>
              </w:rPr>
            </w:pPr>
          </w:p>
        </w:tc>
      </w:tr>
      <w:tr w14:paraId="1C46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8" w:type="dxa"/>
          </w:tcPr>
          <w:p w14:paraId="74C60434">
            <w:pPr>
              <w:rPr>
                <w:rFonts w:ascii="宋体" w:hAnsi="宋体" w:cs="宋体"/>
                <w:sz w:val="24"/>
                <w:szCs w:val="24"/>
              </w:rPr>
            </w:pPr>
            <w:r>
              <w:rPr>
                <w:rFonts w:hint="eastAsia" w:ascii="宋体" w:hAnsi="宋体" w:cs="宋体"/>
                <w:sz w:val="24"/>
                <w:szCs w:val="24"/>
              </w:rPr>
              <w:t>本次申请使用款项金额</w:t>
            </w:r>
          </w:p>
        </w:tc>
        <w:tc>
          <w:tcPr>
            <w:tcW w:w="5040" w:type="dxa"/>
          </w:tcPr>
          <w:p w14:paraId="386A7167">
            <w:pPr>
              <w:rPr>
                <w:rFonts w:ascii="宋体" w:hAnsi="宋体" w:cs="宋体"/>
                <w:sz w:val="24"/>
                <w:szCs w:val="24"/>
              </w:rPr>
            </w:pPr>
          </w:p>
        </w:tc>
      </w:tr>
      <w:tr w14:paraId="30CC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3888" w:type="dxa"/>
          </w:tcPr>
          <w:p w14:paraId="4AA2CFD8">
            <w:pPr>
              <w:rPr>
                <w:rFonts w:ascii="宋体" w:hAnsi="宋体" w:cs="宋体"/>
                <w:sz w:val="24"/>
                <w:szCs w:val="24"/>
              </w:rPr>
            </w:pPr>
            <w:r>
              <w:rPr>
                <w:rFonts w:hint="eastAsia" w:ascii="宋体" w:hAnsi="宋体" w:cs="宋体"/>
                <w:sz w:val="24"/>
                <w:szCs w:val="24"/>
              </w:rPr>
              <w:t>本次用途</w:t>
            </w:r>
          </w:p>
        </w:tc>
        <w:tc>
          <w:tcPr>
            <w:tcW w:w="5040" w:type="dxa"/>
          </w:tcPr>
          <w:p w14:paraId="4170E204">
            <w:pPr>
              <w:rPr>
                <w:rFonts w:ascii="宋体" w:hAnsi="宋体" w:cs="宋体"/>
                <w:sz w:val="24"/>
                <w:szCs w:val="24"/>
              </w:rPr>
            </w:pPr>
          </w:p>
          <w:p w14:paraId="4928A25A">
            <w:pPr>
              <w:rPr>
                <w:rFonts w:ascii="宋体" w:hAnsi="宋体" w:cs="宋体"/>
                <w:sz w:val="24"/>
                <w:szCs w:val="24"/>
              </w:rPr>
            </w:pPr>
          </w:p>
        </w:tc>
      </w:tr>
      <w:tr w14:paraId="1BB6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888" w:type="dxa"/>
          </w:tcPr>
          <w:p w14:paraId="6DB1393C">
            <w:pPr>
              <w:rPr>
                <w:rFonts w:ascii="宋体" w:hAnsi="宋体" w:cs="宋体"/>
                <w:sz w:val="24"/>
                <w:szCs w:val="24"/>
              </w:rPr>
            </w:pPr>
            <w:r>
              <w:rPr>
                <w:rFonts w:hint="eastAsia" w:ascii="宋体" w:hAnsi="宋体" w:cs="宋体"/>
                <w:sz w:val="24"/>
                <w:szCs w:val="24"/>
              </w:rPr>
              <w:t>累计用款额（万元）</w:t>
            </w:r>
          </w:p>
        </w:tc>
        <w:tc>
          <w:tcPr>
            <w:tcW w:w="5040" w:type="dxa"/>
          </w:tcPr>
          <w:p w14:paraId="0FAB44CC">
            <w:pPr>
              <w:rPr>
                <w:rFonts w:ascii="宋体" w:hAnsi="宋体" w:cs="宋体"/>
                <w:sz w:val="24"/>
                <w:szCs w:val="24"/>
              </w:rPr>
            </w:pPr>
          </w:p>
        </w:tc>
      </w:tr>
      <w:tr w14:paraId="63DE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trPr>
        <w:tc>
          <w:tcPr>
            <w:tcW w:w="3888" w:type="dxa"/>
            <w:vAlign w:val="center"/>
          </w:tcPr>
          <w:p w14:paraId="5DB46F16">
            <w:pPr>
              <w:jc w:val="center"/>
              <w:rPr>
                <w:rFonts w:ascii="宋体" w:hAnsi="宋体" w:cs="宋体"/>
                <w:sz w:val="24"/>
                <w:szCs w:val="24"/>
              </w:rPr>
            </w:pPr>
            <w:r>
              <w:rPr>
                <w:rFonts w:hint="eastAsia" w:ascii="宋体" w:hAnsi="宋体" w:cs="宋体"/>
                <w:sz w:val="24"/>
                <w:szCs w:val="24"/>
              </w:rPr>
              <w:t>发包人</w:t>
            </w:r>
          </w:p>
          <w:p w14:paraId="0B2FCE6B">
            <w:pPr>
              <w:jc w:val="center"/>
              <w:rPr>
                <w:rFonts w:ascii="宋体" w:hAnsi="宋体" w:cs="宋体"/>
                <w:sz w:val="24"/>
                <w:szCs w:val="24"/>
              </w:rPr>
            </w:pPr>
            <w:r>
              <w:rPr>
                <w:rFonts w:hint="eastAsia" w:ascii="宋体" w:hAnsi="宋体" w:cs="宋体"/>
                <w:sz w:val="24"/>
                <w:szCs w:val="24"/>
              </w:rPr>
              <w:t xml:space="preserve"> </w:t>
            </w:r>
          </w:p>
          <w:p w14:paraId="1C7B8D0C">
            <w:pPr>
              <w:jc w:val="center"/>
              <w:rPr>
                <w:rFonts w:ascii="宋体" w:hAnsi="宋体" w:cs="宋体"/>
                <w:sz w:val="24"/>
                <w:szCs w:val="24"/>
              </w:rPr>
            </w:pPr>
            <w:r>
              <w:rPr>
                <w:rFonts w:hint="eastAsia" w:ascii="宋体" w:hAnsi="宋体" w:cs="宋体"/>
                <w:sz w:val="24"/>
                <w:szCs w:val="24"/>
              </w:rPr>
              <w:t>审批意见</w:t>
            </w:r>
          </w:p>
        </w:tc>
        <w:tc>
          <w:tcPr>
            <w:tcW w:w="5040" w:type="dxa"/>
            <w:vAlign w:val="center"/>
          </w:tcPr>
          <w:p w14:paraId="505B5553">
            <w:pPr>
              <w:jc w:val="center"/>
              <w:rPr>
                <w:rFonts w:ascii="宋体" w:hAnsi="宋体" w:cs="宋体"/>
                <w:sz w:val="24"/>
                <w:szCs w:val="24"/>
              </w:rPr>
            </w:pPr>
          </w:p>
          <w:p w14:paraId="518D65C4">
            <w:pPr>
              <w:rPr>
                <w:rFonts w:ascii="宋体" w:hAnsi="宋体" w:cs="宋体"/>
                <w:sz w:val="24"/>
                <w:szCs w:val="24"/>
              </w:rPr>
            </w:pPr>
            <w:r>
              <w:rPr>
                <w:rFonts w:hint="eastAsia" w:ascii="宋体" w:hAnsi="宋体" w:cs="宋体"/>
                <w:sz w:val="24"/>
                <w:szCs w:val="24"/>
              </w:rPr>
              <w:t xml:space="preserve">项目总经理签名： </w:t>
            </w:r>
          </w:p>
          <w:p w14:paraId="5CBE07CB">
            <w:pPr>
              <w:rPr>
                <w:rFonts w:ascii="宋体" w:hAnsi="宋体" w:cs="宋体"/>
                <w:sz w:val="24"/>
                <w:szCs w:val="24"/>
              </w:rPr>
            </w:pPr>
            <w:r>
              <w:rPr>
                <w:rFonts w:hint="eastAsia" w:ascii="宋体" w:hAnsi="宋体" w:cs="宋体"/>
                <w:sz w:val="24"/>
                <w:szCs w:val="24"/>
              </w:rPr>
              <w:t xml:space="preserve">        </w:t>
            </w:r>
          </w:p>
          <w:p w14:paraId="2AF7B53E">
            <w:pPr>
              <w:rPr>
                <w:rFonts w:ascii="宋体" w:hAnsi="宋体" w:cs="宋体"/>
                <w:sz w:val="24"/>
                <w:szCs w:val="24"/>
              </w:rPr>
            </w:pPr>
          </w:p>
          <w:p w14:paraId="10DBFA0A">
            <w:pPr>
              <w:rPr>
                <w:rFonts w:ascii="宋体" w:hAnsi="宋体" w:cs="宋体"/>
                <w:sz w:val="24"/>
                <w:szCs w:val="24"/>
              </w:rPr>
            </w:pPr>
            <w:r>
              <w:rPr>
                <w:rFonts w:hint="eastAsia" w:ascii="宋体" w:hAnsi="宋体" w:cs="宋体"/>
                <w:sz w:val="24"/>
                <w:szCs w:val="24"/>
              </w:rPr>
              <w:t>项目总经理印鉴：</w:t>
            </w:r>
          </w:p>
          <w:p w14:paraId="34E02A76">
            <w:pPr>
              <w:jc w:val="center"/>
              <w:rPr>
                <w:rFonts w:ascii="宋体" w:hAnsi="宋体" w:cs="宋体"/>
                <w:sz w:val="24"/>
                <w:szCs w:val="24"/>
              </w:rPr>
            </w:pPr>
          </w:p>
        </w:tc>
      </w:tr>
    </w:tbl>
    <w:p w14:paraId="457B4D45">
      <w:pPr>
        <w:rPr>
          <w:rFonts w:ascii="宋体" w:hAnsi="宋体" w:cs="宋体"/>
          <w:sz w:val="24"/>
          <w:szCs w:val="24"/>
        </w:rPr>
      </w:pPr>
    </w:p>
    <w:p w14:paraId="582AC2D3">
      <w:pPr>
        <w:ind w:left="1299" w:hanging="1299" w:hangingChars="539"/>
        <w:rPr>
          <w:rFonts w:ascii="宋体" w:hAnsi="宋体" w:cs="宋体"/>
          <w:sz w:val="28"/>
          <w:szCs w:val="28"/>
        </w:rPr>
      </w:pPr>
      <w:r>
        <w:rPr>
          <w:rFonts w:hint="eastAsia" w:ascii="宋体" w:hAnsi="宋体" w:cs="宋体"/>
          <w:b/>
          <w:snapToGrid w:val="0"/>
          <w:kern w:val="0"/>
          <w:sz w:val="24"/>
          <w:szCs w:val="24"/>
        </w:rPr>
        <w:t>备注： 1、本表一式三份，甲方、乙方、丙方各执一份。</w:t>
      </w:r>
    </w:p>
    <w:p w14:paraId="374E285A">
      <w:pP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项目资金支付审批流程概览</w:t>
      </w:r>
    </w:p>
    <w:p w14:paraId="48825855">
      <w:pPr>
        <w:rPr>
          <w:rFonts w:ascii="宋体" w:hAnsi="宋体" w:cs="宋体"/>
          <w:sz w:val="28"/>
          <w:szCs w:val="28"/>
        </w:rPr>
      </w:pPr>
      <w:r>
        <w:rPr>
          <w:rFonts w:hint="eastAsia" w:ascii="宋体" w:hAnsi="宋体" w:cs="宋体"/>
        </w:rPr>
        <mc:AlternateContent>
          <mc:Choice Requires="wpc">
            <w:drawing>
              <wp:inline distT="0" distB="0" distL="114300" distR="114300">
                <wp:extent cx="5875020" cy="8321040"/>
                <wp:effectExtent l="0" t="0" r="0" b="0"/>
                <wp:docPr id="17"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wps:spPr>
                          <a:xfrm>
                            <a:off x="3057525" y="1562100"/>
                            <a:ext cx="1257300" cy="8267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8F06AC">
                              <w:pPr>
                                <w:rPr>
                                  <w:rFonts w:ascii="宋体" w:hAnsi="宋体"/>
                                  <w:sz w:val="24"/>
                                  <w:szCs w:val="24"/>
                                </w:rPr>
                              </w:pPr>
                              <w:r>
                                <w:rPr>
                                  <w:rFonts w:hint="eastAsia" w:ascii="宋体" w:hAnsi="宋体"/>
                                  <w:sz w:val="24"/>
                                  <w:szCs w:val="24"/>
                                </w:rPr>
                                <w:t>呈交每期资金使用计划</w:t>
                              </w:r>
                            </w:p>
                          </w:txbxContent>
                        </wps:txbx>
                        <wps:bodyPr vert="horz" wrap="square" anchor="t" anchorCtr="0" upright="1"/>
                      </wps:wsp>
                      <wps:wsp>
                        <wps:cNvPr id="2" name="Text Box 5"/>
                        <wps:cNvSpPr txBox="1"/>
                        <wps:spPr>
                          <a:xfrm>
                            <a:off x="457835" y="1562100"/>
                            <a:ext cx="141795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426B27">
                              <w:pPr>
                                <w:jc w:val="center"/>
                                <w:rPr>
                                  <w:rFonts w:ascii="宋体" w:hAnsi="宋体"/>
                                  <w:sz w:val="24"/>
                                  <w:szCs w:val="24"/>
                                </w:rPr>
                              </w:pPr>
                              <w:r>
                                <w:rPr>
                                  <w:rFonts w:hint="eastAsia" w:ascii="宋体" w:hAnsi="宋体"/>
                                  <w:sz w:val="24"/>
                                  <w:szCs w:val="24"/>
                                </w:rPr>
                                <w:t>施工单位</w:t>
                              </w:r>
                            </w:p>
                          </w:txbxContent>
                        </wps:txbx>
                        <wps:bodyPr vert="horz" wrap="square" lIns="91440" tIns="72000" rIns="91440" bIns="45720" anchor="t" anchorCtr="0" upright="1"/>
                      </wps:wsp>
                      <wps:wsp>
                        <wps:cNvPr id="3" name="Text Box 8"/>
                        <wps:cNvSpPr txBox="1"/>
                        <wps:spPr>
                          <a:xfrm>
                            <a:off x="461645" y="2872740"/>
                            <a:ext cx="1481455" cy="513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BCAE66">
                              <w:pPr>
                                <w:jc w:val="center"/>
                                <w:rPr>
                                  <w:rFonts w:ascii="宋体" w:hAnsi="宋体"/>
                                  <w:sz w:val="24"/>
                                  <w:szCs w:val="24"/>
                                </w:rPr>
                              </w:pPr>
                              <w:r>
                                <w:rPr>
                                  <w:rFonts w:hint="eastAsia" w:ascii="宋体" w:hAnsi="宋体"/>
                                  <w:sz w:val="24"/>
                                  <w:szCs w:val="24"/>
                                </w:rPr>
                                <w:t>发包人单位</w:t>
                              </w:r>
                            </w:p>
                            <w:p w14:paraId="2ECF4C7F">
                              <w:pPr>
                                <w:rPr>
                                  <w:rFonts w:ascii="宋体" w:hAnsi="宋体"/>
                                  <w:sz w:val="24"/>
                                  <w:szCs w:val="24"/>
                                </w:rPr>
                              </w:pPr>
                            </w:p>
                          </w:txbxContent>
                        </wps:txbx>
                        <wps:bodyPr vert="horz" wrap="square" lIns="91440" tIns="72000" rIns="91440" bIns="45720" anchor="t" anchorCtr="0" upright="1"/>
                      </wps:wsp>
                      <wps:wsp>
                        <wps:cNvPr id="5" name="Line 9"/>
                        <wps:cNvCnPr/>
                        <wps:spPr>
                          <a:xfrm>
                            <a:off x="1257300" y="3268980"/>
                            <a:ext cx="635" cy="693420"/>
                          </a:xfrm>
                          <a:prstGeom prst="line">
                            <a:avLst/>
                          </a:prstGeom>
                          <a:ln w="9525" cap="flat" cmpd="sng">
                            <a:solidFill>
                              <a:srgbClr val="000000"/>
                            </a:solidFill>
                            <a:prstDash val="solid"/>
                            <a:headEnd type="none" w="med" len="med"/>
                            <a:tailEnd type="triangle" w="med" len="med"/>
                          </a:ln>
                        </wps:spPr>
                        <wps:bodyPr/>
                      </wps:wsp>
                      <wps:wsp>
                        <wps:cNvPr id="6" name="Line 10"/>
                        <wps:cNvCnPr/>
                        <wps:spPr>
                          <a:xfrm flipH="1">
                            <a:off x="1257300" y="1981200"/>
                            <a:ext cx="635" cy="891540"/>
                          </a:xfrm>
                          <a:prstGeom prst="line">
                            <a:avLst/>
                          </a:prstGeom>
                          <a:ln w="9525" cap="flat" cmpd="sng">
                            <a:solidFill>
                              <a:srgbClr val="000000"/>
                            </a:solidFill>
                            <a:prstDash val="solid"/>
                            <a:headEnd type="none" w="med" len="med"/>
                            <a:tailEnd type="triangle" w="med" len="med"/>
                          </a:ln>
                        </wps:spPr>
                        <wps:bodyPr/>
                      </wps:wsp>
                      <wps:wsp>
                        <wps:cNvPr id="7" name="Line 12"/>
                        <wps:cNvCnPr/>
                        <wps:spPr>
                          <a:xfrm>
                            <a:off x="1881505" y="1760220"/>
                            <a:ext cx="1176020" cy="635"/>
                          </a:xfrm>
                          <a:prstGeom prst="line">
                            <a:avLst/>
                          </a:prstGeom>
                          <a:ln w="9525" cap="flat" cmpd="sng">
                            <a:solidFill>
                              <a:srgbClr val="000000"/>
                            </a:solidFill>
                            <a:prstDash val="solid"/>
                            <a:headEnd type="none" w="med" len="med"/>
                            <a:tailEnd type="triangle" w="med" len="med"/>
                          </a:ln>
                        </wps:spPr>
                        <wps:bodyPr/>
                      </wps:wsp>
                      <wps:wsp>
                        <wps:cNvPr id="8" name="Line 15"/>
                        <wps:cNvCnPr/>
                        <wps:spPr>
                          <a:xfrm>
                            <a:off x="1257300" y="3902710"/>
                            <a:ext cx="635" cy="1347470"/>
                          </a:xfrm>
                          <a:prstGeom prst="line">
                            <a:avLst/>
                          </a:prstGeom>
                          <a:ln w="9525" cap="flat" cmpd="sng">
                            <a:solidFill>
                              <a:srgbClr val="000000"/>
                            </a:solidFill>
                            <a:prstDash val="solid"/>
                            <a:headEnd type="none" w="med" len="med"/>
                            <a:tailEnd type="triangle" w="med" len="med"/>
                          </a:ln>
                        </wps:spPr>
                        <wps:bodyPr/>
                      </wps:wsp>
                      <wps:wsp>
                        <wps:cNvPr id="9" name="Line 17"/>
                        <wps:cNvCnPr/>
                        <wps:spPr>
                          <a:xfrm>
                            <a:off x="1943100" y="3070860"/>
                            <a:ext cx="1371600" cy="635"/>
                          </a:xfrm>
                          <a:prstGeom prst="line">
                            <a:avLst/>
                          </a:prstGeom>
                          <a:ln w="9525" cap="flat" cmpd="sng">
                            <a:solidFill>
                              <a:srgbClr val="000000"/>
                            </a:solidFill>
                            <a:prstDash val="solid"/>
                            <a:headEnd type="none" w="med" len="med"/>
                            <a:tailEnd type="triangle" w="med" len="med"/>
                          </a:ln>
                        </wps:spPr>
                        <wps:bodyPr/>
                      </wps:wsp>
                      <wps:wsp>
                        <wps:cNvPr id="10" name="Line 18"/>
                        <wps:cNvCnPr/>
                        <wps:spPr>
                          <a:xfrm>
                            <a:off x="1257300" y="4754880"/>
                            <a:ext cx="1257300" cy="635"/>
                          </a:xfrm>
                          <a:prstGeom prst="line">
                            <a:avLst/>
                          </a:prstGeom>
                          <a:ln w="9525" cap="flat" cmpd="sng">
                            <a:solidFill>
                              <a:srgbClr val="000000"/>
                            </a:solidFill>
                            <a:prstDash val="solid"/>
                            <a:headEnd type="none" w="med" len="med"/>
                            <a:tailEnd type="triangle" w="med" len="med"/>
                          </a:ln>
                        </wps:spPr>
                        <wps:bodyPr/>
                      </wps:wsp>
                      <wps:wsp>
                        <wps:cNvPr id="11" name="Text Box 19"/>
                        <wps:cNvSpPr txBox="1"/>
                        <wps:spPr>
                          <a:xfrm>
                            <a:off x="3314700" y="2872740"/>
                            <a:ext cx="121158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5C9622">
                              <w:pPr>
                                <w:jc w:val="center"/>
                                <w:rPr>
                                  <w:rFonts w:ascii="宋体" w:hAnsi="宋体"/>
                                  <w:sz w:val="24"/>
                                  <w:szCs w:val="24"/>
                                </w:rPr>
                              </w:pPr>
                              <w:r>
                                <w:rPr>
                                  <w:rFonts w:hint="eastAsia" w:ascii="宋体" w:hAnsi="宋体"/>
                                  <w:sz w:val="24"/>
                                  <w:szCs w:val="24"/>
                                </w:rPr>
                                <w:t>资金使用审批</w:t>
                              </w:r>
                            </w:p>
                          </w:txbxContent>
                        </wps:txbx>
                        <wps:bodyPr vert="horz" wrap="square" lIns="91440" tIns="72000" rIns="91440" bIns="45720" anchor="t" anchorCtr="0" upright="1"/>
                      </wps:wsp>
                      <wps:wsp>
                        <wps:cNvPr id="12" name="Line 20"/>
                        <wps:cNvCnPr/>
                        <wps:spPr>
                          <a:xfrm>
                            <a:off x="1943100" y="5448300"/>
                            <a:ext cx="1371600" cy="635"/>
                          </a:xfrm>
                          <a:prstGeom prst="line">
                            <a:avLst/>
                          </a:prstGeom>
                          <a:ln w="12700" cap="flat" cmpd="sng">
                            <a:solidFill>
                              <a:srgbClr val="000000"/>
                            </a:solidFill>
                            <a:prstDash val="solid"/>
                            <a:headEnd type="none" w="med" len="med"/>
                            <a:tailEnd type="triangle" w="med" len="med"/>
                          </a:ln>
                        </wps:spPr>
                        <wps:bodyPr/>
                      </wps:wsp>
                      <wps:wsp>
                        <wps:cNvPr id="13" name="Text Box 21"/>
                        <wps:cNvSpPr txBox="1"/>
                        <wps:spPr>
                          <a:xfrm>
                            <a:off x="3657600" y="6637020"/>
                            <a:ext cx="121158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D421FA">
                              <w:pPr>
                                <w:jc w:val="center"/>
                                <w:rPr>
                                  <w:rFonts w:ascii="宋体" w:hAnsi="宋体"/>
                                  <w:sz w:val="24"/>
                                  <w:szCs w:val="24"/>
                                </w:rPr>
                              </w:pPr>
                              <w:r>
                                <w:rPr>
                                  <w:rFonts w:hint="eastAsia" w:ascii="宋体" w:hAnsi="宋体"/>
                                  <w:sz w:val="24"/>
                                  <w:szCs w:val="24"/>
                                </w:rPr>
                                <w:t>资金支付</w:t>
                              </w:r>
                            </w:p>
                          </w:txbxContent>
                        </wps:txbx>
                        <wps:bodyPr vert="horz" wrap="square" lIns="91440" tIns="72000" rIns="91440" bIns="45720" anchor="t" anchorCtr="0" upright="1"/>
                      </wps:wsp>
                      <wps:wsp>
                        <wps:cNvPr id="14" name="Text Box 22"/>
                        <wps:cNvSpPr txBox="1"/>
                        <wps:spPr>
                          <a:xfrm>
                            <a:off x="3314700" y="5052060"/>
                            <a:ext cx="2286000"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D1680D">
                              <w:pPr>
                                <w:rPr>
                                  <w:rFonts w:ascii="宋体" w:hAnsi="宋体"/>
                                  <w:sz w:val="24"/>
                                  <w:szCs w:val="24"/>
                                </w:rPr>
                              </w:pPr>
                              <w:r>
                                <w:rPr>
                                  <w:rFonts w:hint="eastAsia" w:ascii="宋体" w:hAnsi="宋体"/>
                                  <w:sz w:val="24"/>
                                  <w:szCs w:val="24"/>
                                </w:rPr>
                                <w:t>监管银行实时监控施工单位资金流向，如出现异常，将反馈至业主单位，业主单位将要求参建单位纠正并采取补救措施</w:t>
                              </w:r>
                            </w:p>
                          </w:txbxContent>
                        </wps:txbx>
                        <wps:bodyPr vert="horz" wrap="square" lIns="91440" tIns="118800" rIns="91440" bIns="45720" anchor="t" anchorCtr="0" upright="1"/>
                      </wps:wsp>
                      <wps:wsp>
                        <wps:cNvPr id="15" name="Rectangle 26"/>
                        <wps:cNvSpPr/>
                        <wps:spPr>
                          <a:xfrm>
                            <a:off x="571500" y="5250180"/>
                            <a:ext cx="13716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562795">
                              <w:pPr>
                                <w:ind w:firstLine="600" w:firstLineChars="250"/>
                                <w:rPr>
                                  <w:rFonts w:ascii="宋体" w:hAnsi="宋体"/>
                                  <w:sz w:val="24"/>
                                  <w:szCs w:val="24"/>
                                </w:rPr>
                              </w:pPr>
                              <w:r>
                                <w:rPr>
                                  <w:rFonts w:hint="eastAsia" w:ascii="宋体" w:hAnsi="宋体"/>
                                  <w:sz w:val="24"/>
                                  <w:szCs w:val="24"/>
                                </w:rPr>
                                <w:t>开户行</w:t>
                              </w:r>
                            </w:p>
                          </w:txbxContent>
                        </wps:txbx>
                        <wps:bodyPr vert="horz" wrap="square" anchor="t" anchorCtr="0" upright="1"/>
                      </wps:wsp>
                      <wps:wsp>
                        <wps:cNvPr id="16" name="Line 27"/>
                        <wps:cNvCnPr/>
                        <wps:spPr>
                          <a:xfrm>
                            <a:off x="4343400" y="6240780"/>
                            <a:ext cx="635" cy="396240"/>
                          </a:xfrm>
                          <a:prstGeom prst="line">
                            <a:avLst/>
                          </a:prstGeom>
                          <a:ln w="9525" cap="flat" cmpd="sng">
                            <a:solidFill>
                              <a:srgbClr val="000000"/>
                            </a:solidFill>
                            <a:prstDash val="solid"/>
                            <a:headEnd type="none" w="med" len="med"/>
                            <a:tailEnd type="triangle" w="med" len="med"/>
                          </a:ln>
                        </wps:spPr>
                        <wps:bodyPr/>
                      </wps:wsp>
                      <wps:wsp>
                        <wps:cNvPr id="4" name="Rectangle 28"/>
                        <wps:cNvSpPr/>
                        <wps:spPr>
                          <a:xfrm>
                            <a:off x="2514600" y="4291330"/>
                            <a:ext cx="1510030" cy="6616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9D2754">
                              <w:r>
                                <w:rPr>
                                  <w:rFonts w:hint="eastAsia"/>
                                </w:rPr>
                                <w:t>《电汇凭证》签名及盖章</w:t>
                              </w:r>
                            </w:p>
                          </w:txbxContent>
                        </wps:txbx>
                        <wps:bodyPr vert="horz" wrap="square" anchor="t" anchorCtr="0" upright="1"/>
                      </wps:wsp>
                    </wpc:wpc>
                  </a:graphicData>
                </a:graphic>
              </wp:inline>
            </w:drawing>
          </mc:Choice>
          <mc:Fallback>
            <w:pict>
              <v:group id="画布 2" o:spid="_x0000_s1026" o:spt="203" style="height:655.2pt;width:462.6pt;" coordsize="5875020,8321040" editas="canvas" o:gfxdata="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">
                <o:lock v:ext="edit" aspectratio="f"/>
                <v:shape id="画布 2" o:spid="_x0000_s1026" style="position:absolute;left:0;top:0;height:8321040;width:5875020;" filled="f" stroked="f" coordsize="21600,21600" o:gfxdata="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HU6rEbYAAAABgEAAA8AAAAAAAAAAQAgAAAAIgAAAGRycy9kb3ducmV2LnhtbFBLAQIUABQA&#10;AAAIAIdO4kAzSwNEDgUAAFAoAAAOAAAAAAAAAAEAIAAAACcBAABkcnMvZTJvRG9jLnhtbFBLBQYA&#10;AAAABgAGAFkBAACnCAAAAAA=&#10;">
                  <v:fill on="f" focussize="0,0"/>
                  <v:stroke on="f"/>
                  <v:imagedata o:title=""/>
                  <o:lock v:ext="edit" aspectratio="t"/>
                </v:shape>
                <v:shape id="Text Box 4" o:spid="_x0000_s1026" o:spt="202" type="#_x0000_t202" style="position:absolute;left:3057525;top:1562100;height:826770;width:1257300;" fillcolor="#FFFFFF" filled="t" stroked="t" coordsize="21600,21600" o:gfxdata="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MH&#10;vdcAAAAGAQAADwAAAAAAAAABACAAAAAiAAAAZHJzL2Rvd25yZXYueG1sUEsBAhQAFAAAAAgAh07i&#10;QP5gXTkjAgAAdAQAAA4AAAAAAAAAAQAgAAAAJgEAAGRycy9lMm9Eb2MueG1sUEsFBgAAAAAGAAYA&#10;WQEAALsFAAAAAA==&#10;">
                  <v:fill on="t" focussize="0,0"/>
                  <v:stroke color="#000000" joinstyle="miter"/>
                  <v:imagedata o:title=""/>
                  <o:lock v:ext="edit" aspectratio="f"/>
                  <v:textbox>
                    <w:txbxContent>
                      <w:p w14:paraId="678F06AC">
                        <w:pPr>
                          <w:rPr>
                            <w:rFonts w:ascii="宋体" w:hAnsi="宋体"/>
                            <w:sz w:val="24"/>
                            <w:szCs w:val="24"/>
                          </w:rPr>
                        </w:pPr>
                        <w:r>
                          <w:rPr>
                            <w:rFonts w:hint="eastAsia" w:ascii="宋体" w:hAnsi="宋体"/>
                            <w:sz w:val="24"/>
                            <w:szCs w:val="24"/>
                          </w:rPr>
                          <w:t>呈交每期资金使用计划</w:t>
                        </w:r>
                      </w:p>
                    </w:txbxContent>
                  </v:textbox>
                </v:shape>
                <v:shape id="Text Box 5" o:spid="_x0000_s1026" o:spt="202" type="#_x0000_t202" style="position:absolute;left:457835;top:1562100;height:396240;width:1417955;" fillcolor="#FFFFFF" filled="t" stroked="t" coordsize="21600,21600" o:gfxdata="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8KKQnUAAAABgEAAA8AAAAAAAAAAQAgAAAAIgAAAGRycy9k&#10;b3ducmV2LnhtbFBLAQIUABQAAAAIAIdO4kDbEKd1PwIAAKcEAAAOAAAAAAAAAAEAIAAAACMBAABk&#10;cnMvZTJvRG9jLnhtbFBLBQYAAAAABgAGAFkBAADUBQAAAAA=&#10;">
                  <v:fill on="t" focussize="0,0"/>
                  <v:stroke color="#000000" joinstyle="miter"/>
                  <v:imagedata o:title=""/>
                  <o:lock v:ext="edit" aspectratio="f"/>
                  <v:textbox inset="2.54mm,2mm,2.54mm,1.27mm">
                    <w:txbxContent>
                      <w:p w14:paraId="4E426B27">
                        <w:pPr>
                          <w:jc w:val="center"/>
                          <w:rPr>
                            <w:rFonts w:ascii="宋体" w:hAnsi="宋体"/>
                            <w:sz w:val="24"/>
                            <w:szCs w:val="24"/>
                          </w:rPr>
                        </w:pPr>
                        <w:r>
                          <w:rPr>
                            <w:rFonts w:hint="eastAsia" w:ascii="宋体" w:hAnsi="宋体"/>
                            <w:sz w:val="24"/>
                            <w:szCs w:val="24"/>
                          </w:rPr>
                          <w:t>施工单位</w:t>
                        </w:r>
                      </w:p>
                    </w:txbxContent>
                  </v:textbox>
                </v:shape>
                <v:shape id="Text Box 8" o:spid="_x0000_s1026" o:spt="202" type="#_x0000_t202" style="position:absolute;left:461645;top:2872740;height:513080;width:1481455;" fillcolor="#FFFFFF" filled="t" stroked="t" coordsize="21600,21600" o:gfxdata="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wopCdQAAAAGAQAADwAAAAAAAAABACAAAAAiAAAAZHJz&#10;L2Rvd25yZXYueG1sUEsBAhQAFAAAAAgAh07iQCI9kZJBAgAApwQAAA4AAAAAAAAAAQAgAAAAIwEA&#10;AGRycy9lMm9Eb2MueG1sUEsFBgAAAAAGAAYAWQEAANYFAAAAAA==&#10;">
                  <v:fill on="t" focussize="0,0"/>
                  <v:stroke color="#000000" joinstyle="miter"/>
                  <v:imagedata o:title=""/>
                  <o:lock v:ext="edit" aspectratio="f"/>
                  <v:textbox inset="2.54mm,2mm,2.54mm,1.27mm">
                    <w:txbxContent>
                      <w:p w14:paraId="53BCAE66">
                        <w:pPr>
                          <w:jc w:val="center"/>
                          <w:rPr>
                            <w:rFonts w:ascii="宋体" w:hAnsi="宋体"/>
                            <w:sz w:val="24"/>
                            <w:szCs w:val="24"/>
                          </w:rPr>
                        </w:pPr>
                        <w:r>
                          <w:rPr>
                            <w:rFonts w:hint="eastAsia" w:ascii="宋体" w:hAnsi="宋体"/>
                            <w:sz w:val="24"/>
                            <w:szCs w:val="24"/>
                          </w:rPr>
                          <w:t>发包人单位</w:t>
                        </w:r>
                      </w:p>
                      <w:p w14:paraId="2ECF4C7F">
                        <w:pPr>
                          <w:rPr>
                            <w:rFonts w:ascii="宋体" w:hAnsi="宋体"/>
                            <w:sz w:val="24"/>
                            <w:szCs w:val="24"/>
                          </w:rPr>
                        </w:pPr>
                      </w:p>
                    </w:txbxContent>
                  </v:textbox>
                </v:shape>
                <v:line id="Line 9" o:spid="_x0000_s1026" o:spt="20" style="position:absolute;left:1257300;top:3268980;height:693420;width:635;" filled="f" stroked="t" coordsize="21600,21600" o:gfxdata="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Fi6&#10;1dgAAAAGAQAADwAAAAAAAAABACAAAAAiAAAAZHJzL2Rvd25yZXYueG1sUEsBAhQAFAAAAAgAh07i&#10;QMS9KYPpAQAA3gMAAA4AAAAAAAAAAQAgAAAAJwEAAGRycy9lMm9Eb2MueG1sUEsFBgAAAAAGAAYA&#10;WQEAAIIFAAAAAA==&#10;">
                  <v:fill on="f" focussize="0,0"/>
                  <v:stroke color="#000000" joinstyle="round" endarrow="block"/>
                  <v:imagedata o:title=""/>
                  <o:lock v:ext="edit" aspectratio="f"/>
                </v:line>
                <v:line id="Line 10" o:spid="_x0000_s1026" o:spt="20" style="position:absolute;left:1257300;top:1981200;flip:x;height:891540;width:635;" filled="f" stroked="t" coordsize="21600,21600" o:gfxdata="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KHVkDXAAAABgEAAA8AAAAAAAAAAQAgAAAAIgAAAGRycy9kb3ducmV2LnhtbFBLAQIUABQAAAAI&#10;AIdO4kA3fjWE7gEAAOkDAAAOAAAAAAAAAAEAIAAAACYBAABkcnMvZTJvRG9jLnhtbFBLBQYAAAAA&#10;BgAGAFkBAACGBQAAAAA=&#10;">
                  <v:fill on="f" focussize="0,0"/>
                  <v:stroke color="#000000" joinstyle="round" endarrow="block"/>
                  <v:imagedata o:title=""/>
                  <o:lock v:ext="edit" aspectratio="f"/>
                </v:line>
                <v:line id="Line 12" o:spid="_x0000_s1026" o:spt="20" style="position:absolute;left:1881505;top:1760220;height:635;width:1176020;" filled="f" stroked="t" coordsize="21600,21600" o:gfxdata="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hYutXYAAAA&#10;BgEAAA8AAAAAAAAAAQAgAAAAIgAAAGRycy9kb3ducmV2LnhtbFBLAQIUABQAAAAIAIdO4kCJHjLE&#10;5AEAAOADAAAOAAAAAAAAAAEAIAAAACcBAABkcnMvZTJvRG9jLnhtbFBLBQYAAAAABgAGAFkBAAB9&#10;BQAAAAA=&#10;">
                  <v:fill on="f" focussize="0,0"/>
                  <v:stroke color="#000000" joinstyle="round" endarrow="block"/>
                  <v:imagedata o:title=""/>
                  <o:lock v:ext="edit" aspectratio="f"/>
                </v:line>
                <v:line id="Line 15" o:spid="_x0000_s1026" o:spt="20" style="position:absolute;left:1257300;top:3902710;height:1347470;width:635;" filled="f" stroked="t" coordsize="21600,21600" o:gfxdata="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LrV2AAAAAYBAAAPAAAAAAAAAAEAIAAAACIAAABkcnMvZG93bnJldi54bWxQSwECFAAUAAAACACH&#10;TuJAskXVMusBAADgAwAADgAAAAAAAAABACAAAAAnAQAAZHJzL2Uyb0RvYy54bWxQSwUGAAAAAAYA&#10;BgBZAQAAhAUAAAAA&#10;">
                  <v:fill on="f" focussize="0,0"/>
                  <v:stroke color="#000000" joinstyle="round" endarrow="block"/>
                  <v:imagedata o:title=""/>
                  <o:lock v:ext="edit" aspectratio="f"/>
                </v:line>
                <v:line id="Line 17" o:spid="_x0000_s1026" o:spt="20" style="position:absolute;left:1943100;top:3070860;height:635;width:1371600;" filled="f" stroked="t" coordsize="21600,21600" o:gfxdata="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hYutXY&#10;AAAABgEAAA8AAAAAAAAAAQAgAAAAIgAAAGRycy9kb3ducmV2LnhtbFBLAQIUABQAAAAIAIdO4kDZ&#10;WhgQ5wEAAOADAAAOAAAAAAAAAAEAIAAAACcBAABkcnMvZTJvRG9jLnhtbFBLBQYAAAAABgAGAFkB&#10;AACABQAAAAA=&#10;">
                  <v:fill on="f" focussize="0,0"/>
                  <v:stroke color="#000000" joinstyle="round" endarrow="block"/>
                  <v:imagedata o:title=""/>
                  <o:lock v:ext="edit" aspectratio="f"/>
                </v:line>
                <v:line id="Line 18" o:spid="_x0000_s1026" o:spt="20" style="position:absolute;left:1257300;top:4754880;height:635;width:1257300;" filled="f" stroked="t" coordsize="21600,21600" o:gfxdata="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Fi61dgAAAAG&#10;AQAADwAAAAAAAAABACAAAAAiAAAAZHJzL2Rvd25yZXYueG1sUEsBAhQAFAAAAAgAh07iQE2J+yfj&#10;AQAA4QMAAA4AAAAAAAAAAQAgAAAAJwEAAGRycy9lMm9Eb2MueG1sUEsFBgAAAAAGAAYAWQEAAHwF&#10;AAAAAA==&#10;">
                  <v:fill on="f" focussize="0,0"/>
                  <v:stroke color="#000000" joinstyle="round" endarrow="block"/>
                  <v:imagedata o:title=""/>
                  <o:lock v:ext="edit" aspectratio="f"/>
                </v:line>
                <v:shape id="Text Box 19" o:spid="_x0000_s1026" o:spt="202" type="#_x0000_t202" style="position:absolute;left:3314700;top:2872740;height:396240;width:1211580;" fillcolor="#FFFFFF" filled="t" stroked="t" coordsize="21600,21600" o:gfxdata="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wopCdQAAAAGAQAADwAAAAAAAAABACAAAAAiAAAAZHJz&#10;L2Rvd25yZXYueG1sUEsBAhQAFAAAAAgAh07iQHS3k3BBAgAAqgQAAA4AAAAAAAAAAQAgAAAAIwEA&#10;AGRycy9lMm9Eb2MueG1sUEsFBgAAAAAGAAYAWQEAANYFAAAAAA==&#10;">
                  <v:fill on="t" focussize="0,0"/>
                  <v:stroke color="#000000" joinstyle="miter"/>
                  <v:imagedata o:title=""/>
                  <o:lock v:ext="edit" aspectratio="f"/>
                  <v:textbox inset="2.54mm,2mm,2.54mm,1.27mm">
                    <w:txbxContent>
                      <w:p w14:paraId="705C9622">
                        <w:pPr>
                          <w:jc w:val="center"/>
                          <w:rPr>
                            <w:rFonts w:ascii="宋体" w:hAnsi="宋体"/>
                            <w:sz w:val="24"/>
                            <w:szCs w:val="24"/>
                          </w:rPr>
                        </w:pPr>
                        <w:r>
                          <w:rPr>
                            <w:rFonts w:hint="eastAsia" w:ascii="宋体" w:hAnsi="宋体"/>
                            <w:sz w:val="24"/>
                            <w:szCs w:val="24"/>
                          </w:rPr>
                          <w:t>资金使用审批</w:t>
                        </w:r>
                      </w:p>
                    </w:txbxContent>
                  </v:textbox>
                </v:shape>
                <v:line id="Line 20" o:spid="_x0000_s1026" o:spt="20" style="position:absolute;left:1943100;top:5448300;height:635;width:1371600;" filled="f" stroked="t" coordsize="21600,21600" o:gfxdata="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kTaQf1gAAAAYB&#10;AAAPAAAAAAAAAAEAIAAAACIAAABkcnMvZG93bnJldi54bWxQSwECFAAUAAAACACHTuJAxcVrneQB&#10;AADiAwAADgAAAAAAAAABACAAAAAlAQAAZHJzL2Uyb0RvYy54bWxQSwUGAAAAAAYABgBZAQAAewUA&#10;AAAA&#10;">
                  <v:fill on="f" focussize="0,0"/>
                  <v:stroke weight="1pt" color="#000000" joinstyle="round" endarrow="block"/>
                  <v:imagedata o:title=""/>
                  <o:lock v:ext="edit" aspectratio="f"/>
                </v:line>
                <v:shape id="Text Box 21" o:spid="_x0000_s1026" o:spt="202" type="#_x0000_t202" style="position:absolute;left:3657600;top:6637020;height:396240;width:1211580;" fillcolor="#FFFFFF" filled="t" stroked="t" coordsize="21600,21600" o:gfxdata="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8KKQnUAAAABgEAAA8AAAAAAAAAAQAgAAAAIgAAAGRy&#10;cy9kb3ducmV2LnhtbFBLAQIUABQAAAAIAIdO4kCLgFHKQgIAAKoEAAAOAAAAAAAAAAEAIAAAACMB&#10;AABkcnMvZTJvRG9jLnhtbFBLBQYAAAAABgAGAFkBAADXBQAAAAA=&#10;">
                  <v:fill on="t" focussize="0,0"/>
                  <v:stroke color="#000000" joinstyle="miter"/>
                  <v:imagedata o:title=""/>
                  <o:lock v:ext="edit" aspectratio="f"/>
                  <v:textbox inset="2.54mm,2mm,2.54mm,1.27mm">
                    <w:txbxContent>
                      <w:p w14:paraId="09D421FA">
                        <w:pPr>
                          <w:jc w:val="center"/>
                          <w:rPr>
                            <w:rFonts w:ascii="宋体" w:hAnsi="宋体"/>
                            <w:sz w:val="24"/>
                            <w:szCs w:val="24"/>
                          </w:rPr>
                        </w:pPr>
                        <w:r>
                          <w:rPr>
                            <w:rFonts w:hint="eastAsia" w:ascii="宋体" w:hAnsi="宋体"/>
                            <w:sz w:val="24"/>
                            <w:szCs w:val="24"/>
                          </w:rPr>
                          <w:t>资金支付</w:t>
                        </w:r>
                      </w:p>
                    </w:txbxContent>
                  </v:textbox>
                </v:shape>
                <v:shape id="Text Box 22" o:spid="_x0000_s1026" o:spt="202" type="#_x0000_t202" style="position:absolute;left:3314700;top:5052060;height:1188720;width:2286000;" fillcolor="#FFFFFF" filled="t" stroked="t" coordsize="21600,21600" o:gfxdata="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cJ0QrTAAAABgEAAA8AAAAAAAAAAQAgAAAAIgAAAGRy&#10;cy9kb3ducmV2LnhtbFBLAQIUABQAAAAIAIdO4kC9AiSYQwIAAKwEAAAOAAAAAAAAAAEAIAAAACIB&#10;AABkcnMvZTJvRG9jLnhtbFBLBQYAAAAABgAGAFkBAADXBQAAAAA=&#10;">
                  <v:fill on="t" focussize="0,0"/>
                  <v:stroke color="#000000" joinstyle="miter"/>
                  <v:imagedata o:title=""/>
                  <o:lock v:ext="edit" aspectratio="f"/>
                  <v:textbox inset="2.54mm,3.3mm,2.54mm,1.27mm">
                    <w:txbxContent>
                      <w:p w14:paraId="23D1680D">
                        <w:pPr>
                          <w:rPr>
                            <w:rFonts w:ascii="宋体" w:hAnsi="宋体"/>
                            <w:sz w:val="24"/>
                            <w:szCs w:val="24"/>
                          </w:rPr>
                        </w:pPr>
                        <w:r>
                          <w:rPr>
                            <w:rFonts w:hint="eastAsia" w:ascii="宋体" w:hAnsi="宋体"/>
                            <w:sz w:val="24"/>
                            <w:szCs w:val="24"/>
                          </w:rPr>
                          <w:t>监管银行实时监控施工单位资金流向，如出现异常，将反馈至业主单位，业主单位将要求参建单位纠正并采取补救措施</w:t>
                        </w:r>
                      </w:p>
                    </w:txbxContent>
                  </v:textbox>
                </v:shape>
                <v:rect id="Rectangle 26" o:spid="_x0000_s1026" o:spt="1" style="position:absolute;left:571500;top:5250180;height:396240;width:1371600;" fillcolor="#FFFFFF" filled="t" stroked="t" coordsize="21600,21600" o:gfxdata="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oWd63V&#10;AAAABgEAAA8AAAAAAAAAAQAgAAAAIgAAAGRycy9kb3ducmV2LnhtbFBLAQIUABQAAAAIAIdO4kD5&#10;NX5AIwIAAGwEAAAOAAAAAAAAAAEAIAAAACQBAABkcnMvZTJvRG9jLnhtbFBLBQYAAAAABgAGAFkB&#10;AAC5BQAAAAA=&#10;">
                  <v:fill on="t" focussize="0,0"/>
                  <v:stroke color="#000000" joinstyle="miter"/>
                  <v:imagedata o:title=""/>
                  <o:lock v:ext="edit" aspectratio="f"/>
                  <v:textbox>
                    <w:txbxContent>
                      <w:p w14:paraId="4E562795">
                        <w:pPr>
                          <w:ind w:firstLine="600" w:firstLineChars="250"/>
                          <w:rPr>
                            <w:rFonts w:ascii="宋体" w:hAnsi="宋体"/>
                            <w:sz w:val="24"/>
                            <w:szCs w:val="24"/>
                          </w:rPr>
                        </w:pPr>
                        <w:r>
                          <w:rPr>
                            <w:rFonts w:hint="eastAsia" w:ascii="宋体" w:hAnsi="宋体"/>
                            <w:sz w:val="24"/>
                            <w:szCs w:val="24"/>
                          </w:rPr>
                          <w:t>开户行</w:t>
                        </w:r>
                      </w:p>
                    </w:txbxContent>
                  </v:textbox>
                </v:rect>
                <v:line id="Line 27" o:spid="_x0000_s1026" o:spt="20" style="position:absolute;left:4343400;top:6240780;height:396240;width:635;" filled="f" stroked="t" coordsize="21600,21600" o:gfxdata="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Fi61dgA&#10;AAAGAQAADwAAAAAAAAABACAAAAAiAAAAZHJzL2Rvd25yZXYueG1sUEsBAhQAFAAAAAgAh07iQNAJ&#10;i7XmAQAA4AMAAA4AAAAAAAAAAQAgAAAAJwEAAGRycy9lMm9Eb2MueG1sUEsFBgAAAAAGAAYAWQEA&#10;AH8FAAAAAA==&#10;">
                  <v:fill on="f" focussize="0,0"/>
                  <v:stroke color="#000000" joinstyle="round" endarrow="block"/>
                  <v:imagedata o:title=""/>
                  <o:lock v:ext="edit" aspectratio="f"/>
                </v:line>
                <v:rect id="Rectangle 28" o:spid="_x0000_s1026" o:spt="1" style="position:absolute;left:2514600;top:4291330;height:661670;width:1510030;" fillcolor="#FFFFFF" filled="t" stroked="t" coordsize="21600,21600" o:gfxdata="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qFnet&#10;1QAAAAYBAAAPAAAAAAAAAAEAIAAAACIAAABkcnMvZG93bnJldi54bWxQSwECFAAUAAAACACHTuJA&#10;O0JcySQCAABsBAAADgAAAAAAAAABACAAAAAkAQAAZHJzL2Uyb0RvYy54bWxQSwUGAAAAAAYABgBZ&#10;AQAAugUAAAAA&#10;">
                  <v:fill on="t" focussize="0,0"/>
                  <v:stroke color="#000000" joinstyle="miter"/>
                  <v:imagedata o:title=""/>
                  <o:lock v:ext="edit" aspectratio="f"/>
                  <v:textbox>
                    <w:txbxContent>
                      <w:p w14:paraId="429D2754">
                        <w:r>
                          <w:rPr>
                            <w:rFonts w:hint="eastAsia"/>
                          </w:rPr>
                          <w:t>《电汇凭证》签名及盖章</w:t>
                        </w:r>
                      </w:p>
                    </w:txbxContent>
                  </v:textbox>
                </v:rect>
                <w10:wrap type="none"/>
                <w10:anchorlock/>
              </v:group>
            </w:pict>
          </mc:Fallback>
        </mc:AlternateContent>
      </w:r>
    </w:p>
    <w:p w14:paraId="68ACE6DC">
      <w:pPr>
        <w:pStyle w:val="46"/>
        <w:spacing w:after="0"/>
        <w:ind w:left="0" w:leftChars="0" w:firstLine="0" w:firstLineChars="0"/>
        <w:outlineLvl w:val="1"/>
        <w:rPr>
          <w:rFonts w:ascii="宋体" w:hAnsi="宋体"/>
        </w:rPr>
      </w:pPr>
      <w:bookmarkStart w:id="845" w:name="_Toc6595"/>
      <w:bookmarkStart w:id="846" w:name="_Toc30285"/>
      <w:bookmarkStart w:id="847" w:name="_Toc144746293"/>
      <w:bookmarkStart w:id="848" w:name="_Toc16109"/>
      <w:r>
        <w:rPr>
          <w:rFonts w:hint="eastAsia" w:ascii="宋体" w:hAnsi="宋体" w:cs="宋体"/>
          <w:snapToGrid w:val="0"/>
          <w:kern w:val="0"/>
          <w:sz w:val="24"/>
        </w:rPr>
        <w:t>附件1</w:t>
      </w:r>
      <w:r>
        <w:rPr>
          <w:rFonts w:hint="eastAsia" w:ascii="宋体" w:hAnsi="宋体" w:cs="宋体"/>
          <w:snapToGrid w:val="0"/>
          <w:kern w:val="0"/>
          <w:sz w:val="24"/>
          <w:lang w:val="en-US" w:eastAsia="zh-CN"/>
        </w:rPr>
        <w:t>8</w:t>
      </w:r>
      <w:r>
        <w:rPr>
          <w:rFonts w:hint="eastAsia" w:ascii="宋体" w:hAnsi="宋体" w:cs="宋体"/>
          <w:snapToGrid w:val="0"/>
          <w:kern w:val="0"/>
          <w:sz w:val="24"/>
        </w:rPr>
        <w:t>：</w:t>
      </w:r>
      <w:bookmarkEnd w:id="845"/>
      <w:bookmarkEnd w:id="846"/>
      <w:bookmarkEnd w:id="847"/>
      <w:bookmarkEnd w:id="848"/>
      <w:r>
        <w:rPr>
          <w:rFonts w:hint="eastAsia" w:ascii="宋体" w:hAnsi="宋体" w:cs="宋体"/>
          <w:snapToGrid w:val="0"/>
          <w:kern w:val="0"/>
          <w:sz w:val="24"/>
        </w:rPr>
        <w:t>专项计量计价约定</w:t>
      </w:r>
    </w:p>
    <w:p w14:paraId="171C46A9">
      <w:pPr>
        <w:pStyle w:val="46"/>
        <w:spacing w:after="0"/>
        <w:ind w:left="0" w:leftChars="0" w:firstLine="0" w:firstLineChars="0"/>
        <w:rPr>
          <w:rFonts w:ascii="宋体" w:hAnsi="宋体"/>
        </w:rPr>
      </w:pPr>
    </w:p>
    <w:p w14:paraId="249DEE88">
      <w:pPr>
        <w:pStyle w:val="46"/>
        <w:spacing w:after="0"/>
        <w:ind w:left="0" w:leftChars="0" w:firstLine="0" w:firstLineChars="0"/>
        <w:rPr>
          <w:rFonts w:ascii="宋体" w:hAnsi="宋体"/>
        </w:rPr>
      </w:pPr>
    </w:p>
    <w:p w14:paraId="56DDD38C">
      <w:pPr>
        <w:pStyle w:val="46"/>
        <w:spacing w:after="0"/>
        <w:ind w:left="0" w:leftChars="0" w:firstLine="0" w:firstLineChars="0"/>
        <w:rPr>
          <w:rFonts w:ascii="宋体" w:hAnsi="宋体"/>
        </w:rPr>
      </w:pPr>
    </w:p>
    <w:p w14:paraId="6CFAE15A">
      <w:pPr>
        <w:pStyle w:val="46"/>
        <w:spacing w:after="0"/>
        <w:ind w:left="0" w:leftChars="0" w:firstLine="0" w:firstLineChars="0"/>
        <w:rPr>
          <w:rFonts w:ascii="宋体" w:hAnsi="宋体"/>
        </w:rPr>
      </w:pPr>
    </w:p>
    <w:p w14:paraId="1354849C">
      <w:pPr>
        <w:pStyle w:val="46"/>
        <w:spacing w:after="0"/>
        <w:ind w:left="0" w:leftChars="0" w:firstLine="0" w:firstLineChars="0"/>
        <w:rPr>
          <w:rFonts w:ascii="宋体" w:hAnsi="宋体"/>
        </w:rPr>
      </w:pPr>
    </w:p>
    <w:p w14:paraId="60B8F107">
      <w:pPr>
        <w:pStyle w:val="46"/>
        <w:spacing w:after="0"/>
        <w:ind w:left="0" w:leftChars="0" w:firstLine="0" w:firstLineChars="0"/>
        <w:rPr>
          <w:rFonts w:ascii="宋体" w:hAnsi="宋体"/>
        </w:rPr>
      </w:pPr>
    </w:p>
    <w:p w14:paraId="02F031E2">
      <w:pPr>
        <w:pStyle w:val="46"/>
        <w:spacing w:after="0"/>
        <w:ind w:left="0" w:leftChars="0" w:firstLine="0" w:firstLineChars="0"/>
        <w:rPr>
          <w:rFonts w:ascii="宋体" w:hAnsi="宋体"/>
        </w:rPr>
      </w:pPr>
    </w:p>
    <w:p w14:paraId="2C73FD22">
      <w:pPr>
        <w:pStyle w:val="46"/>
        <w:spacing w:after="0"/>
        <w:ind w:left="0" w:leftChars="0" w:firstLine="0" w:firstLineChars="0"/>
        <w:rPr>
          <w:rFonts w:ascii="宋体" w:hAnsi="宋体"/>
        </w:rPr>
      </w:pPr>
    </w:p>
    <w:p w14:paraId="01644536">
      <w:pPr>
        <w:pStyle w:val="46"/>
        <w:spacing w:after="0"/>
        <w:ind w:left="0" w:leftChars="0" w:firstLine="0" w:firstLineChars="0"/>
        <w:rPr>
          <w:rFonts w:ascii="宋体" w:hAnsi="宋体"/>
        </w:rPr>
      </w:pPr>
    </w:p>
    <w:p w14:paraId="49615F7B">
      <w:pPr>
        <w:outlineLvl w:val="9"/>
        <w:rPr>
          <w:rFonts w:hint="eastAsia" w:ascii="宋体" w:hAnsi="宋体" w:cs="宋体"/>
          <w:snapToGrid w:val="0"/>
          <w:kern w:val="0"/>
          <w:sz w:val="24"/>
        </w:rPr>
      </w:pPr>
      <w:r>
        <w:rPr>
          <w:rFonts w:hint="eastAsia" w:ascii="宋体" w:hAnsi="宋体" w:cs="宋体"/>
          <w:snapToGrid w:val="0"/>
          <w:kern w:val="0"/>
          <w:sz w:val="24"/>
        </w:rPr>
        <w:br w:type="page"/>
      </w:r>
    </w:p>
    <w:p w14:paraId="45F3B31D">
      <w:pPr>
        <w:pStyle w:val="46"/>
        <w:spacing w:after="0"/>
        <w:ind w:left="0" w:leftChars="0" w:firstLine="0" w:firstLineChars="0"/>
        <w:rPr>
          <w:rFonts w:ascii="宋体" w:hAnsi="宋体"/>
        </w:rPr>
      </w:pPr>
    </w:p>
    <w:sectPr>
      <w:pgSz w:w="11906" w:h="16838"/>
      <w:pgMar w:top="1440" w:right="1134" w:bottom="1440" w:left="1417" w:header="851" w:footer="992" w:gutter="0"/>
      <w:cols w:space="72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Noto Sans Mono CJK JP Regular">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Noto Sans CJK JP Regular">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1B42">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400810" cy="220980"/>
              <wp:effectExtent l="0" t="0" r="0" b="0"/>
              <wp:wrapNone/>
              <wp:docPr id="26" name="文本框 2"/>
              <wp:cNvGraphicFramePr/>
              <a:graphic xmlns:a="http://schemas.openxmlformats.org/drawingml/2006/main">
                <a:graphicData uri="http://schemas.microsoft.com/office/word/2010/wordprocessingShape">
                  <wps:wsp>
                    <wps:cNvSpPr txBox="1"/>
                    <wps:spPr>
                      <a:xfrm>
                        <a:off x="0" y="0"/>
                        <a:ext cx="1400810" cy="220980"/>
                      </a:xfrm>
                      <a:prstGeom prst="rect">
                        <a:avLst/>
                      </a:prstGeom>
                      <a:noFill/>
                      <a:ln>
                        <a:noFill/>
                      </a:ln>
                    </wps:spPr>
                    <wps:txbx>
                      <w:txbxContent>
                        <w:p w14:paraId="784189AC">
                          <w:pPr>
                            <w:pStyle w:val="31"/>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226</w:t>
                          </w:r>
                          <w:r>
                            <w:fldChar w:fldCharType="end"/>
                          </w:r>
                          <w:r>
                            <w:t xml:space="preserve"> 页</w:t>
                          </w:r>
                        </w:p>
                      </w:txbxContent>
                    </wps:txbx>
                    <wps:bodyPr wrap="square" lIns="0" tIns="0" rIns="0" bIns="0"/>
                  </wps:wsp>
                </a:graphicData>
              </a:graphic>
            </wp:anchor>
          </w:drawing>
        </mc:Choice>
        <mc:Fallback>
          <w:pict>
            <v:shape id="文本框 2" o:spid="_x0000_s1026" o:spt="202" type="#_x0000_t202" style="position:absolute;left:0pt;margin-top:0pt;height:17.4pt;width:110.3pt;mso-position-horizontal:center;mso-position-horizontal-relative:margin;z-index:251661312;mso-width-relative:page;mso-height-relative:page;" filled="f" stroked="f" coordsize="21600,21600" o:gfxdata="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2201TUAAAABAEAAA8AAAAAAAAAAQAgAAAAIgAAAGRycy9kb3ducmV2LnhtbFBLAQIU&#10;ABQAAAAIAIdO4kAwXfw0vgEAAHUDAAAOAAAAAAAAAAEAIAAAACMBAABkcnMvZTJvRG9jLnhtbFBL&#10;BQYAAAAABgAGAFkBAABTBQAAAAA=&#10;">
              <v:fill on="f" focussize="0,0"/>
              <v:stroke on="f"/>
              <v:imagedata o:title=""/>
              <o:lock v:ext="edit" aspectratio="f"/>
              <v:textbox inset="0mm,0mm,0mm,0mm">
                <w:txbxContent>
                  <w:p w14:paraId="784189AC">
                    <w:pPr>
                      <w:pStyle w:val="31"/>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226</w:t>
                    </w:r>
                    <w:r>
                      <w:fldChar w:fldCharType="end"/>
                    </w:r>
                    <w:r>
                      <w:t xml:space="preserve"> 页</w:t>
                    </w:r>
                  </w:p>
                </w:txbxContent>
              </v:textbox>
            </v:shape>
          </w:pict>
        </mc:Fallback>
      </mc:AlternateContent>
    </w:r>
  </w:p>
  <w:p w14:paraId="0175B4A6">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FCDCD">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6890D266">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216</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219</w:t>
                          </w:r>
                          <w:r>
                            <w:rPr>
                              <w:sz w:val="18"/>
                            </w:rPr>
                            <w:fldChar w:fldCharType="end"/>
                          </w:r>
                          <w:r>
                            <w:rPr>
                              <w:sz w:val="18"/>
                            </w:rPr>
                            <w:t xml:space="preserve"> 页</w:t>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FWH+ncPAgAAEAQAAA4AAAAAAAAAAQAgAAAA&#10;HwEAAGRycy9lMm9Eb2MueG1sUEsFBgAAAAAGAAYAWQEAAKAFAAAAAA==&#10;">
              <v:fill on="f" focussize="0,0"/>
              <v:stroke on="f"/>
              <v:imagedata o:title=""/>
              <o:lock v:ext="edit" aspectratio="f"/>
              <v:textbox inset="0mm,0mm,0mm,0mm" style="mso-fit-shape-to-text:t;">
                <w:txbxContent>
                  <w:p w14:paraId="6890D266">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216</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219</w:t>
                    </w:r>
                    <w:r>
                      <w:rPr>
                        <w:sz w:val="18"/>
                      </w:rPr>
                      <w:fldChar w:fldCharType="end"/>
                    </w:r>
                    <w:r>
                      <w:rPr>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E639B">
    <w:pPr>
      <w:pStyle w:val="3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27"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2EDF9613">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226</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226</w:t>
                          </w:r>
                          <w:r>
                            <w:rPr>
                              <w:sz w:val="18"/>
                            </w:rPr>
                            <w:fldChar w:fldCharType="end"/>
                          </w:r>
                          <w:r>
                            <w:rPr>
                              <w:sz w:val="18"/>
                            </w:rPr>
                            <w:t xml:space="preserve"> 页</w:t>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L3UTQAAAAAgEAAA8AAAAAAAAAAQAgAAAAIgAA&#10;AGRycy9kb3ducmV2LnhtbFBLAQIUABQAAAAIAIdO4kD1uBQMEAIAABAEAAAOAAAAAAAAAAEAIAAA&#10;AB8BAABkcnMvZTJvRG9jLnhtbFBLBQYAAAAABgAGAFkBAAChBQAAAAA=&#10;">
              <v:fill on="f" focussize="0,0"/>
              <v:stroke on="f"/>
              <v:imagedata o:title=""/>
              <o:lock v:ext="edit" aspectratio="f"/>
              <v:textbox inset="0mm,0mm,0mm,0mm" style="mso-fit-shape-to-text:t;">
                <w:txbxContent>
                  <w:p w14:paraId="2EDF9613">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226</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226</w:t>
                    </w:r>
                    <w:r>
                      <w:rPr>
                        <w:sz w:val="18"/>
                      </w:rPr>
                      <w:fldChar w:fldCharType="end"/>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E07E5">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4D6EF">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A2AC0"/>
    <w:multiLevelType w:val="singleLevel"/>
    <w:tmpl w:val="A0EA2AC0"/>
    <w:lvl w:ilvl="0" w:tentative="0">
      <w:start w:val="1"/>
      <w:numFmt w:val="decimal"/>
      <w:suff w:val="nothing"/>
      <w:lvlText w:val="（%1）"/>
      <w:lvlJc w:val="left"/>
    </w:lvl>
  </w:abstractNum>
  <w:abstractNum w:abstractNumId="1">
    <w:nsid w:val="DDE82B89"/>
    <w:multiLevelType w:val="singleLevel"/>
    <w:tmpl w:val="DDE82B89"/>
    <w:lvl w:ilvl="0" w:tentative="0">
      <w:start w:val="1"/>
      <w:numFmt w:val="decimal"/>
      <w:suff w:val="nothing"/>
      <w:lvlText w:val="（%1）"/>
      <w:lvlJc w:val="left"/>
    </w:lvl>
  </w:abstractNum>
  <w:abstractNum w:abstractNumId="2">
    <w:nsid w:val="00000004"/>
    <w:multiLevelType w:val="multilevel"/>
    <w:tmpl w:val="00000004"/>
    <w:lvl w:ilvl="0" w:tentative="0">
      <w:start w:val="1"/>
      <w:numFmt w:val="chineseCountingThousand"/>
      <w:pStyle w:val="175"/>
      <w:suff w:val="nothing"/>
      <w:lvlText w:val="第%1章  "/>
      <w:lvlJc w:val="left"/>
      <w:pPr>
        <w:ind w:left="0" w:firstLine="0"/>
      </w:pPr>
      <w:rPr>
        <w:rFonts w:hint="eastAsia" w:eastAsia="黑体"/>
        <w:b w:val="0"/>
        <w:i w:val="0"/>
        <w:sz w:val="21"/>
        <w:lang w:val="en-US"/>
      </w:rPr>
    </w:lvl>
    <w:lvl w:ilvl="1" w:tentative="0">
      <w:start w:val="1"/>
      <w:numFmt w:val="decimal"/>
      <w:pStyle w:val="194"/>
      <w:isLgl/>
      <w:suff w:val="space"/>
      <w:lvlText w:val="%1.%2  "/>
      <w:lvlJc w:val="left"/>
      <w:pPr>
        <w:ind w:left="0" w:firstLine="0"/>
      </w:pPr>
      <w:rPr>
        <w:rFonts w:hint="eastAsia" w:ascii="黑体" w:hAnsi="宋体" w:eastAsia="黑体"/>
        <w:b w:val="0"/>
        <w:i w:val="0"/>
        <w:sz w:val="21"/>
      </w:rPr>
    </w:lvl>
    <w:lvl w:ilvl="2" w:tentative="0">
      <w:start w:val="1"/>
      <w:numFmt w:val="decimal"/>
      <w:pStyle w:val="189"/>
      <w:isLgl/>
      <w:suff w:val="nothing"/>
      <w:lvlText w:val="%1.%2.%3  "/>
      <w:lvlJc w:val="left"/>
      <w:pPr>
        <w:ind w:left="0" w:firstLine="0"/>
      </w:pPr>
      <w:rPr>
        <w:rFonts w:hint="eastAsia" w:ascii="黑体" w:hAnsi="宋体" w:eastAsia="黑体"/>
        <w:b w:val="0"/>
        <w:i w:val="0"/>
        <w:sz w:val="21"/>
      </w:rPr>
    </w:lvl>
    <w:lvl w:ilvl="3" w:tentative="0">
      <w:start w:val="1"/>
      <w:numFmt w:val="decimal"/>
      <w:isLgl/>
      <w:suff w:val="nothing"/>
      <w:lvlText w:val="%1.%2.%3.%4  "/>
      <w:lvlJc w:val="left"/>
      <w:pPr>
        <w:ind w:left="0" w:firstLine="0"/>
      </w:pPr>
      <w:rPr>
        <w:rFonts w:hint="eastAsia" w:ascii="黑体" w:hAnsi="宋体" w:eastAsia="黑体"/>
        <w:b w:val="0"/>
        <w:i w:val="0"/>
        <w:sz w:val="28"/>
      </w:rPr>
    </w:lvl>
    <w:lvl w:ilvl="4" w:tentative="0">
      <w:start w:val="1"/>
      <w:numFmt w:val="decimal"/>
      <w:isLgl/>
      <w:suff w:val="nothing"/>
      <w:lvlText w:val="表%1.%2-%5  "/>
      <w:lvlJc w:val="left"/>
      <w:pPr>
        <w:ind w:left="0" w:firstLine="0"/>
      </w:pPr>
      <w:rPr>
        <w:rFonts w:hint="eastAsia" w:ascii="黑体" w:eastAsia="黑体"/>
        <w:b w:val="0"/>
        <w:i w:val="0"/>
        <w:sz w:val="21"/>
      </w:rPr>
    </w:lvl>
    <w:lvl w:ilvl="5" w:tentative="0">
      <w:start w:val="1"/>
      <w:numFmt w:val="decimal"/>
      <w:isLgl/>
      <w:suff w:val="nothing"/>
      <w:lvlText w:val="图%1.%2-%6  "/>
      <w:lvlJc w:val="left"/>
      <w:pPr>
        <w:ind w:left="0" w:firstLine="0"/>
      </w:pPr>
      <w:rPr>
        <w:rFonts w:hint="eastAsia" w:ascii="黑体" w:eastAsia="黑体"/>
        <w:b w:val="0"/>
        <w:i w:val="0"/>
        <w:sz w:val="21"/>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0038148E"/>
    <w:multiLevelType w:val="multilevel"/>
    <w:tmpl w:val="0038148E"/>
    <w:lvl w:ilvl="0" w:tentative="0">
      <w:start w:val="6"/>
      <w:numFmt w:val="japaneseCounting"/>
      <w:lvlText w:val="第%1章"/>
      <w:lvlJc w:val="left"/>
      <w:pPr>
        <w:tabs>
          <w:tab w:val="left" w:pos="1755"/>
        </w:tabs>
        <w:ind w:left="1755" w:hanging="17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A068829"/>
    <w:multiLevelType w:val="singleLevel"/>
    <w:tmpl w:val="0A068829"/>
    <w:lvl w:ilvl="0" w:tentative="0">
      <w:start w:val="12"/>
      <w:numFmt w:val="decimal"/>
      <w:lvlText w:val="(%1)"/>
      <w:lvlJc w:val="left"/>
      <w:pPr>
        <w:tabs>
          <w:tab w:val="left" w:pos="312"/>
        </w:tabs>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6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0YzBhYTk1M2E2NzZlZWNhNTMxMGM2NTY2MzIwZTMifQ=="/>
  </w:docVars>
  <w:rsids>
    <w:rsidRoot w:val="00F145AE"/>
    <w:rsid w:val="0000025E"/>
    <w:rsid w:val="00000B26"/>
    <w:rsid w:val="00001BA5"/>
    <w:rsid w:val="00001C02"/>
    <w:rsid w:val="00002983"/>
    <w:rsid w:val="00004717"/>
    <w:rsid w:val="00005CD6"/>
    <w:rsid w:val="00005F15"/>
    <w:rsid w:val="000067D6"/>
    <w:rsid w:val="00011086"/>
    <w:rsid w:val="00012551"/>
    <w:rsid w:val="0001368D"/>
    <w:rsid w:val="00013851"/>
    <w:rsid w:val="00013924"/>
    <w:rsid w:val="00013F84"/>
    <w:rsid w:val="0001461A"/>
    <w:rsid w:val="0001508D"/>
    <w:rsid w:val="00015EC3"/>
    <w:rsid w:val="00021A0E"/>
    <w:rsid w:val="00021D2E"/>
    <w:rsid w:val="00023560"/>
    <w:rsid w:val="00023996"/>
    <w:rsid w:val="00023DAF"/>
    <w:rsid w:val="00023DE2"/>
    <w:rsid w:val="00024925"/>
    <w:rsid w:val="00024CE3"/>
    <w:rsid w:val="000251C8"/>
    <w:rsid w:val="0002617B"/>
    <w:rsid w:val="00026355"/>
    <w:rsid w:val="00027917"/>
    <w:rsid w:val="00027E97"/>
    <w:rsid w:val="00030216"/>
    <w:rsid w:val="00030345"/>
    <w:rsid w:val="00030DA1"/>
    <w:rsid w:val="00031D51"/>
    <w:rsid w:val="0003215C"/>
    <w:rsid w:val="00032212"/>
    <w:rsid w:val="000324CA"/>
    <w:rsid w:val="0003274F"/>
    <w:rsid w:val="00034FDA"/>
    <w:rsid w:val="00035545"/>
    <w:rsid w:val="00036C74"/>
    <w:rsid w:val="00040F51"/>
    <w:rsid w:val="00041358"/>
    <w:rsid w:val="00042138"/>
    <w:rsid w:val="00042CA3"/>
    <w:rsid w:val="000449E0"/>
    <w:rsid w:val="0004512C"/>
    <w:rsid w:val="00045227"/>
    <w:rsid w:val="000472A0"/>
    <w:rsid w:val="000478C0"/>
    <w:rsid w:val="00047A0F"/>
    <w:rsid w:val="00047FA2"/>
    <w:rsid w:val="00047FD7"/>
    <w:rsid w:val="00047FFE"/>
    <w:rsid w:val="000518F0"/>
    <w:rsid w:val="000523BC"/>
    <w:rsid w:val="00052E8F"/>
    <w:rsid w:val="0005317E"/>
    <w:rsid w:val="00053470"/>
    <w:rsid w:val="00053B0C"/>
    <w:rsid w:val="00053BB2"/>
    <w:rsid w:val="00054E78"/>
    <w:rsid w:val="00055CC0"/>
    <w:rsid w:val="00055FD7"/>
    <w:rsid w:val="00060E77"/>
    <w:rsid w:val="000611A5"/>
    <w:rsid w:val="000616C5"/>
    <w:rsid w:val="00061F90"/>
    <w:rsid w:val="000632A6"/>
    <w:rsid w:val="000634AB"/>
    <w:rsid w:val="0006364E"/>
    <w:rsid w:val="00063E9A"/>
    <w:rsid w:val="000651A9"/>
    <w:rsid w:val="0006608F"/>
    <w:rsid w:val="00066EAA"/>
    <w:rsid w:val="00067370"/>
    <w:rsid w:val="00067986"/>
    <w:rsid w:val="000715F0"/>
    <w:rsid w:val="00071C76"/>
    <w:rsid w:val="0007250B"/>
    <w:rsid w:val="00072A4D"/>
    <w:rsid w:val="00072B8A"/>
    <w:rsid w:val="00073A34"/>
    <w:rsid w:val="00074177"/>
    <w:rsid w:val="000743CE"/>
    <w:rsid w:val="000754E5"/>
    <w:rsid w:val="00075ADF"/>
    <w:rsid w:val="00076AAF"/>
    <w:rsid w:val="00076CE1"/>
    <w:rsid w:val="00076FC6"/>
    <w:rsid w:val="00077AF3"/>
    <w:rsid w:val="00077EEB"/>
    <w:rsid w:val="00080B9B"/>
    <w:rsid w:val="00081E5F"/>
    <w:rsid w:val="0008304D"/>
    <w:rsid w:val="000842F0"/>
    <w:rsid w:val="000843D5"/>
    <w:rsid w:val="000849E4"/>
    <w:rsid w:val="00084A3A"/>
    <w:rsid w:val="00084A58"/>
    <w:rsid w:val="00084B11"/>
    <w:rsid w:val="00085751"/>
    <w:rsid w:val="00086F38"/>
    <w:rsid w:val="00087ACD"/>
    <w:rsid w:val="000906D3"/>
    <w:rsid w:val="0009090A"/>
    <w:rsid w:val="00092D16"/>
    <w:rsid w:val="0009323A"/>
    <w:rsid w:val="00093D98"/>
    <w:rsid w:val="000975C9"/>
    <w:rsid w:val="00097C13"/>
    <w:rsid w:val="000A0F41"/>
    <w:rsid w:val="000A24DB"/>
    <w:rsid w:val="000A250D"/>
    <w:rsid w:val="000A28BF"/>
    <w:rsid w:val="000A34C5"/>
    <w:rsid w:val="000A3AE4"/>
    <w:rsid w:val="000A46ED"/>
    <w:rsid w:val="000A4744"/>
    <w:rsid w:val="000A500A"/>
    <w:rsid w:val="000A5038"/>
    <w:rsid w:val="000A5738"/>
    <w:rsid w:val="000A59E1"/>
    <w:rsid w:val="000A60F1"/>
    <w:rsid w:val="000A62A8"/>
    <w:rsid w:val="000A7202"/>
    <w:rsid w:val="000A72B3"/>
    <w:rsid w:val="000A7DA8"/>
    <w:rsid w:val="000B00E8"/>
    <w:rsid w:val="000B0166"/>
    <w:rsid w:val="000B0AB6"/>
    <w:rsid w:val="000B140E"/>
    <w:rsid w:val="000B1792"/>
    <w:rsid w:val="000B3E2A"/>
    <w:rsid w:val="000B4D00"/>
    <w:rsid w:val="000B5278"/>
    <w:rsid w:val="000B5673"/>
    <w:rsid w:val="000B677A"/>
    <w:rsid w:val="000C08C7"/>
    <w:rsid w:val="000C0FD7"/>
    <w:rsid w:val="000C1449"/>
    <w:rsid w:val="000C1637"/>
    <w:rsid w:val="000C281E"/>
    <w:rsid w:val="000C2C78"/>
    <w:rsid w:val="000C3FA3"/>
    <w:rsid w:val="000C4359"/>
    <w:rsid w:val="000C4461"/>
    <w:rsid w:val="000C51B0"/>
    <w:rsid w:val="000C5E12"/>
    <w:rsid w:val="000C5FE2"/>
    <w:rsid w:val="000C60DB"/>
    <w:rsid w:val="000C61BA"/>
    <w:rsid w:val="000C68A1"/>
    <w:rsid w:val="000C6D55"/>
    <w:rsid w:val="000C739E"/>
    <w:rsid w:val="000C7981"/>
    <w:rsid w:val="000C7ABF"/>
    <w:rsid w:val="000C7F85"/>
    <w:rsid w:val="000D1203"/>
    <w:rsid w:val="000D13B1"/>
    <w:rsid w:val="000D210E"/>
    <w:rsid w:val="000D2BED"/>
    <w:rsid w:val="000D3164"/>
    <w:rsid w:val="000D378B"/>
    <w:rsid w:val="000D4F00"/>
    <w:rsid w:val="000D63AC"/>
    <w:rsid w:val="000D6E2F"/>
    <w:rsid w:val="000D7258"/>
    <w:rsid w:val="000E06DA"/>
    <w:rsid w:val="000E0EB5"/>
    <w:rsid w:val="000E1AFB"/>
    <w:rsid w:val="000E2BBD"/>
    <w:rsid w:val="000E3AD9"/>
    <w:rsid w:val="000E3F39"/>
    <w:rsid w:val="000E43C6"/>
    <w:rsid w:val="000E48E9"/>
    <w:rsid w:val="000E4B1D"/>
    <w:rsid w:val="000E51AB"/>
    <w:rsid w:val="000E6707"/>
    <w:rsid w:val="000E6AFD"/>
    <w:rsid w:val="000E6BE6"/>
    <w:rsid w:val="000E7603"/>
    <w:rsid w:val="000F0D56"/>
    <w:rsid w:val="000F223F"/>
    <w:rsid w:val="000F37C7"/>
    <w:rsid w:val="000F3C41"/>
    <w:rsid w:val="000F3E70"/>
    <w:rsid w:val="000F4247"/>
    <w:rsid w:val="000F48DA"/>
    <w:rsid w:val="000F5C64"/>
    <w:rsid w:val="000F66EB"/>
    <w:rsid w:val="000F70A4"/>
    <w:rsid w:val="000F7FA7"/>
    <w:rsid w:val="00101C13"/>
    <w:rsid w:val="001020E4"/>
    <w:rsid w:val="00102267"/>
    <w:rsid w:val="001022A7"/>
    <w:rsid w:val="00102359"/>
    <w:rsid w:val="001023FE"/>
    <w:rsid w:val="0010276B"/>
    <w:rsid w:val="001027F6"/>
    <w:rsid w:val="00102F82"/>
    <w:rsid w:val="00103283"/>
    <w:rsid w:val="00103872"/>
    <w:rsid w:val="001045E3"/>
    <w:rsid w:val="00104EB7"/>
    <w:rsid w:val="00105194"/>
    <w:rsid w:val="001058D1"/>
    <w:rsid w:val="00105CB4"/>
    <w:rsid w:val="00110025"/>
    <w:rsid w:val="001101D2"/>
    <w:rsid w:val="001107A1"/>
    <w:rsid w:val="00112196"/>
    <w:rsid w:val="00112625"/>
    <w:rsid w:val="001127B3"/>
    <w:rsid w:val="00112C4A"/>
    <w:rsid w:val="00112EE5"/>
    <w:rsid w:val="001135D8"/>
    <w:rsid w:val="00113632"/>
    <w:rsid w:val="00113654"/>
    <w:rsid w:val="001138E8"/>
    <w:rsid w:val="0011516F"/>
    <w:rsid w:val="001152A6"/>
    <w:rsid w:val="00115DDF"/>
    <w:rsid w:val="00117690"/>
    <w:rsid w:val="001176E5"/>
    <w:rsid w:val="00117A9B"/>
    <w:rsid w:val="00117EA9"/>
    <w:rsid w:val="00121D88"/>
    <w:rsid w:val="00122088"/>
    <w:rsid w:val="00122B52"/>
    <w:rsid w:val="00123151"/>
    <w:rsid w:val="00123D1B"/>
    <w:rsid w:val="00124773"/>
    <w:rsid w:val="001247A9"/>
    <w:rsid w:val="00124AF2"/>
    <w:rsid w:val="001258CE"/>
    <w:rsid w:val="00125951"/>
    <w:rsid w:val="001259D5"/>
    <w:rsid w:val="00125A16"/>
    <w:rsid w:val="00125C5B"/>
    <w:rsid w:val="001267E6"/>
    <w:rsid w:val="0012717A"/>
    <w:rsid w:val="00127922"/>
    <w:rsid w:val="00127D42"/>
    <w:rsid w:val="00130634"/>
    <w:rsid w:val="00131F35"/>
    <w:rsid w:val="001321AD"/>
    <w:rsid w:val="001328F5"/>
    <w:rsid w:val="0013321B"/>
    <w:rsid w:val="001332DD"/>
    <w:rsid w:val="001333F9"/>
    <w:rsid w:val="001338BA"/>
    <w:rsid w:val="00133DF0"/>
    <w:rsid w:val="00135931"/>
    <w:rsid w:val="00135932"/>
    <w:rsid w:val="001369B4"/>
    <w:rsid w:val="0013718C"/>
    <w:rsid w:val="00137571"/>
    <w:rsid w:val="00137603"/>
    <w:rsid w:val="00137686"/>
    <w:rsid w:val="001405A3"/>
    <w:rsid w:val="00140B38"/>
    <w:rsid w:val="00140C4E"/>
    <w:rsid w:val="00140D62"/>
    <w:rsid w:val="00141604"/>
    <w:rsid w:val="00141972"/>
    <w:rsid w:val="00141B69"/>
    <w:rsid w:val="00142145"/>
    <w:rsid w:val="00142846"/>
    <w:rsid w:val="00142ED2"/>
    <w:rsid w:val="001434D5"/>
    <w:rsid w:val="0014377C"/>
    <w:rsid w:val="00143CF0"/>
    <w:rsid w:val="00145032"/>
    <w:rsid w:val="001468A2"/>
    <w:rsid w:val="0015079A"/>
    <w:rsid w:val="0015097F"/>
    <w:rsid w:val="00150BDA"/>
    <w:rsid w:val="00151959"/>
    <w:rsid w:val="00152DE1"/>
    <w:rsid w:val="001530D1"/>
    <w:rsid w:val="00153343"/>
    <w:rsid w:val="00154773"/>
    <w:rsid w:val="00156958"/>
    <w:rsid w:val="00157AAA"/>
    <w:rsid w:val="00157BD9"/>
    <w:rsid w:val="001600B8"/>
    <w:rsid w:val="001627DB"/>
    <w:rsid w:val="00163838"/>
    <w:rsid w:val="00164461"/>
    <w:rsid w:val="001647A4"/>
    <w:rsid w:val="00164D7F"/>
    <w:rsid w:val="00165123"/>
    <w:rsid w:val="00167233"/>
    <w:rsid w:val="00171B9D"/>
    <w:rsid w:val="00171EB7"/>
    <w:rsid w:val="00172411"/>
    <w:rsid w:val="00172A27"/>
    <w:rsid w:val="00172C08"/>
    <w:rsid w:val="00173648"/>
    <w:rsid w:val="00173ED6"/>
    <w:rsid w:val="001740B9"/>
    <w:rsid w:val="001746A5"/>
    <w:rsid w:val="0017508C"/>
    <w:rsid w:val="0017577D"/>
    <w:rsid w:val="00175C8B"/>
    <w:rsid w:val="00176021"/>
    <w:rsid w:val="00176138"/>
    <w:rsid w:val="001763E1"/>
    <w:rsid w:val="00177091"/>
    <w:rsid w:val="00180EB9"/>
    <w:rsid w:val="00182EA0"/>
    <w:rsid w:val="00185B33"/>
    <w:rsid w:val="00187E9E"/>
    <w:rsid w:val="0019049A"/>
    <w:rsid w:val="00191513"/>
    <w:rsid w:val="0019183A"/>
    <w:rsid w:val="0019234F"/>
    <w:rsid w:val="0019447C"/>
    <w:rsid w:val="001944A7"/>
    <w:rsid w:val="0019452D"/>
    <w:rsid w:val="001960B0"/>
    <w:rsid w:val="00197C17"/>
    <w:rsid w:val="001A02BD"/>
    <w:rsid w:val="001A1407"/>
    <w:rsid w:val="001A27B5"/>
    <w:rsid w:val="001A285A"/>
    <w:rsid w:val="001A33C3"/>
    <w:rsid w:val="001A3534"/>
    <w:rsid w:val="001A5150"/>
    <w:rsid w:val="001A68CF"/>
    <w:rsid w:val="001A75AE"/>
    <w:rsid w:val="001A7A41"/>
    <w:rsid w:val="001A7D1C"/>
    <w:rsid w:val="001A7FC0"/>
    <w:rsid w:val="001B08ED"/>
    <w:rsid w:val="001B1160"/>
    <w:rsid w:val="001B23DE"/>
    <w:rsid w:val="001B32DD"/>
    <w:rsid w:val="001B359F"/>
    <w:rsid w:val="001B3D13"/>
    <w:rsid w:val="001B4165"/>
    <w:rsid w:val="001B565C"/>
    <w:rsid w:val="001B567B"/>
    <w:rsid w:val="001B582E"/>
    <w:rsid w:val="001B5871"/>
    <w:rsid w:val="001B5CA9"/>
    <w:rsid w:val="001B6496"/>
    <w:rsid w:val="001B6CA9"/>
    <w:rsid w:val="001B6DFF"/>
    <w:rsid w:val="001C1584"/>
    <w:rsid w:val="001C2FE2"/>
    <w:rsid w:val="001C3173"/>
    <w:rsid w:val="001C31FF"/>
    <w:rsid w:val="001C3E40"/>
    <w:rsid w:val="001C44A0"/>
    <w:rsid w:val="001C562E"/>
    <w:rsid w:val="001C6123"/>
    <w:rsid w:val="001C6216"/>
    <w:rsid w:val="001C6DF3"/>
    <w:rsid w:val="001C6F6B"/>
    <w:rsid w:val="001D008F"/>
    <w:rsid w:val="001D01D2"/>
    <w:rsid w:val="001D1206"/>
    <w:rsid w:val="001D1549"/>
    <w:rsid w:val="001D1A25"/>
    <w:rsid w:val="001D1C41"/>
    <w:rsid w:val="001D4622"/>
    <w:rsid w:val="001D4CBD"/>
    <w:rsid w:val="001D639D"/>
    <w:rsid w:val="001D6713"/>
    <w:rsid w:val="001D7822"/>
    <w:rsid w:val="001E04D3"/>
    <w:rsid w:val="001E134E"/>
    <w:rsid w:val="001E1AFA"/>
    <w:rsid w:val="001E1FB7"/>
    <w:rsid w:val="001E28AC"/>
    <w:rsid w:val="001E2B9A"/>
    <w:rsid w:val="001E3360"/>
    <w:rsid w:val="001E5257"/>
    <w:rsid w:val="001E5269"/>
    <w:rsid w:val="001E5D52"/>
    <w:rsid w:val="001E71E9"/>
    <w:rsid w:val="001E76CA"/>
    <w:rsid w:val="001E782B"/>
    <w:rsid w:val="001E7C39"/>
    <w:rsid w:val="001E7F95"/>
    <w:rsid w:val="001F009F"/>
    <w:rsid w:val="001F108B"/>
    <w:rsid w:val="001F1824"/>
    <w:rsid w:val="001F19C1"/>
    <w:rsid w:val="001F308C"/>
    <w:rsid w:val="001F30AC"/>
    <w:rsid w:val="001F3336"/>
    <w:rsid w:val="001F37E7"/>
    <w:rsid w:val="001F4ECD"/>
    <w:rsid w:val="001F5255"/>
    <w:rsid w:val="001F5A56"/>
    <w:rsid w:val="001F614B"/>
    <w:rsid w:val="001F61C4"/>
    <w:rsid w:val="001F635A"/>
    <w:rsid w:val="001F75B7"/>
    <w:rsid w:val="001F7B43"/>
    <w:rsid w:val="00200A8D"/>
    <w:rsid w:val="002017F2"/>
    <w:rsid w:val="002029E7"/>
    <w:rsid w:val="00207EAB"/>
    <w:rsid w:val="002104AD"/>
    <w:rsid w:val="002104FD"/>
    <w:rsid w:val="00210C86"/>
    <w:rsid w:val="002110A5"/>
    <w:rsid w:val="00211958"/>
    <w:rsid w:val="00211F17"/>
    <w:rsid w:val="00211FE8"/>
    <w:rsid w:val="00212FDC"/>
    <w:rsid w:val="0021329E"/>
    <w:rsid w:val="002141C3"/>
    <w:rsid w:val="00214634"/>
    <w:rsid w:val="00215FE6"/>
    <w:rsid w:val="002163AD"/>
    <w:rsid w:val="00216823"/>
    <w:rsid w:val="00216EDA"/>
    <w:rsid w:val="00217509"/>
    <w:rsid w:val="00217A8C"/>
    <w:rsid w:val="00220B67"/>
    <w:rsid w:val="0022101E"/>
    <w:rsid w:val="00221EBB"/>
    <w:rsid w:val="00224A5C"/>
    <w:rsid w:val="00224ABD"/>
    <w:rsid w:val="002255F0"/>
    <w:rsid w:val="00226098"/>
    <w:rsid w:val="002260E8"/>
    <w:rsid w:val="00226E2D"/>
    <w:rsid w:val="00227216"/>
    <w:rsid w:val="0022751D"/>
    <w:rsid w:val="00227EBF"/>
    <w:rsid w:val="00227F48"/>
    <w:rsid w:val="0023154E"/>
    <w:rsid w:val="0023315D"/>
    <w:rsid w:val="002337FA"/>
    <w:rsid w:val="00233A68"/>
    <w:rsid w:val="00234102"/>
    <w:rsid w:val="0023512E"/>
    <w:rsid w:val="0023528D"/>
    <w:rsid w:val="00235513"/>
    <w:rsid w:val="0023627B"/>
    <w:rsid w:val="002363EF"/>
    <w:rsid w:val="002364AB"/>
    <w:rsid w:val="0023660B"/>
    <w:rsid w:val="00236E63"/>
    <w:rsid w:val="002407DC"/>
    <w:rsid w:val="00240D30"/>
    <w:rsid w:val="00241C71"/>
    <w:rsid w:val="00242182"/>
    <w:rsid w:val="00242C6D"/>
    <w:rsid w:val="00242F1C"/>
    <w:rsid w:val="0024330B"/>
    <w:rsid w:val="00243E83"/>
    <w:rsid w:val="0024431C"/>
    <w:rsid w:val="00244FC9"/>
    <w:rsid w:val="00246C36"/>
    <w:rsid w:val="00246D1B"/>
    <w:rsid w:val="00246E48"/>
    <w:rsid w:val="00247452"/>
    <w:rsid w:val="00250903"/>
    <w:rsid w:val="00251117"/>
    <w:rsid w:val="002530A4"/>
    <w:rsid w:val="00253F33"/>
    <w:rsid w:val="00254157"/>
    <w:rsid w:val="002555DB"/>
    <w:rsid w:val="0025673C"/>
    <w:rsid w:val="00257357"/>
    <w:rsid w:val="00257644"/>
    <w:rsid w:val="00257717"/>
    <w:rsid w:val="00260738"/>
    <w:rsid w:val="00260CF0"/>
    <w:rsid w:val="00261497"/>
    <w:rsid w:val="00261C14"/>
    <w:rsid w:val="00261DBB"/>
    <w:rsid w:val="0026242E"/>
    <w:rsid w:val="00262AFE"/>
    <w:rsid w:val="00262E43"/>
    <w:rsid w:val="00263868"/>
    <w:rsid w:val="00265DD0"/>
    <w:rsid w:val="00266170"/>
    <w:rsid w:val="002664E2"/>
    <w:rsid w:val="0027005E"/>
    <w:rsid w:val="00270CBE"/>
    <w:rsid w:val="00271622"/>
    <w:rsid w:val="0027193C"/>
    <w:rsid w:val="002722B5"/>
    <w:rsid w:val="00272784"/>
    <w:rsid w:val="00272A42"/>
    <w:rsid w:val="00273852"/>
    <w:rsid w:val="002747E8"/>
    <w:rsid w:val="00274FF2"/>
    <w:rsid w:val="00275681"/>
    <w:rsid w:val="00276286"/>
    <w:rsid w:val="00276BB4"/>
    <w:rsid w:val="00277FEE"/>
    <w:rsid w:val="0028036E"/>
    <w:rsid w:val="00282089"/>
    <w:rsid w:val="00283923"/>
    <w:rsid w:val="00283EF3"/>
    <w:rsid w:val="002840BF"/>
    <w:rsid w:val="00285121"/>
    <w:rsid w:val="00285D11"/>
    <w:rsid w:val="00285D6C"/>
    <w:rsid w:val="002869C4"/>
    <w:rsid w:val="00287882"/>
    <w:rsid w:val="00291654"/>
    <w:rsid w:val="002919C9"/>
    <w:rsid w:val="00292D0B"/>
    <w:rsid w:val="00294569"/>
    <w:rsid w:val="00294597"/>
    <w:rsid w:val="00295D6C"/>
    <w:rsid w:val="00297A5D"/>
    <w:rsid w:val="002A1A0D"/>
    <w:rsid w:val="002A1EEA"/>
    <w:rsid w:val="002A3DC8"/>
    <w:rsid w:val="002A58D2"/>
    <w:rsid w:val="002A5E09"/>
    <w:rsid w:val="002A7096"/>
    <w:rsid w:val="002A75E5"/>
    <w:rsid w:val="002B06AD"/>
    <w:rsid w:val="002B0849"/>
    <w:rsid w:val="002B0A0B"/>
    <w:rsid w:val="002B118D"/>
    <w:rsid w:val="002B4121"/>
    <w:rsid w:val="002B431E"/>
    <w:rsid w:val="002B44D9"/>
    <w:rsid w:val="002B57A4"/>
    <w:rsid w:val="002B5C35"/>
    <w:rsid w:val="002B6E88"/>
    <w:rsid w:val="002B73F2"/>
    <w:rsid w:val="002B79D7"/>
    <w:rsid w:val="002C0E82"/>
    <w:rsid w:val="002C1247"/>
    <w:rsid w:val="002C12CC"/>
    <w:rsid w:val="002C1F20"/>
    <w:rsid w:val="002C2802"/>
    <w:rsid w:val="002C28E7"/>
    <w:rsid w:val="002C34B4"/>
    <w:rsid w:val="002C4026"/>
    <w:rsid w:val="002C4239"/>
    <w:rsid w:val="002C613A"/>
    <w:rsid w:val="002C69CE"/>
    <w:rsid w:val="002C7B56"/>
    <w:rsid w:val="002D0836"/>
    <w:rsid w:val="002D086C"/>
    <w:rsid w:val="002D0EE0"/>
    <w:rsid w:val="002D1F37"/>
    <w:rsid w:val="002D2AB8"/>
    <w:rsid w:val="002D3448"/>
    <w:rsid w:val="002D3AE6"/>
    <w:rsid w:val="002D4468"/>
    <w:rsid w:val="002D46D0"/>
    <w:rsid w:val="002D4C85"/>
    <w:rsid w:val="002D7069"/>
    <w:rsid w:val="002D7AF9"/>
    <w:rsid w:val="002E06D5"/>
    <w:rsid w:val="002E0A89"/>
    <w:rsid w:val="002E120F"/>
    <w:rsid w:val="002E1B16"/>
    <w:rsid w:val="002E1D5D"/>
    <w:rsid w:val="002E2E4B"/>
    <w:rsid w:val="002E3346"/>
    <w:rsid w:val="002E3355"/>
    <w:rsid w:val="002E3FED"/>
    <w:rsid w:val="002E5368"/>
    <w:rsid w:val="002E55B3"/>
    <w:rsid w:val="002E5931"/>
    <w:rsid w:val="002E5C6A"/>
    <w:rsid w:val="002E74C3"/>
    <w:rsid w:val="002E75DF"/>
    <w:rsid w:val="002F043E"/>
    <w:rsid w:val="002F0F31"/>
    <w:rsid w:val="002F0FA1"/>
    <w:rsid w:val="002F1B9F"/>
    <w:rsid w:val="002F206E"/>
    <w:rsid w:val="002F2CD9"/>
    <w:rsid w:val="002F3226"/>
    <w:rsid w:val="002F33A7"/>
    <w:rsid w:val="002F4EB5"/>
    <w:rsid w:val="002F5657"/>
    <w:rsid w:val="002F56AC"/>
    <w:rsid w:val="002F639E"/>
    <w:rsid w:val="002F645B"/>
    <w:rsid w:val="002F65C5"/>
    <w:rsid w:val="002F66AE"/>
    <w:rsid w:val="002F69B6"/>
    <w:rsid w:val="002F7BC5"/>
    <w:rsid w:val="002F7DBC"/>
    <w:rsid w:val="0030008C"/>
    <w:rsid w:val="003009AF"/>
    <w:rsid w:val="00300E97"/>
    <w:rsid w:val="00301600"/>
    <w:rsid w:val="00301601"/>
    <w:rsid w:val="0030195E"/>
    <w:rsid w:val="00301F97"/>
    <w:rsid w:val="00304D6C"/>
    <w:rsid w:val="00305D8D"/>
    <w:rsid w:val="00306316"/>
    <w:rsid w:val="003070E3"/>
    <w:rsid w:val="003073A8"/>
    <w:rsid w:val="00307EA4"/>
    <w:rsid w:val="0031000E"/>
    <w:rsid w:val="0031019A"/>
    <w:rsid w:val="00310223"/>
    <w:rsid w:val="00310737"/>
    <w:rsid w:val="0031159F"/>
    <w:rsid w:val="00311AB1"/>
    <w:rsid w:val="00312C82"/>
    <w:rsid w:val="003134ED"/>
    <w:rsid w:val="003134EF"/>
    <w:rsid w:val="003135D5"/>
    <w:rsid w:val="00315404"/>
    <w:rsid w:val="003157FC"/>
    <w:rsid w:val="00316A4E"/>
    <w:rsid w:val="0031712D"/>
    <w:rsid w:val="00317A5A"/>
    <w:rsid w:val="003208AE"/>
    <w:rsid w:val="003225BA"/>
    <w:rsid w:val="00324C54"/>
    <w:rsid w:val="00326D7D"/>
    <w:rsid w:val="00326E0A"/>
    <w:rsid w:val="00327CD7"/>
    <w:rsid w:val="0033086E"/>
    <w:rsid w:val="00330BCC"/>
    <w:rsid w:val="00331390"/>
    <w:rsid w:val="003316C8"/>
    <w:rsid w:val="00331A0E"/>
    <w:rsid w:val="00334018"/>
    <w:rsid w:val="003340A8"/>
    <w:rsid w:val="00334E09"/>
    <w:rsid w:val="00335240"/>
    <w:rsid w:val="003353BD"/>
    <w:rsid w:val="0033553E"/>
    <w:rsid w:val="00335801"/>
    <w:rsid w:val="003363BA"/>
    <w:rsid w:val="00336CB1"/>
    <w:rsid w:val="00337784"/>
    <w:rsid w:val="00337BEF"/>
    <w:rsid w:val="00340D5A"/>
    <w:rsid w:val="003412C3"/>
    <w:rsid w:val="0034154E"/>
    <w:rsid w:val="00341998"/>
    <w:rsid w:val="00341E15"/>
    <w:rsid w:val="003420B9"/>
    <w:rsid w:val="003433F1"/>
    <w:rsid w:val="00344302"/>
    <w:rsid w:val="0034478E"/>
    <w:rsid w:val="0034508F"/>
    <w:rsid w:val="00347015"/>
    <w:rsid w:val="003472DC"/>
    <w:rsid w:val="00351329"/>
    <w:rsid w:val="0035150C"/>
    <w:rsid w:val="003519E3"/>
    <w:rsid w:val="00351A47"/>
    <w:rsid w:val="00352059"/>
    <w:rsid w:val="00352B57"/>
    <w:rsid w:val="00352D3C"/>
    <w:rsid w:val="00352E3E"/>
    <w:rsid w:val="00354223"/>
    <w:rsid w:val="00355AB5"/>
    <w:rsid w:val="00355E3B"/>
    <w:rsid w:val="00355F31"/>
    <w:rsid w:val="003571DF"/>
    <w:rsid w:val="00357F4E"/>
    <w:rsid w:val="003602B9"/>
    <w:rsid w:val="0036042F"/>
    <w:rsid w:val="0036061A"/>
    <w:rsid w:val="003608DD"/>
    <w:rsid w:val="00361033"/>
    <w:rsid w:val="00361AB2"/>
    <w:rsid w:val="00363B66"/>
    <w:rsid w:val="00363C1F"/>
    <w:rsid w:val="00364627"/>
    <w:rsid w:val="00364682"/>
    <w:rsid w:val="00364D7C"/>
    <w:rsid w:val="00365262"/>
    <w:rsid w:val="0036568A"/>
    <w:rsid w:val="003662A5"/>
    <w:rsid w:val="003710AF"/>
    <w:rsid w:val="003716B5"/>
    <w:rsid w:val="003719E5"/>
    <w:rsid w:val="00371B99"/>
    <w:rsid w:val="003720A7"/>
    <w:rsid w:val="003720EA"/>
    <w:rsid w:val="00372C49"/>
    <w:rsid w:val="00373949"/>
    <w:rsid w:val="00373AC8"/>
    <w:rsid w:val="00376515"/>
    <w:rsid w:val="003767EA"/>
    <w:rsid w:val="00377D5D"/>
    <w:rsid w:val="003801A2"/>
    <w:rsid w:val="003803F5"/>
    <w:rsid w:val="00381560"/>
    <w:rsid w:val="00381B2A"/>
    <w:rsid w:val="00382477"/>
    <w:rsid w:val="0038327D"/>
    <w:rsid w:val="00383711"/>
    <w:rsid w:val="00384B1A"/>
    <w:rsid w:val="00385A1A"/>
    <w:rsid w:val="003862A0"/>
    <w:rsid w:val="00386775"/>
    <w:rsid w:val="00387890"/>
    <w:rsid w:val="00387B3F"/>
    <w:rsid w:val="00390E43"/>
    <w:rsid w:val="00391278"/>
    <w:rsid w:val="003913E2"/>
    <w:rsid w:val="00391D08"/>
    <w:rsid w:val="00391DAE"/>
    <w:rsid w:val="00391E4E"/>
    <w:rsid w:val="00392775"/>
    <w:rsid w:val="003927F6"/>
    <w:rsid w:val="00392C7B"/>
    <w:rsid w:val="003941CE"/>
    <w:rsid w:val="0039649D"/>
    <w:rsid w:val="00396524"/>
    <w:rsid w:val="00396910"/>
    <w:rsid w:val="00396B26"/>
    <w:rsid w:val="00397086"/>
    <w:rsid w:val="003970D5"/>
    <w:rsid w:val="00397431"/>
    <w:rsid w:val="003975E9"/>
    <w:rsid w:val="003A0312"/>
    <w:rsid w:val="003A16E3"/>
    <w:rsid w:val="003A22E4"/>
    <w:rsid w:val="003A294A"/>
    <w:rsid w:val="003A3245"/>
    <w:rsid w:val="003A325C"/>
    <w:rsid w:val="003A519E"/>
    <w:rsid w:val="003A5B41"/>
    <w:rsid w:val="003A623E"/>
    <w:rsid w:val="003A6343"/>
    <w:rsid w:val="003A6AE7"/>
    <w:rsid w:val="003B0329"/>
    <w:rsid w:val="003B2C51"/>
    <w:rsid w:val="003B41CF"/>
    <w:rsid w:val="003B492B"/>
    <w:rsid w:val="003B4E12"/>
    <w:rsid w:val="003B5701"/>
    <w:rsid w:val="003B691C"/>
    <w:rsid w:val="003B75B1"/>
    <w:rsid w:val="003B7B72"/>
    <w:rsid w:val="003C1233"/>
    <w:rsid w:val="003C131E"/>
    <w:rsid w:val="003C207D"/>
    <w:rsid w:val="003C2385"/>
    <w:rsid w:val="003C2585"/>
    <w:rsid w:val="003C2D68"/>
    <w:rsid w:val="003C373B"/>
    <w:rsid w:val="003C3A2B"/>
    <w:rsid w:val="003C3B80"/>
    <w:rsid w:val="003C4838"/>
    <w:rsid w:val="003C53B1"/>
    <w:rsid w:val="003C5D17"/>
    <w:rsid w:val="003C62FF"/>
    <w:rsid w:val="003C65F0"/>
    <w:rsid w:val="003C66A3"/>
    <w:rsid w:val="003C7196"/>
    <w:rsid w:val="003C77A2"/>
    <w:rsid w:val="003D04F1"/>
    <w:rsid w:val="003D0C95"/>
    <w:rsid w:val="003D211D"/>
    <w:rsid w:val="003D22C2"/>
    <w:rsid w:val="003D28F0"/>
    <w:rsid w:val="003D32BA"/>
    <w:rsid w:val="003D4237"/>
    <w:rsid w:val="003D4303"/>
    <w:rsid w:val="003D4A39"/>
    <w:rsid w:val="003D4BB0"/>
    <w:rsid w:val="003D4CDD"/>
    <w:rsid w:val="003D4E8B"/>
    <w:rsid w:val="003D54D6"/>
    <w:rsid w:val="003D5A47"/>
    <w:rsid w:val="003D5E3A"/>
    <w:rsid w:val="003D6247"/>
    <w:rsid w:val="003D649C"/>
    <w:rsid w:val="003D6CF1"/>
    <w:rsid w:val="003D6E90"/>
    <w:rsid w:val="003D744D"/>
    <w:rsid w:val="003E0B75"/>
    <w:rsid w:val="003E1BE7"/>
    <w:rsid w:val="003E217F"/>
    <w:rsid w:val="003E21D6"/>
    <w:rsid w:val="003E2212"/>
    <w:rsid w:val="003E25A1"/>
    <w:rsid w:val="003E26D2"/>
    <w:rsid w:val="003E292E"/>
    <w:rsid w:val="003E3E35"/>
    <w:rsid w:val="003E5FF5"/>
    <w:rsid w:val="003E6924"/>
    <w:rsid w:val="003E7A1E"/>
    <w:rsid w:val="003F01CE"/>
    <w:rsid w:val="003F07EC"/>
    <w:rsid w:val="003F10B2"/>
    <w:rsid w:val="003F178B"/>
    <w:rsid w:val="003F1D1B"/>
    <w:rsid w:val="003F1EF4"/>
    <w:rsid w:val="003F31BA"/>
    <w:rsid w:val="003F4051"/>
    <w:rsid w:val="003F46D0"/>
    <w:rsid w:val="003F4765"/>
    <w:rsid w:val="003F52A2"/>
    <w:rsid w:val="003F55CA"/>
    <w:rsid w:val="003F603E"/>
    <w:rsid w:val="003F703D"/>
    <w:rsid w:val="003F7538"/>
    <w:rsid w:val="003F78FA"/>
    <w:rsid w:val="003F7CA1"/>
    <w:rsid w:val="0040089C"/>
    <w:rsid w:val="004015CE"/>
    <w:rsid w:val="004022A8"/>
    <w:rsid w:val="0040272D"/>
    <w:rsid w:val="00402B05"/>
    <w:rsid w:val="0040382C"/>
    <w:rsid w:val="0040386B"/>
    <w:rsid w:val="004040C3"/>
    <w:rsid w:val="00404633"/>
    <w:rsid w:val="00405301"/>
    <w:rsid w:val="0040573C"/>
    <w:rsid w:val="00405FFC"/>
    <w:rsid w:val="00406108"/>
    <w:rsid w:val="004064F3"/>
    <w:rsid w:val="0040698F"/>
    <w:rsid w:val="00407A18"/>
    <w:rsid w:val="0041094C"/>
    <w:rsid w:val="0041167B"/>
    <w:rsid w:val="004117CA"/>
    <w:rsid w:val="00411C31"/>
    <w:rsid w:val="00412156"/>
    <w:rsid w:val="00412A25"/>
    <w:rsid w:val="0041347D"/>
    <w:rsid w:val="00414280"/>
    <w:rsid w:val="00414FC7"/>
    <w:rsid w:val="00415098"/>
    <w:rsid w:val="004152E1"/>
    <w:rsid w:val="0041608B"/>
    <w:rsid w:val="00416603"/>
    <w:rsid w:val="0041728A"/>
    <w:rsid w:val="00417E88"/>
    <w:rsid w:val="004204FB"/>
    <w:rsid w:val="004209E6"/>
    <w:rsid w:val="004211A7"/>
    <w:rsid w:val="00424C10"/>
    <w:rsid w:val="00426438"/>
    <w:rsid w:val="004264F8"/>
    <w:rsid w:val="00427055"/>
    <w:rsid w:val="0042705B"/>
    <w:rsid w:val="0043010A"/>
    <w:rsid w:val="00430306"/>
    <w:rsid w:val="004309DC"/>
    <w:rsid w:val="00432F8B"/>
    <w:rsid w:val="0043306C"/>
    <w:rsid w:val="00434605"/>
    <w:rsid w:val="00434A16"/>
    <w:rsid w:val="00435FC8"/>
    <w:rsid w:val="0043627D"/>
    <w:rsid w:val="00436840"/>
    <w:rsid w:val="00436FA7"/>
    <w:rsid w:val="004401A6"/>
    <w:rsid w:val="00440C9C"/>
    <w:rsid w:val="004412BF"/>
    <w:rsid w:val="00443776"/>
    <w:rsid w:val="00443BF0"/>
    <w:rsid w:val="0044401E"/>
    <w:rsid w:val="004456D1"/>
    <w:rsid w:val="00445FF3"/>
    <w:rsid w:val="00447948"/>
    <w:rsid w:val="0044798D"/>
    <w:rsid w:val="004509E4"/>
    <w:rsid w:val="004511B7"/>
    <w:rsid w:val="00451BD5"/>
    <w:rsid w:val="004525EB"/>
    <w:rsid w:val="00452D45"/>
    <w:rsid w:val="00452EA4"/>
    <w:rsid w:val="00453080"/>
    <w:rsid w:val="00454E98"/>
    <w:rsid w:val="004551DA"/>
    <w:rsid w:val="00455AB6"/>
    <w:rsid w:val="00455B7B"/>
    <w:rsid w:val="004579E6"/>
    <w:rsid w:val="00457E98"/>
    <w:rsid w:val="00460F66"/>
    <w:rsid w:val="00461094"/>
    <w:rsid w:val="0046154A"/>
    <w:rsid w:val="0046203B"/>
    <w:rsid w:val="004634C9"/>
    <w:rsid w:val="00465702"/>
    <w:rsid w:val="00465B82"/>
    <w:rsid w:val="00466ACF"/>
    <w:rsid w:val="004672EE"/>
    <w:rsid w:val="00467751"/>
    <w:rsid w:val="0046791D"/>
    <w:rsid w:val="0047101A"/>
    <w:rsid w:val="004714AD"/>
    <w:rsid w:val="00471C56"/>
    <w:rsid w:val="0047253F"/>
    <w:rsid w:val="00473953"/>
    <w:rsid w:val="00473CC5"/>
    <w:rsid w:val="0047449A"/>
    <w:rsid w:val="004752A0"/>
    <w:rsid w:val="00475B13"/>
    <w:rsid w:val="00475B2E"/>
    <w:rsid w:val="00475D8B"/>
    <w:rsid w:val="00476083"/>
    <w:rsid w:val="00476BD2"/>
    <w:rsid w:val="00477363"/>
    <w:rsid w:val="004802A0"/>
    <w:rsid w:val="004806AA"/>
    <w:rsid w:val="00482617"/>
    <w:rsid w:val="00482CC9"/>
    <w:rsid w:val="00483452"/>
    <w:rsid w:val="00483CEF"/>
    <w:rsid w:val="00485127"/>
    <w:rsid w:val="00485877"/>
    <w:rsid w:val="00485A15"/>
    <w:rsid w:val="004863B9"/>
    <w:rsid w:val="00486D33"/>
    <w:rsid w:val="00487036"/>
    <w:rsid w:val="00487093"/>
    <w:rsid w:val="00487487"/>
    <w:rsid w:val="00490210"/>
    <w:rsid w:val="004905E2"/>
    <w:rsid w:val="00490DB9"/>
    <w:rsid w:val="0049286F"/>
    <w:rsid w:val="00492B3D"/>
    <w:rsid w:val="00493695"/>
    <w:rsid w:val="00493C37"/>
    <w:rsid w:val="00495385"/>
    <w:rsid w:val="00496244"/>
    <w:rsid w:val="004974F3"/>
    <w:rsid w:val="0049774C"/>
    <w:rsid w:val="004A09EC"/>
    <w:rsid w:val="004A0B87"/>
    <w:rsid w:val="004A2448"/>
    <w:rsid w:val="004A2EC5"/>
    <w:rsid w:val="004A2FA3"/>
    <w:rsid w:val="004A30F1"/>
    <w:rsid w:val="004A3288"/>
    <w:rsid w:val="004A3297"/>
    <w:rsid w:val="004A45CC"/>
    <w:rsid w:val="004A4D45"/>
    <w:rsid w:val="004A6793"/>
    <w:rsid w:val="004A7157"/>
    <w:rsid w:val="004B028D"/>
    <w:rsid w:val="004B09A0"/>
    <w:rsid w:val="004B16CD"/>
    <w:rsid w:val="004B1F8C"/>
    <w:rsid w:val="004B2EAE"/>
    <w:rsid w:val="004B2EB5"/>
    <w:rsid w:val="004B5A8A"/>
    <w:rsid w:val="004C0815"/>
    <w:rsid w:val="004C23A4"/>
    <w:rsid w:val="004C2ED5"/>
    <w:rsid w:val="004C480F"/>
    <w:rsid w:val="004C6E22"/>
    <w:rsid w:val="004C6E48"/>
    <w:rsid w:val="004C78BF"/>
    <w:rsid w:val="004D00A8"/>
    <w:rsid w:val="004D0215"/>
    <w:rsid w:val="004D03D1"/>
    <w:rsid w:val="004D11D7"/>
    <w:rsid w:val="004D1808"/>
    <w:rsid w:val="004D1B1C"/>
    <w:rsid w:val="004D230F"/>
    <w:rsid w:val="004D236C"/>
    <w:rsid w:val="004D30F0"/>
    <w:rsid w:val="004D3D08"/>
    <w:rsid w:val="004D4543"/>
    <w:rsid w:val="004D4FC2"/>
    <w:rsid w:val="004D53C0"/>
    <w:rsid w:val="004D5AE1"/>
    <w:rsid w:val="004D5B9B"/>
    <w:rsid w:val="004D5EE9"/>
    <w:rsid w:val="004D67D9"/>
    <w:rsid w:val="004E02B1"/>
    <w:rsid w:val="004E103D"/>
    <w:rsid w:val="004E1132"/>
    <w:rsid w:val="004E2385"/>
    <w:rsid w:val="004E23C9"/>
    <w:rsid w:val="004E257F"/>
    <w:rsid w:val="004E26DA"/>
    <w:rsid w:val="004E2782"/>
    <w:rsid w:val="004E2BD2"/>
    <w:rsid w:val="004E3B12"/>
    <w:rsid w:val="004E3D78"/>
    <w:rsid w:val="004E3EAC"/>
    <w:rsid w:val="004E48D5"/>
    <w:rsid w:val="004E60BD"/>
    <w:rsid w:val="004E6892"/>
    <w:rsid w:val="004E68AB"/>
    <w:rsid w:val="004E6D48"/>
    <w:rsid w:val="004E6FF4"/>
    <w:rsid w:val="004E723C"/>
    <w:rsid w:val="004E7ADF"/>
    <w:rsid w:val="004F2F3D"/>
    <w:rsid w:val="004F31FE"/>
    <w:rsid w:val="004F3B97"/>
    <w:rsid w:val="004F3D83"/>
    <w:rsid w:val="004F42FE"/>
    <w:rsid w:val="004F4E2A"/>
    <w:rsid w:val="004F4EDB"/>
    <w:rsid w:val="004F6117"/>
    <w:rsid w:val="004F63C1"/>
    <w:rsid w:val="004F64CE"/>
    <w:rsid w:val="004F7C54"/>
    <w:rsid w:val="00500869"/>
    <w:rsid w:val="005020EC"/>
    <w:rsid w:val="0050356D"/>
    <w:rsid w:val="0050417E"/>
    <w:rsid w:val="00504712"/>
    <w:rsid w:val="005047A7"/>
    <w:rsid w:val="0050516D"/>
    <w:rsid w:val="005056D4"/>
    <w:rsid w:val="00505CF8"/>
    <w:rsid w:val="00506547"/>
    <w:rsid w:val="005065CD"/>
    <w:rsid w:val="005106CD"/>
    <w:rsid w:val="00510B3F"/>
    <w:rsid w:val="00511BD7"/>
    <w:rsid w:val="0051394D"/>
    <w:rsid w:val="00515B04"/>
    <w:rsid w:val="0051674F"/>
    <w:rsid w:val="005167BF"/>
    <w:rsid w:val="00516918"/>
    <w:rsid w:val="00517DE1"/>
    <w:rsid w:val="00520BAC"/>
    <w:rsid w:val="00520D1E"/>
    <w:rsid w:val="005211BA"/>
    <w:rsid w:val="00521D27"/>
    <w:rsid w:val="00523490"/>
    <w:rsid w:val="00523554"/>
    <w:rsid w:val="0052389D"/>
    <w:rsid w:val="005239D1"/>
    <w:rsid w:val="00524862"/>
    <w:rsid w:val="00524ACA"/>
    <w:rsid w:val="005250A2"/>
    <w:rsid w:val="005252C8"/>
    <w:rsid w:val="00526873"/>
    <w:rsid w:val="00526A52"/>
    <w:rsid w:val="00526BE0"/>
    <w:rsid w:val="005271F0"/>
    <w:rsid w:val="00527208"/>
    <w:rsid w:val="005277F6"/>
    <w:rsid w:val="00530277"/>
    <w:rsid w:val="005305D5"/>
    <w:rsid w:val="00531A8B"/>
    <w:rsid w:val="00531B22"/>
    <w:rsid w:val="00532625"/>
    <w:rsid w:val="0053279F"/>
    <w:rsid w:val="00533B65"/>
    <w:rsid w:val="0053435D"/>
    <w:rsid w:val="00535CB1"/>
    <w:rsid w:val="00536AA6"/>
    <w:rsid w:val="00536BB8"/>
    <w:rsid w:val="00537414"/>
    <w:rsid w:val="00537B49"/>
    <w:rsid w:val="00540BC7"/>
    <w:rsid w:val="0054186D"/>
    <w:rsid w:val="00541CD6"/>
    <w:rsid w:val="00543D52"/>
    <w:rsid w:val="00544015"/>
    <w:rsid w:val="005441DD"/>
    <w:rsid w:val="005448EF"/>
    <w:rsid w:val="005459A6"/>
    <w:rsid w:val="00545EF5"/>
    <w:rsid w:val="00546408"/>
    <w:rsid w:val="00546DAA"/>
    <w:rsid w:val="005472FB"/>
    <w:rsid w:val="00550448"/>
    <w:rsid w:val="00551972"/>
    <w:rsid w:val="00552093"/>
    <w:rsid w:val="005522A5"/>
    <w:rsid w:val="0055265C"/>
    <w:rsid w:val="0055415B"/>
    <w:rsid w:val="00554CA9"/>
    <w:rsid w:val="005556B0"/>
    <w:rsid w:val="00555840"/>
    <w:rsid w:val="00555C31"/>
    <w:rsid w:val="00556573"/>
    <w:rsid w:val="00557DD2"/>
    <w:rsid w:val="00560555"/>
    <w:rsid w:val="0056288D"/>
    <w:rsid w:val="00562B3E"/>
    <w:rsid w:val="005647F1"/>
    <w:rsid w:val="005649A7"/>
    <w:rsid w:val="00565F1C"/>
    <w:rsid w:val="00566ACD"/>
    <w:rsid w:val="005675B3"/>
    <w:rsid w:val="00567B14"/>
    <w:rsid w:val="0057117C"/>
    <w:rsid w:val="00571267"/>
    <w:rsid w:val="0057140D"/>
    <w:rsid w:val="005718BD"/>
    <w:rsid w:val="00571B73"/>
    <w:rsid w:val="00572899"/>
    <w:rsid w:val="00573932"/>
    <w:rsid w:val="00574BE6"/>
    <w:rsid w:val="005750DD"/>
    <w:rsid w:val="00575270"/>
    <w:rsid w:val="0057546F"/>
    <w:rsid w:val="00576561"/>
    <w:rsid w:val="00577503"/>
    <w:rsid w:val="00577B21"/>
    <w:rsid w:val="00577D93"/>
    <w:rsid w:val="0058099B"/>
    <w:rsid w:val="00580FE4"/>
    <w:rsid w:val="005813CD"/>
    <w:rsid w:val="005823AC"/>
    <w:rsid w:val="005827E4"/>
    <w:rsid w:val="005837AC"/>
    <w:rsid w:val="005841B3"/>
    <w:rsid w:val="00584AAD"/>
    <w:rsid w:val="00585530"/>
    <w:rsid w:val="005855D6"/>
    <w:rsid w:val="00586CF1"/>
    <w:rsid w:val="0058755B"/>
    <w:rsid w:val="00590A08"/>
    <w:rsid w:val="005926A0"/>
    <w:rsid w:val="0059274D"/>
    <w:rsid w:val="0059328E"/>
    <w:rsid w:val="00594427"/>
    <w:rsid w:val="00594C0F"/>
    <w:rsid w:val="00597C3C"/>
    <w:rsid w:val="005A0344"/>
    <w:rsid w:val="005A0E33"/>
    <w:rsid w:val="005A19CA"/>
    <w:rsid w:val="005A2561"/>
    <w:rsid w:val="005A3589"/>
    <w:rsid w:val="005A4656"/>
    <w:rsid w:val="005A48F2"/>
    <w:rsid w:val="005A4DD9"/>
    <w:rsid w:val="005A5947"/>
    <w:rsid w:val="005A5EE9"/>
    <w:rsid w:val="005A679B"/>
    <w:rsid w:val="005A7FA8"/>
    <w:rsid w:val="005B0F75"/>
    <w:rsid w:val="005B13AD"/>
    <w:rsid w:val="005B1937"/>
    <w:rsid w:val="005B1D92"/>
    <w:rsid w:val="005B1DF3"/>
    <w:rsid w:val="005B3B89"/>
    <w:rsid w:val="005B3BAA"/>
    <w:rsid w:val="005B3F1C"/>
    <w:rsid w:val="005B4CF0"/>
    <w:rsid w:val="005B562C"/>
    <w:rsid w:val="005B6787"/>
    <w:rsid w:val="005B67E2"/>
    <w:rsid w:val="005B68F7"/>
    <w:rsid w:val="005B6BBD"/>
    <w:rsid w:val="005B6FC9"/>
    <w:rsid w:val="005B71AF"/>
    <w:rsid w:val="005B76FC"/>
    <w:rsid w:val="005C0A32"/>
    <w:rsid w:val="005C0FBF"/>
    <w:rsid w:val="005C191A"/>
    <w:rsid w:val="005C1B4A"/>
    <w:rsid w:val="005C1EBE"/>
    <w:rsid w:val="005C3ED5"/>
    <w:rsid w:val="005C4238"/>
    <w:rsid w:val="005C4301"/>
    <w:rsid w:val="005C6544"/>
    <w:rsid w:val="005C6959"/>
    <w:rsid w:val="005C7C13"/>
    <w:rsid w:val="005D0F0F"/>
    <w:rsid w:val="005D154D"/>
    <w:rsid w:val="005D21F5"/>
    <w:rsid w:val="005D25FC"/>
    <w:rsid w:val="005D2F08"/>
    <w:rsid w:val="005D4838"/>
    <w:rsid w:val="005D68CC"/>
    <w:rsid w:val="005D6A22"/>
    <w:rsid w:val="005D74CD"/>
    <w:rsid w:val="005D76CA"/>
    <w:rsid w:val="005E0825"/>
    <w:rsid w:val="005E0B9C"/>
    <w:rsid w:val="005E10B7"/>
    <w:rsid w:val="005E21F8"/>
    <w:rsid w:val="005E296B"/>
    <w:rsid w:val="005E3D56"/>
    <w:rsid w:val="005E4179"/>
    <w:rsid w:val="005F0151"/>
    <w:rsid w:val="005F0310"/>
    <w:rsid w:val="005F06FB"/>
    <w:rsid w:val="005F27F8"/>
    <w:rsid w:val="005F2A62"/>
    <w:rsid w:val="005F2BBC"/>
    <w:rsid w:val="005F2FD2"/>
    <w:rsid w:val="005F402E"/>
    <w:rsid w:val="005F460A"/>
    <w:rsid w:val="005F4B0A"/>
    <w:rsid w:val="005F4BE1"/>
    <w:rsid w:val="005F4CA6"/>
    <w:rsid w:val="005F5341"/>
    <w:rsid w:val="005F56A9"/>
    <w:rsid w:val="005F769A"/>
    <w:rsid w:val="005F7BFF"/>
    <w:rsid w:val="0060028A"/>
    <w:rsid w:val="0060048E"/>
    <w:rsid w:val="006004B6"/>
    <w:rsid w:val="00600A3A"/>
    <w:rsid w:val="00600E01"/>
    <w:rsid w:val="00601173"/>
    <w:rsid w:val="00601604"/>
    <w:rsid w:val="006020A1"/>
    <w:rsid w:val="00602495"/>
    <w:rsid w:val="006034C6"/>
    <w:rsid w:val="00603EB2"/>
    <w:rsid w:val="00604753"/>
    <w:rsid w:val="00606140"/>
    <w:rsid w:val="00610090"/>
    <w:rsid w:val="00610707"/>
    <w:rsid w:val="00612C98"/>
    <w:rsid w:val="00612CC1"/>
    <w:rsid w:val="006139DD"/>
    <w:rsid w:val="00613D23"/>
    <w:rsid w:val="00615058"/>
    <w:rsid w:val="0061509C"/>
    <w:rsid w:val="006155DE"/>
    <w:rsid w:val="00616752"/>
    <w:rsid w:val="00620042"/>
    <w:rsid w:val="006200E6"/>
    <w:rsid w:val="006207A8"/>
    <w:rsid w:val="00620D41"/>
    <w:rsid w:val="006214A5"/>
    <w:rsid w:val="00621E6D"/>
    <w:rsid w:val="00621EA2"/>
    <w:rsid w:val="00622744"/>
    <w:rsid w:val="00623650"/>
    <w:rsid w:val="00624D21"/>
    <w:rsid w:val="00625665"/>
    <w:rsid w:val="00626060"/>
    <w:rsid w:val="00626DB8"/>
    <w:rsid w:val="0062703A"/>
    <w:rsid w:val="006273AD"/>
    <w:rsid w:val="00627595"/>
    <w:rsid w:val="00627CD8"/>
    <w:rsid w:val="00627F6F"/>
    <w:rsid w:val="00631728"/>
    <w:rsid w:val="00631C7E"/>
    <w:rsid w:val="00632081"/>
    <w:rsid w:val="00632273"/>
    <w:rsid w:val="00632A15"/>
    <w:rsid w:val="00632E78"/>
    <w:rsid w:val="006341EC"/>
    <w:rsid w:val="00634E09"/>
    <w:rsid w:val="0063546C"/>
    <w:rsid w:val="0063552C"/>
    <w:rsid w:val="00635609"/>
    <w:rsid w:val="00635861"/>
    <w:rsid w:val="00635A53"/>
    <w:rsid w:val="00635BE6"/>
    <w:rsid w:val="00636E95"/>
    <w:rsid w:val="00637B13"/>
    <w:rsid w:val="00637DBA"/>
    <w:rsid w:val="00640474"/>
    <w:rsid w:val="006407BC"/>
    <w:rsid w:val="00640E90"/>
    <w:rsid w:val="0064101D"/>
    <w:rsid w:val="0064111E"/>
    <w:rsid w:val="00641201"/>
    <w:rsid w:val="0064243A"/>
    <w:rsid w:val="00642BE5"/>
    <w:rsid w:val="00643C3F"/>
    <w:rsid w:val="00643E12"/>
    <w:rsid w:val="00643F92"/>
    <w:rsid w:val="0064472D"/>
    <w:rsid w:val="00646017"/>
    <w:rsid w:val="00646173"/>
    <w:rsid w:val="0064704A"/>
    <w:rsid w:val="0064706A"/>
    <w:rsid w:val="00647121"/>
    <w:rsid w:val="006472A0"/>
    <w:rsid w:val="00650253"/>
    <w:rsid w:val="00650D30"/>
    <w:rsid w:val="0065127D"/>
    <w:rsid w:val="00652187"/>
    <w:rsid w:val="0065261B"/>
    <w:rsid w:val="00652998"/>
    <w:rsid w:val="00656B90"/>
    <w:rsid w:val="00660062"/>
    <w:rsid w:val="00660320"/>
    <w:rsid w:val="006620EB"/>
    <w:rsid w:val="006627BB"/>
    <w:rsid w:val="00662B06"/>
    <w:rsid w:val="00664118"/>
    <w:rsid w:val="006657C1"/>
    <w:rsid w:val="006658DC"/>
    <w:rsid w:val="0066704E"/>
    <w:rsid w:val="00667577"/>
    <w:rsid w:val="006708C7"/>
    <w:rsid w:val="00670A9C"/>
    <w:rsid w:val="0067292B"/>
    <w:rsid w:val="006731E4"/>
    <w:rsid w:val="00673263"/>
    <w:rsid w:val="006740E9"/>
    <w:rsid w:val="00674F43"/>
    <w:rsid w:val="006752FF"/>
    <w:rsid w:val="006754DF"/>
    <w:rsid w:val="006774AA"/>
    <w:rsid w:val="00680076"/>
    <w:rsid w:val="00680095"/>
    <w:rsid w:val="00680417"/>
    <w:rsid w:val="00681274"/>
    <w:rsid w:val="00681B8E"/>
    <w:rsid w:val="00682C17"/>
    <w:rsid w:val="00682D19"/>
    <w:rsid w:val="006835E3"/>
    <w:rsid w:val="006843CB"/>
    <w:rsid w:val="006845B9"/>
    <w:rsid w:val="0068492C"/>
    <w:rsid w:val="0068498D"/>
    <w:rsid w:val="00685289"/>
    <w:rsid w:val="006876DE"/>
    <w:rsid w:val="00687DEE"/>
    <w:rsid w:val="0069056A"/>
    <w:rsid w:val="00690868"/>
    <w:rsid w:val="00690B14"/>
    <w:rsid w:val="00691B55"/>
    <w:rsid w:val="0069233D"/>
    <w:rsid w:val="0069362F"/>
    <w:rsid w:val="00693EFB"/>
    <w:rsid w:val="00695342"/>
    <w:rsid w:val="006A0D7A"/>
    <w:rsid w:val="006A0E7C"/>
    <w:rsid w:val="006A1ABA"/>
    <w:rsid w:val="006A1C15"/>
    <w:rsid w:val="006A1FF4"/>
    <w:rsid w:val="006A21D1"/>
    <w:rsid w:val="006A39AC"/>
    <w:rsid w:val="006A3A04"/>
    <w:rsid w:val="006A3BB4"/>
    <w:rsid w:val="006A45BC"/>
    <w:rsid w:val="006A4E1F"/>
    <w:rsid w:val="006A5392"/>
    <w:rsid w:val="006A666B"/>
    <w:rsid w:val="006A6C31"/>
    <w:rsid w:val="006A6D24"/>
    <w:rsid w:val="006A6E29"/>
    <w:rsid w:val="006A7F1D"/>
    <w:rsid w:val="006B23C6"/>
    <w:rsid w:val="006B252D"/>
    <w:rsid w:val="006B2704"/>
    <w:rsid w:val="006B3061"/>
    <w:rsid w:val="006B31DD"/>
    <w:rsid w:val="006B350B"/>
    <w:rsid w:val="006B3620"/>
    <w:rsid w:val="006B36B0"/>
    <w:rsid w:val="006B3D58"/>
    <w:rsid w:val="006B44D4"/>
    <w:rsid w:val="006B61EC"/>
    <w:rsid w:val="006C0AC3"/>
    <w:rsid w:val="006C16A1"/>
    <w:rsid w:val="006C17A2"/>
    <w:rsid w:val="006C1DE2"/>
    <w:rsid w:val="006C289F"/>
    <w:rsid w:val="006C31D4"/>
    <w:rsid w:val="006C400F"/>
    <w:rsid w:val="006C4C99"/>
    <w:rsid w:val="006C52D9"/>
    <w:rsid w:val="006C73EB"/>
    <w:rsid w:val="006C7442"/>
    <w:rsid w:val="006C7576"/>
    <w:rsid w:val="006C7DC9"/>
    <w:rsid w:val="006D084E"/>
    <w:rsid w:val="006D12CA"/>
    <w:rsid w:val="006D1730"/>
    <w:rsid w:val="006D1DAA"/>
    <w:rsid w:val="006D2456"/>
    <w:rsid w:val="006D49E7"/>
    <w:rsid w:val="006D4BCF"/>
    <w:rsid w:val="006D4CF4"/>
    <w:rsid w:val="006D4EB6"/>
    <w:rsid w:val="006D5557"/>
    <w:rsid w:val="006D55DB"/>
    <w:rsid w:val="006D598A"/>
    <w:rsid w:val="006D6487"/>
    <w:rsid w:val="006D65DC"/>
    <w:rsid w:val="006D7023"/>
    <w:rsid w:val="006E0D47"/>
    <w:rsid w:val="006E1D8E"/>
    <w:rsid w:val="006E1F6B"/>
    <w:rsid w:val="006E2066"/>
    <w:rsid w:val="006E241C"/>
    <w:rsid w:val="006E2450"/>
    <w:rsid w:val="006E264F"/>
    <w:rsid w:val="006E2A9D"/>
    <w:rsid w:val="006E2E61"/>
    <w:rsid w:val="006E3224"/>
    <w:rsid w:val="006E32DB"/>
    <w:rsid w:val="006E367F"/>
    <w:rsid w:val="006E3B7F"/>
    <w:rsid w:val="006E3F30"/>
    <w:rsid w:val="006E443F"/>
    <w:rsid w:val="006E58FE"/>
    <w:rsid w:val="006E5F23"/>
    <w:rsid w:val="006E5F55"/>
    <w:rsid w:val="006E63C4"/>
    <w:rsid w:val="006E6517"/>
    <w:rsid w:val="006E655A"/>
    <w:rsid w:val="006E6C17"/>
    <w:rsid w:val="006E705A"/>
    <w:rsid w:val="006E7CE5"/>
    <w:rsid w:val="006F02DD"/>
    <w:rsid w:val="006F0CF5"/>
    <w:rsid w:val="006F1779"/>
    <w:rsid w:val="006F22F0"/>
    <w:rsid w:val="006F24F6"/>
    <w:rsid w:val="006F314B"/>
    <w:rsid w:val="006F417C"/>
    <w:rsid w:val="006F46BD"/>
    <w:rsid w:val="006F4BCF"/>
    <w:rsid w:val="006F52C3"/>
    <w:rsid w:val="006F590D"/>
    <w:rsid w:val="006F5BF0"/>
    <w:rsid w:val="006F6518"/>
    <w:rsid w:val="006F6DDC"/>
    <w:rsid w:val="006F6F05"/>
    <w:rsid w:val="006F7695"/>
    <w:rsid w:val="006F7DE1"/>
    <w:rsid w:val="007004FF"/>
    <w:rsid w:val="0070077B"/>
    <w:rsid w:val="0070091A"/>
    <w:rsid w:val="00701203"/>
    <w:rsid w:val="0070181F"/>
    <w:rsid w:val="00701C81"/>
    <w:rsid w:val="007029FA"/>
    <w:rsid w:val="007031BD"/>
    <w:rsid w:val="007050B7"/>
    <w:rsid w:val="00706179"/>
    <w:rsid w:val="007075A1"/>
    <w:rsid w:val="007078AC"/>
    <w:rsid w:val="00710675"/>
    <w:rsid w:val="00710EC9"/>
    <w:rsid w:val="007110C8"/>
    <w:rsid w:val="007118D5"/>
    <w:rsid w:val="0071202D"/>
    <w:rsid w:val="007135AA"/>
    <w:rsid w:val="00714326"/>
    <w:rsid w:val="00714B4B"/>
    <w:rsid w:val="00714D9F"/>
    <w:rsid w:val="00714F54"/>
    <w:rsid w:val="0071511E"/>
    <w:rsid w:val="007159CC"/>
    <w:rsid w:val="00716626"/>
    <w:rsid w:val="00716BED"/>
    <w:rsid w:val="0072040E"/>
    <w:rsid w:val="00720F79"/>
    <w:rsid w:val="00721DAB"/>
    <w:rsid w:val="00723092"/>
    <w:rsid w:val="00723ABA"/>
    <w:rsid w:val="00724F30"/>
    <w:rsid w:val="0072559B"/>
    <w:rsid w:val="00726097"/>
    <w:rsid w:val="00726CAC"/>
    <w:rsid w:val="00726ECE"/>
    <w:rsid w:val="00730C91"/>
    <w:rsid w:val="007313AE"/>
    <w:rsid w:val="007316B2"/>
    <w:rsid w:val="00731C1D"/>
    <w:rsid w:val="0073233F"/>
    <w:rsid w:val="007323ED"/>
    <w:rsid w:val="00734536"/>
    <w:rsid w:val="007351C5"/>
    <w:rsid w:val="0073648A"/>
    <w:rsid w:val="00737299"/>
    <w:rsid w:val="00740869"/>
    <w:rsid w:val="00740908"/>
    <w:rsid w:val="00740F71"/>
    <w:rsid w:val="007415E7"/>
    <w:rsid w:val="00741FB3"/>
    <w:rsid w:val="00742DFF"/>
    <w:rsid w:val="0074388D"/>
    <w:rsid w:val="007438F5"/>
    <w:rsid w:val="0074398A"/>
    <w:rsid w:val="00744FE9"/>
    <w:rsid w:val="0074605A"/>
    <w:rsid w:val="007462F3"/>
    <w:rsid w:val="00751247"/>
    <w:rsid w:val="00751287"/>
    <w:rsid w:val="00751718"/>
    <w:rsid w:val="00751EDC"/>
    <w:rsid w:val="007525E8"/>
    <w:rsid w:val="00752656"/>
    <w:rsid w:val="00752E54"/>
    <w:rsid w:val="00753719"/>
    <w:rsid w:val="0075409C"/>
    <w:rsid w:val="007543D1"/>
    <w:rsid w:val="00754C25"/>
    <w:rsid w:val="00754FBB"/>
    <w:rsid w:val="007557AE"/>
    <w:rsid w:val="007557FA"/>
    <w:rsid w:val="00755B08"/>
    <w:rsid w:val="007570EA"/>
    <w:rsid w:val="007575D7"/>
    <w:rsid w:val="0076083C"/>
    <w:rsid w:val="007609B1"/>
    <w:rsid w:val="00760A79"/>
    <w:rsid w:val="007610AC"/>
    <w:rsid w:val="007611D6"/>
    <w:rsid w:val="0076200A"/>
    <w:rsid w:val="00762375"/>
    <w:rsid w:val="0076297E"/>
    <w:rsid w:val="00763A10"/>
    <w:rsid w:val="00764119"/>
    <w:rsid w:val="00764952"/>
    <w:rsid w:val="00764DC2"/>
    <w:rsid w:val="0076535C"/>
    <w:rsid w:val="00766773"/>
    <w:rsid w:val="0076743A"/>
    <w:rsid w:val="007675BF"/>
    <w:rsid w:val="00771113"/>
    <w:rsid w:val="00771328"/>
    <w:rsid w:val="00773593"/>
    <w:rsid w:val="00773636"/>
    <w:rsid w:val="00773834"/>
    <w:rsid w:val="007752F5"/>
    <w:rsid w:val="0077638C"/>
    <w:rsid w:val="007763AD"/>
    <w:rsid w:val="007764C1"/>
    <w:rsid w:val="00776926"/>
    <w:rsid w:val="00777C23"/>
    <w:rsid w:val="00780E36"/>
    <w:rsid w:val="00781471"/>
    <w:rsid w:val="00781766"/>
    <w:rsid w:val="00782615"/>
    <w:rsid w:val="00782796"/>
    <w:rsid w:val="00782B34"/>
    <w:rsid w:val="00783236"/>
    <w:rsid w:val="00784D75"/>
    <w:rsid w:val="00785517"/>
    <w:rsid w:val="00786EE9"/>
    <w:rsid w:val="00787254"/>
    <w:rsid w:val="007874CE"/>
    <w:rsid w:val="007910F9"/>
    <w:rsid w:val="007925EA"/>
    <w:rsid w:val="007936B8"/>
    <w:rsid w:val="007939A0"/>
    <w:rsid w:val="00794C10"/>
    <w:rsid w:val="00796578"/>
    <w:rsid w:val="00796D83"/>
    <w:rsid w:val="007A151C"/>
    <w:rsid w:val="007A184B"/>
    <w:rsid w:val="007A189D"/>
    <w:rsid w:val="007A1D80"/>
    <w:rsid w:val="007A213A"/>
    <w:rsid w:val="007A24A4"/>
    <w:rsid w:val="007A275E"/>
    <w:rsid w:val="007A385F"/>
    <w:rsid w:val="007A452F"/>
    <w:rsid w:val="007A50EB"/>
    <w:rsid w:val="007A67C5"/>
    <w:rsid w:val="007A68AF"/>
    <w:rsid w:val="007A69C5"/>
    <w:rsid w:val="007B06C5"/>
    <w:rsid w:val="007B0BD9"/>
    <w:rsid w:val="007B1052"/>
    <w:rsid w:val="007B15AB"/>
    <w:rsid w:val="007B1FC1"/>
    <w:rsid w:val="007B21B3"/>
    <w:rsid w:val="007B2258"/>
    <w:rsid w:val="007B234F"/>
    <w:rsid w:val="007B2535"/>
    <w:rsid w:val="007B35EE"/>
    <w:rsid w:val="007B39AA"/>
    <w:rsid w:val="007B3BC1"/>
    <w:rsid w:val="007B44F8"/>
    <w:rsid w:val="007B4EA4"/>
    <w:rsid w:val="007B4F14"/>
    <w:rsid w:val="007B5B61"/>
    <w:rsid w:val="007B6107"/>
    <w:rsid w:val="007B6623"/>
    <w:rsid w:val="007C017D"/>
    <w:rsid w:val="007C0276"/>
    <w:rsid w:val="007C09BB"/>
    <w:rsid w:val="007C12BF"/>
    <w:rsid w:val="007C16E7"/>
    <w:rsid w:val="007C2260"/>
    <w:rsid w:val="007C2795"/>
    <w:rsid w:val="007C3C73"/>
    <w:rsid w:val="007C3C87"/>
    <w:rsid w:val="007C537E"/>
    <w:rsid w:val="007C57D8"/>
    <w:rsid w:val="007C5A98"/>
    <w:rsid w:val="007C69E7"/>
    <w:rsid w:val="007C7849"/>
    <w:rsid w:val="007D027C"/>
    <w:rsid w:val="007D0D61"/>
    <w:rsid w:val="007D12FA"/>
    <w:rsid w:val="007D1966"/>
    <w:rsid w:val="007D22FC"/>
    <w:rsid w:val="007D2BF9"/>
    <w:rsid w:val="007D3C86"/>
    <w:rsid w:val="007D475D"/>
    <w:rsid w:val="007D487B"/>
    <w:rsid w:val="007D4A48"/>
    <w:rsid w:val="007D5118"/>
    <w:rsid w:val="007D549D"/>
    <w:rsid w:val="007D719E"/>
    <w:rsid w:val="007D71F1"/>
    <w:rsid w:val="007E06F0"/>
    <w:rsid w:val="007E0A72"/>
    <w:rsid w:val="007E0F2F"/>
    <w:rsid w:val="007E0F39"/>
    <w:rsid w:val="007E1895"/>
    <w:rsid w:val="007E2423"/>
    <w:rsid w:val="007E2F31"/>
    <w:rsid w:val="007E32E4"/>
    <w:rsid w:val="007E37B4"/>
    <w:rsid w:val="007E3AAD"/>
    <w:rsid w:val="007E462F"/>
    <w:rsid w:val="007E5911"/>
    <w:rsid w:val="007E6FB0"/>
    <w:rsid w:val="007E7FE1"/>
    <w:rsid w:val="007F06D0"/>
    <w:rsid w:val="007F08B2"/>
    <w:rsid w:val="007F2EC0"/>
    <w:rsid w:val="007F3D99"/>
    <w:rsid w:val="007F51AB"/>
    <w:rsid w:val="007F5DB6"/>
    <w:rsid w:val="007F5F9B"/>
    <w:rsid w:val="007F6133"/>
    <w:rsid w:val="007F617B"/>
    <w:rsid w:val="007F61E8"/>
    <w:rsid w:val="007F7AB4"/>
    <w:rsid w:val="00800444"/>
    <w:rsid w:val="00800FBA"/>
    <w:rsid w:val="008011D6"/>
    <w:rsid w:val="008015E1"/>
    <w:rsid w:val="008018A6"/>
    <w:rsid w:val="00801CD1"/>
    <w:rsid w:val="008022FE"/>
    <w:rsid w:val="00802646"/>
    <w:rsid w:val="0080288A"/>
    <w:rsid w:val="00802CBC"/>
    <w:rsid w:val="00802FF3"/>
    <w:rsid w:val="008035CB"/>
    <w:rsid w:val="00803906"/>
    <w:rsid w:val="00804601"/>
    <w:rsid w:val="0080584C"/>
    <w:rsid w:val="00805909"/>
    <w:rsid w:val="00805DD4"/>
    <w:rsid w:val="00806CD0"/>
    <w:rsid w:val="00806DBB"/>
    <w:rsid w:val="00807CEC"/>
    <w:rsid w:val="00810246"/>
    <w:rsid w:val="00810A5A"/>
    <w:rsid w:val="00811469"/>
    <w:rsid w:val="00812445"/>
    <w:rsid w:val="008126F2"/>
    <w:rsid w:val="00812C16"/>
    <w:rsid w:val="0081398E"/>
    <w:rsid w:val="00814309"/>
    <w:rsid w:val="00814595"/>
    <w:rsid w:val="00815132"/>
    <w:rsid w:val="00815A88"/>
    <w:rsid w:val="00821102"/>
    <w:rsid w:val="00821CDC"/>
    <w:rsid w:val="008232C2"/>
    <w:rsid w:val="00823A92"/>
    <w:rsid w:val="00824D42"/>
    <w:rsid w:val="00825BC7"/>
    <w:rsid w:val="00825D90"/>
    <w:rsid w:val="00826D4A"/>
    <w:rsid w:val="00830653"/>
    <w:rsid w:val="008313D9"/>
    <w:rsid w:val="00831E53"/>
    <w:rsid w:val="0083260D"/>
    <w:rsid w:val="0083270A"/>
    <w:rsid w:val="00832840"/>
    <w:rsid w:val="00833C56"/>
    <w:rsid w:val="00833FFA"/>
    <w:rsid w:val="00834F6F"/>
    <w:rsid w:val="00835357"/>
    <w:rsid w:val="008359F9"/>
    <w:rsid w:val="00835B67"/>
    <w:rsid w:val="00836622"/>
    <w:rsid w:val="0083740B"/>
    <w:rsid w:val="00840771"/>
    <w:rsid w:val="0084091E"/>
    <w:rsid w:val="008433BD"/>
    <w:rsid w:val="008435C0"/>
    <w:rsid w:val="00844B1C"/>
    <w:rsid w:val="00845C1D"/>
    <w:rsid w:val="00846FA5"/>
    <w:rsid w:val="00847AA2"/>
    <w:rsid w:val="00847AA7"/>
    <w:rsid w:val="00847FC2"/>
    <w:rsid w:val="008523A3"/>
    <w:rsid w:val="0085393C"/>
    <w:rsid w:val="008540F3"/>
    <w:rsid w:val="00855527"/>
    <w:rsid w:val="00856FFF"/>
    <w:rsid w:val="00857355"/>
    <w:rsid w:val="00857ED4"/>
    <w:rsid w:val="008602CF"/>
    <w:rsid w:val="008609E4"/>
    <w:rsid w:val="0086236C"/>
    <w:rsid w:val="00862F5C"/>
    <w:rsid w:val="008633F6"/>
    <w:rsid w:val="00863542"/>
    <w:rsid w:val="008635AB"/>
    <w:rsid w:val="00863702"/>
    <w:rsid w:val="00863CCD"/>
    <w:rsid w:val="008644DC"/>
    <w:rsid w:val="00865B1F"/>
    <w:rsid w:val="008677D7"/>
    <w:rsid w:val="00867AEA"/>
    <w:rsid w:val="00870338"/>
    <w:rsid w:val="008725BA"/>
    <w:rsid w:val="00872678"/>
    <w:rsid w:val="0087311F"/>
    <w:rsid w:val="00873B95"/>
    <w:rsid w:val="0087459A"/>
    <w:rsid w:val="0087520D"/>
    <w:rsid w:val="00875A7A"/>
    <w:rsid w:val="00875B4C"/>
    <w:rsid w:val="008762C5"/>
    <w:rsid w:val="00877382"/>
    <w:rsid w:val="00877708"/>
    <w:rsid w:val="00877FAA"/>
    <w:rsid w:val="00880ABB"/>
    <w:rsid w:val="00880BF9"/>
    <w:rsid w:val="008811EC"/>
    <w:rsid w:val="00881788"/>
    <w:rsid w:val="008831CF"/>
    <w:rsid w:val="00883543"/>
    <w:rsid w:val="0088410C"/>
    <w:rsid w:val="00887D30"/>
    <w:rsid w:val="008906D7"/>
    <w:rsid w:val="00891B93"/>
    <w:rsid w:val="0089225F"/>
    <w:rsid w:val="00892508"/>
    <w:rsid w:val="0089263E"/>
    <w:rsid w:val="00892AB0"/>
    <w:rsid w:val="008933FC"/>
    <w:rsid w:val="0089355B"/>
    <w:rsid w:val="008942D7"/>
    <w:rsid w:val="00894E62"/>
    <w:rsid w:val="00895588"/>
    <w:rsid w:val="008957E4"/>
    <w:rsid w:val="00897EDA"/>
    <w:rsid w:val="008A076F"/>
    <w:rsid w:val="008A15E1"/>
    <w:rsid w:val="008A2EBE"/>
    <w:rsid w:val="008A2F85"/>
    <w:rsid w:val="008A37F6"/>
    <w:rsid w:val="008A3BA1"/>
    <w:rsid w:val="008A4E6A"/>
    <w:rsid w:val="008A4FAE"/>
    <w:rsid w:val="008A5AE4"/>
    <w:rsid w:val="008A7AD8"/>
    <w:rsid w:val="008B1F21"/>
    <w:rsid w:val="008B1FF4"/>
    <w:rsid w:val="008B2478"/>
    <w:rsid w:val="008B2AE4"/>
    <w:rsid w:val="008B2E38"/>
    <w:rsid w:val="008B3E0B"/>
    <w:rsid w:val="008B4574"/>
    <w:rsid w:val="008B48EF"/>
    <w:rsid w:val="008B5CB0"/>
    <w:rsid w:val="008B7B6E"/>
    <w:rsid w:val="008B7ECA"/>
    <w:rsid w:val="008C0263"/>
    <w:rsid w:val="008C2955"/>
    <w:rsid w:val="008C2CFE"/>
    <w:rsid w:val="008C2F33"/>
    <w:rsid w:val="008C3373"/>
    <w:rsid w:val="008C3389"/>
    <w:rsid w:val="008C56D2"/>
    <w:rsid w:val="008C5738"/>
    <w:rsid w:val="008C64D7"/>
    <w:rsid w:val="008C7E00"/>
    <w:rsid w:val="008D020F"/>
    <w:rsid w:val="008D08CF"/>
    <w:rsid w:val="008D0B47"/>
    <w:rsid w:val="008D17D2"/>
    <w:rsid w:val="008D1992"/>
    <w:rsid w:val="008D1ED5"/>
    <w:rsid w:val="008D252C"/>
    <w:rsid w:val="008D2874"/>
    <w:rsid w:val="008D2DB9"/>
    <w:rsid w:val="008D2E28"/>
    <w:rsid w:val="008D3F58"/>
    <w:rsid w:val="008D4163"/>
    <w:rsid w:val="008D4A5F"/>
    <w:rsid w:val="008D4DFF"/>
    <w:rsid w:val="008D6120"/>
    <w:rsid w:val="008D716C"/>
    <w:rsid w:val="008D7904"/>
    <w:rsid w:val="008D7B88"/>
    <w:rsid w:val="008E131D"/>
    <w:rsid w:val="008E1553"/>
    <w:rsid w:val="008E227F"/>
    <w:rsid w:val="008E3410"/>
    <w:rsid w:val="008E34F9"/>
    <w:rsid w:val="008E3500"/>
    <w:rsid w:val="008E40E4"/>
    <w:rsid w:val="008E46A4"/>
    <w:rsid w:val="008E557A"/>
    <w:rsid w:val="008E6F9F"/>
    <w:rsid w:val="008F097B"/>
    <w:rsid w:val="008F0B23"/>
    <w:rsid w:val="008F0FB0"/>
    <w:rsid w:val="008F272F"/>
    <w:rsid w:val="008F30D5"/>
    <w:rsid w:val="008F37F1"/>
    <w:rsid w:val="008F47D3"/>
    <w:rsid w:val="008F48E8"/>
    <w:rsid w:val="008F56E8"/>
    <w:rsid w:val="008F7839"/>
    <w:rsid w:val="008F7CDB"/>
    <w:rsid w:val="00900057"/>
    <w:rsid w:val="00900BF6"/>
    <w:rsid w:val="00901C1E"/>
    <w:rsid w:val="00901E48"/>
    <w:rsid w:val="009025EE"/>
    <w:rsid w:val="009030FE"/>
    <w:rsid w:val="009034F5"/>
    <w:rsid w:val="00903C73"/>
    <w:rsid w:val="009058F9"/>
    <w:rsid w:val="00905925"/>
    <w:rsid w:val="00905CFE"/>
    <w:rsid w:val="00906126"/>
    <w:rsid w:val="00906F03"/>
    <w:rsid w:val="009079F7"/>
    <w:rsid w:val="009106DE"/>
    <w:rsid w:val="0091135B"/>
    <w:rsid w:val="00912339"/>
    <w:rsid w:val="0091254E"/>
    <w:rsid w:val="00912BBD"/>
    <w:rsid w:val="009133D7"/>
    <w:rsid w:val="00916202"/>
    <w:rsid w:val="00917EE3"/>
    <w:rsid w:val="0092080B"/>
    <w:rsid w:val="009212CE"/>
    <w:rsid w:val="00921C5C"/>
    <w:rsid w:val="00921E97"/>
    <w:rsid w:val="00922543"/>
    <w:rsid w:val="009233F0"/>
    <w:rsid w:val="00923C7B"/>
    <w:rsid w:val="00924035"/>
    <w:rsid w:val="00925A37"/>
    <w:rsid w:val="009266BD"/>
    <w:rsid w:val="00927517"/>
    <w:rsid w:val="0092764E"/>
    <w:rsid w:val="00927A1D"/>
    <w:rsid w:val="00927CCF"/>
    <w:rsid w:val="0093035B"/>
    <w:rsid w:val="009306B9"/>
    <w:rsid w:val="00930F28"/>
    <w:rsid w:val="00931A91"/>
    <w:rsid w:val="00931BBC"/>
    <w:rsid w:val="00931D90"/>
    <w:rsid w:val="00932097"/>
    <w:rsid w:val="00932454"/>
    <w:rsid w:val="009337E2"/>
    <w:rsid w:val="009337FB"/>
    <w:rsid w:val="00933916"/>
    <w:rsid w:val="00933CB8"/>
    <w:rsid w:val="009342EA"/>
    <w:rsid w:val="00934930"/>
    <w:rsid w:val="00942281"/>
    <w:rsid w:val="00942BF0"/>
    <w:rsid w:val="009455DE"/>
    <w:rsid w:val="00945759"/>
    <w:rsid w:val="009469B4"/>
    <w:rsid w:val="00946AC4"/>
    <w:rsid w:val="00946DA1"/>
    <w:rsid w:val="00950B61"/>
    <w:rsid w:val="00950CA8"/>
    <w:rsid w:val="00951052"/>
    <w:rsid w:val="009518A8"/>
    <w:rsid w:val="00952D50"/>
    <w:rsid w:val="00953B88"/>
    <w:rsid w:val="00954366"/>
    <w:rsid w:val="00954FE4"/>
    <w:rsid w:val="009552B1"/>
    <w:rsid w:val="00955596"/>
    <w:rsid w:val="009566D0"/>
    <w:rsid w:val="009572B4"/>
    <w:rsid w:val="00957551"/>
    <w:rsid w:val="0096093A"/>
    <w:rsid w:val="009609E9"/>
    <w:rsid w:val="00960ED1"/>
    <w:rsid w:val="0096139E"/>
    <w:rsid w:val="0096313A"/>
    <w:rsid w:val="0096322B"/>
    <w:rsid w:val="00963649"/>
    <w:rsid w:val="00963E13"/>
    <w:rsid w:val="00963F97"/>
    <w:rsid w:val="00964041"/>
    <w:rsid w:val="0096437D"/>
    <w:rsid w:val="009648E8"/>
    <w:rsid w:val="009677CE"/>
    <w:rsid w:val="009708CD"/>
    <w:rsid w:val="00971468"/>
    <w:rsid w:val="0097262D"/>
    <w:rsid w:val="00972C0F"/>
    <w:rsid w:val="00975B2C"/>
    <w:rsid w:val="00975EA7"/>
    <w:rsid w:val="00977E2D"/>
    <w:rsid w:val="00977FEA"/>
    <w:rsid w:val="009819F2"/>
    <w:rsid w:val="00981C3A"/>
    <w:rsid w:val="00982271"/>
    <w:rsid w:val="00982A43"/>
    <w:rsid w:val="00982E8B"/>
    <w:rsid w:val="009846AE"/>
    <w:rsid w:val="00984CC0"/>
    <w:rsid w:val="00985895"/>
    <w:rsid w:val="00985C89"/>
    <w:rsid w:val="00985FFF"/>
    <w:rsid w:val="00986224"/>
    <w:rsid w:val="009866DF"/>
    <w:rsid w:val="00986A6D"/>
    <w:rsid w:val="00986B6D"/>
    <w:rsid w:val="00987692"/>
    <w:rsid w:val="00987B22"/>
    <w:rsid w:val="00991363"/>
    <w:rsid w:val="0099208E"/>
    <w:rsid w:val="00992642"/>
    <w:rsid w:val="009928EF"/>
    <w:rsid w:val="00993AF4"/>
    <w:rsid w:val="0099477A"/>
    <w:rsid w:val="00996BCA"/>
    <w:rsid w:val="009A0B82"/>
    <w:rsid w:val="009A12B1"/>
    <w:rsid w:val="009A1331"/>
    <w:rsid w:val="009A371B"/>
    <w:rsid w:val="009A3C7D"/>
    <w:rsid w:val="009A4307"/>
    <w:rsid w:val="009A5375"/>
    <w:rsid w:val="009A63F5"/>
    <w:rsid w:val="009A78B5"/>
    <w:rsid w:val="009B0F26"/>
    <w:rsid w:val="009B1143"/>
    <w:rsid w:val="009B2806"/>
    <w:rsid w:val="009B287E"/>
    <w:rsid w:val="009B2C15"/>
    <w:rsid w:val="009B30EC"/>
    <w:rsid w:val="009B348A"/>
    <w:rsid w:val="009B3BDE"/>
    <w:rsid w:val="009B4666"/>
    <w:rsid w:val="009B46F4"/>
    <w:rsid w:val="009B4A25"/>
    <w:rsid w:val="009B7323"/>
    <w:rsid w:val="009B75C9"/>
    <w:rsid w:val="009B7A55"/>
    <w:rsid w:val="009C02B2"/>
    <w:rsid w:val="009C0789"/>
    <w:rsid w:val="009C1D47"/>
    <w:rsid w:val="009C2C28"/>
    <w:rsid w:val="009C375E"/>
    <w:rsid w:val="009C4974"/>
    <w:rsid w:val="009C4AFE"/>
    <w:rsid w:val="009C5FC9"/>
    <w:rsid w:val="009C6390"/>
    <w:rsid w:val="009C7101"/>
    <w:rsid w:val="009C7724"/>
    <w:rsid w:val="009C77A2"/>
    <w:rsid w:val="009C7E89"/>
    <w:rsid w:val="009D02EF"/>
    <w:rsid w:val="009D0847"/>
    <w:rsid w:val="009D099F"/>
    <w:rsid w:val="009D14FC"/>
    <w:rsid w:val="009D169E"/>
    <w:rsid w:val="009D1889"/>
    <w:rsid w:val="009D23EA"/>
    <w:rsid w:val="009D26E4"/>
    <w:rsid w:val="009D3899"/>
    <w:rsid w:val="009D3AE6"/>
    <w:rsid w:val="009D41E7"/>
    <w:rsid w:val="009D4A1D"/>
    <w:rsid w:val="009D55D4"/>
    <w:rsid w:val="009D6002"/>
    <w:rsid w:val="009D612C"/>
    <w:rsid w:val="009D710B"/>
    <w:rsid w:val="009D712C"/>
    <w:rsid w:val="009D7D1F"/>
    <w:rsid w:val="009D7DD6"/>
    <w:rsid w:val="009D7F20"/>
    <w:rsid w:val="009E0507"/>
    <w:rsid w:val="009E08A3"/>
    <w:rsid w:val="009E0B04"/>
    <w:rsid w:val="009E0C46"/>
    <w:rsid w:val="009E1A0D"/>
    <w:rsid w:val="009E1DD6"/>
    <w:rsid w:val="009E2174"/>
    <w:rsid w:val="009E2961"/>
    <w:rsid w:val="009E3F63"/>
    <w:rsid w:val="009E4190"/>
    <w:rsid w:val="009E60A4"/>
    <w:rsid w:val="009E66D9"/>
    <w:rsid w:val="009E6ADE"/>
    <w:rsid w:val="009E7306"/>
    <w:rsid w:val="009E73A3"/>
    <w:rsid w:val="009E7B4E"/>
    <w:rsid w:val="009F0A62"/>
    <w:rsid w:val="009F0ED5"/>
    <w:rsid w:val="009F1080"/>
    <w:rsid w:val="009F1BB7"/>
    <w:rsid w:val="009F373F"/>
    <w:rsid w:val="009F407D"/>
    <w:rsid w:val="009F454D"/>
    <w:rsid w:val="009F5335"/>
    <w:rsid w:val="009F5858"/>
    <w:rsid w:val="009F5B69"/>
    <w:rsid w:val="00A012ED"/>
    <w:rsid w:val="00A01828"/>
    <w:rsid w:val="00A01D4F"/>
    <w:rsid w:val="00A02EF6"/>
    <w:rsid w:val="00A03DAF"/>
    <w:rsid w:val="00A04887"/>
    <w:rsid w:val="00A04EE7"/>
    <w:rsid w:val="00A05D83"/>
    <w:rsid w:val="00A07DD8"/>
    <w:rsid w:val="00A10220"/>
    <w:rsid w:val="00A10335"/>
    <w:rsid w:val="00A117F8"/>
    <w:rsid w:val="00A123DF"/>
    <w:rsid w:val="00A126E6"/>
    <w:rsid w:val="00A1300C"/>
    <w:rsid w:val="00A14009"/>
    <w:rsid w:val="00A1438D"/>
    <w:rsid w:val="00A144DE"/>
    <w:rsid w:val="00A14E30"/>
    <w:rsid w:val="00A151FF"/>
    <w:rsid w:val="00A1524B"/>
    <w:rsid w:val="00A154D6"/>
    <w:rsid w:val="00A15B47"/>
    <w:rsid w:val="00A1781F"/>
    <w:rsid w:val="00A17E30"/>
    <w:rsid w:val="00A2187F"/>
    <w:rsid w:val="00A22021"/>
    <w:rsid w:val="00A22092"/>
    <w:rsid w:val="00A221D6"/>
    <w:rsid w:val="00A228A5"/>
    <w:rsid w:val="00A23B74"/>
    <w:rsid w:val="00A242B2"/>
    <w:rsid w:val="00A242E1"/>
    <w:rsid w:val="00A243B8"/>
    <w:rsid w:val="00A25D3C"/>
    <w:rsid w:val="00A262AE"/>
    <w:rsid w:val="00A270D3"/>
    <w:rsid w:val="00A30252"/>
    <w:rsid w:val="00A30774"/>
    <w:rsid w:val="00A31110"/>
    <w:rsid w:val="00A31FB7"/>
    <w:rsid w:val="00A321BE"/>
    <w:rsid w:val="00A32ABC"/>
    <w:rsid w:val="00A32F6D"/>
    <w:rsid w:val="00A33156"/>
    <w:rsid w:val="00A344C9"/>
    <w:rsid w:val="00A35180"/>
    <w:rsid w:val="00A364C0"/>
    <w:rsid w:val="00A36577"/>
    <w:rsid w:val="00A377BF"/>
    <w:rsid w:val="00A401C2"/>
    <w:rsid w:val="00A40CF2"/>
    <w:rsid w:val="00A410AB"/>
    <w:rsid w:val="00A42047"/>
    <w:rsid w:val="00A42B58"/>
    <w:rsid w:val="00A42D64"/>
    <w:rsid w:val="00A432D8"/>
    <w:rsid w:val="00A43FE9"/>
    <w:rsid w:val="00A44CDC"/>
    <w:rsid w:val="00A450EA"/>
    <w:rsid w:val="00A45930"/>
    <w:rsid w:val="00A461F3"/>
    <w:rsid w:val="00A46790"/>
    <w:rsid w:val="00A50600"/>
    <w:rsid w:val="00A50637"/>
    <w:rsid w:val="00A50906"/>
    <w:rsid w:val="00A526F7"/>
    <w:rsid w:val="00A5277A"/>
    <w:rsid w:val="00A529EA"/>
    <w:rsid w:val="00A52F7B"/>
    <w:rsid w:val="00A532D9"/>
    <w:rsid w:val="00A5337E"/>
    <w:rsid w:val="00A53C6B"/>
    <w:rsid w:val="00A54459"/>
    <w:rsid w:val="00A54F9F"/>
    <w:rsid w:val="00A55488"/>
    <w:rsid w:val="00A55AED"/>
    <w:rsid w:val="00A5683D"/>
    <w:rsid w:val="00A56A2B"/>
    <w:rsid w:val="00A60FAE"/>
    <w:rsid w:val="00A615CD"/>
    <w:rsid w:val="00A6164F"/>
    <w:rsid w:val="00A62D0D"/>
    <w:rsid w:val="00A638E7"/>
    <w:rsid w:val="00A64A19"/>
    <w:rsid w:val="00A64BE7"/>
    <w:rsid w:val="00A6783A"/>
    <w:rsid w:val="00A70DB8"/>
    <w:rsid w:val="00A71290"/>
    <w:rsid w:val="00A71756"/>
    <w:rsid w:val="00A7176C"/>
    <w:rsid w:val="00A717DC"/>
    <w:rsid w:val="00A7203A"/>
    <w:rsid w:val="00A72B71"/>
    <w:rsid w:val="00A7307D"/>
    <w:rsid w:val="00A733F6"/>
    <w:rsid w:val="00A74B72"/>
    <w:rsid w:val="00A75BE1"/>
    <w:rsid w:val="00A7684D"/>
    <w:rsid w:val="00A7749D"/>
    <w:rsid w:val="00A77A78"/>
    <w:rsid w:val="00A77D68"/>
    <w:rsid w:val="00A80411"/>
    <w:rsid w:val="00A804C9"/>
    <w:rsid w:val="00A81166"/>
    <w:rsid w:val="00A812AC"/>
    <w:rsid w:val="00A81599"/>
    <w:rsid w:val="00A815AC"/>
    <w:rsid w:val="00A8169E"/>
    <w:rsid w:val="00A81BA4"/>
    <w:rsid w:val="00A81BA9"/>
    <w:rsid w:val="00A81F86"/>
    <w:rsid w:val="00A82AAD"/>
    <w:rsid w:val="00A82BE3"/>
    <w:rsid w:val="00A84114"/>
    <w:rsid w:val="00A857F4"/>
    <w:rsid w:val="00A8598B"/>
    <w:rsid w:val="00A86CE1"/>
    <w:rsid w:val="00A87574"/>
    <w:rsid w:val="00A900FE"/>
    <w:rsid w:val="00A90F4E"/>
    <w:rsid w:val="00A9103A"/>
    <w:rsid w:val="00A913D1"/>
    <w:rsid w:val="00A91780"/>
    <w:rsid w:val="00A91AE3"/>
    <w:rsid w:val="00A922EF"/>
    <w:rsid w:val="00A93C87"/>
    <w:rsid w:val="00A94955"/>
    <w:rsid w:val="00A951AF"/>
    <w:rsid w:val="00A953A9"/>
    <w:rsid w:val="00A955C7"/>
    <w:rsid w:val="00A96C70"/>
    <w:rsid w:val="00A96FF8"/>
    <w:rsid w:val="00A972D4"/>
    <w:rsid w:val="00A97C4F"/>
    <w:rsid w:val="00AA1426"/>
    <w:rsid w:val="00AA1B5A"/>
    <w:rsid w:val="00AA342B"/>
    <w:rsid w:val="00AA3636"/>
    <w:rsid w:val="00AA5324"/>
    <w:rsid w:val="00AA547A"/>
    <w:rsid w:val="00AA5582"/>
    <w:rsid w:val="00AA75C4"/>
    <w:rsid w:val="00AA78CA"/>
    <w:rsid w:val="00AA7A15"/>
    <w:rsid w:val="00AA7C60"/>
    <w:rsid w:val="00AB0018"/>
    <w:rsid w:val="00AB0171"/>
    <w:rsid w:val="00AB01EE"/>
    <w:rsid w:val="00AB176C"/>
    <w:rsid w:val="00AB25DB"/>
    <w:rsid w:val="00AB2A7A"/>
    <w:rsid w:val="00AB2B1D"/>
    <w:rsid w:val="00AB2D62"/>
    <w:rsid w:val="00AB311F"/>
    <w:rsid w:val="00AB3B41"/>
    <w:rsid w:val="00AB3D1F"/>
    <w:rsid w:val="00AB41DE"/>
    <w:rsid w:val="00AB44B4"/>
    <w:rsid w:val="00AB485C"/>
    <w:rsid w:val="00AB4A9A"/>
    <w:rsid w:val="00AB5148"/>
    <w:rsid w:val="00AB5BCB"/>
    <w:rsid w:val="00AB68CF"/>
    <w:rsid w:val="00AB6B31"/>
    <w:rsid w:val="00AB6F44"/>
    <w:rsid w:val="00AB733E"/>
    <w:rsid w:val="00AB73C2"/>
    <w:rsid w:val="00AC066E"/>
    <w:rsid w:val="00AC0EDA"/>
    <w:rsid w:val="00AC1809"/>
    <w:rsid w:val="00AC21B9"/>
    <w:rsid w:val="00AC2612"/>
    <w:rsid w:val="00AC32E8"/>
    <w:rsid w:val="00AC35AC"/>
    <w:rsid w:val="00AC4078"/>
    <w:rsid w:val="00AC4367"/>
    <w:rsid w:val="00AC4B19"/>
    <w:rsid w:val="00AC4ED1"/>
    <w:rsid w:val="00AC5118"/>
    <w:rsid w:val="00AC51AB"/>
    <w:rsid w:val="00AC5DE7"/>
    <w:rsid w:val="00AC61AD"/>
    <w:rsid w:val="00AC66F0"/>
    <w:rsid w:val="00AC7C3D"/>
    <w:rsid w:val="00AD06A1"/>
    <w:rsid w:val="00AD0B65"/>
    <w:rsid w:val="00AD0FCC"/>
    <w:rsid w:val="00AD112F"/>
    <w:rsid w:val="00AD14EA"/>
    <w:rsid w:val="00AD1966"/>
    <w:rsid w:val="00AD1BEF"/>
    <w:rsid w:val="00AD1D17"/>
    <w:rsid w:val="00AD224F"/>
    <w:rsid w:val="00AD2D39"/>
    <w:rsid w:val="00AD2F1B"/>
    <w:rsid w:val="00AD3042"/>
    <w:rsid w:val="00AD368A"/>
    <w:rsid w:val="00AD38D4"/>
    <w:rsid w:val="00AD454A"/>
    <w:rsid w:val="00AD4939"/>
    <w:rsid w:val="00AD4B6E"/>
    <w:rsid w:val="00AD51B4"/>
    <w:rsid w:val="00AD6546"/>
    <w:rsid w:val="00AD75D3"/>
    <w:rsid w:val="00AD7F74"/>
    <w:rsid w:val="00AE0039"/>
    <w:rsid w:val="00AE07C3"/>
    <w:rsid w:val="00AE08FF"/>
    <w:rsid w:val="00AE1261"/>
    <w:rsid w:val="00AE131C"/>
    <w:rsid w:val="00AE2434"/>
    <w:rsid w:val="00AE2529"/>
    <w:rsid w:val="00AE2C9C"/>
    <w:rsid w:val="00AE35C9"/>
    <w:rsid w:val="00AE3EDA"/>
    <w:rsid w:val="00AE40C6"/>
    <w:rsid w:val="00AE44B0"/>
    <w:rsid w:val="00AE4E2F"/>
    <w:rsid w:val="00AE55B8"/>
    <w:rsid w:val="00AE55D8"/>
    <w:rsid w:val="00AE5692"/>
    <w:rsid w:val="00AE663A"/>
    <w:rsid w:val="00AE6A79"/>
    <w:rsid w:val="00AE6FE7"/>
    <w:rsid w:val="00AE70D6"/>
    <w:rsid w:val="00AE71D0"/>
    <w:rsid w:val="00AE7261"/>
    <w:rsid w:val="00AE732E"/>
    <w:rsid w:val="00AE78B1"/>
    <w:rsid w:val="00AF0E84"/>
    <w:rsid w:val="00AF215F"/>
    <w:rsid w:val="00AF3314"/>
    <w:rsid w:val="00AF41AF"/>
    <w:rsid w:val="00AF42CE"/>
    <w:rsid w:val="00AF433C"/>
    <w:rsid w:val="00AF438B"/>
    <w:rsid w:val="00AF48BB"/>
    <w:rsid w:val="00AF6819"/>
    <w:rsid w:val="00AF6F55"/>
    <w:rsid w:val="00AF7CA5"/>
    <w:rsid w:val="00AF7D6D"/>
    <w:rsid w:val="00B000EB"/>
    <w:rsid w:val="00B00DCE"/>
    <w:rsid w:val="00B0171C"/>
    <w:rsid w:val="00B01BCC"/>
    <w:rsid w:val="00B029CE"/>
    <w:rsid w:val="00B05921"/>
    <w:rsid w:val="00B069BE"/>
    <w:rsid w:val="00B07375"/>
    <w:rsid w:val="00B07825"/>
    <w:rsid w:val="00B10BDC"/>
    <w:rsid w:val="00B115D3"/>
    <w:rsid w:val="00B13470"/>
    <w:rsid w:val="00B13906"/>
    <w:rsid w:val="00B15459"/>
    <w:rsid w:val="00B161DA"/>
    <w:rsid w:val="00B178F9"/>
    <w:rsid w:val="00B17AB7"/>
    <w:rsid w:val="00B210E4"/>
    <w:rsid w:val="00B2111E"/>
    <w:rsid w:val="00B21CDE"/>
    <w:rsid w:val="00B23B9E"/>
    <w:rsid w:val="00B2420D"/>
    <w:rsid w:val="00B243D2"/>
    <w:rsid w:val="00B26306"/>
    <w:rsid w:val="00B26582"/>
    <w:rsid w:val="00B27A8D"/>
    <w:rsid w:val="00B32491"/>
    <w:rsid w:val="00B32F3D"/>
    <w:rsid w:val="00B32FC3"/>
    <w:rsid w:val="00B33B67"/>
    <w:rsid w:val="00B33CB4"/>
    <w:rsid w:val="00B348FE"/>
    <w:rsid w:val="00B35F1A"/>
    <w:rsid w:val="00B36BA2"/>
    <w:rsid w:val="00B4076A"/>
    <w:rsid w:val="00B42520"/>
    <w:rsid w:val="00B4263F"/>
    <w:rsid w:val="00B42DB3"/>
    <w:rsid w:val="00B435DD"/>
    <w:rsid w:val="00B4382D"/>
    <w:rsid w:val="00B43C61"/>
    <w:rsid w:val="00B43CB1"/>
    <w:rsid w:val="00B4494F"/>
    <w:rsid w:val="00B4526C"/>
    <w:rsid w:val="00B45637"/>
    <w:rsid w:val="00B4585F"/>
    <w:rsid w:val="00B464FE"/>
    <w:rsid w:val="00B46A1F"/>
    <w:rsid w:val="00B46AFF"/>
    <w:rsid w:val="00B476D2"/>
    <w:rsid w:val="00B47F36"/>
    <w:rsid w:val="00B50859"/>
    <w:rsid w:val="00B50B89"/>
    <w:rsid w:val="00B50FD5"/>
    <w:rsid w:val="00B5190C"/>
    <w:rsid w:val="00B52F74"/>
    <w:rsid w:val="00B53C8A"/>
    <w:rsid w:val="00B540C6"/>
    <w:rsid w:val="00B542CB"/>
    <w:rsid w:val="00B54334"/>
    <w:rsid w:val="00B55910"/>
    <w:rsid w:val="00B55E89"/>
    <w:rsid w:val="00B56B54"/>
    <w:rsid w:val="00B56D78"/>
    <w:rsid w:val="00B574D1"/>
    <w:rsid w:val="00B6009D"/>
    <w:rsid w:val="00B61852"/>
    <w:rsid w:val="00B63121"/>
    <w:rsid w:val="00B63751"/>
    <w:rsid w:val="00B64050"/>
    <w:rsid w:val="00B64ECD"/>
    <w:rsid w:val="00B65FCF"/>
    <w:rsid w:val="00B664DB"/>
    <w:rsid w:val="00B66771"/>
    <w:rsid w:val="00B700BF"/>
    <w:rsid w:val="00B72508"/>
    <w:rsid w:val="00B73932"/>
    <w:rsid w:val="00B75F88"/>
    <w:rsid w:val="00B773E8"/>
    <w:rsid w:val="00B80F54"/>
    <w:rsid w:val="00B814A5"/>
    <w:rsid w:val="00B8182B"/>
    <w:rsid w:val="00B81FED"/>
    <w:rsid w:val="00B8315D"/>
    <w:rsid w:val="00B83685"/>
    <w:rsid w:val="00B83827"/>
    <w:rsid w:val="00B84013"/>
    <w:rsid w:val="00B85BC4"/>
    <w:rsid w:val="00B86010"/>
    <w:rsid w:val="00B8672F"/>
    <w:rsid w:val="00B86799"/>
    <w:rsid w:val="00B870C9"/>
    <w:rsid w:val="00B87137"/>
    <w:rsid w:val="00B90098"/>
    <w:rsid w:val="00B90868"/>
    <w:rsid w:val="00B908AE"/>
    <w:rsid w:val="00B91247"/>
    <w:rsid w:val="00B919A3"/>
    <w:rsid w:val="00B92123"/>
    <w:rsid w:val="00B923CB"/>
    <w:rsid w:val="00B92512"/>
    <w:rsid w:val="00B9364C"/>
    <w:rsid w:val="00B93833"/>
    <w:rsid w:val="00B939E6"/>
    <w:rsid w:val="00B940D4"/>
    <w:rsid w:val="00B958BE"/>
    <w:rsid w:val="00B95E92"/>
    <w:rsid w:val="00B968F2"/>
    <w:rsid w:val="00B97883"/>
    <w:rsid w:val="00BA148C"/>
    <w:rsid w:val="00BA20A0"/>
    <w:rsid w:val="00BA27E5"/>
    <w:rsid w:val="00BA2A77"/>
    <w:rsid w:val="00BA35C7"/>
    <w:rsid w:val="00BA3666"/>
    <w:rsid w:val="00BA408A"/>
    <w:rsid w:val="00BA438E"/>
    <w:rsid w:val="00BA4535"/>
    <w:rsid w:val="00BA458D"/>
    <w:rsid w:val="00BA5FB2"/>
    <w:rsid w:val="00BA6B0A"/>
    <w:rsid w:val="00BA6D37"/>
    <w:rsid w:val="00BA6FC5"/>
    <w:rsid w:val="00BA7C17"/>
    <w:rsid w:val="00BB049D"/>
    <w:rsid w:val="00BB0646"/>
    <w:rsid w:val="00BB1A98"/>
    <w:rsid w:val="00BB1EF5"/>
    <w:rsid w:val="00BB4419"/>
    <w:rsid w:val="00BB4B4B"/>
    <w:rsid w:val="00BB4DB2"/>
    <w:rsid w:val="00BB5F15"/>
    <w:rsid w:val="00BB6D58"/>
    <w:rsid w:val="00BB7068"/>
    <w:rsid w:val="00BB7873"/>
    <w:rsid w:val="00BC0537"/>
    <w:rsid w:val="00BC210E"/>
    <w:rsid w:val="00BC410B"/>
    <w:rsid w:val="00BC4488"/>
    <w:rsid w:val="00BC5875"/>
    <w:rsid w:val="00BC6304"/>
    <w:rsid w:val="00BC6779"/>
    <w:rsid w:val="00BC682A"/>
    <w:rsid w:val="00BC6A39"/>
    <w:rsid w:val="00BC7101"/>
    <w:rsid w:val="00BC73C9"/>
    <w:rsid w:val="00BC73EF"/>
    <w:rsid w:val="00BD0A79"/>
    <w:rsid w:val="00BD102D"/>
    <w:rsid w:val="00BD17F1"/>
    <w:rsid w:val="00BD261B"/>
    <w:rsid w:val="00BD3489"/>
    <w:rsid w:val="00BD3D88"/>
    <w:rsid w:val="00BD429C"/>
    <w:rsid w:val="00BD45F8"/>
    <w:rsid w:val="00BD69A1"/>
    <w:rsid w:val="00BD7875"/>
    <w:rsid w:val="00BE0E21"/>
    <w:rsid w:val="00BE1781"/>
    <w:rsid w:val="00BE22E9"/>
    <w:rsid w:val="00BE4462"/>
    <w:rsid w:val="00BE4B6A"/>
    <w:rsid w:val="00BE5045"/>
    <w:rsid w:val="00BE53C6"/>
    <w:rsid w:val="00BE5A3A"/>
    <w:rsid w:val="00BE6D93"/>
    <w:rsid w:val="00BE7AFB"/>
    <w:rsid w:val="00BF096F"/>
    <w:rsid w:val="00BF0C8E"/>
    <w:rsid w:val="00BF1497"/>
    <w:rsid w:val="00BF1BAE"/>
    <w:rsid w:val="00BF20AF"/>
    <w:rsid w:val="00BF2973"/>
    <w:rsid w:val="00BF2C2D"/>
    <w:rsid w:val="00BF2C87"/>
    <w:rsid w:val="00BF31F6"/>
    <w:rsid w:val="00BF3262"/>
    <w:rsid w:val="00BF37A1"/>
    <w:rsid w:val="00BF3F64"/>
    <w:rsid w:val="00BF482A"/>
    <w:rsid w:val="00BF6F78"/>
    <w:rsid w:val="00C005A1"/>
    <w:rsid w:val="00C00B52"/>
    <w:rsid w:val="00C0112A"/>
    <w:rsid w:val="00C019B3"/>
    <w:rsid w:val="00C03744"/>
    <w:rsid w:val="00C05F7E"/>
    <w:rsid w:val="00C07394"/>
    <w:rsid w:val="00C077B7"/>
    <w:rsid w:val="00C07AAE"/>
    <w:rsid w:val="00C101DA"/>
    <w:rsid w:val="00C10769"/>
    <w:rsid w:val="00C10A33"/>
    <w:rsid w:val="00C10B36"/>
    <w:rsid w:val="00C1141D"/>
    <w:rsid w:val="00C12044"/>
    <w:rsid w:val="00C13084"/>
    <w:rsid w:val="00C139FB"/>
    <w:rsid w:val="00C14102"/>
    <w:rsid w:val="00C149AC"/>
    <w:rsid w:val="00C14A1E"/>
    <w:rsid w:val="00C14CDB"/>
    <w:rsid w:val="00C14CF2"/>
    <w:rsid w:val="00C14D01"/>
    <w:rsid w:val="00C15528"/>
    <w:rsid w:val="00C15C30"/>
    <w:rsid w:val="00C16787"/>
    <w:rsid w:val="00C169CA"/>
    <w:rsid w:val="00C17734"/>
    <w:rsid w:val="00C17AD3"/>
    <w:rsid w:val="00C21135"/>
    <w:rsid w:val="00C21515"/>
    <w:rsid w:val="00C22541"/>
    <w:rsid w:val="00C229A9"/>
    <w:rsid w:val="00C2328A"/>
    <w:rsid w:val="00C236DB"/>
    <w:rsid w:val="00C2388C"/>
    <w:rsid w:val="00C23DD3"/>
    <w:rsid w:val="00C24403"/>
    <w:rsid w:val="00C24A40"/>
    <w:rsid w:val="00C24AE1"/>
    <w:rsid w:val="00C2528E"/>
    <w:rsid w:val="00C25D1D"/>
    <w:rsid w:val="00C26FC2"/>
    <w:rsid w:val="00C27044"/>
    <w:rsid w:val="00C27355"/>
    <w:rsid w:val="00C27A2D"/>
    <w:rsid w:val="00C27F3C"/>
    <w:rsid w:val="00C32755"/>
    <w:rsid w:val="00C331FD"/>
    <w:rsid w:val="00C345A9"/>
    <w:rsid w:val="00C34A37"/>
    <w:rsid w:val="00C356F2"/>
    <w:rsid w:val="00C4044F"/>
    <w:rsid w:val="00C40E37"/>
    <w:rsid w:val="00C41F46"/>
    <w:rsid w:val="00C43E4D"/>
    <w:rsid w:val="00C440EF"/>
    <w:rsid w:val="00C45A1D"/>
    <w:rsid w:val="00C46A13"/>
    <w:rsid w:val="00C47C1E"/>
    <w:rsid w:val="00C501F6"/>
    <w:rsid w:val="00C51CC9"/>
    <w:rsid w:val="00C53550"/>
    <w:rsid w:val="00C54783"/>
    <w:rsid w:val="00C551E9"/>
    <w:rsid w:val="00C5661D"/>
    <w:rsid w:val="00C56E26"/>
    <w:rsid w:val="00C57B10"/>
    <w:rsid w:val="00C60936"/>
    <w:rsid w:val="00C60A0A"/>
    <w:rsid w:val="00C612D4"/>
    <w:rsid w:val="00C61557"/>
    <w:rsid w:val="00C6242F"/>
    <w:rsid w:val="00C62A2A"/>
    <w:rsid w:val="00C63310"/>
    <w:rsid w:val="00C63DE9"/>
    <w:rsid w:val="00C64B1B"/>
    <w:rsid w:val="00C65417"/>
    <w:rsid w:val="00C65DB5"/>
    <w:rsid w:val="00C65E11"/>
    <w:rsid w:val="00C6627E"/>
    <w:rsid w:val="00C66860"/>
    <w:rsid w:val="00C672A7"/>
    <w:rsid w:val="00C7058C"/>
    <w:rsid w:val="00C70820"/>
    <w:rsid w:val="00C7148B"/>
    <w:rsid w:val="00C71C9A"/>
    <w:rsid w:val="00C71EBF"/>
    <w:rsid w:val="00C71F9C"/>
    <w:rsid w:val="00C72400"/>
    <w:rsid w:val="00C72870"/>
    <w:rsid w:val="00C72C3E"/>
    <w:rsid w:val="00C730CF"/>
    <w:rsid w:val="00C738B1"/>
    <w:rsid w:val="00C74173"/>
    <w:rsid w:val="00C74B53"/>
    <w:rsid w:val="00C74C9A"/>
    <w:rsid w:val="00C74C9F"/>
    <w:rsid w:val="00C76AEF"/>
    <w:rsid w:val="00C76E0B"/>
    <w:rsid w:val="00C809D7"/>
    <w:rsid w:val="00C81096"/>
    <w:rsid w:val="00C826CB"/>
    <w:rsid w:val="00C82D7B"/>
    <w:rsid w:val="00C83879"/>
    <w:rsid w:val="00C8433A"/>
    <w:rsid w:val="00C85036"/>
    <w:rsid w:val="00C87458"/>
    <w:rsid w:val="00C87D49"/>
    <w:rsid w:val="00C9082A"/>
    <w:rsid w:val="00C9175A"/>
    <w:rsid w:val="00C91E4C"/>
    <w:rsid w:val="00C92990"/>
    <w:rsid w:val="00C95EAC"/>
    <w:rsid w:val="00C96413"/>
    <w:rsid w:val="00C96774"/>
    <w:rsid w:val="00C9699D"/>
    <w:rsid w:val="00C9733F"/>
    <w:rsid w:val="00CA1752"/>
    <w:rsid w:val="00CA1F03"/>
    <w:rsid w:val="00CA30D3"/>
    <w:rsid w:val="00CA327E"/>
    <w:rsid w:val="00CA380C"/>
    <w:rsid w:val="00CA4CC1"/>
    <w:rsid w:val="00CA4F2F"/>
    <w:rsid w:val="00CA5196"/>
    <w:rsid w:val="00CA54A3"/>
    <w:rsid w:val="00CA569B"/>
    <w:rsid w:val="00CA6000"/>
    <w:rsid w:val="00CA611B"/>
    <w:rsid w:val="00CA6705"/>
    <w:rsid w:val="00CA6F51"/>
    <w:rsid w:val="00CA7BDE"/>
    <w:rsid w:val="00CB0860"/>
    <w:rsid w:val="00CB0F16"/>
    <w:rsid w:val="00CB2DF8"/>
    <w:rsid w:val="00CB498C"/>
    <w:rsid w:val="00CB4A8E"/>
    <w:rsid w:val="00CB4B6E"/>
    <w:rsid w:val="00CB4C00"/>
    <w:rsid w:val="00CB4D8A"/>
    <w:rsid w:val="00CB52AB"/>
    <w:rsid w:val="00CB55C7"/>
    <w:rsid w:val="00CB5C6F"/>
    <w:rsid w:val="00CB5F98"/>
    <w:rsid w:val="00CB6146"/>
    <w:rsid w:val="00CB6363"/>
    <w:rsid w:val="00CB63D2"/>
    <w:rsid w:val="00CB6CEC"/>
    <w:rsid w:val="00CC0703"/>
    <w:rsid w:val="00CC0990"/>
    <w:rsid w:val="00CC1812"/>
    <w:rsid w:val="00CC3C49"/>
    <w:rsid w:val="00CC4227"/>
    <w:rsid w:val="00CC4746"/>
    <w:rsid w:val="00CC4BF4"/>
    <w:rsid w:val="00CC5436"/>
    <w:rsid w:val="00CC6748"/>
    <w:rsid w:val="00CC6B6D"/>
    <w:rsid w:val="00CC7696"/>
    <w:rsid w:val="00CC7D06"/>
    <w:rsid w:val="00CD0280"/>
    <w:rsid w:val="00CD086E"/>
    <w:rsid w:val="00CD0A00"/>
    <w:rsid w:val="00CD0D9C"/>
    <w:rsid w:val="00CD2B0D"/>
    <w:rsid w:val="00CD2F59"/>
    <w:rsid w:val="00CD3664"/>
    <w:rsid w:val="00CD3B4B"/>
    <w:rsid w:val="00CD402C"/>
    <w:rsid w:val="00CD43C0"/>
    <w:rsid w:val="00CD51F0"/>
    <w:rsid w:val="00CD6AA7"/>
    <w:rsid w:val="00CD7621"/>
    <w:rsid w:val="00CE028E"/>
    <w:rsid w:val="00CE0301"/>
    <w:rsid w:val="00CE1467"/>
    <w:rsid w:val="00CE1ACC"/>
    <w:rsid w:val="00CE1E79"/>
    <w:rsid w:val="00CE4082"/>
    <w:rsid w:val="00CE4847"/>
    <w:rsid w:val="00CE4C54"/>
    <w:rsid w:val="00CE557E"/>
    <w:rsid w:val="00CE6072"/>
    <w:rsid w:val="00CE6077"/>
    <w:rsid w:val="00CE634B"/>
    <w:rsid w:val="00CE7070"/>
    <w:rsid w:val="00CE7414"/>
    <w:rsid w:val="00CF0AA8"/>
    <w:rsid w:val="00CF0FD1"/>
    <w:rsid w:val="00CF15F9"/>
    <w:rsid w:val="00CF166A"/>
    <w:rsid w:val="00CF16C4"/>
    <w:rsid w:val="00CF2D4C"/>
    <w:rsid w:val="00CF5361"/>
    <w:rsid w:val="00CF73F3"/>
    <w:rsid w:val="00CF7D98"/>
    <w:rsid w:val="00CF7F6D"/>
    <w:rsid w:val="00D00040"/>
    <w:rsid w:val="00D0004F"/>
    <w:rsid w:val="00D010AE"/>
    <w:rsid w:val="00D013A7"/>
    <w:rsid w:val="00D01963"/>
    <w:rsid w:val="00D023CC"/>
    <w:rsid w:val="00D028B2"/>
    <w:rsid w:val="00D032C2"/>
    <w:rsid w:val="00D03395"/>
    <w:rsid w:val="00D03542"/>
    <w:rsid w:val="00D03961"/>
    <w:rsid w:val="00D03AA4"/>
    <w:rsid w:val="00D040E0"/>
    <w:rsid w:val="00D047C0"/>
    <w:rsid w:val="00D06B47"/>
    <w:rsid w:val="00D07EEE"/>
    <w:rsid w:val="00D10CD5"/>
    <w:rsid w:val="00D10D3E"/>
    <w:rsid w:val="00D11E66"/>
    <w:rsid w:val="00D128F5"/>
    <w:rsid w:val="00D1483A"/>
    <w:rsid w:val="00D14C68"/>
    <w:rsid w:val="00D14D2D"/>
    <w:rsid w:val="00D151AB"/>
    <w:rsid w:val="00D159D2"/>
    <w:rsid w:val="00D15DFC"/>
    <w:rsid w:val="00D17430"/>
    <w:rsid w:val="00D177A1"/>
    <w:rsid w:val="00D202FE"/>
    <w:rsid w:val="00D20B09"/>
    <w:rsid w:val="00D20F7E"/>
    <w:rsid w:val="00D2100D"/>
    <w:rsid w:val="00D22215"/>
    <w:rsid w:val="00D222E4"/>
    <w:rsid w:val="00D22DEB"/>
    <w:rsid w:val="00D23489"/>
    <w:rsid w:val="00D24044"/>
    <w:rsid w:val="00D241A1"/>
    <w:rsid w:val="00D241C1"/>
    <w:rsid w:val="00D24F34"/>
    <w:rsid w:val="00D25599"/>
    <w:rsid w:val="00D2565A"/>
    <w:rsid w:val="00D26127"/>
    <w:rsid w:val="00D265BF"/>
    <w:rsid w:val="00D26FC9"/>
    <w:rsid w:val="00D27333"/>
    <w:rsid w:val="00D277F6"/>
    <w:rsid w:val="00D27D91"/>
    <w:rsid w:val="00D301D9"/>
    <w:rsid w:val="00D30444"/>
    <w:rsid w:val="00D30542"/>
    <w:rsid w:val="00D3131B"/>
    <w:rsid w:val="00D3143D"/>
    <w:rsid w:val="00D316A9"/>
    <w:rsid w:val="00D31819"/>
    <w:rsid w:val="00D31838"/>
    <w:rsid w:val="00D31E91"/>
    <w:rsid w:val="00D31F84"/>
    <w:rsid w:val="00D33A0C"/>
    <w:rsid w:val="00D33ED6"/>
    <w:rsid w:val="00D3436E"/>
    <w:rsid w:val="00D351D3"/>
    <w:rsid w:val="00D35437"/>
    <w:rsid w:val="00D36BF8"/>
    <w:rsid w:val="00D40935"/>
    <w:rsid w:val="00D40AC6"/>
    <w:rsid w:val="00D40B0E"/>
    <w:rsid w:val="00D41A37"/>
    <w:rsid w:val="00D431FB"/>
    <w:rsid w:val="00D43829"/>
    <w:rsid w:val="00D43859"/>
    <w:rsid w:val="00D43CB2"/>
    <w:rsid w:val="00D45C55"/>
    <w:rsid w:val="00D45CE9"/>
    <w:rsid w:val="00D45D35"/>
    <w:rsid w:val="00D461B7"/>
    <w:rsid w:val="00D46517"/>
    <w:rsid w:val="00D46CE0"/>
    <w:rsid w:val="00D46E2C"/>
    <w:rsid w:val="00D50B34"/>
    <w:rsid w:val="00D515D2"/>
    <w:rsid w:val="00D518F1"/>
    <w:rsid w:val="00D5291E"/>
    <w:rsid w:val="00D52EDF"/>
    <w:rsid w:val="00D534BE"/>
    <w:rsid w:val="00D54110"/>
    <w:rsid w:val="00D56AA0"/>
    <w:rsid w:val="00D57C08"/>
    <w:rsid w:val="00D611DF"/>
    <w:rsid w:val="00D614FE"/>
    <w:rsid w:val="00D61B34"/>
    <w:rsid w:val="00D62B05"/>
    <w:rsid w:val="00D648DB"/>
    <w:rsid w:val="00D65CB6"/>
    <w:rsid w:val="00D66F93"/>
    <w:rsid w:val="00D6755D"/>
    <w:rsid w:val="00D6797B"/>
    <w:rsid w:val="00D67BBB"/>
    <w:rsid w:val="00D67D7E"/>
    <w:rsid w:val="00D7017C"/>
    <w:rsid w:val="00D70284"/>
    <w:rsid w:val="00D70563"/>
    <w:rsid w:val="00D70A80"/>
    <w:rsid w:val="00D72556"/>
    <w:rsid w:val="00D73DFB"/>
    <w:rsid w:val="00D7488B"/>
    <w:rsid w:val="00D74E16"/>
    <w:rsid w:val="00D75521"/>
    <w:rsid w:val="00D75838"/>
    <w:rsid w:val="00D76BA6"/>
    <w:rsid w:val="00D7768F"/>
    <w:rsid w:val="00D80113"/>
    <w:rsid w:val="00D804B1"/>
    <w:rsid w:val="00D81177"/>
    <w:rsid w:val="00D8260B"/>
    <w:rsid w:val="00D84979"/>
    <w:rsid w:val="00D86A29"/>
    <w:rsid w:val="00D86BF5"/>
    <w:rsid w:val="00D87604"/>
    <w:rsid w:val="00D87E2C"/>
    <w:rsid w:val="00D90230"/>
    <w:rsid w:val="00D9142A"/>
    <w:rsid w:val="00D91C23"/>
    <w:rsid w:val="00D92A76"/>
    <w:rsid w:val="00D92A7E"/>
    <w:rsid w:val="00D932E7"/>
    <w:rsid w:val="00D93A22"/>
    <w:rsid w:val="00D9421B"/>
    <w:rsid w:val="00D95518"/>
    <w:rsid w:val="00D95683"/>
    <w:rsid w:val="00D96C6F"/>
    <w:rsid w:val="00D97BB4"/>
    <w:rsid w:val="00DA01D6"/>
    <w:rsid w:val="00DA06A9"/>
    <w:rsid w:val="00DA111E"/>
    <w:rsid w:val="00DA1469"/>
    <w:rsid w:val="00DA1E96"/>
    <w:rsid w:val="00DA257D"/>
    <w:rsid w:val="00DA3D3D"/>
    <w:rsid w:val="00DA3DB9"/>
    <w:rsid w:val="00DA3FA4"/>
    <w:rsid w:val="00DA4010"/>
    <w:rsid w:val="00DA4863"/>
    <w:rsid w:val="00DA62C0"/>
    <w:rsid w:val="00DA63B4"/>
    <w:rsid w:val="00DA66C5"/>
    <w:rsid w:val="00DB068B"/>
    <w:rsid w:val="00DB07A2"/>
    <w:rsid w:val="00DB09AD"/>
    <w:rsid w:val="00DB0FD3"/>
    <w:rsid w:val="00DB29E4"/>
    <w:rsid w:val="00DB36CA"/>
    <w:rsid w:val="00DB4330"/>
    <w:rsid w:val="00DB4B51"/>
    <w:rsid w:val="00DB56ED"/>
    <w:rsid w:val="00DB5FE2"/>
    <w:rsid w:val="00DB62A0"/>
    <w:rsid w:val="00DB7929"/>
    <w:rsid w:val="00DC0AC2"/>
    <w:rsid w:val="00DC2042"/>
    <w:rsid w:val="00DC2280"/>
    <w:rsid w:val="00DC2C56"/>
    <w:rsid w:val="00DC2DA4"/>
    <w:rsid w:val="00DC37BB"/>
    <w:rsid w:val="00DC4857"/>
    <w:rsid w:val="00DC5482"/>
    <w:rsid w:val="00DC595E"/>
    <w:rsid w:val="00DC59AA"/>
    <w:rsid w:val="00DC5DB9"/>
    <w:rsid w:val="00DC5F62"/>
    <w:rsid w:val="00DC724B"/>
    <w:rsid w:val="00DC75C1"/>
    <w:rsid w:val="00DC7FF6"/>
    <w:rsid w:val="00DD05A3"/>
    <w:rsid w:val="00DD06E0"/>
    <w:rsid w:val="00DD0F31"/>
    <w:rsid w:val="00DD1256"/>
    <w:rsid w:val="00DD1B68"/>
    <w:rsid w:val="00DD28A7"/>
    <w:rsid w:val="00DD2D52"/>
    <w:rsid w:val="00DD3051"/>
    <w:rsid w:val="00DD3D1E"/>
    <w:rsid w:val="00DD45BF"/>
    <w:rsid w:val="00DD4E0E"/>
    <w:rsid w:val="00DD52BE"/>
    <w:rsid w:val="00DD67F4"/>
    <w:rsid w:val="00DD756B"/>
    <w:rsid w:val="00DD7CB2"/>
    <w:rsid w:val="00DE09E5"/>
    <w:rsid w:val="00DE0B5C"/>
    <w:rsid w:val="00DE0B7A"/>
    <w:rsid w:val="00DE0CFE"/>
    <w:rsid w:val="00DE0E8E"/>
    <w:rsid w:val="00DE1E3A"/>
    <w:rsid w:val="00DE241F"/>
    <w:rsid w:val="00DE24E6"/>
    <w:rsid w:val="00DE3303"/>
    <w:rsid w:val="00DE34DD"/>
    <w:rsid w:val="00DE5160"/>
    <w:rsid w:val="00DE6E74"/>
    <w:rsid w:val="00DF0591"/>
    <w:rsid w:val="00DF0825"/>
    <w:rsid w:val="00DF098E"/>
    <w:rsid w:val="00DF0E13"/>
    <w:rsid w:val="00DF18DC"/>
    <w:rsid w:val="00DF1C28"/>
    <w:rsid w:val="00DF1F7E"/>
    <w:rsid w:val="00DF336C"/>
    <w:rsid w:val="00DF44A7"/>
    <w:rsid w:val="00DF5DFE"/>
    <w:rsid w:val="00DF69EE"/>
    <w:rsid w:val="00DF7548"/>
    <w:rsid w:val="00E006E5"/>
    <w:rsid w:val="00E0096F"/>
    <w:rsid w:val="00E01DA6"/>
    <w:rsid w:val="00E01FF5"/>
    <w:rsid w:val="00E02132"/>
    <w:rsid w:val="00E02865"/>
    <w:rsid w:val="00E02B08"/>
    <w:rsid w:val="00E02E97"/>
    <w:rsid w:val="00E04966"/>
    <w:rsid w:val="00E04E3A"/>
    <w:rsid w:val="00E05167"/>
    <w:rsid w:val="00E05374"/>
    <w:rsid w:val="00E072E6"/>
    <w:rsid w:val="00E11833"/>
    <w:rsid w:val="00E12953"/>
    <w:rsid w:val="00E135C6"/>
    <w:rsid w:val="00E15BA6"/>
    <w:rsid w:val="00E1661C"/>
    <w:rsid w:val="00E1674D"/>
    <w:rsid w:val="00E170E3"/>
    <w:rsid w:val="00E17193"/>
    <w:rsid w:val="00E17332"/>
    <w:rsid w:val="00E17E75"/>
    <w:rsid w:val="00E20701"/>
    <w:rsid w:val="00E2099D"/>
    <w:rsid w:val="00E209F0"/>
    <w:rsid w:val="00E21A4D"/>
    <w:rsid w:val="00E21A4E"/>
    <w:rsid w:val="00E221B4"/>
    <w:rsid w:val="00E23340"/>
    <w:rsid w:val="00E252B9"/>
    <w:rsid w:val="00E258B9"/>
    <w:rsid w:val="00E25C6F"/>
    <w:rsid w:val="00E271A1"/>
    <w:rsid w:val="00E2763F"/>
    <w:rsid w:val="00E2778E"/>
    <w:rsid w:val="00E279BA"/>
    <w:rsid w:val="00E30075"/>
    <w:rsid w:val="00E30CCE"/>
    <w:rsid w:val="00E312BE"/>
    <w:rsid w:val="00E3143C"/>
    <w:rsid w:val="00E31A6D"/>
    <w:rsid w:val="00E329E4"/>
    <w:rsid w:val="00E32A59"/>
    <w:rsid w:val="00E334A0"/>
    <w:rsid w:val="00E33526"/>
    <w:rsid w:val="00E335C3"/>
    <w:rsid w:val="00E33CC7"/>
    <w:rsid w:val="00E34DED"/>
    <w:rsid w:val="00E35768"/>
    <w:rsid w:val="00E35790"/>
    <w:rsid w:val="00E35FB1"/>
    <w:rsid w:val="00E36AE8"/>
    <w:rsid w:val="00E3716E"/>
    <w:rsid w:val="00E37DA1"/>
    <w:rsid w:val="00E400E5"/>
    <w:rsid w:val="00E4047B"/>
    <w:rsid w:val="00E40ECA"/>
    <w:rsid w:val="00E40FFD"/>
    <w:rsid w:val="00E41008"/>
    <w:rsid w:val="00E41368"/>
    <w:rsid w:val="00E41889"/>
    <w:rsid w:val="00E43C67"/>
    <w:rsid w:val="00E4428E"/>
    <w:rsid w:val="00E44E90"/>
    <w:rsid w:val="00E463C1"/>
    <w:rsid w:val="00E4659E"/>
    <w:rsid w:val="00E47E04"/>
    <w:rsid w:val="00E50D60"/>
    <w:rsid w:val="00E51676"/>
    <w:rsid w:val="00E51D5F"/>
    <w:rsid w:val="00E51FFC"/>
    <w:rsid w:val="00E523D9"/>
    <w:rsid w:val="00E530C3"/>
    <w:rsid w:val="00E533D5"/>
    <w:rsid w:val="00E538C6"/>
    <w:rsid w:val="00E53A10"/>
    <w:rsid w:val="00E545C7"/>
    <w:rsid w:val="00E54B94"/>
    <w:rsid w:val="00E55210"/>
    <w:rsid w:val="00E554AB"/>
    <w:rsid w:val="00E554B3"/>
    <w:rsid w:val="00E60866"/>
    <w:rsid w:val="00E61160"/>
    <w:rsid w:val="00E61670"/>
    <w:rsid w:val="00E62095"/>
    <w:rsid w:val="00E62D11"/>
    <w:rsid w:val="00E63771"/>
    <w:rsid w:val="00E64B02"/>
    <w:rsid w:val="00E64FCE"/>
    <w:rsid w:val="00E65037"/>
    <w:rsid w:val="00E65A3F"/>
    <w:rsid w:val="00E65BF3"/>
    <w:rsid w:val="00E65FEE"/>
    <w:rsid w:val="00E67CC4"/>
    <w:rsid w:val="00E70174"/>
    <w:rsid w:val="00E7031D"/>
    <w:rsid w:val="00E70556"/>
    <w:rsid w:val="00E70857"/>
    <w:rsid w:val="00E709F3"/>
    <w:rsid w:val="00E70A09"/>
    <w:rsid w:val="00E71D91"/>
    <w:rsid w:val="00E720FA"/>
    <w:rsid w:val="00E7218D"/>
    <w:rsid w:val="00E72361"/>
    <w:rsid w:val="00E726BA"/>
    <w:rsid w:val="00E73685"/>
    <w:rsid w:val="00E73C7C"/>
    <w:rsid w:val="00E743A8"/>
    <w:rsid w:val="00E745C9"/>
    <w:rsid w:val="00E75627"/>
    <w:rsid w:val="00E75E63"/>
    <w:rsid w:val="00E7677D"/>
    <w:rsid w:val="00E769D3"/>
    <w:rsid w:val="00E7757F"/>
    <w:rsid w:val="00E77B89"/>
    <w:rsid w:val="00E8012C"/>
    <w:rsid w:val="00E80470"/>
    <w:rsid w:val="00E80835"/>
    <w:rsid w:val="00E8148F"/>
    <w:rsid w:val="00E814D9"/>
    <w:rsid w:val="00E8173A"/>
    <w:rsid w:val="00E8177C"/>
    <w:rsid w:val="00E81F0C"/>
    <w:rsid w:val="00E820F3"/>
    <w:rsid w:val="00E8383A"/>
    <w:rsid w:val="00E83965"/>
    <w:rsid w:val="00E845CD"/>
    <w:rsid w:val="00E846BF"/>
    <w:rsid w:val="00E85771"/>
    <w:rsid w:val="00E85CCB"/>
    <w:rsid w:val="00E86953"/>
    <w:rsid w:val="00E86D3F"/>
    <w:rsid w:val="00E87B2E"/>
    <w:rsid w:val="00E87D13"/>
    <w:rsid w:val="00E91741"/>
    <w:rsid w:val="00E9187D"/>
    <w:rsid w:val="00E91D45"/>
    <w:rsid w:val="00E91E24"/>
    <w:rsid w:val="00E926C5"/>
    <w:rsid w:val="00E92E37"/>
    <w:rsid w:val="00E93733"/>
    <w:rsid w:val="00E93C78"/>
    <w:rsid w:val="00E93FB6"/>
    <w:rsid w:val="00E93FFB"/>
    <w:rsid w:val="00E96DCA"/>
    <w:rsid w:val="00E97E88"/>
    <w:rsid w:val="00EA0582"/>
    <w:rsid w:val="00EA0838"/>
    <w:rsid w:val="00EA0ACD"/>
    <w:rsid w:val="00EA11E5"/>
    <w:rsid w:val="00EA1C01"/>
    <w:rsid w:val="00EA2153"/>
    <w:rsid w:val="00EA34CF"/>
    <w:rsid w:val="00EA3DBB"/>
    <w:rsid w:val="00EA621A"/>
    <w:rsid w:val="00EA633F"/>
    <w:rsid w:val="00EA6A13"/>
    <w:rsid w:val="00EA6B1A"/>
    <w:rsid w:val="00EB194D"/>
    <w:rsid w:val="00EB1B13"/>
    <w:rsid w:val="00EB2A85"/>
    <w:rsid w:val="00EB2AC1"/>
    <w:rsid w:val="00EB4AC7"/>
    <w:rsid w:val="00EB4D2C"/>
    <w:rsid w:val="00EB50BC"/>
    <w:rsid w:val="00EB52E2"/>
    <w:rsid w:val="00EB574B"/>
    <w:rsid w:val="00EB5A88"/>
    <w:rsid w:val="00EB5AD1"/>
    <w:rsid w:val="00EB68B8"/>
    <w:rsid w:val="00EC0B6E"/>
    <w:rsid w:val="00EC0B79"/>
    <w:rsid w:val="00EC0FCB"/>
    <w:rsid w:val="00EC2B71"/>
    <w:rsid w:val="00EC2F62"/>
    <w:rsid w:val="00EC3F28"/>
    <w:rsid w:val="00EC46E1"/>
    <w:rsid w:val="00EC48B3"/>
    <w:rsid w:val="00EC51CB"/>
    <w:rsid w:val="00EC5E2C"/>
    <w:rsid w:val="00EC610D"/>
    <w:rsid w:val="00ED1985"/>
    <w:rsid w:val="00ED22B3"/>
    <w:rsid w:val="00ED2CD1"/>
    <w:rsid w:val="00ED35C7"/>
    <w:rsid w:val="00ED3FAA"/>
    <w:rsid w:val="00ED46D0"/>
    <w:rsid w:val="00ED510A"/>
    <w:rsid w:val="00ED5721"/>
    <w:rsid w:val="00ED62B0"/>
    <w:rsid w:val="00ED7934"/>
    <w:rsid w:val="00ED7C8E"/>
    <w:rsid w:val="00EE03F2"/>
    <w:rsid w:val="00EE16EA"/>
    <w:rsid w:val="00EE1953"/>
    <w:rsid w:val="00EE20E4"/>
    <w:rsid w:val="00EE2EA9"/>
    <w:rsid w:val="00EE311E"/>
    <w:rsid w:val="00EE313B"/>
    <w:rsid w:val="00EE3B65"/>
    <w:rsid w:val="00EE46EE"/>
    <w:rsid w:val="00EE6EA2"/>
    <w:rsid w:val="00EE6EE3"/>
    <w:rsid w:val="00EE7063"/>
    <w:rsid w:val="00EE7789"/>
    <w:rsid w:val="00EE7807"/>
    <w:rsid w:val="00EE7C2B"/>
    <w:rsid w:val="00EF00B8"/>
    <w:rsid w:val="00EF24D7"/>
    <w:rsid w:val="00EF3262"/>
    <w:rsid w:val="00EF4395"/>
    <w:rsid w:val="00EF4BCA"/>
    <w:rsid w:val="00EF506F"/>
    <w:rsid w:val="00EF554D"/>
    <w:rsid w:val="00EF5640"/>
    <w:rsid w:val="00EF5C93"/>
    <w:rsid w:val="00EF63A3"/>
    <w:rsid w:val="00EF6586"/>
    <w:rsid w:val="00EF66E7"/>
    <w:rsid w:val="00EF6EA3"/>
    <w:rsid w:val="00EF7188"/>
    <w:rsid w:val="00EF72FB"/>
    <w:rsid w:val="00F00919"/>
    <w:rsid w:val="00F01018"/>
    <w:rsid w:val="00F013C1"/>
    <w:rsid w:val="00F016B6"/>
    <w:rsid w:val="00F01C0E"/>
    <w:rsid w:val="00F01C8D"/>
    <w:rsid w:val="00F020E6"/>
    <w:rsid w:val="00F02586"/>
    <w:rsid w:val="00F049A3"/>
    <w:rsid w:val="00F06503"/>
    <w:rsid w:val="00F07585"/>
    <w:rsid w:val="00F0779F"/>
    <w:rsid w:val="00F07D58"/>
    <w:rsid w:val="00F1318D"/>
    <w:rsid w:val="00F133A7"/>
    <w:rsid w:val="00F13B20"/>
    <w:rsid w:val="00F145AE"/>
    <w:rsid w:val="00F148AE"/>
    <w:rsid w:val="00F16400"/>
    <w:rsid w:val="00F16441"/>
    <w:rsid w:val="00F164C0"/>
    <w:rsid w:val="00F16970"/>
    <w:rsid w:val="00F17840"/>
    <w:rsid w:val="00F20447"/>
    <w:rsid w:val="00F23771"/>
    <w:rsid w:val="00F23E0A"/>
    <w:rsid w:val="00F243A1"/>
    <w:rsid w:val="00F25C21"/>
    <w:rsid w:val="00F27092"/>
    <w:rsid w:val="00F30C88"/>
    <w:rsid w:val="00F30E65"/>
    <w:rsid w:val="00F310AC"/>
    <w:rsid w:val="00F310FE"/>
    <w:rsid w:val="00F31134"/>
    <w:rsid w:val="00F325D7"/>
    <w:rsid w:val="00F333B1"/>
    <w:rsid w:val="00F345EE"/>
    <w:rsid w:val="00F35FB0"/>
    <w:rsid w:val="00F36534"/>
    <w:rsid w:val="00F36B30"/>
    <w:rsid w:val="00F40461"/>
    <w:rsid w:val="00F4060D"/>
    <w:rsid w:val="00F40873"/>
    <w:rsid w:val="00F40A5B"/>
    <w:rsid w:val="00F4132F"/>
    <w:rsid w:val="00F41354"/>
    <w:rsid w:val="00F41BB2"/>
    <w:rsid w:val="00F41F28"/>
    <w:rsid w:val="00F4217B"/>
    <w:rsid w:val="00F426DE"/>
    <w:rsid w:val="00F42A6E"/>
    <w:rsid w:val="00F43BB3"/>
    <w:rsid w:val="00F44582"/>
    <w:rsid w:val="00F44880"/>
    <w:rsid w:val="00F44CD3"/>
    <w:rsid w:val="00F453B7"/>
    <w:rsid w:val="00F46691"/>
    <w:rsid w:val="00F46D07"/>
    <w:rsid w:val="00F4731A"/>
    <w:rsid w:val="00F475FC"/>
    <w:rsid w:val="00F47649"/>
    <w:rsid w:val="00F47A2C"/>
    <w:rsid w:val="00F50211"/>
    <w:rsid w:val="00F5187A"/>
    <w:rsid w:val="00F51B1B"/>
    <w:rsid w:val="00F51F3B"/>
    <w:rsid w:val="00F5216C"/>
    <w:rsid w:val="00F52CC4"/>
    <w:rsid w:val="00F5501C"/>
    <w:rsid w:val="00F550A4"/>
    <w:rsid w:val="00F5511D"/>
    <w:rsid w:val="00F5517E"/>
    <w:rsid w:val="00F56B47"/>
    <w:rsid w:val="00F56D22"/>
    <w:rsid w:val="00F57800"/>
    <w:rsid w:val="00F579E2"/>
    <w:rsid w:val="00F603A0"/>
    <w:rsid w:val="00F603A6"/>
    <w:rsid w:val="00F60AB7"/>
    <w:rsid w:val="00F618F3"/>
    <w:rsid w:val="00F627E9"/>
    <w:rsid w:val="00F655BB"/>
    <w:rsid w:val="00F657EA"/>
    <w:rsid w:val="00F66019"/>
    <w:rsid w:val="00F660C6"/>
    <w:rsid w:val="00F70485"/>
    <w:rsid w:val="00F70685"/>
    <w:rsid w:val="00F717BE"/>
    <w:rsid w:val="00F71C27"/>
    <w:rsid w:val="00F71E90"/>
    <w:rsid w:val="00F72D0E"/>
    <w:rsid w:val="00F74573"/>
    <w:rsid w:val="00F74889"/>
    <w:rsid w:val="00F74B30"/>
    <w:rsid w:val="00F75AB9"/>
    <w:rsid w:val="00F75B23"/>
    <w:rsid w:val="00F75D8C"/>
    <w:rsid w:val="00F77141"/>
    <w:rsid w:val="00F80090"/>
    <w:rsid w:val="00F800A7"/>
    <w:rsid w:val="00F80B00"/>
    <w:rsid w:val="00F80B62"/>
    <w:rsid w:val="00F80E17"/>
    <w:rsid w:val="00F813D4"/>
    <w:rsid w:val="00F8169F"/>
    <w:rsid w:val="00F82C37"/>
    <w:rsid w:val="00F83633"/>
    <w:rsid w:val="00F837CE"/>
    <w:rsid w:val="00F83CBB"/>
    <w:rsid w:val="00F84166"/>
    <w:rsid w:val="00F845A1"/>
    <w:rsid w:val="00F8550C"/>
    <w:rsid w:val="00F8622C"/>
    <w:rsid w:val="00F86BC0"/>
    <w:rsid w:val="00F870E8"/>
    <w:rsid w:val="00F8795A"/>
    <w:rsid w:val="00F90740"/>
    <w:rsid w:val="00F91161"/>
    <w:rsid w:val="00F91363"/>
    <w:rsid w:val="00F9168E"/>
    <w:rsid w:val="00F91CC4"/>
    <w:rsid w:val="00F92FA6"/>
    <w:rsid w:val="00F9404A"/>
    <w:rsid w:val="00F940ED"/>
    <w:rsid w:val="00F96A56"/>
    <w:rsid w:val="00F96D95"/>
    <w:rsid w:val="00F96F9E"/>
    <w:rsid w:val="00FA163A"/>
    <w:rsid w:val="00FA2FE3"/>
    <w:rsid w:val="00FA3651"/>
    <w:rsid w:val="00FA3920"/>
    <w:rsid w:val="00FA3B0F"/>
    <w:rsid w:val="00FA3D7F"/>
    <w:rsid w:val="00FA44D5"/>
    <w:rsid w:val="00FA4EEA"/>
    <w:rsid w:val="00FA57A9"/>
    <w:rsid w:val="00FA59F7"/>
    <w:rsid w:val="00FA5D83"/>
    <w:rsid w:val="00FA5DC6"/>
    <w:rsid w:val="00FA60F0"/>
    <w:rsid w:val="00FA6F41"/>
    <w:rsid w:val="00FB0156"/>
    <w:rsid w:val="00FB0260"/>
    <w:rsid w:val="00FB15C0"/>
    <w:rsid w:val="00FB2444"/>
    <w:rsid w:val="00FB2678"/>
    <w:rsid w:val="00FB2AF8"/>
    <w:rsid w:val="00FB3657"/>
    <w:rsid w:val="00FB489B"/>
    <w:rsid w:val="00FB4BD4"/>
    <w:rsid w:val="00FB4DC8"/>
    <w:rsid w:val="00FB53B7"/>
    <w:rsid w:val="00FB688A"/>
    <w:rsid w:val="00FB6A40"/>
    <w:rsid w:val="00FB6EE3"/>
    <w:rsid w:val="00FB71A8"/>
    <w:rsid w:val="00FB7AC3"/>
    <w:rsid w:val="00FC0D69"/>
    <w:rsid w:val="00FC1A57"/>
    <w:rsid w:val="00FC1F6C"/>
    <w:rsid w:val="00FC2096"/>
    <w:rsid w:val="00FC42D0"/>
    <w:rsid w:val="00FC4C90"/>
    <w:rsid w:val="00FC4FD6"/>
    <w:rsid w:val="00FC5B8E"/>
    <w:rsid w:val="00FC5D46"/>
    <w:rsid w:val="00FC5FC1"/>
    <w:rsid w:val="00FC62D5"/>
    <w:rsid w:val="00FC6765"/>
    <w:rsid w:val="00FC6D2F"/>
    <w:rsid w:val="00FD05E4"/>
    <w:rsid w:val="00FD0D57"/>
    <w:rsid w:val="00FD0D7D"/>
    <w:rsid w:val="00FD1148"/>
    <w:rsid w:val="00FD274D"/>
    <w:rsid w:val="00FD2CEE"/>
    <w:rsid w:val="00FD36F4"/>
    <w:rsid w:val="00FD3AFC"/>
    <w:rsid w:val="00FD4044"/>
    <w:rsid w:val="00FD49AB"/>
    <w:rsid w:val="00FD4B54"/>
    <w:rsid w:val="00FD4F58"/>
    <w:rsid w:val="00FD50DC"/>
    <w:rsid w:val="00FD668B"/>
    <w:rsid w:val="00FD671F"/>
    <w:rsid w:val="00FD69C4"/>
    <w:rsid w:val="00FD7150"/>
    <w:rsid w:val="00FE03D8"/>
    <w:rsid w:val="00FE0595"/>
    <w:rsid w:val="00FE160C"/>
    <w:rsid w:val="00FE271F"/>
    <w:rsid w:val="00FE2973"/>
    <w:rsid w:val="00FE2FFD"/>
    <w:rsid w:val="00FE3086"/>
    <w:rsid w:val="00FE3400"/>
    <w:rsid w:val="00FE49C1"/>
    <w:rsid w:val="00FE5144"/>
    <w:rsid w:val="00FE55AA"/>
    <w:rsid w:val="00FE56EA"/>
    <w:rsid w:val="00FE5A9A"/>
    <w:rsid w:val="00FE5D9A"/>
    <w:rsid w:val="00FE606C"/>
    <w:rsid w:val="00FE6655"/>
    <w:rsid w:val="00FE7431"/>
    <w:rsid w:val="00FE7A39"/>
    <w:rsid w:val="00FF093A"/>
    <w:rsid w:val="00FF1565"/>
    <w:rsid w:val="00FF1823"/>
    <w:rsid w:val="00FF1CF8"/>
    <w:rsid w:val="00FF27E2"/>
    <w:rsid w:val="00FF288D"/>
    <w:rsid w:val="00FF33CA"/>
    <w:rsid w:val="00FF3643"/>
    <w:rsid w:val="00FF3D01"/>
    <w:rsid w:val="00FF4043"/>
    <w:rsid w:val="00FF54AB"/>
    <w:rsid w:val="00FF5CAD"/>
    <w:rsid w:val="00FF5ED8"/>
    <w:rsid w:val="00FF6E36"/>
    <w:rsid w:val="01007F6C"/>
    <w:rsid w:val="0120238B"/>
    <w:rsid w:val="01353859"/>
    <w:rsid w:val="016872B6"/>
    <w:rsid w:val="018672CA"/>
    <w:rsid w:val="018B094C"/>
    <w:rsid w:val="018D1303"/>
    <w:rsid w:val="01944B97"/>
    <w:rsid w:val="01A253C9"/>
    <w:rsid w:val="01B709EB"/>
    <w:rsid w:val="01C33FC6"/>
    <w:rsid w:val="01CE6ECD"/>
    <w:rsid w:val="01DD34C8"/>
    <w:rsid w:val="01E959E7"/>
    <w:rsid w:val="01EC7020"/>
    <w:rsid w:val="020403A9"/>
    <w:rsid w:val="02192B39"/>
    <w:rsid w:val="021F46A5"/>
    <w:rsid w:val="022338BF"/>
    <w:rsid w:val="0225238E"/>
    <w:rsid w:val="02852BB8"/>
    <w:rsid w:val="02901577"/>
    <w:rsid w:val="02973284"/>
    <w:rsid w:val="02A94A95"/>
    <w:rsid w:val="02B37F3F"/>
    <w:rsid w:val="02C875A3"/>
    <w:rsid w:val="02CB615B"/>
    <w:rsid w:val="02E4280D"/>
    <w:rsid w:val="02F73FA3"/>
    <w:rsid w:val="03003FE6"/>
    <w:rsid w:val="030D3A0C"/>
    <w:rsid w:val="031E0255"/>
    <w:rsid w:val="03212322"/>
    <w:rsid w:val="0332126D"/>
    <w:rsid w:val="034A1E5A"/>
    <w:rsid w:val="035B264B"/>
    <w:rsid w:val="035F2BC8"/>
    <w:rsid w:val="036215D9"/>
    <w:rsid w:val="036700D4"/>
    <w:rsid w:val="03725E17"/>
    <w:rsid w:val="03727498"/>
    <w:rsid w:val="03760A37"/>
    <w:rsid w:val="037F01F3"/>
    <w:rsid w:val="0383624C"/>
    <w:rsid w:val="039B3D62"/>
    <w:rsid w:val="03A722DC"/>
    <w:rsid w:val="03AA39B1"/>
    <w:rsid w:val="03AC0546"/>
    <w:rsid w:val="03B77780"/>
    <w:rsid w:val="03BC5E8B"/>
    <w:rsid w:val="03C5484E"/>
    <w:rsid w:val="03E86F09"/>
    <w:rsid w:val="03FB3159"/>
    <w:rsid w:val="042B19F8"/>
    <w:rsid w:val="043D1F9C"/>
    <w:rsid w:val="04400833"/>
    <w:rsid w:val="044C1806"/>
    <w:rsid w:val="04555B99"/>
    <w:rsid w:val="04766D9A"/>
    <w:rsid w:val="04857DF3"/>
    <w:rsid w:val="04885BD6"/>
    <w:rsid w:val="04E77251"/>
    <w:rsid w:val="04EA7428"/>
    <w:rsid w:val="0505335A"/>
    <w:rsid w:val="05077114"/>
    <w:rsid w:val="05174538"/>
    <w:rsid w:val="052725E7"/>
    <w:rsid w:val="052A6F28"/>
    <w:rsid w:val="05411F2B"/>
    <w:rsid w:val="054D7C5F"/>
    <w:rsid w:val="05577B2A"/>
    <w:rsid w:val="05687863"/>
    <w:rsid w:val="05787C46"/>
    <w:rsid w:val="057A4EFC"/>
    <w:rsid w:val="05865629"/>
    <w:rsid w:val="05A17E8E"/>
    <w:rsid w:val="05BC2FA5"/>
    <w:rsid w:val="05BD1D6B"/>
    <w:rsid w:val="05EB4247"/>
    <w:rsid w:val="05F61E8C"/>
    <w:rsid w:val="06066EC5"/>
    <w:rsid w:val="060C1CDD"/>
    <w:rsid w:val="061F4C33"/>
    <w:rsid w:val="06305701"/>
    <w:rsid w:val="06425034"/>
    <w:rsid w:val="064627EF"/>
    <w:rsid w:val="06497B59"/>
    <w:rsid w:val="064A37C4"/>
    <w:rsid w:val="065F0684"/>
    <w:rsid w:val="065F1504"/>
    <w:rsid w:val="066F12AC"/>
    <w:rsid w:val="068B5BA8"/>
    <w:rsid w:val="069B0B96"/>
    <w:rsid w:val="06AB2C16"/>
    <w:rsid w:val="06C710EF"/>
    <w:rsid w:val="06F03FFE"/>
    <w:rsid w:val="06F1404C"/>
    <w:rsid w:val="06FA11A4"/>
    <w:rsid w:val="07135B88"/>
    <w:rsid w:val="07477082"/>
    <w:rsid w:val="077B7208"/>
    <w:rsid w:val="078524D3"/>
    <w:rsid w:val="07887F3C"/>
    <w:rsid w:val="07910536"/>
    <w:rsid w:val="079B5DEA"/>
    <w:rsid w:val="07B271F6"/>
    <w:rsid w:val="07BC1724"/>
    <w:rsid w:val="07BD2599"/>
    <w:rsid w:val="07CA688B"/>
    <w:rsid w:val="07CF2811"/>
    <w:rsid w:val="07D7386F"/>
    <w:rsid w:val="07E71E72"/>
    <w:rsid w:val="07ED291D"/>
    <w:rsid w:val="07F074E7"/>
    <w:rsid w:val="07F32EC3"/>
    <w:rsid w:val="08071EF0"/>
    <w:rsid w:val="080B2E67"/>
    <w:rsid w:val="080D4030"/>
    <w:rsid w:val="0811745D"/>
    <w:rsid w:val="08184439"/>
    <w:rsid w:val="081F1F89"/>
    <w:rsid w:val="082F6323"/>
    <w:rsid w:val="083009C9"/>
    <w:rsid w:val="08303C96"/>
    <w:rsid w:val="08311507"/>
    <w:rsid w:val="085F7E03"/>
    <w:rsid w:val="087879A4"/>
    <w:rsid w:val="089F63B2"/>
    <w:rsid w:val="08B63DD3"/>
    <w:rsid w:val="08D020E0"/>
    <w:rsid w:val="08EE1D0D"/>
    <w:rsid w:val="091E2940"/>
    <w:rsid w:val="091E46A6"/>
    <w:rsid w:val="091F56E4"/>
    <w:rsid w:val="0920473E"/>
    <w:rsid w:val="092A2A00"/>
    <w:rsid w:val="092C1091"/>
    <w:rsid w:val="0940617E"/>
    <w:rsid w:val="09470C3E"/>
    <w:rsid w:val="094F5D90"/>
    <w:rsid w:val="09544C77"/>
    <w:rsid w:val="09575A6D"/>
    <w:rsid w:val="095E1B14"/>
    <w:rsid w:val="09624B8B"/>
    <w:rsid w:val="09650997"/>
    <w:rsid w:val="09732D01"/>
    <w:rsid w:val="09887B8F"/>
    <w:rsid w:val="099E7E37"/>
    <w:rsid w:val="09A3691D"/>
    <w:rsid w:val="09A36F80"/>
    <w:rsid w:val="09A775EB"/>
    <w:rsid w:val="09AD24EA"/>
    <w:rsid w:val="09AE1226"/>
    <w:rsid w:val="09AE5E7F"/>
    <w:rsid w:val="09B00AF0"/>
    <w:rsid w:val="09C72AA5"/>
    <w:rsid w:val="09D11EF3"/>
    <w:rsid w:val="09DC73E0"/>
    <w:rsid w:val="09DD434C"/>
    <w:rsid w:val="09F83B84"/>
    <w:rsid w:val="09FB7652"/>
    <w:rsid w:val="09FE424F"/>
    <w:rsid w:val="0A1B5B86"/>
    <w:rsid w:val="0A37503E"/>
    <w:rsid w:val="0A3927A2"/>
    <w:rsid w:val="0A406D0C"/>
    <w:rsid w:val="0A414C81"/>
    <w:rsid w:val="0A4212FE"/>
    <w:rsid w:val="0A58231C"/>
    <w:rsid w:val="0A5867AA"/>
    <w:rsid w:val="0A58696B"/>
    <w:rsid w:val="0A601F20"/>
    <w:rsid w:val="0A61625A"/>
    <w:rsid w:val="0A7120E8"/>
    <w:rsid w:val="0A7A1E8C"/>
    <w:rsid w:val="0A96560B"/>
    <w:rsid w:val="0A970724"/>
    <w:rsid w:val="0A97656D"/>
    <w:rsid w:val="0AA11E09"/>
    <w:rsid w:val="0AA365CE"/>
    <w:rsid w:val="0AA52673"/>
    <w:rsid w:val="0AAE12FB"/>
    <w:rsid w:val="0AB72B58"/>
    <w:rsid w:val="0ABB3E30"/>
    <w:rsid w:val="0AC0235E"/>
    <w:rsid w:val="0ACE0AE1"/>
    <w:rsid w:val="0AE1321C"/>
    <w:rsid w:val="0AE81330"/>
    <w:rsid w:val="0AEB1AD1"/>
    <w:rsid w:val="0AFA2CF6"/>
    <w:rsid w:val="0AFB711B"/>
    <w:rsid w:val="0B21164B"/>
    <w:rsid w:val="0B23032D"/>
    <w:rsid w:val="0B2958FD"/>
    <w:rsid w:val="0B3511F1"/>
    <w:rsid w:val="0B5C1160"/>
    <w:rsid w:val="0B6540A1"/>
    <w:rsid w:val="0B67536C"/>
    <w:rsid w:val="0B6B4275"/>
    <w:rsid w:val="0B6E3B3F"/>
    <w:rsid w:val="0B754E99"/>
    <w:rsid w:val="0B7B6FF1"/>
    <w:rsid w:val="0B982D29"/>
    <w:rsid w:val="0BAD0111"/>
    <w:rsid w:val="0BB47595"/>
    <w:rsid w:val="0BBF43C3"/>
    <w:rsid w:val="0BC0152F"/>
    <w:rsid w:val="0BD373F7"/>
    <w:rsid w:val="0BEC08F0"/>
    <w:rsid w:val="0BF37674"/>
    <w:rsid w:val="0BF55867"/>
    <w:rsid w:val="0BF574FB"/>
    <w:rsid w:val="0BFA24EF"/>
    <w:rsid w:val="0C17145C"/>
    <w:rsid w:val="0C212EEF"/>
    <w:rsid w:val="0C252574"/>
    <w:rsid w:val="0C296FC8"/>
    <w:rsid w:val="0C334DCD"/>
    <w:rsid w:val="0C663AC2"/>
    <w:rsid w:val="0C674035"/>
    <w:rsid w:val="0C6C0CD4"/>
    <w:rsid w:val="0C720F39"/>
    <w:rsid w:val="0C77156B"/>
    <w:rsid w:val="0CA17C9B"/>
    <w:rsid w:val="0CB03E48"/>
    <w:rsid w:val="0CB91AD0"/>
    <w:rsid w:val="0CC73E81"/>
    <w:rsid w:val="0CCA72EA"/>
    <w:rsid w:val="0CE43160"/>
    <w:rsid w:val="0CF23A66"/>
    <w:rsid w:val="0D2310A4"/>
    <w:rsid w:val="0D2350E6"/>
    <w:rsid w:val="0D2D42C5"/>
    <w:rsid w:val="0D3014E1"/>
    <w:rsid w:val="0D361995"/>
    <w:rsid w:val="0D4277FB"/>
    <w:rsid w:val="0D434608"/>
    <w:rsid w:val="0D4A62AD"/>
    <w:rsid w:val="0D4D4E9A"/>
    <w:rsid w:val="0D541B19"/>
    <w:rsid w:val="0D5635F1"/>
    <w:rsid w:val="0D6A5210"/>
    <w:rsid w:val="0D7D1731"/>
    <w:rsid w:val="0D8E57CD"/>
    <w:rsid w:val="0D980538"/>
    <w:rsid w:val="0DA72CC1"/>
    <w:rsid w:val="0DAB2BEB"/>
    <w:rsid w:val="0DC04DC4"/>
    <w:rsid w:val="0DCB334D"/>
    <w:rsid w:val="0DE05289"/>
    <w:rsid w:val="0DFA2717"/>
    <w:rsid w:val="0E151057"/>
    <w:rsid w:val="0E1B5DA7"/>
    <w:rsid w:val="0E1E65F8"/>
    <w:rsid w:val="0E2A00A4"/>
    <w:rsid w:val="0EB45745"/>
    <w:rsid w:val="0EBE7489"/>
    <w:rsid w:val="0ED42609"/>
    <w:rsid w:val="0ED66E0A"/>
    <w:rsid w:val="0EE93FA8"/>
    <w:rsid w:val="0EF07E90"/>
    <w:rsid w:val="0EF40CAD"/>
    <w:rsid w:val="0F1820AB"/>
    <w:rsid w:val="0F307377"/>
    <w:rsid w:val="0F331E50"/>
    <w:rsid w:val="0F4C2412"/>
    <w:rsid w:val="0F5A587D"/>
    <w:rsid w:val="0F5E7A05"/>
    <w:rsid w:val="0F641D38"/>
    <w:rsid w:val="0F7971EC"/>
    <w:rsid w:val="0F8620EA"/>
    <w:rsid w:val="0F89065D"/>
    <w:rsid w:val="0F8C262E"/>
    <w:rsid w:val="0F910CC6"/>
    <w:rsid w:val="0F915275"/>
    <w:rsid w:val="0F976391"/>
    <w:rsid w:val="0F9B178E"/>
    <w:rsid w:val="0FA86746"/>
    <w:rsid w:val="0FB45622"/>
    <w:rsid w:val="0FD3635C"/>
    <w:rsid w:val="0FF30C74"/>
    <w:rsid w:val="0FF35A2F"/>
    <w:rsid w:val="0FF67539"/>
    <w:rsid w:val="10056281"/>
    <w:rsid w:val="10057A83"/>
    <w:rsid w:val="100B5966"/>
    <w:rsid w:val="1022461B"/>
    <w:rsid w:val="102C3FF0"/>
    <w:rsid w:val="104C72A6"/>
    <w:rsid w:val="10535E93"/>
    <w:rsid w:val="105F0EF9"/>
    <w:rsid w:val="1062617C"/>
    <w:rsid w:val="10635B86"/>
    <w:rsid w:val="106431C8"/>
    <w:rsid w:val="108161DC"/>
    <w:rsid w:val="108C2D65"/>
    <w:rsid w:val="109845D5"/>
    <w:rsid w:val="109C4ECE"/>
    <w:rsid w:val="10B3366F"/>
    <w:rsid w:val="10BA4706"/>
    <w:rsid w:val="10C048DD"/>
    <w:rsid w:val="10C91DC5"/>
    <w:rsid w:val="10ED59A8"/>
    <w:rsid w:val="110A4B66"/>
    <w:rsid w:val="110E20AD"/>
    <w:rsid w:val="111E5D14"/>
    <w:rsid w:val="11213600"/>
    <w:rsid w:val="112B27B7"/>
    <w:rsid w:val="112C5B5C"/>
    <w:rsid w:val="11460D7E"/>
    <w:rsid w:val="11487667"/>
    <w:rsid w:val="115078E2"/>
    <w:rsid w:val="1163374C"/>
    <w:rsid w:val="11656327"/>
    <w:rsid w:val="11684816"/>
    <w:rsid w:val="11A10B9B"/>
    <w:rsid w:val="11A26FE5"/>
    <w:rsid w:val="11AE03C9"/>
    <w:rsid w:val="11BD3192"/>
    <w:rsid w:val="11BE0E90"/>
    <w:rsid w:val="11CD2CC1"/>
    <w:rsid w:val="11ED6D7F"/>
    <w:rsid w:val="11F93DCA"/>
    <w:rsid w:val="11FD3CCA"/>
    <w:rsid w:val="120D6E8E"/>
    <w:rsid w:val="12577C6A"/>
    <w:rsid w:val="12580F72"/>
    <w:rsid w:val="125C035C"/>
    <w:rsid w:val="12894FB4"/>
    <w:rsid w:val="12901FD6"/>
    <w:rsid w:val="12952276"/>
    <w:rsid w:val="12AE0C94"/>
    <w:rsid w:val="12B11195"/>
    <w:rsid w:val="12B26D30"/>
    <w:rsid w:val="12C15BF7"/>
    <w:rsid w:val="12C46C9E"/>
    <w:rsid w:val="12C80C7F"/>
    <w:rsid w:val="12D06C48"/>
    <w:rsid w:val="12EF7DE5"/>
    <w:rsid w:val="13036565"/>
    <w:rsid w:val="130D7950"/>
    <w:rsid w:val="131A6619"/>
    <w:rsid w:val="132964DD"/>
    <w:rsid w:val="138046C7"/>
    <w:rsid w:val="13A87EC0"/>
    <w:rsid w:val="13AB1FDE"/>
    <w:rsid w:val="13B44A8A"/>
    <w:rsid w:val="13D21ED6"/>
    <w:rsid w:val="13D635D8"/>
    <w:rsid w:val="13F07810"/>
    <w:rsid w:val="14165DAB"/>
    <w:rsid w:val="141E6EA9"/>
    <w:rsid w:val="14440210"/>
    <w:rsid w:val="147541B9"/>
    <w:rsid w:val="147706BD"/>
    <w:rsid w:val="14892069"/>
    <w:rsid w:val="149634DA"/>
    <w:rsid w:val="14987B38"/>
    <w:rsid w:val="14A025F7"/>
    <w:rsid w:val="14A91D5D"/>
    <w:rsid w:val="14B44CE1"/>
    <w:rsid w:val="14DA4B86"/>
    <w:rsid w:val="14F4420B"/>
    <w:rsid w:val="151E545D"/>
    <w:rsid w:val="151F5EA5"/>
    <w:rsid w:val="1546607F"/>
    <w:rsid w:val="15553C0E"/>
    <w:rsid w:val="1556773D"/>
    <w:rsid w:val="15797F17"/>
    <w:rsid w:val="15980020"/>
    <w:rsid w:val="15A500FB"/>
    <w:rsid w:val="15C90B91"/>
    <w:rsid w:val="15D71F81"/>
    <w:rsid w:val="15E506EC"/>
    <w:rsid w:val="15ED0561"/>
    <w:rsid w:val="15F55467"/>
    <w:rsid w:val="15F83110"/>
    <w:rsid w:val="16051426"/>
    <w:rsid w:val="161A7086"/>
    <w:rsid w:val="16235F09"/>
    <w:rsid w:val="164738F4"/>
    <w:rsid w:val="16582809"/>
    <w:rsid w:val="16634CF6"/>
    <w:rsid w:val="16682109"/>
    <w:rsid w:val="16731C0F"/>
    <w:rsid w:val="168109B1"/>
    <w:rsid w:val="16855BEB"/>
    <w:rsid w:val="16871331"/>
    <w:rsid w:val="16925529"/>
    <w:rsid w:val="16A304CD"/>
    <w:rsid w:val="16A5200F"/>
    <w:rsid w:val="16A973EA"/>
    <w:rsid w:val="16AB74F6"/>
    <w:rsid w:val="16D723EF"/>
    <w:rsid w:val="16DE61AA"/>
    <w:rsid w:val="16E14792"/>
    <w:rsid w:val="17150D9A"/>
    <w:rsid w:val="171601A2"/>
    <w:rsid w:val="171831DB"/>
    <w:rsid w:val="17243327"/>
    <w:rsid w:val="173C7E2E"/>
    <w:rsid w:val="174702D9"/>
    <w:rsid w:val="17481779"/>
    <w:rsid w:val="174C3BEC"/>
    <w:rsid w:val="174F7C00"/>
    <w:rsid w:val="17673C1E"/>
    <w:rsid w:val="17783318"/>
    <w:rsid w:val="1791414B"/>
    <w:rsid w:val="17984446"/>
    <w:rsid w:val="17B6697B"/>
    <w:rsid w:val="17B75D2D"/>
    <w:rsid w:val="17CA0718"/>
    <w:rsid w:val="17CA6350"/>
    <w:rsid w:val="17D148F0"/>
    <w:rsid w:val="17E64488"/>
    <w:rsid w:val="17F34FC8"/>
    <w:rsid w:val="180841A7"/>
    <w:rsid w:val="1824342B"/>
    <w:rsid w:val="183405C0"/>
    <w:rsid w:val="183A48BB"/>
    <w:rsid w:val="1842557A"/>
    <w:rsid w:val="18461A54"/>
    <w:rsid w:val="18537685"/>
    <w:rsid w:val="18822F44"/>
    <w:rsid w:val="18825528"/>
    <w:rsid w:val="188F30EE"/>
    <w:rsid w:val="189A7199"/>
    <w:rsid w:val="18A37B35"/>
    <w:rsid w:val="18AC0D68"/>
    <w:rsid w:val="18B359CF"/>
    <w:rsid w:val="18B54520"/>
    <w:rsid w:val="18EB20B8"/>
    <w:rsid w:val="1929184A"/>
    <w:rsid w:val="19322CD5"/>
    <w:rsid w:val="194A5C14"/>
    <w:rsid w:val="195B5257"/>
    <w:rsid w:val="196A5957"/>
    <w:rsid w:val="197D742F"/>
    <w:rsid w:val="199C4600"/>
    <w:rsid w:val="19A57D1B"/>
    <w:rsid w:val="19AE6348"/>
    <w:rsid w:val="19B0263E"/>
    <w:rsid w:val="19B24F61"/>
    <w:rsid w:val="19B663EC"/>
    <w:rsid w:val="19C70FEE"/>
    <w:rsid w:val="19C74C01"/>
    <w:rsid w:val="19EE1FF9"/>
    <w:rsid w:val="1A0B0508"/>
    <w:rsid w:val="1A1348C8"/>
    <w:rsid w:val="1A15248B"/>
    <w:rsid w:val="1A1B42EC"/>
    <w:rsid w:val="1A251D42"/>
    <w:rsid w:val="1A390616"/>
    <w:rsid w:val="1A3B790D"/>
    <w:rsid w:val="1A4415F6"/>
    <w:rsid w:val="1A510563"/>
    <w:rsid w:val="1A630E7C"/>
    <w:rsid w:val="1A642B11"/>
    <w:rsid w:val="1A6761CA"/>
    <w:rsid w:val="1A6F1E95"/>
    <w:rsid w:val="1A842C43"/>
    <w:rsid w:val="1A846508"/>
    <w:rsid w:val="1AA33F37"/>
    <w:rsid w:val="1AA43CB9"/>
    <w:rsid w:val="1AA81F13"/>
    <w:rsid w:val="1AB553AA"/>
    <w:rsid w:val="1AD804C6"/>
    <w:rsid w:val="1AE37AA1"/>
    <w:rsid w:val="1AE856B3"/>
    <w:rsid w:val="1AED6A4D"/>
    <w:rsid w:val="1AEF05DC"/>
    <w:rsid w:val="1AFE342C"/>
    <w:rsid w:val="1B05252C"/>
    <w:rsid w:val="1B133551"/>
    <w:rsid w:val="1B1E3FE5"/>
    <w:rsid w:val="1B2630CE"/>
    <w:rsid w:val="1B3736A5"/>
    <w:rsid w:val="1B38352B"/>
    <w:rsid w:val="1B4265A5"/>
    <w:rsid w:val="1B4272C2"/>
    <w:rsid w:val="1B61097B"/>
    <w:rsid w:val="1B667470"/>
    <w:rsid w:val="1B691143"/>
    <w:rsid w:val="1B903FE9"/>
    <w:rsid w:val="1B990731"/>
    <w:rsid w:val="1BB805FE"/>
    <w:rsid w:val="1BBA4F69"/>
    <w:rsid w:val="1BBB4AB0"/>
    <w:rsid w:val="1BC277F2"/>
    <w:rsid w:val="1BC73891"/>
    <w:rsid w:val="1BE42C62"/>
    <w:rsid w:val="1BF14652"/>
    <w:rsid w:val="1C0F2CE1"/>
    <w:rsid w:val="1C181B2B"/>
    <w:rsid w:val="1C1928F7"/>
    <w:rsid w:val="1C446837"/>
    <w:rsid w:val="1C521EC8"/>
    <w:rsid w:val="1C585C21"/>
    <w:rsid w:val="1C5F5D64"/>
    <w:rsid w:val="1C734345"/>
    <w:rsid w:val="1C7C59A6"/>
    <w:rsid w:val="1C7E67A0"/>
    <w:rsid w:val="1C8B432D"/>
    <w:rsid w:val="1CAD667E"/>
    <w:rsid w:val="1CC05318"/>
    <w:rsid w:val="1CC2370B"/>
    <w:rsid w:val="1CC35890"/>
    <w:rsid w:val="1CD36E4A"/>
    <w:rsid w:val="1CD532A6"/>
    <w:rsid w:val="1CE524C3"/>
    <w:rsid w:val="1CF0735F"/>
    <w:rsid w:val="1D205346"/>
    <w:rsid w:val="1D602654"/>
    <w:rsid w:val="1D637B54"/>
    <w:rsid w:val="1D71569B"/>
    <w:rsid w:val="1D9414C0"/>
    <w:rsid w:val="1D9639CA"/>
    <w:rsid w:val="1DA069E9"/>
    <w:rsid w:val="1DB849AB"/>
    <w:rsid w:val="1DBA0969"/>
    <w:rsid w:val="1DC544E7"/>
    <w:rsid w:val="1DE11D1C"/>
    <w:rsid w:val="1DE2388B"/>
    <w:rsid w:val="1DFD2932"/>
    <w:rsid w:val="1DFE24E7"/>
    <w:rsid w:val="1E2866FE"/>
    <w:rsid w:val="1E500B8E"/>
    <w:rsid w:val="1E596F6F"/>
    <w:rsid w:val="1E607247"/>
    <w:rsid w:val="1E6173DF"/>
    <w:rsid w:val="1E655216"/>
    <w:rsid w:val="1E734154"/>
    <w:rsid w:val="1E8907D1"/>
    <w:rsid w:val="1E9F63DA"/>
    <w:rsid w:val="1EA8025D"/>
    <w:rsid w:val="1EBA0D8D"/>
    <w:rsid w:val="1EC05AB5"/>
    <w:rsid w:val="1EC130FB"/>
    <w:rsid w:val="1EC273F8"/>
    <w:rsid w:val="1EDB7D2E"/>
    <w:rsid w:val="1F084438"/>
    <w:rsid w:val="1F093390"/>
    <w:rsid w:val="1F2668B0"/>
    <w:rsid w:val="1F291856"/>
    <w:rsid w:val="1F3A1A35"/>
    <w:rsid w:val="1F60318A"/>
    <w:rsid w:val="1F644734"/>
    <w:rsid w:val="1F6771C1"/>
    <w:rsid w:val="1F796373"/>
    <w:rsid w:val="1F901C9F"/>
    <w:rsid w:val="1FA8046F"/>
    <w:rsid w:val="1FE12599"/>
    <w:rsid w:val="1FE15ED5"/>
    <w:rsid w:val="1FE46190"/>
    <w:rsid w:val="1FEF48D2"/>
    <w:rsid w:val="1FF6169F"/>
    <w:rsid w:val="20011CD0"/>
    <w:rsid w:val="20202C29"/>
    <w:rsid w:val="202C4766"/>
    <w:rsid w:val="203821AD"/>
    <w:rsid w:val="20777F54"/>
    <w:rsid w:val="20783154"/>
    <w:rsid w:val="208446AA"/>
    <w:rsid w:val="209C2492"/>
    <w:rsid w:val="20AF4CDD"/>
    <w:rsid w:val="20B631D0"/>
    <w:rsid w:val="20BE36C9"/>
    <w:rsid w:val="20C24A32"/>
    <w:rsid w:val="20C53D46"/>
    <w:rsid w:val="20D00578"/>
    <w:rsid w:val="20E41D52"/>
    <w:rsid w:val="210E71A9"/>
    <w:rsid w:val="2111212C"/>
    <w:rsid w:val="21170A23"/>
    <w:rsid w:val="211E3524"/>
    <w:rsid w:val="2130036D"/>
    <w:rsid w:val="2154089F"/>
    <w:rsid w:val="215C25EF"/>
    <w:rsid w:val="216C1C50"/>
    <w:rsid w:val="21905D83"/>
    <w:rsid w:val="21A14175"/>
    <w:rsid w:val="21A557FD"/>
    <w:rsid w:val="21BF6A73"/>
    <w:rsid w:val="21CA25E6"/>
    <w:rsid w:val="21EC0488"/>
    <w:rsid w:val="21F0052E"/>
    <w:rsid w:val="21FE5540"/>
    <w:rsid w:val="221E1695"/>
    <w:rsid w:val="22281A1B"/>
    <w:rsid w:val="223A3F70"/>
    <w:rsid w:val="224E5A80"/>
    <w:rsid w:val="226F5B07"/>
    <w:rsid w:val="227D3A04"/>
    <w:rsid w:val="22810E2B"/>
    <w:rsid w:val="228E6279"/>
    <w:rsid w:val="229C72D9"/>
    <w:rsid w:val="22CA6173"/>
    <w:rsid w:val="22E16D3D"/>
    <w:rsid w:val="22E23A46"/>
    <w:rsid w:val="22F67EBB"/>
    <w:rsid w:val="22F67FEC"/>
    <w:rsid w:val="22FF29F8"/>
    <w:rsid w:val="230E0951"/>
    <w:rsid w:val="231911D1"/>
    <w:rsid w:val="23317070"/>
    <w:rsid w:val="23323329"/>
    <w:rsid w:val="233C68D8"/>
    <w:rsid w:val="234421CE"/>
    <w:rsid w:val="23443DA8"/>
    <w:rsid w:val="234A44CD"/>
    <w:rsid w:val="235126F3"/>
    <w:rsid w:val="235B2B98"/>
    <w:rsid w:val="235E4136"/>
    <w:rsid w:val="237622CB"/>
    <w:rsid w:val="23765F24"/>
    <w:rsid w:val="2394310B"/>
    <w:rsid w:val="23B97020"/>
    <w:rsid w:val="23BB52C1"/>
    <w:rsid w:val="23BF2B98"/>
    <w:rsid w:val="23D55599"/>
    <w:rsid w:val="23E86050"/>
    <w:rsid w:val="23F71D70"/>
    <w:rsid w:val="23F72FA6"/>
    <w:rsid w:val="23FC4349"/>
    <w:rsid w:val="24027BEB"/>
    <w:rsid w:val="24053736"/>
    <w:rsid w:val="24073C52"/>
    <w:rsid w:val="24084FF5"/>
    <w:rsid w:val="242E5253"/>
    <w:rsid w:val="243666A4"/>
    <w:rsid w:val="2449352B"/>
    <w:rsid w:val="245054E5"/>
    <w:rsid w:val="24562861"/>
    <w:rsid w:val="2467267F"/>
    <w:rsid w:val="246909BE"/>
    <w:rsid w:val="247208F5"/>
    <w:rsid w:val="247D0FC7"/>
    <w:rsid w:val="248010B1"/>
    <w:rsid w:val="24A02295"/>
    <w:rsid w:val="24A1550D"/>
    <w:rsid w:val="24AD1C0A"/>
    <w:rsid w:val="24B23DB9"/>
    <w:rsid w:val="24C5799B"/>
    <w:rsid w:val="24C60E28"/>
    <w:rsid w:val="24C77EA4"/>
    <w:rsid w:val="24DA6316"/>
    <w:rsid w:val="25075950"/>
    <w:rsid w:val="250E4DDD"/>
    <w:rsid w:val="25510BE9"/>
    <w:rsid w:val="25525772"/>
    <w:rsid w:val="255E2E36"/>
    <w:rsid w:val="2566249D"/>
    <w:rsid w:val="256E3D70"/>
    <w:rsid w:val="25777D91"/>
    <w:rsid w:val="258130A4"/>
    <w:rsid w:val="25934135"/>
    <w:rsid w:val="25B40416"/>
    <w:rsid w:val="25C63F7F"/>
    <w:rsid w:val="25CE2FCD"/>
    <w:rsid w:val="25DA6A07"/>
    <w:rsid w:val="25E95A7A"/>
    <w:rsid w:val="25F92560"/>
    <w:rsid w:val="25FF58CE"/>
    <w:rsid w:val="260406FD"/>
    <w:rsid w:val="26094139"/>
    <w:rsid w:val="260C266C"/>
    <w:rsid w:val="264F2D73"/>
    <w:rsid w:val="264F5E5B"/>
    <w:rsid w:val="267419F8"/>
    <w:rsid w:val="26807447"/>
    <w:rsid w:val="26837592"/>
    <w:rsid w:val="268C7CC6"/>
    <w:rsid w:val="268F3DE3"/>
    <w:rsid w:val="269309AB"/>
    <w:rsid w:val="26BD4565"/>
    <w:rsid w:val="26C27A5A"/>
    <w:rsid w:val="26C535AE"/>
    <w:rsid w:val="26C80785"/>
    <w:rsid w:val="26D97065"/>
    <w:rsid w:val="26E311D0"/>
    <w:rsid w:val="26F46BAD"/>
    <w:rsid w:val="270606AE"/>
    <w:rsid w:val="27190C26"/>
    <w:rsid w:val="27202A21"/>
    <w:rsid w:val="27313BEE"/>
    <w:rsid w:val="274C7F2F"/>
    <w:rsid w:val="274F3231"/>
    <w:rsid w:val="277E72E6"/>
    <w:rsid w:val="27884FCA"/>
    <w:rsid w:val="27892DDC"/>
    <w:rsid w:val="27987D44"/>
    <w:rsid w:val="279C4153"/>
    <w:rsid w:val="27AC2FBD"/>
    <w:rsid w:val="27BA395B"/>
    <w:rsid w:val="27CC3525"/>
    <w:rsid w:val="27CF47E4"/>
    <w:rsid w:val="27D74161"/>
    <w:rsid w:val="27DF6505"/>
    <w:rsid w:val="27E65681"/>
    <w:rsid w:val="27EA0B77"/>
    <w:rsid w:val="27F23BEF"/>
    <w:rsid w:val="27FC05AA"/>
    <w:rsid w:val="281B51BA"/>
    <w:rsid w:val="283B6F83"/>
    <w:rsid w:val="283E1316"/>
    <w:rsid w:val="28572C6D"/>
    <w:rsid w:val="28654AA1"/>
    <w:rsid w:val="28663708"/>
    <w:rsid w:val="28674211"/>
    <w:rsid w:val="286C3B47"/>
    <w:rsid w:val="287E5D88"/>
    <w:rsid w:val="28822CA4"/>
    <w:rsid w:val="28975CA0"/>
    <w:rsid w:val="28C54A72"/>
    <w:rsid w:val="28D21CF7"/>
    <w:rsid w:val="28D25414"/>
    <w:rsid w:val="28D263CE"/>
    <w:rsid w:val="28F031D1"/>
    <w:rsid w:val="28FA62A9"/>
    <w:rsid w:val="29012FC5"/>
    <w:rsid w:val="292151CF"/>
    <w:rsid w:val="29257F48"/>
    <w:rsid w:val="29386258"/>
    <w:rsid w:val="294860C8"/>
    <w:rsid w:val="294A6C02"/>
    <w:rsid w:val="296468F6"/>
    <w:rsid w:val="296F248B"/>
    <w:rsid w:val="29797683"/>
    <w:rsid w:val="297C6433"/>
    <w:rsid w:val="298F6103"/>
    <w:rsid w:val="299C2717"/>
    <w:rsid w:val="29C63A81"/>
    <w:rsid w:val="29CC01A2"/>
    <w:rsid w:val="29FE3A53"/>
    <w:rsid w:val="2A040CF7"/>
    <w:rsid w:val="2A0A7C85"/>
    <w:rsid w:val="2A0C4E82"/>
    <w:rsid w:val="2A236796"/>
    <w:rsid w:val="2A247AA7"/>
    <w:rsid w:val="2A27151A"/>
    <w:rsid w:val="2A2B6702"/>
    <w:rsid w:val="2A2F0807"/>
    <w:rsid w:val="2A32304C"/>
    <w:rsid w:val="2A3E3D08"/>
    <w:rsid w:val="2A472D79"/>
    <w:rsid w:val="2A4A5909"/>
    <w:rsid w:val="2A535D0B"/>
    <w:rsid w:val="2A5D1B99"/>
    <w:rsid w:val="2A6170AB"/>
    <w:rsid w:val="2A7711C9"/>
    <w:rsid w:val="2AAF1D7B"/>
    <w:rsid w:val="2AC5334C"/>
    <w:rsid w:val="2ACC251D"/>
    <w:rsid w:val="2AD56716"/>
    <w:rsid w:val="2AD779E8"/>
    <w:rsid w:val="2B221947"/>
    <w:rsid w:val="2B747632"/>
    <w:rsid w:val="2B894A70"/>
    <w:rsid w:val="2B8F016E"/>
    <w:rsid w:val="2B9C13B0"/>
    <w:rsid w:val="2B9E6390"/>
    <w:rsid w:val="2BA03C88"/>
    <w:rsid w:val="2BA664B0"/>
    <w:rsid w:val="2BA81C06"/>
    <w:rsid w:val="2BB01193"/>
    <w:rsid w:val="2BB5659B"/>
    <w:rsid w:val="2BC555FC"/>
    <w:rsid w:val="2BC80E0A"/>
    <w:rsid w:val="2BD20168"/>
    <w:rsid w:val="2BDF5462"/>
    <w:rsid w:val="2BFC7B8D"/>
    <w:rsid w:val="2C024844"/>
    <w:rsid w:val="2C0314AE"/>
    <w:rsid w:val="2C0A6F09"/>
    <w:rsid w:val="2C0E51A9"/>
    <w:rsid w:val="2C0F2D0F"/>
    <w:rsid w:val="2C1D58AF"/>
    <w:rsid w:val="2C216387"/>
    <w:rsid w:val="2C236E3C"/>
    <w:rsid w:val="2C27552C"/>
    <w:rsid w:val="2C3F2569"/>
    <w:rsid w:val="2C42106C"/>
    <w:rsid w:val="2C6C4F9D"/>
    <w:rsid w:val="2C845273"/>
    <w:rsid w:val="2C925672"/>
    <w:rsid w:val="2C9A1B9A"/>
    <w:rsid w:val="2CA24D2A"/>
    <w:rsid w:val="2CB47AB8"/>
    <w:rsid w:val="2CC756FE"/>
    <w:rsid w:val="2CCB246C"/>
    <w:rsid w:val="2CD63943"/>
    <w:rsid w:val="2CE32F92"/>
    <w:rsid w:val="2CED72D0"/>
    <w:rsid w:val="2CFE6775"/>
    <w:rsid w:val="2D3639F2"/>
    <w:rsid w:val="2D426ED6"/>
    <w:rsid w:val="2D4506DF"/>
    <w:rsid w:val="2D504D62"/>
    <w:rsid w:val="2D723C9A"/>
    <w:rsid w:val="2D993BB7"/>
    <w:rsid w:val="2DA52CC1"/>
    <w:rsid w:val="2DBA123E"/>
    <w:rsid w:val="2DBF146F"/>
    <w:rsid w:val="2DD51328"/>
    <w:rsid w:val="2DDD21C9"/>
    <w:rsid w:val="2DE00890"/>
    <w:rsid w:val="2DF67FC0"/>
    <w:rsid w:val="2DFA0CFC"/>
    <w:rsid w:val="2E0301D9"/>
    <w:rsid w:val="2E0F0FD3"/>
    <w:rsid w:val="2E16764B"/>
    <w:rsid w:val="2E1774B1"/>
    <w:rsid w:val="2E270154"/>
    <w:rsid w:val="2E3026BE"/>
    <w:rsid w:val="2E34636E"/>
    <w:rsid w:val="2E3D7B6F"/>
    <w:rsid w:val="2E44479C"/>
    <w:rsid w:val="2E455A79"/>
    <w:rsid w:val="2E4671AF"/>
    <w:rsid w:val="2E4B357E"/>
    <w:rsid w:val="2E647DF6"/>
    <w:rsid w:val="2E8B7E7F"/>
    <w:rsid w:val="2E8D522A"/>
    <w:rsid w:val="2ED87BDF"/>
    <w:rsid w:val="2EDE380A"/>
    <w:rsid w:val="2EE55435"/>
    <w:rsid w:val="2EE86352"/>
    <w:rsid w:val="2EF6182D"/>
    <w:rsid w:val="2F0A1F67"/>
    <w:rsid w:val="2F116E95"/>
    <w:rsid w:val="2F2D3887"/>
    <w:rsid w:val="2F2D38B9"/>
    <w:rsid w:val="2F31609D"/>
    <w:rsid w:val="2F387B7E"/>
    <w:rsid w:val="2F775CBC"/>
    <w:rsid w:val="2F9304DA"/>
    <w:rsid w:val="2F9B1EB2"/>
    <w:rsid w:val="2FA16528"/>
    <w:rsid w:val="2FA8676C"/>
    <w:rsid w:val="2FC555F8"/>
    <w:rsid w:val="2FC64DEC"/>
    <w:rsid w:val="2FCB2A88"/>
    <w:rsid w:val="2FD21CFE"/>
    <w:rsid w:val="2FD559D7"/>
    <w:rsid w:val="2FE72691"/>
    <w:rsid w:val="2FE975E5"/>
    <w:rsid w:val="2FF02762"/>
    <w:rsid w:val="30156CB5"/>
    <w:rsid w:val="30204C54"/>
    <w:rsid w:val="30245282"/>
    <w:rsid w:val="30332467"/>
    <w:rsid w:val="303C7B23"/>
    <w:rsid w:val="303D48AE"/>
    <w:rsid w:val="30450C34"/>
    <w:rsid w:val="304E529E"/>
    <w:rsid w:val="30652486"/>
    <w:rsid w:val="30793D0B"/>
    <w:rsid w:val="308543F7"/>
    <w:rsid w:val="30A46895"/>
    <w:rsid w:val="30C0243F"/>
    <w:rsid w:val="30D56A93"/>
    <w:rsid w:val="30D60E16"/>
    <w:rsid w:val="310A0554"/>
    <w:rsid w:val="3134090E"/>
    <w:rsid w:val="313D3683"/>
    <w:rsid w:val="3148672C"/>
    <w:rsid w:val="314A1732"/>
    <w:rsid w:val="31512D18"/>
    <w:rsid w:val="31870CCC"/>
    <w:rsid w:val="31AF3D3F"/>
    <w:rsid w:val="31B15E56"/>
    <w:rsid w:val="31BA0868"/>
    <w:rsid w:val="31CE252D"/>
    <w:rsid w:val="31DE4542"/>
    <w:rsid w:val="31F962AC"/>
    <w:rsid w:val="32257465"/>
    <w:rsid w:val="32371AC4"/>
    <w:rsid w:val="3242447C"/>
    <w:rsid w:val="3247276A"/>
    <w:rsid w:val="324A3840"/>
    <w:rsid w:val="324A7697"/>
    <w:rsid w:val="32502A13"/>
    <w:rsid w:val="32680FDF"/>
    <w:rsid w:val="32741132"/>
    <w:rsid w:val="327A4A4B"/>
    <w:rsid w:val="32824BAB"/>
    <w:rsid w:val="328A51AB"/>
    <w:rsid w:val="328F1215"/>
    <w:rsid w:val="32B20523"/>
    <w:rsid w:val="32D11349"/>
    <w:rsid w:val="32D46EB9"/>
    <w:rsid w:val="32FB0D84"/>
    <w:rsid w:val="33193D50"/>
    <w:rsid w:val="33263C10"/>
    <w:rsid w:val="336E5337"/>
    <w:rsid w:val="33A1275D"/>
    <w:rsid w:val="33A16F3E"/>
    <w:rsid w:val="33A42AF2"/>
    <w:rsid w:val="33A80C33"/>
    <w:rsid w:val="33B63F0B"/>
    <w:rsid w:val="33DA4F36"/>
    <w:rsid w:val="33E3397C"/>
    <w:rsid w:val="33E643D9"/>
    <w:rsid w:val="33E9397A"/>
    <w:rsid w:val="34143C20"/>
    <w:rsid w:val="34156655"/>
    <w:rsid w:val="341E4A15"/>
    <w:rsid w:val="342E7296"/>
    <w:rsid w:val="343D6A5B"/>
    <w:rsid w:val="344A6FB9"/>
    <w:rsid w:val="347543E1"/>
    <w:rsid w:val="348B32AD"/>
    <w:rsid w:val="34A1288A"/>
    <w:rsid w:val="34C327A2"/>
    <w:rsid w:val="34C9031C"/>
    <w:rsid w:val="34CB47F1"/>
    <w:rsid w:val="34DF0F2C"/>
    <w:rsid w:val="34DF522C"/>
    <w:rsid w:val="34E62708"/>
    <w:rsid w:val="34E77698"/>
    <w:rsid w:val="35002712"/>
    <w:rsid w:val="35081CE3"/>
    <w:rsid w:val="350E758E"/>
    <w:rsid w:val="35123858"/>
    <w:rsid w:val="35355B83"/>
    <w:rsid w:val="35395B4C"/>
    <w:rsid w:val="35667F3A"/>
    <w:rsid w:val="3598351B"/>
    <w:rsid w:val="35AD46F6"/>
    <w:rsid w:val="35F3307D"/>
    <w:rsid w:val="35FC7E72"/>
    <w:rsid w:val="360738DD"/>
    <w:rsid w:val="360D6D31"/>
    <w:rsid w:val="36104192"/>
    <w:rsid w:val="363321AC"/>
    <w:rsid w:val="36355285"/>
    <w:rsid w:val="363B6ACE"/>
    <w:rsid w:val="363E6985"/>
    <w:rsid w:val="3650189A"/>
    <w:rsid w:val="36553AE2"/>
    <w:rsid w:val="366471D4"/>
    <w:rsid w:val="36746309"/>
    <w:rsid w:val="368B0A60"/>
    <w:rsid w:val="36A305D9"/>
    <w:rsid w:val="36AA1732"/>
    <w:rsid w:val="36B6715F"/>
    <w:rsid w:val="36B7064D"/>
    <w:rsid w:val="36C11B0B"/>
    <w:rsid w:val="36CC180E"/>
    <w:rsid w:val="36F909D9"/>
    <w:rsid w:val="370233AA"/>
    <w:rsid w:val="37175A77"/>
    <w:rsid w:val="371C32ED"/>
    <w:rsid w:val="37325C24"/>
    <w:rsid w:val="374260F0"/>
    <w:rsid w:val="37461371"/>
    <w:rsid w:val="3747614F"/>
    <w:rsid w:val="374970B3"/>
    <w:rsid w:val="37543DC9"/>
    <w:rsid w:val="37582754"/>
    <w:rsid w:val="3759256B"/>
    <w:rsid w:val="37777CCD"/>
    <w:rsid w:val="37813DEE"/>
    <w:rsid w:val="37814798"/>
    <w:rsid w:val="37924BC6"/>
    <w:rsid w:val="37A45E59"/>
    <w:rsid w:val="37F73ACA"/>
    <w:rsid w:val="37FA2858"/>
    <w:rsid w:val="37FD7F7E"/>
    <w:rsid w:val="380C40E4"/>
    <w:rsid w:val="380C59AD"/>
    <w:rsid w:val="381D7F7B"/>
    <w:rsid w:val="382667D5"/>
    <w:rsid w:val="383721ED"/>
    <w:rsid w:val="383D6BCE"/>
    <w:rsid w:val="383F7C85"/>
    <w:rsid w:val="384777A8"/>
    <w:rsid w:val="3848667F"/>
    <w:rsid w:val="384F2D78"/>
    <w:rsid w:val="385651C8"/>
    <w:rsid w:val="38675A80"/>
    <w:rsid w:val="38691679"/>
    <w:rsid w:val="386B2C1F"/>
    <w:rsid w:val="387D617B"/>
    <w:rsid w:val="3882497B"/>
    <w:rsid w:val="388B0C24"/>
    <w:rsid w:val="389C0F5C"/>
    <w:rsid w:val="38AF4352"/>
    <w:rsid w:val="38EC24A7"/>
    <w:rsid w:val="38F3175E"/>
    <w:rsid w:val="38FF05C2"/>
    <w:rsid w:val="39017524"/>
    <w:rsid w:val="390D2B69"/>
    <w:rsid w:val="390F6E60"/>
    <w:rsid w:val="39135C37"/>
    <w:rsid w:val="391C514D"/>
    <w:rsid w:val="391D4612"/>
    <w:rsid w:val="394120A0"/>
    <w:rsid w:val="395A5CA1"/>
    <w:rsid w:val="397E6971"/>
    <w:rsid w:val="39956A7C"/>
    <w:rsid w:val="399E27B0"/>
    <w:rsid w:val="39BC38BC"/>
    <w:rsid w:val="39C96E2D"/>
    <w:rsid w:val="39CB77F4"/>
    <w:rsid w:val="39DF3551"/>
    <w:rsid w:val="39F47AB8"/>
    <w:rsid w:val="3A183678"/>
    <w:rsid w:val="3A1F0F0A"/>
    <w:rsid w:val="3A2854CC"/>
    <w:rsid w:val="3A5314D5"/>
    <w:rsid w:val="3A5E6872"/>
    <w:rsid w:val="3A6B31D9"/>
    <w:rsid w:val="3A6B702F"/>
    <w:rsid w:val="3A705876"/>
    <w:rsid w:val="3A742C3C"/>
    <w:rsid w:val="3A884D12"/>
    <w:rsid w:val="3A8D2D9B"/>
    <w:rsid w:val="3A9D7F8D"/>
    <w:rsid w:val="3AA755AA"/>
    <w:rsid w:val="3ABB4D7B"/>
    <w:rsid w:val="3ABF57FE"/>
    <w:rsid w:val="3AC26073"/>
    <w:rsid w:val="3AC50E69"/>
    <w:rsid w:val="3AD037FF"/>
    <w:rsid w:val="3ADB1950"/>
    <w:rsid w:val="3AE87DAD"/>
    <w:rsid w:val="3AEC4DAC"/>
    <w:rsid w:val="3AEF0286"/>
    <w:rsid w:val="3AFF70F0"/>
    <w:rsid w:val="3B002C44"/>
    <w:rsid w:val="3B1118C6"/>
    <w:rsid w:val="3B2F2679"/>
    <w:rsid w:val="3B362217"/>
    <w:rsid w:val="3B472F14"/>
    <w:rsid w:val="3B475AC5"/>
    <w:rsid w:val="3B483EC7"/>
    <w:rsid w:val="3B514788"/>
    <w:rsid w:val="3B7F0E08"/>
    <w:rsid w:val="3B8041A7"/>
    <w:rsid w:val="3B82066A"/>
    <w:rsid w:val="3B9F04B1"/>
    <w:rsid w:val="3BB00D7F"/>
    <w:rsid w:val="3BB2477E"/>
    <w:rsid w:val="3BBB2655"/>
    <w:rsid w:val="3BC36E8D"/>
    <w:rsid w:val="3C0261DB"/>
    <w:rsid w:val="3C0A714F"/>
    <w:rsid w:val="3C0E6BAD"/>
    <w:rsid w:val="3C200C69"/>
    <w:rsid w:val="3C28451C"/>
    <w:rsid w:val="3C77200D"/>
    <w:rsid w:val="3C977B29"/>
    <w:rsid w:val="3C9E0AA1"/>
    <w:rsid w:val="3CA40658"/>
    <w:rsid w:val="3CF15DF9"/>
    <w:rsid w:val="3D3246E3"/>
    <w:rsid w:val="3D342649"/>
    <w:rsid w:val="3D3E5B6F"/>
    <w:rsid w:val="3D420EB2"/>
    <w:rsid w:val="3D572FFD"/>
    <w:rsid w:val="3D580CDD"/>
    <w:rsid w:val="3D5C1743"/>
    <w:rsid w:val="3D634C0F"/>
    <w:rsid w:val="3D6F7523"/>
    <w:rsid w:val="3D9043F4"/>
    <w:rsid w:val="3DA93DDC"/>
    <w:rsid w:val="3DB64F59"/>
    <w:rsid w:val="3DF05BE8"/>
    <w:rsid w:val="3E083766"/>
    <w:rsid w:val="3E0F6944"/>
    <w:rsid w:val="3E121D49"/>
    <w:rsid w:val="3E1B38E5"/>
    <w:rsid w:val="3E236428"/>
    <w:rsid w:val="3E310271"/>
    <w:rsid w:val="3E386142"/>
    <w:rsid w:val="3E3F2B06"/>
    <w:rsid w:val="3E4B57BF"/>
    <w:rsid w:val="3E4D49D4"/>
    <w:rsid w:val="3E8F367F"/>
    <w:rsid w:val="3E953C19"/>
    <w:rsid w:val="3E9D4832"/>
    <w:rsid w:val="3ECA03F2"/>
    <w:rsid w:val="3ED77098"/>
    <w:rsid w:val="3ED877AC"/>
    <w:rsid w:val="3EDF7DB2"/>
    <w:rsid w:val="3EE33829"/>
    <w:rsid w:val="3EE864B9"/>
    <w:rsid w:val="3EFB051B"/>
    <w:rsid w:val="3F024ACC"/>
    <w:rsid w:val="3F094BE6"/>
    <w:rsid w:val="3F0F7F0A"/>
    <w:rsid w:val="3F1623FD"/>
    <w:rsid w:val="3F1A5F4E"/>
    <w:rsid w:val="3F1E2131"/>
    <w:rsid w:val="3F426A34"/>
    <w:rsid w:val="3F4B2F10"/>
    <w:rsid w:val="3F6205EF"/>
    <w:rsid w:val="3F626D88"/>
    <w:rsid w:val="3F660557"/>
    <w:rsid w:val="3F711CF9"/>
    <w:rsid w:val="3F8949C8"/>
    <w:rsid w:val="3FB36881"/>
    <w:rsid w:val="3FE92B38"/>
    <w:rsid w:val="3FFB7FD5"/>
    <w:rsid w:val="4012277C"/>
    <w:rsid w:val="401E563E"/>
    <w:rsid w:val="401F7E7B"/>
    <w:rsid w:val="4029744F"/>
    <w:rsid w:val="403C40C6"/>
    <w:rsid w:val="4047116E"/>
    <w:rsid w:val="40752AFC"/>
    <w:rsid w:val="408A3377"/>
    <w:rsid w:val="409F6E1D"/>
    <w:rsid w:val="40A832B8"/>
    <w:rsid w:val="40A87197"/>
    <w:rsid w:val="40C865B5"/>
    <w:rsid w:val="40D00749"/>
    <w:rsid w:val="41020CD4"/>
    <w:rsid w:val="41021585"/>
    <w:rsid w:val="4111572D"/>
    <w:rsid w:val="4125452D"/>
    <w:rsid w:val="41270554"/>
    <w:rsid w:val="412C1689"/>
    <w:rsid w:val="4142400B"/>
    <w:rsid w:val="4152188D"/>
    <w:rsid w:val="415229A9"/>
    <w:rsid w:val="415D1FF0"/>
    <w:rsid w:val="41675F63"/>
    <w:rsid w:val="41715E1D"/>
    <w:rsid w:val="417A353B"/>
    <w:rsid w:val="418D6F5A"/>
    <w:rsid w:val="418E7574"/>
    <w:rsid w:val="41D23B38"/>
    <w:rsid w:val="41D45626"/>
    <w:rsid w:val="41E55589"/>
    <w:rsid w:val="41FD518D"/>
    <w:rsid w:val="42186EF5"/>
    <w:rsid w:val="42332728"/>
    <w:rsid w:val="4243360B"/>
    <w:rsid w:val="426076E2"/>
    <w:rsid w:val="4262727B"/>
    <w:rsid w:val="42787C0A"/>
    <w:rsid w:val="4294349B"/>
    <w:rsid w:val="42A02CA3"/>
    <w:rsid w:val="42A711E6"/>
    <w:rsid w:val="42B163B5"/>
    <w:rsid w:val="42B20976"/>
    <w:rsid w:val="42B535F9"/>
    <w:rsid w:val="42C10FD1"/>
    <w:rsid w:val="42C70BA4"/>
    <w:rsid w:val="42D043FD"/>
    <w:rsid w:val="42D91CC0"/>
    <w:rsid w:val="42DE7EF2"/>
    <w:rsid w:val="42E72C1D"/>
    <w:rsid w:val="42EB2077"/>
    <w:rsid w:val="42F417E4"/>
    <w:rsid w:val="42F52B6B"/>
    <w:rsid w:val="430B4C32"/>
    <w:rsid w:val="430C30C1"/>
    <w:rsid w:val="43245818"/>
    <w:rsid w:val="43301B22"/>
    <w:rsid w:val="43314F31"/>
    <w:rsid w:val="4340580E"/>
    <w:rsid w:val="434B6CFF"/>
    <w:rsid w:val="436456F5"/>
    <w:rsid w:val="437D5DDB"/>
    <w:rsid w:val="437D6A02"/>
    <w:rsid w:val="43851DB5"/>
    <w:rsid w:val="4387140C"/>
    <w:rsid w:val="439C6F6E"/>
    <w:rsid w:val="43A777A7"/>
    <w:rsid w:val="43AD11C7"/>
    <w:rsid w:val="43B77C9D"/>
    <w:rsid w:val="43B97F6F"/>
    <w:rsid w:val="43C21F95"/>
    <w:rsid w:val="43C76278"/>
    <w:rsid w:val="43D53FCE"/>
    <w:rsid w:val="43F361ED"/>
    <w:rsid w:val="44005CB2"/>
    <w:rsid w:val="44165DA6"/>
    <w:rsid w:val="442366D9"/>
    <w:rsid w:val="44273B42"/>
    <w:rsid w:val="44305CB6"/>
    <w:rsid w:val="44342CA2"/>
    <w:rsid w:val="44374A5A"/>
    <w:rsid w:val="445911F0"/>
    <w:rsid w:val="4459657F"/>
    <w:rsid w:val="445A608D"/>
    <w:rsid w:val="4468676B"/>
    <w:rsid w:val="44705280"/>
    <w:rsid w:val="448522A7"/>
    <w:rsid w:val="448A4586"/>
    <w:rsid w:val="448B66C3"/>
    <w:rsid w:val="44BB002C"/>
    <w:rsid w:val="44C71029"/>
    <w:rsid w:val="44D63E4F"/>
    <w:rsid w:val="44DD0364"/>
    <w:rsid w:val="44E320D2"/>
    <w:rsid w:val="44E901FD"/>
    <w:rsid w:val="44F420B3"/>
    <w:rsid w:val="44F555B1"/>
    <w:rsid w:val="44FA5C6B"/>
    <w:rsid w:val="45091972"/>
    <w:rsid w:val="450B04E7"/>
    <w:rsid w:val="452E2018"/>
    <w:rsid w:val="45473870"/>
    <w:rsid w:val="4549370A"/>
    <w:rsid w:val="454F36F8"/>
    <w:rsid w:val="4558401B"/>
    <w:rsid w:val="456C5C4A"/>
    <w:rsid w:val="457F740A"/>
    <w:rsid w:val="458D5460"/>
    <w:rsid w:val="45911606"/>
    <w:rsid w:val="459569D7"/>
    <w:rsid w:val="45977DCF"/>
    <w:rsid w:val="45A020D0"/>
    <w:rsid w:val="45A10011"/>
    <w:rsid w:val="45AF5E88"/>
    <w:rsid w:val="45E947A3"/>
    <w:rsid w:val="45E96AEC"/>
    <w:rsid w:val="45F322A2"/>
    <w:rsid w:val="460A2546"/>
    <w:rsid w:val="461813A5"/>
    <w:rsid w:val="461A0662"/>
    <w:rsid w:val="46480157"/>
    <w:rsid w:val="4650531F"/>
    <w:rsid w:val="46526C36"/>
    <w:rsid w:val="46612EC3"/>
    <w:rsid w:val="46705EEB"/>
    <w:rsid w:val="46724811"/>
    <w:rsid w:val="46A16F8B"/>
    <w:rsid w:val="46A301A9"/>
    <w:rsid w:val="46DA7449"/>
    <w:rsid w:val="46E62A71"/>
    <w:rsid w:val="46E67FCC"/>
    <w:rsid w:val="46F13A23"/>
    <w:rsid w:val="470C403A"/>
    <w:rsid w:val="472A1AE1"/>
    <w:rsid w:val="472D4226"/>
    <w:rsid w:val="473077A2"/>
    <w:rsid w:val="473D15A2"/>
    <w:rsid w:val="473D62FF"/>
    <w:rsid w:val="47417DE3"/>
    <w:rsid w:val="47511774"/>
    <w:rsid w:val="47544B5A"/>
    <w:rsid w:val="47592874"/>
    <w:rsid w:val="4766360E"/>
    <w:rsid w:val="476D6A25"/>
    <w:rsid w:val="47884856"/>
    <w:rsid w:val="4790594C"/>
    <w:rsid w:val="47B026E8"/>
    <w:rsid w:val="47B13D84"/>
    <w:rsid w:val="47EC4E14"/>
    <w:rsid w:val="47ED3A9E"/>
    <w:rsid w:val="47F6064A"/>
    <w:rsid w:val="47F767AA"/>
    <w:rsid w:val="480950B9"/>
    <w:rsid w:val="480B3A03"/>
    <w:rsid w:val="480D3996"/>
    <w:rsid w:val="481A49D4"/>
    <w:rsid w:val="48254160"/>
    <w:rsid w:val="482776FD"/>
    <w:rsid w:val="48400532"/>
    <w:rsid w:val="48661041"/>
    <w:rsid w:val="4869752F"/>
    <w:rsid w:val="48751901"/>
    <w:rsid w:val="487B7DFA"/>
    <w:rsid w:val="488839DC"/>
    <w:rsid w:val="48923210"/>
    <w:rsid w:val="48BB11D6"/>
    <w:rsid w:val="48C05429"/>
    <w:rsid w:val="48D46C6C"/>
    <w:rsid w:val="48D65CE6"/>
    <w:rsid w:val="49155255"/>
    <w:rsid w:val="493B17ED"/>
    <w:rsid w:val="49516CED"/>
    <w:rsid w:val="4968677D"/>
    <w:rsid w:val="49754644"/>
    <w:rsid w:val="4987089F"/>
    <w:rsid w:val="49A279A2"/>
    <w:rsid w:val="49B07DC5"/>
    <w:rsid w:val="49B23406"/>
    <w:rsid w:val="49BB2D8B"/>
    <w:rsid w:val="49BD67E4"/>
    <w:rsid w:val="49C44D66"/>
    <w:rsid w:val="49CD7477"/>
    <w:rsid w:val="49DD7E41"/>
    <w:rsid w:val="49E03C68"/>
    <w:rsid w:val="49E50FB8"/>
    <w:rsid w:val="49F03F01"/>
    <w:rsid w:val="49F266EB"/>
    <w:rsid w:val="49F71777"/>
    <w:rsid w:val="49F92D29"/>
    <w:rsid w:val="4A001E49"/>
    <w:rsid w:val="4A0F0E6F"/>
    <w:rsid w:val="4A183B6A"/>
    <w:rsid w:val="4A1A718D"/>
    <w:rsid w:val="4A285C8D"/>
    <w:rsid w:val="4A29752D"/>
    <w:rsid w:val="4A327D14"/>
    <w:rsid w:val="4A536622"/>
    <w:rsid w:val="4A666BEC"/>
    <w:rsid w:val="4A8657A3"/>
    <w:rsid w:val="4A920C31"/>
    <w:rsid w:val="4AB37FDD"/>
    <w:rsid w:val="4AB56533"/>
    <w:rsid w:val="4ABE46B5"/>
    <w:rsid w:val="4ACC0D57"/>
    <w:rsid w:val="4ACC6885"/>
    <w:rsid w:val="4ADF0A8E"/>
    <w:rsid w:val="4AF52F08"/>
    <w:rsid w:val="4AF96D45"/>
    <w:rsid w:val="4B0511A1"/>
    <w:rsid w:val="4B0D2FD6"/>
    <w:rsid w:val="4B325B5F"/>
    <w:rsid w:val="4B6B5609"/>
    <w:rsid w:val="4B775B45"/>
    <w:rsid w:val="4B7A6000"/>
    <w:rsid w:val="4B906C3C"/>
    <w:rsid w:val="4B9132A3"/>
    <w:rsid w:val="4B995B2C"/>
    <w:rsid w:val="4BAF7DDC"/>
    <w:rsid w:val="4BBA0D7E"/>
    <w:rsid w:val="4BCF3E41"/>
    <w:rsid w:val="4BDA5D6C"/>
    <w:rsid w:val="4BF83930"/>
    <w:rsid w:val="4C07552F"/>
    <w:rsid w:val="4C0D4AA1"/>
    <w:rsid w:val="4C1F35CF"/>
    <w:rsid w:val="4C265483"/>
    <w:rsid w:val="4C2F0E3A"/>
    <w:rsid w:val="4C613A1A"/>
    <w:rsid w:val="4C731D6F"/>
    <w:rsid w:val="4C7B0EF5"/>
    <w:rsid w:val="4C7F0B32"/>
    <w:rsid w:val="4C8142ED"/>
    <w:rsid w:val="4C961286"/>
    <w:rsid w:val="4CA06929"/>
    <w:rsid w:val="4CA51115"/>
    <w:rsid w:val="4CAB7964"/>
    <w:rsid w:val="4CC50299"/>
    <w:rsid w:val="4CCB531B"/>
    <w:rsid w:val="4CD7788D"/>
    <w:rsid w:val="4D166448"/>
    <w:rsid w:val="4D171563"/>
    <w:rsid w:val="4D1C1931"/>
    <w:rsid w:val="4D2F490C"/>
    <w:rsid w:val="4D322B0D"/>
    <w:rsid w:val="4D53613E"/>
    <w:rsid w:val="4D6C4344"/>
    <w:rsid w:val="4D845313"/>
    <w:rsid w:val="4D946829"/>
    <w:rsid w:val="4DB22DC5"/>
    <w:rsid w:val="4DC168E1"/>
    <w:rsid w:val="4DE057A2"/>
    <w:rsid w:val="4DEF3C46"/>
    <w:rsid w:val="4DF97E1F"/>
    <w:rsid w:val="4E0932BA"/>
    <w:rsid w:val="4E0C544D"/>
    <w:rsid w:val="4E1B213E"/>
    <w:rsid w:val="4E230C36"/>
    <w:rsid w:val="4E232505"/>
    <w:rsid w:val="4E3D0203"/>
    <w:rsid w:val="4E3D4092"/>
    <w:rsid w:val="4E4E6903"/>
    <w:rsid w:val="4E6643D6"/>
    <w:rsid w:val="4E672AEF"/>
    <w:rsid w:val="4E9760A3"/>
    <w:rsid w:val="4E9B6F87"/>
    <w:rsid w:val="4EB40EA9"/>
    <w:rsid w:val="4ECA6A16"/>
    <w:rsid w:val="4ED419B9"/>
    <w:rsid w:val="4EDD395A"/>
    <w:rsid w:val="4EF26D08"/>
    <w:rsid w:val="4EF676A4"/>
    <w:rsid w:val="4EFE2B59"/>
    <w:rsid w:val="4F007CC6"/>
    <w:rsid w:val="4F0C5ED2"/>
    <w:rsid w:val="4F1B308F"/>
    <w:rsid w:val="4F306D10"/>
    <w:rsid w:val="4F357E2A"/>
    <w:rsid w:val="4F437C01"/>
    <w:rsid w:val="4F4852C2"/>
    <w:rsid w:val="4F4F0604"/>
    <w:rsid w:val="4F5527EE"/>
    <w:rsid w:val="4F5841FF"/>
    <w:rsid w:val="4F836FD1"/>
    <w:rsid w:val="4F991D1C"/>
    <w:rsid w:val="4FA860EC"/>
    <w:rsid w:val="4FB663AD"/>
    <w:rsid w:val="4FCD6AEB"/>
    <w:rsid w:val="4FE51EC2"/>
    <w:rsid w:val="4FE92D8A"/>
    <w:rsid w:val="4FFE517B"/>
    <w:rsid w:val="501303D0"/>
    <w:rsid w:val="5054348B"/>
    <w:rsid w:val="506149C1"/>
    <w:rsid w:val="507C791C"/>
    <w:rsid w:val="50870F98"/>
    <w:rsid w:val="508C5619"/>
    <w:rsid w:val="50BA42F9"/>
    <w:rsid w:val="50C64825"/>
    <w:rsid w:val="50EB774C"/>
    <w:rsid w:val="50FD4E57"/>
    <w:rsid w:val="51077F0F"/>
    <w:rsid w:val="511856D5"/>
    <w:rsid w:val="51212628"/>
    <w:rsid w:val="512555A3"/>
    <w:rsid w:val="513423CF"/>
    <w:rsid w:val="51397EE7"/>
    <w:rsid w:val="515C52B0"/>
    <w:rsid w:val="515D6AEE"/>
    <w:rsid w:val="51617CB0"/>
    <w:rsid w:val="517462F4"/>
    <w:rsid w:val="517F14CA"/>
    <w:rsid w:val="517F1687"/>
    <w:rsid w:val="518B66A6"/>
    <w:rsid w:val="5196613C"/>
    <w:rsid w:val="519B69A5"/>
    <w:rsid w:val="519C236E"/>
    <w:rsid w:val="51B56221"/>
    <w:rsid w:val="51D357B8"/>
    <w:rsid w:val="51D47B29"/>
    <w:rsid w:val="51DF3BA2"/>
    <w:rsid w:val="51E719E0"/>
    <w:rsid w:val="51F836C8"/>
    <w:rsid w:val="51FF4960"/>
    <w:rsid w:val="521C62D4"/>
    <w:rsid w:val="5225136D"/>
    <w:rsid w:val="52363BA2"/>
    <w:rsid w:val="52600F15"/>
    <w:rsid w:val="52650A0F"/>
    <w:rsid w:val="52744100"/>
    <w:rsid w:val="527E1EAF"/>
    <w:rsid w:val="52837646"/>
    <w:rsid w:val="52837942"/>
    <w:rsid w:val="529A0E01"/>
    <w:rsid w:val="529C2335"/>
    <w:rsid w:val="529D5EE7"/>
    <w:rsid w:val="52A425F5"/>
    <w:rsid w:val="52AC00B5"/>
    <w:rsid w:val="52C8457B"/>
    <w:rsid w:val="52CA7A2C"/>
    <w:rsid w:val="52E3409D"/>
    <w:rsid w:val="52F25F10"/>
    <w:rsid w:val="5303259D"/>
    <w:rsid w:val="530F597F"/>
    <w:rsid w:val="53226469"/>
    <w:rsid w:val="532C3AC7"/>
    <w:rsid w:val="53373C1B"/>
    <w:rsid w:val="5340186F"/>
    <w:rsid w:val="53516B94"/>
    <w:rsid w:val="5354491D"/>
    <w:rsid w:val="535C7486"/>
    <w:rsid w:val="53734875"/>
    <w:rsid w:val="537B6D8A"/>
    <w:rsid w:val="53831B91"/>
    <w:rsid w:val="53AA2887"/>
    <w:rsid w:val="53B44D0E"/>
    <w:rsid w:val="53C30F5A"/>
    <w:rsid w:val="53C409E8"/>
    <w:rsid w:val="53C82E83"/>
    <w:rsid w:val="53CB5DD1"/>
    <w:rsid w:val="53D30B52"/>
    <w:rsid w:val="53D87EF7"/>
    <w:rsid w:val="53D9299C"/>
    <w:rsid w:val="53DC25BF"/>
    <w:rsid w:val="53EB7810"/>
    <w:rsid w:val="54054A7B"/>
    <w:rsid w:val="54060DDF"/>
    <w:rsid w:val="54095BDE"/>
    <w:rsid w:val="54105CDA"/>
    <w:rsid w:val="541F439B"/>
    <w:rsid w:val="54281338"/>
    <w:rsid w:val="54314304"/>
    <w:rsid w:val="54470359"/>
    <w:rsid w:val="545D4A78"/>
    <w:rsid w:val="545F4B3C"/>
    <w:rsid w:val="5482061F"/>
    <w:rsid w:val="548224B1"/>
    <w:rsid w:val="54847EA4"/>
    <w:rsid w:val="548F70D9"/>
    <w:rsid w:val="54951BF6"/>
    <w:rsid w:val="54C57059"/>
    <w:rsid w:val="54C6454F"/>
    <w:rsid w:val="54D3482C"/>
    <w:rsid w:val="54D92C64"/>
    <w:rsid w:val="54DA682C"/>
    <w:rsid w:val="55257CCE"/>
    <w:rsid w:val="552E0D90"/>
    <w:rsid w:val="55363567"/>
    <w:rsid w:val="553C64E2"/>
    <w:rsid w:val="555C0CE9"/>
    <w:rsid w:val="557512C8"/>
    <w:rsid w:val="55784BB0"/>
    <w:rsid w:val="55823D1C"/>
    <w:rsid w:val="55852E44"/>
    <w:rsid w:val="55895C47"/>
    <w:rsid w:val="558A3ACC"/>
    <w:rsid w:val="55954180"/>
    <w:rsid w:val="55A01DDA"/>
    <w:rsid w:val="55B90ED4"/>
    <w:rsid w:val="55C850D1"/>
    <w:rsid w:val="55CD7937"/>
    <w:rsid w:val="55D13980"/>
    <w:rsid w:val="55D2514B"/>
    <w:rsid w:val="560069CE"/>
    <w:rsid w:val="560660CB"/>
    <w:rsid w:val="56364F05"/>
    <w:rsid w:val="564A5100"/>
    <w:rsid w:val="565A1A64"/>
    <w:rsid w:val="56715B59"/>
    <w:rsid w:val="567A77B7"/>
    <w:rsid w:val="567D13ED"/>
    <w:rsid w:val="5689092B"/>
    <w:rsid w:val="568A5F56"/>
    <w:rsid w:val="56952912"/>
    <w:rsid w:val="56AE17D1"/>
    <w:rsid w:val="56C77A19"/>
    <w:rsid w:val="56D03361"/>
    <w:rsid w:val="56D8630B"/>
    <w:rsid w:val="56DA1C69"/>
    <w:rsid w:val="56E20AA7"/>
    <w:rsid w:val="56E8585D"/>
    <w:rsid w:val="56F7455F"/>
    <w:rsid w:val="56F959D6"/>
    <w:rsid w:val="56FD12A6"/>
    <w:rsid w:val="56FE346D"/>
    <w:rsid w:val="573B7778"/>
    <w:rsid w:val="57691605"/>
    <w:rsid w:val="578E7197"/>
    <w:rsid w:val="57A07595"/>
    <w:rsid w:val="57A21F55"/>
    <w:rsid w:val="57A509FE"/>
    <w:rsid w:val="57B70634"/>
    <w:rsid w:val="57C2116B"/>
    <w:rsid w:val="57CE53B1"/>
    <w:rsid w:val="57E511BA"/>
    <w:rsid w:val="57E71B9B"/>
    <w:rsid w:val="57EB1EF0"/>
    <w:rsid w:val="57EC2153"/>
    <w:rsid w:val="580A42C0"/>
    <w:rsid w:val="580A5802"/>
    <w:rsid w:val="581E1DAC"/>
    <w:rsid w:val="582B7153"/>
    <w:rsid w:val="58406237"/>
    <w:rsid w:val="584A4C96"/>
    <w:rsid w:val="588F4043"/>
    <w:rsid w:val="589236D9"/>
    <w:rsid w:val="58924C92"/>
    <w:rsid w:val="589461BF"/>
    <w:rsid w:val="589D2329"/>
    <w:rsid w:val="58A10775"/>
    <w:rsid w:val="58C56814"/>
    <w:rsid w:val="58D02F8C"/>
    <w:rsid w:val="58DC1B06"/>
    <w:rsid w:val="58E72FD0"/>
    <w:rsid w:val="58F82227"/>
    <w:rsid w:val="58FE7171"/>
    <w:rsid w:val="59186795"/>
    <w:rsid w:val="591A3FA8"/>
    <w:rsid w:val="592716C7"/>
    <w:rsid w:val="592A2497"/>
    <w:rsid w:val="592D2039"/>
    <w:rsid w:val="592F46AB"/>
    <w:rsid w:val="5932518E"/>
    <w:rsid w:val="5940137B"/>
    <w:rsid w:val="59477366"/>
    <w:rsid w:val="594A2AEB"/>
    <w:rsid w:val="596D247E"/>
    <w:rsid w:val="5971083F"/>
    <w:rsid w:val="59781F11"/>
    <w:rsid w:val="598B66A5"/>
    <w:rsid w:val="59920999"/>
    <w:rsid w:val="59BC20E3"/>
    <w:rsid w:val="59C04A00"/>
    <w:rsid w:val="59E5582B"/>
    <w:rsid w:val="59F1740B"/>
    <w:rsid w:val="5A0E0135"/>
    <w:rsid w:val="5A3D5E03"/>
    <w:rsid w:val="5A7214A3"/>
    <w:rsid w:val="5A727676"/>
    <w:rsid w:val="5A815F81"/>
    <w:rsid w:val="5A88418C"/>
    <w:rsid w:val="5A8A442F"/>
    <w:rsid w:val="5A9B2083"/>
    <w:rsid w:val="5AB97A88"/>
    <w:rsid w:val="5AC032FD"/>
    <w:rsid w:val="5ADE30F5"/>
    <w:rsid w:val="5AEE23CF"/>
    <w:rsid w:val="5AF6130F"/>
    <w:rsid w:val="5B0A17A3"/>
    <w:rsid w:val="5B0F52C0"/>
    <w:rsid w:val="5B0F7CB1"/>
    <w:rsid w:val="5B114C27"/>
    <w:rsid w:val="5B247B83"/>
    <w:rsid w:val="5B26770E"/>
    <w:rsid w:val="5B32734E"/>
    <w:rsid w:val="5B343A2D"/>
    <w:rsid w:val="5B4D0D8A"/>
    <w:rsid w:val="5B6852A7"/>
    <w:rsid w:val="5B7102F5"/>
    <w:rsid w:val="5B9725E1"/>
    <w:rsid w:val="5BBC0EFB"/>
    <w:rsid w:val="5BC37C9D"/>
    <w:rsid w:val="5BD23B62"/>
    <w:rsid w:val="5BFA4F23"/>
    <w:rsid w:val="5C0936BC"/>
    <w:rsid w:val="5C1D55FB"/>
    <w:rsid w:val="5C3379BE"/>
    <w:rsid w:val="5C471A7F"/>
    <w:rsid w:val="5C4A73AD"/>
    <w:rsid w:val="5C505D62"/>
    <w:rsid w:val="5C53417F"/>
    <w:rsid w:val="5C945AD6"/>
    <w:rsid w:val="5CB050C4"/>
    <w:rsid w:val="5CC12567"/>
    <w:rsid w:val="5CC20D29"/>
    <w:rsid w:val="5CD12F82"/>
    <w:rsid w:val="5CEE41DA"/>
    <w:rsid w:val="5CF323B1"/>
    <w:rsid w:val="5D0448EB"/>
    <w:rsid w:val="5D206C50"/>
    <w:rsid w:val="5D354EE3"/>
    <w:rsid w:val="5D3874B9"/>
    <w:rsid w:val="5D6C3DA7"/>
    <w:rsid w:val="5D730EE2"/>
    <w:rsid w:val="5D887E95"/>
    <w:rsid w:val="5D916D7B"/>
    <w:rsid w:val="5DA07C00"/>
    <w:rsid w:val="5DAE4240"/>
    <w:rsid w:val="5DC7289E"/>
    <w:rsid w:val="5DC92EAD"/>
    <w:rsid w:val="5DCB333B"/>
    <w:rsid w:val="5DD66B92"/>
    <w:rsid w:val="5DDC1E2F"/>
    <w:rsid w:val="5DEB0F53"/>
    <w:rsid w:val="5DEE2A72"/>
    <w:rsid w:val="5DEE678D"/>
    <w:rsid w:val="5DF27C43"/>
    <w:rsid w:val="5DF435D5"/>
    <w:rsid w:val="5DF55BB0"/>
    <w:rsid w:val="5DFA3EFA"/>
    <w:rsid w:val="5E0F2B7A"/>
    <w:rsid w:val="5E24677D"/>
    <w:rsid w:val="5E260353"/>
    <w:rsid w:val="5E324983"/>
    <w:rsid w:val="5E44700B"/>
    <w:rsid w:val="5E570C74"/>
    <w:rsid w:val="5E5863DA"/>
    <w:rsid w:val="5E621795"/>
    <w:rsid w:val="5E776D79"/>
    <w:rsid w:val="5EBD7B1D"/>
    <w:rsid w:val="5ED42FFB"/>
    <w:rsid w:val="5ED81EB0"/>
    <w:rsid w:val="5EE04950"/>
    <w:rsid w:val="5EF17433"/>
    <w:rsid w:val="5EF442F3"/>
    <w:rsid w:val="5F392CDE"/>
    <w:rsid w:val="5F464536"/>
    <w:rsid w:val="5F530361"/>
    <w:rsid w:val="5F5631DE"/>
    <w:rsid w:val="5F65722E"/>
    <w:rsid w:val="5F6A5A15"/>
    <w:rsid w:val="5F6B515B"/>
    <w:rsid w:val="5F794CFC"/>
    <w:rsid w:val="5F88085E"/>
    <w:rsid w:val="5F8A23C5"/>
    <w:rsid w:val="5F8A3E56"/>
    <w:rsid w:val="5F8C6292"/>
    <w:rsid w:val="5F8E4CA8"/>
    <w:rsid w:val="5F9717D7"/>
    <w:rsid w:val="5F9F04B6"/>
    <w:rsid w:val="5FC02EFF"/>
    <w:rsid w:val="5FCA1514"/>
    <w:rsid w:val="5FCA5F6E"/>
    <w:rsid w:val="5FD16AC1"/>
    <w:rsid w:val="5FD52454"/>
    <w:rsid w:val="5FDF0EC5"/>
    <w:rsid w:val="5FF70D1F"/>
    <w:rsid w:val="60071F4D"/>
    <w:rsid w:val="601E20B9"/>
    <w:rsid w:val="60264FF8"/>
    <w:rsid w:val="602F33AA"/>
    <w:rsid w:val="60423777"/>
    <w:rsid w:val="604553F8"/>
    <w:rsid w:val="60592246"/>
    <w:rsid w:val="605F7014"/>
    <w:rsid w:val="608F3FEA"/>
    <w:rsid w:val="60B3541A"/>
    <w:rsid w:val="60B514B5"/>
    <w:rsid w:val="60D66A94"/>
    <w:rsid w:val="60E52B12"/>
    <w:rsid w:val="60F27543"/>
    <w:rsid w:val="60F75152"/>
    <w:rsid w:val="60FA63FF"/>
    <w:rsid w:val="610328BE"/>
    <w:rsid w:val="610944FC"/>
    <w:rsid w:val="610C4BE8"/>
    <w:rsid w:val="6134235B"/>
    <w:rsid w:val="613832CC"/>
    <w:rsid w:val="613A02BC"/>
    <w:rsid w:val="613C2F43"/>
    <w:rsid w:val="613E4ADB"/>
    <w:rsid w:val="616C399E"/>
    <w:rsid w:val="61AB33ED"/>
    <w:rsid w:val="61B64204"/>
    <w:rsid w:val="61C64BBF"/>
    <w:rsid w:val="61D22950"/>
    <w:rsid w:val="620123E4"/>
    <w:rsid w:val="62145AEB"/>
    <w:rsid w:val="621A753C"/>
    <w:rsid w:val="62277A34"/>
    <w:rsid w:val="6229486E"/>
    <w:rsid w:val="622B7084"/>
    <w:rsid w:val="623E17D6"/>
    <w:rsid w:val="623E4069"/>
    <w:rsid w:val="62540997"/>
    <w:rsid w:val="626A7C77"/>
    <w:rsid w:val="626C52F5"/>
    <w:rsid w:val="62733931"/>
    <w:rsid w:val="62903549"/>
    <w:rsid w:val="62941096"/>
    <w:rsid w:val="62994D31"/>
    <w:rsid w:val="62A83591"/>
    <w:rsid w:val="62A83C57"/>
    <w:rsid w:val="62C12796"/>
    <w:rsid w:val="62C34E66"/>
    <w:rsid w:val="62CD3376"/>
    <w:rsid w:val="62D701C0"/>
    <w:rsid w:val="62F95F66"/>
    <w:rsid w:val="630145B1"/>
    <w:rsid w:val="63262FAC"/>
    <w:rsid w:val="633D71FD"/>
    <w:rsid w:val="635952CB"/>
    <w:rsid w:val="63615C4D"/>
    <w:rsid w:val="636450DA"/>
    <w:rsid w:val="636C4754"/>
    <w:rsid w:val="636D2B7A"/>
    <w:rsid w:val="637806D0"/>
    <w:rsid w:val="637D6E84"/>
    <w:rsid w:val="637F1A42"/>
    <w:rsid w:val="63924718"/>
    <w:rsid w:val="63A852E1"/>
    <w:rsid w:val="63A90788"/>
    <w:rsid w:val="63AC4286"/>
    <w:rsid w:val="63C055E0"/>
    <w:rsid w:val="63C07177"/>
    <w:rsid w:val="63C848D1"/>
    <w:rsid w:val="63E716FF"/>
    <w:rsid w:val="63E8077B"/>
    <w:rsid w:val="63E853DA"/>
    <w:rsid w:val="640D1E03"/>
    <w:rsid w:val="640E5323"/>
    <w:rsid w:val="641414C0"/>
    <w:rsid w:val="6440345B"/>
    <w:rsid w:val="64444B3D"/>
    <w:rsid w:val="644C4722"/>
    <w:rsid w:val="64534730"/>
    <w:rsid w:val="645405A3"/>
    <w:rsid w:val="64685B86"/>
    <w:rsid w:val="6471791E"/>
    <w:rsid w:val="64793089"/>
    <w:rsid w:val="64920F57"/>
    <w:rsid w:val="64A75208"/>
    <w:rsid w:val="64B312A9"/>
    <w:rsid w:val="64B47494"/>
    <w:rsid w:val="64E33F04"/>
    <w:rsid w:val="64EB5A83"/>
    <w:rsid w:val="65010B76"/>
    <w:rsid w:val="650A1588"/>
    <w:rsid w:val="650C1766"/>
    <w:rsid w:val="6510599A"/>
    <w:rsid w:val="651914D2"/>
    <w:rsid w:val="65192BAE"/>
    <w:rsid w:val="651D72B3"/>
    <w:rsid w:val="65A01A7D"/>
    <w:rsid w:val="65A14B94"/>
    <w:rsid w:val="65A253A7"/>
    <w:rsid w:val="65A36CEB"/>
    <w:rsid w:val="65BB1313"/>
    <w:rsid w:val="65BE6BB1"/>
    <w:rsid w:val="65C71A08"/>
    <w:rsid w:val="65CD67B4"/>
    <w:rsid w:val="65D35F17"/>
    <w:rsid w:val="65F7538D"/>
    <w:rsid w:val="661019D4"/>
    <w:rsid w:val="661C5F5D"/>
    <w:rsid w:val="66202F9D"/>
    <w:rsid w:val="663D0B30"/>
    <w:rsid w:val="66485632"/>
    <w:rsid w:val="665D57F2"/>
    <w:rsid w:val="666E6167"/>
    <w:rsid w:val="66744448"/>
    <w:rsid w:val="66765F1A"/>
    <w:rsid w:val="66794933"/>
    <w:rsid w:val="66B174ED"/>
    <w:rsid w:val="66C61CBE"/>
    <w:rsid w:val="66D870D1"/>
    <w:rsid w:val="66EE38D1"/>
    <w:rsid w:val="66EF0AFC"/>
    <w:rsid w:val="66FC503C"/>
    <w:rsid w:val="67033900"/>
    <w:rsid w:val="670563D5"/>
    <w:rsid w:val="67154B8D"/>
    <w:rsid w:val="67187A55"/>
    <w:rsid w:val="671D539B"/>
    <w:rsid w:val="67254588"/>
    <w:rsid w:val="6732245D"/>
    <w:rsid w:val="673F4DBB"/>
    <w:rsid w:val="673F7E4A"/>
    <w:rsid w:val="67513D12"/>
    <w:rsid w:val="675430F8"/>
    <w:rsid w:val="6766335A"/>
    <w:rsid w:val="67687D74"/>
    <w:rsid w:val="67A46649"/>
    <w:rsid w:val="67CB3278"/>
    <w:rsid w:val="67CE0F31"/>
    <w:rsid w:val="67D04A4E"/>
    <w:rsid w:val="67D10670"/>
    <w:rsid w:val="67E10A54"/>
    <w:rsid w:val="67EB4713"/>
    <w:rsid w:val="67F53CE1"/>
    <w:rsid w:val="681D03FA"/>
    <w:rsid w:val="68454F03"/>
    <w:rsid w:val="68495744"/>
    <w:rsid w:val="686E5732"/>
    <w:rsid w:val="68733445"/>
    <w:rsid w:val="687D0ACB"/>
    <w:rsid w:val="68811D9A"/>
    <w:rsid w:val="68863444"/>
    <w:rsid w:val="688A0790"/>
    <w:rsid w:val="688D7E60"/>
    <w:rsid w:val="689F1CCD"/>
    <w:rsid w:val="68B45334"/>
    <w:rsid w:val="68CD1875"/>
    <w:rsid w:val="68D01B13"/>
    <w:rsid w:val="68D14939"/>
    <w:rsid w:val="68D66248"/>
    <w:rsid w:val="68D66D1E"/>
    <w:rsid w:val="68DA5B92"/>
    <w:rsid w:val="68E14CAE"/>
    <w:rsid w:val="68E24783"/>
    <w:rsid w:val="690C060D"/>
    <w:rsid w:val="69126466"/>
    <w:rsid w:val="691D7B9C"/>
    <w:rsid w:val="692472A3"/>
    <w:rsid w:val="6928618E"/>
    <w:rsid w:val="69321F89"/>
    <w:rsid w:val="69336CD3"/>
    <w:rsid w:val="69404743"/>
    <w:rsid w:val="6946572A"/>
    <w:rsid w:val="69490EB5"/>
    <w:rsid w:val="69522577"/>
    <w:rsid w:val="69545F2F"/>
    <w:rsid w:val="695F08F2"/>
    <w:rsid w:val="696861BD"/>
    <w:rsid w:val="697C5FE4"/>
    <w:rsid w:val="697F10FE"/>
    <w:rsid w:val="698A30F1"/>
    <w:rsid w:val="699523C1"/>
    <w:rsid w:val="69A7427B"/>
    <w:rsid w:val="69B20047"/>
    <w:rsid w:val="69BE4CD6"/>
    <w:rsid w:val="69F04FE9"/>
    <w:rsid w:val="69FC6CEC"/>
    <w:rsid w:val="6A032251"/>
    <w:rsid w:val="6A0A078F"/>
    <w:rsid w:val="6A0A71E8"/>
    <w:rsid w:val="6A185B1C"/>
    <w:rsid w:val="6A2145F6"/>
    <w:rsid w:val="6A32122A"/>
    <w:rsid w:val="6A3D2446"/>
    <w:rsid w:val="6A4C12E3"/>
    <w:rsid w:val="6A4D0FD7"/>
    <w:rsid w:val="6A501F3B"/>
    <w:rsid w:val="6A5A2AF2"/>
    <w:rsid w:val="6A5A70C2"/>
    <w:rsid w:val="6A7D7AE5"/>
    <w:rsid w:val="6A87737E"/>
    <w:rsid w:val="6A900280"/>
    <w:rsid w:val="6ACB5869"/>
    <w:rsid w:val="6ACF317C"/>
    <w:rsid w:val="6AD1272D"/>
    <w:rsid w:val="6AD4186C"/>
    <w:rsid w:val="6ADE3E82"/>
    <w:rsid w:val="6AEA2328"/>
    <w:rsid w:val="6AF226E1"/>
    <w:rsid w:val="6AF254FA"/>
    <w:rsid w:val="6AF54310"/>
    <w:rsid w:val="6AFA4C83"/>
    <w:rsid w:val="6B013EB0"/>
    <w:rsid w:val="6B12629B"/>
    <w:rsid w:val="6B1E55D0"/>
    <w:rsid w:val="6B3058EA"/>
    <w:rsid w:val="6B3B697A"/>
    <w:rsid w:val="6B5519CF"/>
    <w:rsid w:val="6B571F84"/>
    <w:rsid w:val="6B6270D7"/>
    <w:rsid w:val="6B631EBD"/>
    <w:rsid w:val="6B6D60A5"/>
    <w:rsid w:val="6B71426E"/>
    <w:rsid w:val="6B773BDA"/>
    <w:rsid w:val="6B7B5D91"/>
    <w:rsid w:val="6B7F196D"/>
    <w:rsid w:val="6B823101"/>
    <w:rsid w:val="6B9326D3"/>
    <w:rsid w:val="6B9409D0"/>
    <w:rsid w:val="6B9D1663"/>
    <w:rsid w:val="6BA40919"/>
    <w:rsid w:val="6BAC75D4"/>
    <w:rsid w:val="6BBD3D7B"/>
    <w:rsid w:val="6BBE4E39"/>
    <w:rsid w:val="6BC93153"/>
    <w:rsid w:val="6BCC28E5"/>
    <w:rsid w:val="6BD4099E"/>
    <w:rsid w:val="6BD72491"/>
    <w:rsid w:val="6BED5E72"/>
    <w:rsid w:val="6BEF0BDB"/>
    <w:rsid w:val="6BFC76D9"/>
    <w:rsid w:val="6BFE5BBD"/>
    <w:rsid w:val="6C000861"/>
    <w:rsid w:val="6C044036"/>
    <w:rsid w:val="6C087806"/>
    <w:rsid w:val="6C091EF3"/>
    <w:rsid w:val="6C0C6CE4"/>
    <w:rsid w:val="6C15502B"/>
    <w:rsid w:val="6C1C0BBF"/>
    <w:rsid w:val="6C225202"/>
    <w:rsid w:val="6C3A4BF8"/>
    <w:rsid w:val="6C425C56"/>
    <w:rsid w:val="6C4726FB"/>
    <w:rsid w:val="6C49663C"/>
    <w:rsid w:val="6C592FB0"/>
    <w:rsid w:val="6C6E3C0B"/>
    <w:rsid w:val="6C9D1A39"/>
    <w:rsid w:val="6CA15B41"/>
    <w:rsid w:val="6CA6001F"/>
    <w:rsid w:val="6CCB55EB"/>
    <w:rsid w:val="6CED54C3"/>
    <w:rsid w:val="6CF84455"/>
    <w:rsid w:val="6CF94E6B"/>
    <w:rsid w:val="6CFF6CC3"/>
    <w:rsid w:val="6D0F5CBC"/>
    <w:rsid w:val="6D4401A9"/>
    <w:rsid w:val="6D4A2B30"/>
    <w:rsid w:val="6D4D6F24"/>
    <w:rsid w:val="6D7945E0"/>
    <w:rsid w:val="6D8433DC"/>
    <w:rsid w:val="6D87532F"/>
    <w:rsid w:val="6D8A3FB5"/>
    <w:rsid w:val="6D917626"/>
    <w:rsid w:val="6D973B65"/>
    <w:rsid w:val="6D992DFD"/>
    <w:rsid w:val="6DC01176"/>
    <w:rsid w:val="6DE10D6D"/>
    <w:rsid w:val="6DE96F34"/>
    <w:rsid w:val="6DF56417"/>
    <w:rsid w:val="6DFC4A0F"/>
    <w:rsid w:val="6E164BC6"/>
    <w:rsid w:val="6E352B38"/>
    <w:rsid w:val="6E5131A7"/>
    <w:rsid w:val="6E647D14"/>
    <w:rsid w:val="6EA20C4C"/>
    <w:rsid w:val="6EA519DE"/>
    <w:rsid w:val="6EA9152C"/>
    <w:rsid w:val="6EB761B9"/>
    <w:rsid w:val="6EC111D9"/>
    <w:rsid w:val="6ECC3702"/>
    <w:rsid w:val="6ED8704B"/>
    <w:rsid w:val="6EE0189A"/>
    <w:rsid w:val="6EEA0FE7"/>
    <w:rsid w:val="6EF92EA9"/>
    <w:rsid w:val="6EFD30B9"/>
    <w:rsid w:val="6F0E0B54"/>
    <w:rsid w:val="6F0E7661"/>
    <w:rsid w:val="6F311443"/>
    <w:rsid w:val="6F3F2705"/>
    <w:rsid w:val="6F412E90"/>
    <w:rsid w:val="6F46747F"/>
    <w:rsid w:val="6F4D2F05"/>
    <w:rsid w:val="6F5447D1"/>
    <w:rsid w:val="6F5837CB"/>
    <w:rsid w:val="6F7D61AE"/>
    <w:rsid w:val="6F7F46EB"/>
    <w:rsid w:val="6F9D4B60"/>
    <w:rsid w:val="6FA24750"/>
    <w:rsid w:val="6FB206C2"/>
    <w:rsid w:val="6FBF0FA8"/>
    <w:rsid w:val="6FC16A00"/>
    <w:rsid w:val="6FDF5A1A"/>
    <w:rsid w:val="6FE211DA"/>
    <w:rsid w:val="6FE82008"/>
    <w:rsid w:val="6FEF45EC"/>
    <w:rsid w:val="7028566F"/>
    <w:rsid w:val="704F419B"/>
    <w:rsid w:val="705365E5"/>
    <w:rsid w:val="705467BE"/>
    <w:rsid w:val="706366F0"/>
    <w:rsid w:val="707C0ADE"/>
    <w:rsid w:val="707E05F3"/>
    <w:rsid w:val="708737CF"/>
    <w:rsid w:val="70BE4EDF"/>
    <w:rsid w:val="70CC3E35"/>
    <w:rsid w:val="70D43C9A"/>
    <w:rsid w:val="70DF36C1"/>
    <w:rsid w:val="70ED68DA"/>
    <w:rsid w:val="70FC0C57"/>
    <w:rsid w:val="710B755D"/>
    <w:rsid w:val="711B1577"/>
    <w:rsid w:val="714138BD"/>
    <w:rsid w:val="714205AA"/>
    <w:rsid w:val="71436C87"/>
    <w:rsid w:val="714723C3"/>
    <w:rsid w:val="71486462"/>
    <w:rsid w:val="716E7C7E"/>
    <w:rsid w:val="71924C01"/>
    <w:rsid w:val="71A02955"/>
    <w:rsid w:val="71BF3916"/>
    <w:rsid w:val="71C23FF5"/>
    <w:rsid w:val="71C56597"/>
    <w:rsid w:val="71D15B83"/>
    <w:rsid w:val="72103E48"/>
    <w:rsid w:val="721917F3"/>
    <w:rsid w:val="721E42C1"/>
    <w:rsid w:val="722F0CE0"/>
    <w:rsid w:val="72377E64"/>
    <w:rsid w:val="723B3782"/>
    <w:rsid w:val="726518E3"/>
    <w:rsid w:val="72707897"/>
    <w:rsid w:val="727B0CB9"/>
    <w:rsid w:val="72A133B2"/>
    <w:rsid w:val="72A87B58"/>
    <w:rsid w:val="72E826C1"/>
    <w:rsid w:val="7307318C"/>
    <w:rsid w:val="732815D8"/>
    <w:rsid w:val="732F57B3"/>
    <w:rsid w:val="73323603"/>
    <w:rsid w:val="735071F1"/>
    <w:rsid w:val="7356124A"/>
    <w:rsid w:val="7357216C"/>
    <w:rsid w:val="735A6514"/>
    <w:rsid w:val="73613DA9"/>
    <w:rsid w:val="7370406C"/>
    <w:rsid w:val="737147B1"/>
    <w:rsid w:val="73803663"/>
    <w:rsid w:val="73C16349"/>
    <w:rsid w:val="73CB1CB0"/>
    <w:rsid w:val="74000C22"/>
    <w:rsid w:val="74047DEE"/>
    <w:rsid w:val="740B7C74"/>
    <w:rsid w:val="74172044"/>
    <w:rsid w:val="74327ACF"/>
    <w:rsid w:val="74406CFA"/>
    <w:rsid w:val="7445375D"/>
    <w:rsid w:val="7448162C"/>
    <w:rsid w:val="745D5676"/>
    <w:rsid w:val="746029E3"/>
    <w:rsid w:val="747923AE"/>
    <w:rsid w:val="74797DF0"/>
    <w:rsid w:val="747A6DC4"/>
    <w:rsid w:val="7497150F"/>
    <w:rsid w:val="749E671D"/>
    <w:rsid w:val="74A87973"/>
    <w:rsid w:val="74BA3319"/>
    <w:rsid w:val="74BD07DC"/>
    <w:rsid w:val="74C03474"/>
    <w:rsid w:val="74CB6BC4"/>
    <w:rsid w:val="74CD278B"/>
    <w:rsid w:val="74CF1C9F"/>
    <w:rsid w:val="74CF4C65"/>
    <w:rsid w:val="74FE5024"/>
    <w:rsid w:val="750A56BD"/>
    <w:rsid w:val="751F1F12"/>
    <w:rsid w:val="75332B53"/>
    <w:rsid w:val="754629AE"/>
    <w:rsid w:val="754908A5"/>
    <w:rsid w:val="75515D9F"/>
    <w:rsid w:val="75542765"/>
    <w:rsid w:val="75546099"/>
    <w:rsid w:val="7567258F"/>
    <w:rsid w:val="75747202"/>
    <w:rsid w:val="75765959"/>
    <w:rsid w:val="757D6F96"/>
    <w:rsid w:val="757E5EC2"/>
    <w:rsid w:val="75EE03DC"/>
    <w:rsid w:val="75EF0691"/>
    <w:rsid w:val="760C193D"/>
    <w:rsid w:val="760D74EE"/>
    <w:rsid w:val="76210E9C"/>
    <w:rsid w:val="762458E6"/>
    <w:rsid w:val="762A5B00"/>
    <w:rsid w:val="76322D53"/>
    <w:rsid w:val="765611D0"/>
    <w:rsid w:val="76624FD2"/>
    <w:rsid w:val="76670F68"/>
    <w:rsid w:val="76915F91"/>
    <w:rsid w:val="76920836"/>
    <w:rsid w:val="7699211B"/>
    <w:rsid w:val="76B0356F"/>
    <w:rsid w:val="76B87E41"/>
    <w:rsid w:val="76D173CE"/>
    <w:rsid w:val="770B595E"/>
    <w:rsid w:val="77277883"/>
    <w:rsid w:val="772E7A2D"/>
    <w:rsid w:val="77546680"/>
    <w:rsid w:val="77640AE2"/>
    <w:rsid w:val="776B5066"/>
    <w:rsid w:val="77703EA2"/>
    <w:rsid w:val="778107F3"/>
    <w:rsid w:val="779517AB"/>
    <w:rsid w:val="779725F7"/>
    <w:rsid w:val="77A21531"/>
    <w:rsid w:val="77C94B56"/>
    <w:rsid w:val="77CC4137"/>
    <w:rsid w:val="77D53F00"/>
    <w:rsid w:val="77E72BB1"/>
    <w:rsid w:val="77EB022A"/>
    <w:rsid w:val="7804135F"/>
    <w:rsid w:val="780E4529"/>
    <w:rsid w:val="783B42D7"/>
    <w:rsid w:val="783C2700"/>
    <w:rsid w:val="783D5EA5"/>
    <w:rsid w:val="784C3948"/>
    <w:rsid w:val="786B375F"/>
    <w:rsid w:val="78721D74"/>
    <w:rsid w:val="788573DC"/>
    <w:rsid w:val="7895762C"/>
    <w:rsid w:val="789E791B"/>
    <w:rsid w:val="78A33AAF"/>
    <w:rsid w:val="78D96CB0"/>
    <w:rsid w:val="78E802E4"/>
    <w:rsid w:val="78E9079C"/>
    <w:rsid w:val="78FA032C"/>
    <w:rsid w:val="790A1572"/>
    <w:rsid w:val="79107710"/>
    <w:rsid w:val="792D178A"/>
    <w:rsid w:val="79424897"/>
    <w:rsid w:val="795238F4"/>
    <w:rsid w:val="795A7AAD"/>
    <w:rsid w:val="79846E8A"/>
    <w:rsid w:val="79993FC7"/>
    <w:rsid w:val="799B1A29"/>
    <w:rsid w:val="79A56375"/>
    <w:rsid w:val="79AD33C3"/>
    <w:rsid w:val="79B46986"/>
    <w:rsid w:val="79D13154"/>
    <w:rsid w:val="79D97847"/>
    <w:rsid w:val="79F3326C"/>
    <w:rsid w:val="7A255FC5"/>
    <w:rsid w:val="7A4D381C"/>
    <w:rsid w:val="7A7A46D8"/>
    <w:rsid w:val="7A8062A3"/>
    <w:rsid w:val="7AA42892"/>
    <w:rsid w:val="7AA470E2"/>
    <w:rsid w:val="7AAD00F1"/>
    <w:rsid w:val="7ABE0B45"/>
    <w:rsid w:val="7AC35AD8"/>
    <w:rsid w:val="7ADC4E05"/>
    <w:rsid w:val="7AF35D70"/>
    <w:rsid w:val="7B022A03"/>
    <w:rsid w:val="7B0440DA"/>
    <w:rsid w:val="7B22684A"/>
    <w:rsid w:val="7B2402D3"/>
    <w:rsid w:val="7B336664"/>
    <w:rsid w:val="7B386F51"/>
    <w:rsid w:val="7B4E5B27"/>
    <w:rsid w:val="7B6163BB"/>
    <w:rsid w:val="7B630C9C"/>
    <w:rsid w:val="7B6562ED"/>
    <w:rsid w:val="7B7F53CE"/>
    <w:rsid w:val="7B897B6D"/>
    <w:rsid w:val="7B8A0CE4"/>
    <w:rsid w:val="7B8B6EBC"/>
    <w:rsid w:val="7B8C0B53"/>
    <w:rsid w:val="7B9B303F"/>
    <w:rsid w:val="7B9F61E2"/>
    <w:rsid w:val="7BAF4EFF"/>
    <w:rsid w:val="7BB43C84"/>
    <w:rsid w:val="7BBF781F"/>
    <w:rsid w:val="7BC146F4"/>
    <w:rsid w:val="7BC210DA"/>
    <w:rsid w:val="7BC55531"/>
    <w:rsid w:val="7BC848AA"/>
    <w:rsid w:val="7BDF78F4"/>
    <w:rsid w:val="7BFA1C95"/>
    <w:rsid w:val="7C016A44"/>
    <w:rsid w:val="7C0C11D1"/>
    <w:rsid w:val="7C165DD5"/>
    <w:rsid w:val="7C257ECD"/>
    <w:rsid w:val="7C292F44"/>
    <w:rsid w:val="7C2F7258"/>
    <w:rsid w:val="7C33670F"/>
    <w:rsid w:val="7C412E65"/>
    <w:rsid w:val="7C5456D8"/>
    <w:rsid w:val="7C5759FC"/>
    <w:rsid w:val="7C5C4D6D"/>
    <w:rsid w:val="7C826CEC"/>
    <w:rsid w:val="7C9A5D73"/>
    <w:rsid w:val="7C9D7050"/>
    <w:rsid w:val="7CB85AB8"/>
    <w:rsid w:val="7CBE7357"/>
    <w:rsid w:val="7CC30A9A"/>
    <w:rsid w:val="7CDD2762"/>
    <w:rsid w:val="7CE54E6E"/>
    <w:rsid w:val="7CE6178D"/>
    <w:rsid w:val="7CEA432A"/>
    <w:rsid w:val="7CEB0C7B"/>
    <w:rsid w:val="7CFA359F"/>
    <w:rsid w:val="7D021373"/>
    <w:rsid w:val="7D0D6031"/>
    <w:rsid w:val="7D123666"/>
    <w:rsid w:val="7D295A48"/>
    <w:rsid w:val="7D4C16E6"/>
    <w:rsid w:val="7D627CDC"/>
    <w:rsid w:val="7D6E2E4F"/>
    <w:rsid w:val="7D860101"/>
    <w:rsid w:val="7D8F73EC"/>
    <w:rsid w:val="7DA3652E"/>
    <w:rsid w:val="7DC80FE3"/>
    <w:rsid w:val="7DD30C5B"/>
    <w:rsid w:val="7DD4138C"/>
    <w:rsid w:val="7DDE7B26"/>
    <w:rsid w:val="7E041B8C"/>
    <w:rsid w:val="7E125A2F"/>
    <w:rsid w:val="7E213495"/>
    <w:rsid w:val="7E2C7573"/>
    <w:rsid w:val="7E2D1368"/>
    <w:rsid w:val="7E367343"/>
    <w:rsid w:val="7E3C35FF"/>
    <w:rsid w:val="7E42493D"/>
    <w:rsid w:val="7E686CC0"/>
    <w:rsid w:val="7E7C377C"/>
    <w:rsid w:val="7E885389"/>
    <w:rsid w:val="7E9536F8"/>
    <w:rsid w:val="7E9E4BEE"/>
    <w:rsid w:val="7EAD1608"/>
    <w:rsid w:val="7EB56A55"/>
    <w:rsid w:val="7ECB1D5C"/>
    <w:rsid w:val="7EE52F06"/>
    <w:rsid w:val="7F067029"/>
    <w:rsid w:val="7F0A7CF9"/>
    <w:rsid w:val="7F166FE5"/>
    <w:rsid w:val="7F1B7466"/>
    <w:rsid w:val="7F4B3B01"/>
    <w:rsid w:val="7F502B81"/>
    <w:rsid w:val="7F546091"/>
    <w:rsid w:val="7F556AC1"/>
    <w:rsid w:val="7F6218EB"/>
    <w:rsid w:val="7F731043"/>
    <w:rsid w:val="7F7F2C3F"/>
    <w:rsid w:val="7FA73E92"/>
    <w:rsid w:val="7FA83BF2"/>
    <w:rsid w:val="7FA912D5"/>
    <w:rsid w:val="7FB81119"/>
    <w:rsid w:val="7FBC211E"/>
    <w:rsid w:val="7FFA45D3"/>
    <w:rsid w:val="7FFD2AAE"/>
    <w:rsid w:val="7FFE5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9"/>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0"/>
    <w:autoRedefine/>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61"/>
    <w:autoRedefine/>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62"/>
    <w:autoRedefine/>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5"/>
    <w:basedOn w:val="1"/>
    <w:next w:val="1"/>
    <w:link w:val="63"/>
    <w:autoRedefine/>
    <w:qFormat/>
    <w:uiPriority w:val="0"/>
    <w:pPr>
      <w:keepNext/>
      <w:keepLines/>
      <w:numPr>
        <w:ilvl w:val="4"/>
        <w:numId w:val="1"/>
      </w:numPr>
      <w:tabs>
        <w:tab w:val="right" w:pos="7974"/>
      </w:tabs>
      <w:spacing w:before="280" w:after="290" w:line="376" w:lineRule="auto"/>
      <w:outlineLvl w:val="4"/>
    </w:pPr>
    <w:rPr>
      <w:bCs/>
      <w:kern w:val="0"/>
      <w:sz w:val="28"/>
      <w:szCs w:val="28"/>
    </w:rPr>
  </w:style>
  <w:style w:type="paragraph" w:styleId="7">
    <w:name w:val="heading 6"/>
    <w:basedOn w:val="1"/>
    <w:next w:val="1"/>
    <w:link w:val="64"/>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8">
    <w:name w:val="heading 7"/>
    <w:basedOn w:val="1"/>
    <w:next w:val="1"/>
    <w:link w:val="65"/>
    <w:autoRedefine/>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9">
    <w:name w:val="heading 8"/>
    <w:basedOn w:val="1"/>
    <w:next w:val="1"/>
    <w:link w:val="66"/>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0">
    <w:name w:val="heading 9"/>
    <w:basedOn w:val="1"/>
    <w:next w:val="1"/>
    <w:link w:val="67"/>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rFonts w:ascii="Calibri" w:hAnsi="Calibri" w:cs="Calibri"/>
      <w:sz w:val="18"/>
      <w:szCs w:val="18"/>
    </w:rPr>
  </w:style>
  <w:style w:type="paragraph" w:styleId="12">
    <w:name w:val="index 8"/>
    <w:basedOn w:val="1"/>
    <w:next w:val="1"/>
    <w:autoRedefine/>
    <w:qFormat/>
    <w:uiPriority w:val="0"/>
    <w:pPr>
      <w:ind w:left="1400" w:leftChars="1400"/>
    </w:pPr>
    <w:rPr>
      <w:szCs w:val="20"/>
    </w:rPr>
  </w:style>
  <w:style w:type="paragraph" w:styleId="13">
    <w:name w:val="Normal Indent"/>
    <w:basedOn w:val="1"/>
    <w:autoRedefine/>
    <w:qFormat/>
    <w:uiPriority w:val="0"/>
    <w:pPr>
      <w:adjustRightInd w:val="0"/>
      <w:spacing w:line="360" w:lineRule="atLeast"/>
      <w:ind w:firstLine="482"/>
      <w:textAlignment w:val="baseline"/>
    </w:pPr>
    <w:rPr>
      <w:kern w:val="0"/>
      <w:sz w:val="24"/>
      <w:szCs w:val="20"/>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68"/>
    <w:autoRedefine/>
    <w:qFormat/>
    <w:uiPriority w:val="0"/>
    <w:pPr>
      <w:shd w:val="clear" w:color="auto" w:fill="000080"/>
    </w:pPr>
    <w:rPr>
      <w:kern w:val="0"/>
      <w:sz w:val="20"/>
      <w:szCs w:val="24"/>
      <w:shd w:val="clear" w:color="auto" w:fill="000080"/>
    </w:rPr>
  </w:style>
  <w:style w:type="paragraph" w:styleId="16">
    <w:name w:val="annotation text"/>
    <w:basedOn w:val="1"/>
    <w:link w:val="69"/>
    <w:autoRedefine/>
    <w:unhideWhenUsed/>
    <w:qFormat/>
    <w:uiPriority w:val="0"/>
    <w:pPr>
      <w:jc w:val="left"/>
    </w:pPr>
    <w:rPr>
      <w:kern w:val="0"/>
      <w:sz w:val="20"/>
      <w:szCs w:val="24"/>
    </w:rPr>
  </w:style>
  <w:style w:type="paragraph" w:styleId="17">
    <w:name w:val="Salutation"/>
    <w:basedOn w:val="1"/>
    <w:next w:val="1"/>
    <w:link w:val="70"/>
    <w:autoRedefine/>
    <w:qFormat/>
    <w:uiPriority w:val="0"/>
    <w:rPr>
      <w:rFonts w:ascii="宋体" w:hAnsi="Calibri" w:eastAsia="仿宋_GB2312"/>
      <w:szCs w:val="20"/>
    </w:rPr>
  </w:style>
  <w:style w:type="paragraph" w:styleId="18">
    <w:name w:val="Body Text 3"/>
    <w:basedOn w:val="1"/>
    <w:link w:val="71"/>
    <w:autoRedefine/>
    <w:qFormat/>
    <w:uiPriority w:val="0"/>
    <w:rPr>
      <w:rFonts w:ascii="宋体"/>
      <w:kern w:val="0"/>
      <w:sz w:val="24"/>
      <w:szCs w:val="20"/>
    </w:rPr>
  </w:style>
  <w:style w:type="paragraph" w:styleId="19">
    <w:name w:val="Body Text"/>
    <w:basedOn w:val="1"/>
    <w:link w:val="72"/>
    <w:autoRedefine/>
    <w:qFormat/>
    <w:uiPriority w:val="0"/>
    <w:pPr>
      <w:spacing w:after="120"/>
    </w:pPr>
    <w:rPr>
      <w:rFonts w:ascii="Calibri" w:hAnsi="Calibri"/>
    </w:rPr>
  </w:style>
  <w:style w:type="paragraph" w:styleId="20">
    <w:name w:val="Body Text Indent"/>
    <w:basedOn w:val="1"/>
    <w:link w:val="57"/>
    <w:autoRedefine/>
    <w:qFormat/>
    <w:uiPriority w:val="99"/>
    <w:pPr>
      <w:spacing w:after="120"/>
      <w:ind w:left="420" w:leftChars="200"/>
    </w:pPr>
    <w:rPr>
      <w:kern w:val="0"/>
      <w:sz w:val="20"/>
      <w:szCs w:val="24"/>
    </w:rPr>
  </w:style>
  <w:style w:type="paragraph" w:styleId="21">
    <w:name w:val="Block Text"/>
    <w:basedOn w:val="1"/>
    <w:autoRedefine/>
    <w:qFormat/>
    <w:uiPriority w:val="0"/>
    <w:pPr>
      <w:spacing w:line="360" w:lineRule="auto"/>
      <w:ind w:left="900" w:right="-239"/>
    </w:pPr>
    <w:rPr>
      <w:rFonts w:ascii="宋体" w:hAnsi="宋体"/>
      <w:color w:val="000000"/>
      <w:sz w:val="24"/>
      <w:szCs w:val="24"/>
    </w:rPr>
  </w:style>
  <w:style w:type="paragraph" w:styleId="22">
    <w:name w:val="index 4"/>
    <w:basedOn w:val="1"/>
    <w:next w:val="1"/>
    <w:autoRedefine/>
    <w:qFormat/>
    <w:uiPriority w:val="0"/>
    <w:pPr>
      <w:ind w:left="600" w:leftChars="600"/>
    </w:pPr>
    <w:rPr>
      <w:szCs w:val="24"/>
    </w:rPr>
  </w:style>
  <w:style w:type="paragraph" w:styleId="23">
    <w:name w:val="toc 5"/>
    <w:basedOn w:val="1"/>
    <w:next w:val="1"/>
    <w:autoRedefine/>
    <w:qFormat/>
    <w:uiPriority w:val="39"/>
    <w:pPr>
      <w:ind w:left="840"/>
      <w:jc w:val="left"/>
    </w:pPr>
    <w:rPr>
      <w:rFonts w:ascii="Calibri" w:hAnsi="Calibri" w:cs="Calibri"/>
      <w:sz w:val="18"/>
      <w:szCs w:val="18"/>
    </w:rPr>
  </w:style>
  <w:style w:type="paragraph" w:styleId="24">
    <w:name w:val="toc 3"/>
    <w:basedOn w:val="1"/>
    <w:next w:val="1"/>
    <w:autoRedefine/>
    <w:qFormat/>
    <w:uiPriority w:val="39"/>
    <w:pPr>
      <w:ind w:left="420"/>
      <w:jc w:val="left"/>
    </w:pPr>
    <w:rPr>
      <w:rFonts w:ascii="Calibri" w:hAnsi="Calibri" w:cs="Calibri"/>
      <w:iCs/>
      <w:sz w:val="20"/>
      <w:szCs w:val="20"/>
    </w:rPr>
  </w:style>
  <w:style w:type="paragraph" w:styleId="25">
    <w:name w:val="Plain Text"/>
    <w:basedOn w:val="1"/>
    <w:link w:val="73"/>
    <w:autoRedefine/>
    <w:qFormat/>
    <w:uiPriority w:val="99"/>
    <w:rPr>
      <w:rFonts w:ascii="宋体" w:hAnsi="Courier New"/>
      <w:kern w:val="0"/>
      <w:sz w:val="20"/>
      <w:szCs w:val="20"/>
    </w:rPr>
  </w:style>
  <w:style w:type="paragraph" w:styleId="26">
    <w:name w:val="toc 8"/>
    <w:basedOn w:val="1"/>
    <w:next w:val="1"/>
    <w:autoRedefine/>
    <w:qFormat/>
    <w:uiPriority w:val="39"/>
    <w:pPr>
      <w:ind w:left="1470"/>
      <w:jc w:val="left"/>
    </w:pPr>
    <w:rPr>
      <w:rFonts w:ascii="Calibri" w:hAnsi="Calibri" w:cs="Calibri"/>
      <w:sz w:val="18"/>
      <w:szCs w:val="18"/>
    </w:rPr>
  </w:style>
  <w:style w:type="paragraph" w:styleId="27">
    <w:name w:val="Date"/>
    <w:basedOn w:val="1"/>
    <w:next w:val="1"/>
    <w:link w:val="74"/>
    <w:autoRedefine/>
    <w:qFormat/>
    <w:uiPriority w:val="0"/>
    <w:rPr>
      <w:kern w:val="0"/>
      <w:sz w:val="24"/>
      <w:szCs w:val="20"/>
    </w:rPr>
  </w:style>
  <w:style w:type="paragraph" w:styleId="28">
    <w:name w:val="Body Text Indent 2"/>
    <w:basedOn w:val="1"/>
    <w:autoRedefine/>
    <w:qFormat/>
    <w:uiPriority w:val="0"/>
    <w:pPr>
      <w:spacing w:after="120" w:line="480" w:lineRule="auto"/>
      <w:ind w:left="420" w:leftChars="200"/>
    </w:pPr>
    <w:rPr>
      <w:sz w:val="24"/>
      <w:szCs w:val="24"/>
    </w:rPr>
  </w:style>
  <w:style w:type="paragraph" w:styleId="29">
    <w:name w:val="endnote text"/>
    <w:basedOn w:val="1"/>
    <w:link w:val="75"/>
    <w:autoRedefine/>
    <w:unhideWhenUsed/>
    <w:qFormat/>
    <w:uiPriority w:val="0"/>
    <w:pPr>
      <w:snapToGrid w:val="0"/>
      <w:jc w:val="left"/>
    </w:pPr>
    <w:rPr>
      <w:kern w:val="0"/>
      <w:sz w:val="20"/>
      <w:szCs w:val="24"/>
    </w:rPr>
  </w:style>
  <w:style w:type="paragraph" w:styleId="30">
    <w:name w:val="Balloon Text"/>
    <w:basedOn w:val="1"/>
    <w:link w:val="76"/>
    <w:autoRedefine/>
    <w:unhideWhenUsed/>
    <w:qFormat/>
    <w:uiPriority w:val="0"/>
    <w:rPr>
      <w:kern w:val="0"/>
      <w:sz w:val="18"/>
      <w:szCs w:val="18"/>
    </w:rPr>
  </w:style>
  <w:style w:type="paragraph" w:styleId="31">
    <w:name w:val="footer"/>
    <w:basedOn w:val="1"/>
    <w:link w:val="77"/>
    <w:autoRedefine/>
    <w:unhideWhenUsed/>
    <w:qFormat/>
    <w:uiPriority w:val="99"/>
    <w:pPr>
      <w:tabs>
        <w:tab w:val="center" w:pos="4153"/>
        <w:tab w:val="right" w:pos="8306"/>
      </w:tabs>
      <w:snapToGrid w:val="0"/>
      <w:jc w:val="left"/>
    </w:pPr>
    <w:rPr>
      <w:kern w:val="0"/>
      <w:sz w:val="18"/>
      <w:szCs w:val="18"/>
    </w:rPr>
  </w:style>
  <w:style w:type="paragraph" w:styleId="32">
    <w:name w:val="header"/>
    <w:basedOn w:val="1"/>
    <w:link w:val="78"/>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autoRedefine/>
    <w:qFormat/>
    <w:uiPriority w:val="39"/>
    <w:pPr>
      <w:spacing w:before="120" w:after="120"/>
      <w:jc w:val="left"/>
    </w:pPr>
    <w:rPr>
      <w:rFonts w:ascii="Calibri" w:hAnsi="Calibri" w:cs="Calibri"/>
      <w:b/>
      <w:bCs/>
      <w:caps/>
      <w:sz w:val="20"/>
      <w:szCs w:val="20"/>
    </w:rPr>
  </w:style>
  <w:style w:type="paragraph" w:styleId="34">
    <w:name w:val="toc 4"/>
    <w:basedOn w:val="1"/>
    <w:next w:val="1"/>
    <w:autoRedefine/>
    <w:qFormat/>
    <w:uiPriority w:val="39"/>
    <w:pPr>
      <w:ind w:left="630"/>
      <w:jc w:val="left"/>
    </w:pPr>
    <w:rPr>
      <w:rFonts w:ascii="Calibri" w:hAnsi="Calibri" w:cs="Calibri"/>
      <w:sz w:val="18"/>
      <w:szCs w:val="18"/>
    </w:rPr>
  </w:style>
  <w:style w:type="paragraph" w:styleId="35">
    <w:name w:val="Subtitle"/>
    <w:basedOn w:val="1"/>
    <w:next w:val="1"/>
    <w:link w:val="79"/>
    <w:autoRedefine/>
    <w:qFormat/>
    <w:uiPriority w:val="0"/>
    <w:pPr>
      <w:spacing w:before="240" w:after="60" w:line="312" w:lineRule="auto"/>
      <w:jc w:val="center"/>
      <w:outlineLvl w:val="1"/>
    </w:pPr>
    <w:rPr>
      <w:rFonts w:ascii="Cambria" w:hAnsi="Cambria"/>
      <w:b/>
      <w:bCs/>
      <w:kern w:val="28"/>
      <w:sz w:val="32"/>
      <w:szCs w:val="32"/>
    </w:rPr>
  </w:style>
  <w:style w:type="paragraph" w:styleId="36">
    <w:name w:val="toc 6"/>
    <w:basedOn w:val="1"/>
    <w:next w:val="1"/>
    <w:autoRedefine/>
    <w:qFormat/>
    <w:uiPriority w:val="39"/>
    <w:pPr>
      <w:ind w:left="1050"/>
      <w:jc w:val="left"/>
    </w:pPr>
    <w:rPr>
      <w:rFonts w:ascii="Calibri" w:hAnsi="Calibri" w:cs="Calibri"/>
      <w:sz w:val="18"/>
      <w:szCs w:val="18"/>
    </w:rPr>
  </w:style>
  <w:style w:type="paragraph" w:styleId="37">
    <w:name w:val="Body Text Indent 3"/>
    <w:basedOn w:val="1"/>
    <w:link w:val="80"/>
    <w:autoRedefine/>
    <w:qFormat/>
    <w:uiPriority w:val="0"/>
    <w:pPr>
      <w:spacing w:after="120"/>
      <w:ind w:left="420" w:leftChars="200"/>
    </w:pPr>
    <w:rPr>
      <w:kern w:val="0"/>
      <w:sz w:val="16"/>
      <w:szCs w:val="16"/>
    </w:rPr>
  </w:style>
  <w:style w:type="paragraph" w:styleId="38">
    <w:name w:val="toc 2"/>
    <w:basedOn w:val="1"/>
    <w:next w:val="1"/>
    <w:autoRedefine/>
    <w:qFormat/>
    <w:uiPriority w:val="39"/>
    <w:pPr>
      <w:ind w:left="210"/>
      <w:jc w:val="left"/>
    </w:pPr>
    <w:rPr>
      <w:rFonts w:ascii="Calibri" w:hAnsi="Calibri" w:cs="Calibri"/>
      <w:smallCaps/>
      <w:sz w:val="20"/>
      <w:szCs w:val="20"/>
    </w:rPr>
  </w:style>
  <w:style w:type="paragraph" w:styleId="39">
    <w:name w:val="toc 9"/>
    <w:basedOn w:val="1"/>
    <w:next w:val="1"/>
    <w:autoRedefine/>
    <w:qFormat/>
    <w:uiPriority w:val="39"/>
    <w:pPr>
      <w:ind w:left="1680"/>
      <w:jc w:val="left"/>
    </w:pPr>
    <w:rPr>
      <w:rFonts w:ascii="Calibri" w:hAnsi="Calibri" w:cs="Calibri"/>
      <w:sz w:val="18"/>
      <w:szCs w:val="18"/>
    </w:rPr>
  </w:style>
  <w:style w:type="paragraph" w:styleId="40">
    <w:name w:val="Body Text 2"/>
    <w:basedOn w:val="1"/>
    <w:link w:val="81"/>
    <w:autoRedefine/>
    <w:unhideWhenUsed/>
    <w:qFormat/>
    <w:uiPriority w:val="0"/>
    <w:pPr>
      <w:spacing w:after="120" w:line="480" w:lineRule="auto"/>
    </w:pPr>
    <w:rPr>
      <w:kern w:val="0"/>
      <w:sz w:val="20"/>
      <w:szCs w:val="24"/>
    </w:rPr>
  </w:style>
  <w:style w:type="paragraph" w:styleId="41">
    <w:name w:val="HTML Preformatted"/>
    <w:basedOn w:val="1"/>
    <w:link w:val="82"/>
    <w:autoRedefine/>
    <w:qFormat/>
    <w:uiPriority w:val="0"/>
    <w:rPr>
      <w:rFonts w:ascii="Courier New" w:hAnsi="Courier New"/>
      <w:kern w:val="0"/>
      <w:sz w:val="20"/>
      <w:szCs w:val="20"/>
    </w:rPr>
  </w:style>
  <w:style w:type="paragraph" w:styleId="42">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43">
    <w:name w:val="Title"/>
    <w:basedOn w:val="1"/>
    <w:link w:val="83"/>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link w:val="84"/>
    <w:autoRedefine/>
    <w:unhideWhenUsed/>
    <w:qFormat/>
    <w:uiPriority w:val="0"/>
    <w:rPr>
      <w:b/>
      <w:bCs/>
    </w:rPr>
  </w:style>
  <w:style w:type="paragraph" w:styleId="45">
    <w:name w:val="Body Text First Indent"/>
    <w:basedOn w:val="19"/>
    <w:link w:val="85"/>
    <w:autoRedefine/>
    <w:qFormat/>
    <w:uiPriority w:val="0"/>
    <w:pPr>
      <w:spacing w:line="312" w:lineRule="auto"/>
      <w:ind w:firstLine="420"/>
    </w:pPr>
    <w:rPr>
      <w:rFonts w:ascii="Times New Roman" w:hAnsi="Times New Roman"/>
      <w:szCs w:val="24"/>
    </w:rPr>
  </w:style>
  <w:style w:type="paragraph" w:styleId="46">
    <w:name w:val="Body Text First Indent 2"/>
    <w:basedOn w:val="20"/>
    <w:link w:val="58"/>
    <w:autoRedefine/>
    <w:unhideWhenUsed/>
    <w:qFormat/>
    <w:uiPriority w:val="99"/>
    <w:pPr>
      <w:spacing w:line="360" w:lineRule="auto"/>
      <w:ind w:firstLine="420" w:firstLineChars="200"/>
    </w:pPr>
    <w:rPr>
      <w:kern w:val="2"/>
      <w:sz w:val="24"/>
    </w:rPr>
  </w:style>
  <w:style w:type="table" w:styleId="48">
    <w:name w:val="Table Grid"/>
    <w:basedOn w:val="4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autoRedefine/>
    <w:qFormat/>
    <w:uiPriority w:val="0"/>
  </w:style>
  <w:style w:type="character" w:styleId="52">
    <w:name w:val="FollowedHyperlink"/>
    <w:autoRedefine/>
    <w:qFormat/>
    <w:uiPriority w:val="99"/>
    <w:rPr>
      <w:color w:val="800080"/>
      <w:u w:val="single"/>
    </w:rPr>
  </w:style>
  <w:style w:type="character" w:styleId="53">
    <w:name w:val="Emphasis"/>
    <w:autoRedefine/>
    <w:qFormat/>
    <w:uiPriority w:val="0"/>
    <w:rPr>
      <w:i/>
      <w:iCs/>
    </w:rPr>
  </w:style>
  <w:style w:type="character" w:styleId="54">
    <w:name w:val="line number"/>
    <w:autoRedefine/>
    <w:qFormat/>
    <w:uiPriority w:val="0"/>
  </w:style>
  <w:style w:type="character" w:styleId="55">
    <w:name w:val="Hyperlink"/>
    <w:autoRedefine/>
    <w:qFormat/>
    <w:uiPriority w:val="99"/>
    <w:rPr>
      <w:color w:val="0000FF"/>
      <w:u w:val="single"/>
    </w:rPr>
  </w:style>
  <w:style w:type="character" w:styleId="56">
    <w:name w:val="annotation reference"/>
    <w:autoRedefine/>
    <w:unhideWhenUsed/>
    <w:qFormat/>
    <w:uiPriority w:val="0"/>
    <w:rPr>
      <w:sz w:val="21"/>
      <w:szCs w:val="21"/>
    </w:rPr>
  </w:style>
  <w:style w:type="character" w:customStyle="1" w:styleId="57">
    <w:name w:val="正文文本缩进 字符"/>
    <w:link w:val="20"/>
    <w:autoRedefine/>
    <w:qFormat/>
    <w:uiPriority w:val="99"/>
    <w:rPr>
      <w:szCs w:val="24"/>
    </w:rPr>
  </w:style>
  <w:style w:type="character" w:customStyle="1" w:styleId="58">
    <w:name w:val="正文首行缩进 2 字符"/>
    <w:link w:val="46"/>
    <w:autoRedefine/>
    <w:qFormat/>
    <w:uiPriority w:val="99"/>
    <w:rPr>
      <w:kern w:val="2"/>
      <w:sz w:val="24"/>
      <w:szCs w:val="24"/>
    </w:rPr>
  </w:style>
  <w:style w:type="character" w:customStyle="1" w:styleId="59">
    <w:name w:val="标题 1 字符"/>
    <w:link w:val="2"/>
    <w:autoRedefine/>
    <w:qFormat/>
    <w:uiPriority w:val="0"/>
    <w:rPr>
      <w:b/>
      <w:bCs/>
      <w:kern w:val="44"/>
      <w:sz w:val="44"/>
      <w:szCs w:val="44"/>
    </w:rPr>
  </w:style>
  <w:style w:type="character" w:customStyle="1" w:styleId="60">
    <w:name w:val="标题 2 字符"/>
    <w:link w:val="3"/>
    <w:autoRedefine/>
    <w:qFormat/>
    <w:uiPriority w:val="0"/>
    <w:rPr>
      <w:rFonts w:ascii="Arial" w:hAnsi="Arial" w:eastAsia="黑体"/>
      <w:b/>
      <w:bCs/>
      <w:sz w:val="32"/>
      <w:szCs w:val="32"/>
    </w:rPr>
  </w:style>
  <w:style w:type="character" w:customStyle="1" w:styleId="61">
    <w:name w:val="标题 3 字符"/>
    <w:link w:val="4"/>
    <w:autoRedefine/>
    <w:qFormat/>
    <w:uiPriority w:val="0"/>
    <w:rPr>
      <w:rFonts w:ascii="Calibri" w:hAnsi="Calibri"/>
      <w:b/>
      <w:bCs/>
      <w:sz w:val="32"/>
      <w:szCs w:val="32"/>
    </w:rPr>
  </w:style>
  <w:style w:type="character" w:customStyle="1" w:styleId="62">
    <w:name w:val="标题 4 字符"/>
    <w:link w:val="5"/>
    <w:autoRedefine/>
    <w:qFormat/>
    <w:uiPriority w:val="0"/>
    <w:rPr>
      <w:rFonts w:ascii="Arial" w:hAnsi="Arial" w:eastAsia="黑体"/>
      <w:b/>
      <w:bCs/>
      <w:sz w:val="28"/>
      <w:szCs w:val="28"/>
      <w:lang w:bidi="ar-SA"/>
    </w:rPr>
  </w:style>
  <w:style w:type="character" w:customStyle="1" w:styleId="63">
    <w:name w:val="标题 5 字符"/>
    <w:link w:val="6"/>
    <w:autoRedefine/>
    <w:qFormat/>
    <w:uiPriority w:val="0"/>
    <w:rPr>
      <w:bCs/>
      <w:sz w:val="28"/>
      <w:szCs w:val="28"/>
    </w:rPr>
  </w:style>
  <w:style w:type="character" w:customStyle="1" w:styleId="64">
    <w:name w:val="标题 6 字符"/>
    <w:link w:val="7"/>
    <w:autoRedefine/>
    <w:qFormat/>
    <w:uiPriority w:val="0"/>
    <w:rPr>
      <w:rFonts w:ascii="Arial" w:hAnsi="Arial" w:eastAsia="黑体"/>
      <w:b/>
      <w:bCs/>
      <w:sz w:val="24"/>
      <w:szCs w:val="24"/>
    </w:rPr>
  </w:style>
  <w:style w:type="character" w:customStyle="1" w:styleId="65">
    <w:name w:val="标题 7 字符"/>
    <w:link w:val="8"/>
    <w:autoRedefine/>
    <w:qFormat/>
    <w:uiPriority w:val="0"/>
    <w:rPr>
      <w:b/>
      <w:bCs/>
      <w:sz w:val="24"/>
      <w:szCs w:val="24"/>
    </w:rPr>
  </w:style>
  <w:style w:type="character" w:customStyle="1" w:styleId="66">
    <w:name w:val="标题 8 字符"/>
    <w:link w:val="9"/>
    <w:autoRedefine/>
    <w:qFormat/>
    <w:uiPriority w:val="0"/>
    <w:rPr>
      <w:rFonts w:ascii="Arial" w:hAnsi="Arial" w:eastAsia="黑体"/>
      <w:sz w:val="24"/>
      <w:szCs w:val="24"/>
      <w:lang w:bidi="ar-SA"/>
    </w:rPr>
  </w:style>
  <w:style w:type="character" w:customStyle="1" w:styleId="67">
    <w:name w:val="标题 9 字符"/>
    <w:link w:val="10"/>
    <w:autoRedefine/>
    <w:qFormat/>
    <w:uiPriority w:val="0"/>
    <w:rPr>
      <w:rFonts w:ascii="Arial" w:hAnsi="Arial" w:eastAsia="黑体"/>
      <w:szCs w:val="21"/>
    </w:rPr>
  </w:style>
  <w:style w:type="character" w:customStyle="1" w:styleId="68">
    <w:name w:val="文档结构图 字符"/>
    <w:link w:val="15"/>
    <w:autoRedefine/>
    <w:qFormat/>
    <w:uiPriority w:val="0"/>
    <w:rPr>
      <w:szCs w:val="24"/>
      <w:shd w:val="clear" w:color="auto" w:fill="000080"/>
    </w:rPr>
  </w:style>
  <w:style w:type="character" w:customStyle="1" w:styleId="69">
    <w:name w:val="批注文字 字符1"/>
    <w:link w:val="16"/>
    <w:autoRedefine/>
    <w:qFormat/>
    <w:uiPriority w:val="0"/>
    <w:rPr>
      <w:szCs w:val="24"/>
    </w:rPr>
  </w:style>
  <w:style w:type="character" w:customStyle="1" w:styleId="70">
    <w:name w:val="称呼 字符"/>
    <w:link w:val="17"/>
    <w:autoRedefine/>
    <w:qFormat/>
    <w:uiPriority w:val="0"/>
    <w:rPr>
      <w:rFonts w:ascii="宋体" w:hAnsi="Calibri" w:eastAsia="仿宋_GB2312"/>
      <w:kern w:val="2"/>
      <w:sz w:val="21"/>
    </w:rPr>
  </w:style>
  <w:style w:type="character" w:customStyle="1" w:styleId="71">
    <w:name w:val="正文文本 3 字符"/>
    <w:link w:val="18"/>
    <w:autoRedefine/>
    <w:qFormat/>
    <w:uiPriority w:val="0"/>
    <w:rPr>
      <w:rFonts w:ascii="宋体"/>
      <w:sz w:val="24"/>
    </w:rPr>
  </w:style>
  <w:style w:type="character" w:customStyle="1" w:styleId="72">
    <w:name w:val="正文文本 字符"/>
    <w:link w:val="19"/>
    <w:autoRedefine/>
    <w:qFormat/>
    <w:uiPriority w:val="0"/>
    <w:rPr>
      <w:rFonts w:ascii="Calibri" w:hAnsi="Calibri" w:eastAsia="宋体"/>
      <w:kern w:val="2"/>
      <w:sz w:val="21"/>
      <w:szCs w:val="22"/>
      <w:lang w:val="en-US" w:eastAsia="zh-CN" w:bidi="ar-SA"/>
    </w:rPr>
  </w:style>
  <w:style w:type="character" w:customStyle="1" w:styleId="73">
    <w:name w:val="纯文本 字符"/>
    <w:link w:val="25"/>
    <w:autoRedefine/>
    <w:qFormat/>
    <w:locked/>
    <w:uiPriority w:val="99"/>
    <w:rPr>
      <w:rFonts w:ascii="宋体" w:hAnsi="Courier New"/>
    </w:rPr>
  </w:style>
  <w:style w:type="character" w:customStyle="1" w:styleId="74">
    <w:name w:val="日期 字符"/>
    <w:link w:val="27"/>
    <w:autoRedefine/>
    <w:qFormat/>
    <w:uiPriority w:val="0"/>
    <w:rPr>
      <w:sz w:val="24"/>
    </w:rPr>
  </w:style>
  <w:style w:type="character" w:customStyle="1" w:styleId="75">
    <w:name w:val="尾注文本 字符"/>
    <w:link w:val="29"/>
    <w:autoRedefine/>
    <w:qFormat/>
    <w:uiPriority w:val="0"/>
    <w:rPr>
      <w:szCs w:val="24"/>
    </w:rPr>
  </w:style>
  <w:style w:type="character" w:customStyle="1" w:styleId="76">
    <w:name w:val="批注框文本 字符"/>
    <w:link w:val="30"/>
    <w:autoRedefine/>
    <w:qFormat/>
    <w:uiPriority w:val="0"/>
    <w:rPr>
      <w:sz w:val="18"/>
      <w:szCs w:val="18"/>
    </w:rPr>
  </w:style>
  <w:style w:type="character" w:customStyle="1" w:styleId="77">
    <w:name w:val="页脚 字符"/>
    <w:link w:val="31"/>
    <w:autoRedefine/>
    <w:qFormat/>
    <w:uiPriority w:val="99"/>
    <w:rPr>
      <w:sz w:val="18"/>
      <w:szCs w:val="18"/>
    </w:rPr>
  </w:style>
  <w:style w:type="character" w:customStyle="1" w:styleId="78">
    <w:name w:val="页眉 字符"/>
    <w:link w:val="32"/>
    <w:autoRedefine/>
    <w:qFormat/>
    <w:uiPriority w:val="0"/>
    <w:rPr>
      <w:sz w:val="18"/>
      <w:szCs w:val="18"/>
    </w:rPr>
  </w:style>
  <w:style w:type="character" w:customStyle="1" w:styleId="79">
    <w:name w:val="副标题 字符"/>
    <w:link w:val="35"/>
    <w:autoRedefine/>
    <w:qFormat/>
    <w:uiPriority w:val="0"/>
    <w:rPr>
      <w:rFonts w:ascii="Cambria" w:hAnsi="Cambria"/>
      <w:b/>
      <w:bCs/>
      <w:kern w:val="28"/>
      <w:sz w:val="32"/>
      <w:szCs w:val="32"/>
    </w:rPr>
  </w:style>
  <w:style w:type="character" w:customStyle="1" w:styleId="80">
    <w:name w:val="正文文本缩进 3 字符"/>
    <w:link w:val="37"/>
    <w:autoRedefine/>
    <w:qFormat/>
    <w:uiPriority w:val="0"/>
    <w:rPr>
      <w:sz w:val="16"/>
      <w:szCs w:val="16"/>
    </w:rPr>
  </w:style>
  <w:style w:type="character" w:customStyle="1" w:styleId="81">
    <w:name w:val="正文文本 2 字符"/>
    <w:link w:val="40"/>
    <w:autoRedefine/>
    <w:qFormat/>
    <w:uiPriority w:val="0"/>
    <w:rPr>
      <w:szCs w:val="24"/>
    </w:rPr>
  </w:style>
  <w:style w:type="character" w:customStyle="1" w:styleId="82">
    <w:name w:val="HTML 预设格式 字符"/>
    <w:link w:val="41"/>
    <w:autoRedefine/>
    <w:qFormat/>
    <w:uiPriority w:val="0"/>
    <w:rPr>
      <w:rFonts w:ascii="Courier New" w:hAnsi="Courier New"/>
    </w:rPr>
  </w:style>
  <w:style w:type="character" w:customStyle="1" w:styleId="83">
    <w:name w:val="标题 字符"/>
    <w:link w:val="43"/>
    <w:autoRedefine/>
    <w:qFormat/>
    <w:uiPriority w:val="0"/>
    <w:rPr>
      <w:rFonts w:ascii="Arial" w:hAnsi="Arial"/>
      <w:b/>
      <w:sz w:val="32"/>
    </w:rPr>
  </w:style>
  <w:style w:type="character" w:customStyle="1" w:styleId="84">
    <w:name w:val="批注主题 字符"/>
    <w:link w:val="44"/>
    <w:autoRedefine/>
    <w:qFormat/>
    <w:uiPriority w:val="0"/>
    <w:rPr>
      <w:b/>
      <w:bCs/>
      <w:szCs w:val="24"/>
    </w:rPr>
  </w:style>
  <w:style w:type="character" w:customStyle="1" w:styleId="85">
    <w:name w:val="正文首行缩进 字符"/>
    <w:link w:val="45"/>
    <w:autoRedefine/>
    <w:qFormat/>
    <w:uiPriority w:val="0"/>
    <w:rPr>
      <w:kern w:val="2"/>
      <w:sz w:val="21"/>
      <w:szCs w:val="24"/>
    </w:rPr>
  </w:style>
  <w:style w:type="character" w:customStyle="1" w:styleId="86">
    <w:name w:val="正文文本 Char"/>
    <w:autoRedefine/>
    <w:qFormat/>
    <w:uiPriority w:val="0"/>
    <w:rPr>
      <w:rFonts w:eastAsia="宋体"/>
      <w:kern w:val="2"/>
      <w:sz w:val="21"/>
      <w:szCs w:val="24"/>
      <w:lang w:val="en-US" w:eastAsia="zh-CN" w:bidi="ar-SA"/>
    </w:rPr>
  </w:style>
  <w:style w:type="character" w:customStyle="1" w:styleId="87">
    <w:name w:val="批注文字 Char1"/>
    <w:autoRedefine/>
    <w:qFormat/>
    <w:uiPriority w:val="0"/>
    <w:rPr>
      <w:rFonts w:eastAsia="宋体"/>
      <w:szCs w:val="24"/>
      <w:lang w:bidi="ar-SA"/>
    </w:rPr>
  </w:style>
  <w:style w:type="character" w:customStyle="1" w:styleId="88">
    <w:name w:val="textcontents"/>
    <w:autoRedefine/>
    <w:qFormat/>
    <w:uiPriority w:val="0"/>
    <w:rPr>
      <w:rFonts w:cs="Times New Roman"/>
    </w:rPr>
  </w:style>
  <w:style w:type="character" w:customStyle="1" w:styleId="89">
    <w:name w:val="正文文本 Char3"/>
    <w:autoRedefine/>
    <w:qFormat/>
    <w:uiPriority w:val="0"/>
    <w:rPr>
      <w:rFonts w:ascii="Calibri" w:hAnsi="Calibri" w:eastAsia="宋体"/>
      <w:kern w:val="2"/>
      <w:sz w:val="21"/>
      <w:szCs w:val="22"/>
      <w:lang w:val="en-US" w:eastAsia="zh-CN" w:bidi="ar-SA"/>
    </w:rPr>
  </w:style>
  <w:style w:type="character" w:customStyle="1" w:styleId="90">
    <w:name w:val="文档结构图 Char1"/>
    <w:autoRedefine/>
    <w:qFormat/>
    <w:uiPriority w:val="0"/>
    <w:rPr>
      <w:rFonts w:ascii="宋体"/>
      <w:kern w:val="2"/>
      <w:sz w:val="18"/>
      <w:szCs w:val="18"/>
    </w:rPr>
  </w:style>
  <w:style w:type="character" w:customStyle="1" w:styleId="91">
    <w:name w:val="批注文字 Char2"/>
    <w:autoRedefine/>
    <w:semiHidden/>
    <w:qFormat/>
    <w:uiPriority w:val="99"/>
    <w:rPr>
      <w:kern w:val="2"/>
      <w:sz w:val="21"/>
      <w:szCs w:val="22"/>
    </w:rPr>
  </w:style>
  <w:style w:type="character" w:customStyle="1" w:styleId="92">
    <w:name w:val="标题 3 Char"/>
    <w:autoRedefine/>
    <w:qFormat/>
    <w:uiPriority w:val="0"/>
    <w:rPr>
      <w:rFonts w:ascii="Calibri" w:hAnsi="Calibri"/>
      <w:b/>
      <w:bCs/>
      <w:kern w:val="2"/>
      <w:sz w:val="28"/>
      <w:szCs w:val="32"/>
    </w:rPr>
  </w:style>
  <w:style w:type="character" w:customStyle="1" w:styleId="93">
    <w:name w:val="不明显参考1"/>
    <w:autoRedefine/>
    <w:qFormat/>
    <w:uiPriority w:val="0"/>
    <w:rPr>
      <w:smallCaps/>
      <w:color w:val="C0504D"/>
      <w:u w:val="single"/>
    </w:rPr>
  </w:style>
  <w:style w:type="character" w:customStyle="1" w:styleId="94">
    <w:name w:val="正文文本缩进 Char"/>
    <w:autoRedefine/>
    <w:qFormat/>
    <w:uiPriority w:val="0"/>
    <w:rPr>
      <w:rFonts w:ascii="Times New Roman" w:hAnsi="Times New Roman"/>
      <w:kern w:val="2"/>
      <w:sz w:val="28"/>
    </w:rPr>
  </w:style>
  <w:style w:type="character" w:customStyle="1" w:styleId="95">
    <w:name w:val="彩色列表 - 强调文字颜色 1 Char"/>
    <w:link w:val="96"/>
    <w:autoRedefine/>
    <w:qFormat/>
    <w:uiPriority w:val="0"/>
    <w:rPr>
      <w:rFonts w:ascii="宋体" w:hAnsi="宋体"/>
      <w:sz w:val="24"/>
      <w:szCs w:val="24"/>
    </w:rPr>
  </w:style>
  <w:style w:type="paragraph" w:customStyle="1" w:styleId="96">
    <w:name w:val="彩色列表 - 强调文字颜色 11"/>
    <w:basedOn w:val="1"/>
    <w:link w:val="95"/>
    <w:autoRedefine/>
    <w:qFormat/>
    <w:uiPriority w:val="0"/>
    <w:pPr>
      <w:widowControl/>
      <w:ind w:firstLine="420" w:firstLineChars="200"/>
      <w:jc w:val="left"/>
    </w:pPr>
    <w:rPr>
      <w:rFonts w:ascii="宋体" w:hAnsi="宋体"/>
      <w:kern w:val="0"/>
      <w:sz w:val="24"/>
      <w:szCs w:val="24"/>
    </w:rPr>
  </w:style>
  <w:style w:type="character" w:customStyle="1" w:styleId="97">
    <w:name w:val="无间隔 Char"/>
    <w:link w:val="98"/>
    <w:autoRedefine/>
    <w:qFormat/>
    <w:uiPriority w:val="1"/>
    <w:rPr>
      <w:sz w:val="22"/>
      <w:szCs w:val="22"/>
    </w:rPr>
  </w:style>
  <w:style w:type="paragraph" w:customStyle="1" w:styleId="98">
    <w:name w:val="无间隔11"/>
    <w:link w:val="97"/>
    <w:autoRedefine/>
    <w:qFormat/>
    <w:uiPriority w:val="1"/>
    <w:rPr>
      <w:rFonts w:ascii="Times New Roman" w:hAnsi="Times New Roman" w:eastAsia="宋体" w:cs="Times New Roman"/>
      <w:sz w:val="22"/>
      <w:szCs w:val="22"/>
      <w:lang w:val="en-US" w:eastAsia="zh-CN" w:bidi="ar-SA"/>
    </w:rPr>
  </w:style>
  <w:style w:type="character" w:customStyle="1" w:styleId="99">
    <w:name w:val="正文文本缩进 Char1"/>
    <w:autoRedefine/>
    <w:qFormat/>
    <w:uiPriority w:val="0"/>
    <w:rPr>
      <w:szCs w:val="24"/>
      <w:lang w:bidi="ar-SA"/>
    </w:rPr>
  </w:style>
  <w:style w:type="character" w:customStyle="1" w:styleId="100">
    <w:name w:val="正文文本缩进 3 Char"/>
    <w:autoRedefine/>
    <w:qFormat/>
    <w:uiPriority w:val="0"/>
    <w:rPr>
      <w:rFonts w:ascii="宋体" w:hAnsi="Times New Roman"/>
      <w:kern w:val="2"/>
      <w:sz w:val="28"/>
    </w:rPr>
  </w:style>
  <w:style w:type="character" w:customStyle="1" w:styleId="101">
    <w:name w:val="引用 Char"/>
    <w:link w:val="102"/>
    <w:autoRedefine/>
    <w:qFormat/>
    <w:uiPriority w:val="0"/>
    <w:rPr>
      <w:i/>
      <w:iCs/>
      <w:color w:val="000000"/>
      <w:kern w:val="2"/>
      <w:sz w:val="21"/>
      <w:szCs w:val="22"/>
    </w:rPr>
  </w:style>
  <w:style w:type="paragraph" w:customStyle="1" w:styleId="102">
    <w:name w:val="引用1"/>
    <w:basedOn w:val="1"/>
    <w:next w:val="1"/>
    <w:link w:val="101"/>
    <w:autoRedefine/>
    <w:qFormat/>
    <w:uiPriority w:val="0"/>
    <w:rPr>
      <w:i/>
      <w:iCs/>
      <w:color w:val="000000"/>
    </w:rPr>
  </w:style>
  <w:style w:type="character" w:customStyle="1" w:styleId="103">
    <w:name w:val="明显引用 Char"/>
    <w:link w:val="104"/>
    <w:autoRedefine/>
    <w:qFormat/>
    <w:uiPriority w:val="0"/>
    <w:rPr>
      <w:b/>
      <w:bCs/>
      <w:i/>
      <w:iCs/>
      <w:color w:val="4F81BD"/>
      <w:kern w:val="2"/>
      <w:sz w:val="21"/>
      <w:szCs w:val="22"/>
    </w:rPr>
  </w:style>
  <w:style w:type="paragraph" w:customStyle="1" w:styleId="104">
    <w:name w:val="明显引用1"/>
    <w:basedOn w:val="1"/>
    <w:next w:val="1"/>
    <w:link w:val="103"/>
    <w:autoRedefine/>
    <w:qFormat/>
    <w:uiPriority w:val="0"/>
    <w:pPr>
      <w:pBdr>
        <w:bottom w:val="single" w:color="4F81BD" w:sz="4" w:space="4"/>
      </w:pBdr>
      <w:spacing w:before="200" w:after="280"/>
      <w:ind w:left="936" w:right="936"/>
    </w:pPr>
    <w:rPr>
      <w:b/>
      <w:bCs/>
      <w:i/>
      <w:iCs/>
      <w:color w:val="4F81BD"/>
    </w:rPr>
  </w:style>
  <w:style w:type="character" w:customStyle="1" w:styleId="105">
    <w:name w:val="报告正文 Char1 Char"/>
    <w:link w:val="106"/>
    <w:autoRedefine/>
    <w:qFormat/>
    <w:uiPriority w:val="0"/>
    <w:rPr>
      <w:rFonts w:ascii="华文细黑" w:eastAsia="华文细黑" w:cs="宋体"/>
      <w:kern w:val="2"/>
    </w:rPr>
  </w:style>
  <w:style w:type="paragraph" w:customStyle="1" w:styleId="106">
    <w:name w:val="报告正文 Char1"/>
    <w:basedOn w:val="1"/>
    <w:link w:val="105"/>
    <w:autoRedefine/>
    <w:qFormat/>
    <w:uiPriority w:val="0"/>
    <w:pPr>
      <w:adjustRightInd w:val="0"/>
      <w:snapToGrid w:val="0"/>
      <w:spacing w:line="312" w:lineRule="auto"/>
      <w:ind w:left="2600"/>
    </w:pPr>
    <w:rPr>
      <w:rFonts w:ascii="华文细黑" w:eastAsia="华文细黑" w:cs="宋体"/>
      <w:sz w:val="20"/>
      <w:szCs w:val="20"/>
    </w:rPr>
  </w:style>
  <w:style w:type="character" w:customStyle="1" w:styleId="107">
    <w:name w:val="批注主题 Char"/>
    <w:autoRedefine/>
    <w:qFormat/>
    <w:uiPriority w:val="0"/>
    <w:rPr>
      <w:rFonts w:ascii="宋体" w:hAnsi="Times New Roman"/>
      <w:b/>
      <w:bCs/>
      <w:sz w:val="28"/>
    </w:rPr>
  </w:style>
  <w:style w:type="character" w:customStyle="1" w:styleId="108">
    <w:name w:val="标题 5 Char"/>
    <w:autoRedefine/>
    <w:qFormat/>
    <w:uiPriority w:val="0"/>
    <w:rPr>
      <w:b/>
      <w:bCs/>
      <w:kern w:val="2"/>
      <w:sz w:val="28"/>
      <w:szCs w:val="28"/>
    </w:rPr>
  </w:style>
  <w:style w:type="character" w:customStyle="1" w:styleId="109">
    <w:name w:val="标题 7 Char"/>
    <w:autoRedefine/>
    <w:qFormat/>
    <w:uiPriority w:val="0"/>
    <w:rPr>
      <w:b/>
      <w:bCs/>
      <w:kern w:val="2"/>
      <w:sz w:val="24"/>
      <w:szCs w:val="24"/>
    </w:rPr>
  </w:style>
  <w:style w:type="character" w:customStyle="1" w:styleId="110">
    <w:name w:val="日期 Char"/>
    <w:autoRedefine/>
    <w:qFormat/>
    <w:uiPriority w:val="0"/>
    <w:rPr>
      <w:rFonts w:ascii="宋体" w:hAnsi="Times New Roman"/>
      <w:sz w:val="28"/>
    </w:rPr>
  </w:style>
  <w:style w:type="character" w:customStyle="1" w:styleId="111">
    <w:name w:val="纯文本 Char"/>
    <w:autoRedefine/>
    <w:qFormat/>
    <w:uiPriority w:val="0"/>
    <w:rPr>
      <w:rFonts w:ascii="宋体" w:hAnsi="Courier New" w:cs="Courier New"/>
      <w:kern w:val="2"/>
      <w:sz w:val="21"/>
      <w:szCs w:val="21"/>
    </w:rPr>
  </w:style>
  <w:style w:type="character" w:customStyle="1" w:styleId="112">
    <w:name w:val="日期 Char1"/>
    <w:autoRedefine/>
    <w:qFormat/>
    <w:uiPriority w:val="0"/>
    <w:rPr>
      <w:kern w:val="2"/>
      <w:sz w:val="21"/>
      <w:szCs w:val="22"/>
    </w:rPr>
  </w:style>
  <w:style w:type="character" w:customStyle="1" w:styleId="113">
    <w:name w:val="批注文字 Char"/>
    <w:autoRedefine/>
    <w:qFormat/>
    <w:uiPriority w:val="0"/>
    <w:rPr>
      <w:kern w:val="2"/>
      <w:sz w:val="21"/>
      <w:szCs w:val="22"/>
    </w:rPr>
  </w:style>
  <w:style w:type="character" w:customStyle="1" w:styleId="114">
    <w:name w:val="文档结构图 Char"/>
    <w:autoRedefine/>
    <w:qFormat/>
    <w:uiPriority w:val="0"/>
    <w:rPr>
      <w:rFonts w:ascii="Times New Roman" w:hAnsi="Times New Roman"/>
      <w:szCs w:val="24"/>
      <w:shd w:val="clear" w:color="auto" w:fill="000080"/>
    </w:rPr>
  </w:style>
  <w:style w:type="character" w:customStyle="1" w:styleId="115">
    <w:name w:val="标题4 Char Char"/>
    <w:link w:val="116"/>
    <w:autoRedefine/>
    <w:qFormat/>
    <w:uiPriority w:val="0"/>
    <w:rPr>
      <w:rFonts w:ascii="Arial" w:hAnsi="Arial"/>
      <w:b/>
      <w:bCs/>
      <w:sz w:val="24"/>
      <w:szCs w:val="32"/>
    </w:rPr>
  </w:style>
  <w:style w:type="paragraph" w:customStyle="1" w:styleId="116">
    <w:name w:val="标题4"/>
    <w:basedOn w:val="3"/>
    <w:next w:val="22"/>
    <w:link w:val="115"/>
    <w:autoRedefine/>
    <w:qFormat/>
    <w:uiPriority w:val="0"/>
    <w:pPr>
      <w:spacing w:line="413" w:lineRule="auto"/>
    </w:pPr>
    <w:rPr>
      <w:rFonts w:eastAsia="宋体"/>
      <w:sz w:val="24"/>
    </w:rPr>
  </w:style>
  <w:style w:type="character" w:customStyle="1" w:styleId="117">
    <w:name w:val="批注框文本 Char1"/>
    <w:autoRedefine/>
    <w:qFormat/>
    <w:uiPriority w:val="0"/>
    <w:rPr>
      <w:kern w:val="2"/>
      <w:sz w:val="18"/>
      <w:szCs w:val="18"/>
    </w:rPr>
  </w:style>
  <w:style w:type="character" w:customStyle="1" w:styleId="118">
    <w:name w:val="不明显强调1"/>
    <w:autoRedefine/>
    <w:qFormat/>
    <w:uiPriority w:val="0"/>
    <w:rPr>
      <w:i/>
      <w:iCs/>
      <w:color w:val="808080"/>
    </w:rPr>
  </w:style>
  <w:style w:type="character" w:customStyle="1" w:styleId="119">
    <w:name w:val="标题 8 Char"/>
    <w:autoRedefine/>
    <w:qFormat/>
    <w:uiPriority w:val="0"/>
    <w:rPr>
      <w:rFonts w:ascii="Cambria" w:hAnsi="Cambria" w:eastAsia="宋体" w:cs="Times New Roman"/>
      <w:kern w:val="2"/>
      <w:sz w:val="24"/>
      <w:szCs w:val="24"/>
    </w:rPr>
  </w:style>
  <w:style w:type="character" w:customStyle="1" w:styleId="120">
    <w:name w:val="批注主题 Char1"/>
    <w:autoRedefine/>
    <w:qFormat/>
    <w:uiPriority w:val="0"/>
    <w:rPr>
      <w:b/>
      <w:bCs/>
      <w:kern w:val="2"/>
      <w:sz w:val="21"/>
      <w:szCs w:val="22"/>
    </w:rPr>
  </w:style>
  <w:style w:type="character" w:customStyle="1" w:styleId="121">
    <w:name w:val="批注文字 字符"/>
    <w:autoRedefine/>
    <w:qFormat/>
    <w:uiPriority w:val="0"/>
    <w:rPr>
      <w:rFonts w:eastAsia="宋体"/>
      <w:szCs w:val="24"/>
      <w:lang w:bidi="ar-SA"/>
    </w:rPr>
  </w:style>
  <w:style w:type="character" w:customStyle="1" w:styleId="122">
    <w:name w:val="fontstyle01"/>
    <w:autoRedefine/>
    <w:qFormat/>
    <w:uiPriority w:val="0"/>
    <w:rPr>
      <w:rFonts w:hint="eastAsia" w:ascii="宋体" w:hAnsi="宋体" w:eastAsia="宋体"/>
      <w:color w:val="000000"/>
      <w:sz w:val="24"/>
      <w:szCs w:val="24"/>
    </w:rPr>
  </w:style>
  <w:style w:type="character" w:customStyle="1" w:styleId="123">
    <w:name w:val="称呼 Char"/>
    <w:autoRedefine/>
    <w:qFormat/>
    <w:uiPriority w:val="0"/>
    <w:rPr>
      <w:kern w:val="2"/>
      <w:sz w:val="21"/>
      <w:szCs w:val="22"/>
    </w:rPr>
  </w:style>
  <w:style w:type="character" w:customStyle="1" w:styleId="124">
    <w:name w:val="标题 6 Char"/>
    <w:autoRedefine/>
    <w:qFormat/>
    <w:uiPriority w:val="0"/>
    <w:rPr>
      <w:rFonts w:ascii="Cambria" w:hAnsi="Cambria" w:eastAsia="宋体" w:cs="Times New Roman"/>
      <w:b/>
      <w:bCs/>
      <w:kern w:val="2"/>
      <w:sz w:val="24"/>
      <w:szCs w:val="24"/>
    </w:rPr>
  </w:style>
  <w:style w:type="character" w:customStyle="1" w:styleId="125">
    <w:name w:val="页脚 Char"/>
    <w:autoRedefine/>
    <w:qFormat/>
    <w:uiPriority w:val="99"/>
    <w:rPr>
      <w:kern w:val="2"/>
      <w:sz w:val="18"/>
      <w:szCs w:val="18"/>
    </w:rPr>
  </w:style>
  <w:style w:type="character" w:customStyle="1" w:styleId="126">
    <w:name w:val="标题 4 Char"/>
    <w:autoRedefine/>
    <w:qFormat/>
    <w:uiPriority w:val="0"/>
    <w:rPr>
      <w:rFonts w:ascii="Cambria" w:hAnsi="Cambria"/>
      <w:b/>
      <w:bCs/>
      <w:kern w:val="2"/>
      <w:sz w:val="24"/>
      <w:szCs w:val="28"/>
    </w:rPr>
  </w:style>
  <w:style w:type="character" w:customStyle="1" w:styleId="127">
    <w:name w:val="z-窗体顶端 字符"/>
    <w:link w:val="128"/>
    <w:autoRedefine/>
    <w:qFormat/>
    <w:uiPriority w:val="0"/>
    <w:rPr>
      <w:rFonts w:ascii="Arial" w:hAnsi="Arial"/>
      <w:vanish/>
      <w:sz w:val="16"/>
      <w:szCs w:val="16"/>
    </w:rPr>
  </w:style>
  <w:style w:type="paragraph" w:customStyle="1" w:styleId="128">
    <w:name w:val="_Style 126"/>
    <w:basedOn w:val="1"/>
    <w:link w:val="127"/>
    <w:autoRedefine/>
    <w:qFormat/>
    <w:uiPriority w:val="0"/>
    <w:pPr>
      <w:ind w:firstLine="420" w:firstLineChars="200"/>
    </w:pPr>
    <w:rPr>
      <w:rFonts w:ascii="Arial" w:hAnsi="Arial"/>
      <w:vanish/>
      <w:kern w:val="0"/>
      <w:sz w:val="16"/>
      <w:szCs w:val="16"/>
    </w:rPr>
  </w:style>
  <w:style w:type="character" w:customStyle="1" w:styleId="129">
    <w:name w:val="SZX正文 Char"/>
    <w:link w:val="130"/>
    <w:autoRedefine/>
    <w:qFormat/>
    <w:uiPriority w:val="0"/>
    <w:rPr>
      <w:rFonts w:ascii="仿宋_GB2312" w:hAnsi="仿宋_GB2312"/>
    </w:rPr>
  </w:style>
  <w:style w:type="paragraph" w:customStyle="1" w:styleId="130">
    <w:name w:val="SZX正文"/>
    <w:basedOn w:val="1"/>
    <w:link w:val="129"/>
    <w:autoRedefine/>
    <w:qFormat/>
    <w:uiPriority w:val="0"/>
    <w:pPr>
      <w:ind w:firstLine="560" w:firstLineChars="200"/>
    </w:pPr>
    <w:rPr>
      <w:rFonts w:ascii="仿宋_GB2312" w:hAnsi="仿宋_GB2312"/>
      <w:kern w:val="0"/>
      <w:sz w:val="20"/>
      <w:szCs w:val="20"/>
    </w:rPr>
  </w:style>
  <w:style w:type="character" w:customStyle="1" w:styleId="131">
    <w:name w:val="明显参考1"/>
    <w:autoRedefine/>
    <w:qFormat/>
    <w:uiPriority w:val="0"/>
    <w:rPr>
      <w:b/>
      <w:bCs/>
      <w:smallCaps/>
      <w:color w:val="C0504D"/>
      <w:spacing w:val="5"/>
      <w:u w:val="single"/>
    </w:rPr>
  </w:style>
  <w:style w:type="character" w:customStyle="1" w:styleId="132">
    <w:name w:val="标题 Char"/>
    <w:autoRedefine/>
    <w:qFormat/>
    <w:uiPriority w:val="10"/>
    <w:rPr>
      <w:rFonts w:ascii="Cambria" w:hAnsi="Cambria" w:cs="Times New Roman"/>
      <w:b/>
      <w:bCs/>
      <w:kern w:val="2"/>
      <w:sz w:val="32"/>
      <w:szCs w:val="32"/>
    </w:rPr>
  </w:style>
  <w:style w:type="character" w:customStyle="1" w:styleId="133">
    <w:name w:val="标题 1 Char"/>
    <w:autoRedefine/>
    <w:qFormat/>
    <w:uiPriority w:val="0"/>
    <w:rPr>
      <w:b/>
      <w:bCs/>
      <w:kern w:val="44"/>
      <w:sz w:val="44"/>
      <w:szCs w:val="44"/>
    </w:rPr>
  </w:style>
  <w:style w:type="character" w:customStyle="1" w:styleId="134">
    <w:name w:val="正文文本 Char1"/>
    <w:autoRedefine/>
    <w:qFormat/>
    <w:uiPriority w:val="0"/>
    <w:rPr>
      <w:kern w:val="2"/>
      <w:sz w:val="21"/>
      <w:szCs w:val="22"/>
    </w:rPr>
  </w:style>
  <w:style w:type="character" w:customStyle="1" w:styleId="135">
    <w:name w:val="批注文字 Char3"/>
    <w:autoRedefine/>
    <w:qFormat/>
    <w:uiPriority w:val="0"/>
    <w:rPr>
      <w:rFonts w:eastAsia="宋体"/>
      <w:szCs w:val="24"/>
      <w:lang w:bidi="ar-SA"/>
    </w:rPr>
  </w:style>
  <w:style w:type="character" w:customStyle="1" w:styleId="136">
    <w:name w:val="文一 Char"/>
    <w:link w:val="137"/>
    <w:autoRedefine/>
    <w:qFormat/>
    <w:uiPriority w:val="0"/>
    <w:rPr>
      <w:snapToGrid w:val="0"/>
      <w:spacing w:val="4"/>
      <w:sz w:val="24"/>
      <w:szCs w:val="24"/>
    </w:rPr>
  </w:style>
  <w:style w:type="paragraph" w:customStyle="1" w:styleId="137">
    <w:name w:val="文一"/>
    <w:basedOn w:val="1"/>
    <w:link w:val="136"/>
    <w:autoRedefine/>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138">
    <w:name w:val="standdate1"/>
    <w:autoRedefine/>
    <w:qFormat/>
    <w:uiPriority w:val="0"/>
    <w:rPr>
      <w:rFonts w:ascii="黑体" w:hAnsi="Times New Roman" w:eastAsia="黑体"/>
      <w:color w:val="auto"/>
      <w:sz w:val="24"/>
      <w:u w:val="none"/>
    </w:rPr>
  </w:style>
  <w:style w:type="character" w:customStyle="1" w:styleId="139">
    <w:name w:val="书籍标题1"/>
    <w:autoRedefine/>
    <w:qFormat/>
    <w:uiPriority w:val="0"/>
    <w:rPr>
      <w:b/>
      <w:bCs/>
      <w:smallCaps/>
      <w:spacing w:val="5"/>
    </w:rPr>
  </w:style>
  <w:style w:type="character" w:customStyle="1" w:styleId="140">
    <w:name w:val="页眉 Char"/>
    <w:autoRedefine/>
    <w:qFormat/>
    <w:uiPriority w:val="99"/>
    <w:rPr>
      <w:kern w:val="2"/>
      <w:sz w:val="18"/>
      <w:szCs w:val="18"/>
    </w:rPr>
  </w:style>
  <w:style w:type="character" w:customStyle="1" w:styleId="141">
    <w:name w:val="标题 9 Char"/>
    <w:autoRedefine/>
    <w:qFormat/>
    <w:uiPriority w:val="0"/>
    <w:rPr>
      <w:rFonts w:ascii="Cambria" w:hAnsi="Cambria" w:eastAsia="宋体" w:cs="Times New Roman"/>
      <w:kern w:val="2"/>
      <w:sz w:val="21"/>
      <w:szCs w:val="21"/>
    </w:rPr>
  </w:style>
  <w:style w:type="character" w:customStyle="1" w:styleId="142">
    <w:name w:val="明显强调1"/>
    <w:autoRedefine/>
    <w:qFormat/>
    <w:uiPriority w:val="0"/>
    <w:rPr>
      <w:b/>
      <w:bCs/>
      <w:i/>
      <w:iCs/>
      <w:color w:val="4F81BD"/>
    </w:rPr>
  </w:style>
  <w:style w:type="character" w:customStyle="1" w:styleId="143">
    <w:name w:val="批注文字 Char Char"/>
    <w:autoRedefine/>
    <w:qFormat/>
    <w:uiPriority w:val="0"/>
    <w:rPr>
      <w:rFonts w:ascii="宋体" w:hAnsi="Times New Roman" w:eastAsia="宋体" w:cs="Times New Roman"/>
      <w:sz w:val="28"/>
      <w:szCs w:val="20"/>
    </w:rPr>
  </w:style>
  <w:style w:type="character" w:customStyle="1" w:styleId="144">
    <w:name w:val="标题 2 Char"/>
    <w:autoRedefine/>
    <w:qFormat/>
    <w:uiPriority w:val="0"/>
    <w:rPr>
      <w:rFonts w:ascii="Cambria" w:hAnsi="Cambria" w:eastAsia="宋体" w:cs="Times New Roman"/>
      <w:b/>
      <w:bCs/>
      <w:kern w:val="2"/>
      <w:sz w:val="32"/>
      <w:szCs w:val="32"/>
    </w:rPr>
  </w:style>
  <w:style w:type="character" w:customStyle="1" w:styleId="145">
    <w:name w:val="文一 Char Char"/>
    <w:autoRedefine/>
    <w:qFormat/>
    <w:uiPriority w:val="0"/>
    <w:rPr>
      <w:snapToGrid/>
      <w:spacing w:val="4"/>
      <w:sz w:val="24"/>
      <w:szCs w:val="24"/>
    </w:rPr>
  </w:style>
  <w:style w:type="character" w:customStyle="1" w:styleId="146">
    <w:name w:val="批注框文本 Char"/>
    <w:autoRedefine/>
    <w:qFormat/>
    <w:uiPriority w:val="0"/>
    <w:rPr>
      <w:rFonts w:ascii="宋体" w:hAnsi="Times New Roman"/>
      <w:sz w:val="18"/>
      <w:szCs w:val="18"/>
    </w:rPr>
  </w:style>
  <w:style w:type="character" w:customStyle="1" w:styleId="147">
    <w:name w:val="标题5 Char Char"/>
    <w:link w:val="148"/>
    <w:autoRedefine/>
    <w:qFormat/>
    <w:uiPriority w:val="0"/>
    <w:rPr>
      <w:rFonts w:ascii="Arial" w:hAnsi="Arial"/>
      <w:b/>
      <w:bCs/>
      <w:sz w:val="24"/>
      <w:szCs w:val="32"/>
    </w:rPr>
  </w:style>
  <w:style w:type="paragraph" w:customStyle="1" w:styleId="148">
    <w:name w:val="标题5"/>
    <w:basedOn w:val="4"/>
    <w:link w:val="147"/>
    <w:autoRedefine/>
    <w:qFormat/>
    <w:uiPriority w:val="0"/>
    <w:pPr>
      <w:spacing w:after="0" w:line="413" w:lineRule="auto"/>
    </w:pPr>
    <w:rPr>
      <w:rFonts w:ascii="Arial" w:hAnsi="Arial"/>
      <w:sz w:val="24"/>
    </w:rPr>
  </w:style>
  <w:style w:type="character" w:customStyle="1" w:styleId="149">
    <w:name w:val="正文文本 Char2"/>
    <w:autoRedefine/>
    <w:qFormat/>
    <w:uiPriority w:val="0"/>
    <w:rPr>
      <w:rFonts w:ascii="Calibri" w:hAnsi="Calibri" w:eastAsia="宋体"/>
      <w:kern w:val="2"/>
      <w:sz w:val="21"/>
      <w:szCs w:val="22"/>
      <w:lang w:val="en-US" w:eastAsia="zh-CN" w:bidi="ar-SA"/>
    </w:rPr>
  </w:style>
  <w:style w:type="paragraph" w:customStyle="1" w:styleId="150">
    <w:name w:val="WPSOffice手动目录 1"/>
    <w:autoRedefine/>
    <w:qFormat/>
    <w:uiPriority w:val="0"/>
    <w:rPr>
      <w:rFonts w:ascii="Times New Roman" w:hAnsi="Times New Roman" w:eastAsia="宋体" w:cs="Times New Roman"/>
      <w:lang w:val="en-US" w:eastAsia="zh-CN" w:bidi="ar-SA"/>
    </w:rPr>
  </w:style>
  <w:style w:type="paragraph" w:customStyle="1" w:styleId="151">
    <w:name w:val="_Style 8"/>
    <w:basedOn w:val="1"/>
    <w:autoRedefine/>
    <w:qFormat/>
    <w:uiPriority w:val="0"/>
    <w:pPr>
      <w:ind w:firstLine="420" w:firstLineChars="200"/>
    </w:pPr>
    <w:rPr>
      <w:szCs w:val="24"/>
    </w:rPr>
  </w:style>
  <w:style w:type="paragraph" w:customStyle="1" w:styleId="152">
    <w:name w:val="样式 标题 3 + (中文) 黑体 小四 非加粗 段前: 7.8 磅 段后: 0 磅 行距: 固定值 20 磅"/>
    <w:basedOn w:val="4"/>
    <w:autoRedefine/>
    <w:qFormat/>
    <w:uiPriority w:val="0"/>
    <w:pPr>
      <w:spacing w:before="0" w:after="0" w:line="400" w:lineRule="exact"/>
    </w:pPr>
    <w:rPr>
      <w:rFonts w:ascii="Times New Roman" w:hAnsi="Times New Roman" w:eastAsia="黑体" w:cs="宋体"/>
      <w:b w:val="0"/>
      <w:bCs w:val="0"/>
      <w:kern w:val="2"/>
      <w:sz w:val="24"/>
      <w:szCs w:val="20"/>
    </w:rPr>
  </w:style>
  <w:style w:type="paragraph" w:customStyle="1" w:styleId="153">
    <w:name w:val="TOC 标题1"/>
    <w:basedOn w:val="2"/>
    <w:next w:val="1"/>
    <w:autoRedefine/>
    <w:qFormat/>
    <w:uiPriority w:val="0"/>
    <w:pPr>
      <w:outlineLvl w:val="9"/>
    </w:pPr>
    <w:rPr>
      <w:rFonts w:ascii="Calibri" w:hAnsi="Calibri"/>
    </w:rPr>
  </w:style>
  <w:style w:type="paragraph" w:customStyle="1" w:styleId="154">
    <w:name w:val="列出段落1"/>
    <w:basedOn w:val="1"/>
    <w:autoRedefine/>
    <w:qFormat/>
    <w:uiPriority w:val="99"/>
    <w:pPr>
      <w:ind w:firstLine="420" w:firstLineChars="200"/>
    </w:pPr>
    <w:rPr>
      <w:rFonts w:ascii="Calibri" w:hAnsi="Calibri"/>
    </w:rPr>
  </w:style>
  <w:style w:type="paragraph" w:customStyle="1" w:styleId="155">
    <w:name w:val="Heading 11"/>
    <w:basedOn w:val="1"/>
    <w:autoRedefine/>
    <w:qFormat/>
    <w:uiPriority w:val="99"/>
    <w:pPr>
      <w:spacing w:line="460" w:lineRule="exact"/>
      <w:ind w:left="880" w:leftChars="100" w:right="100" w:rightChars="100"/>
      <w:jc w:val="center"/>
      <w:outlineLvl w:val="1"/>
    </w:pPr>
    <w:rPr>
      <w:rFonts w:ascii="Noto Sans Mono CJK JP Regular" w:hAnsi="Noto Sans Mono CJK JP Regular" w:eastAsia="微软雅黑" w:cs="Noto Sans Mono CJK JP Regular"/>
      <w:b/>
      <w:sz w:val="28"/>
      <w:szCs w:val="24"/>
    </w:rPr>
  </w:style>
  <w:style w:type="paragraph" w:customStyle="1" w:styleId="156">
    <w:name w:val="Table Paragraph"/>
    <w:basedOn w:val="1"/>
    <w:autoRedefine/>
    <w:qFormat/>
    <w:uiPriority w:val="1"/>
    <w:rPr>
      <w:rFonts w:ascii="Noto Sans Mono CJK JP Regular" w:hAnsi="Noto Sans Mono CJK JP Regular" w:eastAsia="Noto Sans Mono CJK JP Regular" w:cs="Noto Sans Mono CJK JP Regular"/>
    </w:rPr>
  </w:style>
  <w:style w:type="paragraph" w:styleId="157">
    <w:name w:val="List Paragraph"/>
    <w:basedOn w:val="1"/>
    <w:autoRedefine/>
    <w:qFormat/>
    <w:uiPriority w:val="99"/>
    <w:pPr>
      <w:ind w:firstLine="420" w:firstLineChars="200"/>
    </w:pPr>
  </w:style>
  <w:style w:type="paragraph" w:customStyle="1" w:styleId="158">
    <w:name w:val="列出段落11"/>
    <w:basedOn w:val="1"/>
    <w:autoRedefine/>
    <w:qFormat/>
    <w:uiPriority w:val="99"/>
    <w:pPr>
      <w:ind w:firstLine="420" w:firstLineChars="200"/>
    </w:pPr>
    <w:rPr>
      <w:szCs w:val="24"/>
    </w:rPr>
  </w:style>
  <w:style w:type="paragraph" w:customStyle="1" w:styleId="159">
    <w:name w:val="修订1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60">
    <w:name w:val="正文文字3"/>
    <w:basedOn w:val="19"/>
    <w:autoRedefine/>
    <w:qFormat/>
    <w:uiPriority w:val="0"/>
    <w:pPr>
      <w:adjustRightInd w:val="0"/>
      <w:spacing w:after="0" w:line="360" w:lineRule="atLeast"/>
      <w:textAlignment w:val="baseline"/>
    </w:pPr>
    <w:rPr>
      <w:rFonts w:ascii="Times New Roman" w:hAnsi="Times New Roman" w:eastAsia="仿宋_GB2312"/>
      <w:kern w:val="0"/>
      <w:szCs w:val="20"/>
    </w:rPr>
  </w:style>
  <w:style w:type="paragraph" w:customStyle="1" w:styleId="161">
    <w:name w:val="正文1"/>
    <w:basedOn w:val="1"/>
    <w:autoRedefine/>
    <w:qFormat/>
    <w:uiPriority w:val="0"/>
    <w:pPr>
      <w:adjustRightInd w:val="0"/>
      <w:spacing w:after="60" w:line="360" w:lineRule="atLeast"/>
      <w:ind w:left="57" w:right="57"/>
      <w:jc w:val="center"/>
      <w:textAlignment w:val="baseline"/>
    </w:pPr>
    <w:rPr>
      <w:rFonts w:ascii="宋体"/>
      <w:kern w:val="0"/>
      <w:szCs w:val="20"/>
    </w:rPr>
  </w:style>
  <w:style w:type="paragraph" w:customStyle="1" w:styleId="162">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3">
    <w:name w:val="正题"/>
    <w:basedOn w:val="137"/>
    <w:next w:val="137"/>
    <w:autoRedefine/>
    <w:qFormat/>
    <w:uiPriority w:val="0"/>
    <w:pPr>
      <w:ind w:firstLine="0" w:firstLineChars="0"/>
      <w:jc w:val="center"/>
    </w:pPr>
    <w:rPr>
      <w:rFonts w:eastAsia="黑体"/>
      <w:b/>
      <w:sz w:val="36"/>
      <w:szCs w:val="36"/>
    </w:rPr>
  </w:style>
  <w:style w:type="paragraph" w:customStyle="1" w:styleId="164">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65">
    <w:name w:val="样式1"/>
    <w:basedOn w:val="1"/>
    <w:autoRedefine/>
    <w:qFormat/>
    <w:uiPriority w:val="0"/>
    <w:rPr>
      <w:sz w:val="28"/>
      <w:szCs w:val="24"/>
    </w:rPr>
  </w:style>
  <w:style w:type="paragraph" w:customStyle="1" w:styleId="166">
    <w:name w:val="Char Char Char Char Char Char Char Char Char Char Char Char Char Char Char Char Char Char Char Char Char Char"/>
    <w:basedOn w:val="1"/>
    <w:autoRedefine/>
    <w:qFormat/>
    <w:uiPriority w:val="0"/>
    <w:pPr>
      <w:widowControl/>
      <w:spacing w:after="160" w:line="240" w:lineRule="exact"/>
      <w:jc w:val="center"/>
    </w:pPr>
    <w:rPr>
      <w:rFonts w:ascii="黑体" w:hAnsi="Verdana" w:eastAsia="黑体"/>
      <w:kern w:val="0"/>
      <w:sz w:val="32"/>
      <w:szCs w:val="32"/>
      <w:lang w:eastAsia="en-US"/>
    </w:rPr>
  </w:style>
  <w:style w:type="paragraph" w:customStyle="1" w:styleId="167">
    <w:name w:val="文二"/>
    <w:basedOn w:val="1"/>
    <w:autoRedefine/>
    <w:qFormat/>
    <w:uiPriority w:val="0"/>
    <w:pPr>
      <w:jc w:val="left"/>
    </w:pPr>
    <w:rPr>
      <w:rFonts w:ascii="宋体" w:hAnsi="宋体"/>
      <w:szCs w:val="21"/>
    </w:rPr>
  </w:style>
  <w:style w:type="paragraph" w:customStyle="1" w:styleId="168">
    <w:name w:val="注"/>
    <w:basedOn w:val="1"/>
    <w:autoRedefine/>
    <w:qFormat/>
    <w:uiPriority w:val="0"/>
    <w:pPr>
      <w:adjustRightInd w:val="0"/>
      <w:spacing w:line="360" w:lineRule="atLeast"/>
      <w:ind w:left="840" w:hanging="420"/>
      <w:textAlignment w:val="baseline"/>
    </w:pPr>
    <w:rPr>
      <w:rFonts w:eastAsia="仿宋_GB2312"/>
      <w:kern w:val="0"/>
      <w:szCs w:val="20"/>
    </w:rPr>
  </w:style>
  <w:style w:type="paragraph" w:customStyle="1" w:styleId="169">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标题 11"/>
    <w:basedOn w:val="1"/>
    <w:autoRedefine/>
    <w:qFormat/>
    <w:uiPriority w:val="1"/>
    <w:pPr>
      <w:autoSpaceDE w:val="0"/>
      <w:autoSpaceDN w:val="0"/>
      <w:adjustRightInd w:val="0"/>
      <w:ind w:left="152"/>
      <w:jc w:val="left"/>
      <w:outlineLvl w:val="0"/>
    </w:pPr>
    <w:rPr>
      <w:rFonts w:ascii="黑体" w:eastAsia="黑体" w:cs="黑体"/>
      <w:kern w:val="0"/>
      <w:sz w:val="30"/>
      <w:szCs w:val="30"/>
    </w:rPr>
  </w:style>
  <w:style w:type="paragraph" w:customStyle="1" w:styleId="17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7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73">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174">
    <w:name w:val="正文 New"/>
    <w:autoRedefine/>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75">
    <w:name w:val="01章号-产权园区"/>
    <w:basedOn w:val="1"/>
    <w:autoRedefine/>
    <w:qFormat/>
    <w:uiPriority w:val="0"/>
    <w:pPr>
      <w:numPr>
        <w:ilvl w:val="0"/>
        <w:numId w:val="2"/>
      </w:numPr>
      <w:overflowPunct w:val="0"/>
      <w:spacing w:before="50" w:beforeLines="50" w:after="50" w:afterLines="50" w:line="360" w:lineRule="auto"/>
      <w:jc w:val="center"/>
      <w:outlineLvl w:val="0"/>
    </w:pPr>
    <w:rPr>
      <w:rFonts w:ascii="黑体" w:hAnsi="黑体" w:eastAsia="黑体"/>
      <w:kern w:val="44"/>
      <w:sz w:val="32"/>
      <w:szCs w:val="32"/>
    </w:rPr>
  </w:style>
  <w:style w:type="paragraph" w:customStyle="1" w:styleId="176">
    <w:name w:val="章节三"/>
    <w:basedOn w:val="137"/>
    <w:next w:val="137"/>
    <w:autoRedefine/>
    <w:qFormat/>
    <w:uiPriority w:val="0"/>
    <w:pPr>
      <w:spacing w:beforeLines="50" w:afterLines="50" w:line="240" w:lineRule="auto"/>
      <w:ind w:firstLine="0" w:firstLineChars="0"/>
      <w:jc w:val="left"/>
      <w:outlineLvl w:val="2"/>
    </w:pPr>
    <w:rPr>
      <w:rFonts w:ascii="黑体" w:hAnsi="宋体" w:eastAsia="黑体"/>
      <w:b/>
    </w:rPr>
  </w:style>
  <w:style w:type="paragraph" w:customStyle="1" w:styleId="177">
    <w:name w:val="TOC 标题2"/>
    <w:basedOn w:val="2"/>
    <w:next w:val="1"/>
    <w:autoRedefine/>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178">
    <w:name w:val="Heading 21"/>
    <w:basedOn w:val="1"/>
    <w:autoRedefine/>
    <w:qFormat/>
    <w:uiPriority w:val="99"/>
    <w:pPr>
      <w:spacing w:line="425" w:lineRule="exact"/>
      <w:ind w:left="989" w:hanging="573"/>
      <w:outlineLvl w:val="2"/>
    </w:pPr>
    <w:rPr>
      <w:rFonts w:ascii="Noto Sans Mono CJK JP Regular" w:hAnsi="Noto Sans Mono CJK JP Regular" w:cs="Noto Sans Mono CJK JP Regular"/>
      <w:b/>
      <w:sz w:val="24"/>
      <w:szCs w:val="21"/>
    </w:rPr>
  </w:style>
  <w:style w:type="paragraph" w:customStyle="1" w:styleId="179">
    <w:name w:val="修订2"/>
    <w:autoRedefine/>
    <w:unhideWhenUsed/>
    <w:qFormat/>
    <w:uiPriority w:val="99"/>
    <w:rPr>
      <w:rFonts w:ascii="Calibri" w:hAnsi="Calibri" w:eastAsia="宋体" w:cs="Times New Roman"/>
      <w:kern w:val="2"/>
      <w:sz w:val="21"/>
      <w:szCs w:val="22"/>
      <w:lang w:val="en-US" w:eastAsia="zh-CN" w:bidi="ar-SA"/>
    </w:rPr>
  </w:style>
  <w:style w:type="paragraph" w:customStyle="1" w:styleId="180">
    <w:name w:val="发文落款"/>
    <w:basedOn w:val="181"/>
    <w:autoRedefine/>
    <w:qFormat/>
    <w:uiPriority w:val="0"/>
    <w:pPr>
      <w:ind w:left="4094" w:right="607" w:firstLine="0"/>
      <w:jc w:val="center"/>
    </w:pPr>
  </w:style>
  <w:style w:type="paragraph" w:customStyle="1" w:styleId="181">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182">
    <w:name w:val="No Spacing"/>
    <w:autoRedefine/>
    <w:qFormat/>
    <w:uiPriority w:val="99"/>
    <w:pPr>
      <w:widowControl w:val="0"/>
      <w:autoSpaceDE w:val="0"/>
      <w:autoSpaceDN w:val="0"/>
    </w:pPr>
    <w:rPr>
      <w:rFonts w:ascii="Noto Sans CJK JP Regular" w:hAnsi="Noto Sans CJK JP Regular" w:eastAsia="宋体" w:cs="Noto Sans CJK JP Regular"/>
      <w:sz w:val="22"/>
      <w:szCs w:val="22"/>
      <w:lang w:val="en-US" w:eastAsia="en-US" w:bidi="ar-SA"/>
    </w:rPr>
  </w:style>
  <w:style w:type="paragraph" w:customStyle="1" w:styleId="183">
    <w:name w:val="Default"/>
    <w:autoRedefine/>
    <w:qFormat/>
    <w:uiPriority w:val="99"/>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184">
    <w:name w:val="flType"/>
    <w:basedOn w:val="185"/>
    <w:autoRedefine/>
    <w:qFormat/>
    <w:uiPriority w:val="0"/>
    <w:pPr>
      <w:spacing w:before="560" w:after="120"/>
    </w:pPr>
    <w:rPr>
      <w:sz w:val="28"/>
    </w:rPr>
  </w:style>
  <w:style w:type="paragraph" w:customStyle="1" w:styleId="185">
    <w:name w:val="flName"/>
    <w:basedOn w:val="186"/>
    <w:autoRedefine/>
    <w:qFormat/>
    <w:uiPriority w:val="0"/>
    <w:rPr>
      <w:sz w:val="32"/>
    </w:rPr>
  </w:style>
  <w:style w:type="paragraph" w:customStyle="1" w:styleId="186">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87">
    <w:name w:val="prj1"/>
    <w:basedOn w:val="1"/>
    <w:autoRedefine/>
    <w:qFormat/>
    <w:uiPriority w:val="0"/>
    <w:pPr>
      <w:widowControl/>
      <w:pBdr>
        <w:top w:val="single" w:color="B1BBCC" w:sz="4" w:space="0"/>
        <w:left w:val="single" w:color="B1BBCC" w:sz="4" w:space="0"/>
        <w:bottom w:val="single" w:color="B1BBCC" w:sz="4" w:space="0"/>
        <w:right w:val="single" w:color="B1BBCC" w:sz="4" w:space="0"/>
      </w:pBdr>
      <w:spacing w:before="100" w:beforeAutospacing="1" w:after="100" w:afterAutospacing="1"/>
      <w:jc w:val="left"/>
    </w:pPr>
    <w:rPr>
      <w:rFonts w:ascii="华文中宋" w:hAnsi="华文中宋" w:eastAsia="华文中宋" w:cs="宋体"/>
      <w:kern w:val="0"/>
      <w:sz w:val="24"/>
      <w:szCs w:val="24"/>
    </w:rPr>
  </w:style>
  <w:style w:type="paragraph" w:customStyle="1" w:styleId="18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89">
    <w:name w:val="03条号-产权园区"/>
    <w:basedOn w:val="4"/>
    <w:autoRedefine/>
    <w:qFormat/>
    <w:uiPriority w:val="0"/>
    <w:pPr>
      <w:keepNext w:val="0"/>
      <w:keepLines w:val="0"/>
      <w:numPr>
        <w:ilvl w:val="2"/>
        <w:numId w:val="2"/>
      </w:numPr>
      <w:overflowPunct w:val="0"/>
      <w:spacing w:before="50" w:beforeLines="50" w:after="50" w:afterLines="50" w:line="360" w:lineRule="auto"/>
    </w:pPr>
    <w:rPr>
      <w:b w:val="0"/>
      <w:kern w:val="2"/>
      <w:sz w:val="28"/>
      <w:szCs w:val="30"/>
    </w:rPr>
  </w:style>
  <w:style w:type="paragraph" w:customStyle="1" w:styleId="19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91">
    <w:name w:val="標準 + 最初の行 :  0.5 字"/>
    <w:basedOn w:val="1"/>
    <w:autoRedefine/>
    <w:qFormat/>
    <w:uiPriority w:val="0"/>
    <w:pPr>
      <w:ind w:left="105" w:leftChars="50"/>
    </w:pPr>
    <w:rPr>
      <w:szCs w:val="24"/>
    </w:rPr>
  </w:style>
  <w:style w:type="paragraph" w:customStyle="1" w:styleId="192">
    <w:name w:val="TOC 标题11"/>
    <w:basedOn w:val="2"/>
    <w:next w:val="1"/>
    <w:autoRedefine/>
    <w:qFormat/>
    <w:uiPriority w:val="39"/>
    <w:pPr>
      <w:widowControl/>
      <w:snapToGrid w:val="0"/>
      <w:spacing w:before="480" w:after="0" w:line="276" w:lineRule="auto"/>
      <w:jc w:val="left"/>
      <w:outlineLvl w:val="9"/>
    </w:pPr>
    <w:rPr>
      <w:rFonts w:ascii="Cambria" w:hAnsi="Cambria"/>
      <w:color w:val="365F91"/>
      <w:kern w:val="0"/>
      <w:sz w:val="28"/>
      <w:szCs w:val="28"/>
    </w:rPr>
  </w:style>
  <w:style w:type="paragraph" w:customStyle="1" w:styleId="193">
    <w:name w:val="_Style 1"/>
    <w:basedOn w:val="1"/>
    <w:autoRedefine/>
    <w:qFormat/>
    <w:uiPriority w:val="99"/>
    <w:pPr>
      <w:ind w:firstLine="420" w:firstLineChars="200"/>
    </w:pPr>
    <w:rPr>
      <w:rFonts w:ascii="Calibri" w:hAnsi="Calibri"/>
      <w:szCs w:val="24"/>
    </w:rPr>
  </w:style>
  <w:style w:type="paragraph" w:customStyle="1" w:styleId="194">
    <w:name w:val="02节号-产权园区"/>
    <w:basedOn w:val="3"/>
    <w:autoRedefine/>
    <w:qFormat/>
    <w:uiPriority w:val="0"/>
    <w:pPr>
      <w:keepNext w:val="0"/>
      <w:keepLines w:val="0"/>
      <w:numPr>
        <w:ilvl w:val="1"/>
        <w:numId w:val="2"/>
      </w:numPr>
      <w:overflowPunct w:val="0"/>
      <w:spacing w:before="50" w:beforeLines="50" w:after="50" w:afterLines="50" w:line="360" w:lineRule="auto"/>
      <w:jc w:val="left"/>
    </w:pPr>
    <w:rPr>
      <w:rFonts w:ascii="黑体" w:hAnsi="Cambria"/>
      <w:b w:val="0"/>
      <w:kern w:val="2"/>
      <w:sz w:val="28"/>
      <w:szCs w:val="30"/>
    </w:rPr>
  </w:style>
  <w:style w:type="paragraph" w:customStyle="1" w:styleId="195">
    <w:name w:val="报告正文"/>
    <w:basedOn w:val="24"/>
    <w:autoRedefine/>
    <w:qFormat/>
    <w:uiPriority w:val="0"/>
    <w:pPr>
      <w:adjustRightInd w:val="0"/>
      <w:snapToGrid w:val="0"/>
      <w:spacing w:line="312" w:lineRule="auto"/>
      <w:ind w:left="2600"/>
    </w:pPr>
    <w:rPr>
      <w:rFonts w:ascii="华文细黑" w:hAnsi="Times New Roman" w:eastAsia="华文细黑" w:cs="宋体"/>
      <w:i/>
      <w:iCs w:val="0"/>
    </w:rPr>
  </w:style>
  <w:style w:type="paragraph" w:customStyle="1" w:styleId="196">
    <w:name w:val="Style Report Text + (Asian) 宋体"/>
    <w:basedOn w:val="1"/>
    <w:autoRedefine/>
    <w:qFormat/>
    <w:uiPriority w:val="0"/>
    <w:pPr>
      <w:widowControl/>
      <w:spacing w:after="120" w:line="260" w:lineRule="atLeast"/>
      <w:ind w:left="1253"/>
      <w:jc w:val="left"/>
    </w:pPr>
    <w:rPr>
      <w:rFonts w:ascii="Arial" w:hAnsi="Arial"/>
      <w:kern w:val="0"/>
      <w:sz w:val="22"/>
      <w:szCs w:val="20"/>
      <w:lang w:val="en-GB" w:eastAsia="en-US"/>
    </w:rPr>
  </w:style>
  <w:style w:type="paragraph" w:customStyle="1" w:styleId="197">
    <w:name w:val="_Style 195"/>
    <w:autoRedefine/>
    <w:semiHidden/>
    <w:qFormat/>
    <w:uiPriority w:val="99"/>
    <w:rPr>
      <w:rFonts w:ascii="Times New Roman" w:hAnsi="Times New Roman" w:eastAsia="宋体" w:cs="Times New Roman"/>
      <w:kern w:val="2"/>
      <w:sz w:val="21"/>
      <w:szCs w:val="22"/>
      <w:lang w:val="en-US" w:eastAsia="zh-CN" w:bidi="ar-SA"/>
    </w:rPr>
  </w:style>
  <w:style w:type="paragraph" w:customStyle="1" w:styleId="198">
    <w:name w:val="Char Char1"/>
    <w:basedOn w:val="15"/>
    <w:autoRedefine/>
    <w:qFormat/>
    <w:uiPriority w:val="0"/>
    <w:pPr>
      <w:adjustRightInd w:val="0"/>
      <w:spacing w:line="436" w:lineRule="exact"/>
      <w:ind w:left="357"/>
      <w:jc w:val="left"/>
      <w:outlineLvl w:val="3"/>
    </w:pPr>
    <w:rPr>
      <w:kern w:val="2"/>
      <w:sz w:val="24"/>
      <w:shd w:val="clear" w:color="auto" w:fill="auto"/>
    </w:rPr>
  </w:style>
  <w:style w:type="paragraph" w:customStyle="1" w:styleId="199">
    <w:name w:val="07正文3839区"/>
    <w:basedOn w:val="1"/>
    <w:autoRedefine/>
    <w:qFormat/>
    <w:uiPriority w:val="0"/>
    <w:pPr>
      <w:overflowPunct w:val="0"/>
      <w:spacing w:line="360" w:lineRule="auto"/>
      <w:ind w:firstLine="200" w:firstLineChars="200"/>
      <w:jc w:val="left"/>
    </w:pPr>
    <w:rPr>
      <w:rFonts w:ascii="宋体" w:hAnsi="宋体"/>
      <w:color w:val="000000"/>
      <w:sz w:val="24"/>
      <w:szCs w:val="28"/>
    </w:rPr>
  </w:style>
  <w:style w:type="paragraph" w:customStyle="1" w:styleId="200">
    <w:name w:val="standdate"/>
    <w:basedOn w:val="31"/>
    <w:autoRedefine/>
    <w:qFormat/>
    <w:uiPriority w:val="0"/>
    <w:pPr>
      <w:pBdr>
        <w:top w:val="single" w:color="auto" w:sz="6" w:space="7"/>
      </w:pBdr>
      <w:tabs>
        <w:tab w:val="clear" w:pos="4153"/>
        <w:tab w:val="clear" w:pos="8306"/>
      </w:tabs>
      <w:adjustRightInd w:val="0"/>
      <w:snapToGrid/>
      <w:spacing w:line="240" w:lineRule="atLeast"/>
      <w:ind w:right="255"/>
      <w:jc w:val="center"/>
      <w:textAlignment w:val="center"/>
    </w:pPr>
    <w:rPr>
      <w:rFonts w:ascii="黑体" w:eastAsia="黑体"/>
      <w:b/>
      <w:spacing w:val="-4"/>
      <w:sz w:val="21"/>
      <w:szCs w:val="20"/>
    </w:rPr>
  </w:style>
  <w:style w:type="paragraph" w:customStyle="1" w:styleId="201">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table" w:customStyle="1" w:styleId="202">
    <w:name w:val="网格型1"/>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
    <w:name w:val="列表段落1"/>
    <w:basedOn w:val="1"/>
    <w:autoRedefine/>
    <w:qFormat/>
    <w:uiPriority w:val="99"/>
    <w:pPr>
      <w:ind w:firstLine="420" w:firstLineChars="200"/>
    </w:pPr>
    <w:rPr>
      <w:rFonts w:ascii="宋体" w:hAnsi="宋体"/>
      <w:color w:val="000000"/>
      <w:szCs w:val="21"/>
    </w:rPr>
  </w:style>
  <w:style w:type="paragraph" w:customStyle="1" w:styleId="204">
    <w:name w:val="正文 New New New New New New New New New New New New New"/>
    <w:autoRedefine/>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05">
    <w:name w:val="_Style 203"/>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character" w:customStyle="1" w:styleId="206">
    <w:name w:val="font61"/>
    <w:autoRedefine/>
    <w:qFormat/>
    <w:uiPriority w:val="0"/>
    <w:rPr>
      <w:rFonts w:hint="eastAsia" w:ascii="宋体" w:hAnsi="宋体" w:eastAsia="宋体" w:cs="宋体"/>
      <w:color w:val="000000"/>
      <w:sz w:val="18"/>
      <w:szCs w:val="18"/>
      <w:u w:val="none"/>
    </w:rPr>
  </w:style>
  <w:style w:type="character" w:customStyle="1" w:styleId="207">
    <w:name w:val="font51"/>
    <w:autoRedefine/>
    <w:qFormat/>
    <w:uiPriority w:val="0"/>
    <w:rPr>
      <w:rFonts w:hint="eastAsia" w:ascii="宋体" w:hAnsi="宋体" w:eastAsia="宋体" w:cs="宋体"/>
      <w:color w:val="000000"/>
      <w:sz w:val="18"/>
      <w:szCs w:val="18"/>
      <w:u w:val="none"/>
    </w:rPr>
  </w:style>
  <w:style w:type="paragraph" w:customStyle="1" w:styleId="208">
    <w:name w:val="z-窗体顶端1"/>
    <w:basedOn w:val="1"/>
    <w:autoRedefine/>
    <w:qFormat/>
    <w:uiPriority w:val="0"/>
    <w:pPr>
      <w:ind w:firstLine="420" w:firstLineChars="200"/>
    </w:pPr>
    <w:rPr>
      <w:rFonts w:ascii="Arial" w:hAnsi="Arial"/>
      <w:vanish/>
      <w:kern w:val="0"/>
      <w:sz w:val="16"/>
      <w:szCs w:val="16"/>
    </w:rPr>
  </w:style>
  <w:style w:type="character" w:customStyle="1" w:styleId="209">
    <w:name w:val="正文文本首行缩进 字符"/>
    <w:basedOn w:val="86"/>
    <w:link w:val="210"/>
    <w:autoRedefine/>
    <w:qFormat/>
    <w:uiPriority w:val="0"/>
    <w:rPr>
      <w:rFonts w:eastAsia="宋体"/>
      <w:kern w:val="2"/>
      <w:sz w:val="21"/>
      <w:szCs w:val="24"/>
      <w:lang w:val="en-US" w:eastAsia="zh-CN" w:bidi="ar-SA"/>
    </w:rPr>
  </w:style>
  <w:style w:type="paragraph" w:customStyle="1" w:styleId="210">
    <w:name w:val="正文文本首行缩进1"/>
    <w:basedOn w:val="19"/>
    <w:link w:val="209"/>
    <w:autoRedefine/>
    <w:qFormat/>
    <w:uiPriority w:val="0"/>
    <w:pPr>
      <w:spacing w:line="312" w:lineRule="auto"/>
      <w:ind w:firstLine="420"/>
    </w:pPr>
    <w:rPr>
      <w:rFonts w:ascii="Times New Roman" w:hAnsi="Times New Roman"/>
      <w:szCs w:val="24"/>
    </w:rPr>
  </w:style>
  <w:style w:type="paragraph" w:customStyle="1" w:styleId="211">
    <w:name w:val="TOC Heading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12">
    <w:name w:val="td-text"/>
    <w:basedOn w:val="49"/>
    <w:autoRedefine/>
    <w:qFormat/>
    <w:uiPriority w:val="0"/>
  </w:style>
  <w:style w:type="paragraph" w:customStyle="1" w:styleId="213">
    <w:name w:val="TOC 标题3"/>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14">
    <w:name w:val="未处理的提及1"/>
    <w:basedOn w:val="49"/>
    <w:autoRedefine/>
    <w:semiHidden/>
    <w:unhideWhenUsed/>
    <w:qFormat/>
    <w:uiPriority w:val="99"/>
    <w:rPr>
      <w:color w:val="605E5C"/>
      <w:shd w:val="clear" w:color="auto" w:fill="E1DFDD"/>
    </w:rPr>
  </w:style>
  <w:style w:type="paragraph" w:customStyle="1" w:styleId="215">
    <w:name w:val="修订3"/>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216">
    <w:name w:val="修订4"/>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217">
    <w:name w:val="Revision1"/>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218">
    <w:name w:val="修订5"/>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219">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2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1">
    <w:name w:val="xl69"/>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22">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kern w:val="0"/>
      <w:sz w:val="20"/>
      <w:szCs w:val="20"/>
    </w:rPr>
  </w:style>
  <w:style w:type="paragraph" w:customStyle="1" w:styleId="22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4">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kern w:val="0"/>
      <w:sz w:val="20"/>
      <w:szCs w:val="20"/>
    </w:rPr>
  </w:style>
  <w:style w:type="paragraph" w:customStyle="1" w:styleId="225">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6">
    <w:name w:val="xl74"/>
    <w:basedOn w:val="1"/>
    <w:autoRedefine/>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227">
    <w:name w:val="xl75"/>
    <w:basedOn w:val="1"/>
    <w:autoRedefine/>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228">
    <w:name w:val="xl76"/>
    <w:basedOn w:val="1"/>
    <w:autoRedefine/>
    <w:qFormat/>
    <w:uiPriority w:val="0"/>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229">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230">
    <w:name w:val="xl78"/>
    <w:basedOn w:val="1"/>
    <w:autoRedefine/>
    <w:qFormat/>
    <w:uiPriority w:val="0"/>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23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34">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5">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6">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8"/>
      <w:szCs w:val="28"/>
    </w:rPr>
  </w:style>
  <w:style w:type="paragraph" w:customStyle="1" w:styleId="23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3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39">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character" w:styleId="240">
    <w:name w:val="Placeholder Text"/>
    <w:basedOn w:val="49"/>
    <w:autoRedefine/>
    <w:semiHidden/>
    <w:qFormat/>
    <w:uiPriority w:val="99"/>
    <w:rPr>
      <w:color w:val="808080"/>
    </w:rPr>
  </w:style>
  <w:style w:type="paragraph" w:customStyle="1" w:styleId="241">
    <w:name w:val="修订6"/>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242">
    <w:name w:val="修订7"/>
    <w:autoRedefine/>
    <w:hidden/>
    <w:unhideWhenUsed/>
    <w:qFormat/>
    <w:uiPriority w:val="99"/>
    <w:rPr>
      <w:rFonts w:ascii="Times New Roman" w:hAnsi="Times New Roman" w:eastAsia="宋体" w:cs="Times New Roman"/>
      <w:kern w:val="2"/>
      <w:sz w:val="21"/>
      <w:szCs w:val="22"/>
      <w:lang w:val="en-US" w:eastAsia="zh-CN" w:bidi="ar-SA"/>
    </w:rPr>
  </w:style>
  <w:style w:type="paragraph" w:customStyle="1" w:styleId="243">
    <w:name w:val="修订8"/>
    <w:autoRedefine/>
    <w:hidden/>
    <w:unhideWhenUsed/>
    <w:qFormat/>
    <w:uiPriority w:val="99"/>
    <w:rPr>
      <w:rFonts w:ascii="Times New Roman" w:hAnsi="Times New Roman" w:eastAsia="宋体" w:cs="Times New Roman"/>
      <w:kern w:val="2"/>
      <w:sz w:val="21"/>
      <w:szCs w:val="22"/>
      <w:lang w:val="en-US" w:eastAsia="zh-CN" w:bidi="ar-SA"/>
    </w:rPr>
  </w:style>
  <w:style w:type="paragraph" w:customStyle="1" w:styleId="244">
    <w:name w:val="修订9"/>
    <w:autoRedefine/>
    <w:hidden/>
    <w:semiHidden/>
    <w:qFormat/>
    <w:uiPriority w:val="99"/>
    <w:rPr>
      <w:rFonts w:ascii="Times New Roman" w:hAnsi="Times New Roman" w:eastAsia="宋体" w:cs="Times New Roman"/>
      <w:kern w:val="2"/>
      <w:sz w:val="21"/>
      <w:szCs w:val="22"/>
      <w:lang w:val="en-US" w:eastAsia="zh-CN" w:bidi="ar-SA"/>
    </w:rPr>
  </w:style>
  <w:style w:type="character" w:customStyle="1" w:styleId="245">
    <w:name w:val="font41"/>
    <w:basedOn w:val="49"/>
    <w:autoRedefine/>
    <w:qFormat/>
    <w:uiPriority w:val="0"/>
    <w:rPr>
      <w:rFonts w:hint="eastAsia" w:ascii="宋体" w:hAnsi="宋体" w:eastAsia="宋体" w:cs="宋体"/>
      <w:color w:val="FF0000"/>
      <w:sz w:val="18"/>
      <w:szCs w:val="18"/>
      <w:u w:val="none"/>
    </w:rPr>
  </w:style>
  <w:style w:type="character" w:customStyle="1" w:styleId="246">
    <w:name w:val="font21"/>
    <w:basedOn w:val="49"/>
    <w:autoRedefine/>
    <w:qFormat/>
    <w:uiPriority w:val="0"/>
    <w:rPr>
      <w:rFonts w:hint="eastAsia" w:ascii="宋体" w:hAnsi="宋体" w:eastAsia="宋体" w:cs="宋体"/>
      <w:color w:val="000000"/>
      <w:sz w:val="18"/>
      <w:szCs w:val="18"/>
      <w:u w:val="none"/>
    </w:rPr>
  </w:style>
  <w:style w:type="character" w:customStyle="1" w:styleId="247">
    <w:name w:val="font31"/>
    <w:basedOn w:val="49"/>
    <w:autoRedefine/>
    <w:qFormat/>
    <w:uiPriority w:val="0"/>
    <w:rPr>
      <w:rFonts w:hint="eastAsia" w:ascii="宋体" w:hAnsi="宋体" w:eastAsia="宋体" w:cs="宋体"/>
      <w:color w:val="000000"/>
      <w:sz w:val="18"/>
      <w:szCs w:val="18"/>
      <w:u w:val="none"/>
    </w:rPr>
  </w:style>
  <w:style w:type="character" w:customStyle="1" w:styleId="248">
    <w:name w:val="font11"/>
    <w:basedOn w:val="49"/>
    <w:autoRedefine/>
    <w:qFormat/>
    <w:uiPriority w:val="0"/>
    <w:rPr>
      <w:rFonts w:hint="eastAsia" w:ascii="宋体" w:hAnsi="宋体" w:eastAsia="宋体" w:cs="宋体"/>
      <w:color w:val="FF0000"/>
      <w:sz w:val="18"/>
      <w:szCs w:val="18"/>
      <w:u w:val="none"/>
    </w:rPr>
  </w:style>
  <w:style w:type="character" w:customStyle="1" w:styleId="249">
    <w:name w:val="font01"/>
    <w:basedOn w:val="49"/>
    <w:autoRedefine/>
    <w:qFormat/>
    <w:uiPriority w:val="0"/>
    <w:rPr>
      <w:rFonts w:hint="eastAsia" w:ascii="宋体" w:hAnsi="宋体" w:eastAsia="宋体" w:cs="宋体"/>
      <w:color w:val="00B0F0"/>
      <w:sz w:val="18"/>
      <w:szCs w:val="18"/>
      <w:u w:val="none"/>
    </w:rPr>
  </w:style>
  <w:style w:type="paragraph" w:customStyle="1" w:styleId="250">
    <w:name w:val="修订10"/>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251">
    <w:name w:val="修订12"/>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252">
    <w:name w:val="正文文本缩进 New New"/>
    <w:basedOn w:val="1"/>
    <w:autoRedefine/>
    <w:qFormat/>
    <w:uiPriority w:val="0"/>
    <w:pPr>
      <w:spacing w:after="120"/>
      <w:ind w:left="420" w:leftChars="200"/>
    </w:pPr>
    <w:rPr>
      <w:rFonts w:eastAsia="楷体_GB231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3D4D3-95B8-4E71-B3D9-AFC71572C79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148</Pages>
  <Words>52568</Words>
  <Characters>54327</Characters>
  <Lines>1228</Lines>
  <Paragraphs>345</Paragraphs>
  <TotalTime>14</TotalTime>
  <ScaleCrop>false</ScaleCrop>
  <LinksUpToDate>false</LinksUpToDate>
  <CharactersWithSpaces>55092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2024-04-08T04:03:00Z</dcterms:created>
  <dc:creator>lenovo</dc:creator>
  <cp:lastModifiedBy>YIP</cp:lastModifiedBy>
  <cp:lastPrinted>2024-02-01T09:48:00Z</cp:lastPrinted>
  <dcterms:modified xsi:type="dcterms:W3CDTF">2025-07-24T06:52:28Z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76DF3BF435B9404FB35E060C68D85A01_13</vt:lpwstr>
  </property>
  <property fmtid="{D5CDD505-2E9C-101B-9397-08002B2CF9AE}" pid="4" name="KSOTemplateDocerSaveRecord">
    <vt:lpwstr>eyJoZGlkIjoiMzRkMzdiYWI4M2NlMzI0NzhkM2U4MDNkYTJiYTgwYjgiLCJ1c2VySWQiOiIzMjU5MTMwODYifQ==</vt:lpwstr>
  </property>
</Properties>
</file>