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85F3E">
      <w:pPr>
        <w:widowControl/>
        <w:wordWrap w:val="0"/>
        <w:spacing w:line="360" w:lineRule="auto"/>
        <w:jc w:val="center"/>
        <w:rPr>
          <w:rFonts w:hint="eastAsia" w:ascii="宋体" w:hAnsi="宋体" w:eastAsia="宋体" w:cs="宋体"/>
          <w:b/>
          <w:color w:val="auto"/>
          <w:kern w:val="2"/>
          <w:sz w:val="48"/>
          <w:szCs w:val="48"/>
          <w:highlight w:val="none"/>
          <w:lang w:val="en-US" w:eastAsia="zh-CN" w:bidi="ar-SA"/>
        </w:rPr>
      </w:pPr>
      <w:bookmarkStart w:id="0" w:name="_Hlk185499290"/>
      <w:bookmarkStart w:id="1" w:name="_Hlk183697409"/>
      <w:bookmarkStart w:id="2" w:name="OLE_LINK6"/>
    </w:p>
    <w:p w14:paraId="420C271D">
      <w:pPr>
        <w:widowControl/>
        <w:wordWrap w:val="0"/>
        <w:spacing w:line="360" w:lineRule="auto"/>
        <w:jc w:val="center"/>
        <w:rPr>
          <w:rFonts w:hint="eastAsia" w:ascii="宋体" w:hAnsi="宋体" w:eastAsia="宋体" w:cs="宋体"/>
          <w:b/>
          <w:color w:val="auto"/>
          <w:kern w:val="2"/>
          <w:sz w:val="48"/>
          <w:szCs w:val="48"/>
          <w:highlight w:val="none"/>
          <w:lang w:val="en-US" w:eastAsia="zh-CN" w:bidi="ar-SA"/>
        </w:rPr>
      </w:pPr>
      <w:r>
        <w:rPr>
          <w:rFonts w:hint="eastAsia" w:cs="宋体"/>
          <w:b/>
          <w:color w:val="auto"/>
          <w:kern w:val="2"/>
          <w:sz w:val="48"/>
          <w:szCs w:val="48"/>
          <w:highlight w:val="none"/>
          <w:lang w:val="en-US" w:eastAsia="zh-CN" w:bidi="ar-SA"/>
        </w:rPr>
        <w:t>广州市海珠区三滘村城中村改造项目S4地块安置物业建设项目监理</w:t>
      </w:r>
    </w:p>
    <w:bookmarkEnd w:id="0"/>
    <w:p w14:paraId="67456D7B">
      <w:pPr>
        <w:tabs>
          <w:tab w:val="left" w:pos="1118"/>
        </w:tabs>
        <w:wordWrap w:val="0"/>
        <w:spacing w:before="307" w:line="360" w:lineRule="auto"/>
        <w:ind w:right="453"/>
        <w:jc w:val="center"/>
        <w:rPr>
          <w:rFonts w:hint="eastAsia" w:ascii="宋体" w:hAnsi="宋体" w:eastAsia="宋体" w:cs="宋体"/>
          <w:b/>
          <w:color w:val="auto"/>
          <w:kern w:val="2"/>
          <w:sz w:val="44"/>
          <w:szCs w:val="44"/>
          <w:highlight w:val="none"/>
          <w:lang w:val="en-US" w:bidi="ar-SA"/>
        </w:rPr>
      </w:pPr>
    </w:p>
    <w:p w14:paraId="6D8601BD">
      <w:pPr>
        <w:tabs>
          <w:tab w:val="left" w:pos="1118"/>
        </w:tabs>
        <w:wordWrap w:val="0"/>
        <w:spacing w:before="307" w:line="360" w:lineRule="auto"/>
        <w:ind w:right="453"/>
        <w:jc w:val="center"/>
        <w:rPr>
          <w:rFonts w:hint="eastAsia" w:ascii="宋体" w:hAnsi="宋体" w:eastAsia="宋体" w:cs="宋体"/>
          <w:b/>
          <w:color w:val="auto"/>
          <w:kern w:val="2"/>
          <w:sz w:val="44"/>
          <w:szCs w:val="44"/>
          <w:highlight w:val="none"/>
          <w:lang w:val="en-US" w:bidi="ar-SA"/>
        </w:rPr>
      </w:pPr>
    </w:p>
    <w:p w14:paraId="48FDABBE">
      <w:pPr>
        <w:tabs>
          <w:tab w:val="left" w:pos="1118"/>
        </w:tabs>
        <w:wordWrap w:val="0"/>
        <w:spacing w:before="307" w:line="360" w:lineRule="auto"/>
        <w:ind w:right="453"/>
        <w:jc w:val="both"/>
        <w:rPr>
          <w:rFonts w:hint="eastAsia" w:ascii="宋体" w:hAnsi="宋体" w:eastAsia="宋体" w:cs="宋体"/>
          <w:b/>
          <w:color w:val="auto"/>
          <w:kern w:val="2"/>
          <w:sz w:val="44"/>
          <w:szCs w:val="44"/>
          <w:highlight w:val="none"/>
          <w:lang w:val="en-US" w:bidi="ar-SA"/>
        </w:rPr>
      </w:pPr>
    </w:p>
    <w:p w14:paraId="46B26A12">
      <w:pPr>
        <w:tabs>
          <w:tab w:val="left" w:pos="1118"/>
        </w:tabs>
        <w:wordWrap w:val="0"/>
        <w:spacing w:before="307" w:line="360" w:lineRule="auto"/>
        <w:ind w:right="453"/>
        <w:jc w:val="center"/>
        <w:rPr>
          <w:rFonts w:hint="eastAsia" w:ascii="宋体" w:hAnsi="宋体" w:eastAsia="宋体" w:cs="宋体"/>
          <w:b/>
          <w:color w:val="auto"/>
          <w:spacing w:val="26"/>
          <w:kern w:val="2"/>
          <w:sz w:val="110"/>
          <w:highlight w:val="none"/>
          <w:lang w:val="en-US" w:bidi="ar-SA"/>
        </w:rPr>
      </w:pPr>
      <w:r>
        <w:rPr>
          <w:rFonts w:hint="eastAsia" w:ascii="宋体" w:hAnsi="宋体" w:eastAsia="宋体" w:cs="宋体"/>
          <w:b/>
          <w:color w:val="auto"/>
          <w:spacing w:val="26"/>
          <w:kern w:val="2"/>
          <w:sz w:val="110"/>
          <w:highlight w:val="none"/>
          <w:lang w:val="en-US" w:bidi="ar-SA"/>
        </w:rPr>
        <w:t>招标公告</w:t>
      </w:r>
    </w:p>
    <w:p w14:paraId="459C0A68">
      <w:pPr>
        <w:tabs>
          <w:tab w:val="left" w:pos="1118"/>
        </w:tabs>
        <w:wordWrap w:val="0"/>
        <w:spacing w:before="307" w:line="360" w:lineRule="auto"/>
        <w:ind w:right="453"/>
        <w:jc w:val="center"/>
        <w:rPr>
          <w:rFonts w:hint="eastAsia" w:ascii="宋体" w:hAnsi="宋体" w:eastAsia="宋体" w:cs="宋体"/>
          <w:b/>
          <w:color w:val="auto"/>
          <w:spacing w:val="26"/>
          <w:kern w:val="2"/>
          <w:sz w:val="110"/>
          <w:highlight w:val="none"/>
          <w:lang w:val="en-US" w:bidi="ar-SA"/>
        </w:rPr>
      </w:pPr>
    </w:p>
    <w:p w14:paraId="0E4817C5">
      <w:pPr>
        <w:tabs>
          <w:tab w:val="left" w:pos="1118"/>
        </w:tabs>
        <w:wordWrap w:val="0"/>
        <w:spacing w:before="307" w:line="360" w:lineRule="auto"/>
        <w:ind w:right="453"/>
        <w:jc w:val="center"/>
        <w:rPr>
          <w:rFonts w:hint="eastAsia" w:ascii="宋体" w:hAnsi="宋体" w:eastAsia="宋体" w:cs="宋体"/>
          <w:b/>
          <w:color w:val="auto"/>
          <w:spacing w:val="26"/>
          <w:kern w:val="2"/>
          <w:sz w:val="110"/>
          <w:highlight w:val="none"/>
          <w:lang w:val="en-US" w:bidi="ar-SA"/>
        </w:rPr>
      </w:pPr>
    </w:p>
    <w:p w14:paraId="7EC487D3">
      <w:pPr>
        <w:wordWrap w:val="0"/>
        <w:spacing w:line="360" w:lineRule="auto"/>
        <w:ind w:firstLine="945"/>
        <w:rPr>
          <w:rFonts w:hint="eastAsia" w:ascii="宋体" w:hAnsi="宋体" w:eastAsia="宋体" w:cs="宋体"/>
          <w:color w:val="auto"/>
          <w:sz w:val="30"/>
          <w:highlight w:val="none"/>
        </w:rPr>
      </w:pPr>
    </w:p>
    <w:p w14:paraId="549BB0BF">
      <w:pPr>
        <w:wordWrap w:val="0"/>
        <w:spacing w:line="360" w:lineRule="auto"/>
        <w:ind w:firstLine="94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lang w:val="en-US"/>
        </w:rPr>
        <w:t>招   标   人</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广州新中轴海珠片区城市更新有限公司</w:t>
      </w:r>
    </w:p>
    <w:p w14:paraId="73D87C68">
      <w:pPr>
        <w:wordWrap w:val="0"/>
        <w:spacing w:line="360" w:lineRule="auto"/>
        <w:ind w:firstLine="945"/>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rPr>
        <w:t>招标代理单位：</w:t>
      </w:r>
      <w:r>
        <w:rPr>
          <w:rFonts w:hint="eastAsia" w:ascii="宋体" w:hAnsi="宋体" w:eastAsia="宋体" w:cs="宋体"/>
          <w:color w:val="auto"/>
          <w:sz w:val="30"/>
          <w:highlight w:val="none"/>
          <w:u w:val="single"/>
          <w:lang w:val="en-US" w:eastAsia="zh-CN"/>
        </w:rPr>
        <w:t>北京中交建设工程咨询有限公司</w:t>
      </w:r>
    </w:p>
    <w:p w14:paraId="532986A2">
      <w:pPr>
        <w:wordWrap w:val="0"/>
        <w:spacing w:line="360" w:lineRule="auto"/>
        <w:ind w:firstLine="945"/>
        <w:rPr>
          <w:rFonts w:hint="eastAsia" w:ascii="宋体" w:hAnsi="宋体" w:eastAsia="宋体" w:cs="宋体"/>
          <w:b/>
          <w:color w:val="auto"/>
          <w:spacing w:val="26"/>
          <w:kern w:val="2"/>
          <w:sz w:val="110"/>
          <w:highlight w:val="none"/>
          <w:u w:val="single"/>
          <w:lang w:val="en-US" w:bidi="ar-SA"/>
        </w:rPr>
      </w:pPr>
      <w:r>
        <w:rPr>
          <w:rFonts w:hint="eastAsia" w:ascii="宋体" w:hAnsi="宋体" w:eastAsia="宋体" w:cs="宋体"/>
          <w:color w:val="auto"/>
          <w:sz w:val="32"/>
          <w:highlight w:val="none"/>
        </w:rPr>
        <w:t>日       期：</w:t>
      </w:r>
      <w:r>
        <w:rPr>
          <w:rFonts w:hint="eastAsia" w:ascii="宋体" w:hAnsi="宋体" w:eastAsia="宋体" w:cs="宋体"/>
          <w:color w:val="auto"/>
          <w:sz w:val="30"/>
          <w:highlight w:val="none"/>
          <w:u w:val="single"/>
        </w:rPr>
        <w:t>202</w:t>
      </w:r>
      <w:r>
        <w:rPr>
          <w:rFonts w:hint="eastAsia" w:ascii="宋体" w:hAnsi="宋体" w:eastAsia="宋体" w:cs="宋体"/>
          <w:color w:val="auto"/>
          <w:sz w:val="30"/>
          <w:highlight w:val="none"/>
          <w:u w:val="single"/>
          <w:lang w:val="en-US"/>
        </w:rPr>
        <w:t>5</w:t>
      </w:r>
      <w:r>
        <w:rPr>
          <w:rFonts w:hint="eastAsia" w:ascii="宋体" w:hAnsi="宋体" w:eastAsia="宋体" w:cs="宋体"/>
          <w:color w:val="auto"/>
          <w:sz w:val="30"/>
          <w:highlight w:val="none"/>
          <w:u w:val="single"/>
        </w:rPr>
        <w:t>年</w:t>
      </w:r>
      <w:r>
        <w:rPr>
          <w:rFonts w:hint="eastAsia" w:cs="宋体"/>
          <w:color w:val="auto"/>
          <w:sz w:val="30"/>
          <w:highlight w:val="none"/>
          <w:u w:val="single"/>
          <w:lang w:val="en-US" w:eastAsia="zh-CN"/>
        </w:rPr>
        <w:t>7</w:t>
      </w:r>
      <w:r>
        <w:rPr>
          <w:rFonts w:hint="eastAsia" w:ascii="宋体" w:hAnsi="宋体" w:eastAsia="宋体" w:cs="宋体"/>
          <w:color w:val="auto"/>
          <w:sz w:val="30"/>
          <w:highlight w:val="none"/>
          <w:u w:val="single"/>
        </w:rPr>
        <w:t>月</w:t>
      </w:r>
    </w:p>
    <w:bookmarkEnd w:id="1"/>
    <w:p w14:paraId="7B1EE192">
      <w:pPr>
        <w:pStyle w:val="8"/>
        <w:wordWrap w:val="0"/>
        <w:spacing w:line="360" w:lineRule="auto"/>
        <w:jc w:val="center"/>
        <w:rPr>
          <w:rFonts w:hint="eastAsia" w:ascii="宋体" w:hAnsi="宋体" w:eastAsia="宋体" w:cs="宋体"/>
          <w:b/>
          <w:color w:val="auto"/>
          <w:kern w:val="2"/>
          <w:sz w:val="32"/>
          <w:szCs w:val="32"/>
          <w:highlight w:val="none"/>
          <w:lang w:val="en-US"/>
        </w:rPr>
        <w:sectPr>
          <w:footerReference r:id="rId3" w:type="default"/>
          <w:pgSz w:w="11906" w:h="16838"/>
          <w:pgMar w:top="1440" w:right="1083" w:bottom="1440" w:left="1083" w:header="851" w:footer="992" w:gutter="0"/>
          <w:cols w:space="0" w:num="1"/>
          <w:titlePg/>
          <w:rtlGutter w:val="0"/>
          <w:docGrid w:type="lines" w:linePitch="312" w:charSpace="0"/>
        </w:sectPr>
      </w:pPr>
    </w:p>
    <w:bookmarkEnd w:id="2"/>
    <w:p w14:paraId="6AC08D61">
      <w:pPr>
        <w:pStyle w:val="8"/>
        <w:wordWrap w:val="0"/>
        <w:spacing w:line="360" w:lineRule="auto"/>
        <w:jc w:val="center"/>
        <w:rPr>
          <w:rFonts w:hint="eastAsia" w:ascii="宋体" w:hAnsi="宋体" w:eastAsia="宋体" w:cs="宋体"/>
          <w:b/>
          <w:color w:val="auto"/>
          <w:kern w:val="2"/>
          <w:sz w:val="28"/>
          <w:szCs w:val="28"/>
          <w:highlight w:val="none"/>
          <w:lang w:eastAsia="zh-CN"/>
        </w:rPr>
      </w:pPr>
      <w:r>
        <w:rPr>
          <w:rFonts w:hint="eastAsia" w:cs="宋体"/>
          <w:b/>
          <w:color w:val="auto"/>
          <w:kern w:val="2"/>
          <w:sz w:val="28"/>
          <w:szCs w:val="28"/>
          <w:highlight w:val="none"/>
          <w:lang w:val="en-US" w:eastAsia="zh-CN"/>
        </w:rPr>
        <w:t>广州市海珠区三滘村城中村改造项目S4地块安置物业建设项目监理</w:t>
      </w:r>
    </w:p>
    <w:p w14:paraId="77FCBF71">
      <w:pPr>
        <w:pStyle w:val="8"/>
        <w:wordWrap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kern w:val="2"/>
          <w:sz w:val="28"/>
          <w:szCs w:val="28"/>
          <w:highlight w:val="none"/>
        </w:rPr>
        <w:t>招标公告</w:t>
      </w:r>
    </w:p>
    <w:p w14:paraId="36493FE6">
      <w:pPr>
        <w:pStyle w:val="21"/>
        <w:numPr>
          <w:ilvl w:val="0"/>
          <w:numId w:val="2"/>
        </w:numPr>
        <w:tabs>
          <w:tab w:val="left" w:pos="642"/>
        </w:tabs>
        <w:wordWrap w:val="0"/>
        <w:snapToGrid w:val="0"/>
        <w:spacing w:line="360" w:lineRule="auto"/>
        <w:ind w:left="0" w:firstLine="0"/>
        <w:rPr>
          <w:rFonts w:hint="eastAsia" w:ascii="宋体" w:hAnsi="宋体" w:eastAsia="宋体" w:cs="宋体"/>
          <w:b/>
          <w:color w:val="auto"/>
          <w:sz w:val="32"/>
          <w:highlight w:val="none"/>
        </w:rPr>
      </w:pPr>
      <w:bookmarkStart w:id="3" w:name="_bookmark2"/>
      <w:bookmarkEnd w:id="3"/>
      <w:r>
        <w:rPr>
          <w:rFonts w:hint="eastAsia" w:ascii="宋体" w:hAnsi="宋体" w:eastAsia="宋体" w:cs="宋体"/>
          <w:b/>
          <w:color w:val="auto"/>
          <w:sz w:val="32"/>
          <w:highlight w:val="none"/>
        </w:rPr>
        <w:t>招标条件</w:t>
      </w:r>
    </w:p>
    <w:p w14:paraId="3325191F">
      <w:pPr>
        <w:pStyle w:val="21"/>
        <w:tabs>
          <w:tab w:val="left" w:pos="642"/>
        </w:tabs>
        <w:wordWrap w:val="0"/>
        <w:autoSpaceDE/>
        <w:autoSpaceDN/>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lang w:val="en-US"/>
        </w:rPr>
        <w:t>广州市海珠区三滘村城中村改造项目</w:t>
      </w:r>
      <w:r>
        <w:rPr>
          <w:rFonts w:hint="eastAsia" w:ascii="宋体" w:hAnsi="宋体" w:eastAsia="宋体" w:cs="宋体"/>
          <w:color w:val="auto"/>
          <w:sz w:val="24"/>
          <w:szCs w:val="24"/>
          <w:highlight w:val="none"/>
        </w:rPr>
        <w:t>已</w:t>
      </w:r>
      <w:r>
        <w:rPr>
          <w:rFonts w:hint="eastAsia" w:ascii="宋体" w:hAnsi="宋体" w:eastAsia="宋体" w:cs="宋体"/>
          <w:color w:val="auto"/>
          <w:sz w:val="24"/>
          <w:szCs w:val="24"/>
          <w:highlight w:val="none"/>
          <w:lang w:val="en-US"/>
        </w:rPr>
        <w:t>由</w:t>
      </w:r>
      <w:r>
        <w:rPr>
          <w:rFonts w:hint="eastAsia" w:ascii="宋体" w:hAnsi="宋体" w:eastAsia="宋体" w:cs="宋体"/>
          <w:color w:val="auto"/>
          <w:sz w:val="24"/>
          <w:highlight w:val="none"/>
          <w:u w:val="single"/>
        </w:rPr>
        <w:t>广州市海珠区发展和改革局</w:t>
      </w:r>
      <w:r>
        <w:rPr>
          <w:rFonts w:hint="eastAsia" w:ascii="宋体" w:hAnsi="宋体" w:eastAsia="宋体" w:cs="宋体"/>
          <w:color w:val="auto"/>
          <w:sz w:val="24"/>
          <w:highlight w:val="none"/>
          <w:lang w:val="en-US"/>
        </w:rPr>
        <w:t>以</w:t>
      </w:r>
      <w:r>
        <w:rPr>
          <w:rFonts w:hint="eastAsia" w:ascii="宋体" w:hAnsi="宋体" w:eastAsia="宋体" w:cs="宋体"/>
          <w:color w:val="auto"/>
          <w:sz w:val="24"/>
          <w:highlight w:val="none"/>
          <w:u w:val="single"/>
          <w:lang w:val="en-US"/>
        </w:rPr>
        <w:t>广东省企业投资项目备案证（项目代码：2409-440105-04-01-865277、2504-440105-04-01-310590</w:t>
      </w:r>
      <w:r>
        <w:rPr>
          <w:rFonts w:hint="eastAsia" w:ascii="宋体" w:hAnsi="宋体" w:eastAsia="宋体" w:cs="宋体"/>
          <w:color w:val="auto"/>
          <w:sz w:val="24"/>
          <w:highlight w:val="none"/>
          <w:u w:val="single"/>
        </w:rPr>
        <w:t>）</w:t>
      </w:r>
      <w:r>
        <w:rPr>
          <w:rFonts w:hint="eastAsia" w:ascii="宋体" w:hAnsi="宋体" w:eastAsia="宋体" w:cs="宋体"/>
          <w:color w:val="auto"/>
          <w:spacing w:val="-3"/>
          <w:sz w:val="24"/>
          <w:szCs w:val="24"/>
          <w:highlight w:val="none"/>
        </w:rPr>
        <w:t>批</w:t>
      </w:r>
      <w:r>
        <w:rPr>
          <w:rFonts w:hint="eastAsia" w:ascii="宋体" w:hAnsi="宋体" w:eastAsia="宋体" w:cs="宋体"/>
          <w:color w:val="auto"/>
          <w:sz w:val="24"/>
          <w:szCs w:val="24"/>
          <w:highlight w:val="none"/>
        </w:rPr>
        <w:t>准建</w:t>
      </w:r>
      <w:r>
        <w:rPr>
          <w:rFonts w:hint="eastAsia" w:ascii="宋体" w:hAnsi="宋体" w:eastAsia="宋体" w:cs="宋体"/>
          <w:color w:val="auto"/>
          <w:spacing w:val="-3"/>
          <w:sz w:val="24"/>
          <w:szCs w:val="24"/>
          <w:highlight w:val="none"/>
        </w:rPr>
        <w:t>设</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lang w:val="en-US"/>
        </w:rPr>
        <w:t>招标人</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广州新中轴海珠片区城市更新有限公司</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建</w:t>
      </w:r>
      <w:r>
        <w:rPr>
          <w:rFonts w:hint="eastAsia" w:ascii="宋体" w:hAnsi="宋体" w:eastAsia="宋体" w:cs="宋体"/>
          <w:color w:val="auto"/>
          <w:spacing w:val="-3"/>
          <w:sz w:val="24"/>
          <w:szCs w:val="24"/>
          <w:highlight w:val="none"/>
        </w:rPr>
        <w:t>设</w:t>
      </w:r>
      <w:r>
        <w:rPr>
          <w:rFonts w:hint="eastAsia" w:ascii="宋体" w:hAnsi="宋体" w:eastAsia="宋体" w:cs="宋体"/>
          <w:color w:val="auto"/>
          <w:sz w:val="24"/>
          <w:szCs w:val="24"/>
          <w:highlight w:val="none"/>
        </w:rPr>
        <w:t>资</w:t>
      </w:r>
      <w:r>
        <w:rPr>
          <w:rFonts w:hint="eastAsia" w:ascii="宋体" w:hAnsi="宋体" w:eastAsia="宋体" w:cs="宋体"/>
          <w:color w:val="auto"/>
          <w:spacing w:val="-3"/>
          <w:sz w:val="24"/>
          <w:szCs w:val="24"/>
          <w:highlight w:val="none"/>
        </w:rPr>
        <w:t>金</w:t>
      </w:r>
      <w:r>
        <w:rPr>
          <w:rFonts w:hint="eastAsia" w:ascii="宋体" w:hAnsi="宋体" w:eastAsia="宋体" w:cs="宋体"/>
          <w:color w:val="auto"/>
          <w:spacing w:val="-3"/>
          <w:sz w:val="24"/>
          <w:szCs w:val="24"/>
          <w:highlight w:val="none"/>
          <w:lang w:val="en-US"/>
        </w:rPr>
        <w:t>为</w:t>
      </w:r>
      <w:bookmarkStart w:id="4" w:name="_Hlk183697153"/>
      <w:r>
        <w:rPr>
          <w:rFonts w:hint="eastAsia" w:ascii="宋体" w:hAnsi="宋体" w:eastAsia="宋体" w:cs="宋体"/>
          <w:color w:val="auto"/>
          <w:sz w:val="24"/>
          <w:highlight w:val="none"/>
          <w:u w:val="single"/>
        </w:rPr>
        <w:t>城中村专项借款和自筹资金等</w:t>
      </w:r>
      <w:bookmarkEnd w:id="4"/>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项目</w:t>
      </w:r>
      <w:r>
        <w:rPr>
          <w:rFonts w:hint="eastAsia" w:ascii="宋体" w:hAnsi="宋体" w:eastAsia="宋体" w:cs="宋体"/>
          <w:color w:val="auto"/>
          <w:spacing w:val="-3"/>
          <w:sz w:val="24"/>
          <w:szCs w:val="24"/>
          <w:highlight w:val="none"/>
        </w:rPr>
        <w:t>已</w:t>
      </w:r>
      <w:r>
        <w:rPr>
          <w:rFonts w:hint="eastAsia" w:ascii="宋体" w:hAnsi="宋体" w:eastAsia="宋体" w:cs="宋体"/>
          <w:color w:val="auto"/>
          <w:sz w:val="24"/>
          <w:szCs w:val="24"/>
          <w:highlight w:val="none"/>
        </w:rPr>
        <w:t>具</w:t>
      </w:r>
      <w:r>
        <w:rPr>
          <w:rFonts w:hint="eastAsia" w:ascii="宋体" w:hAnsi="宋体" w:eastAsia="宋体" w:cs="宋体"/>
          <w:color w:val="auto"/>
          <w:spacing w:val="-3"/>
          <w:sz w:val="24"/>
          <w:szCs w:val="24"/>
          <w:highlight w:val="none"/>
        </w:rPr>
        <w:t>备招</w:t>
      </w:r>
      <w:r>
        <w:rPr>
          <w:rFonts w:hint="eastAsia" w:ascii="宋体" w:hAnsi="宋体" w:eastAsia="宋体" w:cs="宋体"/>
          <w:color w:val="auto"/>
          <w:spacing w:val="-15"/>
          <w:sz w:val="24"/>
          <w:szCs w:val="24"/>
          <w:highlight w:val="none"/>
        </w:rPr>
        <w:t>标</w:t>
      </w:r>
      <w:r>
        <w:rPr>
          <w:rFonts w:hint="eastAsia" w:ascii="宋体" w:hAnsi="宋体" w:eastAsia="宋体" w:cs="宋体"/>
          <w:color w:val="auto"/>
          <w:sz w:val="24"/>
          <w:szCs w:val="24"/>
          <w:highlight w:val="none"/>
        </w:rPr>
        <w:t>条件</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现</w:t>
      </w:r>
      <w:r>
        <w:rPr>
          <w:rFonts w:hint="eastAsia" w:ascii="宋体" w:hAnsi="宋体" w:eastAsia="宋体" w:cs="宋体"/>
          <w:color w:val="auto"/>
          <w:spacing w:val="-3"/>
          <w:sz w:val="24"/>
          <w:szCs w:val="24"/>
          <w:highlight w:val="none"/>
        </w:rPr>
        <w:t>对</w:t>
      </w:r>
      <w:r>
        <w:rPr>
          <w:rFonts w:hint="eastAsia" w:ascii="宋体" w:hAnsi="宋体" w:eastAsia="宋体" w:cs="宋体"/>
          <w:color w:val="auto"/>
          <w:sz w:val="24"/>
          <w:szCs w:val="24"/>
          <w:highlight w:val="none"/>
        </w:rPr>
        <w:t>该</w:t>
      </w:r>
      <w:r>
        <w:rPr>
          <w:rFonts w:hint="eastAsia" w:ascii="宋体" w:hAnsi="宋体" w:eastAsia="宋体" w:cs="宋体"/>
          <w:color w:val="auto"/>
          <w:spacing w:val="-3"/>
          <w:sz w:val="24"/>
          <w:szCs w:val="24"/>
          <w:highlight w:val="none"/>
        </w:rPr>
        <w:t>项</w:t>
      </w:r>
      <w:r>
        <w:rPr>
          <w:rFonts w:hint="eastAsia" w:ascii="宋体" w:hAnsi="宋体" w:eastAsia="宋体" w:cs="宋体"/>
          <w:color w:val="auto"/>
          <w:sz w:val="24"/>
          <w:szCs w:val="24"/>
          <w:highlight w:val="none"/>
        </w:rPr>
        <w:t>目</w:t>
      </w:r>
      <w:r>
        <w:rPr>
          <w:rFonts w:hint="eastAsia" w:ascii="宋体" w:hAnsi="宋体" w:eastAsia="宋体" w:cs="宋体"/>
          <w:color w:val="auto"/>
          <w:spacing w:val="-3"/>
          <w:sz w:val="24"/>
          <w:szCs w:val="24"/>
          <w:highlight w:val="none"/>
        </w:rPr>
        <w:t>的</w:t>
      </w:r>
      <w:r>
        <w:rPr>
          <w:rFonts w:hint="eastAsia" w:ascii="宋体" w:hAnsi="宋体" w:eastAsia="宋体" w:cs="宋体"/>
          <w:color w:val="auto"/>
          <w:sz w:val="24"/>
          <w:szCs w:val="24"/>
          <w:highlight w:val="none"/>
          <w:u w:val="single"/>
        </w:rPr>
        <w:t>监理</w:t>
      </w:r>
      <w:r>
        <w:rPr>
          <w:rFonts w:hint="eastAsia" w:ascii="宋体" w:hAnsi="宋体" w:eastAsia="宋体" w:cs="宋体"/>
          <w:color w:val="auto"/>
          <w:sz w:val="24"/>
          <w:szCs w:val="24"/>
          <w:highlight w:val="none"/>
        </w:rPr>
        <w:t>进行</w:t>
      </w:r>
      <w:r>
        <w:rPr>
          <w:rFonts w:hint="eastAsia" w:ascii="宋体" w:hAnsi="宋体" w:eastAsia="宋体" w:cs="宋体"/>
          <w:color w:val="auto"/>
          <w:spacing w:val="-3"/>
          <w:sz w:val="24"/>
          <w:szCs w:val="24"/>
          <w:highlight w:val="none"/>
        </w:rPr>
        <w:t>公</w:t>
      </w:r>
      <w:r>
        <w:rPr>
          <w:rFonts w:hint="eastAsia" w:ascii="宋体" w:hAnsi="宋体" w:eastAsia="宋体" w:cs="宋体"/>
          <w:color w:val="auto"/>
          <w:sz w:val="24"/>
          <w:szCs w:val="24"/>
          <w:highlight w:val="none"/>
        </w:rPr>
        <w:t>开</w:t>
      </w:r>
      <w:r>
        <w:rPr>
          <w:rFonts w:hint="eastAsia" w:ascii="宋体" w:hAnsi="宋体" w:eastAsia="宋体" w:cs="宋体"/>
          <w:color w:val="auto"/>
          <w:spacing w:val="-3"/>
          <w:sz w:val="24"/>
          <w:szCs w:val="24"/>
          <w:highlight w:val="none"/>
        </w:rPr>
        <w:t>招</w:t>
      </w:r>
      <w:r>
        <w:rPr>
          <w:rFonts w:hint="eastAsia" w:ascii="宋体" w:hAnsi="宋体" w:eastAsia="宋体" w:cs="宋体"/>
          <w:color w:val="auto"/>
          <w:sz w:val="24"/>
          <w:szCs w:val="24"/>
          <w:highlight w:val="none"/>
        </w:rPr>
        <w:t>标。</w:t>
      </w:r>
    </w:p>
    <w:p w14:paraId="31418770">
      <w:pPr>
        <w:pStyle w:val="21"/>
        <w:numPr>
          <w:ilvl w:val="0"/>
          <w:numId w:val="2"/>
        </w:numPr>
        <w:tabs>
          <w:tab w:val="left" w:pos="642"/>
        </w:tabs>
        <w:wordWrap w:val="0"/>
        <w:snapToGrid w:val="0"/>
        <w:spacing w:line="360" w:lineRule="auto"/>
        <w:ind w:left="0" w:firstLine="0"/>
        <w:rPr>
          <w:rFonts w:hint="eastAsia" w:ascii="宋体" w:hAnsi="宋体" w:eastAsia="宋体" w:cs="宋体"/>
          <w:b/>
          <w:color w:val="auto"/>
          <w:sz w:val="32"/>
          <w:highlight w:val="none"/>
        </w:rPr>
      </w:pPr>
      <w:bookmarkStart w:id="5" w:name="_bookmark3"/>
      <w:bookmarkEnd w:id="5"/>
      <w:r>
        <w:rPr>
          <w:rFonts w:hint="eastAsia" w:ascii="宋体" w:hAnsi="宋体" w:eastAsia="宋体" w:cs="宋体"/>
          <w:b/>
          <w:color w:val="auto"/>
          <w:sz w:val="32"/>
          <w:highlight w:val="none"/>
        </w:rPr>
        <w:t xml:space="preserve">项目概况与招标范围 </w:t>
      </w:r>
    </w:p>
    <w:p w14:paraId="39F5B0F9">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招标项目概况</w:t>
      </w:r>
    </w:p>
    <w:p w14:paraId="21931FC5">
      <w:pPr>
        <w:wordWrap w:val="0"/>
        <w:autoSpaceDE/>
        <w:autoSpaceDN/>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rPr>
        <w:t>2.1.1</w:t>
      </w:r>
      <w:r>
        <w:rPr>
          <w:rFonts w:hint="eastAsia" w:ascii="宋体" w:hAnsi="宋体" w:eastAsia="宋体" w:cs="宋体"/>
          <w:color w:val="auto"/>
          <w:sz w:val="24"/>
          <w:szCs w:val="24"/>
          <w:highlight w:val="none"/>
        </w:rPr>
        <w:t>招标项目名称：</w:t>
      </w:r>
      <w:r>
        <w:rPr>
          <w:rFonts w:hint="eastAsia" w:cs="宋体"/>
          <w:color w:val="auto"/>
          <w:sz w:val="24"/>
          <w:szCs w:val="24"/>
          <w:highlight w:val="none"/>
          <w:u w:val="single"/>
          <w:lang w:val="en-US" w:eastAsia="zh-CN"/>
        </w:rPr>
        <w:t>广州市海珠区三滘村城中村改造项目S4地块安置物业建设项目监理</w:t>
      </w:r>
    </w:p>
    <w:p w14:paraId="7E35A41D">
      <w:pPr>
        <w:wordWrap w:val="0"/>
        <w:adjustRightInd w:val="0"/>
        <w:snapToGrid w:val="0"/>
        <w:spacing w:line="360" w:lineRule="auto"/>
        <w:ind w:firstLine="426"/>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en-US"/>
        </w:rPr>
        <w:t>2.1.2</w:t>
      </w:r>
      <w:r>
        <w:rPr>
          <w:rFonts w:hint="eastAsia" w:ascii="宋体" w:hAnsi="宋体" w:eastAsia="宋体" w:cs="宋体"/>
          <w:color w:val="auto"/>
          <w:sz w:val="24"/>
          <w:szCs w:val="24"/>
          <w:highlight w:val="none"/>
        </w:rPr>
        <w:t>工程建设规模：</w:t>
      </w:r>
      <w:r>
        <w:rPr>
          <w:rFonts w:hint="eastAsia" w:ascii="宋体" w:hAnsi="宋体" w:eastAsia="宋体" w:cs="宋体"/>
          <w:color w:val="auto"/>
          <w:sz w:val="24"/>
          <w:szCs w:val="24"/>
          <w:highlight w:val="none"/>
          <w:u w:val="single"/>
          <w:lang w:eastAsia="zh-CN"/>
        </w:rPr>
        <w:t>三滘村S4地块安置房项目</w:t>
      </w:r>
      <w:r>
        <w:rPr>
          <w:rFonts w:hint="eastAsia" w:ascii="宋体" w:hAnsi="宋体" w:eastAsia="宋体" w:cs="宋体"/>
          <w:color w:val="auto"/>
          <w:sz w:val="24"/>
          <w:szCs w:val="24"/>
          <w:highlight w:val="none"/>
          <w:u w:val="single"/>
        </w:rPr>
        <w:t>用地面积</w:t>
      </w:r>
      <w:r>
        <w:rPr>
          <w:rFonts w:hint="eastAsia" w:ascii="宋体" w:hAnsi="宋体" w:eastAsia="宋体" w:cs="宋体"/>
          <w:color w:val="auto"/>
          <w:sz w:val="24"/>
          <w:szCs w:val="24"/>
          <w:highlight w:val="none"/>
          <w:u w:val="single"/>
          <w:lang w:val="en-US" w:eastAsia="zh-CN"/>
        </w:rPr>
        <w:t>15739</w:t>
      </w:r>
      <w:r>
        <w:rPr>
          <w:rFonts w:hint="eastAsia" w:ascii="宋体" w:hAnsi="宋体" w:eastAsia="宋体" w:cs="宋体"/>
          <w:color w:val="auto"/>
          <w:sz w:val="24"/>
          <w:szCs w:val="24"/>
          <w:highlight w:val="none"/>
          <w:u w:val="single"/>
        </w:rPr>
        <w:t>平方米，可建设用地面积</w:t>
      </w:r>
      <w:r>
        <w:rPr>
          <w:rFonts w:hint="eastAsia" w:ascii="宋体" w:hAnsi="宋体" w:eastAsia="宋体" w:cs="宋体"/>
          <w:color w:val="auto"/>
          <w:sz w:val="24"/>
          <w:szCs w:val="24"/>
          <w:highlight w:val="none"/>
          <w:u w:val="single"/>
          <w:lang w:val="en-US" w:eastAsia="zh-CN"/>
        </w:rPr>
        <w:t>12981</w:t>
      </w:r>
      <w:r>
        <w:rPr>
          <w:rFonts w:hint="eastAsia" w:ascii="宋体" w:hAnsi="宋体" w:eastAsia="宋体" w:cs="宋体"/>
          <w:color w:val="auto"/>
          <w:sz w:val="24"/>
          <w:szCs w:val="24"/>
          <w:highlight w:val="none"/>
          <w:u w:val="single"/>
        </w:rPr>
        <w:t>平方米。建筑面积</w:t>
      </w:r>
      <w:r>
        <w:rPr>
          <w:rFonts w:hint="eastAsia" w:ascii="宋体" w:hAnsi="宋体" w:eastAsia="宋体" w:cs="宋体"/>
          <w:color w:val="auto"/>
          <w:sz w:val="24"/>
          <w:szCs w:val="24"/>
          <w:highlight w:val="none"/>
          <w:u w:val="single"/>
          <w:lang w:eastAsia="zh-CN"/>
        </w:rPr>
        <w:t>277823</w:t>
      </w:r>
      <w:r>
        <w:rPr>
          <w:rFonts w:hint="eastAsia" w:ascii="宋体" w:hAnsi="宋体" w:eastAsia="宋体" w:cs="宋体"/>
          <w:color w:val="auto"/>
          <w:sz w:val="24"/>
          <w:szCs w:val="24"/>
          <w:highlight w:val="none"/>
          <w:u w:val="single"/>
        </w:rPr>
        <w:t>平方米。计容面积176200平方米（含产业用房面积174710平方米、配套公建1490平方米），不计容面积</w:t>
      </w:r>
      <w:r>
        <w:rPr>
          <w:rFonts w:hint="eastAsia" w:ascii="宋体" w:hAnsi="宋体" w:eastAsia="宋体" w:cs="宋体"/>
          <w:color w:val="auto"/>
          <w:sz w:val="24"/>
          <w:szCs w:val="24"/>
          <w:highlight w:val="none"/>
          <w:u w:val="single"/>
          <w:lang w:eastAsia="zh-CN"/>
        </w:rPr>
        <w:t>101623</w:t>
      </w:r>
      <w:r>
        <w:rPr>
          <w:rFonts w:hint="eastAsia" w:ascii="宋体" w:hAnsi="宋体" w:eastAsia="宋体" w:cs="宋体"/>
          <w:color w:val="auto"/>
          <w:sz w:val="24"/>
          <w:szCs w:val="24"/>
          <w:highlight w:val="none"/>
          <w:u w:val="single"/>
        </w:rPr>
        <w:t>平方米（含地下车库</w:t>
      </w:r>
      <w:r>
        <w:rPr>
          <w:rFonts w:hint="eastAsia" w:ascii="宋体" w:hAnsi="宋体" w:eastAsia="宋体" w:cs="宋体"/>
          <w:color w:val="auto"/>
          <w:sz w:val="24"/>
          <w:szCs w:val="24"/>
          <w:highlight w:val="none"/>
          <w:u w:val="single"/>
          <w:lang w:eastAsia="zh-CN"/>
        </w:rPr>
        <w:t>75623</w:t>
      </w:r>
      <w:r>
        <w:rPr>
          <w:rFonts w:hint="eastAsia" w:ascii="宋体" w:hAnsi="宋体" w:eastAsia="宋体" w:cs="宋体"/>
          <w:color w:val="auto"/>
          <w:sz w:val="24"/>
          <w:szCs w:val="24"/>
          <w:highlight w:val="none"/>
          <w:u w:val="single"/>
        </w:rPr>
        <w:t>平方米</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架空层、梯屋、设备用房</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避难层等</w:t>
      </w:r>
      <w:r>
        <w:rPr>
          <w:rFonts w:hint="eastAsia" w:ascii="宋体" w:hAnsi="宋体" w:eastAsia="宋体" w:cs="宋体"/>
          <w:color w:val="auto"/>
          <w:sz w:val="24"/>
          <w:szCs w:val="24"/>
          <w:highlight w:val="none"/>
          <w:u w:val="single"/>
        </w:rPr>
        <w:t>26000平方米），以及相关配套工程。</w:t>
      </w:r>
      <w:r>
        <w:rPr>
          <w:rFonts w:hint="eastAsia" w:ascii="宋体" w:hAnsi="宋体" w:eastAsia="宋体" w:cs="宋体"/>
          <w:color w:val="auto"/>
          <w:sz w:val="24"/>
          <w:szCs w:val="24"/>
          <w:highlight w:val="none"/>
          <w:u w:val="single"/>
          <w:lang w:val="en-US" w:eastAsia="zh-CN"/>
        </w:rPr>
        <w:t>其中基坑工程的土石方约39万立方米，基坑支护侧面积约1.6万平方米</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（实际以政府批复</w:t>
      </w:r>
      <w:r>
        <w:rPr>
          <w:rFonts w:hint="eastAsia" w:eastAsia="宋体" w:cs="宋体"/>
          <w:color w:val="auto"/>
          <w:sz w:val="24"/>
          <w:szCs w:val="24"/>
          <w:highlight w:val="none"/>
          <w:u w:val="single"/>
          <w:lang w:val="en-US" w:eastAsia="zh-CN"/>
        </w:rPr>
        <w:t>方案</w:t>
      </w:r>
      <w:r>
        <w:rPr>
          <w:rFonts w:hint="eastAsia" w:ascii="宋体" w:hAnsi="宋体" w:eastAsia="宋体" w:cs="宋体"/>
          <w:color w:val="auto"/>
          <w:sz w:val="24"/>
          <w:szCs w:val="24"/>
          <w:highlight w:val="none"/>
          <w:u w:val="single"/>
        </w:rPr>
        <w:t>为准）</w:t>
      </w:r>
      <w:r>
        <w:rPr>
          <w:rFonts w:hint="eastAsia" w:eastAsia="宋体" w:cs="宋体"/>
          <w:color w:val="auto"/>
          <w:sz w:val="24"/>
          <w:szCs w:val="24"/>
          <w:highlight w:val="none"/>
          <w:u w:val="single"/>
          <w:lang w:eastAsia="zh-CN"/>
        </w:rPr>
        <w:t>。</w:t>
      </w:r>
    </w:p>
    <w:p w14:paraId="4AF524F1">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2.1.3</w:t>
      </w:r>
      <w:r>
        <w:rPr>
          <w:rFonts w:hint="eastAsia" w:ascii="宋体" w:hAnsi="宋体" w:eastAsia="宋体" w:cs="宋体"/>
          <w:color w:val="auto"/>
          <w:sz w:val="24"/>
          <w:szCs w:val="24"/>
          <w:highlight w:val="none"/>
        </w:rPr>
        <w:t>工程建设地点：</w:t>
      </w:r>
      <w:r>
        <w:rPr>
          <w:rFonts w:hint="eastAsia" w:ascii="宋体" w:hAnsi="宋体" w:eastAsia="宋体" w:cs="宋体"/>
          <w:color w:val="auto"/>
          <w:sz w:val="24"/>
          <w:szCs w:val="24"/>
          <w:highlight w:val="none"/>
          <w:u w:val="single"/>
        </w:rPr>
        <w:t>本项目位于广州市海珠区三滘村。</w:t>
      </w:r>
    </w:p>
    <w:p w14:paraId="39971907">
      <w:pPr>
        <w:widowControl/>
        <w:wordWrap w:val="0"/>
        <w:autoSpaceDE/>
        <w:autoSpaceDN/>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rPr>
        <w:t>2.1.4</w:t>
      </w:r>
      <w:r>
        <w:rPr>
          <w:rFonts w:hint="eastAsia" w:ascii="宋体" w:hAnsi="宋体" w:eastAsia="宋体" w:cs="宋体"/>
          <w:color w:val="auto"/>
          <w:sz w:val="24"/>
          <w:szCs w:val="24"/>
          <w:highlight w:val="none"/>
        </w:rPr>
        <w:t>投资总额：</w:t>
      </w:r>
      <w:r>
        <w:rPr>
          <w:rFonts w:hint="eastAsia" w:ascii="宋体" w:hAnsi="宋体" w:cs="仿宋"/>
          <w:sz w:val="24"/>
          <w:szCs w:val="24"/>
          <w:u w:val="single"/>
          <w:lang w:val="en-US" w:eastAsia="zh-CN"/>
        </w:rPr>
        <w:t>本项目基坑工程</w:t>
      </w:r>
      <w:r>
        <w:rPr>
          <w:rFonts w:hint="eastAsia" w:ascii="宋体" w:hAnsi="宋体" w:eastAsia="宋体" w:cs="仿宋"/>
          <w:color w:val="auto"/>
          <w:sz w:val="24"/>
          <w:szCs w:val="24"/>
          <w:u w:val="single"/>
        </w:rPr>
        <w:t>投资</w:t>
      </w:r>
      <w:r>
        <w:rPr>
          <w:rFonts w:hint="eastAsia" w:ascii="宋体" w:hAnsi="宋体" w:eastAsia="宋体" w:cs="仿宋"/>
          <w:color w:val="auto"/>
          <w:sz w:val="24"/>
          <w:szCs w:val="24"/>
          <w:u w:val="single"/>
          <w:lang w:eastAsia="zh-CN"/>
        </w:rPr>
        <w:t>24600.38</w:t>
      </w:r>
      <w:r>
        <w:rPr>
          <w:rFonts w:hint="eastAsia" w:ascii="宋体" w:hAnsi="宋体" w:eastAsia="宋体" w:cs="仿宋"/>
          <w:color w:val="auto"/>
          <w:sz w:val="24"/>
          <w:szCs w:val="24"/>
          <w:u w:val="single"/>
        </w:rPr>
        <w:t>万元</w:t>
      </w:r>
      <w:r>
        <w:rPr>
          <w:rFonts w:hint="eastAsia" w:ascii="宋体" w:hAnsi="宋体" w:eastAsia="宋体" w:cs="仿宋"/>
          <w:color w:val="auto"/>
          <w:sz w:val="24"/>
          <w:szCs w:val="24"/>
          <w:u w:val="single"/>
          <w:lang w:eastAsia="zh-CN"/>
        </w:rPr>
        <w:t>，</w:t>
      </w:r>
      <w:r>
        <w:rPr>
          <w:rFonts w:hint="eastAsia" w:ascii="宋体" w:hAnsi="宋体" w:eastAsia="宋体" w:cs="仿宋"/>
          <w:color w:val="auto"/>
          <w:sz w:val="24"/>
          <w:szCs w:val="24"/>
          <w:u w:val="single"/>
        </w:rPr>
        <w:t>其中</w:t>
      </w:r>
      <w:r>
        <w:rPr>
          <w:rFonts w:hint="eastAsia" w:ascii="宋体" w:hAnsi="宋体" w:eastAsia="宋体" w:cs="仿宋"/>
          <w:color w:val="auto"/>
          <w:sz w:val="24"/>
          <w:szCs w:val="24"/>
          <w:highlight w:val="none"/>
          <w:u w:val="single"/>
        </w:rPr>
        <w:t>工程费</w:t>
      </w:r>
      <w:r>
        <w:rPr>
          <w:rFonts w:hint="eastAsia" w:ascii="宋体" w:hAnsi="宋体" w:eastAsia="宋体" w:cs="仿宋"/>
          <w:color w:val="auto"/>
          <w:sz w:val="24"/>
          <w:szCs w:val="24"/>
          <w:highlight w:val="none"/>
          <w:u w:val="single"/>
          <w:lang w:eastAsia="zh-CN"/>
        </w:rPr>
        <w:t>17216.92</w:t>
      </w:r>
      <w:r>
        <w:rPr>
          <w:rFonts w:hint="eastAsia" w:ascii="宋体" w:hAnsi="宋体" w:eastAsia="宋体" w:cs="仿宋"/>
          <w:color w:val="auto"/>
          <w:sz w:val="24"/>
          <w:szCs w:val="24"/>
          <w:highlight w:val="none"/>
          <w:u w:val="single"/>
        </w:rPr>
        <w:t>万元</w:t>
      </w:r>
      <w:r>
        <w:rPr>
          <w:rFonts w:hint="eastAsia" w:ascii="宋体" w:hAnsi="宋体" w:eastAsia="宋体" w:cs="仿宋"/>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投资（不含基坑）</w:t>
      </w:r>
      <w:r>
        <w:rPr>
          <w:rFonts w:hint="eastAsia" w:ascii="宋体" w:hAnsi="宋体" w:eastAsia="宋体" w:cs="宋体"/>
          <w:color w:val="auto"/>
          <w:sz w:val="24"/>
          <w:szCs w:val="24"/>
          <w:highlight w:val="none"/>
          <w:u w:val="single"/>
          <w:lang w:eastAsia="zh-CN"/>
        </w:rPr>
        <w:t>34</w:t>
      </w:r>
      <w:r>
        <w:rPr>
          <w:rFonts w:hint="eastAsia" w:ascii="宋体" w:hAnsi="宋体" w:eastAsia="宋体" w:cs="宋体"/>
          <w:color w:val="auto"/>
          <w:sz w:val="24"/>
          <w:szCs w:val="24"/>
          <w:highlight w:val="none"/>
          <w:u w:val="single"/>
          <w:lang w:val="en-US" w:eastAsia="zh-CN"/>
        </w:rPr>
        <w:t>9700</w:t>
      </w:r>
      <w:r>
        <w:rPr>
          <w:rFonts w:hint="eastAsia" w:ascii="宋体" w:hAnsi="宋体" w:eastAsia="宋体" w:cs="宋体"/>
          <w:color w:val="auto"/>
          <w:sz w:val="24"/>
          <w:szCs w:val="24"/>
          <w:highlight w:val="none"/>
          <w:u w:val="single"/>
          <w:lang w:eastAsia="zh-CN"/>
        </w:rPr>
        <w:t>.16</w:t>
      </w:r>
      <w:r>
        <w:rPr>
          <w:rFonts w:hint="eastAsia" w:ascii="宋体" w:hAnsi="宋体" w:eastAsia="宋体" w:cs="宋体"/>
          <w:color w:val="auto"/>
          <w:sz w:val="24"/>
          <w:szCs w:val="24"/>
          <w:highlight w:val="none"/>
          <w:u w:val="single"/>
        </w:rPr>
        <w:t>万元</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其中工程费</w:t>
      </w:r>
      <w:r>
        <w:rPr>
          <w:rFonts w:hint="eastAsia" w:ascii="宋体" w:hAnsi="宋体" w:eastAsia="宋体" w:cs="宋体"/>
          <w:color w:val="auto"/>
          <w:sz w:val="24"/>
          <w:szCs w:val="24"/>
          <w:highlight w:val="none"/>
          <w:u w:val="single"/>
          <w:lang w:eastAsia="zh-CN"/>
        </w:rPr>
        <w:t>20</w:t>
      </w:r>
      <w:r>
        <w:rPr>
          <w:rFonts w:hint="eastAsia" w:ascii="宋体" w:hAnsi="宋体" w:eastAsia="宋体" w:cs="宋体"/>
          <w:color w:val="auto"/>
          <w:sz w:val="24"/>
          <w:szCs w:val="24"/>
          <w:highlight w:val="none"/>
          <w:u w:val="single"/>
          <w:lang w:val="en-US" w:eastAsia="zh-CN"/>
        </w:rPr>
        <w:t>328</w:t>
      </w:r>
      <w:r>
        <w:rPr>
          <w:rFonts w:hint="eastAsia" w:ascii="宋体" w:hAnsi="宋体" w:eastAsia="宋体" w:cs="宋体"/>
          <w:color w:val="auto"/>
          <w:sz w:val="24"/>
          <w:szCs w:val="24"/>
          <w:highlight w:val="none"/>
          <w:u w:val="single"/>
          <w:lang w:eastAsia="zh-CN"/>
        </w:rPr>
        <w:t>0.34</w:t>
      </w:r>
      <w:r>
        <w:rPr>
          <w:rFonts w:hint="eastAsia" w:ascii="宋体" w:hAnsi="宋体" w:eastAsia="宋体" w:cs="宋体"/>
          <w:color w:val="auto"/>
          <w:sz w:val="24"/>
          <w:szCs w:val="24"/>
          <w:highlight w:val="none"/>
          <w:u w:val="single"/>
        </w:rPr>
        <w:t>万元</w:t>
      </w:r>
      <w:r>
        <w:rPr>
          <w:rFonts w:hint="eastAsia" w:ascii="宋体" w:hAnsi="宋体" w:eastAsia="宋体" w:cs="宋体"/>
          <w:sz w:val="24"/>
          <w:szCs w:val="24"/>
          <w:highlight w:val="none"/>
          <w:u w:val="single"/>
        </w:rPr>
        <w:t>（最终以</w:t>
      </w:r>
      <w:r>
        <w:rPr>
          <w:rFonts w:hint="eastAsia"/>
          <w:sz w:val="24"/>
          <w:szCs w:val="24"/>
          <w:highlight w:val="none"/>
          <w:u w:val="single"/>
        </w:rPr>
        <w:t>财政部门审定为准）。</w:t>
      </w:r>
    </w:p>
    <w:p w14:paraId="74A7F576">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2.2招标范围</w:t>
      </w:r>
    </w:p>
    <w:p w14:paraId="6A809A7D">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2.2.1</w:t>
      </w:r>
      <w:r>
        <w:rPr>
          <w:rFonts w:hint="eastAsia" w:ascii="宋体" w:hAnsi="宋体" w:eastAsia="宋体" w:cs="宋体"/>
          <w:color w:val="auto"/>
          <w:sz w:val="24"/>
          <w:szCs w:val="24"/>
          <w:highlight w:val="none"/>
        </w:rPr>
        <w:t>监理标段划分：</w:t>
      </w:r>
      <w:r>
        <w:rPr>
          <w:rFonts w:hint="eastAsia" w:ascii="宋体" w:hAnsi="宋体" w:eastAsia="宋体" w:cs="宋体"/>
          <w:color w:val="auto"/>
          <w:sz w:val="24"/>
          <w:szCs w:val="24"/>
          <w:highlight w:val="none"/>
          <w:u w:val="single"/>
        </w:rPr>
        <w:t>本项目设1个标段。</w:t>
      </w:r>
    </w:p>
    <w:p w14:paraId="62B39988">
      <w:pPr>
        <w:pStyle w:val="7"/>
        <w:wordWrap w:val="0"/>
        <w:autoSpaceDE/>
        <w:autoSpaceDN/>
        <w:snapToGrid w:val="0"/>
        <w:spacing w:line="360" w:lineRule="auto"/>
        <w:ind w:firstLine="480" w:firstLineChars="200"/>
        <w:rPr>
          <w:rFonts w:hint="eastAsia" w:ascii="宋体" w:hAnsi="宋体" w:eastAsia="宋体" w:cs="宋体"/>
          <w:color w:val="auto"/>
          <w:kern w:val="2"/>
          <w:sz w:val="24"/>
          <w:szCs w:val="24"/>
          <w:highlight w:val="none"/>
          <w:u w:val="single"/>
          <w:lang w:val="en-US" w:bidi="ar-SA"/>
        </w:rPr>
      </w:pPr>
      <w:r>
        <w:rPr>
          <w:rFonts w:hint="eastAsia" w:ascii="宋体" w:hAnsi="宋体" w:eastAsia="宋体" w:cs="宋体"/>
          <w:color w:val="auto"/>
          <w:sz w:val="24"/>
          <w:szCs w:val="24"/>
          <w:highlight w:val="none"/>
          <w:lang w:val="en-US"/>
        </w:rPr>
        <w:t>2.2.2</w:t>
      </w:r>
      <w:r>
        <w:rPr>
          <w:rFonts w:hint="eastAsia" w:ascii="宋体" w:hAnsi="宋体" w:eastAsia="宋体" w:cs="宋体"/>
          <w:color w:val="auto"/>
          <w:sz w:val="24"/>
          <w:szCs w:val="24"/>
          <w:highlight w:val="none"/>
        </w:rPr>
        <w:t>监理范围：</w:t>
      </w:r>
      <w:r>
        <w:rPr>
          <w:rFonts w:hint="eastAsia" w:ascii="宋体" w:hAnsi="宋体" w:eastAsia="宋体" w:cs="宋体"/>
          <w:color w:val="auto"/>
          <w:kern w:val="2"/>
          <w:sz w:val="24"/>
          <w:szCs w:val="24"/>
          <w:highlight w:val="none"/>
          <w:u w:val="single"/>
          <w:lang w:val="en-US" w:bidi="ar-SA"/>
        </w:rPr>
        <w:t>本项目监理工作包括：</w:t>
      </w:r>
    </w:p>
    <w:p w14:paraId="1F15D45E">
      <w:pPr>
        <w:pStyle w:val="7"/>
        <w:wordWrap w:val="0"/>
        <w:autoSpaceDE/>
        <w:autoSpaceDN/>
        <w:snapToGrid w:val="0"/>
        <w:spacing w:line="360" w:lineRule="auto"/>
        <w:ind w:firstLine="480" w:firstLineChars="200"/>
        <w:rPr>
          <w:rFonts w:hint="eastAsia" w:ascii="宋体" w:hAnsi="宋体" w:eastAsia="宋体" w:cs="宋体"/>
          <w:color w:val="auto"/>
          <w:sz w:val="24"/>
          <w:szCs w:val="24"/>
          <w:highlight w:val="none"/>
          <w:lang w:val="en-US"/>
        </w:rPr>
      </w:pPr>
      <w:bookmarkStart w:id="6" w:name="_Hlk176879427"/>
      <w:r>
        <w:rPr>
          <w:rFonts w:ascii="宋体" w:hAnsi="宋体"/>
          <w:sz w:val="24"/>
          <w:szCs w:val="24"/>
          <w:u w:val="single"/>
        </w:rPr>
        <w:t>本项目立项（含可研）范围内所有工程内容的监理工作</w:t>
      </w:r>
      <w:r>
        <w:rPr>
          <w:rFonts w:hint="eastAsia" w:ascii="宋体" w:hAnsi="宋体"/>
          <w:sz w:val="24"/>
          <w:szCs w:val="24"/>
          <w:u w:val="single"/>
        </w:rPr>
        <w:t>（供电部分货币补偿除外）</w:t>
      </w:r>
      <w:r>
        <w:rPr>
          <w:rFonts w:hint="eastAsia" w:ascii="宋体" w:hAnsi="宋体" w:eastAsia="宋体" w:cs="宋体"/>
          <w:color w:val="auto"/>
          <w:sz w:val="24"/>
          <w:szCs w:val="24"/>
          <w:highlight w:val="none"/>
          <w:u w:val="single"/>
        </w:rPr>
        <w:t>，具体包括但不限于以下内容：工程勘察设计阶段、施工准备阶段、施工阶段、工程收尾阶段（包括但不限于竣工验收、整改、工程移交、工程结算等）及工程质量保修阶段（含缺陷责任期，下同）的质量控制、职业健康安全及环境监督管理、投资控制、进度控制、合同管理、信息管理、BIM全过程、组织协调、安全文明施工、绿色施工管理、工程创优、工程变更、设备监造、驻场监造、绿化迁移、协调建设单位和工程建设有关各方的工作关系等。监理人还须按委托人的要求提前进场参与设计前期的准备和筹划工作，协助委托人制定工程管理办法、工程创优办法、项目管理策划、各参建方职责及有关事务性工作等</w:t>
      </w:r>
      <w:r>
        <w:rPr>
          <w:rFonts w:hint="eastAsia"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服从委托人及其</w:t>
      </w:r>
      <w:bookmarkStart w:id="45" w:name="_GoBack"/>
      <w:bookmarkEnd w:id="45"/>
      <w:r>
        <w:rPr>
          <w:rFonts w:hint="eastAsia" w:ascii="宋体" w:hAnsi="宋体" w:eastAsia="宋体" w:cs="宋体"/>
          <w:color w:val="auto"/>
          <w:sz w:val="24"/>
          <w:szCs w:val="24"/>
          <w:highlight w:val="none"/>
          <w:u w:val="single"/>
        </w:rPr>
        <w:t>管理单位的管理要求。具体以委托实施的监理范围为准</w:t>
      </w:r>
      <w:r>
        <w:rPr>
          <w:rFonts w:hint="eastAsia" w:ascii="宋体" w:hAnsi="宋体" w:eastAsia="宋体" w:cs="宋体"/>
          <w:color w:val="auto"/>
          <w:sz w:val="24"/>
          <w:szCs w:val="24"/>
          <w:highlight w:val="none"/>
          <w:lang w:val="en-US"/>
        </w:rPr>
        <w:t>。</w:t>
      </w:r>
    </w:p>
    <w:bookmarkEnd w:id="6"/>
    <w:p w14:paraId="2380EB73">
      <w:pPr>
        <w:wordWrap w:val="0"/>
        <w:autoSpaceDE/>
        <w:autoSpaceDN/>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2.2.3监理服务期限：监理服务期自受托人收到中标通知书或参加由委托人组织的第一次进场动员会之日起算，至所有工程保修期结束且办妥竣工结算（此处指终审部门的竣工结算）止，包括本合同工程的：工程勘察设计阶段、施工准备期、施工期、工程收尾期及工程质量保修阶段全过程监理服务。</w:t>
      </w:r>
    </w:p>
    <w:p w14:paraId="23D55154">
      <w:pPr>
        <w:wordWrap w:val="0"/>
        <w:autoSpaceDE/>
        <w:autoSpaceDN/>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2.2.4监理服务期内，工程勘察设计阶段、施工准备期、施工阶段监理人的总监理工程师、安全工程师、专业监理人员、资料员、报建协调人员须在工程现场开展监理服务工作；工程收尾阶段资料员须在工程现场或委托人指定场所开展工程收尾相关监理服务工作。</w:t>
      </w:r>
    </w:p>
    <w:p w14:paraId="499DBFFC">
      <w:pPr>
        <w:wordWrap w:val="0"/>
        <w:autoSpaceDE/>
        <w:autoSpaceDN/>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2.2.4</w:t>
      </w:r>
      <w:r>
        <w:rPr>
          <w:rFonts w:hint="eastAsia" w:ascii="宋体" w:hAnsi="宋体" w:eastAsia="宋体" w:cs="宋体"/>
          <w:color w:val="auto"/>
          <w:sz w:val="24"/>
          <w:szCs w:val="24"/>
          <w:highlight w:val="none"/>
        </w:rPr>
        <w:t>监理服务最高投标限价：</w:t>
      </w:r>
      <w:r>
        <w:rPr>
          <w:rFonts w:hint="eastAsia" w:cs="宋体"/>
          <w:color w:val="auto"/>
          <w:sz w:val="24"/>
          <w:szCs w:val="24"/>
          <w:highlight w:val="none"/>
          <w:u w:val="single"/>
          <w:lang w:val="en-US" w:eastAsia="zh-CN"/>
        </w:rPr>
        <w:t xml:space="preserve"> 23009175.00</w:t>
      </w:r>
      <w:r>
        <w:rPr>
          <w:rFonts w:hint="eastAsia" w:ascii="宋体" w:hAnsi="宋体" w:eastAsia="宋体" w:cs="宋体"/>
          <w:color w:val="auto"/>
          <w:sz w:val="24"/>
          <w:szCs w:val="24"/>
          <w:highlight w:val="none"/>
          <w:u w:val="single"/>
          <w:lang w:val="en-US"/>
        </w:rPr>
        <w:t>元</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其中，基坑及土石方部分监理服务最高投标限价2585625.00元，S4地块安置物业建设项目监理服务最高投标限价20423550.00元。</w:t>
      </w:r>
    </w:p>
    <w:p w14:paraId="43DAF06D">
      <w:pPr>
        <w:pStyle w:val="21"/>
        <w:numPr>
          <w:ilvl w:val="0"/>
          <w:numId w:val="2"/>
        </w:numPr>
        <w:tabs>
          <w:tab w:val="left" w:pos="642"/>
        </w:tabs>
        <w:wordWrap w:val="0"/>
        <w:snapToGrid w:val="0"/>
        <w:spacing w:line="360" w:lineRule="auto"/>
        <w:ind w:left="0" w:firstLine="0"/>
        <w:rPr>
          <w:rFonts w:hint="eastAsia" w:ascii="宋体" w:hAnsi="宋体" w:eastAsia="宋体" w:cs="宋体"/>
          <w:b/>
          <w:color w:val="auto"/>
          <w:sz w:val="32"/>
          <w:highlight w:val="none"/>
        </w:rPr>
      </w:pPr>
      <w:bookmarkStart w:id="7" w:name="_bookmark4"/>
      <w:bookmarkEnd w:id="7"/>
      <w:r>
        <w:rPr>
          <w:rFonts w:hint="eastAsia" w:ascii="宋体" w:hAnsi="宋体" w:eastAsia="宋体" w:cs="宋体"/>
          <w:b/>
          <w:color w:val="auto"/>
          <w:sz w:val="32"/>
          <w:highlight w:val="none"/>
        </w:rPr>
        <w:t>投标人资格要求</w:t>
      </w:r>
    </w:p>
    <w:p w14:paraId="4146632F">
      <w:pPr>
        <w:wordWrap w:val="0"/>
        <w:autoSpaceDE/>
        <w:autoSpaceDN/>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lang w:val="en-US"/>
        </w:rPr>
        <w:t>3.1</w:t>
      </w:r>
      <w:r>
        <w:rPr>
          <w:rFonts w:hint="eastAsia" w:ascii="宋体" w:hAnsi="宋体" w:eastAsia="宋体" w:cs="宋体"/>
          <w:color w:val="auto"/>
          <w:sz w:val="24"/>
          <w:szCs w:val="24"/>
          <w:highlight w:val="none"/>
          <w:u w:val="single"/>
        </w:rPr>
        <w:t>投标人须具备建设行政主管部门颁发的有效期内的工程监理综合资质或房屋建筑工程监理甲级资质。香港企业参加投标的，须在广东省住房和城乡建设主管部门备案且备案的业务范围满足本项目招标文件要求。</w:t>
      </w:r>
    </w:p>
    <w:p w14:paraId="4457D6E5">
      <w:pPr>
        <w:wordWrap w:val="0"/>
        <w:autoSpaceDE/>
        <w:autoSpaceDN/>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①工程监理企业资质证书有效期按《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p>
    <w:p w14:paraId="78DBDA57">
      <w:pPr>
        <w:pStyle w:val="21"/>
        <w:tabs>
          <w:tab w:val="left" w:pos="642"/>
        </w:tabs>
        <w:wordWrap w:val="0"/>
        <w:autoSpaceDE/>
        <w:autoSpaceDN/>
        <w:snapToGrid w:val="0"/>
        <w:spacing w:line="360" w:lineRule="auto"/>
        <w:ind w:lef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255442EE">
      <w:pPr>
        <w:pStyle w:val="21"/>
        <w:tabs>
          <w:tab w:val="left" w:pos="1040"/>
          <w:tab w:val="left" w:pos="2952"/>
          <w:tab w:val="left" w:pos="4126"/>
        </w:tabs>
        <w:wordWrap w:val="0"/>
        <w:autoSpaceDE/>
        <w:autoSpaceDN/>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 xml:space="preserve">3.2 </w:t>
      </w:r>
      <w:r>
        <w:rPr>
          <w:rFonts w:hint="eastAsia" w:ascii="宋体" w:hAnsi="宋体" w:eastAsia="宋体" w:cs="宋体"/>
          <w:color w:val="auto"/>
          <w:sz w:val="24"/>
          <w:szCs w:val="24"/>
          <w:highlight w:val="none"/>
        </w:rPr>
        <w:t>本次招标</w:t>
      </w:r>
      <w:r>
        <w:rPr>
          <w:rFonts w:hint="eastAsia" w:ascii="宋体" w:hAnsi="宋体" w:eastAsia="宋体" w:cs="宋体"/>
          <w:b/>
          <w:bCs/>
          <w:color w:val="auto"/>
          <w:sz w:val="24"/>
          <w:szCs w:val="24"/>
          <w:highlight w:val="none"/>
          <w:u w:val="single"/>
        </w:rPr>
        <w:t>不接受</w:t>
      </w:r>
      <w:r>
        <w:rPr>
          <w:rFonts w:hint="eastAsia" w:ascii="宋体" w:hAnsi="宋体" w:eastAsia="宋体" w:cs="宋体"/>
          <w:color w:val="auto"/>
          <w:sz w:val="24"/>
          <w:szCs w:val="24"/>
          <w:highlight w:val="none"/>
        </w:rPr>
        <w:t>联合体投标。</w:t>
      </w:r>
    </w:p>
    <w:p w14:paraId="2C9859BD">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拟派总监理工程师须具备：建设部2006年4月1日后颁发的中华人民共和国注册监理工程师注册执业证书，且其注册专业为</w:t>
      </w:r>
      <w:r>
        <w:rPr>
          <w:rFonts w:hint="eastAsia" w:ascii="宋体" w:hAnsi="宋体" w:eastAsia="宋体" w:cs="宋体"/>
          <w:color w:val="auto"/>
          <w:sz w:val="24"/>
          <w:szCs w:val="24"/>
          <w:highlight w:val="none"/>
          <w:u w:val="single"/>
        </w:rPr>
        <w:t>房屋建筑工程</w:t>
      </w:r>
      <w:r>
        <w:rPr>
          <w:rFonts w:hint="eastAsia" w:ascii="宋体" w:hAnsi="宋体" w:eastAsia="宋体" w:cs="宋体"/>
          <w:color w:val="auto"/>
          <w:sz w:val="24"/>
          <w:szCs w:val="24"/>
          <w:highlight w:val="none"/>
        </w:rPr>
        <w:t>，注册执业单位为本公司（注册企业以注册监理工程师注册执业证书上的注册单位为准,拟派总监理工程师注册执业专业以注册执业证书上的注册专业为准），</w:t>
      </w:r>
      <w:r>
        <w:rPr>
          <w:rFonts w:hint="eastAsia" w:ascii="宋体" w:hAnsi="宋体" w:eastAsia="宋体" w:cs="宋体"/>
          <w:color w:val="auto"/>
          <w:sz w:val="24"/>
          <w:szCs w:val="24"/>
          <w:highlight w:val="none"/>
          <w:u w:val="single"/>
        </w:rPr>
        <w:t>并具有本科或以上的学历</w:t>
      </w:r>
      <w:r>
        <w:rPr>
          <w:rFonts w:hint="eastAsia" w:ascii="宋体" w:hAnsi="宋体" w:eastAsia="宋体" w:cs="宋体"/>
          <w:color w:val="auto"/>
          <w:sz w:val="24"/>
          <w:szCs w:val="24"/>
          <w:highlight w:val="none"/>
        </w:rPr>
        <w:t>；或已在广东省住房和城乡建设主管部门备案且备案的业务范围满足本项目招标文件要求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6BB760C1">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bidi="ar-SA"/>
        </w:rPr>
        <w:t>3.4 其他要求：</w:t>
      </w:r>
    </w:p>
    <w:p w14:paraId="7507B5AF">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（1）投标人参加投标的意思表达清楚，投标人代表被授权有效。</w:t>
      </w:r>
    </w:p>
    <w:p w14:paraId="43D1F83B">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（2）投标人均具有独立法人资格，持有有效的工商行政</w:t>
      </w:r>
      <w:r>
        <w:rPr>
          <w:rFonts w:hint="eastAsia" w:ascii="宋体" w:hAnsi="宋体" w:eastAsia="宋体" w:cs="宋体"/>
          <w:color w:val="auto"/>
          <w:sz w:val="24"/>
          <w:szCs w:val="24"/>
          <w:highlight w:val="none"/>
          <w:u w:val="single"/>
        </w:rPr>
        <w:t>（市场监督）</w:t>
      </w:r>
      <w:r>
        <w:rPr>
          <w:rFonts w:hint="eastAsia" w:ascii="宋体" w:hAnsi="宋体" w:eastAsia="宋体" w:cs="宋体"/>
          <w:color w:val="auto"/>
          <w:sz w:val="24"/>
          <w:szCs w:val="24"/>
          <w:highlight w:val="none"/>
        </w:rPr>
        <w:t>管理部门核发的法人营业执照，按国家法律经营。</w:t>
      </w:r>
      <w:r>
        <w:rPr>
          <w:rFonts w:hint="eastAsia" w:ascii="宋体" w:hAnsi="宋体" w:eastAsia="宋体" w:cs="宋体"/>
          <w:color w:val="auto"/>
          <w:sz w:val="24"/>
          <w:szCs w:val="24"/>
          <w:highlight w:val="none"/>
          <w:u w:val="single"/>
        </w:rPr>
        <w:t>香港企业具有在香港公司注册证书及商业登记证。</w:t>
      </w:r>
    </w:p>
    <w:p w14:paraId="692CBA6F">
      <w:pPr>
        <w:wordWrap w:val="0"/>
        <w:autoSpaceDE/>
        <w:autoSpaceDN/>
        <w:snapToGrid w:val="0"/>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资格审查前，投标人须在广州市住建行业信用管理平台建立了企业信用档案及拟担任本工程总监理工程师须是本企业信用档案中的在册人员。香港企业独立参加投标的，该企业及拟委派的工程项目负责人须在广东省住房和城乡建设主管部门备案。</w:t>
      </w:r>
    </w:p>
    <w:p w14:paraId="73F92DB5">
      <w:pPr>
        <w:wordWrap w:val="0"/>
        <w:autoSpaceDE/>
        <w:autoSpaceDN/>
        <w:snapToGrid w:val="0"/>
        <w:spacing w:line="360" w:lineRule="auto"/>
        <w:ind w:firstLine="482" w:firstLineChars="200"/>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val="en-US"/>
        </w:rPr>
        <w:t>注：企业信用档案取自投标截止时间投标人在信用管理平台的信息，投标人无需提交相关资料，若招标人延长递交投标文件截止时间的，信用档案信息的评审时点也相应延长。（信用档案办理详见《广州市住建行业信用管理平台监理企业信息录入指引》http://zfcj.gz.gov.cn/zwgk/zsdwxxgkzl/gzsjzyglfwzx/bszy/content/post_8073953.html）</w:t>
      </w:r>
    </w:p>
    <w:p w14:paraId="395B5C7C">
      <w:pPr>
        <w:pStyle w:val="21"/>
        <w:tabs>
          <w:tab w:val="left" w:pos="1040"/>
          <w:tab w:val="left" w:pos="2952"/>
          <w:tab w:val="left" w:pos="4126"/>
        </w:tabs>
        <w:wordWrap w:val="0"/>
        <w:autoSpaceDE/>
        <w:autoSpaceDN/>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（4）投标人已按规定格式</w:t>
      </w:r>
      <w:r>
        <w:rPr>
          <w:rFonts w:hint="eastAsia" w:ascii="宋体" w:hAnsi="宋体" w:eastAsia="宋体" w:cs="宋体"/>
          <w:color w:val="auto"/>
          <w:sz w:val="24"/>
          <w:szCs w:val="24"/>
          <w:highlight w:val="none"/>
          <w:lang w:val="en-US" w:eastAsia="zh-CN"/>
        </w:rPr>
        <w:t>签署</w:t>
      </w:r>
      <w:r>
        <w:rPr>
          <w:rFonts w:hint="eastAsia" w:ascii="宋体" w:hAnsi="宋体" w:eastAsia="宋体" w:cs="宋体"/>
          <w:color w:val="auto"/>
          <w:sz w:val="24"/>
          <w:szCs w:val="24"/>
          <w:highlight w:val="none"/>
          <w:lang w:val="en-US"/>
        </w:rPr>
        <w:t>的</w:t>
      </w:r>
      <w:r>
        <w:rPr>
          <w:rFonts w:hint="eastAsia" w:ascii="宋体" w:hAnsi="宋体" w:eastAsia="宋体" w:cs="宋体"/>
          <w:color w:val="auto"/>
          <w:sz w:val="24"/>
          <w:szCs w:val="24"/>
          <w:highlight w:val="none"/>
        </w:rPr>
        <w:t>《投标人声明》（格式见招标公告附件一）。</w:t>
      </w:r>
    </w:p>
    <w:p w14:paraId="00F7D1E6">
      <w:pPr>
        <w:wordWrap w:val="0"/>
        <w:autoSpaceDE/>
        <w:autoSpaceDN/>
        <w:snapToGrid w:val="0"/>
        <w:spacing w:line="360" w:lineRule="auto"/>
        <w:ind w:firstLine="480" w:firstLineChars="200"/>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rPr>
        <w:t>5</w:t>
      </w:r>
      <w:r>
        <w:rPr>
          <w:rFonts w:hint="eastAsia" w:ascii="宋体" w:hAnsi="宋体" w:eastAsia="宋体" w:cs="宋体"/>
          <w:color w:val="auto"/>
          <w:sz w:val="24"/>
          <w:szCs w:val="24"/>
          <w:highlight w:val="none"/>
          <w:u w:val="single"/>
        </w:rPr>
        <w:t>）投标人未被列入拖欠农民工工资失信联合惩戒对象名单</w:t>
      </w:r>
      <w:r>
        <w:rPr>
          <w:rFonts w:hint="eastAsia" w:ascii="宋体" w:hAnsi="宋体" w:eastAsia="宋体" w:cs="宋体"/>
          <w:color w:val="auto"/>
          <w:sz w:val="24"/>
          <w:szCs w:val="24"/>
          <w:highlight w:val="none"/>
          <w:u w:val="single"/>
          <w:lang w:val="en-US"/>
        </w:rPr>
        <w:t>（投标人无需提供资料，资格审查时按投标截止时间广州交易集团有限公司（广州公共资源交易中心）交易系统比对的结果进行评审）</w:t>
      </w:r>
      <w:r>
        <w:rPr>
          <w:rFonts w:hint="eastAsia" w:ascii="宋体" w:hAnsi="宋体" w:eastAsia="宋体" w:cs="宋体"/>
          <w:color w:val="auto"/>
          <w:sz w:val="24"/>
          <w:szCs w:val="24"/>
          <w:highlight w:val="none"/>
          <w:u w:val="single"/>
        </w:rPr>
        <w:t>。</w:t>
      </w:r>
    </w:p>
    <w:p w14:paraId="3E3C17A8">
      <w:pPr>
        <w:pStyle w:val="21"/>
        <w:tabs>
          <w:tab w:val="left" w:pos="1040"/>
          <w:tab w:val="left" w:pos="2952"/>
          <w:tab w:val="left" w:pos="4126"/>
        </w:tabs>
        <w:wordWrap w:val="0"/>
        <w:autoSpaceDE/>
        <w:autoSpaceDN/>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6）投标人未出现以下情形：与其他投标人的单位负责人为同一人或者存在控股、管理关系的（按投标人提供的：《投标人声明》第六条内容进行评审）。如不同投标申请人出现单位负责人为同一人或者存在控股、管理关系的情形，则相关投标均无效。</w:t>
      </w:r>
    </w:p>
    <w:p w14:paraId="22645D3A">
      <w:pPr>
        <w:pStyle w:val="21"/>
        <w:numPr>
          <w:ilvl w:val="0"/>
          <w:numId w:val="2"/>
        </w:numPr>
        <w:tabs>
          <w:tab w:val="left" w:pos="642"/>
        </w:tabs>
        <w:wordWrap w:val="0"/>
        <w:snapToGrid w:val="0"/>
        <w:spacing w:line="360" w:lineRule="auto"/>
        <w:ind w:left="0" w:firstLine="0"/>
        <w:rPr>
          <w:rFonts w:hint="eastAsia" w:ascii="宋体" w:hAnsi="宋体" w:eastAsia="宋体" w:cs="宋体"/>
          <w:b/>
          <w:color w:val="auto"/>
          <w:sz w:val="32"/>
          <w:highlight w:val="none"/>
        </w:rPr>
      </w:pPr>
      <w:bookmarkStart w:id="8" w:name="_bookmark5"/>
      <w:bookmarkEnd w:id="8"/>
      <w:r>
        <w:rPr>
          <w:rFonts w:hint="eastAsia" w:ascii="宋体" w:hAnsi="宋体" w:eastAsia="宋体" w:cs="宋体"/>
          <w:b/>
          <w:color w:val="auto"/>
          <w:sz w:val="32"/>
          <w:highlight w:val="none"/>
        </w:rPr>
        <w:t>招标文件的获取</w:t>
      </w:r>
    </w:p>
    <w:p w14:paraId="7F594D2A">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bookmarkStart w:id="9" w:name="_bookmark6"/>
      <w:bookmarkEnd w:id="9"/>
      <w:r>
        <w:rPr>
          <w:rFonts w:hint="eastAsia" w:ascii="宋体" w:hAnsi="宋体" w:eastAsia="宋体" w:cs="宋体"/>
          <w:color w:val="auto"/>
          <w:sz w:val="24"/>
          <w:szCs w:val="24"/>
          <w:highlight w:val="none"/>
        </w:rPr>
        <w:t>4.1凡有意参加投标者，请于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rPr>
        <w:t>00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rPr>
        <w:t>00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分(北京时间，下同)，登录广州交易集团有限公司（广州公共资源交易中心）网站（https://www.gzggzy.cn/）下载电子招标文件。</w:t>
      </w:r>
    </w:p>
    <w:p w14:paraId="1FF22EF5">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4.2招标公告发布时间</w:t>
      </w:r>
    </w:p>
    <w:p w14:paraId="290039A8">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发布招标公告时间(含本日):</w:t>
      </w:r>
      <w:r>
        <w:rPr>
          <w:rFonts w:hint="eastAsia" w:ascii="宋体" w:hAnsi="宋体" w:eastAsia="宋体" w:cs="宋体"/>
          <w:color w:val="auto"/>
          <w:sz w:val="24"/>
          <w:szCs w:val="24"/>
          <w:highlight w:val="none"/>
          <w:u w:val="single"/>
        </w:rPr>
        <w:t xml:space="preserve"> 202</w:t>
      </w:r>
      <w:r>
        <w:rPr>
          <w:rFonts w:hint="eastAsia" w:ascii="宋体" w:hAnsi="宋体" w:eastAsia="宋体" w:cs="宋体"/>
          <w:color w:val="auto"/>
          <w:sz w:val="24"/>
          <w:szCs w:val="24"/>
          <w:highlight w:val="none"/>
          <w:u w:val="single"/>
          <w:lang w:val="en-US"/>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rPr>
        <w:t>00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rPr>
        <w:t>00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14:paraId="08B0B4E8">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注：（1）发布招标公告的时间为招标公告发出之日起至递交投标文件截止时间止。</w:t>
      </w:r>
    </w:p>
    <w:p w14:paraId="7E18D7B5">
      <w:pPr>
        <w:widowControl/>
        <w:shd w:val="clear" w:color="auto" w:fill="FFFFFF"/>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bookmarkStart w:id="10" w:name="_Toc16176"/>
      <w:r>
        <w:rPr>
          <w:rFonts w:hint="eastAsia" w:ascii="宋体" w:hAnsi="宋体" w:eastAsia="宋体" w:cs="宋体"/>
          <w:color w:val="auto"/>
          <w:sz w:val="24"/>
          <w:szCs w:val="24"/>
          <w:highlight w:val="none"/>
        </w:rPr>
        <w:t>（2）本公告发布之日起发布招标文件，</w:t>
      </w:r>
      <w:bookmarkEnd w:id="10"/>
      <w:r>
        <w:rPr>
          <w:rFonts w:hint="eastAsia" w:ascii="宋体" w:hAnsi="宋体" w:eastAsia="宋体" w:cs="宋体"/>
          <w:color w:val="auto"/>
          <w:sz w:val="24"/>
          <w:szCs w:val="24"/>
          <w:highlight w:val="none"/>
        </w:rPr>
        <w:t>并从招标公告发布之日起开始计算备标时间。</w:t>
      </w:r>
    </w:p>
    <w:p w14:paraId="1A183A22">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在递交投标文件截止时间前，登录广州交易集团有限公司（广州公共资源交易中心）交易平台网站办理网上投标登记手续。按照交易平台关于全流程电子化项目的相关指南进行操作。详见广州交易集团有限公司（广州公共资源交易中心）网站（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"https://www.gzggzy.cn/html/index.html"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https://www.gzggzy.cn/ </w:t>
      </w:r>
      <w:r>
        <w:rPr>
          <w:rFonts w:hint="eastAsia" w:ascii="宋体" w:hAnsi="宋体" w:eastAsia="宋体" w:cs="宋体"/>
          <w:color w:val="auto"/>
          <w:highlight w:val="none"/>
        </w:rPr>
        <w:fldChar w:fldCharType="end"/>
      </w:r>
      <w:r>
        <w:rPr>
          <w:rFonts w:hint="eastAsia" w:ascii="宋体" w:hAnsi="宋体" w:eastAsia="宋体" w:cs="宋体"/>
          <w:color w:val="auto"/>
          <w:sz w:val="24"/>
          <w:szCs w:val="24"/>
          <w:highlight w:val="none"/>
        </w:rPr>
        <w:t>）。</w:t>
      </w:r>
    </w:p>
    <w:p w14:paraId="2E7AFC1A">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（4）在投标登记时，投标人应按要求在交易系统中填写《监理项目管理团队人员信息表》（详见</w:t>
      </w:r>
      <w:r>
        <w:rPr>
          <w:rFonts w:hint="eastAsia" w:ascii="宋体" w:hAnsi="宋体" w:eastAsia="宋体" w:cs="宋体"/>
          <w:color w:val="auto"/>
          <w:sz w:val="24"/>
          <w:szCs w:val="24"/>
          <w:highlight w:val="none"/>
          <w:lang w:val="en-US"/>
        </w:rPr>
        <w:t>招标公告附件</w:t>
      </w:r>
      <w:r>
        <w:rPr>
          <w:rFonts w:hint="eastAsia" w:ascii="宋体" w:hAnsi="宋体" w:eastAsia="宋体" w:cs="宋体"/>
          <w:color w:val="auto"/>
          <w:sz w:val="24"/>
          <w:szCs w:val="24"/>
          <w:highlight w:val="none"/>
        </w:rPr>
        <w:t>），表中的项目管理团队人员信息作为投标文件的一部分，将由交易系统提取后供各相关单位在中标人履约时进行比对、查核。</w:t>
      </w:r>
    </w:p>
    <w:p w14:paraId="3F262B71">
      <w:pPr>
        <w:wordWrap w:val="0"/>
        <w:autoSpaceDE/>
        <w:autoSpaceDN/>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4.3本项目采用资格后审方式。</w:t>
      </w:r>
    </w:p>
    <w:p w14:paraId="365D5828">
      <w:pPr>
        <w:pStyle w:val="21"/>
        <w:numPr>
          <w:ilvl w:val="0"/>
          <w:numId w:val="2"/>
        </w:numPr>
        <w:tabs>
          <w:tab w:val="left" w:pos="642"/>
        </w:tabs>
        <w:wordWrap w:val="0"/>
        <w:snapToGrid w:val="0"/>
        <w:spacing w:line="360" w:lineRule="auto"/>
        <w:ind w:left="0" w:firstLine="0"/>
        <w:rPr>
          <w:rFonts w:hint="eastAsia" w:ascii="宋体" w:hAnsi="宋体" w:eastAsia="宋体" w:cs="宋体"/>
          <w:b/>
          <w:color w:val="auto"/>
          <w:sz w:val="32"/>
          <w:highlight w:val="none"/>
          <w:lang w:val="en-US"/>
        </w:rPr>
      </w:pPr>
      <w:r>
        <w:rPr>
          <w:rFonts w:hint="eastAsia" w:ascii="宋体" w:hAnsi="宋体" w:eastAsia="宋体" w:cs="宋体"/>
          <w:b/>
          <w:color w:val="auto"/>
          <w:sz w:val="32"/>
          <w:highlight w:val="none"/>
          <w:lang w:val="en-US"/>
        </w:rPr>
        <w:t>投标文件的递交</w:t>
      </w:r>
    </w:p>
    <w:p w14:paraId="360BC2A9">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递交电子投标文件。</w:t>
      </w:r>
    </w:p>
    <w:p w14:paraId="7C3795D9">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投标文件递交的截止时间（投标截止时间，下同）为</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分，投标人应在截止时间前通过</w:t>
      </w:r>
      <w:r>
        <w:rPr>
          <w:rFonts w:hint="eastAsia" w:ascii="宋体" w:hAnsi="宋体" w:eastAsia="宋体" w:cs="宋体"/>
          <w:color w:val="auto"/>
          <w:sz w:val="24"/>
          <w:szCs w:val="24"/>
          <w:highlight w:val="none"/>
          <w:u w:val="single"/>
        </w:rPr>
        <w:t>广州交易集团有限公司（广州公共资源交易中心）交易平台（网址：https://www.gzggzy.cn/）</w:t>
      </w:r>
      <w:r>
        <w:rPr>
          <w:rFonts w:hint="eastAsia" w:ascii="宋体" w:hAnsi="宋体" w:eastAsia="宋体" w:cs="宋体"/>
          <w:color w:val="auto"/>
          <w:sz w:val="24"/>
          <w:szCs w:val="24"/>
          <w:highlight w:val="none"/>
        </w:rPr>
        <w:t>递交电子投标文件。</w:t>
      </w:r>
    </w:p>
    <w:p w14:paraId="7B7C9878">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5.2提交投标文件光盘（备用）。</w:t>
      </w:r>
    </w:p>
    <w:p w14:paraId="75F2307F">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投标文件电子光盘（备用）递交时间：</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分；地点：广州交易集团有限公司（广州公共资源交易中心）</w:t>
      </w:r>
      <w:r>
        <w:rPr>
          <w:rFonts w:hint="eastAsia" w:ascii="宋体" w:hAnsi="宋体" w:eastAsia="宋体" w:cs="宋体"/>
          <w:color w:val="auto"/>
          <w:sz w:val="24"/>
          <w:szCs w:val="24"/>
          <w:highlight w:val="none"/>
          <w:u w:val="single"/>
        </w:rPr>
        <w:t>指定</w:t>
      </w:r>
      <w:r>
        <w:rPr>
          <w:rFonts w:hint="eastAsia" w:ascii="宋体" w:hAnsi="宋体" w:eastAsia="宋体" w:cs="宋体"/>
          <w:color w:val="auto"/>
          <w:sz w:val="24"/>
          <w:szCs w:val="24"/>
          <w:highlight w:val="none"/>
        </w:rPr>
        <w:t>开标室。（电子光盘需按规定封装。投标人在将数据刻录到光盘之后，投标前自行检查文件是否可以读取)</w:t>
      </w:r>
    </w:p>
    <w:p w14:paraId="673B708B">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5.3投标人完成电子投标上传后，电子招标投标交易平台即时向投标人发出递交回执通知。递交时间以递交回执通知载明的传输时间为准。</w:t>
      </w:r>
    </w:p>
    <w:p w14:paraId="6E5980CD">
      <w:pPr>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逾期送达的投标文件，电子招标投标交易平台将予以拒收。</w:t>
      </w:r>
    </w:p>
    <w:p w14:paraId="7AAF1F6C">
      <w:pPr>
        <w:pStyle w:val="8"/>
        <w:wordWrap w:val="0"/>
        <w:autoSpaceDE/>
        <w:autoSpaceDN/>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分。地点：广州交易集团有限公司（广州公共资源交易中心）</w:t>
      </w:r>
      <w:r>
        <w:rPr>
          <w:rFonts w:hint="eastAsia" w:ascii="宋体" w:hAnsi="宋体" w:eastAsia="宋体" w:cs="宋体"/>
          <w:color w:val="auto"/>
          <w:sz w:val="24"/>
          <w:szCs w:val="24"/>
          <w:highlight w:val="none"/>
          <w:u w:val="single"/>
        </w:rPr>
        <w:t>指定</w:t>
      </w:r>
      <w:r>
        <w:rPr>
          <w:rFonts w:hint="eastAsia" w:ascii="宋体" w:hAnsi="宋体" w:eastAsia="宋体" w:cs="宋体"/>
          <w:color w:val="auto"/>
          <w:sz w:val="24"/>
          <w:szCs w:val="24"/>
          <w:highlight w:val="none"/>
        </w:rPr>
        <w:t>开标室。</w:t>
      </w:r>
    </w:p>
    <w:p w14:paraId="2B556241">
      <w:pPr>
        <w:pStyle w:val="8"/>
        <w:wordWrap w:val="0"/>
        <w:autoSpaceDE/>
        <w:autoSpaceDN/>
        <w:snapToGrid w:val="0"/>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5.6 递交投标文件截止时间及开标时间是否有变化，请密切留意交易中心网站中的相关信息。递交投标文件截止时间后，投标文件评审时间因故推迟的，相关资审信息仍以原递交投标文件截止时间的信息为准。</w:t>
      </w:r>
      <w:r>
        <w:rPr>
          <w:rFonts w:hint="eastAsia" w:ascii="宋体" w:hAnsi="宋体" w:eastAsia="宋体" w:cs="宋体"/>
          <w:color w:val="auto"/>
          <w:sz w:val="24"/>
          <w:szCs w:val="24"/>
          <w:highlight w:val="none"/>
          <w:lang w:val="en-US"/>
        </w:rPr>
        <w:t xml:space="preserve"> </w:t>
      </w:r>
    </w:p>
    <w:p w14:paraId="05A7205F">
      <w:pPr>
        <w:pStyle w:val="21"/>
        <w:numPr>
          <w:ilvl w:val="0"/>
          <w:numId w:val="2"/>
        </w:numPr>
        <w:tabs>
          <w:tab w:val="left" w:pos="642"/>
        </w:tabs>
        <w:wordWrap w:val="0"/>
        <w:snapToGrid w:val="0"/>
        <w:spacing w:line="360" w:lineRule="auto"/>
        <w:ind w:left="0" w:firstLine="0"/>
        <w:rPr>
          <w:rFonts w:hint="eastAsia" w:ascii="宋体" w:hAnsi="宋体" w:eastAsia="宋体" w:cs="宋体"/>
          <w:b/>
          <w:color w:val="auto"/>
          <w:sz w:val="32"/>
          <w:highlight w:val="none"/>
          <w:lang w:val="en-US"/>
        </w:rPr>
      </w:pPr>
      <w:bookmarkStart w:id="11" w:name="_bookmark7"/>
      <w:bookmarkEnd w:id="11"/>
      <w:r>
        <w:rPr>
          <w:rFonts w:hint="eastAsia" w:ascii="宋体" w:hAnsi="宋体" w:eastAsia="宋体" w:cs="宋体"/>
          <w:b/>
          <w:color w:val="auto"/>
          <w:sz w:val="32"/>
          <w:highlight w:val="none"/>
          <w:lang w:val="en-US"/>
        </w:rPr>
        <w:t>发布公告的媒介</w:t>
      </w:r>
    </w:p>
    <w:p w14:paraId="77919E4C">
      <w:pPr>
        <w:pStyle w:val="21"/>
        <w:tabs>
          <w:tab w:val="left" w:pos="642"/>
        </w:tabs>
        <w:wordWrap w:val="0"/>
        <w:autoSpaceDE/>
        <w:autoSpaceDN/>
        <w:snapToGrid w:val="0"/>
        <w:spacing w:line="360" w:lineRule="auto"/>
        <w:ind w:lef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本次招标公告同时在</w:t>
      </w:r>
      <w:r>
        <w:rPr>
          <w:rFonts w:hint="eastAsia" w:ascii="宋体" w:hAnsi="宋体" w:eastAsia="宋体" w:cs="宋体"/>
          <w:color w:val="auto"/>
          <w:sz w:val="24"/>
          <w:szCs w:val="24"/>
          <w:highlight w:val="none"/>
          <w:u w:val="single"/>
        </w:rPr>
        <w:t>广州交易集团有限公司</w:t>
      </w:r>
      <w:r>
        <w:rPr>
          <w:rFonts w:hint="eastAsia" w:ascii="宋体" w:hAnsi="宋体" w:eastAsia="宋体" w:cs="宋体"/>
          <w:color w:val="auto"/>
          <w:sz w:val="24"/>
          <w:szCs w:val="24"/>
          <w:highlight w:val="none"/>
          <w:u w:val="single"/>
          <w:lang w:val="en-US"/>
        </w:rPr>
        <w:t>（</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u w:val="single"/>
          <w:lang w:val="en-US"/>
        </w:rPr>
        <w:t>）官</w:t>
      </w:r>
      <w:r>
        <w:rPr>
          <w:rFonts w:hint="eastAsia" w:ascii="宋体" w:hAnsi="宋体" w:eastAsia="宋体" w:cs="宋体"/>
          <w:color w:val="auto"/>
          <w:sz w:val="24"/>
          <w:szCs w:val="24"/>
          <w:highlight w:val="none"/>
          <w:u w:val="single"/>
        </w:rPr>
        <w:t>网</w:t>
      </w:r>
      <w:r>
        <w:rPr>
          <w:rFonts w:hint="eastAsia" w:ascii="宋体" w:hAnsi="宋体" w:eastAsia="宋体" w:cs="宋体"/>
          <w:color w:val="auto"/>
          <w:sz w:val="24"/>
          <w:szCs w:val="24"/>
          <w:highlight w:val="none"/>
          <w:u w:val="single"/>
          <w:lang w:val="en-US"/>
        </w:rPr>
        <w:t>（</w:t>
      </w:r>
      <w:r>
        <w:rPr>
          <w:rFonts w:hint="eastAsia" w:ascii="宋体" w:hAnsi="宋体" w:eastAsia="宋体" w:cs="宋体"/>
          <w:color w:val="auto"/>
          <w:sz w:val="24"/>
          <w:szCs w:val="24"/>
          <w:highlight w:val="none"/>
          <w:u w:val="single"/>
        </w:rPr>
        <w:t>网址</w:t>
      </w:r>
      <w:r>
        <w:rPr>
          <w:rFonts w:hint="eastAsia" w:ascii="宋体" w:hAnsi="宋体" w:eastAsia="宋体" w:cs="宋体"/>
          <w:color w:val="auto"/>
          <w:sz w:val="24"/>
          <w:szCs w:val="24"/>
          <w:highlight w:val="none"/>
          <w:u w:val="single"/>
          <w:lang w:val="en-US"/>
        </w:rPr>
        <w:t>：https://www.gzggzy.cn/）</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rPr>
        <w:t>广州国企阳光采购信息发布平台（网址：http://ygcg.gzggzy.cn）、</w:t>
      </w:r>
      <w:r>
        <w:rPr>
          <w:rFonts w:hint="eastAsia" w:ascii="宋体" w:hAnsi="宋体" w:eastAsia="宋体" w:cs="宋体"/>
          <w:color w:val="auto"/>
          <w:sz w:val="24"/>
          <w:szCs w:val="24"/>
          <w:highlight w:val="none"/>
          <w:u w:val="single"/>
        </w:rPr>
        <w:t>广东省招标投标监管网</w:t>
      </w:r>
      <w:r>
        <w:rPr>
          <w:rFonts w:hint="eastAsia" w:ascii="宋体" w:hAnsi="宋体" w:eastAsia="宋体" w:cs="宋体"/>
          <w:color w:val="auto"/>
          <w:sz w:val="24"/>
          <w:szCs w:val="24"/>
          <w:highlight w:val="none"/>
          <w:u w:val="single"/>
          <w:lang w:val="en-US"/>
        </w:rPr>
        <w:t>（</w:t>
      </w:r>
      <w:r>
        <w:rPr>
          <w:rFonts w:hint="eastAsia" w:ascii="宋体" w:hAnsi="宋体" w:eastAsia="宋体" w:cs="宋体"/>
          <w:color w:val="auto"/>
          <w:sz w:val="24"/>
          <w:szCs w:val="24"/>
          <w:highlight w:val="none"/>
          <w:u w:val="single"/>
        </w:rPr>
        <w:t>网址</w:t>
      </w:r>
      <w:r>
        <w:rPr>
          <w:rFonts w:hint="eastAsia" w:ascii="宋体" w:hAnsi="宋体" w:eastAsia="宋体" w:cs="宋体"/>
          <w:color w:val="auto"/>
          <w:sz w:val="24"/>
          <w:szCs w:val="24"/>
          <w:highlight w:val="none"/>
          <w:u w:val="single"/>
          <w:lang w:val="en-US"/>
        </w:rPr>
        <w:t>：http://zbtb.gd.gov.cn/）</w:t>
      </w:r>
      <w:r>
        <w:rPr>
          <w:rFonts w:hint="eastAsia" w:ascii="宋体" w:hAnsi="宋体" w:eastAsia="宋体" w:cs="宋体"/>
          <w:color w:val="auto"/>
          <w:sz w:val="24"/>
          <w:szCs w:val="24"/>
          <w:highlight w:val="none"/>
          <w:u w:val="single"/>
        </w:rPr>
        <w:t>和中国招标投标公共服务平台</w:t>
      </w:r>
      <w:r>
        <w:rPr>
          <w:rFonts w:hint="eastAsia" w:ascii="宋体" w:hAnsi="宋体" w:eastAsia="宋体" w:cs="宋体"/>
          <w:color w:val="auto"/>
          <w:sz w:val="24"/>
          <w:szCs w:val="24"/>
          <w:highlight w:val="none"/>
          <w:u w:val="single"/>
          <w:lang w:val="en-US"/>
        </w:rPr>
        <w:t>（</w:t>
      </w:r>
      <w:r>
        <w:rPr>
          <w:rFonts w:hint="eastAsia" w:ascii="宋体" w:hAnsi="宋体" w:eastAsia="宋体" w:cs="宋体"/>
          <w:color w:val="auto"/>
          <w:sz w:val="24"/>
          <w:szCs w:val="24"/>
          <w:highlight w:val="none"/>
          <w:u w:val="single"/>
        </w:rPr>
        <w:t>网址</w:t>
      </w:r>
      <w:r>
        <w:rPr>
          <w:rFonts w:hint="eastAsia" w:ascii="宋体" w:hAnsi="宋体" w:eastAsia="宋体" w:cs="宋体"/>
          <w:color w:val="auto"/>
          <w:sz w:val="24"/>
          <w:szCs w:val="24"/>
          <w:highlight w:val="none"/>
          <w:u w:val="single"/>
          <w:lang w:val="en-US"/>
        </w:rPr>
        <w:t>：http://www.cebpubservice.com/）</w:t>
      </w:r>
      <w:r>
        <w:rPr>
          <w:rFonts w:hint="eastAsia" w:ascii="宋体" w:hAnsi="宋体" w:eastAsia="宋体" w:cs="宋体"/>
          <w:color w:val="auto"/>
          <w:sz w:val="24"/>
          <w:szCs w:val="24"/>
          <w:highlight w:val="none"/>
          <w:u w:val="single"/>
        </w:rPr>
        <w:t>发布</w:t>
      </w:r>
      <w:r>
        <w:rPr>
          <w:rFonts w:hint="eastAsia" w:ascii="宋体" w:hAnsi="宋体" w:eastAsia="宋体" w:cs="宋体"/>
          <w:color w:val="auto"/>
          <w:sz w:val="24"/>
          <w:szCs w:val="24"/>
          <w:highlight w:val="none"/>
          <w:u w:val="single"/>
          <w:lang w:val="en-US"/>
        </w:rPr>
        <w:t>，</w:t>
      </w:r>
      <w:r>
        <w:rPr>
          <w:rFonts w:hint="eastAsia" w:ascii="宋体" w:hAnsi="宋体" w:eastAsia="宋体" w:cs="宋体"/>
          <w:color w:val="auto"/>
          <w:sz w:val="24"/>
          <w:szCs w:val="24"/>
          <w:highlight w:val="none"/>
          <w:u w:val="single"/>
        </w:rPr>
        <w:t>本公告的修改、补充在广州交易集团有限公司</w:t>
      </w:r>
      <w:r>
        <w:rPr>
          <w:rFonts w:hint="eastAsia" w:ascii="宋体" w:hAnsi="宋体" w:eastAsia="宋体" w:cs="宋体"/>
          <w:color w:val="auto"/>
          <w:sz w:val="24"/>
          <w:szCs w:val="24"/>
          <w:highlight w:val="none"/>
          <w:u w:val="single"/>
          <w:lang w:val="en-US"/>
        </w:rPr>
        <w:t>（</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u w:val="single"/>
          <w:lang w:val="en-US"/>
        </w:rPr>
        <w:t>）</w:t>
      </w:r>
      <w:r>
        <w:rPr>
          <w:rFonts w:hint="eastAsia" w:ascii="宋体" w:hAnsi="宋体" w:eastAsia="宋体" w:cs="宋体"/>
          <w:color w:val="auto"/>
          <w:sz w:val="24"/>
          <w:szCs w:val="24"/>
          <w:highlight w:val="none"/>
          <w:u w:val="single"/>
        </w:rPr>
        <w:t>网站</w:t>
      </w:r>
      <w:r>
        <w:rPr>
          <w:rFonts w:hint="eastAsia" w:ascii="宋体" w:hAnsi="宋体" w:eastAsia="宋体" w:cs="宋体"/>
          <w:color w:val="auto"/>
          <w:sz w:val="24"/>
          <w:szCs w:val="24"/>
          <w:highlight w:val="none"/>
        </w:rPr>
        <w:t>上发布。</w:t>
      </w:r>
    </w:p>
    <w:p w14:paraId="2872B5E2">
      <w:pPr>
        <w:pStyle w:val="21"/>
        <w:numPr>
          <w:ilvl w:val="0"/>
          <w:numId w:val="2"/>
        </w:numPr>
        <w:tabs>
          <w:tab w:val="left" w:pos="642"/>
        </w:tabs>
        <w:wordWrap w:val="0"/>
        <w:snapToGrid w:val="0"/>
        <w:spacing w:line="360" w:lineRule="auto"/>
        <w:ind w:left="0" w:firstLine="0"/>
        <w:rPr>
          <w:rFonts w:hint="eastAsia" w:ascii="宋体" w:hAnsi="宋体" w:eastAsia="宋体" w:cs="宋体"/>
          <w:b/>
          <w:color w:val="auto"/>
          <w:sz w:val="32"/>
          <w:highlight w:val="none"/>
          <w:lang w:val="en-US"/>
        </w:rPr>
      </w:pPr>
      <w:bookmarkStart w:id="12" w:name="_bookmark9"/>
      <w:bookmarkEnd w:id="12"/>
      <w:bookmarkStart w:id="13" w:name="_bookmark8"/>
      <w:bookmarkEnd w:id="13"/>
      <w:bookmarkStart w:id="14" w:name="_bookmark17"/>
      <w:bookmarkEnd w:id="14"/>
      <w:bookmarkStart w:id="15" w:name="_Toc492300552"/>
      <w:r>
        <w:rPr>
          <w:rFonts w:hint="eastAsia" w:ascii="宋体" w:hAnsi="宋体" w:eastAsia="宋体" w:cs="宋体"/>
          <w:b/>
          <w:color w:val="auto"/>
          <w:sz w:val="32"/>
          <w:highlight w:val="none"/>
          <w:lang w:val="en-US"/>
        </w:rPr>
        <w:t>异议受理</w:t>
      </w:r>
    </w:p>
    <w:p w14:paraId="53B864B6">
      <w:pPr>
        <w:widowControl/>
        <w:wordWrap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潜在投标人或利害关系人对本招标公告及招标文件有异议的，应当在投标截止时间10日前向招标人书面提出。</w:t>
      </w:r>
    </w:p>
    <w:p w14:paraId="63FC6A24">
      <w:pPr>
        <w:widowControl/>
        <w:wordWrap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异议受理部门：</w:t>
      </w:r>
      <w:r>
        <w:rPr>
          <w:rFonts w:hint="eastAsia" w:ascii="宋体" w:hAnsi="宋体" w:eastAsia="宋体" w:cs="宋体"/>
          <w:color w:val="auto"/>
          <w:sz w:val="24"/>
          <w:szCs w:val="24"/>
          <w:highlight w:val="none"/>
          <w:u w:val="single"/>
        </w:rPr>
        <w:t>广州新中轴海珠片区城市更新有限公司</w:t>
      </w:r>
    </w:p>
    <w:p w14:paraId="6580C09E">
      <w:pPr>
        <w:widowControl/>
        <w:wordWrap w:val="0"/>
        <w:snapToGrid w:val="0"/>
        <w:spacing w:line="360" w:lineRule="auto"/>
        <w:ind w:firstLine="480" w:firstLineChars="20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异议受理电话：</w:t>
      </w:r>
      <w:r>
        <w:rPr>
          <w:rFonts w:hint="eastAsia" w:ascii="宋体" w:hAnsi="宋体" w:eastAsia="宋体" w:cs="宋体"/>
          <w:bCs/>
          <w:color w:val="auto"/>
          <w:sz w:val="24"/>
          <w:szCs w:val="24"/>
          <w:highlight w:val="none"/>
          <w:u w:val="single"/>
        </w:rPr>
        <w:t>020-31716865</w:t>
      </w:r>
    </w:p>
    <w:p w14:paraId="176A4990">
      <w:pPr>
        <w:widowControl/>
        <w:wordWrap w:val="0"/>
        <w:snapToGrid w:val="0"/>
        <w:spacing w:line="360" w:lineRule="auto"/>
        <w:ind w:firstLine="480" w:firstLineChars="200"/>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sz w:val="24"/>
          <w:szCs w:val="24"/>
          <w:highlight w:val="none"/>
        </w:rPr>
        <w:t>地址：</w:t>
      </w:r>
      <w:r>
        <w:rPr>
          <w:rFonts w:hint="eastAsia" w:ascii="宋体" w:hAnsi="宋体" w:eastAsia="宋体" w:cs="宋体"/>
          <w:color w:val="auto"/>
          <w:sz w:val="24"/>
          <w:szCs w:val="24"/>
          <w:highlight w:val="none"/>
          <w:u w:val="single"/>
        </w:rPr>
        <w:t>广州市海珠区新港中路419号前座自编1001房号（仅限办公）</w:t>
      </w:r>
    </w:p>
    <w:p w14:paraId="6394DCD2">
      <w:pPr>
        <w:wordWrap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0E85761">
      <w:pPr>
        <w:pStyle w:val="21"/>
        <w:numPr>
          <w:ilvl w:val="0"/>
          <w:numId w:val="2"/>
        </w:numPr>
        <w:tabs>
          <w:tab w:val="left" w:pos="642"/>
        </w:tabs>
        <w:wordWrap w:val="0"/>
        <w:snapToGrid w:val="0"/>
        <w:spacing w:line="360" w:lineRule="auto"/>
        <w:ind w:left="0" w:firstLine="0"/>
        <w:rPr>
          <w:rFonts w:hint="eastAsia" w:ascii="宋体" w:hAnsi="宋体" w:eastAsia="宋体" w:cs="宋体"/>
          <w:b/>
          <w:color w:val="auto"/>
          <w:sz w:val="32"/>
          <w:highlight w:val="none"/>
          <w:lang w:val="en-US"/>
        </w:rPr>
      </w:pPr>
      <w:r>
        <w:rPr>
          <w:rFonts w:hint="eastAsia" w:ascii="宋体" w:hAnsi="宋体" w:eastAsia="宋体" w:cs="宋体"/>
          <w:b/>
          <w:color w:val="auto"/>
          <w:sz w:val="32"/>
          <w:highlight w:val="none"/>
          <w:lang w:val="en-US"/>
        </w:rPr>
        <w:t>联系方式</w:t>
      </w:r>
      <w:bookmarkEnd w:id="15"/>
    </w:p>
    <w:p w14:paraId="4C6CFE14">
      <w:pPr>
        <w:wordWrap w:val="0"/>
        <w:topLinePunct/>
        <w:snapToGrid w:val="0"/>
        <w:spacing w:line="360" w:lineRule="auto"/>
        <w:ind w:firstLine="480" w:firstLineChars="200"/>
        <w:rPr>
          <w:rFonts w:hint="eastAsia" w:ascii="宋体" w:hAnsi="宋体" w:eastAsia="宋体" w:cs="宋体"/>
          <w:color w:val="auto"/>
          <w:sz w:val="24"/>
          <w:szCs w:val="24"/>
          <w:highlight w:val="none"/>
        </w:rPr>
      </w:pPr>
      <w:bookmarkStart w:id="16" w:name="_Toc361508563"/>
      <w:bookmarkEnd w:id="16"/>
      <w:bookmarkStart w:id="17" w:name="_Toc152042288"/>
      <w:bookmarkEnd w:id="17"/>
      <w:bookmarkStart w:id="18" w:name="_Toc361508562"/>
      <w:bookmarkEnd w:id="18"/>
      <w:bookmarkStart w:id="19" w:name="_Toc384308188"/>
      <w:bookmarkEnd w:id="19"/>
      <w:bookmarkStart w:id="20" w:name="_Toc144974481"/>
      <w:bookmarkEnd w:id="20"/>
      <w:bookmarkStart w:id="21" w:name="_Toc352691455"/>
      <w:bookmarkEnd w:id="21"/>
      <w:bookmarkStart w:id="22" w:name="_Toc369531495"/>
      <w:bookmarkEnd w:id="22"/>
      <w:bookmarkStart w:id="23" w:name="_Toc384308185"/>
      <w:bookmarkEnd w:id="23"/>
      <w:bookmarkStart w:id="24" w:name="_Toc144974480"/>
      <w:bookmarkEnd w:id="24"/>
      <w:bookmarkStart w:id="25" w:name="_Toc384308187"/>
      <w:bookmarkEnd w:id="25"/>
      <w:bookmarkStart w:id="26" w:name="_Toc17972"/>
      <w:bookmarkEnd w:id="26"/>
      <w:bookmarkStart w:id="27" w:name="_Toc247513935"/>
      <w:bookmarkEnd w:id="27"/>
      <w:bookmarkStart w:id="28" w:name="_Toc300834927"/>
      <w:bookmarkEnd w:id="28"/>
      <w:bookmarkStart w:id="29" w:name="_Toc152045512"/>
      <w:bookmarkEnd w:id="29"/>
      <w:bookmarkStart w:id="30" w:name="_Toc300834929"/>
      <w:bookmarkEnd w:id="30"/>
      <w:bookmarkStart w:id="31" w:name="_Toc247513934"/>
      <w:bookmarkEnd w:id="31"/>
      <w:bookmarkStart w:id="32" w:name="_Toc300834930"/>
      <w:bookmarkEnd w:id="32"/>
      <w:bookmarkStart w:id="33" w:name="_Toc369531497"/>
      <w:bookmarkEnd w:id="33"/>
      <w:bookmarkStart w:id="34" w:name="_Toc352691456"/>
      <w:bookmarkEnd w:id="34"/>
      <w:bookmarkStart w:id="35" w:name="_Toc247527536"/>
      <w:bookmarkEnd w:id="35"/>
      <w:bookmarkStart w:id="36" w:name="_Toc361508560"/>
      <w:bookmarkEnd w:id="36"/>
      <w:bookmarkStart w:id="37" w:name="_Toc247527535"/>
      <w:bookmarkEnd w:id="37"/>
      <w:bookmarkStart w:id="38" w:name="_Toc30817"/>
      <w:bookmarkEnd w:id="38"/>
      <w:bookmarkStart w:id="39" w:name="_Toc152042289"/>
      <w:bookmarkEnd w:id="39"/>
      <w:bookmarkStart w:id="40" w:name="_Toc369531498"/>
      <w:bookmarkEnd w:id="40"/>
      <w:bookmarkStart w:id="41" w:name="_Toc152045513"/>
      <w:bookmarkEnd w:id="41"/>
      <w:bookmarkStart w:id="42" w:name="_Toc10785"/>
      <w:bookmarkEnd w:id="42"/>
      <w:bookmarkStart w:id="43" w:name="_Toc352691453"/>
      <w:bookmarkEnd w:id="43"/>
      <w:r>
        <w:rPr>
          <w:rFonts w:hint="eastAsia" w:ascii="宋体" w:hAnsi="宋体" w:eastAsia="宋体" w:cs="宋体"/>
          <w:color w:val="auto"/>
          <w:sz w:val="24"/>
          <w:szCs w:val="24"/>
          <w:highlight w:val="none"/>
          <w:lang w:val="en-US"/>
        </w:rPr>
        <w:t>招标人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广州新中轴海珠片区城市更新有限公司</w:t>
      </w:r>
    </w:p>
    <w:p w14:paraId="0C5C16F1">
      <w:pPr>
        <w:wordWrap w:val="0"/>
        <w:topLinePunct/>
        <w:snapToGrid w:val="0"/>
        <w:spacing w:line="360" w:lineRule="auto"/>
        <w:ind w:firstLine="480" w:firstLineChars="200"/>
        <w:rPr>
          <w:rFonts w:hint="eastAsia" w:ascii="宋体" w:hAnsi="宋体" w:eastAsia="宋体" w:cs="宋体"/>
          <w:color w:val="auto"/>
          <w:sz w:val="24"/>
          <w:szCs w:val="24"/>
          <w:highlight w:val="none"/>
          <w:u w:val="single"/>
          <w:lang w:val="en-US"/>
        </w:rPr>
      </w:pPr>
      <w:bookmarkStart w:id="44" w:name="_Hlk85835514"/>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广州市海珠区新港中路419号前座自编1001房号（仅限办公）</w:t>
      </w:r>
    </w:p>
    <w:bookmarkEnd w:id="44"/>
    <w:p w14:paraId="43E8CE94">
      <w:pPr>
        <w:wordWrap w:val="0"/>
        <w:topLinePunct/>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吴工</w:t>
      </w:r>
    </w:p>
    <w:p w14:paraId="5549D1FD">
      <w:pPr>
        <w:wordWrap w:val="0"/>
        <w:topLinePunct/>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020-31716865</w:t>
      </w:r>
    </w:p>
    <w:p w14:paraId="633D966B">
      <w:pPr>
        <w:wordWrap w:val="0"/>
        <w:topLinePunct/>
        <w:snapToGrid w:val="0"/>
        <w:spacing w:line="360" w:lineRule="auto"/>
        <w:ind w:firstLine="480" w:firstLineChars="200"/>
        <w:rPr>
          <w:rFonts w:hint="eastAsia" w:ascii="宋体" w:hAnsi="宋体" w:eastAsia="宋体" w:cs="宋体"/>
          <w:color w:val="auto"/>
          <w:sz w:val="24"/>
          <w:szCs w:val="24"/>
          <w:highlight w:val="none"/>
        </w:rPr>
      </w:pPr>
    </w:p>
    <w:p w14:paraId="0C09C908">
      <w:pPr>
        <w:wordWrap w:val="0"/>
        <w:topLinePunct/>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highlight w:val="none"/>
          <w:u w:val="single"/>
          <w:lang w:eastAsia="zh-CN"/>
        </w:rPr>
        <w:t>北京中交建设工程咨询有限公司</w:t>
      </w:r>
    </w:p>
    <w:p w14:paraId="6E71DD85">
      <w:pPr>
        <w:wordWrap w:val="0"/>
        <w:topLinePunct/>
        <w:snapToGrid w:val="0"/>
        <w:spacing w:line="360" w:lineRule="auto"/>
        <w:ind w:firstLine="480" w:firstLineChars="200"/>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广州市天河区黄埔大道西159号富星商贸大厦西塔7楼</w:t>
      </w:r>
    </w:p>
    <w:p w14:paraId="214C1833">
      <w:pPr>
        <w:wordWrap w:val="0"/>
        <w:topLinePunct/>
        <w:snapToGrid w:val="0"/>
        <w:spacing w:line="360" w:lineRule="auto"/>
        <w:ind w:firstLine="480" w:firstLineChars="200"/>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eastAsia="zh-CN"/>
        </w:rPr>
        <w:t>罗</w:t>
      </w:r>
      <w:r>
        <w:rPr>
          <w:rFonts w:hint="eastAsia" w:ascii="宋体" w:hAnsi="宋体" w:eastAsia="宋体" w:cs="宋体"/>
          <w:color w:val="auto"/>
          <w:sz w:val="24"/>
          <w:szCs w:val="24"/>
          <w:highlight w:val="none"/>
          <w:u w:val="single"/>
        </w:rPr>
        <w:t>工</w:t>
      </w:r>
    </w:p>
    <w:p w14:paraId="7F49311E">
      <w:pPr>
        <w:wordWrap w:val="0"/>
        <w:topLinePunct/>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020-87575800-81</w:t>
      </w:r>
      <w:r>
        <w:rPr>
          <w:rFonts w:hint="eastAsia" w:ascii="宋体" w:hAnsi="宋体" w:eastAsia="宋体" w:cs="宋体"/>
          <w:color w:val="auto"/>
          <w:sz w:val="24"/>
          <w:szCs w:val="24"/>
          <w:highlight w:val="none"/>
          <w:u w:val="single"/>
          <w:lang w:val="en-US" w:eastAsia="zh-CN"/>
        </w:rPr>
        <w:t>0</w:t>
      </w:r>
    </w:p>
    <w:p w14:paraId="5391A42E">
      <w:pPr>
        <w:wordWrap w:val="0"/>
        <w:topLinePunct/>
        <w:snapToGrid w:val="0"/>
        <w:spacing w:line="360" w:lineRule="auto"/>
        <w:ind w:firstLine="480" w:firstLineChars="200"/>
        <w:rPr>
          <w:rFonts w:hint="eastAsia" w:ascii="宋体" w:hAnsi="宋体" w:eastAsia="宋体" w:cs="宋体"/>
          <w:color w:val="auto"/>
          <w:sz w:val="24"/>
          <w:szCs w:val="24"/>
          <w:highlight w:val="none"/>
        </w:rPr>
      </w:pPr>
    </w:p>
    <w:p w14:paraId="35EE4EE0">
      <w:pPr>
        <w:wordWrap w:val="0"/>
        <w:topLinePunct/>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招标监督机构：</w:t>
      </w:r>
      <w:r>
        <w:rPr>
          <w:rFonts w:hint="eastAsia" w:ascii="宋体" w:hAnsi="宋体" w:eastAsia="宋体" w:cs="宋体"/>
          <w:color w:val="auto"/>
          <w:sz w:val="24"/>
          <w:szCs w:val="24"/>
          <w:highlight w:val="none"/>
          <w:u w:val="single"/>
        </w:rPr>
        <w:t>广州市海珠区建设工程招标管理办公室</w:t>
      </w:r>
    </w:p>
    <w:p w14:paraId="1254AE56">
      <w:pPr>
        <w:wordWrap w:val="0"/>
        <w:topLinePunct/>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020-89885682</w:t>
      </w:r>
    </w:p>
    <w:p w14:paraId="55B0CD3E">
      <w:pPr>
        <w:wordWrap w:val="0"/>
        <w:topLinePunct/>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监督电话：</w:t>
      </w:r>
      <w:r>
        <w:rPr>
          <w:rFonts w:hint="eastAsia" w:ascii="宋体" w:hAnsi="宋体" w:eastAsia="宋体" w:cs="宋体"/>
          <w:color w:val="auto"/>
          <w:sz w:val="24"/>
          <w:szCs w:val="24"/>
          <w:highlight w:val="none"/>
          <w:u w:val="single"/>
        </w:rPr>
        <w:t>广州市海珠区新港中路472号</w:t>
      </w:r>
    </w:p>
    <w:p w14:paraId="7ABE9F9B">
      <w:pPr>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u w:val="single"/>
          <w:lang w:val="en-US"/>
        </w:rPr>
        <w:br w:type="page"/>
      </w:r>
    </w:p>
    <w:p w14:paraId="7DFE0693">
      <w:pPr>
        <w:pStyle w:val="6"/>
        <w:wordWrap w:val="0"/>
        <w:rPr>
          <w:rFonts w:hint="eastAsia" w:ascii="宋体" w:hAnsi="宋体" w:eastAsia="宋体" w:cs="宋体"/>
          <w:color w:val="auto"/>
          <w:sz w:val="24"/>
          <w:highlight w:val="none"/>
          <w:u w:val="single"/>
          <w:lang w:val="en-US"/>
        </w:rPr>
      </w:pPr>
      <w:r>
        <w:rPr>
          <w:rFonts w:hint="eastAsia" w:ascii="宋体" w:hAnsi="宋体" w:eastAsia="宋体" w:cs="宋体"/>
          <w:color w:val="auto"/>
          <w:sz w:val="24"/>
          <w:highlight w:val="none"/>
          <w:u w:val="single"/>
          <w:lang w:val="en-US"/>
        </w:rPr>
        <w:t>附件一：</w:t>
      </w:r>
    </w:p>
    <w:p w14:paraId="154F2C9E">
      <w:pPr>
        <w:wordWrap w:val="0"/>
        <w:spacing w:before="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投标人声明</w:t>
      </w:r>
    </w:p>
    <w:p w14:paraId="196F5C94">
      <w:pPr>
        <w:pStyle w:val="14"/>
        <w:wordWrap w:val="0"/>
        <w:rPr>
          <w:rFonts w:hint="eastAsia" w:ascii="宋体" w:hAnsi="宋体" w:eastAsia="宋体" w:cs="宋体"/>
          <w:color w:val="auto"/>
          <w:highlight w:val="none"/>
        </w:rPr>
      </w:pPr>
    </w:p>
    <w:p w14:paraId="603F4F90">
      <w:pPr>
        <w:wordWrap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广州市住房和城乡建设局、本招标项目招标人及招标监管机构：</w:t>
      </w:r>
    </w:p>
    <w:p w14:paraId="77DC312F">
      <w:pPr>
        <w:wordWrap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项目投标工作，作出郑重声明：</w:t>
      </w:r>
    </w:p>
    <w:p w14:paraId="5557CB2A">
      <w:pPr>
        <w:wordWrap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一、本公司保证投标报名材料及其后提供的一切材料都是真实的。如我司成为本项目中标候选人，我司同意并授权招标人将我司投标文件商务部分的人员、业绩、奖项等资料进行公开。</w:t>
      </w:r>
    </w:p>
    <w:p w14:paraId="2419E419">
      <w:pPr>
        <w:wordWrap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本公司承诺遵循公平、公正、公开、诚实信用原则，在本项目投标中诚信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不存在少放、不放业绩、奖项等客观评审资料，减少自身竞争力的情形，若存在以上情形的，将自愿接受被招标人列入拒绝投标名单，不能参与招标人后续招标项目的投标。</w:t>
      </w:r>
    </w:p>
    <w:p w14:paraId="105064C2">
      <w:pPr>
        <w:wordWrap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三、本公司不存在招标文件第二章投标人须知第1.4.3项所规定的任何一种情形。</w:t>
      </w:r>
    </w:p>
    <w:p w14:paraId="77361980">
      <w:pPr>
        <w:wordWrap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四、本公司及其有隶属关系的机构，没有参加本项目招标文件的编写工作；本公司与本次招标的招标代理机构没有隶属关系或其他利害关系。</w:t>
      </w:r>
    </w:p>
    <w:p w14:paraId="717D3816">
      <w:pPr>
        <w:wordWrap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五、本公司承诺，中标后严格执行安全生产相关管理规定。</w:t>
      </w:r>
    </w:p>
    <w:p w14:paraId="6BDD961B">
      <w:pPr>
        <w:wordWrap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六、与本公司单位负责人为同一人或者与本公司存在控股、管理关系的其他单位包括：</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。（注：本条由投标人如实填写，如有，应列出全部满足招标公告资质要求的相关单位的名称；如无，则填写“无”。）</w:t>
      </w:r>
    </w:p>
    <w:p w14:paraId="2ED47C3A">
      <w:pPr>
        <w:wordWrap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本公司违反上述承诺，或本声明陈述与事实不符，经查实，本公司愿意接受公开通报，愿意按照《广州市建筑市场信用管理办法》（穗建规字﹝20</w:t>
      </w:r>
      <w:r>
        <w:rPr>
          <w:rFonts w:hint="eastAsia" w:ascii="宋体" w:hAnsi="宋体" w:eastAsia="宋体" w:cs="宋体"/>
          <w:bCs/>
          <w:color w:val="auto"/>
          <w:sz w:val="24"/>
          <w:szCs w:val="24"/>
          <w:highlight w:val="none"/>
          <w:lang w:val="en-US"/>
        </w:rPr>
        <w:t>19</w:t>
      </w:r>
      <w:r>
        <w:rPr>
          <w:rFonts w:hint="eastAsia" w:ascii="宋体" w:hAnsi="宋体" w:eastAsia="宋体" w:cs="宋体"/>
          <w:bCs/>
          <w:color w:val="auto"/>
          <w:sz w:val="24"/>
          <w:szCs w:val="24"/>
          <w:highlight w:val="none"/>
        </w:rPr>
        <w:t>﹞16号）的规定被记录为失信信息，承担由此带来的一切后果，并自愿停止参加广州市行政辖区内的招标投标活动三个月。</w:t>
      </w:r>
    </w:p>
    <w:p w14:paraId="28AE7EA2">
      <w:pPr>
        <w:widowControl/>
        <w:shd w:val="clear" w:color="auto" w:fill="FFFFFF"/>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93CE438">
      <w:pPr>
        <w:wordWrap w:val="0"/>
        <w:snapToGrid w:val="0"/>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声明企业：            </w:t>
      </w:r>
    </w:p>
    <w:p w14:paraId="400C0A3E">
      <w:pPr>
        <w:wordWrap w:val="0"/>
        <w:snapToGrid w:val="0"/>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         （签字）</w:t>
      </w:r>
    </w:p>
    <w:p w14:paraId="5BA4AE5D">
      <w:pPr>
        <w:widowControl/>
        <w:wordWrap w:val="0"/>
        <w:snapToGrid w:val="0"/>
        <w:spacing w:line="360" w:lineRule="auto"/>
        <w:ind w:firstLine="4252" w:firstLineChars="1772"/>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r>
        <w:rPr>
          <w:rFonts w:hint="eastAsia" w:ascii="宋体" w:hAnsi="宋体" w:eastAsia="宋体" w:cs="宋体"/>
          <w:color w:val="auto"/>
          <w:highlight w:val="none"/>
          <w:lang w:val="en-US"/>
        </w:rPr>
        <w:br w:type="page"/>
      </w:r>
    </w:p>
    <w:p w14:paraId="4C46E2F4">
      <w:pPr>
        <w:pStyle w:val="6"/>
        <w:wordWrap w:val="0"/>
        <w:rPr>
          <w:rFonts w:hint="eastAsia" w:ascii="宋体" w:hAnsi="宋体" w:eastAsia="宋体" w:cs="宋体"/>
          <w:color w:val="auto"/>
          <w:sz w:val="24"/>
          <w:highlight w:val="none"/>
          <w:u w:val="single"/>
          <w:lang w:val="en-US"/>
        </w:rPr>
      </w:pPr>
      <w:r>
        <w:rPr>
          <w:rFonts w:hint="eastAsia" w:ascii="宋体" w:hAnsi="宋体" w:eastAsia="宋体" w:cs="宋体"/>
          <w:color w:val="auto"/>
          <w:sz w:val="24"/>
          <w:highlight w:val="none"/>
          <w:u w:val="single"/>
          <w:lang w:val="en-US"/>
        </w:rPr>
        <w:t>附件二：</w:t>
      </w:r>
    </w:p>
    <w:p w14:paraId="567D9A6F">
      <w:pPr>
        <w:pStyle w:val="27"/>
        <w:ind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监理项目管理团队人员信息表</w:t>
      </w:r>
    </w:p>
    <w:tbl>
      <w:tblPr>
        <w:tblStyle w:val="1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45"/>
        <w:gridCol w:w="3100"/>
        <w:gridCol w:w="993"/>
        <w:gridCol w:w="2693"/>
      </w:tblGrid>
      <w:tr w14:paraId="505F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B9A6E77">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5E8C9269">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3100" w:type="dxa"/>
            <w:tcBorders>
              <w:top w:val="single" w:color="auto" w:sz="4" w:space="0"/>
              <w:left w:val="single" w:color="auto" w:sz="4" w:space="0"/>
              <w:bottom w:val="single" w:color="auto" w:sz="4" w:space="0"/>
              <w:right w:val="single" w:color="auto" w:sz="4" w:space="0"/>
            </w:tcBorders>
            <w:vAlign w:val="center"/>
          </w:tcPr>
          <w:p w14:paraId="51D9B56A">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w:t>
            </w:r>
          </w:p>
        </w:tc>
        <w:tc>
          <w:tcPr>
            <w:tcW w:w="993" w:type="dxa"/>
            <w:tcBorders>
              <w:top w:val="single" w:color="auto" w:sz="4" w:space="0"/>
              <w:left w:val="single" w:color="auto" w:sz="4" w:space="0"/>
              <w:bottom w:val="single" w:color="auto" w:sz="4" w:space="0"/>
              <w:right w:val="single" w:color="auto" w:sz="4" w:space="0"/>
            </w:tcBorders>
            <w:vAlign w:val="center"/>
          </w:tcPr>
          <w:p w14:paraId="2811733C">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职称</w:t>
            </w:r>
          </w:p>
        </w:tc>
        <w:tc>
          <w:tcPr>
            <w:tcW w:w="2693" w:type="dxa"/>
            <w:tcBorders>
              <w:top w:val="single" w:color="auto" w:sz="4" w:space="0"/>
              <w:left w:val="single" w:color="auto" w:sz="4" w:space="0"/>
              <w:bottom w:val="single" w:color="auto" w:sz="4" w:space="0"/>
              <w:right w:val="single" w:color="auto" w:sz="4" w:space="0"/>
            </w:tcBorders>
            <w:vAlign w:val="center"/>
          </w:tcPr>
          <w:p w14:paraId="407E8277">
            <w:pPr>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职称证书或资格证书编号</w:t>
            </w:r>
          </w:p>
        </w:tc>
      </w:tr>
      <w:tr w14:paraId="64C7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78EEAF8">
            <w:pPr>
              <w:spacing w:line="360" w:lineRule="auto"/>
              <w:jc w:val="center"/>
              <w:rPr>
                <w:rFonts w:hint="eastAsia" w:ascii="宋体" w:hAnsi="宋体" w:eastAsia="宋体" w:cs="宋体"/>
                <w:snapToGrid w:val="0"/>
                <w:color w:val="auto"/>
                <w:spacing w:val="4"/>
                <w:sz w:val="21"/>
                <w:szCs w:val="21"/>
                <w:highlight w:val="none"/>
                <w:lang w:bidi="ar"/>
              </w:rPr>
            </w:pPr>
            <w:r>
              <w:rPr>
                <w:rFonts w:hint="eastAsia" w:ascii="宋体" w:hAnsi="宋体" w:eastAsia="宋体" w:cs="宋体"/>
                <w:snapToGrid w:val="0"/>
                <w:color w:val="auto"/>
                <w:spacing w:val="4"/>
                <w:sz w:val="21"/>
                <w:szCs w:val="21"/>
                <w:highlight w:val="none"/>
                <w:lang w:bidi="ar"/>
              </w:rPr>
              <w:t>1</w:t>
            </w:r>
          </w:p>
        </w:tc>
        <w:tc>
          <w:tcPr>
            <w:tcW w:w="1245" w:type="dxa"/>
            <w:tcBorders>
              <w:top w:val="single" w:color="auto" w:sz="4" w:space="0"/>
              <w:left w:val="single" w:color="auto" w:sz="4" w:space="0"/>
              <w:bottom w:val="single" w:color="auto" w:sz="4" w:space="0"/>
              <w:right w:val="single" w:color="auto" w:sz="4" w:space="0"/>
            </w:tcBorders>
            <w:vAlign w:val="center"/>
          </w:tcPr>
          <w:p w14:paraId="10D8E08C">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B2B1407">
            <w:pPr>
              <w:pStyle w:val="28"/>
              <w:spacing w:line="240" w:lineRule="auto"/>
              <w:jc w:val="center"/>
              <w:rPr>
                <w:rFonts w:hint="eastAsia" w:ascii="宋体" w:hAnsi="宋体" w:eastAsia="宋体" w:cs="宋体"/>
                <w:snapToGrid w:val="0"/>
                <w:color w:val="auto"/>
                <w:kern w:val="2"/>
                <w:highlight w:val="none"/>
                <w:lang w:val="en-US" w:bidi="ar-SA"/>
                <w14:ligatures w14:val="standardContextual"/>
              </w:rPr>
            </w:pPr>
            <w:r>
              <w:rPr>
                <w:rFonts w:hint="eastAsia" w:ascii="宋体" w:hAnsi="宋体" w:eastAsia="宋体" w:cs="宋体"/>
                <w:snapToGrid w:val="0"/>
                <w:color w:val="auto"/>
                <w:kern w:val="2"/>
                <w:highlight w:val="none"/>
                <w:lang w:val="en-US" w:eastAsia="en-US" w:bidi="ar-SA"/>
              </w:rPr>
              <w:t>指挥长</w:t>
            </w:r>
          </w:p>
        </w:tc>
        <w:tc>
          <w:tcPr>
            <w:tcW w:w="993" w:type="dxa"/>
            <w:tcBorders>
              <w:top w:val="single" w:color="auto" w:sz="4" w:space="0"/>
              <w:left w:val="single" w:color="auto" w:sz="4" w:space="0"/>
              <w:bottom w:val="single" w:color="auto" w:sz="4" w:space="0"/>
              <w:right w:val="single" w:color="auto" w:sz="4" w:space="0"/>
            </w:tcBorders>
            <w:vAlign w:val="center"/>
          </w:tcPr>
          <w:p w14:paraId="6EAC4115">
            <w:pPr>
              <w:spacing w:line="360" w:lineRule="auto"/>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6149BC3C">
            <w:pPr>
              <w:spacing w:line="360" w:lineRule="auto"/>
              <w:rPr>
                <w:rFonts w:hint="eastAsia" w:ascii="宋体" w:hAnsi="宋体" w:eastAsia="宋体" w:cs="宋体"/>
                <w:snapToGrid w:val="0"/>
                <w:color w:val="auto"/>
                <w:spacing w:val="4"/>
                <w:sz w:val="21"/>
                <w:szCs w:val="21"/>
                <w:highlight w:val="none"/>
                <w:lang w:bidi="ar"/>
              </w:rPr>
            </w:pPr>
          </w:p>
        </w:tc>
      </w:tr>
      <w:tr w14:paraId="4D4E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B4F409B">
            <w:pPr>
              <w:spacing w:line="360" w:lineRule="auto"/>
              <w:jc w:val="center"/>
              <w:rPr>
                <w:rFonts w:hint="eastAsia" w:ascii="宋体" w:hAnsi="宋体" w:eastAsia="宋体" w:cs="宋体"/>
                <w:snapToGrid w:val="0"/>
                <w:color w:val="auto"/>
                <w:spacing w:val="4"/>
                <w:sz w:val="21"/>
                <w:szCs w:val="21"/>
                <w:highlight w:val="none"/>
                <w:lang w:bidi="ar"/>
              </w:rPr>
            </w:pPr>
            <w:r>
              <w:rPr>
                <w:rFonts w:hint="eastAsia" w:ascii="宋体" w:hAnsi="宋体" w:eastAsia="宋体" w:cs="宋体"/>
                <w:snapToGrid w:val="0"/>
                <w:color w:val="auto"/>
                <w:spacing w:val="4"/>
                <w:sz w:val="21"/>
                <w:szCs w:val="21"/>
                <w:highlight w:val="none"/>
                <w:lang w:bidi="ar"/>
              </w:rPr>
              <w:t>2</w:t>
            </w:r>
          </w:p>
        </w:tc>
        <w:tc>
          <w:tcPr>
            <w:tcW w:w="1245" w:type="dxa"/>
            <w:tcBorders>
              <w:top w:val="single" w:color="auto" w:sz="4" w:space="0"/>
              <w:left w:val="single" w:color="auto" w:sz="4" w:space="0"/>
              <w:bottom w:val="single" w:color="auto" w:sz="4" w:space="0"/>
              <w:right w:val="single" w:color="auto" w:sz="4" w:space="0"/>
            </w:tcBorders>
            <w:vAlign w:val="center"/>
          </w:tcPr>
          <w:p w14:paraId="3A6E49CF">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4125953">
            <w:pPr>
              <w:pStyle w:val="28"/>
              <w:spacing w:line="240" w:lineRule="auto"/>
              <w:jc w:val="center"/>
              <w:rPr>
                <w:rFonts w:hint="eastAsia" w:ascii="宋体" w:hAnsi="宋体" w:eastAsia="宋体" w:cs="宋体"/>
                <w:snapToGrid w:val="0"/>
                <w:color w:val="auto"/>
                <w:kern w:val="2"/>
                <w:highlight w:val="none"/>
                <w:lang w:val="en-US" w:bidi="ar-SA"/>
                <w14:ligatures w14:val="standardContextual"/>
              </w:rPr>
            </w:pPr>
            <w:r>
              <w:rPr>
                <w:rFonts w:hint="eastAsia" w:ascii="宋体" w:hAnsi="宋体" w:eastAsia="宋体" w:cs="宋体"/>
                <w:color w:val="auto"/>
                <w:highlight w:val="none"/>
              </w:rPr>
              <w:t>造价负责人</w:t>
            </w:r>
          </w:p>
        </w:tc>
        <w:tc>
          <w:tcPr>
            <w:tcW w:w="993" w:type="dxa"/>
            <w:tcBorders>
              <w:top w:val="single" w:color="auto" w:sz="4" w:space="0"/>
              <w:left w:val="single" w:color="auto" w:sz="4" w:space="0"/>
              <w:bottom w:val="single" w:color="auto" w:sz="4" w:space="0"/>
              <w:right w:val="single" w:color="auto" w:sz="4" w:space="0"/>
            </w:tcBorders>
            <w:vAlign w:val="center"/>
          </w:tcPr>
          <w:p w14:paraId="3EF997CC">
            <w:pPr>
              <w:spacing w:line="360" w:lineRule="auto"/>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0841545D">
            <w:pPr>
              <w:spacing w:line="360" w:lineRule="auto"/>
              <w:rPr>
                <w:rFonts w:hint="eastAsia" w:ascii="宋体" w:hAnsi="宋体" w:eastAsia="宋体" w:cs="宋体"/>
                <w:snapToGrid w:val="0"/>
                <w:color w:val="auto"/>
                <w:spacing w:val="4"/>
                <w:sz w:val="21"/>
                <w:szCs w:val="21"/>
                <w:highlight w:val="none"/>
                <w:lang w:bidi="ar"/>
              </w:rPr>
            </w:pPr>
          </w:p>
        </w:tc>
      </w:tr>
      <w:tr w14:paraId="0CA5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4BFFB318">
            <w:pPr>
              <w:spacing w:line="360" w:lineRule="auto"/>
              <w:jc w:val="center"/>
              <w:rPr>
                <w:rFonts w:hint="eastAsia" w:ascii="宋体" w:hAnsi="宋体" w:eastAsia="宋体" w:cs="宋体"/>
                <w:snapToGrid w:val="0"/>
                <w:color w:val="auto"/>
                <w:spacing w:val="4"/>
                <w:sz w:val="21"/>
                <w:szCs w:val="21"/>
                <w:highlight w:val="none"/>
                <w:lang w:val="en-US" w:bidi="ar"/>
                <w14:ligatures w14:val="standardContextual"/>
              </w:rPr>
            </w:pPr>
            <w:r>
              <w:rPr>
                <w:rFonts w:hint="eastAsia" w:ascii="宋体" w:hAnsi="宋体" w:eastAsia="宋体" w:cs="宋体"/>
                <w:snapToGrid w:val="0"/>
                <w:color w:val="auto"/>
                <w:spacing w:val="4"/>
                <w:sz w:val="21"/>
                <w:szCs w:val="21"/>
                <w:highlight w:val="none"/>
                <w:lang w:bidi="ar"/>
              </w:rPr>
              <w:t>3</w:t>
            </w:r>
          </w:p>
        </w:tc>
        <w:tc>
          <w:tcPr>
            <w:tcW w:w="1245" w:type="dxa"/>
            <w:tcBorders>
              <w:top w:val="single" w:color="auto" w:sz="4" w:space="0"/>
              <w:left w:val="single" w:color="auto" w:sz="4" w:space="0"/>
              <w:bottom w:val="single" w:color="auto" w:sz="4" w:space="0"/>
              <w:right w:val="single" w:color="auto" w:sz="4" w:space="0"/>
            </w:tcBorders>
            <w:vAlign w:val="center"/>
          </w:tcPr>
          <w:p w14:paraId="2B868AA5">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3819722">
            <w:pPr>
              <w:pStyle w:val="28"/>
              <w:spacing w:line="240" w:lineRule="auto"/>
              <w:jc w:val="center"/>
              <w:rPr>
                <w:rFonts w:hint="eastAsia" w:ascii="宋体" w:hAnsi="宋体" w:eastAsia="宋体" w:cs="宋体"/>
                <w:snapToGrid w:val="0"/>
                <w:color w:val="auto"/>
                <w:highlight w:val="none"/>
              </w:rPr>
            </w:pPr>
            <w:r>
              <w:rPr>
                <w:rFonts w:hint="eastAsia" w:ascii="宋体" w:hAnsi="宋体" w:eastAsia="宋体" w:cs="宋体"/>
                <w:bCs/>
                <w:color w:val="auto"/>
                <w:highlight w:val="none"/>
              </w:rPr>
              <w:t>总监代表</w:t>
            </w:r>
          </w:p>
        </w:tc>
        <w:tc>
          <w:tcPr>
            <w:tcW w:w="993" w:type="dxa"/>
            <w:tcBorders>
              <w:top w:val="single" w:color="auto" w:sz="4" w:space="0"/>
              <w:left w:val="single" w:color="auto" w:sz="4" w:space="0"/>
              <w:bottom w:val="single" w:color="auto" w:sz="4" w:space="0"/>
              <w:right w:val="single" w:color="auto" w:sz="4" w:space="0"/>
            </w:tcBorders>
            <w:vAlign w:val="center"/>
          </w:tcPr>
          <w:p w14:paraId="7D8FE038">
            <w:pPr>
              <w:spacing w:line="360" w:lineRule="auto"/>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1399C1A0">
            <w:pPr>
              <w:spacing w:line="360" w:lineRule="auto"/>
              <w:rPr>
                <w:rFonts w:hint="eastAsia" w:ascii="宋体" w:hAnsi="宋体" w:eastAsia="宋体" w:cs="宋体"/>
                <w:snapToGrid w:val="0"/>
                <w:color w:val="auto"/>
                <w:spacing w:val="4"/>
                <w:sz w:val="21"/>
                <w:szCs w:val="21"/>
                <w:highlight w:val="none"/>
                <w:lang w:bidi="ar"/>
              </w:rPr>
            </w:pPr>
          </w:p>
        </w:tc>
      </w:tr>
      <w:tr w14:paraId="2BD4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5365190F">
            <w:pPr>
              <w:spacing w:line="360" w:lineRule="auto"/>
              <w:jc w:val="center"/>
              <w:rPr>
                <w:rFonts w:hint="eastAsia" w:ascii="宋体" w:hAnsi="宋体" w:eastAsia="宋体" w:cs="宋体"/>
                <w:snapToGrid w:val="0"/>
                <w:color w:val="auto"/>
                <w:spacing w:val="4"/>
                <w:sz w:val="21"/>
                <w:szCs w:val="21"/>
                <w:highlight w:val="none"/>
                <w:lang w:val="en-US" w:bidi="ar"/>
                <w14:ligatures w14:val="standardContextual"/>
              </w:rPr>
            </w:pPr>
            <w:r>
              <w:rPr>
                <w:rFonts w:hint="eastAsia" w:ascii="宋体" w:hAnsi="宋体" w:eastAsia="宋体" w:cs="宋体"/>
                <w:snapToGrid w:val="0"/>
                <w:color w:val="auto"/>
                <w:spacing w:val="4"/>
                <w:sz w:val="21"/>
                <w:szCs w:val="21"/>
                <w:highlight w:val="none"/>
                <w:lang w:bidi="ar"/>
              </w:rPr>
              <w:t>4</w:t>
            </w:r>
          </w:p>
        </w:tc>
        <w:tc>
          <w:tcPr>
            <w:tcW w:w="1245" w:type="dxa"/>
            <w:tcBorders>
              <w:top w:val="single" w:color="auto" w:sz="4" w:space="0"/>
              <w:left w:val="single" w:color="auto" w:sz="4" w:space="0"/>
              <w:bottom w:val="single" w:color="auto" w:sz="4" w:space="0"/>
              <w:right w:val="single" w:color="auto" w:sz="4" w:space="0"/>
            </w:tcBorders>
            <w:vAlign w:val="center"/>
          </w:tcPr>
          <w:p w14:paraId="687F3A6D">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73F1499A">
            <w:pPr>
              <w:pStyle w:val="28"/>
              <w:spacing w:line="240" w:lineRule="auto"/>
              <w:jc w:val="center"/>
              <w:rPr>
                <w:rFonts w:hint="eastAsia" w:ascii="宋体" w:hAnsi="宋体" w:eastAsia="宋体" w:cs="宋体"/>
                <w:snapToGrid w:val="0"/>
                <w:color w:val="auto"/>
                <w:kern w:val="2"/>
                <w:highlight w:val="none"/>
                <w:lang w:val="en-US" w:bidi="ar-SA"/>
                <w14:ligatures w14:val="standardContextual"/>
              </w:rPr>
            </w:pPr>
            <w:r>
              <w:rPr>
                <w:rFonts w:hint="eastAsia" w:ascii="宋体" w:hAnsi="宋体" w:eastAsia="宋体" w:cs="宋体"/>
                <w:color w:val="auto"/>
                <w:highlight w:val="none"/>
              </w:rPr>
              <w:t>安全专业监理工程师</w:t>
            </w:r>
          </w:p>
        </w:tc>
        <w:tc>
          <w:tcPr>
            <w:tcW w:w="993" w:type="dxa"/>
            <w:tcBorders>
              <w:top w:val="single" w:color="auto" w:sz="4" w:space="0"/>
              <w:left w:val="single" w:color="auto" w:sz="4" w:space="0"/>
              <w:bottom w:val="single" w:color="auto" w:sz="4" w:space="0"/>
              <w:right w:val="single" w:color="auto" w:sz="4" w:space="0"/>
            </w:tcBorders>
            <w:vAlign w:val="center"/>
          </w:tcPr>
          <w:p w14:paraId="0AA18944">
            <w:pPr>
              <w:spacing w:line="360" w:lineRule="auto"/>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721BB3F7">
            <w:pPr>
              <w:spacing w:line="360" w:lineRule="auto"/>
              <w:rPr>
                <w:rFonts w:hint="eastAsia" w:ascii="宋体" w:hAnsi="宋体" w:eastAsia="宋体" w:cs="宋体"/>
                <w:snapToGrid w:val="0"/>
                <w:color w:val="auto"/>
                <w:spacing w:val="4"/>
                <w:sz w:val="21"/>
                <w:szCs w:val="21"/>
                <w:highlight w:val="none"/>
                <w:lang w:bidi="ar"/>
              </w:rPr>
            </w:pPr>
          </w:p>
        </w:tc>
      </w:tr>
      <w:tr w14:paraId="32D7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0060E867">
            <w:pPr>
              <w:spacing w:line="360" w:lineRule="auto"/>
              <w:jc w:val="center"/>
              <w:rPr>
                <w:rFonts w:hint="eastAsia" w:ascii="宋体" w:hAnsi="宋体" w:eastAsia="宋体" w:cs="宋体"/>
                <w:snapToGrid w:val="0"/>
                <w:color w:val="auto"/>
                <w:spacing w:val="4"/>
                <w:sz w:val="21"/>
                <w:szCs w:val="21"/>
                <w:highlight w:val="none"/>
                <w:lang w:val="en-US" w:bidi="ar"/>
                <w14:ligatures w14:val="standardContextual"/>
              </w:rPr>
            </w:pPr>
            <w:r>
              <w:rPr>
                <w:rFonts w:hint="eastAsia" w:ascii="宋体" w:hAnsi="宋体" w:eastAsia="宋体" w:cs="宋体"/>
                <w:snapToGrid w:val="0"/>
                <w:color w:val="auto"/>
                <w:spacing w:val="4"/>
                <w:sz w:val="21"/>
                <w:szCs w:val="21"/>
                <w:highlight w:val="none"/>
                <w:lang w:bidi="ar"/>
              </w:rPr>
              <w:t>5</w:t>
            </w:r>
          </w:p>
        </w:tc>
        <w:tc>
          <w:tcPr>
            <w:tcW w:w="1245" w:type="dxa"/>
            <w:tcBorders>
              <w:top w:val="single" w:color="auto" w:sz="4" w:space="0"/>
              <w:left w:val="single" w:color="auto" w:sz="4" w:space="0"/>
              <w:bottom w:val="single" w:color="auto" w:sz="4" w:space="0"/>
              <w:right w:val="single" w:color="auto" w:sz="4" w:space="0"/>
            </w:tcBorders>
            <w:vAlign w:val="center"/>
          </w:tcPr>
          <w:p w14:paraId="20C05671">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DC0E82D">
            <w:pPr>
              <w:pStyle w:val="28"/>
              <w:spacing w:line="240" w:lineRule="auto"/>
              <w:jc w:val="center"/>
              <w:rPr>
                <w:rFonts w:hint="eastAsia" w:ascii="宋体" w:hAnsi="宋体" w:eastAsia="宋体" w:cs="宋体"/>
                <w:snapToGrid w:val="0"/>
                <w:color w:val="auto"/>
                <w:kern w:val="2"/>
                <w:highlight w:val="none"/>
                <w:lang w:val="en-US" w:bidi="ar-SA"/>
                <w14:ligatures w14:val="standardContextual"/>
              </w:rPr>
            </w:pPr>
            <w:r>
              <w:rPr>
                <w:rFonts w:hint="eastAsia" w:ascii="宋体" w:hAnsi="宋体" w:eastAsia="宋体" w:cs="宋体"/>
                <w:color w:val="auto"/>
                <w:highlight w:val="none"/>
              </w:rPr>
              <w:t>土建专业监理工程师</w:t>
            </w:r>
          </w:p>
        </w:tc>
        <w:tc>
          <w:tcPr>
            <w:tcW w:w="993" w:type="dxa"/>
            <w:tcBorders>
              <w:top w:val="single" w:color="auto" w:sz="4" w:space="0"/>
              <w:left w:val="single" w:color="auto" w:sz="4" w:space="0"/>
              <w:bottom w:val="single" w:color="auto" w:sz="4" w:space="0"/>
              <w:right w:val="single" w:color="auto" w:sz="4" w:space="0"/>
            </w:tcBorders>
            <w:vAlign w:val="center"/>
          </w:tcPr>
          <w:p w14:paraId="3C97ADE9">
            <w:pPr>
              <w:spacing w:line="360" w:lineRule="auto"/>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21F799E4">
            <w:pPr>
              <w:spacing w:line="360" w:lineRule="auto"/>
              <w:rPr>
                <w:rFonts w:hint="eastAsia" w:ascii="宋体" w:hAnsi="宋体" w:eastAsia="宋体" w:cs="宋体"/>
                <w:snapToGrid w:val="0"/>
                <w:color w:val="auto"/>
                <w:spacing w:val="4"/>
                <w:sz w:val="21"/>
                <w:szCs w:val="21"/>
                <w:highlight w:val="none"/>
                <w:lang w:bidi="ar"/>
              </w:rPr>
            </w:pPr>
          </w:p>
        </w:tc>
      </w:tr>
      <w:tr w14:paraId="022F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0ED3E47C">
            <w:pPr>
              <w:spacing w:line="360" w:lineRule="auto"/>
              <w:jc w:val="center"/>
              <w:rPr>
                <w:rFonts w:hint="eastAsia" w:ascii="宋体" w:hAnsi="宋体" w:eastAsia="宋体" w:cs="宋体"/>
                <w:snapToGrid w:val="0"/>
                <w:color w:val="auto"/>
                <w:spacing w:val="4"/>
                <w:sz w:val="21"/>
                <w:szCs w:val="21"/>
                <w:highlight w:val="none"/>
                <w:lang w:val="en-US" w:bidi="ar"/>
                <w14:ligatures w14:val="standardContextual"/>
              </w:rPr>
            </w:pPr>
            <w:r>
              <w:rPr>
                <w:rFonts w:hint="eastAsia" w:ascii="宋体" w:hAnsi="宋体" w:eastAsia="宋体" w:cs="宋体"/>
                <w:snapToGrid w:val="0"/>
                <w:color w:val="auto"/>
                <w:spacing w:val="4"/>
                <w:sz w:val="21"/>
                <w:szCs w:val="21"/>
                <w:highlight w:val="none"/>
                <w:lang w:bidi="ar"/>
              </w:rPr>
              <w:t>6</w:t>
            </w:r>
          </w:p>
        </w:tc>
        <w:tc>
          <w:tcPr>
            <w:tcW w:w="1245" w:type="dxa"/>
            <w:tcBorders>
              <w:top w:val="single" w:color="auto" w:sz="4" w:space="0"/>
              <w:left w:val="single" w:color="auto" w:sz="4" w:space="0"/>
              <w:bottom w:val="single" w:color="auto" w:sz="4" w:space="0"/>
              <w:right w:val="single" w:color="auto" w:sz="4" w:space="0"/>
            </w:tcBorders>
            <w:vAlign w:val="center"/>
          </w:tcPr>
          <w:p w14:paraId="71F12549">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4B306338">
            <w:pPr>
              <w:pStyle w:val="28"/>
              <w:spacing w:line="240" w:lineRule="auto"/>
              <w:jc w:val="center"/>
              <w:rPr>
                <w:rFonts w:hint="eastAsia" w:ascii="宋体" w:hAnsi="宋体" w:eastAsia="宋体" w:cs="宋体"/>
                <w:snapToGrid w:val="0"/>
                <w:color w:val="auto"/>
                <w:kern w:val="2"/>
                <w:highlight w:val="none"/>
                <w:lang w:val="en-US" w:bidi="ar-SA"/>
                <w14:ligatures w14:val="standardContextual"/>
              </w:rPr>
            </w:pPr>
            <w:r>
              <w:rPr>
                <w:rFonts w:hint="eastAsia" w:ascii="宋体" w:hAnsi="宋体" w:eastAsia="宋体" w:cs="宋体"/>
                <w:color w:val="auto"/>
                <w:highlight w:val="none"/>
                <w:lang w:val="en-US" w:eastAsia="en-US"/>
              </w:rPr>
              <w:t>装修</w:t>
            </w:r>
            <w:r>
              <w:rPr>
                <w:rFonts w:hint="eastAsia" w:ascii="宋体" w:hAnsi="宋体" w:eastAsia="宋体" w:cs="宋体"/>
                <w:color w:val="auto"/>
                <w:highlight w:val="none"/>
              </w:rPr>
              <w:t>专业监理工程师</w:t>
            </w:r>
          </w:p>
        </w:tc>
        <w:tc>
          <w:tcPr>
            <w:tcW w:w="993" w:type="dxa"/>
            <w:tcBorders>
              <w:top w:val="single" w:color="auto" w:sz="4" w:space="0"/>
              <w:left w:val="single" w:color="auto" w:sz="4" w:space="0"/>
              <w:bottom w:val="single" w:color="auto" w:sz="4" w:space="0"/>
              <w:right w:val="single" w:color="auto" w:sz="4" w:space="0"/>
            </w:tcBorders>
            <w:vAlign w:val="center"/>
          </w:tcPr>
          <w:p w14:paraId="1A5B455F">
            <w:pPr>
              <w:spacing w:line="360" w:lineRule="auto"/>
              <w:jc w:val="center"/>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3A8101D0">
            <w:pPr>
              <w:spacing w:line="360" w:lineRule="auto"/>
              <w:jc w:val="center"/>
              <w:rPr>
                <w:rFonts w:hint="eastAsia" w:ascii="宋体" w:hAnsi="宋体" w:eastAsia="宋体" w:cs="宋体"/>
                <w:snapToGrid w:val="0"/>
                <w:color w:val="auto"/>
                <w:spacing w:val="4"/>
                <w:sz w:val="21"/>
                <w:szCs w:val="21"/>
                <w:highlight w:val="none"/>
                <w:lang w:bidi="ar"/>
              </w:rPr>
            </w:pPr>
          </w:p>
        </w:tc>
      </w:tr>
      <w:tr w14:paraId="2783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DA2A950">
            <w:pPr>
              <w:spacing w:line="360" w:lineRule="auto"/>
              <w:jc w:val="center"/>
              <w:rPr>
                <w:rFonts w:hint="eastAsia" w:ascii="宋体" w:hAnsi="宋体" w:eastAsia="宋体" w:cs="宋体"/>
                <w:snapToGrid w:val="0"/>
                <w:color w:val="auto"/>
                <w:spacing w:val="4"/>
                <w:sz w:val="21"/>
                <w:szCs w:val="21"/>
                <w:highlight w:val="none"/>
                <w:lang w:val="en-US" w:bidi="ar"/>
                <w14:ligatures w14:val="standardContextual"/>
              </w:rPr>
            </w:pPr>
            <w:r>
              <w:rPr>
                <w:rFonts w:hint="eastAsia" w:ascii="宋体" w:hAnsi="宋体" w:eastAsia="宋体" w:cs="宋体"/>
                <w:snapToGrid w:val="0"/>
                <w:color w:val="auto"/>
                <w:spacing w:val="4"/>
                <w:sz w:val="21"/>
                <w:szCs w:val="21"/>
                <w:highlight w:val="none"/>
                <w:lang w:val="en-US" w:bidi="ar"/>
              </w:rPr>
              <w:t>7</w:t>
            </w:r>
          </w:p>
        </w:tc>
        <w:tc>
          <w:tcPr>
            <w:tcW w:w="1245" w:type="dxa"/>
            <w:tcBorders>
              <w:top w:val="single" w:color="auto" w:sz="4" w:space="0"/>
              <w:left w:val="single" w:color="auto" w:sz="4" w:space="0"/>
              <w:bottom w:val="single" w:color="auto" w:sz="4" w:space="0"/>
              <w:right w:val="single" w:color="auto" w:sz="4" w:space="0"/>
            </w:tcBorders>
            <w:vAlign w:val="center"/>
          </w:tcPr>
          <w:p w14:paraId="14465AC7">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A15404F">
            <w:pPr>
              <w:pStyle w:val="28"/>
              <w:spacing w:line="240" w:lineRule="auto"/>
              <w:jc w:val="center"/>
              <w:rPr>
                <w:rFonts w:hint="eastAsia" w:ascii="宋体" w:hAnsi="宋体" w:eastAsia="宋体" w:cs="宋体"/>
                <w:snapToGrid w:val="0"/>
                <w:color w:val="auto"/>
                <w:kern w:val="2"/>
                <w:highlight w:val="none"/>
                <w:lang w:val="en-US" w:bidi="ar-SA"/>
                <w14:ligatures w14:val="standardContextual"/>
              </w:rPr>
            </w:pPr>
            <w:r>
              <w:rPr>
                <w:rFonts w:hint="eastAsia" w:ascii="宋体" w:hAnsi="宋体" w:eastAsia="宋体" w:cs="宋体"/>
                <w:color w:val="auto"/>
                <w:highlight w:val="none"/>
                <w:lang w:val="en-US" w:eastAsia="en-US"/>
              </w:rPr>
              <w:t>电气</w:t>
            </w:r>
            <w:r>
              <w:rPr>
                <w:rFonts w:hint="eastAsia" w:ascii="宋体" w:hAnsi="宋体" w:eastAsia="宋体" w:cs="宋体"/>
                <w:color w:val="auto"/>
                <w:highlight w:val="none"/>
              </w:rPr>
              <w:t>专业监理工程师</w:t>
            </w:r>
          </w:p>
        </w:tc>
        <w:tc>
          <w:tcPr>
            <w:tcW w:w="993" w:type="dxa"/>
            <w:tcBorders>
              <w:top w:val="single" w:color="auto" w:sz="4" w:space="0"/>
              <w:left w:val="single" w:color="auto" w:sz="4" w:space="0"/>
              <w:bottom w:val="single" w:color="auto" w:sz="4" w:space="0"/>
              <w:right w:val="single" w:color="auto" w:sz="4" w:space="0"/>
            </w:tcBorders>
            <w:vAlign w:val="center"/>
          </w:tcPr>
          <w:p w14:paraId="4C51037F">
            <w:pPr>
              <w:spacing w:line="360" w:lineRule="auto"/>
              <w:jc w:val="center"/>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5AFFEF15">
            <w:pPr>
              <w:spacing w:line="360" w:lineRule="auto"/>
              <w:jc w:val="center"/>
              <w:rPr>
                <w:rFonts w:hint="eastAsia" w:ascii="宋体" w:hAnsi="宋体" w:eastAsia="宋体" w:cs="宋体"/>
                <w:snapToGrid w:val="0"/>
                <w:color w:val="auto"/>
                <w:spacing w:val="4"/>
                <w:sz w:val="21"/>
                <w:szCs w:val="21"/>
                <w:highlight w:val="none"/>
                <w:lang w:bidi="ar"/>
              </w:rPr>
            </w:pPr>
          </w:p>
        </w:tc>
      </w:tr>
      <w:tr w14:paraId="21AF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0BD70199">
            <w:pPr>
              <w:spacing w:line="360" w:lineRule="auto"/>
              <w:jc w:val="center"/>
              <w:rPr>
                <w:rFonts w:hint="eastAsia" w:ascii="宋体" w:hAnsi="宋体" w:eastAsia="宋体" w:cs="宋体"/>
                <w:snapToGrid w:val="0"/>
                <w:color w:val="auto"/>
                <w:spacing w:val="4"/>
                <w:sz w:val="21"/>
                <w:szCs w:val="21"/>
                <w:highlight w:val="none"/>
                <w:lang w:val="en-US" w:bidi="ar"/>
                <w14:ligatures w14:val="standardContextual"/>
              </w:rPr>
            </w:pPr>
            <w:r>
              <w:rPr>
                <w:rFonts w:hint="eastAsia" w:ascii="宋体" w:hAnsi="宋体" w:eastAsia="宋体" w:cs="宋体"/>
                <w:snapToGrid w:val="0"/>
                <w:color w:val="auto"/>
                <w:spacing w:val="4"/>
                <w:sz w:val="21"/>
                <w:szCs w:val="21"/>
                <w:highlight w:val="none"/>
                <w:lang w:val="en-US" w:bidi="ar"/>
              </w:rPr>
              <w:t>8</w:t>
            </w:r>
          </w:p>
        </w:tc>
        <w:tc>
          <w:tcPr>
            <w:tcW w:w="1245" w:type="dxa"/>
            <w:tcBorders>
              <w:top w:val="single" w:color="auto" w:sz="4" w:space="0"/>
              <w:left w:val="single" w:color="auto" w:sz="4" w:space="0"/>
              <w:bottom w:val="single" w:color="auto" w:sz="4" w:space="0"/>
              <w:right w:val="single" w:color="auto" w:sz="4" w:space="0"/>
            </w:tcBorders>
            <w:vAlign w:val="center"/>
          </w:tcPr>
          <w:p w14:paraId="52650DB8">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9CC1C18">
            <w:pPr>
              <w:pStyle w:val="28"/>
              <w:spacing w:line="240" w:lineRule="auto"/>
              <w:jc w:val="center"/>
              <w:rPr>
                <w:rFonts w:hint="eastAsia" w:ascii="宋体" w:hAnsi="宋体" w:eastAsia="宋体" w:cs="宋体"/>
                <w:snapToGrid w:val="0"/>
                <w:color w:val="auto"/>
                <w:highlight w:val="none"/>
              </w:rPr>
            </w:pPr>
            <w:r>
              <w:rPr>
                <w:rFonts w:hint="eastAsia" w:ascii="宋体" w:hAnsi="宋体" w:eastAsia="宋体" w:cs="宋体"/>
                <w:color w:val="auto"/>
                <w:highlight w:val="none"/>
              </w:rPr>
              <w:t>给排水专业监理工程师</w:t>
            </w:r>
          </w:p>
        </w:tc>
        <w:tc>
          <w:tcPr>
            <w:tcW w:w="993" w:type="dxa"/>
            <w:tcBorders>
              <w:top w:val="single" w:color="auto" w:sz="4" w:space="0"/>
              <w:left w:val="single" w:color="auto" w:sz="4" w:space="0"/>
              <w:bottom w:val="single" w:color="auto" w:sz="4" w:space="0"/>
              <w:right w:val="single" w:color="auto" w:sz="4" w:space="0"/>
            </w:tcBorders>
            <w:vAlign w:val="center"/>
          </w:tcPr>
          <w:p w14:paraId="765E8CCC">
            <w:pPr>
              <w:spacing w:line="360" w:lineRule="auto"/>
              <w:jc w:val="center"/>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244C6446">
            <w:pPr>
              <w:spacing w:line="360" w:lineRule="auto"/>
              <w:jc w:val="center"/>
              <w:rPr>
                <w:rFonts w:hint="eastAsia" w:ascii="宋体" w:hAnsi="宋体" w:eastAsia="宋体" w:cs="宋体"/>
                <w:snapToGrid w:val="0"/>
                <w:color w:val="auto"/>
                <w:spacing w:val="4"/>
                <w:sz w:val="21"/>
                <w:szCs w:val="21"/>
                <w:highlight w:val="none"/>
                <w:lang w:bidi="ar"/>
              </w:rPr>
            </w:pPr>
          </w:p>
        </w:tc>
      </w:tr>
      <w:tr w14:paraId="2BD5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59665FA">
            <w:pPr>
              <w:spacing w:line="360" w:lineRule="auto"/>
              <w:jc w:val="center"/>
              <w:rPr>
                <w:rFonts w:hint="eastAsia" w:ascii="宋体" w:hAnsi="宋体" w:eastAsia="宋体" w:cs="宋体"/>
                <w:snapToGrid w:val="0"/>
                <w:color w:val="auto"/>
                <w:spacing w:val="4"/>
                <w:sz w:val="21"/>
                <w:szCs w:val="21"/>
                <w:highlight w:val="none"/>
                <w:lang w:val="en-US" w:eastAsia="zh-CN" w:bidi="ar"/>
              </w:rPr>
            </w:pPr>
            <w:r>
              <w:rPr>
                <w:rFonts w:hint="eastAsia" w:ascii="宋体" w:hAnsi="宋体" w:eastAsia="宋体" w:cs="宋体"/>
                <w:snapToGrid w:val="0"/>
                <w:color w:val="auto"/>
                <w:spacing w:val="4"/>
                <w:sz w:val="21"/>
                <w:szCs w:val="21"/>
                <w:highlight w:val="none"/>
                <w:lang w:val="en-US" w:eastAsia="zh-CN" w:bidi="ar"/>
              </w:rPr>
              <w:t>9</w:t>
            </w:r>
          </w:p>
        </w:tc>
        <w:tc>
          <w:tcPr>
            <w:tcW w:w="1245" w:type="dxa"/>
            <w:tcBorders>
              <w:top w:val="single" w:color="auto" w:sz="4" w:space="0"/>
              <w:left w:val="single" w:color="auto" w:sz="4" w:space="0"/>
              <w:bottom w:val="single" w:color="auto" w:sz="4" w:space="0"/>
              <w:right w:val="single" w:color="auto" w:sz="4" w:space="0"/>
            </w:tcBorders>
            <w:vAlign w:val="center"/>
          </w:tcPr>
          <w:p w14:paraId="05D308EE">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C0A5586">
            <w:pPr>
              <w:pStyle w:val="28"/>
              <w:spacing w:line="240" w:lineRule="auto"/>
              <w:jc w:val="center"/>
              <w:rPr>
                <w:rFonts w:hint="eastAsia" w:ascii="宋体" w:hAnsi="宋体" w:eastAsia="宋体" w:cs="宋体"/>
                <w:snapToGrid w:val="0"/>
                <w:color w:val="auto"/>
                <w:highlight w:val="none"/>
                <w:lang w:val="en-US"/>
              </w:rPr>
            </w:pPr>
            <w:r>
              <w:rPr>
                <w:rFonts w:hint="eastAsia" w:ascii="宋体" w:hAnsi="宋体" w:eastAsia="宋体" w:cs="宋体"/>
                <w:color w:val="auto"/>
                <w:highlight w:val="none"/>
              </w:rPr>
              <w:t>档案资料管理员</w:t>
            </w:r>
          </w:p>
        </w:tc>
        <w:tc>
          <w:tcPr>
            <w:tcW w:w="993" w:type="dxa"/>
            <w:tcBorders>
              <w:top w:val="single" w:color="auto" w:sz="4" w:space="0"/>
              <w:left w:val="single" w:color="auto" w:sz="4" w:space="0"/>
              <w:bottom w:val="single" w:color="auto" w:sz="4" w:space="0"/>
              <w:right w:val="single" w:color="auto" w:sz="4" w:space="0"/>
            </w:tcBorders>
            <w:vAlign w:val="center"/>
          </w:tcPr>
          <w:p w14:paraId="037FBEF7">
            <w:pPr>
              <w:spacing w:line="360" w:lineRule="auto"/>
              <w:jc w:val="center"/>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56CDAF91">
            <w:pPr>
              <w:spacing w:line="360" w:lineRule="auto"/>
              <w:jc w:val="center"/>
              <w:rPr>
                <w:rFonts w:hint="eastAsia" w:ascii="宋体" w:hAnsi="宋体" w:eastAsia="宋体" w:cs="宋体"/>
                <w:snapToGrid w:val="0"/>
                <w:color w:val="auto"/>
                <w:spacing w:val="4"/>
                <w:sz w:val="21"/>
                <w:szCs w:val="21"/>
                <w:highlight w:val="none"/>
                <w:lang w:bidi="ar"/>
              </w:rPr>
            </w:pPr>
          </w:p>
        </w:tc>
      </w:tr>
      <w:tr w14:paraId="308F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F89F463">
            <w:pPr>
              <w:spacing w:line="360" w:lineRule="auto"/>
              <w:jc w:val="center"/>
              <w:rPr>
                <w:rFonts w:hint="eastAsia" w:ascii="宋体" w:hAnsi="宋体" w:eastAsia="宋体" w:cs="宋体"/>
                <w:snapToGrid w:val="0"/>
                <w:color w:val="auto"/>
                <w:spacing w:val="4"/>
                <w:sz w:val="21"/>
                <w:szCs w:val="21"/>
                <w:highlight w:val="none"/>
                <w:lang w:val="en-US" w:eastAsia="zh-CN" w:bidi="ar"/>
              </w:rPr>
            </w:pPr>
            <w:r>
              <w:rPr>
                <w:rFonts w:hint="eastAsia" w:ascii="宋体" w:hAnsi="宋体" w:eastAsia="宋体" w:cs="宋体"/>
                <w:snapToGrid w:val="0"/>
                <w:color w:val="auto"/>
                <w:spacing w:val="4"/>
                <w:sz w:val="21"/>
                <w:szCs w:val="21"/>
                <w:highlight w:val="none"/>
                <w:lang w:val="en-US" w:eastAsia="zh-CN" w:bidi="ar"/>
              </w:rPr>
              <w:t>10</w:t>
            </w:r>
          </w:p>
        </w:tc>
        <w:tc>
          <w:tcPr>
            <w:tcW w:w="1245" w:type="dxa"/>
            <w:tcBorders>
              <w:top w:val="single" w:color="auto" w:sz="4" w:space="0"/>
              <w:left w:val="single" w:color="auto" w:sz="4" w:space="0"/>
              <w:bottom w:val="single" w:color="auto" w:sz="4" w:space="0"/>
              <w:right w:val="single" w:color="auto" w:sz="4" w:space="0"/>
            </w:tcBorders>
            <w:vAlign w:val="center"/>
          </w:tcPr>
          <w:p w14:paraId="5A7150BB">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4832FCCF">
            <w:pPr>
              <w:pStyle w:val="28"/>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监理员</w:t>
            </w:r>
          </w:p>
        </w:tc>
        <w:tc>
          <w:tcPr>
            <w:tcW w:w="993" w:type="dxa"/>
            <w:tcBorders>
              <w:top w:val="single" w:color="auto" w:sz="4" w:space="0"/>
              <w:left w:val="single" w:color="auto" w:sz="4" w:space="0"/>
              <w:bottom w:val="single" w:color="auto" w:sz="4" w:space="0"/>
              <w:right w:val="single" w:color="auto" w:sz="4" w:space="0"/>
            </w:tcBorders>
            <w:vAlign w:val="center"/>
          </w:tcPr>
          <w:p w14:paraId="67197A19">
            <w:pPr>
              <w:spacing w:line="360" w:lineRule="auto"/>
              <w:jc w:val="center"/>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576DF64F">
            <w:pPr>
              <w:spacing w:line="360" w:lineRule="auto"/>
              <w:jc w:val="center"/>
              <w:rPr>
                <w:rFonts w:hint="eastAsia" w:ascii="宋体" w:hAnsi="宋体" w:eastAsia="宋体" w:cs="宋体"/>
                <w:snapToGrid w:val="0"/>
                <w:color w:val="auto"/>
                <w:spacing w:val="4"/>
                <w:sz w:val="21"/>
                <w:szCs w:val="21"/>
                <w:highlight w:val="none"/>
                <w:lang w:bidi="ar"/>
              </w:rPr>
            </w:pPr>
          </w:p>
        </w:tc>
      </w:tr>
      <w:tr w14:paraId="44C1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D751B8C">
            <w:pPr>
              <w:spacing w:line="360" w:lineRule="auto"/>
              <w:rPr>
                <w:rFonts w:hint="eastAsia" w:ascii="宋体" w:hAnsi="宋体" w:eastAsia="宋体" w:cs="宋体"/>
                <w:snapToGrid w:val="0"/>
                <w:color w:val="auto"/>
                <w:spacing w:val="4"/>
                <w:sz w:val="21"/>
                <w:szCs w:val="21"/>
                <w:highlight w:val="none"/>
                <w:lang w:bidi="ar"/>
              </w:rPr>
            </w:pPr>
            <w:r>
              <w:rPr>
                <w:rFonts w:hint="eastAsia" w:ascii="宋体" w:hAnsi="宋体" w:eastAsia="宋体" w:cs="宋体"/>
                <w:snapToGrid w:val="0"/>
                <w:color w:val="auto"/>
                <w:spacing w:val="4"/>
                <w:sz w:val="21"/>
                <w:szCs w:val="21"/>
                <w:highlight w:val="none"/>
                <w:lang w:bidi="ar"/>
              </w:rPr>
              <w:t>……</w:t>
            </w:r>
          </w:p>
        </w:tc>
        <w:tc>
          <w:tcPr>
            <w:tcW w:w="1245" w:type="dxa"/>
            <w:tcBorders>
              <w:top w:val="single" w:color="auto" w:sz="4" w:space="0"/>
              <w:left w:val="single" w:color="auto" w:sz="4" w:space="0"/>
              <w:bottom w:val="single" w:color="auto" w:sz="4" w:space="0"/>
              <w:right w:val="single" w:color="auto" w:sz="4" w:space="0"/>
            </w:tcBorders>
            <w:vAlign w:val="center"/>
          </w:tcPr>
          <w:p w14:paraId="10AED109">
            <w:pPr>
              <w:spacing w:line="360" w:lineRule="auto"/>
              <w:rPr>
                <w:rFonts w:hint="eastAsia" w:ascii="宋体" w:hAnsi="宋体" w:eastAsia="宋体" w:cs="宋体"/>
                <w:snapToGrid w:val="0"/>
                <w:color w:val="auto"/>
                <w:spacing w:val="4"/>
                <w:sz w:val="21"/>
                <w:szCs w:val="21"/>
                <w:highlight w:val="none"/>
                <w:lang w:bidi="ar"/>
              </w:rPr>
            </w:pPr>
          </w:p>
        </w:tc>
        <w:tc>
          <w:tcPr>
            <w:tcW w:w="3100" w:type="dxa"/>
            <w:tcBorders>
              <w:top w:val="single" w:color="auto" w:sz="4" w:space="0"/>
              <w:left w:val="single" w:color="auto" w:sz="4" w:space="0"/>
              <w:bottom w:val="single" w:color="auto" w:sz="4" w:space="0"/>
              <w:right w:val="single" w:color="auto" w:sz="4" w:space="0"/>
            </w:tcBorders>
            <w:vAlign w:val="center"/>
          </w:tcPr>
          <w:p w14:paraId="1D95ED76">
            <w:pPr>
              <w:spacing w:line="360" w:lineRule="auto"/>
              <w:jc w:val="center"/>
              <w:rPr>
                <w:rFonts w:hint="eastAsia" w:ascii="宋体" w:hAnsi="宋体" w:eastAsia="宋体" w:cs="宋体"/>
                <w:snapToGrid w:val="0"/>
                <w:color w:val="auto"/>
                <w:spacing w:val="4"/>
                <w:sz w:val="21"/>
                <w:szCs w:val="21"/>
                <w:highlight w:val="none"/>
                <w:lang w:bidi="ar"/>
              </w:rPr>
            </w:pPr>
            <w:r>
              <w:rPr>
                <w:rFonts w:hint="eastAsia" w:ascii="宋体" w:hAnsi="宋体" w:eastAsia="宋体" w:cs="宋体"/>
                <w:snapToGrid w:val="0"/>
                <w:color w:val="auto"/>
                <w:spacing w:val="4"/>
                <w:sz w:val="21"/>
                <w:szCs w:val="21"/>
                <w:highlight w:val="none"/>
                <w:lang w:bidi="ar"/>
              </w:rPr>
              <w:t>…</w:t>
            </w:r>
          </w:p>
        </w:tc>
        <w:tc>
          <w:tcPr>
            <w:tcW w:w="993" w:type="dxa"/>
            <w:tcBorders>
              <w:top w:val="single" w:color="auto" w:sz="4" w:space="0"/>
              <w:left w:val="single" w:color="auto" w:sz="4" w:space="0"/>
              <w:bottom w:val="single" w:color="auto" w:sz="4" w:space="0"/>
              <w:right w:val="single" w:color="auto" w:sz="4" w:space="0"/>
            </w:tcBorders>
            <w:vAlign w:val="center"/>
          </w:tcPr>
          <w:p w14:paraId="1BC37B45">
            <w:pPr>
              <w:spacing w:line="360" w:lineRule="auto"/>
              <w:jc w:val="center"/>
              <w:rPr>
                <w:rFonts w:hint="eastAsia" w:ascii="宋体" w:hAnsi="宋体" w:eastAsia="宋体" w:cs="宋体"/>
                <w:snapToGrid w:val="0"/>
                <w:color w:val="auto"/>
                <w:spacing w:val="4"/>
                <w:sz w:val="21"/>
                <w:szCs w:val="21"/>
                <w:highlight w:val="none"/>
                <w:lang w:bidi="ar"/>
              </w:rPr>
            </w:pPr>
          </w:p>
        </w:tc>
        <w:tc>
          <w:tcPr>
            <w:tcW w:w="2693" w:type="dxa"/>
            <w:tcBorders>
              <w:top w:val="single" w:color="auto" w:sz="4" w:space="0"/>
              <w:left w:val="single" w:color="auto" w:sz="4" w:space="0"/>
              <w:bottom w:val="single" w:color="auto" w:sz="4" w:space="0"/>
              <w:right w:val="single" w:color="auto" w:sz="4" w:space="0"/>
            </w:tcBorders>
          </w:tcPr>
          <w:p w14:paraId="355CD0C5">
            <w:pPr>
              <w:spacing w:line="360" w:lineRule="auto"/>
              <w:jc w:val="center"/>
              <w:rPr>
                <w:rFonts w:hint="eastAsia" w:ascii="宋体" w:hAnsi="宋体" w:eastAsia="宋体" w:cs="宋体"/>
                <w:snapToGrid w:val="0"/>
                <w:color w:val="auto"/>
                <w:spacing w:val="4"/>
                <w:sz w:val="21"/>
                <w:szCs w:val="21"/>
                <w:highlight w:val="none"/>
                <w:lang w:bidi="ar"/>
              </w:rPr>
            </w:pPr>
          </w:p>
        </w:tc>
      </w:tr>
      <w:tr w14:paraId="6CF9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84" w:type="dxa"/>
            <w:gridSpan w:val="5"/>
            <w:tcBorders>
              <w:top w:val="single" w:color="auto" w:sz="4" w:space="0"/>
              <w:left w:val="single" w:color="auto" w:sz="4" w:space="0"/>
              <w:bottom w:val="single" w:color="auto" w:sz="4" w:space="0"/>
              <w:right w:val="single" w:color="auto" w:sz="4" w:space="0"/>
            </w:tcBorders>
            <w:vAlign w:val="center"/>
          </w:tcPr>
          <w:p w14:paraId="5F97141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41EB922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岗位”要求（总监理工程师除外）由招标人根据项目管理需要在本表备注中明确提出，如：拟派驻施工现场的指挥长、总监代表、专业监理工程师、监理员等。以上项目管理团队人员信息将由交易系统提取后供各相关单位在履约时比对、查核。</w:t>
            </w:r>
          </w:p>
          <w:p w14:paraId="0553829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FC4D3A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6B71A615">
      <w:pPr>
        <w:pStyle w:val="14"/>
        <w:rPr>
          <w:rFonts w:hint="eastAsia" w:ascii="宋体" w:hAnsi="宋体" w:eastAsia="宋体" w:cs="宋体"/>
          <w:color w:val="auto"/>
          <w:highlight w:val="none"/>
        </w:rPr>
      </w:pPr>
    </w:p>
    <w:sectPr>
      <w:footerReference r:id="rId4" w:type="default"/>
      <w:pgSz w:w="11906" w:h="16838"/>
      <w:pgMar w:top="1440" w:right="1083" w:bottom="1440" w:left="1083"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4042">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F5298">
                          <w:pPr>
                            <w:pStyle w:val="11"/>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5F5298">
                    <w:pPr>
                      <w:pStyle w:val="11"/>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A9046">
    <w:pPr>
      <w:pStyle w:val="11"/>
      <w:rPr>
        <w:rFonts w:hint="eastAsia"/>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1916674320"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a:effectLst/>
                    </wps:spPr>
                    <wps:txbx>
                      <w:txbxContent>
                        <w:p w14:paraId="1200ECE8">
                          <w:pPr>
                            <w:pStyle w:val="11"/>
                            <w:rPr>
                              <w:rFonts w:hint="eastAsia"/>
                            </w:rPr>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zBHtEAAAACAQAADwAAAAAAAAABACAAAAAiAAAAZHJzL2Rvd25y&#10;ZXYueG1sUEsBAhQAFAAAAAgAh07iQOstfd0+AgAAaQQAAA4AAAAAAAAAAQAgAAAAIAEAAGRycy9l&#10;Mm9Eb2MueG1sUEsFBgAAAAAGAAYAWQEAANAFAAAAAA==&#10;">
              <v:fill on="f" focussize="0,0"/>
              <v:stroke on="f" weight="0.5pt"/>
              <v:imagedata o:title=""/>
              <o:lock v:ext="edit" aspectratio="f"/>
              <v:textbox inset="0mm,0mm,0mm,0mm" style="mso-fit-shape-to-text:t;">
                <w:txbxContent>
                  <w:p w14:paraId="1200ECE8">
                    <w:pPr>
                      <w:pStyle w:val="11"/>
                      <w:rPr>
                        <w:rFonts w:hint="eastAsia"/>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0FC9A"/>
    <w:multiLevelType w:val="multilevel"/>
    <w:tmpl w:val="D550FC9A"/>
    <w:lvl w:ilvl="0" w:tentative="0">
      <w:start w:val="1"/>
      <w:numFmt w:val="decimal"/>
      <w:isLgl/>
      <w:lvlText w:val="%1、"/>
      <w:lvlJc w:val="left"/>
      <w:pPr>
        <w:tabs>
          <w:tab w:val="left" w:pos="0"/>
        </w:tabs>
        <w:ind w:left="0" w:firstLine="0"/>
      </w:pPr>
      <w:rPr>
        <w:rFonts w:hint="default"/>
      </w:rPr>
    </w:lvl>
    <w:lvl w:ilvl="1" w:tentative="0">
      <w:start w:val="1"/>
      <w:numFmt w:val="decimal"/>
      <w:pStyle w:val="5"/>
      <w:isLgl/>
      <w:lvlText w:val="(%2)"/>
      <w:lvlJc w:val="left"/>
      <w:pPr>
        <w:tabs>
          <w:tab w:val="left" w:pos="0"/>
        </w:tabs>
        <w:ind w:left="0" w:firstLine="0"/>
      </w:pPr>
      <w:rPr>
        <w:rFonts w:hint="default"/>
      </w:rPr>
    </w:lvl>
    <w:lvl w:ilvl="2" w:tentative="0">
      <w:start w:val="1"/>
      <w:numFmt w:val="decimal"/>
      <w:isLgl/>
      <w:lvlText w:val="%3)"/>
      <w:lvlJc w:val="left"/>
      <w:pPr>
        <w:tabs>
          <w:tab w:val="left" w:pos="0"/>
        </w:tabs>
        <w:ind w:left="0" w:firstLine="0"/>
      </w:pPr>
      <w:rPr>
        <w:rFonts w:hint="default" w:ascii="宋体" w:hAnsi="宋体" w:eastAsia="宋体" w:cs="宋体"/>
      </w:rPr>
    </w:lvl>
    <w:lvl w:ilvl="3" w:tentative="0">
      <w:start w:val="1"/>
      <w:numFmt w:val="none"/>
      <w:lvlText w:val=""/>
      <w:lvlJc w:val="left"/>
      <w:pPr>
        <w:tabs>
          <w:tab w:val="left" w:pos="1680"/>
        </w:tabs>
        <w:ind w:left="1680" w:hanging="420"/>
      </w:pPr>
      <w:rPr>
        <w:rFonts w:hint="default" w:ascii="宋体" w:hAnsi="宋体" w:eastAsia="宋体" w:cs="宋体"/>
      </w:rPr>
    </w:lvl>
    <w:lvl w:ilvl="4" w:tentative="0">
      <w:start w:val="1"/>
      <w:numFmt w:val="none"/>
      <w:lvlText w:val=""/>
      <w:lvlJc w:val="left"/>
      <w:pPr>
        <w:tabs>
          <w:tab w:val="left" w:pos="2100"/>
        </w:tabs>
        <w:ind w:left="2100" w:hanging="420"/>
      </w:pPr>
      <w:rPr>
        <w:rFonts w:hint="default"/>
      </w:rPr>
    </w:lvl>
    <w:lvl w:ilvl="5" w:tentative="0">
      <w:start w:val="1"/>
      <w:numFmt w:val="none"/>
      <w:lvlText w:val=""/>
      <w:lvlJc w:val="left"/>
      <w:pPr>
        <w:tabs>
          <w:tab w:val="left" w:pos="2520"/>
        </w:tabs>
        <w:ind w:left="2520" w:hanging="420"/>
      </w:pPr>
      <w:rPr>
        <w:rFonts w:hint="default"/>
      </w:rPr>
    </w:lvl>
    <w:lvl w:ilvl="6" w:tentative="0">
      <w:start w:val="1"/>
      <w:numFmt w:val="none"/>
      <w:lvlText w:val=""/>
      <w:lvlJc w:val="left"/>
      <w:pPr>
        <w:tabs>
          <w:tab w:val="left" w:pos="2940"/>
        </w:tabs>
        <w:ind w:left="2940" w:hanging="420"/>
      </w:pPr>
      <w:rPr>
        <w:rFonts w:hint="default"/>
      </w:rPr>
    </w:lvl>
    <w:lvl w:ilvl="7" w:tentative="0">
      <w:start w:val="1"/>
      <w:numFmt w:val="none"/>
      <w:lvlText w:val=""/>
      <w:lvlJc w:val="left"/>
      <w:pPr>
        <w:tabs>
          <w:tab w:val="left" w:pos="3360"/>
        </w:tabs>
        <w:ind w:left="3360" w:hanging="420"/>
      </w:pPr>
      <w:rPr>
        <w:rFonts w:hint="default"/>
      </w:rPr>
    </w:lvl>
    <w:lvl w:ilvl="8" w:tentative="0">
      <w:start w:val="1"/>
      <w:numFmt w:val="none"/>
      <w:lvlText w:val=""/>
      <w:lvlJc w:val="left"/>
      <w:pPr>
        <w:tabs>
          <w:tab w:val="left" w:pos="3780"/>
        </w:tabs>
        <w:ind w:left="3780" w:hanging="420"/>
      </w:pPr>
      <w:rPr>
        <w:rFonts w:hint="default"/>
      </w:rPr>
    </w:lvl>
  </w:abstractNum>
  <w:abstractNum w:abstractNumId="1">
    <w:nsid w:val="F4B5D9F5"/>
    <w:multiLevelType w:val="multilevel"/>
    <w:tmpl w:val="F4B5D9F5"/>
    <w:lvl w:ilvl="0" w:tentative="0">
      <w:start w:val="1"/>
      <w:numFmt w:val="decimal"/>
      <w:lvlText w:val="%1."/>
      <w:lvlJc w:val="left"/>
      <w:pPr>
        <w:ind w:left="641" w:hanging="401"/>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240"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1633" w:hanging="370"/>
      </w:pPr>
      <w:rPr>
        <w:rFonts w:hint="default"/>
        <w:lang w:val="zh-CN" w:eastAsia="zh-CN" w:bidi="zh-CN"/>
      </w:rPr>
    </w:lvl>
    <w:lvl w:ilvl="3" w:tentative="0">
      <w:start w:val="0"/>
      <w:numFmt w:val="bullet"/>
      <w:lvlText w:val="•"/>
      <w:lvlJc w:val="left"/>
      <w:pPr>
        <w:ind w:left="2626" w:hanging="370"/>
      </w:pPr>
      <w:rPr>
        <w:rFonts w:hint="default"/>
        <w:lang w:val="zh-CN" w:eastAsia="zh-CN" w:bidi="zh-CN"/>
      </w:rPr>
    </w:lvl>
    <w:lvl w:ilvl="4" w:tentative="0">
      <w:start w:val="0"/>
      <w:numFmt w:val="bullet"/>
      <w:lvlText w:val="•"/>
      <w:lvlJc w:val="left"/>
      <w:pPr>
        <w:ind w:left="3620" w:hanging="370"/>
      </w:pPr>
      <w:rPr>
        <w:rFonts w:hint="default"/>
        <w:lang w:val="zh-CN" w:eastAsia="zh-CN" w:bidi="zh-CN"/>
      </w:rPr>
    </w:lvl>
    <w:lvl w:ilvl="5" w:tentative="0">
      <w:start w:val="0"/>
      <w:numFmt w:val="bullet"/>
      <w:lvlText w:val="•"/>
      <w:lvlJc w:val="left"/>
      <w:pPr>
        <w:ind w:left="4613" w:hanging="370"/>
      </w:pPr>
      <w:rPr>
        <w:rFonts w:hint="default"/>
        <w:lang w:val="zh-CN" w:eastAsia="zh-CN" w:bidi="zh-CN"/>
      </w:rPr>
    </w:lvl>
    <w:lvl w:ilvl="6" w:tentative="0">
      <w:start w:val="0"/>
      <w:numFmt w:val="bullet"/>
      <w:lvlText w:val="•"/>
      <w:lvlJc w:val="left"/>
      <w:pPr>
        <w:ind w:left="5606" w:hanging="370"/>
      </w:pPr>
      <w:rPr>
        <w:rFonts w:hint="default"/>
        <w:lang w:val="zh-CN" w:eastAsia="zh-CN" w:bidi="zh-CN"/>
      </w:rPr>
    </w:lvl>
    <w:lvl w:ilvl="7" w:tentative="0">
      <w:start w:val="0"/>
      <w:numFmt w:val="bullet"/>
      <w:lvlText w:val="•"/>
      <w:lvlJc w:val="left"/>
      <w:pPr>
        <w:ind w:left="6600" w:hanging="370"/>
      </w:pPr>
      <w:rPr>
        <w:rFonts w:hint="default"/>
        <w:lang w:val="zh-CN" w:eastAsia="zh-CN" w:bidi="zh-CN"/>
      </w:rPr>
    </w:lvl>
    <w:lvl w:ilvl="8" w:tentative="0">
      <w:start w:val="0"/>
      <w:numFmt w:val="bullet"/>
      <w:lvlText w:val="•"/>
      <w:lvlJc w:val="left"/>
      <w:pPr>
        <w:ind w:left="7593" w:hanging="370"/>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NzE3NmRiYWI0YmI2ZDkyNTVkOTQ0ZTQwYjg1ZTUifQ=="/>
    <w:docVar w:name="KSO_WPS_MARK_KEY" w:val="b5bb15cc-9875-46c2-9244-028bde86bd40"/>
  </w:docVars>
  <w:rsids>
    <w:rsidRoot w:val="00B10130"/>
    <w:rsid w:val="000142E9"/>
    <w:rsid w:val="000461F4"/>
    <w:rsid w:val="000843C0"/>
    <w:rsid w:val="00096B97"/>
    <w:rsid w:val="00107819"/>
    <w:rsid w:val="0013382E"/>
    <w:rsid w:val="00160A7C"/>
    <w:rsid w:val="001C00BB"/>
    <w:rsid w:val="001D7B36"/>
    <w:rsid w:val="001E403F"/>
    <w:rsid w:val="00200DDC"/>
    <w:rsid w:val="002029EB"/>
    <w:rsid w:val="0022440A"/>
    <w:rsid w:val="0026255A"/>
    <w:rsid w:val="00276E10"/>
    <w:rsid w:val="002B4315"/>
    <w:rsid w:val="002C08AD"/>
    <w:rsid w:val="002D4FA7"/>
    <w:rsid w:val="002F4435"/>
    <w:rsid w:val="00366933"/>
    <w:rsid w:val="003727E4"/>
    <w:rsid w:val="00374C1A"/>
    <w:rsid w:val="003A2C7B"/>
    <w:rsid w:val="003B0AC4"/>
    <w:rsid w:val="003D0605"/>
    <w:rsid w:val="003F1C31"/>
    <w:rsid w:val="00441C78"/>
    <w:rsid w:val="004753D9"/>
    <w:rsid w:val="004830C4"/>
    <w:rsid w:val="004A24EB"/>
    <w:rsid w:val="004D2DF8"/>
    <w:rsid w:val="005455CA"/>
    <w:rsid w:val="005736AD"/>
    <w:rsid w:val="005B11BA"/>
    <w:rsid w:val="0060231F"/>
    <w:rsid w:val="006312F2"/>
    <w:rsid w:val="006318D8"/>
    <w:rsid w:val="00663439"/>
    <w:rsid w:val="00665B25"/>
    <w:rsid w:val="00670901"/>
    <w:rsid w:val="006867CA"/>
    <w:rsid w:val="00691118"/>
    <w:rsid w:val="007039E9"/>
    <w:rsid w:val="00710466"/>
    <w:rsid w:val="0072103B"/>
    <w:rsid w:val="0073657B"/>
    <w:rsid w:val="007373A9"/>
    <w:rsid w:val="00760F79"/>
    <w:rsid w:val="007C4D85"/>
    <w:rsid w:val="007D6A66"/>
    <w:rsid w:val="007F6559"/>
    <w:rsid w:val="007F7B86"/>
    <w:rsid w:val="008016F7"/>
    <w:rsid w:val="0080326D"/>
    <w:rsid w:val="00814B00"/>
    <w:rsid w:val="00890D29"/>
    <w:rsid w:val="008F75A5"/>
    <w:rsid w:val="009016EE"/>
    <w:rsid w:val="00901E81"/>
    <w:rsid w:val="00910215"/>
    <w:rsid w:val="00925BAA"/>
    <w:rsid w:val="0092788F"/>
    <w:rsid w:val="009823FF"/>
    <w:rsid w:val="009C1F84"/>
    <w:rsid w:val="009C20A2"/>
    <w:rsid w:val="009C3464"/>
    <w:rsid w:val="009D0013"/>
    <w:rsid w:val="009E618C"/>
    <w:rsid w:val="009E7831"/>
    <w:rsid w:val="00A00A86"/>
    <w:rsid w:val="00A04659"/>
    <w:rsid w:val="00A06F67"/>
    <w:rsid w:val="00A15F33"/>
    <w:rsid w:val="00A21470"/>
    <w:rsid w:val="00A4642D"/>
    <w:rsid w:val="00A859DF"/>
    <w:rsid w:val="00AA44D7"/>
    <w:rsid w:val="00B10130"/>
    <w:rsid w:val="00B62009"/>
    <w:rsid w:val="00B739AE"/>
    <w:rsid w:val="00B80E42"/>
    <w:rsid w:val="00BA7635"/>
    <w:rsid w:val="00BE4496"/>
    <w:rsid w:val="00BF0548"/>
    <w:rsid w:val="00C43D1B"/>
    <w:rsid w:val="00C47CBF"/>
    <w:rsid w:val="00C672E6"/>
    <w:rsid w:val="00C764F3"/>
    <w:rsid w:val="00C84E19"/>
    <w:rsid w:val="00C945D5"/>
    <w:rsid w:val="00CC73FB"/>
    <w:rsid w:val="00CD4D3F"/>
    <w:rsid w:val="00CF53F7"/>
    <w:rsid w:val="00D07968"/>
    <w:rsid w:val="00D26F49"/>
    <w:rsid w:val="00D73DB1"/>
    <w:rsid w:val="00DA7B26"/>
    <w:rsid w:val="00DB1403"/>
    <w:rsid w:val="00DB20A4"/>
    <w:rsid w:val="00DB267C"/>
    <w:rsid w:val="00DF1491"/>
    <w:rsid w:val="00E14B8E"/>
    <w:rsid w:val="00F32F6A"/>
    <w:rsid w:val="00F33D8C"/>
    <w:rsid w:val="00F57ED7"/>
    <w:rsid w:val="00F60FBC"/>
    <w:rsid w:val="00F86A40"/>
    <w:rsid w:val="00F94EBE"/>
    <w:rsid w:val="01F30931"/>
    <w:rsid w:val="02EA6044"/>
    <w:rsid w:val="038A1428"/>
    <w:rsid w:val="04C53D36"/>
    <w:rsid w:val="05D903D1"/>
    <w:rsid w:val="061B2F96"/>
    <w:rsid w:val="06343635"/>
    <w:rsid w:val="066F6766"/>
    <w:rsid w:val="079A46C0"/>
    <w:rsid w:val="087B6AF2"/>
    <w:rsid w:val="08CF32E4"/>
    <w:rsid w:val="08E73668"/>
    <w:rsid w:val="09985576"/>
    <w:rsid w:val="0A633488"/>
    <w:rsid w:val="0B220922"/>
    <w:rsid w:val="0D23698A"/>
    <w:rsid w:val="0D396C26"/>
    <w:rsid w:val="0DF9618E"/>
    <w:rsid w:val="0E4E2339"/>
    <w:rsid w:val="0EEB38B8"/>
    <w:rsid w:val="0FED14FF"/>
    <w:rsid w:val="10280789"/>
    <w:rsid w:val="108D45B8"/>
    <w:rsid w:val="111E001A"/>
    <w:rsid w:val="11293AD9"/>
    <w:rsid w:val="119E18B9"/>
    <w:rsid w:val="129C545E"/>
    <w:rsid w:val="12B8070F"/>
    <w:rsid w:val="1433594E"/>
    <w:rsid w:val="1446105D"/>
    <w:rsid w:val="151A5B41"/>
    <w:rsid w:val="15391CA5"/>
    <w:rsid w:val="15EC6B4B"/>
    <w:rsid w:val="16132411"/>
    <w:rsid w:val="16816E34"/>
    <w:rsid w:val="16B01337"/>
    <w:rsid w:val="17B20BC2"/>
    <w:rsid w:val="17CF0DD1"/>
    <w:rsid w:val="17EA0A1A"/>
    <w:rsid w:val="183065F9"/>
    <w:rsid w:val="1AB1581F"/>
    <w:rsid w:val="1ACB416E"/>
    <w:rsid w:val="1B34605E"/>
    <w:rsid w:val="1C7A5F7E"/>
    <w:rsid w:val="1C8B26B3"/>
    <w:rsid w:val="1C8C02F2"/>
    <w:rsid w:val="1C9F23C7"/>
    <w:rsid w:val="1EC60105"/>
    <w:rsid w:val="203E3F67"/>
    <w:rsid w:val="204B3024"/>
    <w:rsid w:val="20D83B05"/>
    <w:rsid w:val="212A2611"/>
    <w:rsid w:val="215F6EAC"/>
    <w:rsid w:val="219E68F4"/>
    <w:rsid w:val="22752927"/>
    <w:rsid w:val="22FF5C6C"/>
    <w:rsid w:val="24313FEF"/>
    <w:rsid w:val="2481682F"/>
    <w:rsid w:val="25145128"/>
    <w:rsid w:val="257E4CCA"/>
    <w:rsid w:val="25A85A39"/>
    <w:rsid w:val="26914E82"/>
    <w:rsid w:val="27C93064"/>
    <w:rsid w:val="284B6FA7"/>
    <w:rsid w:val="28A74A2E"/>
    <w:rsid w:val="28A765EA"/>
    <w:rsid w:val="290A15C3"/>
    <w:rsid w:val="295C0BD2"/>
    <w:rsid w:val="296323DA"/>
    <w:rsid w:val="29D05CC2"/>
    <w:rsid w:val="2A613F70"/>
    <w:rsid w:val="2A89097B"/>
    <w:rsid w:val="2AC1560A"/>
    <w:rsid w:val="2AD24DDD"/>
    <w:rsid w:val="2BC559DD"/>
    <w:rsid w:val="2BEC3741"/>
    <w:rsid w:val="2C370B80"/>
    <w:rsid w:val="2C476598"/>
    <w:rsid w:val="2C8D538A"/>
    <w:rsid w:val="2D1643FA"/>
    <w:rsid w:val="2D3946AD"/>
    <w:rsid w:val="2EF25311"/>
    <w:rsid w:val="2FCB143A"/>
    <w:rsid w:val="2FED27CD"/>
    <w:rsid w:val="30215EF3"/>
    <w:rsid w:val="30261CDE"/>
    <w:rsid w:val="307112DB"/>
    <w:rsid w:val="32BF3502"/>
    <w:rsid w:val="33D92027"/>
    <w:rsid w:val="3442156A"/>
    <w:rsid w:val="348F00F1"/>
    <w:rsid w:val="34D41166"/>
    <w:rsid w:val="35A042CD"/>
    <w:rsid w:val="35D10437"/>
    <w:rsid w:val="372C45FE"/>
    <w:rsid w:val="37323E61"/>
    <w:rsid w:val="37C640CA"/>
    <w:rsid w:val="37DC1F39"/>
    <w:rsid w:val="38254BEB"/>
    <w:rsid w:val="38996861"/>
    <w:rsid w:val="38D27B44"/>
    <w:rsid w:val="39702623"/>
    <w:rsid w:val="3AEF3B61"/>
    <w:rsid w:val="3C8C72BA"/>
    <w:rsid w:val="3CC80A7A"/>
    <w:rsid w:val="3CE061D8"/>
    <w:rsid w:val="3E437332"/>
    <w:rsid w:val="3EB04F99"/>
    <w:rsid w:val="3EDF3E59"/>
    <w:rsid w:val="3F0E44BF"/>
    <w:rsid w:val="3FCA68B7"/>
    <w:rsid w:val="400721A7"/>
    <w:rsid w:val="40F12E3B"/>
    <w:rsid w:val="41B57DFD"/>
    <w:rsid w:val="41EA1493"/>
    <w:rsid w:val="4202058A"/>
    <w:rsid w:val="42765112"/>
    <w:rsid w:val="428730F1"/>
    <w:rsid w:val="43043344"/>
    <w:rsid w:val="431D0F1C"/>
    <w:rsid w:val="43560791"/>
    <w:rsid w:val="43784FA8"/>
    <w:rsid w:val="43880F63"/>
    <w:rsid w:val="43BD33E2"/>
    <w:rsid w:val="44703A07"/>
    <w:rsid w:val="44B53DFD"/>
    <w:rsid w:val="45461D96"/>
    <w:rsid w:val="454A2974"/>
    <w:rsid w:val="45924EB3"/>
    <w:rsid w:val="4619280E"/>
    <w:rsid w:val="473C62ED"/>
    <w:rsid w:val="478260E2"/>
    <w:rsid w:val="47941C85"/>
    <w:rsid w:val="488B2199"/>
    <w:rsid w:val="48A64A8A"/>
    <w:rsid w:val="49964873"/>
    <w:rsid w:val="4A98446A"/>
    <w:rsid w:val="4B0A6048"/>
    <w:rsid w:val="4C4D1D40"/>
    <w:rsid w:val="4C9D38FA"/>
    <w:rsid w:val="4C9E5354"/>
    <w:rsid w:val="4FD866DD"/>
    <w:rsid w:val="50373E78"/>
    <w:rsid w:val="520E518D"/>
    <w:rsid w:val="5227300D"/>
    <w:rsid w:val="522E717A"/>
    <w:rsid w:val="52842913"/>
    <w:rsid w:val="531620E8"/>
    <w:rsid w:val="535C564C"/>
    <w:rsid w:val="546649A9"/>
    <w:rsid w:val="552B64E3"/>
    <w:rsid w:val="55322ADD"/>
    <w:rsid w:val="55C26869"/>
    <w:rsid w:val="55F7681C"/>
    <w:rsid w:val="561F520A"/>
    <w:rsid w:val="562F0831"/>
    <w:rsid w:val="568E0E83"/>
    <w:rsid w:val="56C55BED"/>
    <w:rsid w:val="59637709"/>
    <w:rsid w:val="5A3823D4"/>
    <w:rsid w:val="5A4E7F71"/>
    <w:rsid w:val="5B78382F"/>
    <w:rsid w:val="5BB10330"/>
    <w:rsid w:val="5BD6030A"/>
    <w:rsid w:val="5BD7400E"/>
    <w:rsid w:val="5BDB5D5F"/>
    <w:rsid w:val="5C70278B"/>
    <w:rsid w:val="5C7E79B7"/>
    <w:rsid w:val="5E9674E5"/>
    <w:rsid w:val="5EB015AF"/>
    <w:rsid w:val="5F9B32C3"/>
    <w:rsid w:val="60B42F40"/>
    <w:rsid w:val="60F15F42"/>
    <w:rsid w:val="623E0D13"/>
    <w:rsid w:val="624E28EA"/>
    <w:rsid w:val="628618F2"/>
    <w:rsid w:val="62F06813"/>
    <w:rsid w:val="63100901"/>
    <w:rsid w:val="6311310A"/>
    <w:rsid w:val="63C61647"/>
    <w:rsid w:val="63F36145"/>
    <w:rsid w:val="63FA62EF"/>
    <w:rsid w:val="642D0290"/>
    <w:rsid w:val="64314272"/>
    <w:rsid w:val="644C655C"/>
    <w:rsid w:val="64CB0C85"/>
    <w:rsid w:val="65DB2A07"/>
    <w:rsid w:val="65E802E6"/>
    <w:rsid w:val="66C22023"/>
    <w:rsid w:val="676344B0"/>
    <w:rsid w:val="68246EE1"/>
    <w:rsid w:val="68B65545"/>
    <w:rsid w:val="68C741D6"/>
    <w:rsid w:val="694A5404"/>
    <w:rsid w:val="6983599F"/>
    <w:rsid w:val="69A61752"/>
    <w:rsid w:val="69F8234A"/>
    <w:rsid w:val="6AD91C3B"/>
    <w:rsid w:val="6AFF4D38"/>
    <w:rsid w:val="6B250CC2"/>
    <w:rsid w:val="6D5C27CA"/>
    <w:rsid w:val="6DE62D2A"/>
    <w:rsid w:val="6F143538"/>
    <w:rsid w:val="6F496913"/>
    <w:rsid w:val="6F685621"/>
    <w:rsid w:val="704049E8"/>
    <w:rsid w:val="70982A42"/>
    <w:rsid w:val="71B66B18"/>
    <w:rsid w:val="71DB06B2"/>
    <w:rsid w:val="71EB38F7"/>
    <w:rsid w:val="72565006"/>
    <w:rsid w:val="73251E07"/>
    <w:rsid w:val="74191821"/>
    <w:rsid w:val="74841CC7"/>
    <w:rsid w:val="749731C9"/>
    <w:rsid w:val="74FA083C"/>
    <w:rsid w:val="759F24AC"/>
    <w:rsid w:val="7661256B"/>
    <w:rsid w:val="771A56F5"/>
    <w:rsid w:val="77463340"/>
    <w:rsid w:val="783C764B"/>
    <w:rsid w:val="797A042B"/>
    <w:rsid w:val="7A5B74BD"/>
    <w:rsid w:val="7A9002EB"/>
    <w:rsid w:val="7B4A207F"/>
    <w:rsid w:val="7C6C70F3"/>
    <w:rsid w:val="7C6F094C"/>
    <w:rsid w:val="7DD34466"/>
    <w:rsid w:val="7DD77851"/>
    <w:rsid w:val="7E226FD5"/>
    <w:rsid w:val="7F1A7867"/>
    <w:rsid w:val="7F63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702" w:lineRule="exact"/>
      <w:ind w:right="457"/>
      <w:jc w:val="center"/>
      <w:outlineLvl w:val="0"/>
    </w:pPr>
    <w:rPr>
      <w:rFonts w:ascii="Microsoft JhengHei" w:hAnsi="Microsoft JhengHei" w:eastAsia="Microsoft JhengHei" w:cs="Microsoft JhengHei"/>
      <w:b/>
      <w:bCs/>
      <w:sz w:val="44"/>
      <w:szCs w:val="44"/>
    </w:rPr>
  </w:style>
  <w:style w:type="paragraph" w:styleId="4">
    <w:name w:val="heading 2"/>
    <w:basedOn w:val="1"/>
    <w:next w:val="1"/>
    <w:qFormat/>
    <w:uiPriority w:val="1"/>
    <w:pPr>
      <w:ind w:left="641" w:hanging="402"/>
      <w:outlineLvl w:val="1"/>
    </w:pPr>
    <w:rPr>
      <w:rFonts w:ascii="Microsoft JhengHei" w:hAnsi="Microsoft JhengHei" w:eastAsia="Microsoft JhengHei" w:cs="Microsoft JhengHei"/>
      <w:b/>
      <w:bCs/>
      <w:sz w:val="32"/>
      <w:szCs w:val="32"/>
    </w:rPr>
  </w:style>
  <w:style w:type="paragraph" w:styleId="5">
    <w:name w:val="heading 6"/>
    <w:basedOn w:val="1"/>
    <w:next w:val="1"/>
    <w:qFormat/>
    <w:uiPriority w:val="9"/>
    <w:pPr>
      <w:keepNext/>
      <w:keepLines/>
      <w:numPr>
        <w:ilvl w:val="1"/>
        <w:numId w:val="1"/>
      </w:numPr>
      <w:tabs>
        <w:tab w:val="left" w:pos="567"/>
      </w:tabs>
      <w:adjustRightInd w:val="0"/>
      <w:snapToGrid w:val="0"/>
      <w:ind w:firstLine="640" w:firstLineChars="200"/>
      <w:outlineLvl w:val="5"/>
    </w:pPr>
    <w:rPr>
      <w:rFonts w:ascii="Arial" w:hAnsi="Aria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hAnsi="Courier New"/>
      <w:sz w:val="20"/>
      <w:szCs w:val="20"/>
    </w:rPr>
  </w:style>
  <w:style w:type="paragraph" w:styleId="6">
    <w:name w:val="Normal Indent"/>
    <w:basedOn w:val="1"/>
    <w:next w:val="1"/>
    <w:unhideWhenUsed/>
    <w:qFormat/>
    <w:uiPriority w:val="99"/>
    <w:pPr>
      <w:ind w:firstLine="420"/>
    </w:pPr>
    <w:rPr>
      <w:szCs w:val="24"/>
    </w:rPr>
  </w:style>
  <w:style w:type="paragraph" w:styleId="7">
    <w:name w:val="annotation text"/>
    <w:basedOn w:val="1"/>
    <w:qFormat/>
    <w:uiPriority w:val="0"/>
    <w:rPr>
      <w:sz w:val="30"/>
    </w:rPr>
  </w:style>
  <w:style w:type="paragraph" w:styleId="8">
    <w:name w:val="Body Text"/>
    <w:basedOn w:val="1"/>
    <w:qFormat/>
    <w:uiPriority w:val="1"/>
    <w:rPr>
      <w:sz w:val="21"/>
      <w:szCs w:val="21"/>
    </w:rPr>
  </w:style>
  <w:style w:type="paragraph" w:styleId="9">
    <w:name w:val="Body Text Indent"/>
    <w:basedOn w:val="1"/>
    <w:next w:val="1"/>
    <w:qFormat/>
    <w:uiPriority w:val="0"/>
    <w:pPr>
      <w:ind w:firstLine="570"/>
    </w:pPr>
    <w:rPr>
      <w:rFonts w:ascii="Times New Roman" w:hAnsi="Times New Roman"/>
      <w:sz w:val="28"/>
      <w:szCs w:val="20"/>
    </w:rPr>
  </w:style>
  <w:style w:type="paragraph" w:styleId="10">
    <w:name w:val="Balloon Text"/>
    <w:basedOn w:val="1"/>
    <w:link w:val="26"/>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envelope return"/>
    <w:basedOn w:val="1"/>
    <w:qFormat/>
    <w:uiPriority w:val="0"/>
    <w:pPr>
      <w:snapToGrid w:val="0"/>
    </w:pPr>
    <w:rPr>
      <w:rFonts w:ascii="Arial" w:hAnsi="Arial" w:cs="Times New Roman"/>
      <w:szCs w:val="24"/>
      <w:lang w:bidi="ar-SA"/>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w:basedOn w:val="8"/>
    <w:qFormat/>
    <w:uiPriority w:val="0"/>
    <w:pPr>
      <w:spacing w:line="312" w:lineRule="auto"/>
      <w:ind w:firstLine="420"/>
    </w:pPr>
    <w:rPr>
      <w:szCs w:val="24"/>
      <w:lang w:val="en-US"/>
    </w:rPr>
  </w:style>
  <w:style w:type="paragraph" w:styleId="15">
    <w:name w:val="Body Text First Indent 2"/>
    <w:basedOn w:val="9"/>
    <w:next w:val="1"/>
    <w:qFormat/>
    <w:uiPriority w:val="0"/>
    <w:pPr>
      <w:spacing w:after="120"/>
      <w:ind w:left="200" w:leftChars="200" w:firstLine="200" w:firstLineChars="200"/>
    </w:pPr>
    <w:rPr>
      <w:rFonts w:ascii="Calibri" w:hAnsi="Calibri"/>
      <w:kern w:val="2"/>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character" w:styleId="20">
    <w:name w:val="annotation reference"/>
    <w:basedOn w:val="18"/>
    <w:semiHidden/>
    <w:unhideWhenUsed/>
    <w:qFormat/>
    <w:uiPriority w:val="0"/>
    <w:rPr>
      <w:sz w:val="21"/>
      <w:szCs w:val="21"/>
    </w:rPr>
  </w:style>
  <w:style w:type="paragraph" w:styleId="21">
    <w:name w:val="List Paragraph"/>
    <w:basedOn w:val="1"/>
    <w:qFormat/>
    <w:uiPriority w:val="1"/>
    <w:pPr>
      <w:ind w:left="240" w:firstLine="419"/>
    </w:pPr>
  </w:style>
  <w:style w:type="paragraph" w:customStyle="1" w:styleId="22">
    <w:name w:val="文一"/>
    <w:basedOn w:val="1"/>
    <w:qFormat/>
    <w:uiPriority w:val="99"/>
    <w:pPr>
      <w:topLinePunct/>
      <w:adjustRightInd w:val="0"/>
      <w:snapToGrid w:val="0"/>
      <w:spacing w:line="360" w:lineRule="auto"/>
      <w:ind w:firstLine="200" w:firstLineChars="200"/>
    </w:pPr>
    <w:rPr>
      <w:rFonts w:ascii="Times New Roman" w:hAnsi="Times New Roman" w:cs="Times New Roman"/>
      <w:spacing w:val="4"/>
      <w:sz w:val="24"/>
      <w:szCs w:val="24"/>
    </w:rPr>
  </w:style>
  <w:style w:type="paragraph" w:customStyle="1" w:styleId="23">
    <w:name w:val="修订1"/>
    <w:hidden/>
    <w:unhideWhenUsed/>
    <w:qFormat/>
    <w:uiPriority w:val="99"/>
    <w:rPr>
      <w:rFonts w:ascii="宋体" w:hAnsi="宋体" w:eastAsia="宋体" w:cs="宋体"/>
      <w:sz w:val="22"/>
      <w:szCs w:val="22"/>
      <w:lang w:val="zh-CN" w:eastAsia="zh-CN" w:bidi="zh-CN"/>
    </w:rPr>
  </w:style>
  <w:style w:type="character" w:customStyle="1" w:styleId="24">
    <w:name w:val="未处理的提及1"/>
    <w:semiHidden/>
    <w:unhideWhenUsed/>
    <w:qFormat/>
    <w:uiPriority w:val="99"/>
    <w:rPr>
      <w:color w:val="605E5C"/>
      <w:shd w:val="clear" w:color="auto" w:fill="E1DFDD"/>
    </w:rPr>
  </w:style>
  <w:style w:type="character" w:customStyle="1" w:styleId="25">
    <w:name w:val="fontstyle01"/>
    <w:basedOn w:val="18"/>
    <w:qFormat/>
    <w:uiPriority w:val="0"/>
    <w:rPr>
      <w:rFonts w:hint="eastAsia" w:ascii="仿宋_GB2312" w:hAnsi="仿宋_GB2312" w:eastAsia="仿宋_GB2312"/>
      <w:color w:val="000000"/>
      <w:sz w:val="28"/>
      <w:szCs w:val="28"/>
    </w:rPr>
  </w:style>
  <w:style w:type="character" w:customStyle="1" w:styleId="26">
    <w:name w:val="批注框文本 字符"/>
    <w:basedOn w:val="18"/>
    <w:link w:val="10"/>
    <w:qFormat/>
    <w:uiPriority w:val="0"/>
    <w:rPr>
      <w:rFonts w:ascii="宋体" w:hAnsi="宋体" w:cs="宋体"/>
      <w:sz w:val="18"/>
      <w:szCs w:val="18"/>
      <w:lang w:val="zh-CN" w:bidi="zh-CN"/>
    </w:rPr>
  </w:style>
  <w:style w:type="paragraph" w:customStyle="1" w:styleId="27">
    <w:name w:val="自定义正文"/>
    <w:basedOn w:val="1"/>
    <w:next w:val="1"/>
    <w:qFormat/>
    <w:uiPriority w:val="0"/>
    <w:pPr>
      <w:spacing w:line="360" w:lineRule="auto"/>
      <w:ind w:firstLine="200" w:firstLineChars="200"/>
    </w:pPr>
    <w:rPr>
      <w:sz w:val="24"/>
    </w:rPr>
  </w:style>
  <w:style w:type="paragraph" w:customStyle="1" w:styleId="28">
    <w:name w:val="自定表格内容"/>
    <w:basedOn w:val="8"/>
    <w:qFormat/>
    <w:uiPriority w:val="0"/>
    <w:pPr>
      <w:spacing w:line="360" w:lineRule="auto"/>
    </w:pPr>
  </w:style>
  <w:style w:type="paragraph" w:customStyle="1" w:styleId="29">
    <w:name w:val="修订2"/>
    <w:hidden/>
    <w:unhideWhenUsed/>
    <w:qFormat/>
    <w:uiPriority w:val="99"/>
    <w:rPr>
      <w:rFonts w:ascii="宋体" w:hAnsi="宋体" w:eastAsia="宋体" w:cs="宋体"/>
      <w:sz w:val="22"/>
      <w:szCs w:val="22"/>
      <w:lang w:val="zh-CN" w:eastAsia="zh-CN" w:bidi="zh-CN"/>
    </w:rPr>
  </w:style>
  <w:style w:type="paragraph" w:customStyle="1" w:styleId="30">
    <w:name w:val="修订3"/>
    <w:hidden/>
    <w:unhideWhenUsed/>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476;\&#20195;&#29702;&#19994;&#21153;\2024&#24180;&#20195;&#29702;&#39033;&#30446;\&#21335;&#20013;&#36724;\&#19996;&#39118;&#26449;D1&#22320;&#22359;\&#25307;&#26631;&#20844;&#21578;-&#28023;&#29664;&#21306;&#19996;&#39118;&#26449;D1&#22320;&#22359;&#30417;&#297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招标公告-海珠区东风村D1地块监理.dot</Template>
  <Company>China</Company>
  <Pages>9</Pages>
  <Words>5409</Words>
  <Characters>6088</Characters>
  <Lines>230</Lines>
  <Paragraphs>194</Paragraphs>
  <TotalTime>0</TotalTime>
  <ScaleCrop>false</ScaleCrop>
  <LinksUpToDate>false</LinksUpToDate>
  <CharactersWithSpaces>6248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2024-11-22T14:59:00Z</dcterms:created>
  <dc:creator>Admin</dc:creator>
  <cp:lastModifiedBy>1</cp:lastModifiedBy>
  <cp:lastPrinted>2024-09-26T01:44:00Z</cp:lastPrinted>
  <dcterms:modified xsi:type="dcterms:W3CDTF">2025-07-24T08:47:36Z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8419EEF76AB74F64A292CD794093CB4E_13</vt:lpwstr>
  </property>
  <property fmtid="{D5CDD505-2E9C-101B-9397-08002B2CF9AE}" pid="4" name="KSOTemplateDocerSaveRecord">
    <vt:lpwstr>eyJoZGlkIjoiNDM1YzgwOTk5MmNjZWUxMjI1NjAyOTBhZWQ4ZmU4OWIiLCJ1c2VySWQiOiIxNjk5OTY1Mjk3In0=</vt:lpwstr>
  </property>
</Properties>
</file>