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14A544D">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outlineLvl w:val="0"/>
        <w:rPr>
          <w:rFonts w:hint="default" w:ascii="黑体" w:hAnsi="黑体" w:eastAsia="黑体" w:cs="黑体"/>
          <w:b/>
          <w:bCs/>
          <w:color w:val="auto"/>
          <w:sz w:val="30"/>
          <w:szCs w:val="30"/>
          <w:highlight w:val="none"/>
          <w:lang w:val="en-US" w:eastAsia="zh-CN"/>
        </w:rPr>
      </w:pPr>
      <w:bookmarkStart w:id="0" w:name="_Toc26778"/>
      <w:r>
        <w:rPr>
          <w:rFonts w:hint="eastAsia" w:ascii="黑体" w:hAnsi="黑体" w:eastAsia="黑体" w:cs="黑体"/>
          <w:b/>
          <w:bCs/>
          <w:color w:val="auto"/>
          <w:sz w:val="30"/>
          <w:szCs w:val="30"/>
          <w:highlight w:val="none"/>
          <w:lang w:val="en-US" w:eastAsia="zh-CN"/>
        </w:rPr>
        <w:t xml:space="preserve">第三章 </w:t>
      </w:r>
      <w:r>
        <w:rPr>
          <w:rFonts w:hint="eastAsia" w:ascii="黑体" w:hAnsi="黑体" w:eastAsia="黑体" w:cs="黑体"/>
          <w:b/>
          <w:bCs/>
          <w:color w:val="auto"/>
          <w:sz w:val="30"/>
          <w:szCs w:val="30"/>
          <w:highlight w:val="none"/>
        </w:rPr>
        <w:t>评标办法</w:t>
      </w:r>
      <w:bookmarkEnd w:id="0"/>
      <w:r>
        <w:rPr>
          <w:rFonts w:hint="eastAsia" w:ascii="黑体" w:hAnsi="黑体" w:eastAsia="黑体" w:cs="黑体"/>
          <w:b/>
          <w:bCs/>
          <w:color w:val="auto"/>
          <w:sz w:val="30"/>
          <w:szCs w:val="30"/>
          <w:highlight w:val="none"/>
          <w:lang w:val="en-US" w:eastAsia="zh-CN"/>
        </w:rPr>
        <w:t>和定标办法</w:t>
      </w:r>
    </w:p>
    <w:p w14:paraId="08DFF813">
      <w:pPr>
        <w:pStyle w:val="6"/>
        <w:shd w:val="clear" w:color="auto" w:fill="auto"/>
        <w:spacing w:before="0" w:line="360" w:lineRule="auto"/>
        <w:ind w:firstLine="562" w:firstLineChars="200"/>
        <w:jc w:val="both"/>
        <w:outlineLvl w:val="1"/>
        <w:rPr>
          <w:rFonts w:hint="eastAsia" w:ascii="宋体" w:hAnsi="宋体" w:eastAsia="宋体" w:cs="宋体"/>
          <w:b/>
          <w:bCs/>
          <w:color w:val="auto"/>
          <w:sz w:val="24"/>
          <w:szCs w:val="24"/>
          <w:highlight w:val="none"/>
        </w:rPr>
      </w:pPr>
      <w:bookmarkStart w:id="1" w:name="_Toc12309"/>
      <w:r>
        <w:rPr>
          <w:rFonts w:hint="eastAsia" w:ascii="宋体" w:hAnsi="宋体" w:eastAsia="宋体" w:cs="宋体"/>
          <w:b/>
          <w:bCs/>
          <w:color w:val="auto"/>
          <w:sz w:val="24"/>
          <w:szCs w:val="24"/>
          <w:highlight w:val="none"/>
          <w:lang w:val="en-US" w:eastAsia="zh-CN"/>
        </w:rPr>
        <w:t>1.</w:t>
      </w:r>
      <w:r>
        <w:rPr>
          <w:rFonts w:hint="eastAsia" w:ascii="宋体" w:hAnsi="宋体" w:eastAsia="宋体" w:cs="宋体"/>
          <w:b/>
          <w:bCs/>
          <w:color w:val="auto"/>
          <w:sz w:val="24"/>
          <w:szCs w:val="24"/>
          <w:highlight w:val="none"/>
        </w:rPr>
        <w:t>评标方法</w:t>
      </w:r>
      <w:bookmarkEnd w:id="1"/>
    </w:p>
    <w:p w14:paraId="1EE86184">
      <w:pPr>
        <w:pStyle w:val="6"/>
        <w:shd w:val="clear" w:color="auto" w:fill="auto"/>
        <w:spacing w:before="0" w:line="360" w:lineRule="auto"/>
        <w:ind w:firstLine="560"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评标方法本次评标采用双信封的综合评分法，项目采用评定分离。评标委员会对满足招标文件实质性要求的投标文件，按照本章第2.2 款规定的评分标准进行打分，取综合得分大于或等于85分的全部有效投标人为不标明排序的定标候选人（但当综合得分大于或等于85分的有效投标人不足5家时，则从85分以下的有效投标人中按综合得分从高到低推荐，直至补齐5家定标候选人）；</w:t>
      </w:r>
    </w:p>
    <w:p w14:paraId="3BC6D88D">
      <w:pPr>
        <w:pStyle w:val="6"/>
        <w:shd w:val="clear" w:color="auto" w:fill="auto"/>
        <w:spacing w:before="0" w:line="360" w:lineRule="auto"/>
        <w:ind w:firstLine="560"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当全部有效投标人不少于3家，不多于5家时，则推荐全部有效投标人为定标候选人），但投标报价低于其成本的除外。综合评分相等时，评标委员会应按照评标办法前附表规定的优先次序推荐定标候选人。</w:t>
      </w:r>
    </w:p>
    <w:p w14:paraId="7FEEC22D">
      <w:pPr>
        <w:pStyle w:val="6"/>
        <w:shd w:val="clear" w:color="auto" w:fill="auto"/>
        <w:spacing w:before="0" w:line="360" w:lineRule="auto"/>
        <w:ind w:firstLine="562" w:firstLineChars="200"/>
        <w:jc w:val="both"/>
        <w:outlineLvl w:val="1"/>
        <w:rPr>
          <w:rFonts w:hint="eastAsia" w:ascii="宋体" w:hAnsi="宋体" w:eastAsia="宋体" w:cs="宋体"/>
          <w:b/>
          <w:bCs/>
          <w:color w:val="auto"/>
          <w:sz w:val="24"/>
          <w:szCs w:val="24"/>
          <w:highlight w:val="none"/>
          <w:lang w:val="en-US"/>
        </w:rPr>
      </w:pPr>
      <w:bookmarkStart w:id="2" w:name="_Toc8688"/>
      <w:r>
        <w:rPr>
          <w:rFonts w:hint="eastAsia" w:ascii="宋体" w:hAnsi="宋体" w:eastAsia="宋体" w:cs="宋体"/>
          <w:b/>
          <w:bCs/>
          <w:color w:val="auto"/>
          <w:sz w:val="24"/>
          <w:szCs w:val="24"/>
          <w:highlight w:val="none"/>
          <w:lang w:val="en-US"/>
        </w:rPr>
        <w:t>2.评审标准</w:t>
      </w:r>
      <w:bookmarkEnd w:id="2"/>
    </w:p>
    <w:p w14:paraId="0CE8DCBB">
      <w:pPr>
        <w:pStyle w:val="6"/>
        <w:shd w:val="clear" w:color="auto" w:fill="auto"/>
        <w:spacing w:before="0" w:line="360" w:lineRule="auto"/>
        <w:ind w:firstLine="562" w:firstLineChars="200"/>
        <w:jc w:val="both"/>
        <w:outlineLvl w:val="2"/>
        <w:rPr>
          <w:rFonts w:hint="eastAsia" w:ascii="宋体" w:hAnsi="宋体" w:eastAsia="宋体" w:cs="宋体"/>
          <w:b/>
          <w:bCs/>
          <w:color w:val="auto"/>
          <w:sz w:val="24"/>
          <w:szCs w:val="24"/>
          <w:highlight w:val="none"/>
          <w:lang w:val="en-US"/>
        </w:rPr>
      </w:pPr>
      <w:bookmarkStart w:id="3" w:name="_Toc23144"/>
      <w:r>
        <w:rPr>
          <w:rFonts w:hint="eastAsia" w:ascii="宋体" w:hAnsi="宋体" w:eastAsia="宋体" w:cs="宋体"/>
          <w:b/>
          <w:bCs/>
          <w:color w:val="auto"/>
          <w:sz w:val="24"/>
          <w:szCs w:val="24"/>
          <w:highlight w:val="none"/>
          <w:lang w:val="en-US"/>
        </w:rPr>
        <w:t>2.1初步评审标准</w:t>
      </w:r>
      <w:bookmarkEnd w:id="3"/>
    </w:p>
    <w:p w14:paraId="148F0E99">
      <w:pPr>
        <w:pStyle w:val="6"/>
        <w:shd w:val="clear" w:color="auto" w:fill="auto"/>
        <w:spacing w:before="0" w:line="360" w:lineRule="auto"/>
        <w:ind w:firstLine="560"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2.1.1见评标办法前附表；</w:t>
      </w:r>
    </w:p>
    <w:p w14:paraId="16945DFC">
      <w:pPr>
        <w:pStyle w:val="6"/>
        <w:shd w:val="clear" w:color="auto" w:fill="auto"/>
        <w:spacing w:before="0" w:line="360" w:lineRule="auto"/>
        <w:ind w:firstLine="560"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2.1.2资格评审标准：见资格预审文件第三章“ 资格审查办法”详细审查标准（适用于已进行资格预审的）。</w:t>
      </w:r>
    </w:p>
    <w:p w14:paraId="78FFBDE7">
      <w:pPr>
        <w:pStyle w:val="6"/>
        <w:shd w:val="clear" w:color="auto" w:fill="auto"/>
        <w:spacing w:before="0" w:line="360" w:lineRule="auto"/>
        <w:ind w:firstLine="560"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2.1.3响应性评审标准：见评标办法前附表。</w:t>
      </w:r>
    </w:p>
    <w:p w14:paraId="40A2BE67">
      <w:pPr>
        <w:pStyle w:val="6"/>
        <w:shd w:val="clear" w:color="auto" w:fill="auto"/>
        <w:spacing w:before="0" w:line="360" w:lineRule="auto"/>
        <w:ind w:firstLine="562" w:firstLineChars="200"/>
        <w:jc w:val="both"/>
        <w:outlineLvl w:val="2"/>
        <w:rPr>
          <w:rFonts w:hint="eastAsia" w:ascii="宋体" w:hAnsi="宋体" w:eastAsia="宋体" w:cs="宋体"/>
          <w:b/>
          <w:bCs/>
          <w:color w:val="auto"/>
          <w:sz w:val="24"/>
          <w:szCs w:val="24"/>
          <w:highlight w:val="none"/>
          <w:lang w:val="en-US"/>
        </w:rPr>
      </w:pPr>
      <w:bookmarkStart w:id="4" w:name="_Toc4629"/>
      <w:r>
        <w:rPr>
          <w:rFonts w:hint="eastAsia" w:ascii="宋体" w:hAnsi="宋体" w:eastAsia="宋体" w:cs="宋体"/>
          <w:b/>
          <w:bCs/>
          <w:color w:val="auto"/>
          <w:sz w:val="24"/>
          <w:szCs w:val="24"/>
          <w:highlight w:val="none"/>
          <w:lang w:val="en-US" w:eastAsia="zh-CN"/>
        </w:rPr>
        <w:t>2.2</w:t>
      </w:r>
      <w:r>
        <w:rPr>
          <w:rFonts w:hint="eastAsia" w:ascii="宋体" w:hAnsi="宋体" w:eastAsia="宋体" w:cs="宋体"/>
          <w:b/>
          <w:bCs/>
          <w:color w:val="auto"/>
          <w:sz w:val="24"/>
          <w:szCs w:val="24"/>
          <w:highlight w:val="none"/>
          <w:lang w:val="en-US"/>
        </w:rPr>
        <w:t>分值构成与评分标准</w:t>
      </w:r>
      <w:bookmarkEnd w:id="4"/>
    </w:p>
    <w:p w14:paraId="54D24100">
      <w:pPr>
        <w:pStyle w:val="6"/>
        <w:shd w:val="clear" w:color="auto" w:fill="auto"/>
        <w:spacing w:before="0" w:line="360" w:lineRule="auto"/>
        <w:ind w:firstLine="560"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2.2</w:t>
      </w:r>
      <w:r>
        <w:rPr>
          <w:rFonts w:hint="eastAsia" w:ascii="宋体" w:hAnsi="宋体" w:eastAsia="宋体" w:cs="宋体"/>
          <w:color w:val="auto"/>
          <w:sz w:val="24"/>
          <w:szCs w:val="24"/>
          <w:highlight w:val="none"/>
        </w:rPr>
        <w:t>.1分值构成</w:t>
      </w:r>
    </w:p>
    <w:p w14:paraId="4628AB2B">
      <w:pPr>
        <w:pStyle w:val="6"/>
        <w:shd w:val="clear" w:color="auto" w:fill="auto"/>
        <w:spacing w:before="0" w:line="360" w:lineRule="auto"/>
        <w:ind w:firstLine="560"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施工组织设计：见评标办法前附表；</w:t>
      </w:r>
    </w:p>
    <w:p w14:paraId="1ED9FE29">
      <w:pPr>
        <w:pStyle w:val="6"/>
        <w:shd w:val="clear" w:color="auto" w:fill="auto"/>
        <w:spacing w:before="0" w:line="360" w:lineRule="auto"/>
        <w:ind w:firstLine="560"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主要人员：见评标办法前附表；</w:t>
      </w:r>
    </w:p>
    <w:p w14:paraId="4C6D46CE">
      <w:pPr>
        <w:pStyle w:val="6"/>
        <w:shd w:val="clear" w:color="auto" w:fill="auto"/>
        <w:spacing w:before="0" w:line="360" w:lineRule="auto"/>
        <w:ind w:firstLine="560" w:firstLineChars="200"/>
        <w:jc w:val="both"/>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（3）评标价：见评标办法前附表；</w:t>
      </w:r>
    </w:p>
    <w:p w14:paraId="0ACF70CF">
      <w:pPr>
        <w:pStyle w:val="6"/>
        <w:shd w:val="clear" w:color="auto" w:fill="auto"/>
        <w:spacing w:before="0" w:line="360" w:lineRule="auto"/>
        <w:ind w:firstLine="560"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其他评分因素：见评标办法前附表。</w:t>
      </w:r>
    </w:p>
    <w:p w14:paraId="2E1ACE8D">
      <w:pPr>
        <w:pStyle w:val="6"/>
        <w:shd w:val="clear" w:color="auto" w:fill="auto"/>
        <w:spacing w:before="0" w:line="360" w:lineRule="auto"/>
        <w:ind w:firstLine="560" w:firstLineChars="200"/>
        <w:jc w:val="both"/>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2.2.2 评标基准价计算</w:t>
      </w:r>
    </w:p>
    <w:p w14:paraId="0D3C6971">
      <w:pPr>
        <w:pStyle w:val="6"/>
        <w:shd w:val="clear" w:color="auto" w:fill="auto"/>
        <w:spacing w:before="0" w:line="360" w:lineRule="auto"/>
        <w:ind w:firstLine="560" w:firstLineChars="200"/>
        <w:jc w:val="both"/>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2.2.3 评标价的偏差率计算</w:t>
      </w:r>
    </w:p>
    <w:p w14:paraId="25E99086">
      <w:pPr>
        <w:pStyle w:val="6"/>
        <w:shd w:val="clear" w:color="auto" w:fill="auto"/>
        <w:spacing w:before="0" w:line="360" w:lineRule="auto"/>
        <w:ind w:firstLine="560" w:firstLineChars="200"/>
        <w:jc w:val="both"/>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评标价的偏差率计算公式：见评标办法前附表。</w:t>
      </w:r>
    </w:p>
    <w:p w14:paraId="52BE2D2D">
      <w:pPr>
        <w:pStyle w:val="6"/>
        <w:shd w:val="clear" w:color="auto" w:fill="auto"/>
        <w:spacing w:before="0" w:line="360" w:lineRule="auto"/>
        <w:ind w:firstLine="560" w:firstLineChars="200"/>
        <w:jc w:val="both"/>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2.2.4 评分标准</w:t>
      </w:r>
    </w:p>
    <w:p w14:paraId="674A9B8E">
      <w:pPr>
        <w:pStyle w:val="6"/>
        <w:shd w:val="clear" w:color="auto" w:fill="auto"/>
        <w:spacing w:before="0" w:line="360" w:lineRule="auto"/>
        <w:ind w:firstLine="560" w:firstLineChars="200"/>
        <w:jc w:val="both"/>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（1）施工组织设计评分标准：见评标办法前附表；</w:t>
      </w:r>
    </w:p>
    <w:p w14:paraId="0207951D">
      <w:pPr>
        <w:pStyle w:val="6"/>
        <w:shd w:val="clear" w:color="auto" w:fill="auto"/>
        <w:spacing w:before="0" w:line="360" w:lineRule="auto"/>
        <w:ind w:firstLine="560" w:firstLineChars="200"/>
        <w:jc w:val="both"/>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（2）主要人员评分标准：见评标办法前附表；</w:t>
      </w:r>
    </w:p>
    <w:p w14:paraId="557F671A">
      <w:pPr>
        <w:pStyle w:val="6"/>
        <w:shd w:val="clear" w:color="auto" w:fill="auto"/>
        <w:spacing w:before="0" w:line="360" w:lineRule="auto"/>
        <w:ind w:firstLine="560" w:firstLineChars="200"/>
        <w:jc w:val="both"/>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（3）评标价评分标准：见评标办法前附表；</w:t>
      </w:r>
    </w:p>
    <w:p w14:paraId="4FFDF9B4">
      <w:pPr>
        <w:pStyle w:val="6"/>
        <w:shd w:val="clear" w:color="auto" w:fill="auto"/>
        <w:spacing w:before="0" w:line="360" w:lineRule="auto"/>
        <w:ind w:firstLine="560"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（4）其他因素评分标准：见评标办法前附表。</w:t>
      </w:r>
    </w:p>
    <w:p w14:paraId="157A7A07">
      <w:pPr>
        <w:pStyle w:val="6"/>
        <w:shd w:val="clear" w:color="auto" w:fill="auto"/>
        <w:spacing w:before="0" w:line="360" w:lineRule="auto"/>
        <w:ind w:firstLine="562" w:firstLineChars="200"/>
        <w:jc w:val="both"/>
        <w:outlineLvl w:val="1"/>
        <w:rPr>
          <w:rFonts w:hint="eastAsia" w:ascii="宋体" w:hAnsi="宋体" w:eastAsia="宋体" w:cs="宋体"/>
          <w:b/>
          <w:bCs/>
          <w:color w:val="auto"/>
          <w:sz w:val="24"/>
          <w:szCs w:val="24"/>
          <w:highlight w:val="none"/>
          <w:lang w:val="en-US"/>
        </w:rPr>
      </w:pPr>
      <w:bookmarkStart w:id="5" w:name="_Toc26177"/>
      <w:r>
        <w:rPr>
          <w:rFonts w:hint="eastAsia" w:ascii="宋体" w:hAnsi="宋体" w:eastAsia="宋体" w:cs="宋体"/>
          <w:b/>
          <w:bCs/>
          <w:color w:val="auto"/>
          <w:sz w:val="24"/>
          <w:szCs w:val="24"/>
          <w:highlight w:val="none"/>
          <w:lang w:val="en-US" w:eastAsia="zh-CN"/>
        </w:rPr>
        <w:t>3.</w:t>
      </w:r>
      <w:r>
        <w:rPr>
          <w:rFonts w:hint="eastAsia" w:ascii="宋体" w:hAnsi="宋体" w:eastAsia="宋体" w:cs="宋体"/>
          <w:b/>
          <w:bCs/>
          <w:color w:val="auto"/>
          <w:sz w:val="24"/>
          <w:szCs w:val="24"/>
          <w:highlight w:val="none"/>
          <w:lang w:val="en-US"/>
        </w:rPr>
        <w:t>评标程序</w:t>
      </w:r>
      <w:bookmarkEnd w:id="5"/>
    </w:p>
    <w:p w14:paraId="64DF475A">
      <w:pPr>
        <w:pStyle w:val="6"/>
        <w:shd w:val="clear" w:color="auto" w:fill="auto"/>
        <w:spacing w:before="0" w:line="360" w:lineRule="auto"/>
        <w:ind w:firstLine="562" w:firstLineChars="200"/>
        <w:jc w:val="both"/>
        <w:outlineLvl w:val="2"/>
        <w:rPr>
          <w:rFonts w:hint="eastAsia" w:ascii="宋体" w:hAnsi="宋体" w:eastAsia="宋体" w:cs="宋体"/>
          <w:b/>
          <w:bCs/>
          <w:color w:val="auto"/>
          <w:sz w:val="24"/>
          <w:szCs w:val="24"/>
          <w:highlight w:val="none"/>
          <w:lang w:val="en-US"/>
        </w:rPr>
      </w:pPr>
      <w:bookmarkStart w:id="6" w:name="_Toc23768"/>
      <w:r>
        <w:rPr>
          <w:rFonts w:hint="eastAsia" w:ascii="宋体" w:hAnsi="宋体" w:eastAsia="宋体" w:cs="宋体"/>
          <w:b/>
          <w:bCs/>
          <w:color w:val="auto"/>
          <w:sz w:val="24"/>
          <w:szCs w:val="24"/>
          <w:highlight w:val="none"/>
          <w:lang w:val="en-US" w:eastAsia="zh-CN"/>
        </w:rPr>
        <w:t>3.1</w:t>
      </w:r>
      <w:r>
        <w:rPr>
          <w:rFonts w:hint="eastAsia" w:ascii="宋体" w:hAnsi="宋体" w:eastAsia="宋体" w:cs="宋体"/>
          <w:b/>
          <w:bCs/>
          <w:color w:val="auto"/>
          <w:sz w:val="24"/>
          <w:szCs w:val="24"/>
          <w:highlight w:val="none"/>
          <w:lang w:val="en-US"/>
        </w:rPr>
        <w:t>第一个信封初步评审</w:t>
      </w:r>
      <w:bookmarkEnd w:id="6"/>
    </w:p>
    <w:p w14:paraId="47FE6309">
      <w:pPr>
        <w:pStyle w:val="6"/>
        <w:shd w:val="clear" w:color="auto" w:fill="auto"/>
        <w:spacing w:before="0" w:line="360" w:lineRule="auto"/>
        <w:ind w:firstLine="560"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3.1</w:t>
      </w:r>
      <w:r>
        <w:rPr>
          <w:rFonts w:hint="eastAsia" w:ascii="宋体" w:hAnsi="宋体" w:eastAsia="宋体" w:cs="宋体"/>
          <w:color w:val="auto"/>
          <w:sz w:val="24"/>
          <w:szCs w:val="24"/>
          <w:highlight w:val="none"/>
        </w:rPr>
        <w:t>.1评标委员会可以要求投标人提交第二章“投标人须知”第3.5.1项至第3.5.6项规定的有关证明和证件的原件，以便核验。评标委员会依据本章第2.1款规定的标准对投标文件第一个信封（商务及技术文件）进行初步评审。有一项不符合评审标准的，评标委员会应否决其投标。（适用于未进行资格预审的）。</w:t>
      </w:r>
    </w:p>
    <w:p w14:paraId="51FE6871">
      <w:pPr>
        <w:pStyle w:val="6"/>
        <w:shd w:val="clear" w:color="auto" w:fill="auto"/>
        <w:spacing w:before="0" w:line="360" w:lineRule="auto"/>
        <w:ind w:firstLine="562" w:firstLineChars="200"/>
        <w:jc w:val="both"/>
        <w:outlineLvl w:val="2"/>
        <w:rPr>
          <w:rFonts w:hint="eastAsia" w:ascii="宋体" w:hAnsi="宋体" w:eastAsia="宋体" w:cs="宋体"/>
          <w:b/>
          <w:bCs/>
          <w:color w:val="auto"/>
          <w:sz w:val="24"/>
          <w:szCs w:val="24"/>
          <w:highlight w:val="none"/>
          <w:lang w:val="en-US"/>
        </w:rPr>
      </w:pPr>
      <w:bookmarkStart w:id="7" w:name="_Toc12720"/>
      <w:r>
        <w:rPr>
          <w:rFonts w:hint="eastAsia" w:ascii="宋体" w:hAnsi="宋体" w:eastAsia="宋体" w:cs="宋体"/>
          <w:b/>
          <w:bCs/>
          <w:color w:val="auto"/>
          <w:sz w:val="24"/>
          <w:szCs w:val="24"/>
          <w:highlight w:val="none"/>
          <w:lang w:val="en-US" w:eastAsia="zh-CN"/>
        </w:rPr>
        <w:t>3.2</w:t>
      </w:r>
      <w:r>
        <w:rPr>
          <w:rFonts w:hint="eastAsia" w:ascii="宋体" w:hAnsi="宋体" w:eastAsia="宋体" w:cs="宋体"/>
          <w:b/>
          <w:bCs/>
          <w:color w:val="auto"/>
          <w:sz w:val="24"/>
          <w:szCs w:val="24"/>
          <w:highlight w:val="none"/>
          <w:lang w:val="en-US"/>
        </w:rPr>
        <w:t>第一个信封详细评审</w:t>
      </w:r>
      <w:bookmarkEnd w:id="7"/>
    </w:p>
    <w:p w14:paraId="3488B081">
      <w:pPr>
        <w:pStyle w:val="6"/>
        <w:shd w:val="clear" w:color="auto" w:fill="auto"/>
        <w:spacing w:before="0" w:line="360" w:lineRule="auto"/>
        <w:ind w:firstLine="560"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3.2</w:t>
      </w:r>
      <w:r>
        <w:rPr>
          <w:rFonts w:hint="eastAsia" w:ascii="宋体" w:hAnsi="宋体" w:eastAsia="宋体" w:cs="宋体"/>
          <w:color w:val="auto"/>
          <w:sz w:val="24"/>
          <w:szCs w:val="24"/>
          <w:highlight w:val="none"/>
        </w:rPr>
        <w:t>.1评标委员会按本章第2.2款规定的量化因素和分值进行打分，并计算出各投标人的商务和技术得分。</w:t>
      </w:r>
    </w:p>
    <w:p w14:paraId="578E00CF">
      <w:pPr>
        <w:pStyle w:val="6"/>
        <w:shd w:val="clear" w:color="auto" w:fill="auto"/>
        <w:spacing w:before="0" w:line="360" w:lineRule="auto"/>
        <w:ind w:firstLine="560"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rPr>
        <w:t>）按本章第2.2.</w:t>
      </w: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rPr>
        <w:t>项（1）目规定的评审因素和分值对施工组织设计部分计算出得分A；</w:t>
      </w:r>
    </w:p>
    <w:p w14:paraId="3BAAA01D">
      <w:pPr>
        <w:pStyle w:val="6"/>
        <w:shd w:val="clear" w:color="auto" w:fill="auto"/>
        <w:spacing w:before="0" w:line="360" w:lineRule="auto"/>
        <w:ind w:firstLine="560"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）按本章第2.2.</w:t>
      </w: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rPr>
        <w:t>项（2）目规定的评审因素和分值对主要人员部分计算出得分B；</w:t>
      </w:r>
    </w:p>
    <w:p w14:paraId="717947EB">
      <w:pPr>
        <w:pStyle w:val="6"/>
        <w:shd w:val="clear" w:color="auto" w:fill="auto"/>
        <w:spacing w:before="0" w:line="360" w:lineRule="auto"/>
        <w:ind w:firstLine="560"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）按本章第2.2.</w:t>
      </w: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rPr>
        <w:t>项（</w:t>
      </w: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rPr>
        <w:t>）目规定的评审因素和分值对其他部分计算出得分</w:t>
      </w:r>
      <w:r>
        <w:rPr>
          <w:rFonts w:hint="eastAsia" w:ascii="宋体" w:hAnsi="宋体" w:eastAsia="宋体" w:cs="宋体"/>
          <w:color w:val="auto"/>
          <w:sz w:val="24"/>
          <w:szCs w:val="24"/>
          <w:highlight w:val="none"/>
          <w:lang w:val="en-US" w:eastAsia="zh-CN"/>
        </w:rPr>
        <w:t>D</w:t>
      </w:r>
      <w:r>
        <w:rPr>
          <w:rFonts w:hint="eastAsia" w:ascii="宋体" w:hAnsi="宋体" w:eastAsia="宋体" w:cs="宋体"/>
          <w:color w:val="auto"/>
          <w:sz w:val="24"/>
          <w:szCs w:val="24"/>
          <w:highlight w:val="none"/>
        </w:rPr>
        <w:t>。</w:t>
      </w:r>
    </w:p>
    <w:p w14:paraId="765C7989">
      <w:pPr>
        <w:pStyle w:val="6"/>
        <w:shd w:val="clear" w:color="auto" w:fill="auto"/>
        <w:spacing w:before="0" w:line="360" w:lineRule="auto"/>
        <w:ind w:firstLine="560"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3.2</w:t>
      </w:r>
      <w:r>
        <w:rPr>
          <w:rFonts w:hint="eastAsia" w:ascii="宋体" w:hAnsi="宋体" w:eastAsia="宋体" w:cs="宋体"/>
          <w:color w:val="auto"/>
          <w:sz w:val="24"/>
          <w:szCs w:val="24"/>
          <w:highlight w:val="none"/>
        </w:rPr>
        <w:t>.2投标人的商务和技术得分分值计算保留小数点后两位，小数点后第三位“四舍五入”。</w:t>
      </w:r>
    </w:p>
    <w:p w14:paraId="01F6A9EE">
      <w:pPr>
        <w:pStyle w:val="6"/>
        <w:shd w:val="clear" w:color="auto" w:fill="auto"/>
        <w:spacing w:before="0" w:line="360" w:lineRule="auto"/>
        <w:ind w:firstLine="560"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3.2</w:t>
      </w:r>
      <w:r>
        <w:rPr>
          <w:rFonts w:hint="eastAsia" w:ascii="宋体" w:hAnsi="宋体" w:eastAsia="宋体" w:cs="宋体"/>
          <w:color w:val="auto"/>
          <w:sz w:val="24"/>
          <w:szCs w:val="24"/>
          <w:highlight w:val="none"/>
        </w:rPr>
        <w:t>.3投标人的商务和技术得分=A+B+</w:t>
      </w:r>
      <w:r>
        <w:rPr>
          <w:rFonts w:hint="eastAsia" w:ascii="宋体" w:hAnsi="宋体" w:eastAsia="宋体" w:cs="宋体"/>
          <w:color w:val="auto"/>
          <w:sz w:val="24"/>
          <w:szCs w:val="24"/>
          <w:highlight w:val="none"/>
          <w:lang w:val="en-US" w:eastAsia="zh-CN"/>
        </w:rPr>
        <w:t>D</w:t>
      </w:r>
      <w:r>
        <w:rPr>
          <w:rFonts w:hint="eastAsia" w:ascii="宋体" w:hAnsi="宋体" w:eastAsia="宋体" w:cs="宋体"/>
          <w:color w:val="auto"/>
          <w:sz w:val="24"/>
          <w:szCs w:val="24"/>
          <w:highlight w:val="none"/>
        </w:rPr>
        <w:t>。</w:t>
      </w:r>
    </w:p>
    <w:p w14:paraId="6C37032F">
      <w:pPr>
        <w:pStyle w:val="6"/>
        <w:shd w:val="clear" w:color="auto" w:fill="auto"/>
        <w:spacing w:before="0" w:line="360" w:lineRule="auto"/>
        <w:ind w:firstLine="562" w:firstLineChars="200"/>
        <w:jc w:val="both"/>
        <w:outlineLvl w:val="2"/>
        <w:rPr>
          <w:rFonts w:hint="eastAsia" w:ascii="宋体" w:hAnsi="宋体" w:eastAsia="宋体" w:cs="宋体"/>
          <w:b/>
          <w:bCs/>
          <w:color w:val="auto"/>
          <w:sz w:val="24"/>
          <w:szCs w:val="24"/>
          <w:highlight w:val="none"/>
          <w:lang w:val="en-US"/>
        </w:rPr>
      </w:pPr>
      <w:bookmarkStart w:id="8" w:name="_Toc4994"/>
      <w:r>
        <w:rPr>
          <w:rFonts w:hint="eastAsia" w:ascii="宋体" w:hAnsi="宋体" w:eastAsia="宋体" w:cs="宋体"/>
          <w:b/>
          <w:bCs/>
          <w:color w:val="auto"/>
          <w:sz w:val="24"/>
          <w:szCs w:val="24"/>
          <w:highlight w:val="none"/>
          <w:lang w:val="en-US" w:eastAsia="zh-CN"/>
        </w:rPr>
        <w:t>3.3</w:t>
      </w:r>
      <w:r>
        <w:rPr>
          <w:rFonts w:hint="eastAsia" w:ascii="宋体" w:hAnsi="宋体" w:eastAsia="宋体" w:cs="宋体"/>
          <w:b/>
          <w:bCs/>
          <w:color w:val="auto"/>
          <w:sz w:val="24"/>
          <w:szCs w:val="24"/>
          <w:highlight w:val="none"/>
          <w:lang w:val="en-US"/>
        </w:rPr>
        <w:t>第二个信封开标</w:t>
      </w:r>
      <w:bookmarkEnd w:id="8"/>
    </w:p>
    <w:p w14:paraId="33E3DB5F">
      <w:pPr>
        <w:pStyle w:val="6"/>
        <w:shd w:val="clear" w:color="auto" w:fill="auto"/>
        <w:spacing w:before="0" w:line="360" w:lineRule="auto"/>
        <w:ind w:firstLine="560"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第一个信封（商务及技术文件）评审结束后，招标人将按照第二章“投标人须知”第5.1款规定的时间和地点对通过投标文件第一个信封（商务及技术文件）评审的投标文件第二个信封（报价文件）进行开标。</w:t>
      </w:r>
    </w:p>
    <w:p w14:paraId="5172ABAC">
      <w:pPr>
        <w:pStyle w:val="6"/>
        <w:shd w:val="clear" w:color="auto" w:fill="auto"/>
        <w:spacing w:before="0" w:line="360" w:lineRule="auto"/>
        <w:ind w:firstLine="562" w:firstLineChars="200"/>
        <w:jc w:val="both"/>
        <w:outlineLvl w:val="2"/>
        <w:rPr>
          <w:rFonts w:hint="eastAsia" w:ascii="宋体" w:hAnsi="宋体" w:eastAsia="宋体" w:cs="宋体"/>
          <w:b/>
          <w:bCs/>
          <w:color w:val="auto"/>
          <w:sz w:val="24"/>
          <w:szCs w:val="24"/>
          <w:highlight w:val="none"/>
          <w:lang w:val="en-US"/>
        </w:rPr>
      </w:pPr>
      <w:bookmarkStart w:id="9" w:name="_Toc28270"/>
      <w:r>
        <w:rPr>
          <w:rFonts w:hint="eastAsia" w:ascii="宋体" w:hAnsi="宋体" w:eastAsia="宋体" w:cs="宋体"/>
          <w:b/>
          <w:bCs/>
          <w:color w:val="auto"/>
          <w:sz w:val="24"/>
          <w:szCs w:val="24"/>
          <w:highlight w:val="none"/>
          <w:lang w:val="en-US" w:eastAsia="zh-CN"/>
        </w:rPr>
        <w:t>3.4</w:t>
      </w:r>
      <w:r>
        <w:rPr>
          <w:rFonts w:hint="eastAsia" w:ascii="宋体" w:hAnsi="宋体" w:eastAsia="宋体" w:cs="宋体"/>
          <w:b/>
          <w:bCs/>
          <w:color w:val="auto"/>
          <w:sz w:val="24"/>
          <w:szCs w:val="24"/>
          <w:highlight w:val="none"/>
          <w:lang w:val="en-US"/>
        </w:rPr>
        <w:t>第二个信封初步评审</w:t>
      </w:r>
      <w:bookmarkEnd w:id="9"/>
    </w:p>
    <w:p w14:paraId="56640BF5">
      <w:pPr>
        <w:pStyle w:val="6"/>
        <w:shd w:val="clear" w:color="auto" w:fill="auto"/>
        <w:spacing w:before="0" w:line="360" w:lineRule="auto"/>
        <w:ind w:firstLine="560"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3.4</w:t>
      </w:r>
      <w:r>
        <w:rPr>
          <w:rFonts w:hint="eastAsia" w:ascii="宋体" w:hAnsi="宋体" w:eastAsia="宋体" w:cs="宋体"/>
          <w:color w:val="auto"/>
          <w:sz w:val="24"/>
          <w:szCs w:val="24"/>
          <w:highlight w:val="none"/>
        </w:rPr>
        <w:t>.1评标委员会依据本章第2.1.1项、第2.1.3项规定的评审标准对投标文件第二个信封（报价文件）进行初步评审。有一项不符合评审标准的，评标委员会应否决其投标。</w:t>
      </w:r>
    </w:p>
    <w:p w14:paraId="059A4EEA">
      <w:pPr>
        <w:pStyle w:val="6"/>
        <w:shd w:val="clear" w:color="auto" w:fill="auto"/>
        <w:spacing w:before="0" w:line="360" w:lineRule="auto"/>
        <w:ind w:firstLine="560"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3.4</w:t>
      </w:r>
      <w:r>
        <w:rPr>
          <w:rFonts w:hint="eastAsia" w:ascii="宋体" w:hAnsi="宋体" w:eastAsia="宋体" w:cs="宋体"/>
          <w:color w:val="auto"/>
          <w:sz w:val="24"/>
          <w:szCs w:val="24"/>
          <w:highlight w:val="none"/>
        </w:rPr>
        <w:t>.2投标报价有算术错误的，评标委员会按以下原则对投标报价进行修正，修正的价格经投标人书面确认后具有约束力。投标人不接受修正价格的，评标委员会应否决其投标。</w:t>
      </w:r>
    </w:p>
    <w:p w14:paraId="3004E40B">
      <w:pPr>
        <w:pStyle w:val="6"/>
        <w:shd w:val="clear" w:color="auto" w:fill="auto"/>
        <w:spacing w:before="0" w:line="360" w:lineRule="auto"/>
        <w:ind w:firstLine="560"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（1）投标文件中的大写金额与小写金额不一致的，以大写金额为准；</w:t>
      </w:r>
    </w:p>
    <w:p w14:paraId="2EF54448">
      <w:pPr>
        <w:pStyle w:val="6"/>
        <w:shd w:val="clear" w:color="auto" w:fill="auto"/>
        <w:spacing w:before="0" w:line="360" w:lineRule="auto"/>
        <w:ind w:firstLine="560"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（2）总价金额与依据单价计算出的结果不一致的，以单价金额为准修正总价，但单价金额小数点有明显错误的除外；</w:t>
      </w:r>
    </w:p>
    <w:p w14:paraId="4415D128">
      <w:pPr>
        <w:pStyle w:val="6"/>
        <w:shd w:val="clear" w:color="auto" w:fill="auto"/>
        <w:spacing w:before="0" w:line="360" w:lineRule="auto"/>
        <w:ind w:firstLine="560"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（3）当单价与数量相乘不等于合价时，以单价计算为准，如果单价有明显的小数点位置差错，应以标出的合价为准，同时对单价予以修正；</w:t>
      </w:r>
    </w:p>
    <w:p w14:paraId="2B2D851E">
      <w:pPr>
        <w:pStyle w:val="6"/>
        <w:shd w:val="clear" w:color="auto" w:fill="auto"/>
        <w:spacing w:before="0" w:line="360" w:lineRule="auto"/>
        <w:ind w:firstLine="560"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（4）当各子目的合价累计不等于总价时，应以各子目合价累计数为准，修正总价。</w:t>
      </w:r>
    </w:p>
    <w:p w14:paraId="30779D95">
      <w:pPr>
        <w:pStyle w:val="6"/>
        <w:shd w:val="clear" w:color="auto" w:fill="auto"/>
        <w:spacing w:before="0" w:line="360" w:lineRule="auto"/>
        <w:ind w:firstLine="560"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3.4</w:t>
      </w:r>
      <w:r>
        <w:rPr>
          <w:rFonts w:hint="eastAsia" w:ascii="宋体" w:hAnsi="宋体" w:eastAsia="宋体" w:cs="宋体"/>
          <w:color w:val="auto"/>
          <w:sz w:val="24"/>
          <w:szCs w:val="24"/>
          <w:highlight w:val="none"/>
        </w:rPr>
        <w:t>.3工程量清单中的投标报价有其他错误的，评标委员会按以下原则对投标报价进行修正，修正的价格经投标人书面确认后具有约束力。投标人不接受修正价格的，评标委员会应否决其投标。</w:t>
      </w:r>
    </w:p>
    <w:p w14:paraId="767EBD63">
      <w:pPr>
        <w:pStyle w:val="6"/>
        <w:shd w:val="clear" w:color="auto" w:fill="auto"/>
        <w:spacing w:before="0" w:line="360" w:lineRule="auto"/>
        <w:ind w:firstLine="560"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在招标人给定的工程量清单中漏报了某个工程子目的单价、合价或总额价，或所报单价、合价或总额价减少了报价范围，则漏报的工程子目单价、合价和总额价或单价、合价和总额价中减少的报价内容视为已含入其他工程子目的单价、合价和总额价之中。</w:t>
      </w:r>
    </w:p>
    <w:p w14:paraId="78707E98">
      <w:pPr>
        <w:pStyle w:val="6"/>
        <w:shd w:val="clear" w:color="auto" w:fill="auto"/>
        <w:spacing w:before="0" w:line="360" w:lineRule="auto"/>
        <w:ind w:firstLine="560"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）在招标人给定的工程量清单中多报了某个工程子目的单价、合价或总额价，或所报单价、合价或总额价增加了报价范围，则从投标报价中扣除多报的工程子目报价或工程子目报价中增加了报价范围的部分报价。</w:t>
      </w:r>
    </w:p>
    <w:p w14:paraId="5D3DF4D4">
      <w:pPr>
        <w:pStyle w:val="6"/>
        <w:shd w:val="clear" w:color="auto" w:fill="auto"/>
        <w:spacing w:before="0" w:line="360" w:lineRule="auto"/>
        <w:ind w:firstLine="560"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）当单价与数量的乘积与合价（金额）虽然一致，但投标人修改了该子目的工程数量，则其合价按招标人给定的工程数量乘以投标人所报单价予以修正。</w:t>
      </w:r>
    </w:p>
    <w:p w14:paraId="6B4AB986">
      <w:pPr>
        <w:pStyle w:val="6"/>
        <w:shd w:val="clear" w:color="auto" w:fill="auto"/>
        <w:spacing w:before="0" w:line="360" w:lineRule="auto"/>
        <w:ind w:firstLine="560"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3.4</w:t>
      </w:r>
      <w:r>
        <w:rPr>
          <w:rFonts w:hint="eastAsia" w:ascii="宋体" w:hAnsi="宋体" w:eastAsia="宋体" w:cs="宋体"/>
          <w:color w:val="auto"/>
          <w:sz w:val="24"/>
          <w:szCs w:val="24"/>
          <w:highlight w:val="none"/>
        </w:rPr>
        <w:t>.4修正后的最终投标报价若超过最高投标限价（如有），评标委员会应否决其投标。</w:t>
      </w:r>
    </w:p>
    <w:p w14:paraId="65D80D50">
      <w:pPr>
        <w:pStyle w:val="6"/>
        <w:shd w:val="clear" w:color="auto" w:fill="auto"/>
        <w:spacing w:before="0" w:line="360" w:lineRule="auto"/>
        <w:ind w:firstLine="560"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3.4.5修正后的最终投标报价仅作为签订合同的一个依据，不参与评标价得分的计算。</w:t>
      </w:r>
    </w:p>
    <w:p w14:paraId="39059D83">
      <w:pPr>
        <w:pStyle w:val="6"/>
        <w:shd w:val="clear" w:color="auto" w:fill="auto"/>
        <w:spacing w:before="0" w:line="360" w:lineRule="auto"/>
        <w:ind w:firstLine="562" w:firstLineChars="200"/>
        <w:jc w:val="both"/>
        <w:outlineLvl w:val="2"/>
        <w:rPr>
          <w:rFonts w:hint="eastAsia" w:ascii="宋体" w:hAnsi="宋体" w:eastAsia="宋体" w:cs="宋体"/>
          <w:b/>
          <w:bCs/>
          <w:color w:val="auto"/>
          <w:sz w:val="24"/>
          <w:szCs w:val="24"/>
          <w:highlight w:val="none"/>
          <w:lang w:val="en-US"/>
        </w:rPr>
      </w:pPr>
      <w:bookmarkStart w:id="10" w:name="_Toc14385"/>
      <w:r>
        <w:rPr>
          <w:rFonts w:hint="eastAsia" w:ascii="宋体" w:hAnsi="宋体" w:eastAsia="宋体" w:cs="宋体"/>
          <w:b/>
          <w:bCs/>
          <w:color w:val="auto"/>
          <w:sz w:val="24"/>
          <w:szCs w:val="24"/>
          <w:highlight w:val="none"/>
          <w:lang w:val="en-US" w:eastAsia="zh-CN"/>
        </w:rPr>
        <w:t>3.5</w:t>
      </w:r>
      <w:r>
        <w:rPr>
          <w:rFonts w:hint="eastAsia" w:ascii="宋体" w:hAnsi="宋体" w:eastAsia="宋体" w:cs="宋体"/>
          <w:b/>
          <w:bCs/>
          <w:color w:val="auto"/>
          <w:sz w:val="24"/>
          <w:szCs w:val="24"/>
          <w:highlight w:val="none"/>
          <w:lang w:val="en-US"/>
        </w:rPr>
        <w:t>第二个信封详细评审</w:t>
      </w:r>
      <w:bookmarkEnd w:id="10"/>
    </w:p>
    <w:p w14:paraId="712BD1D9">
      <w:pPr>
        <w:pStyle w:val="6"/>
        <w:shd w:val="clear" w:color="auto" w:fill="auto"/>
        <w:spacing w:before="0" w:line="360" w:lineRule="auto"/>
        <w:ind w:firstLine="560"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3.5</w:t>
      </w:r>
      <w:r>
        <w:rPr>
          <w:rFonts w:hint="eastAsia" w:ascii="宋体" w:hAnsi="宋体" w:eastAsia="宋体" w:cs="宋体"/>
          <w:color w:val="auto"/>
          <w:sz w:val="24"/>
          <w:szCs w:val="24"/>
          <w:highlight w:val="none"/>
        </w:rPr>
        <w:t>.1评标委员会按本章第2.2</w:t>
      </w:r>
      <w:r>
        <w:rPr>
          <w:rFonts w:hint="eastAsia" w:ascii="宋体" w:hAnsi="宋体" w:eastAsia="宋体" w:cs="宋体"/>
          <w:color w:val="auto"/>
          <w:sz w:val="24"/>
          <w:szCs w:val="24"/>
          <w:highlight w:val="none"/>
          <w:lang w:val="en-US" w:eastAsia="zh-CN"/>
        </w:rPr>
        <w:t>.4（3）目规定的评审因素和分值对评标价计算出得分 C。评标价得分分值计算保留小数点后两位，小数点后第三位“四舍五入”</w:t>
      </w:r>
      <w:r>
        <w:rPr>
          <w:rFonts w:hint="eastAsia" w:ascii="宋体" w:hAnsi="宋体" w:eastAsia="宋体" w:cs="宋体"/>
          <w:color w:val="auto"/>
          <w:sz w:val="24"/>
          <w:szCs w:val="24"/>
          <w:highlight w:val="none"/>
        </w:rPr>
        <w:t>。</w:t>
      </w:r>
    </w:p>
    <w:p w14:paraId="10BCB677">
      <w:pPr>
        <w:pStyle w:val="6"/>
        <w:shd w:val="clear" w:color="auto" w:fill="auto"/>
        <w:spacing w:before="0" w:line="360" w:lineRule="auto"/>
        <w:ind w:firstLine="560"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3.5</w:t>
      </w:r>
      <w:r>
        <w:rPr>
          <w:rFonts w:hint="eastAsia" w:ascii="宋体" w:hAnsi="宋体" w:eastAsia="宋体" w:cs="宋体"/>
          <w:color w:val="auto"/>
          <w:sz w:val="24"/>
          <w:szCs w:val="24"/>
          <w:highlight w:val="none"/>
        </w:rPr>
        <w:t>.2投标人综合得分=投标人的商务和技术得分+C。</w:t>
      </w:r>
    </w:p>
    <w:p w14:paraId="6EC1FD58">
      <w:pPr>
        <w:pStyle w:val="6"/>
        <w:shd w:val="clear" w:color="auto" w:fill="auto"/>
        <w:spacing w:before="0" w:line="360" w:lineRule="auto"/>
        <w:ind w:firstLine="560"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3.5.3评标委员会发现投标人的报价明显低于其他投标报价，使得其投标报价可能低于其个别成本的，应要求该投标人作出书面说明并提供相应的证明材料。投标人不能合理说明或不能提供相应证明材料的，评标委员会应认定该投标人以低于成本报价竞标，并否决其投标。</w:t>
      </w:r>
    </w:p>
    <w:p w14:paraId="70CB90B0">
      <w:pPr>
        <w:pStyle w:val="6"/>
        <w:shd w:val="clear" w:color="auto" w:fill="auto"/>
        <w:spacing w:before="0" w:line="360" w:lineRule="auto"/>
        <w:ind w:firstLine="562" w:firstLineChars="200"/>
        <w:jc w:val="both"/>
        <w:outlineLvl w:val="2"/>
        <w:rPr>
          <w:rFonts w:hint="eastAsia" w:ascii="宋体" w:hAnsi="宋体" w:eastAsia="宋体" w:cs="宋体"/>
          <w:b/>
          <w:bCs/>
          <w:color w:val="auto"/>
          <w:sz w:val="24"/>
          <w:szCs w:val="24"/>
          <w:highlight w:val="none"/>
          <w:lang w:val="en-US"/>
        </w:rPr>
      </w:pPr>
      <w:bookmarkStart w:id="11" w:name="_Toc30787"/>
      <w:r>
        <w:rPr>
          <w:rFonts w:hint="eastAsia" w:ascii="宋体" w:hAnsi="宋体" w:eastAsia="宋体" w:cs="宋体"/>
          <w:b/>
          <w:bCs/>
          <w:color w:val="auto"/>
          <w:sz w:val="24"/>
          <w:szCs w:val="24"/>
          <w:highlight w:val="none"/>
          <w:lang w:val="en-US" w:eastAsia="zh-CN"/>
        </w:rPr>
        <w:t>3.6</w:t>
      </w:r>
      <w:r>
        <w:rPr>
          <w:rFonts w:hint="eastAsia" w:ascii="宋体" w:hAnsi="宋体" w:eastAsia="宋体" w:cs="宋体"/>
          <w:b/>
          <w:bCs/>
          <w:color w:val="auto"/>
          <w:sz w:val="24"/>
          <w:szCs w:val="24"/>
          <w:highlight w:val="none"/>
          <w:lang w:val="en-US"/>
        </w:rPr>
        <w:t>投标文件相关信息的核查</w:t>
      </w:r>
      <w:bookmarkEnd w:id="11"/>
    </w:p>
    <w:p w14:paraId="6BD84F91">
      <w:pPr>
        <w:pStyle w:val="6"/>
        <w:shd w:val="clear" w:color="auto" w:fill="auto"/>
        <w:spacing w:before="0" w:line="360" w:lineRule="auto"/>
        <w:ind w:firstLine="560"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3.6</w:t>
      </w:r>
      <w:r>
        <w:rPr>
          <w:rFonts w:hint="eastAsia" w:ascii="宋体" w:hAnsi="宋体" w:eastAsia="宋体" w:cs="宋体"/>
          <w:color w:val="auto"/>
          <w:sz w:val="24"/>
          <w:szCs w:val="24"/>
          <w:highlight w:val="none"/>
        </w:rPr>
        <w:t>.1在评标过程中，评标委员会应查询交通运输主管部门“</w:t>
      </w:r>
      <w:r>
        <w:rPr>
          <w:rFonts w:hint="eastAsia" w:ascii="宋体" w:hAnsi="宋体" w:eastAsia="宋体" w:cs="宋体"/>
          <w:color w:val="auto"/>
          <w:sz w:val="24"/>
          <w:szCs w:val="24"/>
          <w:highlight w:val="none"/>
          <w:lang w:eastAsia="zh-CN"/>
        </w:rPr>
        <w:t>公路建设市场监督管理系统</w:t>
      </w:r>
      <w:r>
        <w:rPr>
          <w:rFonts w:hint="eastAsia" w:ascii="宋体" w:hAnsi="宋体" w:eastAsia="宋体" w:cs="宋体"/>
          <w:color w:val="auto"/>
          <w:sz w:val="24"/>
          <w:szCs w:val="24"/>
          <w:highlight w:val="none"/>
        </w:rPr>
        <w:t>”，对投标人的资质、业绩、主要人员资历和目前在岗情况、信用等级等信息进行核实。若投标文件载明的信息与交通运输主管部门“</w:t>
      </w:r>
      <w:r>
        <w:rPr>
          <w:rFonts w:hint="eastAsia" w:ascii="宋体" w:hAnsi="宋体" w:eastAsia="宋体" w:cs="宋体"/>
          <w:color w:val="auto"/>
          <w:sz w:val="24"/>
          <w:szCs w:val="24"/>
          <w:highlight w:val="none"/>
          <w:lang w:eastAsia="zh-CN"/>
        </w:rPr>
        <w:t>公路建设市场监督管理系统</w:t>
      </w:r>
      <w:r>
        <w:rPr>
          <w:rFonts w:hint="eastAsia" w:ascii="宋体" w:hAnsi="宋体" w:eastAsia="宋体" w:cs="宋体"/>
          <w:color w:val="auto"/>
          <w:sz w:val="24"/>
          <w:szCs w:val="24"/>
          <w:highlight w:val="none"/>
        </w:rPr>
        <w:t>”发布的信息不符，使得投标人的资格条件不符合招标文件规定的，评标委员会应否决其投标。</w:t>
      </w:r>
    </w:p>
    <w:p w14:paraId="20CE07BF">
      <w:pPr>
        <w:pStyle w:val="6"/>
        <w:shd w:val="clear" w:color="auto" w:fill="auto"/>
        <w:spacing w:before="0" w:line="360" w:lineRule="auto"/>
        <w:ind w:firstLine="560"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3.6</w:t>
      </w:r>
      <w:r>
        <w:rPr>
          <w:rFonts w:hint="eastAsia" w:ascii="宋体" w:hAnsi="宋体" w:eastAsia="宋体" w:cs="宋体"/>
          <w:color w:val="auto"/>
          <w:sz w:val="24"/>
          <w:szCs w:val="24"/>
          <w:highlight w:val="none"/>
        </w:rPr>
        <w:t>.2评标委员会应对在评标过程中发现的投标人与投标人之间、投标人与招标人之间存在的串通投标的情形进行评审和认定。投标人存在串通投标、弄虚作假、行贿等违法行为的，评标委员会应否决其投标。</w:t>
      </w:r>
    </w:p>
    <w:p w14:paraId="7FC7FA93">
      <w:pPr>
        <w:pStyle w:val="6"/>
        <w:numPr>
          <w:ilvl w:val="0"/>
          <w:numId w:val="0"/>
        </w:numPr>
        <w:shd w:val="clear" w:color="auto" w:fill="auto"/>
        <w:spacing w:before="0" w:line="360" w:lineRule="auto"/>
        <w:ind w:firstLine="560"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有下列情形之一的，属于投标人相互串通投标：</w:t>
      </w:r>
    </w:p>
    <w:p w14:paraId="2843A8EC">
      <w:pPr>
        <w:pStyle w:val="6"/>
        <w:numPr>
          <w:ilvl w:val="0"/>
          <w:numId w:val="0"/>
        </w:numPr>
        <w:shd w:val="clear" w:color="auto" w:fill="auto"/>
        <w:spacing w:before="0" w:line="360" w:lineRule="auto"/>
        <w:ind w:firstLine="560"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a.投标人之间协商投标报价等投标文件的实质性内容；</w:t>
      </w:r>
    </w:p>
    <w:p w14:paraId="44B14639">
      <w:pPr>
        <w:pStyle w:val="6"/>
        <w:numPr>
          <w:ilvl w:val="0"/>
          <w:numId w:val="0"/>
        </w:numPr>
        <w:shd w:val="clear" w:color="auto" w:fill="auto"/>
        <w:spacing w:before="0" w:line="360" w:lineRule="auto"/>
        <w:ind w:firstLine="560"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b.投标人之间约定中标人；</w:t>
      </w:r>
    </w:p>
    <w:p w14:paraId="12FDF7D6">
      <w:pPr>
        <w:pStyle w:val="6"/>
        <w:shd w:val="clear" w:color="auto" w:fill="auto"/>
        <w:spacing w:before="0" w:line="360" w:lineRule="auto"/>
        <w:ind w:firstLine="560"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c.投标人之间约定部分投标人放弃投标或中标；</w:t>
      </w:r>
    </w:p>
    <w:p w14:paraId="4417D2FA">
      <w:pPr>
        <w:pStyle w:val="6"/>
        <w:shd w:val="clear" w:color="auto" w:fill="auto"/>
        <w:spacing w:before="0" w:line="360" w:lineRule="auto"/>
        <w:ind w:firstLine="560"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d.属于同一集团、协会、商会等组织成员的投标人按照该组织要求协同投标；</w:t>
      </w:r>
    </w:p>
    <w:p w14:paraId="421BD385">
      <w:pPr>
        <w:pStyle w:val="6"/>
        <w:shd w:val="clear" w:color="auto" w:fill="auto"/>
        <w:spacing w:before="0" w:line="360" w:lineRule="auto"/>
        <w:ind w:firstLine="560"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e.投标人之间为谋取中标或排斥特定投标人而采取的其他联合行动。</w:t>
      </w:r>
    </w:p>
    <w:p w14:paraId="4204ADA0">
      <w:pPr>
        <w:pStyle w:val="6"/>
        <w:shd w:val="clear" w:color="auto" w:fill="auto"/>
        <w:spacing w:before="0" w:line="360" w:lineRule="auto"/>
        <w:ind w:firstLine="560"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有下列情形之一的，视为投标人相互串通投标：</w:t>
      </w:r>
    </w:p>
    <w:p w14:paraId="16CB2154">
      <w:pPr>
        <w:pStyle w:val="6"/>
        <w:shd w:val="clear" w:color="auto" w:fill="auto"/>
        <w:spacing w:before="0" w:line="360" w:lineRule="auto"/>
        <w:ind w:firstLine="560"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a.不同投标人的投标文件由同一单位或个人编制；</w:t>
      </w:r>
    </w:p>
    <w:p w14:paraId="0D63E63A">
      <w:pPr>
        <w:pStyle w:val="6"/>
        <w:shd w:val="clear" w:color="auto" w:fill="auto"/>
        <w:spacing w:before="0" w:line="360" w:lineRule="auto"/>
        <w:ind w:firstLine="560"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b.不同投标人委托同一单位或个人办理投标事宜；</w:t>
      </w:r>
    </w:p>
    <w:p w14:paraId="3D95EA58">
      <w:pPr>
        <w:pStyle w:val="6"/>
        <w:shd w:val="clear" w:color="auto" w:fill="auto"/>
        <w:spacing w:before="0" w:line="360" w:lineRule="auto"/>
        <w:ind w:firstLine="560"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c.不同投标人的投标文件载明的项目管理成员为同一人；</w:t>
      </w:r>
    </w:p>
    <w:p w14:paraId="7B42040D">
      <w:pPr>
        <w:pStyle w:val="6"/>
        <w:shd w:val="clear" w:color="auto" w:fill="auto"/>
        <w:spacing w:before="0" w:line="360" w:lineRule="auto"/>
        <w:ind w:firstLine="560"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d.不同投标人的投标文件异常一致或投标报价呈规律性差异；e.不同投标人的投标文件相互混装；</w:t>
      </w:r>
    </w:p>
    <w:p w14:paraId="6693FD6D">
      <w:pPr>
        <w:pStyle w:val="6"/>
        <w:shd w:val="clear" w:color="auto" w:fill="auto"/>
        <w:spacing w:before="0" w:line="360" w:lineRule="auto"/>
        <w:ind w:firstLine="560"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f.不同投标人的投标保证金从同一单位或个人的账户转出。</w:t>
      </w:r>
    </w:p>
    <w:p w14:paraId="2C2C5C7B">
      <w:pPr>
        <w:pStyle w:val="6"/>
        <w:shd w:val="clear" w:color="auto" w:fill="auto"/>
        <w:spacing w:before="0" w:line="360" w:lineRule="auto"/>
        <w:ind w:firstLine="560"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有下列情形之一的，属于招标人与投标人串通投标：</w:t>
      </w:r>
    </w:p>
    <w:p w14:paraId="59FFB347">
      <w:pPr>
        <w:pStyle w:val="6"/>
        <w:shd w:val="clear" w:color="auto" w:fill="auto"/>
        <w:spacing w:before="0" w:line="360" w:lineRule="auto"/>
        <w:ind w:firstLine="560"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a.招标人在开标前开启投标文件并将有关信息泄露给其他投标人；</w:t>
      </w:r>
    </w:p>
    <w:p w14:paraId="68EFDE81">
      <w:pPr>
        <w:pStyle w:val="6"/>
        <w:shd w:val="clear" w:color="auto" w:fill="auto"/>
        <w:spacing w:before="0" w:line="360" w:lineRule="auto"/>
        <w:ind w:firstLine="560"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b.招标人直接或间接向投标人泄露标底、评标委员会成员等信息；</w:t>
      </w:r>
    </w:p>
    <w:p w14:paraId="55627C03">
      <w:pPr>
        <w:pStyle w:val="6"/>
        <w:shd w:val="clear" w:color="auto" w:fill="auto"/>
        <w:spacing w:before="0" w:line="360" w:lineRule="auto"/>
        <w:ind w:firstLine="560"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c.招标人明示或暗示投标人压低或抬高投标报价；</w:t>
      </w:r>
    </w:p>
    <w:p w14:paraId="79004B3A">
      <w:pPr>
        <w:pStyle w:val="6"/>
        <w:shd w:val="clear" w:color="auto" w:fill="auto"/>
        <w:spacing w:before="0" w:line="360" w:lineRule="auto"/>
        <w:ind w:firstLine="560"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d</w:t>
      </w:r>
      <w:r>
        <w:rPr>
          <w:rFonts w:hint="eastAsia" w:ascii="宋体" w:hAnsi="宋体" w:eastAsia="宋体" w:cs="宋体"/>
          <w:color w:val="auto"/>
          <w:sz w:val="24"/>
          <w:szCs w:val="24"/>
          <w:highlight w:val="none"/>
        </w:rPr>
        <w:t>.招标人授意投标人撤换、修改投标文件；</w:t>
      </w:r>
    </w:p>
    <w:p w14:paraId="60F871C9">
      <w:pPr>
        <w:pStyle w:val="6"/>
        <w:shd w:val="clear" w:color="auto" w:fill="auto"/>
        <w:spacing w:before="0" w:line="360" w:lineRule="auto"/>
        <w:ind w:firstLine="560"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e</w:t>
      </w:r>
      <w:r>
        <w:rPr>
          <w:rFonts w:hint="eastAsia" w:ascii="宋体" w:hAnsi="宋体" w:eastAsia="宋体" w:cs="宋体"/>
          <w:color w:val="auto"/>
          <w:sz w:val="24"/>
          <w:szCs w:val="24"/>
          <w:highlight w:val="none"/>
        </w:rPr>
        <w:t>.招标人明示或暗示投标人为特定投标人中标提供方便；</w:t>
      </w:r>
    </w:p>
    <w:p w14:paraId="3CC02860">
      <w:pPr>
        <w:pStyle w:val="6"/>
        <w:shd w:val="clear" w:color="auto" w:fill="auto"/>
        <w:spacing w:before="0" w:line="360" w:lineRule="auto"/>
        <w:ind w:firstLine="560"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f</w:t>
      </w:r>
      <w:r>
        <w:rPr>
          <w:rFonts w:hint="eastAsia" w:ascii="宋体" w:hAnsi="宋体" w:eastAsia="宋体" w:cs="宋体"/>
          <w:color w:val="auto"/>
          <w:sz w:val="24"/>
          <w:szCs w:val="24"/>
          <w:highlight w:val="none"/>
        </w:rPr>
        <w:t>.招标人与投标人为谋求特定投标人中标而采取的其他串通行为。</w:t>
      </w:r>
    </w:p>
    <w:p w14:paraId="667725B0">
      <w:pPr>
        <w:pStyle w:val="6"/>
        <w:shd w:val="clear" w:color="auto" w:fill="auto"/>
        <w:spacing w:before="0" w:line="360" w:lineRule="auto"/>
        <w:ind w:firstLine="560"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投标人有下列情形之一的，属于弄虚作假的行为：</w:t>
      </w:r>
    </w:p>
    <w:p w14:paraId="50CFBE43">
      <w:pPr>
        <w:pStyle w:val="6"/>
        <w:shd w:val="clear" w:color="auto" w:fill="auto"/>
        <w:spacing w:before="0" w:line="360" w:lineRule="auto"/>
        <w:ind w:firstLine="560"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a.使用通过受让或租借等方式获取的资格、资质证书投标；</w:t>
      </w:r>
    </w:p>
    <w:p w14:paraId="1535BAD9">
      <w:pPr>
        <w:pStyle w:val="6"/>
        <w:shd w:val="clear" w:color="auto" w:fill="auto"/>
        <w:spacing w:before="0" w:line="360" w:lineRule="auto"/>
        <w:ind w:firstLine="560"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b.使用伪造、变造的许可证件；</w:t>
      </w:r>
    </w:p>
    <w:p w14:paraId="6E07F6A4">
      <w:pPr>
        <w:pStyle w:val="6"/>
        <w:shd w:val="clear" w:color="auto" w:fill="auto"/>
        <w:spacing w:before="0" w:line="360" w:lineRule="auto"/>
        <w:ind w:firstLine="560"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c.提供虚假的财务状况或业绩；</w:t>
      </w:r>
    </w:p>
    <w:p w14:paraId="4478090A">
      <w:pPr>
        <w:pStyle w:val="6"/>
        <w:shd w:val="clear" w:color="auto" w:fill="auto"/>
        <w:spacing w:before="0" w:line="360" w:lineRule="auto"/>
        <w:ind w:firstLine="560"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d.提供虚假的项目负责人或主要技术人员简历、劳动关系证明；</w:t>
      </w:r>
    </w:p>
    <w:p w14:paraId="0DD8C964">
      <w:pPr>
        <w:pStyle w:val="6"/>
        <w:shd w:val="clear" w:color="auto" w:fill="auto"/>
        <w:spacing w:before="0" w:line="360" w:lineRule="auto"/>
        <w:ind w:firstLine="560"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e.提供虚假的信用状况；</w:t>
      </w:r>
    </w:p>
    <w:p w14:paraId="3CDB7DEE">
      <w:pPr>
        <w:pStyle w:val="6"/>
        <w:shd w:val="clear" w:color="auto" w:fill="auto"/>
        <w:spacing w:before="0" w:line="360" w:lineRule="auto"/>
        <w:ind w:firstLine="560"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f.其他弄虚作假的行为。</w:t>
      </w:r>
    </w:p>
    <w:p w14:paraId="6B88662A">
      <w:pPr>
        <w:pStyle w:val="6"/>
        <w:shd w:val="clear" w:color="auto" w:fill="auto"/>
        <w:spacing w:before="0" w:line="360" w:lineRule="auto"/>
        <w:ind w:firstLine="562" w:firstLineChars="200"/>
        <w:jc w:val="both"/>
        <w:outlineLvl w:val="2"/>
        <w:rPr>
          <w:rFonts w:hint="eastAsia" w:ascii="宋体" w:hAnsi="宋体" w:eastAsia="宋体" w:cs="宋体"/>
          <w:b/>
          <w:bCs/>
          <w:color w:val="auto"/>
          <w:sz w:val="24"/>
          <w:szCs w:val="24"/>
          <w:highlight w:val="none"/>
          <w:lang w:val="en-US"/>
        </w:rPr>
      </w:pPr>
      <w:bookmarkStart w:id="12" w:name="_Toc6441"/>
      <w:r>
        <w:rPr>
          <w:rFonts w:hint="eastAsia" w:ascii="宋体" w:hAnsi="宋体" w:eastAsia="宋体" w:cs="宋体"/>
          <w:b/>
          <w:bCs/>
          <w:color w:val="auto"/>
          <w:sz w:val="24"/>
          <w:szCs w:val="24"/>
          <w:highlight w:val="none"/>
          <w:lang w:val="en-US" w:eastAsia="zh-CN"/>
        </w:rPr>
        <w:t>3.7</w:t>
      </w:r>
      <w:r>
        <w:rPr>
          <w:rFonts w:hint="eastAsia" w:ascii="宋体" w:hAnsi="宋体" w:eastAsia="宋体" w:cs="宋体"/>
          <w:b/>
          <w:bCs/>
          <w:color w:val="auto"/>
          <w:sz w:val="24"/>
          <w:szCs w:val="24"/>
          <w:highlight w:val="none"/>
          <w:lang w:val="en-US"/>
        </w:rPr>
        <w:t>投标文件的澄清和说明</w:t>
      </w:r>
      <w:bookmarkEnd w:id="12"/>
    </w:p>
    <w:p w14:paraId="4331EFE4">
      <w:pPr>
        <w:pStyle w:val="6"/>
        <w:shd w:val="clear" w:color="auto" w:fill="auto"/>
        <w:spacing w:before="0" w:line="360" w:lineRule="auto"/>
        <w:ind w:firstLine="560"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3.7</w:t>
      </w:r>
      <w:r>
        <w:rPr>
          <w:rFonts w:hint="eastAsia" w:ascii="宋体" w:hAnsi="宋体" w:eastAsia="宋体" w:cs="宋体"/>
          <w:color w:val="auto"/>
          <w:sz w:val="24"/>
          <w:szCs w:val="24"/>
          <w:highlight w:val="none"/>
        </w:rPr>
        <w:t>.1在评标过程中，评标委员会可以书面形式要求投标人对投标文件中含义不明确的内容、明显文字或计算错误进行书面澄清或说明。评标委员会不接受投标人主动提出的澄清、说明。投标人不按评标委员会要求澄清或说明的，评标委员会应否决其投标。</w:t>
      </w:r>
    </w:p>
    <w:p w14:paraId="64516CF7">
      <w:pPr>
        <w:pStyle w:val="6"/>
        <w:shd w:val="clear" w:color="auto" w:fill="auto"/>
        <w:spacing w:before="0" w:line="360" w:lineRule="auto"/>
        <w:ind w:firstLine="560"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3.7</w:t>
      </w:r>
      <w:r>
        <w:rPr>
          <w:rFonts w:hint="eastAsia" w:ascii="宋体" w:hAnsi="宋体" w:eastAsia="宋体" w:cs="宋体"/>
          <w:color w:val="auto"/>
          <w:sz w:val="24"/>
          <w:szCs w:val="24"/>
          <w:highlight w:val="none"/>
        </w:rPr>
        <w:t>.2澄清和说明不得超出投标文件的范围或改变投标文件的实质性内容（算术性错误的修正除外）。投标人的书面澄清、说明属于投标文件的组成部分。</w:t>
      </w:r>
    </w:p>
    <w:p w14:paraId="7C7E0C21">
      <w:pPr>
        <w:pStyle w:val="6"/>
        <w:shd w:val="clear" w:color="auto" w:fill="auto"/>
        <w:spacing w:before="0" w:line="360" w:lineRule="auto"/>
        <w:ind w:firstLine="560"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3.7</w:t>
      </w:r>
      <w:r>
        <w:rPr>
          <w:rFonts w:hint="eastAsia" w:ascii="宋体" w:hAnsi="宋体" w:eastAsia="宋体" w:cs="宋体"/>
          <w:color w:val="auto"/>
          <w:sz w:val="24"/>
          <w:szCs w:val="24"/>
          <w:highlight w:val="none"/>
        </w:rPr>
        <w:t>.3评标委员会不得暗示或诱导投标人作出澄清、说明，对投标人提交的澄清、说明有疑问的，可以要求投标人进一步澄清或说明，直至满足评标委员会的要求。</w:t>
      </w:r>
    </w:p>
    <w:p w14:paraId="76825336">
      <w:pPr>
        <w:pStyle w:val="6"/>
        <w:shd w:val="clear" w:color="auto" w:fill="auto"/>
        <w:spacing w:before="0" w:line="360" w:lineRule="auto"/>
        <w:ind w:firstLine="560"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3.7</w:t>
      </w:r>
      <w:r>
        <w:rPr>
          <w:rFonts w:hint="eastAsia" w:ascii="宋体" w:hAnsi="宋体" w:eastAsia="宋体" w:cs="宋体"/>
          <w:color w:val="auto"/>
          <w:sz w:val="24"/>
          <w:szCs w:val="24"/>
          <w:highlight w:val="none"/>
        </w:rPr>
        <w:t>.4凡超出招标文件规定的或给发包人带来未曾要求的利益的变化、偏差或其他因素在评标时不予考虑。</w:t>
      </w:r>
    </w:p>
    <w:p w14:paraId="4F34F99E">
      <w:pPr>
        <w:pStyle w:val="6"/>
        <w:shd w:val="clear" w:color="auto" w:fill="auto"/>
        <w:spacing w:before="0" w:line="360" w:lineRule="auto"/>
        <w:ind w:firstLine="562" w:firstLineChars="200"/>
        <w:jc w:val="both"/>
        <w:outlineLvl w:val="2"/>
        <w:rPr>
          <w:rFonts w:hint="eastAsia" w:ascii="宋体" w:hAnsi="宋体" w:eastAsia="宋体" w:cs="宋体"/>
          <w:b/>
          <w:bCs/>
          <w:color w:val="auto"/>
          <w:sz w:val="24"/>
          <w:szCs w:val="24"/>
          <w:highlight w:val="none"/>
          <w:lang w:val="en-US"/>
        </w:rPr>
      </w:pPr>
      <w:bookmarkStart w:id="13" w:name="_Toc10136"/>
      <w:r>
        <w:rPr>
          <w:rFonts w:hint="eastAsia" w:ascii="宋体" w:hAnsi="宋体" w:eastAsia="宋体" w:cs="宋体"/>
          <w:b/>
          <w:bCs/>
          <w:color w:val="auto"/>
          <w:sz w:val="24"/>
          <w:szCs w:val="24"/>
          <w:highlight w:val="none"/>
          <w:lang w:val="en-US" w:eastAsia="zh-CN"/>
        </w:rPr>
        <w:t>3.8</w:t>
      </w:r>
      <w:r>
        <w:rPr>
          <w:rFonts w:hint="eastAsia" w:ascii="宋体" w:hAnsi="宋体" w:eastAsia="宋体" w:cs="宋体"/>
          <w:b/>
          <w:bCs/>
          <w:color w:val="auto"/>
          <w:sz w:val="24"/>
          <w:szCs w:val="24"/>
          <w:highlight w:val="none"/>
          <w:lang w:val="en-US"/>
        </w:rPr>
        <w:t>不得否决投标的情形</w:t>
      </w:r>
      <w:bookmarkEnd w:id="13"/>
    </w:p>
    <w:p w14:paraId="60D3FB05">
      <w:pPr>
        <w:pStyle w:val="6"/>
        <w:shd w:val="clear" w:color="auto" w:fill="auto"/>
        <w:spacing w:before="0" w:line="360" w:lineRule="auto"/>
        <w:ind w:firstLine="560"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投标文件存在第二章“投标人须知”第1.12.3项所列情形的，均视为细微偏差，评标委员会不得否决投标人的投标，应按照第二章“投标人须知”第1.12.4项规定的原则处理。</w:t>
      </w:r>
    </w:p>
    <w:p w14:paraId="62F3C448">
      <w:pPr>
        <w:pStyle w:val="6"/>
        <w:shd w:val="clear" w:color="auto" w:fill="auto"/>
        <w:spacing w:before="0" w:line="360" w:lineRule="auto"/>
        <w:ind w:firstLine="562" w:firstLineChars="200"/>
        <w:jc w:val="both"/>
        <w:outlineLvl w:val="2"/>
        <w:rPr>
          <w:rFonts w:hint="eastAsia" w:ascii="宋体" w:hAnsi="宋体" w:eastAsia="宋体" w:cs="宋体"/>
          <w:b/>
          <w:bCs/>
          <w:color w:val="auto"/>
          <w:sz w:val="24"/>
          <w:szCs w:val="24"/>
          <w:highlight w:val="none"/>
          <w:lang w:val="en-US"/>
        </w:rPr>
      </w:pPr>
      <w:bookmarkStart w:id="14" w:name="_Toc11161"/>
      <w:r>
        <w:rPr>
          <w:rFonts w:hint="eastAsia" w:ascii="宋体" w:hAnsi="宋体" w:eastAsia="宋体" w:cs="宋体"/>
          <w:b/>
          <w:bCs/>
          <w:color w:val="auto"/>
          <w:sz w:val="24"/>
          <w:szCs w:val="24"/>
          <w:highlight w:val="none"/>
          <w:lang w:val="en-US" w:eastAsia="zh-CN"/>
        </w:rPr>
        <w:t>3.9</w:t>
      </w:r>
      <w:r>
        <w:rPr>
          <w:rFonts w:hint="eastAsia" w:ascii="宋体" w:hAnsi="宋体" w:eastAsia="宋体" w:cs="宋体"/>
          <w:b/>
          <w:bCs/>
          <w:color w:val="auto"/>
          <w:sz w:val="24"/>
          <w:szCs w:val="24"/>
          <w:highlight w:val="none"/>
          <w:lang w:val="en-US"/>
        </w:rPr>
        <w:t>评标结果</w:t>
      </w:r>
      <w:bookmarkEnd w:id="14"/>
    </w:p>
    <w:p w14:paraId="5048F65F">
      <w:pPr>
        <w:pStyle w:val="6"/>
        <w:shd w:val="clear" w:color="auto" w:fill="auto"/>
        <w:spacing w:before="0" w:line="360" w:lineRule="auto"/>
        <w:ind w:firstLine="560"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3.9</w:t>
      </w:r>
      <w:r>
        <w:rPr>
          <w:rFonts w:hint="eastAsia" w:ascii="宋体" w:hAnsi="宋体" w:eastAsia="宋体" w:cs="宋体"/>
          <w:color w:val="auto"/>
          <w:sz w:val="24"/>
          <w:szCs w:val="24"/>
          <w:highlight w:val="none"/>
        </w:rPr>
        <w:t>.1除第二章“投标人须知”前附表授权直接确定中标人外，评标委员会</w:t>
      </w:r>
      <w:r>
        <w:rPr>
          <w:rFonts w:hint="eastAsia" w:ascii="宋体" w:hAnsi="宋体" w:eastAsia="宋体" w:cs="宋体"/>
          <w:color w:val="auto"/>
          <w:sz w:val="24"/>
          <w:szCs w:val="24"/>
          <w:highlight w:val="none"/>
          <w:lang w:eastAsia="zh-CN"/>
        </w:rPr>
        <w:t>不按顺序</w:t>
      </w:r>
      <w:r>
        <w:rPr>
          <w:rFonts w:hint="eastAsia" w:ascii="宋体" w:hAnsi="宋体" w:eastAsia="宋体" w:cs="宋体"/>
          <w:color w:val="auto"/>
          <w:sz w:val="24"/>
          <w:szCs w:val="24"/>
          <w:highlight w:val="none"/>
        </w:rPr>
        <w:t>推荐</w:t>
      </w:r>
      <w:r>
        <w:rPr>
          <w:rFonts w:hint="eastAsia" w:ascii="宋体" w:hAnsi="宋体" w:eastAsia="宋体" w:cs="宋体"/>
          <w:color w:val="auto"/>
          <w:sz w:val="24"/>
          <w:szCs w:val="24"/>
          <w:highlight w:val="none"/>
          <w:lang w:val="en-US" w:eastAsia="zh-CN"/>
        </w:rPr>
        <w:t>定</w:t>
      </w:r>
      <w:r>
        <w:rPr>
          <w:rFonts w:hint="eastAsia" w:ascii="宋体" w:hAnsi="宋体" w:eastAsia="宋体" w:cs="宋体"/>
          <w:color w:val="auto"/>
          <w:sz w:val="24"/>
          <w:szCs w:val="24"/>
          <w:highlight w:val="none"/>
        </w:rPr>
        <w:t>标候选人。</w:t>
      </w:r>
    </w:p>
    <w:p w14:paraId="1A1AD18B">
      <w:pPr>
        <w:pStyle w:val="6"/>
        <w:shd w:val="clear" w:color="auto" w:fill="auto"/>
        <w:spacing w:before="0"/>
        <w:ind w:firstLine="560" w:firstLineChars="200"/>
        <w:jc w:val="both"/>
        <w:rPr>
          <w:rFonts w:hint="eastAsia" w:ascii="宋体" w:hAnsi="宋体" w:eastAsia="宋体" w:cs="宋体"/>
          <w:color w:val="auto"/>
          <w:sz w:val="24"/>
          <w:szCs w:val="24"/>
          <w:highlight w:val="none"/>
          <w:lang w:val="en-US"/>
        </w:rPr>
      </w:pPr>
      <w:r>
        <w:rPr>
          <w:rFonts w:hint="eastAsia" w:ascii="宋体" w:hAnsi="宋体" w:eastAsia="宋体" w:cs="宋体"/>
          <w:color w:val="auto"/>
          <w:sz w:val="24"/>
          <w:szCs w:val="24"/>
          <w:highlight w:val="none"/>
          <w:lang w:val="en-US" w:eastAsia="zh-CN"/>
        </w:rPr>
        <w:t>3.9.2</w:t>
      </w:r>
      <w:r>
        <w:rPr>
          <w:rFonts w:hint="eastAsia" w:ascii="宋体" w:hAnsi="宋体" w:eastAsia="宋体" w:cs="宋体"/>
          <w:color w:val="auto"/>
          <w:sz w:val="24"/>
          <w:szCs w:val="24"/>
          <w:highlight w:val="none"/>
          <w:lang w:val="en-US"/>
        </w:rPr>
        <w:t>评标委员会完成评标后，应向招标人提交书面评标报告。</w:t>
      </w:r>
    </w:p>
    <w:p w14:paraId="6C03FAB0">
      <w:pPr>
        <w:pStyle w:val="6"/>
        <w:shd w:val="clear" w:color="auto" w:fill="auto"/>
        <w:spacing w:before="0"/>
        <w:ind w:firstLine="562" w:firstLineChars="200"/>
        <w:jc w:val="both"/>
        <w:outlineLvl w:val="1"/>
        <w:rPr>
          <w:rFonts w:hint="eastAsia" w:ascii="宋体" w:hAnsi="宋体" w:eastAsia="宋体" w:cs="宋体"/>
          <w:b/>
          <w:bCs/>
          <w:color w:val="auto"/>
          <w:sz w:val="24"/>
          <w:szCs w:val="24"/>
          <w:highlight w:val="none"/>
          <w:lang w:val="en-US"/>
        </w:rPr>
      </w:pPr>
      <w:bookmarkStart w:id="15" w:name="_Toc18845"/>
      <w:r>
        <w:rPr>
          <w:rFonts w:hint="eastAsia" w:ascii="宋体" w:hAnsi="宋体" w:eastAsia="宋体" w:cs="宋体"/>
          <w:b/>
          <w:bCs/>
          <w:color w:val="auto"/>
          <w:sz w:val="24"/>
          <w:szCs w:val="24"/>
          <w:highlight w:val="none"/>
          <w:lang w:val="en-US"/>
        </w:rPr>
        <w:t>4.定标方法</w:t>
      </w:r>
      <w:bookmarkEnd w:id="15"/>
    </w:p>
    <w:p w14:paraId="13B361B0">
      <w:pPr>
        <w:pStyle w:val="6"/>
        <w:shd w:val="clear" w:color="auto" w:fill="auto"/>
        <w:spacing w:before="0"/>
        <w:ind w:firstLine="562" w:firstLineChars="200"/>
        <w:jc w:val="both"/>
        <w:outlineLvl w:val="2"/>
        <w:rPr>
          <w:rFonts w:hint="eastAsia" w:ascii="宋体" w:hAnsi="宋体" w:eastAsia="宋体" w:cs="宋体"/>
          <w:b/>
          <w:bCs/>
          <w:color w:val="auto"/>
          <w:sz w:val="24"/>
          <w:szCs w:val="24"/>
          <w:highlight w:val="none"/>
          <w:lang w:val="en-US"/>
        </w:rPr>
      </w:pPr>
      <w:bookmarkStart w:id="16" w:name="_Toc2472"/>
      <w:r>
        <w:rPr>
          <w:rFonts w:hint="eastAsia" w:ascii="宋体" w:hAnsi="宋体" w:eastAsia="宋体" w:cs="宋体"/>
          <w:b/>
          <w:bCs/>
          <w:color w:val="auto"/>
          <w:sz w:val="24"/>
          <w:szCs w:val="24"/>
          <w:highlight w:val="none"/>
          <w:lang w:val="en-US"/>
        </w:rPr>
        <w:t>4.1.组建招标监督小组</w:t>
      </w:r>
      <w:bookmarkEnd w:id="16"/>
    </w:p>
    <w:p w14:paraId="15C100E8">
      <w:pPr>
        <w:pStyle w:val="6"/>
        <w:shd w:val="clear" w:color="auto" w:fill="auto"/>
        <w:spacing w:before="0"/>
        <w:ind w:firstLine="560" w:firstLineChars="200"/>
        <w:jc w:val="both"/>
        <w:rPr>
          <w:rFonts w:hint="eastAsia" w:ascii="宋体" w:hAnsi="宋体" w:eastAsia="宋体" w:cs="宋体"/>
          <w:color w:val="auto"/>
          <w:sz w:val="24"/>
          <w:szCs w:val="24"/>
          <w:highlight w:val="none"/>
          <w:lang w:val="en-US"/>
        </w:rPr>
      </w:pPr>
      <w:r>
        <w:rPr>
          <w:rFonts w:hint="eastAsia" w:ascii="宋体" w:hAnsi="宋体" w:eastAsia="宋体" w:cs="宋体"/>
          <w:color w:val="auto"/>
          <w:sz w:val="24"/>
          <w:szCs w:val="24"/>
          <w:highlight w:val="none"/>
          <w:lang w:val="en-US"/>
        </w:rPr>
        <w:t>4.1.1在招标公告发布前招标人组建由招标人直接委派或从招标人的上级管理单位、项目业主等单位补充委派人员组成的3人或以上单数的招标监督小组，并确定一名组长负责统筹监督工作。</w:t>
      </w:r>
    </w:p>
    <w:p w14:paraId="411162E7">
      <w:pPr>
        <w:pStyle w:val="6"/>
        <w:shd w:val="clear" w:color="auto" w:fill="auto"/>
        <w:spacing w:before="0"/>
        <w:ind w:firstLine="560" w:firstLineChars="200"/>
        <w:jc w:val="both"/>
        <w:rPr>
          <w:rFonts w:hint="eastAsia" w:ascii="宋体" w:hAnsi="宋体" w:eastAsia="宋体" w:cs="宋体"/>
          <w:color w:val="auto"/>
          <w:sz w:val="24"/>
          <w:szCs w:val="24"/>
          <w:highlight w:val="none"/>
          <w:lang w:val="en-US"/>
        </w:rPr>
      </w:pPr>
      <w:r>
        <w:rPr>
          <w:rFonts w:hint="eastAsia" w:ascii="宋体" w:hAnsi="宋体" w:eastAsia="宋体" w:cs="宋体"/>
          <w:color w:val="auto"/>
          <w:sz w:val="24"/>
          <w:szCs w:val="24"/>
          <w:highlight w:val="none"/>
          <w:lang w:val="en-US"/>
        </w:rPr>
        <w:t>招标监督小组对招标投标活动全过程进行现场监督，及时指出、制止违反程序及纪律的行为。</w:t>
      </w:r>
    </w:p>
    <w:p w14:paraId="3200903B">
      <w:pPr>
        <w:pStyle w:val="6"/>
        <w:shd w:val="clear" w:color="auto" w:fill="auto"/>
        <w:spacing w:before="0"/>
        <w:ind w:firstLine="560" w:firstLineChars="200"/>
        <w:jc w:val="both"/>
        <w:rPr>
          <w:rFonts w:hint="eastAsia" w:ascii="宋体" w:hAnsi="宋体" w:eastAsia="宋体" w:cs="宋体"/>
          <w:color w:val="auto"/>
          <w:sz w:val="24"/>
          <w:szCs w:val="24"/>
          <w:highlight w:val="none"/>
          <w:lang w:val="en-US"/>
        </w:rPr>
      </w:pPr>
      <w:r>
        <w:rPr>
          <w:rFonts w:hint="eastAsia" w:ascii="宋体" w:hAnsi="宋体" w:eastAsia="宋体" w:cs="宋体"/>
          <w:color w:val="auto"/>
          <w:sz w:val="24"/>
          <w:szCs w:val="24"/>
          <w:highlight w:val="none"/>
          <w:lang w:val="en-US"/>
        </w:rPr>
        <w:t>4.1.2特殊情况导致开标、评标或者定标无法继续进行的、相关人员存在违反程序及纪律的行为被指出后仍拒绝纠正的、发现招标投标活动存在其他违反相关规定行为的，招标监督小组应当及时报告招标投标行政监督部门。</w:t>
      </w:r>
    </w:p>
    <w:p w14:paraId="25A67BB9">
      <w:pPr>
        <w:pStyle w:val="6"/>
        <w:shd w:val="clear" w:color="auto" w:fill="auto"/>
        <w:spacing w:before="0"/>
        <w:ind w:firstLine="560" w:firstLineChars="200"/>
        <w:jc w:val="both"/>
        <w:rPr>
          <w:rFonts w:hint="eastAsia" w:ascii="宋体" w:hAnsi="宋体" w:eastAsia="宋体" w:cs="宋体"/>
          <w:color w:val="auto"/>
          <w:sz w:val="24"/>
          <w:szCs w:val="24"/>
          <w:highlight w:val="none"/>
          <w:lang w:val="en-US"/>
        </w:rPr>
      </w:pPr>
      <w:r>
        <w:rPr>
          <w:rFonts w:hint="eastAsia" w:ascii="宋体" w:hAnsi="宋体" w:eastAsia="宋体" w:cs="宋体"/>
          <w:color w:val="auto"/>
          <w:sz w:val="24"/>
          <w:szCs w:val="24"/>
          <w:highlight w:val="none"/>
          <w:lang w:val="en-US"/>
        </w:rPr>
        <w:t>4.1.3招标监督小组负责编制本招标项目的监督报告，并于招标情况备案时同步向招标投标行政监督部门提交。</w:t>
      </w:r>
    </w:p>
    <w:p w14:paraId="67E34FDC">
      <w:pPr>
        <w:pStyle w:val="6"/>
        <w:shd w:val="clear" w:color="auto" w:fill="auto"/>
        <w:spacing w:before="0"/>
        <w:ind w:firstLine="562" w:firstLineChars="200"/>
        <w:jc w:val="both"/>
        <w:outlineLvl w:val="2"/>
        <w:rPr>
          <w:rFonts w:hint="eastAsia" w:ascii="宋体" w:hAnsi="宋体" w:eastAsia="宋体" w:cs="宋体"/>
          <w:b/>
          <w:bCs/>
          <w:color w:val="auto"/>
          <w:sz w:val="24"/>
          <w:szCs w:val="24"/>
          <w:highlight w:val="none"/>
          <w:lang w:val="en-US"/>
        </w:rPr>
      </w:pPr>
      <w:bookmarkStart w:id="17" w:name="_Toc29362"/>
      <w:r>
        <w:rPr>
          <w:rFonts w:hint="eastAsia" w:ascii="宋体" w:hAnsi="宋体" w:eastAsia="宋体" w:cs="宋体"/>
          <w:b/>
          <w:bCs/>
          <w:color w:val="auto"/>
          <w:sz w:val="24"/>
          <w:szCs w:val="24"/>
          <w:highlight w:val="none"/>
          <w:lang w:val="en-US"/>
        </w:rPr>
        <w:t>4.2.组建定标委员会</w:t>
      </w:r>
      <w:bookmarkEnd w:id="17"/>
    </w:p>
    <w:p w14:paraId="4B32CE48">
      <w:pPr>
        <w:pStyle w:val="6"/>
        <w:shd w:val="clear" w:color="auto" w:fill="auto"/>
        <w:spacing w:before="0"/>
        <w:ind w:firstLine="560" w:firstLineChars="200"/>
        <w:jc w:val="both"/>
        <w:rPr>
          <w:rFonts w:hint="eastAsia" w:ascii="宋体" w:hAnsi="宋体" w:eastAsia="宋体" w:cs="宋体"/>
          <w:color w:val="auto"/>
          <w:sz w:val="24"/>
          <w:szCs w:val="24"/>
          <w:highlight w:val="none"/>
          <w:lang w:val="en-US"/>
        </w:rPr>
      </w:pPr>
      <w:r>
        <w:rPr>
          <w:rFonts w:hint="eastAsia" w:ascii="宋体" w:hAnsi="宋体" w:eastAsia="宋体" w:cs="宋体"/>
          <w:color w:val="auto"/>
          <w:sz w:val="24"/>
          <w:szCs w:val="24"/>
          <w:highlight w:val="none"/>
          <w:lang w:val="en-US"/>
        </w:rPr>
        <w:t>4.2.1招标人采用票决定标法定标，组建定标委员会。</w:t>
      </w:r>
    </w:p>
    <w:p w14:paraId="4E9D3065">
      <w:pPr>
        <w:pStyle w:val="6"/>
        <w:shd w:val="clear" w:color="auto" w:fill="auto"/>
        <w:spacing w:before="0"/>
        <w:ind w:firstLine="560" w:firstLineChars="200"/>
        <w:jc w:val="both"/>
        <w:rPr>
          <w:rFonts w:hint="eastAsia" w:ascii="宋体" w:hAnsi="宋体" w:eastAsia="宋体" w:cs="宋体"/>
          <w:color w:val="auto"/>
          <w:sz w:val="24"/>
          <w:szCs w:val="24"/>
          <w:highlight w:val="none"/>
          <w:lang w:val="en-US"/>
        </w:rPr>
      </w:pPr>
      <w:r>
        <w:rPr>
          <w:rFonts w:hint="eastAsia" w:ascii="宋体" w:hAnsi="宋体" w:eastAsia="宋体" w:cs="宋体"/>
          <w:color w:val="auto"/>
          <w:sz w:val="24"/>
          <w:szCs w:val="24"/>
          <w:highlight w:val="none"/>
          <w:lang w:val="en-US"/>
        </w:rPr>
        <w:t>4.2.2定标委员会由招标人的法定代表人或者主要负责人组建。定标委员会由7人或以上单数成员组成（其中指定2人，另外5人由招标人于定标当日从2倍以上的备选人员名单中随机抽取确定，备选成员原则上从招标人、项目业主或者使用单位的领导班子成员、经营管理人员、具备中级及以上职称、具有注册执业资格证的工程技术（经济）人员中产生，优先考虑具备工程相关管理经验或相关技术职称的领导干部。确有需要的，财政性资金投资工程的招标人可以从本系统上级主管部门、下级管理单位或者系统外相关部门工作人员中确定成员），定标委员会按照民主原则推选出一名组长，负责组织整个定标工作。非财政性国有资金投资工程的招标人可以从其母公司、子公司人员中确定成员。</w:t>
      </w:r>
    </w:p>
    <w:p w14:paraId="4320E91B">
      <w:pPr>
        <w:pStyle w:val="6"/>
        <w:shd w:val="clear" w:color="auto" w:fill="auto"/>
        <w:spacing w:before="0"/>
        <w:ind w:firstLine="562" w:firstLineChars="200"/>
        <w:jc w:val="both"/>
        <w:outlineLvl w:val="2"/>
        <w:rPr>
          <w:rFonts w:hint="eastAsia" w:ascii="宋体" w:hAnsi="宋体" w:eastAsia="宋体" w:cs="宋体"/>
          <w:b/>
          <w:bCs/>
          <w:color w:val="auto"/>
          <w:sz w:val="24"/>
          <w:szCs w:val="24"/>
          <w:highlight w:val="none"/>
          <w:lang w:val="en-US"/>
        </w:rPr>
      </w:pPr>
      <w:bookmarkStart w:id="18" w:name="_Toc5573"/>
      <w:r>
        <w:rPr>
          <w:rFonts w:hint="eastAsia" w:ascii="宋体" w:hAnsi="宋体" w:eastAsia="宋体" w:cs="宋体"/>
          <w:b/>
          <w:bCs/>
          <w:color w:val="auto"/>
          <w:sz w:val="24"/>
          <w:szCs w:val="24"/>
          <w:highlight w:val="none"/>
          <w:lang w:val="en-US"/>
        </w:rPr>
        <w:t>4.3.召开定标会</w:t>
      </w:r>
      <w:bookmarkEnd w:id="18"/>
    </w:p>
    <w:p w14:paraId="45143C17">
      <w:pPr>
        <w:pStyle w:val="6"/>
        <w:shd w:val="clear" w:color="auto" w:fill="auto"/>
        <w:spacing w:before="0"/>
        <w:ind w:firstLine="560" w:firstLineChars="200"/>
        <w:jc w:val="both"/>
        <w:rPr>
          <w:rFonts w:hint="eastAsia" w:ascii="宋体" w:hAnsi="宋体" w:eastAsia="宋体" w:cs="宋体"/>
          <w:color w:val="auto"/>
          <w:sz w:val="24"/>
          <w:szCs w:val="24"/>
          <w:highlight w:val="none"/>
          <w:u w:val="single"/>
          <w:lang w:val="en-US"/>
        </w:rPr>
      </w:pPr>
      <w:r>
        <w:rPr>
          <w:rFonts w:hint="eastAsia" w:ascii="宋体" w:hAnsi="宋体" w:eastAsia="宋体" w:cs="宋体"/>
          <w:color w:val="auto"/>
          <w:sz w:val="24"/>
          <w:szCs w:val="24"/>
          <w:highlight w:val="none"/>
          <w:lang w:val="en-US"/>
        </w:rPr>
        <w:t>4.3.1定标会召开时间：</w:t>
      </w:r>
      <w:r>
        <w:rPr>
          <w:rFonts w:hint="eastAsia" w:ascii="宋体" w:hAnsi="宋体" w:eastAsia="宋体" w:cs="宋体"/>
          <w:color w:val="auto"/>
          <w:sz w:val="24"/>
          <w:szCs w:val="24"/>
          <w:highlight w:val="none"/>
          <w:u w:val="single"/>
          <w:lang w:val="en-US"/>
        </w:rPr>
        <w:t>评标结束后7个工作日内召开，具体时间由招标人另行确定。</w:t>
      </w:r>
    </w:p>
    <w:p w14:paraId="2E21712A">
      <w:pPr>
        <w:pStyle w:val="6"/>
        <w:shd w:val="clear" w:color="auto" w:fill="auto"/>
        <w:spacing w:before="0"/>
        <w:ind w:firstLine="560" w:firstLineChars="200"/>
        <w:jc w:val="both"/>
        <w:rPr>
          <w:rFonts w:hint="eastAsia" w:ascii="宋体" w:hAnsi="宋体" w:eastAsia="宋体" w:cs="宋体"/>
          <w:color w:val="auto"/>
          <w:sz w:val="24"/>
          <w:szCs w:val="24"/>
          <w:highlight w:val="none"/>
          <w:u w:val="single"/>
          <w:lang w:val="en-US"/>
        </w:rPr>
      </w:pPr>
      <w:r>
        <w:rPr>
          <w:rFonts w:hint="eastAsia" w:ascii="宋体" w:hAnsi="宋体" w:eastAsia="宋体" w:cs="宋体"/>
          <w:color w:val="auto"/>
          <w:sz w:val="24"/>
          <w:szCs w:val="24"/>
          <w:highlight w:val="none"/>
          <w:lang w:val="en-US"/>
        </w:rPr>
        <w:t>4.3.2定标会召开地点：</w:t>
      </w:r>
      <w:r>
        <w:rPr>
          <w:rFonts w:hint="eastAsia" w:ascii="宋体" w:hAnsi="宋体" w:eastAsia="宋体" w:cs="宋体"/>
          <w:color w:val="auto"/>
          <w:sz w:val="24"/>
          <w:szCs w:val="24"/>
          <w:highlight w:val="none"/>
          <w:u w:val="single"/>
          <w:lang w:val="en-US"/>
        </w:rPr>
        <w:t>评标结束后7个工作日内召开，具体时间由招标人另行确定。</w:t>
      </w:r>
    </w:p>
    <w:p w14:paraId="67BD20AA">
      <w:pPr>
        <w:pStyle w:val="6"/>
        <w:shd w:val="clear" w:color="auto" w:fill="auto"/>
        <w:spacing w:before="0"/>
        <w:ind w:firstLine="560" w:firstLineChars="200"/>
        <w:jc w:val="both"/>
        <w:rPr>
          <w:rFonts w:hint="eastAsia" w:ascii="宋体" w:hAnsi="宋体" w:eastAsia="宋体" w:cs="宋体"/>
          <w:color w:val="auto"/>
          <w:sz w:val="24"/>
          <w:szCs w:val="24"/>
          <w:highlight w:val="none"/>
          <w:u w:val="single"/>
          <w:lang w:val="en-US"/>
        </w:rPr>
      </w:pPr>
      <w:r>
        <w:rPr>
          <w:rFonts w:hint="eastAsia" w:ascii="宋体" w:hAnsi="宋体" w:eastAsia="宋体" w:cs="宋体"/>
          <w:color w:val="auto"/>
          <w:sz w:val="24"/>
          <w:szCs w:val="24"/>
          <w:highlight w:val="none"/>
          <w:lang w:val="en-US"/>
        </w:rPr>
        <w:t>4.3.3定标会前是否考察、质询或者清标：</w:t>
      </w:r>
      <w:r>
        <w:rPr>
          <w:rFonts w:hint="eastAsia" w:ascii="宋体" w:hAnsi="宋体" w:eastAsia="宋体" w:cs="宋体"/>
          <w:color w:val="auto"/>
          <w:sz w:val="24"/>
          <w:szCs w:val="24"/>
          <w:highlight w:val="none"/>
          <w:u w:val="single"/>
          <w:lang w:val="en-US"/>
        </w:rPr>
        <w:t>否。</w:t>
      </w:r>
    </w:p>
    <w:p w14:paraId="2BB19CB0">
      <w:pPr>
        <w:pStyle w:val="6"/>
        <w:shd w:val="clear" w:color="auto" w:fill="auto"/>
        <w:spacing w:before="0"/>
        <w:ind w:firstLine="560" w:firstLineChars="200"/>
        <w:jc w:val="both"/>
        <w:rPr>
          <w:rFonts w:hint="eastAsia" w:ascii="宋体" w:hAnsi="宋体" w:eastAsia="宋体" w:cs="宋体"/>
          <w:color w:val="auto"/>
          <w:sz w:val="24"/>
          <w:szCs w:val="24"/>
          <w:highlight w:val="none"/>
          <w:lang w:val="en-US"/>
        </w:rPr>
      </w:pPr>
      <w:r>
        <w:rPr>
          <w:rFonts w:hint="eastAsia" w:ascii="宋体" w:hAnsi="宋体" w:eastAsia="宋体" w:cs="宋体"/>
          <w:color w:val="auto"/>
          <w:sz w:val="24"/>
          <w:szCs w:val="24"/>
          <w:highlight w:val="none"/>
          <w:lang w:val="en-US"/>
        </w:rPr>
        <w:t>4.3.4</w:t>
      </w:r>
      <w:r>
        <w:rPr>
          <w:rFonts w:hint="eastAsia" w:ascii="宋体" w:hAnsi="宋体" w:eastAsia="宋体" w:cs="宋体"/>
          <w:b/>
          <w:bCs/>
          <w:color w:val="auto"/>
          <w:sz w:val="24"/>
          <w:szCs w:val="24"/>
          <w:highlight w:val="none"/>
          <w:lang w:val="en-US"/>
        </w:rPr>
        <w:t>在监督小组的监督下，由定标委员会成员随机开启定标候选人致定标委员会的函，在开启时发现正、副本份数不符合招标文件规定的，视为不响应招标文件要求，其投标文件作无效投标处理。</w:t>
      </w:r>
      <w:r>
        <w:rPr>
          <w:rFonts w:hint="eastAsia" w:ascii="宋体" w:hAnsi="宋体" w:eastAsia="宋体" w:cs="宋体"/>
          <w:color w:val="auto"/>
          <w:sz w:val="24"/>
          <w:szCs w:val="24"/>
          <w:highlight w:val="none"/>
          <w:lang w:val="en-US"/>
        </w:rPr>
        <w:t>定标会议全过程录音录像。招标人需要延期定标的，应当及时通知定标候选人。</w:t>
      </w:r>
    </w:p>
    <w:p w14:paraId="15BA2EFE">
      <w:pPr>
        <w:pStyle w:val="6"/>
        <w:shd w:val="clear" w:color="auto" w:fill="auto"/>
        <w:spacing w:before="0"/>
        <w:ind w:firstLine="562" w:firstLineChars="200"/>
        <w:jc w:val="both"/>
        <w:outlineLvl w:val="2"/>
        <w:rPr>
          <w:rFonts w:hint="eastAsia" w:ascii="宋体" w:hAnsi="宋体" w:eastAsia="宋体" w:cs="宋体"/>
          <w:b/>
          <w:bCs/>
          <w:color w:val="auto"/>
          <w:sz w:val="24"/>
          <w:szCs w:val="24"/>
          <w:highlight w:val="none"/>
          <w:lang w:val="en-US"/>
        </w:rPr>
      </w:pPr>
      <w:bookmarkStart w:id="19" w:name="_Toc17642"/>
      <w:r>
        <w:rPr>
          <w:rFonts w:hint="eastAsia" w:ascii="宋体" w:hAnsi="宋体" w:eastAsia="宋体" w:cs="宋体"/>
          <w:b/>
          <w:bCs/>
          <w:color w:val="auto"/>
          <w:sz w:val="24"/>
          <w:szCs w:val="24"/>
          <w:highlight w:val="none"/>
          <w:lang w:val="en-US"/>
        </w:rPr>
        <w:t>4.4</w:t>
      </w:r>
      <w:r>
        <w:rPr>
          <w:rFonts w:hint="eastAsia" w:ascii="宋体" w:hAnsi="宋体" w:eastAsia="宋体" w:cs="宋体"/>
          <w:b/>
          <w:bCs/>
          <w:color w:val="auto"/>
          <w:sz w:val="24"/>
          <w:szCs w:val="24"/>
          <w:highlight w:val="none"/>
          <w:lang w:val="en-US" w:eastAsia="zh-CN"/>
        </w:rPr>
        <w:t>.</w:t>
      </w:r>
      <w:r>
        <w:rPr>
          <w:rFonts w:hint="eastAsia" w:ascii="宋体" w:hAnsi="宋体" w:eastAsia="宋体" w:cs="宋体"/>
          <w:b/>
          <w:bCs/>
          <w:color w:val="auto"/>
          <w:sz w:val="24"/>
          <w:szCs w:val="24"/>
          <w:highlight w:val="none"/>
          <w:lang w:val="en-US"/>
        </w:rPr>
        <w:t>定标方法选择为：</w:t>
      </w:r>
      <w:bookmarkEnd w:id="19"/>
    </w:p>
    <w:p w14:paraId="6369CE3A">
      <w:pPr>
        <w:pStyle w:val="6"/>
        <w:shd w:val="clear" w:color="auto" w:fill="auto"/>
        <w:spacing w:before="0"/>
        <w:ind w:firstLine="560" w:firstLineChars="200"/>
        <w:jc w:val="both"/>
        <w:rPr>
          <w:rFonts w:hint="eastAsia" w:ascii="宋体" w:hAnsi="宋体" w:eastAsia="宋体" w:cs="宋体"/>
          <w:color w:val="auto"/>
          <w:sz w:val="24"/>
          <w:szCs w:val="24"/>
          <w:highlight w:val="none"/>
          <w:lang w:val="en-US"/>
        </w:rPr>
      </w:pPr>
      <w:r>
        <w:rPr>
          <w:rFonts w:hint="eastAsia" w:ascii="宋体" w:hAnsi="宋体" w:eastAsia="宋体" w:cs="宋体"/>
          <w:color w:val="auto"/>
          <w:sz w:val="24"/>
          <w:szCs w:val="24"/>
          <w:highlight w:val="none"/>
          <w:lang w:val="en-US"/>
        </w:rPr>
        <w:t>☑票决定标法。由定标委员会以直接票决或者逐轮票决等方式确定中标人。定标委员会成员根据定标要素对各定标候选人进行评审比较后，进行一次性票决排名。票决采取投票计分法，即各定标委员会成员对所有进入定标程序的投标人择优排序进行打分，最优的N分（N为定标候选人数量），其次N-1分，以此类推，按总分高低排序推荐中标候选人。票决采用记名方式并注明投票理由，所有参加会议的定标委员会成员的意见应当作书面记录，并由定标委员会成员签字确认。得分相同且影响中标候选人确定的，定标委员会依次按照以下优先顺序推荐中标候选人：</w:t>
      </w:r>
    </w:p>
    <w:p w14:paraId="2C76DB96">
      <w:pPr>
        <w:pStyle w:val="6"/>
        <w:shd w:val="clear" w:color="auto" w:fill="auto"/>
        <w:spacing w:before="0"/>
        <w:ind w:firstLine="560" w:firstLineChars="200"/>
        <w:jc w:val="both"/>
        <w:rPr>
          <w:rFonts w:hint="eastAsia" w:ascii="宋体" w:hAnsi="宋体" w:eastAsia="宋体" w:cs="宋体"/>
          <w:color w:val="auto"/>
          <w:sz w:val="24"/>
          <w:szCs w:val="24"/>
          <w:highlight w:val="none"/>
          <w:lang w:val="en-US"/>
        </w:rPr>
      </w:pPr>
      <w:r>
        <w:rPr>
          <w:rFonts w:hint="eastAsia" w:ascii="宋体" w:hAnsi="宋体" w:eastAsia="宋体" w:cs="宋体"/>
          <w:color w:val="auto"/>
          <w:sz w:val="24"/>
          <w:szCs w:val="24"/>
          <w:highlight w:val="none"/>
          <w:lang w:val="en-US"/>
        </w:rPr>
        <w:t>（1）评标价低的优先；</w:t>
      </w:r>
    </w:p>
    <w:p w14:paraId="4F3DA1AA">
      <w:pPr>
        <w:pStyle w:val="6"/>
        <w:shd w:val="clear" w:color="auto" w:fill="auto"/>
        <w:spacing w:before="0"/>
        <w:ind w:firstLine="560" w:firstLineChars="200"/>
        <w:jc w:val="both"/>
        <w:rPr>
          <w:rFonts w:hint="eastAsia" w:ascii="宋体" w:hAnsi="宋体" w:eastAsia="宋体" w:cs="宋体"/>
          <w:color w:val="auto"/>
          <w:sz w:val="24"/>
          <w:szCs w:val="24"/>
          <w:highlight w:val="none"/>
          <w:lang w:val="en-US"/>
        </w:rPr>
      </w:pPr>
      <w:r>
        <w:rPr>
          <w:rFonts w:hint="eastAsia" w:ascii="宋体" w:hAnsi="宋体" w:eastAsia="宋体" w:cs="宋体"/>
          <w:color w:val="auto"/>
          <w:sz w:val="24"/>
          <w:szCs w:val="24"/>
          <w:highlight w:val="none"/>
          <w:lang w:val="en-US"/>
        </w:rPr>
        <w:t>（2）按招标文件规定被认定为最新年度广东省公路工程从业单位信用评价等级较高的投标人优先：</w:t>
      </w:r>
    </w:p>
    <w:p w14:paraId="170B0F0D">
      <w:pPr>
        <w:pStyle w:val="6"/>
        <w:shd w:val="clear" w:color="auto" w:fill="auto"/>
        <w:spacing w:before="0"/>
        <w:ind w:firstLine="560" w:firstLineChars="200"/>
        <w:jc w:val="both"/>
        <w:rPr>
          <w:rFonts w:hint="eastAsia" w:ascii="宋体" w:hAnsi="宋体" w:eastAsia="宋体" w:cs="宋体"/>
          <w:color w:val="auto"/>
          <w:sz w:val="24"/>
          <w:szCs w:val="24"/>
          <w:highlight w:val="none"/>
          <w:lang w:val="en-US"/>
        </w:rPr>
      </w:pPr>
      <w:r>
        <w:rPr>
          <w:rFonts w:hint="eastAsia" w:ascii="宋体" w:hAnsi="宋体" w:eastAsia="宋体" w:cs="宋体"/>
          <w:color w:val="auto"/>
          <w:sz w:val="24"/>
          <w:szCs w:val="24"/>
          <w:highlight w:val="none"/>
          <w:lang w:val="en-US"/>
        </w:rPr>
        <w:t>【承诺使用的 AA 级投标人、不承诺使用的 AA 级投标人、承诺使用的 A 级投标人、不承诺使用的 A 级投标人、 B 级投标人、未参评且被确定为 B 级投标人】</w:t>
      </w:r>
    </w:p>
    <w:p w14:paraId="1F5D4B7D">
      <w:pPr>
        <w:pStyle w:val="6"/>
        <w:shd w:val="clear" w:color="auto" w:fill="auto"/>
        <w:spacing w:before="0"/>
        <w:ind w:firstLine="560" w:firstLineChars="200"/>
        <w:jc w:val="both"/>
        <w:rPr>
          <w:rFonts w:hint="eastAsia" w:ascii="宋体" w:hAnsi="宋体" w:eastAsia="宋体" w:cs="宋体"/>
          <w:color w:val="auto"/>
          <w:sz w:val="24"/>
          <w:szCs w:val="24"/>
          <w:highlight w:val="none"/>
          <w:lang w:val="en-US"/>
        </w:rPr>
      </w:pPr>
      <w:r>
        <w:rPr>
          <w:rFonts w:hint="eastAsia" w:ascii="宋体" w:hAnsi="宋体" w:eastAsia="宋体" w:cs="宋体"/>
          <w:color w:val="auto"/>
          <w:sz w:val="24"/>
          <w:szCs w:val="24"/>
          <w:highlight w:val="none"/>
          <w:lang w:val="en-US"/>
        </w:rPr>
        <w:t>（3）以投标人企业最新年度净资产较高的优先；</w:t>
      </w:r>
    </w:p>
    <w:p w14:paraId="42C69919">
      <w:pPr>
        <w:pStyle w:val="6"/>
        <w:shd w:val="clear" w:color="auto" w:fill="auto"/>
        <w:spacing w:before="0"/>
        <w:ind w:firstLine="560" w:firstLineChars="200"/>
        <w:jc w:val="both"/>
        <w:rPr>
          <w:rFonts w:hint="eastAsia" w:ascii="宋体" w:hAnsi="宋体" w:eastAsia="宋体" w:cs="宋体"/>
          <w:color w:val="auto"/>
          <w:sz w:val="24"/>
          <w:szCs w:val="24"/>
          <w:highlight w:val="none"/>
          <w:lang w:val="en-US"/>
        </w:rPr>
      </w:pPr>
      <w:r>
        <w:rPr>
          <w:rFonts w:hint="eastAsia" w:ascii="宋体" w:hAnsi="宋体" w:eastAsia="宋体" w:cs="宋体"/>
          <w:color w:val="auto"/>
          <w:sz w:val="24"/>
          <w:szCs w:val="24"/>
          <w:highlight w:val="none"/>
          <w:lang w:val="en-US"/>
        </w:rPr>
        <w:t>（4）定标委员会视投标人情况综合比较，投票确定其名次。</w:t>
      </w:r>
    </w:p>
    <w:p w14:paraId="7D02398F">
      <w:pPr>
        <w:pStyle w:val="6"/>
        <w:shd w:val="clear" w:color="auto" w:fill="auto"/>
        <w:spacing w:before="0"/>
        <w:ind w:firstLine="560" w:firstLineChars="200"/>
        <w:jc w:val="both"/>
        <w:rPr>
          <w:rFonts w:hint="eastAsia" w:ascii="宋体" w:hAnsi="宋体" w:eastAsia="宋体" w:cs="宋体"/>
          <w:color w:val="auto"/>
          <w:sz w:val="24"/>
          <w:szCs w:val="24"/>
          <w:highlight w:val="none"/>
          <w:lang w:val="en-US"/>
        </w:rPr>
      </w:pPr>
      <w:r>
        <w:rPr>
          <w:rFonts w:hint="eastAsia" w:ascii="宋体" w:hAnsi="宋体" w:eastAsia="宋体" w:cs="宋体"/>
          <w:color w:val="auto"/>
          <w:sz w:val="24"/>
          <w:szCs w:val="24"/>
          <w:highlight w:val="none"/>
          <w:lang w:val="en-US"/>
        </w:rPr>
        <w:t>□集体议事法。由定标委员会进行集体商议，定标委员会成员各自发表意见，由定标委员会组长 最终确定中标人。所有参加会议的定标委员会成员的意见应当作书面记录，并由定标委员会成员签字确认。</w:t>
      </w:r>
    </w:p>
    <w:p w14:paraId="47ED7E9F">
      <w:pPr>
        <w:pStyle w:val="6"/>
        <w:shd w:val="clear" w:color="auto" w:fill="auto"/>
        <w:spacing w:before="0"/>
        <w:ind w:firstLine="562" w:firstLineChars="200"/>
        <w:jc w:val="both"/>
        <w:outlineLvl w:val="2"/>
        <w:rPr>
          <w:rFonts w:hint="eastAsia" w:ascii="宋体" w:hAnsi="宋体" w:eastAsia="宋体" w:cs="宋体"/>
          <w:b/>
          <w:bCs/>
          <w:color w:val="auto"/>
          <w:sz w:val="24"/>
          <w:szCs w:val="24"/>
          <w:highlight w:val="none"/>
          <w:lang w:val="en-US"/>
        </w:rPr>
      </w:pPr>
      <w:bookmarkStart w:id="20" w:name="_Toc5515"/>
      <w:r>
        <w:rPr>
          <w:rFonts w:hint="eastAsia" w:ascii="宋体" w:hAnsi="宋体" w:eastAsia="宋体" w:cs="宋体"/>
          <w:b/>
          <w:bCs/>
          <w:color w:val="auto"/>
          <w:sz w:val="24"/>
          <w:szCs w:val="24"/>
          <w:highlight w:val="none"/>
          <w:lang w:val="en-US"/>
        </w:rPr>
        <w:t>4.5</w:t>
      </w:r>
      <w:r>
        <w:rPr>
          <w:rFonts w:hint="eastAsia" w:ascii="宋体" w:hAnsi="宋体" w:eastAsia="宋体" w:cs="宋体"/>
          <w:b/>
          <w:bCs/>
          <w:color w:val="auto"/>
          <w:sz w:val="24"/>
          <w:szCs w:val="24"/>
          <w:highlight w:val="none"/>
          <w:lang w:val="en-US" w:eastAsia="zh-CN"/>
        </w:rPr>
        <w:t>.</w:t>
      </w:r>
      <w:r>
        <w:rPr>
          <w:rFonts w:hint="eastAsia" w:ascii="宋体" w:hAnsi="宋体" w:eastAsia="宋体" w:cs="宋体"/>
          <w:b/>
          <w:bCs/>
          <w:color w:val="auto"/>
          <w:sz w:val="24"/>
          <w:szCs w:val="24"/>
          <w:highlight w:val="none"/>
          <w:lang w:val="en-US"/>
        </w:rPr>
        <w:t>定标因素</w:t>
      </w:r>
      <w:bookmarkEnd w:id="20"/>
    </w:p>
    <w:p w14:paraId="2988282E">
      <w:pPr>
        <w:pStyle w:val="6"/>
        <w:shd w:val="clear" w:color="auto" w:fill="auto"/>
        <w:spacing w:before="0"/>
        <w:ind w:firstLine="560" w:firstLineChars="200"/>
        <w:jc w:val="both"/>
        <w:rPr>
          <w:rFonts w:hint="eastAsia" w:ascii="宋体" w:hAnsi="宋体" w:eastAsia="宋体" w:cs="宋体"/>
          <w:color w:val="auto"/>
          <w:sz w:val="24"/>
          <w:szCs w:val="24"/>
          <w:highlight w:val="none"/>
          <w:lang w:val="en-US"/>
        </w:rPr>
      </w:pPr>
      <w:r>
        <w:rPr>
          <w:rFonts w:hint="eastAsia" w:ascii="宋体" w:hAnsi="宋体" w:eastAsia="宋体" w:cs="宋体"/>
          <w:color w:val="auto"/>
          <w:sz w:val="24"/>
          <w:szCs w:val="24"/>
          <w:highlight w:val="none"/>
          <w:lang w:val="en-US"/>
        </w:rPr>
        <w:t>定标因素为价格、企业实力、创新能力、技术方案、评标报告等。</w:t>
      </w:r>
    </w:p>
    <w:p w14:paraId="778DDF57">
      <w:pPr>
        <w:pStyle w:val="6"/>
        <w:shd w:val="clear" w:color="auto" w:fill="auto"/>
        <w:spacing w:before="0"/>
        <w:ind w:firstLine="560" w:firstLineChars="200"/>
        <w:jc w:val="both"/>
        <w:rPr>
          <w:rFonts w:hint="eastAsia" w:ascii="宋体" w:hAnsi="宋体" w:eastAsia="宋体" w:cs="宋体"/>
          <w:color w:val="auto"/>
          <w:sz w:val="24"/>
          <w:szCs w:val="24"/>
          <w:highlight w:val="none"/>
          <w:lang w:val="en-US"/>
        </w:rPr>
      </w:pPr>
      <w:r>
        <w:rPr>
          <w:rFonts w:hint="eastAsia" w:ascii="宋体" w:hAnsi="宋体" w:eastAsia="宋体" w:cs="宋体"/>
          <w:color w:val="auto"/>
          <w:sz w:val="24"/>
          <w:szCs w:val="24"/>
          <w:highlight w:val="none"/>
          <w:lang w:val="en-US"/>
        </w:rPr>
        <w:t>4.5.1价格：综合考虑各定标候选人</w:t>
      </w:r>
      <w:r>
        <w:rPr>
          <w:rFonts w:hint="eastAsia" w:ascii="宋体" w:hAnsi="宋体" w:eastAsia="宋体" w:cs="宋体"/>
          <w:color w:val="auto"/>
          <w:sz w:val="24"/>
          <w:szCs w:val="24"/>
          <w:highlight w:val="none"/>
          <w:lang w:val="en-US" w:eastAsia="zh-CN"/>
        </w:rPr>
        <w:t>的</w:t>
      </w:r>
      <w:r>
        <w:rPr>
          <w:rFonts w:hint="eastAsia" w:ascii="宋体" w:hAnsi="宋体" w:eastAsia="宋体" w:cs="宋体"/>
          <w:color w:val="auto"/>
          <w:sz w:val="24"/>
          <w:szCs w:val="24"/>
          <w:highlight w:val="none"/>
          <w:lang w:val="en-US"/>
        </w:rPr>
        <w:t>投标报价。</w:t>
      </w:r>
    </w:p>
    <w:p w14:paraId="3F6011DA">
      <w:pPr>
        <w:pStyle w:val="6"/>
        <w:shd w:val="clear" w:color="auto" w:fill="auto"/>
        <w:spacing w:before="0"/>
        <w:ind w:firstLine="560" w:firstLineChars="200"/>
        <w:jc w:val="both"/>
        <w:rPr>
          <w:rFonts w:hint="eastAsia" w:ascii="宋体" w:hAnsi="宋体" w:eastAsia="宋体" w:cs="宋体"/>
          <w:color w:val="auto"/>
          <w:sz w:val="24"/>
          <w:szCs w:val="24"/>
          <w:highlight w:val="none"/>
          <w:lang w:val="en-US"/>
        </w:rPr>
      </w:pPr>
      <w:r>
        <w:rPr>
          <w:rFonts w:hint="eastAsia" w:ascii="宋体" w:hAnsi="宋体" w:eastAsia="宋体" w:cs="宋体"/>
          <w:color w:val="auto"/>
          <w:sz w:val="24"/>
          <w:szCs w:val="24"/>
          <w:highlight w:val="none"/>
          <w:lang w:val="en-US"/>
        </w:rPr>
        <w:t>4.5.2企业实力因素：综合考虑各定标候选人包括近三年财务经营情况（根据投标人提供的“全国公路建设市场监督管理系统”企业所填的财务信息截图）、资质等级、</w:t>
      </w:r>
      <w:r>
        <w:rPr>
          <w:rFonts w:hint="eastAsia" w:ascii="宋体" w:hAnsi="宋体" w:eastAsia="宋体" w:cs="宋体"/>
          <w:color w:val="auto"/>
          <w:sz w:val="24"/>
          <w:szCs w:val="24"/>
          <w:highlight w:val="none"/>
          <w:lang w:val="en-US" w:eastAsia="zh-CN"/>
        </w:rPr>
        <w:t>2020年8月1日</w:t>
      </w:r>
      <w:r>
        <w:rPr>
          <w:rFonts w:hint="eastAsia" w:ascii="宋体" w:hAnsi="宋体" w:eastAsia="宋体" w:cs="宋体"/>
          <w:color w:val="auto"/>
          <w:sz w:val="24"/>
          <w:szCs w:val="24"/>
          <w:highlight w:val="none"/>
          <w:lang w:val="en-US"/>
        </w:rPr>
        <w:t>至今获得国家级奖项方面。</w:t>
      </w:r>
    </w:p>
    <w:p w14:paraId="57AA8E86">
      <w:pPr>
        <w:pStyle w:val="6"/>
        <w:shd w:val="clear" w:color="auto" w:fill="auto"/>
        <w:spacing w:before="0"/>
        <w:ind w:firstLine="560" w:firstLineChars="200"/>
        <w:jc w:val="both"/>
        <w:rPr>
          <w:rFonts w:hint="eastAsia" w:ascii="宋体" w:hAnsi="宋体" w:eastAsia="宋体" w:cs="宋体"/>
          <w:color w:val="auto"/>
          <w:sz w:val="24"/>
          <w:szCs w:val="24"/>
          <w:highlight w:val="none"/>
          <w:lang w:val="en-US"/>
        </w:rPr>
      </w:pPr>
      <w:r>
        <w:rPr>
          <w:rFonts w:hint="eastAsia" w:ascii="宋体" w:hAnsi="宋体" w:eastAsia="宋体" w:cs="宋体"/>
          <w:color w:val="auto"/>
          <w:sz w:val="24"/>
          <w:szCs w:val="24"/>
          <w:highlight w:val="none"/>
          <w:lang w:val="en-US"/>
        </w:rPr>
        <w:t>4.5.3创新能力因素：综合考虑各定标候选人在工程技术创新方面获得的国家级创新奖项进行横向对比。</w:t>
      </w:r>
    </w:p>
    <w:p w14:paraId="67C4BA22">
      <w:pPr>
        <w:pStyle w:val="6"/>
        <w:shd w:val="clear" w:color="auto" w:fill="auto"/>
        <w:spacing w:before="0"/>
        <w:ind w:firstLine="560" w:firstLineChars="200"/>
        <w:jc w:val="both"/>
        <w:rPr>
          <w:rFonts w:hint="eastAsia" w:ascii="宋体" w:hAnsi="宋体" w:eastAsia="宋体" w:cs="宋体"/>
          <w:color w:val="auto"/>
          <w:sz w:val="24"/>
          <w:szCs w:val="24"/>
          <w:highlight w:val="none"/>
          <w:lang w:val="en-US"/>
        </w:rPr>
      </w:pPr>
      <w:r>
        <w:rPr>
          <w:rFonts w:hint="eastAsia" w:ascii="宋体" w:hAnsi="宋体" w:eastAsia="宋体" w:cs="宋体"/>
          <w:color w:val="auto"/>
          <w:sz w:val="24"/>
          <w:szCs w:val="24"/>
          <w:highlight w:val="none"/>
          <w:lang w:val="en-US"/>
        </w:rPr>
        <w:t>4.5.4技术方案因素：综合考虑各定标候选人的施工组织设计方案进行横向对比，内容应包括以下要点：（1）总体施工组织布置及规划；（2）主要工程项目的施工方案与技术措施；（3）工期保证措施；（4）工程质量保证措施；（5）安全生产保证措施；（6）环境保护、水土保持保证措施；（7）文明施工、文物保护保证措施；（8）</w:t>
      </w:r>
      <w:r>
        <w:rPr>
          <w:rFonts w:hint="eastAsia" w:ascii="宋体" w:hAnsi="宋体" w:eastAsia="宋体" w:cs="宋体"/>
          <w:color w:val="auto"/>
          <w:sz w:val="24"/>
          <w:szCs w:val="24"/>
          <w:highlight w:val="none"/>
          <w:lang w:val="en-US" w:eastAsia="zh-CN"/>
        </w:rPr>
        <w:t>其他应说明的事项</w:t>
      </w:r>
      <w:r>
        <w:rPr>
          <w:rFonts w:hint="eastAsia" w:ascii="宋体" w:hAnsi="宋体" w:eastAsia="宋体" w:cs="宋体"/>
          <w:color w:val="auto"/>
          <w:sz w:val="24"/>
          <w:szCs w:val="24"/>
          <w:highlight w:val="none"/>
          <w:lang w:val="en-US"/>
        </w:rPr>
        <w:t>。</w:t>
      </w:r>
    </w:p>
    <w:p w14:paraId="416CA82D">
      <w:pPr>
        <w:pStyle w:val="6"/>
        <w:shd w:val="clear" w:color="auto" w:fill="auto"/>
        <w:spacing w:before="0"/>
        <w:ind w:firstLine="560" w:firstLineChars="200"/>
        <w:jc w:val="both"/>
        <w:rPr>
          <w:rFonts w:hint="eastAsia" w:ascii="宋体" w:hAnsi="宋体" w:eastAsia="宋体" w:cs="宋体"/>
          <w:color w:val="auto"/>
          <w:sz w:val="24"/>
          <w:szCs w:val="24"/>
          <w:highlight w:val="none"/>
          <w:lang w:val="en-US"/>
        </w:rPr>
      </w:pPr>
      <w:r>
        <w:rPr>
          <w:rFonts w:hint="eastAsia" w:ascii="宋体" w:hAnsi="宋体" w:eastAsia="宋体" w:cs="宋体"/>
          <w:color w:val="auto"/>
          <w:sz w:val="24"/>
          <w:szCs w:val="24"/>
          <w:highlight w:val="none"/>
          <w:lang w:val="en-US"/>
        </w:rPr>
        <w:t>（若施工组织设计方案已在商务及技术文件体现，则以商务及技术文件的施工组织设计方案为准，无需重复提供。）</w:t>
      </w:r>
    </w:p>
    <w:p w14:paraId="2EF1EA30">
      <w:pPr>
        <w:pStyle w:val="6"/>
        <w:shd w:val="clear" w:color="auto" w:fill="auto"/>
        <w:spacing w:before="0"/>
        <w:ind w:firstLine="560" w:firstLineChars="200"/>
        <w:jc w:val="both"/>
        <w:rPr>
          <w:rFonts w:hint="eastAsia" w:ascii="宋体" w:hAnsi="宋体" w:eastAsia="宋体" w:cs="宋体"/>
          <w:color w:val="auto"/>
          <w:sz w:val="24"/>
          <w:szCs w:val="24"/>
          <w:highlight w:val="none"/>
          <w:lang w:val="en-US"/>
        </w:rPr>
      </w:pPr>
      <w:r>
        <w:rPr>
          <w:rFonts w:hint="eastAsia" w:ascii="宋体" w:hAnsi="宋体" w:eastAsia="宋体" w:cs="宋体"/>
          <w:color w:val="auto"/>
          <w:sz w:val="24"/>
          <w:szCs w:val="24"/>
          <w:highlight w:val="none"/>
          <w:lang w:val="en-US"/>
        </w:rPr>
        <w:t>4.5.5评标报告因素：综合考虑评标委员会在评标报告中对各定标候选人优点和缺点的描述进行横向对比。</w:t>
      </w:r>
    </w:p>
    <w:p w14:paraId="34D7A1FF">
      <w:pPr>
        <w:pStyle w:val="6"/>
        <w:shd w:val="clear" w:color="auto" w:fill="auto"/>
        <w:spacing w:before="0"/>
        <w:ind w:firstLine="560" w:firstLineChars="200"/>
        <w:jc w:val="both"/>
        <w:rPr>
          <w:rFonts w:hint="eastAsia" w:ascii="宋体" w:hAnsi="宋体" w:eastAsia="宋体" w:cs="宋体"/>
          <w:color w:val="auto"/>
          <w:sz w:val="24"/>
          <w:szCs w:val="24"/>
          <w:highlight w:val="none"/>
          <w:lang w:val="en-US"/>
        </w:rPr>
      </w:pPr>
      <w:r>
        <w:rPr>
          <w:rFonts w:hint="eastAsia" w:ascii="宋体" w:hAnsi="宋体" w:eastAsia="宋体" w:cs="宋体"/>
          <w:color w:val="auto"/>
          <w:sz w:val="24"/>
          <w:szCs w:val="24"/>
          <w:highlight w:val="none"/>
          <w:lang w:val="en-US"/>
        </w:rPr>
        <w:t>4.5.6在同等条件下，择优的相对标准有以下几个方面：</w:t>
      </w:r>
    </w:p>
    <w:p w14:paraId="0F4F34C0">
      <w:pPr>
        <w:pStyle w:val="6"/>
        <w:shd w:val="clear" w:color="auto" w:fill="auto"/>
        <w:spacing w:before="0"/>
        <w:ind w:firstLine="560" w:firstLineChars="200"/>
        <w:jc w:val="both"/>
        <w:rPr>
          <w:rFonts w:hint="eastAsia" w:ascii="宋体" w:hAnsi="宋体" w:eastAsia="宋体" w:cs="宋体"/>
          <w:color w:val="auto"/>
          <w:sz w:val="24"/>
          <w:szCs w:val="24"/>
          <w:highlight w:val="none"/>
          <w:lang w:val="en-US"/>
        </w:rPr>
      </w:pPr>
      <w:r>
        <w:rPr>
          <w:rFonts w:hint="eastAsia" w:ascii="宋体" w:hAnsi="宋体" w:eastAsia="宋体" w:cs="宋体"/>
          <w:color w:val="auto"/>
          <w:sz w:val="24"/>
          <w:szCs w:val="24"/>
          <w:highlight w:val="none"/>
          <w:lang w:val="en-US"/>
        </w:rPr>
        <w:t>①资质高企业优于资质低企业；</w:t>
      </w:r>
    </w:p>
    <w:p w14:paraId="6F03EA48">
      <w:pPr>
        <w:pStyle w:val="6"/>
        <w:shd w:val="clear" w:color="auto" w:fill="auto"/>
        <w:spacing w:before="0"/>
        <w:ind w:firstLine="560" w:firstLineChars="200"/>
        <w:jc w:val="both"/>
        <w:rPr>
          <w:rFonts w:hint="eastAsia" w:ascii="宋体" w:hAnsi="宋体" w:eastAsia="宋体" w:cs="宋体"/>
          <w:color w:val="auto"/>
          <w:sz w:val="24"/>
          <w:szCs w:val="24"/>
          <w:highlight w:val="none"/>
          <w:lang w:val="en-US"/>
        </w:rPr>
      </w:pPr>
      <w:r>
        <w:rPr>
          <w:rFonts w:hint="eastAsia" w:ascii="宋体" w:hAnsi="宋体" w:eastAsia="宋体" w:cs="宋体"/>
          <w:color w:val="auto"/>
          <w:sz w:val="24"/>
          <w:szCs w:val="24"/>
          <w:highlight w:val="none"/>
          <w:lang w:val="en-US"/>
        </w:rPr>
        <w:t>②最近三年经营性现金流累计额大的企业优于经营性现金流累计额小的企业，最近三年平均净利润高的企业优于平均净利润低的企业；</w:t>
      </w:r>
    </w:p>
    <w:p w14:paraId="68F02CC8">
      <w:pPr>
        <w:pStyle w:val="6"/>
        <w:shd w:val="clear" w:color="auto" w:fill="auto"/>
        <w:spacing w:before="0"/>
        <w:ind w:firstLine="560" w:firstLineChars="200"/>
        <w:jc w:val="both"/>
        <w:rPr>
          <w:rFonts w:hint="eastAsia" w:ascii="宋体" w:hAnsi="宋体" w:eastAsia="宋体" w:cs="宋体"/>
          <w:color w:val="auto"/>
          <w:sz w:val="24"/>
          <w:szCs w:val="24"/>
          <w:highlight w:val="none"/>
          <w:lang w:val="en-US"/>
        </w:rPr>
      </w:pPr>
      <w:r>
        <w:rPr>
          <w:rFonts w:hint="eastAsia" w:ascii="宋体" w:hAnsi="宋体" w:eastAsia="宋体" w:cs="宋体"/>
          <w:color w:val="auto"/>
          <w:sz w:val="24"/>
          <w:szCs w:val="24"/>
          <w:highlight w:val="none"/>
          <w:lang w:val="en-US"/>
        </w:rPr>
        <w:t>③类似业绩技术复杂、难度大的企业优于类似业绩技术相对简单、难度较小的企业；</w:t>
      </w:r>
    </w:p>
    <w:p w14:paraId="2E0E441A">
      <w:pPr>
        <w:pStyle w:val="6"/>
        <w:shd w:val="clear" w:color="auto" w:fill="auto"/>
        <w:spacing w:before="0"/>
        <w:ind w:firstLine="560" w:firstLineChars="200"/>
        <w:jc w:val="both"/>
        <w:rPr>
          <w:rFonts w:hint="eastAsia" w:ascii="宋体" w:hAnsi="宋体" w:eastAsia="宋体" w:cs="宋体"/>
          <w:color w:val="auto"/>
          <w:sz w:val="24"/>
          <w:szCs w:val="24"/>
          <w:highlight w:val="none"/>
          <w:lang w:val="en-US"/>
        </w:rPr>
      </w:pPr>
      <w:r>
        <w:rPr>
          <w:rFonts w:hint="eastAsia" w:ascii="宋体" w:hAnsi="宋体" w:eastAsia="宋体" w:cs="宋体"/>
          <w:color w:val="auto"/>
          <w:sz w:val="24"/>
          <w:szCs w:val="24"/>
          <w:highlight w:val="none"/>
          <w:lang w:val="en-US"/>
        </w:rPr>
        <w:t>④无不良行为记录企业优于有不良行为记录企业，不良行为记录较轻企业优于不良行为记录较重企业；</w:t>
      </w:r>
    </w:p>
    <w:p w14:paraId="5F8F699C">
      <w:pPr>
        <w:pStyle w:val="6"/>
        <w:shd w:val="clear" w:color="auto" w:fill="auto"/>
        <w:spacing w:before="0"/>
        <w:ind w:firstLine="560" w:firstLineChars="200"/>
        <w:jc w:val="both"/>
        <w:rPr>
          <w:rFonts w:hint="eastAsia" w:ascii="宋体" w:hAnsi="宋体" w:eastAsia="宋体" w:cs="宋体"/>
          <w:color w:val="auto"/>
          <w:sz w:val="24"/>
          <w:szCs w:val="24"/>
          <w:highlight w:val="none"/>
          <w:lang w:val="en-US"/>
        </w:rPr>
      </w:pPr>
      <w:r>
        <w:rPr>
          <w:rFonts w:hint="eastAsia" w:ascii="宋体" w:hAnsi="宋体" w:eastAsia="宋体" w:cs="宋体"/>
          <w:color w:val="auto"/>
          <w:sz w:val="24"/>
          <w:szCs w:val="24"/>
          <w:highlight w:val="none"/>
          <w:lang w:val="en-US"/>
        </w:rPr>
        <w:t>⑤已有履约记录且没有履约评价不合格企业优于没有履约企业；</w:t>
      </w:r>
    </w:p>
    <w:p w14:paraId="6166F270">
      <w:pPr>
        <w:pStyle w:val="6"/>
        <w:shd w:val="clear" w:color="auto" w:fill="auto"/>
        <w:spacing w:before="0"/>
        <w:ind w:firstLine="560" w:firstLineChars="200"/>
        <w:jc w:val="both"/>
        <w:rPr>
          <w:rFonts w:hint="eastAsia" w:ascii="宋体" w:hAnsi="宋体" w:eastAsia="宋体" w:cs="宋体"/>
          <w:color w:val="auto"/>
          <w:sz w:val="24"/>
          <w:szCs w:val="24"/>
          <w:highlight w:val="none"/>
          <w:lang w:val="en-US"/>
        </w:rPr>
      </w:pPr>
      <w:r>
        <w:rPr>
          <w:rFonts w:hint="eastAsia" w:ascii="宋体" w:hAnsi="宋体" w:eastAsia="宋体" w:cs="宋体"/>
          <w:color w:val="auto"/>
          <w:sz w:val="24"/>
          <w:szCs w:val="24"/>
          <w:highlight w:val="none"/>
          <w:lang w:val="en-US"/>
        </w:rPr>
        <w:t>⑥获得国家级与工程施工质量或工程研发有关奖项多的企业优于获得奖项少的企业。</w:t>
      </w:r>
    </w:p>
    <w:p w14:paraId="34EEF760">
      <w:pPr>
        <w:pStyle w:val="6"/>
        <w:shd w:val="clear" w:color="auto" w:fill="auto"/>
        <w:spacing w:before="0"/>
        <w:ind w:firstLine="562" w:firstLineChars="200"/>
        <w:jc w:val="both"/>
        <w:outlineLvl w:val="2"/>
        <w:rPr>
          <w:rFonts w:hint="eastAsia" w:ascii="宋体" w:hAnsi="宋体" w:eastAsia="宋体" w:cs="宋体"/>
          <w:b/>
          <w:bCs/>
          <w:color w:val="auto"/>
          <w:sz w:val="24"/>
          <w:szCs w:val="24"/>
          <w:highlight w:val="none"/>
          <w:lang w:val="en-US"/>
        </w:rPr>
      </w:pPr>
      <w:bookmarkStart w:id="21" w:name="_Toc21482"/>
      <w:r>
        <w:rPr>
          <w:rFonts w:hint="eastAsia" w:ascii="宋体" w:hAnsi="宋体" w:eastAsia="宋体" w:cs="宋体"/>
          <w:b/>
          <w:bCs/>
          <w:color w:val="auto"/>
          <w:sz w:val="24"/>
          <w:szCs w:val="24"/>
          <w:highlight w:val="none"/>
          <w:lang w:val="en-US"/>
        </w:rPr>
        <w:t>4.6.定标程序</w:t>
      </w:r>
      <w:bookmarkEnd w:id="21"/>
    </w:p>
    <w:p w14:paraId="56B9274E">
      <w:pPr>
        <w:pStyle w:val="6"/>
        <w:shd w:val="clear" w:color="auto" w:fill="auto"/>
        <w:spacing w:before="0"/>
        <w:ind w:firstLine="560" w:firstLineChars="200"/>
        <w:jc w:val="both"/>
        <w:rPr>
          <w:rFonts w:hint="eastAsia" w:ascii="宋体" w:hAnsi="宋体" w:eastAsia="宋体" w:cs="宋体"/>
          <w:color w:val="auto"/>
          <w:sz w:val="24"/>
          <w:szCs w:val="24"/>
          <w:highlight w:val="none"/>
          <w:lang w:val="en-US"/>
        </w:rPr>
      </w:pPr>
      <w:r>
        <w:rPr>
          <w:rFonts w:hint="eastAsia" w:ascii="宋体" w:hAnsi="宋体" w:eastAsia="宋体" w:cs="宋体"/>
          <w:color w:val="auto"/>
          <w:sz w:val="24"/>
          <w:szCs w:val="24"/>
          <w:highlight w:val="none"/>
          <w:lang w:val="en-US"/>
        </w:rPr>
        <w:t>4.6.1确定中标候选人</w:t>
      </w:r>
    </w:p>
    <w:p w14:paraId="6B34FDFD">
      <w:pPr>
        <w:pStyle w:val="6"/>
        <w:shd w:val="clear" w:color="auto" w:fill="auto"/>
        <w:spacing w:before="0"/>
        <w:ind w:firstLine="560" w:firstLineChars="200"/>
        <w:jc w:val="both"/>
        <w:rPr>
          <w:rFonts w:hint="eastAsia" w:ascii="宋体" w:hAnsi="宋体" w:eastAsia="宋体" w:cs="宋体"/>
          <w:color w:val="auto"/>
          <w:sz w:val="24"/>
          <w:szCs w:val="24"/>
          <w:highlight w:val="none"/>
          <w:lang w:val="en-US"/>
        </w:rPr>
      </w:pPr>
      <w:r>
        <w:rPr>
          <w:rFonts w:hint="eastAsia" w:ascii="宋体" w:hAnsi="宋体" w:eastAsia="宋体" w:cs="宋体"/>
          <w:color w:val="auto"/>
          <w:sz w:val="24"/>
          <w:szCs w:val="24"/>
          <w:highlight w:val="none"/>
          <w:lang w:val="en-US"/>
        </w:rPr>
        <w:t>4.6.1.1招标人在定标会上介绍项目情况、招标情况。定标委员会成员有疑问的，可以向招标人或者招标代理机构提问。</w:t>
      </w:r>
    </w:p>
    <w:p w14:paraId="4D13BEC6">
      <w:pPr>
        <w:pStyle w:val="6"/>
        <w:shd w:val="clear" w:color="auto" w:fill="auto"/>
        <w:spacing w:before="0"/>
        <w:ind w:firstLine="560" w:firstLineChars="200"/>
        <w:jc w:val="both"/>
        <w:rPr>
          <w:rFonts w:hint="eastAsia" w:ascii="宋体" w:hAnsi="宋体" w:eastAsia="宋体" w:cs="宋体"/>
          <w:color w:val="auto"/>
          <w:sz w:val="24"/>
          <w:szCs w:val="24"/>
          <w:highlight w:val="none"/>
          <w:lang w:val="en-US"/>
        </w:rPr>
      </w:pPr>
      <w:r>
        <w:rPr>
          <w:rFonts w:hint="eastAsia" w:ascii="宋体" w:hAnsi="宋体" w:eastAsia="宋体" w:cs="宋体"/>
          <w:color w:val="auto"/>
          <w:sz w:val="24"/>
          <w:szCs w:val="24"/>
          <w:highlight w:val="none"/>
          <w:lang w:val="en-US"/>
        </w:rPr>
        <w:t>4.6.1.2定标委员会应当按照充分竞争、合理低价的原则，采用本招标文件确定的定标方法，在评标委员会推荐的定标候选人中择优确定3名中标候选人，并将所有定标候选人按票决定标法计分从高到低排名。</w:t>
      </w:r>
    </w:p>
    <w:p w14:paraId="210E1E69">
      <w:pPr>
        <w:pStyle w:val="6"/>
        <w:shd w:val="clear" w:color="auto" w:fill="auto"/>
        <w:spacing w:before="0"/>
        <w:ind w:firstLine="560" w:firstLineChars="200"/>
        <w:jc w:val="both"/>
        <w:rPr>
          <w:rFonts w:hint="eastAsia" w:ascii="宋体" w:hAnsi="宋体" w:eastAsia="宋体" w:cs="宋体"/>
          <w:color w:val="auto"/>
          <w:sz w:val="24"/>
          <w:szCs w:val="24"/>
          <w:highlight w:val="none"/>
          <w:lang w:val="en-US"/>
        </w:rPr>
      </w:pPr>
      <w:r>
        <w:rPr>
          <w:rFonts w:hint="eastAsia" w:ascii="宋体" w:hAnsi="宋体" w:eastAsia="宋体" w:cs="宋体"/>
          <w:color w:val="auto"/>
          <w:sz w:val="24"/>
          <w:szCs w:val="24"/>
          <w:highlight w:val="none"/>
          <w:lang w:val="en-US"/>
        </w:rPr>
        <w:t>4.6.2中标候选人公示</w:t>
      </w:r>
    </w:p>
    <w:p w14:paraId="32F31895">
      <w:pPr>
        <w:pStyle w:val="6"/>
        <w:shd w:val="clear" w:color="auto" w:fill="auto"/>
        <w:spacing w:before="0"/>
        <w:ind w:firstLine="560" w:firstLineChars="200"/>
        <w:jc w:val="both"/>
        <w:rPr>
          <w:rFonts w:hint="eastAsia" w:ascii="宋体" w:hAnsi="宋体" w:eastAsia="宋体" w:cs="宋体"/>
          <w:color w:val="auto"/>
          <w:sz w:val="24"/>
          <w:szCs w:val="24"/>
          <w:highlight w:val="none"/>
          <w:lang w:val="en-US"/>
        </w:rPr>
      </w:pPr>
      <w:r>
        <w:rPr>
          <w:rFonts w:hint="eastAsia" w:ascii="宋体" w:hAnsi="宋体" w:eastAsia="宋体" w:cs="宋体"/>
          <w:color w:val="auto"/>
          <w:sz w:val="24"/>
          <w:szCs w:val="24"/>
          <w:highlight w:val="none"/>
          <w:lang w:val="en-US"/>
        </w:rPr>
        <w:t>4.6.2.1招标人应当在定标工作完成后的3日内，对中标候选人公示，公示期不得少于3个工作日。</w:t>
      </w:r>
    </w:p>
    <w:p w14:paraId="61842DB9">
      <w:pPr>
        <w:pStyle w:val="6"/>
        <w:shd w:val="clear" w:color="auto" w:fill="auto"/>
        <w:spacing w:before="0"/>
        <w:ind w:firstLine="560" w:firstLineChars="200"/>
        <w:jc w:val="both"/>
        <w:rPr>
          <w:rFonts w:hint="eastAsia" w:ascii="宋体" w:hAnsi="宋体" w:eastAsia="宋体" w:cs="宋体"/>
          <w:color w:val="auto"/>
          <w:sz w:val="24"/>
          <w:szCs w:val="24"/>
          <w:highlight w:val="none"/>
          <w:lang w:val="en-US"/>
        </w:rPr>
      </w:pPr>
      <w:r>
        <w:rPr>
          <w:rFonts w:hint="eastAsia" w:ascii="宋体" w:hAnsi="宋体" w:eastAsia="宋体" w:cs="宋体"/>
          <w:color w:val="auto"/>
          <w:sz w:val="24"/>
          <w:szCs w:val="24"/>
          <w:highlight w:val="none"/>
          <w:lang w:val="en-US"/>
        </w:rPr>
        <w:t>4.6.2.2公示内容包括：</w:t>
      </w:r>
    </w:p>
    <w:p w14:paraId="777CBCDC">
      <w:pPr>
        <w:pStyle w:val="6"/>
        <w:shd w:val="clear" w:color="auto" w:fill="auto"/>
        <w:spacing w:before="0"/>
        <w:ind w:firstLine="560" w:firstLineChars="200"/>
        <w:jc w:val="both"/>
        <w:rPr>
          <w:rFonts w:hint="eastAsia" w:ascii="宋体" w:hAnsi="宋体" w:eastAsia="宋体" w:cs="宋体"/>
          <w:color w:val="auto"/>
          <w:sz w:val="24"/>
          <w:szCs w:val="24"/>
          <w:highlight w:val="none"/>
          <w:lang w:val="en-US"/>
        </w:rPr>
      </w:pPr>
      <w:r>
        <w:rPr>
          <w:rFonts w:hint="eastAsia" w:ascii="宋体" w:hAnsi="宋体" w:eastAsia="宋体" w:cs="宋体"/>
          <w:color w:val="auto"/>
          <w:sz w:val="24"/>
          <w:szCs w:val="24"/>
          <w:highlight w:val="none"/>
          <w:lang w:val="en-US"/>
        </w:rPr>
        <w:t>（1）中标候选人排序、名称、投标报价，对工程质量要求、安全目标和工期的响应情况；</w:t>
      </w:r>
    </w:p>
    <w:p w14:paraId="149D834F">
      <w:pPr>
        <w:pStyle w:val="6"/>
        <w:shd w:val="clear" w:color="auto" w:fill="auto"/>
        <w:spacing w:before="0"/>
        <w:ind w:firstLine="560" w:firstLineChars="200"/>
        <w:jc w:val="both"/>
        <w:rPr>
          <w:rFonts w:hint="eastAsia" w:ascii="宋体" w:hAnsi="宋体" w:eastAsia="宋体" w:cs="宋体"/>
          <w:color w:val="auto"/>
          <w:sz w:val="24"/>
          <w:szCs w:val="24"/>
          <w:highlight w:val="none"/>
          <w:lang w:val="en-US"/>
        </w:rPr>
      </w:pPr>
      <w:r>
        <w:rPr>
          <w:rFonts w:hint="eastAsia" w:ascii="宋体" w:hAnsi="宋体" w:eastAsia="宋体" w:cs="宋体"/>
          <w:color w:val="auto"/>
          <w:sz w:val="24"/>
          <w:szCs w:val="24"/>
          <w:highlight w:val="none"/>
          <w:lang w:val="en-US"/>
        </w:rPr>
        <w:t>（2）中标候选人在投标文件中承诺的项目经理和项目总工姓名、个人业绩、相关证书名称和编号；</w:t>
      </w:r>
    </w:p>
    <w:p w14:paraId="1F964888">
      <w:pPr>
        <w:pStyle w:val="6"/>
        <w:shd w:val="clear" w:color="auto" w:fill="auto"/>
        <w:spacing w:before="0"/>
        <w:ind w:firstLine="560" w:firstLineChars="200"/>
        <w:jc w:val="both"/>
        <w:rPr>
          <w:rFonts w:hint="eastAsia" w:ascii="宋体" w:hAnsi="宋体" w:eastAsia="宋体" w:cs="宋体"/>
          <w:color w:val="auto"/>
          <w:sz w:val="24"/>
          <w:szCs w:val="24"/>
          <w:highlight w:val="none"/>
          <w:lang w:val="en-US"/>
        </w:rPr>
      </w:pPr>
      <w:r>
        <w:rPr>
          <w:rFonts w:hint="eastAsia" w:ascii="宋体" w:hAnsi="宋体" w:eastAsia="宋体" w:cs="宋体"/>
          <w:color w:val="auto"/>
          <w:sz w:val="24"/>
          <w:szCs w:val="24"/>
          <w:highlight w:val="none"/>
          <w:lang w:val="en-US"/>
        </w:rPr>
        <w:t>（3）中标候选人在投标文件中填报的项目业绩；</w:t>
      </w:r>
    </w:p>
    <w:p w14:paraId="01F05538">
      <w:pPr>
        <w:pStyle w:val="6"/>
        <w:shd w:val="clear" w:color="auto" w:fill="auto"/>
        <w:spacing w:before="0"/>
        <w:ind w:firstLine="560" w:firstLineChars="200"/>
        <w:jc w:val="both"/>
        <w:rPr>
          <w:rFonts w:hint="eastAsia" w:ascii="宋体" w:hAnsi="宋体" w:eastAsia="宋体" w:cs="宋体"/>
          <w:color w:val="auto"/>
          <w:sz w:val="24"/>
          <w:szCs w:val="24"/>
          <w:highlight w:val="none"/>
          <w:lang w:val="en-US"/>
        </w:rPr>
      </w:pPr>
      <w:r>
        <w:rPr>
          <w:rFonts w:hint="eastAsia" w:ascii="宋体" w:hAnsi="宋体" w:eastAsia="宋体" w:cs="宋体"/>
          <w:color w:val="auto"/>
          <w:sz w:val="24"/>
          <w:szCs w:val="24"/>
          <w:highlight w:val="none"/>
          <w:lang w:val="en-US"/>
        </w:rPr>
        <w:t>（4）被否决投标的投标人名称、否决依据和原因；</w:t>
      </w:r>
    </w:p>
    <w:p w14:paraId="173A85DC">
      <w:pPr>
        <w:pStyle w:val="6"/>
        <w:shd w:val="clear" w:color="auto" w:fill="auto"/>
        <w:spacing w:before="0"/>
        <w:ind w:firstLine="560" w:firstLineChars="200"/>
        <w:jc w:val="both"/>
        <w:rPr>
          <w:rFonts w:hint="eastAsia" w:ascii="宋体" w:hAnsi="宋体" w:eastAsia="宋体" w:cs="宋体"/>
          <w:color w:val="auto"/>
          <w:sz w:val="24"/>
          <w:szCs w:val="24"/>
          <w:highlight w:val="none"/>
          <w:lang w:val="en-US"/>
        </w:rPr>
      </w:pPr>
      <w:r>
        <w:rPr>
          <w:rFonts w:hint="eastAsia" w:ascii="宋体" w:hAnsi="宋体" w:eastAsia="宋体" w:cs="宋体"/>
          <w:color w:val="auto"/>
          <w:sz w:val="24"/>
          <w:szCs w:val="24"/>
          <w:highlight w:val="none"/>
          <w:lang w:val="en-US"/>
        </w:rPr>
        <w:t>（5）提出异议的渠道和方式；</w:t>
      </w:r>
    </w:p>
    <w:p w14:paraId="1C2723AC">
      <w:pPr>
        <w:pStyle w:val="6"/>
        <w:shd w:val="clear" w:color="auto" w:fill="auto"/>
        <w:spacing w:before="0"/>
        <w:ind w:firstLine="560" w:firstLineChars="200"/>
        <w:jc w:val="both"/>
        <w:rPr>
          <w:rFonts w:hint="eastAsia" w:ascii="宋体" w:hAnsi="宋体" w:eastAsia="宋体" w:cs="宋体"/>
          <w:color w:val="auto"/>
          <w:sz w:val="24"/>
          <w:szCs w:val="24"/>
          <w:highlight w:val="none"/>
          <w:lang w:val="en-US"/>
        </w:rPr>
      </w:pPr>
      <w:r>
        <w:rPr>
          <w:rFonts w:hint="eastAsia" w:ascii="宋体" w:hAnsi="宋体" w:eastAsia="宋体" w:cs="宋体"/>
          <w:color w:val="auto"/>
          <w:sz w:val="24"/>
          <w:szCs w:val="24"/>
          <w:highlight w:val="none"/>
          <w:lang w:val="en-US"/>
        </w:rPr>
        <w:t>（6）最新一年度信用等级使用情况及所有承诺使用最新一年度AA、A级投标人的年度信用等级使用情况。</w:t>
      </w:r>
    </w:p>
    <w:p w14:paraId="3F12D92A">
      <w:pPr>
        <w:pStyle w:val="6"/>
        <w:shd w:val="clear" w:color="auto" w:fill="auto"/>
        <w:spacing w:before="0"/>
        <w:ind w:firstLine="560" w:firstLineChars="200"/>
        <w:jc w:val="both"/>
        <w:rPr>
          <w:rFonts w:hint="eastAsia" w:ascii="宋体" w:hAnsi="宋体" w:eastAsia="宋体" w:cs="宋体"/>
          <w:color w:val="auto"/>
          <w:sz w:val="24"/>
          <w:szCs w:val="24"/>
          <w:highlight w:val="none"/>
          <w:lang w:val="en-US"/>
        </w:rPr>
      </w:pPr>
      <w:r>
        <w:rPr>
          <w:rFonts w:hint="eastAsia" w:ascii="宋体" w:hAnsi="宋体" w:eastAsia="宋体" w:cs="宋体"/>
          <w:color w:val="auto"/>
          <w:sz w:val="24"/>
          <w:szCs w:val="24"/>
          <w:highlight w:val="none"/>
          <w:lang w:val="en-US"/>
        </w:rPr>
        <w:t>（7）评标报告（评标专家信息除外）；</w:t>
      </w:r>
    </w:p>
    <w:p w14:paraId="4ACF9F30">
      <w:pPr>
        <w:pStyle w:val="6"/>
        <w:shd w:val="clear" w:color="auto" w:fill="auto"/>
        <w:spacing w:before="0"/>
        <w:ind w:firstLine="560" w:firstLineChars="200"/>
        <w:jc w:val="both"/>
        <w:rPr>
          <w:rFonts w:hint="eastAsia" w:ascii="宋体" w:hAnsi="宋体" w:eastAsia="宋体" w:cs="宋体"/>
          <w:color w:val="auto"/>
          <w:sz w:val="24"/>
          <w:szCs w:val="24"/>
          <w:highlight w:val="none"/>
          <w:lang w:val="en-US"/>
        </w:rPr>
      </w:pPr>
      <w:r>
        <w:rPr>
          <w:rFonts w:hint="eastAsia" w:ascii="宋体" w:hAnsi="宋体" w:eastAsia="宋体" w:cs="宋体"/>
          <w:color w:val="auto"/>
          <w:sz w:val="24"/>
          <w:szCs w:val="24"/>
          <w:highlight w:val="none"/>
          <w:lang w:val="en-US"/>
        </w:rPr>
        <w:t>（8）定标报告（定标成员信息除外）；</w:t>
      </w:r>
    </w:p>
    <w:p w14:paraId="69C2F0E4">
      <w:pPr>
        <w:pStyle w:val="6"/>
        <w:shd w:val="clear" w:color="auto" w:fill="auto"/>
        <w:spacing w:before="0"/>
        <w:ind w:firstLine="560" w:firstLineChars="200"/>
        <w:jc w:val="both"/>
        <w:rPr>
          <w:rFonts w:hint="eastAsia" w:ascii="宋体" w:hAnsi="宋体" w:eastAsia="宋体" w:cs="宋体"/>
          <w:color w:val="auto"/>
          <w:sz w:val="24"/>
          <w:szCs w:val="24"/>
          <w:highlight w:val="none"/>
          <w:lang w:val="en-US"/>
        </w:rPr>
      </w:pPr>
      <w:r>
        <w:rPr>
          <w:rFonts w:hint="eastAsia" w:ascii="宋体" w:hAnsi="宋体" w:eastAsia="宋体" w:cs="宋体"/>
          <w:color w:val="auto"/>
          <w:sz w:val="24"/>
          <w:szCs w:val="24"/>
          <w:highlight w:val="none"/>
          <w:lang w:val="en-US"/>
        </w:rPr>
        <w:t>（9）定标候选人名单；</w:t>
      </w:r>
    </w:p>
    <w:p w14:paraId="13536B12">
      <w:pPr>
        <w:pStyle w:val="6"/>
        <w:shd w:val="clear" w:color="auto" w:fill="auto"/>
        <w:spacing w:before="0"/>
        <w:ind w:firstLine="560" w:firstLineChars="200"/>
        <w:jc w:val="both"/>
        <w:rPr>
          <w:rFonts w:hint="eastAsia" w:ascii="宋体" w:hAnsi="宋体" w:eastAsia="宋体" w:cs="宋体"/>
          <w:color w:val="auto"/>
          <w:sz w:val="24"/>
          <w:szCs w:val="24"/>
          <w:highlight w:val="none"/>
          <w:lang w:val="en-US"/>
        </w:rPr>
      </w:pPr>
      <w:r>
        <w:rPr>
          <w:rFonts w:hint="eastAsia" w:ascii="宋体" w:hAnsi="宋体" w:eastAsia="宋体" w:cs="宋体"/>
          <w:color w:val="auto"/>
          <w:sz w:val="24"/>
          <w:szCs w:val="24"/>
          <w:highlight w:val="none"/>
          <w:lang w:val="en-US"/>
        </w:rPr>
        <w:t>（10）定标时间；</w:t>
      </w:r>
    </w:p>
    <w:p w14:paraId="052A24B8">
      <w:pPr>
        <w:pStyle w:val="6"/>
        <w:shd w:val="clear" w:color="auto" w:fill="auto"/>
        <w:spacing w:before="0"/>
        <w:ind w:firstLine="560" w:firstLineChars="200"/>
        <w:jc w:val="both"/>
        <w:rPr>
          <w:rFonts w:hint="eastAsia" w:ascii="宋体" w:hAnsi="宋体" w:eastAsia="宋体" w:cs="宋体"/>
          <w:color w:val="auto"/>
          <w:sz w:val="24"/>
          <w:szCs w:val="24"/>
          <w:highlight w:val="none"/>
          <w:lang w:val="en-US"/>
        </w:rPr>
      </w:pPr>
      <w:r>
        <w:rPr>
          <w:rFonts w:hint="eastAsia" w:ascii="宋体" w:hAnsi="宋体" w:eastAsia="宋体" w:cs="宋体"/>
          <w:color w:val="auto"/>
          <w:sz w:val="24"/>
          <w:szCs w:val="24"/>
          <w:highlight w:val="none"/>
          <w:lang w:val="en-US"/>
        </w:rPr>
        <w:t>（11）定标办法。</w:t>
      </w:r>
    </w:p>
    <w:p w14:paraId="5AB0047E">
      <w:pPr>
        <w:pStyle w:val="6"/>
        <w:shd w:val="clear" w:color="auto" w:fill="auto"/>
        <w:spacing w:before="0"/>
        <w:ind w:firstLine="560" w:firstLineChars="200"/>
        <w:jc w:val="both"/>
        <w:rPr>
          <w:rFonts w:hint="eastAsia" w:ascii="宋体" w:hAnsi="宋体" w:eastAsia="宋体" w:cs="宋体"/>
          <w:color w:val="auto"/>
          <w:sz w:val="24"/>
          <w:szCs w:val="24"/>
          <w:highlight w:val="none"/>
          <w:lang w:val="en-US"/>
        </w:rPr>
      </w:pPr>
      <w:r>
        <w:rPr>
          <w:rFonts w:hint="eastAsia" w:ascii="宋体" w:hAnsi="宋体" w:eastAsia="宋体" w:cs="宋体"/>
          <w:color w:val="auto"/>
          <w:sz w:val="24"/>
          <w:szCs w:val="24"/>
          <w:highlight w:val="none"/>
          <w:lang w:val="en-US"/>
        </w:rPr>
        <w:t>4.6.2.3投标人对评标定标结果有异议的应当在公示期内提出，适用《中华人民共和国招标投标法实施条例》第五十四条的规定。公示期间，投标人提出的针对第一中标候选人以外的异议，无论调查结果是否属实，均不改变第一中标候选人资格。</w:t>
      </w:r>
    </w:p>
    <w:p w14:paraId="4AC93F07">
      <w:pPr>
        <w:pStyle w:val="6"/>
        <w:shd w:val="clear" w:color="auto" w:fill="auto"/>
        <w:spacing w:before="0"/>
        <w:ind w:firstLine="560" w:firstLineChars="200"/>
        <w:jc w:val="both"/>
        <w:rPr>
          <w:rFonts w:hint="eastAsia" w:ascii="宋体" w:hAnsi="宋体" w:eastAsia="宋体" w:cs="宋体"/>
          <w:color w:val="auto"/>
          <w:sz w:val="24"/>
          <w:szCs w:val="24"/>
          <w:highlight w:val="none"/>
          <w:lang w:val="en-US"/>
        </w:rPr>
      </w:pPr>
      <w:r>
        <w:rPr>
          <w:rFonts w:hint="eastAsia" w:ascii="宋体" w:hAnsi="宋体" w:eastAsia="宋体" w:cs="宋体"/>
          <w:color w:val="auto"/>
          <w:sz w:val="24"/>
          <w:szCs w:val="24"/>
          <w:highlight w:val="none"/>
          <w:lang w:val="en-US"/>
        </w:rPr>
        <w:t>4.6.2.4第一中标候选人放弃中标、因不可抗力不能履行合同、不按照招标文件要求提交履约保证金，或者被查实存在影响中标结果的违法行为等情形，不符合中标条件的，招标人可以按照中标候选人名单排序依次确定其他中标候选人为中标人，也可以重新招标。</w:t>
      </w:r>
    </w:p>
    <w:p w14:paraId="184EB0ED">
      <w:pPr>
        <w:pStyle w:val="6"/>
        <w:shd w:val="clear" w:color="auto" w:fill="auto"/>
        <w:spacing w:before="0"/>
        <w:ind w:firstLine="560" w:firstLineChars="200"/>
        <w:jc w:val="both"/>
        <w:rPr>
          <w:rFonts w:hint="eastAsia" w:ascii="宋体" w:hAnsi="宋体" w:eastAsia="宋体" w:cs="宋体"/>
          <w:color w:val="auto"/>
          <w:sz w:val="24"/>
          <w:szCs w:val="24"/>
          <w:highlight w:val="none"/>
          <w:lang w:val="en-US"/>
        </w:rPr>
      </w:pPr>
      <w:r>
        <w:rPr>
          <w:rFonts w:hint="eastAsia" w:ascii="宋体" w:hAnsi="宋体" w:eastAsia="宋体" w:cs="宋体"/>
          <w:color w:val="auto"/>
          <w:sz w:val="24"/>
          <w:szCs w:val="24"/>
          <w:highlight w:val="none"/>
          <w:lang w:val="en-US"/>
        </w:rPr>
        <w:t>4.6.2.5自确定中标人之日起15日内，招标人应当向招投标监管机构提交招标投标情况书面报告。</w:t>
      </w:r>
    </w:p>
    <w:p w14:paraId="0202230C">
      <w:pPr>
        <w:pStyle w:val="6"/>
        <w:shd w:val="clear" w:color="auto" w:fill="auto"/>
        <w:spacing w:before="0"/>
        <w:ind w:firstLine="562" w:firstLineChars="200"/>
        <w:jc w:val="both"/>
        <w:outlineLvl w:val="2"/>
        <w:rPr>
          <w:rFonts w:hint="eastAsia" w:ascii="宋体" w:hAnsi="宋体" w:eastAsia="宋体" w:cs="宋体"/>
          <w:b/>
          <w:bCs/>
          <w:color w:val="auto"/>
          <w:sz w:val="24"/>
          <w:szCs w:val="24"/>
          <w:highlight w:val="none"/>
          <w:lang w:val="en-US"/>
        </w:rPr>
      </w:pPr>
      <w:bookmarkStart w:id="22" w:name="_Toc26811"/>
      <w:r>
        <w:rPr>
          <w:rFonts w:hint="eastAsia" w:ascii="宋体" w:hAnsi="宋体" w:eastAsia="宋体" w:cs="宋体"/>
          <w:b/>
          <w:bCs/>
          <w:color w:val="auto"/>
          <w:sz w:val="24"/>
          <w:szCs w:val="24"/>
          <w:highlight w:val="none"/>
          <w:lang w:val="en-US"/>
        </w:rPr>
        <w:t>4.7.发出中标通知书及签订合同</w:t>
      </w:r>
      <w:bookmarkEnd w:id="22"/>
    </w:p>
    <w:p w14:paraId="404BE539">
      <w:r>
        <w:rPr>
          <w:rFonts w:hint="eastAsia" w:ascii="宋体" w:hAnsi="宋体" w:eastAsia="宋体" w:cs="宋体"/>
          <w:color w:val="auto"/>
          <w:sz w:val="24"/>
          <w:szCs w:val="24"/>
          <w:highlight w:val="none"/>
          <w:lang w:val="en-US"/>
        </w:rPr>
        <w:t>招标人和中标人应当在投标有效期内并在自中标通知书发出之日起30日内，依照招标文件、 投标文件签订书面合同，合同的标的、价款、履行期限等主要条款应当与招标文件和中标人的投标文件的内容一致。招标人和中标人不得再行订立背离合同实质性内容的其他协议。</w:t>
      </w:r>
      <w:bookmarkStart w:id="23" w:name="_GoBack"/>
      <w:bookmarkEnd w:id="23"/>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MingLiU_HKSCS">
    <w:altName w:val="PMingLiU-ExtB"/>
    <w:panose1 w:val="02020500000000000000"/>
    <w:charset w:val="88"/>
    <w:family w:val="roman"/>
    <w:pitch w:val="default"/>
    <w:sig w:usb0="00000000" w:usb1="00000000" w:usb2="00000016" w:usb3="00000000" w:csb0="00100001" w:csb1="00000000"/>
  </w:font>
  <w:font w:name="MingLiU">
    <w:altName w:val="PMingLiU-ExtB"/>
    <w:panose1 w:val="02010609000101010101"/>
    <w:charset w:val="88"/>
    <w:family w:val="modern"/>
    <w:pitch w:val="default"/>
    <w:sig w:usb0="00000000" w:usb1="00000000" w:usb2="00000016" w:usb3="00000000" w:csb0="00100001" w:csb1="00000000"/>
  </w:font>
  <w:font w:name="PMingLiU-ExtB">
    <w:panose1 w:val="02020500000000000000"/>
    <w:charset w:val="88"/>
    <w:family w:val="auto"/>
    <w:pitch w:val="default"/>
    <w:sig w:usb0="8000002F" w:usb1="02000008" w:usb2="00000000" w:usb3="00000000" w:csb0="001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5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A4C27BF"/>
    <w:rsid w:val="7A4C27B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pPr>
    <w:rPr>
      <w:rFonts w:ascii="Times New Roman" w:hAnsi="Times New Roman" w:eastAsia="宋体" w:cs="MingLiU_HKSCS"/>
      <w:color w:val="000000"/>
      <w:sz w:val="24"/>
      <w:szCs w:val="24"/>
      <w:lang w:val="zh-CN" w:eastAsia="zh-CN" w:bidi="ar-SA"/>
    </w:rPr>
  </w:style>
  <w:style w:type="character" w:default="1" w:styleId="5">
    <w:name w:val="Default Paragraph Font"/>
    <w:semiHidden/>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Plain Text"/>
    <w:basedOn w:val="1"/>
    <w:next w:val="3"/>
    <w:uiPriority w:val="0"/>
    <w:pPr>
      <w:jc w:val="both"/>
    </w:pPr>
    <w:rPr>
      <w:rFonts w:ascii="宋体" w:hAnsi="Courier New" w:cs="Times New Roman"/>
      <w:color w:val="auto"/>
      <w:kern w:val="2"/>
      <w:sz w:val="21"/>
      <w:szCs w:val="20"/>
    </w:rPr>
  </w:style>
  <w:style w:type="paragraph" w:customStyle="1" w:styleId="3">
    <w:name w:val="Default"/>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paragraph" w:customStyle="1" w:styleId="6">
    <w:name w:val="正文文本 (2)1"/>
    <w:basedOn w:val="1"/>
    <w:qFormat/>
    <w:uiPriority w:val="99"/>
    <w:pPr>
      <w:shd w:val="clear" w:color="auto" w:fill="FFFFFF"/>
      <w:spacing w:before="300" w:line="439" w:lineRule="exact"/>
      <w:jc w:val="distribute"/>
    </w:pPr>
    <w:rPr>
      <w:rFonts w:ascii="MingLiU" w:eastAsia="MingLiU" w:cs="Times New Roman"/>
      <w:color w:val="auto"/>
      <w:spacing w:val="20"/>
      <w:sz w:val="22"/>
      <w:szCs w:val="22"/>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10</Pages>
  <Words>0</Words>
  <Characters>0</Characters>
  <Lines>0</Lines>
  <Paragraphs>0</Paragraphs>
  <TotalTime>0</TotalTime>
  <ScaleCrop>false</ScaleCrop>
  <LinksUpToDate>false</LinksUpToDate>
  <CharactersWithSpaces>0</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2025-07-24T08:48:00Z</dcterms:created>
  <dc:creator>冷眼观天下</dc:creator>
  <cp:lastModifiedBy>冷眼观天下</cp:lastModifiedBy>
  <dcterms:modified xsi:type="dcterms:W3CDTF">2025-07-24T08:51:37Z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5F4F82C95EFA4861A17D84B766D0388F_11</vt:lpwstr>
  </property>
  <property fmtid="{D5CDD505-2E9C-101B-9397-08002B2CF9AE}" pid="4" name="KSOTemplateDocerSaveRecord">
    <vt:lpwstr>eyJoZGlkIjoiN2YzNjBkOTgyNWQ1YTMxYzM3MzMwNWFiODNmOWIzYWMiLCJ1c2VySWQiOiIxMjAwOTQwMjI0In0=</vt:lpwstr>
  </property>
</Properties>
</file>