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F8BD7">
      <w:pPr>
        <w:jc w:val="center"/>
        <w:outlineLvl w:val="2"/>
        <w:rPr>
          <w:rFonts w:hint="eastAsia" w:ascii="宋体" w:hAnsi="宋体" w:eastAsia="宋体" w:cs="宋体"/>
          <w:color w:val="auto"/>
          <w:sz w:val="30"/>
          <w:szCs w:val="30"/>
          <w:highlight w:val="none"/>
        </w:rPr>
      </w:pPr>
      <w:bookmarkStart w:id="0" w:name="_Toc20423"/>
      <w:bookmarkStart w:id="1" w:name="_Toc295"/>
      <w:r>
        <w:rPr>
          <w:rFonts w:hint="eastAsia" w:ascii="宋体" w:hAnsi="宋体" w:eastAsia="宋体" w:cs="宋体"/>
          <w:color w:val="auto"/>
          <w:sz w:val="30"/>
          <w:szCs w:val="30"/>
          <w:highlight w:val="none"/>
        </w:rPr>
        <w:t>附录1   资格审查条件(资质最低条件)</w:t>
      </w:r>
      <w:bookmarkEnd w:id="0"/>
      <w:bookmarkEnd w:id="1"/>
    </w:p>
    <w:p w14:paraId="1EA26345">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38254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trPr>
        <w:tc>
          <w:tcPr>
            <w:tcW w:w="5000" w:type="pct"/>
            <w:noWrap w:val="0"/>
            <w:vAlign w:val="center"/>
          </w:tcPr>
          <w:p w14:paraId="0AB57535">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施工企业资质等级要求</w:t>
            </w:r>
          </w:p>
        </w:tc>
      </w:tr>
      <w:tr w14:paraId="6736B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3" w:hRule="exact"/>
        </w:trPr>
        <w:tc>
          <w:tcPr>
            <w:tcW w:w="5000" w:type="pct"/>
            <w:noWrap w:val="0"/>
            <w:vAlign w:val="center"/>
          </w:tcPr>
          <w:p w14:paraId="459A98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1、持有工商行政管理部门核发的法人营业执照及独立法人资格；</w:t>
            </w:r>
          </w:p>
          <w:p w14:paraId="581844F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具备住房城乡</w:t>
            </w:r>
            <w:r>
              <w:rPr>
                <w:rFonts w:hint="eastAsia" w:ascii="宋体" w:hAnsi="宋体" w:eastAsia="宋体" w:cs="宋体"/>
                <w:b w:val="0"/>
                <w:bCs w:val="0"/>
                <w:color w:val="auto"/>
                <w:kern w:val="0"/>
                <w:sz w:val="24"/>
                <w:szCs w:val="24"/>
                <w:highlight w:val="none"/>
              </w:rPr>
              <w:t>建设主管部门核发的公路工程施工总承包</w:t>
            </w:r>
            <w:r>
              <w:rPr>
                <w:rFonts w:hint="eastAsia" w:ascii="宋体" w:hAnsi="宋体" w:cs="宋体"/>
                <w:b w:val="0"/>
                <w:bCs w:val="0"/>
                <w:color w:val="auto"/>
                <w:kern w:val="0"/>
                <w:sz w:val="24"/>
                <w:szCs w:val="24"/>
                <w:highlight w:val="none"/>
                <w:lang w:val="en-US" w:eastAsia="zh-CN"/>
              </w:rPr>
              <w:t>三级</w:t>
            </w:r>
            <w:r>
              <w:rPr>
                <w:rFonts w:hint="eastAsia" w:ascii="宋体" w:hAnsi="宋体" w:eastAsia="宋体" w:cs="宋体"/>
                <w:b w:val="0"/>
                <w:bCs w:val="0"/>
                <w:color w:val="auto"/>
                <w:kern w:val="0"/>
                <w:sz w:val="24"/>
                <w:szCs w:val="24"/>
                <w:highlight w:val="none"/>
              </w:rPr>
              <w:t>（或以上）资质</w:t>
            </w:r>
            <w:r>
              <w:rPr>
                <w:rFonts w:hint="eastAsia" w:ascii="宋体" w:hAnsi="宋体" w:eastAsia="宋体" w:cs="宋体"/>
                <w:b w:val="0"/>
                <w:bCs w:val="0"/>
                <w:color w:val="auto"/>
                <w:kern w:val="0"/>
                <w:sz w:val="24"/>
                <w:szCs w:val="24"/>
                <w:highlight w:val="none"/>
                <w:lang w:eastAsia="zh-CN"/>
              </w:rPr>
              <w:t>。</w:t>
            </w:r>
          </w:p>
          <w:p w14:paraId="4827801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3、具有有效的安全生产许可证。</w:t>
            </w:r>
          </w:p>
        </w:tc>
      </w:tr>
    </w:tbl>
    <w:p w14:paraId="1E2EF6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lang w:val="en-US" w:eastAsia="zh-CN" w:bidi="ar"/>
        </w:rPr>
      </w:pPr>
      <w:bookmarkStart w:id="2" w:name="_Toc6635"/>
      <w:r>
        <w:rPr>
          <w:rFonts w:hint="eastAsia" w:ascii="宋体" w:hAnsi="宋体" w:eastAsia="宋体" w:cs="宋体"/>
          <w:color w:val="auto"/>
          <w:kern w:val="0"/>
          <w:sz w:val="24"/>
          <w:szCs w:val="24"/>
          <w:highlight w:val="none"/>
          <w:lang w:val="en-US" w:eastAsia="zh-CN" w:bidi="ar"/>
        </w:rPr>
        <w:t>注：投标人应根据投标文件第二章“投标人须知”第3.5.1项的要求附相关证明材料。</w:t>
      </w:r>
    </w:p>
    <w:p w14:paraId="6398358B">
      <w:pPr>
        <w:jc w:val="center"/>
        <w:outlineLvl w:val="2"/>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br w:type="page"/>
      </w:r>
      <w:bookmarkStart w:id="3" w:name="_Toc9793"/>
      <w:r>
        <w:rPr>
          <w:rFonts w:hint="eastAsia" w:ascii="宋体" w:hAnsi="宋体" w:eastAsia="宋体" w:cs="宋体"/>
          <w:color w:val="auto"/>
          <w:sz w:val="30"/>
          <w:szCs w:val="30"/>
          <w:highlight w:val="none"/>
        </w:rPr>
        <w:t>附录2   资格审查条件(财务最低要求)</w:t>
      </w:r>
      <w:bookmarkEnd w:id="2"/>
      <w:bookmarkEnd w:id="3"/>
    </w:p>
    <w:p w14:paraId="6872803D">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6B565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5000" w:type="pct"/>
            <w:noWrap w:val="0"/>
            <w:vAlign w:val="center"/>
          </w:tcPr>
          <w:p w14:paraId="2AECA9EE">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财 务 要 求</w:t>
            </w:r>
          </w:p>
        </w:tc>
      </w:tr>
      <w:tr w14:paraId="7A019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9" w:hRule="exact"/>
        </w:trPr>
        <w:tc>
          <w:tcPr>
            <w:tcW w:w="5000" w:type="pct"/>
            <w:noWrap w:val="0"/>
            <w:vAlign w:val="center"/>
          </w:tcPr>
          <w:p w14:paraId="4E17EE75">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1、企业净资产（总资产-总负债）不少于3000万元人民币。</w:t>
            </w:r>
          </w:p>
          <w:p w14:paraId="03404E80">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2、营运资金（流动资产－流动负债）不少于3000万元人民币。</w:t>
            </w:r>
          </w:p>
          <w:p w14:paraId="573B894F">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3、近三个年度的年平均营业总收入不少于6000万元人民币。</w:t>
            </w:r>
          </w:p>
          <w:p w14:paraId="7B78D25A">
            <w:pPr>
              <w:spacing w:line="5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4、近三个年度至少有 1 年盈利。</w:t>
            </w:r>
          </w:p>
        </w:tc>
      </w:tr>
    </w:tbl>
    <w:p w14:paraId="537606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bookmarkStart w:id="4" w:name="_Toc2824"/>
      <w:r>
        <w:rPr>
          <w:rFonts w:hint="eastAsia" w:ascii="宋体" w:hAnsi="宋体" w:eastAsia="宋体" w:cs="宋体"/>
          <w:color w:val="auto"/>
          <w:kern w:val="0"/>
          <w:sz w:val="24"/>
          <w:szCs w:val="24"/>
          <w:highlight w:val="none"/>
          <w:lang w:val="en-US" w:eastAsia="zh-CN" w:bidi="ar"/>
        </w:rPr>
        <w:t>注：1、企业净资产、营运资金是按交通运输部“全国公路建设市场监督管理系统”登记的最新年度（近三个年度的最后一年，下同）数据计算得出。近三个年度是指</w:t>
      </w:r>
      <w:r>
        <w:rPr>
          <w:rFonts w:hint="eastAsia" w:ascii="宋体" w:hAnsi="宋体" w:eastAsia="宋体" w:cs="宋体"/>
          <w:color w:val="auto"/>
          <w:kern w:val="0"/>
          <w:sz w:val="24"/>
          <w:szCs w:val="24"/>
          <w:highlight w:val="none"/>
          <w:u w:val="none"/>
          <w:lang w:val="en-US" w:eastAsia="zh-CN" w:bidi="ar"/>
        </w:rPr>
        <w:t>2022年度、2023年度、2024年度。</w:t>
      </w:r>
    </w:p>
    <w:p w14:paraId="6E6A4C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2、以联合体形式投标的，财务最低要求中第1、2、3项其财务能力以所有成员（含牵头人）合并加总计算为准，第4项联合体各方均需满足。</w:t>
      </w:r>
    </w:p>
    <w:p w14:paraId="425C7178">
      <w:pPr>
        <w:widowControl/>
        <w:shd w:val="clear" w:color="auto" w:fill="auto"/>
        <w:kinsoku/>
        <w:topLinePunct w:val="0"/>
        <w:spacing w:line="360" w:lineRule="auto"/>
        <w:ind w:left="0" w:leftChars="0" w:right="0" w:firstLine="480" w:firstLineChars="200"/>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3、投标人应根据招标文件第二章“投标人须知”第3.5.2项的要求附相关证明材料。</w:t>
      </w:r>
    </w:p>
    <w:p w14:paraId="1A985D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14:paraId="564ABBCE">
      <w:pPr>
        <w:keepNext w:val="0"/>
        <w:keepLines w:val="0"/>
        <w:pageBreakBefore w:val="0"/>
        <w:kinsoku/>
        <w:wordWrap/>
        <w:overflowPunct/>
        <w:topLinePunct w:val="0"/>
        <w:autoSpaceDE/>
        <w:autoSpaceDN/>
        <w:bidi w:val="0"/>
        <w:adjustRightInd/>
        <w:snapToGrid/>
        <w:ind w:firstLine="600" w:firstLineChars="200"/>
        <w:jc w:val="center"/>
        <w:textAlignment w:val="auto"/>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5" w:name="_Toc2507"/>
      <w:r>
        <w:rPr>
          <w:rFonts w:hint="eastAsia" w:ascii="宋体" w:hAnsi="宋体" w:eastAsia="宋体" w:cs="宋体"/>
          <w:color w:val="auto"/>
          <w:sz w:val="30"/>
          <w:szCs w:val="30"/>
          <w:highlight w:val="none"/>
        </w:rPr>
        <w:t>附录3   资格审查条件(业绩最低要求)</w:t>
      </w:r>
      <w:bookmarkEnd w:id="4"/>
      <w:bookmarkEnd w:id="5"/>
    </w:p>
    <w:p w14:paraId="2EE7CE32">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2CFA1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5000" w:type="pct"/>
            <w:noWrap w:val="0"/>
            <w:vAlign w:val="center"/>
          </w:tcPr>
          <w:p w14:paraId="13A2C474">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业 绩 要 求</w:t>
            </w:r>
          </w:p>
        </w:tc>
      </w:tr>
      <w:tr w14:paraId="5CE5C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1" w:hRule="exact"/>
        </w:trPr>
        <w:tc>
          <w:tcPr>
            <w:tcW w:w="5000" w:type="pct"/>
            <w:noWrap w:val="0"/>
            <w:vAlign w:val="center"/>
          </w:tcPr>
          <w:p w14:paraId="618D33E6">
            <w:pPr>
              <w:widowControl/>
              <w:spacing w:before="183" w:line="360" w:lineRule="auto"/>
              <w:ind w:firstLine="480" w:firstLineChars="200"/>
              <w:jc w:val="left"/>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近五年内（2020年8月1日至投标截止日），成功完成过三级</w:t>
            </w:r>
            <w:r>
              <w:rPr>
                <w:rFonts w:hint="eastAsia" w:ascii="宋体" w:hAnsi="宋体" w:eastAsia="宋体" w:cs="宋体"/>
                <w:color w:val="auto"/>
                <w:kern w:val="2"/>
                <w:sz w:val="24"/>
                <w:szCs w:val="20"/>
                <w:highlight w:val="none"/>
                <w:lang w:val="en-US" w:eastAsia="zh-CN" w:bidi="ar-SA"/>
              </w:rPr>
              <w:t>公路（或以上）公路工程施工项目至少1个标段（其中有1个标段里程不少于5km），且累计里程不少于50km。</w:t>
            </w:r>
          </w:p>
        </w:tc>
      </w:tr>
    </w:tbl>
    <w:p w14:paraId="604817A1">
      <w:pPr>
        <w:keepNext w:val="0"/>
        <w:keepLines w:val="0"/>
        <w:pageBreakBefore w:val="0"/>
        <w:widowControl/>
        <w:kinsoku/>
        <w:wordWrap/>
        <w:overflowPunct/>
        <w:topLinePunct w:val="0"/>
        <w:autoSpaceDE/>
        <w:autoSpaceDN/>
        <w:bidi w:val="0"/>
        <w:adjustRightInd/>
        <w:snapToGrid/>
        <w:spacing w:before="0" w:line="360" w:lineRule="auto"/>
        <w:ind w:left="0" w:right="0" w:firstLine="0"/>
        <w:jc w:val="left"/>
        <w:textAlignment w:val="auto"/>
        <w:rPr>
          <w:rFonts w:hint="eastAsia" w:ascii="宋体" w:hAnsi="宋体" w:eastAsia="宋体" w:cs="宋体"/>
          <w:color w:val="auto"/>
          <w:spacing w:val="0"/>
          <w:kern w:val="0"/>
          <w:sz w:val="24"/>
          <w:szCs w:val="24"/>
          <w:highlight w:val="none"/>
          <w:lang w:val="en-US" w:eastAsia="zh-CN" w:bidi="ar"/>
        </w:rPr>
      </w:pPr>
      <w:bookmarkStart w:id="6" w:name="_Toc10279"/>
      <w:r>
        <w:rPr>
          <w:rFonts w:hint="eastAsia" w:ascii="宋体" w:hAnsi="宋体" w:eastAsia="宋体" w:cs="宋体"/>
          <w:color w:val="auto"/>
          <w:spacing w:val="0"/>
          <w:kern w:val="0"/>
          <w:sz w:val="24"/>
          <w:szCs w:val="24"/>
          <w:highlight w:val="none"/>
          <w:lang w:val="en-US" w:eastAsia="zh-CN" w:bidi="ar"/>
        </w:rPr>
        <w:t>注：1、本附录所要求的业绩仅限中华人民共和国境内业绩。</w:t>
      </w:r>
    </w:p>
    <w:p w14:paraId="7C909DDA">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2、若为联合体投标，投标人业绩的资格审查条件和加分条件的认定原则如下：以联合体</w:t>
      </w:r>
      <w:r>
        <w:rPr>
          <w:rFonts w:hint="default" w:ascii="宋体" w:hAnsi="宋体" w:eastAsia="宋体" w:cs="宋体"/>
          <w:color w:val="auto"/>
          <w:spacing w:val="0"/>
          <w:kern w:val="0"/>
          <w:sz w:val="24"/>
          <w:szCs w:val="24"/>
          <w:highlight w:val="none"/>
          <w:lang w:val="en-US" w:eastAsia="zh-CN" w:bidi="ar"/>
        </w:rPr>
        <w:t>所有成员</w:t>
      </w:r>
      <w:r>
        <w:rPr>
          <w:rFonts w:hint="eastAsia" w:ascii="宋体" w:hAnsi="宋体" w:eastAsia="宋体" w:cs="宋体"/>
          <w:color w:val="auto"/>
          <w:spacing w:val="0"/>
          <w:kern w:val="0"/>
          <w:sz w:val="24"/>
          <w:szCs w:val="24"/>
          <w:highlight w:val="none"/>
          <w:lang w:val="en-US" w:eastAsia="zh-CN" w:bidi="ar"/>
        </w:rPr>
        <w:t>业绩之和计算。</w:t>
      </w:r>
    </w:p>
    <w:p w14:paraId="367E0F6F">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3、若投标人提供的业绩证明为联合体业绩，则按交通运输部“全国公路建设市场监督管理系统”业绩信息的网页截图体现其完的相关专项工程的工程量认定，无法界定其完成的相关专项工程的工程量，此业绩不予认定。 </w:t>
      </w:r>
    </w:p>
    <w:p w14:paraId="3B9F79BC">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4、投标人应根据招标文件第二章“投标人须知”第 3.5.3 项的要求附相关证明材料。 </w:t>
      </w:r>
    </w:p>
    <w:p w14:paraId="77BFF2D0">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5、近五年是指：2020年8月1日至投标文件递交截止之日止。 </w:t>
      </w:r>
    </w:p>
    <w:p w14:paraId="7790408F">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6、类似工程是指：新建或改、扩建三级</w:t>
      </w:r>
      <w:r>
        <w:rPr>
          <w:rFonts w:hint="eastAsia" w:ascii="宋体" w:hAnsi="宋体" w:eastAsia="宋体" w:cs="宋体"/>
          <w:color w:val="auto"/>
          <w:spacing w:val="0"/>
          <w:kern w:val="0"/>
          <w:sz w:val="24"/>
          <w:szCs w:val="24"/>
          <w:highlight w:val="none"/>
          <w:lang w:val="en-US" w:eastAsia="zh-CN" w:bidi="ar"/>
        </w:rPr>
        <w:t>或以上（公路技术等级）公路施工项目。在采用新建公路项目完工业绩时，对于同公路等级改、扩建中的新建桥梁或隧道工程业绩也应认可。</w:t>
      </w:r>
    </w:p>
    <w:p w14:paraId="5B50135F">
      <w:pPr>
        <w:keepNext w:val="0"/>
        <w:keepLines w:val="0"/>
        <w:pageBreakBefore w:val="0"/>
        <w:widowControl w:val="0"/>
        <w:kinsoku/>
        <w:wordWrap/>
        <w:overflowPunct/>
        <w:topLinePunct w:val="0"/>
        <w:autoSpaceDE/>
        <w:autoSpaceDN/>
        <w:bidi w:val="0"/>
        <w:adjustRightInd/>
        <w:snapToGrid/>
        <w:spacing w:before="72" w:line="360" w:lineRule="auto"/>
        <w:ind w:left="130" w:right="0" w:firstLine="420"/>
        <w:jc w:val="center"/>
        <w:textAlignment w:val="auto"/>
        <w:outlineLvl w:val="2"/>
        <w:rPr>
          <w:rFonts w:hint="eastAsia" w:ascii="宋体" w:hAnsi="宋体" w:eastAsia="宋体" w:cs="宋体"/>
          <w:color w:val="auto"/>
          <w:sz w:val="30"/>
          <w:szCs w:val="30"/>
          <w:highlight w:val="none"/>
        </w:rPr>
      </w:pPr>
      <w:r>
        <w:rPr>
          <w:rFonts w:hint="eastAsia" w:ascii="宋体" w:hAnsi="宋体" w:eastAsia="宋体" w:cs="宋体"/>
          <w:color w:val="auto"/>
          <w:spacing w:val="8"/>
          <w:sz w:val="24"/>
          <w:szCs w:val="24"/>
          <w:highlight w:val="none"/>
          <w:u w:val="none"/>
        </w:rPr>
        <w:br w:type="page"/>
      </w:r>
      <w:bookmarkStart w:id="7" w:name="_Toc23352"/>
      <w:r>
        <w:rPr>
          <w:rFonts w:hint="eastAsia" w:ascii="宋体" w:hAnsi="宋体" w:eastAsia="宋体" w:cs="宋体"/>
          <w:color w:val="auto"/>
          <w:sz w:val="30"/>
          <w:szCs w:val="30"/>
          <w:highlight w:val="none"/>
        </w:rPr>
        <w:t>附录4   资格审查条件(信誉最低要求)</w:t>
      </w:r>
      <w:bookmarkEnd w:id="6"/>
      <w:bookmarkEnd w:id="7"/>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65A7E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exact"/>
        </w:trPr>
        <w:tc>
          <w:tcPr>
            <w:tcW w:w="5000" w:type="pct"/>
            <w:noWrap w:val="0"/>
            <w:vAlign w:val="center"/>
          </w:tcPr>
          <w:p w14:paraId="75551BDF">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信 誉 要 求</w:t>
            </w:r>
          </w:p>
        </w:tc>
      </w:tr>
      <w:tr w14:paraId="69186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8" w:hRule="exact"/>
        </w:trPr>
        <w:tc>
          <w:tcPr>
            <w:tcW w:w="5000" w:type="pct"/>
            <w:noWrap w:val="0"/>
            <w:vAlign w:val="center"/>
          </w:tcPr>
          <w:p w14:paraId="08DCFCD2">
            <w:pPr>
              <w:numPr>
                <w:ilvl w:val="0"/>
                <w:numId w:val="1"/>
              </w:numPr>
              <w:topLinePunct/>
              <w:adjustRightIn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在最新年度广东省公路工程从业单位(施工单位)信用评价(含无最新年度而上一年度有信用评价)中，信用等级未被评为D级；</w:t>
            </w:r>
          </w:p>
          <w:p w14:paraId="09F36BDA">
            <w:pPr>
              <w:topLinePunct/>
              <w:adjustRightInd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初次进入广东省的投标人，在最新年度的全国公路从业单位(施工单位)信用评价结果中未被评为D级。</w:t>
            </w:r>
          </w:p>
        </w:tc>
      </w:tr>
    </w:tbl>
    <w:p w14:paraId="09C2A2DE">
      <w:pPr>
        <w:keepNext w:val="0"/>
        <w:keepLines w:val="0"/>
        <w:pageBreakBefore w:val="0"/>
        <w:widowControl w:val="0"/>
        <w:kinsoku/>
        <w:wordWrap/>
        <w:overflowPunct/>
        <w:topLinePunct w:val="0"/>
        <w:autoSpaceDE/>
        <w:autoSpaceDN/>
        <w:bidi w:val="0"/>
        <w:adjustRightInd/>
        <w:snapToGrid/>
        <w:spacing w:before="72" w:line="360" w:lineRule="auto"/>
        <w:ind w:right="0"/>
        <w:jc w:val="left"/>
        <w:textAlignment w:val="auto"/>
        <w:outlineLvl w:val="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注：</w:t>
      </w:r>
      <w:bookmarkStart w:id="8" w:name="_Toc18116"/>
      <w:r>
        <w:rPr>
          <w:rFonts w:hint="eastAsia" w:ascii="宋体" w:hAnsi="宋体" w:eastAsia="宋体" w:cs="宋体"/>
          <w:color w:val="auto"/>
          <w:spacing w:val="8"/>
          <w:sz w:val="24"/>
          <w:szCs w:val="24"/>
          <w:highlight w:val="none"/>
          <w:lang w:val="en-US" w:eastAsia="zh-CN"/>
        </w:rPr>
        <w:t>1、信用等级的确定原则遵遁投标人须知前附表10.2款的规定。</w:t>
      </w:r>
      <w:bookmarkEnd w:id="8"/>
    </w:p>
    <w:p w14:paraId="220AF4B3">
      <w:pPr>
        <w:keepNext w:val="0"/>
        <w:keepLines w:val="0"/>
        <w:pageBreakBefore w:val="0"/>
        <w:widowControl w:val="0"/>
        <w:kinsoku/>
        <w:wordWrap/>
        <w:overflowPunct/>
        <w:topLinePunct w:val="0"/>
        <w:autoSpaceDE/>
        <w:autoSpaceDN/>
        <w:bidi w:val="0"/>
        <w:adjustRightInd/>
        <w:snapToGrid/>
        <w:spacing w:before="72" w:line="360" w:lineRule="auto"/>
        <w:ind w:right="0" w:firstLine="512" w:firstLineChars="200"/>
        <w:jc w:val="left"/>
        <w:textAlignment w:val="auto"/>
        <w:outlineLvl w:val="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2、投标人应根据第九章“投标文件格式”中“八、资格审查资料(五)投标人的信誉情况表”填写情况说明。</w:t>
      </w:r>
    </w:p>
    <w:p w14:paraId="738A7C84">
      <w:pPr>
        <w:keepNext w:val="0"/>
        <w:keepLines w:val="0"/>
        <w:pageBreakBefore w:val="0"/>
        <w:widowControl w:val="0"/>
        <w:kinsoku/>
        <w:wordWrap/>
        <w:overflowPunct/>
        <w:topLinePunct w:val="0"/>
        <w:autoSpaceDE/>
        <w:autoSpaceDN/>
        <w:bidi w:val="0"/>
        <w:adjustRightInd/>
        <w:snapToGrid/>
        <w:spacing w:before="72" w:line="360" w:lineRule="auto"/>
        <w:ind w:right="0" w:firstLine="512" w:firstLineChars="200"/>
        <w:jc w:val="left"/>
        <w:textAlignment w:val="auto"/>
        <w:outlineLvl w:val="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3、如为联合体投标，联合体各方须满足该要求。</w:t>
      </w:r>
    </w:p>
    <w:p w14:paraId="127961FA">
      <w:pPr>
        <w:spacing w:line="360" w:lineRule="auto"/>
        <w:jc w:val="center"/>
        <w:outlineLvl w:val="2"/>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Start w:id="9" w:name="_Toc22362"/>
      <w:bookmarkStart w:id="10" w:name="_Toc8196"/>
      <w:r>
        <w:rPr>
          <w:rFonts w:hint="eastAsia" w:ascii="宋体" w:hAnsi="宋体" w:eastAsia="宋体" w:cs="宋体"/>
          <w:color w:val="auto"/>
          <w:sz w:val="30"/>
          <w:szCs w:val="30"/>
          <w:highlight w:val="none"/>
        </w:rPr>
        <w:t xml:space="preserve">附录5   </w:t>
      </w:r>
      <w:bookmarkEnd w:id="9"/>
      <w:r>
        <w:rPr>
          <w:rFonts w:hint="eastAsia" w:ascii="宋体" w:hAnsi="宋体" w:eastAsia="宋体" w:cs="宋体"/>
          <w:color w:val="auto"/>
          <w:sz w:val="30"/>
          <w:szCs w:val="30"/>
          <w:highlight w:val="none"/>
        </w:rPr>
        <w:t>资格审查条件(项目经理和项目总工最低要求)</w:t>
      </w:r>
      <w:bookmarkEnd w:id="10"/>
    </w:p>
    <w:tbl>
      <w:tblPr>
        <w:tblStyle w:val="4"/>
        <w:tblW w:w="9288"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093"/>
        <w:gridCol w:w="3149"/>
        <w:gridCol w:w="2802"/>
      </w:tblGrid>
      <w:tr w14:paraId="051A3F8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44" w:type="dxa"/>
            <w:noWrap w:val="0"/>
            <w:vAlign w:val="center"/>
          </w:tcPr>
          <w:p w14:paraId="5CCFD511">
            <w:pPr>
              <w:jc w:val="center"/>
              <w:rPr>
                <w:b/>
              </w:rPr>
            </w:pPr>
            <w:r>
              <w:rPr>
                <w:b/>
              </w:rPr>
              <w:t>人  员</w:t>
            </w:r>
          </w:p>
        </w:tc>
        <w:tc>
          <w:tcPr>
            <w:tcW w:w="1093" w:type="dxa"/>
            <w:noWrap w:val="0"/>
            <w:vAlign w:val="center"/>
          </w:tcPr>
          <w:p w14:paraId="2CFFDACE">
            <w:pPr>
              <w:jc w:val="center"/>
              <w:rPr>
                <w:b/>
              </w:rPr>
            </w:pPr>
            <w:r>
              <w:rPr>
                <w:b/>
              </w:rPr>
              <w:t>数  量</w:t>
            </w:r>
          </w:p>
        </w:tc>
        <w:tc>
          <w:tcPr>
            <w:tcW w:w="3149" w:type="dxa"/>
            <w:noWrap w:val="0"/>
            <w:vAlign w:val="center"/>
          </w:tcPr>
          <w:p w14:paraId="529B6B02">
            <w:pPr>
              <w:jc w:val="center"/>
              <w:rPr>
                <w:b/>
              </w:rPr>
            </w:pPr>
            <w:r>
              <w:rPr>
                <w:b/>
              </w:rPr>
              <w:t>资 格 要 求</w:t>
            </w:r>
          </w:p>
        </w:tc>
        <w:tc>
          <w:tcPr>
            <w:tcW w:w="2802" w:type="dxa"/>
            <w:noWrap w:val="0"/>
            <w:vAlign w:val="center"/>
          </w:tcPr>
          <w:p w14:paraId="1801B5A0">
            <w:pPr>
              <w:jc w:val="center"/>
              <w:rPr>
                <w:b/>
              </w:rPr>
            </w:pPr>
            <w:r>
              <w:rPr>
                <w:b/>
              </w:rPr>
              <w:t>在 岗 要 求</w:t>
            </w:r>
          </w:p>
        </w:tc>
      </w:tr>
      <w:tr w14:paraId="1D87236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2244" w:type="dxa"/>
            <w:noWrap w:val="0"/>
            <w:vAlign w:val="center"/>
          </w:tcPr>
          <w:p w14:paraId="46A76AC0">
            <w:pPr>
              <w:jc w:val="center"/>
            </w:pPr>
            <w:r>
              <w:t>项目经理</w:t>
            </w:r>
          </w:p>
        </w:tc>
        <w:tc>
          <w:tcPr>
            <w:tcW w:w="1093" w:type="dxa"/>
            <w:noWrap w:val="0"/>
            <w:vAlign w:val="center"/>
          </w:tcPr>
          <w:p w14:paraId="773653CA">
            <w:pPr>
              <w:jc w:val="center"/>
              <w:rPr>
                <w:highlight w:val="none"/>
              </w:rPr>
            </w:pPr>
            <w:r>
              <w:rPr>
                <w:rFonts w:cs="Times New Roman"/>
                <w:highlight w:val="none"/>
              </w:rPr>
              <w:t>1</w:t>
            </w:r>
          </w:p>
        </w:tc>
        <w:tc>
          <w:tcPr>
            <w:tcW w:w="3149" w:type="dxa"/>
            <w:vMerge w:val="restart"/>
            <w:noWrap w:val="0"/>
            <w:vAlign w:val="center"/>
          </w:tcPr>
          <w:p w14:paraId="0B9415EB">
            <w:pPr>
              <w:rPr>
                <w:rFonts w:hint="eastAsia"/>
                <w:highlight w:val="none"/>
                <w:lang w:eastAsia="zh-CN"/>
              </w:rPr>
            </w:pPr>
            <w:r>
              <w:rPr>
                <w:rFonts w:hint="eastAsia"/>
                <w:highlight w:val="none"/>
                <w:lang w:eastAsia="zh-CN"/>
              </w:rPr>
              <w:t>项目经理：路桥相关专业中级（或以上）工程师,具有担任类似工程项目经理（或项目副经理或项目总工）岗位累计个</w:t>
            </w:r>
            <w:r>
              <w:rPr>
                <w:rFonts w:hint="eastAsia"/>
                <w:highlight w:val="none"/>
                <w:lang w:val="en-US" w:eastAsia="zh-CN"/>
              </w:rPr>
              <w:t>12</w:t>
            </w:r>
            <w:r>
              <w:rPr>
                <w:rFonts w:hint="eastAsia"/>
                <w:highlight w:val="none"/>
                <w:lang w:eastAsia="zh-CN"/>
              </w:rPr>
              <w:t>月，并持有住房和城乡建设部颁发的公路工程专业二级或以上建造师注册证书，具有交通主管部门颁发的有效安全生产“三类人员”B类证书。</w:t>
            </w:r>
          </w:p>
          <w:p w14:paraId="4A16F0C3">
            <w:pPr>
              <w:rPr>
                <w:highlight w:val="none"/>
                <w:lang w:eastAsia="zh-CN"/>
              </w:rPr>
            </w:pPr>
          </w:p>
        </w:tc>
        <w:tc>
          <w:tcPr>
            <w:tcW w:w="2802" w:type="dxa"/>
            <w:vMerge w:val="restart"/>
            <w:noWrap w:val="0"/>
            <w:vAlign w:val="center"/>
          </w:tcPr>
          <w:p w14:paraId="52559BA2">
            <w:pPr>
              <w:rPr>
                <w:lang w:eastAsia="zh-CN"/>
              </w:rPr>
            </w:pPr>
            <w:r>
              <w:rPr>
                <w:lang w:eastAsia="zh-CN"/>
              </w:rPr>
              <w:t>无在岗项目（指目前未在其他项目上任职，或虽在其他项目上任职但本项目中标后能够从该项目撤离）</w:t>
            </w:r>
          </w:p>
        </w:tc>
      </w:tr>
      <w:tr w14:paraId="00C4668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244" w:type="dxa"/>
            <w:noWrap w:val="0"/>
            <w:vAlign w:val="center"/>
          </w:tcPr>
          <w:p w14:paraId="60029D8B">
            <w:pPr>
              <w:jc w:val="center"/>
            </w:pPr>
            <w:r>
              <w:t>项目经理备选人</w:t>
            </w:r>
          </w:p>
        </w:tc>
        <w:tc>
          <w:tcPr>
            <w:tcW w:w="1093" w:type="dxa"/>
            <w:noWrap w:val="0"/>
            <w:vAlign w:val="center"/>
          </w:tcPr>
          <w:p w14:paraId="40790329">
            <w:pPr>
              <w:jc w:val="center"/>
              <w:rPr>
                <w:highlight w:val="none"/>
              </w:rPr>
            </w:pPr>
            <w:r>
              <w:rPr>
                <w:rFonts w:cs="Times New Roman"/>
                <w:highlight w:val="none"/>
              </w:rPr>
              <w:t>0</w:t>
            </w:r>
          </w:p>
        </w:tc>
        <w:tc>
          <w:tcPr>
            <w:tcW w:w="3149" w:type="dxa"/>
            <w:vMerge w:val="continue"/>
            <w:noWrap w:val="0"/>
            <w:vAlign w:val="center"/>
          </w:tcPr>
          <w:p w14:paraId="3837DB1B">
            <w:pPr>
              <w:rPr>
                <w:highlight w:val="none"/>
              </w:rPr>
            </w:pPr>
          </w:p>
        </w:tc>
        <w:tc>
          <w:tcPr>
            <w:tcW w:w="2802" w:type="dxa"/>
            <w:vMerge w:val="continue"/>
            <w:noWrap w:val="0"/>
            <w:vAlign w:val="center"/>
          </w:tcPr>
          <w:p w14:paraId="22F94C96"/>
        </w:tc>
      </w:tr>
      <w:tr w14:paraId="5729113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244" w:type="dxa"/>
            <w:noWrap w:val="0"/>
            <w:vAlign w:val="center"/>
          </w:tcPr>
          <w:p w14:paraId="3F2B87F1">
            <w:pPr>
              <w:jc w:val="center"/>
            </w:pPr>
            <w:r>
              <w:t>项目总工</w:t>
            </w:r>
          </w:p>
        </w:tc>
        <w:tc>
          <w:tcPr>
            <w:tcW w:w="1093" w:type="dxa"/>
            <w:noWrap w:val="0"/>
            <w:vAlign w:val="center"/>
          </w:tcPr>
          <w:p w14:paraId="319517BF">
            <w:pPr>
              <w:jc w:val="center"/>
              <w:rPr>
                <w:highlight w:val="none"/>
              </w:rPr>
            </w:pPr>
            <w:r>
              <w:rPr>
                <w:rFonts w:cs="Times New Roman"/>
                <w:highlight w:val="none"/>
              </w:rPr>
              <w:t>1</w:t>
            </w:r>
          </w:p>
        </w:tc>
        <w:tc>
          <w:tcPr>
            <w:tcW w:w="3149" w:type="dxa"/>
            <w:vMerge w:val="restart"/>
            <w:noWrap w:val="0"/>
            <w:vAlign w:val="center"/>
          </w:tcPr>
          <w:p w14:paraId="75A9FE15">
            <w:pPr>
              <w:rPr>
                <w:highlight w:val="none"/>
                <w:lang w:eastAsia="zh-CN"/>
              </w:rPr>
            </w:pPr>
            <w:r>
              <w:rPr>
                <w:rFonts w:hint="eastAsia"/>
                <w:highlight w:val="none"/>
                <w:lang w:eastAsia="zh-CN"/>
              </w:rPr>
              <w:t>项目总工：路桥相关专业高级工程师，主管类似工程技术工作岗位累计</w:t>
            </w:r>
            <w:r>
              <w:rPr>
                <w:rFonts w:hint="eastAsia"/>
                <w:highlight w:val="none"/>
                <w:lang w:val="en-US" w:eastAsia="zh-CN"/>
              </w:rPr>
              <w:t>12</w:t>
            </w:r>
            <w:r>
              <w:rPr>
                <w:rFonts w:hint="eastAsia"/>
                <w:highlight w:val="none"/>
                <w:lang w:eastAsia="zh-CN"/>
              </w:rPr>
              <w:t>个月，具有交通主管部门颁发的有效安全生产“三类人员”B类证书。</w:t>
            </w:r>
          </w:p>
        </w:tc>
        <w:tc>
          <w:tcPr>
            <w:tcW w:w="2802" w:type="dxa"/>
            <w:vMerge w:val="continue"/>
            <w:noWrap w:val="0"/>
            <w:vAlign w:val="center"/>
          </w:tcPr>
          <w:p w14:paraId="124ED218">
            <w:pPr>
              <w:rPr>
                <w:lang w:eastAsia="zh-CN"/>
              </w:rPr>
            </w:pPr>
          </w:p>
        </w:tc>
      </w:tr>
      <w:tr w14:paraId="7E0E641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2244" w:type="dxa"/>
            <w:noWrap w:val="0"/>
            <w:vAlign w:val="center"/>
          </w:tcPr>
          <w:p w14:paraId="59D6BACA">
            <w:pPr>
              <w:jc w:val="center"/>
            </w:pPr>
            <w:r>
              <w:t>项目总工备选人</w:t>
            </w:r>
          </w:p>
        </w:tc>
        <w:tc>
          <w:tcPr>
            <w:tcW w:w="1093" w:type="dxa"/>
            <w:noWrap w:val="0"/>
            <w:vAlign w:val="center"/>
          </w:tcPr>
          <w:p w14:paraId="59E85321">
            <w:pPr>
              <w:jc w:val="center"/>
            </w:pPr>
            <w:r>
              <w:t>0</w:t>
            </w:r>
          </w:p>
        </w:tc>
        <w:tc>
          <w:tcPr>
            <w:tcW w:w="3149" w:type="dxa"/>
            <w:vMerge w:val="continue"/>
            <w:noWrap w:val="0"/>
            <w:vAlign w:val="center"/>
          </w:tcPr>
          <w:p w14:paraId="6A4C3372"/>
        </w:tc>
        <w:tc>
          <w:tcPr>
            <w:tcW w:w="2802" w:type="dxa"/>
            <w:vMerge w:val="continue"/>
            <w:noWrap w:val="0"/>
            <w:vAlign w:val="center"/>
          </w:tcPr>
          <w:p w14:paraId="5B981D68"/>
        </w:tc>
      </w:tr>
    </w:tbl>
    <w:p w14:paraId="039693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注：1、资格要求的人员建造师注册证书、安全生产“三类人员”B类证书均应在投标人所在单位，否则视为无效。</w:t>
      </w:r>
    </w:p>
    <w:p w14:paraId="6EFF5E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2、主管技术工作指：担任过项目经理、项目副经理、总工程师、质检部门负责人、工程部门负责人。</w:t>
      </w:r>
    </w:p>
    <w:p w14:paraId="191FB0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3、担任公路工程项目经理（或项目副经理或项目总工）岗位、主管公路工程技术工作岗位以“全国公路建设市场监督管理系统”人员信息资料中的“个人业绩”所列其本人担任的工作岗位为准；</w:t>
      </w:r>
    </w:p>
    <w:p w14:paraId="2F7F73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4、路桥相关专业指：公路工程、桥梁工程、道桥工程、市政路桥工程、公路与桥梁工程、交通土建、隧道（地下结构）工程、交通工程专业职称。</w:t>
      </w:r>
    </w:p>
    <w:p w14:paraId="6B475D52">
      <w:r>
        <w:rPr>
          <w:rFonts w:hint="eastAsia" w:ascii="宋体" w:hAnsi="宋体" w:eastAsia="宋体" w:cs="宋体"/>
          <w:color w:val="auto"/>
          <w:kern w:val="0"/>
          <w:sz w:val="24"/>
          <w:szCs w:val="24"/>
          <w:highlight w:val="none"/>
          <w:lang w:val="en-US" w:eastAsia="zh-CN" w:bidi="ar"/>
        </w:rPr>
        <w:t>5、如为联合体投标本表人员可由联合体各方提供。</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9F809"/>
    <w:multiLevelType w:val="singleLevel"/>
    <w:tmpl w:val="41A9F8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40E87"/>
    <w:rsid w:val="5584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jc w:val="both"/>
    </w:pPr>
    <w:rPr>
      <w:rFonts w:ascii="宋体" w:hAnsi="Courier New" w:cs="Times New Roman"/>
      <w:color w:val="auto"/>
      <w:kern w:val="2"/>
      <w:sz w:val="21"/>
      <w:szCs w:val="20"/>
    </w:rPr>
  </w:style>
  <w:style w:type="paragraph" w:customStyle="1" w:styleId="3">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2025-07-24T08:46:00Z</dcterms:created>
  <dc:creator>冷眼观天下</dc:creator>
  <cp:lastModifiedBy>冷眼观天下</cp:lastModifiedBy>
  <dcterms:modified xsi:type="dcterms:W3CDTF">2025-07-24T08:47:50Z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C5CF5301F0CD4064A4D7402E1D4A80B1_11</vt:lpwstr>
  </property>
  <property fmtid="{D5CDD505-2E9C-101B-9397-08002B2CF9AE}" pid="4" name="KSOTemplateDocerSaveRecord">
    <vt:lpwstr>eyJoZGlkIjoiN2YzNjBkOTgyNWQ1YTMxYzM3MzMwNWFiODNmOWIzYWMiLCJ1c2VySWQiOiIxMjAwOTQwMjI0In0=</vt:lpwstr>
  </property>
</Properties>
</file>