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6"/>
          <w:szCs w:val="36"/>
        </w:rPr>
      </w:pPr>
      <w:r>
        <w:rPr>
          <w:rFonts w:hint="eastAsia" w:ascii="宋体" w:hAnsi="宋体" w:cs="宋体"/>
          <w:b/>
          <w:bCs/>
          <w:sz w:val="36"/>
          <w:szCs w:val="36"/>
        </w:rPr>
        <w:t>基坑支护</w:t>
      </w:r>
      <w:r>
        <w:rPr>
          <w:rFonts w:hint="eastAsia" w:ascii="宋体" w:hAnsi="宋体" w:cs="宋体"/>
          <w:b/>
          <w:bCs/>
          <w:sz w:val="36"/>
          <w:szCs w:val="36"/>
          <w:lang w:val="en-US" w:eastAsia="zh-CN"/>
        </w:rPr>
        <w:t>及土石方工程</w:t>
      </w:r>
      <w:r>
        <w:rPr>
          <w:rFonts w:hint="eastAsia" w:ascii="宋体" w:hAnsi="宋体" w:cs="宋体"/>
          <w:b/>
          <w:bCs/>
          <w:sz w:val="36"/>
          <w:szCs w:val="36"/>
        </w:rPr>
        <w:t>技术需求书</w:t>
      </w:r>
    </w:p>
    <w:p>
      <w:pPr>
        <w:pStyle w:val="2"/>
        <w:ind w:left="0" w:firstLine="0" w:firstLineChars="0"/>
        <w:rPr>
          <w:rFonts w:ascii="宋体" w:hAnsi="宋体" w:cs="宋体"/>
          <w:szCs w:val="21"/>
        </w:rPr>
      </w:pPr>
    </w:p>
    <w:p>
      <w:pPr>
        <w:pStyle w:val="2"/>
        <w:ind w:firstLine="420"/>
        <w:rPr>
          <w:rFonts w:ascii="宋体" w:hAnsi="宋体" w:cs="宋体"/>
          <w:kern w:val="0"/>
          <w:szCs w:val="21"/>
        </w:rPr>
      </w:pPr>
      <w:bookmarkStart w:id="0" w:name="_Toc235958075"/>
      <w:bookmarkEnd w:id="0"/>
      <w:bookmarkStart w:id="1" w:name="_Toc235608968"/>
      <w:bookmarkEnd w:id="1"/>
      <w:r>
        <w:rPr>
          <w:rFonts w:hint="eastAsia" w:ascii="宋体" w:hAnsi="宋体" w:cs="宋体"/>
          <w:kern w:val="0"/>
          <w:szCs w:val="21"/>
        </w:rPr>
        <w:t>一、工程概况</w:t>
      </w:r>
    </w:p>
    <w:p>
      <w:pPr>
        <w:pStyle w:val="2"/>
        <w:ind w:firstLine="420"/>
        <w:rPr>
          <w:rFonts w:ascii="宋体" w:hAnsi="宋体" w:cs="宋体"/>
          <w:kern w:val="0"/>
          <w:szCs w:val="21"/>
        </w:rPr>
      </w:pPr>
      <w:r>
        <w:rPr>
          <w:rFonts w:ascii="宋体" w:hAnsi="宋体" w:cs="宋体"/>
          <w:kern w:val="0"/>
          <w:szCs w:val="21"/>
        </w:rPr>
        <w:t xml:space="preserve">  1.</w:t>
      </w:r>
      <w:r>
        <w:rPr>
          <w:rFonts w:hint="eastAsia" w:ascii="宋体" w:hAnsi="宋体" w:cs="宋体"/>
          <w:kern w:val="0"/>
          <w:szCs w:val="21"/>
        </w:rPr>
        <w:t>拟建建筑物情况：</w:t>
      </w:r>
    </w:p>
    <w:p>
      <w:pPr>
        <w:pStyle w:val="2"/>
        <w:ind w:firstLine="630" w:firstLineChars="300"/>
        <w:rPr>
          <w:rFonts w:ascii="宋体" w:hAnsi="宋体" w:cs="宋体"/>
          <w:kern w:val="0"/>
          <w:szCs w:val="21"/>
        </w:rPr>
      </w:pPr>
      <w:r>
        <w:rPr>
          <w:rFonts w:hint="eastAsia" w:ascii="宋体" w:hAnsi="宋体" w:cs="宋体"/>
          <w:kern w:val="0"/>
          <w:szCs w:val="21"/>
        </w:rPr>
        <w:t>项目名称：中国联通琶洲安全产业园项目。本工程位于广东省广州市海珠区双塔路以南，磨碟沙路以东区域的琶洲西区</w:t>
      </w:r>
      <w:r>
        <w:rPr>
          <w:rFonts w:ascii="宋体" w:hAnsi="宋体" w:cs="宋体"/>
          <w:kern w:val="0"/>
          <w:szCs w:val="21"/>
        </w:rPr>
        <w:t>AH040134</w:t>
      </w:r>
      <w:r>
        <w:rPr>
          <w:rFonts w:hint="eastAsia" w:ascii="宋体" w:hAnsi="宋体" w:cs="宋体"/>
          <w:kern w:val="0"/>
          <w:szCs w:val="21"/>
        </w:rPr>
        <w:t>地块。为商业办公类建筑。项目用地面积</w:t>
      </w:r>
      <w:r>
        <w:rPr>
          <w:rFonts w:ascii="宋体" w:hAnsi="宋体" w:cs="宋体"/>
          <w:kern w:val="0"/>
          <w:szCs w:val="21"/>
        </w:rPr>
        <w:t>9171</w:t>
      </w:r>
      <w:r>
        <w:rPr>
          <w:rFonts w:hint="eastAsia" w:ascii="宋体" w:hAnsi="宋体" w:cs="宋体"/>
          <w:kern w:val="0"/>
          <w:szCs w:val="21"/>
        </w:rPr>
        <w:t>平米，拟建</w:t>
      </w:r>
      <w:r>
        <w:rPr>
          <w:rFonts w:ascii="宋体" w:hAnsi="宋体" w:cs="宋体"/>
          <w:kern w:val="0"/>
          <w:szCs w:val="21"/>
        </w:rPr>
        <w:t>1</w:t>
      </w:r>
      <w:r>
        <w:rPr>
          <w:rFonts w:hint="eastAsia" w:ascii="宋体" w:hAnsi="宋体" w:cs="宋体"/>
          <w:kern w:val="0"/>
          <w:szCs w:val="21"/>
        </w:rPr>
        <w:t>栋</w:t>
      </w:r>
      <w:r>
        <w:rPr>
          <w:rFonts w:ascii="宋体" w:hAnsi="宋体" w:cs="宋体"/>
          <w:kern w:val="0"/>
          <w:szCs w:val="21"/>
        </w:rPr>
        <w:t>34</w:t>
      </w:r>
      <w:r>
        <w:rPr>
          <w:rFonts w:hint="eastAsia" w:ascii="宋体" w:hAnsi="宋体" w:cs="宋体"/>
          <w:kern w:val="0"/>
          <w:szCs w:val="21"/>
        </w:rPr>
        <w:t>层研发楼，设三层地下室。塔楼基础拟采用灌注桩基础，其它区域拟采用独立基础。</w:t>
      </w:r>
    </w:p>
    <w:p>
      <w:pPr>
        <w:pStyle w:val="2"/>
        <w:ind w:firstLine="525" w:firstLineChars="250"/>
        <w:rPr>
          <w:rFonts w:ascii="宋体" w:hAnsi="宋体" w:cs="宋体"/>
          <w:kern w:val="0"/>
          <w:szCs w:val="21"/>
        </w:rPr>
      </w:pPr>
      <w:r>
        <w:rPr>
          <w:rFonts w:ascii="宋体" w:hAnsi="宋体" w:cs="宋体"/>
          <w:kern w:val="0"/>
          <w:szCs w:val="21"/>
        </w:rPr>
        <w:t>2.</w:t>
      </w:r>
      <w:r>
        <w:rPr>
          <w:rFonts w:hint="eastAsia" w:ascii="宋体" w:hAnsi="宋体" w:cs="宋体"/>
          <w:kern w:val="0"/>
          <w:szCs w:val="21"/>
        </w:rPr>
        <w:t>地理位置和项目周边环境和地下管线情况：</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本项目位于广州市海珠区琶洲西区。项目北侧为琶洲大道；东侧为市政道路；南侧和西侧为正在施工中的市政道路，并且市政道路下存在有市政管廊。四周存在有雨水、给水、路灯、电力等管线。</w:t>
      </w:r>
    </w:p>
    <w:p>
      <w:pPr>
        <w:pStyle w:val="2"/>
        <w:ind w:firstLine="420"/>
        <w:rPr>
          <w:rFonts w:ascii="宋体" w:hAnsi="宋体" w:cs="宋体"/>
          <w:kern w:val="0"/>
          <w:szCs w:val="21"/>
        </w:rPr>
      </w:pPr>
      <w:r>
        <w:rPr>
          <w:rFonts w:ascii="宋体" w:hAnsi="宋体" w:cs="宋体"/>
          <w:kern w:val="0"/>
          <w:szCs w:val="21"/>
        </w:rPr>
        <w:t xml:space="preserve"> 3.</w:t>
      </w:r>
      <w:r>
        <w:rPr>
          <w:rFonts w:hint="eastAsia" w:ascii="宋体" w:hAnsi="宋体" w:cs="宋体"/>
          <w:kern w:val="0"/>
          <w:szCs w:val="21"/>
        </w:rPr>
        <w:t>基坑支护型式：</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基坑采用连续墙</w:t>
      </w:r>
      <w:r>
        <w:rPr>
          <w:rFonts w:ascii="宋体" w:hAnsi="宋体" w:cs="宋体"/>
          <w:kern w:val="0"/>
          <w:szCs w:val="21"/>
        </w:rPr>
        <w:t>+</w:t>
      </w:r>
      <w:r>
        <w:rPr>
          <w:rFonts w:hint="eastAsia" w:ascii="宋体" w:hAnsi="宋体" w:cs="宋体"/>
          <w:kern w:val="0"/>
          <w:szCs w:val="21"/>
        </w:rPr>
        <w:t>两层钢筋砼内支撑支护和止水。高差区域采用放坡支护。</w:t>
      </w:r>
    </w:p>
    <w:p>
      <w:pPr>
        <w:pStyle w:val="2"/>
        <w:ind w:firstLine="420"/>
        <w:rPr>
          <w:rFonts w:ascii="宋体" w:hAnsi="宋体" w:cs="宋体"/>
          <w:kern w:val="0"/>
          <w:szCs w:val="21"/>
        </w:rPr>
      </w:pPr>
      <w:r>
        <w:rPr>
          <w:rFonts w:ascii="宋体" w:hAnsi="宋体" w:cs="宋体"/>
          <w:kern w:val="0"/>
          <w:szCs w:val="21"/>
        </w:rPr>
        <w:t xml:space="preserve"> 4.</w:t>
      </w:r>
      <w:r>
        <w:rPr>
          <w:rFonts w:hint="eastAsia" w:ascii="宋体" w:hAnsi="宋体" w:cs="宋体"/>
          <w:kern w:val="0"/>
          <w:szCs w:val="21"/>
        </w:rPr>
        <w:t>基坑周长、深度、占地面积、与用地红线距离：</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基坑支护总周长约为</w:t>
      </w:r>
      <w:r>
        <w:rPr>
          <w:rFonts w:ascii="宋体" w:hAnsi="宋体" w:cs="宋体"/>
          <w:kern w:val="0"/>
          <w:szCs w:val="21"/>
        </w:rPr>
        <w:t>330m</w:t>
      </w:r>
      <w:r>
        <w:rPr>
          <w:rFonts w:hint="eastAsia" w:ascii="宋体" w:hAnsi="宋体" w:cs="宋体"/>
          <w:kern w:val="0"/>
          <w:szCs w:val="21"/>
        </w:rPr>
        <w:t>，面积为</w:t>
      </w:r>
      <w:r>
        <w:rPr>
          <w:rFonts w:ascii="宋体" w:hAnsi="宋体" w:cs="宋体"/>
          <w:kern w:val="0"/>
          <w:szCs w:val="21"/>
        </w:rPr>
        <w:t>7355</w:t>
      </w:r>
      <w:r>
        <w:rPr>
          <w:rFonts w:hint="eastAsia" w:ascii="宋体" w:hAnsi="宋体" w:cs="宋体"/>
          <w:kern w:val="0"/>
          <w:szCs w:val="21"/>
        </w:rPr>
        <w:t>平方米。地下室底板面标高为</w:t>
      </w:r>
      <w:r>
        <w:rPr>
          <w:rFonts w:ascii="宋体" w:hAnsi="宋体" w:cs="宋体"/>
          <w:kern w:val="0"/>
          <w:szCs w:val="21"/>
        </w:rPr>
        <w:t>-5.50m</w:t>
      </w:r>
      <w:r>
        <w:rPr>
          <w:rFonts w:hint="eastAsia" w:ascii="宋体" w:hAnsi="宋体" w:cs="宋体"/>
          <w:kern w:val="0"/>
          <w:szCs w:val="21"/>
        </w:rPr>
        <w:t>（绝对标高），考虑底板垫层厚度后，基坑底标高为</w:t>
      </w:r>
      <w:r>
        <w:rPr>
          <w:rFonts w:ascii="宋体" w:hAnsi="宋体" w:cs="宋体"/>
          <w:kern w:val="0"/>
          <w:szCs w:val="21"/>
        </w:rPr>
        <w:t>-6.60m</w:t>
      </w:r>
      <w:r>
        <w:rPr>
          <w:rFonts w:hint="eastAsia" w:ascii="宋体" w:hAnsi="宋体" w:cs="宋体"/>
          <w:kern w:val="0"/>
          <w:szCs w:val="21"/>
        </w:rPr>
        <w:t>。场地四周现状标高约为</w:t>
      </w:r>
      <w:r>
        <w:rPr>
          <w:rFonts w:ascii="宋体" w:hAnsi="宋体" w:cs="宋体"/>
          <w:kern w:val="0"/>
          <w:szCs w:val="21"/>
        </w:rPr>
        <w:t>+8.50~9.00</w:t>
      </w:r>
      <w:r>
        <w:rPr>
          <w:rFonts w:hint="eastAsia" w:ascii="宋体" w:hAnsi="宋体" w:cs="宋体"/>
          <w:kern w:val="0"/>
          <w:szCs w:val="21"/>
        </w:rPr>
        <w:t>，地下室开挖深度约为</w:t>
      </w:r>
      <w:r>
        <w:rPr>
          <w:rFonts w:ascii="宋体" w:hAnsi="宋体" w:cs="宋体"/>
          <w:kern w:val="0"/>
          <w:szCs w:val="21"/>
        </w:rPr>
        <w:t>15.10~15.60m</w:t>
      </w:r>
      <w:r>
        <w:rPr>
          <w:rFonts w:hint="eastAsia" w:ascii="宋体" w:hAnsi="宋体" w:cs="宋体"/>
          <w:kern w:val="0"/>
          <w:szCs w:val="21"/>
        </w:rPr>
        <w:t>。</w:t>
      </w:r>
    </w:p>
    <w:p>
      <w:pPr>
        <w:pStyle w:val="2"/>
        <w:ind w:firstLine="420"/>
        <w:rPr>
          <w:rFonts w:ascii="宋体" w:hAnsi="宋体" w:cs="宋体"/>
          <w:kern w:val="0"/>
          <w:szCs w:val="21"/>
        </w:rPr>
      </w:pPr>
      <w:r>
        <w:rPr>
          <w:rFonts w:ascii="宋体" w:hAnsi="宋体" w:cs="宋体"/>
          <w:kern w:val="0"/>
          <w:szCs w:val="21"/>
        </w:rPr>
        <w:t xml:space="preserve"> 5.</w:t>
      </w:r>
      <w:r>
        <w:rPr>
          <w:rFonts w:hint="eastAsia" w:ascii="宋体" w:hAnsi="宋体" w:cs="宋体"/>
          <w:kern w:val="0"/>
          <w:szCs w:val="21"/>
        </w:rPr>
        <w:t>坐标系和高程系：正负零标高暂定</w:t>
      </w:r>
      <w:r>
        <w:rPr>
          <w:rFonts w:ascii="宋体" w:hAnsi="宋体" w:cs="宋体"/>
          <w:kern w:val="0"/>
          <w:szCs w:val="21"/>
        </w:rPr>
        <w:t>+9.00m</w:t>
      </w:r>
      <w:r>
        <w:rPr>
          <w:rFonts w:hint="eastAsia" w:ascii="宋体" w:hAnsi="宋体" w:cs="宋体"/>
          <w:kern w:val="0"/>
          <w:szCs w:val="21"/>
        </w:rPr>
        <w:t>（</w:t>
      </w:r>
      <w:r>
        <w:rPr>
          <w:rFonts w:ascii="宋体" w:hAnsi="宋体" w:cs="宋体"/>
          <w:kern w:val="0"/>
          <w:szCs w:val="21"/>
        </w:rPr>
        <w:t>1985</w:t>
      </w:r>
      <w:r>
        <w:rPr>
          <w:rFonts w:hint="eastAsia" w:ascii="宋体" w:hAnsi="宋体" w:cs="宋体"/>
          <w:kern w:val="0"/>
          <w:szCs w:val="21"/>
        </w:rPr>
        <w:t>国家高程），本工程采用广州</w:t>
      </w:r>
      <w:r>
        <w:rPr>
          <w:rFonts w:ascii="宋体" w:hAnsi="宋体" w:cs="宋体"/>
          <w:kern w:val="0"/>
          <w:szCs w:val="21"/>
        </w:rPr>
        <w:t>2000</w:t>
      </w:r>
      <w:r>
        <w:rPr>
          <w:rFonts w:hint="eastAsia" w:ascii="宋体" w:hAnsi="宋体" w:cs="宋体"/>
          <w:kern w:val="0"/>
          <w:szCs w:val="21"/>
        </w:rPr>
        <w:t>坐标系和广州高程系统。</w:t>
      </w:r>
    </w:p>
    <w:p>
      <w:pPr>
        <w:pStyle w:val="2"/>
        <w:ind w:firstLine="420"/>
        <w:rPr>
          <w:rFonts w:ascii="宋体" w:hAnsi="宋体" w:cs="宋体"/>
          <w:kern w:val="0"/>
          <w:szCs w:val="21"/>
        </w:rPr>
      </w:pPr>
      <w:r>
        <w:rPr>
          <w:rFonts w:hint="eastAsia" w:ascii="宋体" w:hAnsi="宋体" w:cs="宋体"/>
          <w:kern w:val="0"/>
          <w:szCs w:val="21"/>
        </w:rPr>
        <w:t>二、设计依据</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（一）场地岩土工程勘察报告</w:t>
      </w:r>
      <w:r>
        <w:rPr>
          <w:rFonts w:ascii="宋体" w:hAnsi="宋体" w:cs="宋体"/>
          <w:kern w:val="0"/>
          <w:szCs w:val="21"/>
        </w:rPr>
        <w:t xml:space="preserve"> </w:t>
      </w:r>
    </w:p>
    <w:p>
      <w:pPr>
        <w:pStyle w:val="2"/>
        <w:ind w:firstLine="420"/>
        <w:rPr>
          <w:rFonts w:ascii="宋体" w:hAnsi="宋体" w:cs="宋体"/>
          <w:kern w:val="0"/>
          <w:szCs w:val="21"/>
        </w:rPr>
      </w:pPr>
      <w:r>
        <w:rPr>
          <w:rFonts w:ascii="宋体" w:hAnsi="宋体" w:cs="宋体"/>
          <w:kern w:val="0"/>
          <w:szCs w:val="21"/>
        </w:rPr>
        <w:t xml:space="preserve">    1</w:t>
      </w:r>
      <w:r>
        <w:rPr>
          <w:rFonts w:hint="eastAsia" w:ascii="宋体" w:hAnsi="宋体" w:cs="宋体"/>
          <w:kern w:val="0"/>
          <w:szCs w:val="21"/>
        </w:rPr>
        <w:t>、《中国联通琶洲安全产业园项目勘察设计岩土工程勘察报告（详细勘察阶段）》，广东省建筑设计研究院集团股份有限公司，</w:t>
      </w:r>
      <w:r>
        <w:rPr>
          <w:rFonts w:ascii="宋体" w:hAnsi="宋体" w:cs="宋体"/>
          <w:kern w:val="0"/>
          <w:szCs w:val="21"/>
        </w:rPr>
        <w:t>2025</w:t>
      </w:r>
      <w:r>
        <w:rPr>
          <w:rFonts w:hint="eastAsia" w:ascii="宋体" w:hAnsi="宋体" w:cs="宋体"/>
          <w:kern w:val="0"/>
          <w:szCs w:val="21"/>
        </w:rPr>
        <w:t>年</w:t>
      </w:r>
      <w:r>
        <w:rPr>
          <w:rFonts w:ascii="宋体" w:hAnsi="宋体" w:cs="宋体"/>
          <w:kern w:val="0"/>
          <w:szCs w:val="21"/>
        </w:rPr>
        <w:t>4</w:t>
      </w:r>
      <w:r>
        <w:rPr>
          <w:rFonts w:hint="eastAsia" w:ascii="宋体" w:hAnsi="宋体" w:cs="宋体"/>
          <w:kern w:val="0"/>
          <w:szCs w:val="21"/>
        </w:rPr>
        <w:t>月。</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（二）执行规范、标准、规程、规定</w:t>
      </w:r>
    </w:p>
    <w:p>
      <w:pPr>
        <w:pStyle w:val="2"/>
        <w:ind w:firstLine="420"/>
        <w:rPr>
          <w:rFonts w:ascii="宋体" w:hAnsi="宋体" w:cs="宋体"/>
          <w:kern w:val="0"/>
          <w:szCs w:val="21"/>
        </w:rPr>
      </w:pPr>
      <w:r>
        <w:rPr>
          <w:rFonts w:ascii="宋体" w:hAnsi="宋体" w:cs="宋体"/>
          <w:kern w:val="0"/>
          <w:szCs w:val="21"/>
        </w:rPr>
        <w:t xml:space="preserve">   1</w:t>
      </w:r>
      <w:r>
        <w:rPr>
          <w:rFonts w:hint="eastAsia" w:ascii="宋体" w:hAnsi="宋体" w:cs="宋体"/>
          <w:kern w:val="0"/>
          <w:szCs w:val="21"/>
        </w:rPr>
        <w:t>、国标《混凝土结构设计规范</w:t>
      </w:r>
      <w:r>
        <w:rPr>
          <w:rFonts w:ascii="宋体" w:hAnsi="宋体" w:cs="宋体"/>
          <w:kern w:val="0"/>
          <w:szCs w:val="21"/>
        </w:rPr>
        <w:t>(GB 50010-2010)</w:t>
      </w:r>
      <w:r>
        <w:rPr>
          <w:rFonts w:hint="eastAsia" w:ascii="宋体" w:hAnsi="宋体" w:cs="宋体"/>
          <w:kern w:val="0"/>
          <w:szCs w:val="21"/>
        </w:rPr>
        <w:t>》（</w:t>
      </w:r>
      <w:r>
        <w:rPr>
          <w:rFonts w:ascii="宋体" w:hAnsi="宋体" w:cs="宋体"/>
          <w:kern w:val="0"/>
          <w:szCs w:val="21"/>
        </w:rPr>
        <w:t>2015</w:t>
      </w:r>
      <w:r>
        <w:rPr>
          <w:rFonts w:hint="eastAsia" w:ascii="宋体" w:hAnsi="宋体" w:cs="宋体"/>
          <w:kern w:val="0"/>
          <w:szCs w:val="21"/>
        </w:rPr>
        <w:t>版）</w:t>
      </w:r>
    </w:p>
    <w:p>
      <w:pPr>
        <w:pStyle w:val="2"/>
        <w:ind w:firstLine="420"/>
        <w:rPr>
          <w:rFonts w:ascii="宋体" w:hAnsi="宋体" w:cs="宋体"/>
          <w:kern w:val="0"/>
          <w:szCs w:val="21"/>
        </w:rPr>
      </w:pPr>
      <w:r>
        <w:rPr>
          <w:rFonts w:ascii="宋体" w:hAnsi="宋体" w:cs="宋体"/>
          <w:kern w:val="0"/>
          <w:szCs w:val="21"/>
        </w:rPr>
        <w:t xml:space="preserve">   2</w:t>
      </w:r>
      <w:r>
        <w:rPr>
          <w:rFonts w:hint="eastAsia" w:ascii="宋体" w:hAnsi="宋体" w:cs="宋体"/>
          <w:kern w:val="0"/>
          <w:szCs w:val="21"/>
        </w:rPr>
        <w:t>、国标《建筑地基基础设计规范</w:t>
      </w:r>
      <w:r>
        <w:rPr>
          <w:rFonts w:ascii="宋体" w:hAnsi="宋体" w:cs="宋体"/>
          <w:kern w:val="0"/>
          <w:szCs w:val="21"/>
        </w:rPr>
        <w:t>(GB 50007-2011)</w:t>
      </w:r>
      <w:r>
        <w:rPr>
          <w:rFonts w:hint="eastAsia" w:ascii="宋体" w:hAnsi="宋体" w:cs="宋体"/>
          <w:kern w:val="0"/>
          <w:szCs w:val="21"/>
        </w:rPr>
        <w:t>》</w:t>
      </w:r>
    </w:p>
    <w:p>
      <w:pPr>
        <w:pStyle w:val="2"/>
        <w:ind w:firstLine="420"/>
        <w:rPr>
          <w:rFonts w:ascii="宋体" w:hAnsi="宋体" w:cs="宋体"/>
          <w:kern w:val="0"/>
          <w:szCs w:val="21"/>
        </w:rPr>
      </w:pPr>
      <w:r>
        <w:rPr>
          <w:rFonts w:ascii="宋体" w:hAnsi="宋体" w:cs="宋体"/>
          <w:kern w:val="0"/>
          <w:szCs w:val="21"/>
        </w:rPr>
        <w:t xml:space="preserve">   3</w:t>
      </w:r>
      <w:r>
        <w:rPr>
          <w:rFonts w:hint="eastAsia" w:ascii="宋体" w:hAnsi="宋体" w:cs="宋体"/>
          <w:kern w:val="0"/>
          <w:szCs w:val="21"/>
        </w:rPr>
        <w:t>、省标《建筑地基基础设计规范</w:t>
      </w:r>
      <w:r>
        <w:rPr>
          <w:rFonts w:ascii="宋体" w:hAnsi="宋体" w:cs="宋体"/>
          <w:kern w:val="0"/>
          <w:szCs w:val="21"/>
        </w:rPr>
        <w:t>(DBJ 15-31-2016)</w:t>
      </w:r>
      <w:r>
        <w:rPr>
          <w:rFonts w:hint="eastAsia" w:ascii="宋体" w:hAnsi="宋体" w:cs="宋体"/>
          <w:kern w:val="0"/>
          <w:szCs w:val="21"/>
        </w:rPr>
        <w:t>》</w:t>
      </w:r>
    </w:p>
    <w:p>
      <w:pPr>
        <w:pStyle w:val="2"/>
        <w:ind w:firstLine="420"/>
        <w:rPr>
          <w:rFonts w:ascii="宋体" w:hAnsi="宋体" w:cs="宋体"/>
          <w:kern w:val="0"/>
          <w:szCs w:val="21"/>
        </w:rPr>
      </w:pPr>
      <w:r>
        <w:rPr>
          <w:rFonts w:ascii="宋体" w:hAnsi="宋体" w:cs="宋体"/>
          <w:kern w:val="0"/>
          <w:szCs w:val="21"/>
        </w:rPr>
        <w:t xml:space="preserve">   4</w:t>
      </w:r>
      <w:r>
        <w:rPr>
          <w:rFonts w:hint="eastAsia" w:ascii="宋体" w:hAnsi="宋体" w:cs="宋体"/>
          <w:kern w:val="0"/>
          <w:szCs w:val="21"/>
        </w:rPr>
        <w:t>、行标《建筑基坑支护技术规程</w:t>
      </w:r>
      <w:r>
        <w:rPr>
          <w:rFonts w:ascii="宋体" w:hAnsi="宋体" w:cs="宋体"/>
          <w:kern w:val="0"/>
          <w:szCs w:val="21"/>
        </w:rPr>
        <w:t>(JGJ 120-2012)</w:t>
      </w:r>
      <w:r>
        <w:rPr>
          <w:rFonts w:hint="eastAsia" w:ascii="宋体" w:hAnsi="宋体" w:cs="宋体"/>
          <w:kern w:val="0"/>
          <w:szCs w:val="21"/>
        </w:rPr>
        <w:t>》</w:t>
      </w:r>
    </w:p>
    <w:p>
      <w:pPr>
        <w:pStyle w:val="2"/>
        <w:ind w:firstLine="420"/>
        <w:rPr>
          <w:rFonts w:ascii="宋体" w:hAnsi="宋体" w:cs="宋体"/>
          <w:kern w:val="0"/>
          <w:szCs w:val="21"/>
        </w:rPr>
      </w:pPr>
      <w:r>
        <w:rPr>
          <w:rFonts w:ascii="宋体" w:hAnsi="宋体" w:cs="宋体"/>
          <w:kern w:val="0"/>
          <w:szCs w:val="21"/>
        </w:rPr>
        <w:t xml:space="preserve">   5</w:t>
      </w:r>
      <w:r>
        <w:rPr>
          <w:rFonts w:hint="eastAsia" w:ascii="宋体" w:hAnsi="宋体" w:cs="宋体"/>
          <w:kern w:val="0"/>
          <w:szCs w:val="21"/>
        </w:rPr>
        <w:t>、《广东省建筑基坑支护技术规程》（</w:t>
      </w:r>
      <w:r>
        <w:rPr>
          <w:rFonts w:ascii="宋体" w:hAnsi="宋体" w:cs="宋体"/>
          <w:kern w:val="0"/>
          <w:szCs w:val="21"/>
        </w:rPr>
        <w:t>DBJ/T15-20-2016</w:t>
      </w:r>
      <w:r>
        <w:rPr>
          <w:rFonts w:hint="eastAsia" w:ascii="宋体" w:hAnsi="宋体" w:cs="宋体"/>
          <w:kern w:val="0"/>
          <w:szCs w:val="21"/>
        </w:rPr>
        <w:t>）</w:t>
      </w:r>
    </w:p>
    <w:p>
      <w:pPr>
        <w:pStyle w:val="2"/>
        <w:ind w:firstLine="420"/>
        <w:rPr>
          <w:rFonts w:ascii="宋体" w:hAnsi="宋体" w:cs="宋体"/>
          <w:kern w:val="0"/>
          <w:szCs w:val="21"/>
        </w:rPr>
      </w:pPr>
      <w:r>
        <w:rPr>
          <w:rFonts w:ascii="宋体" w:hAnsi="宋体" w:cs="宋体"/>
          <w:kern w:val="0"/>
          <w:szCs w:val="21"/>
        </w:rPr>
        <w:t xml:space="preserve">   6</w:t>
      </w:r>
      <w:r>
        <w:rPr>
          <w:rFonts w:hint="eastAsia" w:ascii="宋体" w:hAnsi="宋体" w:cs="宋体"/>
          <w:kern w:val="0"/>
          <w:szCs w:val="21"/>
        </w:rPr>
        <w:t>、《建筑边坡工程技术规范》</w:t>
      </w:r>
      <w:r>
        <w:rPr>
          <w:rFonts w:ascii="宋体" w:hAnsi="宋体" w:cs="宋体"/>
          <w:kern w:val="0"/>
          <w:szCs w:val="21"/>
        </w:rPr>
        <w:t>GB 50330-2013</w:t>
      </w:r>
    </w:p>
    <w:p>
      <w:pPr>
        <w:pStyle w:val="2"/>
        <w:ind w:firstLine="420"/>
        <w:rPr>
          <w:rFonts w:ascii="宋体" w:hAnsi="宋体" w:cs="宋体"/>
          <w:kern w:val="0"/>
          <w:szCs w:val="21"/>
        </w:rPr>
      </w:pPr>
      <w:r>
        <w:rPr>
          <w:rFonts w:ascii="宋体" w:hAnsi="宋体" w:cs="宋体"/>
          <w:kern w:val="0"/>
          <w:szCs w:val="21"/>
        </w:rPr>
        <w:t xml:space="preserve">   7</w:t>
      </w:r>
      <w:r>
        <w:rPr>
          <w:rFonts w:hint="eastAsia" w:ascii="宋体" w:hAnsi="宋体" w:cs="宋体"/>
          <w:kern w:val="0"/>
          <w:szCs w:val="21"/>
        </w:rPr>
        <w:t>、《岩土锚杆与喷射混凝土支护工程技术规范》（</w:t>
      </w:r>
      <w:r>
        <w:rPr>
          <w:rFonts w:ascii="宋体" w:hAnsi="宋体" w:cs="宋体"/>
          <w:kern w:val="0"/>
          <w:szCs w:val="21"/>
        </w:rPr>
        <w:t>GB 50086-2015</w:t>
      </w:r>
      <w:r>
        <w:rPr>
          <w:rFonts w:hint="eastAsia" w:ascii="宋体" w:hAnsi="宋体" w:cs="宋体"/>
          <w:kern w:val="0"/>
          <w:szCs w:val="21"/>
        </w:rPr>
        <w:t>）</w:t>
      </w:r>
    </w:p>
    <w:p>
      <w:pPr>
        <w:pStyle w:val="2"/>
        <w:ind w:firstLine="420"/>
        <w:rPr>
          <w:rFonts w:ascii="宋体" w:hAnsi="宋体" w:cs="宋体"/>
          <w:kern w:val="0"/>
          <w:szCs w:val="21"/>
        </w:rPr>
      </w:pPr>
      <w:r>
        <w:rPr>
          <w:rFonts w:ascii="宋体" w:hAnsi="宋体" w:cs="宋体"/>
          <w:kern w:val="0"/>
          <w:szCs w:val="21"/>
        </w:rPr>
        <w:t xml:space="preserve">   8</w:t>
      </w:r>
      <w:r>
        <w:rPr>
          <w:rFonts w:hint="eastAsia" w:ascii="宋体" w:hAnsi="宋体" w:cs="宋体"/>
          <w:kern w:val="0"/>
          <w:szCs w:val="21"/>
        </w:rPr>
        <w:t>、《建筑桩基技术规范》（</w:t>
      </w:r>
      <w:r>
        <w:rPr>
          <w:rFonts w:ascii="宋体" w:hAnsi="宋体" w:cs="宋体"/>
          <w:kern w:val="0"/>
          <w:szCs w:val="21"/>
        </w:rPr>
        <w:t>JGJ 94-2008</w:t>
      </w:r>
      <w:r>
        <w:rPr>
          <w:rFonts w:hint="eastAsia" w:ascii="宋体" w:hAnsi="宋体" w:cs="宋体"/>
          <w:kern w:val="0"/>
          <w:szCs w:val="21"/>
        </w:rPr>
        <w:t>）</w:t>
      </w:r>
    </w:p>
    <w:p>
      <w:pPr>
        <w:pStyle w:val="2"/>
        <w:ind w:firstLine="420"/>
        <w:rPr>
          <w:rFonts w:ascii="宋体" w:hAnsi="宋体" w:cs="宋体"/>
          <w:kern w:val="0"/>
          <w:szCs w:val="21"/>
        </w:rPr>
      </w:pPr>
      <w:r>
        <w:rPr>
          <w:rFonts w:ascii="宋体" w:hAnsi="宋体" w:cs="宋体"/>
          <w:kern w:val="0"/>
          <w:szCs w:val="21"/>
        </w:rPr>
        <w:t xml:space="preserve">   9</w:t>
      </w:r>
      <w:r>
        <w:rPr>
          <w:rFonts w:hint="eastAsia" w:ascii="宋体" w:hAnsi="宋体" w:cs="宋体"/>
          <w:kern w:val="0"/>
          <w:szCs w:val="21"/>
        </w:rPr>
        <w:t>、《混凝土结构设计规范》（</w:t>
      </w:r>
      <w:r>
        <w:rPr>
          <w:rFonts w:ascii="宋体" w:hAnsi="宋体" w:cs="宋体"/>
          <w:kern w:val="0"/>
          <w:szCs w:val="21"/>
        </w:rPr>
        <w:t>GB50010-2015</w:t>
      </w:r>
      <w:r>
        <w:rPr>
          <w:rFonts w:hint="eastAsia" w:ascii="宋体" w:hAnsi="宋体" w:cs="宋体"/>
          <w:kern w:val="0"/>
          <w:szCs w:val="21"/>
        </w:rPr>
        <w:t>版</w:t>
      </w:r>
      <w:r>
        <w:rPr>
          <w:rFonts w:ascii="宋体" w:hAnsi="宋体" w:cs="宋体"/>
          <w:kern w:val="0"/>
          <w:szCs w:val="21"/>
        </w:rPr>
        <w:t>)</w:t>
      </w:r>
    </w:p>
    <w:p>
      <w:pPr>
        <w:pStyle w:val="2"/>
        <w:ind w:firstLine="420"/>
        <w:rPr>
          <w:rFonts w:ascii="宋体" w:hAnsi="宋体" w:cs="宋体"/>
          <w:kern w:val="0"/>
          <w:szCs w:val="21"/>
        </w:rPr>
      </w:pPr>
      <w:r>
        <w:rPr>
          <w:rFonts w:ascii="宋体" w:hAnsi="宋体" w:cs="宋体"/>
          <w:kern w:val="0"/>
          <w:szCs w:val="21"/>
        </w:rPr>
        <w:t xml:space="preserve">   10</w:t>
      </w:r>
      <w:r>
        <w:rPr>
          <w:rFonts w:hint="eastAsia" w:ascii="宋体" w:hAnsi="宋体" w:cs="宋体"/>
          <w:kern w:val="0"/>
          <w:szCs w:val="21"/>
        </w:rPr>
        <w:t>、国标《建筑基坑工程监测技术标准</w:t>
      </w:r>
      <w:r>
        <w:rPr>
          <w:rFonts w:ascii="宋体" w:hAnsi="宋体" w:cs="宋体"/>
          <w:kern w:val="0"/>
          <w:szCs w:val="21"/>
        </w:rPr>
        <w:t>(GB 50497-2019)</w:t>
      </w:r>
      <w:r>
        <w:rPr>
          <w:rFonts w:hint="eastAsia" w:ascii="宋体" w:hAnsi="宋体" w:cs="宋体"/>
          <w:kern w:val="0"/>
          <w:szCs w:val="21"/>
        </w:rPr>
        <w:t>》</w:t>
      </w:r>
    </w:p>
    <w:p>
      <w:pPr>
        <w:pStyle w:val="2"/>
        <w:ind w:firstLine="420"/>
        <w:rPr>
          <w:rFonts w:ascii="宋体" w:hAnsi="宋体" w:cs="宋体"/>
          <w:kern w:val="0"/>
          <w:szCs w:val="21"/>
        </w:rPr>
      </w:pPr>
      <w:r>
        <w:rPr>
          <w:rFonts w:ascii="宋体" w:hAnsi="宋体" w:cs="宋体"/>
          <w:kern w:val="0"/>
          <w:szCs w:val="21"/>
        </w:rPr>
        <w:t xml:space="preserve">   11</w:t>
      </w:r>
      <w:r>
        <w:rPr>
          <w:rFonts w:hint="eastAsia" w:ascii="宋体" w:hAnsi="宋体" w:cs="宋体"/>
          <w:kern w:val="0"/>
          <w:szCs w:val="21"/>
        </w:rPr>
        <w:t>、省标《建筑地基处理技术规范（</w:t>
      </w:r>
      <w:r>
        <w:rPr>
          <w:rFonts w:ascii="宋体" w:hAnsi="宋体" w:cs="宋体"/>
          <w:kern w:val="0"/>
          <w:szCs w:val="21"/>
        </w:rPr>
        <w:t>DBJ 15-38-2019</w:t>
      </w:r>
      <w:r>
        <w:rPr>
          <w:rFonts w:hint="eastAsia" w:ascii="宋体" w:hAnsi="宋体" w:cs="宋体"/>
          <w:kern w:val="0"/>
          <w:szCs w:val="21"/>
        </w:rPr>
        <w:t>）》</w:t>
      </w:r>
    </w:p>
    <w:p>
      <w:pPr>
        <w:pStyle w:val="2"/>
        <w:ind w:firstLine="420"/>
        <w:rPr>
          <w:rFonts w:ascii="宋体" w:hAnsi="宋体" w:cs="宋体"/>
          <w:kern w:val="0"/>
          <w:szCs w:val="21"/>
        </w:rPr>
      </w:pPr>
      <w:r>
        <w:rPr>
          <w:rFonts w:ascii="宋体" w:hAnsi="宋体" w:cs="宋体"/>
          <w:kern w:val="0"/>
          <w:szCs w:val="21"/>
        </w:rPr>
        <w:t xml:space="preserve">   12</w:t>
      </w:r>
      <w:r>
        <w:rPr>
          <w:rFonts w:hint="eastAsia" w:ascii="宋体" w:hAnsi="宋体" w:cs="宋体"/>
          <w:kern w:val="0"/>
          <w:szCs w:val="21"/>
        </w:rPr>
        <w:t>、国标《建筑地基基础工程施工质量验收规程》（</w:t>
      </w:r>
      <w:r>
        <w:rPr>
          <w:rFonts w:ascii="宋体" w:hAnsi="宋体" w:cs="宋体"/>
          <w:kern w:val="0"/>
          <w:szCs w:val="21"/>
        </w:rPr>
        <w:t>GB50202-2018</w:t>
      </w:r>
      <w:r>
        <w:rPr>
          <w:rFonts w:hint="eastAsia" w:ascii="宋体" w:hAnsi="宋体" w:cs="宋体"/>
          <w:kern w:val="0"/>
          <w:szCs w:val="21"/>
        </w:rPr>
        <w:t>）</w:t>
      </w:r>
    </w:p>
    <w:p>
      <w:pPr>
        <w:pStyle w:val="2"/>
        <w:ind w:firstLine="420"/>
        <w:rPr>
          <w:rFonts w:ascii="宋体" w:hAnsi="宋体" w:cs="宋体"/>
          <w:kern w:val="0"/>
          <w:szCs w:val="21"/>
        </w:rPr>
      </w:pPr>
      <w:r>
        <w:rPr>
          <w:rFonts w:ascii="宋体" w:hAnsi="宋体" w:cs="宋体"/>
          <w:kern w:val="0"/>
          <w:szCs w:val="21"/>
        </w:rPr>
        <w:t xml:space="preserve">   13</w:t>
      </w:r>
      <w:r>
        <w:rPr>
          <w:rFonts w:hint="eastAsia" w:ascii="宋体" w:hAnsi="宋体" w:cs="宋体"/>
          <w:kern w:val="0"/>
          <w:szCs w:val="21"/>
        </w:rPr>
        <w:t>、省标《建筑地基基础检测规范</w:t>
      </w:r>
      <w:r>
        <w:rPr>
          <w:rFonts w:ascii="宋体" w:hAnsi="宋体" w:cs="宋体"/>
          <w:kern w:val="0"/>
          <w:szCs w:val="21"/>
        </w:rPr>
        <w:t>(DBJ 15-60-2019)</w:t>
      </w:r>
      <w:r>
        <w:rPr>
          <w:rFonts w:hint="eastAsia" w:ascii="宋体" w:hAnsi="宋体" w:cs="宋体"/>
          <w:kern w:val="0"/>
          <w:szCs w:val="21"/>
        </w:rPr>
        <w:t>》</w:t>
      </w:r>
    </w:p>
    <w:p>
      <w:pPr>
        <w:pStyle w:val="2"/>
        <w:ind w:firstLine="420"/>
        <w:rPr>
          <w:rFonts w:ascii="宋体" w:hAnsi="宋体" w:cs="宋体"/>
          <w:kern w:val="0"/>
          <w:szCs w:val="21"/>
        </w:rPr>
      </w:pPr>
      <w:r>
        <w:rPr>
          <w:rFonts w:ascii="宋体" w:hAnsi="宋体" w:cs="宋体"/>
          <w:kern w:val="0"/>
          <w:szCs w:val="21"/>
        </w:rPr>
        <w:t xml:space="preserve">   14</w:t>
      </w:r>
      <w:r>
        <w:rPr>
          <w:rFonts w:hint="eastAsia" w:ascii="宋体" w:hAnsi="宋体" w:cs="宋体"/>
          <w:kern w:val="0"/>
          <w:szCs w:val="21"/>
        </w:rPr>
        <w:t>、其它现行有关的国家</w:t>
      </w:r>
      <w:r>
        <w:rPr>
          <w:rFonts w:ascii="宋体" w:hAnsi="宋体" w:cs="宋体"/>
          <w:kern w:val="0"/>
          <w:szCs w:val="21"/>
        </w:rPr>
        <w:t>,</w:t>
      </w:r>
      <w:r>
        <w:rPr>
          <w:rFonts w:hint="eastAsia" w:ascii="宋体" w:hAnsi="宋体" w:cs="宋体"/>
          <w:kern w:val="0"/>
          <w:szCs w:val="21"/>
        </w:rPr>
        <w:t>省</w:t>
      </w:r>
      <w:r>
        <w:rPr>
          <w:rFonts w:ascii="宋体" w:hAnsi="宋体" w:cs="宋体"/>
          <w:kern w:val="0"/>
          <w:szCs w:val="21"/>
        </w:rPr>
        <w:t>,</w:t>
      </w:r>
      <w:r>
        <w:rPr>
          <w:rFonts w:hint="eastAsia" w:ascii="宋体" w:hAnsi="宋体" w:cs="宋体"/>
          <w:kern w:val="0"/>
          <w:szCs w:val="21"/>
        </w:rPr>
        <w:t>市颁布的规范、规定、规程。</w:t>
      </w:r>
    </w:p>
    <w:p>
      <w:pPr>
        <w:pStyle w:val="2"/>
        <w:ind w:firstLine="420"/>
        <w:rPr>
          <w:rFonts w:ascii="宋体" w:hAnsi="宋体" w:cs="宋体"/>
          <w:kern w:val="0"/>
          <w:szCs w:val="21"/>
        </w:rPr>
      </w:pPr>
    </w:p>
    <w:p>
      <w:pPr>
        <w:pStyle w:val="2"/>
        <w:ind w:firstLine="420"/>
        <w:rPr>
          <w:rFonts w:hint="eastAsia" w:ascii="宋体" w:hAnsi="宋体" w:cs="宋体"/>
          <w:kern w:val="0"/>
          <w:szCs w:val="21"/>
        </w:rPr>
      </w:pPr>
      <w:r>
        <w:rPr>
          <w:rFonts w:hint="eastAsia" w:ascii="宋体" w:hAnsi="宋体" w:cs="宋体"/>
          <w:kern w:val="0"/>
          <w:szCs w:val="21"/>
        </w:rPr>
        <w:t>三、场地工程地质与水文地质条件</w:t>
      </w:r>
    </w:p>
    <w:p>
      <w:pPr>
        <w:pStyle w:val="2"/>
        <w:ind w:firstLine="420"/>
        <w:rPr>
          <w:rFonts w:hint="eastAsia" w:ascii="宋体" w:hAnsi="宋体" w:cs="宋体"/>
          <w:kern w:val="0"/>
          <w:szCs w:val="21"/>
        </w:rPr>
      </w:pPr>
      <w:r>
        <w:rPr>
          <w:rFonts w:hint="eastAsia" w:ascii="宋体" w:hAnsi="宋体" w:cs="宋体"/>
          <w:kern w:val="0"/>
          <w:szCs w:val="21"/>
        </w:rPr>
        <w:t>拟建场为地貌类型属珠三角冲洪积地貌单元，场地现状为以荒地为主，整体较为平坦，局部稍有起伏，南侧、西侧为琶洲西区地下综合管廊；北侧为琶洲大道；东侧为海灏国际大厦。本次勘察期间钻孔孔口高程在</w:t>
      </w:r>
      <w:r>
        <w:rPr>
          <w:rFonts w:ascii="宋体" w:hAnsi="宋体" w:cs="宋体"/>
          <w:kern w:val="0"/>
          <w:szCs w:val="21"/>
        </w:rPr>
        <w:t>6.14</w:t>
      </w:r>
      <w:r>
        <w:rPr>
          <w:rFonts w:hint="eastAsia" w:ascii="宋体" w:hAnsi="宋体" w:cs="宋体"/>
          <w:kern w:val="0"/>
          <w:szCs w:val="21"/>
        </w:rPr>
        <w:t>～</w:t>
      </w:r>
      <w:r>
        <w:rPr>
          <w:rFonts w:ascii="宋体" w:hAnsi="宋体" w:cs="宋体"/>
          <w:kern w:val="0"/>
          <w:szCs w:val="21"/>
        </w:rPr>
        <w:t>8.62m</w:t>
      </w:r>
      <w:r>
        <w:rPr>
          <w:rFonts w:hint="eastAsia" w:ascii="宋体" w:hAnsi="宋体" w:cs="宋体"/>
          <w:kern w:val="0"/>
          <w:szCs w:val="21"/>
        </w:rPr>
        <w:t>，高差约</w:t>
      </w:r>
      <w:r>
        <w:rPr>
          <w:rFonts w:ascii="宋体" w:hAnsi="宋体" w:cs="宋体"/>
          <w:kern w:val="0"/>
          <w:szCs w:val="21"/>
        </w:rPr>
        <w:t>2.48m</w:t>
      </w:r>
      <w:r>
        <w:rPr>
          <w:rFonts w:hint="eastAsia" w:ascii="宋体" w:hAnsi="宋体" w:cs="宋体"/>
          <w:kern w:val="0"/>
          <w:szCs w:val="21"/>
        </w:rPr>
        <w:t>。场地内无大的地表水体，距离场地西北侧约</w:t>
      </w:r>
      <w:r>
        <w:rPr>
          <w:rFonts w:ascii="宋体" w:hAnsi="宋体" w:cs="宋体"/>
          <w:kern w:val="0"/>
          <w:szCs w:val="21"/>
        </w:rPr>
        <w:t>10.00m</w:t>
      </w:r>
      <w:r>
        <w:rPr>
          <w:rFonts w:hint="eastAsia" w:ascii="宋体" w:hAnsi="宋体" w:cs="宋体"/>
          <w:kern w:val="0"/>
          <w:szCs w:val="21"/>
        </w:rPr>
        <w:t>处有一条河涌，河涌宽约</w:t>
      </w:r>
      <w:r>
        <w:rPr>
          <w:rFonts w:ascii="宋体" w:hAnsi="宋体" w:cs="宋体"/>
          <w:kern w:val="0"/>
          <w:szCs w:val="21"/>
        </w:rPr>
        <w:t>17.00m</w:t>
      </w:r>
      <w:r>
        <w:rPr>
          <w:rFonts w:hint="eastAsia" w:ascii="宋体" w:hAnsi="宋体" w:cs="宋体"/>
          <w:kern w:val="0"/>
          <w:szCs w:val="21"/>
        </w:rPr>
        <w:t>，水深约</w:t>
      </w:r>
      <w:r>
        <w:rPr>
          <w:rFonts w:ascii="宋体" w:hAnsi="宋体" w:cs="宋体"/>
          <w:kern w:val="0"/>
          <w:szCs w:val="21"/>
        </w:rPr>
        <w:t>1.0</w:t>
      </w:r>
      <w:r>
        <w:rPr>
          <w:rFonts w:hint="eastAsia" w:ascii="宋体" w:hAnsi="宋体" w:cs="宋体"/>
          <w:kern w:val="0"/>
          <w:szCs w:val="21"/>
        </w:rPr>
        <w:t>～</w:t>
      </w:r>
      <w:r>
        <w:rPr>
          <w:rFonts w:ascii="宋体" w:hAnsi="宋体" w:cs="宋体"/>
          <w:kern w:val="0"/>
          <w:szCs w:val="21"/>
        </w:rPr>
        <w:t>3.0m</w:t>
      </w:r>
      <w:r>
        <w:rPr>
          <w:rFonts w:hint="eastAsia" w:ascii="宋体" w:hAnsi="宋体" w:cs="宋体"/>
          <w:kern w:val="0"/>
          <w:szCs w:val="21"/>
        </w:rPr>
        <w:t>。据场地钻孔钻探揭露，拟建场地地层按地质成因及力学性质依次分为：人工填土（</w:t>
      </w:r>
      <w:r>
        <w:rPr>
          <w:rFonts w:ascii="宋体" w:hAnsi="宋体" w:cs="宋体"/>
          <w:kern w:val="0"/>
          <w:szCs w:val="21"/>
        </w:rPr>
        <w:t>Qml</w:t>
      </w:r>
      <w:r>
        <w:rPr>
          <w:rFonts w:hint="eastAsia" w:ascii="宋体" w:hAnsi="宋体" w:cs="宋体"/>
          <w:kern w:val="0"/>
          <w:szCs w:val="21"/>
        </w:rPr>
        <w:t>），冲洪积层</w:t>
      </w:r>
      <w:r>
        <w:rPr>
          <w:rFonts w:ascii="宋体" w:hAnsi="宋体" w:cs="宋体"/>
          <w:kern w:val="0"/>
          <w:szCs w:val="21"/>
        </w:rPr>
        <w:t>(Qal+pl)</w:t>
      </w:r>
      <w:r>
        <w:rPr>
          <w:rFonts w:hint="eastAsia" w:ascii="宋体" w:hAnsi="宋体" w:cs="宋体"/>
          <w:kern w:val="0"/>
          <w:szCs w:val="21"/>
        </w:rPr>
        <w:t>、残积层（</w:t>
      </w:r>
      <w:r>
        <w:rPr>
          <w:rFonts w:ascii="宋体" w:hAnsi="宋体" w:cs="宋体"/>
          <w:kern w:val="0"/>
          <w:szCs w:val="21"/>
        </w:rPr>
        <w:t>Qel</w:t>
      </w:r>
      <w:r>
        <w:rPr>
          <w:rFonts w:hint="eastAsia" w:ascii="宋体" w:hAnsi="宋体" w:cs="宋体"/>
          <w:kern w:val="0"/>
          <w:szCs w:val="21"/>
        </w:rPr>
        <w:t>）组成；基岩为白垩系三水组康乐段（</w:t>
      </w:r>
      <w:r>
        <w:rPr>
          <w:rFonts w:ascii="宋体" w:hAnsi="宋体" w:cs="宋体"/>
          <w:kern w:val="0"/>
          <w:szCs w:val="21"/>
        </w:rPr>
        <w:t>K2s1</w:t>
      </w:r>
      <w:r>
        <w:rPr>
          <w:rFonts w:hint="eastAsia" w:ascii="宋体" w:hAnsi="宋体" w:cs="宋体"/>
          <w:kern w:val="0"/>
          <w:szCs w:val="21"/>
        </w:rPr>
        <w:t>）粉砂质泥岩、泥质粉砂岩。</w:t>
      </w:r>
    </w:p>
    <w:p>
      <w:pPr>
        <w:pStyle w:val="2"/>
        <w:ind w:firstLine="420"/>
        <w:rPr>
          <w:rFonts w:ascii="宋体" w:hAnsi="宋体" w:cs="宋体"/>
          <w:kern w:val="0"/>
          <w:szCs w:val="21"/>
        </w:rPr>
      </w:pPr>
      <w:r>
        <w:rPr>
          <w:rFonts w:hint="eastAsia" w:ascii="宋体" w:hAnsi="宋体" w:cs="宋体"/>
          <w:kern w:val="0"/>
          <w:szCs w:val="21"/>
        </w:rPr>
        <w:t>四、基坑支护设计</w:t>
      </w:r>
      <w:r>
        <w:rPr>
          <w:rFonts w:ascii="宋体" w:hAnsi="宋体" w:cs="宋体"/>
          <w:kern w:val="0"/>
          <w:szCs w:val="21"/>
        </w:rPr>
        <w:t xml:space="preserve"> </w:t>
      </w:r>
    </w:p>
    <w:p>
      <w:pPr>
        <w:pStyle w:val="2"/>
        <w:ind w:firstLine="420"/>
        <w:rPr>
          <w:rFonts w:ascii="宋体" w:hAnsi="宋体" w:cs="宋体"/>
          <w:kern w:val="0"/>
          <w:szCs w:val="21"/>
        </w:rPr>
      </w:pPr>
      <w:r>
        <w:rPr>
          <w:rFonts w:ascii="宋体" w:hAnsi="宋体" w:cs="宋体"/>
          <w:kern w:val="0"/>
          <w:szCs w:val="21"/>
        </w:rPr>
        <w:t>1</w:t>
      </w:r>
      <w:r>
        <w:rPr>
          <w:rFonts w:hint="eastAsia" w:ascii="宋体" w:hAnsi="宋体" w:cs="宋体"/>
          <w:kern w:val="0"/>
          <w:szCs w:val="21"/>
        </w:rPr>
        <w:t>、基坑坡顶超载取值和出土口设置：基坑坡顶</w:t>
      </w:r>
      <w:r>
        <w:rPr>
          <w:rFonts w:ascii="宋体" w:hAnsi="宋体" w:cs="宋体"/>
          <w:kern w:val="0"/>
          <w:szCs w:val="21"/>
        </w:rPr>
        <w:t>2m</w:t>
      </w:r>
      <w:r>
        <w:rPr>
          <w:rFonts w:hint="eastAsia" w:ascii="宋体" w:hAnsi="宋体" w:cs="宋体"/>
          <w:kern w:val="0"/>
          <w:szCs w:val="21"/>
        </w:rPr>
        <w:t>范围内超载值取</w:t>
      </w:r>
      <w:r>
        <w:rPr>
          <w:rFonts w:ascii="宋体" w:hAnsi="宋体" w:cs="宋体"/>
          <w:kern w:val="0"/>
          <w:szCs w:val="21"/>
        </w:rPr>
        <w:t>10Kpa</w:t>
      </w:r>
      <w:r>
        <w:rPr>
          <w:rFonts w:hint="eastAsia" w:ascii="宋体" w:hAnsi="宋体" w:cs="宋体"/>
          <w:kern w:val="0"/>
          <w:szCs w:val="21"/>
        </w:rPr>
        <w:t>，</w:t>
      </w:r>
      <w:r>
        <w:rPr>
          <w:rFonts w:ascii="宋体" w:hAnsi="宋体" w:cs="宋体"/>
          <w:kern w:val="0"/>
          <w:szCs w:val="21"/>
        </w:rPr>
        <w:t>2m</w:t>
      </w:r>
      <w:r>
        <w:rPr>
          <w:rFonts w:hint="eastAsia" w:ascii="宋体" w:hAnsi="宋体" w:cs="宋体"/>
          <w:kern w:val="0"/>
          <w:szCs w:val="21"/>
        </w:rPr>
        <w:t>范围外超载值取</w:t>
      </w:r>
      <w:r>
        <w:rPr>
          <w:rFonts w:ascii="宋体" w:hAnsi="宋体" w:cs="宋体"/>
          <w:kern w:val="0"/>
          <w:szCs w:val="21"/>
        </w:rPr>
        <w:t>20Kpa</w:t>
      </w:r>
      <w:r>
        <w:rPr>
          <w:rFonts w:hint="eastAsia" w:ascii="宋体" w:hAnsi="宋体" w:cs="宋体"/>
          <w:kern w:val="0"/>
          <w:szCs w:val="21"/>
        </w:rPr>
        <w:t>，施工道路和出土口超载取</w:t>
      </w:r>
      <w:r>
        <w:rPr>
          <w:rFonts w:ascii="宋体" w:hAnsi="宋体" w:cs="宋体"/>
          <w:kern w:val="0"/>
          <w:szCs w:val="21"/>
        </w:rPr>
        <w:t>40Kpa</w:t>
      </w:r>
      <w:r>
        <w:rPr>
          <w:rFonts w:hint="eastAsia" w:ascii="宋体" w:hAnsi="宋体" w:cs="宋体"/>
          <w:kern w:val="0"/>
          <w:szCs w:val="21"/>
        </w:rPr>
        <w:t>。</w:t>
      </w:r>
    </w:p>
    <w:p>
      <w:pPr>
        <w:pStyle w:val="2"/>
        <w:ind w:firstLine="420"/>
        <w:rPr>
          <w:rFonts w:ascii="宋体" w:hAnsi="宋体" w:cs="宋体"/>
          <w:kern w:val="0"/>
          <w:szCs w:val="21"/>
        </w:rPr>
      </w:pPr>
      <w:r>
        <w:rPr>
          <w:rFonts w:ascii="宋体" w:hAnsi="宋体" w:cs="宋体"/>
          <w:kern w:val="0"/>
          <w:szCs w:val="21"/>
        </w:rPr>
        <w:t>2</w:t>
      </w:r>
      <w:r>
        <w:rPr>
          <w:rFonts w:hint="eastAsia" w:ascii="宋体" w:hAnsi="宋体" w:cs="宋体"/>
          <w:kern w:val="0"/>
          <w:szCs w:val="21"/>
        </w:rPr>
        <w:t>、基坑支护设计深度取值：地下室开挖深度约为</w:t>
      </w:r>
      <w:r>
        <w:rPr>
          <w:rFonts w:ascii="宋体" w:hAnsi="宋体" w:cs="宋体"/>
          <w:kern w:val="0"/>
          <w:szCs w:val="21"/>
        </w:rPr>
        <w:t>15.10~15.60m</w:t>
      </w:r>
      <w:r>
        <w:rPr>
          <w:rFonts w:hint="eastAsia" w:ascii="宋体" w:hAnsi="宋体" w:cs="宋体"/>
          <w:kern w:val="0"/>
          <w:szCs w:val="21"/>
        </w:rPr>
        <w:t>。</w:t>
      </w:r>
    </w:p>
    <w:p>
      <w:pPr>
        <w:pStyle w:val="2"/>
        <w:ind w:firstLine="315" w:firstLineChars="150"/>
        <w:rPr>
          <w:rFonts w:ascii="宋体" w:hAnsi="宋体" w:cs="宋体"/>
          <w:kern w:val="0"/>
          <w:szCs w:val="21"/>
        </w:rPr>
      </w:pPr>
      <w:r>
        <w:rPr>
          <w:rFonts w:ascii="宋体" w:hAnsi="宋体" w:cs="宋体"/>
          <w:kern w:val="0"/>
          <w:szCs w:val="21"/>
        </w:rPr>
        <w:t xml:space="preserve"> 3</w:t>
      </w:r>
      <w:r>
        <w:rPr>
          <w:rFonts w:hint="eastAsia" w:ascii="宋体" w:hAnsi="宋体" w:cs="宋体"/>
          <w:kern w:val="0"/>
          <w:szCs w:val="21"/>
        </w:rPr>
        <w:t>、基坑侧壁安全等级、使用年限及环境安全等级：基坑侧壁安全等级为一级。本基坑支护系统为临时结构，自开挖之日起有效期为</w:t>
      </w:r>
      <w:r>
        <w:rPr>
          <w:rFonts w:hint="eastAsia" w:ascii="宋体" w:hAnsi="宋体" w:cs="宋体"/>
          <w:kern w:val="0"/>
          <w:szCs w:val="21"/>
          <w:lang w:val="en-US" w:eastAsia="zh-CN"/>
        </w:rPr>
        <w:t>18个月</w:t>
      </w:r>
      <w:r>
        <w:rPr>
          <w:rFonts w:hint="eastAsia" w:ascii="宋体" w:hAnsi="宋体" w:cs="宋体"/>
          <w:kern w:val="0"/>
          <w:szCs w:val="21"/>
        </w:rPr>
        <w:t>，当超过有效期时，业主应委托有资质的公司提前进行安全鉴定和评估，设计根据鉴定和评估结果进行复核。环境安全等级为二级。</w:t>
      </w:r>
    </w:p>
    <w:p>
      <w:pPr>
        <w:pStyle w:val="2"/>
        <w:ind w:firstLine="420"/>
        <w:rPr>
          <w:rFonts w:ascii="宋体" w:hAnsi="宋体" w:cs="宋体"/>
          <w:kern w:val="0"/>
          <w:szCs w:val="21"/>
        </w:rPr>
      </w:pPr>
      <w:r>
        <w:rPr>
          <w:rFonts w:ascii="宋体" w:hAnsi="宋体" w:cs="宋体"/>
          <w:kern w:val="0"/>
          <w:szCs w:val="21"/>
        </w:rPr>
        <w:t xml:space="preserve"> </w:t>
      </w:r>
      <w:r>
        <w:rPr>
          <w:rFonts w:ascii="宋体" w:hAnsi="宋体" w:cs="宋体"/>
          <w:kern w:val="0"/>
          <w:szCs w:val="21"/>
          <w:u w:val="single"/>
        </w:rPr>
        <w:t>4</w:t>
      </w:r>
      <w:r>
        <w:rPr>
          <w:rFonts w:hint="eastAsia" w:ascii="宋体" w:hAnsi="宋体" w:cs="宋体"/>
          <w:kern w:val="0"/>
          <w:szCs w:val="21"/>
          <w:u w:val="single"/>
        </w:rPr>
        <w:t>、基坑支护设计方案：基坑采用连续墙</w:t>
      </w:r>
      <w:r>
        <w:rPr>
          <w:rFonts w:ascii="宋体" w:hAnsi="宋体" w:cs="宋体"/>
          <w:kern w:val="0"/>
          <w:szCs w:val="21"/>
          <w:u w:val="single"/>
        </w:rPr>
        <w:t>+</w:t>
      </w:r>
      <w:r>
        <w:rPr>
          <w:rFonts w:hint="eastAsia" w:ascii="宋体" w:hAnsi="宋体" w:cs="宋体"/>
          <w:kern w:val="0"/>
          <w:szCs w:val="21"/>
          <w:u w:val="single"/>
        </w:rPr>
        <w:t>两层钢筋砼内支撑支护和止水。高差区域采用放坡支护</w:t>
      </w:r>
      <w:r>
        <w:rPr>
          <w:rFonts w:hint="eastAsia" w:ascii="宋体" w:hAnsi="宋体" w:cs="宋体"/>
          <w:kern w:val="0"/>
          <w:szCs w:val="21"/>
        </w:rPr>
        <w:t>。</w:t>
      </w:r>
    </w:p>
    <w:p>
      <w:pPr>
        <w:pStyle w:val="2"/>
        <w:ind w:firstLine="420"/>
        <w:rPr>
          <w:rFonts w:ascii="宋体" w:hAnsi="宋体" w:cs="宋体"/>
          <w:kern w:val="0"/>
          <w:szCs w:val="21"/>
        </w:rPr>
      </w:pPr>
      <w:r>
        <w:rPr>
          <w:rFonts w:hint="eastAsia" w:ascii="宋体" w:hAnsi="宋体" w:cs="宋体"/>
          <w:kern w:val="0"/>
          <w:szCs w:val="21"/>
        </w:rPr>
        <w:t>五、基坑支护结构材料</w:t>
      </w:r>
      <w:r>
        <w:rPr>
          <w:rFonts w:ascii="宋体" w:hAnsi="宋体" w:cs="宋体"/>
          <w:kern w:val="0"/>
          <w:szCs w:val="21"/>
        </w:rPr>
        <w:t xml:space="preserve"> </w:t>
      </w:r>
    </w:p>
    <w:p>
      <w:pPr>
        <w:pStyle w:val="2"/>
        <w:ind w:firstLine="199" w:firstLineChars="95"/>
        <w:rPr>
          <w:rFonts w:ascii="宋体" w:hAnsi="宋体" w:cs="宋体"/>
          <w:kern w:val="0"/>
          <w:szCs w:val="21"/>
        </w:rPr>
      </w:pPr>
      <w:r>
        <w:rPr>
          <w:rFonts w:ascii="宋体" w:hAnsi="宋体" w:cs="宋体"/>
          <w:kern w:val="0"/>
          <w:szCs w:val="21"/>
        </w:rPr>
        <w:t xml:space="preserve">   1</w:t>
      </w:r>
      <w:r>
        <w:rPr>
          <w:rFonts w:hint="eastAsia" w:ascii="宋体" w:hAnsi="宋体" w:cs="宋体"/>
          <w:kern w:val="0"/>
          <w:szCs w:val="21"/>
        </w:rPr>
        <w:t>、地下连续墙</w:t>
      </w:r>
    </w:p>
    <w:p>
      <w:pPr>
        <w:pStyle w:val="2"/>
        <w:ind w:firstLine="420"/>
        <w:rPr>
          <w:rFonts w:ascii="宋体" w:hAnsi="宋体" w:cs="宋体"/>
          <w:kern w:val="0"/>
          <w:szCs w:val="21"/>
        </w:rPr>
      </w:pPr>
      <w:r>
        <w:rPr>
          <w:rFonts w:ascii="宋体" w:hAnsi="宋体" w:cs="宋体"/>
          <w:kern w:val="0"/>
          <w:szCs w:val="21"/>
        </w:rPr>
        <w:t xml:space="preserve">    1</w:t>
      </w:r>
      <w:r>
        <w:rPr>
          <w:rFonts w:hint="eastAsia" w:ascii="宋体" w:hAnsi="宋体" w:cs="宋体"/>
          <w:kern w:val="0"/>
          <w:szCs w:val="21"/>
        </w:rPr>
        <w:t>）地连墙的墙厚为</w:t>
      </w:r>
      <w:r>
        <w:rPr>
          <w:rFonts w:ascii="宋体" w:hAnsi="宋体" w:cs="宋体"/>
          <w:kern w:val="0"/>
          <w:szCs w:val="21"/>
        </w:rPr>
        <w:t>800mm</w:t>
      </w:r>
      <w:r>
        <w:rPr>
          <w:rFonts w:hint="eastAsia" w:ascii="宋体" w:hAnsi="宋体" w:cs="宋体"/>
          <w:kern w:val="0"/>
          <w:szCs w:val="21"/>
        </w:rPr>
        <w:t>，标准单元槽段的长度为</w:t>
      </w:r>
      <w:r>
        <w:rPr>
          <w:rFonts w:ascii="宋体" w:hAnsi="宋体" w:cs="宋体"/>
          <w:kern w:val="0"/>
          <w:szCs w:val="21"/>
        </w:rPr>
        <w:t>6m</w:t>
      </w:r>
      <w:r>
        <w:rPr>
          <w:rFonts w:hint="eastAsia" w:ascii="宋体" w:hAnsi="宋体" w:cs="宋体"/>
          <w:kern w:val="0"/>
          <w:szCs w:val="21"/>
        </w:rPr>
        <w:t>；采用对称配筋，并且根据需要情况分成多种墙段配筋。</w:t>
      </w:r>
    </w:p>
    <w:p>
      <w:pPr>
        <w:pStyle w:val="2"/>
        <w:ind w:firstLine="420"/>
        <w:rPr>
          <w:rFonts w:ascii="宋体" w:hAnsi="宋体" w:cs="宋体"/>
          <w:kern w:val="0"/>
          <w:szCs w:val="21"/>
        </w:rPr>
      </w:pPr>
      <w:r>
        <w:rPr>
          <w:rFonts w:ascii="宋体" w:hAnsi="宋体" w:cs="宋体"/>
          <w:kern w:val="0"/>
          <w:szCs w:val="21"/>
        </w:rPr>
        <w:t xml:space="preserve">    2</w:t>
      </w:r>
      <w:r>
        <w:rPr>
          <w:rFonts w:hint="eastAsia" w:ascii="宋体" w:hAnsi="宋体" w:cs="宋体"/>
          <w:kern w:val="0"/>
          <w:szCs w:val="21"/>
        </w:rPr>
        <w:t>）地下连续墙钢筋笼整体制作，纵筋和分布筋交叉点</w:t>
      </w:r>
      <w:r>
        <w:rPr>
          <w:rFonts w:ascii="宋体" w:hAnsi="宋体" w:cs="宋体"/>
          <w:kern w:val="0"/>
          <w:szCs w:val="21"/>
        </w:rPr>
        <w:t>50%</w:t>
      </w:r>
      <w:r>
        <w:rPr>
          <w:rFonts w:hint="eastAsia" w:ascii="宋体" w:hAnsi="宋体" w:cs="宋体"/>
          <w:kern w:val="0"/>
          <w:szCs w:val="21"/>
        </w:rPr>
        <w:t>点焊，</w:t>
      </w:r>
      <w:r>
        <w:rPr>
          <w:rFonts w:ascii="宋体" w:hAnsi="宋体" w:cs="宋体"/>
          <w:kern w:val="0"/>
          <w:szCs w:val="21"/>
        </w:rPr>
        <w:t>50%</w:t>
      </w:r>
      <w:r>
        <w:rPr>
          <w:rFonts w:hint="eastAsia" w:ascii="宋体" w:hAnsi="宋体" w:cs="宋体"/>
          <w:kern w:val="0"/>
          <w:szCs w:val="21"/>
        </w:rPr>
        <w:t>绑扎，桁架处及吊点处应</w:t>
      </w:r>
      <w:r>
        <w:rPr>
          <w:rFonts w:ascii="宋体" w:hAnsi="宋体" w:cs="宋体"/>
          <w:kern w:val="0"/>
          <w:szCs w:val="21"/>
        </w:rPr>
        <w:t>100%</w:t>
      </w:r>
      <w:r>
        <w:rPr>
          <w:rFonts w:hint="eastAsia" w:ascii="宋体" w:hAnsi="宋体" w:cs="宋体"/>
          <w:kern w:val="0"/>
          <w:szCs w:val="21"/>
        </w:rPr>
        <w:t>点焊，整片制作钢筋笼平台应平整；要求采用整体吊装，吊装时严格检查垂直度，根据起吊情况可以适当增减笼骨筋。</w:t>
      </w:r>
    </w:p>
    <w:p>
      <w:pPr>
        <w:pStyle w:val="2"/>
        <w:ind w:firstLine="420"/>
        <w:rPr>
          <w:rFonts w:ascii="宋体" w:hAnsi="宋体" w:cs="宋体"/>
          <w:kern w:val="0"/>
          <w:szCs w:val="21"/>
        </w:rPr>
      </w:pPr>
      <w:r>
        <w:rPr>
          <w:rFonts w:ascii="宋体" w:hAnsi="宋体" w:cs="宋体"/>
          <w:kern w:val="0"/>
          <w:szCs w:val="21"/>
        </w:rPr>
        <w:t>2</w:t>
      </w:r>
      <w:r>
        <w:rPr>
          <w:rFonts w:hint="eastAsia" w:ascii="宋体" w:hAnsi="宋体" w:cs="宋体"/>
          <w:kern w:val="0"/>
          <w:szCs w:val="21"/>
        </w:rPr>
        <w:t>、压顶梁、腰梁</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连续墙顶设置压顶梁，压顶梁截面为</w:t>
      </w:r>
      <w:r>
        <w:rPr>
          <w:rFonts w:ascii="宋体" w:hAnsi="宋体" w:cs="宋体"/>
          <w:kern w:val="0"/>
          <w:szCs w:val="21"/>
        </w:rPr>
        <w:t>800*800</w:t>
      </w:r>
      <w:r>
        <w:rPr>
          <w:rFonts w:hint="eastAsia" w:ascii="宋体" w:hAnsi="宋体" w:cs="宋体"/>
          <w:kern w:val="0"/>
          <w:szCs w:val="21"/>
        </w:rPr>
        <w:t>，腰梁截面为</w:t>
      </w:r>
      <w:r>
        <w:rPr>
          <w:rFonts w:ascii="宋体" w:hAnsi="宋体" w:cs="宋体"/>
          <w:kern w:val="0"/>
          <w:szCs w:val="21"/>
        </w:rPr>
        <w:t>1200x1000</w:t>
      </w:r>
      <w:r>
        <w:rPr>
          <w:rFonts w:hint="eastAsia" w:ascii="宋体" w:hAnsi="宋体" w:cs="宋体"/>
          <w:kern w:val="0"/>
          <w:szCs w:val="21"/>
        </w:rPr>
        <w:t>。混凝土强度等级为</w:t>
      </w:r>
      <w:r>
        <w:rPr>
          <w:rFonts w:ascii="宋体" w:hAnsi="宋体" w:cs="宋体"/>
          <w:kern w:val="0"/>
          <w:szCs w:val="21"/>
        </w:rPr>
        <w:t>C30</w:t>
      </w:r>
      <w:r>
        <w:rPr>
          <w:rFonts w:hint="eastAsia" w:ascii="宋体" w:hAnsi="宋体" w:cs="宋体"/>
          <w:kern w:val="0"/>
          <w:szCs w:val="21"/>
        </w:rPr>
        <w:t>，混凝土保护层厚度为</w:t>
      </w:r>
      <w:r>
        <w:rPr>
          <w:rFonts w:ascii="宋体" w:hAnsi="宋体" w:cs="宋体"/>
          <w:kern w:val="0"/>
          <w:szCs w:val="21"/>
        </w:rPr>
        <w:t>25</w:t>
      </w:r>
      <w:r>
        <w:rPr>
          <w:rFonts w:hint="eastAsia" w:ascii="宋体" w:hAnsi="宋体" w:cs="宋体"/>
          <w:kern w:val="0"/>
          <w:szCs w:val="21"/>
        </w:rPr>
        <w:t>。</w:t>
      </w:r>
    </w:p>
    <w:p>
      <w:pPr>
        <w:pStyle w:val="2"/>
        <w:ind w:firstLine="420"/>
        <w:rPr>
          <w:rFonts w:ascii="宋体" w:hAnsi="宋体" w:cs="宋体"/>
          <w:kern w:val="0"/>
          <w:szCs w:val="21"/>
        </w:rPr>
      </w:pPr>
      <w:r>
        <w:rPr>
          <w:rFonts w:ascii="宋体" w:hAnsi="宋体" w:cs="宋体"/>
          <w:kern w:val="0"/>
          <w:szCs w:val="21"/>
        </w:rPr>
        <w:t xml:space="preserve"> 3</w:t>
      </w:r>
      <w:r>
        <w:rPr>
          <w:rFonts w:hint="eastAsia" w:ascii="宋体" w:hAnsi="宋体" w:cs="宋体"/>
          <w:kern w:val="0"/>
          <w:szCs w:val="21"/>
        </w:rPr>
        <w:t>、支承桩</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支承桩建议采用旋挖桩，设计桩径</w:t>
      </w:r>
      <w:r>
        <w:rPr>
          <w:rFonts w:ascii="宋体" w:hAnsi="宋体" w:cs="宋体"/>
          <w:kern w:val="0"/>
          <w:szCs w:val="21"/>
        </w:rPr>
        <w:t>1200</w:t>
      </w:r>
      <w:r>
        <w:rPr>
          <w:rFonts w:hint="eastAsia" w:ascii="宋体" w:hAnsi="宋体" w:cs="宋体"/>
          <w:kern w:val="0"/>
          <w:szCs w:val="21"/>
        </w:rPr>
        <w:t>，嵌固深度见大样图。桩的混凝土强度等级为</w:t>
      </w:r>
      <w:r>
        <w:rPr>
          <w:rFonts w:ascii="宋体" w:hAnsi="宋体" w:cs="宋体"/>
          <w:kern w:val="0"/>
          <w:szCs w:val="21"/>
        </w:rPr>
        <w:t>C30</w:t>
      </w:r>
      <w:r>
        <w:rPr>
          <w:rFonts w:hint="eastAsia" w:ascii="宋体" w:hAnsi="宋体" w:cs="宋体"/>
          <w:kern w:val="0"/>
          <w:szCs w:val="21"/>
        </w:rPr>
        <w:t>，采用</w:t>
      </w:r>
      <w:r>
        <w:rPr>
          <w:rFonts w:ascii="宋体" w:hAnsi="宋体" w:cs="宋体"/>
          <w:kern w:val="0"/>
          <w:szCs w:val="21"/>
        </w:rPr>
        <w:t>C30</w:t>
      </w:r>
      <w:r>
        <w:rPr>
          <w:rFonts w:hint="eastAsia" w:ascii="宋体" w:hAnsi="宋体" w:cs="宋体"/>
          <w:kern w:val="0"/>
          <w:szCs w:val="21"/>
        </w:rPr>
        <w:t>水下混凝土；浇筑支护桩的混凝土保护层为</w:t>
      </w:r>
      <w:r>
        <w:rPr>
          <w:rFonts w:ascii="宋体" w:hAnsi="宋体" w:cs="宋体"/>
          <w:kern w:val="0"/>
          <w:szCs w:val="21"/>
        </w:rPr>
        <w:t>60</w:t>
      </w:r>
      <w:r>
        <w:rPr>
          <w:rFonts w:hint="eastAsia" w:ascii="宋体" w:hAnsi="宋体" w:cs="宋体"/>
          <w:kern w:val="0"/>
          <w:szCs w:val="21"/>
        </w:rPr>
        <w:t>。</w:t>
      </w:r>
    </w:p>
    <w:p>
      <w:pPr>
        <w:pStyle w:val="2"/>
        <w:ind w:firstLine="420"/>
        <w:rPr>
          <w:rFonts w:ascii="宋体" w:hAnsi="宋体" w:cs="宋体"/>
          <w:kern w:val="0"/>
          <w:szCs w:val="21"/>
        </w:rPr>
      </w:pPr>
      <w:r>
        <w:rPr>
          <w:rFonts w:ascii="宋体" w:hAnsi="宋体" w:cs="宋体"/>
          <w:kern w:val="0"/>
          <w:szCs w:val="21"/>
        </w:rPr>
        <w:t xml:space="preserve"> 4</w:t>
      </w:r>
      <w:r>
        <w:rPr>
          <w:rFonts w:hint="eastAsia" w:ascii="宋体" w:hAnsi="宋体" w:cs="宋体"/>
          <w:kern w:val="0"/>
          <w:szCs w:val="21"/>
        </w:rPr>
        <w:t>、挂网喷砼施工工艺</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放坡坡面挂</w:t>
      </w:r>
      <w:r>
        <w:rPr>
          <w:rFonts w:hint="eastAsia" w:ascii="MS Mincho" w:hAnsi="MS Mincho" w:eastAsia="MS Mincho" w:cs="MS Mincho"/>
          <w:kern w:val="0"/>
          <w:szCs w:val="21"/>
        </w:rPr>
        <w:t>∅</w:t>
      </w:r>
      <w:r>
        <w:rPr>
          <w:rFonts w:ascii="宋体" w:hAnsi="宋体" w:cs="宋体"/>
          <w:kern w:val="0"/>
          <w:szCs w:val="21"/>
        </w:rPr>
        <w:t>8@200</w:t>
      </w:r>
      <w:r>
        <w:rPr>
          <w:rFonts w:hint="eastAsia" w:ascii="宋体" w:hAnsi="宋体" w:cs="宋体"/>
          <w:kern w:val="0"/>
          <w:szCs w:val="21"/>
        </w:rPr>
        <w:t>×</w:t>
      </w:r>
      <w:r>
        <w:rPr>
          <w:rFonts w:ascii="宋体" w:hAnsi="宋体" w:cs="宋体"/>
          <w:kern w:val="0"/>
          <w:szCs w:val="21"/>
        </w:rPr>
        <w:t>200</w:t>
      </w:r>
      <w:r>
        <w:rPr>
          <w:rFonts w:hint="eastAsia" w:ascii="宋体" w:hAnsi="宋体" w:cs="宋体"/>
          <w:kern w:val="0"/>
          <w:szCs w:val="21"/>
        </w:rPr>
        <w:t>钢筋网，坡面插筋采用</w:t>
      </w: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16@1200x1200</w:t>
      </w:r>
      <w:r>
        <w:rPr>
          <w:rFonts w:hint="eastAsia" w:ascii="宋体" w:hAnsi="宋体" w:cs="宋体"/>
          <w:kern w:val="0"/>
          <w:szCs w:val="21"/>
        </w:rPr>
        <w:t>，长度为</w:t>
      </w:r>
      <w:r>
        <w:rPr>
          <w:rFonts w:ascii="宋体" w:hAnsi="宋体" w:cs="宋体"/>
          <w:kern w:val="0"/>
          <w:szCs w:val="21"/>
        </w:rPr>
        <w:t>1200</w:t>
      </w:r>
      <w:r>
        <w:rPr>
          <w:rFonts w:hint="eastAsia" w:ascii="宋体" w:hAnsi="宋体" w:cs="宋体"/>
          <w:kern w:val="0"/>
          <w:szCs w:val="21"/>
        </w:rPr>
        <w:t>。坡面喷射</w:t>
      </w:r>
      <w:r>
        <w:rPr>
          <w:rFonts w:ascii="宋体" w:hAnsi="宋体" w:cs="宋体"/>
          <w:kern w:val="0"/>
          <w:szCs w:val="21"/>
        </w:rPr>
        <w:t>80</w:t>
      </w:r>
      <w:r>
        <w:rPr>
          <w:rFonts w:hint="eastAsia" w:ascii="宋体" w:hAnsi="宋体" w:cs="宋体"/>
          <w:kern w:val="0"/>
          <w:szCs w:val="21"/>
        </w:rPr>
        <w:t>厚</w:t>
      </w:r>
      <w:r>
        <w:rPr>
          <w:rFonts w:ascii="宋体" w:hAnsi="宋体" w:cs="宋体"/>
          <w:kern w:val="0"/>
          <w:szCs w:val="21"/>
        </w:rPr>
        <w:t>C20</w:t>
      </w:r>
      <w:r>
        <w:rPr>
          <w:rFonts w:hint="eastAsia" w:ascii="宋体" w:hAnsi="宋体" w:cs="宋体"/>
          <w:kern w:val="0"/>
          <w:szCs w:val="21"/>
        </w:rPr>
        <w:t>细石混凝土进行防护，初喷</w:t>
      </w:r>
      <w:r>
        <w:rPr>
          <w:rFonts w:ascii="宋体" w:hAnsi="宋体" w:cs="宋体"/>
          <w:kern w:val="0"/>
          <w:szCs w:val="21"/>
        </w:rPr>
        <w:t>40</w:t>
      </w:r>
      <w:r>
        <w:rPr>
          <w:rFonts w:hint="eastAsia" w:ascii="宋体" w:hAnsi="宋体" w:cs="宋体"/>
          <w:kern w:val="0"/>
          <w:szCs w:val="21"/>
        </w:rPr>
        <w:t>～</w:t>
      </w:r>
      <w:r>
        <w:rPr>
          <w:rFonts w:ascii="宋体" w:hAnsi="宋体" w:cs="宋体"/>
          <w:kern w:val="0"/>
          <w:szCs w:val="21"/>
        </w:rPr>
        <w:t>50mm</w:t>
      </w:r>
      <w:r>
        <w:rPr>
          <w:rFonts w:hint="eastAsia" w:ascii="宋体" w:hAnsi="宋体" w:cs="宋体"/>
          <w:kern w:val="0"/>
          <w:szCs w:val="21"/>
        </w:rPr>
        <w:t>，挂网插筋后再喷射</w:t>
      </w:r>
      <w:r>
        <w:rPr>
          <w:rFonts w:ascii="宋体" w:hAnsi="宋体" w:cs="宋体"/>
          <w:kern w:val="0"/>
          <w:szCs w:val="21"/>
        </w:rPr>
        <w:t>40</w:t>
      </w:r>
      <w:r>
        <w:rPr>
          <w:rFonts w:hint="eastAsia" w:ascii="宋体" w:hAnsi="宋体" w:cs="宋体"/>
          <w:kern w:val="0"/>
          <w:szCs w:val="21"/>
        </w:rPr>
        <w:t>～</w:t>
      </w:r>
      <w:r>
        <w:rPr>
          <w:rFonts w:ascii="宋体" w:hAnsi="宋体" w:cs="宋体"/>
          <w:kern w:val="0"/>
          <w:szCs w:val="21"/>
        </w:rPr>
        <w:t>30mm</w:t>
      </w:r>
      <w:r>
        <w:rPr>
          <w:rFonts w:hint="eastAsia" w:ascii="宋体" w:hAnsi="宋体" w:cs="宋体"/>
          <w:kern w:val="0"/>
          <w:szCs w:val="21"/>
        </w:rPr>
        <w:t>。坡体中下部设置</w:t>
      </w:r>
      <w:r>
        <w:rPr>
          <w:rFonts w:hint="eastAsia" w:ascii="MS Mincho" w:hAnsi="MS Mincho" w:eastAsia="MS Mincho" w:cs="MS Mincho"/>
          <w:kern w:val="0"/>
          <w:szCs w:val="21"/>
        </w:rPr>
        <w:t>∅</w:t>
      </w:r>
      <w:r>
        <w:rPr>
          <w:rFonts w:ascii="宋体" w:hAnsi="宋体" w:cs="宋体"/>
          <w:kern w:val="0"/>
          <w:szCs w:val="21"/>
        </w:rPr>
        <w:t>40</w:t>
      </w:r>
      <w:r>
        <w:rPr>
          <w:rFonts w:hint="eastAsia" w:ascii="宋体" w:hAnsi="宋体" w:cs="宋体"/>
          <w:kern w:val="0"/>
          <w:szCs w:val="21"/>
        </w:rPr>
        <w:t>泄水孔，水平间距</w:t>
      </w:r>
      <w:r>
        <w:rPr>
          <w:rFonts w:ascii="宋体" w:hAnsi="宋体" w:cs="宋体"/>
          <w:kern w:val="0"/>
          <w:szCs w:val="21"/>
        </w:rPr>
        <w:t>1.5m</w:t>
      </w:r>
      <w:r>
        <w:rPr>
          <w:rFonts w:hint="eastAsia" w:ascii="宋体" w:hAnsi="宋体" w:cs="宋体"/>
          <w:kern w:val="0"/>
          <w:szCs w:val="21"/>
        </w:rPr>
        <w:t>。</w:t>
      </w:r>
    </w:p>
    <w:p>
      <w:pPr>
        <w:pStyle w:val="2"/>
        <w:ind w:firstLine="199" w:firstLineChars="95"/>
        <w:rPr>
          <w:rFonts w:ascii="宋体" w:hAnsi="宋体" w:cs="宋体"/>
          <w:kern w:val="0"/>
          <w:szCs w:val="21"/>
        </w:rPr>
      </w:pPr>
      <w:r>
        <w:rPr>
          <w:rFonts w:ascii="宋体" w:hAnsi="宋体" w:cs="宋体"/>
          <w:kern w:val="0"/>
          <w:szCs w:val="21"/>
        </w:rPr>
        <w:t xml:space="preserve">  5</w:t>
      </w:r>
      <w:r>
        <w:rPr>
          <w:rFonts w:hint="eastAsia" w:ascii="宋体" w:hAnsi="宋体" w:cs="宋体"/>
          <w:kern w:val="0"/>
          <w:szCs w:val="21"/>
        </w:rPr>
        <w:t>、钢筋</w:t>
      </w:r>
      <w:r>
        <w:rPr>
          <w:rFonts w:ascii="宋体" w:hAnsi="宋体" w:cs="宋体"/>
          <w:kern w:val="0"/>
          <w:szCs w:val="21"/>
        </w:rPr>
        <w:t xml:space="preserve">      </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连续墙、压顶梁、腰梁主筋和加强筋采用</w:t>
      </w:r>
      <w:r>
        <w:rPr>
          <w:rFonts w:ascii="宋体" w:hAnsi="宋体" w:cs="宋体"/>
          <w:kern w:val="0"/>
          <w:szCs w:val="21"/>
        </w:rPr>
        <w:t>HRB400E(fy=360MPa)</w:t>
      </w:r>
      <w:r>
        <w:rPr>
          <w:rFonts w:hint="eastAsia" w:ascii="宋体" w:hAnsi="宋体" w:cs="宋体"/>
          <w:kern w:val="0"/>
          <w:szCs w:val="21"/>
        </w:rPr>
        <w:t>；挂网钢筋采用</w:t>
      </w:r>
      <w:r>
        <w:rPr>
          <w:rFonts w:ascii="宋体" w:hAnsi="宋体" w:cs="宋体"/>
          <w:kern w:val="0"/>
          <w:szCs w:val="21"/>
        </w:rPr>
        <w:t>HPB300(fy=270MPa)</w:t>
      </w:r>
      <w:r>
        <w:rPr>
          <w:rFonts w:hint="eastAsia" w:ascii="宋体" w:hAnsi="宋体" w:cs="宋体"/>
          <w:kern w:val="0"/>
          <w:szCs w:val="21"/>
        </w:rPr>
        <w:t>；箍筋采用</w:t>
      </w:r>
      <w:r>
        <w:rPr>
          <w:rFonts w:ascii="宋体" w:hAnsi="宋体" w:cs="宋体"/>
          <w:kern w:val="0"/>
          <w:szCs w:val="21"/>
        </w:rPr>
        <w:t>HPB300(fy=270MPa)</w:t>
      </w:r>
      <w:r>
        <w:rPr>
          <w:rFonts w:hint="eastAsia" w:ascii="宋体" w:hAnsi="宋体" w:cs="宋体"/>
          <w:kern w:val="0"/>
          <w:szCs w:val="21"/>
        </w:rPr>
        <w:t>。</w:t>
      </w:r>
    </w:p>
    <w:p>
      <w:pPr>
        <w:pStyle w:val="2"/>
        <w:ind w:firstLine="420"/>
        <w:rPr>
          <w:rFonts w:ascii="宋体" w:hAnsi="宋体" w:cs="宋体"/>
          <w:kern w:val="0"/>
          <w:szCs w:val="21"/>
        </w:rPr>
      </w:pPr>
      <w:r>
        <w:rPr>
          <w:rFonts w:hint="eastAsia" w:ascii="宋体" w:hAnsi="宋体" w:cs="宋体"/>
          <w:kern w:val="0"/>
          <w:szCs w:val="21"/>
        </w:rPr>
        <w:t>6、三轴搅拌桩</w:t>
      </w:r>
    </w:p>
    <w:p>
      <w:pPr>
        <w:pStyle w:val="2"/>
        <w:ind w:firstLine="420"/>
        <w:rPr>
          <w:rFonts w:hint="eastAsia" w:ascii="宋体" w:hAnsi="宋体" w:cs="宋体"/>
          <w:kern w:val="0"/>
          <w:szCs w:val="21"/>
        </w:rPr>
      </w:pPr>
      <w:r>
        <w:rPr>
          <w:rFonts w:ascii="宋体" w:hAnsi="宋体" w:cs="宋体"/>
          <w:kern w:val="0"/>
          <w:szCs w:val="21"/>
        </w:rPr>
        <w:t xml:space="preserve">   </w:t>
      </w:r>
      <w:r>
        <w:rPr>
          <w:rFonts w:hint="eastAsia" w:ascii="宋体" w:hAnsi="宋体" w:cs="宋体"/>
          <w:kern w:val="0"/>
          <w:szCs w:val="21"/>
        </w:rPr>
        <w:t>采用</w:t>
      </w:r>
      <w:r>
        <w:rPr>
          <w:rFonts w:hint="eastAsia" w:ascii="MS Mincho" w:hAnsi="MS Mincho" w:eastAsia="MS Mincho" w:cs="MS Mincho"/>
          <w:kern w:val="0"/>
          <w:szCs w:val="21"/>
        </w:rPr>
        <w:t>∅</w:t>
      </w:r>
      <w:r>
        <w:rPr>
          <w:rFonts w:ascii="宋体" w:hAnsi="宋体" w:cs="宋体"/>
          <w:kern w:val="0"/>
          <w:szCs w:val="21"/>
        </w:rPr>
        <w:t>850@600</w:t>
      </w:r>
      <w:r>
        <w:rPr>
          <w:rFonts w:hint="eastAsia" w:ascii="宋体" w:hAnsi="宋体" w:cs="宋体"/>
          <w:kern w:val="0"/>
          <w:szCs w:val="21"/>
        </w:rPr>
        <w:t>三轴搅拌桩，套打一孔连接，三轴搅拌桩的长度见剖面图。采用</w:t>
      </w:r>
      <w:r>
        <w:rPr>
          <w:rFonts w:ascii="宋体" w:hAnsi="宋体" w:cs="宋体"/>
          <w:kern w:val="0"/>
          <w:szCs w:val="21"/>
        </w:rPr>
        <w:t>42.5R</w:t>
      </w:r>
      <w:r>
        <w:rPr>
          <w:rFonts w:hint="eastAsia" w:ascii="宋体" w:hAnsi="宋体" w:cs="宋体"/>
          <w:kern w:val="0"/>
          <w:szCs w:val="21"/>
        </w:rPr>
        <w:t>普通硅酸盐水泥配浆，水泥掺入比</w:t>
      </w:r>
      <w:r>
        <w:rPr>
          <w:rFonts w:ascii="宋体" w:hAnsi="宋体" w:cs="宋体"/>
          <w:kern w:val="0"/>
          <w:szCs w:val="21"/>
        </w:rPr>
        <w:t>25%</w:t>
      </w:r>
      <w:r>
        <w:rPr>
          <w:rFonts w:hint="eastAsia" w:ascii="宋体" w:hAnsi="宋体" w:cs="宋体"/>
          <w:kern w:val="0"/>
          <w:szCs w:val="21"/>
        </w:rPr>
        <w:t>，水泥掺入量每根</w:t>
      </w:r>
      <w:r>
        <w:rPr>
          <w:rFonts w:hint="eastAsia" w:ascii="MS Mincho" w:hAnsi="MS Mincho" w:eastAsia="MS Mincho" w:cs="MS Mincho"/>
          <w:kern w:val="0"/>
          <w:szCs w:val="21"/>
        </w:rPr>
        <w:t>∅</w:t>
      </w:r>
      <w:r>
        <w:rPr>
          <w:rFonts w:ascii="宋体" w:hAnsi="宋体" w:cs="宋体"/>
          <w:kern w:val="0"/>
          <w:szCs w:val="21"/>
        </w:rPr>
        <w:t>850</w:t>
      </w:r>
      <w:r>
        <w:rPr>
          <w:rFonts w:hint="eastAsia" w:ascii="宋体" w:hAnsi="宋体" w:cs="宋体"/>
          <w:kern w:val="0"/>
          <w:szCs w:val="21"/>
        </w:rPr>
        <w:t>不少于</w:t>
      </w:r>
      <w:r>
        <w:rPr>
          <w:rFonts w:ascii="宋体" w:hAnsi="宋体" w:cs="宋体"/>
          <w:kern w:val="0"/>
          <w:szCs w:val="21"/>
        </w:rPr>
        <w:t>200kg/m</w:t>
      </w:r>
      <w:r>
        <w:rPr>
          <w:rFonts w:hint="eastAsia" w:ascii="宋体" w:hAnsi="宋体" w:cs="宋体"/>
          <w:kern w:val="0"/>
          <w:szCs w:val="21"/>
        </w:rPr>
        <w:t>，水灰比</w:t>
      </w:r>
      <w:r>
        <w:rPr>
          <w:rFonts w:ascii="宋体" w:hAnsi="宋体" w:cs="宋体"/>
          <w:kern w:val="0"/>
          <w:szCs w:val="21"/>
        </w:rPr>
        <w:t>1.5</w:t>
      </w:r>
      <w:r>
        <w:rPr>
          <w:rFonts w:hint="eastAsia" w:ascii="宋体" w:hAnsi="宋体" w:cs="宋体"/>
          <w:kern w:val="0"/>
          <w:szCs w:val="21"/>
        </w:rPr>
        <w:t>～</w:t>
      </w:r>
      <w:r>
        <w:rPr>
          <w:rFonts w:ascii="宋体" w:hAnsi="宋体" w:cs="宋体"/>
          <w:kern w:val="0"/>
          <w:szCs w:val="21"/>
        </w:rPr>
        <w:t>2.0</w:t>
      </w:r>
      <w:r>
        <w:rPr>
          <w:rFonts w:hint="eastAsia" w:ascii="宋体" w:hAnsi="宋体" w:cs="宋体"/>
          <w:kern w:val="0"/>
          <w:szCs w:val="21"/>
        </w:rPr>
        <w:t>，搅拌桩</w:t>
      </w:r>
      <w:r>
        <w:rPr>
          <w:rFonts w:ascii="宋体" w:hAnsi="宋体" w:cs="宋体"/>
          <w:kern w:val="0"/>
          <w:szCs w:val="21"/>
        </w:rPr>
        <w:t>28</w:t>
      </w:r>
      <w:r>
        <w:rPr>
          <w:rFonts w:hint="eastAsia" w:ascii="宋体" w:hAnsi="宋体" w:cs="宋体"/>
          <w:kern w:val="0"/>
          <w:szCs w:val="21"/>
        </w:rPr>
        <w:t>天龄期无侧限抗压强度在砂层和黏土层不小于</w:t>
      </w:r>
      <w:r>
        <w:rPr>
          <w:rFonts w:ascii="宋体" w:hAnsi="宋体" w:cs="宋体"/>
          <w:kern w:val="0"/>
          <w:szCs w:val="21"/>
        </w:rPr>
        <w:t>1.0MPa</w:t>
      </w:r>
      <w:r>
        <w:rPr>
          <w:rFonts w:hint="eastAsia" w:ascii="宋体" w:hAnsi="宋体" w:cs="宋体"/>
          <w:kern w:val="0"/>
          <w:szCs w:val="21"/>
        </w:rPr>
        <w:t>，淤泥层不小于</w:t>
      </w:r>
      <w:r>
        <w:rPr>
          <w:rFonts w:ascii="宋体" w:hAnsi="宋体" w:cs="宋体"/>
          <w:kern w:val="0"/>
          <w:szCs w:val="21"/>
        </w:rPr>
        <w:t>0.6MPa</w:t>
      </w:r>
      <w:r>
        <w:rPr>
          <w:rFonts w:hint="eastAsia" w:ascii="宋体" w:hAnsi="宋体" w:cs="宋体"/>
          <w:kern w:val="0"/>
          <w:szCs w:val="21"/>
        </w:rPr>
        <w:t>。钻杆下沉速度</w:t>
      </w:r>
      <w:r>
        <w:rPr>
          <w:rFonts w:ascii="宋体" w:hAnsi="宋体" w:cs="宋体"/>
          <w:kern w:val="0"/>
          <w:szCs w:val="21"/>
        </w:rPr>
        <w:t>0.5m</w:t>
      </w:r>
      <w:r>
        <w:rPr>
          <w:rFonts w:hint="eastAsia" w:ascii="宋体" w:hAnsi="宋体" w:cs="宋体"/>
          <w:kern w:val="0"/>
          <w:szCs w:val="21"/>
        </w:rPr>
        <w:t>～</w:t>
      </w:r>
      <w:r>
        <w:rPr>
          <w:rFonts w:ascii="宋体" w:hAnsi="宋体" w:cs="宋体"/>
          <w:kern w:val="0"/>
          <w:szCs w:val="21"/>
        </w:rPr>
        <w:t>1.0m/min</w:t>
      </w:r>
      <w:r>
        <w:rPr>
          <w:rFonts w:hint="eastAsia" w:ascii="宋体" w:hAnsi="宋体" w:cs="宋体"/>
          <w:kern w:val="0"/>
          <w:szCs w:val="21"/>
        </w:rPr>
        <w:t>，提升速度</w:t>
      </w: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2m/min</w:t>
      </w:r>
      <w:r>
        <w:rPr>
          <w:rFonts w:hint="eastAsia" w:ascii="宋体" w:hAnsi="宋体" w:cs="宋体"/>
          <w:kern w:val="0"/>
          <w:szCs w:val="21"/>
        </w:rPr>
        <w:t>。采用跳打施工，采用两搅两喷，喷浆压力控制在</w:t>
      </w:r>
      <w:r>
        <w:rPr>
          <w:rFonts w:ascii="宋体" w:hAnsi="宋体" w:cs="宋体"/>
          <w:kern w:val="0"/>
          <w:szCs w:val="21"/>
        </w:rPr>
        <w:t>0.5</w:t>
      </w:r>
      <w:r>
        <w:rPr>
          <w:rFonts w:hint="eastAsia" w:ascii="宋体" w:hAnsi="宋体" w:cs="宋体"/>
          <w:kern w:val="0"/>
          <w:szCs w:val="21"/>
        </w:rPr>
        <w:t>～</w:t>
      </w:r>
      <w:r>
        <w:rPr>
          <w:rFonts w:ascii="宋体" w:hAnsi="宋体" w:cs="宋体"/>
          <w:kern w:val="0"/>
          <w:szCs w:val="21"/>
        </w:rPr>
        <w:t>0.8MPa</w:t>
      </w:r>
      <w:r>
        <w:rPr>
          <w:rFonts w:hint="eastAsia" w:ascii="宋体" w:hAnsi="宋体" w:cs="宋体"/>
          <w:kern w:val="0"/>
          <w:szCs w:val="21"/>
        </w:rPr>
        <w:t>左右，并以现场试桩取得具体施工参数。</w:t>
      </w:r>
    </w:p>
    <w:p>
      <w:pPr>
        <w:pStyle w:val="2"/>
        <w:ind w:firstLine="420"/>
        <w:rPr>
          <w:rFonts w:ascii="宋体" w:hAnsi="宋体" w:cs="宋体"/>
          <w:kern w:val="0"/>
          <w:szCs w:val="21"/>
        </w:rPr>
      </w:pPr>
      <w:r>
        <w:rPr>
          <w:rFonts w:hint="eastAsia" w:ascii="宋体" w:hAnsi="宋体" w:cs="宋体"/>
          <w:kern w:val="0"/>
          <w:szCs w:val="21"/>
        </w:rPr>
        <w:t>六、主要施工工艺和注意事项</w:t>
      </w:r>
      <w:r>
        <w:rPr>
          <w:rFonts w:ascii="宋体" w:hAnsi="宋体" w:cs="宋体"/>
          <w:kern w:val="0"/>
          <w:szCs w:val="21"/>
        </w:rPr>
        <w:t xml:space="preserve"> </w:t>
      </w:r>
    </w:p>
    <w:p>
      <w:pPr>
        <w:pStyle w:val="2"/>
        <w:ind w:firstLine="420"/>
        <w:rPr>
          <w:rFonts w:hint="eastAsia" w:ascii="宋体" w:hAnsi="宋体" w:cs="宋体"/>
          <w:kern w:val="0"/>
          <w:szCs w:val="21"/>
        </w:rPr>
      </w:pPr>
      <w:r>
        <w:rPr>
          <w:rFonts w:hint="eastAsia" w:ascii="宋体" w:hAnsi="宋体" w:cs="宋体"/>
          <w:kern w:val="0"/>
          <w:szCs w:val="21"/>
        </w:rPr>
        <w:t>各项支护结构及措施的施工工艺详图纸及相关规范。</w:t>
      </w:r>
    </w:p>
    <w:p>
      <w:pPr>
        <w:pStyle w:val="2"/>
        <w:ind w:firstLine="420"/>
        <w:rPr>
          <w:rFonts w:ascii="宋体" w:hAnsi="宋体" w:cs="宋体"/>
          <w:kern w:val="0"/>
          <w:szCs w:val="21"/>
        </w:rPr>
      </w:pPr>
      <w:r>
        <w:rPr>
          <w:rFonts w:hint="eastAsia" w:ascii="宋体" w:hAnsi="宋体" w:cs="宋体"/>
          <w:kern w:val="0"/>
          <w:szCs w:val="21"/>
        </w:rPr>
        <w:t>七、土方开挖注意事项</w:t>
      </w:r>
    </w:p>
    <w:p>
      <w:pPr>
        <w:pStyle w:val="2"/>
        <w:ind w:firstLine="420"/>
        <w:rPr>
          <w:rFonts w:ascii="宋体" w:hAnsi="宋体" w:cs="宋体"/>
          <w:kern w:val="0"/>
          <w:szCs w:val="21"/>
        </w:rPr>
      </w:pPr>
      <w:r>
        <w:rPr>
          <w:rFonts w:ascii="宋体" w:hAnsi="宋体" w:cs="宋体"/>
          <w:kern w:val="0"/>
          <w:szCs w:val="21"/>
        </w:rPr>
        <w:t xml:space="preserve"> 1</w:t>
      </w:r>
      <w:r>
        <w:rPr>
          <w:rFonts w:hint="eastAsia" w:ascii="宋体" w:hAnsi="宋体" w:cs="宋体"/>
          <w:kern w:val="0"/>
          <w:szCs w:val="21"/>
        </w:rPr>
        <w:t>、施工期间应注意地面和基坑内的引排水，避免冲刷基坑围挡、浸泡基坑。基坑外侧宜设置截水沟，基坑内侧可根据基坑渗水情况，沿基坑纵横向设置排水盲沟、集水井等排水措施。在基坑开挖过程中，应对地下围护结构间渗漏水进行封堵，避免造成地下水的大量流失而危及周边建（构）筑物的安全。</w:t>
      </w:r>
    </w:p>
    <w:p>
      <w:pPr>
        <w:pStyle w:val="2"/>
        <w:ind w:firstLine="420"/>
        <w:rPr>
          <w:rFonts w:ascii="宋体" w:hAnsi="宋体" w:cs="宋体"/>
          <w:kern w:val="0"/>
          <w:szCs w:val="21"/>
        </w:rPr>
      </w:pPr>
      <w:r>
        <w:rPr>
          <w:rFonts w:ascii="宋体" w:hAnsi="宋体" w:cs="宋体"/>
          <w:kern w:val="0"/>
          <w:szCs w:val="21"/>
        </w:rPr>
        <w:t xml:space="preserve"> 2</w:t>
      </w:r>
      <w:r>
        <w:rPr>
          <w:rFonts w:hint="eastAsia" w:ascii="宋体" w:hAnsi="宋体" w:cs="宋体"/>
          <w:kern w:val="0"/>
          <w:szCs w:val="21"/>
        </w:rPr>
        <w:t>、当基坑挖至支撑中心线标高以下</w:t>
      </w:r>
      <w:r>
        <w:rPr>
          <w:rFonts w:ascii="宋体" w:hAnsi="宋体" w:cs="宋体"/>
          <w:kern w:val="0"/>
          <w:szCs w:val="21"/>
        </w:rPr>
        <w:t>1.0</w:t>
      </w:r>
      <w:r>
        <w:rPr>
          <w:rFonts w:hint="eastAsia" w:ascii="宋体" w:hAnsi="宋体" w:cs="宋体"/>
          <w:kern w:val="0"/>
          <w:szCs w:val="21"/>
        </w:rPr>
        <w:t>米时，应及时安装混凝土支撑，混凝土支撑应根据规范要求做适当起拱，检查确认支撑的稳定性，安全后方可继续下挖施工。尤其要注意斜支撑的稳定性，在其制作、安装等每一环节均要做到精心作业。</w:t>
      </w:r>
    </w:p>
    <w:p>
      <w:pPr>
        <w:pStyle w:val="2"/>
        <w:ind w:firstLine="420"/>
        <w:rPr>
          <w:rFonts w:ascii="宋体" w:hAnsi="宋体" w:cs="宋体"/>
          <w:kern w:val="0"/>
          <w:szCs w:val="21"/>
        </w:rPr>
      </w:pPr>
      <w:r>
        <w:rPr>
          <w:rFonts w:ascii="宋体" w:hAnsi="宋体" w:cs="宋体"/>
          <w:kern w:val="0"/>
          <w:szCs w:val="21"/>
        </w:rPr>
        <w:t xml:space="preserve"> 3</w:t>
      </w:r>
      <w:r>
        <w:rPr>
          <w:rFonts w:hint="eastAsia" w:ascii="宋体" w:hAnsi="宋体" w:cs="宋体"/>
          <w:kern w:val="0"/>
          <w:szCs w:val="21"/>
        </w:rPr>
        <w:t>、基坑开挖过程中严禁大锅底开挖，在基坑未回填前，须采用基坑内持续降水、排水等消浮措施，避免水浮力对车站结构产生不利影响。</w:t>
      </w:r>
    </w:p>
    <w:p>
      <w:pPr>
        <w:pStyle w:val="2"/>
        <w:ind w:firstLine="420"/>
        <w:rPr>
          <w:rFonts w:ascii="宋体" w:hAnsi="宋体" w:cs="宋体"/>
          <w:kern w:val="0"/>
          <w:szCs w:val="21"/>
        </w:rPr>
      </w:pPr>
      <w:r>
        <w:rPr>
          <w:rFonts w:ascii="宋体" w:hAnsi="宋体" w:cs="宋体"/>
          <w:kern w:val="0"/>
          <w:szCs w:val="21"/>
        </w:rPr>
        <w:t xml:space="preserve"> 4</w:t>
      </w:r>
      <w:r>
        <w:rPr>
          <w:rFonts w:hint="eastAsia" w:ascii="宋体" w:hAnsi="宋体" w:cs="宋体"/>
          <w:kern w:val="0"/>
          <w:szCs w:val="21"/>
        </w:rPr>
        <w:t>、基坑开挖至距坑底</w:t>
      </w:r>
      <w:r>
        <w:rPr>
          <w:rFonts w:ascii="宋体" w:hAnsi="宋体" w:cs="宋体"/>
          <w:kern w:val="0"/>
          <w:szCs w:val="21"/>
        </w:rPr>
        <w:t>300mm</w:t>
      </w:r>
      <w:r>
        <w:rPr>
          <w:rFonts w:hint="eastAsia" w:ascii="宋体" w:hAnsi="宋体" w:cs="宋体"/>
          <w:kern w:val="0"/>
          <w:szCs w:val="21"/>
        </w:rPr>
        <w:t>时，必须人工挖除，避免基坑超挖，不允许欠挖。基坑开挖达到要求后应及时施筑接地网、垫层，严禁基底长时间暴露。</w:t>
      </w:r>
    </w:p>
    <w:p>
      <w:pPr>
        <w:pStyle w:val="2"/>
        <w:ind w:firstLine="420"/>
        <w:rPr>
          <w:rFonts w:ascii="宋体" w:hAnsi="宋体" w:cs="宋体"/>
          <w:kern w:val="0"/>
          <w:szCs w:val="21"/>
        </w:rPr>
      </w:pPr>
      <w:r>
        <w:rPr>
          <w:rFonts w:ascii="宋体" w:hAnsi="宋体" w:cs="宋体"/>
          <w:kern w:val="0"/>
          <w:szCs w:val="21"/>
        </w:rPr>
        <w:t xml:space="preserve"> 5</w:t>
      </w:r>
      <w:r>
        <w:rPr>
          <w:rFonts w:hint="eastAsia" w:ascii="宋体" w:hAnsi="宋体" w:cs="宋体"/>
          <w:kern w:val="0"/>
          <w:szCs w:val="21"/>
        </w:rPr>
        <w:t>、基坑开挖时如采用爆破，宜采用控制爆破，爆破作业必须由专业施工队伍进行，爆破施工必须遵守国家标准《爆破安全规程》（</w:t>
      </w:r>
      <w:r>
        <w:rPr>
          <w:rFonts w:ascii="宋体" w:hAnsi="宋体" w:cs="宋体"/>
          <w:kern w:val="0"/>
          <w:szCs w:val="21"/>
        </w:rPr>
        <w:t>GB6722-86</w:t>
      </w:r>
      <w:r>
        <w:rPr>
          <w:rFonts w:hint="eastAsia" w:ascii="宋体" w:hAnsi="宋体" w:cs="宋体"/>
          <w:kern w:val="0"/>
          <w:szCs w:val="21"/>
        </w:rPr>
        <w:t>）并获得市有关单位的批准。</w:t>
      </w:r>
    </w:p>
    <w:p>
      <w:pPr>
        <w:pStyle w:val="2"/>
        <w:ind w:firstLine="420"/>
        <w:rPr>
          <w:rFonts w:ascii="宋体" w:hAnsi="宋体" w:cs="宋体"/>
          <w:kern w:val="0"/>
          <w:szCs w:val="21"/>
        </w:rPr>
      </w:pPr>
      <w:r>
        <w:rPr>
          <w:rFonts w:ascii="宋体" w:hAnsi="宋体" w:cs="宋体"/>
          <w:kern w:val="0"/>
          <w:szCs w:val="21"/>
        </w:rPr>
        <w:t xml:space="preserve">      1</w:t>
      </w:r>
      <w:r>
        <w:rPr>
          <w:rFonts w:hint="eastAsia" w:ascii="宋体" w:hAnsi="宋体" w:cs="宋体"/>
          <w:kern w:val="0"/>
          <w:szCs w:val="21"/>
        </w:rPr>
        <w:t>）进行爆破时，应严格控制爆破震动、爆破飞石及爆破冲击，确保爆破不对周围人员、设备、建构筑物、支护结构等造成危害。</w:t>
      </w:r>
    </w:p>
    <w:p>
      <w:pPr>
        <w:pStyle w:val="2"/>
        <w:ind w:firstLine="420"/>
        <w:rPr>
          <w:rFonts w:ascii="宋体" w:hAnsi="宋体" w:cs="宋体"/>
          <w:kern w:val="0"/>
          <w:szCs w:val="21"/>
        </w:rPr>
      </w:pPr>
      <w:r>
        <w:rPr>
          <w:rFonts w:ascii="宋体" w:hAnsi="宋体" w:cs="宋体"/>
          <w:kern w:val="0"/>
          <w:szCs w:val="21"/>
        </w:rPr>
        <w:t xml:space="preserve">      2</w:t>
      </w:r>
      <w:r>
        <w:rPr>
          <w:rFonts w:hint="eastAsia" w:ascii="宋体" w:hAnsi="宋体" w:cs="宋体"/>
          <w:kern w:val="0"/>
          <w:szCs w:val="21"/>
        </w:rPr>
        <w:t>）基坑爆破宜采用浅孔爆破法，即炮孔直径不超过</w:t>
      </w:r>
      <w:r>
        <w:rPr>
          <w:rFonts w:ascii="宋体" w:hAnsi="宋体" w:cs="宋体"/>
          <w:kern w:val="0"/>
          <w:szCs w:val="21"/>
        </w:rPr>
        <w:t>50mm</w:t>
      </w:r>
      <w:r>
        <w:rPr>
          <w:rFonts w:hint="eastAsia" w:ascii="宋体" w:hAnsi="宋体" w:cs="宋体"/>
          <w:kern w:val="0"/>
          <w:szCs w:val="21"/>
        </w:rPr>
        <w:t>，炮孔深度不超过</w:t>
      </w:r>
      <w:r>
        <w:rPr>
          <w:rFonts w:ascii="宋体" w:hAnsi="宋体" w:cs="宋体"/>
          <w:kern w:val="0"/>
          <w:szCs w:val="21"/>
        </w:rPr>
        <w:t>5m</w:t>
      </w:r>
      <w:r>
        <w:rPr>
          <w:rFonts w:hint="eastAsia" w:ascii="宋体" w:hAnsi="宋体" w:cs="宋体"/>
          <w:kern w:val="0"/>
          <w:szCs w:val="21"/>
        </w:rPr>
        <w:t>的爆破方式。</w:t>
      </w:r>
    </w:p>
    <w:p>
      <w:pPr>
        <w:pStyle w:val="2"/>
        <w:ind w:firstLine="420"/>
        <w:rPr>
          <w:rFonts w:ascii="宋体" w:hAnsi="宋体" w:cs="宋体"/>
          <w:kern w:val="0"/>
          <w:szCs w:val="21"/>
        </w:rPr>
      </w:pPr>
      <w:r>
        <w:rPr>
          <w:rFonts w:ascii="宋体" w:hAnsi="宋体" w:cs="宋体"/>
          <w:kern w:val="0"/>
          <w:szCs w:val="21"/>
        </w:rPr>
        <w:t xml:space="preserve">      3</w:t>
      </w:r>
      <w:r>
        <w:rPr>
          <w:rFonts w:hint="eastAsia" w:ascii="宋体" w:hAnsi="宋体" w:cs="宋体"/>
          <w:kern w:val="0"/>
          <w:szCs w:val="21"/>
        </w:rPr>
        <w:t>）在水下或潮湿的条件下进行爆破时，宜采用抗水炸药，如使用易受潮的炸药、雷管和导火索等，必须采取防水措施。</w:t>
      </w:r>
    </w:p>
    <w:p>
      <w:pPr>
        <w:pStyle w:val="2"/>
        <w:ind w:firstLine="420"/>
        <w:rPr>
          <w:rFonts w:ascii="宋体" w:hAnsi="宋体" w:cs="宋体"/>
          <w:kern w:val="0"/>
          <w:szCs w:val="21"/>
        </w:rPr>
      </w:pPr>
      <w:r>
        <w:rPr>
          <w:rFonts w:ascii="宋体" w:hAnsi="宋体" w:cs="宋体"/>
          <w:kern w:val="0"/>
          <w:szCs w:val="21"/>
        </w:rPr>
        <w:t xml:space="preserve">      4)</w:t>
      </w:r>
      <w:r>
        <w:rPr>
          <w:rFonts w:hint="eastAsia" w:ascii="宋体" w:hAnsi="宋体" w:cs="宋体"/>
          <w:kern w:val="0"/>
          <w:szCs w:val="21"/>
        </w:rPr>
        <w:t>爆破施工距支护结构</w:t>
      </w:r>
      <w:r>
        <w:rPr>
          <w:rFonts w:ascii="宋体" w:hAnsi="宋体" w:cs="宋体"/>
          <w:kern w:val="0"/>
          <w:szCs w:val="21"/>
        </w:rPr>
        <w:t>3</w:t>
      </w:r>
      <w:r>
        <w:rPr>
          <w:rFonts w:hint="eastAsia" w:ascii="宋体" w:hAnsi="宋体" w:cs="宋体"/>
          <w:kern w:val="0"/>
          <w:szCs w:val="21"/>
        </w:rPr>
        <w:t>～</w:t>
      </w:r>
      <w:r>
        <w:rPr>
          <w:rFonts w:ascii="宋体" w:hAnsi="宋体" w:cs="宋体"/>
          <w:kern w:val="0"/>
          <w:szCs w:val="21"/>
        </w:rPr>
        <w:t>5m</w:t>
      </w:r>
      <w:r>
        <w:rPr>
          <w:rFonts w:hint="eastAsia" w:ascii="宋体" w:hAnsi="宋体" w:cs="宋体"/>
          <w:kern w:val="0"/>
          <w:szCs w:val="21"/>
        </w:rPr>
        <w:t>时，应采用适当的保护措施，如采用预裂爆破形成隔震带、创造良好临空面后采用精细微差爆破、机械破碎等，以保证支护结构的安全。</w:t>
      </w:r>
    </w:p>
    <w:p>
      <w:pPr>
        <w:pStyle w:val="2"/>
        <w:ind w:firstLine="420"/>
        <w:rPr>
          <w:rFonts w:ascii="宋体" w:hAnsi="宋体" w:cs="宋体"/>
          <w:kern w:val="0"/>
          <w:szCs w:val="21"/>
        </w:rPr>
      </w:pPr>
      <w:r>
        <w:rPr>
          <w:rFonts w:ascii="宋体" w:hAnsi="宋体" w:cs="宋体"/>
          <w:kern w:val="0"/>
          <w:szCs w:val="21"/>
        </w:rPr>
        <w:t xml:space="preserve">      5)</w:t>
      </w:r>
      <w:r>
        <w:rPr>
          <w:rFonts w:hint="eastAsia" w:ascii="宋体" w:hAnsi="宋体" w:cs="宋体"/>
          <w:kern w:val="0"/>
          <w:szCs w:val="21"/>
        </w:rPr>
        <w:t>基坑内钢筋混凝土内支撑的爆破拆除，宜在浇捣时预埋塑料管，拆除时在塑料管中装填炸药爆破。埋管可采用硬脂塑料管，直径宜大于</w:t>
      </w:r>
      <w:r>
        <w:rPr>
          <w:rFonts w:ascii="宋体" w:hAnsi="宋体" w:cs="宋体"/>
          <w:kern w:val="0"/>
          <w:szCs w:val="21"/>
        </w:rPr>
        <w:t>40mm</w:t>
      </w:r>
      <w:r>
        <w:rPr>
          <w:rFonts w:hint="eastAsia" w:ascii="宋体" w:hAnsi="宋体" w:cs="宋体"/>
          <w:kern w:val="0"/>
          <w:szCs w:val="21"/>
        </w:rPr>
        <w:t>，长度宜为构件高度的</w:t>
      </w:r>
      <w:r>
        <w:rPr>
          <w:rFonts w:ascii="宋体" w:hAnsi="宋体" w:cs="宋体"/>
          <w:kern w:val="0"/>
          <w:szCs w:val="21"/>
        </w:rPr>
        <w:t>2/3</w:t>
      </w:r>
      <w:r>
        <w:rPr>
          <w:rFonts w:hint="eastAsia" w:ascii="宋体" w:hAnsi="宋体" w:cs="宋体"/>
          <w:kern w:val="0"/>
          <w:szCs w:val="21"/>
        </w:rPr>
        <w:t>，沿构件中心线埋设，管距宜为构件宽度的</w:t>
      </w:r>
      <w:r>
        <w:rPr>
          <w:rFonts w:ascii="宋体" w:hAnsi="宋体" w:cs="宋体"/>
          <w:kern w:val="0"/>
          <w:szCs w:val="21"/>
        </w:rPr>
        <w:t>l/2</w:t>
      </w:r>
      <w:r>
        <w:rPr>
          <w:rFonts w:hint="eastAsia" w:ascii="宋体" w:hAnsi="宋体" w:cs="宋体"/>
          <w:kern w:val="0"/>
          <w:szCs w:val="21"/>
        </w:rPr>
        <w:t>。</w:t>
      </w:r>
      <w:r>
        <w:rPr>
          <w:rFonts w:ascii="宋体" w:hAnsi="宋体" w:cs="宋体"/>
          <w:kern w:val="0"/>
          <w:szCs w:val="21"/>
        </w:rPr>
        <w:t xml:space="preserve">    </w:t>
      </w:r>
    </w:p>
    <w:p>
      <w:pPr>
        <w:pStyle w:val="2"/>
        <w:ind w:firstLine="420"/>
        <w:rPr>
          <w:rFonts w:ascii="宋体" w:hAnsi="宋体" w:cs="宋体"/>
          <w:kern w:val="0"/>
          <w:szCs w:val="21"/>
        </w:rPr>
      </w:pPr>
      <w:r>
        <w:rPr>
          <w:rFonts w:ascii="宋体" w:hAnsi="宋体" w:cs="宋体"/>
          <w:kern w:val="0"/>
          <w:szCs w:val="21"/>
        </w:rPr>
        <w:t xml:space="preserve"> 6</w:t>
      </w:r>
      <w:r>
        <w:rPr>
          <w:rFonts w:hint="eastAsia" w:ascii="宋体" w:hAnsi="宋体" w:cs="宋体"/>
          <w:kern w:val="0"/>
          <w:szCs w:val="21"/>
        </w:rPr>
        <w:t>、软土基坑开挖：</w:t>
      </w:r>
    </w:p>
    <w:p>
      <w:pPr>
        <w:pStyle w:val="2"/>
        <w:ind w:firstLine="420"/>
        <w:rPr>
          <w:rFonts w:ascii="宋体" w:hAnsi="宋体" w:cs="宋体"/>
          <w:kern w:val="0"/>
          <w:szCs w:val="21"/>
        </w:rPr>
      </w:pPr>
      <w:r>
        <w:rPr>
          <w:rFonts w:ascii="宋体" w:hAnsi="宋体" w:cs="宋体"/>
          <w:kern w:val="0"/>
          <w:szCs w:val="21"/>
        </w:rPr>
        <w:t xml:space="preserve">      1</w:t>
      </w:r>
      <w:r>
        <w:rPr>
          <w:rFonts w:hint="eastAsia" w:ascii="宋体" w:hAnsi="宋体" w:cs="宋体"/>
          <w:kern w:val="0"/>
          <w:szCs w:val="21"/>
        </w:rPr>
        <w:t>）在土方开挖过程中，需要对已经施工的工程桩进行保护，桩两侧的土面高差不得大于</w:t>
      </w:r>
      <w:r>
        <w:rPr>
          <w:rFonts w:ascii="宋体" w:hAnsi="宋体" w:cs="宋体"/>
          <w:kern w:val="0"/>
          <w:szCs w:val="21"/>
        </w:rPr>
        <w:t>1m</w:t>
      </w:r>
      <w:r>
        <w:rPr>
          <w:rFonts w:hint="eastAsia" w:ascii="宋体" w:hAnsi="宋体" w:cs="宋体"/>
          <w:kern w:val="0"/>
          <w:szCs w:val="21"/>
        </w:rPr>
        <w:t>。施工机械的行走路线需要进行必要的换填加固和铺垫钢板处理，以免机械行走对已施工素砼桩造成侧挤变形。施工机械行走线路应进行专门设计，土方开挖可以考虑多采用长臂勾机，减少挖土机械对素砼桩区域的影响。</w:t>
      </w:r>
      <w:r>
        <w:rPr>
          <w:rFonts w:ascii="宋体" w:hAnsi="宋体" w:cs="宋体"/>
          <w:kern w:val="0"/>
          <w:szCs w:val="21"/>
        </w:rPr>
        <w:t xml:space="preserve">   </w:t>
      </w:r>
    </w:p>
    <w:p>
      <w:pPr>
        <w:pStyle w:val="2"/>
        <w:ind w:firstLine="420"/>
        <w:rPr>
          <w:rFonts w:ascii="宋体" w:hAnsi="宋体" w:cs="宋体"/>
          <w:kern w:val="0"/>
          <w:szCs w:val="21"/>
        </w:rPr>
      </w:pPr>
      <w:r>
        <w:rPr>
          <w:rFonts w:ascii="宋体" w:hAnsi="宋体" w:cs="宋体"/>
          <w:kern w:val="0"/>
          <w:szCs w:val="21"/>
        </w:rPr>
        <w:t xml:space="preserve">      2</w:t>
      </w:r>
      <w:r>
        <w:rPr>
          <w:rFonts w:hint="eastAsia" w:ascii="宋体" w:hAnsi="宋体" w:cs="宋体"/>
          <w:kern w:val="0"/>
          <w:szCs w:val="21"/>
        </w:rPr>
        <w:t>）出土口以及载重车辆行经的基坑坡顶区域，应采取铺设砖渣、搅拌桩复合地基等硬化地面的加固措施。</w:t>
      </w:r>
    </w:p>
    <w:p>
      <w:pPr>
        <w:pStyle w:val="2"/>
        <w:ind w:firstLine="420"/>
        <w:rPr>
          <w:rFonts w:ascii="宋体" w:hAnsi="宋体" w:cs="宋体"/>
          <w:kern w:val="0"/>
          <w:szCs w:val="21"/>
        </w:rPr>
      </w:pPr>
      <w:r>
        <w:rPr>
          <w:rFonts w:ascii="宋体" w:hAnsi="宋体" w:cs="宋体"/>
          <w:kern w:val="0"/>
          <w:szCs w:val="21"/>
        </w:rPr>
        <w:t xml:space="preserve"> 7</w:t>
      </w:r>
      <w:r>
        <w:rPr>
          <w:rFonts w:hint="eastAsia" w:ascii="宋体" w:hAnsi="宋体" w:cs="宋体"/>
          <w:kern w:val="0"/>
          <w:szCs w:val="21"/>
        </w:rPr>
        <w:t>、在施工过程中应根据现场施工实际情况与地质勘察资料进行核对，若有变化应立即通知监理、设计单位现场调整处理，以满足设计要求。</w:t>
      </w:r>
    </w:p>
    <w:p>
      <w:pPr>
        <w:pStyle w:val="2"/>
        <w:ind w:firstLine="420"/>
        <w:rPr>
          <w:rFonts w:ascii="宋体" w:hAnsi="宋体" w:cs="宋体"/>
          <w:kern w:val="0"/>
          <w:szCs w:val="21"/>
        </w:rPr>
      </w:pPr>
      <w:r>
        <w:rPr>
          <w:rFonts w:hint="eastAsia" w:ascii="宋体" w:hAnsi="宋体" w:cs="宋体"/>
          <w:kern w:val="0"/>
          <w:szCs w:val="21"/>
        </w:rPr>
        <w:t>八、基坑监测要求</w:t>
      </w:r>
    </w:p>
    <w:p>
      <w:pPr>
        <w:pStyle w:val="2"/>
        <w:ind w:firstLine="420"/>
        <w:rPr>
          <w:rFonts w:ascii="宋体" w:hAnsi="宋体" w:cs="宋体"/>
          <w:kern w:val="0"/>
          <w:szCs w:val="21"/>
        </w:rPr>
      </w:pPr>
      <w:r>
        <w:rPr>
          <w:rFonts w:ascii="宋体" w:hAnsi="宋体" w:cs="宋体"/>
          <w:kern w:val="0"/>
          <w:szCs w:val="21"/>
        </w:rPr>
        <w:t xml:space="preserve">    1</w:t>
      </w:r>
      <w:r>
        <w:rPr>
          <w:rFonts w:hint="eastAsia" w:ascii="宋体" w:hAnsi="宋体" w:cs="宋体"/>
          <w:kern w:val="0"/>
          <w:szCs w:val="21"/>
        </w:rPr>
        <w:t>、基坑工程施工必须贯彻</w:t>
      </w:r>
      <w:r>
        <w:rPr>
          <w:rFonts w:ascii="宋体" w:hAnsi="宋体" w:cs="宋体"/>
          <w:kern w:val="0"/>
          <w:szCs w:val="21"/>
        </w:rPr>
        <w:t>"</w:t>
      </w:r>
      <w:r>
        <w:rPr>
          <w:rFonts w:hint="eastAsia" w:ascii="宋体" w:hAnsi="宋体" w:cs="宋体"/>
          <w:kern w:val="0"/>
          <w:szCs w:val="21"/>
        </w:rPr>
        <w:t>信息化设计，信息化施工</w:t>
      </w:r>
      <w:r>
        <w:rPr>
          <w:rFonts w:ascii="宋体" w:hAnsi="宋体" w:cs="宋体"/>
          <w:kern w:val="0"/>
          <w:szCs w:val="21"/>
        </w:rPr>
        <w:t>"</w:t>
      </w:r>
      <w:r>
        <w:rPr>
          <w:rFonts w:hint="eastAsia" w:ascii="宋体" w:hAnsi="宋体" w:cs="宋体"/>
          <w:kern w:val="0"/>
          <w:szCs w:val="21"/>
        </w:rPr>
        <w:t>的原则</w:t>
      </w:r>
      <w:r>
        <w:rPr>
          <w:rFonts w:ascii="宋体" w:hAnsi="宋体" w:cs="宋体"/>
          <w:kern w:val="0"/>
          <w:szCs w:val="21"/>
        </w:rPr>
        <w:t>,</w:t>
      </w:r>
      <w:r>
        <w:rPr>
          <w:rFonts w:hint="eastAsia" w:ascii="宋体" w:hAnsi="宋体" w:cs="宋体"/>
          <w:kern w:val="0"/>
          <w:szCs w:val="21"/>
        </w:rPr>
        <w:t>因此应按照国标《建筑基坑工程监测技术规范</w:t>
      </w:r>
      <w:r>
        <w:rPr>
          <w:rFonts w:ascii="宋体" w:hAnsi="宋体" w:cs="宋体"/>
          <w:kern w:val="0"/>
          <w:szCs w:val="21"/>
        </w:rPr>
        <w:t>(GB 50497-2009)</w:t>
      </w:r>
      <w:r>
        <w:rPr>
          <w:rFonts w:hint="eastAsia" w:ascii="宋体" w:hAnsi="宋体" w:cs="宋体"/>
          <w:kern w:val="0"/>
          <w:szCs w:val="21"/>
        </w:rPr>
        <w:t>》</w:t>
      </w:r>
      <w:r>
        <w:rPr>
          <w:rFonts w:ascii="宋体" w:hAnsi="宋体" w:cs="宋体"/>
          <w:kern w:val="0"/>
          <w:szCs w:val="21"/>
        </w:rPr>
        <w:t xml:space="preserve"> </w:t>
      </w:r>
      <w:r>
        <w:rPr>
          <w:rFonts w:hint="eastAsia" w:ascii="宋体" w:hAnsi="宋体" w:cs="宋体"/>
          <w:kern w:val="0"/>
          <w:szCs w:val="21"/>
        </w:rPr>
        <w:t>要求的监测项目进行监测，及时获得最大水平位移和地面沉降等信息，来指导基坑支护结构设计和施工，确保基坑工程的顺利</w:t>
      </w:r>
      <w:r>
        <w:rPr>
          <w:rFonts w:ascii="宋体" w:hAnsi="宋体" w:cs="宋体"/>
          <w:kern w:val="0"/>
          <w:szCs w:val="21"/>
        </w:rPr>
        <w:t xml:space="preserve"> </w:t>
      </w:r>
      <w:r>
        <w:rPr>
          <w:rFonts w:hint="eastAsia" w:ascii="宋体" w:hAnsi="宋体" w:cs="宋体"/>
          <w:kern w:val="0"/>
          <w:szCs w:val="21"/>
        </w:rPr>
        <w:t>进行。对周边环境要加强监测，这包括：邻近建筑物的沉降、倾斜和裂缝及发生时间和发展过程的监测；邻近构筑物、道路、地下管网设施的沉降和变形监测；基坑开挖后的基底隆起观测；地下水位监测；肉眼巡视与裂缝观测。另外，有经验的工程师每天进行的肉眼巡视工作是很有意义的，主要对冠梁、邻近建筑物及邻近地面的裂缝、塌陷和支护结构工作失常、流土、渗漏或局部管涌等不良现象的发生和发展进行检查、记录和分析，形成有效的监测系统，使工程设计和施工设计紧密结合，以达到保证工程和周围环境安全和及时调整优化设计及施工的目的。</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2、如果出现异常情况，如变形过大或变形速率连续三天超过每天</w:t>
      </w:r>
      <w:r>
        <w:rPr>
          <w:rFonts w:ascii="宋体" w:hAnsi="宋体" w:cs="宋体"/>
          <w:kern w:val="0"/>
          <w:szCs w:val="21"/>
        </w:rPr>
        <w:t>5mm</w:t>
      </w:r>
      <w:r>
        <w:rPr>
          <w:rFonts w:hint="eastAsia" w:ascii="宋体" w:hAnsi="宋体" w:cs="宋体"/>
          <w:kern w:val="0"/>
          <w:szCs w:val="21"/>
        </w:rPr>
        <w:t>，则需加密观测，甚至连续观测。一级基坑水平和沉降位移累计</w:t>
      </w:r>
      <w:r>
        <w:rPr>
          <w:rFonts w:ascii="宋体" w:hAnsi="宋体" w:cs="宋体"/>
          <w:kern w:val="0"/>
          <w:szCs w:val="21"/>
        </w:rPr>
        <w:t>30mm</w:t>
      </w:r>
      <w:r>
        <w:rPr>
          <w:rFonts w:hint="eastAsia" w:ascii="宋体" w:hAnsi="宋体" w:cs="宋体"/>
          <w:kern w:val="0"/>
          <w:szCs w:val="21"/>
        </w:rPr>
        <w:t>，二级基坑水平和沉降位移累计</w:t>
      </w:r>
      <w:r>
        <w:rPr>
          <w:rFonts w:ascii="宋体" w:hAnsi="宋体" w:cs="宋体"/>
          <w:kern w:val="0"/>
          <w:szCs w:val="21"/>
        </w:rPr>
        <w:t>50mm</w:t>
      </w:r>
      <w:r>
        <w:rPr>
          <w:rFonts w:hint="eastAsia" w:ascii="宋体" w:hAnsi="宋体" w:cs="宋体"/>
          <w:kern w:val="0"/>
          <w:szCs w:val="21"/>
        </w:rPr>
        <w:t>，应召集设计、监理等有关部门会商，分析原因，必要时采取有效措施进行处理。</w:t>
      </w:r>
      <w:r>
        <w:rPr>
          <w:rFonts w:ascii="宋体" w:hAnsi="宋体" w:cs="宋体"/>
          <w:kern w:val="0"/>
          <w:szCs w:val="21"/>
        </w:rPr>
        <w:t xml:space="preserve"> </w:t>
      </w:r>
    </w:p>
    <w:p>
      <w:pPr>
        <w:pStyle w:val="2"/>
        <w:ind w:firstLine="420"/>
        <w:rPr>
          <w:rFonts w:ascii="宋体" w:hAnsi="宋体" w:cs="宋体"/>
          <w:kern w:val="0"/>
          <w:szCs w:val="21"/>
        </w:rPr>
      </w:pPr>
    </w:p>
    <w:p>
      <w:pPr>
        <w:pStyle w:val="2"/>
        <w:ind w:firstLine="409" w:firstLineChars="195"/>
        <w:rPr>
          <w:rFonts w:ascii="宋体" w:hAnsi="宋体" w:cs="宋体"/>
          <w:kern w:val="0"/>
          <w:szCs w:val="21"/>
        </w:rPr>
      </w:pPr>
      <w:r>
        <w:rPr>
          <w:rFonts w:hint="eastAsia" w:ascii="宋体" w:hAnsi="宋体" w:cs="宋体"/>
          <w:kern w:val="0"/>
          <w:szCs w:val="21"/>
        </w:rPr>
        <w:t>九、支护结构质量检测技术要求</w:t>
      </w:r>
    </w:p>
    <w:p>
      <w:pPr>
        <w:pStyle w:val="2"/>
        <w:ind w:firstLine="420"/>
        <w:rPr>
          <w:rFonts w:ascii="宋体" w:hAnsi="宋体" w:cs="宋体"/>
          <w:kern w:val="0"/>
          <w:szCs w:val="21"/>
        </w:rPr>
      </w:pPr>
      <w:r>
        <w:rPr>
          <w:rFonts w:ascii="宋体" w:hAnsi="宋体" w:cs="宋体"/>
          <w:kern w:val="0"/>
          <w:szCs w:val="21"/>
        </w:rPr>
        <w:t xml:space="preserve">  1</w:t>
      </w:r>
      <w:r>
        <w:rPr>
          <w:rFonts w:hint="eastAsia" w:ascii="宋体" w:hAnsi="宋体" w:cs="宋体"/>
          <w:kern w:val="0"/>
          <w:szCs w:val="21"/>
        </w:rPr>
        <w:t>、支护结构使用的水泥、钢筋等原材料和加工的成品，应按现行有关施工验收规范和标准进行检验。</w:t>
      </w:r>
    </w:p>
    <w:p>
      <w:pPr>
        <w:pStyle w:val="2"/>
        <w:ind w:firstLine="420"/>
        <w:rPr>
          <w:rFonts w:ascii="宋体" w:hAnsi="宋体" w:cs="宋体"/>
          <w:kern w:val="0"/>
          <w:szCs w:val="21"/>
        </w:rPr>
      </w:pPr>
      <w:r>
        <w:rPr>
          <w:rFonts w:ascii="宋体" w:hAnsi="宋体" w:cs="宋体"/>
          <w:kern w:val="0"/>
          <w:szCs w:val="21"/>
        </w:rPr>
        <w:t xml:space="preserve">  2</w:t>
      </w:r>
      <w:r>
        <w:rPr>
          <w:rFonts w:hint="eastAsia" w:ascii="宋体" w:hAnsi="宋体" w:cs="宋体"/>
          <w:kern w:val="0"/>
          <w:szCs w:val="21"/>
        </w:rPr>
        <w:t>、地下连续墙应采用声波透射法检测墙身结构完整性，检测墙幅数不宜少于总数的</w:t>
      </w:r>
      <w:r>
        <w:rPr>
          <w:rFonts w:ascii="宋体" w:hAnsi="宋体" w:cs="宋体"/>
          <w:kern w:val="0"/>
          <w:szCs w:val="21"/>
        </w:rPr>
        <w:t>20</w:t>
      </w:r>
      <w:r>
        <w:rPr>
          <w:rFonts w:hint="eastAsia" w:ascii="宋体" w:hAnsi="宋体" w:cs="宋体"/>
          <w:kern w:val="0"/>
          <w:szCs w:val="21"/>
        </w:rPr>
        <w:t>％，且不得少于</w:t>
      </w:r>
      <w:r>
        <w:rPr>
          <w:rFonts w:ascii="宋体" w:hAnsi="宋体" w:cs="宋体"/>
          <w:kern w:val="0"/>
          <w:szCs w:val="21"/>
        </w:rPr>
        <w:t>3</w:t>
      </w:r>
      <w:r>
        <w:rPr>
          <w:rFonts w:hint="eastAsia" w:ascii="宋体" w:hAnsi="宋体" w:cs="宋体"/>
          <w:kern w:val="0"/>
          <w:szCs w:val="21"/>
        </w:rPr>
        <w:t>幅，每幅地下连续墙预埋声测管数量不少于</w:t>
      </w:r>
      <w:r>
        <w:rPr>
          <w:rFonts w:ascii="宋体" w:hAnsi="宋体" w:cs="宋体"/>
          <w:kern w:val="0"/>
          <w:szCs w:val="21"/>
        </w:rPr>
        <w:t>4</w:t>
      </w:r>
      <w:r>
        <w:rPr>
          <w:rFonts w:hint="eastAsia" w:ascii="宋体" w:hAnsi="宋体" w:cs="宋体"/>
          <w:kern w:val="0"/>
          <w:szCs w:val="21"/>
        </w:rPr>
        <w:t>个。当根据声波透射法判定墙身质量不合格时，应采用钻芯法进行验</w:t>
      </w:r>
      <w:r>
        <w:rPr>
          <w:rFonts w:ascii="宋体" w:hAnsi="宋体" w:cs="宋体"/>
          <w:kern w:val="0"/>
          <w:szCs w:val="21"/>
        </w:rPr>
        <w:t xml:space="preserve">    </w:t>
      </w:r>
    </w:p>
    <w:p>
      <w:pPr>
        <w:pStyle w:val="2"/>
        <w:ind w:firstLine="420"/>
        <w:rPr>
          <w:rFonts w:ascii="宋体" w:hAnsi="宋体" w:cs="宋体"/>
          <w:kern w:val="0"/>
          <w:szCs w:val="21"/>
        </w:rPr>
      </w:pPr>
      <w:r>
        <w:rPr>
          <w:rFonts w:ascii="宋体" w:hAnsi="宋体" w:cs="宋体"/>
          <w:kern w:val="0"/>
          <w:szCs w:val="21"/>
        </w:rPr>
        <w:t xml:space="preserve">  3</w:t>
      </w:r>
      <w:r>
        <w:rPr>
          <w:rFonts w:hint="eastAsia" w:ascii="宋体" w:hAnsi="宋体" w:cs="宋体"/>
          <w:kern w:val="0"/>
          <w:szCs w:val="21"/>
        </w:rPr>
        <w:t>、止水帷幕检测：必须检测基坑周边止水帷幕的止水效果，应在基坑开挖前进行抽水试验检测。抽水试验点数不应少于</w:t>
      </w:r>
      <w:r>
        <w:rPr>
          <w:rFonts w:ascii="宋体" w:hAnsi="宋体" w:cs="宋体"/>
          <w:kern w:val="0"/>
          <w:szCs w:val="21"/>
        </w:rPr>
        <w:t>3</w:t>
      </w:r>
      <w:r>
        <w:rPr>
          <w:rFonts w:hint="eastAsia" w:ascii="宋体" w:hAnsi="宋体" w:cs="宋体"/>
          <w:kern w:val="0"/>
          <w:szCs w:val="21"/>
        </w:rPr>
        <w:t>点。</w:t>
      </w:r>
    </w:p>
    <w:p>
      <w:pPr>
        <w:pStyle w:val="2"/>
        <w:ind w:firstLine="420"/>
        <w:rPr>
          <w:rFonts w:ascii="宋体" w:hAnsi="宋体" w:cs="宋体"/>
          <w:kern w:val="0"/>
          <w:szCs w:val="21"/>
        </w:rPr>
      </w:pPr>
      <w:r>
        <w:rPr>
          <w:rFonts w:ascii="宋体" w:hAnsi="宋体" w:cs="宋体"/>
          <w:kern w:val="0"/>
          <w:szCs w:val="21"/>
        </w:rPr>
        <w:t xml:space="preserve">   4</w:t>
      </w:r>
      <w:r>
        <w:rPr>
          <w:rFonts w:hint="eastAsia" w:ascii="宋体" w:hAnsi="宋体" w:cs="宋体"/>
          <w:kern w:val="0"/>
          <w:szCs w:val="21"/>
        </w:rPr>
        <w:t>、喷射混凝土的质量检测应按下列要求进行：</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）面层喷射混凝土应进行强度试验，每</w:t>
      </w:r>
      <w:r>
        <w:rPr>
          <w:rFonts w:ascii="宋体" w:hAnsi="宋体" w:cs="宋体"/>
          <w:kern w:val="0"/>
          <w:szCs w:val="21"/>
        </w:rPr>
        <w:t>500</w:t>
      </w:r>
      <w:r>
        <w:rPr>
          <w:rFonts w:hint="eastAsia" w:ascii="宋体" w:hAnsi="宋体" w:cs="宋体"/>
          <w:kern w:val="0"/>
          <w:szCs w:val="21"/>
        </w:rPr>
        <w:t>平米喷射混凝土面积试验数量不应小于一组，每组试块不应小于</w:t>
      </w:r>
      <w:r>
        <w:rPr>
          <w:rFonts w:ascii="宋体" w:hAnsi="宋体" w:cs="宋体"/>
          <w:kern w:val="0"/>
          <w:szCs w:val="21"/>
        </w:rPr>
        <w:t>3</w:t>
      </w:r>
      <w:r>
        <w:rPr>
          <w:rFonts w:hint="eastAsia" w:ascii="宋体" w:hAnsi="宋体" w:cs="宋体"/>
          <w:kern w:val="0"/>
          <w:szCs w:val="21"/>
        </w:rPr>
        <w:t>个。</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）应对喷射混凝土面层厚度进行检测，每</w:t>
      </w:r>
      <w:r>
        <w:rPr>
          <w:rFonts w:ascii="宋体" w:hAnsi="宋体" w:cs="宋体"/>
          <w:kern w:val="0"/>
          <w:szCs w:val="21"/>
        </w:rPr>
        <w:t>500m</w:t>
      </w:r>
      <w:r>
        <w:rPr>
          <w:rFonts w:hint="eastAsia" w:ascii="宋体" w:hAnsi="宋体" w:cs="宋体"/>
          <w:kern w:val="0"/>
          <w:szCs w:val="21"/>
        </w:rPr>
        <w:t>平米</w:t>
      </w:r>
      <w:r>
        <w:rPr>
          <w:rFonts w:ascii="宋体" w:hAnsi="宋体" w:cs="宋体"/>
          <w:kern w:val="0"/>
          <w:szCs w:val="21"/>
        </w:rPr>
        <w:t>/</w:t>
      </w:r>
      <w:r>
        <w:rPr>
          <w:rFonts w:hint="eastAsia" w:ascii="宋体" w:hAnsi="宋体" w:cs="宋体"/>
          <w:kern w:val="0"/>
          <w:szCs w:val="21"/>
        </w:rPr>
        <w:t>喷射混凝土面积检测数量不应少于一组，每组的检测点不应少于</w:t>
      </w:r>
      <w:r>
        <w:rPr>
          <w:rFonts w:ascii="宋体" w:hAnsi="宋体" w:cs="宋体"/>
          <w:kern w:val="0"/>
          <w:szCs w:val="21"/>
        </w:rPr>
        <w:t>3</w:t>
      </w:r>
      <w:r>
        <w:rPr>
          <w:rFonts w:hint="eastAsia" w:ascii="宋体" w:hAnsi="宋体" w:cs="宋体"/>
          <w:kern w:val="0"/>
          <w:szCs w:val="21"/>
        </w:rPr>
        <w:t>个；全部检测点的面层厚度平均值不应小于厚度设计值，最小厚度不应小于厚度设计值的</w:t>
      </w:r>
      <w:r>
        <w:rPr>
          <w:rFonts w:ascii="宋体" w:hAnsi="宋体" w:cs="宋体"/>
          <w:kern w:val="0"/>
          <w:szCs w:val="21"/>
        </w:rPr>
        <w:t>80</w:t>
      </w:r>
      <w:r>
        <w:rPr>
          <w:rFonts w:hint="eastAsia" w:ascii="宋体" w:hAnsi="宋体" w:cs="宋体"/>
          <w:kern w:val="0"/>
          <w:szCs w:val="21"/>
        </w:rPr>
        <w:t>％。</w:t>
      </w:r>
    </w:p>
    <w:p>
      <w:pPr>
        <w:pStyle w:val="2"/>
        <w:ind w:firstLine="420"/>
        <w:rPr>
          <w:rFonts w:ascii="宋体" w:hAnsi="宋体" w:cs="宋体"/>
          <w:kern w:val="0"/>
          <w:szCs w:val="21"/>
        </w:rPr>
      </w:pPr>
      <w:r>
        <w:rPr>
          <w:rFonts w:ascii="宋体" w:hAnsi="宋体" w:cs="宋体"/>
          <w:kern w:val="0"/>
          <w:szCs w:val="21"/>
        </w:rPr>
        <w:t xml:space="preserve">   5</w:t>
      </w:r>
      <w:r>
        <w:rPr>
          <w:rFonts w:hint="eastAsia" w:ascii="宋体" w:hAnsi="宋体" w:cs="宋体"/>
          <w:kern w:val="0"/>
          <w:szCs w:val="21"/>
        </w:rPr>
        <w:t>、检测工作结束后应提交包括下列内容的质量检测报告：</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）工程和检测工作概况；</w:t>
      </w:r>
      <w:r>
        <w:rPr>
          <w:rFonts w:ascii="宋体" w:hAnsi="宋体" w:cs="宋体"/>
          <w:kern w:val="0"/>
          <w:szCs w:val="21"/>
        </w:rPr>
        <w:t xml:space="preserve">  </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）检测方法原理与仪器设备；</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）检测资料分析处理方法；</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）检测结论及建议。</w:t>
      </w:r>
    </w:p>
    <w:p>
      <w:pPr>
        <w:pStyle w:val="2"/>
        <w:ind w:firstLine="420"/>
        <w:rPr>
          <w:rFonts w:ascii="宋体" w:hAnsi="宋体" w:cs="宋体"/>
          <w:kern w:val="0"/>
          <w:szCs w:val="21"/>
        </w:rPr>
      </w:pPr>
      <w:r>
        <w:rPr>
          <w:rFonts w:ascii="宋体" w:hAnsi="宋体" w:cs="宋体"/>
          <w:kern w:val="0"/>
          <w:szCs w:val="21"/>
        </w:rPr>
        <w:t xml:space="preserve">   6</w:t>
      </w:r>
      <w:r>
        <w:rPr>
          <w:rFonts w:hint="eastAsia" w:ascii="宋体" w:hAnsi="宋体" w:cs="宋体"/>
          <w:kern w:val="0"/>
          <w:szCs w:val="21"/>
        </w:rPr>
        <w:t>、当检测结果不合格的数量大于或等于抽检数的</w:t>
      </w:r>
      <w:r>
        <w:rPr>
          <w:rFonts w:ascii="宋体" w:hAnsi="宋体" w:cs="宋体"/>
          <w:kern w:val="0"/>
          <w:szCs w:val="21"/>
        </w:rPr>
        <w:t>30</w:t>
      </w:r>
      <w:r>
        <w:rPr>
          <w:rFonts w:hint="eastAsia" w:ascii="宋体" w:hAnsi="宋体" w:cs="宋体"/>
          <w:kern w:val="0"/>
          <w:szCs w:val="21"/>
        </w:rPr>
        <w:t>％时，应加大检测数量，其检测方法和数量由质监部门组织设计</w:t>
      </w:r>
      <w:r>
        <w:rPr>
          <w:rFonts w:ascii="宋体" w:hAnsi="宋体" w:cs="宋体"/>
          <w:kern w:val="0"/>
          <w:szCs w:val="21"/>
        </w:rPr>
        <w:t xml:space="preserve"> </w:t>
      </w:r>
      <w:r>
        <w:rPr>
          <w:rFonts w:hint="eastAsia" w:ascii="宋体" w:hAnsi="宋体" w:cs="宋体"/>
          <w:kern w:val="0"/>
          <w:szCs w:val="21"/>
        </w:rPr>
        <w:t>、监理等人员根据实际情况确定，并根据检测结果提出处理意见。</w:t>
      </w:r>
    </w:p>
    <w:p>
      <w:pPr>
        <w:pStyle w:val="2"/>
        <w:ind w:firstLine="420"/>
        <w:rPr>
          <w:rFonts w:ascii="宋体" w:hAnsi="宋体" w:cs="宋体"/>
          <w:kern w:val="0"/>
          <w:szCs w:val="21"/>
        </w:rPr>
      </w:pPr>
      <w:r>
        <w:rPr>
          <w:rFonts w:hint="eastAsia" w:ascii="宋体" w:hAnsi="宋体" w:cs="宋体"/>
          <w:kern w:val="0"/>
          <w:szCs w:val="21"/>
        </w:rPr>
        <w:t>十、基坑施工注意事项</w:t>
      </w:r>
      <w:r>
        <w:rPr>
          <w:rFonts w:ascii="宋体" w:hAnsi="宋体" w:cs="宋体"/>
          <w:kern w:val="0"/>
          <w:szCs w:val="21"/>
        </w:rPr>
        <w:t xml:space="preserve"> </w:t>
      </w:r>
    </w:p>
    <w:p>
      <w:pPr>
        <w:pStyle w:val="2"/>
        <w:ind w:firstLine="420"/>
        <w:rPr>
          <w:rFonts w:ascii="宋体" w:hAnsi="宋体" w:cs="宋体"/>
          <w:kern w:val="0"/>
          <w:szCs w:val="21"/>
        </w:rPr>
      </w:pPr>
      <w:r>
        <w:rPr>
          <w:rFonts w:ascii="宋体" w:hAnsi="宋体" w:cs="宋体"/>
          <w:kern w:val="0"/>
          <w:szCs w:val="21"/>
        </w:rPr>
        <w:t xml:space="preserve">    1</w:t>
      </w:r>
      <w:r>
        <w:rPr>
          <w:rFonts w:hint="eastAsia" w:ascii="宋体" w:hAnsi="宋体" w:cs="宋体"/>
          <w:kern w:val="0"/>
          <w:szCs w:val="21"/>
        </w:rPr>
        <w:t>、基坑开挖应根据本基坑支护结构设计和截排水要求，制定详细的施工开挖方案。</w:t>
      </w:r>
      <w:r>
        <w:rPr>
          <w:rFonts w:ascii="宋体" w:hAnsi="宋体" w:cs="宋体"/>
          <w:kern w:val="0"/>
          <w:szCs w:val="21"/>
        </w:rPr>
        <w:t xml:space="preserve"> </w:t>
      </w:r>
    </w:p>
    <w:p>
      <w:pPr>
        <w:pStyle w:val="2"/>
        <w:ind w:firstLine="420"/>
        <w:rPr>
          <w:rFonts w:ascii="宋体" w:hAnsi="宋体" w:cs="宋体"/>
          <w:kern w:val="0"/>
          <w:szCs w:val="21"/>
        </w:rPr>
      </w:pPr>
      <w:r>
        <w:rPr>
          <w:rFonts w:ascii="宋体" w:hAnsi="宋体" w:cs="宋体"/>
          <w:kern w:val="0"/>
          <w:szCs w:val="21"/>
        </w:rPr>
        <w:t xml:space="preserve">    2</w:t>
      </w:r>
      <w:r>
        <w:rPr>
          <w:rFonts w:hint="eastAsia" w:ascii="宋体" w:hAnsi="宋体" w:cs="宋体"/>
          <w:kern w:val="0"/>
          <w:szCs w:val="21"/>
        </w:rPr>
        <w:t>、基坑周边严禁超堆荷载，基坑周边</w:t>
      </w:r>
      <w:r>
        <w:rPr>
          <w:rFonts w:ascii="宋体" w:hAnsi="宋体" w:cs="宋体"/>
          <w:kern w:val="0"/>
          <w:szCs w:val="21"/>
        </w:rPr>
        <w:t>2m</w:t>
      </w:r>
      <w:r>
        <w:rPr>
          <w:rFonts w:hint="eastAsia" w:ascii="宋体" w:hAnsi="宋体" w:cs="宋体"/>
          <w:kern w:val="0"/>
          <w:szCs w:val="21"/>
        </w:rPr>
        <w:t>内不得堆载，</w:t>
      </w:r>
      <w:r>
        <w:rPr>
          <w:rFonts w:ascii="宋体" w:hAnsi="宋体" w:cs="宋体"/>
          <w:kern w:val="0"/>
          <w:szCs w:val="21"/>
        </w:rPr>
        <w:t>2m</w:t>
      </w:r>
      <w:r>
        <w:rPr>
          <w:rFonts w:hint="eastAsia" w:ascii="宋体" w:hAnsi="宋体" w:cs="宋体"/>
          <w:kern w:val="0"/>
          <w:szCs w:val="21"/>
        </w:rPr>
        <w:t>外堆载不得超过</w:t>
      </w:r>
      <w:r>
        <w:rPr>
          <w:rFonts w:ascii="宋体" w:hAnsi="宋体" w:cs="宋体"/>
          <w:kern w:val="0"/>
          <w:szCs w:val="21"/>
        </w:rPr>
        <w:t>20kPa</w:t>
      </w:r>
      <w:r>
        <w:rPr>
          <w:rFonts w:hint="eastAsia" w:ascii="宋体" w:hAnsi="宋体" w:cs="宋体"/>
          <w:kern w:val="0"/>
          <w:szCs w:val="21"/>
        </w:rPr>
        <w:t>。</w:t>
      </w:r>
      <w:r>
        <w:rPr>
          <w:rFonts w:ascii="宋体" w:hAnsi="宋体" w:cs="宋体"/>
          <w:kern w:val="0"/>
          <w:szCs w:val="21"/>
        </w:rPr>
        <w:t xml:space="preserve"> </w:t>
      </w:r>
      <w:r>
        <w:rPr>
          <w:rFonts w:hint="eastAsia" w:ascii="宋体" w:hAnsi="宋体" w:cs="宋体"/>
          <w:kern w:val="0"/>
          <w:szCs w:val="21"/>
        </w:rPr>
        <w:t>材料加工场地距基坑边应大于</w:t>
      </w:r>
      <w:r>
        <w:rPr>
          <w:rFonts w:ascii="宋体" w:hAnsi="宋体" w:cs="宋体"/>
          <w:kern w:val="0"/>
          <w:szCs w:val="21"/>
        </w:rPr>
        <w:t>20m</w:t>
      </w:r>
      <w:r>
        <w:rPr>
          <w:rFonts w:hint="eastAsia" w:ascii="宋体" w:hAnsi="宋体" w:cs="宋体"/>
          <w:kern w:val="0"/>
          <w:szCs w:val="21"/>
        </w:rPr>
        <w:t>。为了基坑安全，基坑坡顶四周</w:t>
      </w:r>
      <w:r>
        <w:rPr>
          <w:rFonts w:ascii="宋体" w:hAnsi="宋体" w:cs="宋体"/>
          <w:kern w:val="0"/>
          <w:szCs w:val="21"/>
        </w:rPr>
        <w:t>10m</w:t>
      </w:r>
      <w:r>
        <w:rPr>
          <w:rFonts w:hint="eastAsia" w:ascii="宋体" w:hAnsi="宋体" w:cs="宋体"/>
          <w:kern w:val="0"/>
          <w:szCs w:val="21"/>
        </w:rPr>
        <w:t>范围内应设置</w:t>
      </w:r>
      <w:r>
        <w:rPr>
          <w:rFonts w:ascii="宋体" w:hAnsi="宋体" w:cs="宋体"/>
          <w:kern w:val="0"/>
          <w:szCs w:val="21"/>
        </w:rPr>
        <w:t xml:space="preserve"> </w:t>
      </w:r>
      <w:r>
        <w:rPr>
          <w:rFonts w:hint="eastAsia" w:ascii="宋体" w:hAnsi="宋体" w:cs="宋体"/>
          <w:kern w:val="0"/>
          <w:szCs w:val="21"/>
        </w:rPr>
        <w:t>明显的限载标识，如果确实要超过限载进行堆载，则必须对堆载区域进行加固处理，以堆载不对基坑安全造成影响为准。</w:t>
      </w:r>
      <w:r>
        <w:rPr>
          <w:rFonts w:ascii="宋体" w:hAnsi="宋体" w:cs="宋体"/>
          <w:kern w:val="0"/>
          <w:szCs w:val="21"/>
        </w:rPr>
        <w:t xml:space="preserve"> </w:t>
      </w:r>
    </w:p>
    <w:p>
      <w:pPr>
        <w:pStyle w:val="2"/>
        <w:ind w:firstLine="420"/>
        <w:rPr>
          <w:rFonts w:ascii="宋体" w:hAnsi="宋体" w:cs="宋体"/>
          <w:kern w:val="0"/>
          <w:szCs w:val="21"/>
        </w:rPr>
      </w:pPr>
      <w:r>
        <w:rPr>
          <w:rFonts w:ascii="宋体" w:hAnsi="宋体" w:cs="宋体"/>
          <w:kern w:val="0"/>
          <w:szCs w:val="21"/>
        </w:rPr>
        <w:t xml:space="preserve">    3</w:t>
      </w:r>
      <w:r>
        <w:rPr>
          <w:rFonts w:hint="eastAsia" w:ascii="宋体" w:hAnsi="宋体" w:cs="宋体"/>
          <w:kern w:val="0"/>
          <w:szCs w:val="21"/>
        </w:rPr>
        <w:t>、基坑边界周围地面应作硬地化处理并设排水沟，且应避免漏水、渗水进入坑内。</w:t>
      </w:r>
      <w:r>
        <w:rPr>
          <w:rFonts w:ascii="宋体" w:hAnsi="宋体" w:cs="宋体"/>
          <w:kern w:val="0"/>
          <w:szCs w:val="21"/>
        </w:rPr>
        <w:t xml:space="preserve"> </w:t>
      </w:r>
    </w:p>
    <w:p>
      <w:pPr>
        <w:pStyle w:val="2"/>
        <w:ind w:firstLine="420"/>
        <w:rPr>
          <w:rFonts w:ascii="宋体" w:hAnsi="宋体" w:cs="宋体"/>
          <w:kern w:val="0"/>
          <w:szCs w:val="21"/>
        </w:rPr>
      </w:pPr>
      <w:r>
        <w:rPr>
          <w:rFonts w:ascii="宋体" w:hAnsi="宋体" w:cs="宋体"/>
          <w:kern w:val="0"/>
          <w:szCs w:val="21"/>
        </w:rPr>
        <w:t xml:space="preserve">    4</w:t>
      </w:r>
      <w:r>
        <w:rPr>
          <w:rFonts w:hint="eastAsia" w:ascii="宋体" w:hAnsi="宋体" w:cs="宋体"/>
          <w:kern w:val="0"/>
          <w:szCs w:val="21"/>
        </w:rPr>
        <w:t>、基坑开挖过程中，做好挖土机械、车辆的通道布置、挖土的顺序及周围堆土位置安排，应采取措施防止碰撞支护结构、工程桩或扰动基底原状土，损坏截水帷幕。</w:t>
      </w:r>
      <w:r>
        <w:rPr>
          <w:rFonts w:ascii="宋体" w:hAnsi="宋体" w:cs="宋体"/>
          <w:kern w:val="0"/>
          <w:szCs w:val="21"/>
        </w:rPr>
        <w:t xml:space="preserve"> </w:t>
      </w:r>
    </w:p>
    <w:p>
      <w:pPr>
        <w:pStyle w:val="2"/>
        <w:ind w:firstLine="420"/>
        <w:rPr>
          <w:rFonts w:ascii="宋体" w:hAnsi="宋体" w:cs="宋体"/>
          <w:kern w:val="0"/>
          <w:szCs w:val="21"/>
        </w:rPr>
      </w:pPr>
      <w:r>
        <w:rPr>
          <w:rFonts w:ascii="宋体" w:hAnsi="宋体" w:cs="宋体"/>
          <w:kern w:val="0"/>
          <w:szCs w:val="21"/>
        </w:rPr>
        <w:t xml:space="preserve">    5</w:t>
      </w:r>
      <w:r>
        <w:rPr>
          <w:rFonts w:hint="eastAsia" w:ascii="宋体" w:hAnsi="宋体" w:cs="宋体"/>
          <w:kern w:val="0"/>
          <w:szCs w:val="21"/>
        </w:rPr>
        <w:t>、施工中机具设备停放的位置必须平稳，大、中型施工机具距坑边距离应根据设备重量、基坑支撑情况、土质情况等，经计算确定。</w:t>
      </w:r>
      <w:r>
        <w:rPr>
          <w:rFonts w:ascii="宋体" w:hAnsi="宋体" w:cs="宋体"/>
          <w:kern w:val="0"/>
          <w:szCs w:val="21"/>
        </w:rPr>
        <w:t xml:space="preserve"> </w:t>
      </w:r>
    </w:p>
    <w:p>
      <w:pPr>
        <w:pStyle w:val="2"/>
        <w:ind w:firstLine="420"/>
        <w:rPr>
          <w:rFonts w:ascii="宋体" w:hAnsi="宋体" w:cs="宋体"/>
          <w:kern w:val="0"/>
          <w:szCs w:val="21"/>
        </w:rPr>
      </w:pPr>
      <w:r>
        <w:rPr>
          <w:rFonts w:ascii="宋体" w:hAnsi="宋体" w:cs="宋体"/>
          <w:kern w:val="0"/>
          <w:szCs w:val="21"/>
        </w:rPr>
        <w:t xml:space="preserve">    6</w:t>
      </w:r>
      <w:r>
        <w:rPr>
          <w:rFonts w:hint="eastAsia" w:ascii="宋体" w:hAnsi="宋体" w:cs="宋体"/>
          <w:kern w:val="0"/>
          <w:szCs w:val="21"/>
        </w:rPr>
        <w:t>、在基坑挖土施工过程中，由专人作检查、观测，发生异常情况时，应立即停止挖土，并应立即查清原因和采取措施后，方能继续挖土。</w:t>
      </w:r>
    </w:p>
    <w:p>
      <w:pPr>
        <w:pStyle w:val="2"/>
        <w:ind w:firstLine="420"/>
        <w:rPr>
          <w:rFonts w:ascii="宋体" w:hAnsi="宋体" w:cs="宋体"/>
          <w:kern w:val="0"/>
          <w:szCs w:val="21"/>
        </w:rPr>
      </w:pPr>
      <w:r>
        <w:rPr>
          <w:rFonts w:ascii="宋体" w:hAnsi="宋体" w:cs="宋体"/>
          <w:kern w:val="0"/>
          <w:szCs w:val="21"/>
        </w:rPr>
        <w:t xml:space="preserve">    7</w:t>
      </w:r>
      <w:r>
        <w:rPr>
          <w:rFonts w:hint="eastAsia" w:ascii="宋体" w:hAnsi="宋体" w:cs="宋体"/>
          <w:kern w:val="0"/>
          <w:szCs w:val="21"/>
        </w:rPr>
        <w:t>、基坑开挖到坑底应及时换填并浇筑封底混凝土。地下室结构在施工过程中应及时进行夯实回填土施工。墙与支护结构之间的空隙应排除积水，清除虚土和建筑垃圾，填土分层夯实。</w:t>
      </w:r>
      <w:r>
        <w:rPr>
          <w:rFonts w:ascii="宋体" w:hAnsi="宋体" w:cs="宋体"/>
          <w:kern w:val="0"/>
          <w:szCs w:val="21"/>
        </w:rPr>
        <w:t xml:space="preserve">   </w:t>
      </w:r>
    </w:p>
    <w:p>
      <w:pPr>
        <w:pStyle w:val="2"/>
        <w:ind w:firstLine="420"/>
        <w:rPr>
          <w:rFonts w:ascii="宋体" w:hAnsi="宋体" w:cs="宋体"/>
          <w:kern w:val="0"/>
          <w:szCs w:val="21"/>
        </w:rPr>
      </w:pPr>
      <w:r>
        <w:rPr>
          <w:rFonts w:ascii="宋体" w:hAnsi="宋体" w:cs="宋体"/>
          <w:kern w:val="0"/>
          <w:szCs w:val="21"/>
        </w:rPr>
        <w:t xml:space="preserve">    8</w:t>
      </w:r>
      <w:r>
        <w:rPr>
          <w:rFonts w:hint="eastAsia" w:ascii="宋体" w:hAnsi="宋体" w:cs="宋体"/>
          <w:kern w:val="0"/>
          <w:szCs w:val="21"/>
        </w:rPr>
        <w:t>、基坑开挖到底后按设计要求设置截水沟，每间隔</w:t>
      </w:r>
      <w:r>
        <w:rPr>
          <w:rFonts w:ascii="宋体" w:hAnsi="宋体" w:cs="宋体"/>
          <w:kern w:val="0"/>
          <w:szCs w:val="21"/>
        </w:rPr>
        <w:t>25m</w:t>
      </w:r>
      <w:r>
        <w:rPr>
          <w:rFonts w:hint="eastAsia" w:ascii="宋体" w:hAnsi="宋体" w:cs="宋体"/>
          <w:kern w:val="0"/>
          <w:szCs w:val="21"/>
        </w:rPr>
        <w:t>设置一个长宽各</w:t>
      </w:r>
      <w:r>
        <w:rPr>
          <w:rFonts w:ascii="宋体" w:hAnsi="宋体" w:cs="宋体"/>
          <w:kern w:val="0"/>
          <w:szCs w:val="21"/>
        </w:rPr>
        <w:t>1000</w:t>
      </w:r>
      <w:r>
        <w:rPr>
          <w:rFonts w:hint="eastAsia" w:ascii="宋体" w:hAnsi="宋体" w:cs="宋体"/>
          <w:kern w:val="0"/>
          <w:szCs w:val="21"/>
        </w:rPr>
        <w:t>，深</w:t>
      </w:r>
      <w:r>
        <w:rPr>
          <w:rFonts w:ascii="宋体" w:hAnsi="宋体" w:cs="宋体"/>
          <w:kern w:val="0"/>
          <w:szCs w:val="21"/>
        </w:rPr>
        <w:t>1000</w:t>
      </w:r>
      <w:r>
        <w:rPr>
          <w:rFonts w:hint="eastAsia" w:ascii="宋体" w:hAnsi="宋体" w:cs="宋体"/>
          <w:kern w:val="0"/>
          <w:szCs w:val="21"/>
        </w:rPr>
        <w:t>的集水井。</w:t>
      </w:r>
    </w:p>
    <w:p>
      <w:pPr>
        <w:pStyle w:val="2"/>
        <w:ind w:firstLine="420"/>
        <w:rPr>
          <w:rFonts w:ascii="宋体" w:hAnsi="宋体" w:cs="宋体"/>
          <w:kern w:val="0"/>
          <w:szCs w:val="21"/>
        </w:rPr>
      </w:pPr>
      <w:r>
        <w:rPr>
          <w:rFonts w:ascii="宋体" w:hAnsi="宋体" w:cs="宋体"/>
          <w:kern w:val="0"/>
          <w:szCs w:val="21"/>
        </w:rPr>
        <w:t xml:space="preserve">    9</w:t>
      </w:r>
      <w:r>
        <w:rPr>
          <w:rFonts w:hint="eastAsia" w:ascii="宋体" w:hAnsi="宋体" w:cs="宋体"/>
          <w:kern w:val="0"/>
          <w:szCs w:val="21"/>
        </w:rPr>
        <w:t>、基坑周边要求设置护栏，以保证施工人员的安全。</w:t>
      </w:r>
      <w:r>
        <w:rPr>
          <w:rFonts w:ascii="宋体" w:hAnsi="宋体" w:cs="宋体"/>
          <w:kern w:val="0"/>
          <w:szCs w:val="21"/>
        </w:rPr>
        <w:t xml:space="preserve">  </w:t>
      </w:r>
    </w:p>
    <w:p>
      <w:pPr>
        <w:pStyle w:val="2"/>
        <w:ind w:firstLine="420"/>
        <w:rPr>
          <w:rFonts w:ascii="宋体" w:hAnsi="宋体" w:cs="宋体"/>
          <w:kern w:val="0"/>
          <w:szCs w:val="21"/>
        </w:rPr>
      </w:pPr>
      <w:r>
        <w:rPr>
          <w:rFonts w:ascii="宋体" w:hAnsi="宋体" w:cs="宋体"/>
          <w:kern w:val="0"/>
          <w:szCs w:val="21"/>
        </w:rPr>
        <w:t xml:space="preserve">    10</w:t>
      </w:r>
      <w:r>
        <w:rPr>
          <w:rFonts w:hint="eastAsia" w:ascii="宋体" w:hAnsi="宋体" w:cs="宋体"/>
          <w:kern w:val="0"/>
          <w:szCs w:val="21"/>
        </w:rPr>
        <w:t>、基坑回填建议采用素土回填，压实系数要求</w:t>
      </w:r>
      <w:r>
        <w:rPr>
          <w:rFonts w:ascii="宋体" w:hAnsi="宋体" w:cs="宋体"/>
          <w:kern w:val="0"/>
          <w:szCs w:val="21"/>
        </w:rPr>
        <w:t>0.90</w:t>
      </w:r>
      <w:r>
        <w:rPr>
          <w:rFonts w:hint="eastAsia" w:ascii="宋体" w:hAnsi="宋体" w:cs="宋体"/>
          <w:kern w:val="0"/>
          <w:szCs w:val="21"/>
        </w:rPr>
        <w:t>。</w:t>
      </w:r>
      <w:r>
        <w:rPr>
          <w:rFonts w:ascii="宋体" w:hAnsi="宋体" w:cs="宋体"/>
          <w:kern w:val="0"/>
          <w:szCs w:val="21"/>
        </w:rPr>
        <w:t xml:space="preserve"> </w:t>
      </w:r>
    </w:p>
    <w:p>
      <w:pPr>
        <w:pStyle w:val="2"/>
        <w:ind w:firstLine="420"/>
        <w:rPr>
          <w:rFonts w:ascii="宋体" w:hAnsi="宋体" w:cs="宋体"/>
          <w:kern w:val="0"/>
          <w:szCs w:val="21"/>
        </w:rPr>
      </w:pPr>
      <w:r>
        <w:rPr>
          <w:rFonts w:ascii="宋体" w:hAnsi="宋体" w:cs="宋体"/>
          <w:kern w:val="0"/>
          <w:szCs w:val="21"/>
        </w:rPr>
        <w:t xml:space="preserve">    11</w:t>
      </w:r>
      <w:r>
        <w:rPr>
          <w:rFonts w:hint="eastAsia" w:ascii="宋体" w:hAnsi="宋体" w:cs="宋体"/>
          <w:kern w:val="0"/>
          <w:szCs w:val="21"/>
        </w:rPr>
        <w:t>、由于震动荷载对基坑边坡的安全影响非常明显，因此要求进出场地的道路尽可能与支护边垂直，如果要平行设置临时道路，则应离开基坑坡顶不小于</w:t>
      </w:r>
      <w:r>
        <w:rPr>
          <w:rFonts w:ascii="宋体" w:hAnsi="宋体" w:cs="宋体"/>
          <w:kern w:val="0"/>
          <w:szCs w:val="21"/>
        </w:rPr>
        <w:t>5m</w:t>
      </w:r>
      <w:r>
        <w:rPr>
          <w:rFonts w:hint="eastAsia" w:ascii="宋体" w:hAnsi="宋体" w:cs="宋体"/>
          <w:kern w:val="0"/>
          <w:szCs w:val="21"/>
        </w:rPr>
        <w:t>。</w:t>
      </w:r>
    </w:p>
    <w:p>
      <w:pPr>
        <w:pStyle w:val="2"/>
        <w:ind w:firstLine="420"/>
        <w:rPr>
          <w:rFonts w:ascii="宋体" w:hAnsi="宋体" w:cs="宋体"/>
          <w:kern w:val="0"/>
          <w:szCs w:val="21"/>
        </w:rPr>
      </w:pPr>
      <w:r>
        <w:rPr>
          <w:rFonts w:ascii="宋体" w:hAnsi="宋体" w:cs="宋体"/>
          <w:kern w:val="0"/>
          <w:szCs w:val="21"/>
        </w:rPr>
        <w:t xml:space="preserve">  12</w:t>
      </w:r>
      <w:r>
        <w:rPr>
          <w:rFonts w:hint="eastAsia" w:ascii="宋体" w:hAnsi="宋体" w:cs="宋体"/>
          <w:kern w:val="0"/>
          <w:szCs w:val="21"/>
        </w:rPr>
        <w:t>、土方开挖阶段基坑纵向容易发生失稳</w:t>
      </w:r>
      <w:r>
        <w:rPr>
          <w:rFonts w:ascii="宋体" w:hAnsi="宋体" w:cs="宋体"/>
          <w:kern w:val="0"/>
          <w:szCs w:val="21"/>
        </w:rPr>
        <w:t xml:space="preserve"> </w:t>
      </w:r>
      <w:r>
        <w:rPr>
          <w:rFonts w:hint="eastAsia" w:ascii="宋体" w:hAnsi="宋体" w:cs="宋体"/>
          <w:kern w:val="0"/>
          <w:szCs w:val="21"/>
        </w:rPr>
        <w:t>，要求基坑开挖时，临时形成的挖方边坡坡率应小于</w:t>
      </w: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w:t>
      </w:r>
    </w:p>
    <w:p>
      <w:pPr>
        <w:pStyle w:val="2"/>
        <w:ind w:firstLine="420"/>
        <w:rPr>
          <w:rFonts w:ascii="宋体" w:hAnsi="宋体" w:cs="宋体"/>
          <w:kern w:val="0"/>
          <w:szCs w:val="21"/>
        </w:rPr>
      </w:pPr>
      <w:r>
        <w:rPr>
          <w:rFonts w:ascii="宋体" w:hAnsi="宋体" w:cs="宋体"/>
          <w:kern w:val="0"/>
          <w:szCs w:val="21"/>
        </w:rPr>
        <w:t xml:space="preserve">  13</w:t>
      </w:r>
      <w:r>
        <w:rPr>
          <w:rFonts w:hint="eastAsia" w:ascii="宋体" w:hAnsi="宋体" w:cs="宋体"/>
          <w:kern w:val="0"/>
          <w:szCs w:val="21"/>
        </w:rPr>
        <w:t>、位于各分区分界线上的支护桩，以总桩长相对长的分区进行施工。</w:t>
      </w:r>
      <w:r>
        <w:rPr>
          <w:rFonts w:ascii="宋体" w:hAnsi="宋体" w:cs="宋体"/>
          <w:kern w:val="0"/>
          <w:szCs w:val="21"/>
        </w:rPr>
        <w:t xml:space="preserve"> </w:t>
      </w:r>
    </w:p>
    <w:p>
      <w:pPr>
        <w:pStyle w:val="2"/>
        <w:ind w:firstLine="420"/>
        <w:rPr>
          <w:rFonts w:ascii="宋体" w:hAnsi="宋体" w:cs="宋体"/>
          <w:kern w:val="0"/>
          <w:szCs w:val="21"/>
        </w:rPr>
      </w:pPr>
      <w:r>
        <w:rPr>
          <w:rFonts w:ascii="宋体" w:hAnsi="宋体" w:cs="宋体"/>
          <w:kern w:val="0"/>
          <w:szCs w:val="21"/>
        </w:rPr>
        <w:t xml:space="preserve">  14</w:t>
      </w:r>
      <w:r>
        <w:rPr>
          <w:rFonts w:hint="eastAsia" w:ascii="宋体" w:hAnsi="宋体" w:cs="宋体"/>
          <w:kern w:val="0"/>
          <w:szCs w:val="21"/>
        </w:rPr>
        <w:t>、当施工时发现现场的实际地层情况与设计所引用的钻孔资料出入较大时，要及时提请设计人员进行必要的设计变更。</w:t>
      </w:r>
      <w:r>
        <w:rPr>
          <w:rFonts w:ascii="宋体" w:hAnsi="宋体" w:cs="宋体"/>
          <w:kern w:val="0"/>
          <w:szCs w:val="21"/>
        </w:rPr>
        <w:t xml:space="preserve"> </w:t>
      </w:r>
    </w:p>
    <w:p>
      <w:pPr>
        <w:pStyle w:val="2"/>
        <w:ind w:firstLine="420"/>
        <w:rPr>
          <w:rFonts w:hint="eastAsia" w:ascii="宋体" w:hAnsi="宋体" w:cs="宋体"/>
          <w:kern w:val="0"/>
          <w:szCs w:val="21"/>
        </w:rPr>
      </w:pPr>
      <w:r>
        <w:rPr>
          <w:rFonts w:ascii="宋体" w:hAnsi="宋体" w:cs="宋体"/>
          <w:kern w:val="0"/>
          <w:szCs w:val="21"/>
        </w:rPr>
        <w:t xml:space="preserve">  15</w:t>
      </w:r>
      <w:r>
        <w:rPr>
          <w:rFonts w:hint="eastAsia" w:ascii="宋体" w:hAnsi="宋体" w:cs="宋体"/>
          <w:kern w:val="0"/>
          <w:szCs w:val="21"/>
        </w:rPr>
        <w:t>、施工应严格按现行基坑设计施工规范、</w:t>
      </w:r>
      <w:r>
        <w:rPr>
          <w:rFonts w:ascii="宋体" w:hAnsi="宋体" w:cs="宋体"/>
          <w:kern w:val="0"/>
          <w:szCs w:val="21"/>
        </w:rPr>
        <w:t>&lt;&lt;</w:t>
      </w:r>
      <w:r>
        <w:rPr>
          <w:rFonts w:hint="eastAsia" w:ascii="宋体" w:hAnsi="宋体" w:cs="宋体"/>
          <w:kern w:val="0"/>
          <w:szCs w:val="21"/>
        </w:rPr>
        <w:t>混凝土结构设计规范</w:t>
      </w:r>
      <w:r>
        <w:rPr>
          <w:rFonts w:ascii="宋体" w:hAnsi="宋体" w:cs="宋体"/>
          <w:kern w:val="0"/>
          <w:szCs w:val="21"/>
        </w:rPr>
        <w:t>&gt;&gt;(GB50010-2010)</w:t>
      </w:r>
      <w:r>
        <w:rPr>
          <w:rFonts w:hint="eastAsia" w:ascii="宋体" w:hAnsi="宋体" w:cs="宋体"/>
          <w:kern w:val="0"/>
          <w:szCs w:val="21"/>
        </w:rPr>
        <w:t>以及相关的地基基础方面的施工和验收规范进行。</w:t>
      </w:r>
    </w:p>
    <w:p>
      <w:pPr>
        <w:pStyle w:val="2"/>
        <w:ind w:firstLine="630" w:firstLineChars="300"/>
        <w:rPr>
          <w:rFonts w:ascii="宋体" w:hAnsi="宋体" w:cs="宋体"/>
          <w:kern w:val="0"/>
          <w:szCs w:val="21"/>
        </w:rPr>
      </w:pPr>
      <w:r>
        <w:rPr>
          <w:rFonts w:hint="eastAsia" w:ascii="宋体" w:hAnsi="宋体" w:cs="宋体"/>
          <w:kern w:val="0"/>
          <w:szCs w:val="21"/>
        </w:rPr>
        <w:t>16、个别立柱桩位于承台范围内，支承灌注桩实桩顶的标高为承台底标高，格构柱需伸进支承灌注桩内3m。</w:t>
      </w:r>
    </w:p>
    <w:p>
      <w:pPr>
        <w:pStyle w:val="2"/>
        <w:ind w:left="0" w:firstLine="630" w:firstLineChars="30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十一、防汛、抗台风措施</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施工期间需做好防汛抢险及抗台防洪措施。</w:t>
      </w:r>
    </w:p>
    <w:p>
      <w:pPr>
        <w:pStyle w:val="2"/>
        <w:ind w:firstLine="420"/>
        <w:rPr>
          <w:rFonts w:ascii="宋体" w:hAnsi="宋体" w:cs="宋体"/>
          <w:kern w:val="0"/>
          <w:szCs w:val="21"/>
        </w:rPr>
      </w:pPr>
      <w:r>
        <w:rPr>
          <w:rFonts w:ascii="宋体" w:hAnsi="宋体" w:cs="宋体"/>
          <w:kern w:val="0"/>
          <w:szCs w:val="21"/>
        </w:rPr>
        <w:t xml:space="preserve">    1</w:t>
      </w:r>
      <w:r>
        <w:rPr>
          <w:rFonts w:hint="eastAsia" w:ascii="宋体" w:hAnsi="宋体" w:cs="宋体"/>
          <w:kern w:val="0"/>
          <w:szCs w:val="21"/>
        </w:rPr>
        <w:t>、防台防汛抢险实施预案：</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根据气象情况，如果风暴</w:t>
      </w:r>
      <w:r>
        <w:rPr>
          <w:rFonts w:ascii="宋体" w:hAnsi="宋体" w:cs="宋体"/>
          <w:kern w:val="0"/>
          <w:szCs w:val="21"/>
        </w:rPr>
        <w:t>72</w:t>
      </w:r>
      <w:r>
        <w:rPr>
          <w:rFonts w:hint="eastAsia" w:ascii="宋体" w:hAnsi="宋体" w:cs="宋体"/>
          <w:kern w:val="0"/>
          <w:szCs w:val="21"/>
        </w:rPr>
        <w:t>小时内可能影响本项目，项目部防台防洪小组应当至少做出如下应急动作：</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）防台防洪小组召开汛前准备会，传达台风暴雨险情并做动员工作，并初步制定可行的防抗方案和督促有关部门做好准备。</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）检查机械设备并确保防台防洪期间设备的完好和使用，保证现场至少有</w:t>
      </w:r>
      <w:r>
        <w:rPr>
          <w:rFonts w:ascii="宋体" w:hAnsi="宋体" w:cs="宋体"/>
          <w:kern w:val="0"/>
          <w:szCs w:val="21"/>
        </w:rPr>
        <w:t>1</w:t>
      </w:r>
      <w:r>
        <w:rPr>
          <w:rFonts w:hint="eastAsia" w:ascii="宋体" w:hAnsi="宋体" w:cs="宋体"/>
          <w:kern w:val="0"/>
          <w:szCs w:val="21"/>
        </w:rPr>
        <w:t>台挖掘机和</w:t>
      </w:r>
      <w:r>
        <w:rPr>
          <w:rFonts w:ascii="宋体" w:hAnsi="宋体" w:cs="宋体"/>
          <w:kern w:val="0"/>
          <w:szCs w:val="21"/>
        </w:rPr>
        <w:t>1</w:t>
      </w:r>
      <w:r>
        <w:rPr>
          <w:rFonts w:hint="eastAsia" w:ascii="宋体" w:hAnsi="宋体" w:cs="宋体"/>
          <w:kern w:val="0"/>
          <w:szCs w:val="21"/>
        </w:rPr>
        <w:t>台装卸机可用于抢险，防台防洪期间至少有两台车辆停置现场办公室以备应急。</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）组织人员对现场进行检查，对存在的问题、隐患要登记造册，及时完善防台防洪措施。</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）核实应急物资准备情况，特别是用于闸室深基坑开挖支护应急用的编织袋、土工布、抽水泵等物资。</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）核实可用的抗台防洪人员，确保足够的防台防洪人力，并强调防台防洪期间人员未经同意不能外出，以免台风暴雨期间的人员意外伤害。</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6</w:t>
      </w:r>
      <w:r>
        <w:rPr>
          <w:rFonts w:hint="eastAsia" w:ascii="宋体" w:hAnsi="宋体" w:cs="宋体"/>
          <w:kern w:val="0"/>
          <w:szCs w:val="21"/>
        </w:rPr>
        <w:t>）安排值班。防台防洪值班人员要认真负责，按时观察和收集台风、暴雨动向情况，做好记录和交接，遇险情及时报告小组领导。</w:t>
      </w:r>
    </w:p>
    <w:p>
      <w:pPr>
        <w:pStyle w:val="2"/>
        <w:ind w:firstLine="420"/>
        <w:rPr>
          <w:rFonts w:ascii="宋体" w:hAnsi="宋体" w:cs="宋体"/>
          <w:kern w:val="0"/>
          <w:szCs w:val="21"/>
        </w:rPr>
      </w:pPr>
      <w:r>
        <w:rPr>
          <w:rFonts w:ascii="宋体" w:hAnsi="宋体" w:cs="宋体"/>
          <w:kern w:val="0"/>
          <w:szCs w:val="21"/>
        </w:rPr>
        <w:t xml:space="preserve">    2</w:t>
      </w:r>
      <w:r>
        <w:rPr>
          <w:rFonts w:hint="eastAsia" w:ascii="宋体" w:hAnsi="宋体" w:cs="宋体"/>
          <w:kern w:val="0"/>
          <w:szCs w:val="21"/>
        </w:rPr>
        <w:t>、抗台防洪措施：</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如果台风暴雨</w:t>
      </w:r>
      <w:r>
        <w:rPr>
          <w:rFonts w:ascii="宋体" w:hAnsi="宋体" w:cs="宋体"/>
          <w:kern w:val="0"/>
          <w:szCs w:val="21"/>
        </w:rPr>
        <w:t>24</w:t>
      </w:r>
      <w:r>
        <w:rPr>
          <w:rFonts w:hint="eastAsia" w:ascii="宋体" w:hAnsi="宋体" w:cs="宋体"/>
          <w:kern w:val="0"/>
          <w:szCs w:val="21"/>
        </w:rPr>
        <w:t>小时内会影响本项目，小组应按制定的防台防洪方案组织力量和台风暴雨到达前完成，至少要做到以下几点：</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）电灯、电缆、电箱在台风前收回放好。</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）机械设备如桩机、泵机等设备转移和安全位置，桩架放倒，用防雨布遮盖机电设备，做好加固工作，在海堤上留出抢险通道。</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）对现场的临时板房加固。</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）现场不必要的人员全部撤离到安全的地方。</w:t>
      </w:r>
      <w:r>
        <w:rPr>
          <w:rFonts w:ascii="宋体" w:hAnsi="宋体" w:cs="宋体"/>
          <w:kern w:val="0"/>
          <w:szCs w:val="21"/>
        </w:rPr>
        <w:t xml:space="preserve"> </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）加强与当地水利部门和防台防洪指挥部的联系，必要时与当地管理部门协调开闸排湾内的水，保证海堤安全。</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6</w:t>
      </w:r>
      <w:r>
        <w:rPr>
          <w:rFonts w:hint="eastAsia" w:ascii="宋体" w:hAnsi="宋体" w:cs="宋体"/>
          <w:kern w:val="0"/>
          <w:szCs w:val="21"/>
        </w:rPr>
        <w:t>）防台防洪期间</w:t>
      </w:r>
      <w:r>
        <w:rPr>
          <w:rFonts w:ascii="宋体" w:hAnsi="宋体" w:cs="宋体"/>
          <w:kern w:val="0"/>
          <w:szCs w:val="21"/>
        </w:rPr>
        <w:t>24</w:t>
      </w:r>
      <w:r>
        <w:rPr>
          <w:rFonts w:hint="eastAsia" w:ascii="宋体" w:hAnsi="宋体" w:cs="宋体"/>
          <w:kern w:val="0"/>
          <w:szCs w:val="21"/>
        </w:rPr>
        <w:t>小时值班，直到风暴警报解除；现场定期巡视检查，发现险情及时报告，巡视人员要做好自身的安全保护。</w:t>
      </w:r>
    </w:p>
    <w:p>
      <w:pPr>
        <w:pStyle w:val="2"/>
        <w:ind w:firstLine="420"/>
        <w:rPr>
          <w:rFonts w:ascii="宋体" w:hAnsi="宋体" w:cs="宋体"/>
          <w:kern w:val="0"/>
          <w:szCs w:val="21"/>
        </w:rPr>
      </w:pPr>
      <w:r>
        <w:rPr>
          <w:rFonts w:ascii="宋体" w:hAnsi="宋体" w:cs="宋体"/>
          <w:kern w:val="0"/>
          <w:szCs w:val="21"/>
        </w:rPr>
        <w:t xml:space="preserve">    3</w:t>
      </w:r>
      <w:r>
        <w:rPr>
          <w:rFonts w:hint="eastAsia" w:ascii="宋体" w:hAnsi="宋体" w:cs="宋体"/>
          <w:kern w:val="0"/>
          <w:szCs w:val="21"/>
        </w:rPr>
        <w:t>、台风过后应做好以下工作：</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）台风过后组织有关人员在进行一次大检查。</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）对受损情况进行登记汇总并向上级及业主、监理报告。</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）总结经验教训，修订完善防风防洪方案。</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）表彰台风期间好人好事。</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）检查各施工机械、机电设备的安全性能，尽快恢复生产。</w:t>
      </w:r>
    </w:p>
    <w:p>
      <w:pPr>
        <w:pStyle w:val="2"/>
        <w:ind w:firstLine="420"/>
        <w:rPr>
          <w:rFonts w:ascii="宋体" w:hAnsi="宋体" w:cs="宋体"/>
          <w:kern w:val="0"/>
          <w:szCs w:val="21"/>
        </w:rPr>
      </w:pPr>
      <w:r>
        <w:rPr>
          <w:rFonts w:ascii="宋体" w:hAnsi="宋体" w:cs="宋体"/>
          <w:kern w:val="0"/>
          <w:szCs w:val="21"/>
        </w:rPr>
        <w:t xml:space="preserve"> </w:t>
      </w:r>
    </w:p>
    <w:p>
      <w:pPr>
        <w:pStyle w:val="2"/>
        <w:ind w:firstLine="420"/>
        <w:rPr>
          <w:rFonts w:ascii="宋体" w:hAnsi="宋体" w:cs="宋体"/>
          <w:kern w:val="0"/>
          <w:szCs w:val="21"/>
        </w:rPr>
      </w:pPr>
      <w:r>
        <w:rPr>
          <w:rFonts w:hint="eastAsia" w:ascii="宋体" w:hAnsi="宋体" w:cs="宋体"/>
          <w:kern w:val="0"/>
          <w:szCs w:val="21"/>
        </w:rPr>
        <w:t>十二、工程风险及应急预案</w:t>
      </w:r>
    </w:p>
    <w:p>
      <w:pPr>
        <w:pStyle w:val="2"/>
        <w:ind w:firstLine="420"/>
        <w:rPr>
          <w:rFonts w:ascii="宋体" w:hAnsi="宋体" w:cs="宋体"/>
          <w:kern w:val="0"/>
          <w:szCs w:val="21"/>
        </w:rPr>
      </w:pPr>
      <w:r>
        <w:rPr>
          <w:rFonts w:ascii="宋体" w:hAnsi="宋体" w:cs="宋体"/>
          <w:kern w:val="0"/>
          <w:szCs w:val="21"/>
        </w:rPr>
        <w:t xml:space="preserve">    1</w:t>
      </w:r>
      <w:r>
        <w:rPr>
          <w:rFonts w:hint="eastAsia" w:ascii="宋体" w:hAnsi="宋体" w:cs="宋体"/>
          <w:kern w:val="0"/>
          <w:szCs w:val="21"/>
        </w:rPr>
        <w:t>、施工单位应根据自身实际情况，结合现场需要、施工进度计划和施工组织设计等，制定详细的应急预案，并进行切实的准备和落实，以保证基坑的安全。</w:t>
      </w:r>
    </w:p>
    <w:p>
      <w:pPr>
        <w:pStyle w:val="2"/>
        <w:ind w:firstLine="420"/>
        <w:rPr>
          <w:rFonts w:ascii="宋体" w:hAnsi="宋体" w:cs="宋体"/>
          <w:kern w:val="0"/>
          <w:szCs w:val="21"/>
        </w:rPr>
      </w:pPr>
      <w:r>
        <w:rPr>
          <w:rFonts w:ascii="宋体" w:hAnsi="宋体" w:cs="宋体"/>
          <w:kern w:val="0"/>
          <w:szCs w:val="21"/>
        </w:rPr>
        <w:t xml:space="preserve">    2</w:t>
      </w:r>
      <w:r>
        <w:rPr>
          <w:rFonts w:hint="eastAsia" w:ascii="宋体" w:hAnsi="宋体" w:cs="宋体"/>
          <w:kern w:val="0"/>
          <w:szCs w:val="21"/>
        </w:rPr>
        <w:t>、如果在开挖过程中发现支护结构侧向位移较大或地面沉降较大已经超过了设计警戒值，监理单位应马上下达停工令，召集施工单位、设计单位、业主等参建单位各方召开现场会，分析造成位移偏大的原因，及时采取回填土方、灌浆加固、或增加支撑等措施控制住支护结构的侧向位移和地面沉降。</w:t>
      </w:r>
    </w:p>
    <w:p>
      <w:pPr>
        <w:pStyle w:val="2"/>
        <w:ind w:firstLine="420"/>
        <w:rPr>
          <w:rFonts w:ascii="宋体" w:hAnsi="宋体" w:cs="宋体"/>
          <w:kern w:val="0"/>
          <w:szCs w:val="21"/>
        </w:rPr>
      </w:pPr>
      <w:r>
        <w:rPr>
          <w:rFonts w:ascii="宋体" w:hAnsi="宋体" w:cs="宋体"/>
          <w:kern w:val="0"/>
          <w:szCs w:val="21"/>
        </w:rPr>
        <w:t xml:space="preserve">    3</w:t>
      </w:r>
      <w:r>
        <w:rPr>
          <w:rFonts w:hint="eastAsia" w:ascii="宋体" w:hAnsi="宋体" w:cs="宋体"/>
          <w:kern w:val="0"/>
          <w:szCs w:val="21"/>
        </w:rPr>
        <w:t>、只要发生超出设计报警值的变形，就必须对支护结构和周边临建加密观测，实时地报告位移情况，如果发生危及安全的</w:t>
      </w:r>
      <w:r>
        <w:rPr>
          <w:rFonts w:ascii="宋体" w:hAnsi="宋体" w:cs="宋体"/>
          <w:kern w:val="0"/>
          <w:szCs w:val="21"/>
        </w:rPr>
        <w:t xml:space="preserve"> </w:t>
      </w:r>
      <w:r>
        <w:rPr>
          <w:rFonts w:hint="eastAsia" w:ascii="宋体" w:hAnsi="宋体" w:cs="宋体"/>
          <w:kern w:val="0"/>
          <w:szCs w:val="21"/>
        </w:rPr>
        <w:t>变形，则必须马上对临建内的人员组织疏散，撤离到安全地带，并进行妥善安置。</w:t>
      </w:r>
    </w:p>
    <w:p>
      <w:pPr>
        <w:pStyle w:val="2"/>
        <w:ind w:firstLine="420"/>
        <w:rPr>
          <w:rFonts w:ascii="宋体" w:hAnsi="宋体" w:cs="宋体"/>
          <w:kern w:val="0"/>
          <w:szCs w:val="21"/>
        </w:rPr>
      </w:pPr>
      <w:r>
        <w:rPr>
          <w:rFonts w:ascii="宋体" w:hAnsi="宋体" w:cs="宋体"/>
          <w:kern w:val="0"/>
          <w:szCs w:val="21"/>
        </w:rPr>
        <w:t xml:space="preserve">    4</w:t>
      </w:r>
      <w:r>
        <w:rPr>
          <w:rFonts w:hint="eastAsia" w:ascii="宋体" w:hAnsi="宋体" w:cs="宋体"/>
          <w:kern w:val="0"/>
          <w:szCs w:val="21"/>
        </w:rPr>
        <w:t>、具体要求如下</w:t>
      </w:r>
    </w:p>
    <w:p>
      <w:pPr>
        <w:pStyle w:val="2"/>
        <w:ind w:firstLine="420"/>
        <w:rPr>
          <w:rFonts w:ascii="宋体" w:hAnsi="宋体" w:cs="宋体"/>
          <w:kern w:val="0"/>
          <w:szCs w:val="21"/>
        </w:rPr>
      </w:pPr>
      <w:r>
        <w:rPr>
          <w:rFonts w:ascii="宋体" w:hAnsi="宋体" w:cs="宋体"/>
          <w:kern w:val="0"/>
          <w:szCs w:val="21"/>
        </w:rPr>
        <w:t xml:space="preserve">     1</w:t>
      </w:r>
      <w:r>
        <w:rPr>
          <w:rFonts w:hint="eastAsia" w:ascii="宋体" w:hAnsi="宋体" w:cs="宋体"/>
          <w:kern w:val="0"/>
          <w:szCs w:val="21"/>
        </w:rPr>
        <w:t>）基坑开挖前</w:t>
      </w:r>
      <w:r>
        <w:rPr>
          <w:rFonts w:ascii="宋体" w:hAnsi="宋体" w:cs="宋体"/>
          <w:kern w:val="0"/>
          <w:szCs w:val="21"/>
        </w:rPr>
        <w:t>,</w:t>
      </w:r>
      <w:r>
        <w:rPr>
          <w:rFonts w:hint="eastAsia" w:ascii="宋体" w:hAnsi="宋体" w:cs="宋体"/>
          <w:kern w:val="0"/>
          <w:szCs w:val="21"/>
        </w:rPr>
        <w:t>应预计事故发生的可能性</w:t>
      </w:r>
      <w:r>
        <w:rPr>
          <w:rFonts w:ascii="宋体" w:hAnsi="宋体" w:cs="宋体"/>
          <w:kern w:val="0"/>
          <w:szCs w:val="21"/>
        </w:rPr>
        <w:t>,</w:t>
      </w:r>
      <w:r>
        <w:rPr>
          <w:rFonts w:hint="eastAsia" w:ascii="宋体" w:hAnsi="宋体" w:cs="宋体"/>
          <w:kern w:val="0"/>
          <w:szCs w:val="21"/>
        </w:rPr>
        <w:t>作好基坑抢险加固的准备工作。</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）基坑的位移和沉降等监测措施和监测反馈系统的建立；</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）加固用的钢材、水泥、水玻璃、木桩等；</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）储备止水堵漏的必要器材；</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）加固用的施工机械设备，包括汽车、挖土机、水泵等。</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）配备应急救援中所需的消防手段、救援机械和设备、交通工具、医疗设备和药品、生活保障物资。</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6</w:t>
      </w:r>
      <w:r>
        <w:rPr>
          <w:rFonts w:hint="eastAsia" w:ascii="宋体" w:hAnsi="宋体" w:cs="宋体"/>
          <w:kern w:val="0"/>
          <w:szCs w:val="21"/>
        </w:rPr>
        <w:t>）为全面提高应急能力，项目部应对现场人员进行必要的抢救知识教育，必要时，进行应急预案演练。</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7</w:t>
      </w:r>
      <w:r>
        <w:rPr>
          <w:rFonts w:hint="eastAsia" w:ascii="宋体" w:hAnsi="宋体" w:cs="宋体"/>
          <w:kern w:val="0"/>
          <w:szCs w:val="21"/>
        </w:rPr>
        <w:t>）项目部应事先与地方医院、宾馆建立正式的互相协议，以便在事故发生后及时得到外部救援力量和资源的援助。</w:t>
      </w:r>
    </w:p>
    <w:p>
      <w:pPr>
        <w:pStyle w:val="2"/>
        <w:ind w:firstLine="420"/>
        <w:rPr>
          <w:rFonts w:ascii="宋体" w:hAnsi="宋体" w:cs="宋体"/>
          <w:kern w:val="0"/>
          <w:szCs w:val="21"/>
        </w:rPr>
      </w:pPr>
      <w:r>
        <w:rPr>
          <w:rFonts w:ascii="宋体" w:hAnsi="宋体" w:cs="宋体"/>
          <w:kern w:val="0"/>
          <w:szCs w:val="21"/>
        </w:rPr>
        <w:t xml:space="preserve">     2</w:t>
      </w:r>
      <w:r>
        <w:rPr>
          <w:rFonts w:hint="eastAsia" w:ascii="宋体" w:hAnsi="宋体" w:cs="宋体"/>
          <w:kern w:val="0"/>
          <w:szCs w:val="21"/>
        </w:rPr>
        <w:t>）坑内降水及开挖使坑外地面或道路下沉、建筑物倾斜时，应立即停止坑内降水和挖土，并立即用粘土或水泥土阻塞夯实再加混凝土封砌渗漏，或用化学浆液、树脂等材料处理止水帷幕的渗漏，必要时重新补做止水帷幕。</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）流砂、管涌</w:t>
      </w:r>
    </w:p>
    <w:p>
      <w:pPr>
        <w:pStyle w:val="2"/>
        <w:ind w:firstLine="420"/>
        <w:rPr>
          <w:rFonts w:ascii="宋体" w:hAnsi="宋体" w:cs="宋体"/>
          <w:kern w:val="0"/>
          <w:szCs w:val="21"/>
        </w:rPr>
      </w:pPr>
      <w:r>
        <w:rPr>
          <w:rFonts w:ascii="宋体" w:hAnsi="宋体" w:cs="宋体"/>
          <w:kern w:val="0"/>
          <w:szCs w:val="21"/>
        </w:rPr>
        <w:t xml:space="preserve">        A.</w:t>
      </w:r>
      <w:r>
        <w:rPr>
          <w:rFonts w:hint="eastAsia" w:ascii="宋体" w:hAnsi="宋体" w:cs="宋体"/>
          <w:kern w:val="0"/>
          <w:szCs w:val="21"/>
        </w:rPr>
        <w:t>对较严重的流砂现象应增加坑内降水措施，使地下水位降至坑底以下</w:t>
      </w:r>
      <w:r>
        <w:rPr>
          <w:rFonts w:ascii="宋体" w:hAnsi="宋体" w:cs="宋体"/>
          <w:kern w:val="0"/>
          <w:szCs w:val="21"/>
        </w:rPr>
        <w:t>0.5</w:t>
      </w:r>
      <w:r>
        <w:rPr>
          <w:rFonts w:hint="eastAsia" w:ascii="宋体" w:hAnsi="宋体" w:cs="宋体"/>
          <w:kern w:val="0"/>
          <w:szCs w:val="21"/>
        </w:rPr>
        <w:t>～</w:t>
      </w:r>
      <w:r>
        <w:rPr>
          <w:rFonts w:ascii="宋体" w:hAnsi="宋体" w:cs="宋体"/>
          <w:kern w:val="0"/>
          <w:szCs w:val="21"/>
        </w:rPr>
        <w:t>1.0m</w:t>
      </w:r>
      <w:r>
        <w:rPr>
          <w:rFonts w:hint="eastAsia" w:ascii="宋体" w:hAnsi="宋体" w:cs="宋体"/>
          <w:kern w:val="0"/>
          <w:szCs w:val="21"/>
        </w:rPr>
        <w:t>以下。</w:t>
      </w:r>
    </w:p>
    <w:p>
      <w:pPr>
        <w:pStyle w:val="2"/>
        <w:ind w:firstLine="420"/>
        <w:rPr>
          <w:rFonts w:ascii="宋体" w:hAnsi="宋体" w:cs="宋体"/>
          <w:kern w:val="0"/>
          <w:szCs w:val="21"/>
        </w:rPr>
      </w:pPr>
      <w:r>
        <w:rPr>
          <w:rFonts w:ascii="宋体" w:hAnsi="宋体" w:cs="宋体"/>
          <w:kern w:val="0"/>
          <w:szCs w:val="21"/>
        </w:rPr>
        <w:t xml:space="preserve">        B.</w:t>
      </w:r>
      <w:r>
        <w:rPr>
          <w:rFonts w:hint="eastAsia" w:ascii="宋体" w:hAnsi="宋体" w:cs="宋体"/>
          <w:kern w:val="0"/>
          <w:szCs w:val="21"/>
        </w:rPr>
        <w:t>如果流砂是在上部桩间的缝隙中出现的，则可在桩间嵌补防水细石混凝土。施工中应先在出现流砂的部位插入引流管，而后将该段墙幅间土清除，再将两面墙幅对应面凿毛，然后在外面支模，浇注防水细石混凝土。</w:t>
      </w:r>
    </w:p>
    <w:p>
      <w:pPr>
        <w:pStyle w:val="2"/>
        <w:ind w:firstLine="420"/>
        <w:rPr>
          <w:rFonts w:ascii="宋体" w:hAnsi="宋体" w:cs="宋体"/>
          <w:kern w:val="0"/>
          <w:szCs w:val="21"/>
        </w:rPr>
      </w:pPr>
      <w:r>
        <w:rPr>
          <w:rFonts w:ascii="宋体" w:hAnsi="宋体" w:cs="宋体"/>
          <w:kern w:val="0"/>
          <w:szCs w:val="21"/>
        </w:rPr>
        <w:t xml:space="preserve">        C.</w:t>
      </w:r>
      <w:r>
        <w:rPr>
          <w:rFonts w:hint="eastAsia" w:ascii="宋体" w:hAnsi="宋体" w:cs="宋体"/>
          <w:kern w:val="0"/>
          <w:szCs w:val="21"/>
        </w:rPr>
        <w:t>管涌十分严重时可在支护墙前打设一排钢板桩，在钢板桩和支护墙间进行注浆，钢板桩底应与支护墙底标高相同，顶面与坑底标高相同，钢板桩的打设宽度应比管涌范围宽３～５</w:t>
      </w:r>
      <w:r>
        <w:rPr>
          <w:rFonts w:ascii="宋体" w:hAnsi="宋体" w:cs="宋体"/>
          <w:kern w:val="0"/>
          <w:szCs w:val="21"/>
        </w:rPr>
        <w:t>m</w:t>
      </w:r>
      <w:r>
        <w:rPr>
          <w:rFonts w:hint="eastAsia" w:ascii="宋体" w:hAnsi="宋体" w:cs="宋体"/>
          <w:kern w:val="0"/>
          <w:szCs w:val="21"/>
        </w:rPr>
        <w:t>。</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）止水帷幕渗水</w:t>
      </w:r>
    </w:p>
    <w:p>
      <w:pPr>
        <w:pStyle w:val="2"/>
        <w:ind w:firstLine="420"/>
        <w:rPr>
          <w:rFonts w:ascii="宋体" w:hAnsi="宋体" w:cs="宋体"/>
          <w:kern w:val="0"/>
          <w:szCs w:val="21"/>
        </w:rPr>
      </w:pPr>
      <w:r>
        <w:rPr>
          <w:rFonts w:ascii="宋体" w:hAnsi="宋体" w:cs="宋体"/>
          <w:kern w:val="0"/>
          <w:szCs w:val="21"/>
        </w:rPr>
        <w:t xml:space="preserve">        A.</w:t>
      </w:r>
      <w:r>
        <w:rPr>
          <w:rFonts w:hint="eastAsia" w:ascii="宋体" w:hAnsi="宋体" w:cs="宋体"/>
          <w:kern w:val="0"/>
          <w:szCs w:val="21"/>
        </w:rPr>
        <w:t>对渗水量较小，不影响施工也不影响周边环境的情况下，可采用坑底设排水沟的方法。</w:t>
      </w:r>
    </w:p>
    <w:p>
      <w:pPr>
        <w:pStyle w:val="2"/>
        <w:ind w:firstLine="420"/>
        <w:rPr>
          <w:rFonts w:ascii="宋体" w:hAnsi="宋体" w:cs="宋体"/>
          <w:kern w:val="0"/>
          <w:szCs w:val="21"/>
        </w:rPr>
      </w:pPr>
      <w:r>
        <w:rPr>
          <w:rFonts w:ascii="宋体" w:hAnsi="宋体" w:cs="宋体"/>
          <w:kern w:val="0"/>
          <w:szCs w:val="21"/>
        </w:rPr>
        <w:t xml:space="preserve">        B.</w:t>
      </w:r>
      <w:r>
        <w:rPr>
          <w:rFonts w:hint="eastAsia" w:ascii="宋体" w:hAnsi="宋体" w:cs="宋体"/>
          <w:kern w:val="0"/>
          <w:szCs w:val="21"/>
        </w:rPr>
        <w:t>对渗水量较大，但没用流砂带出，造成施工困难，而对周围影响不大的情况，可采用“引流－修补”的方法：</w:t>
      </w:r>
    </w:p>
    <w:p>
      <w:pPr>
        <w:pStyle w:val="2"/>
        <w:ind w:firstLine="420"/>
        <w:rPr>
          <w:rFonts w:ascii="宋体" w:hAnsi="宋体" w:cs="宋体"/>
          <w:kern w:val="0"/>
          <w:szCs w:val="21"/>
        </w:rPr>
      </w:pPr>
      <w:r>
        <w:rPr>
          <w:rFonts w:ascii="宋体" w:hAnsi="宋体" w:cs="宋体"/>
          <w:kern w:val="0"/>
          <w:szCs w:val="21"/>
        </w:rPr>
        <w:t xml:space="preserve">          a.</w:t>
      </w:r>
      <w:r>
        <w:rPr>
          <w:rFonts w:hint="eastAsia" w:ascii="宋体" w:hAnsi="宋体" w:cs="宋体"/>
          <w:kern w:val="0"/>
          <w:szCs w:val="21"/>
        </w:rPr>
        <w:t>在渗漏较严重的部位，先在支护结构水平（略向上）打入一根钢管，内径</w:t>
      </w:r>
      <w:r>
        <w:rPr>
          <w:rFonts w:ascii="宋体" w:hAnsi="宋体" w:cs="宋体"/>
          <w:kern w:val="0"/>
          <w:szCs w:val="21"/>
        </w:rPr>
        <w:t>20</w:t>
      </w:r>
      <w:r>
        <w:rPr>
          <w:rFonts w:hint="eastAsia" w:ascii="宋体" w:hAnsi="宋体" w:cs="宋体"/>
          <w:kern w:val="0"/>
          <w:szCs w:val="21"/>
        </w:rPr>
        <w:t>～</w:t>
      </w:r>
      <w:r>
        <w:rPr>
          <w:rFonts w:ascii="宋体" w:hAnsi="宋体" w:cs="宋体"/>
          <w:kern w:val="0"/>
          <w:szCs w:val="21"/>
        </w:rPr>
        <w:t>30mm</w:t>
      </w:r>
      <w:r>
        <w:rPr>
          <w:rFonts w:hint="eastAsia" w:ascii="宋体" w:hAnsi="宋体" w:cs="宋体"/>
          <w:kern w:val="0"/>
          <w:szCs w:val="21"/>
        </w:rPr>
        <w:t>，使其穿透支护结构内，由此将水从该管引出。</w:t>
      </w:r>
    </w:p>
    <w:p>
      <w:pPr>
        <w:pStyle w:val="2"/>
        <w:ind w:firstLine="420"/>
        <w:rPr>
          <w:rFonts w:ascii="宋体" w:hAnsi="宋体" w:cs="宋体"/>
          <w:kern w:val="0"/>
          <w:szCs w:val="21"/>
        </w:rPr>
      </w:pPr>
      <w:r>
        <w:rPr>
          <w:rFonts w:ascii="宋体" w:hAnsi="宋体" w:cs="宋体"/>
          <w:kern w:val="0"/>
          <w:szCs w:val="21"/>
        </w:rPr>
        <w:t xml:space="preserve">          b.</w:t>
      </w:r>
      <w:r>
        <w:rPr>
          <w:rFonts w:hint="eastAsia" w:ascii="宋体" w:hAnsi="宋体" w:cs="宋体"/>
          <w:kern w:val="0"/>
          <w:szCs w:val="21"/>
        </w:rPr>
        <w:t>管边支护结构的薄弱处用防水砼或砂浆修补封堵。</w:t>
      </w:r>
    </w:p>
    <w:p>
      <w:pPr>
        <w:pStyle w:val="2"/>
        <w:ind w:firstLine="420"/>
        <w:rPr>
          <w:rFonts w:ascii="宋体" w:hAnsi="宋体" w:cs="宋体"/>
          <w:kern w:val="0"/>
          <w:szCs w:val="21"/>
        </w:rPr>
      </w:pPr>
      <w:r>
        <w:rPr>
          <w:rFonts w:ascii="宋体" w:hAnsi="宋体" w:cs="宋体"/>
          <w:kern w:val="0"/>
          <w:szCs w:val="21"/>
        </w:rPr>
        <w:t xml:space="preserve">          c.</w:t>
      </w:r>
      <w:r>
        <w:rPr>
          <w:rFonts w:hint="eastAsia" w:ascii="宋体" w:hAnsi="宋体" w:cs="宋体"/>
          <w:kern w:val="0"/>
          <w:szCs w:val="21"/>
        </w:rPr>
        <w:t>待修补封堵的砼或砂浆达到一定强度后，再将钢管出水口封住。如封住管口后出现第二处渗漏时，按上述方法再进行“引流－修补”。如果引流的水为清水，周边环境较简单或出水量不大，则不作修补也可，只需将引入基坑的水排出即可。</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）止水帷幕漏水</w:t>
      </w:r>
    </w:p>
    <w:p>
      <w:pPr>
        <w:pStyle w:val="2"/>
        <w:ind w:firstLine="420"/>
        <w:rPr>
          <w:rFonts w:ascii="宋体" w:hAnsi="宋体" w:cs="宋体"/>
          <w:kern w:val="0"/>
          <w:szCs w:val="21"/>
        </w:rPr>
      </w:pPr>
      <w:r>
        <w:rPr>
          <w:rFonts w:ascii="宋体" w:hAnsi="宋体" w:cs="宋体"/>
          <w:kern w:val="0"/>
          <w:szCs w:val="21"/>
        </w:rPr>
        <w:t xml:space="preserve">        A.</w:t>
      </w:r>
      <w:r>
        <w:rPr>
          <w:rFonts w:hint="eastAsia" w:ascii="宋体" w:hAnsi="宋体" w:cs="宋体"/>
          <w:kern w:val="0"/>
          <w:szCs w:val="21"/>
        </w:rPr>
        <w:t>如果漏水位置离地面不深处，可将支护结构背开挖至漏水位置下</w:t>
      </w:r>
      <w:r>
        <w:rPr>
          <w:rFonts w:ascii="宋体" w:hAnsi="宋体" w:cs="宋体"/>
          <w:kern w:val="0"/>
          <w:szCs w:val="21"/>
        </w:rPr>
        <w:t>500</w:t>
      </w:r>
      <w:r>
        <w:rPr>
          <w:rFonts w:hint="eastAsia" w:ascii="宋体" w:hAnsi="宋体" w:cs="宋体"/>
          <w:kern w:val="0"/>
          <w:szCs w:val="21"/>
        </w:rPr>
        <w:t>～</w:t>
      </w:r>
      <w:r>
        <w:rPr>
          <w:rFonts w:ascii="宋体" w:hAnsi="宋体" w:cs="宋体"/>
          <w:kern w:val="0"/>
          <w:szCs w:val="21"/>
        </w:rPr>
        <w:t>1000mmm</w:t>
      </w:r>
      <w:r>
        <w:rPr>
          <w:rFonts w:hint="eastAsia" w:ascii="宋体" w:hAnsi="宋体" w:cs="宋体"/>
          <w:kern w:val="0"/>
          <w:szCs w:val="21"/>
        </w:rPr>
        <w:t>，在支护结构背后用密实砼进行封堵。</w:t>
      </w:r>
    </w:p>
    <w:p>
      <w:pPr>
        <w:pStyle w:val="2"/>
        <w:ind w:firstLine="420"/>
        <w:rPr>
          <w:rFonts w:ascii="宋体" w:hAnsi="宋体" w:cs="宋体"/>
          <w:kern w:val="0"/>
          <w:szCs w:val="21"/>
        </w:rPr>
      </w:pPr>
      <w:r>
        <w:rPr>
          <w:rFonts w:ascii="宋体" w:hAnsi="宋体" w:cs="宋体"/>
          <w:kern w:val="0"/>
          <w:szCs w:val="21"/>
        </w:rPr>
        <w:t xml:space="preserve">        B.</w:t>
      </w:r>
      <w:r>
        <w:rPr>
          <w:rFonts w:hint="eastAsia" w:ascii="宋体" w:hAnsi="宋体" w:cs="宋体"/>
          <w:kern w:val="0"/>
          <w:szCs w:val="21"/>
        </w:rPr>
        <w:t>如漏水位置埋深较大，则可在支护结构后采用压密注浆方法，注将封堵。注浆浆液中应掺入适量水玻璃，使其能尽早凝结，也可采用高压喷射注浆方法。采用压密注浆时，为防止施工对支护结构产生的压力生成支护结构较大的侧向位移，在施工前应对坑内局部反压回填土，待注浆达到止水效果后再重新开挖。</w:t>
      </w:r>
    </w:p>
    <w:p>
      <w:pPr>
        <w:pStyle w:val="2"/>
        <w:ind w:firstLine="420"/>
        <w:rPr>
          <w:rFonts w:ascii="宋体" w:hAnsi="宋体" w:cs="宋体"/>
          <w:kern w:val="0"/>
          <w:szCs w:val="21"/>
        </w:rPr>
      </w:pPr>
      <w:r>
        <w:rPr>
          <w:rFonts w:ascii="宋体" w:hAnsi="宋体" w:cs="宋体"/>
          <w:kern w:val="0"/>
          <w:szCs w:val="21"/>
        </w:rPr>
        <w:t xml:space="preserve">     3</w:t>
      </w:r>
      <w:r>
        <w:rPr>
          <w:rFonts w:hint="eastAsia" w:ascii="宋体" w:hAnsi="宋体" w:cs="宋体"/>
          <w:kern w:val="0"/>
          <w:szCs w:val="21"/>
        </w:rPr>
        <w:t>）当基坑支护结构变形超过允许值或有失稳前兆时，应立即采取加固措施，加固的方法有撑、拉、压、灌、堵、减等，加固原则如下：</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）当支护结构变形过大，明显倾斜时，可在坑底与坑壁之间加设斜撑。如基坑周边场地允许，可设置拉锚。</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）支护结构墙嵌固深度不足，使连续墙踢脚失稳时，应立即停止土方开挖，在墙前堆砂包反压，也可在基坑外侧挖土卸载，在挡土墙的被动区打短桩加固等。</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）当坑边土体严重变形，且变形速率持续增加时，应视为基坑整体滑移失稳的前兆，应立即采用砂包、碎石或其它材料回填基坑，待基坑稳定后再作妥善处理。</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）坡顶卸载，坑内停止挖土作业，适当增加内撑或锚杆，增大内撑预应力或预应力锚杆的锚固力。</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）当基坑周围建筑物严重开裂、倾斜时，应立即组织人员紧急疏散，并补强加固或拆除，同时上报上级主管部门。</w:t>
      </w:r>
    </w:p>
    <w:p>
      <w:pPr>
        <w:pStyle w:val="2"/>
        <w:ind w:firstLine="420"/>
        <w:rPr>
          <w:rFonts w:ascii="宋体" w:hAnsi="宋体" w:cs="宋体"/>
          <w:kern w:val="0"/>
          <w:szCs w:val="21"/>
        </w:rPr>
      </w:pPr>
      <w:r>
        <w:rPr>
          <w:rFonts w:ascii="宋体" w:hAnsi="宋体" w:cs="宋体"/>
          <w:kern w:val="0"/>
          <w:szCs w:val="21"/>
        </w:rPr>
        <w:t xml:space="preserve">     4</w:t>
      </w:r>
      <w:r>
        <w:rPr>
          <w:rFonts w:hint="eastAsia" w:ascii="宋体" w:hAnsi="宋体" w:cs="宋体"/>
          <w:kern w:val="0"/>
          <w:szCs w:val="21"/>
        </w:rPr>
        <w:t>）基坑周边地面沉降</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在施工过程中，如果基坑周边地面沉降变形出现异常情况，在及时向有关单位汇报的同时，可先行进行如下处理：</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）对基础进行加固处理，如进行钢花管高压注浆处理，加固基础的地基承载力；</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）对基坑局部进行填土反压处理，增大基坑的被动土压力的作用，保持基坑的稳定性；</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）增加锚索排数，加强基坑的反力，保持基坑的整体稳定性。</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）周围邻近地下管线，地下管线的保护是本项目的重点。进场后详细调查好周围地下管线，做好记录，由专人负责，每天做好巡视工作，观察测量有何异常，及时处理解决，使隐患消除在萌芽状态。</w:t>
      </w:r>
    </w:p>
    <w:p>
      <w:pPr>
        <w:pStyle w:val="2"/>
        <w:ind w:firstLine="42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对埋深较浅的管线或燃气管线等比较敏感的管线，可以考虑基坑开挖之前将管线挖出暴露于外。建议甲方联系管线管理单位对坑边管线进行专业加固处理，并对保护措施采取围拦明示，保证现场人员、机械和车辆绝不影响管线。</w:t>
      </w:r>
    </w:p>
    <w:p>
      <w:pPr>
        <w:pStyle w:val="2"/>
        <w:ind w:firstLine="420"/>
        <w:rPr>
          <w:rFonts w:ascii="宋体" w:hAnsi="宋体" w:cs="宋体"/>
          <w:kern w:val="0"/>
          <w:szCs w:val="21"/>
        </w:rPr>
      </w:pPr>
    </w:p>
    <w:p>
      <w:pPr>
        <w:pStyle w:val="2"/>
        <w:ind w:firstLine="420"/>
        <w:rPr>
          <w:rFonts w:ascii="宋体" w:hAnsi="宋体" w:cs="宋体"/>
          <w:kern w:val="0"/>
          <w:szCs w:val="21"/>
        </w:rPr>
      </w:pPr>
      <w:r>
        <w:rPr>
          <w:rFonts w:hint="eastAsia" w:ascii="宋体" w:hAnsi="宋体" w:cs="宋体"/>
          <w:kern w:val="0"/>
          <w:szCs w:val="21"/>
        </w:rPr>
        <w:t>十三、特别说明</w:t>
      </w:r>
      <w:r>
        <w:rPr>
          <w:rFonts w:ascii="宋体" w:hAnsi="宋体" w:cs="宋体"/>
          <w:kern w:val="0"/>
          <w:szCs w:val="21"/>
        </w:rPr>
        <w:t xml:space="preserve"> </w:t>
      </w:r>
    </w:p>
    <w:p>
      <w:pPr>
        <w:pStyle w:val="2"/>
        <w:ind w:firstLine="420"/>
        <w:rPr>
          <w:rFonts w:ascii="宋体" w:hAnsi="宋体" w:cs="宋体"/>
          <w:kern w:val="0"/>
          <w:szCs w:val="21"/>
        </w:rPr>
      </w:pPr>
      <w:r>
        <w:rPr>
          <w:rFonts w:hint="eastAsia" w:asciiTheme="minorEastAsia" w:hAnsiTheme="minorEastAsia" w:eastAsiaTheme="minorEastAsia" w:cstheme="minorEastAsia"/>
          <w:b/>
          <w:bCs/>
          <w:sz w:val="21"/>
          <w:szCs w:val="21"/>
        </w:rPr>
        <w:t>工程质量标准：</w:t>
      </w:r>
      <w:r>
        <w:rPr>
          <w:rFonts w:hint="eastAsia" w:asciiTheme="minorEastAsia" w:hAnsiTheme="minorEastAsia" w:eastAsiaTheme="minorEastAsia" w:cstheme="minorEastAsia"/>
          <w:kern w:val="0"/>
          <w:szCs w:val="21"/>
        </w:rPr>
        <w:t>确</w:t>
      </w:r>
      <w:r>
        <w:rPr>
          <w:rFonts w:hint="eastAsia" w:ascii="宋体" w:hAnsi="宋体" w:cs="宋体"/>
          <w:kern w:val="0"/>
          <w:szCs w:val="21"/>
        </w:rPr>
        <w:t>保符合国家、省、市《建筑工程施工质量验收统一标准》（GB50300-2013）及国家现行相关专业有关施工质量验收规范（如有新规范标准按新的执行）质量验收标准，并达到合格或（以上标准）。</w:t>
      </w:r>
      <w:r>
        <w:rPr>
          <w:rFonts w:ascii="宋体" w:hAnsi="宋体" w:cs="宋体"/>
          <w:kern w:val="0"/>
          <w:szCs w:val="21"/>
        </w:rPr>
        <w:t xml:space="preserve">        </w:t>
      </w:r>
    </w:p>
    <w:p>
      <w:pPr>
        <w:pStyle w:val="2"/>
        <w:ind w:firstLine="420"/>
        <w:rPr>
          <w:rFonts w:ascii="宋体" w:hAnsi="宋体" w:cs="宋体"/>
          <w:kern w:val="0"/>
          <w:szCs w:val="21"/>
        </w:rPr>
      </w:pPr>
      <w:r>
        <w:rPr>
          <w:rFonts w:hint="eastAsia" w:ascii="宋体" w:hAnsi="宋体" w:cs="宋体"/>
          <w:kern w:val="0"/>
          <w:szCs w:val="21"/>
        </w:rPr>
        <w:t>本说明未尽之处，应按国家、省、市有关规范、规程和规定执行。</w:t>
      </w:r>
    </w:p>
    <w:p>
      <w:pPr>
        <w:pStyle w:val="2"/>
        <w:ind w:firstLine="420"/>
        <w:rPr>
          <w:rFonts w:ascii="宋体" w:hAnsi="宋体" w:cs="宋体"/>
          <w:kern w:val="0"/>
          <w:szCs w:val="21"/>
        </w:rPr>
      </w:pPr>
      <w:r>
        <w:rPr>
          <w:rFonts w:ascii="宋体" w:hAnsi="宋体" w:cs="宋体"/>
          <w:kern w:val="0"/>
          <w:szCs w:val="21"/>
        </w:rPr>
        <w:t xml:space="preserve">              </w:t>
      </w:r>
    </w:p>
    <w:p>
      <w:pPr>
        <w:pStyle w:val="2"/>
        <w:ind w:firstLine="420"/>
        <w:rPr>
          <w:rFonts w:ascii="宋体" w:hAnsi="宋体" w:cs="宋体"/>
          <w:kern w:val="0"/>
          <w:szCs w:val="21"/>
        </w:rPr>
      </w:pPr>
      <w:r>
        <w:rPr>
          <w:rFonts w:ascii="宋体" w:hAnsi="宋体" w:cs="宋体"/>
          <w:kern w:val="0"/>
          <w:szCs w:val="21"/>
        </w:rPr>
        <w:t xml:space="preserve">  </w:t>
      </w:r>
    </w:p>
    <w:p>
      <w:pPr>
        <w:pStyle w:val="2"/>
        <w:ind w:firstLine="420"/>
        <w:rPr>
          <w:rFonts w:ascii="宋体" w:hAnsi="宋体" w:cs="宋体"/>
          <w:kern w:val="0"/>
          <w:szCs w:val="21"/>
        </w:rPr>
      </w:pPr>
      <w:r>
        <w:rPr>
          <w:rFonts w:ascii="宋体" w:hAnsi="宋体" w:cs="宋体"/>
          <w:kern w:val="0"/>
          <w:szCs w:val="21"/>
        </w:rPr>
        <w:t xml:space="preserve">          </w:t>
      </w:r>
    </w:p>
    <w:p>
      <w:pPr>
        <w:pStyle w:val="2"/>
        <w:ind w:firstLine="420"/>
        <w:rPr>
          <w:rFonts w:ascii="宋体" w:hAnsi="宋体" w:cs="宋体"/>
          <w:kern w:val="0"/>
          <w:szCs w:val="21"/>
        </w:rPr>
      </w:pPr>
      <w:bookmarkStart w:id="2" w:name="_GoBack"/>
      <w:bookmarkEnd w:id="2"/>
    </w:p>
    <w:sectPr>
      <w:pgSz w:w="11906" w:h="16838"/>
      <w:pgMar w:top="1440" w:right="106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hMDlhY2MzODM3NDI5Mjg0ZjY1MjdhM2M4YTczNTAifQ=="/>
  </w:docVars>
  <w:rsids>
    <w:rsidRoot w:val="00172A27"/>
    <w:rsid w:val="0001045C"/>
    <w:rsid w:val="00013A74"/>
    <w:rsid w:val="0001533D"/>
    <w:rsid w:val="0001570C"/>
    <w:rsid w:val="00020AA8"/>
    <w:rsid w:val="00034868"/>
    <w:rsid w:val="000401A1"/>
    <w:rsid w:val="00042B0C"/>
    <w:rsid w:val="00046F95"/>
    <w:rsid w:val="00055BBC"/>
    <w:rsid w:val="00070A86"/>
    <w:rsid w:val="00073087"/>
    <w:rsid w:val="0009052A"/>
    <w:rsid w:val="000B3E88"/>
    <w:rsid w:val="000B579F"/>
    <w:rsid w:val="000C1E99"/>
    <w:rsid w:val="000E3F42"/>
    <w:rsid w:val="000E74FB"/>
    <w:rsid w:val="000E76E8"/>
    <w:rsid w:val="000E7C18"/>
    <w:rsid w:val="000F2EB2"/>
    <w:rsid w:val="00100D89"/>
    <w:rsid w:val="00150867"/>
    <w:rsid w:val="00163D14"/>
    <w:rsid w:val="00172A27"/>
    <w:rsid w:val="00181B63"/>
    <w:rsid w:val="00182A52"/>
    <w:rsid w:val="00186679"/>
    <w:rsid w:val="001B34DD"/>
    <w:rsid w:val="001B4732"/>
    <w:rsid w:val="001B6C7F"/>
    <w:rsid w:val="001D3B4D"/>
    <w:rsid w:val="001D44BB"/>
    <w:rsid w:val="001E02A1"/>
    <w:rsid w:val="001F5110"/>
    <w:rsid w:val="00203AA6"/>
    <w:rsid w:val="00204A75"/>
    <w:rsid w:val="0020792F"/>
    <w:rsid w:val="0021434C"/>
    <w:rsid w:val="002200BA"/>
    <w:rsid w:val="002210E6"/>
    <w:rsid w:val="00224B45"/>
    <w:rsid w:val="00225480"/>
    <w:rsid w:val="00225DAE"/>
    <w:rsid w:val="0023097A"/>
    <w:rsid w:val="00233EDB"/>
    <w:rsid w:val="002552CD"/>
    <w:rsid w:val="00257491"/>
    <w:rsid w:val="0026466C"/>
    <w:rsid w:val="0028661C"/>
    <w:rsid w:val="00297050"/>
    <w:rsid w:val="002A6B78"/>
    <w:rsid w:val="002B2114"/>
    <w:rsid w:val="002B2817"/>
    <w:rsid w:val="002C6447"/>
    <w:rsid w:val="002D1277"/>
    <w:rsid w:val="002D29C8"/>
    <w:rsid w:val="0031538C"/>
    <w:rsid w:val="00350DBE"/>
    <w:rsid w:val="00355808"/>
    <w:rsid w:val="00365AD1"/>
    <w:rsid w:val="00396849"/>
    <w:rsid w:val="003A28E0"/>
    <w:rsid w:val="003C6AB3"/>
    <w:rsid w:val="003D5DF6"/>
    <w:rsid w:val="003E0D89"/>
    <w:rsid w:val="003E648B"/>
    <w:rsid w:val="003F1C87"/>
    <w:rsid w:val="003F2D3B"/>
    <w:rsid w:val="003F51CE"/>
    <w:rsid w:val="00415C33"/>
    <w:rsid w:val="00424FC2"/>
    <w:rsid w:val="004311AA"/>
    <w:rsid w:val="00431715"/>
    <w:rsid w:val="00442038"/>
    <w:rsid w:val="0044242C"/>
    <w:rsid w:val="00442724"/>
    <w:rsid w:val="00447042"/>
    <w:rsid w:val="00450983"/>
    <w:rsid w:val="00455956"/>
    <w:rsid w:val="00467D0B"/>
    <w:rsid w:val="00471581"/>
    <w:rsid w:val="00476AD5"/>
    <w:rsid w:val="00477814"/>
    <w:rsid w:val="00483D7D"/>
    <w:rsid w:val="00484272"/>
    <w:rsid w:val="004858D9"/>
    <w:rsid w:val="00487C06"/>
    <w:rsid w:val="00492285"/>
    <w:rsid w:val="004A1C79"/>
    <w:rsid w:val="004A20B7"/>
    <w:rsid w:val="004C2EDE"/>
    <w:rsid w:val="004D6AD1"/>
    <w:rsid w:val="004E4B25"/>
    <w:rsid w:val="004E6E5B"/>
    <w:rsid w:val="005016BA"/>
    <w:rsid w:val="00506906"/>
    <w:rsid w:val="00507EEF"/>
    <w:rsid w:val="005156F4"/>
    <w:rsid w:val="005249E4"/>
    <w:rsid w:val="00524E12"/>
    <w:rsid w:val="00533C5E"/>
    <w:rsid w:val="005379E0"/>
    <w:rsid w:val="005461B6"/>
    <w:rsid w:val="005562D1"/>
    <w:rsid w:val="00561F9F"/>
    <w:rsid w:val="00566F9E"/>
    <w:rsid w:val="00570B6A"/>
    <w:rsid w:val="00571892"/>
    <w:rsid w:val="005A639B"/>
    <w:rsid w:val="005A6519"/>
    <w:rsid w:val="005B10B5"/>
    <w:rsid w:val="005B231E"/>
    <w:rsid w:val="005C3EFF"/>
    <w:rsid w:val="005C60F8"/>
    <w:rsid w:val="005E3D24"/>
    <w:rsid w:val="005E40F9"/>
    <w:rsid w:val="005F161B"/>
    <w:rsid w:val="005F5A45"/>
    <w:rsid w:val="00604445"/>
    <w:rsid w:val="00605A87"/>
    <w:rsid w:val="0061284B"/>
    <w:rsid w:val="00613478"/>
    <w:rsid w:val="00625C4F"/>
    <w:rsid w:val="0062613A"/>
    <w:rsid w:val="006339A0"/>
    <w:rsid w:val="00653F6D"/>
    <w:rsid w:val="006559A2"/>
    <w:rsid w:val="00666FCB"/>
    <w:rsid w:val="0067355D"/>
    <w:rsid w:val="00676CC6"/>
    <w:rsid w:val="00687954"/>
    <w:rsid w:val="00695DC0"/>
    <w:rsid w:val="006A14B0"/>
    <w:rsid w:val="006D1D6C"/>
    <w:rsid w:val="006D2C0B"/>
    <w:rsid w:val="006D4058"/>
    <w:rsid w:val="006E6689"/>
    <w:rsid w:val="006F12CC"/>
    <w:rsid w:val="006F28BF"/>
    <w:rsid w:val="006F6D73"/>
    <w:rsid w:val="007030F4"/>
    <w:rsid w:val="007061DE"/>
    <w:rsid w:val="00713DD0"/>
    <w:rsid w:val="00737B36"/>
    <w:rsid w:val="00747531"/>
    <w:rsid w:val="00763DC4"/>
    <w:rsid w:val="007668C9"/>
    <w:rsid w:val="00771C72"/>
    <w:rsid w:val="0077540B"/>
    <w:rsid w:val="0077760F"/>
    <w:rsid w:val="007A27A8"/>
    <w:rsid w:val="007A4E89"/>
    <w:rsid w:val="007A54C1"/>
    <w:rsid w:val="007A5F14"/>
    <w:rsid w:val="007B6E86"/>
    <w:rsid w:val="007C1E6A"/>
    <w:rsid w:val="007C59BD"/>
    <w:rsid w:val="007C71EC"/>
    <w:rsid w:val="007D5B39"/>
    <w:rsid w:val="007F72C2"/>
    <w:rsid w:val="007F7A50"/>
    <w:rsid w:val="007F7A7C"/>
    <w:rsid w:val="00801D4D"/>
    <w:rsid w:val="00826792"/>
    <w:rsid w:val="00826B83"/>
    <w:rsid w:val="008368B1"/>
    <w:rsid w:val="00840FEB"/>
    <w:rsid w:val="008439AB"/>
    <w:rsid w:val="00844496"/>
    <w:rsid w:val="008467D8"/>
    <w:rsid w:val="00852AD6"/>
    <w:rsid w:val="0087773B"/>
    <w:rsid w:val="00884BA5"/>
    <w:rsid w:val="00884EB2"/>
    <w:rsid w:val="0088550C"/>
    <w:rsid w:val="008B0600"/>
    <w:rsid w:val="008B7397"/>
    <w:rsid w:val="008C2048"/>
    <w:rsid w:val="008E5444"/>
    <w:rsid w:val="009028C7"/>
    <w:rsid w:val="00905670"/>
    <w:rsid w:val="00917507"/>
    <w:rsid w:val="009206FA"/>
    <w:rsid w:val="00924C90"/>
    <w:rsid w:val="00924CC3"/>
    <w:rsid w:val="009319ED"/>
    <w:rsid w:val="00933EA2"/>
    <w:rsid w:val="00934534"/>
    <w:rsid w:val="0094018D"/>
    <w:rsid w:val="00941F28"/>
    <w:rsid w:val="009514B2"/>
    <w:rsid w:val="00953D4C"/>
    <w:rsid w:val="00960249"/>
    <w:rsid w:val="00961F34"/>
    <w:rsid w:val="00962582"/>
    <w:rsid w:val="009738E7"/>
    <w:rsid w:val="00974118"/>
    <w:rsid w:val="009A5DD5"/>
    <w:rsid w:val="009A7ED8"/>
    <w:rsid w:val="009C3AEE"/>
    <w:rsid w:val="009D7CAE"/>
    <w:rsid w:val="009E22CE"/>
    <w:rsid w:val="009E2997"/>
    <w:rsid w:val="00A054EF"/>
    <w:rsid w:val="00A079F5"/>
    <w:rsid w:val="00A20C0E"/>
    <w:rsid w:val="00A22341"/>
    <w:rsid w:val="00A22CDF"/>
    <w:rsid w:val="00A24F9A"/>
    <w:rsid w:val="00A277D3"/>
    <w:rsid w:val="00A36135"/>
    <w:rsid w:val="00A4784E"/>
    <w:rsid w:val="00A56DD2"/>
    <w:rsid w:val="00A573BB"/>
    <w:rsid w:val="00A575F0"/>
    <w:rsid w:val="00A62354"/>
    <w:rsid w:val="00A653C1"/>
    <w:rsid w:val="00A7310D"/>
    <w:rsid w:val="00A77660"/>
    <w:rsid w:val="00A82CA5"/>
    <w:rsid w:val="00AA31CC"/>
    <w:rsid w:val="00AB7467"/>
    <w:rsid w:val="00AB7C8C"/>
    <w:rsid w:val="00AB7CDF"/>
    <w:rsid w:val="00AD23E5"/>
    <w:rsid w:val="00AD2C02"/>
    <w:rsid w:val="00AF2F38"/>
    <w:rsid w:val="00B04677"/>
    <w:rsid w:val="00B07D5F"/>
    <w:rsid w:val="00B12676"/>
    <w:rsid w:val="00B14012"/>
    <w:rsid w:val="00B358AB"/>
    <w:rsid w:val="00B70043"/>
    <w:rsid w:val="00B72521"/>
    <w:rsid w:val="00B9336B"/>
    <w:rsid w:val="00B9770C"/>
    <w:rsid w:val="00BA7238"/>
    <w:rsid w:val="00BA77CF"/>
    <w:rsid w:val="00BB2BB0"/>
    <w:rsid w:val="00BC06D9"/>
    <w:rsid w:val="00BC28D5"/>
    <w:rsid w:val="00BC2923"/>
    <w:rsid w:val="00BC2CD4"/>
    <w:rsid w:val="00BC505C"/>
    <w:rsid w:val="00C0686A"/>
    <w:rsid w:val="00C1290A"/>
    <w:rsid w:val="00C341BD"/>
    <w:rsid w:val="00C3741F"/>
    <w:rsid w:val="00C507A4"/>
    <w:rsid w:val="00C569E2"/>
    <w:rsid w:val="00C604B5"/>
    <w:rsid w:val="00C608F9"/>
    <w:rsid w:val="00C62B71"/>
    <w:rsid w:val="00C64B6E"/>
    <w:rsid w:val="00C718EB"/>
    <w:rsid w:val="00C75548"/>
    <w:rsid w:val="00C77CA6"/>
    <w:rsid w:val="00C85F20"/>
    <w:rsid w:val="00C9004D"/>
    <w:rsid w:val="00CA51FE"/>
    <w:rsid w:val="00CC04E3"/>
    <w:rsid w:val="00CD5EA5"/>
    <w:rsid w:val="00CD69F1"/>
    <w:rsid w:val="00CE2AD0"/>
    <w:rsid w:val="00CE4161"/>
    <w:rsid w:val="00CE636F"/>
    <w:rsid w:val="00CF5419"/>
    <w:rsid w:val="00CF6A4A"/>
    <w:rsid w:val="00CF7983"/>
    <w:rsid w:val="00D01EE9"/>
    <w:rsid w:val="00D05EB3"/>
    <w:rsid w:val="00D11351"/>
    <w:rsid w:val="00D21456"/>
    <w:rsid w:val="00D225F1"/>
    <w:rsid w:val="00D304DB"/>
    <w:rsid w:val="00D307D6"/>
    <w:rsid w:val="00D31105"/>
    <w:rsid w:val="00D355A9"/>
    <w:rsid w:val="00D42E68"/>
    <w:rsid w:val="00D47C28"/>
    <w:rsid w:val="00D60E83"/>
    <w:rsid w:val="00D67AD0"/>
    <w:rsid w:val="00D72E1E"/>
    <w:rsid w:val="00D76A6D"/>
    <w:rsid w:val="00D84074"/>
    <w:rsid w:val="00D917F5"/>
    <w:rsid w:val="00D91F83"/>
    <w:rsid w:val="00D95293"/>
    <w:rsid w:val="00DA2284"/>
    <w:rsid w:val="00DA2BF6"/>
    <w:rsid w:val="00DA6011"/>
    <w:rsid w:val="00DB0BFF"/>
    <w:rsid w:val="00DB2765"/>
    <w:rsid w:val="00DC23EC"/>
    <w:rsid w:val="00DC59D7"/>
    <w:rsid w:val="00DC717C"/>
    <w:rsid w:val="00DC79A0"/>
    <w:rsid w:val="00DE073A"/>
    <w:rsid w:val="00DE3A51"/>
    <w:rsid w:val="00DE5916"/>
    <w:rsid w:val="00DE67B5"/>
    <w:rsid w:val="00DF0D89"/>
    <w:rsid w:val="00E13594"/>
    <w:rsid w:val="00E225FA"/>
    <w:rsid w:val="00E30A01"/>
    <w:rsid w:val="00E418D5"/>
    <w:rsid w:val="00E4205A"/>
    <w:rsid w:val="00E441B0"/>
    <w:rsid w:val="00E47969"/>
    <w:rsid w:val="00E47E56"/>
    <w:rsid w:val="00E575AE"/>
    <w:rsid w:val="00E610C1"/>
    <w:rsid w:val="00E65BE8"/>
    <w:rsid w:val="00E73622"/>
    <w:rsid w:val="00E8030E"/>
    <w:rsid w:val="00E86C77"/>
    <w:rsid w:val="00E90153"/>
    <w:rsid w:val="00E9682A"/>
    <w:rsid w:val="00E970B8"/>
    <w:rsid w:val="00E97E61"/>
    <w:rsid w:val="00EA1285"/>
    <w:rsid w:val="00EA2471"/>
    <w:rsid w:val="00EA2828"/>
    <w:rsid w:val="00EA5A65"/>
    <w:rsid w:val="00EB3AB9"/>
    <w:rsid w:val="00ED0178"/>
    <w:rsid w:val="00ED047E"/>
    <w:rsid w:val="00EE55D5"/>
    <w:rsid w:val="00F0568F"/>
    <w:rsid w:val="00F05FD5"/>
    <w:rsid w:val="00F07D30"/>
    <w:rsid w:val="00F24872"/>
    <w:rsid w:val="00F27198"/>
    <w:rsid w:val="00F30D6C"/>
    <w:rsid w:val="00F511D0"/>
    <w:rsid w:val="00F66D6D"/>
    <w:rsid w:val="00F671C4"/>
    <w:rsid w:val="00F800C9"/>
    <w:rsid w:val="00F83551"/>
    <w:rsid w:val="00F8759D"/>
    <w:rsid w:val="00F9769C"/>
    <w:rsid w:val="00FB4963"/>
    <w:rsid w:val="00FD0DB9"/>
    <w:rsid w:val="00FD567A"/>
    <w:rsid w:val="00FE1628"/>
    <w:rsid w:val="00FE2C1D"/>
    <w:rsid w:val="00FE3671"/>
    <w:rsid w:val="00FE6E0C"/>
    <w:rsid w:val="00FF48C0"/>
    <w:rsid w:val="012076D5"/>
    <w:rsid w:val="013325CF"/>
    <w:rsid w:val="016513AC"/>
    <w:rsid w:val="017D3553"/>
    <w:rsid w:val="0185343D"/>
    <w:rsid w:val="019D731D"/>
    <w:rsid w:val="019F14E3"/>
    <w:rsid w:val="01CF0210"/>
    <w:rsid w:val="01F85958"/>
    <w:rsid w:val="01FF2851"/>
    <w:rsid w:val="020E2530"/>
    <w:rsid w:val="022D7475"/>
    <w:rsid w:val="023C37A5"/>
    <w:rsid w:val="025523C6"/>
    <w:rsid w:val="028717F8"/>
    <w:rsid w:val="02AA28D4"/>
    <w:rsid w:val="02B53EE6"/>
    <w:rsid w:val="03033CC9"/>
    <w:rsid w:val="031B52A6"/>
    <w:rsid w:val="03261C86"/>
    <w:rsid w:val="03440231"/>
    <w:rsid w:val="034E0220"/>
    <w:rsid w:val="03660C8E"/>
    <w:rsid w:val="038E1804"/>
    <w:rsid w:val="03962CF4"/>
    <w:rsid w:val="03BE0703"/>
    <w:rsid w:val="03C77564"/>
    <w:rsid w:val="03C82A72"/>
    <w:rsid w:val="03F15342"/>
    <w:rsid w:val="03FB4537"/>
    <w:rsid w:val="03FE70C9"/>
    <w:rsid w:val="04243B03"/>
    <w:rsid w:val="04267B2D"/>
    <w:rsid w:val="042773B1"/>
    <w:rsid w:val="042F5608"/>
    <w:rsid w:val="044A514D"/>
    <w:rsid w:val="04554899"/>
    <w:rsid w:val="045A1A89"/>
    <w:rsid w:val="046563E7"/>
    <w:rsid w:val="046A188A"/>
    <w:rsid w:val="047C4AC0"/>
    <w:rsid w:val="04911877"/>
    <w:rsid w:val="04B64444"/>
    <w:rsid w:val="05041B08"/>
    <w:rsid w:val="051F1A74"/>
    <w:rsid w:val="05520D2C"/>
    <w:rsid w:val="05787828"/>
    <w:rsid w:val="057941AC"/>
    <w:rsid w:val="05865EB8"/>
    <w:rsid w:val="05A63A24"/>
    <w:rsid w:val="05AC27AF"/>
    <w:rsid w:val="05ED6B1D"/>
    <w:rsid w:val="06376675"/>
    <w:rsid w:val="065D7AA2"/>
    <w:rsid w:val="065E265A"/>
    <w:rsid w:val="067F47B6"/>
    <w:rsid w:val="068154EF"/>
    <w:rsid w:val="06E0369B"/>
    <w:rsid w:val="0765597E"/>
    <w:rsid w:val="077B3351"/>
    <w:rsid w:val="07A55A27"/>
    <w:rsid w:val="080F7126"/>
    <w:rsid w:val="082820D4"/>
    <w:rsid w:val="085E792F"/>
    <w:rsid w:val="08711239"/>
    <w:rsid w:val="08771410"/>
    <w:rsid w:val="08890F9F"/>
    <w:rsid w:val="08AA7E73"/>
    <w:rsid w:val="08E326E9"/>
    <w:rsid w:val="08F119AA"/>
    <w:rsid w:val="091D3294"/>
    <w:rsid w:val="09391C94"/>
    <w:rsid w:val="094F66B5"/>
    <w:rsid w:val="0968563E"/>
    <w:rsid w:val="09A360C7"/>
    <w:rsid w:val="09B40908"/>
    <w:rsid w:val="09E547C7"/>
    <w:rsid w:val="09F14739"/>
    <w:rsid w:val="09FE383B"/>
    <w:rsid w:val="0A101C3B"/>
    <w:rsid w:val="0A1B30DD"/>
    <w:rsid w:val="0A255F3F"/>
    <w:rsid w:val="0A375EC4"/>
    <w:rsid w:val="0A414094"/>
    <w:rsid w:val="0A62589E"/>
    <w:rsid w:val="0ABA0ED9"/>
    <w:rsid w:val="0AD53D91"/>
    <w:rsid w:val="0AE22557"/>
    <w:rsid w:val="0B056ECC"/>
    <w:rsid w:val="0B07102C"/>
    <w:rsid w:val="0B1A3BE4"/>
    <w:rsid w:val="0B1B73C5"/>
    <w:rsid w:val="0B2F5E27"/>
    <w:rsid w:val="0B701ADD"/>
    <w:rsid w:val="0BCD510C"/>
    <w:rsid w:val="0BDF3F4D"/>
    <w:rsid w:val="0BF87B91"/>
    <w:rsid w:val="0C1F5510"/>
    <w:rsid w:val="0C246F68"/>
    <w:rsid w:val="0C2A4CD7"/>
    <w:rsid w:val="0C6C786C"/>
    <w:rsid w:val="0CC55361"/>
    <w:rsid w:val="0CEC6FD2"/>
    <w:rsid w:val="0D6734ED"/>
    <w:rsid w:val="0D7A4FCD"/>
    <w:rsid w:val="0D87458D"/>
    <w:rsid w:val="0D913B6E"/>
    <w:rsid w:val="0DAB4A8D"/>
    <w:rsid w:val="0DC33F10"/>
    <w:rsid w:val="0DCC4F54"/>
    <w:rsid w:val="0DDF1E67"/>
    <w:rsid w:val="0DEC64C7"/>
    <w:rsid w:val="0E162F43"/>
    <w:rsid w:val="0E1C2D5A"/>
    <w:rsid w:val="0E290C83"/>
    <w:rsid w:val="0E401106"/>
    <w:rsid w:val="0E480606"/>
    <w:rsid w:val="0E5C3FC1"/>
    <w:rsid w:val="0E7609AC"/>
    <w:rsid w:val="0E8A43E5"/>
    <w:rsid w:val="0E911867"/>
    <w:rsid w:val="0EC43E5C"/>
    <w:rsid w:val="0EC87CB3"/>
    <w:rsid w:val="0ED35A71"/>
    <w:rsid w:val="0EE54A54"/>
    <w:rsid w:val="0F1232F7"/>
    <w:rsid w:val="0F3D3D83"/>
    <w:rsid w:val="0F8F4AE0"/>
    <w:rsid w:val="0FB30759"/>
    <w:rsid w:val="0FD259C6"/>
    <w:rsid w:val="1016005B"/>
    <w:rsid w:val="105D6E34"/>
    <w:rsid w:val="109C07BF"/>
    <w:rsid w:val="10AA7B73"/>
    <w:rsid w:val="10F26E0C"/>
    <w:rsid w:val="111F6D37"/>
    <w:rsid w:val="1132689E"/>
    <w:rsid w:val="113779E7"/>
    <w:rsid w:val="11760422"/>
    <w:rsid w:val="11B957A6"/>
    <w:rsid w:val="11D71C5A"/>
    <w:rsid w:val="11DD260E"/>
    <w:rsid w:val="11F70673"/>
    <w:rsid w:val="11F97F17"/>
    <w:rsid w:val="12105A2B"/>
    <w:rsid w:val="121C09ED"/>
    <w:rsid w:val="121F56A2"/>
    <w:rsid w:val="12293E2F"/>
    <w:rsid w:val="12586B50"/>
    <w:rsid w:val="127F24AE"/>
    <w:rsid w:val="12897EE8"/>
    <w:rsid w:val="12B7144A"/>
    <w:rsid w:val="12BC0F7C"/>
    <w:rsid w:val="12F95E16"/>
    <w:rsid w:val="130F7A9A"/>
    <w:rsid w:val="138404FA"/>
    <w:rsid w:val="13C0292F"/>
    <w:rsid w:val="13DE4D0E"/>
    <w:rsid w:val="13E52221"/>
    <w:rsid w:val="14096780"/>
    <w:rsid w:val="1440740C"/>
    <w:rsid w:val="145D3750"/>
    <w:rsid w:val="14661CA7"/>
    <w:rsid w:val="150E56C0"/>
    <w:rsid w:val="15251B11"/>
    <w:rsid w:val="15412F5A"/>
    <w:rsid w:val="15506B3B"/>
    <w:rsid w:val="157F540C"/>
    <w:rsid w:val="15CE5CC9"/>
    <w:rsid w:val="15D312AA"/>
    <w:rsid w:val="15F248DE"/>
    <w:rsid w:val="1606523E"/>
    <w:rsid w:val="163C07F5"/>
    <w:rsid w:val="16977EBB"/>
    <w:rsid w:val="16CD2F6F"/>
    <w:rsid w:val="172C4555"/>
    <w:rsid w:val="172C6FE6"/>
    <w:rsid w:val="173A169D"/>
    <w:rsid w:val="17461B31"/>
    <w:rsid w:val="176E2E53"/>
    <w:rsid w:val="17B11783"/>
    <w:rsid w:val="17B17F4D"/>
    <w:rsid w:val="17C05EA9"/>
    <w:rsid w:val="17D01D40"/>
    <w:rsid w:val="17F1425D"/>
    <w:rsid w:val="180D1440"/>
    <w:rsid w:val="18146D54"/>
    <w:rsid w:val="18272DE3"/>
    <w:rsid w:val="182A05A1"/>
    <w:rsid w:val="183A6F8D"/>
    <w:rsid w:val="18665F64"/>
    <w:rsid w:val="18760692"/>
    <w:rsid w:val="187A1D1F"/>
    <w:rsid w:val="18B84F68"/>
    <w:rsid w:val="18E16B1C"/>
    <w:rsid w:val="193B29D2"/>
    <w:rsid w:val="196E5338"/>
    <w:rsid w:val="198F2B36"/>
    <w:rsid w:val="199E3BE7"/>
    <w:rsid w:val="1A630CFA"/>
    <w:rsid w:val="1A6A27C7"/>
    <w:rsid w:val="1AA26BC8"/>
    <w:rsid w:val="1AA475F3"/>
    <w:rsid w:val="1AB015EE"/>
    <w:rsid w:val="1ACC736B"/>
    <w:rsid w:val="1ACE548B"/>
    <w:rsid w:val="1AF916A0"/>
    <w:rsid w:val="1AFB40CB"/>
    <w:rsid w:val="1B001584"/>
    <w:rsid w:val="1B0573AD"/>
    <w:rsid w:val="1B1C5333"/>
    <w:rsid w:val="1B9018DC"/>
    <w:rsid w:val="1BE74F2F"/>
    <w:rsid w:val="1BF67B92"/>
    <w:rsid w:val="1C100943"/>
    <w:rsid w:val="1C1C698B"/>
    <w:rsid w:val="1C347D71"/>
    <w:rsid w:val="1C686E9A"/>
    <w:rsid w:val="1C6A2385"/>
    <w:rsid w:val="1C866A6F"/>
    <w:rsid w:val="1C9C0780"/>
    <w:rsid w:val="1C9D5716"/>
    <w:rsid w:val="1D0A5300"/>
    <w:rsid w:val="1D111265"/>
    <w:rsid w:val="1D1B3BE6"/>
    <w:rsid w:val="1D2042E1"/>
    <w:rsid w:val="1D3756BF"/>
    <w:rsid w:val="1D450AF9"/>
    <w:rsid w:val="1D586862"/>
    <w:rsid w:val="1D5970A7"/>
    <w:rsid w:val="1D6079C7"/>
    <w:rsid w:val="1DE31099"/>
    <w:rsid w:val="1DE86A89"/>
    <w:rsid w:val="1DF6111B"/>
    <w:rsid w:val="1DF63024"/>
    <w:rsid w:val="1DF91DAA"/>
    <w:rsid w:val="1DFA35AD"/>
    <w:rsid w:val="1E367DEA"/>
    <w:rsid w:val="1E4A2C70"/>
    <w:rsid w:val="1E4D0D79"/>
    <w:rsid w:val="1E8C7CE8"/>
    <w:rsid w:val="1E8F0936"/>
    <w:rsid w:val="1ECB172F"/>
    <w:rsid w:val="1ED8045E"/>
    <w:rsid w:val="1F4E297B"/>
    <w:rsid w:val="1F6F3193"/>
    <w:rsid w:val="1F8E479D"/>
    <w:rsid w:val="1FD07CB7"/>
    <w:rsid w:val="20064243"/>
    <w:rsid w:val="202040E6"/>
    <w:rsid w:val="202E1570"/>
    <w:rsid w:val="20300014"/>
    <w:rsid w:val="20374B13"/>
    <w:rsid w:val="206E2B68"/>
    <w:rsid w:val="20753C36"/>
    <w:rsid w:val="20E5643F"/>
    <w:rsid w:val="21045D9E"/>
    <w:rsid w:val="2120725A"/>
    <w:rsid w:val="21253F09"/>
    <w:rsid w:val="212B30E2"/>
    <w:rsid w:val="2134245A"/>
    <w:rsid w:val="2140358C"/>
    <w:rsid w:val="218D0B85"/>
    <w:rsid w:val="21B82CF8"/>
    <w:rsid w:val="21C27D72"/>
    <w:rsid w:val="21E507EA"/>
    <w:rsid w:val="21F565C0"/>
    <w:rsid w:val="22041870"/>
    <w:rsid w:val="221C4FF3"/>
    <w:rsid w:val="222A236C"/>
    <w:rsid w:val="22387259"/>
    <w:rsid w:val="224104DE"/>
    <w:rsid w:val="22541A08"/>
    <w:rsid w:val="22847F67"/>
    <w:rsid w:val="22FE6E65"/>
    <w:rsid w:val="23043D1F"/>
    <w:rsid w:val="230A3A2E"/>
    <w:rsid w:val="234A0E11"/>
    <w:rsid w:val="23663766"/>
    <w:rsid w:val="236642E5"/>
    <w:rsid w:val="23FE5928"/>
    <w:rsid w:val="243E52C2"/>
    <w:rsid w:val="245A579B"/>
    <w:rsid w:val="24684076"/>
    <w:rsid w:val="24CC301C"/>
    <w:rsid w:val="24CC33EE"/>
    <w:rsid w:val="24F36DDF"/>
    <w:rsid w:val="25310873"/>
    <w:rsid w:val="25701C88"/>
    <w:rsid w:val="25B7435E"/>
    <w:rsid w:val="25D00079"/>
    <w:rsid w:val="25D12845"/>
    <w:rsid w:val="25DE352E"/>
    <w:rsid w:val="25F84142"/>
    <w:rsid w:val="26885364"/>
    <w:rsid w:val="26984CAE"/>
    <w:rsid w:val="26AF3468"/>
    <w:rsid w:val="26BF40FA"/>
    <w:rsid w:val="26F800C1"/>
    <w:rsid w:val="272303C9"/>
    <w:rsid w:val="27783420"/>
    <w:rsid w:val="27A513C1"/>
    <w:rsid w:val="27D14611"/>
    <w:rsid w:val="27D56839"/>
    <w:rsid w:val="27E1198E"/>
    <w:rsid w:val="27EB5555"/>
    <w:rsid w:val="27FA7BC6"/>
    <w:rsid w:val="28374ADB"/>
    <w:rsid w:val="285B302F"/>
    <w:rsid w:val="2886163B"/>
    <w:rsid w:val="288C12A1"/>
    <w:rsid w:val="28BE655C"/>
    <w:rsid w:val="28CF3B96"/>
    <w:rsid w:val="28E93F0C"/>
    <w:rsid w:val="299E6123"/>
    <w:rsid w:val="29E263B5"/>
    <w:rsid w:val="2A224F13"/>
    <w:rsid w:val="2A4140D6"/>
    <w:rsid w:val="2A477415"/>
    <w:rsid w:val="2AB22E48"/>
    <w:rsid w:val="2AC02DEE"/>
    <w:rsid w:val="2AC26DF9"/>
    <w:rsid w:val="2AE819B0"/>
    <w:rsid w:val="2AFF1A34"/>
    <w:rsid w:val="2B14141B"/>
    <w:rsid w:val="2B435FB2"/>
    <w:rsid w:val="2B540F5B"/>
    <w:rsid w:val="2B9D170F"/>
    <w:rsid w:val="2BA213A5"/>
    <w:rsid w:val="2BAB1B2F"/>
    <w:rsid w:val="2BB25D1D"/>
    <w:rsid w:val="2BE55328"/>
    <w:rsid w:val="2C430100"/>
    <w:rsid w:val="2C6312CE"/>
    <w:rsid w:val="2C6E500B"/>
    <w:rsid w:val="2CFB387E"/>
    <w:rsid w:val="2D1455AA"/>
    <w:rsid w:val="2D652911"/>
    <w:rsid w:val="2D870982"/>
    <w:rsid w:val="2DA87848"/>
    <w:rsid w:val="2DC64A04"/>
    <w:rsid w:val="2E0E59A9"/>
    <w:rsid w:val="2E284BA3"/>
    <w:rsid w:val="2E772038"/>
    <w:rsid w:val="2E7F4F83"/>
    <w:rsid w:val="2E8C7329"/>
    <w:rsid w:val="2F2B0890"/>
    <w:rsid w:val="2F3A7888"/>
    <w:rsid w:val="2F5B559C"/>
    <w:rsid w:val="2F75106B"/>
    <w:rsid w:val="2F8230FD"/>
    <w:rsid w:val="2F904C9F"/>
    <w:rsid w:val="2FB758D3"/>
    <w:rsid w:val="301E346B"/>
    <w:rsid w:val="302B4927"/>
    <w:rsid w:val="303049A8"/>
    <w:rsid w:val="30617A4F"/>
    <w:rsid w:val="30B7779C"/>
    <w:rsid w:val="30CB2644"/>
    <w:rsid w:val="30E56F79"/>
    <w:rsid w:val="31213D98"/>
    <w:rsid w:val="319335F2"/>
    <w:rsid w:val="31A03D11"/>
    <w:rsid w:val="31B43B95"/>
    <w:rsid w:val="31D40B06"/>
    <w:rsid w:val="31DA295E"/>
    <w:rsid w:val="32051A0D"/>
    <w:rsid w:val="32114415"/>
    <w:rsid w:val="321743C3"/>
    <w:rsid w:val="322A6752"/>
    <w:rsid w:val="322F116C"/>
    <w:rsid w:val="323038BC"/>
    <w:rsid w:val="3244678D"/>
    <w:rsid w:val="33350BDF"/>
    <w:rsid w:val="33433884"/>
    <w:rsid w:val="33561906"/>
    <w:rsid w:val="337E3D96"/>
    <w:rsid w:val="33BB353F"/>
    <w:rsid w:val="33C9082A"/>
    <w:rsid w:val="33D35739"/>
    <w:rsid w:val="341E6DED"/>
    <w:rsid w:val="343A1530"/>
    <w:rsid w:val="344B76B6"/>
    <w:rsid w:val="3482399A"/>
    <w:rsid w:val="348D1DB8"/>
    <w:rsid w:val="34910159"/>
    <w:rsid w:val="34C9351C"/>
    <w:rsid w:val="34C9619B"/>
    <w:rsid w:val="35072A49"/>
    <w:rsid w:val="35823E7C"/>
    <w:rsid w:val="358D7152"/>
    <w:rsid w:val="3615518F"/>
    <w:rsid w:val="36157432"/>
    <w:rsid w:val="364D76DC"/>
    <w:rsid w:val="3653294D"/>
    <w:rsid w:val="365D4DC3"/>
    <w:rsid w:val="365E28A7"/>
    <w:rsid w:val="36633474"/>
    <w:rsid w:val="36E7464B"/>
    <w:rsid w:val="37001BE1"/>
    <w:rsid w:val="371B7B0A"/>
    <w:rsid w:val="374F3D2F"/>
    <w:rsid w:val="37997D75"/>
    <w:rsid w:val="37C036CA"/>
    <w:rsid w:val="380C4D7E"/>
    <w:rsid w:val="382420D7"/>
    <w:rsid w:val="382D51F4"/>
    <w:rsid w:val="3842422E"/>
    <w:rsid w:val="38426802"/>
    <w:rsid w:val="386E37CB"/>
    <w:rsid w:val="38766ED6"/>
    <w:rsid w:val="388B46EC"/>
    <w:rsid w:val="38914503"/>
    <w:rsid w:val="389A122B"/>
    <w:rsid w:val="389A5528"/>
    <w:rsid w:val="38AE2AA4"/>
    <w:rsid w:val="38C747C9"/>
    <w:rsid w:val="38E13E00"/>
    <w:rsid w:val="38EE0C2F"/>
    <w:rsid w:val="38F60FAD"/>
    <w:rsid w:val="39380BD7"/>
    <w:rsid w:val="395E4E96"/>
    <w:rsid w:val="39840366"/>
    <w:rsid w:val="39895BD2"/>
    <w:rsid w:val="39BE5D54"/>
    <w:rsid w:val="39D70A17"/>
    <w:rsid w:val="39EF2070"/>
    <w:rsid w:val="39EF4582"/>
    <w:rsid w:val="3A0217DF"/>
    <w:rsid w:val="3A0472C2"/>
    <w:rsid w:val="3A1C2622"/>
    <w:rsid w:val="3A1E0C4C"/>
    <w:rsid w:val="3A1E43E9"/>
    <w:rsid w:val="3A465B2C"/>
    <w:rsid w:val="3A5430DB"/>
    <w:rsid w:val="3A8E7650"/>
    <w:rsid w:val="3A920D7F"/>
    <w:rsid w:val="3AB377BF"/>
    <w:rsid w:val="3AE44614"/>
    <w:rsid w:val="3AFB2AC1"/>
    <w:rsid w:val="3B0971EE"/>
    <w:rsid w:val="3B1A26FB"/>
    <w:rsid w:val="3B1E0272"/>
    <w:rsid w:val="3B5349A3"/>
    <w:rsid w:val="3B6C237E"/>
    <w:rsid w:val="3B8A1EC0"/>
    <w:rsid w:val="3B8D21E2"/>
    <w:rsid w:val="3B985722"/>
    <w:rsid w:val="3BB01B3B"/>
    <w:rsid w:val="3BB921E0"/>
    <w:rsid w:val="3BC61F6F"/>
    <w:rsid w:val="3BCC227B"/>
    <w:rsid w:val="3BCD3092"/>
    <w:rsid w:val="3BF61B72"/>
    <w:rsid w:val="3C510997"/>
    <w:rsid w:val="3C5E7BF7"/>
    <w:rsid w:val="3C663944"/>
    <w:rsid w:val="3C7A29D6"/>
    <w:rsid w:val="3C814BF9"/>
    <w:rsid w:val="3C967D35"/>
    <w:rsid w:val="3CC34B26"/>
    <w:rsid w:val="3CE60C3F"/>
    <w:rsid w:val="3D23473C"/>
    <w:rsid w:val="3D33437C"/>
    <w:rsid w:val="3D421A25"/>
    <w:rsid w:val="3D66761E"/>
    <w:rsid w:val="3D7374B0"/>
    <w:rsid w:val="3D8F4E56"/>
    <w:rsid w:val="3D9D6CD0"/>
    <w:rsid w:val="3DA3201C"/>
    <w:rsid w:val="3DB92CC6"/>
    <w:rsid w:val="3DF45249"/>
    <w:rsid w:val="3E0E60C6"/>
    <w:rsid w:val="3E16472C"/>
    <w:rsid w:val="3E237A7B"/>
    <w:rsid w:val="3E3471B4"/>
    <w:rsid w:val="3E4029DB"/>
    <w:rsid w:val="3E797160"/>
    <w:rsid w:val="3E80281A"/>
    <w:rsid w:val="3E824D93"/>
    <w:rsid w:val="3F287F2A"/>
    <w:rsid w:val="3F3667DA"/>
    <w:rsid w:val="3F47122A"/>
    <w:rsid w:val="3F4D4A20"/>
    <w:rsid w:val="3F5833E6"/>
    <w:rsid w:val="3FA02FE9"/>
    <w:rsid w:val="4004269C"/>
    <w:rsid w:val="40322634"/>
    <w:rsid w:val="4053252C"/>
    <w:rsid w:val="405C4380"/>
    <w:rsid w:val="40610FCA"/>
    <w:rsid w:val="4069465D"/>
    <w:rsid w:val="40727565"/>
    <w:rsid w:val="40895D4A"/>
    <w:rsid w:val="408A0DFA"/>
    <w:rsid w:val="40AF1C63"/>
    <w:rsid w:val="40D73786"/>
    <w:rsid w:val="40D74C13"/>
    <w:rsid w:val="40D94094"/>
    <w:rsid w:val="41360D1E"/>
    <w:rsid w:val="41546D80"/>
    <w:rsid w:val="415C79E3"/>
    <w:rsid w:val="41853434"/>
    <w:rsid w:val="41AA2E44"/>
    <w:rsid w:val="41FC6F54"/>
    <w:rsid w:val="422A4BBD"/>
    <w:rsid w:val="42644C1D"/>
    <w:rsid w:val="42756FAE"/>
    <w:rsid w:val="42C65806"/>
    <w:rsid w:val="42D2058C"/>
    <w:rsid w:val="42D83391"/>
    <w:rsid w:val="42EA7749"/>
    <w:rsid w:val="42F57A17"/>
    <w:rsid w:val="42FC1580"/>
    <w:rsid w:val="43244531"/>
    <w:rsid w:val="434149FC"/>
    <w:rsid w:val="43886207"/>
    <w:rsid w:val="43913B03"/>
    <w:rsid w:val="43B526E7"/>
    <w:rsid w:val="43BC0B70"/>
    <w:rsid w:val="43D775A8"/>
    <w:rsid w:val="440B54FE"/>
    <w:rsid w:val="442300EB"/>
    <w:rsid w:val="44263051"/>
    <w:rsid w:val="443A6632"/>
    <w:rsid w:val="444C47B6"/>
    <w:rsid w:val="4451438F"/>
    <w:rsid w:val="445F29EE"/>
    <w:rsid w:val="44A66E1E"/>
    <w:rsid w:val="44AB4479"/>
    <w:rsid w:val="44B8155D"/>
    <w:rsid w:val="44C10CE1"/>
    <w:rsid w:val="45360871"/>
    <w:rsid w:val="45491989"/>
    <w:rsid w:val="457E43CC"/>
    <w:rsid w:val="45A83E43"/>
    <w:rsid w:val="45B15471"/>
    <w:rsid w:val="45EE3C4C"/>
    <w:rsid w:val="462724D9"/>
    <w:rsid w:val="46336426"/>
    <w:rsid w:val="465D5C1B"/>
    <w:rsid w:val="468B4FF2"/>
    <w:rsid w:val="46A71AD5"/>
    <w:rsid w:val="46AD0AC7"/>
    <w:rsid w:val="46C723DD"/>
    <w:rsid w:val="46CE7EFD"/>
    <w:rsid w:val="470407B2"/>
    <w:rsid w:val="47290367"/>
    <w:rsid w:val="473F6EBB"/>
    <w:rsid w:val="47506713"/>
    <w:rsid w:val="47530538"/>
    <w:rsid w:val="47717451"/>
    <w:rsid w:val="477503EA"/>
    <w:rsid w:val="47934CB8"/>
    <w:rsid w:val="47B816B0"/>
    <w:rsid w:val="48385062"/>
    <w:rsid w:val="486A1F6E"/>
    <w:rsid w:val="488708AF"/>
    <w:rsid w:val="489731D6"/>
    <w:rsid w:val="489B34E7"/>
    <w:rsid w:val="48C74256"/>
    <w:rsid w:val="49056DAD"/>
    <w:rsid w:val="49333C3F"/>
    <w:rsid w:val="4938175D"/>
    <w:rsid w:val="49627B61"/>
    <w:rsid w:val="49663AF5"/>
    <w:rsid w:val="49EF7646"/>
    <w:rsid w:val="4A16793B"/>
    <w:rsid w:val="4A612C2E"/>
    <w:rsid w:val="4A754EA6"/>
    <w:rsid w:val="4A811702"/>
    <w:rsid w:val="4AC26F67"/>
    <w:rsid w:val="4AD70D55"/>
    <w:rsid w:val="4AD960D8"/>
    <w:rsid w:val="4B562293"/>
    <w:rsid w:val="4B5B4881"/>
    <w:rsid w:val="4B9D783E"/>
    <w:rsid w:val="4BB77258"/>
    <w:rsid w:val="4BD525A3"/>
    <w:rsid w:val="4BD66A95"/>
    <w:rsid w:val="4C015EBD"/>
    <w:rsid w:val="4C2B48CD"/>
    <w:rsid w:val="4C622B70"/>
    <w:rsid w:val="4C7E4AB5"/>
    <w:rsid w:val="4C8F57D3"/>
    <w:rsid w:val="4CD5242B"/>
    <w:rsid w:val="4CE6185A"/>
    <w:rsid w:val="4D207697"/>
    <w:rsid w:val="4D270DC5"/>
    <w:rsid w:val="4D3D5E7A"/>
    <w:rsid w:val="4D423938"/>
    <w:rsid w:val="4D502E3D"/>
    <w:rsid w:val="4D5D68D9"/>
    <w:rsid w:val="4D791AF8"/>
    <w:rsid w:val="4D844155"/>
    <w:rsid w:val="4DA13C2C"/>
    <w:rsid w:val="4DD41687"/>
    <w:rsid w:val="4DD551A9"/>
    <w:rsid w:val="4E03317C"/>
    <w:rsid w:val="4E3A6FDB"/>
    <w:rsid w:val="4E6F5CD8"/>
    <w:rsid w:val="4E9F3EC7"/>
    <w:rsid w:val="4EAE1932"/>
    <w:rsid w:val="4ED40E8B"/>
    <w:rsid w:val="4F5A1A0B"/>
    <w:rsid w:val="4F645741"/>
    <w:rsid w:val="4F647400"/>
    <w:rsid w:val="4FAD034E"/>
    <w:rsid w:val="4FEA500C"/>
    <w:rsid w:val="4FED262C"/>
    <w:rsid w:val="4FEE48AA"/>
    <w:rsid w:val="4FFE7C40"/>
    <w:rsid w:val="503C4A07"/>
    <w:rsid w:val="505436C9"/>
    <w:rsid w:val="507A0714"/>
    <w:rsid w:val="50BE0670"/>
    <w:rsid w:val="50E37FAF"/>
    <w:rsid w:val="51475EAB"/>
    <w:rsid w:val="514823C6"/>
    <w:rsid w:val="515D3F7D"/>
    <w:rsid w:val="519202B4"/>
    <w:rsid w:val="51B353AA"/>
    <w:rsid w:val="51B730EF"/>
    <w:rsid w:val="51CB1E30"/>
    <w:rsid w:val="51E93BD8"/>
    <w:rsid w:val="521C7324"/>
    <w:rsid w:val="527855B2"/>
    <w:rsid w:val="5286403A"/>
    <w:rsid w:val="528B5CB7"/>
    <w:rsid w:val="52D84725"/>
    <w:rsid w:val="52DE0A9F"/>
    <w:rsid w:val="52F40786"/>
    <w:rsid w:val="53333E00"/>
    <w:rsid w:val="535767EF"/>
    <w:rsid w:val="53A60261"/>
    <w:rsid w:val="53F45CE6"/>
    <w:rsid w:val="545B5B50"/>
    <w:rsid w:val="54761D2D"/>
    <w:rsid w:val="54925DB0"/>
    <w:rsid w:val="54CA136E"/>
    <w:rsid w:val="54CA260B"/>
    <w:rsid w:val="54D649CE"/>
    <w:rsid w:val="550C2F3B"/>
    <w:rsid w:val="554C3C53"/>
    <w:rsid w:val="555E63DE"/>
    <w:rsid w:val="55C23E61"/>
    <w:rsid w:val="55DB5A28"/>
    <w:rsid w:val="55FE7640"/>
    <w:rsid w:val="56271FAD"/>
    <w:rsid w:val="563475F4"/>
    <w:rsid w:val="56403A45"/>
    <w:rsid w:val="56431CF5"/>
    <w:rsid w:val="567C4E33"/>
    <w:rsid w:val="56FB0463"/>
    <w:rsid w:val="57057D79"/>
    <w:rsid w:val="57193F03"/>
    <w:rsid w:val="572F0A96"/>
    <w:rsid w:val="579C165C"/>
    <w:rsid w:val="579F3EB3"/>
    <w:rsid w:val="57E84A79"/>
    <w:rsid w:val="5829460A"/>
    <w:rsid w:val="58C00015"/>
    <w:rsid w:val="58C1671A"/>
    <w:rsid w:val="58CE0DD5"/>
    <w:rsid w:val="5966544B"/>
    <w:rsid w:val="596C5811"/>
    <w:rsid w:val="5A6156DA"/>
    <w:rsid w:val="5A7D1F0E"/>
    <w:rsid w:val="5A850D5D"/>
    <w:rsid w:val="5ACC12DE"/>
    <w:rsid w:val="5AE37507"/>
    <w:rsid w:val="5B22662C"/>
    <w:rsid w:val="5B634B96"/>
    <w:rsid w:val="5B9E2587"/>
    <w:rsid w:val="5BA04A7C"/>
    <w:rsid w:val="5BB3428B"/>
    <w:rsid w:val="5BC07E06"/>
    <w:rsid w:val="5BC92D58"/>
    <w:rsid w:val="5C072E5F"/>
    <w:rsid w:val="5C0977B2"/>
    <w:rsid w:val="5C0D1823"/>
    <w:rsid w:val="5C3E42FF"/>
    <w:rsid w:val="5C412CD3"/>
    <w:rsid w:val="5C562797"/>
    <w:rsid w:val="5C626F97"/>
    <w:rsid w:val="5C890095"/>
    <w:rsid w:val="5C9E61BC"/>
    <w:rsid w:val="5CEC7E49"/>
    <w:rsid w:val="5CF90D03"/>
    <w:rsid w:val="5D115A5B"/>
    <w:rsid w:val="5D265ABD"/>
    <w:rsid w:val="5D283143"/>
    <w:rsid w:val="5D2C267E"/>
    <w:rsid w:val="5D3C1E05"/>
    <w:rsid w:val="5D3C6944"/>
    <w:rsid w:val="5D64243D"/>
    <w:rsid w:val="5D957D4B"/>
    <w:rsid w:val="5DB9406B"/>
    <w:rsid w:val="5DD16A4B"/>
    <w:rsid w:val="5DD948E5"/>
    <w:rsid w:val="5DF746E5"/>
    <w:rsid w:val="5E312C1A"/>
    <w:rsid w:val="5E3C4961"/>
    <w:rsid w:val="5E5037F8"/>
    <w:rsid w:val="5E7C0712"/>
    <w:rsid w:val="5EA93E10"/>
    <w:rsid w:val="5ECA5502"/>
    <w:rsid w:val="5ECC60D5"/>
    <w:rsid w:val="5EDA0AB8"/>
    <w:rsid w:val="5EF67340"/>
    <w:rsid w:val="5EF723A1"/>
    <w:rsid w:val="5F0F08B5"/>
    <w:rsid w:val="5F193728"/>
    <w:rsid w:val="5F226E9A"/>
    <w:rsid w:val="5F2B5C7D"/>
    <w:rsid w:val="5F5F4405"/>
    <w:rsid w:val="5F7850D0"/>
    <w:rsid w:val="5FA733F6"/>
    <w:rsid w:val="5FC01C85"/>
    <w:rsid w:val="5FC460F2"/>
    <w:rsid w:val="5FDD4386"/>
    <w:rsid w:val="5FE56842"/>
    <w:rsid w:val="5FEB53BC"/>
    <w:rsid w:val="5FF61A62"/>
    <w:rsid w:val="602E0451"/>
    <w:rsid w:val="60654176"/>
    <w:rsid w:val="608335F6"/>
    <w:rsid w:val="609B4196"/>
    <w:rsid w:val="60B66E5F"/>
    <w:rsid w:val="60C60591"/>
    <w:rsid w:val="60C67D0C"/>
    <w:rsid w:val="60DD68C4"/>
    <w:rsid w:val="60FB63E1"/>
    <w:rsid w:val="612B32CB"/>
    <w:rsid w:val="614F3B28"/>
    <w:rsid w:val="617A2059"/>
    <w:rsid w:val="619F6BB2"/>
    <w:rsid w:val="61AF761B"/>
    <w:rsid w:val="61BA0A79"/>
    <w:rsid w:val="61BC209C"/>
    <w:rsid w:val="61BD28BB"/>
    <w:rsid w:val="61E7792D"/>
    <w:rsid w:val="61EB09B4"/>
    <w:rsid w:val="620A22C5"/>
    <w:rsid w:val="622346B2"/>
    <w:rsid w:val="62341E51"/>
    <w:rsid w:val="628C1D1F"/>
    <w:rsid w:val="629342BD"/>
    <w:rsid w:val="629766FF"/>
    <w:rsid w:val="62CE581F"/>
    <w:rsid w:val="62D03E19"/>
    <w:rsid w:val="62D95FD6"/>
    <w:rsid w:val="631D4CF5"/>
    <w:rsid w:val="63396E4D"/>
    <w:rsid w:val="63556397"/>
    <w:rsid w:val="63773C27"/>
    <w:rsid w:val="63872526"/>
    <w:rsid w:val="6387402E"/>
    <w:rsid w:val="63C454DF"/>
    <w:rsid w:val="64280A8B"/>
    <w:rsid w:val="64576504"/>
    <w:rsid w:val="64662D2B"/>
    <w:rsid w:val="64F7639F"/>
    <w:rsid w:val="6516429B"/>
    <w:rsid w:val="65456225"/>
    <w:rsid w:val="65557FFD"/>
    <w:rsid w:val="65856F80"/>
    <w:rsid w:val="658E64AD"/>
    <w:rsid w:val="65B14555"/>
    <w:rsid w:val="65BF39DB"/>
    <w:rsid w:val="65C16747"/>
    <w:rsid w:val="65F57EE1"/>
    <w:rsid w:val="65FF1C47"/>
    <w:rsid w:val="660F50E7"/>
    <w:rsid w:val="662A23F6"/>
    <w:rsid w:val="66515F84"/>
    <w:rsid w:val="66AE0130"/>
    <w:rsid w:val="66EB470F"/>
    <w:rsid w:val="67613972"/>
    <w:rsid w:val="67832667"/>
    <w:rsid w:val="67BD3FC4"/>
    <w:rsid w:val="67CB3049"/>
    <w:rsid w:val="67CD5C07"/>
    <w:rsid w:val="67D2178A"/>
    <w:rsid w:val="67E5045C"/>
    <w:rsid w:val="68302BEF"/>
    <w:rsid w:val="68327A21"/>
    <w:rsid w:val="684965B0"/>
    <w:rsid w:val="68772A68"/>
    <w:rsid w:val="68B07701"/>
    <w:rsid w:val="68B278C7"/>
    <w:rsid w:val="68C608A9"/>
    <w:rsid w:val="69137968"/>
    <w:rsid w:val="691B410F"/>
    <w:rsid w:val="69226DE7"/>
    <w:rsid w:val="692D7602"/>
    <w:rsid w:val="69305E06"/>
    <w:rsid w:val="69621EEA"/>
    <w:rsid w:val="697869B2"/>
    <w:rsid w:val="69BC2E9A"/>
    <w:rsid w:val="69BF1A80"/>
    <w:rsid w:val="6A08571F"/>
    <w:rsid w:val="6A2341E8"/>
    <w:rsid w:val="6A336119"/>
    <w:rsid w:val="6A5F1110"/>
    <w:rsid w:val="6A6335EB"/>
    <w:rsid w:val="6A6A3300"/>
    <w:rsid w:val="6A6F187B"/>
    <w:rsid w:val="6B0D00A3"/>
    <w:rsid w:val="6BA20E05"/>
    <w:rsid w:val="6BA87B6F"/>
    <w:rsid w:val="6C1F4D4A"/>
    <w:rsid w:val="6C372253"/>
    <w:rsid w:val="6C3E46CF"/>
    <w:rsid w:val="6C427C17"/>
    <w:rsid w:val="6C467D15"/>
    <w:rsid w:val="6C50156F"/>
    <w:rsid w:val="6CC4241C"/>
    <w:rsid w:val="6CE737FE"/>
    <w:rsid w:val="6CF745B9"/>
    <w:rsid w:val="6D4566E2"/>
    <w:rsid w:val="6D4F0D41"/>
    <w:rsid w:val="6D536CAF"/>
    <w:rsid w:val="6D823F82"/>
    <w:rsid w:val="6D851158"/>
    <w:rsid w:val="6D887F0B"/>
    <w:rsid w:val="6D98656C"/>
    <w:rsid w:val="6D987596"/>
    <w:rsid w:val="6DD51CB2"/>
    <w:rsid w:val="6E186038"/>
    <w:rsid w:val="6E447E28"/>
    <w:rsid w:val="6E5602E1"/>
    <w:rsid w:val="6E562481"/>
    <w:rsid w:val="6E700465"/>
    <w:rsid w:val="6EBA31DE"/>
    <w:rsid w:val="6EBE7AEA"/>
    <w:rsid w:val="6EC22488"/>
    <w:rsid w:val="6EC2557B"/>
    <w:rsid w:val="6ED34B49"/>
    <w:rsid w:val="6EE12E25"/>
    <w:rsid w:val="6EE54A87"/>
    <w:rsid w:val="6EF86A3D"/>
    <w:rsid w:val="6EFA289A"/>
    <w:rsid w:val="6F1220D2"/>
    <w:rsid w:val="6F310A0A"/>
    <w:rsid w:val="6FA33168"/>
    <w:rsid w:val="6FA55FED"/>
    <w:rsid w:val="6FAB7FEF"/>
    <w:rsid w:val="6FBA5E2E"/>
    <w:rsid w:val="6FC07C80"/>
    <w:rsid w:val="6FC15C75"/>
    <w:rsid w:val="6FD668A4"/>
    <w:rsid w:val="6FE600A3"/>
    <w:rsid w:val="6FEF0424"/>
    <w:rsid w:val="700C2451"/>
    <w:rsid w:val="701163E6"/>
    <w:rsid w:val="70324E36"/>
    <w:rsid w:val="703E378F"/>
    <w:rsid w:val="703E4F7B"/>
    <w:rsid w:val="70844795"/>
    <w:rsid w:val="708F415F"/>
    <w:rsid w:val="70B174B0"/>
    <w:rsid w:val="70D24175"/>
    <w:rsid w:val="70F04A95"/>
    <w:rsid w:val="71236D97"/>
    <w:rsid w:val="713D2959"/>
    <w:rsid w:val="714F44D0"/>
    <w:rsid w:val="71556E8D"/>
    <w:rsid w:val="716B48C6"/>
    <w:rsid w:val="71857962"/>
    <w:rsid w:val="71866159"/>
    <w:rsid w:val="71976D2E"/>
    <w:rsid w:val="71AB798E"/>
    <w:rsid w:val="71B23876"/>
    <w:rsid w:val="71BA51F5"/>
    <w:rsid w:val="71BB76A4"/>
    <w:rsid w:val="71E6280C"/>
    <w:rsid w:val="721D7033"/>
    <w:rsid w:val="722F301D"/>
    <w:rsid w:val="72362A6D"/>
    <w:rsid w:val="725268E2"/>
    <w:rsid w:val="72C959E7"/>
    <w:rsid w:val="73096F76"/>
    <w:rsid w:val="732D6A11"/>
    <w:rsid w:val="734539B6"/>
    <w:rsid w:val="73577E87"/>
    <w:rsid w:val="73EC3863"/>
    <w:rsid w:val="7409694B"/>
    <w:rsid w:val="74100E71"/>
    <w:rsid w:val="741144D7"/>
    <w:rsid w:val="74123E69"/>
    <w:rsid w:val="745D55BF"/>
    <w:rsid w:val="74931E46"/>
    <w:rsid w:val="74B56837"/>
    <w:rsid w:val="74BF57DF"/>
    <w:rsid w:val="74D301D0"/>
    <w:rsid w:val="74E32AB0"/>
    <w:rsid w:val="74EC27FF"/>
    <w:rsid w:val="74FA2279"/>
    <w:rsid w:val="752171BB"/>
    <w:rsid w:val="752B0785"/>
    <w:rsid w:val="754F7E52"/>
    <w:rsid w:val="757D610C"/>
    <w:rsid w:val="75AC6DAE"/>
    <w:rsid w:val="75C112A1"/>
    <w:rsid w:val="7684565E"/>
    <w:rsid w:val="76B06978"/>
    <w:rsid w:val="76B112A8"/>
    <w:rsid w:val="76C237DF"/>
    <w:rsid w:val="76CB7D91"/>
    <w:rsid w:val="76DD3362"/>
    <w:rsid w:val="76EB7F26"/>
    <w:rsid w:val="76F437F8"/>
    <w:rsid w:val="77006A46"/>
    <w:rsid w:val="77410870"/>
    <w:rsid w:val="777D59E2"/>
    <w:rsid w:val="77846932"/>
    <w:rsid w:val="77BD40C2"/>
    <w:rsid w:val="77D429B1"/>
    <w:rsid w:val="77FD7C59"/>
    <w:rsid w:val="782B2DF5"/>
    <w:rsid w:val="78652F6C"/>
    <w:rsid w:val="786B333D"/>
    <w:rsid w:val="78782697"/>
    <w:rsid w:val="788E10F0"/>
    <w:rsid w:val="78943B06"/>
    <w:rsid w:val="7894495F"/>
    <w:rsid w:val="78B76B3F"/>
    <w:rsid w:val="78FD20AC"/>
    <w:rsid w:val="791900C1"/>
    <w:rsid w:val="791C677B"/>
    <w:rsid w:val="79311E09"/>
    <w:rsid w:val="79506226"/>
    <w:rsid w:val="79537C88"/>
    <w:rsid w:val="798220DB"/>
    <w:rsid w:val="79823784"/>
    <w:rsid w:val="79A8069E"/>
    <w:rsid w:val="7A1334F5"/>
    <w:rsid w:val="7A9D4ED4"/>
    <w:rsid w:val="7AA232D5"/>
    <w:rsid w:val="7AA32EF8"/>
    <w:rsid w:val="7AAE4435"/>
    <w:rsid w:val="7AB6551F"/>
    <w:rsid w:val="7ABC04F3"/>
    <w:rsid w:val="7AE8075F"/>
    <w:rsid w:val="7B146653"/>
    <w:rsid w:val="7B1A04DE"/>
    <w:rsid w:val="7B1A6E8E"/>
    <w:rsid w:val="7B2D3EF4"/>
    <w:rsid w:val="7B2F71D6"/>
    <w:rsid w:val="7B6B06EC"/>
    <w:rsid w:val="7B7810DC"/>
    <w:rsid w:val="7B921C03"/>
    <w:rsid w:val="7BC119A2"/>
    <w:rsid w:val="7BC47F8C"/>
    <w:rsid w:val="7BD5485A"/>
    <w:rsid w:val="7BE778D6"/>
    <w:rsid w:val="7C136915"/>
    <w:rsid w:val="7C2B3C5E"/>
    <w:rsid w:val="7C2E7E0D"/>
    <w:rsid w:val="7C7501D1"/>
    <w:rsid w:val="7CA8156B"/>
    <w:rsid w:val="7CB51CE2"/>
    <w:rsid w:val="7CB84E69"/>
    <w:rsid w:val="7CC211B2"/>
    <w:rsid w:val="7CD231C5"/>
    <w:rsid w:val="7CD27A43"/>
    <w:rsid w:val="7CEC6523"/>
    <w:rsid w:val="7D040884"/>
    <w:rsid w:val="7D1C5DD5"/>
    <w:rsid w:val="7D4045D0"/>
    <w:rsid w:val="7D4375DC"/>
    <w:rsid w:val="7D887485"/>
    <w:rsid w:val="7DC54936"/>
    <w:rsid w:val="7DC773EF"/>
    <w:rsid w:val="7DCE0AAE"/>
    <w:rsid w:val="7DD260CE"/>
    <w:rsid w:val="7DEB5D9B"/>
    <w:rsid w:val="7E1963CF"/>
    <w:rsid w:val="7E2B3E79"/>
    <w:rsid w:val="7E2D47A4"/>
    <w:rsid w:val="7E312BC5"/>
    <w:rsid w:val="7E3D66BF"/>
    <w:rsid w:val="7E507095"/>
    <w:rsid w:val="7E557482"/>
    <w:rsid w:val="7E582282"/>
    <w:rsid w:val="7E5E0827"/>
    <w:rsid w:val="7E60463B"/>
    <w:rsid w:val="7E892B83"/>
    <w:rsid w:val="7EA44A80"/>
    <w:rsid w:val="7EA90556"/>
    <w:rsid w:val="7ED40407"/>
    <w:rsid w:val="7EF1390D"/>
    <w:rsid w:val="7EF6374A"/>
    <w:rsid w:val="7F256329"/>
    <w:rsid w:val="7F35451E"/>
    <w:rsid w:val="7F6147CB"/>
    <w:rsid w:val="7F6837DB"/>
    <w:rsid w:val="7F76730E"/>
    <w:rsid w:val="7F7C7BC8"/>
    <w:rsid w:val="7F8A563E"/>
    <w:rsid w:val="7F8D559D"/>
    <w:rsid w:val="7FA22E4A"/>
    <w:rsid w:val="7FC33D0D"/>
    <w:rsid w:val="7FD002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9"/>
    <w:pPr>
      <w:keepNext/>
      <w:keepLines/>
      <w:spacing w:before="100" w:beforeAutospacing="1" w:after="3" w:line="264" w:lineRule="auto"/>
      <w:ind w:left="2123" w:right="2114" w:hanging="10"/>
      <w:jc w:val="left"/>
      <w:outlineLvl w:val="0"/>
    </w:pPr>
    <w:rPr>
      <w:rFonts w:ascii="宋体" w:hAnsi="宋体" w:cs="宋体"/>
      <w:color w:val="000000"/>
      <w:kern w:val="0"/>
      <w:sz w:val="24"/>
    </w:rPr>
  </w:style>
  <w:style w:type="paragraph" w:styleId="4">
    <w:name w:val="heading 2"/>
    <w:basedOn w:val="1"/>
    <w:next w:val="1"/>
    <w:link w:val="28"/>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样式 样式 左侧:  2 字符 + 左侧:  0.85 厘米 首行缩进:  2 字符1"/>
    <w:basedOn w:val="1"/>
    <w:qFormat/>
    <w:uiPriority w:val="0"/>
    <w:pPr>
      <w:ind w:left="482" w:firstLine="200" w:firstLineChars="200"/>
    </w:pPr>
    <w:rPr>
      <w:szCs w:val="20"/>
    </w:rPr>
  </w:style>
  <w:style w:type="paragraph" w:styleId="5">
    <w:name w:val="Document Map"/>
    <w:basedOn w:val="1"/>
    <w:link w:val="30"/>
    <w:qFormat/>
    <w:uiPriority w:val="0"/>
    <w:rPr>
      <w:rFonts w:ascii="宋体"/>
      <w:sz w:val="18"/>
      <w:szCs w:val="18"/>
    </w:rPr>
  </w:style>
  <w:style w:type="paragraph" w:styleId="6">
    <w:name w:val="toa heading"/>
    <w:basedOn w:val="1"/>
    <w:next w:val="1"/>
    <w:unhideWhenUsed/>
    <w:qFormat/>
    <w:uiPriority w:val="99"/>
    <w:rPr>
      <w:rFonts w:ascii="Arial" w:hAnsi="Arial"/>
      <w:sz w:val="24"/>
      <w:szCs w:val="20"/>
    </w:rPr>
  </w:style>
  <w:style w:type="paragraph" w:styleId="7">
    <w:name w:val="annotation text"/>
    <w:basedOn w:val="1"/>
    <w:link w:val="31"/>
    <w:qFormat/>
    <w:uiPriority w:val="0"/>
    <w:pPr>
      <w:jc w:val="left"/>
    </w:pPr>
  </w:style>
  <w:style w:type="paragraph" w:styleId="8">
    <w:name w:val="Body Text Indent"/>
    <w:basedOn w:val="1"/>
    <w:qFormat/>
    <w:uiPriority w:val="0"/>
    <w:pPr>
      <w:spacing w:after="120"/>
      <w:ind w:left="420" w:leftChars="200"/>
    </w:pPr>
  </w:style>
  <w:style w:type="paragraph" w:styleId="9">
    <w:name w:val="Plain Text"/>
    <w:basedOn w:val="1"/>
    <w:link w:val="20"/>
    <w:qFormat/>
    <w:uiPriority w:val="0"/>
    <w:rPr>
      <w:rFonts w:hint="eastAsia" w:ascii="宋体" w:hAnsi="Courier New"/>
      <w:szCs w:val="21"/>
    </w:rPr>
  </w:style>
  <w:style w:type="paragraph" w:styleId="10">
    <w:name w:val="Balloon Text"/>
    <w:basedOn w:val="1"/>
    <w:link w:val="33"/>
    <w:qFormat/>
    <w:uiPriority w:val="0"/>
    <w:rPr>
      <w:sz w:val="18"/>
      <w:szCs w:val="18"/>
    </w:rPr>
  </w:style>
  <w:style w:type="paragraph" w:styleId="11">
    <w:name w:val="footer"/>
    <w:basedOn w:val="1"/>
    <w:link w:val="26"/>
    <w:qFormat/>
    <w:uiPriority w:val="0"/>
    <w:pPr>
      <w:tabs>
        <w:tab w:val="center" w:pos="4153"/>
        <w:tab w:val="right" w:pos="8306"/>
      </w:tabs>
      <w:snapToGrid w:val="0"/>
      <w:jc w:val="left"/>
    </w:pPr>
    <w:rPr>
      <w:sz w:val="18"/>
      <w:szCs w:val="18"/>
    </w:rPr>
  </w:style>
  <w:style w:type="paragraph" w:styleId="12">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widowControl/>
      <w:spacing w:beforeAutospacing="1" w:afterAutospacing="1"/>
      <w:jc w:val="left"/>
    </w:pPr>
    <w:rPr>
      <w:rFonts w:ascii="宋体" w:hAnsi="宋体" w:cs="宋体"/>
      <w:kern w:val="0"/>
      <w:sz w:val="24"/>
    </w:rPr>
  </w:style>
  <w:style w:type="paragraph" w:styleId="14">
    <w:name w:val="annotation subject"/>
    <w:basedOn w:val="7"/>
    <w:next w:val="7"/>
    <w:link w:val="32"/>
    <w:qFormat/>
    <w:uiPriority w:val="0"/>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annotation reference"/>
    <w:basedOn w:val="17"/>
    <w:qFormat/>
    <w:uiPriority w:val="0"/>
    <w:rPr>
      <w:sz w:val="21"/>
      <w:szCs w:val="21"/>
    </w:rPr>
  </w:style>
  <w:style w:type="character" w:customStyle="1" w:styleId="19">
    <w:name w:val="纯文本 Char"/>
    <w:basedOn w:val="17"/>
    <w:link w:val="9"/>
    <w:qFormat/>
    <w:uiPriority w:val="0"/>
    <w:rPr>
      <w:rFonts w:hint="eastAsia" w:ascii="宋体" w:hAnsi="Courier New" w:eastAsia="宋体" w:cs="Courier New"/>
      <w:szCs w:val="21"/>
    </w:rPr>
  </w:style>
  <w:style w:type="character" w:customStyle="1" w:styleId="20">
    <w:name w:val="纯文本 Char2"/>
    <w:basedOn w:val="17"/>
    <w:link w:val="9"/>
    <w:qFormat/>
    <w:uiPriority w:val="0"/>
    <w:rPr>
      <w:rFonts w:hint="eastAsia" w:ascii="宋体" w:hAnsi="Courier New" w:eastAsia="宋体" w:cs="Courier New"/>
      <w:szCs w:val="21"/>
    </w:rPr>
  </w:style>
  <w:style w:type="paragraph" w:customStyle="1" w:styleId="21">
    <w:name w:val="列出段落1"/>
    <w:basedOn w:val="1"/>
    <w:qFormat/>
    <w:uiPriority w:val="0"/>
    <w:pPr>
      <w:ind w:firstLine="420" w:firstLineChars="200"/>
    </w:pPr>
    <w:rPr>
      <w:szCs w:val="20"/>
    </w:rPr>
  </w:style>
  <w:style w:type="paragraph" w:customStyle="1" w:styleId="22">
    <w:name w:val="msolistparagraph"/>
    <w:basedOn w:val="1"/>
    <w:qFormat/>
    <w:uiPriority w:val="0"/>
    <w:pPr>
      <w:ind w:firstLine="420" w:firstLineChars="200"/>
    </w:pPr>
    <w:rPr>
      <w:rFonts w:ascii="Calibri" w:hAnsi="Calibri"/>
      <w:szCs w:val="22"/>
    </w:rPr>
  </w:style>
  <w:style w:type="character" w:customStyle="1" w:styleId="23">
    <w:name w:val="纯文本 Char1"/>
    <w:basedOn w:val="17"/>
    <w:qFormat/>
    <w:uiPriority w:val="0"/>
    <w:rPr>
      <w:rFonts w:hint="eastAsia" w:ascii="宋体" w:hAnsi="Courier New" w:eastAsia="宋体" w:cs="Courier New"/>
      <w:kern w:val="2"/>
      <w:sz w:val="21"/>
      <w:szCs w:val="21"/>
    </w:rPr>
  </w:style>
  <w:style w:type="paragraph" w:customStyle="1" w:styleId="24">
    <w:name w:val="列出段落2"/>
    <w:basedOn w:val="1"/>
    <w:unhideWhenUsed/>
    <w:qFormat/>
    <w:uiPriority w:val="99"/>
    <w:pPr>
      <w:ind w:firstLine="420" w:firstLineChars="200"/>
    </w:pPr>
  </w:style>
  <w:style w:type="character" w:customStyle="1" w:styleId="25">
    <w:name w:val="页眉 Char"/>
    <w:basedOn w:val="17"/>
    <w:link w:val="12"/>
    <w:qFormat/>
    <w:uiPriority w:val="0"/>
    <w:rPr>
      <w:kern w:val="2"/>
      <w:sz w:val="18"/>
      <w:szCs w:val="18"/>
    </w:rPr>
  </w:style>
  <w:style w:type="character" w:customStyle="1" w:styleId="26">
    <w:name w:val="页脚 Char"/>
    <w:basedOn w:val="17"/>
    <w:link w:val="11"/>
    <w:qFormat/>
    <w:uiPriority w:val="0"/>
    <w:rPr>
      <w:kern w:val="2"/>
      <w:sz w:val="18"/>
      <w:szCs w:val="18"/>
    </w:rPr>
  </w:style>
  <w:style w:type="character" w:customStyle="1" w:styleId="27">
    <w:name w:val="标题 1 Char"/>
    <w:basedOn w:val="17"/>
    <w:link w:val="3"/>
    <w:qFormat/>
    <w:uiPriority w:val="99"/>
    <w:rPr>
      <w:rFonts w:ascii="宋体" w:hAnsi="宋体" w:cs="宋体"/>
      <w:color w:val="000000"/>
      <w:sz w:val="24"/>
      <w:szCs w:val="24"/>
    </w:rPr>
  </w:style>
  <w:style w:type="character" w:customStyle="1" w:styleId="28">
    <w:name w:val="标题 2 Char"/>
    <w:basedOn w:val="17"/>
    <w:link w:val="4"/>
    <w:semiHidden/>
    <w:qFormat/>
    <w:uiPriority w:val="0"/>
    <w:rPr>
      <w:rFonts w:asciiTheme="majorHAnsi" w:hAnsiTheme="majorHAnsi" w:eastAsiaTheme="majorEastAsia" w:cstheme="majorBidi"/>
      <w:b/>
      <w:bCs/>
      <w:kern w:val="2"/>
      <w:sz w:val="32"/>
      <w:szCs w:val="32"/>
    </w:rPr>
  </w:style>
  <w:style w:type="paragraph" w:customStyle="1" w:styleId="29">
    <w:name w:val="p0"/>
    <w:basedOn w:val="1"/>
    <w:qFormat/>
    <w:uiPriority w:val="0"/>
    <w:pPr>
      <w:widowControl/>
    </w:pPr>
    <w:rPr>
      <w:spacing w:val="-4"/>
      <w:kern w:val="0"/>
      <w:sz w:val="11"/>
      <w:szCs w:val="11"/>
    </w:rPr>
  </w:style>
  <w:style w:type="character" w:customStyle="1" w:styleId="30">
    <w:name w:val="文档结构图 Char"/>
    <w:basedOn w:val="17"/>
    <w:link w:val="5"/>
    <w:qFormat/>
    <w:uiPriority w:val="0"/>
    <w:rPr>
      <w:rFonts w:ascii="宋体"/>
      <w:kern w:val="2"/>
      <w:sz w:val="18"/>
      <w:szCs w:val="18"/>
    </w:rPr>
  </w:style>
  <w:style w:type="character" w:customStyle="1" w:styleId="31">
    <w:name w:val="批注文字 Char"/>
    <w:basedOn w:val="17"/>
    <w:link w:val="7"/>
    <w:qFormat/>
    <w:uiPriority w:val="0"/>
    <w:rPr>
      <w:kern w:val="2"/>
      <w:sz w:val="21"/>
      <w:szCs w:val="24"/>
    </w:rPr>
  </w:style>
  <w:style w:type="character" w:customStyle="1" w:styleId="32">
    <w:name w:val="批注主题 Char"/>
    <w:basedOn w:val="31"/>
    <w:link w:val="14"/>
    <w:qFormat/>
    <w:uiPriority w:val="0"/>
  </w:style>
  <w:style w:type="character" w:customStyle="1" w:styleId="33">
    <w:name w:val="批注框文本 Char"/>
    <w:basedOn w:val="17"/>
    <w:link w:val="10"/>
    <w:qFormat/>
    <w:uiPriority w:val="0"/>
    <w:rPr>
      <w:kern w:val="2"/>
      <w:sz w:val="18"/>
      <w:szCs w:val="18"/>
    </w:rPr>
  </w:style>
  <w:style w:type="paragraph" w:customStyle="1" w:styleId="34">
    <w:name w:val="正文段"/>
    <w:basedOn w:val="1"/>
    <w:qFormat/>
    <w:uiPriority w:val="0"/>
    <w:pPr>
      <w:snapToGrid w:val="0"/>
      <w:spacing w:after="240" w:line="240" w:lineRule="atLeast"/>
      <w:ind w:firstLine="425"/>
    </w:pPr>
    <w:rPr>
      <w:rFonts w:ascii="宋体"/>
      <w:sz w:val="24"/>
      <w:szCs w:val="20"/>
    </w:rPr>
  </w:style>
  <w:style w:type="paragraph" w:customStyle="1" w:styleId="35">
    <w:name w:val="style3"/>
    <w:basedOn w:val="1"/>
    <w:qFormat/>
    <w:uiPriority w:val="0"/>
    <w:pPr>
      <w:widowControl/>
      <w:spacing w:before="100" w:beforeAutospacing="1" w:after="100" w:afterAutospacing="1"/>
      <w:jc w:val="left"/>
    </w:pPr>
    <w:rPr>
      <w:rFonts w:ascii="宋体" w:hAnsi="宋体"/>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7</Pages>
  <Words>1664</Words>
  <Characters>2023</Characters>
  <Lines>65</Lines>
  <Paragraphs>18</Paragraphs>
  <TotalTime>112</TotalTime>
  <ScaleCrop>false</ScaleCrop>
  <LinksUpToDate>false</LinksUpToDate>
  <CharactersWithSpaces>2123</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2025-06-24T01:05:00Z</dcterms:created>
  <dc:creator>卖红领巾的小男孩</dc:creator>
  <cp:lastModifiedBy>Administrator</cp:lastModifiedBy>
  <cp:lastPrinted>2021-12-16T08:09:00Z</cp:lastPrinted>
  <dcterms:modified xsi:type="dcterms:W3CDTF">2025-07-08T07:53:05Z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AEAAB3484E494974974CB81E52611A21</vt:lpwstr>
  </property>
  <property fmtid="{D5CDD505-2E9C-101B-9397-08002B2CF9AE}" pid="4" name="KSOTemplateDocerSaveRecord">
    <vt:lpwstr>eyJoZGlkIjoiMzgwMGUxY2UyOGQxZWQyZGI4NDIyN2ZlNTRjNjA5OTgiLCJ1c2VySWQiOiIyNjEwMDgxMTAifQ==</vt:lpwstr>
  </property>
</Properties>
</file>