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kern w:val="0"/>
          <w:sz w:val="28"/>
        </w:rPr>
      </w:pPr>
      <w:bookmarkStart w:id="0" w:name="_Toc247527532"/>
      <w:bookmarkStart w:id="1" w:name="_Toc152042286"/>
      <w:bookmarkStart w:id="2" w:name="_Toc144974478"/>
      <w:bookmarkStart w:id="3" w:name="_Toc367729707"/>
      <w:bookmarkStart w:id="4" w:name="_Toc300834926"/>
    </w:p>
    <w:p>
      <w:pPr>
        <w:rPr>
          <w:kern w:val="0"/>
          <w:sz w:val="28"/>
        </w:rPr>
      </w:pPr>
    </w:p>
    <w:p>
      <w:pPr>
        <w:rPr>
          <w:kern w:val="0"/>
          <w:sz w:val="28"/>
        </w:rPr>
      </w:pPr>
    </w:p>
    <w:p>
      <w:pPr>
        <w:rPr>
          <w:kern w:val="0"/>
          <w:sz w:val="28"/>
        </w:rPr>
      </w:pPr>
    </w:p>
    <w:p>
      <w:pPr>
        <w:spacing w:line="600" w:lineRule="auto"/>
        <w:jc w:val="center"/>
        <w:rPr>
          <w:rFonts w:ascii="宋体" w:cs="宋体"/>
          <w:b/>
          <w:kern w:val="0"/>
          <w:sz w:val="44"/>
          <w:szCs w:val="44"/>
        </w:rPr>
      </w:pPr>
      <w:r>
        <w:rPr>
          <w:rFonts w:hint="eastAsia" w:ascii="宋体" w:cs="宋体"/>
          <w:b/>
          <w:kern w:val="0"/>
          <w:sz w:val="44"/>
          <w:szCs w:val="44"/>
        </w:rPr>
        <w:t>九龙水质净化一厂扩容工程勘察设计采购</w:t>
      </w:r>
    </w:p>
    <w:p>
      <w:pPr>
        <w:spacing w:line="600" w:lineRule="auto"/>
        <w:jc w:val="center"/>
        <w:rPr>
          <w:rFonts w:ascii="宋体" w:cs="宋体"/>
          <w:b/>
          <w:kern w:val="0"/>
          <w:sz w:val="44"/>
          <w:szCs w:val="44"/>
        </w:rPr>
      </w:pPr>
      <w:r>
        <w:rPr>
          <w:rFonts w:hint="eastAsia" w:ascii="宋体" w:cs="宋体"/>
          <w:b/>
          <w:kern w:val="0"/>
          <w:sz w:val="44"/>
          <w:szCs w:val="44"/>
        </w:rPr>
        <w:t>施工总承包</w:t>
      </w: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jc w:val="center"/>
        <w:rPr>
          <w:rFonts w:ascii="宋体" w:cs="宋体"/>
          <w:b/>
          <w:kern w:val="0"/>
          <w:sz w:val="72"/>
          <w:szCs w:val="72"/>
        </w:rPr>
      </w:pPr>
      <w:r>
        <w:rPr>
          <w:rFonts w:hint="eastAsia" w:ascii="宋体" w:cs="宋体"/>
          <w:b/>
          <w:kern w:val="0"/>
          <w:sz w:val="72"/>
          <w:szCs w:val="72"/>
        </w:rPr>
        <w:t>招 标 文 件</w:t>
      </w: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rPr>
          <w:kern w:val="0"/>
          <w:sz w:val="28"/>
        </w:rPr>
      </w:pPr>
    </w:p>
    <w:p>
      <w:pPr>
        <w:spacing w:line="360" w:lineRule="auto"/>
        <w:ind w:firstLine="1606" w:firstLineChars="500"/>
        <w:rPr>
          <w:rFonts w:ascii="宋体" w:cs="宋体"/>
          <w:b/>
          <w:kern w:val="0"/>
          <w:sz w:val="32"/>
          <w:szCs w:val="32"/>
        </w:rPr>
      </w:pPr>
      <w:r>
        <w:rPr>
          <w:rFonts w:hint="eastAsia" w:ascii="宋体" w:cs="宋体"/>
          <w:b/>
          <w:bCs/>
          <w:kern w:val="0"/>
          <w:sz w:val="32"/>
          <w:szCs w:val="32"/>
        </w:rPr>
        <w:t>招标单位：科学城（广州）投资集团有限公司</w:t>
      </w:r>
    </w:p>
    <w:p>
      <w:pPr>
        <w:spacing w:line="360" w:lineRule="auto"/>
        <w:ind w:firstLine="1606" w:firstLineChars="500"/>
        <w:rPr>
          <w:rFonts w:ascii="宋体" w:cs="宋体"/>
          <w:b/>
          <w:kern w:val="0"/>
          <w:sz w:val="32"/>
          <w:szCs w:val="32"/>
        </w:rPr>
      </w:pPr>
      <w:r>
        <w:rPr>
          <w:rFonts w:hint="eastAsia" w:ascii="宋体" w:cs="宋体"/>
          <w:b/>
          <w:bCs/>
          <w:kern w:val="0"/>
          <w:sz w:val="32"/>
          <w:szCs w:val="32"/>
        </w:rPr>
        <w:t>招标代理机构：广州群生招标代理有限公司</w:t>
      </w:r>
    </w:p>
    <w:p>
      <w:pPr>
        <w:spacing w:line="360" w:lineRule="auto"/>
        <w:ind w:firstLine="1606" w:firstLineChars="500"/>
        <w:rPr>
          <w:rFonts w:ascii="宋体" w:cs="宋体"/>
          <w:b/>
          <w:bCs/>
          <w:kern w:val="0"/>
          <w:sz w:val="32"/>
          <w:szCs w:val="32"/>
          <w:u w:val="single"/>
        </w:rPr>
      </w:pPr>
      <w:r>
        <w:rPr>
          <w:rFonts w:hint="eastAsia" w:ascii="宋体" w:cs="宋体"/>
          <w:b/>
          <w:bCs/>
          <w:kern w:val="0"/>
          <w:sz w:val="32"/>
          <w:szCs w:val="32"/>
        </w:rPr>
        <w:t xml:space="preserve">日 </w:t>
      </w:r>
      <w:r>
        <w:rPr>
          <w:rFonts w:ascii="宋体" w:cs="宋体"/>
          <w:b/>
          <w:bCs/>
          <w:kern w:val="0"/>
          <w:sz w:val="32"/>
          <w:szCs w:val="32"/>
        </w:rPr>
        <w:t xml:space="preserve"> </w:t>
      </w:r>
      <w:r>
        <w:rPr>
          <w:rFonts w:hint="eastAsia" w:ascii="宋体" w:cs="宋体"/>
          <w:b/>
          <w:bCs/>
          <w:kern w:val="0"/>
          <w:sz w:val="32"/>
          <w:szCs w:val="32"/>
        </w:rPr>
        <w:t xml:space="preserve">  期：</w:t>
      </w:r>
      <w:r>
        <w:rPr>
          <w:rFonts w:hint="eastAsia" w:ascii="宋体" w:cs="宋体"/>
          <w:b/>
          <w:bCs/>
          <w:kern w:val="0"/>
          <w:sz w:val="32"/>
          <w:szCs w:val="32"/>
          <w:u w:val="single"/>
        </w:rPr>
        <w:t>2022年12月</w:t>
      </w:r>
      <w:r>
        <w:rPr>
          <w:kern w:val="0"/>
        </w:rPr>
        <w:br w:type="page"/>
      </w:r>
    </w:p>
    <w:p>
      <w:pPr>
        <w:pStyle w:val="5"/>
        <w:jc w:val="center"/>
        <w:rPr>
          <w:rFonts w:ascii="宋体"/>
          <w:kern w:val="0"/>
        </w:rPr>
      </w:pPr>
      <w:bookmarkStart w:id="5" w:name="_Toc3088"/>
      <w:bookmarkStart w:id="6" w:name="_Toc79748090"/>
      <w:r>
        <w:rPr>
          <w:rFonts w:hint="eastAsia" w:ascii="宋体"/>
          <w:kern w:val="0"/>
        </w:rPr>
        <w:t>目     录</w:t>
      </w:r>
      <w:bookmarkEnd w:id="0"/>
      <w:bookmarkEnd w:id="1"/>
      <w:bookmarkEnd w:id="2"/>
      <w:bookmarkEnd w:id="3"/>
      <w:bookmarkEnd w:id="4"/>
      <w:bookmarkEnd w:id="5"/>
      <w:bookmarkEnd w:id="6"/>
    </w:p>
    <w:p>
      <w:pPr>
        <w:pStyle w:val="41"/>
        <w:tabs>
          <w:tab w:val="right" w:leader="dot" w:pos="9040"/>
        </w:tabs>
        <w:rPr>
          <w:rFonts w:ascii="宋体"/>
          <w:b w:val="0"/>
          <w:bCs w:val="0"/>
          <w:kern w:val="0"/>
          <w:sz w:val="24"/>
          <w:szCs w:val="24"/>
        </w:rPr>
      </w:pPr>
      <w:bookmarkStart w:id="7" w:name="_Toc247513932"/>
      <w:bookmarkStart w:id="8" w:name="_Toc144974479"/>
      <w:bookmarkStart w:id="9" w:name="_Toc152042287"/>
      <w:bookmarkStart w:id="10" w:name="_Toc152045511"/>
      <w:bookmarkStart w:id="11" w:name="_Toc247527533"/>
      <w:r>
        <w:rPr>
          <w:rFonts w:hint="eastAsia" w:ascii="宋体"/>
          <w:b w:val="0"/>
          <w:bCs w:val="0"/>
          <w:kern w:val="0"/>
          <w:sz w:val="24"/>
          <w:szCs w:val="24"/>
        </w:rPr>
        <w:fldChar w:fldCharType="begin"/>
      </w:r>
      <w:r>
        <w:rPr>
          <w:rFonts w:hint="eastAsia" w:ascii="宋体"/>
          <w:b w:val="0"/>
          <w:bCs w:val="0"/>
          <w:kern w:val="0"/>
          <w:sz w:val="24"/>
          <w:szCs w:val="24"/>
        </w:rPr>
        <w:instrText xml:space="preserve"> TOC \o "1-1" \h \z \u </w:instrText>
      </w:r>
      <w:r>
        <w:rPr>
          <w:rFonts w:hint="eastAsia" w:ascii="宋体"/>
          <w:b w:val="0"/>
          <w:bCs w:val="0"/>
          <w:kern w:val="0"/>
          <w:sz w:val="24"/>
          <w:szCs w:val="24"/>
        </w:rPr>
        <w:fldChar w:fldCharType="separate"/>
      </w:r>
      <w:r>
        <w:fldChar w:fldCharType="begin"/>
      </w:r>
      <w:r>
        <w:instrText xml:space="preserve"> HYPERLINK \l "_Toc79748091" </w:instrText>
      </w:r>
      <w:r>
        <w:fldChar w:fldCharType="separate"/>
      </w:r>
      <w:r>
        <w:rPr>
          <w:rFonts w:hint="eastAsia" w:ascii="宋体"/>
          <w:kern w:val="0"/>
          <w:sz w:val="24"/>
          <w:szCs w:val="24"/>
        </w:rPr>
        <w:t>第一章 投标人须知</w:t>
      </w:r>
      <w:r>
        <w:rPr>
          <w:rFonts w:hint="eastAsia" w:ascii="宋体"/>
          <w:kern w:val="0"/>
          <w:sz w:val="24"/>
          <w:szCs w:val="24"/>
        </w:rPr>
        <w:tab/>
      </w:r>
      <w:r>
        <w:rPr>
          <w:rFonts w:hint="eastAsia" w:ascii="宋体"/>
          <w:kern w:val="0"/>
          <w:sz w:val="24"/>
          <w:szCs w:val="24"/>
        </w:rPr>
        <w:fldChar w:fldCharType="begin"/>
      </w:r>
      <w:r>
        <w:rPr>
          <w:rFonts w:hint="eastAsia" w:ascii="宋体"/>
          <w:kern w:val="0"/>
          <w:sz w:val="24"/>
          <w:szCs w:val="24"/>
        </w:rPr>
        <w:instrText xml:space="preserve"> PAGEREF _Toc79748091 \h </w:instrText>
      </w:r>
      <w:r>
        <w:rPr>
          <w:rFonts w:hint="eastAsia" w:ascii="宋体"/>
          <w:kern w:val="0"/>
          <w:sz w:val="24"/>
          <w:szCs w:val="24"/>
        </w:rPr>
        <w:fldChar w:fldCharType="separate"/>
      </w:r>
      <w:r>
        <w:rPr>
          <w:rFonts w:ascii="宋体"/>
          <w:kern w:val="0"/>
          <w:sz w:val="24"/>
          <w:szCs w:val="24"/>
        </w:rPr>
        <w:t>3</w:t>
      </w:r>
      <w:r>
        <w:rPr>
          <w:rFonts w:hint="eastAsia" w:ascii="宋体"/>
          <w:kern w:val="0"/>
          <w:sz w:val="24"/>
          <w:szCs w:val="24"/>
        </w:rPr>
        <w:fldChar w:fldCharType="end"/>
      </w:r>
      <w:r>
        <w:rPr>
          <w:rFonts w:hint="eastAsia" w:ascii="宋体"/>
          <w:kern w:val="0"/>
          <w:sz w:val="24"/>
          <w:szCs w:val="24"/>
        </w:rPr>
        <w:fldChar w:fldCharType="end"/>
      </w:r>
    </w:p>
    <w:p>
      <w:pPr>
        <w:pStyle w:val="41"/>
        <w:tabs>
          <w:tab w:val="right" w:leader="dot" w:pos="9040"/>
        </w:tabs>
        <w:rPr>
          <w:rFonts w:ascii="宋体"/>
          <w:b w:val="0"/>
          <w:bCs w:val="0"/>
          <w:kern w:val="0"/>
          <w:sz w:val="24"/>
          <w:szCs w:val="24"/>
        </w:rPr>
      </w:pPr>
      <w:r>
        <w:fldChar w:fldCharType="begin"/>
      </w:r>
      <w:r>
        <w:instrText xml:space="preserve"> HYPERLINK \l "_Toc79748092" </w:instrText>
      </w:r>
      <w:r>
        <w:fldChar w:fldCharType="separate"/>
      </w:r>
      <w:r>
        <w:rPr>
          <w:rFonts w:hint="eastAsia" w:ascii="宋体"/>
          <w:kern w:val="0"/>
          <w:sz w:val="24"/>
          <w:szCs w:val="24"/>
        </w:rPr>
        <w:t>第二章 评标、定标办法</w:t>
      </w:r>
      <w:r>
        <w:rPr>
          <w:rFonts w:hint="eastAsia" w:ascii="宋体"/>
          <w:kern w:val="0"/>
          <w:sz w:val="24"/>
          <w:szCs w:val="24"/>
        </w:rPr>
        <w:tab/>
      </w:r>
      <w:r>
        <w:rPr>
          <w:rFonts w:hint="eastAsia" w:ascii="宋体"/>
          <w:kern w:val="0"/>
          <w:sz w:val="24"/>
          <w:szCs w:val="24"/>
        </w:rPr>
        <w:fldChar w:fldCharType="begin"/>
      </w:r>
      <w:r>
        <w:rPr>
          <w:rFonts w:hint="eastAsia" w:ascii="宋体"/>
          <w:kern w:val="0"/>
          <w:sz w:val="24"/>
          <w:szCs w:val="24"/>
        </w:rPr>
        <w:instrText xml:space="preserve"> PAGEREF _Toc79748092 \h </w:instrText>
      </w:r>
      <w:r>
        <w:rPr>
          <w:rFonts w:hint="eastAsia" w:ascii="宋体"/>
          <w:kern w:val="0"/>
          <w:sz w:val="24"/>
          <w:szCs w:val="24"/>
        </w:rPr>
        <w:fldChar w:fldCharType="separate"/>
      </w:r>
      <w:r>
        <w:rPr>
          <w:rFonts w:ascii="宋体"/>
          <w:kern w:val="0"/>
          <w:sz w:val="24"/>
          <w:szCs w:val="24"/>
        </w:rPr>
        <w:t>21</w:t>
      </w:r>
      <w:r>
        <w:rPr>
          <w:rFonts w:hint="eastAsia" w:ascii="宋体"/>
          <w:kern w:val="0"/>
          <w:sz w:val="24"/>
          <w:szCs w:val="24"/>
        </w:rPr>
        <w:fldChar w:fldCharType="end"/>
      </w:r>
      <w:r>
        <w:rPr>
          <w:rFonts w:hint="eastAsia" w:ascii="宋体"/>
          <w:kern w:val="0"/>
          <w:sz w:val="24"/>
          <w:szCs w:val="24"/>
        </w:rPr>
        <w:fldChar w:fldCharType="end"/>
      </w:r>
    </w:p>
    <w:p>
      <w:pPr>
        <w:pStyle w:val="41"/>
        <w:tabs>
          <w:tab w:val="right" w:leader="dot" w:pos="9040"/>
        </w:tabs>
        <w:rPr>
          <w:rFonts w:ascii="宋体"/>
          <w:b w:val="0"/>
          <w:bCs w:val="0"/>
          <w:kern w:val="0"/>
          <w:sz w:val="24"/>
          <w:szCs w:val="24"/>
        </w:rPr>
      </w:pPr>
      <w:r>
        <w:fldChar w:fldCharType="begin"/>
      </w:r>
      <w:r>
        <w:instrText xml:space="preserve"> HYPERLINK \l "_Toc79748095" </w:instrText>
      </w:r>
      <w:r>
        <w:fldChar w:fldCharType="separate"/>
      </w:r>
      <w:r>
        <w:rPr>
          <w:rFonts w:hint="eastAsia" w:ascii="宋体"/>
          <w:kern w:val="0"/>
          <w:sz w:val="24"/>
          <w:szCs w:val="24"/>
        </w:rPr>
        <w:t>第三章 合同条款及格式</w:t>
      </w:r>
      <w:r>
        <w:rPr>
          <w:rFonts w:hint="eastAsia" w:ascii="宋体"/>
          <w:kern w:val="0"/>
          <w:sz w:val="24"/>
          <w:szCs w:val="24"/>
        </w:rPr>
        <w:tab/>
      </w:r>
      <w:r>
        <w:rPr>
          <w:rFonts w:hint="eastAsia" w:ascii="宋体"/>
          <w:kern w:val="0"/>
          <w:sz w:val="24"/>
          <w:szCs w:val="24"/>
        </w:rPr>
        <w:fldChar w:fldCharType="begin"/>
      </w:r>
      <w:r>
        <w:rPr>
          <w:rFonts w:hint="eastAsia" w:ascii="宋体"/>
          <w:kern w:val="0"/>
          <w:sz w:val="24"/>
          <w:szCs w:val="24"/>
        </w:rPr>
        <w:instrText xml:space="preserve"> PAGEREF _Toc79748095 \h </w:instrText>
      </w:r>
      <w:r>
        <w:rPr>
          <w:rFonts w:hint="eastAsia" w:ascii="宋体"/>
          <w:kern w:val="0"/>
          <w:sz w:val="24"/>
          <w:szCs w:val="24"/>
        </w:rPr>
        <w:fldChar w:fldCharType="separate"/>
      </w:r>
      <w:r>
        <w:rPr>
          <w:rFonts w:ascii="宋体"/>
          <w:kern w:val="0"/>
          <w:sz w:val="24"/>
          <w:szCs w:val="24"/>
        </w:rPr>
        <w:t>39</w:t>
      </w:r>
      <w:r>
        <w:rPr>
          <w:rFonts w:hint="eastAsia" w:ascii="宋体"/>
          <w:kern w:val="0"/>
          <w:sz w:val="24"/>
          <w:szCs w:val="24"/>
        </w:rPr>
        <w:fldChar w:fldCharType="end"/>
      </w:r>
      <w:r>
        <w:rPr>
          <w:rFonts w:hint="eastAsia" w:ascii="宋体"/>
          <w:kern w:val="0"/>
          <w:sz w:val="24"/>
          <w:szCs w:val="24"/>
        </w:rPr>
        <w:fldChar w:fldCharType="end"/>
      </w:r>
    </w:p>
    <w:p>
      <w:pPr>
        <w:pStyle w:val="41"/>
        <w:tabs>
          <w:tab w:val="right" w:leader="dot" w:pos="9040"/>
        </w:tabs>
        <w:rPr>
          <w:rFonts w:ascii="宋体"/>
          <w:b w:val="0"/>
          <w:bCs w:val="0"/>
          <w:kern w:val="0"/>
          <w:sz w:val="24"/>
          <w:szCs w:val="24"/>
        </w:rPr>
      </w:pPr>
      <w:r>
        <w:fldChar w:fldCharType="begin"/>
      </w:r>
      <w:r>
        <w:instrText xml:space="preserve"> HYPERLINK \l "_Toc79748096" </w:instrText>
      </w:r>
      <w:r>
        <w:fldChar w:fldCharType="separate"/>
      </w:r>
      <w:r>
        <w:rPr>
          <w:rFonts w:hint="eastAsia" w:ascii="宋体"/>
          <w:kern w:val="0"/>
          <w:sz w:val="24"/>
          <w:szCs w:val="24"/>
        </w:rPr>
        <w:t>第四章  发包人要求</w:t>
      </w:r>
      <w:r>
        <w:rPr>
          <w:rFonts w:hint="eastAsia" w:ascii="宋体"/>
          <w:kern w:val="0"/>
          <w:sz w:val="24"/>
          <w:szCs w:val="24"/>
        </w:rPr>
        <w:tab/>
      </w:r>
      <w:r>
        <w:rPr>
          <w:rFonts w:hint="eastAsia" w:ascii="宋体"/>
          <w:kern w:val="0"/>
          <w:sz w:val="24"/>
          <w:szCs w:val="24"/>
        </w:rPr>
        <w:fldChar w:fldCharType="begin"/>
      </w:r>
      <w:r>
        <w:rPr>
          <w:rFonts w:hint="eastAsia" w:ascii="宋体"/>
          <w:kern w:val="0"/>
          <w:sz w:val="24"/>
          <w:szCs w:val="24"/>
        </w:rPr>
        <w:instrText xml:space="preserve"> PAGEREF _Toc79748096 \h </w:instrText>
      </w:r>
      <w:r>
        <w:rPr>
          <w:rFonts w:hint="eastAsia" w:ascii="宋体"/>
          <w:kern w:val="0"/>
          <w:sz w:val="24"/>
          <w:szCs w:val="24"/>
        </w:rPr>
        <w:fldChar w:fldCharType="separate"/>
      </w:r>
      <w:r>
        <w:rPr>
          <w:rFonts w:ascii="宋体"/>
          <w:kern w:val="0"/>
          <w:sz w:val="24"/>
          <w:szCs w:val="24"/>
        </w:rPr>
        <w:t>40</w:t>
      </w:r>
      <w:r>
        <w:rPr>
          <w:rFonts w:hint="eastAsia" w:ascii="宋体"/>
          <w:kern w:val="0"/>
          <w:sz w:val="24"/>
          <w:szCs w:val="24"/>
        </w:rPr>
        <w:fldChar w:fldCharType="end"/>
      </w:r>
      <w:r>
        <w:rPr>
          <w:rFonts w:hint="eastAsia" w:ascii="宋体"/>
          <w:kern w:val="0"/>
          <w:sz w:val="24"/>
          <w:szCs w:val="24"/>
        </w:rPr>
        <w:fldChar w:fldCharType="end"/>
      </w:r>
    </w:p>
    <w:p>
      <w:pPr>
        <w:pStyle w:val="41"/>
        <w:tabs>
          <w:tab w:val="right" w:leader="dot" w:pos="9040"/>
        </w:tabs>
        <w:rPr>
          <w:rFonts w:ascii="宋体"/>
          <w:b w:val="0"/>
          <w:bCs w:val="0"/>
          <w:kern w:val="0"/>
          <w:sz w:val="24"/>
          <w:szCs w:val="24"/>
        </w:rPr>
      </w:pPr>
      <w:r>
        <w:fldChar w:fldCharType="begin"/>
      </w:r>
      <w:r>
        <w:instrText xml:space="preserve"> HYPERLINK \l "_Toc79748097" </w:instrText>
      </w:r>
      <w:r>
        <w:fldChar w:fldCharType="separate"/>
      </w:r>
      <w:r>
        <w:rPr>
          <w:rFonts w:hint="eastAsia" w:ascii="宋体"/>
          <w:kern w:val="0"/>
          <w:sz w:val="24"/>
          <w:szCs w:val="24"/>
        </w:rPr>
        <w:t>第五章  投标文件格式</w:t>
      </w:r>
      <w:r>
        <w:rPr>
          <w:rFonts w:hint="eastAsia" w:ascii="宋体"/>
          <w:kern w:val="0"/>
          <w:sz w:val="24"/>
          <w:szCs w:val="24"/>
        </w:rPr>
        <w:tab/>
      </w:r>
      <w:r>
        <w:rPr>
          <w:rFonts w:hint="eastAsia" w:ascii="宋体"/>
          <w:kern w:val="0"/>
          <w:sz w:val="24"/>
          <w:szCs w:val="24"/>
        </w:rPr>
        <w:fldChar w:fldCharType="begin"/>
      </w:r>
      <w:r>
        <w:rPr>
          <w:rFonts w:hint="eastAsia" w:ascii="宋体"/>
          <w:kern w:val="0"/>
          <w:sz w:val="24"/>
          <w:szCs w:val="24"/>
        </w:rPr>
        <w:instrText xml:space="preserve"> PAGEREF _Toc79748097 \h </w:instrText>
      </w:r>
      <w:r>
        <w:rPr>
          <w:rFonts w:hint="eastAsia" w:ascii="宋体"/>
          <w:kern w:val="0"/>
          <w:sz w:val="24"/>
          <w:szCs w:val="24"/>
        </w:rPr>
        <w:fldChar w:fldCharType="separate"/>
      </w:r>
      <w:r>
        <w:rPr>
          <w:rFonts w:ascii="宋体"/>
          <w:kern w:val="0"/>
          <w:sz w:val="24"/>
          <w:szCs w:val="24"/>
        </w:rPr>
        <w:t>54</w:t>
      </w:r>
      <w:r>
        <w:rPr>
          <w:rFonts w:hint="eastAsia" w:ascii="宋体"/>
          <w:kern w:val="0"/>
          <w:sz w:val="24"/>
          <w:szCs w:val="24"/>
        </w:rPr>
        <w:fldChar w:fldCharType="end"/>
      </w:r>
      <w:r>
        <w:rPr>
          <w:rFonts w:hint="eastAsia" w:ascii="宋体"/>
          <w:kern w:val="0"/>
          <w:sz w:val="24"/>
          <w:szCs w:val="24"/>
        </w:rPr>
        <w:fldChar w:fldCharType="end"/>
      </w:r>
    </w:p>
    <w:p>
      <w:pPr>
        <w:rPr>
          <w:rFonts w:ascii="宋体"/>
          <w:b/>
          <w:bCs/>
          <w:caps/>
          <w:kern w:val="0"/>
          <w:sz w:val="24"/>
          <w:szCs w:val="24"/>
        </w:rPr>
      </w:pPr>
      <w:r>
        <w:rPr>
          <w:rFonts w:hint="eastAsia" w:ascii="宋体"/>
          <w:b/>
          <w:bCs/>
          <w:caps/>
          <w:kern w:val="0"/>
          <w:sz w:val="24"/>
          <w:szCs w:val="24"/>
        </w:rPr>
        <w:fldChar w:fldCharType="end"/>
      </w:r>
    </w:p>
    <w:p>
      <w:pPr>
        <w:widowControl/>
        <w:jc w:val="left"/>
        <w:rPr>
          <w:kern w:val="0"/>
        </w:rPr>
      </w:pPr>
      <w:r>
        <w:rPr>
          <w:kern w:val="0"/>
        </w:rPr>
        <w:br w:type="page"/>
      </w:r>
    </w:p>
    <w:bookmarkEnd w:id="7"/>
    <w:bookmarkEnd w:id="8"/>
    <w:bookmarkEnd w:id="9"/>
    <w:bookmarkEnd w:id="10"/>
    <w:bookmarkEnd w:id="11"/>
    <w:p>
      <w:pPr>
        <w:pStyle w:val="5"/>
        <w:spacing w:line="240" w:lineRule="auto"/>
        <w:jc w:val="center"/>
        <w:rPr>
          <w:rFonts w:ascii="宋体"/>
          <w:kern w:val="0"/>
        </w:rPr>
      </w:pPr>
      <w:bookmarkStart w:id="12" w:name="_Toc152042303"/>
      <w:bookmarkStart w:id="13" w:name="_Toc152045527"/>
      <w:bookmarkStart w:id="14" w:name="_Toc79748091"/>
      <w:bookmarkStart w:id="15" w:name="_Toc144974495"/>
      <w:bookmarkStart w:id="16" w:name="_Toc247527551"/>
      <w:bookmarkStart w:id="17" w:name="_Toc247513950"/>
      <w:r>
        <w:rPr>
          <w:rFonts w:hint="eastAsia" w:ascii="宋体"/>
          <w:kern w:val="0"/>
        </w:rPr>
        <w:t>第一章 投标人须知</w:t>
      </w:r>
      <w:bookmarkEnd w:id="12"/>
      <w:bookmarkEnd w:id="13"/>
      <w:bookmarkEnd w:id="14"/>
      <w:bookmarkEnd w:id="15"/>
      <w:bookmarkEnd w:id="16"/>
      <w:bookmarkEnd w:id="17"/>
    </w:p>
    <w:p>
      <w:pPr>
        <w:pStyle w:val="6"/>
        <w:jc w:val="center"/>
        <w:rPr>
          <w:rFonts w:ascii="宋体"/>
        </w:rPr>
      </w:pPr>
      <w:bookmarkStart w:id="18" w:name="_Toc247527552"/>
      <w:bookmarkStart w:id="19" w:name="_Toc443505821"/>
      <w:bookmarkStart w:id="20" w:name="_Toc23825"/>
      <w:bookmarkStart w:id="21" w:name="_Toc300834948"/>
      <w:bookmarkStart w:id="22" w:name="_Toc357089510"/>
      <w:bookmarkStart w:id="23" w:name="_Toc247513951"/>
      <w:bookmarkStart w:id="24" w:name="_Toc144974496"/>
      <w:bookmarkStart w:id="25" w:name="_Toc152042304"/>
      <w:bookmarkStart w:id="26" w:name="_Toc362816479"/>
      <w:bookmarkStart w:id="27" w:name="_Toc152045528"/>
      <w:r>
        <w:rPr>
          <w:rFonts w:hint="eastAsia" w:ascii="宋体"/>
        </w:rPr>
        <w:t>投标人须知前附表</w:t>
      </w:r>
      <w:bookmarkEnd w:id="18"/>
      <w:bookmarkEnd w:id="19"/>
      <w:bookmarkEnd w:id="20"/>
      <w:bookmarkEnd w:id="21"/>
      <w:bookmarkEnd w:id="22"/>
      <w:bookmarkEnd w:id="23"/>
      <w:bookmarkEnd w:id="24"/>
      <w:bookmarkEnd w:id="25"/>
      <w:bookmarkEnd w:id="26"/>
      <w:bookmarkEnd w:id="27"/>
    </w:p>
    <w:tbl>
      <w:tblPr>
        <w:tblStyle w:val="58"/>
        <w:tblW w:w="9248" w:type="dxa"/>
        <w:tblInd w:w="0" w:type="dxa"/>
        <w:tblLayout w:type="fixed"/>
        <w:tblCellMar>
          <w:top w:w="0" w:type="dxa"/>
          <w:left w:w="108" w:type="dxa"/>
          <w:bottom w:w="0" w:type="dxa"/>
          <w:right w:w="108" w:type="dxa"/>
        </w:tblCellMar>
      </w:tblPr>
      <w:tblGrid>
        <w:gridCol w:w="948"/>
        <w:gridCol w:w="1805"/>
        <w:gridCol w:w="6495"/>
      </w:tblGrid>
      <w:tr>
        <w:tblPrEx>
          <w:tblCellMar>
            <w:top w:w="0" w:type="dxa"/>
            <w:left w:w="108" w:type="dxa"/>
            <w:bottom w:w="0" w:type="dxa"/>
            <w:right w:w="108" w:type="dxa"/>
          </w:tblCellMar>
        </w:tblPrEx>
        <w:trPr>
          <w:trHeight w:val="567" w:hRule="atLeast"/>
          <w:tblHeader/>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b/>
                <w:kern w:val="0"/>
                <w:szCs w:val="21"/>
              </w:rPr>
            </w:pPr>
            <w:r>
              <w:rPr>
                <w:rFonts w:ascii="宋体"/>
                <w:b/>
                <w:kern w:val="0"/>
                <w:szCs w:val="21"/>
              </w:rPr>
              <w:t>条款号</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b/>
                <w:kern w:val="0"/>
                <w:szCs w:val="21"/>
              </w:rPr>
            </w:pPr>
            <w:r>
              <w:rPr>
                <w:rFonts w:ascii="宋体"/>
                <w:b/>
                <w:kern w:val="0"/>
                <w:szCs w:val="21"/>
              </w:rPr>
              <w:t>条  款  名  称</w:t>
            </w:r>
          </w:p>
        </w:tc>
        <w:tc>
          <w:tcPr>
            <w:tcW w:w="6495" w:type="dxa"/>
            <w:tcBorders>
              <w:top w:val="single" w:color="auto" w:sz="4" w:space="0"/>
              <w:left w:val="single" w:color="auto" w:sz="4" w:space="0"/>
              <w:bottom w:val="single" w:color="auto" w:sz="4" w:space="0"/>
              <w:right w:val="single" w:color="auto" w:sz="4" w:space="0"/>
            </w:tcBorders>
            <w:vAlign w:val="center"/>
          </w:tcPr>
          <w:p>
            <w:pPr>
              <w:jc w:val="center"/>
              <w:rPr>
                <w:rFonts w:ascii="宋体"/>
                <w:b/>
                <w:kern w:val="0"/>
                <w:szCs w:val="21"/>
              </w:rPr>
            </w:pPr>
            <w:r>
              <w:rPr>
                <w:rFonts w:ascii="宋体"/>
                <w:b/>
                <w:kern w:val="0"/>
                <w:szCs w:val="21"/>
              </w:rPr>
              <w:t>编  列  内  容</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招标人</w:t>
            </w:r>
          </w:p>
        </w:tc>
        <w:tc>
          <w:tcPr>
            <w:tcW w:w="6495" w:type="dxa"/>
            <w:tcBorders>
              <w:top w:val="single" w:color="auto" w:sz="4" w:space="0"/>
              <w:left w:val="single" w:color="auto" w:sz="4" w:space="0"/>
              <w:bottom w:val="single" w:color="auto" w:sz="4" w:space="0"/>
              <w:right w:val="single" w:color="auto" w:sz="4" w:space="0"/>
            </w:tcBorders>
            <w:vAlign w:val="center"/>
          </w:tcPr>
          <w:p>
            <w:pPr>
              <w:pStyle w:val="32"/>
              <w:rPr>
                <w:sz w:val="21"/>
                <w:szCs w:val="21"/>
              </w:rPr>
            </w:pPr>
            <w:r>
              <w:rPr>
                <w:sz w:val="21"/>
                <w:szCs w:val="21"/>
              </w:rPr>
              <w:t>招标单位名称：科学城（广州）投资集团有限公司</w:t>
            </w:r>
          </w:p>
          <w:p>
            <w:pPr>
              <w:pStyle w:val="32"/>
              <w:rPr>
                <w:sz w:val="21"/>
                <w:szCs w:val="21"/>
              </w:rPr>
            </w:pPr>
            <w:r>
              <w:rPr>
                <w:sz w:val="21"/>
                <w:szCs w:val="21"/>
              </w:rPr>
              <w:t>地址：广州市黄埔区宏明路130号</w:t>
            </w:r>
          </w:p>
          <w:p>
            <w:pPr>
              <w:pStyle w:val="32"/>
              <w:rPr>
                <w:sz w:val="21"/>
                <w:szCs w:val="21"/>
              </w:rPr>
            </w:pPr>
            <w:r>
              <w:rPr>
                <w:sz w:val="21"/>
                <w:szCs w:val="21"/>
              </w:rPr>
              <w:t>联系人：陈工</w:t>
            </w:r>
          </w:p>
          <w:p>
            <w:pPr>
              <w:pStyle w:val="32"/>
            </w:pPr>
            <w:r>
              <w:rPr>
                <w:sz w:val="21"/>
                <w:szCs w:val="21"/>
              </w:rPr>
              <w:t>电话：</w:t>
            </w:r>
            <w:r>
              <w:rPr>
                <w:sz w:val="21"/>
                <w:szCs w:val="21"/>
                <w:lang w:val="zh-CN"/>
              </w:rPr>
              <w:t>020-82359589</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1.1.3</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招标代理机构</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名称：</w:t>
            </w:r>
            <w:r>
              <w:rPr>
                <w:rFonts w:hint="eastAsia" w:ascii="宋体"/>
                <w:kern w:val="0"/>
                <w:szCs w:val="21"/>
              </w:rPr>
              <w:t>广州群生招标代理有限公司</w:t>
            </w:r>
          </w:p>
          <w:p>
            <w:pPr>
              <w:rPr>
                <w:rFonts w:ascii="宋体"/>
                <w:kern w:val="0"/>
                <w:szCs w:val="21"/>
              </w:rPr>
            </w:pPr>
            <w:r>
              <w:rPr>
                <w:rFonts w:ascii="宋体"/>
                <w:kern w:val="0"/>
                <w:szCs w:val="21"/>
              </w:rPr>
              <w:t>地址：</w:t>
            </w:r>
            <w:r>
              <w:rPr>
                <w:rFonts w:hint="eastAsia" w:ascii="宋体"/>
                <w:kern w:val="0"/>
                <w:szCs w:val="21"/>
              </w:rPr>
              <w:t>广州市越秀区东风东路555号粤海集团大厦2203-2204室</w:t>
            </w:r>
          </w:p>
          <w:p>
            <w:pPr>
              <w:rPr>
                <w:rFonts w:ascii="宋体"/>
                <w:kern w:val="0"/>
                <w:szCs w:val="21"/>
              </w:rPr>
            </w:pPr>
            <w:r>
              <w:rPr>
                <w:rFonts w:ascii="宋体"/>
                <w:kern w:val="0"/>
                <w:szCs w:val="21"/>
              </w:rPr>
              <w:t>联系人：</w:t>
            </w:r>
            <w:r>
              <w:rPr>
                <w:rFonts w:hint="eastAsia" w:ascii="宋体"/>
                <w:kern w:val="0"/>
                <w:szCs w:val="21"/>
              </w:rPr>
              <w:t>马工、刘工</w:t>
            </w:r>
          </w:p>
          <w:p>
            <w:pPr>
              <w:rPr>
                <w:rFonts w:ascii="宋体"/>
                <w:kern w:val="0"/>
                <w:szCs w:val="21"/>
              </w:rPr>
            </w:pPr>
            <w:r>
              <w:rPr>
                <w:rFonts w:ascii="宋体"/>
                <w:kern w:val="0"/>
                <w:szCs w:val="21"/>
              </w:rPr>
              <w:t>电话：</w:t>
            </w:r>
            <w:r>
              <w:rPr>
                <w:rFonts w:hint="eastAsia" w:ascii="宋体"/>
                <w:kern w:val="0"/>
                <w:szCs w:val="21"/>
              </w:rPr>
              <w:t>18011735206</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1.1.4</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项目名称</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hint="eastAsia" w:ascii="宋体"/>
                <w:kern w:val="0"/>
                <w:szCs w:val="21"/>
              </w:rPr>
              <w:t>九龙水质净化一厂扩容工程勘察设计采购施工总承包</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1.1.5</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建设地点</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详见招标公告</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1.2.1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资金来源及比例</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详见</w:t>
            </w:r>
            <w:r>
              <w:rPr>
                <w:rFonts w:ascii="宋体"/>
                <w:bCs/>
                <w:kern w:val="0"/>
                <w:szCs w:val="21"/>
                <w:u w:val="single"/>
              </w:rPr>
              <w:t>招标公告</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1.2.2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资金落实情况</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资金已落实。</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1.3.1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招标范围</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详见招标公告。</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1.3.2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计划工期</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详见招标公告</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1.3.3</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质量标准</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rPr>
              <w:t>勘察设计要求的质量标准：</w:t>
            </w:r>
            <w:r>
              <w:rPr>
                <w:rFonts w:ascii="宋体"/>
                <w:kern w:val="0"/>
                <w:szCs w:val="21"/>
                <w:u w:val="single"/>
              </w:rPr>
              <w:t>符合《工程勘察质量评定办法》、《民用建筑设计质量评定标准》、《建设工程勘察设计管理条例》、《建筑工程设计文件编制深度规定》及《建设工程质量管理条例》等国家及地方有关工程勘察设计管理法规、规章和行业相关规范技术标准等要求。</w:t>
            </w:r>
          </w:p>
          <w:p>
            <w:pPr>
              <w:rPr>
                <w:rFonts w:ascii="宋体"/>
                <w:kern w:val="0"/>
                <w:szCs w:val="21"/>
                <w:u w:val="single"/>
              </w:rPr>
            </w:pPr>
            <w:r>
              <w:rPr>
                <w:rFonts w:ascii="宋体"/>
                <w:kern w:val="0"/>
                <w:szCs w:val="21"/>
              </w:rPr>
              <w:t>施工要求的质量标准：</w:t>
            </w:r>
            <w:r>
              <w:rPr>
                <w:rFonts w:ascii="宋体"/>
                <w:kern w:val="0"/>
                <w:szCs w:val="21"/>
                <w:u w:val="single"/>
              </w:rPr>
              <w:t>符合设计图纸要求和国家、省、市相关法律法规规定要求及行业颁发的工程质量合格标准。</w:t>
            </w:r>
          </w:p>
          <w:p>
            <w:pPr>
              <w:rPr>
                <w:rFonts w:ascii="宋体"/>
                <w:kern w:val="0"/>
                <w:szCs w:val="21"/>
              </w:rPr>
            </w:pPr>
            <w:r>
              <w:rPr>
                <w:rFonts w:ascii="宋体"/>
                <w:kern w:val="0"/>
                <w:szCs w:val="21"/>
              </w:rPr>
              <w:t>安全及文明施工目标：</w:t>
            </w:r>
            <w:r>
              <w:rPr>
                <w:rFonts w:ascii="宋体"/>
                <w:kern w:val="0"/>
                <w:szCs w:val="21"/>
                <w:u w:val="single"/>
              </w:rPr>
              <w:t>文明施工措施要符合广州市的“六个百分百”规定，保证施工场地清洁、扬尘及噪音管理符合环境卫生管理的有关规定，确保不发生一般事故等级及以上的安全生产事故且死亡人数为零。</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1.4.1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投标人资质条件、</w:t>
            </w:r>
          </w:p>
          <w:p>
            <w:pPr>
              <w:jc w:val="center"/>
              <w:rPr>
                <w:rFonts w:ascii="宋体"/>
                <w:kern w:val="0"/>
                <w:szCs w:val="21"/>
              </w:rPr>
            </w:pPr>
            <w:r>
              <w:rPr>
                <w:rFonts w:ascii="宋体"/>
                <w:kern w:val="0"/>
                <w:szCs w:val="21"/>
              </w:rPr>
              <w:t>能力和信誉</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资质条件：见招标公告投标人资格要求</w:t>
            </w:r>
          </w:p>
          <w:p>
            <w:pPr>
              <w:rPr>
                <w:rFonts w:ascii="宋体"/>
                <w:kern w:val="0"/>
                <w:szCs w:val="21"/>
                <w:u w:val="single"/>
              </w:rPr>
            </w:pPr>
            <w:r>
              <w:rPr>
                <w:rFonts w:ascii="宋体"/>
                <w:kern w:val="0"/>
                <w:szCs w:val="21"/>
                <w:u w:val="single"/>
              </w:rPr>
              <w:t>财务要求：  /  ；</w:t>
            </w:r>
          </w:p>
          <w:p>
            <w:pPr>
              <w:rPr>
                <w:rFonts w:ascii="宋体"/>
                <w:kern w:val="0"/>
                <w:szCs w:val="21"/>
                <w:u w:val="single"/>
              </w:rPr>
            </w:pPr>
            <w:r>
              <w:rPr>
                <w:rFonts w:ascii="宋体"/>
                <w:kern w:val="0"/>
                <w:szCs w:val="21"/>
                <w:u w:val="single"/>
              </w:rPr>
              <w:t>设计业绩要求：  /  ；</w:t>
            </w:r>
          </w:p>
          <w:p>
            <w:pPr>
              <w:rPr>
                <w:rFonts w:ascii="宋体"/>
                <w:kern w:val="0"/>
                <w:szCs w:val="21"/>
                <w:u w:val="single"/>
              </w:rPr>
            </w:pPr>
            <w:r>
              <w:rPr>
                <w:rFonts w:ascii="宋体"/>
                <w:kern w:val="0"/>
                <w:szCs w:val="21"/>
                <w:u w:val="single"/>
              </w:rPr>
              <w:t>施工业绩要求：/；</w:t>
            </w:r>
          </w:p>
          <w:p>
            <w:pPr>
              <w:rPr>
                <w:rFonts w:ascii="宋体"/>
                <w:kern w:val="0"/>
                <w:szCs w:val="21"/>
                <w:u w:val="single"/>
              </w:rPr>
            </w:pPr>
            <w:r>
              <w:rPr>
                <w:rFonts w:ascii="宋体"/>
                <w:kern w:val="0"/>
                <w:szCs w:val="21"/>
                <w:u w:val="single"/>
              </w:rPr>
              <w:t>信誉要求：  /  ；</w:t>
            </w:r>
          </w:p>
          <w:p>
            <w:pPr>
              <w:rPr>
                <w:rFonts w:ascii="宋体"/>
                <w:kern w:val="0"/>
                <w:szCs w:val="21"/>
                <w:u w:val="single"/>
              </w:rPr>
            </w:pPr>
            <w:r>
              <w:rPr>
                <w:rFonts w:ascii="宋体"/>
                <w:kern w:val="0"/>
                <w:szCs w:val="21"/>
                <w:u w:val="single"/>
              </w:rPr>
              <w:t>项目负责人的资格要求：（兼施工负责人，下同）见招标公告投标人资格要求</w:t>
            </w:r>
          </w:p>
          <w:p>
            <w:pPr>
              <w:rPr>
                <w:rFonts w:ascii="宋体"/>
                <w:kern w:val="0"/>
                <w:szCs w:val="21"/>
                <w:u w:val="single"/>
              </w:rPr>
            </w:pPr>
            <w:r>
              <w:rPr>
                <w:rFonts w:ascii="宋体"/>
                <w:kern w:val="0"/>
                <w:szCs w:val="21"/>
                <w:u w:val="single"/>
              </w:rPr>
              <w:t>设计负责人的资格要求：见招标公告投标人资格要求</w:t>
            </w:r>
          </w:p>
          <w:p>
            <w:pPr>
              <w:rPr>
                <w:rFonts w:ascii="宋体"/>
                <w:kern w:val="0"/>
                <w:szCs w:val="21"/>
                <w:u w:val="single"/>
              </w:rPr>
            </w:pPr>
            <w:r>
              <w:rPr>
                <w:rFonts w:ascii="宋体"/>
                <w:kern w:val="0"/>
                <w:szCs w:val="21"/>
                <w:u w:val="single"/>
              </w:rPr>
              <w:t>施工负责人的资格要求：见招标公告投标人资格要求</w:t>
            </w:r>
          </w:p>
          <w:p>
            <w:pPr>
              <w:rPr>
                <w:rFonts w:ascii="宋体"/>
                <w:kern w:val="0"/>
                <w:szCs w:val="21"/>
                <w:u w:val="single"/>
              </w:rPr>
            </w:pPr>
            <w:r>
              <w:rPr>
                <w:rFonts w:ascii="宋体"/>
                <w:kern w:val="0"/>
                <w:szCs w:val="21"/>
                <w:u w:val="single"/>
              </w:rPr>
              <w:t>专职安全员的资格要求：见招标公告投标人资格要求</w:t>
            </w:r>
          </w:p>
          <w:p>
            <w:pPr>
              <w:rPr>
                <w:rFonts w:ascii="宋体"/>
                <w:kern w:val="0"/>
                <w:szCs w:val="21"/>
                <w:u w:val="single"/>
              </w:rPr>
            </w:pPr>
            <w:r>
              <w:rPr>
                <w:rFonts w:ascii="宋体"/>
                <w:kern w:val="0"/>
                <w:szCs w:val="21"/>
                <w:u w:val="single"/>
              </w:rPr>
              <w:t>施工机械设备：  /  ；</w:t>
            </w:r>
          </w:p>
          <w:p>
            <w:pPr>
              <w:rPr>
                <w:rFonts w:ascii="宋体"/>
                <w:kern w:val="0"/>
                <w:szCs w:val="21"/>
                <w:u w:val="single"/>
              </w:rPr>
            </w:pPr>
            <w:r>
              <w:rPr>
                <w:rFonts w:ascii="宋体"/>
                <w:kern w:val="0"/>
                <w:szCs w:val="21"/>
                <w:u w:val="single"/>
              </w:rPr>
              <w:t>项目管理机构及人员：  /  ；</w:t>
            </w:r>
          </w:p>
          <w:p>
            <w:pPr>
              <w:rPr>
                <w:rFonts w:ascii="宋体"/>
                <w:kern w:val="0"/>
                <w:szCs w:val="21"/>
              </w:rPr>
            </w:pPr>
            <w:r>
              <w:rPr>
                <w:rFonts w:ascii="宋体"/>
                <w:kern w:val="0"/>
                <w:szCs w:val="21"/>
                <w:u w:val="single"/>
              </w:rPr>
              <w:t>其他要求：见招标公告投标人资格要求。</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1.4.2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是否接受联合体</w:t>
            </w:r>
          </w:p>
          <w:p>
            <w:pPr>
              <w:jc w:val="center"/>
              <w:rPr>
                <w:rFonts w:ascii="宋体"/>
                <w:kern w:val="0"/>
                <w:szCs w:val="21"/>
              </w:rPr>
            </w:pPr>
            <w:r>
              <w:rPr>
                <w:rFonts w:ascii="宋体"/>
                <w:kern w:val="0"/>
                <w:szCs w:val="21"/>
              </w:rPr>
              <w:t>投标</w:t>
            </w:r>
          </w:p>
        </w:tc>
        <w:tc>
          <w:tcPr>
            <w:tcW w:w="6495" w:type="dxa"/>
            <w:tcBorders>
              <w:top w:val="single" w:color="auto" w:sz="4" w:space="0"/>
              <w:left w:val="single" w:color="auto" w:sz="4" w:space="0"/>
              <w:bottom w:val="single" w:color="auto" w:sz="4" w:space="0"/>
              <w:right w:val="single" w:color="auto" w:sz="4" w:space="0"/>
            </w:tcBorders>
            <w:vAlign w:val="center"/>
          </w:tcPr>
          <w:p>
            <w:pPr>
              <w:pStyle w:val="24"/>
              <w:topLinePunct/>
              <w:rPr>
                <w:sz w:val="21"/>
                <w:szCs w:val="21"/>
              </w:rPr>
            </w:pPr>
            <w:r>
              <w:rPr>
                <w:szCs w:val="21"/>
              </w:rPr>
              <w:t>□</w:t>
            </w:r>
            <w:r>
              <w:rPr>
                <w:sz w:val="21"/>
                <w:szCs w:val="21"/>
              </w:rPr>
              <w:t>不接受</w:t>
            </w:r>
          </w:p>
          <w:p>
            <w:pPr>
              <w:rPr>
                <w:rFonts w:ascii="宋体"/>
                <w:kern w:val="0"/>
                <w:szCs w:val="21"/>
              </w:rPr>
            </w:pPr>
            <w:r>
              <w:rPr>
                <w:rFonts w:ascii="宋体"/>
                <w:kern w:val="0"/>
                <w:szCs w:val="21"/>
              </w:rPr>
              <w:t>■接受，应满足下列要求：</w:t>
            </w:r>
            <w:r>
              <w:rPr>
                <w:rFonts w:ascii="宋体"/>
                <w:kern w:val="0"/>
                <w:szCs w:val="21"/>
                <w:u w:val="single"/>
              </w:rPr>
              <w:t>详见本项目招标公告。</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1.5</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费用承担和设计成果补偿</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■不补偿</w:t>
            </w:r>
          </w:p>
          <w:p>
            <w:pPr>
              <w:rPr>
                <w:rFonts w:ascii="宋体"/>
                <w:kern w:val="0"/>
                <w:sz w:val="32"/>
                <w:szCs w:val="32"/>
              </w:rPr>
            </w:pPr>
            <w:r>
              <w:rPr>
                <w:rFonts w:ascii="宋体"/>
                <w:kern w:val="0"/>
                <w:szCs w:val="21"/>
              </w:rPr>
              <w:t>□补偿，补偿标准：</w:t>
            </w:r>
            <w:r>
              <w:rPr>
                <w:rFonts w:ascii="宋体"/>
                <w:kern w:val="0"/>
                <w:szCs w:val="21"/>
                <w:u w:val="single"/>
              </w:rPr>
              <w:t xml:space="preserve">   /   。</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1.9.1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踏勘</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■不组织：自行踏勘。</w:t>
            </w:r>
          </w:p>
          <w:p>
            <w:pPr>
              <w:rPr>
                <w:rFonts w:ascii="宋体"/>
                <w:kern w:val="0"/>
                <w:szCs w:val="21"/>
              </w:rPr>
            </w:pPr>
            <w:r>
              <w:rPr>
                <w:rFonts w:ascii="宋体"/>
                <w:kern w:val="0"/>
                <w:szCs w:val="21"/>
              </w:rPr>
              <w:t>□组织，踏勘时间：</w:t>
            </w:r>
          </w:p>
          <w:p>
            <w:pPr>
              <w:rPr>
                <w:rFonts w:ascii="宋体"/>
                <w:kern w:val="0"/>
                <w:szCs w:val="21"/>
              </w:rPr>
            </w:pPr>
            <w:r>
              <w:rPr>
                <w:rFonts w:ascii="宋体"/>
                <w:kern w:val="0"/>
                <w:szCs w:val="21"/>
              </w:rPr>
              <w:t>踏勘集中地点：</w:t>
            </w:r>
            <w:r>
              <w:rPr>
                <w:rFonts w:ascii="宋体"/>
                <w:kern w:val="0"/>
                <w:szCs w:val="21"/>
                <w:u w:val="single"/>
              </w:rPr>
              <w:t xml:space="preserve">  </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1.10</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投标预备会</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■不召开</w:t>
            </w:r>
          </w:p>
          <w:p>
            <w:pPr>
              <w:rPr>
                <w:rFonts w:ascii="宋体"/>
                <w:kern w:val="0"/>
                <w:szCs w:val="21"/>
              </w:rPr>
            </w:pPr>
            <w:r>
              <w:rPr>
                <w:rFonts w:ascii="宋体"/>
                <w:kern w:val="0"/>
                <w:szCs w:val="21"/>
              </w:rPr>
              <w:t>□召开，召开时间：另行通知</w:t>
            </w:r>
          </w:p>
          <w:p>
            <w:pPr>
              <w:rPr>
                <w:rFonts w:ascii="宋体"/>
                <w:kern w:val="0"/>
                <w:szCs w:val="21"/>
                <w:u w:val="single"/>
              </w:rPr>
            </w:pPr>
            <w:r>
              <w:rPr>
                <w:rFonts w:ascii="宋体"/>
                <w:kern w:val="0"/>
                <w:szCs w:val="21"/>
              </w:rPr>
              <w:t>召开地点：</w:t>
            </w:r>
            <w:r>
              <w:rPr>
                <w:rFonts w:ascii="宋体"/>
                <w:kern w:val="0"/>
                <w:szCs w:val="21"/>
                <w:u w:val="single"/>
              </w:rPr>
              <w:t xml:space="preserve">  </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2.2.1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投标人提出问题的截止时间</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1.方式：网上答疑。网上答疑的相关事项详见招标文件第一章投标人须知第2.2款。</w:t>
            </w:r>
          </w:p>
          <w:p>
            <w:pPr>
              <w:rPr>
                <w:rFonts w:ascii="宋体"/>
                <w:kern w:val="0"/>
                <w:szCs w:val="21"/>
              </w:rPr>
            </w:pPr>
            <w:r>
              <w:rPr>
                <w:rFonts w:ascii="宋体"/>
                <w:kern w:val="0"/>
                <w:szCs w:val="21"/>
              </w:rPr>
              <w:t>2.投标人质疑期限：在递交投标文件截止日期前18日。</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2.3.1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招标人书面澄清的时间</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在递交投标文件截止日期前15日</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1.11.1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招标人规定由分包人承担的</w:t>
            </w:r>
          </w:p>
          <w:p>
            <w:pPr>
              <w:jc w:val="center"/>
              <w:rPr>
                <w:rFonts w:ascii="宋体"/>
                <w:kern w:val="0"/>
                <w:szCs w:val="21"/>
              </w:rPr>
            </w:pPr>
            <w:r>
              <w:rPr>
                <w:rFonts w:ascii="宋体"/>
                <w:kern w:val="0"/>
                <w:szCs w:val="21"/>
              </w:rPr>
              <w:t>工作</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无</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1.11.2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投标人拟分包的</w:t>
            </w:r>
          </w:p>
          <w:p>
            <w:pPr>
              <w:jc w:val="center"/>
              <w:rPr>
                <w:rFonts w:ascii="宋体"/>
                <w:kern w:val="0"/>
                <w:szCs w:val="21"/>
              </w:rPr>
            </w:pPr>
            <w:r>
              <w:rPr>
                <w:rFonts w:ascii="宋体"/>
                <w:kern w:val="0"/>
                <w:szCs w:val="21"/>
              </w:rPr>
              <w:t>工作</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□不允许</w:t>
            </w:r>
          </w:p>
          <w:p>
            <w:pPr>
              <w:rPr>
                <w:rFonts w:ascii="宋体"/>
                <w:kern w:val="0"/>
                <w:szCs w:val="21"/>
              </w:rPr>
            </w:pPr>
            <w:r>
              <w:rPr>
                <w:rFonts w:ascii="宋体"/>
                <w:kern w:val="0"/>
                <w:szCs w:val="21"/>
              </w:rPr>
              <w:t>■</w:t>
            </w:r>
            <w:r>
              <w:rPr>
                <w:rFonts w:ascii="宋体"/>
                <w:kern w:val="0"/>
                <w:szCs w:val="21"/>
                <w:u w:val="single"/>
              </w:rPr>
              <w:t>允许非主体、非关键性工程进行分包。</w:t>
            </w:r>
          </w:p>
          <w:p>
            <w:pPr>
              <w:rPr>
                <w:rFonts w:ascii="宋体"/>
                <w:kern w:val="0"/>
                <w:szCs w:val="21"/>
                <w:u w:val="single"/>
              </w:rPr>
            </w:pPr>
            <w:r>
              <w:rPr>
                <w:rFonts w:ascii="宋体"/>
                <w:kern w:val="0"/>
                <w:szCs w:val="21"/>
                <w:u w:val="single"/>
              </w:rPr>
              <w:t>分包内容要求：经监理工程师及发包人同意后可依法分包。</w:t>
            </w:r>
          </w:p>
          <w:p>
            <w:pPr>
              <w:rPr>
                <w:rFonts w:ascii="宋体"/>
                <w:kern w:val="0"/>
                <w:szCs w:val="21"/>
                <w:u w:val="single"/>
              </w:rPr>
            </w:pPr>
            <w:r>
              <w:rPr>
                <w:rFonts w:ascii="宋体"/>
                <w:kern w:val="0"/>
                <w:szCs w:val="21"/>
                <w:u w:val="single"/>
              </w:rPr>
              <w:t>分包金额要求：无</w:t>
            </w:r>
          </w:p>
          <w:p>
            <w:pPr>
              <w:rPr>
                <w:rFonts w:ascii="宋体"/>
                <w:kern w:val="0"/>
                <w:szCs w:val="21"/>
              </w:rPr>
            </w:pPr>
            <w:r>
              <w:rPr>
                <w:rFonts w:ascii="宋体"/>
                <w:kern w:val="0"/>
                <w:szCs w:val="21"/>
                <w:u w:val="single"/>
              </w:rPr>
              <w:t>对分包人的资质要求：符合有关法律法规和文件规定，并不得再次分包。</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1.12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偏离</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■不允许</w:t>
            </w:r>
          </w:p>
          <w:p>
            <w:pPr>
              <w:rPr>
                <w:rFonts w:ascii="宋体"/>
                <w:kern w:val="0"/>
                <w:szCs w:val="21"/>
              </w:rPr>
            </w:pPr>
            <w:r>
              <w:rPr>
                <w:rFonts w:ascii="宋体"/>
                <w:kern w:val="0"/>
                <w:szCs w:val="21"/>
              </w:rPr>
              <w:t>□允许，允许偏离的内容、偏离范围和幅度</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构成招标文件的其他资料</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u w:val="single"/>
              </w:rPr>
              <w:t>答疑纪要、澄清文件等（如有）</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2.2.2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投标人要求澄清招标文件的截止时间</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在递交投标文件截止日期前18日</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2.2.3</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投标人确认收到答疑纪要或澄清的时间</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在广州公共资源交易中心网上答疑专区发布时视为投标人收到。</w:t>
            </w:r>
          </w:p>
        </w:tc>
      </w:tr>
      <w:tr>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2.3.2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投标人确认收到招标文件修改的时间</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在广州公共资源交易中心网上答疑专区发布时视为投标人收到。</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3.1.1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构成投标文件的其他资料</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见第五章《投标文件格式》要求。</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rPr>
              <w:t>3.2.3</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最高投标限价</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u w:val="single"/>
              </w:rPr>
            </w:pPr>
            <w:r>
              <w:rPr>
                <w:rFonts w:ascii="宋体"/>
                <w:kern w:val="0"/>
                <w:szCs w:val="21"/>
                <w:u w:val="single"/>
              </w:rPr>
              <w:t>本项目最高投标限价：最高投标限价为</w:t>
            </w:r>
            <w:r>
              <w:rPr>
                <w:rFonts w:hint="eastAsia" w:ascii="宋体"/>
                <w:kern w:val="0"/>
                <w:szCs w:val="21"/>
                <w:u w:val="single"/>
              </w:rPr>
              <w:t>8826.990847</w:t>
            </w:r>
            <w:r>
              <w:rPr>
                <w:rFonts w:ascii="宋体"/>
                <w:kern w:val="0"/>
                <w:szCs w:val="21"/>
                <w:u w:val="single"/>
              </w:rPr>
              <w:t>万元，其中施工费最高投标限价</w:t>
            </w:r>
            <w:r>
              <w:rPr>
                <w:rFonts w:hint="eastAsia" w:ascii="宋体"/>
                <w:kern w:val="0"/>
                <w:szCs w:val="21"/>
                <w:u w:val="single"/>
              </w:rPr>
              <w:t>8609.814</w:t>
            </w:r>
            <w:r>
              <w:rPr>
                <w:rFonts w:ascii="宋体"/>
                <w:kern w:val="0"/>
                <w:szCs w:val="21"/>
                <w:u w:val="single"/>
              </w:rPr>
              <w:t>万元，设计费最高投标限价为</w:t>
            </w:r>
            <w:r>
              <w:rPr>
                <w:rFonts w:hint="eastAsia" w:ascii="宋体"/>
                <w:kern w:val="0"/>
                <w:szCs w:val="21"/>
                <w:u w:val="single"/>
              </w:rPr>
              <w:t>214.476847</w:t>
            </w:r>
            <w:r>
              <w:rPr>
                <w:rFonts w:ascii="宋体"/>
                <w:kern w:val="0"/>
                <w:szCs w:val="21"/>
                <w:u w:val="single"/>
              </w:rPr>
              <w:t>万元，勘察费最高投标限价为</w:t>
            </w:r>
            <w:r>
              <w:rPr>
                <w:rFonts w:hint="eastAsia" w:ascii="宋体"/>
                <w:kern w:val="0"/>
                <w:szCs w:val="21"/>
                <w:u w:val="single"/>
              </w:rPr>
              <w:t>2.7</w:t>
            </w:r>
            <w:r>
              <w:rPr>
                <w:rFonts w:ascii="宋体"/>
                <w:kern w:val="0"/>
                <w:szCs w:val="21"/>
                <w:u w:val="single"/>
              </w:rPr>
              <w:t>万元。</w:t>
            </w:r>
          </w:p>
          <w:p>
            <w:pPr>
              <w:widowControl/>
              <w:rPr>
                <w:rFonts w:ascii="宋体"/>
                <w:kern w:val="0"/>
                <w:szCs w:val="21"/>
              </w:rPr>
            </w:pPr>
            <w:r>
              <w:rPr>
                <w:rFonts w:ascii="宋体"/>
                <w:kern w:val="0"/>
                <w:szCs w:val="21"/>
              </w:rPr>
              <w:t>投标总价及各分项报价不得超过最高投标限价及各分项最高投标限价，否则为无效投标。</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rPr>
            </w:pPr>
            <w:r>
              <w:rPr>
                <w:rFonts w:ascii="宋体"/>
                <w:kern w:val="0"/>
              </w:rPr>
              <w:t>3.2.4</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投标报价的其他</w:t>
            </w:r>
          </w:p>
          <w:p>
            <w:pPr>
              <w:jc w:val="center"/>
              <w:rPr>
                <w:rFonts w:ascii="宋体"/>
                <w:kern w:val="0"/>
                <w:szCs w:val="21"/>
              </w:rPr>
            </w:pPr>
            <w:r>
              <w:rPr>
                <w:rFonts w:ascii="宋体"/>
                <w:kern w:val="0"/>
                <w:szCs w:val="21"/>
              </w:rPr>
              <w:t>要求</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u w:val="single"/>
              </w:rPr>
            </w:pPr>
            <w:r>
              <w:rPr>
                <w:rFonts w:ascii="宋体"/>
                <w:kern w:val="0"/>
              </w:rPr>
              <w:t>1、本项目施工发包基准价为</w:t>
            </w:r>
            <w:r>
              <w:rPr>
                <w:rFonts w:ascii="宋体"/>
                <w:kern w:val="0"/>
                <w:szCs w:val="21"/>
                <w:u w:val="single"/>
              </w:rPr>
              <w:t>9358.493478</w:t>
            </w:r>
            <w:r>
              <w:rPr>
                <w:rFonts w:ascii="宋体"/>
                <w:kern w:val="0"/>
                <w:u w:val="single"/>
              </w:rPr>
              <w:t>万元</w:t>
            </w:r>
            <w:r>
              <w:rPr>
                <w:rFonts w:ascii="宋体"/>
                <w:kern w:val="0"/>
              </w:rPr>
              <w:t>；设计发包基准价为</w:t>
            </w:r>
            <w:r>
              <w:rPr>
                <w:rFonts w:ascii="宋体"/>
                <w:kern w:val="0"/>
                <w:szCs w:val="21"/>
                <w:u w:val="single"/>
              </w:rPr>
              <w:t>306.395496</w:t>
            </w:r>
            <w:r>
              <w:rPr>
                <w:rFonts w:ascii="宋体"/>
                <w:kern w:val="0"/>
                <w:u w:val="single"/>
              </w:rPr>
              <w:t>万元。</w:t>
            </w:r>
          </w:p>
          <w:p>
            <w:pPr>
              <w:widowControl/>
              <w:rPr>
                <w:rFonts w:ascii="宋体"/>
                <w:kern w:val="0"/>
              </w:rPr>
            </w:pPr>
            <w:r>
              <w:rPr>
                <w:rFonts w:ascii="宋体"/>
                <w:kern w:val="0"/>
              </w:rPr>
              <w:t>2、设计费按国家计委、建设部《工程勘察设计收费标准》（2002年修订版）计取(其中设计费附加调整系数均设为1.0，专业调整系数为1.0、专业复杂程度调整系数1.15)。该设计费已包含该项目的全部设计内容及后续项目的变更的设计工作量。</w:t>
            </w:r>
          </w:p>
          <w:p>
            <w:pPr>
              <w:widowControl/>
              <w:rPr>
                <w:rFonts w:ascii="宋体"/>
                <w:kern w:val="0"/>
              </w:rPr>
            </w:pPr>
            <w:r>
              <w:rPr>
                <w:rFonts w:ascii="宋体"/>
                <w:kern w:val="0"/>
              </w:rPr>
              <w:t>3、施工费用由投标人根据招标文件要求以及企业自身情况填报下浮率。对低于成本警戒价（本工程成本警戒价，按施工费最高投标限价的90%设置）的投标报价，投标人必须提供详细的施工组织设计、单价、措施性费用、单价分析表、主要材料价格表、投标人成本分析供评标委员会评审，由评标委员会判定其是否低于企业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widowControl/>
              <w:rPr>
                <w:rFonts w:ascii="宋体"/>
                <w:kern w:val="0"/>
              </w:rPr>
            </w:pPr>
            <w:r>
              <w:rPr>
                <w:rFonts w:ascii="宋体"/>
                <w:kern w:val="0"/>
              </w:rPr>
              <w:t>4、勘察费以综合单价包干形式报价。</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3.3.1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投标有效期</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u w:val="single"/>
              </w:rPr>
              <w:t xml:space="preserve"> 120 </w:t>
            </w:r>
            <w:r>
              <w:rPr>
                <w:rFonts w:ascii="宋体"/>
                <w:kern w:val="0"/>
                <w:szCs w:val="21"/>
              </w:rPr>
              <w:t>日历天（从递交投标文件截止之日计起），如出现异议或投诉，则投标有效期自动延长至异议或投诉处理结束，确定中标人并发放中标通知书为止。中标人的投标有效期自动延期至合同履行完毕。</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3.4.1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投标担保</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投标保证金的金额：</w:t>
            </w:r>
            <w:r>
              <w:rPr>
                <w:rFonts w:ascii="宋体"/>
                <w:b/>
                <w:bCs/>
                <w:kern w:val="0"/>
                <w:szCs w:val="21"/>
                <w:u w:val="single"/>
              </w:rPr>
              <w:t>50</w:t>
            </w:r>
            <w:r>
              <w:rPr>
                <w:rFonts w:ascii="宋体"/>
                <w:kern w:val="0"/>
                <w:szCs w:val="21"/>
              </w:rPr>
              <w:t>万元。</w:t>
            </w:r>
          </w:p>
          <w:p>
            <w:pPr>
              <w:widowControl/>
              <w:rPr>
                <w:rFonts w:ascii="宋体"/>
                <w:kern w:val="0"/>
                <w:szCs w:val="21"/>
                <w:u w:val="single"/>
              </w:rPr>
            </w:pPr>
            <w:r>
              <w:rPr>
                <w:rFonts w:ascii="宋体"/>
                <w:kern w:val="0"/>
                <w:szCs w:val="21"/>
                <w:u w:val="single"/>
              </w:rPr>
              <w:t>1.缴纳方式：投标保证金由投标人自行选择</w:t>
            </w:r>
            <w:r>
              <w:rPr>
                <w:rFonts w:ascii="宋体"/>
                <w:b/>
                <w:bCs/>
                <w:kern w:val="0"/>
                <w:szCs w:val="21"/>
              </w:rPr>
              <w:t>现金、支票、银行保函、保证保险、专业工程担保公司担保、电子保函等方式缴纳投标保证金</w:t>
            </w:r>
            <w:r>
              <w:rPr>
                <w:rFonts w:ascii="宋体"/>
                <w:kern w:val="0"/>
                <w:szCs w:val="21"/>
                <w:u w:val="single"/>
              </w:rPr>
              <w:t>的形式，须在递交投标文件截止时间前完成缴纳。投标保证金有效期：与投标有效期一致。</w:t>
            </w:r>
          </w:p>
          <w:p>
            <w:pPr>
              <w:widowControl/>
              <w:rPr>
                <w:rFonts w:ascii="宋体"/>
                <w:kern w:val="0"/>
                <w:szCs w:val="21"/>
                <w:u w:val="single"/>
              </w:rPr>
            </w:pPr>
            <w:r>
              <w:rPr>
                <w:rFonts w:ascii="宋体"/>
                <w:kern w:val="0"/>
                <w:szCs w:val="21"/>
                <w:u w:val="single"/>
              </w:rPr>
              <w:t>2.如采用现金或者支票形式提交的，投标保证金从投标人基本账户递交，由广州交易集团有限公司代收。具体操作要求详见广州公共资源交易中心有关指引，递交事宜请自行咨询交易中心；请各投标人在投标文件递交截止时间前按上述金额递交至广州交易集团有限公司，到账情况以开标时广州公共资源交易中心数据库查询的信息为准。</w:t>
            </w:r>
          </w:p>
          <w:p>
            <w:pPr>
              <w:widowControl/>
              <w:rPr>
                <w:rFonts w:ascii="宋体"/>
                <w:kern w:val="0"/>
                <w:szCs w:val="21"/>
                <w:u w:val="single"/>
              </w:rPr>
            </w:pPr>
            <w:r>
              <w:rPr>
                <w:rFonts w:ascii="宋体"/>
                <w:kern w:val="0"/>
                <w:szCs w:val="21"/>
                <w:u w:val="single"/>
              </w:rPr>
              <w:t>3.</w:t>
            </w:r>
            <w:r>
              <w:rPr>
                <w:rFonts w:ascii="宋体"/>
                <w:bCs/>
                <w:kern w:val="0"/>
                <w:szCs w:val="21"/>
              </w:rPr>
              <w:t>如采用非电子形式的</w:t>
            </w:r>
            <w:r>
              <w:rPr>
                <w:rFonts w:ascii="宋体"/>
                <w:b/>
                <w:bCs/>
                <w:kern w:val="0"/>
                <w:szCs w:val="21"/>
              </w:rPr>
              <w:t>银行保函、专业工程担保公司担保或保证保险</w:t>
            </w:r>
            <w:r>
              <w:rPr>
                <w:rFonts w:ascii="宋体"/>
                <w:bCs/>
                <w:kern w:val="0"/>
                <w:szCs w:val="21"/>
              </w:rPr>
              <w:t>提交投标保证金的</w:t>
            </w:r>
            <w:r>
              <w:rPr>
                <w:rFonts w:ascii="宋体"/>
                <w:kern w:val="0"/>
                <w:szCs w:val="21"/>
                <w:u w:val="single"/>
              </w:rPr>
              <w:t>，银行保函或担保或保证保险须开具给招标人（保险受益人须为招标人）。开标前可不提交纸质原件，但投标人应在投标文件中提交</w:t>
            </w:r>
            <w:r>
              <w:rPr>
                <w:rFonts w:ascii="宋体"/>
                <w:b/>
                <w:bCs/>
                <w:kern w:val="0"/>
                <w:szCs w:val="21"/>
                <w:u w:val="single"/>
              </w:rPr>
              <w:t>银行保函或担保或保证保险</w:t>
            </w:r>
            <w:r>
              <w:rPr>
                <w:rFonts w:ascii="宋体"/>
                <w:kern w:val="0"/>
                <w:szCs w:val="21"/>
                <w:u w:val="single"/>
              </w:rPr>
              <w:t>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广州公共资源交易中心数据库查询信息为准。</w:t>
            </w:r>
          </w:p>
          <w:p>
            <w:pPr>
              <w:widowControl/>
              <w:rPr>
                <w:rFonts w:ascii="宋体"/>
                <w:kern w:val="0"/>
                <w:szCs w:val="21"/>
              </w:rPr>
            </w:pPr>
            <w:r>
              <w:rPr>
                <w:rFonts w:ascii="宋体"/>
                <w:kern w:val="0"/>
                <w:szCs w:val="21"/>
              </w:rPr>
              <w:t>4.</w:t>
            </w:r>
            <w:r>
              <w:rPr>
                <w:rFonts w:ascii="宋体"/>
                <w:kern w:val="0"/>
                <w:szCs w:val="21"/>
                <w:u w:val="single"/>
              </w:rPr>
              <w:t>本项目允许递交电子保函，具体操作详见广州公共资源交易中心电子保函操作指引（http://ggzy.gz.gov.cn/zxgg/822128.jhtml）</w:t>
            </w:r>
          </w:p>
          <w:p>
            <w:pPr>
              <w:widowControl/>
              <w:rPr>
                <w:rFonts w:ascii="宋体"/>
                <w:kern w:val="0"/>
                <w:szCs w:val="21"/>
              </w:rPr>
            </w:pPr>
            <w:r>
              <w:rPr>
                <w:rFonts w:ascii="宋体"/>
                <w:kern w:val="0"/>
                <w:szCs w:val="21"/>
              </w:rPr>
              <w:t>5.联合体投标的，其投标保证金由主办方递交。</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3.6</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是否允许递交备选投标方案</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■不允许</w:t>
            </w:r>
          </w:p>
          <w:p>
            <w:pPr>
              <w:rPr>
                <w:rFonts w:ascii="宋体"/>
                <w:kern w:val="0"/>
                <w:szCs w:val="21"/>
              </w:rPr>
            </w:pPr>
            <w:r>
              <w:rPr>
                <w:rFonts w:ascii="宋体"/>
                <w:kern w:val="0"/>
                <w:sz w:val="32"/>
                <w:szCs w:val="32"/>
              </w:rPr>
              <w:t>□</w:t>
            </w:r>
            <w:r>
              <w:rPr>
                <w:rFonts w:ascii="宋体"/>
                <w:kern w:val="0"/>
                <w:szCs w:val="21"/>
              </w:rPr>
              <w:t>允许</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u w:val="single"/>
              </w:rPr>
            </w:pPr>
            <w:r>
              <w:rPr>
                <w:rFonts w:ascii="宋体"/>
                <w:kern w:val="0"/>
                <w:szCs w:val="21"/>
                <w:u w:val="single"/>
              </w:rPr>
              <w:t>3.7.2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u w:val="single"/>
              </w:rPr>
            </w:pPr>
            <w:r>
              <w:rPr>
                <w:rFonts w:ascii="宋体"/>
                <w:kern w:val="0"/>
                <w:szCs w:val="21"/>
                <w:u w:val="single"/>
              </w:rPr>
              <w:t>投标文件的组成</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u w:val="single"/>
              </w:rPr>
            </w:pPr>
            <w:r>
              <w:rPr>
                <w:rFonts w:ascii="宋体"/>
                <w:kern w:val="0"/>
                <w:szCs w:val="21"/>
                <w:u w:val="single"/>
              </w:rPr>
              <w:fldChar w:fldCharType="begin"/>
            </w:r>
            <w:r>
              <w:rPr>
                <w:rFonts w:ascii="宋体"/>
                <w:kern w:val="0"/>
                <w:szCs w:val="21"/>
                <w:u w:val="single"/>
              </w:rPr>
              <w:instrText xml:space="preserve"> = 1 \* GB3 \* MERGEFORMAT </w:instrText>
            </w:r>
            <w:r>
              <w:rPr>
                <w:rFonts w:ascii="宋体"/>
                <w:kern w:val="0"/>
                <w:szCs w:val="21"/>
                <w:u w:val="single"/>
              </w:rPr>
              <w:fldChar w:fldCharType="separate"/>
            </w:r>
            <w:r>
              <w:rPr>
                <w:rFonts w:hint="eastAsia" w:ascii="宋体" w:cs="宋体"/>
                <w:kern w:val="0"/>
                <w:szCs w:val="21"/>
                <w:u w:val="single"/>
              </w:rPr>
              <w:t>①</w:t>
            </w:r>
            <w:r>
              <w:rPr>
                <w:rFonts w:ascii="宋体"/>
                <w:kern w:val="0"/>
                <w:szCs w:val="21"/>
                <w:u w:val="single"/>
              </w:rPr>
              <w:fldChar w:fldCharType="end"/>
            </w:r>
            <w:r>
              <w:rPr>
                <w:rFonts w:ascii="宋体"/>
                <w:kern w:val="0"/>
                <w:szCs w:val="21"/>
                <w:u w:val="single"/>
              </w:rPr>
              <w:t>资格审查文件；</w:t>
            </w:r>
          </w:p>
          <w:p>
            <w:pPr>
              <w:widowControl/>
              <w:rPr>
                <w:rFonts w:ascii="宋体"/>
                <w:kern w:val="0"/>
                <w:szCs w:val="21"/>
                <w:u w:val="single"/>
              </w:rPr>
            </w:pPr>
            <w:r>
              <w:rPr>
                <w:rFonts w:hint="eastAsia" w:ascii="宋体" w:cs="宋体"/>
                <w:kern w:val="0"/>
                <w:szCs w:val="21"/>
                <w:u w:val="single"/>
              </w:rPr>
              <w:t>②</w:t>
            </w:r>
            <w:r>
              <w:rPr>
                <w:rFonts w:ascii="宋体"/>
                <w:kern w:val="0"/>
                <w:szCs w:val="21"/>
                <w:u w:val="single"/>
              </w:rPr>
              <w:t>工程总承包实施方案投标文件。</w:t>
            </w:r>
          </w:p>
          <w:p>
            <w:pPr>
              <w:rPr>
                <w:rFonts w:ascii="宋体"/>
                <w:kern w:val="0"/>
                <w:szCs w:val="21"/>
                <w:u w:val="single"/>
              </w:rPr>
            </w:pPr>
            <w:r>
              <w:rPr>
                <w:rFonts w:hint="eastAsia" w:ascii="宋体" w:cs="宋体"/>
                <w:kern w:val="0"/>
                <w:szCs w:val="21"/>
                <w:u w:val="single"/>
              </w:rPr>
              <w:t>③</w:t>
            </w:r>
            <w:r>
              <w:rPr>
                <w:rFonts w:ascii="宋体"/>
                <w:kern w:val="0"/>
                <w:szCs w:val="21"/>
                <w:u w:val="single"/>
              </w:rPr>
              <w:t>投标文件光盘或u盘(备用)：1包（投标单位自行选择是否递交）</w:t>
            </w:r>
          </w:p>
          <w:p>
            <w:pPr>
              <w:widowControl/>
              <w:rPr>
                <w:rFonts w:ascii="宋体"/>
                <w:kern w:val="0"/>
                <w:szCs w:val="21"/>
                <w:u w:val="single"/>
              </w:rPr>
            </w:pPr>
            <w:r>
              <w:rPr>
                <w:rFonts w:ascii="宋体"/>
                <w:kern w:val="0"/>
                <w:szCs w:val="21"/>
                <w:u w:val="single"/>
              </w:rPr>
              <w:t>注：中标人在领取中标通知书前，须按招标人要求向招标人提供盖章的纸质版投标文件（内容与交易平台网上递交的电子投标文件一致）四套及电子文件光盘一份，要求提供的电子文件光盘必须无病毒、无加密、可打开、可编辑。</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left"/>
              <w:rPr>
                <w:rFonts w:ascii="宋体"/>
                <w:kern w:val="0"/>
                <w:szCs w:val="21"/>
                <w:u w:val="single"/>
              </w:rPr>
            </w:pPr>
            <w:r>
              <w:rPr>
                <w:rFonts w:ascii="宋体"/>
                <w:kern w:val="0"/>
                <w:szCs w:val="21"/>
              </w:rPr>
              <w:t>3.7.3</w:t>
            </w:r>
          </w:p>
        </w:tc>
        <w:tc>
          <w:tcPr>
            <w:tcW w:w="1805" w:type="dxa"/>
            <w:tcBorders>
              <w:top w:val="single" w:color="auto" w:sz="4" w:space="0"/>
              <w:left w:val="single" w:color="auto" w:sz="4" w:space="0"/>
              <w:bottom w:val="single" w:color="auto" w:sz="4" w:space="0"/>
              <w:right w:val="single" w:color="auto" w:sz="4" w:space="0"/>
            </w:tcBorders>
            <w:vAlign w:val="center"/>
          </w:tcPr>
          <w:p>
            <w:pPr>
              <w:jc w:val="left"/>
              <w:rPr>
                <w:rFonts w:ascii="宋体"/>
                <w:kern w:val="0"/>
                <w:szCs w:val="21"/>
                <w:u w:val="single"/>
              </w:rPr>
            </w:pPr>
            <w:r>
              <w:rPr>
                <w:rFonts w:ascii="宋体"/>
                <w:b/>
                <w:kern w:val="0"/>
                <w:u w:val="single"/>
              </w:rPr>
              <w:t>资格审查文件及施工总承包实施方案投标文件的签署要求</w:t>
            </w:r>
          </w:p>
        </w:tc>
        <w:tc>
          <w:tcPr>
            <w:tcW w:w="6495" w:type="dxa"/>
            <w:tcBorders>
              <w:top w:val="single" w:color="auto" w:sz="4" w:space="0"/>
              <w:left w:val="single" w:color="auto" w:sz="4" w:space="0"/>
              <w:bottom w:val="single" w:color="auto" w:sz="4" w:space="0"/>
              <w:right w:val="single" w:color="auto" w:sz="4" w:space="0"/>
            </w:tcBorders>
            <w:vAlign w:val="center"/>
          </w:tcPr>
          <w:p>
            <w:pPr>
              <w:jc w:val="left"/>
              <w:rPr>
                <w:rFonts w:ascii="宋体"/>
                <w:kern w:val="0"/>
                <w:szCs w:val="21"/>
                <w:u w:val="single"/>
              </w:rPr>
            </w:pPr>
            <w:r>
              <w:rPr>
                <w:rFonts w:ascii="宋体"/>
                <w:b/>
                <w:kern w:val="0"/>
                <w:u w:val="single"/>
              </w:rPr>
              <w:t>资格审查文件及施工总承包实施方案投标文件所附证书证件应为原件清晰扫描件；招标文件中对投标文件格式要求需要投标人或个人（法定代表人或授权代表）签字或盖章的内容，均需在线下完成签字或盖章后原件扫描上传；生成电子投标文件时，由投标人（联合体投标的指联合体主办方）加盖企业电子印章。</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4.2.2</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投标文件的递交时间及地点</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1、递交方式：网上递交投标文件。</w:t>
            </w:r>
          </w:p>
          <w:p>
            <w:pPr>
              <w:rPr>
                <w:rFonts w:ascii="宋体"/>
                <w:kern w:val="0"/>
                <w:szCs w:val="21"/>
              </w:rPr>
            </w:pPr>
            <w:r>
              <w:rPr>
                <w:rFonts w:ascii="宋体"/>
                <w:kern w:val="0"/>
                <w:szCs w:val="21"/>
              </w:rPr>
              <w:t>2、投标文件递交的起始时间为</w:t>
            </w:r>
            <w:r>
              <w:rPr>
                <w:rFonts w:ascii="宋体"/>
                <w:kern w:val="0"/>
                <w:szCs w:val="21"/>
                <w:u w:val="single"/>
              </w:rPr>
              <w:t xml:space="preserve">    年   月   日   时   分</w:t>
            </w:r>
            <w:r>
              <w:rPr>
                <w:rFonts w:ascii="宋体"/>
                <w:kern w:val="0"/>
                <w:szCs w:val="21"/>
              </w:rPr>
              <w:t>，截止时间为</w:t>
            </w:r>
            <w:r>
              <w:rPr>
                <w:rFonts w:ascii="宋体"/>
                <w:kern w:val="0"/>
                <w:szCs w:val="21"/>
                <w:u w:val="single"/>
              </w:rPr>
              <w:t xml:space="preserve">    年</w:t>
            </w:r>
            <w:r>
              <w:rPr>
                <w:rFonts w:hint="eastAsia" w:ascii="宋体"/>
                <w:kern w:val="0"/>
                <w:szCs w:val="21"/>
                <w:u w:val="single"/>
              </w:rPr>
              <w:t xml:space="preserve"> </w:t>
            </w:r>
            <w:r>
              <w:rPr>
                <w:rFonts w:ascii="宋体"/>
                <w:kern w:val="0"/>
                <w:szCs w:val="21"/>
                <w:u w:val="single"/>
              </w:rPr>
              <w:t xml:space="preserve">  月   日   时   分</w:t>
            </w:r>
            <w:r>
              <w:rPr>
                <w:rFonts w:ascii="宋体"/>
                <w:kern w:val="0"/>
                <w:szCs w:val="21"/>
              </w:rPr>
              <w:t>。地点：广州公共资源交易中心网站。</w:t>
            </w:r>
          </w:p>
          <w:p>
            <w:pPr>
              <w:rPr>
                <w:rFonts w:ascii="宋体"/>
                <w:kern w:val="0"/>
                <w:szCs w:val="21"/>
              </w:rPr>
            </w:pPr>
            <w:r>
              <w:rPr>
                <w:rFonts w:ascii="宋体"/>
                <w:kern w:val="0"/>
                <w:szCs w:val="21"/>
              </w:rPr>
              <w:t>注：投标文件解密问题。投标人只用执行一次解密，招标人执行解密次数根据招标文件开标次数确定。</w:t>
            </w:r>
          </w:p>
          <w:p>
            <w:pPr>
              <w:rPr>
                <w:rFonts w:ascii="宋体"/>
                <w:kern w:val="0"/>
                <w:szCs w:val="21"/>
              </w:rPr>
            </w:pPr>
            <w:r>
              <w:rPr>
                <w:rFonts w:ascii="宋体"/>
                <w:kern w:val="0"/>
                <w:szCs w:val="21"/>
              </w:rPr>
              <w:t>3.递交投标文件备用光盘时间：</w:t>
            </w:r>
            <w:r>
              <w:rPr>
                <w:rFonts w:ascii="宋体"/>
                <w:kern w:val="0"/>
                <w:szCs w:val="21"/>
                <w:u w:val="single"/>
              </w:rPr>
              <w:t xml:space="preserve">    年   月   日   时   分</w:t>
            </w:r>
            <w:r>
              <w:rPr>
                <w:rFonts w:ascii="宋体"/>
                <w:kern w:val="0"/>
                <w:szCs w:val="21"/>
              </w:rPr>
              <w:t>至</w:t>
            </w:r>
            <w:r>
              <w:rPr>
                <w:rFonts w:ascii="宋体"/>
                <w:kern w:val="0"/>
                <w:szCs w:val="21"/>
                <w:u w:val="single"/>
              </w:rPr>
              <w:t xml:space="preserve">    年  月   日   时   分</w:t>
            </w:r>
            <w:r>
              <w:rPr>
                <w:rFonts w:ascii="宋体"/>
                <w:kern w:val="0"/>
                <w:szCs w:val="21"/>
              </w:rPr>
              <w:t>；递交地点：</w:t>
            </w:r>
            <w:r>
              <w:rPr>
                <w:rFonts w:ascii="宋体"/>
                <w:kern w:val="0"/>
                <w:szCs w:val="21"/>
                <w:u w:val="single"/>
              </w:rPr>
              <w:t>广州公共资源交易中心黄埔交易部指定开标室</w:t>
            </w:r>
            <w:r>
              <w:rPr>
                <w:rFonts w:ascii="宋体"/>
                <w:kern w:val="0"/>
              </w:rPr>
              <w:t>。</w:t>
            </w:r>
          </w:p>
          <w:p>
            <w:pPr>
              <w:rPr>
                <w:rFonts w:ascii="宋体"/>
                <w:kern w:val="0"/>
                <w:szCs w:val="21"/>
                <w:u w:val="single"/>
              </w:rPr>
            </w:pPr>
            <w:r>
              <w:rPr>
                <w:rFonts w:ascii="宋体"/>
                <w:kern w:val="0"/>
                <w:szCs w:val="21"/>
              </w:rPr>
              <w:t>4、上述时间及地点是否有改变，请密切留意招标答疑纪要的相关信息。</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4.5</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投标文件的解密</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topLinePunct/>
              <w:rPr>
                <w:rFonts w:ascii="宋体"/>
                <w:strike/>
                <w:kern w:val="0"/>
                <w:szCs w:val="21"/>
              </w:rPr>
            </w:pPr>
            <w:r>
              <w:rPr>
                <w:rFonts w:ascii="宋体"/>
                <w:kern w:val="0"/>
                <w:szCs w:val="21"/>
              </w:rPr>
              <w:t>在投标截止时间后</w:t>
            </w:r>
            <w:r>
              <w:rPr>
                <w:rFonts w:ascii="宋体"/>
                <w:b/>
                <w:bCs/>
                <w:kern w:val="0"/>
                <w:szCs w:val="21"/>
                <w:u w:val="single"/>
              </w:rPr>
              <w:t xml:space="preserve"> 半 </w:t>
            </w:r>
            <w:r>
              <w:rPr>
                <w:rFonts w:ascii="宋体"/>
                <w:kern w:val="0"/>
                <w:szCs w:val="21"/>
              </w:rPr>
              <w:t>小时内为投标人投标文件解密时间，投标人通过广州公共资源交易平台对已递交的电子投标文件进行解密。超过时间未解密的投标文件将</w:t>
            </w:r>
            <w:r>
              <w:rPr>
                <w:rFonts w:ascii="宋体"/>
                <w:b/>
                <w:kern w:val="0"/>
                <w:szCs w:val="21"/>
              </w:rPr>
              <w:t>作为放弃投标处理</w:t>
            </w:r>
            <w:r>
              <w:rPr>
                <w:rFonts w:ascii="宋体"/>
                <w:kern w:val="0"/>
                <w:szCs w:val="21"/>
              </w:rPr>
              <w:t>。</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nil"/>
              <w:right w:val="single" w:color="auto" w:sz="4" w:space="0"/>
            </w:tcBorders>
            <w:vAlign w:val="center"/>
          </w:tcPr>
          <w:p>
            <w:pPr>
              <w:widowControl/>
              <w:jc w:val="center"/>
              <w:rPr>
                <w:rFonts w:ascii="宋体"/>
                <w:kern w:val="0"/>
                <w:szCs w:val="21"/>
              </w:rPr>
            </w:pPr>
            <w:r>
              <w:rPr>
                <w:rFonts w:ascii="宋体"/>
                <w:kern w:val="0"/>
                <w:szCs w:val="21"/>
              </w:rPr>
              <w:t>5.1</w:t>
            </w:r>
          </w:p>
        </w:tc>
        <w:tc>
          <w:tcPr>
            <w:tcW w:w="1805" w:type="dxa"/>
            <w:tcBorders>
              <w:top w:val="single" w:color="auto" w:sz="4" w:space="0"/>
              <w:left w:val="single" w:color="auto" w:sz="4" w:space="0"/>
              <w:bottom w:val="nil"/>
              <w:right w:val="single" w:color="auto" w:sz="4" w:space="0"/>
            </w:tcBorders>
            <w:vAlign w:val="center"/>
          </w:tcPr>
          <w:p>
            <w:pPr>
              <w:widowControl/>
              <w:jc w:val="center"/>
              <w:rPr>
                <w:rFonts w:ascii="宋体"/>
                <w:kern w:val="0"/>
                <w:szCs w:val="21"/>
              </w:rPr>
            </w:pPr>
            <w:r>
              <w:rPr>
                <w:rFonts w:ascii="宋体"/>
                <w:kern w:val="0"/>
                <w:szCs w:val="21"/>
              </w:rPr>
              <w:t>开标时间和地点</w:t>
            </w:r>
          </w:p>
        </w:tc>
        <w:tc>
          <w:tcPr>
            <w:tcW w:w="6495" w:type="dxa"/>
            <w:tcBorders>
              <w:top w:val="single" w:color="auto" w:sz="4" w:space="0"/>
              <w:left w:val="single" w:color="auto" w:sz="4" w:space="0"/>
              <w:bottom w:val="nil"/>
              <w:right w:val="single" w:color="auto" w:sz="4" w:space="0"/>
            </w:tcBorders>
            <w:vAlign w:val="center"/>
          </w:tcPr>
          <w:p>
            <w:pPr>
              <w:widowControl/>
              <w:rPr>
                <w:rFonts w:ascii="宋体"/>
                <w:kern w:val="0"/>
                <w:szCs w:val="21"/>
              </w:rPr>
            </w:pPr>
            <w:r>
              <w:rPr>
                <w:rFonts w:ascii="宋体"/>
                <w:kern w:val="0"/>
                <w:szCs w:val="21"/>
              </w:rPr>
              <w:t>本项目投标文件同时开启。</w:t>
            </w:r>
          </w:p>
          <w:p>
            <w:pPr>
              <w:widowControl/>
              <w:rPr>
                <w:rFonts w:ascii="宋体"/>
                <w:kern w:val="0"/>
                <w:szCs w:val="21"/>
              </w:rPr>
            </w:pPr>
            <w:r>
              <w:rPr>
                <w:rFonts w:ascii="宋体"/>
                <w:kern w:val="0"/>
                <w:szCs w:val="21"/>
              </w:rPr>
              <w:t>开标开始时间：</w:t>
            </w:r>
            <w:r>
              <w:rPr>
                <w:rFonts w:ascii="宋体"/>
                <w:kern w:val="0"/>
                <w:szCs w:val="21"/>
                <w:u w:val="single"/>
              </w:rPr>
              <w:t xml:space="preserve">   年   月   日   时   分</w:t>
            </w:r>
            <w:r>
              <w:rPr>
                <w:rFonts w:ascii="宋体"/>
                <w:kern w:val="0"/>
                <w:szCs w:val="21"/>
              </w:rPr>
              <w:t>；</w:t>
            </w:r>
          </w:p>
          <w:p>
            <w:pPr>
              <w:widowControl/>
              <w:rPr>
                <w:rFonts w:ascii="宋体"/>
                <w:kern w:val="0"/>
                <w:szCs w:val="21"/>
              </w:rPr>
            </w:pPr>
            <w:r>
              <w:rPr>
                <w:rFonts w:ascii="宋体"/>
                <w:kern w:val="0"/>
                <w:szCs w:val="21"/>
              </w:rPr>
              <w:t>地点：</w:t>
            </w:r>
            <w:r>
              <w:rPr>
                <w:rFonts w:ascii="宋体"/>
                <w:kern w:val="0"/>
                <w:szCs w:val="21"/>
                <w:u w:val="single"/>
              </w:rPr>
              <w:t>广州公共资源交易中心黄埔区交易部（广州黄埔区水西路32号四楼（汇丽国际D栋写字楼四楼））指定开标室；</w:t>
            </w:r>
          </w:p>
          <w:p>
            <w:pPr>
              <w:widowControl/>
              <w:rPr>
                <w:rFonts w:ascii="宋体"/>
                <w:kern w:val="0"/>
                <w:szCs w:val="21"/>
              </w:rPr>
            </w:pPr>
            <w:r>
              <w:rPr>
                <w:rFonts w:ascii="宋体"/>
                <w:kern w:val="0"/>
                <w:szCs w:val="21"/>
                <w:u w:val="single"/>
              </w:rPr>
              <w:t>本项目日程安排及地点信息可在广州公共资源交易中心网站进行查询。</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nil"/>
              <w:right w:val="single" w:color="auto" w:sz="4" w:space="0"/>
            </w:tcBorders>
            <w:vAlign w:val="center"/>
          </w:tcPr>
          <w:p>
            <w:pPr>
              <w:widowControl/>
              <w:jc w:val="center"/>
              <w:rPr>
                <w:rFonts w:ascii="宋体"/>
                <w:kern w:val="0"/>
                <w:szCs w:val="21"/>
              </w:rPr>
            </w:pPr>
            <w:r>
              <w:rPr>
                <w:rFonts w:ascii="宋体"/>
                <w:kern w:val="0"/>
                <w:szCs w:val="21"/>
              </w:rPr>
              <w:t>5.2.6（3）</w:t>
            </w:r>
          </w:p>
        </w:tc>
        <w:tc>
          <w:tcPr>
            <w:tcW w:w="1805" w:type="dxa"/>
            <w:tcBorders>
              <w:top w:val="single" w:color="auto" w:sz="4" w:space="0"/>
              <w:left w:val="single" w:color="auto" w:sz="4" w:space="0"/>
              <w:bottom w:val="nil"/>
              <w:right w:val="single" w:color="auto" w:sz="4" w:space="0"/>
            </w:tcBorders>
            <w:vAlign w:val="center"/>
          </w:tcPr>
          <w:p>
            <w:pPr>
              <w:widowControl/>
              <w:jc w:val="center"/>
              <w:rPr>
                <w:rFonts w:ascii="宋体"/>
                <w:kern w:val="0"/>
                <w:szCs w:val="21"/>
              </w:rPr>
            </w:pPr>
            <w:r>
              <w:rPr>
                <w:rFonts w:ascii="宋体"/>
                <w:kern w:val="0"/>
                <w:szCs w:val="21"/>
              </w:rPr>
              <w:t>评标参考价的</w:t>
            </w:r>
          </w:p>
          <w:p>
            <w:pPr>
              <w:widowControl/>
              <w:jc w:val="center"/>
              <w:rPr>
                <w:rFonts w:ascii="宋体"/>
                <w:kern w:val="0"/>
                <w:szCs w:val="21"/>
              </w:rPr>
            </w:pPr>
            <w:r>
              <w:rPr>
                <w:rFonts w:ascii="宋体"/>
                <w:kern w:val="0"/>
                <w:szCs w:val="21"/>
              </w:rPr>
              <w:t>下浮率</w:t>
            </w:r>
          </w:p>
        </w:tc>
        <w:tc>
          <w:tcPr>
            <w:tcW w:w="6495" w:type="dxa"/>
            <w:tcBorders>
              <w:top w:val="single" w:color="auto" w:sz="4" w:space="0"/>
              <w:left w:val="single" w:color="auto" w:sz="4" w:space="0"/>
              <w:bottom w:val="nil"/>
              <w:right w:val="single" w:color="auto" w:sz="4" w:space="0"/>
            </w:tcBorders>
            <w:vAlign w:val="center"/>
          </w:tcPr>
          <w:p>
            <w:pPr>
              <w:widowControl/>
              <w:rPr>
                <w:rFonts w:ascii="宋体"/>
                <w:kern w:val="0"/>
                <w:szCs w:val="21"/>
              </w:rPr>
            </w:pPr>
            <w:r>
              <w:rPr>
                <w:rFonts w:ascii="宋体"/>
                <w:kern w:val="0"/>
                <w:szCs w:val="21"/>
              </w:rPr>
              <w:t>\</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nil"/>
              <w:right w:val="single" w:color="auto" w:sz="4" w:space="0"/>
            </w:tcBorders>
            <w:vAlign w:val="center"/>
          </w:tcPr>
          <w:p>
            <w:pPr>
              <w:jc w:val="center"/>
              <w:rPr>
                <w:rFonts w:ascii="宋体"/>
                <w:kern w:val="0"/>
                <w:szCs w:val="21"/>
              </w:rPr>
            </w:pPr>
            <w:r>
              <w:rPr>
                <w:rFonts w:ascii="宋体"/>
                <w:kern w:val="0"/>
                <w:szCs w:val="21"/>
              </w:rPr>
              <w:t>6.1.1</w:t>
            </w:r>
          </w:p>
        </w:tc>
        <w:tc>
          <w:tcPr>
            <w:tcW w:w="1805" w:type="dxa"/>
            <w:tcBorders>
              <w:top w:val="single" w:color="auto" w:sz="4" w:space="0"/>
              <w:left w:val="single" w:color="auto" w:sz="4" w:space="0"/>
              <w:right w:val="single" w:color="auto" w:sz="4" w:space="0"/>
            </w:tcBorders>
            <w:vAlign w:val="center"/>
          </w:tcPr>
          <w:p>
            <w:pPr>
              <w:jc w:val="center"/>
              <w:rPr>
                <w:rFonts w:ascii="宋体"/>
                <w:kern w:val="0"/>
                <w:szCs w:val="21"/>
              </w:rPr>
            </w:pPr>
            <w:r>
              <w:rPr>
                <w:rFonts w:ascii="宋体"/>
                <w:kern w:val="0"/>
                <w:szCs w:val="21"/>
              </w:rPr>
              <w:t>评标委员会的组建</w:t>
            </w:r>
          </w:p>
        </w:tc>
        <w:tc>
          <w:tcPr>
            <w:tcW w:w="6495" w:type="dxa"/>
            <w:tcBorders>
              <w:top w:val="single" w:color="auto" w:sz="4" w:space="0"/>
              <w:left w:val="single" w:color="auto" w:sz="4" w:space="0"/>
              <w:right w:val="single" w:color="auto" w:sz="4" w:space="0"/>
            </w:tcBorders>
            <w:vAlign w:val="center"/>
          </w:tcPr>
          <w:p>
            <w:pPr>
              <w:widowControl/>
              <w:rPr>
                <w:rFonts w:ascii="宋体"/>
                <w:kern w:val="0"/>
                <w:szCs w:val="21"/>
              </w:rPr>
            </w:pPr>
            <w:r>
              <w:rPr>
                <w:rFonts w:ascii="宋体"/>
                <w:kern w:val="0"/>
                <w:szCs w:val="21"/>
                <w:u w:val="single"/>
              </w:rPr>
              <w:t>由招标人依法组建评标委员会。</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7.1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是否授权评标委员会确定中标人</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□是</w:t>
            </w:r>
          </w:p>
          <w:p>
            <w:pPr>
              <w:widowControl/>
              <w:rPr>
                <w:rFonts w:ascii="宋体"/>
                <w:kern w:val="0"/>
                <w:szCs w:val="21"/>
              </w:rPr>
            </w:pPr>
            <w:r>
              <w:rPr>
                <w:rFonts w:ascii="宋体"/>
                <w:kern w:val="0"/>
                <w:szCs w:val="21"/>
              </w:rPr>
              <w:t>■否，推荐的中标候选人数：</w:t>
            </w:r>
            <w:r>
              <w:rPr>
                <w:rFonts w:ascii="宋体"/>
                <w:kern w:val="0"/>
                <w:szCs w:val="21"/>
                <w:u w:val="single"/>
              </w:rPr>
              <w:t>3人</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nil"/>
              <w:right w:val="single" w:color="auto" w:sz="4" w:space="0"/>
            </w:tcBorders>
            <w:vAlign w:val="center"/>
          </w:tcPr>
          <w:p>
            <w:pPr>
              <w:jc w:val="center"/>
              <w:rPr>
                <w:rFonts w:ascii="宋体"/>
                <w:kern w:val="0"/>
                <w:szCs w:val="21"/>
              </w:rPr>
            </w:pPr>
            <w:r>
              <w:rPr>
                <w:rFonts w:ascii="宋体"/>
                <w:kern w:val="0"/>
                <w:szCs w:val="21"/>
              </w:rPr>
              <w:t>7.2</w:t>
            </w:r>
          </w:p>
        </w:tc>
        <w:tc>
          <w:tcPr>
            <w:tcW w:w="1805" w:type="dxa"/>
            <w:tcBorders>
              <w:top w:val="single" w:color="auto" w:sz="4" w:space="0"/>
              <w:left w:val="single" w:color="auto" w:sz="4" w:space="0"/>
              <w:bottom w:val="nil"/>
              <w:right w:val="single" w:color="auto" w:sz="4" w:space="0"/>
            </w:tcBorders>
            <w:vAlign w:val="center"/>
          </w:tcPr>
          <w:p>
            <w:pPr>
              <w:jc w:val="center"/>
              <w:rPr>
                <w:rFonts w:ascii="宋体"/>
                <w:kern w:val="0"/>
                <w:szCs w:val="21"/>
              </w:rPr>
            </w:pPr>
            <w:r>
              <w:rPr>
                <w:rFonts w:ascii="宋体"/>
                <w:kern w:val="0"/>
                <w:szCs w:val="21"/>
              </w:rPr>
              <w:t>中标候选人公示</w:t>
            </w:r>
          </w:p>
          <w:p>
            <w:pPr>
              <w:jc w:val="center"/>
              <w:rPr>
                <w:rFonts w:ascii="宋体"/>
                <w:kern w:val="0"/>
                <w:szCs w:val="21"/>
              </w:rPr>
            </w:pPr>
            <w:r>
              <w:rPr>
                <w:rFonts w:ascii="宋体"/>
                <w:kern w:val="0"/>
                <w:szCs w:val="21"/>
              </w:rPr>
              <w:t>媒介</w:t>
            </w:r>
          </w:p>
        </w:tc>
        <w:tc>
          <w:tcPr>
            <w:tcW w:w="6495" w:type="dxa"/>
            <w:tcBorders>
              <w:top w:val="single" w:color="auto" w:sz="4" w:space="0"/>
              <w:left w:val="single" w:color="auto" w:sz="4" w:space="0"/>
              <w:bottom w:val="nil"/>
              <w:right w:val="single" w:color="auto" w:sz="4" w:space="0"/>
            </w:tcBorders>
            <w:vAlign w:val="center"/>
          </w:tcPr>
          <w:p>
            <w:pPr>
              <w:widowControl/>
              <w:rPr>
                <w:rFonts w:ascii="宋体"/>
                <w:kern w:val="0"/>
                <w:szCs w:val="21"/>
              </w:rPr>
            </w:pPr>
            <w:r>
              <w:rPr>
                <w:rFonts w:ascii="宋体"/>
                <w:kern w:val="0"/>
                <w:szCs w:val="21"/>
              </w:rPr>
              <w:t>广州公共资源交易中心网站、中国招标投标公共服务平台、广东省招标投标监管网。</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7.4.1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履约担保</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履约担保的形式：以合同约定为准。</w:t>
            </w:r>
          </w:p>
          <w:p>
            <w:pPr>
              <w:widowControl/>
              <w:rPr>
                <w:rFonts w:ascii="宋体"/>
                <w:kern w:val="0"/>
              </w:rPr>
            </w:pPr>
            <w:r>
              <w:rPr>
                <w:rFonts w:ascii="宋体"/>
                <w:kern w:val="0"/>
                <w:szCs w:val="21"/>
              </w:rPr>
              <w:t>履约担保的金额：</w:t>
            </w:r>
            <w:r>
              <w:rPr>
                <w:rFonts w:ascii="宋体"/>
                <w:kern w:val="0"/>
                <w:szCs w:val="21"/>
                <w:u w:val="single"/>
              </w:rPr>
              <w:t>中标人（联合体中负责施工任务主办方）提供的履约担保为中标价款的10%</w:t>
            </w:r>
            <w:r>
              <w:rPr>
                <w:rFonts w:ascii="宋体"/>
                <w:kern w:val="0"/>
              </w:rPr>
              <w:t>，预付款担保与预付款等额。</w:t>
            </w:r>
          </w:p>
          <w:p>
            <w:pPr>
              <w:widowControl/>
              <w:rPr>
                <w:rFonts w:ascii="宋体"/>
                <w:kern w:val="0"/>
              </w:rPr>
            </w:pPr>
            <w:r>
              <w:rPr>
                <w:rFonts w:ascii="宋体"/>
                <w:kern w:val="0"/>
              </w:rPr>
              <w:t>履约担保和预付款担保均指施工部分，勘察和设计无需担保。</w:t>
            </w:r>
          </w:p>
          <w:p>
            <w:pPr>
              <w:widowControl/>
              <w:rPr>
                <w:rFonts w:ascii="宋体"/>
                <w:b/>
                <w:kern w:val="0"/>
                <w:szCs w:val="21"/>
              </w:rPr>
            </w:pPr>
            <w:r>
              <w:rPr>
                <w:rFonts w:ascii="宋体"/>
                <w:b/>
                <w:kern w:val="0"/>
                <w:u w:val="single"/>
              </w:rPr>
              <w:t>保函由在中华人民共和国境内合法经营的大型商业银行或国有企业融资性担保机构出具。</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b/>
                <w:kern w:val="0"/>
                <w:szCs w:val="21"/>
              </w:rPr>
            </w:pPr>
            <w:r>
              <w:rPr>
                <w:rFonts w:ascii="宋体"/>
                <w:b/>
                <w:kern w:val="0"/>
                <w:szCs w:val="21"/>
              </w:rPr>
              <w:t>9</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b/>
                <w:kern w:val="0"/>
                <w:szCs w:val="21"/>
              </w:rPr>
            </w:pPr>
            <w:r>
              <w:rPr>
                <w:rFonts w:ascii="宋体"/>
                <w:b/>
                <w:kern w:val="0"/>
                <w:szCs w:val="21"/>
              </w:rPr>
              <w:t>需要补充的其他内容</w:t>
            </w:r>
          </w:p>
        </w:tc>
      </w:tr>
      <w:tr>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9.1</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建设工程质量检测管理办法：</w:t>
            </w:r>
          </w:p>
          <w:p>
            <w:pPr>
              <w:widowControl/>
              <w:rPr>
                <w:rFonts w:ascii="宋体"/>
                <w:kern w:val="0"/>
                <w:szCs w:val="21"/>
              </w:rPr>
            </w:pPr>
            <w:r>
              <w:rPr>
                <w:rFonts w:ascii="宋体"/>
                <w:kern w:val="0"/>
                <w:szCs w:val="21"/>
              </w:rPr>
              <w:t>根据《建设工程质量检测管理办法》（</w:t>
            </w:r>
            <w:r>
              <w:rPr>
                <w:rFonts w:ascii="宋体"/>
                <w:kern w:val="0"/>
              </w:rPr>
              <w:t>2005年</w:t>
            </w:r>
            <w:r>
              <w:rPr>
                <w:rFonts w:ascii="宋体"/>
                <w:kern w:val="0"/>
                <w:szCs w:val="21"/>
              </w:rPr>
              <w:t>建设部令第141号）第十二条规定，建设工程质量、安全检测业务应由建设单位依法委托，不列入本次招标范围。招标文件中与此条不一致的，以此条为准。</w:t>
            </w:r>
          </w:p>
          <w:p>
            <w:pPr>
              <w:widowControl/>
              <w:rPr>
                <w:rFonts w:ascii="宋体"/>
                <w:b/>
                <w:bCs/>
                <w:kern w:val="0"/>
                <w:szCs w:val="21"/>
              </w:rPr>
            </w:pPr>
            <w:r>
              <w:rPr>
                <w:rFonts w:ascii="宋体"/>
                <w:kern w:val="0"/>
                <w:szCs w:val="21"/>
              </w:rPr>
              <w:t>建设单位和中标人均不得委托近两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9.2</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在招标和合同实施期间，业主要求投标人和承包人遵守最高的道德标准。</w:t>
            </w:r>
          </w:p>
          <w:p>
            <w:pPr>
              <w:widowControl/>
              <w:rPr>
                <w:rFonts w:ascii="宋体"/>
                <w:kern w:val="0"/>
                <w:szCs w:val="21"/>
              </w:rPr>
            </w:pPr>
            <w:r>
              <w:rPr>
                <w:rFonts w:ascii="宋体"/>
                <w:kern w:val="0"/>
                <w:szCs w:val="21"/>
              </w:rPr>
              <w:t>1.对本条款的规定，特定义如下词汇：</w:t>
            </w:r>
          </w:p>
          <w:p>
            <w:pPr>
              <w:widowControl/>
              <w:rPr>
                <w:rFonts w:ascii="宋体"/>
                <w:kern w:val="0"/>
                <w:szCs w:val="21"/>
              </w:rPr>
            </w:pPr>
            <w:r>
              <w:rPr>
                <w:rFonts w:ascii="宋体"/>
                <w:kern w:val="0"/>
                <w:szCs w:val="21"/>
              </w:rPr>
              <w:t>1）“腐败行为”是指在招标或合同执行期间，通过提供、给予、接受或索要任何有价值的东西，从而影响招标人有关人员工作的行为；</w:t>
            </w:r>
          </w:p>
          <w:p>
            <w:pPr>
              <w:widowControl/>
              <w:rPr>
                <w:rFonts w:ascii="宋体"/>
                <w:kern w:val="0"/>
                <w:szCs w:val="21"/>
              </w:rPr>
            </w:pPr>
            <w:r>
              <w:rPr>
                <w:rFonts w:ascii="宋体"/>
                <w:kern w:val="0"/>
                <w:szCs w:val="21"/>
              </w:rPr>
              <w:t>2）“欺诈行为”是指通过提供伪证影响招标或合同执行，从而损害招标人利益的行为；也包括投标人之间串通（在提交投标书之前或之后），人为地使招标过程失去竞争性，从而使业主无法从公开的自由竞争中获得利益的行为。</w:t>
            </w:r>
          </w:p>
          <w:p>
            <w:pPr>
              <w:widowControl/>
              <w:rPr>
                <w:rFonts w:ascii="宋体"/>
                <w:kern w:val="0"/>
                <w:szCs w:val="21"/>
              </w:rPr>
            </w:pPr>
            <w:r>
              <w:rPr>
                <w:rFonts w:ascii="宋体"/>
                <w:kern w:val="0"/>
                <w:szCs w:val="21"/>
              </w:rPr>
              <w:t>2.如果投标人被认定在本招标的竞争中有腐败或欺诈行为，则会被取消投标资格。</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9.3</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项目管理目标：</w:t>
            </w:r>
          </w:p>
          <w:p>
            <w:pPr>
              <w:widowControl/>
              <w:rPr>
                <w:rFonts w:ascii="宋体"/>
                <w:kern w:val="0"/>
                <w:szCs w:val="21"/>
              </w:rPr>
            </w:pPr>
            <w:r>
              <w:rPr>
                <w:rFonts w:ascii="宋体"/>
                <w:kern w:val="0"/>
                <w:szCs w:val="21"/>
              </w:rPr>
              <w:t>1.职业健康安全管理目标：杜绝死亡事故、杜绝火灾事故、杜绝重大机械事故。改善劳动条件，预防职业病，工地防尘、防毒、防噪音、通风、照明、取暖、降温、防辐射及防物理因素危害等，均符合国家和地方政府主管理部门颁布的相关规定。</w:t>
            </w:r>
          </w:p>
          <w:p>
            <w:pPr>
              <w:widowControl/>
              <w:rPr>
                <w:rFonts w:ascii="宋体"/>
                <w:kern w:val="0"/>
                <w:szCs w:val="21"/>
              </w:rPr>
            </w:pPr>
            <w:r>
              <w:rPr>
                <w:rFonts w:ascii="宋体"/>
                <w:kern w:val="0"/>
                <w:szCs w:val="21"/>
              </w:rPr>
              <w:t>环境管理目标：不发生重大环境污染。</w:t>
            </w:r>
          </w:p>
          <w:p>
            <w:pPr>
              <w:widowControl/>
              <w:rPr>
                <w:rFonts w:ascii="宋体"/>
                <w:kern w:val="0"/>
                <w:szCs w:val="21"/>
              </w:rPr>
            </w:pPr>
            <w:r>
              <w:rPr>
                <w:rFonts w:ascii="宋体"/>
                <w:kern w:val="0"/>
                <w:szCs w:val="21"/>
              </w:rPr>
              <w:t>2.质量目标：按招标文件质量标准要求，具体按合同约定；</w:t>
            </w:r>
          </w:p>
          <w:p>
            <w:pPr>
              <w:widowControl/>
              <w:rPr>
                <w:rFonts w:ascii="宋体"/>
                <w:kern w:val="0"/>
                <w:szCs w:val="21"/>
              </w:rPr>
            </w:pPr>
            <w:r>
              <w:rPr>
                <w:rFonts w:ascii="宋体"/>
                <w:kern w:val="0"/>
                <w:szCs w:val="21"/>
              </w:rPr>
              <w:t>3.费用目标：确保项目总投资不超过工程概算、预算，具体按合同约定；</w:t>
            </w:r>
          </w:p>
          <w:p>
            <w:pPr>
              <w:widowControl/>
              <w:rPr>
                <w:rFonts w:ascii="宋体"/>
                <w:kern w:val="0"/>
                <w:szCs w:val="21"/>
              </w:rPr>
            </w:pPr>
            <w:r>
              <w:rPr>
                <w:rFonts w:ascii="宋体"/>
                <w:kern w:val="0"/>
                <w:szCs w:val="21"/>
              </w:rPr>
              <w:t>4.进度目标：确保项目建设进度满足招标文件工期要求，具体按合同约定。</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9.4</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rPr>
            </w:pPr>
            <w:r>
              <w:rPr>
                <w:rFonts w:ascii="宋体"/>
                <w:kern w:val="0"/>
                <w:szCs w:val="21"/>
              </w:rPr>
              <w:t>本项目的监理、施工图审查、第三方检测工作、第三方监测工作、可行性研究报告的编制工作、节能评估服务、造价咨询工作不列入本次招标范围。</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9.5</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施工保修期限：按照《建设工程质量管理条例》规定。</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9.6</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1.承包方式：</w:t>
            </w:r>
            <w:r>
              <w:rPr>
                <w:rFonts w:hint="eastAsia" w:ascii="宋体"/>
                <w:kern w:val="0"/>
                <w:szCs w:val="21"/>
              </w:rPr>
              <w:t>包设计（按相关文件计取）、包施工图预算编制、包工程量清单编制、包深化设计、包工、包料、包设备、包工期、包质量、包造价控制、包安全、包文明施工、包项目协调管理、包验收移交、包竣工资料收集整理、包保修。综合单价包干，措施费项目包干（结算不做调整）等</w:t>
            </w:r>
            <w:r>
              <w:rPr>
                <w:rFonts w:ascii="宋体"/>
                <w:kern w:val="0"/>
                <w:szCs w:val="21"/>
              </w:rPr>
              <w:t>。</w:t>
            </w:r>
          </w:p>
          <w:p>
            <w:pPr>
              <w:widowControl/>
              <w:rPr>
                <w:rFonts w:ascii="宋体"/>
                <w:kern w:val="0"/>
                <w:szCs w:val="21"/>
              </w:rPr>
            </w:pPr>
            <w:r>
              <w:rPr>
                <w:rFonts w:ascii="宋体"/>
                <w:kern w:val="0"/>
                <w:szCs w:val="21"/>
              </w:rPr>
              <w:t>2.本工程的最高投标限价只作为招标的依据，中标价只作为签订合同的暂定价及支付预付款的依据，两者不作为结算依据，具体付款条款及结算条款在合同专用条款明确。</w:t>
            </w:r>
          </w:p>
          <w:p>
            <w:pPr>
              <w:widowControl/>
              <w:rPr>
                <w:rFonts w:ascii="宋体"/>
                <w:kern w:val="0"/>
                <w:szCs w:val="21"/>
              </w:rPr>
            </w:pPr>
            <w:r>
              <w:rPr>
                <w:rFonts w:ascii="宋体"/>
                <w:kern w:val="0"/>
                <w:szCs w:val="21"/>
              </w:rPr>
              <w:t>3.调整原则为：总承包合同第一部分协议中的第五点合同价款执行。</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9.7</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pStyle w:val="3"/>
              <w:spacing w:after="0"/>
              <w:rPr>
                <w:rFonts w:ascii="宋体"/>
                <w:kern w:val="0"/>
              </w:rPr>
            </w:pPr>
            <w:r>
              <w:rPr>
                <w:rFonts w:ascii="宋体"/>
                <w:b/>
                <w:kern w:val="0"/>
              </w:rPr>
              <w:t>投标文件中需同时填写大写和小写的，大写和小写不一致时以大写为准。</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9.8</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b/>
                <w:kern w:val="0"/>
              </w:rPr>
              <w:t>开工前中标人应当投保安全生产责任保险，且该保险保障场所应包含中标项目。投标人的投标报价视为包含该项费用。</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9.9</w:t>
            </w:r>
          </w:p>
        </w:tc>
        <w:tc>
          <w:tcPr>
            <w:tcW w:w="8300" w:type="dxa"/>
            <w:gridSpan w:val="2"/>
            <w:tcBorders>
              <w:top w:val="single" w:color="auto" w:sz="4" w:space="0"/>
              <w:left w:val="single" w:color="auto" w:sz="4" w:space="0"/>
              <w:bottom w:val="single" w:color="auto" w:sz="4" w:space="0"/>
              <w:right w:val="single" w:color="auto" w:sz="4" w:space="0"/>
            </w:tcBorders>
            <w:vAlign w:val="center"/>
          </w:tcPr>
          <w:p>
            <w:pPr>
              <w:pStyle w:val="32"/>
              <w:rPr>
                <w:sz w:val="21"/>
                <w:szCs w:val="21"/>
                <w:lang w:val="zh-CN"/>
              </w:rPr>
            </w:pPr>
            <w:r>
              <w:rPr>
                <w:sz w:val="21"/>
                <w:szCs w:val="21"/>
              </w:rPr>
              <w:t>1、</w:t>
            </w:r>
            <w:r>
              <w:rPr>
                <w:sz w:val="21"/>
                <w:szCs w:val="21"/>
                <w:lang w:val="zh-CN"/>
              </w:rPr>
              <w:t>中标人缴纳交易服务费，其费用包含在中标人投标报价中。</w:t>
            </w:r>
          </w:p>
          <w:p>
            <w:pPr>
              <w:rPr>
                <w:rFonts w:ascii="宋体"/>
                <w:kern w:val="0"/>
                <w:szCs w:val="21"/>
              </w:rPr>
            </w:pPr>
            <w:r>
              <w:rPr>
                <w:rFonts w:ascii="宋体"/>
                <w:kern w:val="0"/>
                <w:szCs w:val="21"/>
              </w:rPr>
              <w:t>2、本项目招标代理报酬</w:t>
            </w:r>
            <w:r>
              <w:rPr>
                <w:rFonts w:ascii="宋体"/>
                <w:b/>
                <w:bCs/>
                <w:kern w:val="0"/>
                <w:szCs w:val="21"/>
              </w:rPr>
              <w:t>6.414</w:t>
            </w:r>
            <w:r>
              <w:rPr>
                <w:rFonts w:ascii="宋体"/>
                <w:kern w:val="0"/>
                <w:szCs w:val="21"/>
              </w:rPr>
              <w:t>万元，由中标人的主办方按招标人与招标代理签订的招标代理合同的约定，在领取中标通知书前将此费用支付给招标代理单位。</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10</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rPr>
              <w:t>电子招标投标</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rPr>
            </w:pPr>
            <w:r>
              <w:rPr>
                <w:rFonts w:ascii="宋体"/>
                <w:kern w:val="0"/>
                <w:szCs w:val="21"/>
              </w:rPr>
              <w:t>□否。</w:t>
            </w:r>
          </w:p>
          <w:p>
            <w:pPr>
              <w:rPr>
                <w:rFonts w:ascii="宋体"/>
                <w:kern w:val="0"/>
                <w:szCs w:val="21"/>
              </w:rPr>
            </w:pPr>
            <w:r>
              <w:rPr>
                <w:rFonts w:ascii="宋体"/>
                <w:kern w:val="0"/>
                <w:szCs w:val="21"/>
              </w:rPr>
              <w:t>■是。</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szCs w:val="21"/>
                <w:u w:val="single"/>
              </w:rPr>
              <w:t>11</w:t>
            </w:r>
          </w:p>
        </w:tc>
        <w:tc>
          <w:tcPr>
            <w:tcW w:w="1805" w:type="dxa"/>
            <w:tcBorders>
              <w:top w:val="single" w:color="auto" w:sz="4" w:space="0"/>
              <w:left w:val="single" w:color="auto" w:sz="4" w:space="0"/>
              <w:bottom w:val="single" w:color="auto" w:sz="4" w:space="0"/>
              <w:right w:val="single" w:color="auto" w:sz="4" w:space="0"/>
            </w:tcBorders>
            <w:vAlign w:val="center"/>
          </w:tcPr>
          <w:p>
            <w:pPr>
              <w:jc w:val="center"/>
              <w:rPr>
                <w:rFonts w:ascii="宋体"/>
                <w:kern w:val="0"/>
                <w:szCs w:val="21"/>
              </w:rPr>
            </w:pPr>
            <w:r>
              <w:rPr>
                <w:rFonts w:ascii="宋体"/>
                <w:kern w:val="0"/>
                <w:u w:val="single"/>
              </w:rPr>
              <w:t>电子招标投标解密失败及突发情况的补救</w:t>
            </w:r>
          </w:p>
        </w:tc>
        <w:tc>
          <w:tcPr>
            <w:tcW w:w="6495" w:type="dxa"/>
            <w:tcBorders>
              <w:top w:val="single" w:color="auto" w:sz="4" w:space="0"/>
              <w:left w:val="single" w:color="auto" w:sz="4" w:space="0"/>
              <w:bottom w:val="single" w:color="auto" w:sz="4" w:space="0"/>
              <w:right w:val="single" w:color="auto" w:sz="4" w:space="0"/>
            </w:tcBorders>
            <w:vAlign w:val="center"/>
          </w:tcPr>
          <w:p>
            <w:pPr>
              <w:rPr>
                <w:rFonts w:ascii="宋体"/>
                <w:kern w:val="0"/>
                <w:szCs w:val="21"/>
                <w:u w:val="single"/>
              </w:rPr>
            </w:pPr>
            <w:r>
              <w:rPr>
                <w:rFonts w:ascii="宋体"/>
                <w:kern w:val="0"/>
                <w:szCs w:val="21"/>
                <w:u w:val="single"/>
              </w:rPr>
              <w:t>1.按照交易平台关于全流程电子化项目的相关指南进行操作。详见：</w:t>
            </w:r>
            <w:r>
              <w:rPr>
                <w:rFonts w:ascii="宋体"/>
                <w:kern w:val="0"/>
                <w:sz w:val="24"/>
                <w:szCs w:val="24"/>
                <w:u w:val="single"/>
              </w:rPr>
              <w:t xml:space="preserve"> </w:t>
            </w:r>
            <w:r>
              <w:rPr>
                <w:rFonts w:ascii="宋体"/>
                <w:kern w:val="0"/>
                <w:szCs w:val="21"/>
                <w:u w:val="single"/>
              </w:rPr>
              <w:t>广州公共资源交易中心网站最新指引。</w:t>
            </w:r>
          </w:p>
          <w:p>
            <w:pPr>
              <w:rPr>
                <w:rFonts w:ascii="宋体"/>
                <w:kern w:val="0"/>
                <w:szCs w:val="21"/>
                <w:u w:val="single"/>
              </w:rPr>
            </w:pPr>
            <w:r>
              <w:rPr>
                <w:rFonts w:ascii="宋体"/>
                <w:kern w:val="0"/>
                <w:szCs w:val="21"/>
                <w:u w:val="single"/>
              </w:rPr>
              <w:t>2.提交投标文件光盘备用</w:t>
            </w:r>
          </w:p>
          <w:p>
            <w:pPr>
              <w:rPr>
                <w:rFonts w:ascii="宋体"/>
                <w:kern w:val="0"/>
                <w:szCs w:val="21"/>
                <w:u w:val="single"/>
              </w:rPr>
            </w:pPr>
            <w:r>
              <w:rPr>
                <w:rFonts w:ascii="宋体"/>
                <w:kern w:val="0"/>
                <w:szCs w:val="21"/>
                <w:u w:val="single"/>
              </w:rPr>
              <w:t>投标人可制作非加密的电子投标文件（含</w:t>
            </w:r>
            <w:r>
              <w:rPr>
                <w:rFonts w:hint="eastAsia" w:ascii="宋体" w:cs="宋体"/>
                <w:kern w:val="0"/>
                <w:szCs w:val="21"/>
                <w:u w:val="single"/>
              </w:rPr>
              <w:t>①</w:t>
            </w:r>
            <w:r>
              <w:rPr>
                <w:rFonts w:ascii="宋体"/>
                <w:kern w:val="0"/>
                <w:szCs w:val="21"/>
                <w:u w:val="single"/>
              </w:rPr>
              <w:t>资格审查文件；</w:t>
            </w:r>
            <w:r>
              <w:rPr>
                <w:rFonts w:hint="eastAsia" w:ascii="宋体" w:cs="宋体"/>
                <w:kern w:val="0"/>
                <w:szCs w:val="21"/>
                <w:u w:val="single"/>
              </w:rPr>
              <w:t>②</w:t>
            </w:r>
            <w:r>
              <w:rPr>
                <w:rFonts w:ascii="宋体"/>
                <w:kern w:val="0"/>
                <w:szCs w:val="21"/>
                <w:u w:val="single"/>
              </w:rPr>
              <w:t>工程总承包实施方案投标文件）；（共2个光盘），在投标须知前附表第4.2.2项规定的时间、地点提交备用。刻录好的投标文件光盘分别密封在不透明的密封袋并作标记。</w:t>
            </w:r>
          </w:p>
          <w:p>
            <w:pPr>
              <w:rPr>
                <w:rFonts w:ascii="宋体"/>
                <w:kern w:val="0"/>
                <w:szCs w:val="21"/>
                <w:u w:val="single"/>
              </w:rPr>
            </w:pPr>
            <w:r>
              <w:rPr>
                <w:rFonts w:ascii="宋体"/>
                <w:kern w:val="0"/>
                <w:szCs w:val="21"/>
                <w:u w:val="single"/>
              </w:rPr>
              <w:t>电子投标文件（资格审查文件、工程总承包实施方案投标文件）应在密封袋上写明（1）招标人名称；（2）“[项目名称][资格审查文件、工程总承包实施方案投标文件光盘]”字样；（3）</w:t>
            </w:r>
            <w:r>
              <w:rPr>
                <w:rFonts w:ascii="宋体"/>
                <w:b/>
                <w:bCs/>
                <w:kern w:val="0"/>
                <w:szCs w:val="21"/>
                <w:u w:val="single"/>
              </w:rPr>
              <w:t>并在封口处加盖联合体主办方公章</w:t>
            </w:r>
            <w:r>
              <w:rPr>
                <w:rFonts w:ascii="宋体"/>
                <w:kern w:val="0"/>
                <w:szCs w:val="21"/>
                <w:u w:val="single"/>
              </w:rPr>
              <w:t>。</w:t>
            </w:r>
          </w:p>
          <w:p>
            <w:pPr>
              <w:rPr>
                <w:rFonts w:ascii="宋体"/>
                <w:kern w:val="0"/>
                <w:szCs w:val="21"/>
                <w:u w:val="single"/>
              </w:rPr>
            </w:pPr>
            <w:r>
              <w:rPr>
                <w:rFonts w:ascii="宋体"/>
                <w:kern w:val="0"/>
                <w:szCs w:val="21"/>
                <w:u w:val="single"/>
              </w:rPr>
              <w:t>递交的投标文件光盘不得加密。光盘无法读取或导入的，则视为未提交备用投标文件光盘。如果投标人没有按规定通过交易平台网上递交电子投标文件的，不再读取提交的光盘。投标人也可不提交备用光盘。递交投标文件光盘备用时需提供法定人代表人证明书及授权委托书。</w:t>
            </w:r>
          </w:p>
          <w:p>
            <w:pPr>
              <w:rPr>
                <w:rFonts w:ascii="宋体"/>
                <w:kern w:val="0"/>
                <w:szCs w:val="21"/>
                <w:u w:val="single"/>
              </w:rPr>
            </w:pPr>
            <w:r>
              <w:rPr>
                <w:rFonts w:ascii="宋体"/>
                <w:kern w:val="0"/>
                <w:szCs w:val="21"/>
                <w:u w:val="single"/>
              </w:rPr>
              <w:t>3.补救方案</w:t>
            </w:r>
          </w:p>
          <w:p>
            <w:pPr>
              <w:rPr>
                <w:rFonts w:ascii="宋体"/>
                <w:kern w:val="0"/>
                <w:szCs w:val="21"/>
                <w:u w:val="single"/>
              </w:rPr>
            </w:pPr>
            <w:r>
              <w:rPr>
                <w:rFonts w:ascii="宋体"/>
                <w:kern w:val="0"/>
                <w:szCs w:val="21"/>
                <w:u w:val="single"/>
              </w:rPr>
              <w:t>（1）投标文件解密失败的补救方案：</w:t>
            </w:r>
          </w:p>
          <w:p>
            <w:pPr>
              <w:rPr>
                <w:rFonts w:ascii="宋体"/>
                <w:kern w:val="0"/>
                <w:szCs w:val="21"/>
                <w:u w:val="single"/>
              </w:rPr>
            </w:pPr>
            <w:r>
              <w:rPr>
                <w:rFonts w:ascii="宋体"/>
                <w:kern w:val="0"/>
                <w:szCs w:val="21"/>
                <w:u w:val="singl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rPr>
                <w:rFonts w:ascii="宋体"/>
                <w:kern w:val="0"/>
                <w:szCs w:val="21"/>
                <w:u w:val="single"/>
              </w:rPr>
            </w:pPr>
            <w:r>
              <w:rPr>
                <w:rFonts w:ascii="宋体"/>
                <w:kern w:val="0"/>
                <w:szCs w:val="21"/>
                <w:u w:val="single"/>
              </w:rPr>
              <w:t>（2）评标时突发情况的补救方案</w:t>
            </w:r>
          </w:p>
          <w:p>
            <w:pPr>
              <w:rPr>
                <w:rFonts w:ascii="宋体"/>
                <w:kern w:val="0"/>
                <w:szCs w:val="21"/>
                <w:u w:val="single"/>
              </w:rPr>
            </w:pPr>
            <w:r>
              <w:rPr>
                <w:rFonts w:ascii="宋体"/>
                <w:kern w:val="0"/>
                <w:szCs w:val="21"/>
                <w:u w:val="single"/>
              </w:rPr>
              <w:t>若遇不可抗力发生（指网络瘫痪、服务器损坏、交易系统故障短期无法恢复等因素），由评标委员会开启投标人递交的全部投标文件光盘，并按光盘内容进行评审。</w:t>
            </w:r>
          </w:p>
          <w:p>
            <w:pPr>
              <w:rPr>
                <w:rFonts w:ascii="宋体"/>
                <w:kern w:val="0"/>
                <w:sz w:val="32"/>
                <w:szCs w:val="32"/>
              </w:rPr>
            </w:pPr>
            <w:r>
              <w:rPr>
                <w:rFonts w:ascii="宋体"/>
                <w:kern w:val="0"/>
                <w:szCs w:val="21"/>
                <w:u w:val="single"/>
              </w:rPr>
              <w:t>（3）除发生上述情况外，开标评标均以投标人通过交易平台网上递交的电子投标文件为准。</w:t>
            </w:r>
          </w:p>
        </w:tc>
      </w:tr>
      <w:tr>
        <w:tblPrEx>
          <w:tblCellMar>
            <w:top w:w="0" w:type="dxa"/>
            <w:left w:w="108" w:type="dxa"/>
            <w:bottom w:w="0" w:type="dxa"/>
            <w:right w:w="108" w:type="dxa"/>
          </w:tblCellMar>
        </w:tblPrEx>
        <w:trPr>
          <w:trHeight w:val="454" w:hRule="atLeast"/>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szCs w:val="21"/>
              </w:rPr>
            </w:pPr>
            <w:r>
              <w:rPr>
                <w:rFonts w:ascii="宋体"/>
                <w:kern w:val="0"/>
                <w:szCs w:val="21"/>
              </w:rPr>
              <w:t>12</w:t>
            </w:r>
          </w:p>
        </w:tc>
        <w:tc>
          <w:tcPr>
            <w:tcW w:w="1805" w:type="dxa"/>
            <w:tcBorders>
              <w:top w:val="single" w:color="auto" w:sz="4" w:space="0"/>
              <w:left w:val="single" w:color="auto" w:sz="4" w:space="0"/>
              <w:bottom w:val="single" w:color="auto" w:sz="4" w:space="0"/>
              <w:right w:val="single" w:color="auto" w:sz="4" w:space="0"/>
            </w:tcBorders>
            <w:vAlign w:val="center"/>
          </w:tcPr>
          <w:p>
            <w:pPr>
              <w:widowControl/>
              <w:rPr>
                <w:rFonts w:ascii="宋体"/>
                <w:kern w:val="0"/>
                <w:szCs w:val="21"/>
              </w:rPr>
            </w:pPr>
            <w:r>
              <w:rPr>
                <w:rFonts w:ascii="宋体"/>
                <w:kern w:val="0"/>
                <w:szCs w:val="21"/>
              </w:rPr>
              <w:t>施工企业专业诚信评价排名计分</w:t>
            </w:r>
          </w:p>
        </w:tc>
        <w:tc>
          <w:tcPr>
            <w:tcW w:w="6495" w:type="dxa"/>
            <w:tcBorders>
              <w:top w:val="single" w:color="auto" w:sz="4" w:space="0"/>
              <w:left w:val="single" w:color="auto" w:sz="4" w:space="0"/>
              <w:bottom w:val="single" w:color="auto" w:sz="4" w:space="0"/>
              <w:right w:val="single" w:color="auto" w:sz="4" w:space="0"/>
            </w:tcBorders>
            <w:vAlign w:val="center"/>
          </w:tcPr>
          <w:p>
            <w:pPr>
              <w:widowControl/>
              <w:rPr>
                <w:rFonts w:ascii="宋体"/>
                <w:b/>
                <w:bCs/>
                <w:kern w:val="0"/>
                <w:szCs w:val="21"/>
              </w:rPr>
            </w:pPr>
            <w:r>
              <w:rPr>
                <w:rFonts w:hint="eastAsia" w:ascii="宋体"/>
                <w:b/>
                <w:bCs/>
                <w:kern w:val="0"/>
                <w:u w:val="single"/>
              </w:rPr>
              <w:t>/</w:t>
            </w:r>
          </w:p>
        </w:tc>
      </w:tr>
    </w:tbl>
    <w:p>
      <w:pPr>
        <w:pStyle w:val="6"/>
        <w:rPr>
          <w:rFonts w:ascii="宋体"/>
        </w:rPr>
      </w:pPr>
      <w:bookmarkStart w:id="28" w:name="_Toc144974497"/>
      <w:bookmarkStart w:id="29" w:name="_Toc152045529"/>
      <w:bookmarkStart w:id="30" w:name="_Toc30689"/>
      <w:bookmarkStart w:id="31" w:name="_Toc362816480"/>
      <w:bookmarkStart w:id="32" w:name="_Toc443505822"/>
      <w:bookmarkStart w:id="33" w:name="_Toc152042305"/>
      <w:bookmarkStart w:id="34" w:name="_Toc300834949"/>
      <w:bookmarkStart w:id="35" w:name="_Toc247513952"/>
      <w:bookmarkStart w:id="36" w:name="_Toc247527553"/>
      <w:bookmarkStart w:id="37" w:name="_Toc357089511"/>
      <w:r>
        <w:rPr>
          <w:rFonts w:hint="eastAsia" w:ascii="宋体"/>
        </w:rPr>
        <w:br w:type="page"/>
      </w:r>
      <w:r>
        <w:rPr>
          <w:rFonts w:hint="eastAsia" w:ascii="宋体"/>
        </w:rPr>
        <w:t>1. 总则</w:t>
      </w:r>
      <w:bookmarkEnd w:id="28"/>
      <w:bookmarkEnd w:id="29"/>
      <w:bookmarkEnd w:id="30"/>
      <w:bookmarkEnd w:id="31"/>
      <w:bookmarkEnd w:id="32"/>
      <w:bookmarkEnd w:id="33"/>
      <w:bookmarkEnd w:id="34"/>
      <w:bookmarkEnd w:id="35"/>
      <w:bookmarkEnd w:id="36"/>
      <w:bookmarkEnd w:id="37"/>
    </w:p>
    <w:p>
      <w:pPr>
        <w:pStyle w:val="7"/>
        <w:spacing w:line="360" w:lineRule="auto"/>
        <w:ind w:firstLine="118"/>
        <w:rPr>
          <w:rFonts w:ascii="宋体" w:eastAsia="宋体"/>
          <w:b/>
          <w:sz w:val="24"/>
          <w:szCs w:val="24"/>
        </w:rPr>
      </w:pPr>
      <w:bookmarkStart w:id="38" w:name="_Toc144974498"/>
      <w:bookmarkStart w:id="39" w:name="_Toc247527554"/>
      <w:bookmarkStart w:id="40" w:name="_Toc357089512"/>
      <w:bookmarkStart w:id="41" w:name="_Toc356469178"/>
      <w:bookmarkStart w:id="42" w:name="_Toc152042306"/>
      <w:bookmarkStart w:id="43" w:name="_Toc300834950"/>
      <w:bookmarkStart w:id="44" w:name="_Toc152045530"/>
      <w:bookmarkStart w:id="45" w:name="_Toc247513953"/>
      <w:bookmarkStart w:id="46" w:name="_Toc362816481"/>
      <w:r>
        <w:rPr>
          <w:rFonts w:hint="eastAsia" w:ascii="宋体" w:eastAsia="宋体"/>
          <w:b/>
          <w:sz w:val="24"/>
          <w:szCs w:val="24"/>
        </w:rPr>
        <w:t>1.1 项目概况</w:t>
      </w:r>
      <w:bookmarkEnd w:id="38"/>
      <w:bookmarkEnd w:id="39"/>
      <w:bookmarkEnd w:id="40"/>
      <w:bookmarkEnd w:id="41"/>
      <w:bookmarkEnd w:id="42"/>
      <w:bookmarkEnd w:id="43"/>
      <w:bookmarkEnd w:id="44"/>
      <w:bookmarkEnd w:id="45"/>
      <w:bookmarkEnd w:id="46"/>
    </w:p>
    <w:p>
      <w:pPr>
        <w:spacing w:line="360" w:lineRule="auto"/>
        <w:ind w:firstLine="420" w:firstLineChars="200"/>
        <w:rPr>
          <w:rFonts w:ascii="宋体"/>
          <w:kern w:val="0"/>
        </w:rPr>
      </w:pPr>
      <w:r>
        <w:rPr>
          <w:rFonts w:hint="eastAsia" w:ascii="宋体"/>
          <w:kern w:val="0"/>
        </w:rPr>
        <w:t>1.1.1 根据《中华人民共和国招标投标法》等有关法律、法规和规章的规定，本招标项目已具备招标条件，现对该项目设计施工进行总承包招标。</w:t>
      </w:r>
    </w:p>
    <w:p>
      <w:pPr>
        <w:spacing w:line="360" w:lineRule="auto"/>
        <w:ind w:firstLine="420" w:firstLineChars="200"/>
        <w:rPr>
          <w:rFonts w:ascii="宋体"/>
          <w:kern w:val="0"/>
        </w:rPr>
      </w:pPr>
      <w:r>
        <w:rPr>
          <w:rFonts w:hint="eastAsia" w:ascii="宋体"/>
          <w:kern w:val="0"/>
        </w:rPr>
        <w:t>1.1.2 招标人：见投标人须知前附表。</w:t>
      </w:r>
    </w:p>
    <w:p>
      <w:pPr>
        <w:spacing w:line="360" w:lineRule="auto"/>
        <w:ind w:firstLine="420" w:firstLineChars="200"/>
        <w:rPr>
          <w:rFonts w:ascii="宋体"/>
          <w:kern w:val="0"/>
        </w:rPr>
      </w:pPr>
      <w:r>
        <w:rPr>
          <w:rFonts w:hint="eastAsia" w:ascii="宋体"/>
          <w:kern w:val="0"/>
        </w:rPr>
        <w:t>1.1.3 招标代理机构：见投标人须知前附表。</w:t>
      </w:r>
    </w:p>
    <w:p>
      <w:pPr>
        <w:spacing w:line="360" w:lineRule="auto"/>
        <w:ind w:firstLine="420" w:firstLineChars="200"/>
        <w:rPr>
          <w:rFonts w:ascii="宋体"/>
          <w:kern w:val="0"/>
        </w:rPr>
      </w:pPr>
      <w:r>
        <w:rPr>
          <w:rFonts w:hint="eastAsia" w:ascii="宋体"/>
          <w:kern w:val="0"/>
        </w:rPr>
        <w:t>1.1.4 招标项目名称：见投标人须知前附表。</w:t>
      </w:r>
    </w:p>
    <w:p>
      <w:pPr>
        <w:spacing w:line="360" w:lineRule="auto"/>
        <w:ind w:firstLine="420" w:firstLineChars="200"/>
        <w:rPr>
          <w:rFonts w:ascii="宋体"/>
          <w:kern w:val="0"/>
        </w:rPr>
      </w:pPr>
      <w:r>
        <w:rPr>
          <w:rFonts w:hint="eastAsia" w:ascii="宋体"/>
          <w:kern w:val="0"/>
        </w:rPr>
        <w:t>1.1.5 项目建设地点：见投标人须知前附表。</w:t>
      </w:r>
    </w:p>
    <w:p>
      <w:pPr>
        <w:pStyle w:val="7"/>
        <w:spacing w:line="360" w:lineRule="auto"/>
        <w:ind w:firstLine="118"/>
        <w:rPr>
          <w:rFonts w:ascii="宋体" w:eastAsia="宋体"/>
          <w:b/>
          <w:sz w:val="24"/>
          <w:szCs w:val="24"/>
        </w:rPr>
      </w:pPr>
      <w:bookmarkStart w:id="47" w:name="_Toc247513954"/>
      <w:bookmarkStart w:id="48" w:name="_Toc362816482"/>
      <w:bookmarkStart w:id="49" w:name="_Toc300834951"/>
      <w:bookmarkStart w:id="50" w:name="_Toc247527555"/>
      <w:bookmarkStart w:id="51" w:name="_Toc357089513"/>
      <w:bookmarkStart w:id="52" w:name="_Toc152042307"/>
      <w:bookmarkStart w:id="53" w:name="_Toc152045531"/>
      <w:bookmarkStart w:id="54" w:name="_Toc356469179"/>
      <w:bookmarkStart w:id="55" w:name="_Toc144974499"/>
      <w:r>
        <w:rPr>
          <w:rFonts w:hint="eastAsia" w:ascii="宋体" w:eastAsia="宋体"/>
          <w:b/>
          <w:sz w:val="24"/>
          <w:szCs w:val="24"/>
        </w:rPr>
        <w:t>1.2 项目的资金来源和落实情况</w:t>
      </w:r>
      <w:bookmarkEnd w:id="47"/>
      <w:bookmarkEnd w:id="48"/>
      <w:bookmarkEnd w:id="49"/>
      <w:bookmarkEnd w:id="50"/>
      <w:bookmarkEnd w:id="51"/>
      <w:bookmarkEnd w:id="52"/>
      <w:bookmarkEnd w:id="53"/>
      <w:bookmarkEnd w:id="54"/>
      <w:bookmarkEnd w:id="55"/>
    </w:p>
    <w:p>
      <w:pPr>
        <w:spacing w:line="360" w:lineRule="auto"/>
        <w:ind w:firstLine="420" w:firstLineChars="200"/>
        <w:rPr>
          <w:rFonts w:ascii="宋体"/>
          <w:kern w:val="0"/>
        </w:rPr>
      </w:pPr>
      <w:r>
        <w:rPr>
          <w:rFonts w:hint="eastAsia" w:ascii="宋体"/>
          <w:kern w:val="0"/>
        </w:rPr>
        <w:t>1.2.1 资金来源及比例：见投标人须知前附表。</w:t>
      </w:r>
    </w:p>
    <w:p>
      <w:pPr>
        <w:spacing w:line="360" w:lineRule="auto"/>
        <w:ind w:firstLine="420" w:firstLineChars="200"/>
        <w:rPr>
          <w:rFonts w:ascii="宋体"/>
          <w:kern w:val="0"/>
        </w:rPr>
      </w:pPr>
      <w:r>
        <w:rPr>
          <w:rFonts w:hint="eastAsia" w:ascii="宋体"/>
          <w:kern w:val="0"/>
        </w:rPr>
        <w:t>1.2.2 资金落实情况：见投标人须知前附表。</w:t>
      </w:r>
    </w:p>
    <w:p>
      <w:pPr>
        <w:pStyle w:val="7"/>
        <w:spacing w:line="360" w:lineRule="auto"/>
        <w:ind w:firstLine="118"/>
        <w:rPr>
          <w:rFonts w:ascii="宋体" w:eastAsia="宋体"/>
          <w:b/>
          <w:sz w:val="24"/>
          <w:szCs w:val="24"/>
        </w:rPr>
      </w:pPr>
      <w:bookmarkStart w:id="56" w:name="_Toc247527556"/>
      <w:bookmarkStart w:id="57" w:name="_Toc152045532"/>
      <w:bookmarkStart w:id="58" w:name="_Toc144974500"/>
      <w:bookmarkStart w:id="59" w:name="_Toc247513955"/>
      <w:bookmarkStart w:id="60" w:name="_Toc152042308"/>
      <w:bookmarkStart w:id="61" w:name="_Toc356469180"/>
      <w:bookmarkStart w:id="62" w:name="_Toc357089514"/>
      <w:bookmarkStart w:id="63" w:name="_Toc300834952"/>
      <w:bookmarkStart w:id="64" w:name="_Toc362816483"/>
      <w:r>
        <w:rPr>
          <w:rFonts w:hint="eastAsia" w:ascii="宋体" w:eastAsia="宋体"/>
          <w:b/>
          <w:sz w:val="24"/>
          <w:szCs w:val="24"/>
        </w:rPr>
        <w:t>1.3 招标范围、计划工期和</w:t>
      </w:r>
      <w:bookmarkEnd w:id="56"/>
      <w:bookmarkEnd w:id="57"/>
      <w:bookmarkEnd w:id="58"/>
      <w:bookmarkEnd w:id="59"/>
      <w:bookmarkEnd w:id="60"/>
      <w:r>
        <w:rPr>
          <w:rFonts w:hint="eastAsia" w:ascii="宋体" w:eastAsia="宋体"/>
          <w:b/>
          <w:sz w:val="24"/>
          <w:szCs w:val="24"/>
        </w:rPr>
        <w:t>质量标准</w:t>
      </w:r>
      <w:bookmarkEnd w:id="61"/>
      <w:bookmarkEnd w:id="62"/>
      <w:bookmarkEnd w:id="63"/>
      <w:bookmarkEnd w:id="64"/>
    </w:p>
    <w:p>
      <w:pPr>
        <w:spacing w:line="360" w:lineRule="auto"/>
        <w:ind w:firstLine="420" w:firstLineChars="200"/>
        <w:rPr>
          <w:rFonts w:ascii="宋体"/>
          <w:kern w:val="0"/>
        </w:rPr>
      </w:pPr>
      <w:r>
        <w:rPr>
          <w:rFonts w:hint="eastAsia" w:ascii="宋体"/>
          <w:kern w:val="0"/>
        </w:rPr>
        <w:t>1.3.1 招标范围：见投标人须知前附表。</w:t>
      </w:r>
    </w:p>
    <w:p>
      <w:pPr>
        <w:spacing w:line="360" w:lineRule="auto"/>
        <w:ind w:firstLine="420" w:firstLineChars="200"/>
        <w:rPr>
          <w:rFonts w:ascii="宋体"/>
          <w:kern w:val="0"/>
        </w:rPr>
      </w:pPr>
      <w:r>
        <w:rPr>
          <w:rFonts w:hint="eastAsia" w:ascii="宋体"/>
          <w:kern w:val="0"/>
        </w:rPr>
        <w:t>1.3.2 计划工期：见投标人须知前附表。</w:t>
      </w:r>
    </w:p>
    <w:p>
      <w:pPr>
        <w:spacing w:line="360" w:lineRule="auto"/>
        <w:ind w:firstLine="420" w:firstLineChars="200"/>
        <w:rPr>
          <w:rFonts w:ascii="宋体"/>
          <w:kern w:val="0"/>
        </w:rPr>
      </w:pPr>
      <w:r>
        <w:rPr>
          <w:rFonts w:hint="eastAsia" w:ascii="宋体"/>
          <w:kern w:val="0"/>
        </w:rPr>
        <w:t>1.3.3 质量标准：见投标人须知前附表。</w:t>
      </w:r>
    </w:p>
    <w:p>
      <w:pPr>
        <w:pStyle w:val="7"/>
        <w:spacing w:line="360" w:lineRule="auto"/>
        <w:ind w:firstLine="118"/>
        <w:rPr>
          <w:rFonts w:ascii="宋体" w:eastAsia="宋体"/>
          <w:b/>
          <w:sz w:val="24"/>
          <w:szCs w:val="24"/>
        </w:rPr>
      </w:pPr>
      <w:bookmarkStart w:id="65" w:name="_Toc144974502"/>
      <w:bookmarkStart w:id="66" w:name="_Toc152042310"/>
      <w:bookmarkStart w:id="67" w:name="_Toc300834954"/>
      <w:bookmarkStart w:id="68" w:name="_Toc152045534"/>
      <w:bookmarkStart w:id="69" w:name="_Toc247513957"/>
      <w:bookmarkStart w:id="70" w:name="_Toc247527558"/>
      <w:r>
        <w:rPr>
          <w:rFonts w:hint="eastAsia" w:ascii="宋体" w:eastAsia="宋体"/>
          <w:b/>
          <w:sz w:val="24"/>
          <w:szCs w:val="24"/>
        </w:rPr>
        <w:t>1.4投标人资格要求（</w:t>
      </w:r>
      <w:r>
        <w:rPr>
          <w:rFonts w:hint="eastAsia" w:ascii="宋体" w:eastAsia="宋体"/>
          <w:b/>
          <w:sz w:val="24"/>
          <w:szCs w:val="24"/>
          <w:u w:val="single"/>
        </w:rPr>
        <w:t>详见招标公告要求</w:t>
      </w:r>
      <w:r>
        <w:rPr>
          <w:rFonts w:hint="eastAsia" w:ascii="宋体" w:eastAsia="宋体"/>
          <w:b/>
          <w:sz w:val="24"/>
          <w:szCs w:val="24"/>
        </w:rPr>
        <w:t>）</w:t>
      </w:r>
    </w:p>
    <w:p>
      <w:pPr>
        <w:spacing w:line="360" w:lineRule="auto"/>
        <w:ind w:firstLine="420" w:firstLineChars="200"/>
        <w:rPr>
          <w:rFonts w:ascii="宋体"/>
          <w:kern w:val="0"/>
          <w:u w:val="single"/>
        </w:rPr>
      </w:pPr>
      <w:r>
        <w:rPr>
          <w:rFonts w:hint="eastAsia" w:ascii="宋体"/>
          <w:kern w:val="0"/>
        </w:rPr>
        <w:t xml:space="preserve">1.4.1 </w:t>
      </w:r>
      <w:r>
        <w:rPr>
          <w:rFonts w:hint="eastAsia" w:ascii="宋体"/>
          <w:kern w:val="0"/>
          <w:u w:val="single"/>
        </w:rPr>
        <w:t>投标人应是按招标公告要求成功投标登记的单位。</w:t>
      </w:r>
      <w:bookmarkEnd w:id="65"/>
      <w:bookmarkEnd w:id="66"/>
      <w:bookmarkEnd w:id="67"/>
      <w:bookmarkEnd w:id="68"/>
      <w:bookmarkEnd w:id="69"/>
      <w:bookmarkEnd w:id="70"/>
    </w:p>
    <w:p>
      <w:pPr>
        <w:spacing w:line="360" w:lineRule="auto"/>
        <w:ind w:firstLine="420" w:firstLineChars="200"/>
        <w:rPr>
          <w:rFonts w:ascii="宋体"/>
          <w:kern w:val="0"/>
          <w:u w:val="single"/>
        </w:rPr>
      </w:pPr>
      <w:r>
        <w:rPr>
          <w:rFonts w:hint="eastAsia" w:ascii="宋体"/>
          <w:kern w:val="0"/>
        </w:rPr>
        <w:t>1.4.2 关于联合体投标：</w:t>
      </w:r>
      <w:r>
        <w:rPr>
          <w:rFonts w:hint="eastAsia" w:ascii="宋体"/>
          <w:kern w:val="0"/>
          <w:u w:val="single"/>
        </w:rPr>
        <w:t>见投标人须知前附表。</w:t>
      </w:r>
    </w:p>
    <w:p>
      <w:pPr>
        <w:pStyle w:val="7"/>
        <w:spacing w:line="360" w:lineRule="auto"/>
        <w:ind w:firstLine="118"/>
        <w:rPr>
          <w:rFonts w:ascii="宋体" w:eastAsia="宋体"/>
          <w:b/>
          <w:sz w:val="24"/>
          <w:szCs w:val="24"/>
        </w:rPr>
      </w:pPr>
      <w:bookmarkStart w:id="71" w:name="_Toc144974503"/>
      <w:bookmarkStart w:id="72" w:name="_Toc247527559"/>
      <w:bookmarkStart w:id="73" w:name="_Toc152045535"/>
      <w:bookmarkStart w:id="74" w:name="_Toc247513958"/>
      <w:bookmarkStart w:id="75" w:name="_Toc152042311"/>
      <w:bookmarkStart w:id="76" w:name="_Toc362816485"/>
      <w:bookmarkStart w:id="77" w:name="_Toc300834955"/>
      <w:bookmarkStart w:id="78" w:name="_Toc357089516"/>
      <w:bookmarkStart w:id="79" w:name="_Toc356469182"/>
      <w:r>
        <w:rPr>
          <w:rFonts w:hint="eastAsia" w:ascii="宋体" w:eastAsia="宋体"/>
          <w:b/>
          <w:sz w:val="24"/>
          <w:szCs w:val="24"/>
        </w:rPr>
        <w:t>1.5 费用承担</w:t>
      </w:r>
      <w:bookmarkEnd w:id="71"/>
      <w:bookmarkEnd w:id="72"/>
      <w:bookmarkEnd w:id="73"/>
      <w:bookmarkEnd w:id="74"/>
      <w:bookmarkEnd w:id="75"/>
      <w:r>
        <w:rPr>
          <w:rFonts w:hint="eastAsia" w:ascii="宋体" w:eastAsia="宋体"/>
          <w:b/>
          <w:sz w:val="24"/>
          <w:szCs w:val="24"/>
        </w:rPr>
        <w:t>和设计成果补偿</w:t>
      </w:r>
      <w:bookmarkEnd w:id="76"/>
      <w:bookmarkEnd w:id="77"/>
      <w:bookmarkEnd w:id="78"/>
      <w:bookmarkEnd w:id="79"/>
    </w:p>
    <w:p>
      <w:pPr>
        <w:spacing w:line="360" w:lineRule="auto"/>
        <w:ind w:firstLine="420" w:firstLineChars="200"/>
        <w:rPr>
          <w:rFonts w:ascii="宋体"/>
          <w:kern w:val="0"/>
        </w:rPr>
      </w:pPr>
      <w:r>
        <w:rPr>
          <w:rFonts w:hint="eastAsia" w:ascii="宋体"/>
          <w:kern w:val="0"/>
        </w:rPr>
        <w:t>1.5.1 投标人准备和参加投标活动发生的费用自理。</w:t>
      </w:r>
    </w:p>
    <w:p>
      <w:pPr>
        <w:spacing w:line="360" w:lineRule="auto"/>
        <w:ind w:firstLine="420" w:firstLineChars="200"/>
        <w:rPr>
          <w:rFonts w:ascii="宋体"/>
          <w:kern w:val="0"/>
        </w:rPr>
      </w:pPr>
      <w:r>
        <w:rPr>
          <w:rFonts w:hint="eastAsia" w:ascii="宋体"/>
          <w:kern w:val="0"/>
        </w:rPr>
        <w:t xml:space="preserve">1.5.2 </w:t>
      </w:r>
      <w:r>
        <w:rPr>
          <w:rFonts w:hint="eastAsia" w:ascii="宋体"/>
          <w:kern w:val="0"/>
          <w:u w:val="single"/>
        </w:rPr>
        <w:t>招标人在征得未中标人的同意后有权免费使用未中标人设计成果</w:t>
      </w:r>
      <w:r>
        <w:rPr>
          <w:rFonts w:hint="eastAsia" w:ascii="宋体"/>
          <w:kern w:val="0"/>
        </w:rPr>
        <w:t>。</w:t>
      </w:r>
    </w:p>
    <w:p>
      <w:pPr>
        <w:spacing w:line="360" w:lineRule="auto"/>
        <w:ind w:firstLine="420" w:firstLineChars="200"/>
        <w:rPr>
          <w:rFonts w:ascii="宋体"/>
          <w:kern w:val="0"/>
          <w:u w:val="single"/>
        </w:rPr>
      </w:pPr>
      <w:r>
        <w:rPr>
          <w:rFonts w:hint="eastAsia" w:ascii="宋体"/>
          <w:kern w:val="0"/>
          <w:u w:val="single"/>
        </w:rPr>
        <w:t>1.5.3 中标人按规定，中标人应向广州公共资源交易中心交纳交易服务费，其费用包含在中标人投标报价中，招标人不另行支付。</w:t>
      </w:r>
    </w:p>
    <w:p>
      <w:pPr>
        <w:spacing w:line="360" w:lineRule="auto"/>
        <w:ind w:firstLine="420" w:firstLineChars="200"/>
        <w:rPr>
          <w:rFonts w:ascii="宋体"/>
          <w:kern w:val="0"/>
          <w:u w:val="single"/>
        </w:rPr>
      </w:pPr>
      <w:r>
        <w:rPr>
          <w:rFonts w:hint="eastAsia" w:ascii="宋体"/>
          <w:kern w:val="0"/>
          <w:u w:val="single"/>
        </w:rPr>
        <w:t>1.5.4投标方案经济补偿金：详见招标公告。</w:t>
      </w:r>
    </w:p>
    <w:p>
      <w:pPr>
        <w:pStyle w:val="7"/>
        <w:spacing w:line="360" w:lineRule="auto"/>
        <w:ind w:firstLine="118"/>
        <w:rPr>
          <w:rFonts w:ascii="宋体" w:eastAsia="宋体"/>
          <w:b/>
          <w:sz w:val="24"/>
          <w:szCs w:val="24"/>
        </w:rPr>
      </w:pPr>
      <w:bookmarkStart w:id="80" w:name="_Toc356469183"/>
      <w:bookmarkStart w:id="81" w:name="_Toc362816486"/>
      <w:bookmarkStart w:id="82" w:name="_Toc300834956"/>
      <w:bookmarkStart w:id="83" w:name="_Toc152042312"/>
      <w:bookmarkStart w:id="84" w:name="_Toc144974504"/>
      <w:bookmarkStart w:id="85" w:name="_Toc247527560"/>
      <w:bookmarkStart w:id="86" w:name="_Toc357089517"/>
      <w:bookmarkStart w:id="87" w:name="_Toc247513959"/>
      <w:bookmarkStart w:id="88" w:name="_Toc152045536"/>
      <w:r>
        <w:rPr>
          <w:rFonts w:hint="eastAsia" w:ascii="宋体" w:eastAsia="宋体"/>
          <w:b/>
          <w:sz w:val="24"/>
          <w:szCs w:val="24"/>
        </w:rPr>
        <w:t>1.6 保密</w:t>
      </w:r>
      <w:bookmarkEnd w:id="80"/>
      <w:bookmarkEnd w:id="81"/>
      <w:bookmarkEnd w:id="82"/>
      <w:bookmarkEnd w:id="83"/>
      <w:bookmarkEnd w:id="84"/>
      <w:bookmarkEnd w:id="85"/>
      <w:bookmarkEnd w:id="86"/>
      <w:bookmarkEnd w:id="87"/>
      <w:bookmarkEnd w:id="88"/>
    </w:p>
    <w:p>
      <w:pPr>
        <w:spacing w:line="360" w:lineRule="auto"/>
        <w:ind w:firstLine="420" w:firstLineChars="200"/>
        <w:rPr>
          <w:rFonts w:ascii="宋体"/>
          <w:kern w:val="0"/>
        </w:rPr>
      </w:pPr>
      <w:r>
        <w:rPr>
          <w:rFonts w:hint="eastAsia" w:ascii="宋体"/>
          <w:kern w:val="0"/>
        </w:rPr>
        <w:t>1.6.1参与招标投标活动的各方应对招标文件和投标文件中的商业和技术等秘密保密，否则应参与招标投标活动的各方应对招标文件和投标文件中的商业和技术等秘密保密，否则应承担相应的法律责任。</w:t>
      </w:r>
    </w:p>
    <w:p>
      <w:pPr>
        <w:pStyle w:val="7"/>
        <w:spacing w:line="360" w:lineRule="auto"/>
        <w:ind w:firstLine="118"/>
        <w:rPr>
          <w:rFonts w:ascii="宋体" w:eastAsia="宋体"/>
          <w:b/>
          <w:sz w:val="24"/>
          <w:szCs w:val="24"/>
        </w:rPr>
      </w:pPr>
      <w:bookmarkStart w:id="89" w:name="_Toc144974505"/>
      <w:bookmarkStart w:id="90" w:name="_Toc357089518"/>
      <w:bookmarkStart w:id="91" w:name="_Toc300834957"/>
      <w:bookmarkStart w:id="92" w:name="_Toc152042313"/>
      <w:bookmarkStart w:id="93" w:name="_Toc152045537"/>
      <w:bookmarkStart w:id="94" w:name="_Toc362816487"/>
      <w:bookmarkStart w:id="95" w:name="_Toc247527561"/>
      <w:bookmarkStart w:id="96" w:name="_Toc247513960"/>
      <w:bookmarkStart w:id="97" w:name="_Toc356469184"/>
      <w:r>
        <w:rPr>
          <w:rFonts w:hint="eastAsia" w:ascii="宋体" w:eastAsia="宋体"/>
          <w:b/>
          <w:sz w:val="24"/>
          <w:szCs w:val="24"/>
        </w:rPr>
        <w:t>1.7 语言</w:t>
      </w:r>
      <w:bookmarkEnd w:id="89"/>
      <w:r>
        <w:rPr>
          <w:rFonts w:hint="eastAsia" w:ascii="宋体" w:eastAsia="宋体"/>
          <w:b/>
          <w:sz w:val="24"/>
          <w:szCs w:val="24"/>
        </w:rPr>
        <w:t>文字</w:t>
      </w:r>
      <w:bookmarkEnd w:id="90"/>
      <w:bookmarkEnd w:id="91"/>
      <w:bookmarkEnd w:id="92"/>
      <w:bookmarkEnd w:id="93"/>
      <w:bookmarkEnd w:id="94"/>
      <w:bookmarkEnd w:id="95"/>
      <w:bookmarkEnd w:id="96"/>
      <w:bookmarkEnd w:id="97"/>
    </w:p>
    <w:p>
      <w:pPr>
        <w:spacing w:line="360" w:lineRule="auto"/>
        <w:ind w:firstLine="420" w:firstLineChars="200"/>
        <w:rPr>
          <w:rFonts w:ascii="宋体"/>
          <w:kern w:val="0"/>
        </w:rPr>
      </w:pPr>
      <w:r>
        <w:rPr>
          <w:rFonts w:hint="eastAsia" w:ascii="宋体"/>
          <w:kern w:val="0"/>
        </w:rPr>
        <w:t>1.7.1招标投标文件使用的语言文字为中文。专用术语使用外文的，应附有中文注释。</w:t>
      </w:r>
    </w:p>
    <w:p>
      <w:pPr>
        <w:pStyle w:val="7"/>
        <w:spacing w:line="360" w:lineRule="auto"/>
        <w:ind w:firstLine="118"/>
        <w:rPr>
          <w:rFonts w:ascii="宋体" w:eastAsia="宋体"/>
          <w:b/>
          <w:sz w:val="24"/>
          <w:szCs w:val="24"/>
        </w:rPr>
      </w:pPr>
      <w:bookmarkStart w:id="98" w:name="_Toc300834958"/>
      <w:bookmarkStart w:id="99" w:name="_Toc144974506"/>
      <w:bookmarkStart w:id="100" w:name="_Toc356469185"/>
      <w:bookmarkStart w:id="101" w:name="_Toc247513961"/>
      <w:bookmarkStart w:id="102" w:name="_Toc362816488"/>
      <w:bookmarkStart w:id="103" w:name="_Toc357089519"/>
      <w:bookmarkStart w:id="104" w:name="_Toc152045538"/>
      <w:bookmarkStart w:id="105" w:name="_Toc152042314"/>
      <w:bookmarkStart w:id="106" w:name="_Toc247527562"/>
      <w:r>
        <w:rPr>
          <w:rFonts w:hint="eastAsia" w:ascii="宋体" w:eastAsia="宋体"/>
          <w:b/>
          <w:sz w:val="24"/>
          <w:szCs w:val="24"/>
        </w:rPr>
        <w:t>1.8 计量单位</w:t>
      </w:r>
      <w:bookmarkEnd w:id="98"/>
      <w:bookmarkEnd w:id="99"/>
      <w:bookmarkEnd w:id="100"/>
      <w:bookmarkEnd w:id="101"/>
      <w:bookmarkEnd w:id="102"/>
      <w:bookmarkEnd w:id="103"/>
      <w:bookmarkEnd w:id="104"/>
      <w:bookmarkEnd w:id="105"/>
      <w:bookmarkEnd w:id="106"/>
    </w:p>
    <w:p>
      <w:pPr>
        <w:spacing w:line="360" w:lineRule="auto"/>
        <w:ind w:firstLine="420" w:firstLineChars="200"/>
        <w:rPr>
          <w:rFonts w:ascii="宋体"/>
          <w:kern w:val="0"/>
        </w:rPr>
      </w:pPr>
      <w:r>
        <w:rPr>
          <w:rFonts w:hint="eastAsia" w:ascii="宋体"/>
          <w:kern w:val="0"/>
        </w:rPr>
        <w:t>1.8.1 所有计量均采用中华人民共和国法定计量单位。</w:t>
      </w:r>
    </w:p>
    <w:p>
      <w:pPr>
        <w:spacing w:line="360" w:lineRule="auto"/>
        <w:ind w:firstLine="420" w:firstLineChars="200"/>
        <w:rPr>
          <w:rFonts w:ascii="宋体"/>
          <w:kern w:val="0"/>
        </w:rPr>
      </w:pPr>
      <w:r>
        <w:rPr>
          <w:rFonts w:hint="eastAsia" w:ascii="宋体"/>
          <w:kern w:val="0"/>
        </w:rPr>
        <w:t xml:space="preserve">1.8.2 </w:t>
      </w:r>
      <w:r>
        <w:rPr>
          <w:rFonts w:hint="eastAsia" w:ascii="宋体"/>
          <w:kern w:val="0"/>
          <w:u w:val="single"/>
        </w:rPr>
        <w:t>本工程投标报价采用的币种为人民币。</w:t>
      </w:r>
    </w:p>
    <w:p>
      <w:pPr>
        <w:pStyle w:val="7"/>
        <w:spacing w:line="360" w:lineRule="auto"/>
        <w:ind w:firstLine="118"/>
        <w:rPr>
          <w:rFonts w:ascii="宋体" w:eastAsia="宋体"/>
          <w:b/>
          <w:sz w:val="24"/>
          <w:szCs w:val="24"/>
        </w:rPr>
      </w:pPr>
      <w:bookmarkStart w:id="107" w:name="_Toc152045539"/>
      <w:bookmarkStart w:id="108" w:name="_Toc144974507"/>
      <w:bookmarkStart w:id="109" w:name="_Toc247527563"/>
      <w:bookmarkStart w:id="110" w:name="_Toc357089520"/>
      <w:bookmarkStart w:id="111" w:name="_Toc356469186"/>
      <w:bookmarkStart w:id="112" w:name="_Toc300834959"/>
      <w:bookmarkStart w:id="113" w:name="_Toc247513962"/>
      <w:bookmarkStart w:id="114" w:name="_Toc152042315"/>
      <w:bookmarkStart w:id="115" w:name="_Toc362816489"/>
      <w:r>
        <w:rPr>
          <w:rFonts w:hint="eastAsia" w:ascii="宋体" w:eastAsia="宋体"/>
          <w:b/>
          <w:sz w:val="24"/>
          <w:szCs w:val="24"/>
        </w:rPr>
        <w:t>1.9 踏勘现场</w:t>
      </w:r>
      <w:bookmarkEnd w:id="107"/>
      <w:bookmarkEnd w:id="108"/>
      <w:bookmarkEnd w:id="109"/>
      <w:bookmarkEnd w:id="110"/>
      <w:bookmarkEnd w:id="111"/>
      <w:bookmarkEnd w:id="112"/>
      <w:bookmarkEnd w:id="113"/>
      <w:bookmarkEnd w:id="114"/>
      <w:bookmarkEnd w:id="115"/>
    </w:p>
    <w:p>
      <w:pPr>
        <w:spacing w:line="360" w:lineRule="auto"/>
        <w:ind w:firstLine="420" w:firstLineChars="200"/>
        <w:rPr>
          <w:rFonts w:ascii="宋体"/>
          <w:kern w:val="0"/>
        </w:rPr>
      </w:pPr>
      <w:r>
        <w:rPr>
          <w:rFonts w:hint="eastAsia" w:ascii="宋体"/>
          <w:kern w:val="0"/>
        </w:rPr>
        <w:t xml:space="preserve">1.9.1 投标人须知前附表规定组织踏勘现场的，招标人按投标人须知前附表规定的时间、地点组织投标人踏勘项目现场。 </w:t>
      </w:r>
    </w:p>
    <w:p>
      <w:pPr>
        <w:spacing w:line="360" w:lineRule="auto"/>
        <w:ind w:firstLine="420" w:firstLineChars="200"/>
        <w:rPr>
          <w:rFonts w:ascii="宋体"/>
          <w:kern w:val="0"/>
        </w:rPr>
      </w:pPr>
      <w:r>
        <w:rPr>
          <w:rFonts w:hint="eastAsia" w:ascii="宋体"/>
          <w:kern w:val="0"/>
        </w:rPr>
        <w:t>1.9.2 投标人踏勘现场发生的费用自理。</w:t>
      </w:r>
    </w:p>
    <w:p>
      <w:pPr>
        <w:spacing w:line="360" w:lineRule="auto"/>
        <w:ind w:firstLine="420" w:firstLineChars="200"/>
        <w:rPr>
          <w:rFonts w:ascii="宋体"/>
          <w:kern w:val="0"/>
        </w:rPr>
      </w:pPr>
      <w:r>
        <w:rPr>
          <w:rFonts w:hint="eastAsia" w:ascii="宋体"/>
          <w:kern w:val="0"/>
        </w:rPr>
        <w:t>1.9.3 除招标人的原因外，投标人自行负责在踏勘现场中所发生的人员伤亡和财产损失。</w:t>
      </w:r>
    </w:p>
    <w:p>
      <w:pPr>
        <w:spacing w:line="360" w:lineRule="auto"/>
        <w:ind w:firstLine="420" w:firstLineChars="200"/>
        <w:rPr>
          <w:rFonts w:ascii="宋体"/>
          <w:kern w:val="0"/>
          <w:u w:val="single"/>
        </w:rPr>
      </w:pPr>
      <w:r>
        <w:rPr>
          <w:rFonts w:hint="eastAsia" w:ascii="宋体"/>
          <w:kern w:val="0"/>
        </w:rPr>
        <w:t>1.9.</w:t>
      </w:r>
      <w:r>
        <w:rPr>
          <w:rFonts w:hint="eastAsia" w:ascii="宋体"/>
          <w:kern w:val="0"/>
          <w:u w:val="single"/>
        </w:rPr>
        <w:t>4现场由投标人自行踏勘，投标人不进行踏勘的，视为已熟知现场条件，自行承担相关风险。招标人不对投标人自行踏勘现场作出的判断和决策负责。</w:t>
      </w:r>
    </w:p>
    <w:p>
      <w:pPr>
        <w:pStyle w:val="7"/>
        <w:spacing w:line="360" w:lineRule="auto"/>
        <w:ind w:firstLine="118"/>
        <w:rPr>
          <w:rFonts w:ascii="宋体" w:eastAsia="宋体"/>
          <w:b/>
          <w:sz w:val="24"/>
          <w:szCs w:val="24"/>
        </w:rPr>
      </w:pPr>
      <w:bookmarkStart w:id="116" w:name="_Toc362816490"/>
      <w:bookmarkStart w:id="117" w:name="_Toc152045540"/>
      <w:bookmarkStart w:id="118" w:name="_Toc356469187"/>
      <w:bookmarkStart w:id="119" w:name="_Toc144974508"/>
      <w:bookmarkStart w:id="120" w:name="_Toc357089521"/>
      <w:bookmarkStart w:id="121" w:name="_Toc247513963"/>
      <w:bookmarkStart w:id="122" w:name="_Toc300834960"/>
      <w:bookmarkStart w:id="123" w:name="_Toc152042316"/>
      <w:bookmarkStart w:id="124" w:name="_Toc247527564"/>
      <w:r>
        <w:rPr>
          <w:rFonts w:hint="eastAsia" w:ascii="宋体" w:eastAsia="宋体"/>
          <w:b/>
          <w:sz w:val="24"/>
          <w:szCs w:val="24"/>
        </w:rPr>
        <w:t>1.10 投标预备会</w:t>
      </w:r>
      <w:bookmarkEnd w:id="116"/>
      <w:bookmarkEnd w:id="117"/>
      <w:bookmarkEnd w:id="118"/>
      <w:bookmarkEnd w:id="119"/>
      <w:bookmarkEnd w:id="120"/>
      <w:bookmarkEnd w:id="121"/>
      <w:bookmarkEnd w:id="122"/>
      <w:bookmarkEnd w:id="123"/>
      <w:bookmarkEnd w:id="124"/>
    </w:p>
    <w:p>
      <w:pPr>
        <w:spacing w:line="360" w:lineRule="auto"/>
        <w:ind w:firstLine="630" w:firstLineChars="300"/>
        <w:rPr>
          <w:rFonts w:ascii="宋体"/>
          <w:kern w:val="0"/>
          <w:u w:val="single"/>
        </w:rPr>
      </w:pPr>
      <w:r>
        <w:rPr>
          <w:rFonts w:hint="eastAsia" w:ascii="宋体"/>
          <w:kern w:val="0"/>
          <w:u w:val="single"/>
        </w:rPr>
        <w:t>本工程不召开投标预备会。</w:t>
      </w:r>
    </w:p>
    <w:p>
      <w:pPr>
        <w:pStyle w:val="7"/>
        <w:spacing w:line="360" w:lineRule="auto"/>
        <w:ind w:firstLine="118"/>
        <w:rPr>
          <w:rFonts w:ascii="宋体" w:eastAsia="宋体"/>
          <w:b/>
          <w:sz w:val="24"/>
          <w:szCs w:val="24"/>
        </w:rPr>
      </w:pPr>
      <w:bookmarkStart w:id="125" w:name="_Toc362816491"/>
      <w:bookmarkStart w:id="126" w:name="_Toc144974509"/>
      <w:bookmarkStart w:id="127" w:name="_Toc152042317"/>
      <w:bookmarkStart w:id="128" w:name="_Toc247527565"/>
      <w:bookmarkStart w:id="129" w:name="_Toc152045541"/>
      <w:bookmarkStart w:id="130" w:name="_Toc247513964"/>
      <w:bookmarkStart w:id="131" w:name="_Toc356469188"/>
      <w:bookmarkStart w:id="132" w:name="_Toc300834961"/>
      <w:bookmarkStart w:id="133" w:name="_Toc357089522"/>
      <w:r>
        <w:rPr>
          <w:rFonts w:hint="eastAsia" w:ascii="宋体" w:eastAsia="宋体"/>
          <w:b/>
          <w:sz w:val="24"/>
          <w:szCs w:val="24"/>
        </w:rPr>
        <w:t>1.11 分包</w:t>
      </w:r>
      <w:bookmarkEnd w:id="125"/>
      <w:bookmarkEnd w:id="126"/>
      <w:bookmarkEnd w:id="127"/>
      <w:bookmarkEnd w:id="128"/>
      <w:bookmarkEnd w:id="129"/>
      <w:bookmarkEnd w:id="130"/>
      <w:bookmarkEnd w:id="131"/>
      <w:bookmarkEnd w:id="132"/>
      <w:bookmarkEnd w:id="133"/>
    </w:p>
    <w:p>
      <w:pPr>
        <w:spacing w:line="360" w:lineRule="auto"/>
        <w:ind w:firstLine="567" w:firstLineChars="270"/>
        <w:rPr>
          <w:rFonts w:ascii="宋体"/>
          <w:kern w:val="0"/>
        </w:rPr>
      </w:pPr>
      <w:r>
        <w:rPr>
          <w:rFonts w:hint="eastAsia" w:ascii="宋体"/>
          <w:kern w:val="0"/>
        </w:rPr>
        <w:t>1.11.1 投标人须知前附表规定应当由分包人实施的非主体、非关键性工作，投标人应当按照</w:t>
      </w:r>
      <w:r>
        <w:rPr>
          <w:rFonts w:hint="eastAsia" w:ascii="宋体"/>
          <w:kern w:val="0"/>
          <w:u w:val="single"/>
        </w:rPr>
        <w:t>第四章</w:t>
      </w:r>
      <w:r>
        <w:rPr>
          <w:rFonts w:hint="eastAsia" w:ascii="宋体"/>
          <w:kern w:val="0"/>
        </w:rPr>
        <w:t>“发包人要求”规定提供分包人侯选名单及其相应资料。</w:t>
      </w:r>
    </w:p>
    <w:p>
      <w:pPr>
        <w:spacing w:line="360" w:lineRule="auto"/>
        <w:ind w:firstLine="567" w:firstLineChars="270"/>
        <w:rPr>
          <w:rFonts w:ascii="宋体"/>
          <w:kern w:val="0"/>
        </w:rPr>
      </w:pPr>
      <w:r>
        <w:rPr>
          <w:rFonts w:hint="eastAsia" w:ascii="宋体"/>
          <w:kern w:val="0"/>
        </w:rPr>
        <w:t>1.11.2 招标人允许投标人在中标后将中标项目的部分非主体、非关键性工作进行分包的，应符合投标人须知前附表规定的分包内容、资质要求等限制性条件。</w:t>
      </w:r>
    </w:p>
    <w:p>
      <w:pPr>
        <w:pStyle w:val="7"/>
        <w:spacing w:line="360" w:lineRule="auto"/>
        <w:ind w:firstLine="118"/>
        <w:rPr>
          <w:rFonts w:ascii="宋体" w:eastAsia="宋体"/>
          <w:b/>
          <w:sz w:val="24"/>
          <w:szCs w:val="24"/>
        </w:rPr>
      </w:pPr>
      <w:bookmarkStart w:id="134" w:name="_Toc247513965"/>
      <w:bookmarkStart w:id="135" w:name="_Toc356469189"/>
      <w:bookmarkStart w:id="136" w:name="_Toc357089523"/>
      <w:bookmarkStart w:id="137" w:name="_Toc300834962"/>
      <w:bookmarkStart w:id="138" w:name="_Toc362816492"/>
      <w:bookmarkStart w:id="139" w:name="_Toc247527566"/>
      <w:r>
        <w:rPr>
          <w:rFonts w:hint="eastAsia" w:ascii="宋体" w:eastAsia="宋体"/>
          <w:b/>
          <w:sz w:val="24"/>
          <w:szCs w:val="24"/>
        </w:rPr>
        <w:t>1.12 偏离</w:t>
      </w:r>
      <w:bookmarkEnd w:id="134"/>
      <w:bookmarkEnd w:id="135"/>
      <w:bookmarkEnd w:id="136"/>
      <w:bookmarkEnd w:id="137"/>
      <w:bookmarkEnd w:id="138"/>
      <w:bookmarkEnd w:id="139"/>
    </w:p>
    <w:p>
      <w:pPr>
        <w:spacing w:line="360" w:lineRule="auto"/>
        <w:ind w:firstLine="359" w:firstLineChars="171"/>
        <w:rPr>
          <w:rFonts w:ascii="宋体"/>
          <w:kern w:val="0"/>
        </w:rPr>
      </w:pPr>
      <w:r>
        <w:rPr>
          <w:rFonts w:hint="eastAsia" w:ascii="宋体"/>
          <w:kern w:val="0"/>
        </w:rPr>
        <w:t>1.12.1投标人须知前附表允许投标文件偏离招标文件某些要求的，偏离应当符合招标文件规定的偏离范围和幅度。</w:t>
      </w:r>
    </w:p>
    <w:p>
      <w:pPr>
        <w:pStyle w:val="6"/>
        <w:rPr>
          <w:rFonts w:ascii="宋体"/>
        </w:rPr>
      </w:pPr>
      <w:bookmarkStart w:id="140" w:name="_Toc357089524"/>
      <w:bookmarkStart w:id="141" w:name="_Toc144974510"/>
      <w:bookmarkStart w:id="142" w:name="_Toc300834963"/>
      <w:bookmarkStart w:id="143" w:name="_Toc152045542"/>
      <w:bookmarkStart w:id="144" w:name="_Toc362816493"/>
      <w:bookmarkStart w:id="145" w:name="_Toc152042318"/>
      <w:bookmarkStart w:id="146" w:name="_Toc247527567"/>
      <w:bookmarkStart w:id="147" w:name="_Toc247513966"/>
      <w:bookmarkStart w:id="148" w:name="_Toc443505823"/>
      <w:bookmarkStart w:id="149" w:name="_Toc20791"/>
      <w:r>
        <w:rPr>
          <w:rFonts w:hint="eastAsia" w:ascii="宋体"/>
        </w:rPr>
        <w:t>2. 招标文件</w:t>
      </w:r>
      <w:bookmarkEnd w:id="140"/>
      <w:bookmarkEnd w:id="141"/>
      <w:bookmarkEnd w:id="142"/>
      <w:bookmarkEnd w:id="143"/>
      <w:bookmarkEnd w:id="144"/>
      <w:bookmarkEnd w:id="145"/>
      <w:bookmarkEnd w:id="146"/>
      <w:bookmarkEnd w:id="147"/>
      <w:bookmarkEnd w:id="148"/>
      <w:bookmarkEnd w:id="149"/>
    </w:p>
    <w:p>
      <w:pPr>
        <w:pStyle w:val="7"/>
        <w:spacing w:line="360" w:lineRule="auto"/>
        <w:ind w:firstLine="118"/>
        <w:rPr>
          <w:rFonts w:ascii="宋体" w:eastAsia="宋体"/>
          <w:b/>
          <w:sz w:val="24"/>
          <w:szCs w:val="24"/>
        </w:rPr>
      </w:pPr>
      <w:bookmarkStart w:id="150" w:name="_Toc300834964"/>
      <w:bookmarkStart w:id="151" w:name="_Toc152042319"/>
      <w:bookmarkStart w:id="152" w:name="_Toc152045543"/>
      <w:bookmarkStart w:id="153" w:name="_Toc247527568"/>
      <w:bookmarkStart w:id="154" w:name="_Toc144974511"/>
      <w:bookmarkStart w:id="155" w:name="_Toc247513967"/>
      <w:bookmarkStart w:id="156" w:name="_Toc362816494"/>
      <w:bookmarkStart w:id="157" w:name="_Toc356469191"/>
      <w:bookmarkStart w:id="158" w:name="_Toc357089525"/>
      <w:r>
        <w:rPr>
          <w:rFonts w:hint="eastAsia" w:ascii="宋体" w:eastAsia="宋体"/>
          <w:b/>
          <w:sz w:val="24"/>
          <w:szCs w:val="24"/>
        </w:rPr>
        <w:t>2.1 招标文件的组成</w:t>
      </w:r>
      <w:bookmarkEnd w:id="150"/>
      <w:bookmarkEnd w:id="151"/>
      <w:bookmarkEnd w:id="152"/>
      <w:bookmarkEnd w:id="153"/>
      <w:bookmarkEnd w:id="154"/>
      <w:bookmarkEnd w:id="155"/>
      <w:bookmarkEnd w:id="156"/>
      <w:bookmarkEnd w:id="157"/>
      <w:bookmarkEnd w:id="158"/>
    </w:p>
    <w:p>
      <w:pPr>
        <w:spacing w:line="360" w:lineRule="auto"/>
        <w:ind w:firstLine="359" w:firstLineChars="171"/>
        <w:rPr>
          <w:rFonts w:ascii="宋体"/>
          <w:kern w:val="0"/>
        </w:rPr>
      </w:pPr>
      <w:r>
        <w:rPr>
          <w:rFonts w:hint="eastAsia" w:ascii="宋体"/>
          <w:kern w:val="0"/>
        </w:rPr>
        <w:t>2.1.1本招标文件包括：</w:t>
      </w:r>
    </w:p>
    <w:p>
      <w:pPr>
        <w:spacing w:line="360" w:lineRule="auto"/>
        <w:ind w:firstLine="359" w:firstLineChars="171"/>
        <w:rPr>
          <w:rFonts w:ascii="宋体"/>
          <w:kern w:val="0"/>
          <w:u w:val="single"/>
        </w:rPr>
      </w:pPr>
      <w:r>
        <w:rPr>
          <w:rFonts w:hint="eastAsia" w:ascii="宋体"/>
          <w:kern w:val="0"/>
          <w:u w:val="single"/>
        </w:rPr>
        <w:t>（1）投标人须知；</w:t>
      </w:r>
    </w:p>
    <w:p>
      <w:pPr>
        <w:spacing w:line="360" w:lineRule="auto"/>
        <w:ind w:firstLine="359" w:firstLineChars="171"/>
        <w:rPr>
          <w:rFonts w:ascii="宋体"/>
          <w:kern w:val="0"/>
          <w:u w:val="single"/>
        </w:rPr>
      </w:pPr>
      <w:r>
        <w:rPr>
          <w:rFonts w:hint="eastAsia" w:ascii="宋体"/>
          <w:kern w:val="0"/>
          <w:u w:val="single"/>
        </w:rPr>
        <w:t>（2）评标办法；</w:t>
      </w:r>
    </w:p>
    <w:p>
      <w:pPr>
        <w:spacing w:line="360" w:lineRule="auto"/>
        <w:ind w:firstLine="359" w:firstLineChars="171"/>
        <w:rPr>
          <w:rFonts w:ascii="宋体"/>
          <w:kern w:val="0"/>
          <w:u w:val="single"/>
        </w:rPr>
      </w:pPr>
      <w:r>
        <w:rPr>
          <w:rFonts w:hint="eastAsia" w:ascii="宋体"/>
          <w:kern w:val="0"/>
          <w:u w:val="single"/>
        </w:rPr>
        <w:t>（3）合同条款及格式；</w:t>
      </w:r>
    </w:p>
    <w:p>
      <w:pPr>
        <w:spacing w:line="360" w:lineRule="auto"/>
        <w:ind w:firstLine="359" w:firstLineChars="171"/>
        <w:rPr>
          <w:rFonts w:ascii="宋体"/>
          <w:kern w:val="0"/>
          <w:u w:val="single"/>
        </w:rPr>
      </w:pPr>
      <w:r>
        <w:rPr>
          <w:rFonts w:hint="eastAsia" w:ascii="宋体"/>
          <w:kern w:val="0"/>
          <w:u w:val="single"/>
        </w:rPr>
        <w:t>（4）招标人要求；</w:t>
      </w:r>
    </w:p>
    <w:p>
      <w:pPr>
        <w:spacing w:line="360" w:lineRule="auto"/>
        <w:ind w:firstLine="359" w:firstLineChars="171"/>
        <w:rPr>
          <w:rFonts w:ascii="宋体"/>
          <w:kern w:val="0"/>
          <w:u w:val="single"/>
        </w:rPr>
      </w:pPr>
      <w:r>
        <w:rPr>
          <w:rFonts w:hint="eastAsia" w:ascii="宋体"/>
          <w:kern w:val="0"/>
          <w:u w:val="single"/>
        </w:rPr>
        <w:t>（5）发包人提供的资料和条件；</w:t>
      </w:r>
    </w:p>
    <w:p>
      <w:pPr>
        <w:spacing w:line="360" w:lineRule="auto"/>
        <w:ind w:firstLine="359" w:firstLineChars="171"/>
        <w:rPr>
          <w:rFonts w:ascii="宋体"/>
          <w:kern w:val="0"/>
          <w:u w:val="single"/>
        </w:rPr>
      </w:pPr>
      <w:r>
        <w:rPr>
          <w:rFonts w:hint="eastAsia" w:ascii="宋体"/>
          <w:kern w:val="0"/>
          <w:u w:val="single"/>
        </w:rPr>
        <w:t>（6）投标文件格式；</w:t>
      </w:r>
    </w:p>
    <w:p>
      <w:pPr>
        <w:spacing w:line="360" w:lineRule="auto"/>
        <w:ind w:firstLine="359" w:firstLineChars="171"/>
        <w:rPr>
          <w:rFonts w:ascii="宋体"/>
          <w:kern w:val="0"/>
          <w:u w:val="single"/>
        </w:rPr>
      </w:pPr>
      <w:r>
        <w:rPr>
          <w:rFonts w:hint="eastAsia" w:ascii="宋体"/>
          <w:kern w:val="0"/>
          <w:u w:val="single"/>
        </w:rPr>
        <w:t>（7）投标人须知前附表规定的其他资料。</w:t>
      </w:r>
    </w:p>
    <w:p>
      <w:pPr>
        <w:spacing w:line="360" w:lineRule="auto"/>
        <w:ind w:firstLine="359" w:firstLineChars="171"/>
        <w:rPr>
          <w:rFonts w:ascii="宋体"/>
          <w:kern w:val="0"/>
        </w:rPr>
      </w:pPr>
      <w:r>
        <w:rPr>
          <w:rFonts w:hint="eastAsia" w:ascii="宋体"/>
          <w:kern w:val="0"/>
        </w:rPr>
        <w:t>2.1.2根据本章第1.10款、第2.2款和第2.3款对招标文件所作的澄清、修改，构成招标文件的组成部分。</w:t>
      </w:r>
    </w:p>
    <w:p>
      <w:pPr>
        <w:spacing w:line="360" w:lineRule="auto"/>
        <w:ind w:firstLine="359" w:firstLineChars="171"/>
        <w:rPr>
          <w:rFonts w:ascii="宋体"/>
          <w:kern w:val="0"/>
          <w:u w:val="single"/>
        </w:rPr>
      </w:pPr>
      <w:r>
        <w:rPr>
          <w:rFonts w:hint="eastAsia" w:ascii="宋体"/>
          <w:kern w:val="0"/>
          <w:u w:val="single"/>
        </w:rPr>
        <w:t>2.1.3投标人获取招标文件后，应仔细检查招标文件的所有内容，认真审阅招标文件中所有的事项、格式、条款和规范要求等，若投标人的投标文件没有按招标文件要求递交全部资料，或投标文件实质上没有响应招标文件的要求，将承担无法通过投标文件有效性审查风险，并且招标人不允许投标人通过修改或撤消其不符合要求的差异或保留使之成为具有响应性的投标文件。</w:t>
      </w:r>
    </w:p>
    <w:p>
      <w:pPr>
        <w:spacing w:line="360" w:lineRule="auto"/>
        <w:ind w:firstLine="359" w:firstLineChars="171"/>
        <w:rPr>
          <w:rFonts w:ascii="宋体"/>
          <w:kern w:val="0"/>
          <w:u w:val="single"/>
        </w:rPr>
      </w:pPr>
      <w:r>
        <w:rPr>
          <w:rFonts w:hint="eastAsia" w:ascii="宋体"/>
          <w:kern w:val="0"/>
          <w:u w:val="single"/>
        </w:rPr>
        <w:t>2.1.4投标人一旦中标，招标文件的内容对招标人和中标人双方均有约束力。</w:t>
      </w:r>
    </w:p>
    <w:p>
      <w:pPr>
        <w:spacing w:line="360" w:lineRule="auto"/>
        <w:ind w:firstLine="359" w:firstLineChars="171"/>
        <w:rPr>
          <w:rFonts w:ascii="宋体"/>
          <w:kern w:val="0"/>
          <w:u w:val="single"/>
        </w:rPr>
      </w:pPr>
      <w:r>
        <w:rPr>
          <w:rFonts w:hint="eastAsia" w:ascii="宋体"/>
          <w:kern w:val="0"/>
          <w:u w:val="single"/>
        </w:rPr>
        <w:t>2.1.5招标文件一经在广州公共资源交易中心网站发布，视作已发放给所有投标人。</w:t>
      </w:r>
    </w:p>
    <w:p>
      <w:pPr>
        <w:pStyle w:val="7"/>
        <w:spacing w:line="360" w:lineRule="auto"/>
        <w:ind w:firstLine="118"/>
        <w:rPr>
          <w:rFonts w:ascii="宋体" w:eastAsia="宋体"/>
          <w:b/>
          <w:sz w:val="24"/>
          <w:szCs w:val="24"/>
        </w:rPr>
      </w:pPr>
      <w:bookmarkStart w:id="159" w:name="_Toc247527569"/>
      <w:bookmarkStart w:id="160" w:name="_Toc247513968"/>
      <w:bookmarkStart w:id="161" w:name="_Toc144974512"/>
      <w:bookmarkStart w:id="162" w:name="_Toc152042320"/>
      <w:bookmarkStart w:id="163" w:name="_Toc152045544"/>
      <w:bookmarkStart w:id="164" w:name="_Toc356469192"/>
      <w:bookmarkStart w:id="165" w:name="_Toc300834965"/>
      <w:bookmarkStart w:id="166" w:name="_Toc357089526"/>
      <w:bookmarkStart w:id="167" w:name="_Toc362816495"/>
      <w:r>
        <w:rPr>
          <w:rFonts w:hint="eastAsia" w:ascii="宋体" w:eastAsia="宋体"/>
          <w:b/>
          <w:sz w:val="24"/>
          <w:szCs w:val="24"/>
        </w:rPr>
        <w:t>2.2 招标文件的澄清</w:t>
      </w:r>
      <w:bookmarkEnd w:id="159"/>
      <w:bookmarkEnd w:id="160"/>
      <w:bookmarkEnd w:id="161"/>
      <w:bookmarkEnd w:id="162"/>
      <w:bookmarkEnd w:id="163"/>
      <w:bookmarkEnd w:id="164"/>
      <w:bookmarkEnd w:id="165"/>
      <w:bookmarkEnd w:id="166"/>
      <w:bookmarkEnd w:id="167"/>
    </w:p>
    <w:p>
      <w:pPr>
        <w:spacing w:line="360" w:lineRule="auto"/>
        <w:ind w:firstLine="411" w:firstLineChars="196"/>
        <w:rPr>
          <w:rFonts w:ascii="宋体" w:cs="宋体"/>
          <w:kern w:val="0"/>
          <w:szCs w:val="21"/>
          <w:u w:val="single"/>
        </w:rPr>
      </w:pPr>
      <w:r>
        <w:rPr>
          <w:rFonts w:hint="eastAsia" w:ascii="宋体"/>
          <w:kern w:val="0"/>
          <w:szCs w:val="21"/>
        </w:rPr>
        <w:t>2.2.1</w:t>
      </w:r>
      <w:r>
        <w:rPr>
          <w:rFonts w:hint="eastAsia" w:ascii="宋体" w:cs="宋体"/>
          <w:kern w:val="0"/>
          <w:szCs w:val="21"/>
          <w:u w:val="single"/>
        </w:rPr>
        <w:t>项目答疑纪要采用网上答疑方式进行。投标人若对招标文件有疑问的，可在规定的时间内通过广州公共资源交易中心网站进入提问区域将问题提交给招标人或招标代理人，提交问题时一律不得署名。</w:t>
      </w:r>
    </w:p>
    <w:p>
      <w:pPr>
        <w:spacing w:after="120" w:line="360" w:lineRule="auto"/>
        <w:ind w:firstLine="420" w:firstLineChars="200"/>
        <w:rPr>
          <w:rFonts w:ascii="宋体" w:cs="宋体"/>
          <w:kern w:val="0"/>
          <w:szCs w:val="21"/>
          <w:u w:val="single"/>
        </w:rPr>
      </w:pPr>
      <w:r>
        <w:rPr>
          <w:rFonts w:hint="eastAsia" w:ascii="宋体" w:cs="宋体"/>
          <w:kern w:val="0"/>
          <w:szCs w:val="21"/>
          <w:u w:val="single"/>
        </w:rPr>
        <w:t xml:space="preserve">网上答疑的操作指南为：登陆广州公共资源交易中心网站→进入“我是投标人”→进入“新建设工程交易平台”→进入“我的投标”→进入“招标答疑提问”→通过项目编号或名称找到所需的项目→在上述的答疑时间内点击“答疑提问”进入到提问区域→无记名或匿名提出问题。 </w:t>
      </w:r>
    </w:p>
    <w:p>
      <w:pPr>
        <w:spacing w:line="360" w:lineRule="auto"/>
        <w:ind w:firstLine="420" w:firstLineChars="200"/>
        <w:rPr>
          <w:rFonts w:ascii="宋体"/>
          <w:kern w:val="0"/>
          <w:szCs w:val="21"/>
          <w:u w:val="single"/>
        </w:rPr>
      </w:pPr>
      <w:r>
        <w:rPr>
          <w:rFonts w:hint="eastAsia" w:ascii="宋体"/>
          <w:kern w:val="0"/>
          <w:szCs w:val="21"/>
          <w:u w:val="single"/>
        </w:rPr>
        <w:t>2.2.2招标人应在投标截止时间15日前解答投标人对招标文件提出的疑问，形成答疑纪要，在交易中心网站“项目答疑纪要”专区发布。</w:t>
      </w:r>
    </w:p>
    <w:p>
      <w:pPr>
        <w:pStyle w:val="2"/>
        <w:spacing w:line="360" w:lineRule="auto"/>
        <w:ind w:firstLineChars="200"/>
        <w:rPr>
          <w:rFonts w:ascii="宋体"/>
          <w:sz w:val="21"/>
          <w:szCs w:val="21"/>
          <w:u w:val="single"/>
        </w:rPr>
      </w:pPr>
      <w:r>
        <w:rPr>
          <w:rFonts w:hint="eastAsia" w:ascii="宋体"/>
          <w:sz w:val="21"/>
          <w:szCs w:val="21"/>
          <w:u w:val="single"/>
        </w:rPr>
        <w:t>2.2.3招标答疑纪要一经在广州公共资源交易中心网站发布，视作已发放给所有投标人。</w:t>
      </w:r>
    </w:p>
    <w:p>
      <w:pPr>
        <w:pStyle w:val="2"/>
        <w:spacing w:line="360" w:lineRule="auto"/>
        <w:ind w:firstLineChars="200"/>
        <w:rPr>
          <w:rFonts w:ascii="宋体"/>
          <w:sz w:val="21"/>
          <w:szCs w:val="21"/>
          <w:u w:val="single"/>
        </w:rPr>
      </w:pPr>
      <w:r>
        <w:rPr>
          <w:rFonts w:hint="eastAsia" w:ascii="宋体"/>
          <w:sz w:val="21"/>
          <w:szCs w:val="21"/>
          <w:u w:val="single"/>
        </w:rPr>
        <w:t>2.2.4招标答疑纪要为招标文件的一部分。投标人可在广州公共资源交易中心网站浏览、下载招标答疑纪要。</w:t>
      </w:r>
    </w:p>
    <w:p>
      <w:pPr>
        <w:spacing w:line="360" w:lineRule="auto"/>
        <w:ind w:firstLine="420" w:firstLineChars="200"/>
        <w:rPr>
          <w:rFonts w:ascii="宋体"/>
          <w:kern w:val="0"/>
        </w:rPr>
      </w:pPr>
      <w:r>
        <w:rPr>
          <w:rFonts w:hint="eastAsia" w:ascii="宋体"/>
          <w:kern w:val="0"/>
          <w:szCs w:val="21"/>
          <w:u w:val="single"/>
        </w:rPr>
        <w:t>2.2.5若招标答疑纪要与招标文件有矛盾时，以广州公共资源交易中心网站最后发布的答疑纪要为准。</w:t>
      </w:r>
    </w:p>
    <w:p>
      <w:pPr>
        <w:pStyle w:val="7"/>
        <w:spacing w:line="360" w:lineRule="auto"/>
        <w:ind w:firstLine="118"/>
        <w:rPr>
          <w:rFonts w:ascii="宋体" w:eastAsia="宋体"/>
          <w:b/>
          <w:sz w:val="24"/>
          <w:szCs w:val="24"/>
        </w:rPr>
      </w:pPr>
      <w:bookmarkStart w:id="168" w:name="_Toc362816496"/>
      <w:bookmarkStart w:id="169" w:name="_Toc357089527"/>
      <w:bookmarkStart w:id="170" w:name="_Toc247513969"/>
      <w:bookmarkStart w:id="171" w:name="_Toc356469193"/>
      <w:bookmarkStart w:id="172" w:name="_Toc152045545"/>
      <w:bookmarkStart w:id="173" w:name="_Toc247527570"/>
      <w:bookmarkStart w:id="174" w:name="_Toc152042321"/>
      <w:bookmarkStart w:id="175" w:name="_Toc144974513"/>
      <w:bookmarkStart w:id="176" w:name="_Toc300834966"/>
      <w:r>
        <w:rPr>
          <w:rFonts w:hint="eastAsia" w:ascii="宋体" w:eastAsia="宋体"/>
          <w:b/>
          <w:sz w:val="24"/>
          <w:szCs w:val="24"/>
        </w:rPr>
        <w:t>2.3 招标文件的修改</w:t>
      </w:r>
      <w:bookmarkEnd w:id="168"/>
      <w:bookmarkEnd w:id="169"/>
      <w:bookmarkEnd w:id="170"/>
      <w:bookmarkEnd w:id="171"/>
      <w:bookmarkEnd w:id="172"/>
      <w:bookmarkEnd w:id="173"/>
      <w:bookmarkEnd w:id="174"/>
      <w:bookmarkEnd w:id="175"/>
      <w:bookmarkEnd w:id="176"/>
    </w:p>
    <w:p>
      <w:pPr>
        <w:pStyle w:val="2"/>
        <w:spacing w:line="360" w:lineRule="auto"/>
        <w:ind w:firstLineChars="200"/>
        <w:rPr>
          <w:rFonts w:ascii="宋体"/>
          <w:sz w:val="21"/>
          <w:szCs w:val="21"/>
          <w:u w:val="single"/>
        </w:rPr>
      </w:pPr>
      <w:r>
        <w:rPr>
          <w:rFonts w:hint="eastAsia" w:ascii="宋体"/>
          <w:sz w:val="21"/>
          <w:szCs w:val="21"/>
          <w:u w:val="single"/>
        </w:rPr>
        <w:t>2.3.1招标文件发出后,在提交投标文件截止时间15日前，招标人可对招标文件进行必要的澄清或修改。</w:t>
      </w:r>
    </w:p>
    <w:p>
      <w:pPr>
        <w:pStyle w:val="2"/>
        <w:spacing w:line="360" w:lineRule="auto"/>
        <w:ind w:left="-1" w:firstLineChars="200"/>
        <w:rPr>
          <w:rFonts w:ascii="宋体"/>
          <w:sz w:val="21"/>
          <w:szCs w:val="21"/>
          <w:u w:val="single"/>
        </w:rPr>
      </w:pPr>
      <w:r>
        <w:rPr>
          <w:rFonts w:hint="eastAsia" w:ascii="宋体"/>
          <w:sz w:val="21"/>
          <w:szCs w:val="21"/>
          <w:u w:val="single"/>
        </w:rPr>
        <w:t>2.3.2招标文件的澄清或修改在广州公共资源交易中心网站发布。招标文件的澄清或修改一经在广州公共资源交易中心网站发布，视作已发放给所有投标人，招标文件的修改内容作为招标文件的组成部分，具有约束作用。</w:t>
      </w:r>
    </w:p>
    <w:p>
      <w:pPr>
        <w:pStyle w:val="2"/>
        <w:spacing w:line="360" w:lineRule="auto"/>
        <w:ind w:firstLineChars="200"/>
        <w:rPr>
          <w:rFonts w:ascii="宋体"/>
          <w:sz w:val="21"/>
          <w:szCs w:val="21"/>
          <w:u w:val="single"/>
        </w:rPr>
      </w:pPr>
      <w:r>
        <w:rPr>
          <w:rFonts w:hint="eastAsia" w:ascii="宋体"/>
          <w:sz w:val="21"/>
          <w:szCs w:val="21"/>
          <w:u w:val="single"/>
        </w:rPr>
        <w:t>2.3.3招标文件的澄清、修改均以广州公共资源交易中心网站发布的内容为准。当招标文件的澄清、修改在同一内容的表述不一致时，以广州公共资源交易中心网站最后发布的内容为准。</w:t>
      </w:r>
    </w:p>
    <w:p>
      <w:pPr>
        <w:spacing w:line="360" w:lineRule="auto"/>
        <w:ind w:firstLine="420" w:firstLineChars="200"/>
        <w:rPr>
          <w:rFonts w:ascii="宋体"/>
          <w:kern w:val="0"/>
          <w:szCs w:val="21"/>
          <w:u w:val="single"/>
        </w:rPr>
      </w:pPr>
      <w:r>
        <w:rPr>
          <w:rFonts w:hint="eastAsia" w:ascii="宋体"/>
          <w:kern w:val="0"/>
          <w:szCs w:val="21"/>
          <w:u w:val="single"/>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6"/>
        <w:rPr>
          <w:rFonts w:ascii="宋体"/>
        </w:rPr>
      </w:pPr>
      <w:bookmarkStart w:id="177" w:name="_Toc375931087"/>
      <w:bookmarkStart w:id="178" w:name="_Toc26056"/>
      <w:bookmarkStart w:id="179" w:name="_Toc443505825"/>
      <w:r>
        <w:rPr>
          <w:rFonts w:hint="eastAsia" w:ascii="宋体"/>
        </w:rPr>
        <w:t>3. 投标文件</w:t>
      </w:r>
      <w:bookmarkEnd w:id="177"/>
      <w:bookmarkEnd w:id="178"/>
      <w:bookmarkEnd w:id="179"/>
    </w:p>
    <w:p>
      <w:pPr>
        <w:pStyle w:val="7"/>
        <w:spacing w:line="360" w:lineRule="auto"/>
        <w:ind w:firstLine="137"/>
        <w:rPr>
          <w:rFonts w:ascii="宋体" w:eastAsia="宋体"/>
        </w:rPr>
      </w:pPr>
      <w:bookmarkStart w:id="180" w:name="_Toc300834968"/>
      <w:bookmarkStart w:id="181" w:name="_Toc356469195"/>
      <w:bookmarkStart w:id="182" w:name="_Toc152045547"/>
      <w:bookmarkStart w:id="183" w:name="_Toc152042323"/>
      <w:bookmarkStart w:id="184" w:name="_Toc362816498"/>
      <w:bookmarkStart w:id="185" w:name="_Toc144974515"/>
      <w:bookmarkStart w:id="186" w:name="_Toc357089529"/>
      <w:bookmarkStart w:id="187" w:name="_Toc247527572"/>
      <w:bookmarkStart w:id="188" w:name="_Toc247513971"/>
      <w:r>
        <w:rPr>
          <w:rFonts w:hint="eastAsia" w:ascii="宋体" w:eastAsia="宋体"/>
        </w:rPr>
        <w:t>3.1 投标文件的组成</w:t>
      </w:r>
      <w:bookmarkEnd w:id="180"/>
      <w:bookmarkEnd w:id="181"/>
      <w:bookmarkEnd w:id="182"/>
      <w:bookmarkEnd w:id="183"/>
      <w:bookmarkEnd w:id="184"/>
      <w:bookmarkEnd w:id="185"/>
      <w:bookmarkEnd w:id="186"/>
      <w:bookmarkEnd w:id="187"/>
      <w:bookmarkEnd w:id="188"/>
    </w:p>
    <w:p>
      <w:pPr>
        <w:pStyle w:val="2"/>
        <w:spacing w:line="360" w:lineRule="auto"/>
        <w:ind w:firstLineChars="200"/>
        <w:rPr>
          <w:rFonts w:ascii="宋体"/>
          <w:sz w:val="21"/>
          <w:szCs w:val="21"/>
        </w:rPr>
      </w:pPr>
      <w:r>
        <w:rPr>
          <w:rFonts w:hint="eastAsia" w:ascii="宋体"/>
          <w:sz w:val="21"/>
          <w:szCs w:val="21"/>
        </w:rPr>
        <w:t>3.1.1</w:t>
      </w:r>
      <w:r>
        <w:rPr>
          <w:rFonts w:hint="eastAsia" w:ascii="宋体"/>
          <w:b/>
          <w:sz w:val="21"/>
          <w:szCs w:val="21"/>
          <w:u w:val="single"/>
        </w:rPr>
        <w:t>投标文件由</w:t>
      </w:r>
      <w:r>
        <w:rPr>
          <w:rFonts w:hint="eastAsia" w:ascii="宋体" w:cs="宋体"/>
          <w:b/>
          <w:sz w:val="21"/>
          <w:szCs w:val="21"/>
        </w:rPr>
        <w:t>资格审查文件、工程总承包实施方案投标文件两</w:t>
      </w:r>
      <w:r>
        <w:rPr>
          <w:rFonts w:hint="eastAsia" w:ascii="宋体" w:cs="宋体"/>
          <w:b/>
          <w:bCs/>
          <w:sz w:val="21"/>
          <w:szCs w:val="21"/>
        </w:rPr>
        <w:t>部分投标文件组成。如招标文件没有格式规定的，由投标人自行编制。</w:t>
      </w:r>
    </w:p>
    <w:p>
      <w:pPr>
        <w:spacing w:before="156" w:line="360" w:lineRule="auto"/>
        <w:ind w:firstLine="422" w:firstLineChars="200"/>
        <w:rPr>
          <w:rFonts w:ascii="宋体"/>
          <w:b/>
          <w:kern w:val="0"/>
          <w:szCs w:val="21"/>
          <w:u w:val="single"/>
        </w:rPr>
      </w:pPr>
      <w:r>
        <w:rPr>
          <w:rFonts w:hint="eastAsia" w:ascii="宋体"/>
          <w:b/>
          <w:kern w:val="0"/>
          <w:szCs w:val="21"/>
          <w:u w:val="single"/>
        </w:rPr>
        <w:t>3.1.2资格审查文件</w:t>
      </w:r>
    </w:p>
    <w:p>
      <w:pPr>
        <w:spacing w:line="360" w:lineRule="auto"/>
        <w:ind w:firstLine="420" w:firstLineChars="200"/>
        <w:rPr>
          <w:rFonts w:ascii="宋体" w:cs="宋体"/>
          <w:bCs/>
          <w:kern w:val="0"/>
          <w:szCs w:val="21"/>
          <w:u w:val="single"/>
        </w:rPr>
      </w:pPr>
      <w:r>
        <w:rPr>
          <w:rFonts w:hint="eastAsia" w:ascii="宋体"/>
          <w:kern w:val="0"/>
          <w:szCs w:val="21"/>
          <w:u w:val="single"/>
        </w:rPr>
        <w:t>1）按照招标公告要求编制，</w:t>
      </w:r>
      <w:r>
        <w:rPr>
          <w:rFonts w:hint="eastAsia" w:ascii="宋体" w:cs="宋体"/>
          <w:bCs/>
          <w:kern w:val="0"/>
          <w:szCs w:val="21"/>
          <w:u w:val="single"/>
        </w:rPr>
        <w:t>投标人资格审查合格应满足</w:t>
      </w:r>
      <w:r>
        <w:rPr>
          <w:rFonts w:hint="eastAsia" w:ascii="宋体" w:cs="Calibri"/>
          <w:kern w:val="0"/>
          <w:szCs w:val="21"/>
          <w:u w:val="single"/>
        </w:rPr>
        <w:t>招标公告第十条单列的投标人合格条件</w:t>
      </w:r>
      <w:r>
        <w:rPr>
          <w:rFonts w:hint="eastAsia" w:ascii="宋体" w:cs="宋体"/>
          <w:bCs/>
          <w:kern w:val="0"/>
          <w:szCs w:val="21"/>
          <w:u w:val="single"/>
        </w:rPr>
        <w:t>。</w:t>
      </w:r>
    </w:p>
    <w:p>
      <w:pPr>
        <w:spacing w:line="360" w:lineRule="auto"/>
        <w:ind w:firstLine="420" w:firstLineChars="200"/>
        <w:rPr>
          <w:rFonts w:ascii="宋体"/>
          <w:kern w:val="0"/>
          <w:szCs w:val="21"/>
        </w:rPr>
      </w:pPr>
      <w:r>
        <w:rPr>
          <w:rFonts w:hint="eastAsia" w:ascii="宋体" w:cs="宋体"/>
          <w:bCs/>
          <w:kern w:val="0"/>
          <w:szCs w:val="21"/>
          <w:u w:val="single"/>
        </w:rPr>
        <w:t>2）电子文件（与电子投标文件内容一致、完整的电子文件,）介质使用光盘，所有电子文件不能采用压缩处理，</w:t>
      </w:r>
      <w:r>
        <w:rPr>
          <w:rFonts w:hint="eastAsia" w:ascii="宋体" w:cs="宋体"/>
          <w:kern w:val="0"/>
          <w:szCs w:val="21"/>
          <w:u w:val="single"/>
        </w:rPr>
        <w:t>其内容应与投标人上传广州公共资源交易中心的电子投标文件内容一致，如有不同，以上传系统的电子投标文件为准；电子文件介质为光盘，所有电子文件不能采用压缩处理。</w:t>
      </w:r>
      <w:r>
        <w:rPr>
          <w:rFonts w:hint="eastAsia" w:ascii="宋体"/>
          <w:kern w:val="0"/>
          <w:szCs w:val="21"/>
          <w:u w:val="single"/>
        </w:rPr>
        <w:t xml:space="preserve"> </w:t>
      </w:r>
    </w:p>
    <w:p>
      <w:pPr>
        <w:spacing w:line="360" w:lineRule="auto"/>
        <w:ind w:firstLine="422" w:firstLineChars="200"/>
        <w:rPr>
          <w:rFonts w:ascii="宋体" w:cs="宋体"/>
          <w:b/>
          <w:bCs/>
          <w:kern w:val="0"/>
          <w:szCs w:val="21"/>
          <w:u w:val="single"/>
        </w:rPr>
      </w:pPr>
      <w:r>
        <w:rPr>
          <w:rFonts w:hint="eastAsia" w:ascii="宋体" w:cs="宋体"/>
          <w:b/>
          <w:bCs/>
          <w:kern w:val="0"/>
          <w:szCs w:val="21"/>
          <w:u w:val="single"/>
        </w:rPr>
        <w:t>3.1.3工程总承包实施方案投标文件</w:t>
      </w:r>
    </w:p>
    <w:p>
      <w:pPr>
        <w:spacing w:line="360" w:lineRule="auto"/>
        <w:rPr>
          <w:rFonts w:ascii="宋体"/>
          <w:kern w:val="0"/>
          <w:szCs w:val="24"/>
          <w:u w:val="single"/>
        </w:rPr>
      </w:pPr>
      <w:r>
        <w:rPr>
          <w:rFonts w:hint="eastAsia" w:ascii="宋体"/>
          <w:kern w:val="0"/>
          <w:szCs w:val="24"/>
          <w:u w:val="single"/>
        </w:rPr>
        <w:t>包括但不限于下列内容：</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1）广州建设工程招标投标书（按招标文件提供的格式填写）。</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2）法人代表证明书、法人代表签字或盖章的本投标文件授权委托证明书。</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3）联合体投标协议书（按招标公告提供的格式填写，单独投标的，无需提交本协议书）。</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4）投标承诺书等招标文件出现的投标格式（按招标文件提供的格式填写）。</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5）《参与编制投标文件人员名单》。</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6）工程总承包实施方案（按附表3《工程总承包实施方案投标文件详细审查评分标准》要求提交）。</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7）投标人认为应该提供的其他资料。</w:t>
      </w:r>
    </w:p>
    <w:p>
      <w:pPr>
        <w:spacing w:line="360" w:lineRule="auto"/>
        <w:ind w:firstLine="420" w:firstLineChars="200"/>
        <w:rPr>
          <w:rFonts w:ascii="宋体" w:cs="宋体"/>
          <w:bCs/>
          <w:kern w:val="0"/>
          <w:szCs w:val="21"/>
          <w:u w:val="single"/>
        </w:rPr>
      </w:pPr>
      <w:r>
        <w:rPr>
          <w:rFonts w:hint="eastAsia" w:ascii="宋体" w:cs="宋体"/>
          <w:bCs/>
          <w:kern w:val="0"/>
          <w:szCs w:val="21"/>
          <w:u w:val="single"/>
        </w:rPr>
        <w:t>8）电子文件（与电子投标文件内容一致、完整的电子文件）,电子文件介质使用光盘，所有电子文件不能采用压缩处理，其内容应与投标人上传广州公共资源交易中心的电子投标文件内容一致，如有不同，以上传系统的电子投标文件为准；电子文件介质为光盘，所有电子文件不能采用压缩处理。</w:t>
      </w:r>
    </w:p>
    <w:p>
      <w:pPr>
        <w:pStyle w:val="7"/>
        <w:spacing w:line="360" w:lineRule="auto"/>
        <w:ind w:firstLine="137"/>
        <w:rPr>
          <w:rFonts w:ascii="宋体" w:eastAsia="宋体"/>
        </w:rPr>
      </w:pPr>
      <w:r>
        <w:rPr>
          <w:rFonts w:hint="eastAsia" w:ascii="宋体" w:eastAsia="宋体"/>
        </w:rPr>
        <w:t>3.2 投标报价</w:t>
      </w:r>
    </w:p>
    <w:p>
      <w:pPr>
        <w:spacing w:line="360" w:lineRule="auto"/>
        <w:ind w:firstLine="420" w:firstLineChars="200"/>
        <w:rPr>
          <w:rFonts w:ascii="宋体"/>
          <w:kern w:val="0"/>
        </w:rPr>
      </w:pPr>
      <w:r>
        <w:rPr>
          <w:rFonts w:hint="eastAsia" w:ascii="宋体"/>
          <w:kern w:val="0"/>
          <w:szCs w:val="21"/>
        </w:rPr>
        <w:t xml:space="preserve">3.2.1 </w:t>
      </w:r>
      <w:r>
        <w:rPr>
          <w:rFonts w:hint="eastAsia" w:ascii="宋体"/>
          <w:kern w:val="0"/>
        </w:rPr>
        <w:t>本工程的投标报价按照第3.2.3.2项所规定的方式。</w:t>
      </w:r>
    </w:p>
    <w:p>
      <w:pPr>
        <w:spacing w:line="360" w:lineRule="auto"/>
        <w:ind w:firstLine="420" w:firstLineChars="200"/>
        <w:rPr>
          <w:rFonts w:ascii="宋体"/>
          <w:kern w:val="0"/>
          <w:szCs w:val="21"/>
        </w:rPr>
      </w:pPr>
      <w:r>
        <w:rPr>
          <w:rFonts w:hint="eastAsia" w:ascii="宋体"/>
          <w:kern w:val="0"/>
          <w:szCs w:val="21"/>
        </w:rPr>
        <w:t>3.2.2 投标人应</w:t>
      </w:r>
      <w:r>
        <w:rPr>
          <w:rFonts w:hint="eastAsia" w:ascii="宋体"/>
          <w:kern w:val="0"/>
        </w:rPr>
        <w:t>充分了解</w:t>
      </w:r>
      <w:r>
        <w:rPr>
          <w:rFonts w:hint="eastAsia" w:ascii="宋体"/>
          <w:kern w:val="0"/>
          <w:szCs w:val="21"/>
        </w:rPr>
        <w:t>施工场地的位置、周边环境、道路、装卸、保管、安装限制以及影响投标报价的其他要素。投标人根据投标设计，结合市场情况进行投标报价。</w:t>
      </w:r>
    </w:p>
    <w:p>
      <w:pPr>
        <w:spacing w:line="360" w:lineRule="auto"/>
        <w:ind w:firstLine="420" w:firstLineChars="200"/>
        <w:rPr>
          <w:rFonts w:ascii="宋体"/>
          <w:kern w:val="0"/>
        </w:rPr>
      </w:pPr>
      <w:r>
        <w:rPr>
          <w:rFonts w:hint="eastAsia" w:ascii="宋体"/>
          <w:kern w:val="0"/>
        </w:rPr>
        <w:t>3.2.3 招标人设有最高投标限价的，投标人的投标报价不得超过最高投标限价。见投标人须知前附表。</w:t>
      </w:r>
    </w:p>
    <w:p>
      <w:pPr>
        <w:spacing w:line="360" w:lineRule="auto"/>
        <w:ind w:firstLine="420" w:firstLineChars="200"/>
        <w:rPr>
          <w:rFonts w:ascii="宋体"/>
          <w:kern w:val="0"/>
          <w:szCs w:val="21"/>
          <w:u w:val="single"/>
        </w:rPr>
      </w:pPr>
      <w:r>
        <w:rPr>
          <w:rFonts w:hint="eastAsia" w:ascii="宋体"/>
          <w:kern w:val="0"/>
          <w:szCs w:val="21"/>
          <w:u w:val="single"/>
        </w:rPr>
        <w:t>3.2.3.1招标人按照招标需求制定最高投标限价。此处的最高投标限价有两个含义，①最高投标总限价，②勘察设计费最高投标限价（包括勘察费最高投标限价和设计费最高投标限价）、施工费最高投标限价，列于本招标文件第一章中。投标人按照招标人提供的格式报价，其中。勘察设计费、施工费所报金额不得超出招标人规定的相应最高投标限价。</w:t>
      </w:r>
    </w:p>
    <w:p>
      <w:pPr>
        <w:spacing w:line="360" w:lineRule="auto"/>
        <w:ind w:firstLine="420" w:firstLineChars="200"/>
        <w:rPr>
          <w:rFonts w:ascii="宋体"/>
          <w:kern w:val="0"/>
          <w:szCs w:val="21"/>
          <w:u w:val="single"/>
        </w:rPr>
      </w:pPr>
      <w:r>
        <w:rPr>
          <w:rFonts w:hint="eastAsia" w:ascii="宋体"/>
          <w:kern w:val="0"/>
          <w:szCs w:val="21"/>
          <w:u w:val="single"/>
        </w:rPr>
        <w:t>3.2.3.1.1投标报价未按照规定报价的，其投标文件将作为废标。每一项费用只允许有一个报价，任何有选择的报价或未填报单价的投标文件将不予接受。</w:t>
      </w:r>
    </w:p>
    <w:p>
      <w:pPr>
        <w:spacing w:line="360" w:lineRule="auto"/>
        <w:ind w:firstLine="420" w:firstLineChars="200"/>
        <w:rPr>
          <w:rFonts w:ascii="宋体"/>
          <w:kern w:val="0"/>
          <w:szCs w:val="21"/>
          <w:u w:val="single"/>
        </w:rPr>
      </w:pPr>
      <w:r>
        <w:rPr>
          <w:rFonts w:hint="eastAsia" w:ascii="宋体"/>
          <w:kern w:val="0"/>
          <w:szCs w:val="21"/>
          <w:u w:val="single"/>
        </w:rPr>
        <w:t>3.2.3.2投标人的投标总报价，包括勘察设计费和施工费。投标人应按照投标人须知前附表第 1.3.2 项的工期要求，在投标人须知前附表第 1.1.5 项的建设地点，完成投标人须知前附表第 1.3.1项的招标范围列明工作的全部费用，包括但不限于完成全部勘察、设计、建安工程工作的成本、利润、税金、技术措施费、大型机械进出场费、风险费以及政策性文件规定费用等，不得以任何理由予以重复计算。</w:t>
      </w:r>
    </w:p>
    <w:p>
      <w:pPr>
        <w:spacing w:line="360" w:lineRule="auto"/>
        <w:ind w:firstLine="420" w:firstLineChars="200"/>
        <w:rPr>
          <w:rFonts w:ascii="宋体"/>
          <w:kern w:val="0"/>
        </w:rPr>
      </w:pPr>
      <w:r>
        <w:rPr>
          <w:rFonts w:hint="eastAsia" w:ascii="宋体"/>
          <w:kern w:val="0"/>
          <w:szCs w:val="21"/>
        </w:rPr>
        <w:t xml:space="preserve">3.2.4 </w:t>
      </w:r>
      <w:r>
        <w:rPr>
          <w:rFonts w:hint="eastAsia" w:ascii="宋体"/>
          <w:kern w:val="0"/>
        </w:rPr>
        <w:t>投标报价的其他要求见投标人须知前附表。</w:t>
      </w:r>
    </w:p>
    <w:p>
      <w:pPr>
        <w:pStyle w:val="7"/>
        <w:spacing w:before="0" w:after="0" w:line="360" w:lineRule="auto"/>
        <w:ind w:firstLine="354" w:firstLineChars="147"/>
        <w:rPr>
          <w:rFonts w:ascii="宋体" w:eastAsia="宋体"/>
          <w:b/>
          <w:sz w:val="24"/>
          <w:szCs w:val="24"/>
        </w:rPr>
      </w:pPr>
      <w:r>
        <w:rPr>
          <w:rFonts w:hint="eastAsia" w:ascii="宋体" w:eastAsia="宋体"/>
          <w:b/>
          <w:sz w:val="24"/>
          <w:szCs w:val="24"/>
        </w:rPr>
        <w:t>3.3 投标有效期</w:t>
      </w:r>
    </w:p>
    <w:p>
      <w:pPr>
        <w:spacing w:line="360" w:lineRule="auto"/>
        <w:ind w:firstLine="420" w:firstLineChars="200"/>
        <w:rPr>
          <w:rFonts w:ascii="宋体"/>
          <w:kern w:val="0"/>
          <w:szCs w:val="21"/>
        </w:rPr>
      </w:pPr>
      <w:r>
        <w:rPr>
          <w:rFonts w:hint="eastAsia" w:ascii="宋体"/>
          <w:kern w:val="0"/>
          <w:szCs w:val="21"/>
        </w:rPr>
        <w:t>3.3.1</w:t>
      </w:r>
      <w:r>
        <w:rPr>
          <w:rFonts w:hint="eastAsia" w:ascii="宋体"/>
          <w:kern w:val="0"/>
          <w:u w:val="single"/>
        </w:rPr>
        <w:t>投标有效期按须知前附表的规定。</w:t>
      </w:r>
    </w:p>
    <w:p>
      <w:pPr>
        <w:spacing w:line="360" w:lineRule="auto"/>
        <w:ind w:firstLine="420" w:firstLineChars="200"/>
        <w:rPr>
          <w:rFonts w:ascii="宋体"/>
          <w:kern w:val="0"/>
          <w:szCs w:val="21"/>
        </w:rPr>
      </w:pPr>
      <w:r>
        <w:rPr>
          <w:rFonts w:hint="eastAsia" w:ascii="宋体"/>
          <w:kern w:val="0"/>
          <w:szCs w:val="21"/>
        </w:rPr>
        <w:t>3.3.2 在投标有效期内，投标人撤销或修改其投标文件的，应承担招标文件和法律规定的责任。</w:t>
      </w:r>
    </w:p>
    <w:p>
      <w:pPr>
        <w:spacing w:line="360" w:lineRule="auto"/>
        <w:ind w:firstLine="420" w:firstLineChars="200"/>
        <w:rPr>
          <w:rFonts w:ascii="宋体"/>
          <w:kern w:val="0"/>
          <w:szCs w:val="21"/>
        </w:rPr>
      </w:pPr>
      <w:r>
        <w:rPr>
          <w:rFonts w:hint="eastAsia" w:ascii="宋体"/>
          <w:kern w:val="0"/>
          <w:szCs w:val="21"/>
        </w:rPr>
        <w:t xml:space="preserve">3.3.3 出现特殊情况需要延长投标有效期的，招标人以书面形式通知所有投标人延长投标有效期。投标人同意延长的，应相应延长其投标担保的有效期，但不得要求或被允许修改或撤销其投标文件；投标人拒绝延长的，其投标失效，但投标人有权收回其投标担保。 </w:t>
      </w:r>
    </w:p>
    <w:p>
      <w:pPr>
        <w:pStyle w:val="7"/>
        <w:spacing w:before="0" w:after="0" w:line="360" w:lineRule="auto"/>
        <w:ind w:firstLine="361" w:firstLineChars="150"/>
        <w:rPr>
          <w:rFonts w:ascii="宋体" w:eastAsia="宋体"/>
          <w:b/>
          <w:sz w:val="24"/>
          <w:szCs w:val="24"/>
        </w:rPr>
      </w:pPr>
      <w:r>
        <w:rPr>
          <w:rFonts w:hint="eastAsia" w:ascii="宋体" w:eastAsia="宋体"/>
          <w:b/>
          <w:sz w:val="24"/>
          <w:szCs w:val="24"/>
        </w:rPr>
        <w:t>3.4 投标担保</w:t>
      </w:r>
    </w:p>
    <w:p>
      <w:pPr>
        <w:spacing w:line="360" w:lineRule="auto"/>
        <w:ind w:firstLine="420" w:firstLineChars="200"/>
        <w:rPr>
          <w:rFonts w:ascii="宋体"/>
          <w:kern w:val="0"/>
          <w:szCs w:val="21"/>
        </w:rPr>
      </w:pPr>
      <w:r>
        <w:rPr>
          <w:rFonts w:hint="eastAsia" w:ascii="宋体"/>
          <w:kern w:val="0"/>
          <w:szCs w:val="21"/>
        </w:rPr>
        <w:t>3.4.1 投标人应按投标人须知前附表所述的规定金额、时间、担保形式递交投标担保。联合体投标的，其投标担保由牵头人递交，并应符合投标人须知前附表的规定。</w:t>
      </w:r>
    </w:p>
    <w:p>
      <w:pPr>
        <w:spacing w:line="360" w:lineRule="auto"/>
        <w:ind w:firstLine="420" w:firstLineChars="200"/>
        <w:rPr>
          <w:rFonts w:ascii="宋体"/>
          <w:kern w:val="0"/>
          <w:szCs w:val="21"/>
        </w:rPr>
      </w:pPr>
      <w:r>
        <w:rPr>
          <w:rFonts w:hint="eastAsia" w:ascii="宋体"/>
          <w:kern w:val="0"/>
          <w:szCs w:val="21"/>
        </w:rPr>
        <w:t>3.4.2 投标人不按本章第3.4.1项要求提交投标担保的，评标委员会将否决其投标。</w:t>
      </w:r>
    </w:p>
    <w:p>
      <w:pPr>
        <w:spacing w:line="360" w:lineRule="auto"/>
        <w:ind w:firstLine="420" w:firstLineChars="200"/>
        <w:rPr>
          <w:rFonts w:ascii="宋体"/>
          <w:kern w:val="0"/>
          <w:szCs w:val="21"/>
        </w:rPr>
      </w:pPr>
      <w:r>
        <w:rPr>
          <w:rFonts w:hint="eastAsia" w:ascii="宋体"/>
          <w:kern w:val="0"/>
          <w:szCs w:val="21"/>
        </w:rPr>
        <w:t>3.4.3未中标的投标担保将尽快退还，最迟不超过招标人与中标人签定合同后的5个工作日。中标人的投标担保，在签署合同并按要求提供了履约担保后予以退还。</w:t>
      </w:r>
    </w:p>
    <w:p>
      <w:pPr>
        <w:spacing w:line="360" w:lineRule="auto"/>
        <w:ind w:firstLine="422" w:firstLineChars="200"/>
        <w:rPr>
          <w:rFonts w:ascii="宋体"/>
          <w:b/>
          <w:kern w:val="0"/>
          <w:szCs w:val="21"/>
        </w:rPr>
      </w:pPr>
      <w:r>
        <w:rPr>
          <w:rFonts w:hint="eastAsia" w:ascii="宋体"/>
          <w:b/>
          <w:kern w:val="0"/>
          <w:szCs w:val="21"/>
        </w:rPr>
        <w:t xml:space="preserve">3.4.4有下列情形之一的，投标担保将不予退还： </w:t>
      </w:r>
    </w:p>
    <w:p>
      <w:pPr>
        <w:spacing w:line="360" w:lineRule="auto"/>
        <w:ind w:firstLine="420" w:firstLineChars="200"/>
        <w:rPr>
          <w:rFonts w:ascii="宋体"/>
          <w:kern w:val="0"/>
          <w:szCs w:val="21"/>
        </w:rPr>
      </w:pPr>
      <w:r>
        <w:rPr>
          <w:rFonts w:hint="eastAsia" w:ascii="宋体"/>
          <w:kern w:val="0"/>
          <w:szCs w:val="21"/>
        </w:rPr>
        <w:t>1.投标人在规定的投标有效期内撤销或修改其投标文件；</w:t>
      </w:r>
    </w:p>
    <w:p>
      <w:pPr>
        <w:spacing w:line="360" w:lineRule="auto"/>
        <w:ind w:firstLine="420" w:firstLineChars="200"/>
        <w:rPr>
          <w:rFonts w:ascii="宋体"/>
          <w:kern w:val="0"/>
          <w:szCs w:val="21"/>
        </w:rPr>
      </w:pPr>
      <w:r>
        <w:rPr>
          <w:rFonts w:hint="eastAsia" w:ascii="宋体"/>
          <w:kern w:val="0"/>
          <w:szCs w:val="21"/>
        </w:rPr>
        <w:t>2.投标人提供了虚假的证明材料；</w:t>
      </w:r>
    </w:p>
    <w:p>
      <w:pPr>
        <w:spacing w:line="360" w:lineRule="auto"/>
        <w:ind w:firstLine="420" w:firstLineChars="200"/>
        <w:rPr>
          <w:rFonts w:ascii="宋体"/>
          <w:kern w:val="0"/>
          <w:szCs w:val="21"/>
        </w:rPr>
      </w:pPr>
      <w:r>
        <w:rPr>
          <w:rFonts w:hint="eastAsia" w:ascii="宋体"/>
          <w:kern w:val="0"/>
          <w:szCs w:val="21"/>
        </w:rPr>
        <w:t>3.中标候选人放弃中标；</w:t>
      </w:r>
    </w:p>
    <w:p>
      <w:pPr>
        <w:spacing w:line="360" w:lineRule="auto"/>
        <w:ind w:firstLine="420" w:firstLineChars="200"/>
        <w:rPr>
          <w:rFonts w:ascii="宋体"/>
          <w:kern w:val="0"/>
          <w:szCs w:val="21"/>
        </w:rPr>
      </w:pPr>
      <w:r>
        <w:rPr>
          <w:rFonts w:hint="eastAsia" w:ascii="宋体"/>
          <w:kern w:val="0"/>
          <w:szCs w:val="21"/>
        </w:rPr>
        <w:t>4.中标人在收到中标通知书后，无正当理由拒签合同或未按招标文件规定提交履约担保。</w:t>
      </w:r>
    </w:p>
    <w:p>
      <w:pPr>
        <w:spacing w:line="360" w:lineRule="auto"/>
        <w:ind w:firstLine="422" w:firstLineChars="200"/>
        <w:rPr>
          <w:rFonts w:ascii="宋体"/>
          <w:b/>
          <w:kern w:val="0"/>
          <w:szCs w:val="21"/>
        </w:rPr>
      </w:pPr>
      <w:r>
        <w:rPr>
          <w:rFonts w:hint="eastAsia" w:ascii="宋体"/>
          <w:b/>
          <w:kern w:val="0"/>
          <w:szCs w:val="21"/>
        </w:rPr>
        <w:t>3.4.5投标人如存在下列情况之一的，将被拒绝在一定时期内参与招标人后续工程投标（拒绝时限需在招标文件中明确）：</w:t>
      </w:r>
    </w:p>
    <w:p>
      <w:pPr>
        <w:spacing w:line="360" w:lineRule="auto"/>
        <w:ind w:firstLine="422" w:firstLineChars="200"/>
        <w:rPr>
          <w:rFonts w:ascii="宋体"/>
          <w:b/>
          <w:kern w:val="0"/>
          <w:szCs w:val="21"/>
        </w:rPr>
      </w:pPr>
      <w:r>
        <w:rPr>
          <w:rFonts w:hint="eastAsia" w:ascii="宋体"/>
          <w:b/>
          <w:kern w:val="0"/>
          <w:szCs w:val="21"/>
        </w:rPr>
        <w:t>1.投标人存在3.4.4条款所列情形且投标人提交的保函、担保或保证保险无法兑付的；</w:t>
      </w:r>
    </w:p>
    <w:p>
      <w:pPr>
        <w:spacing w:line="360" w:lineRule="auto"/>
        <w:ind w:firstLine="422" w:firstLineChars="200"/>
        <w:rPr>
          <w:rFonts w:ascii="宋体"/>
          <w:b/>
          <w:kern w:val="0"/>
          <w:szCs w:val="21"/>
        </w:rPr>
      </w:pPr>
      <w:r>
        <w:rPr>
          <w:rFonts w:hint="eastAsia" w:ascii="宋体"/>
          <w:b/>
          <w:kern w:val="0"/>
          <w:szCs w:val="21"/>
        </w:rPr>
        <w:t>2采用非电子形式提交投标保证金的投标人存在3.4.4条款所列情形，且未按招标人要求补交银行保函、专业工程担保公司担保或保证保险原件的；</w:t>
      </w:r>
    </w:p>
    <w:p>
      <w:pPr>
        <w:pStyle w:val="7"/>
        <w:spacing w:before="0" w:after="0" w:line="360" w:lineRule="auto"/>
        <w:ind w:firstLine="0" w:firstLineChars="0"/>
        <w:rPr>
          <w:rFonts w:ascii="宋体" w:eastAsia="宋体"/>
          <w:b/>
          <w:sz w:val="24"/>
          <w:szCs w:val="24"/>
        </w:rPr>
      </w:pPr>
      <w:r>
        <w:rPr>
          <w:rFonts w:hint="eastAsia" w:ascii="宋体" w:eastAsia="宋体"/>
          <w:b/>
          <w:sz w:val="24"/>
          <w:szCs w:val="24"/>
        </w:rPr>
        <w:t>3.5 资格审查</w:t>
      </w:r>
    </w:p>
    <w:p>
      <w:pPr>
        <w:spacing w:line="360" w:lineRule="auto"/>
        <w:ind w:left="105" w:leftChars="50" w:firstLine="312" w:firstLineChars="149"/>
        <w:rPr>
          <w:rFonts w:ascii="宋体"/>
          <w:b/>
          <w:kern w:val="0"/>
          <w:szCs w:val="20"/>
        </w:rPr>
      </w:pPr>
      <w:r>
        <w:rPr>
          <w:rFonts w:hint="eastAsia" w:ascii="宋体"/>
          <w:kern w:val="0"/>
          <w:szCs w:val="21"/>
          <w:u w:val="single"/>
        </w:rPr>
        <w:t>本项目采用电子化资格后审，由评标委员会负责对投标人的资格进行审查，评标时只对通过资格审查的投标人进行下一阶段的评审。</w:t>
      </w:r>
      <w:r>
        <w:rPr>
          <w:rFonts w:hint="eastAsia" w:ascii="宋体"/>
          <w:b/>
          <w:kern w:val="0"/>
          <w:szCs w:val="20"/>
          <w:u w:val="single"/>
        </w:rPr>
        <w:t>资审合格后，投标人的资格发生变化而不满足投标人合格条件，在发出中标通知书前，资格问题仍未解决的，招标人将取消其中标资格</w:t>
      </w:r>
      <w:r>
        <w:rPr>
          <w:rFonts w:hint="eastAsia" w:ascii="宋体"/>
          <w:b/>
          <w:kern w:val="0"/>
          <w:szCs w:val="20"/>
        </w:rPr>
        <w:t>。</w:t>
      </w:r>
    </w:p>
    <w:p>
      <w:pPr>
        <w:pStyle w:val="7"/>
        <w:spacing w:before="0" w:after="0" w:line="360" w:lineRule="auto"/>
        <w:ind w:firstLine="0" w:firstLineChars="0"/>
        <w:rPr>
          <w:rFonts w:ascii="宋体" w:eastAsia="宋体"/>
          <w:b/>
          <w:sz w:val="24"/>
          <w:szCs w:val="24"/>
        </w:rPr>
      </w:pPr>
      <w:r>
        <w:rPr>
          <w:rFonts w:hint="eastAsia" w:ascii="宋体" w:eastAsia="宋体"/>
          <w:b/>
          <w:sz w:val="24"/>
          <w:szCs w:val="24"/>
        </w:rPr>
        <w:t>3.6 备选投标方案</w:t>
      </w:r>
    </w:p>
    <w:p>
      <w:pPr>
        <w:spacing w:line="360" w:lineRule="auto"/>
        <w:ind w:firstLine="420" w:firstLineChars="200"/>
        <w:rPr>
          <w:rFonts w:ascii="宋体"/>
          <w:kern w:val="0"/>
          <w:szCs w:val="21"/>
        </w:rPr>
      </w:pPr>
      <w:r>
        <w:rPr>
          <w:rFonts w:hint="eastAsia" w:ascii="宋体"/>
          <w:kern w:val="0"/>
          <w:szCs w:val="21"/>
        </w:rPr>
        <w:t>除投标人须知前附表另有规定外，投标人不得递交备选投标方案。</w:t>
      </w:r>
    </w:p>
    <w:p>
      <w:pPr>
        <w:pStyle w:val="7"/>
        <w:spacing w:before="0" w:after="0" w:line="360" w:lineRule="auto"/>
        <w:ind w:firstLine="0" w:firstLineChars="0"/>
        <w:rPr>
          <w:rFonts w:ascii="宋体" w:eastAsia="宋体"/>
          <w:b/>
          <w:sz w:val="24"/>
          <w:szCs w:val="24"/>
        </w:rPr>
      </w:pPr>
      <w:r>
        <w:rPr>
          <w:rFonts w:hint="eastAsia" w:ascii="宋体" w:eastAsia="宋体"/>
          <w:b/>
          <w:sz w:val="24"/>
          <w:szCs w:val="24"/>
        </w:rPr>
        <w:t>3.7 投标文件的编制及组成</w:t>
      </w:r>
    </w:p>
    <w:p>
      <w:pPr>
        <w:spacing w:line="360" w:lineRule="auto"/>
        <w:ind w:firstLine="420" w:firstLineChars="200"/>
        <w:rPr>
          <w:rFonts w:ascii="宋体"/>
          <w:kern w:val="0"/>
          <w:szCs w:val="21"/>
        </w:rPr>
      </w:pPr>
      <w:r>
        <w:rPr>
          <w:rFonts w:hint="eastAsia" w:ascii="宋体"/>
          <w:kern w:val="0"/>
          <w:szCs w:val="21"/>
        </w:rPr>
        <w:t>3.7.1投标文件应按第五章“投标文件格式”进行编写，如有必要，可以增加附页，作为投标文件的组成部分。</w:t>
      </w:r>
    </w:p>
    <w:p>
      <w:pPr>
        <w:spacing w:line="360" w:lineRule="auto"/>
        <w:ind w:firstLine="420" w:firstLineChars="200"/>
        <w:rPr>
          <w:rFonts w:ascii="宋体"/>
          <w:kern w:val="0"/>
          <w:szCs w:val="21"/>
        </w:rPr>
      </w:pPr>
      <w:r>
        <w:rPr>
          <w:rFonts w:hint="eastAsia" w:ascii="宋体"/>
          <w:kern w:val="0"/>
          <w:szCs w:val="21"/>
        </w:rPr>
        <w:t>3.7.2投标文件的组成按投标人须知前附表规定。</w:t>
      </w:r>
    </w:p>
    <w:p>
      <w:pPr>
        <w:spacing w:line="360" w:lineRule="auto"/>
        <w:ind w:firstLine="422" w:firstLineChars="200"/>
        <w:rPr>
          <w:rFonts w:ascii="宋体"/>
          <w:b/>
          <w:kern w:val="0"/>
        </w:rPr>
      </w:pPr>
      <w:r>
        <w:rPr>
          <w:rFonts w:hint="eastAsia" w:ascii="宋体"/>
          <w:b/>
          <w:kern w:val="0"/>
        </w:rPr>
        <w:t>3.7.3 投标文件编制要求：</w:t>
      </w:r>
    </w:p>
    <w:p>
      <w:pPr>
        <w:spacing w:line="360" w:lineRule="auto"/>
        <w:ind w:firstLine="422" w:firstLineChars="200"/>
        <w:rPr>
          <w:rFonts w:ascii="宋体"/>
          <w:kern w:val="0"/>
          <w:u w:val="single"/>
        </w:rPr>
      </w:pPr>
      <w:r>
        <w:rPr>
          <w:rFonts w:hint="eastAsia" w:ascii="宋体"/>
          <w:b/>
          <w:kern w:val="0"/>
          <w:szCs w:val="21"/>
          <w:u w:val="single"/>
        </w:rPr>
        <w:t>资格审查文件</w:t>
      </w:r>
      <w:r>
        <w:rPr>
          <w:rFonts w:hint="eastAsia" w:ascii="宋体"/>
          <w:b/>
          <w:kern w:val="0"/>
          <w:u w:val="single"/>
        </w:rPr>
        <w:t>要求按本须知第3.1.2款的要求；</w:t>
      </w:r>
      <w:r>
        <w:rPr>
          <w:rFonts w:hint="eastAsia" w:ascii="宋体" w:cs="宋体"/>
          <w:b/>
          <w:bCs/>
          <w:kern w:val="0"/>
          <w:szCs w:val="21"/>
          <w:u w:val="single"/>
        </w:rPr>
        <w:t>工程总承包实施方案文件</w:t>
      </w:r>
      <w:r>
        <w:rPr>
          <w:rFonts w:hint="eastAsia" w:ascii="宋体"/>
          <w:b/>
          <w:kern w:val="0"/>
          <w:u w:val="single"/>
        </w:rPr>
        <w:t>要求按本须知第3.1.3款的要求；</w:t>
      </w:r>
      <w:r>
        <w:rPr>
          <w:rFonts w:hint="eastAsia" w:ascii="宋体"/>
          <w:kern w:val="0"/>
          <w:u w:val="single"/>
        </w:rPr>
        <w:t>投标文件</w:t>
      </w:r>
      <w:r>
        <w:rPr>
          <w:rFonts w:hint="eastAsia" w:ascii="宋体" w:cs="宋体"/>
          <w:kern w:val="0"/>
          <w:szCs w:val="21"/>
          <w:u w:val="single"/>
        </w:rPr>
        <w:t>全部采用电子文档，投标文件所附证书证件均为原件清晰扫描件，并采用单位数字证书，按招标文件要求在相应位置加盖电子印章。</w:t>
      </w:r>
      <w:r>
        <w:rPr>
          <w:rFonts w:hint="eastAsia" w:ascii="宋体" w:cs="宋体"/>
          <w:b/>
          <w:bCs/>
          <w:kern w:val="0"/>
          <w:szCs w:val="21"/>
          <w:u w:val="single"/>
        </w:rPr>
        <w:t>投标文件中需个人签字或盖章的，应加盖个人电子印章或在线下完成后扫描上传。</w:t>
      </w:r>
      <w:r>
        <w:rPr>
          <w:rFonts w:hint="eastAsia" w:ascii="宋体"/>
          <w:kern w:val="0"/>
          <w:u w:val="single"/>
        </w:rPr>
        <w:t>投标文件应尽量避免涂改、行间插字或删除。如果出现上述情况，改动之处应加盖单位章或由投标人的法定代表人或其授权的代理人签字</w:t>
      </w:r>
      <w:r>
        <w:rPr>
          <w:rFonts w:hint="eastAsia" w:ascii="宋体"/>
          <w:kern w:val="0"/>
          <w:szCs w:val="21"/>
          <w:u w:val="single"/>
        </w:rPr>
        <w:t>或盖章</w:t>
      </w:r>
      <w:r>
        <w:rPr>
          <w:rFonts w:hint="eastAsia" w:ascii="宋体"/>
          <w:kern w:val="0"/>
          <w:u w:val="single"/>
        </w:rPr>
        <w:t>确认。</w:t>
      </w:r>
    </w:p>
    <w:p>
      <w:pPr>
        <w:spacing w:line="360" w:lineRule="auto"/>
        <w:ind w:firstLine="422" w:firstLineChars="200"/>
        <w:rPr>
          <w:rFonts w:ascii="宋体"/>
          <w:b/>
          <w:kern w:val="0"/>
          <w:szCs w:val="21"/>
          <w:u w:val="single"/>
        </w:rPr>
      </w:pPr>
      <w:bookmarkStart w:id="189" w:name="_Toc443505826"/>
      <w:r>
        <w:rPr>
          <w:rFonts w:hint="eastAsia" w:ascii="宋体"/>
          <w:b/>
          <w:kern w:val="0"/>
          <w:szCs w:val="21"/>
          <w:u w:val="single"/>
        </w:rPr>
        <w:t>3.7.4 如联合体投标的，以上资料除：①联合体投标协议书需联合体各方分别按要求签字和盖章；②投标人声明需联合体各方独自签字和盖章外，其他资料若需要签字或盖章的均可由联合体</w:t>
      </w:r>
      <w:r>
        <w:rPr>
          <w:rFonts w:hint="eastAsia" w:ascii="宋体"/>
          <w:b/>
          <w:kern w:val="0"/>
          <w:u w:val="single"/>
        </w:rPr>
        <w:t>主办方</w:t>
      </w:r>
      <w:r>
        <w:rPr>
          <w:rFonts w:hint="eastAsia" w:ascii="宋体"/>
          <w:b/>
          <w:kern w:val="0"/>
          <w:szCs w:val="21"/>
          <w:u w:val="single"/>
        </w:rPr>
        <w:t>签字或盖章。</w:t>
      </w:r>
      <w:r>
        <w:rPr>
          <w:rFonts w:hint="eastAsia" w:ascii="宋体" w:cs="宋体"/>
          <w:b/>
          <w:bCs/>
          <w:kern w:val="0"/>
          <w:szCs w:val="21"/>
          <w:u w:val="single"/>
        </w:rPr>
        <w:t>投标文件中需个人签字或盖章的，应加盖个人电子印章或在线下完成后扫描上传。</w:t>
      </w:r>
    </w:p>
    <w:p>
      <w:pPr>
        <w:spacing w:line="360" w:lineRule="auto"/>
        <w:ind w:firstLine="422" w:firstLineChars="200"/>
        <w:rPr>
          <w:rFonts w:ascii="宋体"/>
          <w:b/>
          <w:kern w:val="0"/>
          <w:szCs w:val="21"/>
          <w:u w:val="single"/>
        </w:rPr>
      </w:pPr>
      <w:r>
        <w:rPr>
          <w:rFonts w:hint="eastAsia" w:ascii="宋体"/>
          <w:b/>
          <w:kern w:val="0"/>
          <w:szCs w:val="21"/>
          <w:u w:val="single"/>
        </w:rPr>
        <w:t>资审文件、工程总承包实施方案投标文件封面及其他内容及落款中的“投标人”应填写联合体各方的单位全称【格式表示为：(主)XXXX公司(成)XXXX公司】，并由联合体主办方签字或盖章即可。</w:t>
      </w:r>
    </w:p>
    <w:p>
      <w:pPr>
        <w:spacing w:line="360" w:lineRule="auto"/>
        <w:ind w:firstLine="482" w:firstLineChars="200"/>
        <w:rPr>
          <w:rFonts w:ascii="宋体"/>
          <w:b/>
          <w:kern w:val="0"/>
          <w:sz w:val="24"/>
          <w:szCs w:val="24"/>
        </w:rPr>
      </w:pPr>
      <w:r>
        <w:rPr>
          <w:rFonts w:hint="eastAsia" w:ascii="宋体"/>
          <w:b/>
          <w:kern w:val="0"/>
          <w:sz w:val="24"/>
          <w:szCs w:val="24"/>
        </w:rPr>
        <w:t>4. 投标</w:t>
      </w:r>
      <w:bookmarkEnd w:id="189"/>
    </w:p>
    <w:p>
      <w:pPr>
        <w:keepNext/>
        <w:keepLines/>
        <w:spacing w:line="360" w:lineRule="auto"/>
        <w:ind w:firstLine="118" w:firstLineChars="49"/>
        <w:outlineLvl w:val="2"/>
        <w:rPr>
          <w:rFonts w:ascii="宋体" w:cs="宋体"/>
          <w:b/>
          <w:bCs/>
          <w:kern w:val="0"/>
          <w:sz w:val="24"/>
          <w:szCs w:val="24"/>
          <w:lang w:val="zh-CN"/>
        </w:rPr>
      </w:pPr>
      <w:r>
        <w:rPr>
          <w:rFonts w:hint="eastAsia" w:ascii="宋体" w:cs="宋体"/>
          <w:b/>
          <w:bCs/>
          <w:kern w:val="0"/>
          <w:sz w:val="24"/>
          <w:szCs w:val="24"/>
          <w:lang w:val="zh-CN"/>
        </w:rPr>
        <w:t>4.</w:t>
      </w:r>
      <w:r>
        <w:rPr>
          <w:rFonts w:hint="eastAsia" w:ascii="宋体" w:cs="宋体"/>
          <w:b/>
          <w:bCs/>
          <w:kern w:val="0"/>
          <w:sz w:val="24"/>
          <w:szCs w:val="24"/>
        </w:rPr>
        <w:t>1</w:t>
      </w:r>
      <w:r>
        <w:rPr>
          <w:rFonts w:hint="eastAsia" w:ascii="宋体" w:cs="宋体"/>
          <w:b/>
          <w:bCs/>
          <w:kern w:val="0"/>
          <w:sz w:val="24"/>
          <w:szCs w:val="24"/>
          <w:lang w:val="zh-CN"/>
        </w:rPr>
        <w:t xml:space="preserve"> 投标文件的加密</w:t>
      </w:r>
    </w:p>
    <w:p>
      <w:pPr>
        <w:spacing w:line="360" w:lineRule="auto"/>
        <w:ind w:firstLine="420" w:firstLineChars="200"/>
        <w:rPr>
          <w:rFonts w:ascii="宋体" w:cs="宋体"/>
          <w:bCs/>
          <w:kern w:val="0"/>
          <w:szCs w:val="21"/>
        </w:rPr>
      </w:pPr>
      <w:r>
        <w:rPr>
          <w:rFonts w:hint="eastAsia" w:ascii="宋体" w:cs="宋体"/>
          <w:bCs/>
          <w:kern w:val="0"/>
          <w:szCs w:val="21"/>
        </w:rPr>
        <w:t>4.1.1递交的电子投标文件必须进行加密。按照广州公共资源交易平台关于</w:t>
      </w:r>
      <w:r>
        <w:rPr>
          <w:rFonts w:hint="eastAsia" w:ascii="宋体" w:cs="宋体"/>
          <w:b/>
          <w:bCs/>
          <w:kern w:val="0"/>
          <w:szCs w:val="21"/>
        </w:rPr>
        <w:t>全流程电子化项目</w:t>
      </w:r>
      <w:r>
        <w:rPr>
          <w:rFonts w:hint="eastAsia" w:ascii="宋体" w:cs="宋体"/>
          <w:bCs/>
          <w:kern w:val="0"/>
          <w:szCs w:val="21"/>
        </w:rPr>
        <w:t>的相关指南进行操作。</w:t>
      </w:r>
    </w:p>
    <w:p>
      <w:pPr>
        <w:spacing w:line="360" w:lineRule="auto"/>
        <w:ind w:firstLine="420" w:firstLineChars="200"/>
        <w:rPr>
          <w:rFonts w:ascii="宋体" w:cs="宋体"/>
          <w:b/>
          <w:bCs/>
          <w:kern w:val="0"/>
          <w:szCs w:val="21"/>
        </w:rPr>
      </w:pPr>
      <w:r>
        <w:rPr>
          <w:rFonts w:hint="eastAsia" w:ascii="宋体" w:cs="宋体"/>
          <w:bCs/>
          <w:kern w:val="0"/>
          <w:szCs w:val="21"/>
        </w:rPr>
        <w:t>4.1.2</w:t>
      </w:r>
      <w:r>
        <w:rPr>
          <w:rFonts w:hint="eastAsia" w:ascii="宋体" w:cs="宋体"/>
          <w:b/>
          <w:bCs/>
          <w:kern w:val="0"/>
          <w:szCs w:val="21"/>
        </w:rPr>
        <w:t>未按要求加密的电子投标文件，广州公共资源交易平台将予以拒收。</w:t>
      </w:r>
    </w:p>
    <w:p>
      <w:pPr>
        <w:keepNext/>
        <w:keepLines/>
        <w:spacing w:line="360" w:lineRule="auto"/>
        <w:ind w:firstLine="118" w:firstLineChars="49"/>
        <w:outlineLvl w:val="2"/>
        <w:rPr>
          <w:rFonts w:ascii="宋体" w:cs="宋体"/>
          <w:b/>
          <w:bCs/>
          <w:kern w:val="0"/>
          <w:sz w:val="24"/>
          <w:szCs w:val="24"/>
          <w:lang w:val="zh-CN"/>
        </w:rPr>
      </w:pPr>
      <w:r>
        <w:rPr>
          <w:rFonts w:hint="eastAsia" w:ascii="宋体" w:cs="宋体"/>
          <w:b/>
          <w:bCs/>
          <w:kern w:val="0"/>
          <w:sz w:val="24"/>
          <w:szCs w:val="24"/>
          <w:lang w:val="zh-CN"/>
        </w:rPr>
        <w:t>4.</w:t>
      </w:r>
      <w:r>
        <w:rPr>
          <w:rFonts w:hint="eastAsia" w:ascii="宋体" w:cs="宋体"/>
          <w:b/>
          <w:bCs/>
          <w:kern w:val="0"/>
          <w:sz w:val="24"/>
          <w:szCs w:val="24"/>
        </w:rPr>
        <w:t>2</w:t>
      </w:r>
      <w:r>
        <w:rPr>
          <w:rFonts w:hint="eastAsia" w:ascii="宋体" w:cs="宋体"/>
          <w:b/>
          <w:bCs/>
          <w:kern w:val="0"/>
          <w:sz w:val="24"/>
          <w:szCs w:val="24"/>
          <w:lang w:val="zh-CN"/>
        </w:rPr>
        <w:t xml:space="preserve"> 投标文件的递交</w:t>
      </w:r>
    </w:p>
    <w:p>
      <w:pPr>
        <w:spacing w:line="360" w:lineRule="auto"/>
        <w:ind w:firstLine="420" w:firstLineChars="200"/>
        <w:rPr>
          <w:rFonts w:ascii="宋体" w:cs="宋体"/>
          <w:bCs/>
          <w:kern w:val="0"/>
          <w:szCs w:val="21"/>
        </w:rPr>
      </w:pPr>
      <w:r>
        <w:rPr>
          <w:rFonts w:hint="eastAsia" w:ascii="宋体" w:cs="宋体"/>
          <w:bCs/>
          <w:kern w:val="0"/>
          <w:szCs w:val="21"/>
        </w:rPr>
        <w:t>4.2.1投标人通过广州公共资源交易平台递交电子投标文件。</w:t>
      </w:r>
    </w:p>
    <w:p>
      <w:pPr>
        <w:spacing w:line="360" w:lineRule="auto"/>
        <w:ind w:firstLine="420" w:firstLineChars="200"/>
        <w:rPr>
          <w:rFonts w:ascii="宋体" w:cs="宋体"/>
          <w:bCs/>
          <w:kern w:val="0"/>
          <w:szCs w:val="21"/>
        </w:rPr>
      </w:pPr>
      <w:r>
        <w:rPr>
          <w:rFonts w:hint="eastAsia" w:ascii="宋体" w:cs="宋体"/>
          <w:bCs/>
          <w:kern w:val="0"/>
          <w:szCs w:val="21"/>
        </w:rPr>
        <w:t>4.2.2投标人完成电子投标文件上传后，广州公共资源交易平台即时向投标人发出递交回执通知。递交时间以递交回执通知载明的传输完成时间为准。</w:t>
      </w:r>
    </w:p>
    <w:p>
      <w:pPr>
        <w:spacing w:line="360" w:lineRule="auto"/>
        <w:ind w:firstLine="420" w:firstLineChars="200"/>
        <w:rPr>
          <w:rFonts w:ascii="宋体" w:cs="宋体"/>
          <w:bCs/>
          <w:kern w:val="0"/>
          <w:szCs w:val="21"/>
        </w:rPr>
      </w:pPr>
      <w:r>
        <w:rPr>
          <w:rFonts w:hint="eastAsia" w:ascii="宋体" w:cs="宋体"/>
          <w:bCs/>
          <w:kern w:val="0"/>
          <w:szCs w:val="21"/>
        </w:rPr>
        <w:t>4.2.3</w:t>
      </w:r>
      <w:r>
        <w:rPr>
          <w:rFonts w:hint="eastAsia" w:ascii="宋体" w:cs="宋体"/>
          <w:b/>
          <w:bCs/>
          <w:kern w:val="0"/>
          <w:szCs w:val="21"/>
        </w:rPr>
        <w:t>逾期送达的电子投标文件，广州公共资源交易平台将予以拒收</w:t>
      </w:r>
      <w:r>
        <w:rPr>
          <w:rFonts w:hint="eastAsia" w:ascii="宋体" w:cs="宋体"/>
          <w:bCs/>
          <w:kern w:val="0"/>
          <w:szCs w:val="21"/>
        </w:rPr>
        <w:t>。</w:t>
      </w:r>
    </w:p>
    <w:p>
      <w:pPr>
        <w:spacing w:line="360" w:lineRule="auto"/>
        <w:ind w:firstLine="420" w:firstLineChars="200"/>
        <w:rPr>
          <w:rFonts w:ascii="宋体" w:cs="宋体"/>
          <w:bCs/>
          <w:kern w:val="0"/>
          <w:sz w:val="24"/>
          <w:szCs w:val="24"/>
        </w:rPr>
      </w:pPr>
      <w:r>
        <w:rPr>
          <w:rFonts w:hint="eastAsia" w:ascii="宋体" w:cs="宋体"/>
          <w:bCs/>
          <w:kern w:val="0"/>
          <w:szCs w:val="21"/>
        </w:rPr>
        <w:t>4.2.4投标截止前，招标人拒绝接收符合条件的投标文件，投标人可向招标监督机构投诉</w:t>
      </w:r>
      <w:r>
        <w:rPr>
          <w:rFonts w:hint="eastAsia" w:ascii="宋体" w:cs="宋体"/>
          <w:bCs/>
          <w:kern w:val="0"/>
          <w:sz w:val="24"/>
          <w:szCs w:val="24"/>
        </w:rPr>
        <w:t>。</w:t>
      </w:r>
    </w:p>
    <w:p>
      <w:pPr>
        <w:spacing w:line="360" w:lineRule="auto"/>
        <w:ind w:firstLine="420" w:firstLineChars="200"/>
        <w:rPr>
          <w:rFonts w:ascii="宋体" w:cs="宋体"/>
          <w:kern w:val="0"/>
          <w:szCs w:val="21"/>
          <w:u w:val="single"/>
        </w:rPr>
      </w:pPr>
      <w:r>
        <w:rPr>
          <w:rFonts w:hint="eastAsia" w:ascii="宋体" w:cs="宋体"/>
          <w:kern w:val="0"/>
          <w:u w:val="single"/>
        </w:rPr>
        <w:t>4.2.5到投标截止时间止，若收到的投标文件少于3家的，本项目招标失败，将依法重新招标</w:t>
      </w:r>
      <w:r>
        <w:rPr>
          <w:rFonts w:hint="eastAsia" w:ascii="宋体" w:cs="宋体"/>
          <w:kern w:val="0"/>
          <w:szCs w:val="21"/>
          <w:u w:val="single"/>
        </w:rPr>
        <w:t>。</w:t>
      </w:r>
    </w:p>
    <w:p>
      <w:pPr>
        <w:spacing w:line="360" w:lineRule="auto"/>
        <w:ind w:firstLine="420" w:firstLineChars="200"/>
        <w:rPr>
          <w:rFonts w:ascii="宋体" w:cs="宋体"/>
          <w:kern w:val="0"/>
          <w:szCs w:val="21"/>
          <w:u w:val="single"/>
        </w:rPr>
      </w:pPr>
      <w:r>
        <w:rPr>
          <w:rFonts w:hint="eastAsia" w:ascii="宋体" w:cs="宋体"/>
          <w:kern w:val="0"/>
          <w:szCs w:val="21"/>
          <w:u w:val="single"/>
        </w:rPr>
        <w:t>4.2.6提示：参加投标之前，投标人应查询企业信用档案、拟报项目负责人、专职安全员、设计负责人的使用状态，以免出现企业信用档案、拟报项目负责人、专职安全员、设计负责人不能被使用的情况。上述情况有可能导致投标信息无法录入广州公共资源交易中心交易服务系统。如出现上述情况，投标人有可能失去投标机会，因其可能所引起的一切后果由投标人自行承担。</w:t>
      </w:r>
    </w:p>
    <w:p>
      <w:pPr>
        <w:keepNext/>
        <w:keepLines/>
        <w:spacing w:before="260" w:after="260" w:line="360" w:lineRule="auto"/>
        <w:ind w:firstLine="118" w:firstLineChars="49"/>
        <w:outlineLvl w:val="2"/>
        <w:rPr>
          <w:rFonts w:ascii="宋体" w:cs="宋体"/>
          <w:b/>
          <w:bCs/>
          <w:kern w:val="0"/>
          <w:sz w:val="24"/>
          <w:szCs w:val="24"/>
          <w:lang w:val="zh-CN"/>
        </w:rPr>
      </w:pPr>
      <w:bookmarkStart w:id="190" w:name="_Toc362816508"/>
      <w:bookmarkStart w:id="191" w:name="_Toc357089539"/>
      <w:r>
        <w:rPr>
          <w:rFonts w:hint="eastAsia" w:ascii="宋体" w:cs="宋体"/>
          <w:b/>
          <w:bCs/>
          <w:kern w:val="0"/>
          <w:sz w:val="24"/>
          <w:szCs w:val="24"/>
          <w:lang w:val="zh-CN"/>
        </w:rPr>
        <w:t>4.</w:t>
      </w:r>
      <w:r>
        <w:rPr>
          <w:rFonts w:hint="eastAsia" w:ascii="宋体" w:cs="宋体"/>
          <w:b/>
          <w:bCs/>
          <w:kern w:val="0"/>
          <w:sz w:val="24"/>
          <w:szCs w:val="24"/>
        </w:rPr>
        <w:t>3</w:t>
      </w:r>
      <w:r>
        <w:rPr>
          <w:rFonts w:hint="eastAsia" w:ascii="宋体" w:cs="宋体"/>
          <w:b/>
          <w:bCs/>
          <w:kern w:val="0"/>
          <w:sz w:val="24"/>
          <w:szCs w:val="24"/>
          <w:lang w:val="zh-CN"/>
        </w:rPr>
        <w:t xml:space="preserve"> 投标文件的修改与撤回</w:t>
      </w:r>
      <w:bookmarkEnd w:id="190"/>
      <w:bookmarkEnd w:id="191"/>
    </w:p>
    <w:p>
      <w:pPr>
        <w:spacing w:line="360" w:lineRule="auto"/>
        <w:ind w:firstLine="420" w:firstLineChars="200"/>
        <w:rPr>
          <w:rFonts w:ascii="宋体" w:cs="宋体"/>
          <w:kern w:val="0"/>
        </w:rPr>
      </w:pPr>
      <w:r>
        <w:rPr>
          <w:rFonts w:hint="eastAsia" w:ascii="宋体" w:cs="宋体"/>
          <w:kern w:val="0"/>
        </w:rPr>
        <w:t>4.3.1 在投标人须知前附表第4.2.2项规定的投标截止时间前，投标人可以修改或撤回已递交的电子投标文件，但应以书面形式通知招标人。</w:t>
      </w:r>
    </w:p>
    <w:p>
      <w:pPr>
        <w:spacing w:line="360" w:lineRule="auto"/>
        <w:ind w:firstLine="420" w:firstLineChars="200"/>
        <w:rPr>
          <w:rFonts w:ascii="宋体" w:cs="宋体"/>
          <w:kern w:val="0"/>
        </w:rPr>
      </w:pPr>
      <w:r>
        <w:rPr>
          <w:rFonts w:hint="eastAsia" w:ascii="宋体" w:cs="宋体"/>
          <w:kern w:val="0"/>
        </w:rPr>
        <w:t>4.3.2 投标人修改或撤回已递交电子投标文件的书面通知应按照本章第3.7.3项的要求签字或盖章。招标人收到书面通知后，向投标人出具签收凭证。</w:t>
      </w:r>
    </w:p>
    <w:p>
      <w:pPr>
        <w:spacing w:line="360" w:lineRule="auto"/>
        <w:ind w:firstLine="420" w:firstLineChars="200"/>
        <w:rPr>
          <w:rFonts w:ascii="宋体" w:cs="宋体"/>
          <w:kern w:val="0"/>
          <w:u w:val="single"/>
        </w:rPr>
      </w:pPr>
      <w:r>
        <w:rPr>
          <w:rFonts w:hint="eastAsia" w:ascii="宋体" w:cs="宋体"/>
          <w:kern w:val="0"/>
          <w:u w:val="single"/>
        </w:rPr>
        <w:t>4.3.3 在投标截止时间之后，投标人不得补充、修改和更换投标文件。</w:t>
      </w:r>
    </w:p>
    <w:p>
      <w:pPr>
        <w:spacing w:line="360" w:lineRule="auto"/>
        <w:ind w:firstLine="420" w:firstLineChars="200"/>
        <w:rPr>
          <w:rFonts w:ascii="宋体" w:cs="宋体"/>
          <w:kern w:val="0"/>
          <w:u w:val="single"/>
        </w:rPr>
      </w:pPr>
      <w:r>
        <w:rPr>
          <w:rFonts w:hint="eastAsia" w:ascii="宋体" w:cs="宋体"/>
          <w:kern w:val="0"/>
          <w:u w:val="single"/>
        </w:rPr>
        <w:t>4.3.4 在投标截止后，投标人在投标文件格式中规定的有效期终止日前，投标人不能撤回投标文件，否则其投标担保将被没收，且招标人有权就其撤回行为报告政府主管部门载入不良信用记录。</w:t>
      </w:r>
    </w:p>
    <w:p>
      <w:pPr>
        <w:spacing w:line="360" w:lineRule="auto"/>
        <w:jc w:val="left"/>
        <w:rPr>
          <w:rFonts w:ascii="宋体" w:cs="宋体"/>
          <w:strike/>
          <w:kern w:val="0"/>
          <w:szCs w:val="21"/>
        </w:rPr>
      </w:pPr>
      <w:r>
        <w:rPr>
          <w:rFonts w:hint="eastAsia"/>
          <w:kern w:val="0"/>
          <w:szCs w:val="21"/>
        </w:rPr>
        <w:t>4.4</w:t>
      </w:r>
      <w:r>
        <w:rPr>
          <w:rFonts w:hint="eastAsia" w:ascii="宋体" w:cs="宋体"/>
          <w:b/>
          <w:kern w:val="0"/>
          <w:szCs w:val="21"/>
        </w:rPr>
        <w:t xml:space="preserve"> 投标信息录入</w:t>
      </w:r>
    </w:p>
    <w:p>
      <w:pPr>
        <w:spacing w:line="360" w:lineRule="auto"/>
        <w:ind w:firstLine="420" w:firstLineChars="200"/>
        <w:rPr>
          <w:rFonts w:ascii="宋体" w:cs="宋体"/>
          <w:kern w:val="0"/>
          <w:szCs w:val="21"/>
        </w:rPr>
      </w:pPr>
      <w:r>
        <w:rPr>
          <w:rFonts w:hint="eastAsia" w:ascii="宋体" w:cs="宋体"/>
          <w:kern w:val="0"/>
          <w:szCs w:val="21"/>
        </w:rPr>
        <w:t>4.4.1 投标人应在上传电子投标文件前将广州公共资源交易中心交易服务系统要求的相关信息在广州公共资源交易中心交易服务系统中录入完毕。</w:t>
      </w:r>
    </w:p>
    <w:p>
      <w:pPr>
        <w:spacing w:line="360" w:lineRule="auto"/>
        <w:rPr>
          <w:rFonts w:ascii="宋体" w:cs="宋体"/>
          <w:b/>
          <w:kern w:val="0"/>
          <w:szCs w:val="21"/>
        </w:rPr>
      </w:pPr>
      <w:r>
        <w:rPr>
          <w:rFonts w:hint="eastAsia" w:ascii="宋体" w:cs="宋体"/>
          <w:kern w:val="0"/>
          <w:szCs w:val="21"/>
        </w:rPr>
        <w:t>4.5</w:t>
      </w:r>
      <w:r>
        <w:rPr>
          <w:rFonts w:hint="eastAsia" w:ascii="宋体" w:cs="宋体"/>
          <w:b/>
          <w:kern w:val="0"/>
          <w:szCs w:val="21"/>
        </w:rPr>
        <w:t>投标文件的解密</w:t>
      </w:r>
    </w:p>
    <w:p>
      <w:pPr>
        <w:tabs>
          <w:tab w:val="left" w:pos="105"/>
        </w:tabs>
        <w:spacing w:line="360" w:lineRule="auto"/>
        <w:ind w:firstLine="420" w:firstLineChars="200"/>
        <w:rPr>
          <w:rFonts w:ascii="宋体" w:cs="宋体"/>
          <w:b/>
          <w:kern w:val="0"/>
          <w:szCs w:val="21"/>
        </w:rPr>
      </w:pPr>
      <w:r>
        <w:rPr>
          <w:rFonts w:hint="eastAsia" w:ascii="宋体" w:cs="宋体"/>
          <w:kern w:val="0"/>
          <w:szCs w:val="21"/>
        </w:rPr>
        <w:t>4.5.1</w:t>
      </w:r>
      <w:r>
        <w:rPr>
          <w:rFonts w:hint="eastAsia" w:ascii="宋体" w:cs="宋体"/>
          <w:bCs/>
          <w:kern w:val="0"/>
          <w:szCs w:val="21"/>
        </w:rPr>
        <w:t>投标人必须在投标须知前附表规定的时间内</w:t>
      </w:r>
      <w:r>
        <w:rPr>
          <w:rFonts w:hint="eastAsia" w:ascii="宋体" w:cs="宋体"/>
          <w:kern w:val="0"/>
          <w:szCs w:val="21"/>
        </w:rPr>
        <w:t>完成电子投标文件解密。</w:t>
      </w:r>
      <w:r>
        <w:rPr>
          <w:rFonts w:hint="eastAsia" w:ascii="宋体" w:cs="宋体"/>
          <w:b/>
          <w:kern w:val="0"/>
          <w:szCs w:val="21"/>
        </w:rPr>
        <w:t>超过时间未解密的投标文件将作为放弃投标处理。</w:t>
      </w:r>
    </w:p>
    <w:p>
      <w:pPr>
        <w:spacing w:line="360" w:lineRule="auto"/>
        <w:ind w:firstLine="420" w:firstLineChars="200"/>
        <w:rPr>
          <w:rFonts w:ascii="宋体" w:cs="宋体"/>
          <w:kern w:val="0"/>
          <w:szCs w:val="21"/>
        </w:rPr>
      </w:pPr>
      <w:r>
        <w:rPr>
          <w:rFonts w:hint="eastAsia" w:ascii="宋体" w:cs="宋体"/>
          <w:bCs/>
          <w:kern w:val="0"/>
          <w:szCs w:val="21"/>
        </w:rPr>
        <w:t>4.5.2电子投标文件解密应按照广州公共资源交易平台关于</w:t>
      </w:r>
      <w:r>
        <w:rPr>
          <w:rFonts w:hint="eastAsia" w:ascii="宋体" w:cs="宋体"/>
          <w:b/>
          <w:bCs/>
          <w:kern w:val="0"/>
          <w:szCs w:val="21"/>
        </w:rPr>
        <w:t>全流程电子化项目</w:t>
      </w:r>
      <w:r>
        <w:rPr>
          <w:rFonts w:hint="eastAsia" w:ascii="宋体" w:cs="宋体"/>
          <w:bCs/>
          <w:kern w:val="0"/>
          <w:szCs w:val="21"/>
        </w:rPr>
        <w:t>的相关指南进行操作。</w:t>
      </w:r>
    </w:p>
    <w:p>
      <w:pPr>
        <w:keepNext/>
        <w:keepLines/>
        <w:spacing w:line="360" w:lineRule="auto"/>
        <w:outlineLvl w:val="1"/>
        <w:rPr>
          <w:rFonts w:ascii="宋体" w:cs="宋体"/>
          <w:b/>
          <w:bCs/>
          <w:kern w:val="0"/>
          <w:sz w:val="24"/>
          <w:szCs w:val="24"/>
        </w:rPr>
      </w:pPr>
      <w:bookmarkStart w:id="192" w:name="_Toc16007"/>
      <w:bookmarkStart w:id="193" w:name="_Toc505152691"/>
      <w:bookmarkStart w:id="194" w:name="_Toc480225652"/>
      <w:bookmarkStart w:id="195" w:name="_Toc443505827"/>
      <w:r>
        <w:rPr>
          <w:rFonts w:hint="eastAsia" w:ascii="宋体" w:cs="宋体"/>
          <w:b/>
          <w:bCs/>
          <w:kern w:val="0"/>
          <w:sz w:val="24"/>
          <w:szCs w:val="24"/>
        </w:rPr>
        <w:t>5. 开标</w:t>
      </w:r>
      <w:bookmarkEnd w:id="192"/>
      <w:bookmarkEnd w:id="193"/>
      <w:bookmarkEnd w:id="194"/>
      <w:bookmarkEnd w:id="195"/>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5.1 开标时间和地点</w:t>
      </w:r>
    </w:p>
    <w:p>
      <w:pPr>
        <w:spacing w:line="360" w:lineRule="auto"/>
        <w:ind w:firstLine="420" w:firstLineChars="200"/>
        <w:rPr>
          <w:rFonts w:ascii="宋体" w:cs="宋体"/>
          <w:kern w:val="0"/>
        </w:rPr>
      </w:pPr>
      <w:r>
        <w:rPr>
          <w:rFonts w:hint="eastAsia" w:ascii="宋体" w:cs="宋体"/>
          <w:kern w:val="0"/>
        </w:rPr>
        <w:t>招标人在投标人须知前附表5.1规定的开标时间和地点公开开标，并邀请所有投标人的法定代表人或其委托代理人准时参加。投标人（法定代表人或其委托代理人）可自行决定是否参加开标。投标人不参加的，视为认可开标过程及结果。</w:t>
      </w:r>
    </w:p>
    <w:p>
      <w:pPr>
        <w:keepNext/>
        <w:keepLines/>
        <w:spacing w:before="260" w:after="260" w:line="360" w:lineRule="auto"/>
        <w:ind w:firstLine="118" w:firstLineChars="49"/>
        <w:outlineLvl w:val="2"/>
        <w:rPr>
          <w:rFonts w:ascii="宋体" w:cs="宋体"/>
          <w:b/>
          <w:bCs/>
          <w:kern w:val="0"/>
          <w:sz w:val="24"/>
          <w:szCs w:val="24"/>
          <w:u w:val="single"/>
          <w:lang w:val="zh-CN"/>
        </w:rPr>
      </w:pPr>
      <w:r>
        <w:rPr>
          <w:rFonts w:hint="eastAsia" w:ascii="宋体" w:cs="宋体"/>
          <w:b/>
          <w:bCs/>
          <w:kern w:val="0"/>
          <w:sz w:val="24"/>
          <w:szCs w:val="24"/>
          <w:u w:val="single"/>
          <w:lang w:val="zh-CN"/>
        </w:rPr>
        <w:t>5.2 开标和评标程序</w:t>
      </w:r>
    </w:p>
    <w:p>
      <w:pPr>
        <w:spacing w:line="360" w:lineRule="auto"/>
        <w:ind w:firstLine="457" w:firstLineChars="218"/>
        <w:rPr>
          <w:rFonts w:ascii="宋体" w:cs="宋体"/>
          <w:kern w:val="0"/>
          <w:szCs w:val="21"/>
        </w:rPr>
      </w:pPr>
      <w:r>
        <w:rPr>
          <w:rFonts w:hint="eastAsia" w:ascii="宋体" w:cs="宋体"/>
          <w:kern w:val="0"/>
          <w:szCs w:val="21"/>
          <w:u w:val="single"/>
        </w:rPr>
        <w:t>5.2.1 招标人按投标人须知前附表第5.1款所规定的时间和地点公开开标，并邀请所有投标人参加。截标后，开标开始时间因故推迟的，</w:t>
      </w:r>
      <w:r>
        <w:rPr>
          <w:rFonts w:hint="eastAsia" w:ascii="宋体" w:cs="宋体"/>
          <w:kern w:val="0"/>
          <w:szCs w:val="21"/>
        </w:rPr>
        <w:t>相关评标信息仍以原递交投标文件截止时间的信息为准。</w:t>
      </w:r>
    </w:p>
    <w:p>
      <w:pPr>
        <w:spacing w:line="360" w:lineRule="auto"/>
        <w:ind w:firstLine="457" w:firstLineChars="218"/>
        <w:rPr>
          <w:rFonts w:ascii="宋体" w:cs="宋体"/>
          <w:kern w:val="0"/>
          <w:szCs w:val="21"/>
          <w:u w:val="single"/>
        </w:rPr>
      </w:pPr>
      <w:r>
        <w:rPr>
          <w:rFonts w:hint="eastAsia" w:ascii="宋体" w:cs="宋体"/>
          <w:kern w:val="0"/>
          <w:szCs w:val="21"/>
          <w:u w:val="single"/>
        </w:rPr>
        <w:t>5.2.2 开标细则</w:t>
      </w:r>
    </w:p>
    <w:p>
      <w:pPr>
        <w:spacing w:line="360" w:lineRule="auto"/>
        <w:ind w:firstLine="457" w:firstLineChars="218"/>
        <w:rPr>
          <w:rFonts w:ascii="宋体" w:cs="宋体"/>
          <w:kern w:val="0"/>
          <w:szCs w:val="21"/>
          <w:u w:val="single"/>
        </w:rPr>
      </w:pPr>
      <w:r>
        <w:rPr>
          <w:rFonts w:hint="eastAsia" w:ascii="宋体" w:cs="宋体"/>
          <w:kern w:val="0"/>
          <w:szCs w:val="21"/>
          <w:u w:val="single"/>
        </w:rPr>
        <w:t>（1）开标由招标人或委托招标代理单位主持。</w:t>
      </w:r>
    </w:p>
    <w:p>
      <w:pPr>
        <w:tabs>
          <w:tab w:val="left" w:pos="105"/>
        </w:tabs>
        <w:spacing w:line="360" w:lineRule="auto"/>
        <w:ind w:firstLine="420" w:firstLineChars="200"/>
        <w:rPr>
          <w:rFonts w:ascii="宋体" w:cs="宋体"/>
          <w:kern w:val="0"/>
          <w:szCs w:val="21"/>
        </w:rPr>
      </w:pPr>
      <w:r>
        <w:rPr>
          <w:rFonts w:hint="eastAsia" w:ascii="宋体" w:cs="宋体"/>
          <w:kern w:val="0"/>
          <w:szCs w:val="21"/>
        </w:rPr>
        <w:t>（2）投标人按照投标人须知前附表的要求，对电子投标文件进行解密，</w:t>
      </w:r>
      <w:r>
        <w:rPr>
          <w:rFonts w:hint="eastAsia" w:ascii="宋体" w:cs="宋体"/>
          <w:b/>
          <w:kern w:val="0"/>
          <w:szCs w:val="21"/>
        </w:rPr>
        <w:t>超过时间未解密的投标文件将作为放弃投标处理。</w:t>
      </w:r>
    </w:p>
    <w:p>
      <w:pPr>
        <w:tabs>
          <w:tab w:val="left" w:pos="105"/>
        </w:tabs>
        <w:spacing w:line="360" w:lineRule="auto"/>
        <w:ind w:firstLine="420" w:firstLineChars="200"/>
        <w:rPr>
          <w:rFonts w:ascii="宋体" w:cs="宋体"/>
          <w:kern w:val="0"/>
          <w:szCs w:val="21"/>
        </w:rPr>
      </w:pPr>
      <w:r>
        <w:rPr>
          <w:rFonts w:hint="eastAsia" w:ascii="宋体" w:cs="宋体"/>
          <w:kern w:val="0"/>
          <w:szCs w:val="21"/>
        </w:rPr>
        <w:t>（3） 招标人在开标开始时间后，使用制作该招标文件的机构业务数字证书对所有投标人电子投标文件进行招标人解密。</w:t>
      </w:r>
    </w:p>
    <w:p>
      <w:pPr>
        <w:tabs>
          <w:tab w:val="left" w:pos="105"/>
        </w:tabs>
        <w:spacing w:line="360" w:lineRule="auto"/>
        <w:ind w:firstLine="420" w:firstLineChars="200"/>
        <w:rPr>
          <w:rFonts w:ascii="宋体" w:cs="宋体"/>
          <w:kern w:val="0"/>
          <w:szCs w:val="21"/>
        </w:rPr>
      </w:pPr>
      <w:r>
        <w:rPr>
          <w:rFonts w:hint="eastAsia" w:ascii="宋体" w:cs="宋体"/>
          <w:kern w:val="0"/>
          <w:szCs w:val="21"/>
        </w:rPr>
        <w:t>（4）招标人完成解密后按开标记录表规定的内容进行唱标。</w:t>
      </w:r>
    </w:p>
    <w:p>
      <w:pPr>
        <w:tabs>
          <w:tab w:val="left" w:pos="105"/>
        </w:tabs>
        <w:spacing w:line="360" w:lineRule="auto"/>
        <w:ind w:firstLine="420" w:firstLineChars="200"/>
        <w:rPr>
          <w:rFonts w:ascii="宋体" w:cs="宋体"/>
          <w:kern w:val="0"/>
          <w:szCs w:val="21"/>
        </w:rPr>
      </w:pPr>
      <w:r>
        <w:rPr>
          <w:rFonts w:hint="eastAsia" w:ascii="宋体" w:cs="宋体"/>
          <w:kern w:val="0"/>
          <w:szCs w:val="21"/>
        </w:rPr>
        <w:t>（5）唱标结束，参与开标的招标人、招标代理、投标人及有关人员对开标记录表进行签字确认。若有关人员不签字的，不影响开标程序。</w:t>
      </w:r>
    </w:p>
    <w:p>
      <w:pPr>
        <w:spacing w:line="360" w:lineRule="auto"/>
        <w:ind w:firstLine="457" w:firstLineChars="218"/>
        <w:rPr>
          <w:rFonts w:ascii="宋体" w:cs="宋体"/>
          <w:kern w:val="0"/>
          <w:szCs w:val="21"/>
        </w:rPr>
      </w:pPr>
      <w:r>
        <w:rPr>
          <w:rFonts w:hint="eastAsia" w:ascii="宋体" w:cs="宋体"/>
          <w:kern w:val="0"/>
          <w:szCs w:val="21"/>
        </w:rPr>
        <w:t>5.2.3开标时，出现下列情形之一的，不参与资格审查和评标：</w:t>
      </w:r>
    </w:p>
    <w:p>
      <w:pPr>
        <w:spacing w:line="360" w:lineRule="auto"/>
        <w:ind w:firstLine="457" w:firstLineChars="218"/>
        <w:rPr>
          <w:rFonts w:ascii="宋体" w:cs="宋体"/>
          <w:kern w:val="0"/>
          <w:szCs w:val="21"/>
          <w:u w:val="single"/>
        </w:rPr>
      </w:pPr>
      <w:r>
        <w:rPr>
          <w:rFonts w:hint="eastAsia" w:ascii="宋体" w:cs="宋体"/>
          <w:kern w:val="0"/>
          <w:szCs w:val="21"/>
          <w:u w:val="single"/>
        </w:rPr>
        <w:t>（1）未按招标文件要求提供投标担保的；</w:t>
      </w:r>
    </w:p>
    <w:p>
      <w:pPr>
        <w:spacing w:line="360" w:lineRule="auto"/>
        <w:ind w:firstLine="457" w:firstLineChars="218"/>
        <w:rPr>
          <w:rFonts w:ascii="宋体" w:cs="宋体"/>
          <w:kern w:val="0"/>
          <w:szCs w:val="21"/>
          <w:u w:val="single"/>
        </w:rPr>
      </w:pPr>
      <w:r>
        <w:rPr>
          <w:rFonts w:hint="eastAsia" w:ascii="宋体" w:cs="宋体"/>
          <w:kern w:val="0"/>
          <w:szCs w:val="21"/>
          <w:u w:val="single"/>
        </w:rPr>
        <w:t>注：1、广州公共资源交易中心代收投标保证金的，其缴纳情况以广州公共资源交易中心数据库记录的信息为准。</w:t>
      </w:r>
    </w:p>
    <w:p>
      <w:pPr>
        <w:spacing w:line="360" w:lineRule="auto"/>
        <w:ind w:firstLine="457" w:firstLineChars="218"/>
        <w:rPr>
          <w:rFonts w:ascii="宋体" w:cs="宋体"/>
          <w:kern w:val="0"/>
          <w:szCs w:val="21"/>
          <w:u w:val="single"/>
        </w:rPr>
      </w:pPr>
      <w:r>
        <w:rPr>
          <w:rFonts w:hint="eastAsia" w:ascii="宋体" w:cs="宋体"/>
          <w:kern w:val="0"/>
          <w:szCs w:val="21"/>
          <w:u w:val="single"/>
        </w:rPr>
        <w:t>2、缴费的操作详见广州公共资源交易中心公布的《投标人基本账户保证金操作指引》。</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5.3 开标异议</w:t>
      </w:r>
    </w:p>
    <w:p>
      <w:pPr>
        <w:spacing w:line="360" w:lineRule="auto"/>
        <w:ind w:firstLine="359" w:firstLineChars="171"/>
        <w:rPr>
          <w:rFonts w:ascii="宋体" w:cs="宋体"/>
          <w:kern w:val="0"/>
          <w:szCs w:val="21"/>
        </w:rPr>
      </w:pPr>
      <w:r>
        <w:rPr>
          <w:rFonts w:hint="eastAsia" w:ascii="宋体" w:cs="宋体"/>
          <w:kern w:val="0"/>
          <w:szCs w:val="21"/>
        </w:rPr>
        <w:t>投标人对开标有异议的，应当在</w:t>
      </w:r>
      <w:r>
        <w:rPr>
          <w:rFonts w:hint="eastAsia" w:ascii="宋体" w:cs="宋体"/>
          <w:kern w:val="0"/>
          <w:szCs w:val="21"/>
          <w:u w:val="single"/>
        </w:rPr>
        <w:t>交易平台规定的时间内</w:t>
      </w:r>
      <w:r>
        <w:rPr>
          <w:rFonts w:hint="eastAsia" w:ascii="宋体" w:cs="宋体"/>
          <w:kern w:val="0"/>
          <w:szCs w:val="21"/>
        </w:rPr>
        <w:t>提出，招标人当场作出答复，并制作记录。</w:t>
      </w:r>
    </w:p>
    <w:p>
      <w:pPr>
        <w:keepNext/>
        <w:keepLines/>
        <w:spacing w:line="360" w:lineRule="auto"/>
        <w:outlineLvl w:val="1"/>
        <w:rPr>
          <w:rFonts w:ascii="宋体" w:cs="宋体"/>
          <w:b/>
          <w:bCs/>
          <w:kern w:val="0"/>
          <w:sz w:val="24"/>
          <w:szCs w:val="24"/>
        </w:rPr>
      </w:pPr>
      <w:bookmarkStart w:id="196" w:name="_Toc505152692"/>
      <w:bookmarkStart w:id="197" w:name="_Toc480225653"/>
      <w:bookmarkStart w:id="198" w:name="_Toc31673"/>
      <w:bookmarkStart w:id="199" w:name="_Toc443505828"/>
      <w:r>
        <w:rPr>
          <w:rFonts w:hint="eastAsia" w:ascii="宋体" w:cs="宋体"/>
          <w:b/>
          <w:bCs/>
          <w:kern w:val="0"/>
          <w:sz w:val="24"/>
          <w:szCs w:val="24"/>
        </w:rPr>
        <w:t>6. 评标</w:t>
      </w:r>
      <w:bookmarkEnd w:id="196"/>
      <w:bookmarkEnd w:id="197"/>
      <w:bookmarkEnd w:id="198"/>
      <w:bookmarkEnd w:id="199"/>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6.1 评标委员会</w:t>
      </w:r>
    </w:p>
    <w:p>
      <w:pPr>
        <w:spacing w:line="360" w:lineRule="auto"/>
        <w:ind w:firstLine="420" w:firstLineChars="200"/>
        <w:rPr>
          <w:rFonts w:ascii="宋体" w:cs="宋体"/>
          <w:kern w:val="0"/>
          <w:szCs w:val="21"/>
        </w:rPr>
      </w:pPr>
      <w:r>
        <w:rPr>
          <w:rFonts w:hint="eastAsia" w:ascii="宋体" w:cs="宋体"/>
          <w:kern w:val="0"/>
          <w:szCs w:val="21"/>
        </w:rPr>
        <w:t>6.1.1</w:t>
      </w:r>
      <w:r>
        <w:rPr>
          <w:rFonts w:hint="eastAsia" w:ascii="宋体"/>
          <w:kern w:val="0"/>
          <w:u w:val="single"/>
        </w:rPr>
        <w:t>由招标人依法依规组建，详见投标人须知前附表</w:t>
      </w:r>
      <w:r>
        <w:rPr>
          <w:rFonts w:hint="eastAsia" w:ascii="宋体" w:cs="宋体"/>
          <w:kern w:val="0"/>
          <w:szCs w:val="21"/>
        </w:rPr>
        <w:t>。</w:t>
      </w:r>
    </w:p>
    <w:p>
      <w:pPr>
        <w:spacing w:line="360" w:lineRule="auto"/>
        <w:ind w:firstLine="420" w:firstLineChars="200"/>
        <w:rPr>
          <w:rFonts w:ascii="宋体" w:cs="宋体"/>
          <w:kern w:val="0"/>
          <w:szCs w:val="21"/>
        </w:rPr>
      </w:pPr>
      <w:r>
        <w:rPr>
          <w:rFonts w:hint="eastAsia" w:ascii="宋体" w:cs="宋体"/>
          <w:kern w:val="0"/>
          <w:szCs w:val="21"/>
        </w:rPr>
        <w:t>6.1.2 评标委员会成员有下列情形之一的，应当回避：</w:t>
      </w:r>
    </w:p>
    <w:p>
      <w:pPr>
        <w:spacing w:line="360" w:lineRule="auto"/>
        <w:ind w:firstLine="420" w:firstLineChars="200"/>
        <w:rPr>
          <w:rFonts w:ascii="宋体" w:cs="宋体"/>
          <w:kern w:val="0"/>
          <w:szCs w:val="21"/>
        </w:rPr>
      </w:pPr>
      <w:r>
        <w:rPr>
          <w:rFonts w:hint="eastAsia" w:ascii="宋体" w:cs="宋体"/>
          <w:kern w:val="0"/>
          <w:szCs w:val="21"/>
        </w:rPr>
        <w:t>（1）投标人或投标人主要负责人的近亲属；</w:t>
      </w:r>
    </w:p>
    <w:p>
      <w:pPr>
        <w:spacing w:line="360" w:lineRule="auto"/>
        <w:ind w:firstLine="420" w:firstLineChars="200"/>
        <w:rPr>
          <w:rFonts w:ascii="宋体" w:cs="宋体"/>
          <w:kern w:val="0"/>
          <w:szCs w:val="21"/>
        </w:rPr>
      </w:pPr>
      <w:r>
        <w:rPr>
          <w:rFonts w:hint="eastAsia" w:ascii="宋体" w:cs="宋体"/>
          <w:kern w:val="0"/>
          <w:szCs w:val="21"/>
        </w:rPr>
        <w:t>（2）项目主管部门或者行政监督部门的人员；</w:t>
      </w:r>
    </w:p>
    <w:p>
      <w:pPr>
        <w:spacing w:line="360" w:lineRule="auto"/>
        <w:ind w:firstLine="420" w:firstLineChars="200"/>
        <w:rPr>
          <w:rFonts w:ascii="宋体" w:cs="宋体"/>
          <w:kern w:val="0"/>
          <w:szCs w:val="21"/>
        </w:rPr>
      </w:pPr>
      <w:r>
        <w:rPr>
          <w:rFonts w:hint="eastAsia" w:ascii="宋体" w:cs="宋体"/>
          <w:kern w:val="0"/>
          <w:szCs w:val="21"/>
        </w:rPr>
        <w:t>（3）与投标人有经济利益关系，可能影响对投标公正评审的；</w:t>
      </w:r>
    </w:p>
    <w:p>
      <w:pPr>
        <w:spacing w:line="360" w:lineRule="auto"/>
        <w:ind w:firstLine="420" w:firstLineChars="200"/>
        <w:rPr>
          <w:rFonts w:ascii="宋体" w:cs="宋体"/>
          <w:kern w:val="0"/>
          <w:szCs w:val="21"/>
        </w:rPr>
      </w:pPr>
      <w:r>
        <w:rPr>
          <w:rFonts w:hint="eastAsia" w:ascii="宋体" w:cs="宋体"/>
          <w:kern w:val="0"/>
          <w:szCs w:val="21"/>
        </w:rPr>
        <w:t>（4）曾因在招标、评标以及其他与招标投标有关活动中从事违法行为而受过行政处罚或刑事处罚的；</w:t>
      </w:r>
    </w:p>
    <w:p>
      <w:pPr>
        <w:spacing w:line="360" w:lineRule="auto"/>
        <w:ind w:firstLine="420" w:firstLineChars="200"/>
        <w:rPr>
          <w:rFonts w:ascii="宋体" w:cs="宋体"/>
          <w:kern w:val="0"/>
          <w:szCs w:val="21"/>
        </w:rPr>
      </w:pPr>
      <w:r>
        <w:rPr>
          <w:rFonts w:hint="eastAsia" w:ascii="宋体" w:cs="宋体"/>
          <w:kern w:val="0"/>
          <w:szCs w:val="21"/>
        </w:rPr>
        <w:t>（5）与投标人有其他利害关系。</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6.2 评标原则</w:t>
      </w:r>
      <w:r>
        <w:rPr>
          <w:rFonts w:hint="eastAsia" w:ascii="宋体" w:cs="宋体"/>
          <w:b/>
          <w:bCs/>
          <w:kern w:val="0"/>
          <w:szCs w:val="21"/>
          <w:lang w:val="zh-CN"/>
        </w:rPr>
        <w:tab/>
      </w:r>
    </w:p>
    <w:p>
      <w:pPr>
        <w:spacing w:line="360" w:lineRule="auto"/>
        <w:ind w:firstLine="420" w:firstLineChars="200"/>
        <w:rPr>
          <w:rFonts w:ascii="宋体" w:cs="宋体"/>
          <w:kern w:val="0"/>
          <w:szCs w:val="21"/>
        </w:rPr>
      </w:pPr>
      <w:r>
        <w:rPr>
          <w:rFonts w:hint="eastAsia" w:ascii="宋体" w:cs="宋体"/>
          <w:kern w:val="0"/>
          <w:szCs w:val="21"/>
        </w:rPr>
        <w:t>评标活动遵循公平、公正、科学和择优的原则。</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6.3 评标</w:t>
      </w:r>
    </w:p>
    <w:p>
      <w:pPr>
        <w:spacing w:line="360" w:lineRule="auto"/>
        <w:ind w:firstLine="420" w:firstLineChars="200"/>
        <w:rPr>
          <w:rFonts w:ascii="宋体" w:cs="宋体"/>
          <w:kern w:val="0"/>
          <w:szCs w:val="21"/>
        </w:rPr>
      </w:pPr>
      <w:r>
        <w:rPr>
          <w:rFonts w:hint="eastAsia" w:ascii="宋体" w:cs="宋体"/>
          <w:kern w:val="0"/>
          <w:szCs w:val="21"/>
        </w:rPr>
        <w:t>评标委员会按照第二章“</w:t>
      </w:r>
      <w:r>
        <w:rPr>
          <w:rFonts w:hint="eastAsia" w:ascii="宋体"/>
          <w:kern w:val="0"/>
        </w:rPr>
        <w:t>评标、定标办法</w:t>
      </w:r>
      <w:r>
        <w:rPr>
          <w:rFonts w:hint="eastAsia" w:ascii="宋体" w:cs="宋体"/>
          <w:kern w:val="0"/>
          <w:szCs w:val="21"/>
        </w:rPr>
        <w:t>”规定的方法、评审因素、标准和程序对投标文件进行评审。第二章“</w:t>
      </w:r>
      <w:r>
        <w:rPr>
          <w:rFonts w:hint="eastAsia" w:ascii="宋体"/>
          <w:kern w:val="0"/>
        </w:rPr>
        <w:t>评标、定标办法</w:t>
      </w:r>
      <w:r>
        <w:rPr>
          <w:rFonts w:hint="eastAsia" w:ascii="宋体" w:cs="宋体"/>
          <w:kern w:val="0"/>
          <w:szCs w:val="21"/>
        </w:rPr>
        <w:t>”没有规定的方法、评审因素和标准，不作为评标依据。</w:t>
      </w:r>
    </w:p>
    <w:p>
      <w:pPr>
        <w:pStyle w:val="7"/>
        <w:spacing w:line="360" w:lineRule="auto"/>
        <w:ind w:firstLine="137"/>
        <w:rPr>
          <w:strike/>
        </w:rPr>
      </w:pPr>
      <w:r>
        <w:rPr>
          <w:strike/>
        </w:rPr>
        <w:t>6.</w:t>
      </w:r>
      <w:r>
        <w:rPr>
          <w:rFonts w:hint="eastAsia"/>
          <w:strike/>
        </w:rPr>
        <w:t>4 定标</w:t>
      </w:r>
    </w:p>
    <w:p>
      <w:pPr>
        <w:spacing w:line="360" w:lineRule="auto"/>
        <w:ind w:firstLine="420" w:firstLineChars="200"/>
        <w:rPr>
          <w:rFonts w:ascii="宋体"/>
          <w:strike/>
          <w:kern w:val="0"/>
          <w:u w:val="single"/>
        </w:rPr>
      </w:pPr>
      <w:r>
        <w:rPr>
          <w:rFonts w:hint="eastAsia" w:ascii="宋体"/>
          <w:strike/>
          <w:kern w:val="0"/>
          <w:u w:val="single"/>
        </w:rPr>
        <w:t>6.4.1定标委员会由招标人依法依规组建，详见投标人须知前附表。</w:t>
      </w:r>
    </w:p>
    <w:p>
      <w:pPr>
        <w:spacing w:line="360" w:lineRule="auto"/>
        <w:ind w:firstLine="420" w:firstLineChars="200"/>
        <w:rPr>
          <w:strike/>
          <w:kern w:val="0"/>
        </w:rPr>
      </w:pPr>
      <w:r>
        <w:rPr>
          <w:rFonts w:hint="eastAsia" w:ascii="宋体"/>
          <w:strike/>
          <w:kern w:val="0"/>
          <w:u w:val="single"/>
        </w:rPr>
        <w:t>6.4.2定标委员会按照第二章“评标办法”规定的评审因素、标准和程序对投标文件进行评审。第二章“评标办法”没有规定的评审因素和标准，不作为评标依据。</w:t>
      </w:r>
    </w:p>
    <w:p>
      <w:pPr>
        <w:pStyle w:val="3"/>
        <w:rPr>
          <w:kern w:val="0"/>
        </w:rPr>
      </w:pPr>
    </w:p>
    <w:p>
      <w:pPr>
        <w:keepNext/>
        <w:keepLines/>
        <w:spacing w:line="360" w:lineRule="auto"/>
        <w:outlineLvl w:val="1"/>
        <w:rPr>
          <w:rFonts w:ascii="宋体" w:cs="宋体"/>
          <w:b/>
          <w:bCs/>
          <w:kern w:val="0"/>
          <w:sz w:val="24"/>
          <w:szCs w:val="24"/>
        </w:rPr>
      </w:pPr>
      <w:bookmarkStart w:id="200" w:name="_Toc480225654"/>
      <w:bookmarkStart w:id="201" w:name="_Toc443505829"/>
      <w:bookmarkStart w:id="202" w:name="_Toc18436"/>
      <w:bookmarkStart w:id="203" w:name="_Toc505152693"/>
      <w:r>
        <w:rPr>
          <w:rFonts w:hint="eastAsia" w:ascii="宋体" w:cs="宋体"/>
          <w:b/>
          <w:bCs/>
          <w:kern w:val="0"/>
          <w:sz w:val="24"/>
          <w:szCs w:val="24"/>
        </w:rPr>
        <w:t>7. 合同授予</w:t>
      </w:r>
      <w:bookmarkEnd w:id="200"/>
      <w:bookmarkEnd w:id="201"/>
      <w:bookmarkEnd w:id="202"/>
      <w:bookmarkEnd w:id="203"/>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7.1 定标方式</w:t>
      </w:r>
    </w:p>
    <w:p>
      <w:pPr>
        <w:spacing w:line="360" w:lineRule="auto"/>
        <w:ind w:firstLine="420" w:firstLineChars="200"/>
        <w:rPr>
          <w:rFonts w:ascii="宋体" w:cs="宋体"/>
          <w:kern w:val="0"/>
          <w:szCs w:val="21"/>
        </w:rPr>
      </w:pPr>
      <w:r>
        <w:rPr>
          <w:rFonts w:hint="eastAsia" w:ascii="宋体" w:cs="宋体"/>
          <w:kern w:val="0"/>
          <w:szCs w:val="21"/>
        </w:rPr>
        <w:t>7.1.1除投标人须知前附表规定评标委员会直接确定中标人外，招标人依据评标委员会推荐的中标候选人确定中标人，评标委员会推荐中标候选人的人数见投标人须知前附表。</w:t>
      </w:r>
    </w:p>
    <w:p>
      <w:pPr>
        <w:spacing w:line="360" w:lineRule="auto"/>
        <w:ind w:firstLine="420" w:firstLineChars="200"/>
        <w:rPr>
          <w:rFonts w:ascii="宋体" w:cs="宋体"/>
          <w:kern w:val="0"/>
          <w:szCs w:val="21"/>
        </w:rPr>
      </w:pPr>
      <w:r>
        <w:rPr>
          <w:rFonts w:hint="eastAsia" w:ascii="宋体" w:cs="宋体"/>
          <w:kern w:val="0"/>
          <w:szCs w:val="21"/>
        </w:rPr>
        <w:t>7.1.2 依法必须进行公开招标的项目，招标人应当确定排名第一的中标候选人为中标人。</w:t>
      </w:r>
    </w:p>
    <w:p>
      <w:pPr>
        <w:spacing w:line="360" w:lineRule="auto"/>
        <w:ind w:firstLine="420" w:firstLineChars="200"/>
        <w:rPr>
          <w:rFonts w:ascii="宋体" w:cs="宋体"/>
          <w:kern w:val="0"/>
          <w:szCs w:val="21"/>
          <w:u w:val="single"/>
        </w:rPr>
      </w:pPr>
      <w:r>
        <w:rPr>
          <w:rFonts w:hint="eastAsia" w:ascii="宋体" w:cs="宋体"/>
          <w:kern w:val="0"/>
          <w:szCs w:val="21"/>
          <w:u w:val="single"/>
        </w:rPr>
        <w:t>7.1.3排名第一的中标候选人放弃中标、因不可抗力不能履行合同、不按照招标文件要求提交履约保证金，或经核查发现委派的项目负责人已在其他在建项目中担任任何职务的，或者被查实存在影响中标结果的违法行为等情形，不符合中标条件的，招标人可以按照评标委员会评出的中标候选人顺序依次上升替补确定中标人，以此类推，也可以重新招标。</w:t>
      </w:r>
    </w:p>
    <w:p>
      <w:pPr>
        <w:spacing w:line="360" w:lineRule="auto"/>
        <w:ind w:firstLine="422" w:firstLineChars="200"/>
        <w:rPr>
          <w:rFonts w:ascii="宋体" w:cs="宋体"/>
          <w:b/>
          <w:bCs/>
          <w:kern w:val="0"/>
          <w:szCs w:val="21"/>
          <w:lang w:val="zh-CN"/>
        </w:rPr>
      </w:pPr>
      <w:r>
        <w:rPr>
          <w:rFonts w:hint="eastAsia" w:ascii="宋体" w:cs="宋体"/>
          <w:b/>
          <w:bCs/>
          <w:kern w:val="0"/>
          <w:szCs w:val="21"/>
          <w:lang w:val="zh-CN"/>
        </w:rPr>
        <w:t xml:space="preserve">7.2 </w:t>
      </w:r>
      <w:r>
        <w:rPr>
          <w:rFonts w:hint="eastAsia"/>
          <w:kern w:val="0"/>
        </w:rPr>
        <w:t>合格的中标候选人公示及中标结果公开</w:t>
      </w:r>
    </w:p>
    <w:p>
      <w:pPr>
        <w:spacing w:line="360" w:lineRule="auto"/>
        <w:ind w:firstLine="420" w:firstLineChars="200"/>
        <w:rPr>
          <w:rFonts w:ascii="宋体"/>
          <w:kern w:val="0"/>
          <w:u w:val="single"/>
        </w:rPr>
      </w:pPr>
      <w:r>
        <w:rPr>
          <w:rFonts w:hint="eastAsia" w:ascii="宋体" w:cs="宋体"/>
          <w:kern w:val="0"/>
          <w:szCs w:val="21"/>
        </w:rPr>
        <w:t>7.2.1</w:t>
      </w:r>
      <w:r>
        <w:rPr>
          <w:rFonts w:hint="eastAsia" w:ascii="宋体"/>
          <w:kern w:val="0"/>
        </w:rPr>
        <w:t>招标人在投标人须知前附表规定的媒介公示合格的中标候选人，合格的中标候选人不排序，</w:t>
      </w:r>
      <w:r>
        <w:rPr>
          <w:rFonts w:hint="eastAsia" w:ascii="宋体"/>
          <w:kern w:val="0"/>
          <w:u w:val="single"/>
        </w:rPr>
        <w:t>公示时间为三天，</w:t>
      </w:r>
      <w:r>
        <w:rPr>
          <w:rFonts w:hint="eastAsia" w:ascii="宋体"/>
          <w:kern w:val="0"/>
          <w:szCs w:val="21"/>
          <w:u w:val="single"/>
        </w:rPr>
        <w:t>公示期间的最后1天应当为工作日，否则将公示期的最后1天顺延至下一个工作日。</w:t>
      </w:r>
    </w:p>
    <w:p>
      <w:pPr>
        <w:spacing w:line="360" w:lineRule="auto"/>
        <w:ind w:firstLine="420" w:firstLineChars="200"/>
        <w:rPr>
          <w:rFonts w:ascii="宋体"/>
          <w:kern w:val="0"/>
        </w:rPr>
      </w:pPr>
      <w:r>
        <w:rPr>
          <w:rFonts w:hint="eastAsia" w:ascii="宋体"/>
          <w:kern w:val="0"/>
        </w:rPr>
        <w:t>7.2.2定标工作完成后，招标人在投标人须知前附表规定的媒介公示中标结果。</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7.3 中标通知</w:t>
      </w:r>
    </w:p>
    <w:p>
      <w:pPr>
        <w:spacing w:line="360" w:lineRule="auto"/>
        <w:ind w:firstLine="420" w:firstLineChars="200"/>
        <w:rPr>
          <w:rFonts w:ascii="宋体" w:cs="宋体"/>
          <w:kern w:val="0"/>
          <w:szCs w:val="21"/>
        </w:rPr>
      </w:pPr>
      <w:r>
        <w:rPr>
          <w:rFonts w:hint="eastAsia" w:ascii="宋体" w:cs="宋体"/>
          <w:kern w:val="0"/>
          <w:szCs w:val="21"/>
        </w:rPr>
        <w:t>7.3.1 评标公示后，在本章第3.3 款规定的投标有效期内，</w:t>
      </w:r>
      <w:r>
        <w:rPr>
          <w:rFonts w:hint="eastAsia" w:ascii="宋体" w:cs="宋体"/>
          <w:kern w:val="0"/>
        </w:rPr>
        <w:t>招标人以书面形式向中标人发出中标通知书，</w:t>
      </w:r>
      <w:r>
        <w:rPr>
          <w:rFonts w:hint="eastAsia" w:ascii="宋体" w:cs="宋体"/>
          <w:kern w:val="0"/>
          <w:szCs w:val="21"/>
        </w:rPr>
        <w:t>中标通知书发出前须经广州公共资源交易中心盖章确认。</w:t>
      </w:r>
    </w:p>
    <w:p>
      <w:pPr>
        <w:spacing w:line="360" w:lineRule="auto"/>
        <w:ind w:firstLine="420" w:firstLineChars="200"/>
        <w:rPr>
          <w:rFonts w:ascii="宋体" w:cs="宋体"/>
          <w:kern w:val="0"/>
          <w:u w:val="single"/>
        </w:rPr>
      </w:pPr>
      <w:r>
        <w:rPr>
          <w:rFonts w:hint="eastAsia" w:ascii="宋体" w:cs="宋体"/>
          <w:kern w:val="0"/>
          <w:u w:val="single"/>
        </w:rPr>
        <w:t>7.3.2 招标人应当自确定中标人后，向招投标监管机构提交招标投标情况的书面报告；经招投标监管机构备案后，方可发出中标通知书。中标通知书由招标人颁发，并经广州公共资源交易中心确认。</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7.4 履约担保</w:t>
      </w:r>
    </w:p>
    <w:p>
      <w:pPr>
        <w:spacing w:line="360" w:lineRule="auto"/>
        <w:ind w:firstLine="420" w:firstLineChars="200"/>
        <w:rPr>
          <w:rFonts w:ascii="宋体" w:cs="宋体"/>
          <w:kern w:val="0"/>
          <w:szCs w:val="21"/>
        </w:rPr>
      </w:pPr>
      <w:r>
        <w:rPr>
          <w:rFonts w:hint="eastAsia" w:ascii="宋体" w:cs="宋体"/>
          <w:kern w:val="0"/>
          <w:szCs w:val="21"/>
        </w:rPr>
        <w:t>7.4.1在签订合同后30天内，中标人应按投标人须知前附表规定的担保形式向招标人提交履约担保。除</w:t>
      </w:r>
      <w:r>
        <w:rPr>
          <w:rStyle w:val="68"/>
          <w:rFonts w:hint="eastAsia" w:ascii="宋体"/>
          <w:kern w:val="0"/>
        </w:rPr>
        <w:t>投标人须知前附表另有规定外，履约担保金额为中标施工费合同金额的10%。联合体中标的，其履约担保由联合体施工任务方提交。</w:t>
      </w:r>
    </w:p>
    <w:p>
      <w:pPr>
        <w:spacing w:line="360" w:lineRule="auto"/>
        <w:ind w:firstLine="420" w:firstLineChars="200"/>
        <w:rPr>
          <w:rFonts w:ascii="宋体" w:cs="宋体"/>
          <w:kern w:val="0"/>
          <w:szCs w:val="21"/>
        </w:rPr>
      </w:pPr>
      <w:r>
        <w:rPr>
          <w:rFonts w:hint="eastAsia" w:ascii="宋体" w:cs="宋体"/>
          <w:kern w:val="0"/>
          <w:szCs w:val="21"/>
        </w:rPr>
        <w:t>7.4.2 中标人不能按本章第7.4.1项要求提交履约担保的，视为放弃中标，其投标担保不予退还，给招标人造成的损失超过投标担保数额的，中标人还应当对超过部分予以赔偿。</w:t>
      </w:r>
    </w:p>
    <w:p>
      <w:pPr>
        <w:keepNext/>
        <w:keepLines/>
        <w:spacing w:line="360" w:lineRule="auto"/>
        <w:outlineLvl w:val="2"/>
        <w:rPr>
          <w:rFonts w:ascii="宋体" w:cs="宋体"/>
          <w:b/>
          <w:bCs/>
          <w:kern w:val="0"/>
          <w:szCs w:val="21"/>
          <w:lang w:val="zh-CN"/>
        </w:rPr>
      </w:pPr>
      <w:r>
        <w:rPr>
          <w:rFonts w:hint="eastAsia" w:ascii="宋体" w:cs="宋体"/>
          <w:b/>
          <w:bCs/>
          <w:kern w:val="0"/>
          <w:szCs w:val="21"/>
          <w:lang w:val="zh-CN"/>
        </w:rPr>
        <w:t>7.5 签订合同</w:t>
      </w:r>
    </w:p>
    <w:p>
      <w:pPr>
        <w:spacing w:line="360" w:lineRule="auto"/>
        <w:ind w:firstLine="420" w:firstLineChars="200"/>
        <w:rPr>
          <w:rFonts w:ascii="宋体" w:cs="宋体"/>
          <w:kern w:val="0"/>
        </w:rPr>
      </w:pPr>
      <w:r>
        <w:rPr>
          <w:rFonts w:hint="eastAsia" w:ascii="宋体" w:cs="宋体"/>
          <w:kern w:val="0"/>
        </w:rPr>
        <w:t xml:space="preserve">7.5.1 招标人和中标人应当自中标通知书发出之日起30天内，根据招标文件和中标人的投标文件订立书面合同。中标人无正当理由拒签合同的，招标人取消其中标资格，其投标担保不予退还；给招标人造成的损失超过投标担保数额的，中标人还应当对超过部分予以赔偿。 </w:t>
      </w:r>
    </w:p>
    <w:p>
      <w:pPr>
        <w:keepNext/>
        <w:keepLines/>
        <w:spacing w:line="360" w:lineRule="auto"/>
        <w:ind w:firstLine="420" w:firstLineChars="200"/>
        <w:outlineLvl w:val="1"/>
        <w:rPr>
          <w:rFonts w:ascii="宋体" w:cs="宋体"/>
          <w:kern w:val="0"/>
          <w:szCs w:val="24"/>
        </w:rPr>
      </w:pPr>
      <w:bookmarkStart w:id="204" w:name="_Toc505152694"/>
      <w:bookmarkStart w:id="205" w:name="_Toc480225655"/>
      <w:bookmarkStart w:id="206" w:name="_Toc31092"/>
      <w:bookmarkStart w:id="207" w:name="_Toc443505830"/>
      <w:r>
        <w:rPr>
          <w:rFonts w:hint="eastAsia" w:ascii="宋体" w:cs="宋体"/>
          <w:kern w:val="0"/>
          <w:szCs w:val="24"/>
        </w:rPr>
        <w:t>7.5.2 发出中标通知书后，招标人无正当理由拒签合同的，招标人向中标人退还投标担保；给中标人造成损失的，还应当赔偿损失。</w:t>
      </w:r>
      <w:bookmarkEnd w:id="204"/>
      <w:bookmarkEnd w:id="205"/>
      <w:bookmarkEnd w:id="206"/>
      <w:bookmarkEnd w:id="207"/>
    </w:p>
    <w:p>
      <w:pPr>
        <w:keepNext/>
        <w:keepLines/>
        <w:spacing w:line="360" w:lineRule="auto"/>
        <w:outlineLvl w:val="1"/>
        <w:rPr>
          <w:rFonts w:ascii="宋体" w:cs="宋体"/>
          <w:b/>
          <w:bCs/>
          <w:kern w:val="0"/>
          <w:sz w:val="24"/>
          <w:szCs w:val="24"/>
        </w:rPr>
      </w:pPr>
      <w:bookmarkStart w:id="208" w:name="_Toc443505831"/>
      <w:bookmarkStart w:id="209" w:name="_Toc480225656"/>
      <w:bookmarkStart w:id="210" w:name="_Toc31841"/>
      <w:bookmarkStart w:id="211" w:name="_Toc505152695"/>
      <w:r>
        <w:rPr>
          <w:rFonts w:hint="eastAsia" w:ascii="宋体" w:cs="宋体"/>
          <w:b/>
          <w:bCs/>
          <w:kern w:val="0"/>
          <w:sz w:val="24"/>
          <w:szCs w:val="24"/>
        </w:rPr>
        <w:t>8. 纪律和监督</w:t>
      </w:r>
      <w:bookmarkEnd w:id="208"/>
      <w:bookmarkEnd w:id="209"/>
      <w:bookmarkEnd w:id="210"/>
      <w:bookmarkEnd w:id="211"/>
    </w:p>
    <w:p>
      <w:pPr>
        <w:keepNext/>
        <w:keepLines/>
        <w:spacing w:line="360" w:lineRule="auto"/>
        <w:outlineLvl w:val="1"/>
        <w:rPr>
          <w:rFonts w:ascii="宋体" w:cs="宋体"/>
          <w:bCs/>
          <w:kern w:val="0"/>
          <w:szCs w:val="21"/>
        </w:rPr>
      </w:pPr>
      <w:bookmarkStart w:id="212" w:name="_Toc505152696"/>
      <w:bookmarkStart w:id="213" w:name="_Toc443505832"/>
      <w:bookmarkStart w:id="214" w:name="_Toc24400"/>
      <w:bookmarkStart w:id="215" w:name="_Toc480225657"/>
      <w:r>
        <w:rPr>
          <w:rFonts w:hint="eastAsia" w:ascii="宋体" w:cs="宋体"/>
          <w:bCs/>
          <w:kern w:val="0"/>
          <w:szCs w:val="21"/>
        </w:rPr>
        <w:t>8.1 对招标人的纪律要求</w:t>
      </w:r>
      <w:bookmarkEnd w:id="212"/>
      <w:bookmarkEnd w:id="213"/>
      <w:bookmarkEnd w:id="214"/>
      <w:bookmarkEnd w:id="215"/>
    </w:p>
    <w:p>
      <w:pPr>
        <w:spacing w:line="360" w:lineRule="auto"/>
        <w:ind w:firstLine="420" w:firstLineChars="200"/>
        <w:rPr>
          <w:rFonts w:ascii="宋体" w:cs="宋体"/>
          <w:kern w:val="0"/>
        </w:rPr>
      </w:pPr>
      <w:r>
        <w:rPr>
          <w:rFonts w:hint="eastAsia" w:ascii="宋体" w:cs="宋体"/>
          <w:kern w:val="0"/>
        </w:rPr>
        <w:t>招标人不得泄漏招标投标活动中应当保密的情况和资料，不得与投标人串通损害国家利益、社会公共利益或者他人合法权益。</w:t>
      </w:r>
    </w:p>
    <w:p>
      <w:pPr>
        <w:spacing w:line="360" w:lineRule="auto"/>
        <w:rPr>
          <w:rFonts w:ascii="宋体" w:cs="宋体"/>
          <w:kern w:val="0"/>
        </w:rPr>
      </w:pPr>
      <w:r>
        <w:rPr>
          <w:rFonts w:hint="eastAsia" w:ascii="宋体" w:cs="宋体"/>
          <w:kern w:val="0"/>
          <w:szCs w:val="21"/>
        </w:rPr>
        <w:t>8.2 对投标人的纪律要求</w:t>
      </w:r>
    </w:p>
    <w:p>
      <w:pPr>
        <w:spacing w:line="360" w:lineRule="auto"/>
        <w:ind w:firstLine="420" w:firstLineChars="200"/>
        <w:rPr>
          <w:rFonts w:ascii="宋体" w:cs="宋体"/>
          <w:kern w:val="0"/>
        </w:rPr>
      </w:pPr>
      <w:r>
        <w:rPr>
          <w:rFonts w:hint="eastAsia" w:ascii="宋体" w:cs="宋体"/>
          <w:kern w:val="0"/>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rPr>
          <w:rFonts w:ascii="宋体" w:cs="宋体"/>
          <w:kern w:val="0"/>
        </w:rPr>
      </w:pPr>
      <w:r>
        <w:rPr>
          <w:rFonts w:hint="eastAsia" w:ascii="宋体" w:cs="宋体"/>
          <w:bCs/>
          <w:kern w:val="0"/>
          <w:szCs w:val="21"/>
        </w:rPr>
        <w:t>8.3 对评标委员会成员的纪律要求</w:t>
      </w:r>
    </w:p>
    <w:p>
      <w:pPr>
        <w:spacing w:line="360" w:lineRule="auto"/>
        <w:ind w:firstLine="420" w:firstLineChars="200"/>
        <w:rPr>
          <w:rFonts w:ascii="宋体" w:cs="宋体"/>
          <w:kern w:val="0"/>
        </w:rPr>
      </w:pPr>
      <w:r>
        <w:rPr>
          <w:rFonts w:hint="eastAsia" w:ascii="宋体" w:cs="宋体"/>
          <w:kern w:val="0"/>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二章“</w:t>
      </w:r>
      <w:r>
        <w:rPr>
          <w:rFonts w:hint="eastAsia" w:ascii="宋体"/>
          <w:kern w:val="0"/>
          <w:u w:val="single"/>
        </w:rPr>
        <w:t>评标办法</w:t>
      </w:r>
      <w:r>
        <w:rPr>
          <w:rFonts w:hint="eastAsia" w:ascii="宋体" w:cs="宋体"/>
          <w:kern w:val="0"/>
        </w:rPr>
        <w:t>”没有规定的评审因素和标准进行评标。</w:t>
      </w:r>
    </w:p>
    <w:p>
      <w:pPr>
        <w:spacing w:line="360" w:lineRule="auto"/>
        <w:rPr>
          <w:rFonts w:ascii="宋体" w:cs="宋体"/>
          <w:kern w:val="0"/>
        </w:rPr>
      </w:pPr>
      <w:r>
        <w:rPr>
          <w:rFonts w:hint="eastAsia" w:ascii="宋体" w:cs="宋体"/>
          <w:kern w:val="0"/>
          <w:szCs w:val="21"/>
        </w:rPr>
        <w:t>8.4 对与评标活动有关的工作人员的纪律要求</w:t>
      </w:r>
    </w:p>
    <w:p>
      <w:pPr>
        <w:spacing w:line="360" w:lineRule="auto"/>
        <w:ind w:firstLine="420" w:firstLineChars="200"/>
        <w:rPr>
          <w:rFonts w:ascii="宋体" w:cs="宋体"/>
          <w:kern w:val="0"/>
        </w:rPr>
      </w:pPr>
      <w:r>
        <w:rPr>
          <w:rFonts w:hint="eastAsia" w:ascii="宋体" w:cs="宋体"/>
          <w:kern w:val="0"/>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rPr>
          <w:rFonts w:ascii="宋体" w:cs="宋体"/>
          <w:kern w:val="0"/>
        </w:rPr>
      </w:pPr>
      <w:r>
        <w:rPr>
          <w:rFonts w:hint="eastAsia" w:ascii="宋体" w:cs="宋体"/>
          <w:bCs/>
          <w:kern w:val="0"/>
          <w:szCs w:val="21"/>
        </w:rPr>
        <w:t>8.5 投诉</w:t>
      </w:r>
    </w:p>
    <w:p>
      <w:pPr>
        <w:spacing w:line="360" w:lineRule="auto"/>
        <w:ind w:firstLine="420" w:firstLineChars="200"/>
        <w:rPr>
          <w:rFonts w:ascii="宋体" w:cs="宋体"/>
          <w:kern w:val="0"/>
        </w:rPr>
      </w:pPr>
      <w:r>
        <w:rPr>
          <w:rFonts w:hint="eastAsia" w:ascii="宋体" w:cs="宋体"/>
          <w:kern w:val="0"/>
        </w:rPr>
        <w:t>投标人和其他利害关系人认为本次招标活动违反法律、法规和规章规定的，有权向有关行政监督部门投诉。</w:t>
      </w:r>
    </w:p>
    <w:p>
      <w:pPr>
        <w:keepNext/>
        <w:keepLines/>
        <w:spacing w:before="260" w:after="260" w:line="360" w:lineRule="auto"/>
        <w:outlineLvl w:val="1"/>
        <w:rPr>
          <w:rFonts w:ascii="宋体" w:cs="宋体"/>
          <w:b/>
          <w:bCs/>
          <w:kern w:val="0"/>
          <w:sz w:val="24"/>
          <w:szCs w:val="24"/>
        </w:rPr>
      </w:pPr>
      <w:bookmarkStart w:id="216" w:name="_Toc443505833"/>
      <w:bookmarkStart w:id="217" w:name="_Toc7949"/>
      <w:bookmarkStart w:id="218" w:name="_Toc480225658"/>
      <w:bookmarkStart w:id="219" w:name="_Toc505152697"/>
      <w:r>
        <w:rPr>
          <w:rFonts w:hint="eastAsia" w:ascii="宋体" w:cs="宋体"/>
          <w:b/>
          <w:bCs/>
          <w:kern w:val="0"/>
          <w:sz w:val="24"/>
          <w:szCs w:val="24"/>
        </w:rPr>
        <w:t>9. 需要补充的其他内容</w:t>
      </w:r>
      <w:bookmarkEnd w:id="216"/>
      <w:bookmarkEnd w:id="217"/>
      <w:bookmarkEnd w:id="218"/>
      <w:bookmarkEnd w:id="219"/>
    </w:p>
    <w:p>
      <w:pPr>
        <w:spacing w:line="360" w:lineRule="auto"/>
        <w:ind w:firstLine="420" w:firstLineChars="200"/>
        <w:rPr>
          <w:rFonts w:ascii="宋体" w:cs="宋体"/>
          <w:kern w:val="0"/>
        </w:rPr>
      </w:pPr>
      <w:r>
        <w:rPr>
          <w:rFonts w:hint="eastAsia" w:ascii="宋体" w:cs="宋体"/>
          <w:kern w:val="0"/>
        </w:rPr>
        <w:t>需要补充的其他内容：见投标人须知前附表。</w:t>
      </w:r>
    </w:p>
    <w:p>
      <w:pPr>
        <w:keepNext/>
        <w:keepLines/>
        <w:spacing w:line="360" w:lineRule="auto"/>
        <w:outlineLvl w:val="1"/>
        <w:rPr>
          <w:rFonts w:ascii="宋体" w:cs="宋体"/>
          <w:b/>
          <w:bCs/>
          <w:kern w:val="0"/>
          <w:szCs w:val="21"/>
        </w:rPr>
      </w:pPr>
      <w:bookmarkStart w:id="220" w:name="_Toc480225659"/>
      <w:bookmarkStart w:id="221" w:name="_Toc443505834"/>
      <w:bookmarkStart w:id="222" w:name="_Toc25384"/>
      <w:bookmarkStart w:id="223" w:name="_Toc505152698"/>
      <w:r>
        <w:rPr>
          <w:rFonts w:hint="eastAsia" w:ascii="宋体" w:cs="宋体"/>
          <w:b/>
          <w:bCs/>
          <w:kern w:val="0"/>
          <w:szCs w:val="21"/>
        </w:rPr>
        <w:t>10. 电子招标投标</w:t>
      </w:r>
      <w:bookmarkEnd w:id="220"/>
      <w:bookmarkEnd w:id="221"/>
      <w:bookmarkEnd w:id="222"/>
      <w:bookmarkEnd w:id="223"/>
    </w:p>
    <w:p>
      <w:pPr>
        <w:spacing w:line="360" w:lineRule="auto"/>
        <w:ind w:firstLine="420" w:firstLineChars="200"/>
        <w:rPr>
          <w:rFonts w:ascii="宋体" w:cs="宋体"/>
          <w:kern w:val="0"/>
          <w:szCs w:val="21"/>
        </w:rPr>
      </w:pPr>
      <w:r>
        <w:rPr>
          <w:rFonts w:hint="eastAsia" w:ascii="宋体" w:cs="宋体"/>
          <w:kern w:val="0"/>
          <w:szCs w:val="21"/>
        </w:rPr>
        <w:t>本项目采用电子投标。有关</w:t>
      </w:r>
      <w:r>
        <w:rPr>
          <w:rFonts w:hint="eastAsia" w:ascii="宋体" w:cs="宋体"/>
          <w:b/>
          <w:kern w:val="0"/>
          <w:szCs w:val="21"/>
        </w:rPr>
        <w:t>全流程电子化项目</w:t>
      </w:r>
      <w:r>
        <w:rPr>
          <w:rFonts w:hint="eastAsia" w:ascii="宋体" w:cs="宋体"/>
          <w:kern w:val="0"/>
          <w:szCs w:val="21"/>
        </w:rPr>
        <w:t>的相关操作指南可自行在广州公共资源交易中心网站相关栏目下载，路径为广州公共资源交易中心网站&gt;服务指南&gt;系统帮助。</w:t>
      </w:r>
    </w:p>
    <w:p>
      <w:pPr>
        <w:keepNext/>
        <w:keepLines/>
        <w:spacing w:line="360" w:lineRule="auto"/>
        <w:outlineLvl w:val="1"/>
        <w:rPr>
          <w:rFonts w:ascii="宋体" w:cs="宋体"/>
          <w:b/>
          <w:bCs/>
          <w:strike/>
          <w:kern w:val="0"/>
          <w:szCs w:val="21"/>
        </w:rPr>
      </w:pPr>
      <w:bookmarkStart w:id="224" w:name="_Toc85120494"/>
      <w:r>
        <w:rPr>
          <w:rFonts w:hint="eastAsia" w:ascii="宋体" w:cs="宋体"/>
          <w:b/>
          <w:bCs/>
          <w:strike/>
          <w:kern w:val="0"/>
          <w:szCs w:val="21"/>
        </w:rPr>
        <w:t>11.诚信评价排名计分</w:t>
      </w:r>
      <w:bookmarkEnd w:id="224"/>
    </w:p>
    <w:p>
      <w:pPr>
        <w:ind w:firstLine="420" w:firstLineChars="200"/>
        <w:rPr>
          <w:rFonts w:ascii="宋体" w:cs="宋体"/>
          <w:b/>
          <w:bCs/>
          <w:strike/>
          <w:kern w:val="0"/>
          <w:sz w:val="24"/>
          <w:szCs w:val="24"/>
        </w:rPr>
      </w:pPr>
      <w:r>
        <w:rPr>
          <w:rFonts w:hint="eastAsia" w:ascii="宋体"/>
          <w:strike/>
          <w:kern w:val="0"/>
          <w:szCs w:val="21"/>
        </w:rPr>
        <w:t>诚信评价排名计分：</w:t>
      </w:r>
      <w:r>
        <w:rPr>
          <w:rFonts w:hint="eastAsia" w:ascii="宋体" w:cs="宋体"/>
          <w:strike/>
          <w:kern w:val="0"/>
        </w:rPr>
        <w:t>见投标人须知前附表。</w:t>
      </w:r>
    </w:p>
    <w:p>
      <w:pPr>
        <w:pStyle w:val="50"/>
        <w:rPr>
          <w:kern w:val="0"/>
        </w:rPr>
      </w:pPr>
    </w:p>
    <w:p>
      <w:pPr>
        <w:keepNext/>
        <w:keepLines/>
        <w:spacing w:line="360" w:lineRule="auto"/>
        <w:outlineLvl w:val="1"/>
        <w:rPr>
          <w:rFonts w:ascii="宋体" w:cs="宋体"/>
          <w:b/>
          <w:bCs/>
          <w:kern w:val="0"/>
          <w:szCs w:val="21"/>
        </w:rPr>
      </w:pPr>
      <w:r>
        <w:rPr>
          <w:rFonts w:hint="eastAsia" w:ascii="宋体" w:cs="宋体"/>
          <w:b/>
          <w:bCs/>
          <w:kern w:val="0"/>
          <w:szCs w:val="21"/>
        </w:rPr>
        <w:t>12. 评标应急预案</w:t>
      </w:r>
    </w:p>
    <w:p>
      <w:pPr>
        <w:spacing w:line="360" w:lineRule="auto"/>
        <w:ind w:firstLine="420" w:firstLineChars="200"/>
        <w:rPr>
          <w:rFonts w:ascii="宋体" w:cs="宋体"/>
          <w:kern w:val="0"/>
          <w:u w:val="single"/>
        </w:rPr>
      </w:pPr>
      <w:r>
        <w:rPr>
          <w:rFonts w:hint="eastAsia" w:ascii="宋体" w:cs="宋体"/>
          <w:kern w:val="0"/>
          <w:u w:val="single"/>
        </w:rPr>
        <w:t>12.1电子招标投标解密失败及突发情况的补救: 见投标人须知前附表。</w:t>
      </w:r>
    </w:p>
    <w:p>
      <w:pPr>
        <w:spacing w:line="360" w:lineRule="auto"/>
        <w:ind w:firstLine="420" w:firstLineChars="200"/>
        <w:rPr>
          <w:rFonts w:ascii="宋体" w:cs="宋体"/>
          <w:kern w:val="0"/>
          <w:szCs w:val="21"/>
          <w:u w:val="single"/>
        </w:rPr>
      </w:pPr>
      <w:r>
        <w:rPr>
          <w:rFonts w:hint="eastAsia" w:ascii="宋体" w:cs="宋体"/>
          <w:kern w:val="0"/>
          <w:u w:val="single"/>
        </w:rPr>
        <w:t>12.2</w:t>
      </w:r>
      <w:r>
        <w:rPr>
          <w:rFonts w:hint="eastAsia" w:ascii="宋体" w:cs="宋体"/>
          <w:kern w:val="0"/>
          <w:szCs w:val="21"/>
          <w:u w:val="single"/>
        </w:rPr>
        <w:t>在评标过程中，当采用全流程电子化通用型开评标系统发生评审故障时，若广州公共资源交易中心当天可解除评审故障，则继续采用电子评标系统评标；若广州公共资源交易中心当天无法解除评审故障，则评标委员会依据电子投标文件对未完成的评标活动采用手动评审，提交包含已完成电子评审成果在内的纸质评标报告。评审故障以广州公共资源交易中心的认定为准。当广州公共资源交易中心的系统维护人员在评标室告知评标委员会当天无法解除评审故障后，评标委员会即可对未完成的评标活动启动手动评审。</w:t>
      </w:r>
    </w:p>
    <w:p>
      <w:pPr>
        <w:spacing w:line="360" w:lineRule="auto"/>
        <w:ind w:firstLine="420" w:firstLineChars="200"/>
        <w:rPr>
          <w:rFonts w:ascii="宋体" w:cs="宋体"/>
          <w:kern w:val="0"/>
          <w:sz w:val="24"/>
          <w:szCs w:val="24"/>
          <w:u w:val="single"/>
        </w:rPr>
      </w:pPr>
      <w:r>
        <w:rPr>
          <w:rFonts w:hint="eastAsia" w:ascii="宋体" w:cs="宋体"/>
          <w:kern w:val="0"/>
          <w:szCs w:val="21"/>
          <w:u w:val="single"/>
        </w:rPr>
        <w:t>12.3在电子评标过程中，无论遇到任何系统异常或故障，评标委员会均应出具评标报告。</w:t>
      </w:r>
    </w:p>
    <w:p>
      <w:pPr>
        <w:pStyle w:val="7"/>
        <w:ind w:firstLine="0" w:firstLineChars="0"/>
        <w:rPr>
          <w:rFonts w:ascii="宋体" w:eastAsia="宋体"/>
        </w:rPr>
        <w:sectPr>
          <w:footerReference r:id="rId3" w:type="default"/>
          <w:pgSz w:w="11906" w:h="16838"/>
          <w:pgMar w:top="1418" w:right="1418" w:bottom="1418" w:left="1418" w:header="851" w:footer="992" w:gutter="0"/>
          <w:cols w:space="720" w:num="1"/>
          <w:docGrid w:linePitch="312" w:charSpace="0"/>
        </w:sectPr>
      </w:pPr>
    </w:p>
    <w:p>
      <w:pPr>
        <w:pStyle w:val="7"/>
        <w:ind w:firstLine="137"/>
        <w:rPr>
          <w:rFonts w:ascii="宋体" w:eastAsia="宋体"/>
        </w:rPr>
      </w:pPr>
      <w:r>
        <w:rPr>
          <w:rFonts w:hint="eastAsia" w:ascii="宋体" w:eastAsia="宋体"/>
        </w:rPr>
        <w:t>附件一：开标记录表</w:t>
      </w:r>
    </w:p>
    <w:p>
      <w:pPr>
        <w:spacing w:line="400" w:lineRule="exact"/>
        <w:jc w:val="center"/>
        <w:rPr>
          <w:rFonts w:ascii="宋体"/>
          <w:kern w:val="0"/>
          <w:sz w:val="28"/>
          <w:szCs w:val="28"/>
        </w:rPr>
      </w:pPr>
      <w:r>
        <w:rPr>
          <w:rFonts w:hint="eastAsia" w:ascii="宋体"/>
          <w:kern w:val="0"/>
          <w:sz w:val="28"/>
          <w:szCs w:val="28"/>
          <w:u w:val="single"/>
        </w:rPr>
        <w:t xml:space="preserve">        （项目名称）</w:t>
      </w:r>
      <w:r>
        <w:rPr>
          <w:rFonts w:hint="eastAsia" w:ascii="宋体"/>
          <w:kern w:val="0"/>
          <w:sz w:val="28"/>
          <w:szCs w:val="28"/>
        </w:rPr>
        <w:t>招标开标记录表</w:t>
      </w:r>
    </w:p>
    <w:p>
      <w:pPr>
        <w:spacing w:line="360" w:lineRule="auto"/>
        <w:ind w:right="420"/>
        <w:jc w:val="right"/>
        <w:rPr>
          <w:rFonts w:ascii="宋体"/>
          <w:kern w:val="0"/>
        </w:rPr>
      </w:pPr>
      <w:r>
        <w:rPr>
          <w:rFonts w:hint="eastAsia"/>
          <w:kern w:val="0"/>
        </w:rPr>
        <w:t>开标时间：</w:t>
      </w:r>
      <w:r>
        <w:rPr>
          <w:rFonts w:hint="eastAsia"/>
          <w:kern w:val="0"/>
          <w:u w:val="single"/>
        </w:rPr>
        <w:t xml:space="preserve">       </w:t>
      </w:r>
      <w:r>
        <w:rPr>
          <w:rFonts w:hint="eastAsia"/>
          <w:kern w:val="0"/>
        </w:rPr>
        <w:t>年</w:t>
      </w:r>
      <w:r>
        <w:rPr>
          <w:rFonts w:hint="eastAsia"/>
          <w:kern w:val="0"/>
          <w:u w:val="single"/>
        </w:rPr>
        <w:t xml:space="preserve">      </w:t>
      </w:r>
      <w:r>
        <w:rPr>
          <w:rFonts w:hint="eastAsia"/>
          <w:kern w:val="0"/>
        </w:rPr>
        <w:t>月</w:t>
      </w:r>
      <w:r>
        <w:rPr>
          <w:rFonts w:hint="eastAsia"/>
          <w:kern w:val="0"/>
          <w:u w:val="single"/>
        </w:rPr>
        <w:t xml:space="preserve">      </w:t>
      </w:r>
      <w:r>
        <w:rPr>
          <w:rFonts w:hint="eastAsia"/>
          <w:kern w:val="0"/>
        </w:rPr>
        <w:t>日</w:t>
      </w:r>
      <w:r>
        <w:rPr>
          <w:rFonts w:hint="eastAsia"/>
          <w:kern w:val="0"/>
          <w:u w:val="single"/>
        </w:rPr>
        <w:t xml:space="preserve">      </w:t>
      </w:r>
      <w:r>
        <w:rPr>
          <w:rFonts w:hint="eastAsia"/>
          <w:kern w:val="0"/>
        </w:rPr>
        <w:t>时</w:t>
      </w:r>
      <w:r>
        <w:rPr>
          <w:rFonts w:hint="eastAsia"/>
          <w:kern w:val="0"/>
          <w:u w:val="single"/>
        </w:rPr>
        <w:t xml:space="preserve">      </w:t>
      </w:r>
      <w:r>
        <w:rPr>
          <w:rFonts w:hint="eastAsia"/>
          <w:kern w:val="0"/>
        </w:rPr>
        <w:t>分</w:t>
      </w:r>
    </w:p>
    <w:tbl>
      <w:tblPr>
        <w:tblStyle w:val="58"/>
        <w:tblW w:w="43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936"/>
        <w:gridCol w:w="837"/>
        <w:gridCol w:w="811"/>
        <w:gridCol w:w="984"/>
        <w:gridCol w:w="859"/>
        <w:gridCol w:w="522"/>
        <w:gridCol w:w="687"/>
        <w:gridCol w:w="763"/>
        <w:gridCol w:w="896"/>
        <w:gridCol w:w="896"/>
        <w:gridCol w:w="896"/>
        <w:gridCol w:w="786"/>
        <w:gridCol w:w="811"/>
        <w:gridCol w:w="437"/>
        <w:gridCol w:w="325"/>
        <w:gridCol w:w="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39" w:type="dxa"/>
            <w:vAlign w:val="center"/>
          </w:tcPr>
          <w:p>
            <w:pPr>
              <w:spacing w:line="360" w:lineRule="auto"/>
              <w:jc w:val="center"/>
              <w:rPr>
                <w:rFonts w:ascii="宋体"/>
                <w:kern w:val="0"/>
                <w:sz w:val="18"/>
                <w:szCs w:val="18"/>
              </w:rPr>
            </w:pPr>
            <w:r>
              <w:rPr>
                <w:rFonts w:hint="eastAsia" w:ascii="宋体"/>
                <w:kern w:val="0"/>
                <w:sz w:val="18"/>
                <w:szCs w:val="18"/>
              </w:rPr>
              <w:t>序号</w:t>
            </w:r>
          </w:p>
        </w:tc>
        <w:tc>
          <w:tcPr>
            <w:tcW w:w="937" w:type="dxa"/>
            <w:vAlign w:val="center"/>
          </w:tcPr>
          <w:p>
            <w:pPr>
              <w:spacing w:line="360" w:lineRule="auto"/>
              <w:jc w:val="center"/>
              <w:rPr>
                <w:rFonts w:ascii="宋体"/>
                <w:kern w:val="0"/>
                <w:sz w:val="18"/>
                <w:szCs w:val="18"/>
              </w:rPr>
            </w:pPr>
            <w:r>
              <w:rPr>
                <w:rFonts w:hint="eastAsia" w:ascii="宋体"/>
                <w:kern w:val="0"/>
                <w:sz w:val="18"/>
                <w:szCs w:val="18"/>
              </w:rPr>
              <w:t>投标人名称</w:t>
            </w:r>
          </w:p>
        </w:tc>
        <w:tc>
          <w:tcPr>
            <w:tcW w:w="837" w:type="dxa"/>
            <w:vAlign w:val="center"/>
          </w:tcPr>
          <w:p>
            <w:pPr>
              <w:spacing w:line="360" w:lineRule="auto"/>
              <w:jc w:val="center"/>
              <w:rPr>
                <w:rFonts w:ascii="宋体"/>
                <w:kern w:val="0"/>
                <w:sz w:val="18"/>
                <w:szCs w:val="18"/>
              </w:rPr>
            </w:pPr>
            <w:r>
              <w:rPr>
                <w:rFonts w:hint="eastAsia" w:ascii="宋体"/>
                <w:kern w:val="0"/>
                <w:sz w:val="18"/>
                <w:szCs w:val="18"/>
              </w:rPr>
              <w:t>投标文件递交情况</w:t>
            </w:r>
          </w:p>
        </w:tc>
        <w:tc>
          <w:tcPr>
            <w:tcW w:w="812" w:type="dxa"/>
            <w:vAlign w:val="center"/>
          </w:tcPr>
          <w:p>
            <w:pPr>
              <w:spacing w:line="360" w:lineRule="auto"/>
              <w:jc w:val="center"/>
              <w:rPr>
                <w:rFonts w:ascii="宋体"/>
                <w:kern w:val="0"/>
                <w:sz w:val="18"/>
                <w:szCs w:val="18"/>
              </w:rPr>
            </w:pPr>
            <w:r>
              <w:rPr>
                <w:rFonts w:hint="eastAsia" w:ascii="宋体"/>
                <w:kern w:val="0"/>
                <w:sz w:val="18"/>
                <w:szCs w:val="18"/>
              </w:rPr>
              <w:t>投标文件解密情况</w:t>
            </w:r>
          </w:p>
        </w:tc>
        <w:tc>
          <w:tcPr>
            <w:tcW w:w="986" w:type="dxa"/>
            <w:vAlign w:val="center"/>
          </w:tcPr>
          <w:p>
            <w:pPr>
              <w:spacing w:line="360" w:lineRule="auto"/>
              <w:jc w:val="center"/>
              <w:rPr>
                <w:rFonts w:ascii="宋体"/>
                <w:kern w:val="0"/>
                <w:sz w:val="18"/>
                <w:szCs w:val="18"/>
              </w:rPr>
            </w:pPr>
            <w:r>
              <w:rPr>
                <w:rFonts w:hint="eastAsia" w:ascii="宋体"/>
                <w:kern w:val="0"/>
                <w:sz w:val="18"/>
                <w:szCs w:val="18"/>
              </w:rPr>
              <w:t>投标担保递交情况</w:t>
            </w:r>
          </w:p>
        </w:tc>
        <w:tc>
          <w:tcPr>
            <w:tcW w:w="860" w:type="dxa"/>
            <w:vAlign w:val="center"/>
          </w:tcPr>
          <w:p>
            <w:pPr>
              <w:spacing w:line="360" w:lineRule="auto"/>
              <w:jc w:val="center"/>
              <w:rPr>
                <w:kern w:val="0"/>
              </w:rPr>
            </w:pPr>
            <w:r>
              <w:rPr>
                <w:rFonts w:hint="eastAsia" w:ascii="宋体"/>
                <w:kern w:val="0"/>
                <w:sz w:val="18"/>
                <w:szCs w:val="18"/>
              </w:rPr>
              <w:t>项目负责人（兼施工负责人）</w:t>
            </w:r>
          </w:p>
        </w:tc>
        <w:tc>
          <w:tcPr>
            <w:tcW w:w="521" w:type="dxa"/>
            <w:vAlign w:val="center"/>
          </w:tcPr>
          <w:p>
            <w:pPr>
              <w:spacing w:line="360" w:lineRule="auto"/>
              <w:jc w:val="center"/>
              <w:rPr>
                <w:rFonts w:ascii="宋体"/>
                <w:kern w:val="0"/>
                <w:sz w:val="18"/>
                <w:szCs w:val="18"/>
              </w:rPr>
            </w:pPr>
            <w:r>
              <w:rPr>
                <w:rFonts w:hint="eastAsia" w:ascii="宋体"/>
                <w:kern w:val="0"/>
                <w:sz w:val="18"/>
                <w:szCs w:val="18"/>
              </w:rPr>
              <w:t>设计负责人</w:t>
            </w:r>
          </w:p>
        </w:tc>
        <w:tc>
          <w:tcPr>
            <w:tcW w:w="687" w:type="dxa"/>
            <w:vAlign w:val="center"/>
          </w:tcPr>
          <w:p>
            <w:pPr>
              <w:spacing w:line="360" w:lineRule="auto"/>
              <w:jc w:val="center"/>
              <w:rPr>
                <w:rFonts w:ascii="宋体"/>
                <w:kern w:val="0"/>
                <w:sz w:val="18"/>
                <w:szCs w:val="18"/>
              </w:rPr>
            </w:pPr>
            <w:r>
              <w:rPr>
                <w:rFonts w:hint="eastAsia" w:ascii="宋体"/>
                <w:kern w:val="0"/>
                <w:sz w:val="18"/>
                <w:szCs w:val="18"/>
              </w:rPr>
              <w:t>专职安全员</w:t>
            </w:r>
          </w:p>
        </w:tc>
        <w:tc>
          <w:tcPr>
            <w:tcW w:w="763" w:type="dxa"/>
            <w:vAlign w:val="center"/>
          </w:tcPr>
          <w:p>
            <w:pPr>
              <w:spacing w:line="360" w:lineRule="auto"/>
              <w:jc w:val="center"/>
              <w:rPr>
                <w:rFonts w:ascii="宋体"/>
                <w:kern w:val="0"/>
                <w:sz w:val="18"/>
                <w:szCs w:val="18"/>
              </w:rPr>
            </w:pPr>
            <w:r>
              <w:rPr>
                <w:rFonts w:hint="eastAsia" w:ascii="宋体"/>
                <w:kern w:val="0"/>
                <w:sz w:val="18"/>
                <w:szCs w:val="18"/>
              </w:rPr>
              <w:t>投标总报价</w:t>
            </w:r>
          </w:p>
          <w:p>
            <w:pPr>
              <w:spacing w:line="360" w:lineRule="auto"/>
              <w:jc w:val="center"/>
              <w:rPr>
                <w:rFonts w:ascii="宋体"/>
                <w:kern w:val="0"/>
                <w:sz w:val="18"/>
                <w:szCs w:val="18"/>
              </w:rPr>
            </w:pPr>
            <w:r>
              <w:rPr>
                <w:rFonts w:hint="eastAsia" w:ascii="宋体"/>
                <w:kern w:val="0"/>
                <w:sz w:val="18"/>
                <w:szCs w:val="18"/>
              </w:rPr>
              <w:t>（元）</w:t>
            </w:r>
          </w:p>
        </w:tc>
        <w:tc>
          <w:tcPr>
            <w:tcW w:w="898" w:type="dxa"/>
            <w:vAlign w:val="center"/>
          </w:tcPr>
          <w:p>
            <w:pPr>
              <w:spacing w:line="360" w:lineRule="auto"/>
              <w:jc w:val="center"/>
              <w:rPr>
                <w:rFonts w:ascii="宋体"/>
                <w:kern w:val="0"/>
                <w:sz w:val="18"/>
                <w:szCs w:val="18"/>
              </w:rPr>
            </w:pPr>
            <w:r>
              <w:rPr>
                <w:rFonts w:hint="eastAsia" w:ascii="宋体"/>
                <w:kern w:val="0"/>
                <w:sz w:val="18"/>
                <w:szCs w:val="18"/>
              </w:rPr>
              <w:t>其中施工费报价</w:t>
            </w:r>
          </w:p>
          <w:p>
            <w:pPr>
              <w:spacing w:line="360" w:lineRule="auto"/>
              <w:jc w:val="center"/>
              <w:rPr>
                <w:rFonts w:ascii="宋体"/>
                <w:kern w:val="0"/>
                <w:sz w:val="18"/>
                <w:szCs w:val="18"/>
              </w:rPr>
            </w:pPr>
            <w:r>
              <w:rPr>
                <w:rFonts w:hint="eastAsia" w:ascii="宋体"/>
                <w:kern w:val="0"/>
                <w:sz w:val="18"/>
                <w:szCs w:val="18"/>
              </w:rPr>
              <w:t>（元）</w:t>
            </w:r>
          </w:p>
        </w:tc>
        <w:tc>
          <w:tcPr>
            <w:tcW w:w="898" w:type="dxa"/>
            <w:vAlign w:val="center"/>
          </w:tcPr>
          <w:p>
            <w:pPr>
              <w:spacing w:line="360" w:lineRule="auto"/>
              <w:jc w:val="center"/>
              <w:rPr>
                <w:rFonts w:ascii="宋体"/>
                <w:kern w:val="0"/>
                <w:sz w:val="18"/>
                <w:szCs w:val="18"/>
              </w:rPr>
            </w:pPr>
            <w:r>
              <w:rPr>
                <w:rFonts w:hint="eastAsia" w:ascii="宋体"/>
                <w:kern w:val="0"/>
                <w:sz w:val="18"/>
                <w:szCs w:val="18"/>
              </w:rPr>
              <w:t>施工费报价</w:t>
            </w:r>
          </w:p>
          <w:p>
            <w:pPr>
              <w:spacing w:line="360" w:lineRule="auto"/>
              <w:jc w:val="center"/>
              <w:rPr>
                <w:rFonts w:ascii="宋体"/>
                <w:kern w:val="0"/>
                <w:sz w:val="18"/>
                <w:szCs w:val="18"/>
              </w:rPr>
            </w:pPr>
            <w:r>
              <w:rPr>
                <w:rFonts w:hint="eastAsia" w:ascii="宋体"/>
                <w:kern w:val="0"/>
                <w:sz w:val="18"/>
                <w:szCs w:val="18"/>
              </w:rPr>
              <w:t>下浮率（%）</w:t>
            </w:r>
          </w:p>
        </w:tc>
        <w:tc>
          <w:tcPr>
            <w:tcW w:w="898" w:type="dxa"/>
            <w:vAlign w:val="center"/>
          </w:tcPr>
          <w:p>
            <w:pPr>
              <w:spacing w:line="360" w:lineRule="auto"/>
              <w:jc w:val="center"/>
              <w:rPr>
                <w:rFonts w:ascii="宋体"/>
                <w:kern w:val="0"/>
                <w:sz w:val="18"/>
                <w:szCs w:val="18"/>
              </w:rPr>
            </w:pPr>
            <w:r>
              <w:rPr>
                <w:rFonts w:hint="eastAsia" w:ascii="宋体"/>
                <w:kern w:val="0"/>
                <w:sz w:val="18"/>
                <w:szCs w:val="18"/>
              </w:rPr>
              <w:t>其中勘察费报价（元）</w:t>
            </w:r>
          </w:p>
        </w:tc>
        <w:tc>
          <w:tcPr>
            <w:tcW w:w="786" w:type="dxa"/>
            <w:vAlign w:val="center"/>
          </w:tcPr>
          <w:p>
            <w:pPr>
              <w:spacing w:line="360" w:lineRule="auto"/>
              <w:jc w:val="center"/>
              <w:rPr>
                <w:rFonts w:ascii="宋体"/>
                <w:kern w:val="0"/>
                <w:sz w:val="18"/>
                <w:szCs w:val="18"/>
              </w:rPr>
            </w:pPr>
            <w:r>
              <w:rPr>
                <w:rFonts w:hint="eastAsia" w:ascii="宋体"/>
                <w:kern w:val="0"/>
                <w:sz w:val="18"/>
                <w:szCs w:val="18"/>
              </w:rPr>
              <w:t>其中设计费报价（元）</w:t>
            </w:r>
          </w:p>
        </w:tc>
        <w:tc>
          <w:tcPr>
            <w:tcW w:w="812" w:type="dxa"/>
            <w:vAlign w:val="center"/>
          </w:tcPr>
          <w:p>
            <w:pPr>
              <w:spacing w:line="360" w:lineRule="auto"/>
              <w:jc w:val="center"/>
              <w:rPr>
                <w:rFonts w:ascii="宋体"/>
                <w:kern w:val="0"/>
                <w:sz w:val="18"/>
                <w:szCs w:val="18"/>
              </w:rPr>
            </w:pPr>
            <w:r>
              <w:rPr>
                <w:rFonts w:hint="eastAsia" w:ascii="宋体"/>
                <w:kern w:val="0"/>
                <w:sz w:val="18"/>
                <w:szCs w:val="18"/>
              </w:rPr>
              <w:t>设计费报价</w:t>
            </w:r>
          </w:p>
          <w:p>
            <w:pPr>
              <w:spacing w:line="360" w:lineRule="auto"/>
              <w:jc w:val="center"/>
              <w:rPr>
                <w:rFonts w:ascii="宋体"/>
                <w:kern w:val="0"/>
                <w:sz w:val="18"/>
                <w:szCs w:val="18"/>
              </w:rPr>
            </w:pPr>
            <w:r>
              <w:rPr>
                <w:rFonts w:hint="eastAsia" w:ascii="宋体"/>
                <w:kern w:val="0"/>
                <w:sz w:val="18"/>
                <w:szCs w:val="18"/>
              </w:rPr>
              <w:t>下浮率（%）</w:t>
            </w:r>
          </w:p>
        </w:tc>
        <w:tc>
          <w:tcPr>
            <w:tcW w:w="435" w:type="dxa"/>
            <w:vAlign w:val="center"/>
          </w:tcPr>
          <w:p>
            <w:pPr>
              <w:spacing w:line="360" w:lineRule="auto"/>
              <w:jc w:val="center"/>
              <w:rPr>
                <w:rFonts w:ascii="宋体"/>
                <w:kern w:val="0"/>
                <w:sz w:val="18"/>
                <w:szCs w:val="18"/>
              </w:rPr>
            </w:pPr>
            <w:r>
              <w:rPr>
                <w:rFonts w:hint="eastAsia" w:ascii="宋体" w:cs="宋体"/>
                <w:kern w:val="0"/>
                <w:sz w:val="18"/>
                <w:szCs w:val="18"/>
              </w:rPr>
              <w:t>质量标准</w:t>
            </w:r>
          </w:p>
        </w:tc>
        <w:tc>
          <w:tcPr>
            <w:tcW w:w="322" w:type="dxa"/>
            <w:vAlign w:val="center"/>
          </w:tcPr>
          <w:p>
            <w:pPr>
              <w:spacing w:line="360" w:lineRule="auto"/>
              <w:jc w:val="center"/>
              <w:rPr>
                <w:rFonts w:ascii="宋体"/>
                <w:kern w:val="0"/>
                <w:sz w:val="18"/>
                <w:szCs w:val="18"/>
              </w:rPr>
            </w:pPr>
            <w:r>
              <w:rPr>
                <w:rFonts w:hint="eastAsia" w:ascii="宋体"/>
                <w:kern w:val="0"/>
                <w:sz w:val="18"/>
                <w:szCs w:val="18"/>
              </w:rPr>
              <w:t>工期</w:t>
            </w:r>
          </w:p>
        </w:tc>
        <w:tc>
          <w:tcPr>
            <w:tcW w:w="322" w:type="dxa"/>
            <w:vAlign w:val="center"/>
          </w:tcPr>
          <w:p>
            <w:pPr>
              <w:spacing w:line="360" w:lineRule="auto"/>
              <w:jc w:val="center"/>
              <w:rPr>
                <w:rFonts w:ascii="宋体"/>
                <w:kern w:val="0"/>
                <w:sz w:val="18"/>
                <w:szCs w:val="18"/>
              </w:rPr>
            </w:pPr>
            <w:r>
              <w:rPr>
                <w:rFonts w:hint="eastAsia" w:ascii="宋体"/>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Pr>
          <w:p>
            <w:pPr>
              <w:spacing w:line="620" w:lineRule="exact"/>
              <w:rPr>
                <w:rFonts w:ascii="宋体"/>
                <w:kern w:val="0"/>
                <w:szCs w:val="21"/>
              </w:rPr>
            </w:pPr>
          </w:p>
        </w:tc>
        <w:tc>
          <w:tcPr>
            <w:tcW w:w="937" w:type="dxa"/>
          </w:tcPr>
          <w:p>
            <w:pPr>
              <w:spacing w:line="620" w:lineRule="exact"/>
              <w:rPr>
                <w:rFonts w:ascii="宋体"/>
                <w:kern w:val="0"/>
                <w:szCs w:val="21"/>
              </w:rPr>
            </w:pPr>
          </w:p>
        </w:tc>
        <w:tc>
          <w:tcPr>
            <w:tcW w:w="837" w:type="dxa"/>
          </w:tcPr>
          <w:p>
            <w:pPr>
              <w:spacing w:line="620" w:lineRule="exact"/>
              <w:rPr>
                <w:rFonts w:ascii="宋体"/>
                <w:kern w:val="0"/>
                <w:szCs w:val="21"/>
              </w:rPr>
            </w:pPr>
          </w:p>
        </w:tc>
        <w:tc>
          <w:tcPr>
            <w:tcW w:w="812" w:type="dxa"/>
          </w:tcPr>
          <w:p>
            <w:pPr>
              <w:spacing w:line="620" w:lineRule="exact"/>
              <w:rPr>
                <w:rFonts w:ascii="宋体"/>
                <w:kern w:val="0"/>
                <w:szCs w:val="21"/>
              </w:rPr>
            </w:pPr>
          </w:p>
        </w:tc>
        <w:tc>
          <w:tcPr>
            <w:tcW w:w="986" w:type="dxa"/>
          </w:tcPr>
          <w:p>
            <w:pPr>
              <w:spacing w:line="620" w:lineRule="exact"/>
              <w:rPr>
                <w:rFonts w:ascii="宋体"/>
                <w:kern w:val="0"/>
                <w:szCs w:val="21"/>
              </w:rPr>
            </w:pPr>
          </w:p>
        </w:tc>
        <w:tc>
          <w:tcPr>
            <w:tcW w:w="860" w:type="dxa"/>
          </w:tcPr>
          <w:p>
            <w:pPr>
              <w:spacing w:line="620" w:lineRule="exact"/>
              <w:rPr>
                <w:rFonts w:ascii="宋体"/>
                <w:kern w:val="0"/>
                <w:szCs w:val="21"/>
              </w:rPr>
            </w:pPr>
          </w:p>
        </w:tc>
        <w:tc>
          <w:tcPr>
            <w:tcW w:w="521" w:type="dxa"/>
          </w:tcPr>
          <w:p>
            <w:pPr>
              <w:spacing w:line="620" w:lineRule="exact"/>
              <w:rPr>
                <w:rFonts w:ascii="宋体"/>
                <w:kern w:val="0"/>
                <w:szCs w:val="21"/>
              </w:rPr>
            </w:pPr>
          </w:p>
        </w:tc>
        <w:tc>
          <w:tcPr>
            <w:tcW w:w="687" w:type="dxa"/>
          </w:tcPr>
          <w:p>
            <w:pPr>
              <w:spacing w:line="620" w:lineRule="exact"/>
              <w:rPr>
                <w:rFonts w:ascii="宋体"/>
                <w:kern w:val="0"/>
                <w:szCs w:val="21"/>
              </w:rPr>
            </w:pPr>
          </w:p>
        </w:tc>
        <w:tc>
          <w:tcPr>
            <w:tcW w:w="763" w:type="dxa"/>
          </w:tcPr>
          <w:p>
            <w:pPr>
              <w:spacing w:line="620" w:lineRule="exact"/>
              <w:rPr>
                <w:rFonts w:ascii="宋体"/>
                <w:kern w:val="0"/>
                <w:szCs w:val="21"/>
              </w:rPr>
            </w:pPr>
          </w:p>
        </w:tc>
        <w:tc>
          <w:tcPr>
            <w:tcW w:w="898" w:type="dxa"/>
            <w:vAlign w:val="center"/>
          </w:tcPr>
          <w:p>
            <w:pPr>
              <w:jc w:val="center"/>
              <w:rPr>
                <w:rFonts w:ascii="宋体"/>
                <w:kern w:val="0"/>
                <w:sz w:val="18"/>
                <w:szCs w:val="18"/>
              </w:rPr>
            </w:pPr>
          </w:p>
        </w:tc>
        <w:tc>
          <w:tcPr>
            <w:tcW w:w="898"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786" w:type="dxa"/>
          </w:tcPr>
          <w:p>
            <w:pPr>
              <w:spacing w:line="620" w:lineRule="exact"/>
              <w:jc w:val="center"/>
              <w:rPr>
                <w:rFonts w:ascii="宋体"/>
                <w:kern w:val="0"/>
                <w:szCs w:val="21"/>
              </w:rPr>
            </w:pPr>
          </w:p>
        </w:tc>
        <w:tc>
          <w:tcPr>
            <w:tcW w:w="812" w:type="dxa"/>
          </w:tcPr>
          <w:p>
            <w:pPr>
              <w:spacing w:line="620" w:lineRule="exact"/>
              <w:jc w:val="center"/>
              <w:rPr>
                <w:rFonts w:ascii="宋体"/>
                <w:kern w:val="0"/>
                <w:szCs w:val="21"/>
              </w:rPr>
            </w:pPr>
          </w:p>
        </w:tc>
        <w:tc>
          <w:tcPr>
            <w:tcW w:w="435"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9" w:type="dxa"/>
          </w:tcPr>
          <w:p>
            <w:pPr>
              <w:spacing w:line="620" w:lineRule="exact"/>
              <w:rPr>
                <w:rFonts w:ascii="宋体"/>
                <w:kern w:val="0"/>
                <w:szCs w:val="21"/>
              </w:rPr>
            </w:pPr>
          </w:p>
        </w:tc>
        <w:tc>
          <w:tcPr>
            <w:tcW w:w="937" w:type="dxa"/>
          </w:tcPr>
          <w:p>
            <w:pPr>
              <w:spacing w:line="620" w:lineRule="exact"/>
              <w:rPr>
                <w:rFonts w:ascii="宋体"/>
                <w:kern w:val="0"/>
                <w:szCs w:val="21"/>
              </w:rPr>
            </w:pPr>
          </w:p>
        </w:tc>
        <w:tc>
          <w:tcPr>
            <w:tcW w:w="837" w:type="dxa"/>
          </w:tcPr>
          <w:p>
            <w:pPr>
              <w:spacing w:line="620" w:lineRule="exact"/>
              <w:rPr>
                <w:rFonts w:ascii="宋体"/>
                <w:kern w:val="0"/>
                <w:szCs w:val="21"/>
              </w:rPr>
            </w:pPr>
          </w:p>
        </w:tc>
        <w:tc>
          <w:tcPr>
            <w:tcW w:w="812" w:type="dxa"/>
          </w:tcPr>
          <w:p>
            <w:pPr>
              <w:spacing w:line="620" w:lineRule="exact"/>
              <w:rPr>
                <w:rFonts w:ascii="宋体"/>
                <w:kern w:val="0"/>
                <w:szCs w:val="21"/>
              </w:rPr>
            </w:pPr>
          </w:p>
        </w:tc>
        <w:tc>
          <w:tcPr>
            <w:tcW w:w="986" w:type="dxa"/>
          </w:tcPr>
          <w:p>
            <w:pPr>
              <w:spacing w:line="620" w:lineRule="exact"/>
              <w:rPr>
                <w:rFonts w:ascii="宋体"/>
                <w:kern w:val="0"/>
                <w:szCs w:val="21"/>
              </w:rPr>
            </w:pPr>
          </w:p>
        </w:tc>
        <w:tc>
          <w:tcPr>
            <w:tcW w:w="860" w:type="dxa"/>
          </w:tcPr>
          <w:p>
            <w:pPr>
              <w:spacing w:line="620" w:lineRule="exact"/>
              <w:rPr>
                <w:rFonts w:ascii="宋体"/>
                <w:kern w:val="0"/>
                <w:szCs w:val="21"/>
              </w:rPr>
            </w:pPr>
          </w:p>
        </w:tc>
        <w:tc>
          <w:tcPr>
            <w:tcW w:w="521" w:type="dxa"/>
          </w:tcPr>
          <w:p>
            <w:pPr>
              <w:spacing w:line="620" w:lineRule="exact"/>
              <w:rPr>
                <w:rFonts w:ascii="宋体"/>
                <w:kern w:val="0"/>
                <w:szCs w:val="21"/>
              </w:rPr>
            </w:pPr>
          </w:p>
        </w:tc>
        <w:tc>
          <w:tcPr>
            <w:tcW w:w="687" w:type="dxa"/>
          </w:tcPr>
          <w:p>
            <w:pPr>
              <w:spacing w:line="620" w:lineRule="exact"/>
              <w:rPr>
                <w:rFonts w:ascii="宋体"/>
                <w:kern w:val="0"/>
                <w:szCs w:val="21"/>
              </w:rPr>
            </w:pPr>
          </w:p>
        </w:tc>
        <w:tc>
          <w:tcPr>
            <w:tcW w:w="763"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786" w:type="dxa"/>
          </w:tcPr>
          <w:p>
            <w:pPr>
              <w:spacing w:line="620" w:lineRule="exact"/>
              <w:jc w:val="center"/>
              <w:rPr>
                <w:rFonts w:ascii="宋体"/>
                <w:kern w:val="0"/>
                <w:szCs w:val="21"/>
              </w:rPr>
            </w:pPr>
          </w:p>
        </w:tc>
        <w:tc>
          <w:tcPr>
            <w:tcW w:w="812" w:type="dxa"/>
          </w:tcPr>
          <w:p>
            <w:pPr>
              <w:spacing w:line="620" w:lineRule="exact"/>
              <w:jc w:val="center"/>
              <w:rPr>
                <w:rFonts w:ascii="宋体"/>
                <w:kern w:val="0"/>
                <w:szCs w:val="21"/>
              </w:rPr>
            </w:pPr>
          </w:p>
        </w:tc>
        <w:tc>
          <w:tcPr>
            <w:tcW w:w="435"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Pr>
          <w:p>
            <w:pPr>
              <w:spacing w:line="620" w:lineRule="exact"/>
              <w:rPr>
                <w:rFonts w:ascii="宋体"/>
                <w:kern w:val="0"/>
                <w:szCs w:val="21"/>
              </w:rPr>
            </w:pPr>
          </w:p>
        </w:tc>
        <w:tc>
          <w:tcPr>
            <w:tcW w:w="937" w:type="dxa"/>
          </w:tcPr>
          <w:p>
            <w:pPr>
              <w:spacing w:line="620" w:lineRule="exact"/>
              <w:rPr>
                <w:rFonts w:ascii="宋体"/>
                <w:kern w:val="0"/>
                <w:szCs w:val="21"/>
              </w:rPr>
            </w:pPr>
          </w:p>
        </w:tc>
        <w:tc>
          <w:tcPr>
            <w:tcW w:w="837" w:type="dxa"/>
          </w:tcPr>
          <w:p>
            <w:pPr>
              <w:spacing w:line="620" w:lineRule="exact"/>
              <w:rPr>
                <w:rFonts w:ascii="宋体"/>
                <w:kern w:val="0"/>
                <w:szCs w:val="21"/>
              </w:rPr>
            </w:pPr>
          </w:p>
        </w:tc>
        <w:tc>
          <w:tcPr>
            <w:tcW w:w="812" w:type="dxa"/>
          </w:tcPr>
          <w:p>
            <w:pPr>
              <w:spacing w:line="620" w:lineRule="exact"/>
              <w:rPr>
                <w:rFonts w:ascii="宋体"/>
                <w:kern w:val="0"/>
                <w:szCs w:val="21"/>
              </w:rPr>
            </w:pPr>
          </w:p>
        </w:tc>
        <w:tc>
          <w:tcPr>
            <w:tcW w:w="986" w:type="dxa"/>
          </w:tcPr>
          <w:p>
            <w:pPr>
              <w:spacing w:line="620" w:lineRule="exact"/>
              <w:rPr>
                <w:rFonts w:ascii="宋体"/>
                <w:kern w:val="0"/>
                <w:szCs w:val="21"/>
              </w:rPr>
            </w:pPr>
          </w:p>
        </w:tc>
        <w:tc>
          <w:tcPr>
            <w:tcW w:w="860" w:type="dxa"/>
          </w:tcPr>
          <w:p>
            <w:pPr>
              <w:spacing w:line="620" w:lineRule="exact"/>
              <w:rPr>
                <w:rFonts w:ascii="宋体"/>
                <w:kern w:val="0"/>
                <w:szCs w:val="21"/>
              </w:rPr>
            </w:pPr>
          </w:p>
        </w:tc>
        <w:tc>
          <w:tcPr>
            <w:tcW w:w="521" w:type="dxa"/>
          </w:tcPr>
          <w:p>
            <w:pPr>
              <w:spacing w:line="620" w:lineRule="exact"/>
              <w:rPr>
                <w:rFonts w:ascii="宋体"/>
                <w:kern w:val="0"/>
                <w:szCs w:val="21"/>
              </w:rPr>
            </w:pPr>
          </w:p>
        </w:tc>
        <w:tc>
          <w:tcPr>
            <w:tcW w:w="687" w:type="dxa"/>
          </w:tcPr>
          <w:p>
            <w:pPr>
              <w:spacing w:line="620" w:lineRule="exact"/>
              <w:rPr>
                <w:rFonts w:ascii="宋体"/>
                <w:kern w:val="0"/>
                <w:szCs w:val="21"/>
              </w:rPr>
            </w:pPr>
          </w:p>
        </w:tc>
        <w:tc>
          <w:tcPr>
            <w:tcW w:w="763"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898" w:type="dxa"/>
          </w:tcPr>
          <w:p>
            <w:pPr>
              <w:spacing w:line="620" w:lineRule="exact"/>
              <w:rPr>
                <w:rFonts w:ascii="宋体"/>
                <w:kern w:val="0"/>
                <w:szCs w:val="21"/>
              </w:rPr>
            </w:pPr>
          </w:p>
        </w:tc>
        <w:tc>
          <w:tcPr>
            <w:tcW w:w="786" w:type="dxa"/>
          </w:tcPr>
          <w:p>
            <w:pPr>
              <w:spacing w:line="620" w:lineRule="exact"/>
              <w:jc w:val="center"/>
              <w:rPr>
                <w:rFonts w:ascii="宋体"/>
                <w:kern w:val="0"/>
                <w:szCs w:val="21"/>
              </w:rPr>
            </w:pPr>
          </w:p>
        </w:tc>
        <w:tc>
          <w:tcPr>
            <w:tcW w:w="812" w:type="dxa"/>
          </w:tcPr>
          <w:p>
            <w:pPr>
              <w:spacing w:line="620" w:lineRule="exact"/>
              <w:jc w:val="center"/>
              <w:rPr>
                <w:rFonts w:ascii="宋体"/>
                <w:kern w:val="0"/>
                <w:szCs w:val="21"/>
              </w:rPr>
            </w:pPr>
          </w:p>
        </w:tc>
        <w:tc>
          <w:tcPr>
            <w:tcW w:w="435"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c>
          <w:tcPr>
            <w:tcW w:w="322" w:type="dxa"/>
            <w:vAlign w:val="center"/>
          </w:tcPr>
          <w:p>
            <w:pPr>
              <w:spacing w:line="620" w:lineRule="exact"/>
              <w:jc w:val="center"/>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313" w:type="dxa"/>
            <w:gridSpan w:val="17"/>
            <w:vAlign w:val="center"/>
          </w:tcPr>
          <w:p>
            <w:pPr>
              <w:spacing w:line="620" w:lineRule="exact"/>
              <w:rPr>
                <w:rFonts w:ascii="宋体" w:cs="宋体"/>
                <w:kern w:val="0"/>
                <w:szCs w:val="21"/>
              </w:rPr>
            </w:pPr>
            <w:r>
              <w:rPr>
                <w:rFonts w:hint="eastAsia" w:ascii="宋体" w:cs="宋体"/>
                <w:kern w:val="0"/>
                <w:szCs w:val="21"/>
              </w:rPr>
              <w:t>投标最高限价：</w:t>
            </w:r>
          </w:p>
        </w:tc>
      </w:tr>
    </w:tbl>
    <w:p>
      <w:pPr>
        <w:spacing w:line="400" w:lineRule="exact"/>
        <w:ind w:right="420" w:firstLine="3570" w:firstLineChars="1700"/>
        <w:rPr>
          <w:kern w:val="0"/>
          <w:szCs w:val="21"/>
        </w:rPr>
      </w:pPr>
      <w:r>
        <w:rPr>
          <w:kern w:val="0"/>
          <w:szCs w:val="21"/>
        </w:rPr>
        <w:t>招标人代表：</w:t>
      </w:r>
      <w:r>
        <w:rPr>
          <w:kern w:val="0"/>
          <w:szCs w:val="21"/>
          <w:u w:val="single"/>
        </w:rPr>
        <w:t xml:space="preserve">            </w:t>
      </w:r>
      <w:r>
        <w:rPr>
          <w:kern w:val="0"/>
          <w:szCs w:val="21"/>
        </w:rPr>
        <w:t xml:space="preserve"> 记录人：</w:t>
      </w:r>
      <w:r>
        <w:rPr>
          <w:kern w:val="0"/>
          <w:szCs w:val="21"/>
          <w:u w:val="single"/>
        </w:rPr>
        <w:t xml:space="preserve">            </w:t>
      </w:r>
      <w:r>
        <w:rPr>
          <w:kern w:val="0"/>
          <w:szCs w:val="21"/>
        </w:rPr>
        <w:t xml:space="preserve"> 监标人：</w:t>
      </w:r>
      <w:r>
        <w:rPr>
          <w:kern w:val="0"/>
          <w:szCs w:val="21"/>
          <w:u w:val="single"/>
        </w:rPr>
        <w:t xml:space="preserve">            </w:t>
      </w:r>
      <w:r>
        <w:rPr>
          <w:kern w:val="0"/>
          <w:szCs w:val="21"/>
        </w:rPr>
        <w:t xml:space="preserve"> </w:t>
      </w:r>
    </w:p>
    <w:p>
      <w:pPr>
        <w:spacing w:line="620" w:lineRule="exact"/>
        <w:rPr>
          <w:rFonts w:ascii="宋体"/>
          <w:kern w:val="0"/>
          <w:szCs w:val="21"/>
        </w:rPr>
      </w:pPr>
      <w:r>
        <w:rPr>
          <w:kern w:val="0"/>
          <w:szCs w:val="21"/>
        </w:rPr>
        <w:t xml:space="preserve">                                    </w:t>
      </w:r>
      <w:r>
        <w:rPr>
          <w:rFonts w:hint="eastAsia"/>
          <w:kern w:val="0"/>
          <w:szCs w:val="21"/>
        </w:rPr>
        <w:t xml:space="preserve">    </w:t>
      </w:r>
      <w:r>
        <w:rPr>
          <w:kern w:val="0"/>
          <w:szCs w:val="21"/>
          <w:u w:val="single"/>
        </w:rPr>
        <w:t xml:space="preserve"> </w:t>
      </w:r>
      <w:r>
        <w:rPr>
          <w:rFonts w:hint="eastAsia"/>
          <w:kern w:val="0"/>
          <w:u w:val="single"/>
        </w:rPr>
        <w:t xml:space="preserve">      </w:t>
      </w:r>
      <w:r>
        <w:rPr>
          <w:kern w:val="0"/>
          <w:szCs w:val="21"/>
        </w:rPr>
        <w:t>年</w:t>
      </w:r>
      <w:r>
        <w:rPr>
          <w:rFonts w:hint="eastAsia"/>
          <w:kern w:val="0"/>
          <w:u w:val="single"/>
        </w:rPr>
        <w:t xml:space="preserve">      </w:t>
      </w:r>
      <w:r>
        <w:rPr>
          <w:kern w:val="0"/>
          <w:szCs w:val="21"/>
        </w:rPr>
        <w:t>月</w:t>
      </w:r>
      <w:r>
        <w:rPr>
          <w:rFonts w:hint="eastAsia"/>
          <w:kern w:val="0"/>
          <w:u w:val="single"/>
        </w:rPr>
        <w:t xml:space="preserve">      </w:t>
      </w:r>
      <w:r>
        <w:rPr>
          <w:kern w:val="0"/>
          <w:szCs w:val="21"/>
        </w:rPr>
        <w:t>日</w:t>
      </w:r>
    </w:p>
    <w:p>
      <w:pPr>
        <w:pStyle w:val="72"/>
        <w:ind w:firstLine="400"/>
        <w:rPr>
          <w:rFonts w:ascii="宋体"/>
          <w:kern w:val="0"/>
          <w:szCs w:val="21"/>
        </w:rPr>
      </w:pPr>
    </w:p>
    <w:p>
      <w:pPr>
        <w:pStyle w:val="72"/>
        <w:ind w:firstLine="400"/>
        <w:rPr>
          <w:rFonts w:ascii="宋体"/>
          <w:kern w:val="0"/>
        </w:rPr>
        <w:sectPr>
          <w:pgSz w:w="16838" w:h="11906" w:orient="landscape"/>
          <w:pgMar w:top="1418" w:right="1418" w:bottom="1418" w:left="1418" w:header="851" w:footer="992" w:gutter="0"/>
          <w:cols w:space="720" w:num="1"/>
          <w:docGrid w:linePitch="312" w:charSpace="0"/>
        </w:sectPr>
      </w:pPr>
      <w:r>
        <w:rPr>
          <w:rFonts w:hint="eastAsia" w:ascii="宋体"/>
          <w:kern w:val="0"/>
          <w:szCs w:val="21"/>
        </w:rPr>
        <w:t>本表仅供参考，具体以开标时的开标记录表为准。</w:t>
      </w:r>
    </w:p>
    <w:p>
      <w:pPr>
        <w:spacing w:line="360" w:lineRule="auto"/>
        <w:jc w:val="center"/>
        <w:rPr>
          <w:rFonts w:ascii="宋体"/>
          <w:b/>
          <w:kern w:val="0"/>
          <w:sz w:val="44"/>
          <w:szCs w:val="44"/>
        </w:rPr>
      </w:pPr>
      <w:bookmarkStart w:id="225" w:name="_Toc79748092"/>
      <w:r>
        <w:rPr>
          <w:rFonts w:hint="eastAsia" w:ascii="宋体"/>
          <w:b/>
          <w:kern w:val="0"/>
          <w:sz w:val="44"/>
          <w:szCs w:val="44"/>
        </w:rPr>
        <w:t>第二章 评标</w:t>
      </w:r>
      <w:bookmarkEnd w:id="225"/>
      <w:r>
        <w:rPr>
          <w:rFonts w:hint="eastAsia" w:ascii="宋体"/>
          <w:b/>
          <w:kern w:val="0"/>
          <w:sz w:val="44"/>
          <w:szCs w:val="44"/>
        </w:rPr>
        <w:t>办法（综合评分法）</w:t>
      </w:r>
    </w:p>
    <w:p>
      <w:pPr>
        <w:spacing w:line="360" w:lineRule="auto"/>
        <w:jc w:val="center"/>
        <w:rPr>
          <w:rFonts w:ascii="宋体" w:cs="宋体"/>
          <w:kern w:val="0"/>
        </w:rPr>
      </w:pPr>
      <w:bookmarkStart w:id="226" w:name="_Toc247514023"/>
      <w:bookmarkStart w:id="227" w:name="_Toc7776"/>
      <w:bookmarkStart w:id="228" w:name="_Toc13830"/>
      <w:bookmarkStart w:id="229" w:name="_Toc144974566"/>
      <w:bookmarkStart w:id="230" w:name="_Toc152045599"/>
      <w:bookmarkStart w:id="231" w:name="_Toc300835009"/>
      <w:bookmarkStart w:id="232" w:name="_Toc152042376"/>
      <w:bookmarkStart w:id="233" w:name="_Toc12035"/>
      <w:bookmarkStart w:id="234" w:name="_Toc12525"/>
      <w:bookmarkStart w:id="235" w:name="_Toc8672"/>
      <w:bookmarkStart w:id="236" w:name="_Toc13216"/>
      <w:bookmarkStart w:id="237" w:name="_Toc247527624"/>
      <w:r>
        <w:rPr>
          <w:rFonts w:hint="eastAsia" w:ascii="宋体" w:cs="宋体"/>
          <w:b/>
          <w:bCs/>
          <w:kern w:val="0"/>
          <w:sz w:val="32"/>
          <w:szCs w:val="36"/>
        </w:rPr>
        <w:t>评标办法前附表</w:t>
      </w:r>
      <w:bookmarkEnd w:id="226"/>
      <w:bookmarkEnd w:id="227"/>
      <w:bookmarkEnd w:id="228"/>
      <w:bookmarkEnd w:id="229"/>
      <w:bookmarkEnd w:id="230"/>
      <w:bookmarkEnd w:id="231"/>
      <w:bookmarkEnd w:id="232"/>
      <w:bookmarkEnd w:id="233"/>
      <w:bookmarkEnd w:id="234"/>
      <w:bookmarkEnd w:id="235"/>
      <w:bookmarkEnd w:id="236"/>
      <w:bookmarkEnd w:id="237"/>
    </w:p>
    <w:tbl>
      <w:tblPr>
        <w:tblStyle w:val="58"/>
        <w:tblW w:w="9378"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0"/>
        <w:gridCol w:w="992"/>
        <w:gridCol w:w="2385"/>
        <w:gridCol w:w="51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blHeader/>
        </w:trPr>
        <w:tc>
          <w:tcPr>
            <w:tcW w:w="1872" w:type="dxa"/>
            <w:gridSpan w:val="2"/>
            <w:tcBorders>
              <w:top w:val="single" w:color="auto" w:sz="4" w:space="0"/>
            </w:tcBorders>
            <w:vAlign w:val="center"/>
          </w:tcPr>
          <w:p>
            <w:pPr>
              <w:jc w:val="center"/>
              <w:rPr>
                <w:rFonts w:ascii="宋体" w:cs="宋体"/>
                <w:b/>
                <w:kern w:val="0"/>
                <w:szCs w:val="21"/>
              </w:rPr>
            </w:pPr>
            <w:r>
              <w:rPr>
                <w:rFonts w:hint="eastAsia" w:ascii="宋体" w:cs="宋体"/>
                <w:b/>
                <w:kern w:val="0"/>
                <w:szCs w:val="21"/>
              </w:rPr>
              <w:t>条款号</w:t>
            </w:r>
          </w:p>
        </w:tc>
        <w:tc>
          <w:tcPr>
            <w:tcW w:w="2385" w:type="dxa"/>
            <w:tcBorders>
              <w:top w:val="single" w:color="auto" w:sz="4" w:space="0"/>
              <w:right w:val="single" w:color="auto" w:sz="4" w:space="0"/>
            </w:tcBorders>
            <w:vAlign w:val="center"/>
          </w:tcPr>
          <w:p>
            <w:pPr>
              <w:jc w:val="center"/>
              <w:rPr>
                <w:rFonts w:ascii="宋体" w:cs="宋体"/>
                <w:b/>
                <w:kern w:val="0"/>
                <w:szCs w:val="21"/>
              </w:rPr>
            </w:pPr>
            <w:r>
              <w:rPr>
                <w:rFonts w:hint="eastAsia" w:ascii="宋体" w:cs="宋体"/>
                <w:b/>
                <w:kern w:val="0"/>
                <w:szCs w:val="21"/>
              </w:rPr>
              <w:t>评审因素</w:t>
            </w:r>
          </w:p>
        </w:tc>
        <w:tc>
          <w:tcPr>
            <w:tcW w:w="5121" w:type="dxa"/>
            <w:tcBorders>
              <w:top w:val="single" w:color="auto" w:sz="4" w:space="0"/>
              <w:left w:val="single" w:color="auto" w:sz="4" w:space="0"/>
            </w:tcBorders>
            <w:vAlign w:val="center"/>
          </w:tcPr>
          <w:p>
            <w:pPr>
              <w:jc w:val="center"/>
              <w:rPr>
                <w:rFonts w:ascii="宋体" w:cs="宋体"/>
                <w:b/>
                <w:kern w:val="0"/>
                <w:szCs w:val="21"/>
              </w:rPr>
            </w:pPr>
            <w:r>
              <w:rPr>
                <w:rFonts w:hint="eastAsia" w:ascii="宋体" w:cs="宋体"/>
                <w:b/>
                <w:kern w:val="0"/>
                <w:szCs w:val="21"/>
              </w:rPr>
              <w:t>评审标准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872" w:type="dxa"/>
            <w:gridSpan w:val="2"/>
            <w:vAlign w:val="center"/>
          </w:tcPr>
          <w:p>
            <w:pPr>
              <w:jc w:val="center"/>
              <w:rPr>
                <w:rFonts w:ascii="宋体" w:cs="宋体"/>
                <w:kern w:val="0"/>
                <w:szCs w:val="21"/>
              </w:rPr>
            </w:pPr>
            <w:r>
              <w:rPr>
                <w:rFonts w:hint="eastAsia" w:ascii="宋体" w:cs="宋体"/>
                <w:kern w:val="0"/>
                <w:szCs w:val="21"/>
              </w:rPr>
              <w:t>2.1.1</w:t>
            </w:r>
          </w:p>
        </w:tc>
        <w:tc>
          <w:tcPr>
            <w:tcW w:w="2385" w:type="dxa"/>
            <w:tcBorders>
              <w:right w:val="single" w:color="auto" w:sz="4" w:space="0"/>
            </w:tcBorders>
            <w:vAlign w:val="center"/>
          </w:tcPr>
          <w:p>
            <w:pPr>
              <w:jc w:val="center"/>
              <w:rPr>
                <w:rFonts w:ascii="宋体" w:cs="宋体"/>
                <w:kern w:val="0"/>
                <w:szCs w:val="21"/>
              </w:rPr>
            </w:pPr>
            <w:r>
              <w:rPr>
                <w:rFonts w:hint="eastAsia" w:ascii="宋体" w:cs="宋体"/>
                <w:kern w:val="0"/>
                <w:szCs w:val="21"/>
              </w:rPr>
              <w:t>资格审查</w:t>
            </w:r>
          </w:p>
        </w:tc>
        <w:tc>
          <w:tcPr>
            <w:tcW w:w="5121" w:type="dxa"/>
            <w:tcBorders>
              <w:left w:val="single" w:color="auto" w:sz="4" w:space="0"/>
            </w:tcBorders>
            <w:vAlign w:val="center"/>
          </w:tcPr>
          <w:p>
            <w:pPr>
              <w:jc w:val="center"/>
              <w:rPr>
                <w:rFonts w:ascii="宋体" w:cs="宋体"/>
                <w:kern w:val="0"/>
                <w:szCs w:val="21"/>
              </w:rPr>
            </w:pPr>
            <w:r>
              <w:rPr>
                <w:rFonts w:hint="eastAsia" w:ascii="宋体" w:cs="宋体"/>
                <w:kern w:val="0"/>
                <w:szCs w:val="21"/>
              </w:rPr>
              <w:t>附表1《资格审查表》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872" w:type="dxa"/>
            <w:gridSpan w:val="2"/>
            <w:vAlign w:val="center"/>
          </w:tcPr>
          <w:p>
            <w:pPr>
              <w:jc w:val="center"/>
              <w:rPr>
                <w:rFonts w:ascii="宋体" w:cs="宋体"/>
                <w:kern w:val="0"/>
                <w:szCs w:val="21"/>
              </w:rPr>
            </w:pPr>
            <w:r>
              <w:rPr>
                <w:rFonts w:hint="eastAsia" w:ascii="宋体" w:cs="宋体"/>
                <w:kern w:val="0"/>
                <w:szCs w:val="21"/>
              </w:rPr>
              <w:t>2.1.2</w:t>
            </w:r>
          </w:p>
        </w:tc>
        <w:tc>
          <w:tcPr>
            <w:tcW w:w="2385" w:type="dxa"/>
            <w:tcBorders>
              <w:right w:val="single" w:color="auto" w:sz="4" w:space="0"/>
            </w:tcBorders>
            <w:vAlign w:val="center"/>
          </w:tcPr>
          <w:p>
            <w:pPr>
              <w:jc w:val="center"/>
              <w:rPr>
                <w:rFonts w:ascii="宋体" w:cs="宋体"/>
                <w:kern w:val="0"/>
                <w:szCs w:val="21"/>
              </w:rPr>
            </w:pPr>
            <w:r>
              <w:rPr>
                <w:rFonts w:hint="eastAsia" w:ascii="宋体" w:cs="宋体"/>
                <w:kern w:val="0"/>
                <w:szCs w:val="21"/>
              </w:rPr>
              <w:t>投标文件有效性审查表</w:t>
            </w:r>
          </w:p>
        </w:tc>
        <w:tc>
          <w:tcPr>
            <w:tcW w:w="5121" w:type="dxa"/>
            <w:tcBorders>
              <w:left w:val="single" w:color="auto" w:sz="4" w:space="0"/>
            </w:tcBorders>
            <w:vAlign w:val="center"/>
          </w:tcPr>
          <w:p>
            <w:pPr>
              <w:jc w:val="center"/>
              <w:rPr>
                <w:rFonts w:ascii="宋体" w:cs="宋体"/>
                <w:kern w:val="0"/>
                <w:szCs w:val="21"/>
              </w:rPr>
            </w:pPr>
            <w:r>
              <w:rPr>
                <w:rFonts w:hint="eastAsia" w:ascii="宋体" w:cs="宋体"/>
                <w:kern w:val="0"/>
                <w:szCs w:val="21"/>
              </w:rPr>
              <w:t>附表2《投标文件有效性审查表》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872" w:type="dxa"/>
            <w:gridSpan w:val="2"/>
            <w:vAlign w:val="center"/>
          </w:tcPr>
          <w:p>
            <w:pPr>
              <w:jc w:val="center"/>
              <w:rPr>
                <w:rFonts w:ascii="宋体" w:cs="宋体"/>
                <w:b/>
                <w:kern w:val="0"/>
                <w:szCs w:val="21"/>
              </w:rPr>
            </w:pPr>
            <w:r>
              <w:rPr>
                <w:rFonts w:hint="eastAsia" w:ascii="宋体" w:cs="宋体"/>
                <w:b/>
                <w:kern w:val="0"/>
                <w:szCs w:val="21"/>
              </w:rPr>
              <w:t>条款号</w:t>
            </w:r>
          </w:p>
        </w:tc>
        <w:tc>
          <w:tcPr>
            <w:tcW w:w="2385" w:type="dxa"/>
            <w:vAlign w:val="center"/>
          </w:tcPr>
          <w:p>
            <w:pPr>
              <w:jc w:val="center"/>
              <w:rPr>
                <w:rFonts w:ascii="宋体" w:cs="宋体"/>
                <w:b/>
                <w:kern w:val="0"/>
                <w:szCs w:val="21"/>
              </w:rPr>
            </w:pPr>
            <w:r>
              <w:rPr>
                <w:rFonts w:hint="eastAsia" w:ascii="宋体" w:cs="宋体"/>
                <w:b/>
                <w:kern w:val="0"/>
                <w:szCs w:val="21"/>
              </w:rPr>
              <w:t>条款内容</w:t>
            </w:r>
          </w:p>
        </w:tc>
        <w:tc>
          <w:tcPr>
            <w:tcW w:w="5121" w:type="dxa"/>
            <w:vAlign w:val="center"/>
          </w:tcPr>
          <w:p>
            <w:pPr>
              <w:jc w:val="center"/>
              <w:rPr>
                <w:rFonts w:ascii="宋体" w:cs="宋体"/>
                <w:b/>
                <w:kern w:val="0"/>
                <w:szCs w:val="21"/>
              </w:rPr>
            </w:pPr>
            <w:r>
              <w:rPr>
                <w:rFonts w:hint="eastAsia" w:ascii="宋体" w:cs="宋体"/>
                <w:b/>
                <w:kern w:val="0"/>
                <w:szCs w:val="21"/>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872" w:type="dxa"/>
            <w:gridSpan w:val="2"/>
            <w:vAlign w:val="center"/>
          </w:tcPr>
          <w:p>
            <w:pPr>
              <w:jc w:val="center"/>
              <w:rPr>
                <w:rFonts w:ascii="宋体" w:cs="宋体"/>
                <w:kern w:val="0"/>
                <w:szCs w:val="21"/>
              </w:rPr>
            </w:pPr>
            <w:r>
              <w:rPr>
                <w:rFonts w:hint="eastAsia" w:ascii="宋体" w:cs="宋体"/>
                <w:kern w:val="0"/>
                <w:szCs w:val="21"/>
              </w:rPr>
              <w:t>2.2.1</w:t>
            </w:r>
          </w:p>
        </w:tc>
        <w:tc>
          <w:tcPr>
            <w:tcW w:w="2385" w:type="dxa"/>
            <w:vAlign w:val="center"/>
          </w:tcPr>
          <w:p>
            <w:pPr>
              <w:jc w:val="center"/>
              <w:rPr>
                <w:rFonts w:ascii="宋体" w:cs="宋体"/>
                <w:kern w:val="0"/>
                <w:szCs w:val="21"/>
              </w:rPr>
            </w:pPr>
            <w:r>
              <w:rPr>
                <w:rFonts w:hint="eastAsia" w:ascii="宋体" w:cs="宋体"/>
                <w:kern w:val="0"/>
                <w:szCs w:val="21"/>
              </w:rPr>
              <w:t>分值构成及权重</w:t>
            </w:r>
          </w:p>
        </w:tc>
        <w:tc>
          <w:tcPr>
            <w:tcW w:w="5121" w:type="dxa"/>
            <w:vAlign w:val="center"/>
          </w:tcPr>
          <w:p>
            <w:pPr>
              <w:rPr>
                <w:rFonts w:ascii="宋体" w:cs="宋体"/>
                <w:kern w:val="0"/>
                <w:szCs w:val="21"/>
              </w:rPr>
            </w:pPr>
            <w:r>
              <w:rPr>
                <w:rFonts w:hint="eastAsia" w:ascii="宋体" w:cs="宋体"/>
                <w:b/>
                <w:kern w:val="0"/>
                <w:szCs w:val="21"/>
                <w:u w:val="single"/>
              </w:rPr>
              <w:t>投标人总得分（满分</w:t>
            </w:r>
            <w:r>
              <w:rPr>
                <w:rFonts w:hint="eastAsia" w:ascii="宋体" w:cs="宋体"/>
                <w:b/>
                <w:kern w:val="0"/>
                <w:szCs w:val="21"/>
              </w:rPr>
              <w:t>100分）=</w:t>
            </w:r>
            <w:r>
              <w:rPr>
                <w:rFonts w:hint="eastAsia" w:ascii="宋体"/>
                <w:szCs w:val="21"/>
                <w:u w:val="single"/>
              </w:rPr>
              <w:t>工程总承包实施方案部分得分50分，投标报价部分得分50分，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872" w:type="dxa"/>
            <w:gridSpan w:val="2"/>
            <w:vAlign w:val="center"/>
          </w:tcPr>
          <w:p>
            <w:pPr>
              <w:jc w:val="center"/>
              <w:rPr>
                <w:rFonts w:ascii="宋体" w:cs="宋体"/>
                <w:kern w:val="0"/>
                <w:szCs w:val="21"/>
              </w:rPr>
            </w:pPr>
            <w:r>
              <w:rPr>
                <w:rFonts w:hint="eastAsia" w:ascii="宋体" w:cs="宋体"/>
                <w:b/>
                <w:kern w:val="0"/>
                <w:szCs w:val="21"/>
              </w:rPr>
              <w:t>条款号</w:t>
            </w:r>
          </w:p>
        </w:tc>
        <w:tc>
          <w:tcPr>
            <w:tcW w:w="2385" w:type="dxa"/>
            <w:tcBorders>
              <w:right w:val="single" w:color="auto" w:sz="4" w:space="0"/>
            </w:tcBorders>
            <w:vAlign w:val="center"/>
          </w:tcPr>
          <w:p>
            <w:pPr>
              <w:jc w:val="center"/>
              <w:rPr>
                <w:rFonts w:ascii="宋体" w:cs="宋体"/>
                <w:b/>
                <w:kern w:val="0"/>
                <w:szCs w:val="21"/>
              </w:rPr>
            </w:pPr>
            <w:r>
              <w:rPr>
                <w:rFonts w:hint="eastAsia" w:ascii="宋体" w:cs="宋体"/>
                <w:b/>
                <w:kern w:val="0"/>
                <w:szCs w:val="21"/>
              </w:rPr>
              <w:t>评分因素</w:t>
            </w:r>
          </w:p>
        </w:tc>
        <w:tc>
          <w:tcPr>
            <w:tcW w:w="5121" w:type="dxa"/>
            <w:tcBorders>
              <w:left w:val="single" w:color="auto" w:sz="4" w:space="0"/>
            </w:tcBorders>
            <w:vAlign w:val="center"/>
          </w:tcPr>
          <w:p>
            <w:pPr>
              <w:jc w:val="center"/>
              <w:rPr>
                <w:rFonts w:ascii="宋体" w:cs="宋体"/>
                <w:kern w:val="0"/>
                <w:szCs w:val="21"/>
              </w:rPr>
            </w:pPr>
            <w:r>
              <w:rPr>
                <w:rFonts w:hint="eastAsia" w:ascii="宋体" w:cs="宋体"/>
                <w:b/>
                <w:kern w:val="0"/>
                <w:szCs w:val="21"/>
              </w:rPr>
              <w:t>评分标准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880" w:type="dxa"/>
            <w:tcBorders>
              <w:right w:val="single" w:color="auto" w:sz="4" w:space="0"/>
            </w:tcBorders>
            <w:vAlign w:val="center"/>
          </w:tcPr>
          <w:p>
            <w:pPr>
              <w:jc w:val="center"/>
              <w:rPr>
                <w:rFonts w:ascii="宋体" w:cs="宋体"/>
                <w:kern w:val="0"/>
                <w:szCs w:val="21"/>
              </w:rPr>
            </w:pPr>
            <w:r>
              <w:rPr>
                <w:rFonts w:hint="eastAsia" w:ascii="宋体" w:cs="宋体"/>
                <w:kern w:val="0"/>
                <w:szCs w:val="21"/>
              </w:rPr>
              <w:t>2.2.2</w:t>
            </w:r>
          </w:p>
        </w:tc>
        <w:tc>
          <w:tcPr>
            <w:tcW w:w="992" w:type="dxa"/>
            <w:tcBorders>
              <w:left w:val="single" w:color="auto" w:sz="4" w:space="0"/>
            </w:tcBorders>
            <w:vAlign w:val="center"/>
          </w:tcPr>
          <w:p>
            <w:pPr>
              <w:jc w:val="center"/>
              <w:rPr>
                <w:rFonts w:ascii="宋体" w:cs="宋体"/>
                <w:kern w:val="0"/>
                <w:szCs w:val="21"/>
              </w:rPr>
            </w:pPr>
            <w:r>
              <w:rPr>
                <w:rFonts w:hint="eastAsia" w:ascii="宋体" w:cs="宋体"/>
                <w:kern w:val="0"/>
                <w:szCs w:val="21"/>
              </w:rPr>
              <w:t>投标文件评审</w:t>
            </w:r>
          </w:p>
        </w:tc>
        <w:tc>
          <w:tcPr>
            <w:tcW w:w="2385" w:type="dxa"/>
            <w:tcBorders>
              <w:right w:val="single" w:color="auto" w:sz="4" w:space="0"/>
            </w:tcBorders>
            <w:vAlign w:val="center"/>
          </w:tcPr>
          <w:p>
            <w:pPr>
              <w:jc w:val="center"/>
              <w:rPr>
                <w:rFonts w:ascii="宋体" w:cs="宋体"/>
                <w:kern w:val="0"/>
                <w:szCs w:val="21"/>
              </w:rPr>
            </w:pPr>
            <w:r>
              <w:rPr>
                <w:rFonts w:hint="eastAsia" w:ascii="宋体" w:cs="宋体"/>
                <w:kern w:val="0"/>
                <w:szCs w:val="21"/>
              </w:rPr>
              <w:t>施工部分评审</w:t>
            </w:r>
          </w:p>
        </w:tc>
        <w:tc>
          <w:tcPr>
            <w:tcW w:w="5121" w:type="dxa"/>
            <w:tcBorders>
              <w:left w:val="single" w:color="auto" w:sz="4" w:space="0"/>
            </w:tcBorders>
            <w:vAlign w:val="center"/>
          </w:tcPr>
          <w:p>
            <w:pPr>
              <w:rPr>
                <w:rFonts w:ascii="宋体" w:cs="宋体"/>
                <w:kern w:val="0"/>
                <w:szCs w:val="21"/>
              </w:rPr>
            </w:pPr>
            <w:r>
              <w:rPr>
                <w:rFonts w:hint="eastAsia" w:ascii="宋体" w:cs="宋体"/>
                <w:kern w:val="0"/>
                <w:szCs w:val="21"/>
              </w:rPr>
              <w:t>见附表3《工程总承包实施方案投标文件详细审查评分表》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9378" w:type="dxa"/>
            <w:gridSpan w:val="4"/>
            <w:vAlign w:val="center"/>
          </w:tcPr>
          <w:p>
            <w:pPr>
              <w:rPr>
                <w:rFonts w:ascii="宋体" w:cs="宋体"/>
                <w:b/>
                <w:kern w:val="0"/>
                <w:szCs w:val="21"/>
              </w:rPr>
            </w:pPr>
            <w:r>
              <w:rPr>
                <w:rFonts w:hint="eastAsia" w:ascii="宋体" w:cs="宋体"/>
                <w:b/>
                <w:kern w:val="0"/>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9378" w:type="dxa"/>
            <w:gridSpan w:val="4"/>
            <w:tcBorders>
              <w:bottom w:val="single" w:color="auto" w:sz="4" w:space="0"/>
            </w:tcBorders>
          </w:tcPr>
          <w:p>
            <w:pPr>
              <w:rPr>
                <w:rFonts w:ascii="宋体" w:cs="宋体"/>
                <w:kern w:val="0"/>
                <w:szCs w:val="21"/>
              </w:rPr>
            </w:pPr>
            <w:r>
              <w:rPr>
                <w:rFonts w:hint="eastAsia" w:ascii="宋体" w:cs="宋体"/>
                <w:kern w:val="0"/>
                <w:szCs w:val="21"/>
              </w:rPr>
              <w:t>1）如投标人组成联合体，应以承接施工任务的单位为牵头方，并签订联合体投标协议书。协议书应明确约定各方拟承担的工作和责任。</w:t>
            </w:r>
          </w:p>
          <w:p>
            <w:pPr>
              <w:rPr>
                <w:rFonts w:ascii="宋体" w:cs="宋体"/>
                <w:kern w:val="0"/>
                <w:szCs w:val="21"/>
              </w:rPr>
            </w:pPr>
            <w:r>
              <w:rPr>
                <w:rFonts w:hint="eastAsia" w:ascii="宋体" w:cs="宋体"/>
                <w:kern w:val="0"/>
                <w:szCs w:val="21"/>
              </w:rPr>
              <w:t>2）如组成联合体投标的，勘察设计部分评分分别以承接勘察设计任务的单位为准；施工部分评分以承接施工任务的单位为准。</w:t>
            </w:r>
          </w:p>
          <w:p>
            <w:pPr>
              <w:rPr>
                <w:rFonts w:ascii="宋体" w:cs="宋体"/>
                <w:kern w:val="0"/>
                <w:szCs w:val="21"/>
              </w:rPr>
            </w:pPr>
            <w:r>
              <w:rPr>
                <w:rFonts w:hint="eastAsia" w:ascii="宋体" w:cs="宋体"/>
                <w:kern w:val="0"/>
                <w:szCs w:val="21"/>
              </w:rPr>
              <w:t>3）本项目工程成本警戒价为施工费投标最高限价的90%。对低于该警戒价的投标报价，投标人必须提供详细的施工组织设计、单价、措施性费用、单价分析表、主要材料价格表、投标人成本分析供评标委员会评审，由评标委员会判定其是否低于企业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c>
      </w:tr>
    </w:tbl>
    <w:p>
      <w:pPr>
        <w:spacing w:line="360" w:lineRule="auto"/>
        <w:jc w:val="center"/>
        <w:rPr>
          <w:rFonts w:ascii="宋体" w:cs="宋体"/>
          <w:kern w:val="0"/>
          <w:szCs w:val="21"/>
        </w:rPr>
      </w:pPr>
      <w:r>
        <w:rPr>
          <w:rFonts w:hint="eastAsia" w:ascii="宋体" w:cs="宋体"/>
          <w:kern w:val="0"/>
        </w:rPr>
        <w:br w:type="page"/>
      </w:r>
      <w:bookmarkStart w:id="238" w:name="_Toc9417"/>
      <w:bookmarkStart w:id="239" w:name="_Toc16949"/>
      <w:r>
        <w:rPr>
          <w:rFonts w:hint="eastAsia" w:ascii="宋体" w:cs="宋体"/>
          <w:b/>
          <w:kern w:val="0"/>
          <w:szCs w:val="21"/>
        </w:rPr>
        <w:t>1.评标方法</w:t>
      </w:r>
      <w:bookmarkEnd w:id="238"/>
      <w:bookmarkEnd w:id="239"/>
    </w:p>
    <w:p>
      <w:pPr>
        <w:spacing w:line="360" w:lineRule="auto"/>
        <w:ind w:firstLine="420" w:firstLineChars="200"/>
        <w:rPr>
          <w:rFonts w:ascii="宋体" w:cs="宋体"/>
          <w:kern w:val="0"/>
          <w:szCs w:val="21"/>
        </w:rPr>
      </w:pPr>
      <w:r>
        <w:rPr>
          <w:rFonts w:hint="eastAsia" w:ascii="宋体" w:cs="宋体"/>
          <w:kern w:val="0"/>
          <w:szCs w:val="21"/>
        </w:rPr>
        <w:t>本次评标采用综合评估法。评标委员会对满足招标文件实质性要求的投标文件，按照本章第2.2款规定的评分标准进行打分，并按得分由高到低顺序推荐中标候选人，但投标报价低于其成本的除外。</w:t>
      </w:r>
    </w:p>
    <w:p>
      <w:pPr>
        <w:spacing w:line="360" w:lineRule="auto"/>
        <w:jc w:val="center"/>
        <w:rPr>
          <w:rFonts w:ascii="宋体" w:cs="宋体"/>
          <w:kern w:val="0"/>
          <w:szCs w:val="21"/>
        </w:rPr>
      </w:pPr>
      <w:bookmarkStart w:id="240" w:name="_Toc21049"/>
      <w:bookmarkStart w:id="241" w:name="_Toc1465"/>
      <w:r>
        <w:rPr>
          <w:rFonts w:hint="eastAsia" w:ascii="宋体" w:cs="宋体"/>
          <w:b/>
          <w:bCs/>
          <w:kern w:val="0"/>
          <w:szCs w:val="21"/>
        </w:rPr>
        <w:t>2.评审标准</w:t>
      </w:r>
      <w:bookmarkEnd w:id="240"/>
      <w:bookmarkEnd w:id="241"/>
    </w:p>
    <w:p>
      <w:pPr>
        <w:spacing w:line="360" w:lineRule="auto"/>
        <w:rPr>
          <w:rFonts w:ascii="宋体" w:cs="宋体"/>
          <w:kern w:val="0"/>
          <w:szCs w:val="21"/>
        </w:rPr>
      </w:pPr>
      <w:bookmarkStart w:id="242" w:name="_Toc21722"/>
      <w:bookmarkStart w:id="243" w:name="_Toc10379"/>
      <w:r>
        <w:rPr>
          <w:rFonts w:hint="eastAsia" w:ascii="宋体" w:cs="宋体"/>
          <w:kern w:val="0"/>
          <w:szCs w:val="21"/>
        </w:rPr>
        <w:t>2.1 初步评审标准</w:t>
      </w:r>
      <w:bookmarkEnd w:id="242"/>
      <w:bookmarkEnd w:id="243"/>
    </w:p>
    <w:p>
      <w:pPr>
        <w:spacing w:line="360" w:lineRule="auto"/>
        <w:ind w:firstLine="420" w:firstLineChars="200"/>
        <w:rPr>
          <w:rFonts w:ascii="宋体" w:cs="宋体"/>
          <w:kern w:val="0"/>
          <w:szCs w:val="21"/>
        </w:rPr>
      </w:pPr>
      <w:bookmarkStart w:id="244" w:name="_Toc17182"/>
      <w:bookmarkStart w:id="245" w:name="_Toc15780"/>
      <w:r>
        <w:rPr>
          <w:rFonts w:hint="eastAsia" w:ascii="宋体" w:cs="宋体"/>
          <w:kern w:val="0"/>
          <w:szCs w:val="21"/>
        </w:rPr>
        <w:t>2.1.1 资格审查标准：见评标办法前附表。</w:t>
      </w:r>
    </w:p>
    <w:p>
      <w:pPr>
        <w:spacing w:line="360" w:lineRule="auto"/>
        <w:ind w:firstLine="420" w:firstLineChars="200"/>
        <w:rPr>
          <w:rFonts w:ascii="宋体" w:cs="宋体"/>
          <w:kern w:val="0"/>
          <w:szCs w:val="21"/>
        </w:rPr>
      </w:pPr>
      <w:r>
        <w:rPr>
          <w:rFonts w:hint="eastAsia" w:ascii="宋体" w:cs="宋体"/>
          <w:kern w:val="0"/>
          <w:szCs w:val="21"/>
        </w:rPr>
        <w:t>2.1.2投标文件有效性审查标准：见评标办法前附表。</w:t>
      </w:r>
    </w:p>
    <w:p>
      <w:pPr>
        <w:spacing w:line="360" w:lineRule="auto"/>
        <w:rPr>
          <w:rFonts w:ascii="宋体" w:cs="宋体"/>
          <w:kern w:val="0"/>
          <w:szCs w:val="21"/>
        </w:rPr>
      </w:pPr>
      <w:r>
        <w:rPr>
          <w:rFonts w:hint="eastAsia" w:ascii="宋体" w:cs="宋体"/>
          <w:kern w:val="0"/>
          <w:szCs w:val="21"/>
        </w:rPr>
        <w:t>2.2 分值构成与评分标准</w:t>
      </w:r>
      <w:bookmarkEnd w:id="244"/>
      <w:bookmarkEnd w:id="245"/>
    </w:p>
    <w:p>
      <w:pPr>
        <w:spacing w:line="360" w:lineRule="auto"/>
        <w:ind w:firstLine="420" w:firstLineChars="200"/>
        <w:rPr>
          <w:rFonts w:ascii="宋体" w:cs="宋体"/>
          <w:kern w:val="0"/>
          <w:szCs w:val="21"/>
        </w:rPr>
      </w:pPr>
      <w:bookmarkStart w:id="246" w:name="_Toc23135"/>
      <w:bookmarkStart w:id="247" w:name="_Toc11085"/>
      <w:r>
        <w:rPr>
          <w:rFonts w:hint="eastAsia" w:ascii="宋体" w:cs="宋体"/>
          <w:kern w:val="0"/>
          <w:szCs w:val="21"/>
        </w:rPr>
        <w:t>2.2.1 分值构成及权重：见评标办法前附表。</w:t>
      </w:r>
    </w:p>
    <w:p>
      <w:pPr>
        <w:spacing w:line="360" w:lineRule="auto"/>
        <w:ind w:firstLine="420" w:firstLineChars="200"/>
        <w:rPr>
          <w:rFonts w:ascii="宋体" w:cs="宋体"/>
          <w:kern w:val="0"/>
          <w:szCs w:val="21"/>
        </w:rPr>
      </w:pPr>
      <w:r>
        <w:rPr>
          <w:rFonts w:hint="eastAsia" w:ascii="宋体" w:cs="宋体"/>
          <w:kern w:val="0"/>
          <w:szCs w:val="21"/>
        </w:rPr>
        <w:t>2.2.2 评分标准：见评标办法前附表。</w:t>
      </w:r>
    </w:p>
    <w:p>
      <w:pPr>
        <w:spacing w:line="360" w:lineRule="auto"/>
        <w:jc w:val="center"/>
        <w:rPr>
          <w:rFonts w:ascii="宋体" w:cs="宋体"/>
          <w:kern w:val="0"/>
          <w:szCs w:val="21"/>
        </w:rPr>
      </w:pPr>
      <w:r>
        <w:rPr>
          <w:rFonts w:hint="eastAsia" w:ascii="宋体" w:cs="宋体"/>
          <w:b/>
          <w:bCs/>
          <w:kern w:val="0"/>
          <w:szCs w:val="21"/>
        </w:rPr>
        <w:t>3.评标程序</w:t>
      </w:r>
      <w:bookmarkEnd w:id="246"/>
      <w:bookmarkEnd w:id="247"/>
    </w:p>
    <w:p>
      <w:pPr>
        <w:spacing w:line="360" w:lineRule="auto"/>
        <w:rPr>
          <w:rFonts w:ascii="宋体" w:cs="宋体"/>
          <w:kern w:val="0"/>
          <w:szCs w:val="21"/>
        </w:rPr>
      </w:pPr>
      <w:bookmarkStart w:id="248" w:name="_Toc22907"/>
      <w:bookmarkStart w:id="249" w:name="_Toc12807"/>
      <w:r>
        <w:rPr>
          <w:rFonts w:hint="eastAsia" w:ascii="宋体" w:cs="宋体"/>
          <w:kern w:val="0"/>
          <w:szCs w:val="21"/>
          <w:u w:val="single"/>
        </w:rPr>
        <w:t>3.1 资格审查文件评审</w:t>
      </w:r>
      <w:bookmarkEnd w:id="248"/>
      <w:bookmarkEnd w:id="249"/>
    </w:p>
    <w:p>
      <w:pPr>
        <w:spacing w:line="360" w:lineRule="auto"/>
        <w:ind w:firstLine="420" w:firstLineChars="200"/>
        <w:rPr>
          <w:rFonts w:ascii="宋体" w:cs="宋体"/>
          <w:kern w:val="0"/>
          <w:szCs w:val="21"/>
        </w:rPr>
      </w:pPr>
      <w:r>
        <w:rPr>
          <w:rFonts w:hint="eastAsia" w:ascii="宋体" w:cs="宋体"/>
          <w:kern w:val="0"/>
          <w:szCs w:val="21"/>
        </w:rPr>
        <w:t>3.1.1 资格审查采用电子化审查方式进行，评标委员会对投标人递交的资格审查文件进行评审。</w:t>
      </w:r>
    </w:p>
    <w:p>
      <w:pPr>
        <w:spacing w:line="360" w:lineRule="auto"/>
        <w:ind w:firstLine="420" w:firstLineChars="200"/>
        <w:rPr>
          <w:rFonts w:ascii="宋体" w:cs="宋体"/>
          <w:b/>
          <w:kern w:val="0"/>
          <w:szCs w:val="21"/>
        </w:rPr>
      </w:pPr>
      <w:r>
        <w:rPr>
          <w:rFonts w:hint="eastAsia" w:ascii="宋体" w:cs="宋体"/>
          <w:kern w:val="0"/>
          <w:szCs w:val="21"/>
        </w:rPr>
        <w:t>3.1.2 资格审查文件中全部符合附表1《资格审查表》中情形的，为资格审查合格。否则为资格审查不合格，经评标委员会认定后，其资格审查文件将被拒绝。如评标委员会成员的评审意见不一致时，应先公开要求投标人进行澄清，并记录及由评标委员会、作出澄清的投标人签字确认，以评标委员会过半数成员的意见作为评标委员会对该情形的认定结论。只有通过资格审查的投标人方可进入下一阶段的评审</w:t>
      </w:r>
      <w:r>
        <w:rPr>
          <w:rFonts w:hint="eastAsia" w:ascii="宋体" w:cs="宋体"/>
          <w:b/>
          <w:kern w:val="0"/>
          <w:szCs w:val="21"/>
        </w:rPr>
        <w:t>。</w:t>
      </w:r>
    </w:p>
    <w:p>
      <w:pPr>
        <w:spacing w:line="360" w:lineRule="auto"/>
        <w:ind w:firstLine="420" w:firstLineChars="200"/>
        <w:rPr>
          <w:rFonts w:ascii="宋体" w:cs="宋体"/>
          <w:bCs/>
          <w:kern w:val="0"/>
          <w:szCs w:val="21"/>
        </w:rPr>
      </w:pPr>
      <w:r>
        <w:rPr>
          <w:rFonts w:hint="eastAsia" w:ascii="宋体" w:cs="宋体"/>
          <w:bCs/>
          <w:kern w:val="0"/>
          <w:szCs w:val="21"/>
        </w:rPr>
        <w:t>3.1.3 汇总资格审查情况，编写资格审查报告。</w:t>
      </w:r>
    </w:p>
    <w:p>
      <w:pPr>
        <w:spacing w:line="360" w:lineRule="auto"/>
        <w:ind w:firstLine="420" w:firstLineChars="200"/>
        <w:rPr>
          <w:rFonts w:ascii="宋体" w:cs="宋体"/>
          <w:kern w:val="0"/>
          <w:szCs w:val="21"/>
        </w:rPr>
      </w:pPr>
      <w:r>
        <w:rPr>
          <w:rFonts w:hint="eastAsia" w:ascii="宋体" w:cs="宋体"/>
          <w:bCs/>
          <w:kern w:val="0"/>
          <w:szCs w:val="21"/>
        </w:rPr>
        <w:t xml:space="preserve">3.1.4 </w:t>
      </w:r>
      <w:r>
        <w:rPr>
          <w:rFonts w:hint="eastAsia" w:ascii="宋体" w:cs="宋体"/>
          <w:kern w:val="0"/>
          <w:szCs w:val="21"/>
        </w:rPr>
        <w:t>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pPr>
        <w:spacing w:line="360" w:lineRule="auto"/>
        <w:ind w:firstLine="420" w:firstLineChars="200"/>
        <w:rPr>
          <w:rFonts w:ascii="宋体" w:cs="宋体"/>
          <w:kern w:val="0"/>
          <w:szCs w:val="21"/>
        </w:rPr>
      </w:pPr>
      <w:r>
        <w:rPr>
          <w:rFonts w:hint="eastAsia" w:ascii="宋体" w:cs="宋体"/>
          <w:kern w:val="0"/>
          <w:szCs w:val="21"/>
        </w:rPr>
        <w:t>特别声明：资审合格后，投标人的资格发生变化而不满足投标人合格条件，在发出中标通知书前，资格问题仍未解决的，招标人将取消其中标资格。</w:t>
      </w:r>
    </w:p>
    <w:p>
      <w:pPr>
        <w:widowControl/>
        <w:spacing w:line="360" w:lineRule="auto"/>
        <w:ind w:firstLine="420" w:firstLineChars="200"/>
        <w:jc w:val="left"/>
        <w:rPr>
          <w:rFonts w:ascii="宋体"/>
          <w:kern w:val="0"/>
          <w:szCs w:val="21"/>
          <w:u w:val="single"/>
        </w:rPr>
      </w:pPr>
      <w:bookmarkStart w:id="250" w:name="_Toc23470"/>
      <w:bookmarkStart w:id="251" w:name="_Toc7094"/>
      <w:r>
        <w:rPr>
          <w:rFonts w:hint="eastAsia" w:ascii="宋体"/>
          <w:kern w:val="0"/>
          <w:szCs w:val="21"/>
          <w:u w:val="single"/>
        </w:rPr>
        <w:t xml:space="preserve">3.2 </w:t>
      </w:r>
      <w:bookmarkEnd w:id="250"/>
      <w:bookmarkEnd w:id="251"/>
      <w:r>
        <w:rPr>
          <w:rFonts w:hint="eastAsia" w:ascii="宋体"/>
          <w:kern w:val="0"/>
          <w:szCs w:val="21"/>
          <w:u w:val="single"/>
        </w:rPr>
        <w:t>综合评审</w:t>
      </w:r>
    </w:p>
    <w:p>
      <w:pPr>
        <w:widowControl/>
        <w:spacing w:line="360" w:lineRule="auto"/>
        <w:ind w:firstLine="420" w:firstLineChars="200"/>
        <w:jc w:val="left"/>
        <w:rPr>
          <w:rFonts w:ascii="宋体"/>
          <w:kern w:val="0"/>
          <w:szCs w:val="21"/>
          <w:u w:val="single"/>
        </w:rPr>
      </w:pPr>
      <w:r>
        <w:rPr>
          <w:rFonts w:hint="eastAsia" w:ascii="宋体"/>
          <w:kern w:val="0"/>
          <w:szCs w:val="21"/>
          <w:u w:val="single"/>
        </w:rPr>
        <w:t>3.2.1投标文件的有效性审查：投标文件中没有任一种列于本办法附表2《投标文件有效性审查表》中情形的，为有效标书，否则为无效标书。经评标委员会认定后，其投标文件将被拒绝。如评标委员会成员的评审意见不一致时，以评标委员会过半数成员的意见作为评标委员会对该情形的认定结论。未通过有效性审查的，不得进入下一阶段评审。</w:t>
      </w:r>
    </w:p>
    <w:p>
      <w:pPr>
        <w:widowControl/>
        <w:spacing w:line="360" w:lineRule="auto"/>
        <w:ind w:firstLine="420" w:firstLineChars="200"/>
        <w:jc w:val="left"/>
        <w:rPr>
          <w:rFonts w:ascii="宋体"/>
          <w:kern w:val="0"/>
          <w:szCs w:val="21"/>
          <w:u w:val="single"/>
        </w:rPr>
      </w:pPr>
      <w:r>
        <w:rPr>
          <w:rFonts w:hint="eastAsia" w:ascii="宋体"/>
          <w:kern w:val="0"/>
          <w:szCs w:val="21"/>
          <w:u w:val="single"/>
        </w:rPr>
        <w:t>3.2.2工程总承包实施方案评审：评标委员会按照附表3《工程总承包实施方案投标文件详细审查评分表》对通过有效性审查的投标文件进行工程总承包实施方案评分。评标委员会评出的各投标人工程总承包实施方案得分，工程总承包实施方案得分算术平均值分别为各投标人的工程总承包实施方案得分。分数出现小数点，保留小数点后二位，第三位小数四舍五入。</w:t>
      </w:r>
    </w:p>
    <w:p>
      <w:pPr>
        <w:widowControl/>
        <w:spacing w:line="360" w:lineRule="auto"/>
        <w:ind w:firstLine="420" w:firstLineChars="200"/>
        <w:jc w:val="left"/>
        <w:rPr>
          <w:rFonts w:ascii="宋体"/>
          <w:kern w:val="0"/>
          <w:szCs w:val="21"/>
          <w:u w:val="single"/>
        </w:rPr>
      </w:pPr>
      <w:r>
        <w:rPr>
          <w:rFonts w:hint="eastAsia" w:ascii="宋体"/>
          <w:kern w:val="0"/>
          <w:szCs w:val="21"/>
          <w:u w:val="single"/>
        </w:rPr>
        <w:t>3.2.3施工费投标报价部分评审：</w:t>
      </w:r>
    </w:p>
    <w:p>
      <w:pPr>
        <w:spacing w:line="400" w:lineRule="exact"/>
        <w:ind w:firstLine="424" w:firstLineChars="202"/>
        <w:rPr>
          <w:rFonts w:ascii="宋体" w:cs="宋体"/>
          <w:bCs/>
          <w:kern w:val="0"/>
          <w:szCs w:val="21"/>
          <w:u w:val="single"/>
        </w:rPr>
      </w:pPr>
      <w:r>
        <w:rPr>
          <w:rFonts w:ascii="宋体"/>
          <w:kern w:val="0"/>
          <w:szCs w:val="21"/>
          <w:u w:val="single"/>
        </w:rPr>
        <w:t>3.2</w:t>
      </w:r>
      <w:r>
        <w:rPr>
          <w:rFonts w:hint="eastAsia" w:ascii="宋体"/>
          <w:kern w:val="0"/>
          <w:szCs w:val="21"/>
          <w:u w:val="single"/>
        </w:rPr>
        <w:t>.3.1</w:t>
      </w:r>
      <w:r>
        <w:rPr>
          <w:rFonts w:hint="eastAsia" w:ascii="宋体" w:cs="宋体"/>
          <w:bCs/>
          <w:kern w:val="0"/>
          <w:szCs w:val="21"/>
          <w:u w:val="single"/>
        </w:rPr>
        <w:t>通过</w:t>
      </w:r>
      <w:r>
        <w:rPr>
          <w:rFonts w:hint="eastAsia" w:ascii="宋体" w:cs="宋体"/>
          <w:kern w:val="0"/>
          <w:szCs w:val="21"/>
          <w:u w:val="single"/>
        </w:rPr>
        <w:t>投标文件有效性审查</w:t>
      </w:r>
      <w:r>
        <w:rPr>
          <w:rFonts w:hint="eastAsia" w:ascii="宋体" w:cs="宋体"/>
          <w:bCs/>
          <w:kern w:val="0"/>
          <w:szCs w:val="21"/>
          <w:u w:val="single"/>
        </w:rPr>
        <w:t>投标人的施工费投标报价，若位于[施工费最高投标限价×90%，施工费最高投标限价×100%]区间的投标价大于或等于五个，则在位于[施工费最高投标限价×90%，施工费最高投标限价×100%]区间的投标价中，去掉一个最高价和一个最低价后，剩余报价的算术平均值为评标参考价。若位于[施工费最高投标限价×90%，施工费最高投标限价×100%]区间的投标价少于五个，直接取区间中的投标价的算术平均值为评标参考价。若没有投标价位于[施工费最高投标限价×90%，施工费最高投标限价×100%]区间，则评标参考价=施工费最高投标限价×90%。</w:t>
      </w:r>
    </w:p>
    <w:p>
      <w:pPr>
        <w:widowControl/>
        <w:spacing w:line="360" w:lineRule="auto"/>
        <w:ind w:firstLine="420" w:firstLineChars="200"/>
        <w:jc w:val="left"/>
        <w:rPr>
          <w:rFonts w:ascii="宋体"/>
          <w:kern w:val="0"/>
          <w:szCs w:val="21"/>
          <w:u w:val="single"/>
        </w:rPr>
      </w:pPr>
      <w:r>
        <w:rPr>
          <w:rFonts w:ascii="宋体"/>
          <w:kern w:val="0"/>
          <w:szCs w:val="21"/>
          <w:u w:val="single"/>
        </w:rPr>
        <w:t>3.2</w:t>
      </w:r>
      <w:r>
        <w:rPr>
          <w:rFonts w:hint="eastAsia" w:ascii="宋体"/>
          <w:kern w:val="0"/>
          <w:szCs w:val="21"/>
          <w:u w:val="single"/>
        </w:rPr>
        <w:t>.3.2当施工费报价等于评标参考价时得100分，施工费报价每高于评标参考价1%，扣0.3分，每低于评标参考价1%，扣0.2分，扣至0分为止，得出投标报价得分，精确到小数点后两位。</w:t>
      </w:r>
    </w:p>
    <w:p>
      <w:pPr>
        <w:spacing w:before="100" w:after="100" w:line="276" w:lineRule="auto"/>
        <w:ind w:firstLine="420" w:firstLineChars="200"/>
        <w:rPr>
          <w:kern w:val="0"/>
        </w:rPr>
      </w:pPr>
      <w:r>
        <w:rPr>
          <w:rFonts w:hint="eastAsia" w:ascii="宋体" w:cs="宋体"/>
          <w:kern w:val="0"/>
          <w:szCs w:val="21"/>
          <w:u w:val="single"/>
        </w:rPr>
        <w:t>3.2.3.3 报价评审中的投标报价特指施工费投标报价，不包含勘察设计费。</w:t>
      </w:r>
    </w:p>
    <w:p>
      <w:pPr>
        <w:widowControl/>
        <w:spacing w:line="360" w:lineRule="auto"/>
        <w:ind w:firstLine="420" w:firstLineChars="200"/>
        <w:jc w:val="left"/>
        <w:rPr>
          <w:rFonts w:ascii="宋体"/>
          <w:kern w:val="0"/>
          <w:szCs w:val="21"/>
          <w:u w:val="single"/>
        </w:rPr>
      </w:pPr>
      <w:r>
        <w:rPr>
          <w:rFonts w:hint="eastAsia" w:ascii="宋体"/>
          <w:kern w:val="0"/>
          <w:szCs w:val="21"/>
          <w:u w:val="single"/>
        </w:rPr>
        <w:t>3.2.4计算综合得分：评标委员会按照评标办法前附表第2.2.1条的规定，计算投标人综合得分。分数出现小数点，保留小数点后二位，第三位小数四舍五入。</w:t>
      </w:r>
    </w:p>
    <w:p>
      <w:pPr>
        <w:spacing w:line="360" w:lineRule="auto"/>
        <w:rPr>
          <w:rFonts w:ascii="宋体" w:cs="宋体"/>
          <w:kern w:val="0"/>
          <w:szCs w:val="21"/>
        </w:rPr>
      </w:pPr>
      <w:bookmarkStart w:id="252" w:name="_Toc494097010"/>
      <w:r>
        <w:rPr>
          <w:rFonts w:hint="eastAsia" w:ascii="宋体" w:cs="宋体"/>
          <w:kern w:val="0"/>
          <w:szCs w:val="21"/>
        </w:rPr>
        <w:t>3.3推荐中标候选人</w:t>
      </w:r>
      <w:bookmarkEnd w:id="252"/>
    </w:p>
    <w:p>
      <w:pPr>
        <w:spacing w:line="360" w:lineRule="auto"/>
        <w:ind w:firstLine="457" w:firstLineChars="218"/>
        <w:rPr>
          <w:rFonts w:ascii="宋体" w:cs="宋体"/>
          <w:kern w:val="0"/>
          <w:szCs w:val="21"/>
        </w:rPr>
      </w:pPr>
      <w:r>
        <w:rPr>
          <w:rFonts w:hint="eastAsia" w:ascii="宋体" w:cs="宋体"/>
          <w:kern w:val="0"/>
          <w:szCs w:val="21"/>
        </w:rPr>
        <w:t>3.3.1中标原则：</w:t>
      </w:r>
    </w:p>
    <w:p>
      <w:pPr>
        <w:spacing w:line="360" w:lineRule="auto"/>
        <w:ind w:firstLine="457" w:firstLineChars="218"/>
        <w:rPr>
          <w:rFonts w:ascii="宋体" w:cs="宋体"/>
          <w:kern w:val="0"/>
          <w:szCs w:val="21"/>
        </w:rPr>
      </w:pPr>
      <w:r>
        <w:rPr>
          <w:rFonts w:hint="eastAsia" w:ascii="宋体" w:cs="宋体"/>
          <w:kern w:val="0"/>
          <w:szCs w:val="21"/>
        </w:rPr>
        <w:t>评标委员会按照综合得分从高到低排列先后次序，推荐三名中标候选人。总分相同的，以</w:t>
      </w:r>
      <w:r>
        <w:rPr>
          <w:rFonts w:hint="eastAsia" w:ascii="宋体" w:cs="宋体"/>
          <w:kern w:val="0"/>
          <w:szCs w:val="21"/>
          <w:lang w:val="zh-CN"/>
        </w:rPr>
        <w:t>项目实施组织方案部分</w:t>
      </w:r>
      <w:r>
        <w:rPr>
          <w:rFonts w:hint="eastAsia" w:ascii="宋体" w:cs="宋体"/>
          <w:kern w:val="0"/>
          <w:szCs w:val="21"/>
        </w:rPr>
        <w:t>得分高的排前；总分</w:t>
      </w:r>
      <w:r>
        <w:rPr>
          <w:rFonts w:hint="eastAsia" w:ascii="宋体" w:cs="宋体"/>
          <w:szCs w:val="21"/>
        </w:rPr>
        <w:t>与</w:t>
      </w:r>
      <w:r>
        <w:rPr>
          <w:rFonts w:hint="eastAsia" w:ascii="宋体" w:cs="宋体"/>
          <w:kern w:val="0"/>
          <w:szCs w:val="21"/>
          <w:lang w:val="zh-CN"/>
        </w:rPr>
        <w:t>项目实施组织方案部分</w:t>
      </w:r>
      <w:r>
        <w:rPr>
          <w:rFonts w:hint="eastAsia" w:ascii="宋体" w:cs="宋体"/>
          <w:szCs w:val="21"/>
        </w:rPr>
        <w:t>得分均相同的投标文件，以投标报价较低的排前；</w:t>
      </w:r>
      <w:r>
        <w:rPr>
          <w:rFonts w:hint="eastAsia" w:ascii="宋体" w:cs="宋体"/>
          <w:kern w:val="0"/>
          <w:szCs w:val="21"/>
        </w:rPr>
        <w:t>如仍存在相同情况，则对具有相同情况的投标人，按中标候选人数量规定，由评标委员会采用记名投票方式，确定中标候选人的排序。评标委员会应按排序先后，在招标文件有效的投标人中，向招标人推荐前3名投标人依次为第一中标候选人至第三中标候选人，并编写评标报告。</w:t>
      </w:r>
    </w:p>
    <w:p>
      <w:pPr>
        <w:spacing w:line="360" w:lineRule="auto"/>
        <w:ind w:firstLine="457" w:firstLineChars="218"/>
        <w:rPr>
          <w:rFonts w:ascii="宋体" w:cs="宋体"/>
          <w:kern w:val="0"/>
          <w:szCs w:val="21"/>
        </w:rPr>
      </w:pPr>
      <w:r>
        <w:rPr>
          <w:rFonts w:hint="eastAsia" w:ascii="宋体" w:cs="宋体"/>
          <w:kern w:val="0"/>
          <w:szCs w:val="21"/>
        </w:rPr>
        <w:t>3.3.2评标委员会编写、签署评标报告。评标报告由评标委员会全体成员签字，对评标结论持有异议的评标委员会成员可以书面方式阐述其不同意见和理由。</w:t>
      </w:r>
    </w:p>
    <w:p>
      <w:pPr>
        <w:spacing w:line="360" w:lineRule="auto"/>
        <w:ind w:firstLine="457" w:firstLineChars="218"/>
        <w:rPr>
          <w:rFonts w:ascii="宋体" w:cs="宋体"/>
          <w:kern w:val="0"/>
          <w:szCs w:val="21"/>
        </w:rPr>
      </w:pPr>
      <w:r>
        <w:rPr>
          <w:rFonts w:hint="eastAsia" w:ascii="宋体" w:cs="宋体"/>
          <w:kern w:val="0"/>
          <w:szCs w:val="21"/>
        </w:rPr>
        <w:t>3.3.3评标委员会向招标人提交书面评标报告，评标过程中使用的文件、表格以及其他资料应当即时归还招标人（招标代理机构）。</w:t>
      </w:r>
    </w:p>
    <w:p>
      <w:pPr>
        <w:spacing w:line="360" w:lineRule="auto"/>
        <w:ind w:firstLine="457" w:firstLineChars="218"/>
        <w:rPr>
          <w:rFonts w:ascii="宋体" w:cs="宋体"/>
          <w:kern w:val="0"/>
          <w:szCs w:val="21"/>
        </w:rPr>
      </w:pPr>
      <w:r>
        <w:rPr>
          <w:rFonts w:hint="eastAsia" w:ascii="宋体" w:cs="宋体"/>
          <w:kern w:val="0"/>
          <w:szCs w:val="21"/>
        </w:rPr>
        <w:t>3.3.4满足资格审查合格条件的投标人不足3名或经评审有效的投标单位不足3名时为招标失败，应当依法重新招标。</w:t>
      </w:r>
    </w:p>
    <w:p>
      <w:pPr>
        <w:spacing w:line="360" w:lineRule="auto"/>
        <w:rPr>
          <w:rFonts w:ascii="宋体" w:cs="宋体"/>
          <w:kern w:val="0"/>
          <w:szCs w:val="21"/>
        </w:rPr>
      </w:pPr>
      <w:bookmarkStart w:id="253" w:name="_Toc26054"/>
      <w:bookmarkStart w:id="254" w:name="_Toc486938833"/>
      <w:bookmarkStart w:id="255" w:name="_Toc27832"/>
      <w:bookmarkStart w:id="256" w:name="_Toc494097011"/>
    </w:p>
    <w:p>
      <w:pPr>
        <w:spacing w:line="360" w:lineRule="auto"/>
        <w:rPr>
          <w:rFonts w:ascii="宋体" w:cs="宋体"/>
          <w:kern w:val="0"/>
          <w:szCs w:val="21"/>
        </w:rPr>
      </w:pPr>
      <w:r>
        <w:rPr>
          <w:rFonts w:hint="eastAsia" w:ascii="宋体" w:cs="宋体"/>
          <w:kern w:val="0"/>
          <w:szCs w:val="21"/>
        </w:rPr>
        <w:t>3.4投标文件的澄清和补正</w:t>
      </w:r>
      <w:bookmarkEnd w:id="253"/>
      <w:bookmarkEnd w:id="254"/>
      <w:bookmarkEnd w:id="255"/>
      <w:bookmarkEnd w:id="256"/>
    </w:p>
    <w:p>
      <w:pPr>
        <w:spacing w:line="360" w:lineRule="auto"/>
        <w:ind w:firstLine="420" w:firstLineChars="200"/>
        <w:rPr>
          <w:rFonts w:ascii="宋体" w:cs="宋体"/>
          <w:kern w:val="0"/>
          <w:szCs w:val="21"/>
        </w:rPr>
      </w:pPr>
      <w:r>
        <w:rPr>
          <w:rFonts w:hint="eastAsia" w:ascii="宋体" w:cs="宋体"/>
          <w:kern w:val="0"/>
          <w:szCs w:val="21"/>
        </w:rPr>
        <w:t>3.4.1 为有助于投标文件的审查、评价和比较，评标期间，经评标委员会中超过两人（含两人）的成员以书面形式提出动议，评标委员会应当书面发出澄清通知，要求投标人对投标文件含义不明确的内容作出澄清。</w:t>
      </w:r>
    </w:p>
    <w:p>
      <w:pPr>
        <w:spacing w:line="360" w:lineRule="auto"/>
        <w:ind w:firstLine="420" w:firstLineChars="200"/>
        <w:rPr>
          <w:rFonts w:ascii="宋体" w:cs="宋体"/>
          <w:kern w:val="0"/>
          <w:szCs w:val="21"/>
        </w:rPr>
      </w:pPr>
      <w:r>
        <w:rPr>
          <w:rFonts w:hint="eastAsia" w:ascii="宋体" w:cs="宋体"/>
          <w:kern w:val="0"/>
          <w:szCs w:val="21"/>
        </w:rPr>
        <w:t>3.4.2 投标人应以书面形式进行澄清，澄清中的承诺性意思表示在投标文件有效期内均对投标人有约束力。澄清不得超出投标文件的范围或改变投标文件的实质性内容，超出部分不作为评标委员会相应评审的依据。</w:t>
      </w:r>
    </w:p>
    <w:p>
      <w:pPr>
        <w:spacing w:line="360" w:lineRule="auto"/>
        <w:ind w:firstLine="420" w:firstLineChars="200"/>
        <w:rPr>
          <w:rFonts w:ascii="宋体" w:cs="宋体"/>
          <w:kern w:val="0"/>
          <w:szCs w:val="21"/>
        </w:rPr>
      </w:pPr>
      <w:r>
        <w:rPr>
          <w:rFonts w:hint="eastAsia" w:ascii="宋体" w:cs="宋体"/>
          <w:kern w:val="0"/>
          <w:szCs w:val="21"/>
        </w:rPr>
        <w:t>3.4.3 评标委员会成员均应当阅读投标人的澄清，但应独立参考澄清对投标文件进行评审。</w:t>
      </w:r>
    </w:p>
    <w:p>
      <w:pPr>
        <w:spacing w:line="400" w:lineRule="exact"/>
        <w:rPr>
          <w:rFonts w:ascii="宋体" w:cs="宋体"/>
          <w:kern w:val="0"/>
          <w:szCs w:val="21"/>
        </w:rPr>
      </w:pPr>
      <w:r>
        <w:rPr>
          <w:rFonts w:hint="eastAsia" w:ascii="宋体" w:cs="宋体"/>
          <w:kern w:val="0"/>
          <w:szCs w:val="21"/>
        </w:rPr>
        <w:t>3.4.4 如果投标文件实质上不响应招标文件的各项要求，评标委员会相应评审将按照有效性审查标准予以拒绝，不接受投标人通过修改或撤销其不符合要求的差异或保留，使之成为具有响应性的投标。</w:t>
      </w:r>
    </w:p>
    <w:p>
      <w:pPr>
        <w:spacing w:line="400" w:lineRule="exact"/>
        <w:rPr>
          <w:rFonts w:ascii="宋体" w:cs="宋体"/>
          <w:b/>
          <w:kern w:val="0"/>
          <w:sz w:val="24"/>
          <w:szCs w:val="24"/>
        </w:rPr>
      </w:pPr>
      <w:r>
        <w:rPr>
          <w:rFonts w:hint="eastAsia" w:ascii="宋体" w:cs="宋体"/>
          <w:b/>
          <w:kern w:val="0"/>
          <w:sz w:val="24"/>
          <w:szCs w:val="24"/>
        </w:rPr>
        <w:br w:type="page"/>
      </w:r>
    </w:p>
    <w:p>
      <w:pPr>
        <w:spacing w:line="400" w:lineRule="exact"/>
        <w:rPr>
          <w:rFonts w:ascii="宋体" w:cs="宋体"/>
          <w:b/>
          <w:kern w:val="0"/>
          <w:sz w:val="24"/>
          <w:szCs w:val="24"/>
        </w:rPr>
      </w:pPr>
      <w:r>
        <w:rPr>
          <w:rFonts w:hint="eastAsia" w:ascii="宋体" w:cs="宋体"/>
          <w:b/>
          <w:kern w:val="0"/>
          <w:sz w:val="24"/>
          <w:szCs w:val="24"/>
        </w:rPr>
        <w:t>附表1</w:t>
      </w:r>
    </w:p>
    <w:p>
      <w:pPr>
        <w:spacing w:line="400" w:lineRule="exact"/>
        <w:jc w:val="center"/>
        <w:rPr>
          <w:rFonts w:ascii="宋体" w:cs="宋体"/>
          <w:b/>
          <w:kern w:val="0"/>
          <w:sz w:val="24"/>
          <w:szCs w:val="24"/>
        </w:rPr>
      </w:pPr>
      <w:r>
        <w:rPr>
          <w:rFonts w:hint="eastAsia" w:ascii="宋体" w:cs="宋体"/>
          <w:b/>
          <w:kern w:val="0"/>
          <w:sz w:val="24"/>
          <w:szCs w:val="24"/>
        </w:rPr>
        <w:t>资格审查表</w:t>
      </w:r>
    </w:p>
    <w:p>
      <w:pPr>
        <w:spacing w:line="400" w:lineRule="exact"/>
        <w:rPr>
          <w:rFonts w:ascii="宋体" w:cs="宋体"/>
          <w:kern w:val="0"/>
          <w:szCs w:val="21"/>
        </w:rPr>
      </w:pPr>
      <w:r>
        <w:rPr>
          <w:rFonts w:hint="eastAsia" w:ascii="宋体" w:cs="宋体"/>
          <w:kern w:val="0"/>
          <w:szCs w:val="21"/>
        </w:rPr>
        <w:t>项目名称：</w:t>
      </w:r>
    </w:p>
    <w:tbl>
      <w:tblPr>
        <w:tblStyle w:val="5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950"/>
        <w:gridCol w:w="392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序号</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审查项目</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须审查的资料</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1</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投标人参加投标的意思表达清楚，投标人代表被授权有效</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法定代表人证明书；委托投标的还应提供法人授权委托证明书原件扫描件。（若为联合体投标，由承接施工任务的施工方提供）</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2</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投标人（联合体各成员）均具有独立法人资格，按国家法律经营</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 w:val="20"/>
                <w:szCs w:val="20"/>
              </w:rPr>
            </w:pPr>
            <w:r>
              <w:rPr>
                <w:rFonts w:hint="eastAsia" w:ascii="宋体" w:cs="宋体"/>
                <w:kern w:val="0"/>
                <w:szCs w:val="21"/>
              </w:rPr>
              <w:t>营业执照须提供原件扫描件，如为联合体投标，则为联合体各方均需提供。</w:t>
            </w:r>
            <w:r>
              <w:rPr>
                <w:rFonts w:hint="eastAsia" w:ascii="宋体"/>
                <w:kern w:val="0"/>
                <w:szCs w:val="21"/>
              </w:rPr>
              <w:t>勘察、设计单位为香港企业独立参加投标的，须提供在广东省住房和城乡建设主管部门备案证明扫描件。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3</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投标人均持有建设行政主管部门颁发的企业资质证书；投标人资质符合公告要求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资质证书原件扫描件，如为联合体投标，则为联合体各方均需提供。</w:t>
            </w:r>
            <w:r>
              <w:rPr>
                <w:rFonts w:hint="eastAsia" w:ascii="宋体" w:cs="宋体"/>
                <w:kern w:val="0"/>
                <w:szCs w:val="21"/>
                <w:u w:val="single"/>
              </w:rPr>
              <w:t>勘察、设计单位为香港企业独立参加投标的，须提供在广东省住房和城乡建设主管部门备案证明扫描件。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4</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投标人持有建设行政主管部门颁发的安全生产许可证</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如为联合体投标，则由联合体的施工方提供原件扫描件。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5</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投标人拟担任本工程项目负责人</w:t>
            </w:r>
            <w:r>
              <w:rPr>
                <w:rFonts w:hint="eastAsia" w:ascii="宋体"/>
                <w:kern w:val="0"/>
                <w:szCs w:val="21"/>
              </w:rPr>
              <w:t>（兼施工负责人）</w:t>
            </w:r>
            <w:r>
              <w:rPr>
                <w:rFonts w:hint="eastAsia" w:ascii="宋体" w:cs="宋体"/>
                <w:kern w:val="0"/>
                <w:szCs w:val="21"/>
              </w:rPr>
              <w:t>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如为联合体投标，则由联合体的施工方提供原件扫描件。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6</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kern w:val="0"/>
                <w:szCs w:val="21"/>
              </w:rPr>
              <w:t>项目负责人（兼施工负责人）安全生产考核合格证书符合公告要求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如为联合体投标，则由联合体的施工方提供原件扫描件。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7</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拟担任本项目设计负责人符合公告要求。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如为联合体投标，则由联合体的设计方提供原件扫描件。</w:t>
            </w:r>
          </w:p>
          <w:p>
            <w:pPr>
              <w:widowControl/>
              <w:rPr>
                <w:rFonts w:ascii="宋体" w:cs="宋体"/>
                <w:kern w:val="0"/>
                <w:szCs w:val="21"/>
              </w:rPr>
            </w:pPr>
            <w:r>
              <w:rPr>
                <w:rFonts w:hint="eastAsia" w:ascii="宋体" w:cs="宋体"/>
                <w:kern w:val="0"/>
                <w:szCs w:val="21"/>
              </w:rPr>
              <w:t>香港企业独立参加投标的，</w:t>
            </w:r>
            <w:r>
              <w:rPr>
                <w:rFonts w:hint="eastAsia" w:ascii="宋体" w:cs="宋体"/>
                <w:b/>
                <w:kern w:val="0"/>
                <w:szCs w:val="21"/>
              </w:rPr>
              <w:t>须提供</w:t>
            </w:r>
            <w:r>
              <w:rPr>
                <w:rFonts w:hint="eastAsia" w:ascii="宋体" w:cs="宋体"/>
                <w:kern w:val="0"/>
                <w:szCs w:val="21"/>
              </w:rPr>
              <w:t>在广东省住房和城乡建设主管部门备案证明扫描件。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8</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拟担任本项目</w:t>
            </w:r>
            <w:r>
              <w:rPr>
                <w:rFonts w:hint="eastAsia" w:ascii="宋体"/>
                <w:kern w:val="0"/>
                <w:szCs w:val="21"/>
              </w:rPr>
              <w:t>专职安全人员符合公告要求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如为联合体投标，则由联合体的施工方提供原件扫描件。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9</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如为联合体投标的需提交联合体共同投标协议书，联合体组成符合招标公告要求</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提供联合体投标协议书原件扫描件。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10</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投标人提供的投标人声明符合公告要求</w:t>
            </w:r>
          </w:p>
        </w:tc>
        <w:tc>
          <w:tcPr>
            <w:tcW w:w="3924" w:type="dxa"/>
            <w:tcBorders>
              <w:top w:val="single" w:color="auto" w:sz="4" w:space="0"/>
              <w:left w:val="single" w:color="auto" w:sz="4" w:space="0"/>
              <w:bottom w:val="single" w:color="auto" w:sz="4" w:space="0"/>
              <w:right w:val="single" w:color="auto" w:sz="4" w:space="0"/>
            </w:tcBorders>
            <w:vAlign w:val="center"/>
          </w:tcPr>
          <w:p>
            <w:pPr>
              <w:pStyle w:val="72"/>
              <w:ind w:firstLine="0" w:firstLineChars="0"/>
              <w:rPr>
                <w:kern w:val="0"/>
                <w:sz w:val="21"/>
                <w:szCs w:val="21"/>
                <w:u w:val="single"/>
              </w:rPr>
            </w:pPr>
            <w:r>
              <w:rPr>
                <w:rFonts w:hint="eastAsia" w:ascii="宋体" w:cs="宋体"/>
                <w:kern w:val="0"/>
                <w:szCs w:val="21"/>
              </w:rPr>
              <w:t>投标人声明</w:t>
            </w:r>
            <w:r>
              <w:rPr>
                <w:rFonts w:hint="eastAsia" w:ascii="宋体" w:cs="宋体"/>
                <w:kern w:val="0"/>
                <w:sz w:val="21"/>
                <w:szCs w:val="21"/>
              </w:rPr>
              <w:t>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11</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 w:val="22"/>
              </w:rPr>
            </w:pPr>
            <w:r>
              <w:rPr>
                <w:rFonts w:hint="eastAsia" w:ascii="宋体" w:cs="宋体"/>
                <w:kern w:val="0"/>
                <w:szCs w:val="21"/>
              </w:rPr>
              <w:t>资格审查前，投标人（含联合体各方）须在广州公共资源交易中心企业库办理企业信息登记及拟担任本工程项目负责人、专职安全员、设计负责人须是本企业登记信息中的在册人员。</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 w:val="22"/>
              </w:rPr>
            </w:pPr>
            <w:r>
              <w:rPr>
                <w:rFonts w:hint="eastAsia" w:ascii="宋体" w:cs="宋体"/>
                <w:kern w:val="0"/>
                <w:szCs w:val="21"/>
                <w:u w:val="single"/>
              </w:rPr>
              <w:t>投标人（含联合体各方）在广州公共资源交易中心企业库内的相关信息</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12</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投标人（含联合体各方）未出现以下情形：与其它投标人（含联合体各方）的单位负责人为同一人或者存在控股、管理关系的。</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rPr>
                <w:rFonts w:ascii="宋体" w:cs="宋体"/>
                <w:kern w:val="0"/>
                <w:szCs w:val="21"/>
              </w:rPr>
            </w:pPr>
            <w:r>
              <w:rPr>
                <w:rFonts w:hint="eastAsia" w:ascii="宋体" w:cs="宋体"/>
                <w:kern w:val="0"/>
                <w:szCs w:val="21"/>
              </w:rPr>
              <w:t>投标人声明原件扫描件。</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13</w:t>
            </w:r>
          </w:p>
        </w:tc>
        <w:tc>
          <w:tcPr>
            <w:tcW w:w="395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rPr>
                <w:rFonts w:ascii="宋体" w:cs="宋体"/>
                <w:kern w:val="0"/>
                <w:szCs w:val="21"/>
              </w:rPr>
            </w:pPr>
            <w:r>
              <w:rPr>
                <w:rFonts w:hint="eastAsia" w:ascii="宋体" w:cs="宋体"/>
                <w:kern w:val="0"/>
                <w:szCs w:val="20"/>
              </w:rPr>
              <w:t>投标人未被纳入失信联合惩戒名单，失信联合惩戒名单以“信用广州”网站公布的“失信黑名单”为准。</w:t>
            </w:r>
          </w:p>
        </w:tc>
        <w:tc>
          <w:tcPr>
            <w:tcW w:w="3924"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rPr>
                <w:rFonts w:ascii="宋体" w:cs="宋体"/>
                <w:kern w:val="0"/>
                <w:szCs w:val="21"/>
              </w:rPr>
            </w:pPr>
            <w:r>
              <w:rPr>
                <w:rFonts w:hint="eastAsia" w:ascii="宋体" w:cs="宋体"/>
                <w:kern w:val="0"/>
                <w:sz w:val="20"/>
                <w:szCs w:val="20"/>
              </w:rPr>
              <w:t>提供网页打印页</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542"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cs="宋体"/>
                <w:kern w:val="0"/>
                <w:szCs w:val="21"/>
              </w:rPr>
              <w:t>结论（通过/不通过）</w:t>
            </w:r>
          </w:p>
        </w:tc>
        <w:tc>
          <w:tcPr>
            <w:tcW w:w="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r>
    </w:tbl>
    <w:p>
      <w:pPr>
        <w:ind w:firstLine="420" w:firstLineChars="200"/>
        <w:rPr>
          <w:rFonts w:ascii="宋体" w:cs="宋体"/>
          <w:kern w:val="0"/>
          <w:szCs w:val="20"/>
          <w:u w:val="single"/>
        </w:rPr>
      </w:pPr>
      <w:r>
        <w:rPr>
          <w:rFonts w:hint="eastAsia" w:ascii="宋体" w:cs="宋体"/>
          <w:kern w:val="0"/>
          <w:szCs w:val="20"/>
          <w:u w:val="single"/>
        </w:rPr>
        <w:t xml:space="preserve">备注：1、每一项目符合的打“○”或“√”，不符合的打“×”； </w:t>
      </w:r>
    </w:p>
    <w:p>
      <w:pPr>
        <w:ind w:firstLine="420" w:firstLineChars="200"/>
        <w:rPr>
          <w:rFonts w:ascii="宋体" w:cs="宋体"/>
          <w:kern w:val="0"/>
          <w:szCs w:val="20"/>
          <w:u w:val="single"/>
        </w:rPr>
      </w:pPr>
      <w:r>
        <w:rPr>
          <w:rFonts w:hint="eastAsia" w:ascii="宋体" w:cs="宋体"/>
          <w:kern w:val="0"/>
          <w:szCs w:val="20"/>
          <w:u w:val="single"/>
        </w:rPr>
        <w:t>2、若评委意见不一致时，则按少数服从多数的原则，作出评审结论。汇总后，出现一个“×”的结论为“不通过”。</w:t>
      </w:r>
    </w:p>
    <w:p>
      <w:pPr>
        <w:ind w:firstLine="420" w:firstLineChars="200"/>
        <w:rPr>
          <w:rFonts w:ascii="宋体" w:cs="宋体"/>
          <w:kern w:val="0"/>
          <w:szCs w:val="20"/>
        </w:rPr>
      </w:pPr>
      <w:r>
        <w:rPr>
          <w:rFonts w:hint="eastAsia" w:ascii="宋体" w:cs="宋体"/>
          <w:kern w:val="0"/>
          <w:szCs w:val="20"/>
        </w:rPr>
        <w:t xml:space="preserve">评委签名：                    日期：                  </w:t>
      </w:r>
    </w:p>
    <w:p>
      <w:pPr>
        <w:pStyle w:val="3"/>
      </w:pPr>
    </w:p>
    <w:p>
      <w:pPr>
        <w:sectPr>
          <w:headerReference r:id="rId6" w:type="first"/>
          <w:footerReference r:id="rId9" w:type="first"/>
          <w:headerReference r:id="rId4" w:type="default"/>
          <w:footerReference r:id="rId7" w:type="default"/>
          <w:headerReference r:id="rId5" w:type="even"/>
          <w:footerReference r:id="rId8" w:type="even"/>
          <w:pgSz w:w="11907" w:h="16840"/>
          <w:pgMar w:top="1440" w:right="1440" w:bottom="1440" w:left="1440" w:header="851" w:footer="907" w:gutter="0"/>
          <w:cols w:space="720" w:num="1"/>
          <w:docGrid w:linePitch="312" w:charSpace="0"/>
        </w:sectPr>
      </w:pPr>
    </w:p>
    <w:p>
      <w:pPr>
        <w:spacing w:line="400" w:lineRule="exact"/>
        <w:rPr>
          <w:rFonts w:ascii="宋体"/>
          <w:b/>
          <w:kern w:val="0"/>
          <w:sz w:val="24"/>
          <w:szCs w:val="24"/>
        </w:rPr>
      </w:pPr>
      <w:r>
        <w:rPr>
          <w:rFonts w:hint="eastAsia" w:ascii="宋体"/>
          <w:b/>
          <w:kern w:val="0"/>
          <w:sz w:val="24"/>
          <w:szCs w:val="24"/>
        </w:rPr>
        <w:t>附表2</w:t>
      </w:r>
    </w:p>
    <w:p>
      <w:pPr>
        <w:spacing w:line="360" w:lineRule="auto"/>
        <w:jc w:val="center"/>
        <w:rPr>
          <w:rFonts w:ascii="宋体" w:cs="宋体"/>
          <w:b/>
          <w:kern w:val="0"/>
          <w:sz w:val="28"/>
          <w:szCs w:val="28"/>
        </w:rPr>
      </w:pPr>
      <w:r>
        <w:rPr>
          <w:rFonts w:hint="eastAsia" w:ascii="宋体" w:cs="宋体"/>
          <w:b/>
          <w:kern w:val="0"/>
          <w:sz w:val="28"/>
          <w:szCs w:val="28"/>
        </w:rPr>
        <w:t>投标文件有效性审查表</w:t>
      </w:r>
    </w:p>
    <w:p>
      <w:pPr>
        <w:spacing w:line="320" w:lineRule="exact"/>
        <w:rPr>
          <w:rFonts w:ascii="宋体" w:cs="宋体"/>
          <w:b/>
          <w:kern w:val="0"/>
          <w:szCs w:val="21"/>
        </w:rPr>
      </w:pPr>
      <w:r>
        <w:rPr>
          <w:rFonts w:hint="eastAsia" w:ascii="宋体" w:cs="宋体"/>
          <w:b/>
          <w:kern w:val="0"/>
          <w:szCs w:val="21"/>
        </w:rPr>
        <w:t>项目名称：</w:t>
      </w:r>
    </w:p>
    <w:tbl>
      <w:tblPr>
        <w:tblStyle w:val="5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3131"/>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blHeader/>
          <w:jc w:val="center"/>
        </w:trPr>
        <w:tc>
          <w:tcPr>
            <w:tcW w:w="191" w:type="pct"/>
            <w:vAlign w:val="center"/>
          </w:tcPr>
          <w:p>
            <w:pPr>
              <w:spacing w:line="360" w:lineRule="auto"/>
              <w:jc w:val="center"/>
              <w:rPr>
                <w:rFonts w:ascii="宋体"/>
                <w:kern w:val="0"/>
                <w:szCs w:val="21"/>
              </w:rPr>
            </w:pPr>
            <w:r>
              <w:rPr>
                <w:rFonts w:hint="eastAsia" w:ascii="宋体"/>
                <w:kern w:val="0"/>
                <w:szCs w:val="21"/>
              </w:rPr>
              <w:t>序号</w:t>
            </w:r>
          </w:p>
        </w:tc>
        <w:tc>
          <w:tcPr>
            <w:tcW w:w="4632" w:type="pct"/>
            <w:tcBorders>
              <w:tl2br w:val="single" w:color="auto" w:sz="4" w:space="0"/>
            </w:tcBorders>
          </w:tcPr>
          <w:p>
            <w:pPr>
              <w:spacing w:line="360" w:lineRule="auto"/>
              <w:ind w:firstLine="420" w:firstLineChars="200"/>
              <w:rPr>
                <w:rFonts w:ascii="宋体"/>
                <w:kern w:val="0"/>
                <w:szCs w:val="21"/>
              </w:rPr>
            </w:pPr>
            <w:r>
              <w:rPr>
                <w:rFonts w:hint="eastAsia" w:ascii="宋体"/>
                <w:kern w:val="0"/>
                <w:szCs w:val="21"/>
              </w:rPr>
              <w:t xml:space="preserve">                                               投标人名称</w:t>
            </w:r>
          </w:p>
          <w:p>
            <w:pPr>
              <w:spacing w:line="360" w:lineRule="auto"/>
              <w:ind w:firstLine="420" w:firstLineChars="200"/>
              <w:rPr>
                <w:rFonts w:ascii="宋体"/>
                <w:kern w:val="0"/>
                <w:szCs w:val="21"/>
              </w:rPr>
            </w:pPr>
            <w:r>
              <w:rPr>
                <w:rFonts w:hint="eastAsia" w:ascii="宋体"/>
                <w:kern w:val="0"/>
                <w:szCs w:val="21"/>
              </w:rPr>
              <w:t>评审内容</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1</w:t>
            </w:r>
          </w:p>
        </w:tc>
        <w:tc>
          <w:tcPr>
            <w:tcW w:w="4632" w:type="pct"/>
            <w:vAlign w:val="center"/>
          </w:tcPr>
          <w:p>
            <w:pPr>
              <w:rPr>
                <w:rFonts w:ascii="宋体"/>
                <w:kern w:val="0"/>
                <w:szCs w:val="21"/>
              </w:rPr>
            </w:pPr>
            <w:r>
              <w:rPr>
                <w:rFonts w:hint="eastAsia" w:ascii="宋体"/>
                <w:kern w:val="0"/>
                <w:szCs w:val="21"/>
              </w:rPr>
              <w:t>投标文件所列投标人名称、项目负责人、设计负责人、安全员与网上投标登记时不一致；</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2</w:t>
            </w:r>
          </w:p>
        </w:tc>
        <w:tc>
          <w:tcPr>
            <w:tcW w:w="4632" w:type="pct"/>
            <w:vAlign w:val="center"/>
          </w:tcPr>
          <w:p>
            <w:pPr>
              <w:rPr>
                <w:rFonts w:ascii="宋体"/>
                <w:kern w:val="0"/>
                <w:szCs w:val="21"/>
              </w:rPr>
            </w:pPr>
            <w:r>
              <w:rPr>
                <w:rFonts w:hint="eastAsia" w:ascii="宋体"/>
                <w:kern w:val="0"/>
                <w:szCs w:val="21"/>
              </w:rPr>
              <w:t>《广州建设工程招标投标书》填写的投标总工期不符合招标文件要求的；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3</w:t>
            </w:r>
          </w:p>
        </w:tc>
        <w:tc>
          <w:tcPr>
            <w:tcW w:w="4632" w:type="pct"/>
            <w:vAlign w:val="center"/>
          </w:tcPr>
          <w:p>
            <w:pPr>
              <w:rPr>
                <w:rFonts w:ascii="宋体"/>
                <w:kern w:val="0"/>
                <w:szCs w:val="21"/>
              </w:rPr>
            </w:pPr>
            <w:r>
              <w:rPr>
                <w:rFonts w:hint="eastAsia" w:ascii="宋体"/>
                <w:kern w:val="0"/>
                <w:szCs w:val="21"/>
              </w:rPr>
              <w:t>《广州建设工程招标投标书》填写的质量标准不符合招标文件要求的；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4</w:t>
            </w:r>
          </w:p>
        </w:tc>
        <w:tc>
          <w:tcPr>
            <w:tcW w:w="4632" w:type="pct"/>
            <w:vAlign w:val="center"/>
          </w:tcPr>
          <w:p>
            <w:pPr>
              <w:rPr>
                <w:rFonts w:ascii="宋体"/>
                <w:kern w:val="0"/>
                <w:szCs w:val="21"/>
              </w:rPr>
            </w:pPr>
            <w:r>
              <w:rPr>
                <w:rFonts w:hint="eastAsia" w:ascii="宋体"/>
                <w:kern w:val="0"/>
                <w:szCs w:val="21"/>
              </w:rPr>
              <w:t>对同一招标项目出现两个或以上的投标报价，且没有申明哪个有效；</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5</w:t>
            </w:r>
          </w:p>
        </w:tc>
        <w:tc>
          <w:tcPr>
            <w:tcW w:w="4632" w:type="pct"/>
            <w:vAlign w:val="center"/>
          </w:tcPr>
          <w:p>
            <w:pPr>
              <w:rPr>
                <w:rFonts w:ascii="宋体"/>
                <w:kern w:val="0"/>
                <w:szCs w:val="21"/>
              </w:rPr>
            </w:pPr>
            <w:r>
              <w:rPr>
                <w:rFonts w:hint="eastAsia" w:ascii="宋体" w:cs="宋体"/>
                <w:kern w:val="0"/>
                <w:szCs w:val="21"/>
                <w:u w:val="single"/>
              </w:rPr>
              <w:t>投标报价高于最高投标限价的，或勘察费报价高于勘察费的最高投标限价，或设计费报价高于设计费的最高投标限价，或施工费报价高于施工部分的最高投标限价，或未按招标文件要求报价的</w:t>
            </w:r>
            <w:r>
              <w:rPr>
                <w:rFonts w:hint="eastAsia" w:ascii="宋体" w:cs="宋体"/>
                <w:kern w:val="0"/>
                <w:szCs w:val="21"/>
              </w:rPr>
              <w:t>；</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6</w:t>
            </w:r>
          </w:p>
        </w:tc>
        <w:tc>
          <w:tcPr>
            <w:tcW w:w="4632" w:type="pct"/>
            <w:vAlign w:val="center"/>
          </w:tcPr>
          <w:p>
            <w:pPr>
              <w:rPr>
                <w:rFonts w:ascii="宋体" w:cs="宋体"/>
                <w:kern w:val="0"/>
                <w:szCs w:val="21"/>
                <w:u w:val="single"/>
              </w:rPr>
            </w:pPr>
            <w:r>
              <w:rPr>
                <w:rFonts w:hint="eastAsia"/>
                <w:kern w:val="0"/>
              </w:rPr>
              <w:t>投标报价低于企业成本的（</w:t>
            </w:r>
            <w:r>
              <w:rPr>
                <w:rFonts w:hint="eastAsia"/>
                <w:kern w:val="0"/>
                <w:u w:val="single"/>
              </w:rPr>
              <w:t>投标人的报价明显低于其他投标报价，使得其投标报价低于最高限价的90%，并且投标人不能合理说明或者不能提供相关证明材料的，由评标委员会认定该投标人以低于成本报价竞标</w:t>
            </w:r>
            <w:r>
              <w:rPr>
                <w:rFonts w:hint="eastAsia"/>
                <w:kern w:val="0"/>
              </w:rPr>
              <w:t>）；</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7</w:t>
            </w:r>
          </w:p>
        </w:tc>
        <w:tc>
          <w:tcPr>
            <w:tcW w:w="4632" w:type="pct"/>
            <w:vAlign w:val="center"/>
          </w:tcPr>
          <w:p>
            <w:pPr>
              <w:rPr>
                <w:kern w:val="0"/>
              </w:rPr>
            </w:pPr>
            <w:r>
              <w:rPr>
                <w:rFonts w:hint="eastAsia" w:ascii="宋体"/>
                <w:kern w:val="0"/>
                <w:szCs w:val="21"/>
              </w:rPr>
              <w:t>算术复核后的投标报价与原投标报价相比存在1%或以上误差的；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8</w:t>
            </w:r>
          </w:p>
        </w:tc>
        <w:tc>
          <w:tcPr>
            <w:tcW w:w="4632" w:type="pct"/>
            <w:vAlign w:val="center"/>
          </w:tcPr>
          <w:p>
            <w:pPr>
              <w:rPr>
                <w:rFonts w:ascii="宋体"/>
                <w:kern w:val="0"/>
                <w:szCs w:val="21"/>
              </w:rPr>
            </w:pPr>
            <w:r>
              <w:rPr>
                <w:rFonts w:hint="eastAsia" w:ascii="宋体"/>
                <w:kern w:val="0"/>
                <w:szCs w:val="21"/>
              </w:rPr>
              <w:t>投标文件未按规定的格式填写，或主要内容不全，或关键字迹模糊、无法辨认的；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9</w:t>
            </w:r>
          </w:p>
        </w:tc>
        <w:tc>
          <w:tcPr>
            <w:tcW w:w="4632" w:type="pct"/>
            <w:vAlign w:val="center"/>
          </w:tcPr>
          <w:p>
            <w:pPr>
              <w:rPr>
                <w:rFonts w:ascii="宋体"/>
                <w:kern w:val="0"/>
                <w:szCs w:val="21"/>
              </w:rPr>
            </w:pPr>
            <w:r>
              <w:rPr>
                <w:rFonts w:hint="eastAsia" w:ascii="宋体"/>
                <w:kern w:val="0"/>
                <w:szCs w:val="21"/>
              </w:rPr>
              <w:t>存在串通投标情形（串通投标情形以《中华人民共和国招标投标法实施条例》的规定为准）；</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10</w:t>
            </w:r>
          </w:p>
        </w:tc>
        <w:tc>
          <w:tcPr>
            <w:tcW w:w="4632" w:type="pct"/>
            <w:vAlign w:val="center"/>
          </w:tcPr>
          <w:p>
            <w:pPr>
              <w:rPr>
                <w:rFonts w:ascii="宋体" w:cs="宋体"/>
                <w:kern w:val="0"/>
                <w:szCs w:val="21"/>
              </w:rPr>
            </w:pPr>
            <w:r>
              <w:rPr>
                <w:rFonts w:hint="eastAsia" w:ascii="宋体"/>
                <w:kern w:val="0"/>
                <w:szCs w:val="21"/>
              </w:rPr>
              <w:t>无《参与编制投标文件人员名单》的；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11</w:t>
            </w:r>
          </w:p>
        </w:tc>
        <w:tc>
          <w:tcPr>
            <w:tcW w:w="4632" w:type="pct"/>
            <w:vAlign w:val="center"/>
          </w:tcPr>
          <w:p>
            <w:pPr>
              <w:rPr>
                <w:rFonts w:ascii="宋体"/>
                <w:kern w:val="0"/>
                <w:szCs w:val="21"/>
                <w:u w:val="single"/>
              </w:rPr>
            </w:pPr>
            <w:r>
              <w:rPr>
                <w:rFonts w:hint="eastAsia" w:ascii="宋体"/>
                <w:kern w:val="0"/>
                <w:szCs w:val="21"/>
                <w:u w:val="single"/>
              </w:rPr>
              <w:t>投标人与其他投标人加密打包投标文件电脑机器特征码一致的(以广州公共资源交易中心交易平台评标系统的检索信息为准)。</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1" w:type="pct"/>
            <w:vAlign w:val="center"/>
          </w:tcPr>
          <w:p>
            <w:pPr>
              <w:spacing w:line="360" w:lineRule="auto"/>
              <w:jc w:val="center"/>
              <w:rPr>
                <w:rFonts w:ascii="宋体"/>
                <w:kern w:val="0"/>
                <w:szCs w:val="21"/>
              </w:rPr>
            </w:pPr>
            <w:r>
              <w:rPr>
                <w:rFonts w:hint="eastAsia" w:ascii="宋体"/>
                <w:kern w:val="0"/>
                <w:szCs w:val="21"/>
              </w:rPr>
              <w:t>12</w:t>
            </w:r>
          </w:p>
        </w:tc>
        <w:tc>
          <w:tcPr>
            <w:tcW w:w="4632" w:type="pct"/>
            <w:vAlign w:val="center"/>
          </w:tcPr>
          <w:p>
            <w:pPr>
              <w:rPr>
                <w:rFonts w:ascii="宋体"/>
                <w:kern w:val="0"/>
                <w:szCs w:val="21"/>
                <w:u w:val="single"/>
              </w:rPr>
            </w:pPr>
            <w:r>
              <w:rPr>
                <w:rFonts w:hint="eastAsia" w:ascii="宋体"/>
                <w:kern w:val="0"/>
                <w:szCs w:val="21"/>
                <w:u w:val="single"/>
              </w:rPr>
              <w:t>未按招标文件要求提供投标保证金的。</w:t>
            </w:r>
          </w:p>
        </w:tc>
        <w:tc>
          <w:tcPr>
            <w:tcW w:w="176" w:type="pct"/>
          </w:tcPr>
          <w:p>
            <w:pPr>
              <w:spacing w:line="360" w:lineRule="auto"/>
              <w:ind w:firstLine="420" w:firstLineChars="200"/>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823" w:type="pct"/>
            <w:gridSpan w:val="2"/>
            <w:vAlign w:val="center"/>
          </w:tcPr>
          <w:p>
            <w:pPr>
              <w:spacing w:line="360" w:lineRule="auto"/>
              <w:jc w:val="center"/>
              <w:rPr>
                <w:rFonts w:ascii="宋体"/>
                <w:kern w:val="0"/>
                <w:szCs w:val="21"/>
              </w:rPr>
            </w:pPr>
            <w:r>
              <w:rPr>
                <w:rFonts w:hint="eastAsia" w:ascii="宋体"/>
                <w:kern w:val="0"/>
              </w:rPr>
              <w:t>结论（通过/不通过）</w:t>
            </w:r>
          </w:p>
        </w:tc>
        <w:tc>
          <w:tcPr>
            <w:tcW w:w="176" w:type="pct"/>
          </w:tcPr>
          <w:p>
            <w:pPr>
              <w:spacing w:line="360" w:lineRule="auto"/>
              <w:ind w:firstLine="420" w:firstLineChars="200"/>
              <w:rPr>
                <w:rFonts w:ascii="宋体"/>
                <w:kern w:val="0"/>
                <w:szCs w:val="21"/>
              </w:rPr>
            </w:pPr>
          </w:p>
        </w:tc>
      </w:tr>
    </w:tbl>
    <w:p>
      <w:pPr>
        <w:rPr>
          <w:rFonts w:ascii="宋体" w:cs="宋体"/>
          <w:kern w:val="0"/>
          <w:szCs w:val="21"/>
        </w:rPr>
      </w:pPr>
      <w:r>
        <w:rPr>
          <w:rFonts w:hint="eastAsia" w:ascii="宋体" w:cs="宋体"/>
          <w:kern w:val="0"/>
          <w:szCs w:val="21"/>
        </w:rPr>
        <w:t>注：1.凡出现以上任何一项情形，结论均为无效，否则就为有效。有效的记“○”</w:t>
      </w:r>
      <w:r>
        <w:rPr>
          <w:rFonts w:hint="eastAsia" w:ascii="宋体" w:cs="宋体"/>
          <w:kern w:val="0"/>
          <w:sz w:val="20"/>
          <w:szCs w:val="20"/>
        </w:rPr>
        <w:t>或“√”，</w:t>
      </w:r>
      <w:r>
        <w:rPr>
          <w:rFonts w:hint="eastAsia" w:ascii="宋体" w:cs="宋体"/>
          <w:kern w:val="0"/>
          <w:szCs w:val="21"/>
        </w:rPr>
        <w:t>无效的记“×”，全部审查项目均为有效的，结论为“通过”，否则为“不通过”。</w:t>
      </w:r>
    </w:p>
    <w:p>
      <w:pPr>
        <w:ind w:firstLine="420" w:firstLineChars="200"/>
        <w:rPr>
          <w:rFonts w:ascii="宋体" w:cs="宋体"/>
          <w:smallCaps/>
          <w:kern w:val="0"/>
          <w:szCs w:val="21"/>
        </w:rPr>
      </w:pPr>
      <w:r>
        <w:rPr>
          <w:rFonts w:hint="eastAsia" w:ascii="宋体" w:cs="宋体"/>
          <w:kern w:val="0"/>
          <w:szCs w:val="21"/>
        </w:rPr>
        <w:t>2.如对本表中某种情形的评审意见不一致时，以评审组过半数成员的意见作为评审组对该情形的认定结论。</w:t>
      </w:r>
    </w:p>
    <w:p>
      <w:pPr>
        <w:jc w:val="left"/>
        <w:rPr>
          <w:rFonts w:ascii="宋体"/>
          <w:kern w:val="0"/>
          <w:sz w:val="24"/>
          <w:szCs w:val="24"/>
        </w:rPr>
      </w:pPr>
      <w:r>
        <w:rPr>
          <w:rFonts w:hint="eastAsia" w:ascii="宋体" w:cs="宋体"/>
          <w:kern w:val="0"/>
          <w:szCs w:val="21"/>
        </w:rPr>
        <w:t>评委签名：                   日期：</w:t>
      </w:r>
    </w:p>
    <w:p>
      <w:pPr>
        <w:jc w:val="left"/>
        <w:rPr>
          <w:rFonts w:ascii="宋体"/>
          <w:b/>
          <w:kern w:val="0"/>
          <w:sz w:val="24"/>
          <w:szCs w:val="24"/>
        </w:rPr>
      </w:pPr>
      <w:r>
        <w:rPr>
          <w:rFonts w:hint="eastAsia" w:ascii="宋体"/>
          <w:b/>
          <w:kern w:val="0"/>
          <w:sz w:val="24"/>
          <w:szCs w:val="24"/>
        </w:rPr>
        <w:br w:type="page"/>
      </w:r>
      <w:r>
        <w:rPr>
          <w:rFonts w:hint="eastAsia" w:ascii="宋体"/>
          <w:b/>
          <w:kern w:val="0"/>
          <w:sz w:val="24"/>
          <w:szCs w:val="24"/>
        </w:rPr>
        <w:t>附表3</w:t>
      </w:r>
    </w:p>
    <w:p>
      <w:pPr>
        <w:jc w:val="center"/>
        <w:rPr>
          <w:rFonts w:ascii="宋体" w:cs="宋体"/>
          <w:b/>
          <w:kern w:val="0"/>
          <w:sz w:val="28"/>
          <w:szCs w:val="28"/>
        </w:rPr>
      </w:pPr>
      <w:r>
        <w:rPr>
          <w:rFonts w:hint="eastAsia" w:ascii="宋体" w:cs="宋体"/>
          <w:b/>
          <w:kern w:val="0"/>
          <w:sz w:val="28"/>
          <w:szCs w:val="28"/>
        </w:rPr>
        <w:t>工程总承包实施方案投标文件详细审查评分表</w:t>
      </w:r>
    </w:p>
    <w:tbl>
      <w:tblPr>
        <w:tblStyle w:val="58"/>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36"/>
        <w:gridCol w:w="787"/>
        <w:gridCol w:w="9584"/>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gridSpan w:val="2"/>
            <w:vAlign w:val="center"/>
          </w:tcPr>
          <w:p>
            <w:pPr>
              <w:autoSpaceDE w:val="0"/>
              <w:autoSpaceDN w:val="0"/>
              <w:contextualSpacing/>
              <w:jc w:val="center"/>
              <w:rPr>
                <w:rFonts w:ascii="宋体" w:cs="宋体"/>
                <w:b/>
                <w:bCs/>
                <w:sz w:val="18"/>
                <w:szCs w:val="18"/>
                <w:lang w:val="zh-CN"/>
              </w:rPr>
            </w:pPr>
            <w:r>
              <w:rPr>
                <w:rFonts w:hint="eastAsia" w:ascii="宋体" w:cs="宋体"/>
                <w:b/>
                <w:bCs/>
                <w:sz w:val="18"/>
                <w:szCs w:val="18"/>
                <w:lang w:val="zh-CN"/>
              </w:rPr>
              <w:t>评分项目</w:t>
            </w:r>
          </w:p>
        </w:tc>
        <w:tc>
          <w:tcPr>
            <w:tcW w:w="270" w:type="pct"/>
            <w:vAlign w:val="center"/>
          </w:tcPr>
          <w:p>
            <w:pPr>
              <w:autoSpaceDE w:val="0"/>
              <w:autoSpaceDN w:val="0"/>
              <w:contextualSpacing/>
              <w:jc w:val="center"/>
              <w:rPr>
                <w:rFonts w:ascii="宋体" w:cs="宋体"/>
                <w:b/>
                <w:bCs/>
                <w:sz w:val="18"/>
                <w:szCs w:val="18"/>
                <w:lang w:val="zh-CN"/>
              </w:rPr>
            </w:pPr>
            <w:r>
              <w:rPr>
                <w:rFonts w:hint="eastAsia" w:ascii="宋体" w:cs="宋体"/>
                <w:b/>
                <w:bCs/>
                <w:sz w:val="18"/>
                <w:szCs w:val="18"/>
                <w:lang w:val="zh-CN"/>
              </w:rPr>
              <w:t>分值分配</w:t>
            </w:r>
          </w:p>
        </w:tc>
        <w:tc>
          <w:tcPr>
            <w:tcW w:w="3290" w:type="pct"/>
            <w:vAlign w:val="center"/>
          </w:tcPr>
          <w:p>
            <w:pPr>
              <w:autoSpaceDE w:val="0"/>
              <w:autoSpaceDN w:val="0"/>
              <w:contextualSpacing/>
              <w:jc w:val="center"/>
              <w:rPr>
                <w:rFonts w:ascii="宋体" w:cs="宋体"/>
                <w:b/>
                <w:bCs/>
                <w:sz w:val="18"/>
                <w:szCs w:val="18"/>
                <w:lang w:val="zh-CN"/>
              </w:rPr>
            </w:pPr>
            <w:r>
              <w:rPr>
                <w:rFonts w:hint="eastAsia" w:ascii="宋体" w:cs="宋体"/>
                <w:b/>
                <w:bCs/>
                <w:sz w:val="18"/>
                <w:szCs w:val="18"/>
                <w:lang w:val="zh-CN"/>
              </w:rPr>
              <w:t>内容</w:t>
            </w:r>
          </w:p>
        </w:tc>
        <w:tc>
          <w:tcPr>
            <w:tcW w:w="650" w:type="pct"/>
            <w:vAlign w:val="center"/>
          </w:tcPr>
          <w:p>
            <w:pPr>
              <w:autoSpaceDE w:val="0"/>
              <w:autoSpaceDN w:val="0"/>
              <w:contextualSpacing/>
              <w:jc w:val="center"/>
              <w:rPr>
                <w:rFonts w:ascii="宋体" w:cs="宋体"/>
                <w:b/>
                <w:bCs/>
                <w:sz w:val="18"/>
                <w:szCs w:val="18"/>
                <w:lang w:val="zh-CN"/>
              </w:rPr>
            </w:pPr>
            <w:r>
              <w:rPr>
                <w:rFonts w:hint="eastAsia" w:ascii="宋体" w:cs="宋体"/>
                <w:b/>
                <w:bCs/>
                <w:sz w:val="18"/>
                <w:szCs w:val="1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8"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一、勘察设计单位资信业绩部分（</w:t>
            </w:r>
            <w:r>
              <w:rPr>
                <w:rFonts w:hint="eastAsia" w:ascii="宋体" w:cs="宋体"/>
                <w:bCs/>
                <w:sz w:val="18"/>
                <w:szCs w:val="18"/>
              </w:rPr>
              <w:t>29分</w:t>
            </w:r>
            <w:r>
              <w:rPr>
                <w:rFonts w:hint="eastAsia" w:ascii="宋体" w:cs="宋体"/>
                <w:bCs/>
                <w:sz w:val="18"/>
                <w:szCs w:val="18"/>
                <w:lang w:val="zh-CN"/>
              </w:rPr>
              <w:t>）</w:t>
            </w: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设计单位类似业绩</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[5]</w:t>
            </w:r>
          </w:p>
        </w:tc>
        <w:tc>
          <w:tcPr>
            <w:tcW w:w="3290" w:type="pct"/>
            <w:vAlign w:val="center"/>
          </w:tcPr>
          <w:p>
            <w:pPr>
              <w:autoSpaceDE w:val="0"/>
              <w:autoSpaceDN w:val="0"/>
              <w:contextualSpacing/>
              <w:rPr>
                <w:rFonts w:ascii="宋体" w:cs="宋体"/>
                <w:bCs/>
                <w:sz w:val="18"/>
                <w:szCs w:val="18"/>
                <w:lang w:val="zh-CN"/>
              </w:rPr>
            </w:pPr>
            <w:r>
              <w:rPr>
                <w:rFonts w:hint="eastAsia" w:ascii="宋体" w:cs="宋体"/>
                <w:bCs/>
                <w:sz w:val="18"/>
                <w:szCs w:val="18"/>
                <w:lang w:val="zh-CN"/>
              </w:rPr>
              <w:t>投标人（独立体或联合体设计任意方）</w:t>
            </w:r>
            <w:r>
              <w:rPr>
                <w:rFonts w:ascii="宋体" w:cs="宋体"/>
                <w:bCs/>
                <w:sz w:val="18"/>
                <w:szCs w:val="18"/>
                <w:lang w:val="zh-CN"/>
              </w:rPr>
              <w:t>2017年1月1日至今承接的设计任务</w:t>
            </w:r>
            <w:r>
              <w:rPr>
                <w:rFonts w:hint="eastAsia" w:ascii="宋体" w:cs="宋体"/>
                <w:bCs/>
                <w:sz w:val="18"/>
                <w:szCs w:val="18"/>
                <w:lang w:val="zh-CN"/>
              </w:rPr>
              <w:t>对应</w:t>
            </w:r>
            <w:r>
              <w:rPr>
                <w:rFonts w:hint="eastAsia" w:ascii="宋体" w:cs="宋体"/>
                <w:bCs/>
                <w:sz w:val="18"/>
                <w:szCs w:val="18"/>
              </w:rPr>
              <w:t>合同金额大于5000万元</w:t>
            </w:r>
            <w:r>
              <w:rPr>
                <w:rFonts w:hint="eastAsia" w:ascii="宋体" w:cs="宋体"/>
                <w:bCs/>
                <w:sz w:val="18"/>
                <w:szCs w:val="18"/>
                <w:lang w:val="zh-CN"/>
              </w:rPr>
              <w:t>类似</w:t>
            </w:r>
            <w:r>
              <w:rPr>
                <w:rFonts w:ascii="宋体" w:cs="宋体"/>
                <w:bCs/>
                <w:sz w:val="18"/>
                <w:szCs w:val="18"/>
                <w:lang w:val="zh-CN"/>
              </w:rPr>
              <w:t>业绩：有</w:t>
            </w:r>
            <w:r>
              <w:rPr>
                <w:rFonts w:hint="eastAsia" w:ascii="宋体" w:cs="宋体"/>
                <w:bCs/>
                <w:sz w:val="18"/>
                <w:szCs w:val="18"/>
                <w:lang w:val="zh-CN"/>
              </w:rPr>
              <w:t>类似业绩的，每项</w:t>
            </w:r>
            <w:r>
              <w:rPr>
                <w:rFonts w:ascii="宋体" w:cs="宋体"/>
                <w:bCs/>
                <w:sz w:val="18"/>
                <w:szCs w:val="18"/>
                <w:lang w:val="zh-CN"/>
              </w:rPr>
              <w:t>得 0.5 分</w:t>
            </w:r>
            <w:r>
              <w:rPr>
                <w:rFonts w:hint="eastAsia" w:ascii="宋体" w:cs="宋体"/>
                <w:bCs/>
                <w:sz w:val="18"/>
                <w:szCs w:val="18"/>
                <w:lang w:val="zh-CN"/>
              </w:rPr>
              <w:t xml:space="preserve">，本项最多得 </w:t>
            </w:r>
            <w:r>
              <w:rPr>
                <w:rFonts w:ascii="宋体" w:cs="宋体"/>
                <w:bCs/>
                <w:sz w:val="18"/>
                <w:szCs w:val="18"/>
                <w:lang w:val="zh-CN"/>
              </w:rPr>
              <w:t xml:space="preserve">5 </w:t>
            </w:r>
            <w:r>
              <w:rPr>
                <w:rFonts w:hint="eastAsia" w:ascii="宋体" w:cs="宋体"/>
                <w:bCs/>
                <w:sz w:val="18"/>
                <w:szCs w:val="18"/>
                <w:lang w:val="zh-CN"/>
              </w:rPr>
              <w:t>分。</w:t>
            </w:r>
          </w:p>
          <w:p>
            <w:pPr>
              <w:autoSpaceDE w:val="0"/>
              <w:autoSpaceDN w:val="0"/>
              <w:contextualSpacing/>
              <w:rPr>
                <w:rFonts w:ascii="宋体" w:cs="宋体"/>
                <w:bCs/>
                <w:sz w:val="18"/>
                <w:szCs w:val="18"/>
                <w:lang w:val="zh-CN"/>
              </w:rPr>
            </w:pPr>
            <w:r>
              <w:rPr>
                <w:rFonts w:hint="eastAsia" w:ascii="宋体" w:cs="宋体"/>
                <w:kern w:val="0"/>
                <w:sz w:val="18"/>
                <w:szCs w:val="18"/>
              </w:rPr>
              <w:t>注：①类似工程业绩是指市政污水处理厂的设计业绩或设计施工总承包或勘察设计施工总承包或EPC项目业绩（设计部分）；②需同时提供中标通知书或免招标的证明、合同主要页等证明文件原件扫描件；③时间以合同签订时间为准，金额以合同中载明的金额为准，合同未载明合同金额的，需提供初步设计批复或中标通知书或免招标的证明等相关能够证明项目合同金额的证明材料。</w:t>
            </w:r>
          </w:p>
        </w:tc>
        <w:tc>
          <w:tcPr>
            <w:tcW w:w="650" w:type="pct"/>
            <w:vAlign w:val="center"/>
          </w:tcPr>
          <w:p>
            <w:pPr>
              <w:keepNext/>
              <w:keepLines/>
              <w:autoSpaceDE w:val="0"/>
              <w:autoSpaceDN w:val="0"/>
              <w:contextualSpacing/>
              <w:jc w:val="center"/>
              <w:outlineLvl w:val="2"/>
              <w:rPr>
                <w:rFonts w:ascii="宋体" w:cs="宋体"/>
                <w:bCs/>
                <w:sz w:val="18"/>
                <w:szCs w:val="18"/>
                <w:lang w:val="zh-CN"/>
              </w:rP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设计单位获奖</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[15]</w:t>
            </w:r>
          </w:p>
        </w:tc>
        <w:tc>
          <w:tcPr>
            <w:tcW w:w="3290" w:type="pct"/>
            <w:vAlign w:val="center"/>
          </w:tcPr>
          <w:p>
            <w:pPr>
              <w:autoSpaceDE w:val="0"/>
              <w:autoSpaceDN w:val="0"/>
              <w:contextualSpacing/>
              <w:rPr>
                <w:rFonts w:ascii="宋体" w:cs="宋体"/>
                <w:bCs/>
                <w:sz w:val="18"/>
                <w:szCs w:val="18"/>
                <w:lang w:val="zh-CN"/>
              </w:rPr>
            </w:pPr>
            <w:r>
              <w:rPr>
                <w:rFonts w:ascii="宋体" w:cs="宋体"/>
                <w:bCs/>
                <w:sz w:val="18"/>
                <w:szCs w:val="18"/>
                <w:lang w:val="zh-CN"/>
              </w:rPr>
              <w:t>1、</w:t>
            </w:r>
            <w:r>
              <w:rPr>
                <w:rFonts w:hint="eastAsia" w:ascii="宋体" w:cs="宋体"/>
                <w:bCs/>
                <w:sz w:val="18"/>
                <w:szCs w:val="18"/>
                <w:lang w:val="zh-CN"/>
              </w:rPr>
              <w:t>投标人（独立体或联合体设计任意方）</w:t>
            </w:r>
            <w:r>
              <w:rPr>
                <w:rFonts w:ascii="宋体" w:cs="宋体"/>
                <w:bCs/>
                <w:sz w:val="18"/>
                <w:szCs w:val="18"/>
                <w:lang w:val="zh-CN"/>
              </w:rPr>
              <w:t>2017年1月1日至今有市政</w:t>
            </w:r>
            <w:r>
              <w:rPr>
                <w:rFonts w:hint="eastAsia" w:ascii="宋体" w:cs="宋体"/>
                <w:bCs/>
                <w:sz w:val="18"/>
                <w:szCs w:val="18"/>
                <w:lang w:val="zh-CN"/>
              </w:rPr>
              <w:t>污水处理厂(含用于市政污水处理的水质净化厂、水质净化中心、再生水厂、生态中心)设计项目荣获国家级奖项每项得</w:t>
            </w:r>
            <w:r>
              <w:rPr>
                <w:rFonts w:ascii="宋体" w:cs="宋体"/>
                <w:bCs/>
                <w:sz w:val="18"/>
                <w:szCs w:val="18"/>
                <w:lang w:val="zh-CN"/>
              </w:rPr>
              <w:t xml:space="preserve"> 3 </w:t>
            </w:r>
            <w:r>
              <w:rPr>
                <w:rFonts w:hint="eastAsia" w:ascii="宋体" w:cs="宋体"/>
                <w:bCs/>
                <w:sz w:val="18"/>
                <w:szCs w:val="18"/>
                <w:lang w:val="zh-CN"/>
              </w:rPr>
              <w:t>分；获省部级奖项，每项得</w:t>
            </w:r>
            <w:r>
              <w:rPr>
                <w:rFonts w:ascii="宋体" w:cs="宋体"/>
                <w:bCs/>
                <w:sz w:val="18"/>
                <w:szCs w:val="18"/>
                <w:lang w:val="zh-CN"/>
              </w:rPr>
              <w:t xml:space="preserve"> 1 </w:t>
            </w:r>
            <w:r>
              <w:rPr>
                <w:rFonts w:hint="eastAsia" w:ascii="宋体" w:cs="宋体"/>
                <w:bCs/>
                <w:sz w:val="18"/>
                <w:szCs w:val="18"/>
                <w:lang w:val="zh-CN"/>
              </w:rPr>
              <w:t>分；获市（副省级）奖项，每项得</w:t>
            </w:r>
            <w:r>
              <w:rPr>
                <w:rFonts w:ascii="宋体" w:cs="宋体"/>
                <w:bCs/>
                <w:sz w:val="18"/>
                <w:szCs w:val="18"/>
                <w:lang w:val="zh-CN"/>
              </w:rPr>
              <w:t xml:space="preserve"> 0.5 </w:t>
            </w:r>
            <w:r>
              <w:rPr>
                <w:rFonts w:hint="eastAsia" w:ascii="宋体" w:cs="宋体"/>
                <w:bCs/>
                <w:sz w:val="18"/>
                <w:szCs w:val="18"/>
                <w:lang w:val="zh-CN"/>
              </w:rPr>
              <w:t xml:space="preserve">分，本小项最多得 </w:t>
            </w:r>
            <w:r>
              <w:rPr>
                <w:rFonts w:ascii="宋体" w:cs="宋体"/>
                <w:bCs/>
                <w:sz w:val="18"/>
                <w:szCs w:val="18"/>
                <w:lang w:val="zh-CN"/>
              </w:rPr>
              <w:t>10 分</w:t>
            </w:r>
            <w:r>
              <w:rPr>
                <w:rFonts w:hint="eastAsia" w:ascii="宋体" w:cs="宋体"/>
                <w:bCs/>
                <w:sz w:val="18"/>
                <w:szCs w:val="18"/>
                <w:lang w:val="zh-CN"/>
              </w:rPr>
              <w:t>。</w:t>
            </w:r>
          </w:p>
          <w:p>
            <w:pPr>
              <w:autoSpaceDE w:val="0"/>
              <w:autoSpaceDN w:val="0"/>
              <w:contextualSpacing/>
              <w:rPr>
                <w:rFonts w:ascii="宋体" w:cs="宋体"/>
                <w:bCs/>
                <w:sz w:val="18"/>
                <w:szCs w:val="18"/>
                <w:lang w:val="zh-CN"/>
              </w:rPr>
            </w:pPr>
            <w:r>
              <w:rPr>
                <w:rFonts w:hint="eastAsia" w:ascii="宋体" w:cs="宋体"/>
                <w:bCs/>
                <w:sz w:val="18"/>
                <w:szCs w:val="18"/>
                <w:lang w:val="zh-CN"/>
              </w:rPr>
              <w:t>2、投标人（独立体或联合体设计任意方）</w:t>
            </w:r>
            <w:r>
              <w:rPr>
                <w:rFonts w:ascii="宋体" w:cs="宋体"/>
                <w:bCs/>
                <w:sz w:val="18"/>
                <w:szCs w:val="18"/>
                <w:lang w:val="zh-CN"/>
              </w:rPr>
              <w:t>2017年1月1日至今荣获过国务院颁发的国家科学技术进步奖的得</w:t>
            </w:r>
            <w:r>
              <w:rPr>
                <w:rFonts w:hint="eastAsia" w:ascii="宋体" w:cs="宋体"/>
                <w:bCs/>
                <w:sz w:val="18"/>
                <w:szCs w:val="18"/>
                <w:lang w:val="zh-CN"/>
              </w:rPr>
              <w:t xml:space="preserve"> </w:t>
            </w:r>
            <w:r>
              <w:rPr>
                <w:rFonts w:ascii="宋体" w:cs="宋体"/>
                <w:bCs/>
                <w:sz w:val="18"/>
                <w:szCs w:val="18"/>
                <w:lang w:val="zh-CN"/>
              </w:rPr>
              <w:t xml:space="preserve">3 </w:t>
            </w:r>
            <w:r>
              <w:rPr>
                <w:rFonts w:hint="eastAsia" w:ascii="宋体" w:cs="宋体"/>
                <w:bCs/>
                <w:sz w:val="18"/>
                <w:szCs w:val="18"/>
                <w:lang w:val="zh-CN"/>
              </w:rPr>
              <w:t>分，获省级人民政府颁发的省级科学技术进步奖的，每项得</w:t>
            </w:r>
            <w:r>
              <w:rPr>
                <w:rFonts w:ascii="宋体" w:cs="宋体"/>
                <w:bCs/>
                <w:sz w:val="18"/>
                <w:szCs w:val="18"/>
                <w:lang w:val="zh-CN"/>
              </w:rPr>
              <w:t xml:space="preserve"> 1 </w:t>
            </w:r>
            <w:r>
              <w:rPr>
                <w:rFonts w:hint="eastAsia" w:ascii="宋体" w:cs="宋体"/>
                <w:bCs/>
                <w:sz w:val="18"/>
                <w:szCs w:val="18"/>
                <w:lang w:val="zh-CN"/>
              </w:rPr>
              <w:t>分；获市级人民政府颁发的市级科学技术进步奖的，每项得</w:t>
            </w:r>
            <w:r>
              <w:rPr>
                <w:rFonts w:ascii="宋体" w:cs="宋体"/>
                <w:bCs/>
                <w:sz w:val="18"/>
                <w:szCs w:val="18"/>
                <w:lang w:val="zh-CN"/>
              </w:rPr>
              <w:t xml:space="preserve"> 0.5 </w:t>
            </w:r>
            <w:r>
              <w:rPr>
                <w:rFonts w:hint="eastAsia" w:ascii="宋体" w:cs="宋体"/>
                <w:bCs/>
                <w:sz w:val="18"/>
                <w:szCs w:val="18"/>
                <w:lang w:val="zh-CN"/>
              </w:rPr>
              <w:t xml:space="preserve">分；本小项最多得 </w:t>
            </w:r>
            <w:r>
              <w:rPr>
                <w:rFonts w:ascii="宋体" w:cs="宋体"/>
                <w:bCs/>
                <w:sz w:val="18"/>
                <w:szCs w:val="18"/>
                <w:lang w:val="zh-CN"/>
              </w:rPr>
              <w:t>3 分</w:t>
            </w:r>
            <w:r>
              <w:rPr>
                <w:rFonts w:hint="eastAsia" w:ascii="宋体" w:cs="宋体"/>
                <w:bCs/>
                <w:sz w:val="18"/>
                <w:szCs w:val="18"/>
                <w:lang w:val="zh-CN"/>
              </w:rPr>
              <w:t>。</w:t>
            </w:r>
          </w:p>
          <w:p>
            <w:pPr>
              <w:autoSpaceDE w:val="0"/>
              <w:autoSpaceDN w:val="0"/>
              <w:contextualSpacing/>
              <w:rPr>
                <w:rFonts w:ascii="宋体" w:cs="宋体"/>
                <w:bCs/>
                <w:sz w:val="18"/>
                <w:szCs w:val="18"/>
                <w:lang w:val="zh-CN"/>
              </w:rPr>
            </w:pPr>
            <w:r>
              <w:rPr>
                <w:rFonts w:hint="eastAsia" w:ascii="宋体" w:cs="宋体"/>
                <w:bCs/>
                <w:sz w:val="18"/>
                <w:szCs w:val="18"/>
                <w:lang w:val="zh-CN"/>
              </w:rPr>
              <w:t xml:space="preserve">3、投标人（独立体或联合体设计任意方）具有中国质量协会颁发的全国质量奖的得 </w:t>
            </w:r>
            <w:r>
              <w:rPr>
                <w:rFonts w:ascii="宋体" w:cs="宋体"/>
                <w:bCs/>
                <w:sz w:val="18"/>
                <w:szCs w:val="18"/>
                <w:lang w:val="zh-CN"/>
              </w:rPr>
              <w:t xml:space="preserve">2 </w:t>
            </w:r>
            <w:r>
              <w:rPr>
                <w:rFonts w:hint="eastAsia" w:ascii="宋体" w:cs="宋体"/>
                <w:bCs/>
                <w:sz w:val="18"/>
                <w:szCs w:val="18"/>
                <w:lang w:val="zh-CN"/>
              </w:rPr>
              <w:t xml:space="preserve">分。本小项最多得 </w:t>
            </w:r>
            <w:r>
              <w:rPr>
                <w:rFonts w:ascii="宋体" w:cs="宋体"/>
                <w:bCs/>
                <w:sz w:val="18"/>
                <w:szCs w:val="18"/>
                <w:lang w:val="zh-CN"/>
              </w:rPr>
              <w:t xml:space="preserve">2 </w:t>
            </w:r>
            <w:r>
              <w:rPr>
                <w:rFonts w:hint="eastAsia" w:ascii="宋体" w:cs="宋体"/>
                <w:bCs/>
                <w:sz w:val="18"/>
                <w:szCs w:val="18"/>
                <w:lang w:val="zh-CN"/>
              </w:rPr>
              <w:t>分。</w:t>
            </w:r>
          </w:p>
          <w:p>
            <w:pPr>
              <w:autoSpaceDE w:val="0"/>
              <w:autoSpaceDN w:val="0"/>
              <w:contextualSpacing/>
              <w:rPr>
                <w:rFonts w:ascii="宋体" w:cs="宋体"/>
                <w:bCs/>
                <w:sz w:val="18"/>
                <w:szCs w:val="18"/>
                <w:lang w:val="zh-CN"/>
              </w:rPr>
            </w:pPr>
            <w:r>
              <w:rPr>
                <w:rFonts w:hint="eastAsia" w:ascii="宋体" w:cs="宋体"/>
                <w:bCs/>
                <w:sz w:val="18"/>
                <w:szCs w:val="18"/>
                <w:lang w:val="zh-CN"/>
              </w:rPr>
              <w:t>提供相关证明文件复印件并加盖公章。</w:t>
            </w:r>
          </w:p>
          <w:p>
            <w:pPr>
              <w:autoSpaceDE w:val="0"/>
              <w:autoSpaceDN w:val="0"/>
              <w:contextualSpacing/>
              <w:rPr>
                <w:rFonts w:ascii="宋体" w:cs="宋体"/>
                <w:bCs/>
                <w:sz w:val="18"/>
                <w:szCs w:val="18"/>
                <w:lang w:val="zh-CN"/>
              </w:rPr>
            </w:pPr>
            <w:r>
              <w:rPr>
                <w:rFonts w:hint="eastAsia" w:ascii="宋体" w:cs="宋体"/>
                <w:bCs/>
                <w:sz w:val="18"/>
                <w:szCs w:val="18"/>
                <w:lang w:val="zh-CN"/>
              </w:rPr>
              <w:t>注：①以上奖项合计最多得</w:t>
            </w:r>
            <w:r>
              <w:rPr>
                <w:rFonts w:ascii="宋体" w:cs="宋体"/>
                <w:bCs/>
                <w:sz w:val="18"/>
                <w:szCs w:val="18"/>
                <w:lang w:val="zh-CN"/>
              </w:rPr>
              <w:t xml:space="preserve"> 15 </w:t>
            </w:r>
            <w:r>
              <w:rPr>
                <w:rFonts w:hint="eastAsia" w:ascii="宋体" w:cs="宋体"/>
                <w:bCs/>
                <w:sz w:val="18"/>
                <w:szCs w:val="18"/>
                <w:lang w:val="zh-CN"/>
              </w:rPr>
              <w:t>分；②</w:t>
            </w:r>
            <w:r>
              <w:rPr>
                <w:rFonts w:ascii="宋体" w:cs="宋体"/>
                <w:bCs/>
                <w:sz w:val="18"/>
                <w:szCs w:val="18"/>
                <w:lang w:val="zh-CN"/>
              </w:rPr>
              <w:t>获奖奖项由住建部颁发的全国优秀工程勘察设计奖、</w:t>
            </w:r>
            <w:r>
              <w:rPr>
                <w:rFonts w:hint="eastAsia" w:ascii="宋体" w:cs="宋体"/>
                <w:bCs/>
                <w:sz w:val="18"/>
                <w:szCs w:val="18"/>
                <w:lang w:val="zh-CN"/>
              </w:rPr>
              <w:t>中国勘察设计协会颁发的全国优秀工程勘察设计行业奖、中国勘察设计协会颁发的行业优秀勘察设计奖、省（部）级（含副省级）</w:t>
            </w:r>
            <w:r>
              <w:rPr>
                <w:rFonts w:ascii="宋体" w:cs="宋体"/>
                <w:bCs/>
                <w:sz w:val="18"/>
                <w:szCs w:val="18"/>
                <w:lang w:val="zh-CN"/>
              </w:rPr>
              <w:t>行业协会颁发的</w:t>
            </w:r>
            <w:r>
              <w:rPr>
                <w:rFonts w:hint="eastAsia" w:ascii="宋体" w:cs="宋体"/>
                <w:bCs/>
                <w:sz w:val="18"/>
                <w:szCs w:val="18"/>
                <w:lang w:val="zh-CN"/>
              </w:rPr>
              <w:t>省部级（含副省级）</w:t>
            </w:r>
            <w:r>
              <w:rPr>
                <w:rFonts w:ascii="宋体" w:cs="宋体"/>
                <w:bCs/>
                <w:sz w:val="18"/>
                <w:szCs w:val="18"/>
                <w:lang w:val="zh-CN"/>
              </w:rPr>
              <w:t>优秀勘察设计奖</w:t>
            </w:r>
            <w:r>
              <w:rPr>
                <w:rFonts w:hint="eastAsia" w:ascii="宋体" w:cs="宋体"/>
                <w:bCs/>
                <w:sz w:val="18"/>
                <w:szCs w:val="18"/>
                <w:lang w:val="zh-CN"/>
              </w:rPr>
              <w:t>；③时间以获奖证书载明发证日期为准；④同一个项目获多个奖项的只按最高奖项计分，不重复计算。</w:t>
            </w:r>
          </w:p>
        </w:tc>
        <w:tc>
          <w:tcPr>
            <w:tcW w:w="650" w:type="pct"/>
            <w:vAlign w:val="center"/>
          </w:tcPr>
          <w:p>
            <w:pPr>
              <w:keepNext/>
              <w:keepLines/>
              <w:autoSpaceDE w:val="0"/>
              <w:autoSpaceDN w:val="0"/>
              <w:contextualSpacing/>
              <w:jc w:val="center"/>
              <w:outlineLvl w:val="2"/>
              <w:rPr>
                <w:rFonts w:ascii="宋体" w:cs="宋体"/>
                <w:bCs/>
                <w:sz w:val="18"/>
                <w:szCs w:val="18"/>
                <w:lang w:val="zh-CN"/>
              </w:rP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人员配备及技术水平</w:t>
            </w:r>
          </w:p>
        </w:tc>
        <w:tc>
          <w:tcPr>
            <w:tcW w:w="270" w:type="pct"/>
            <w:vMerge w:val="restar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[5]</w:t>
            </w:r>
          </w:p>
        </w:tc>
        <w:tc>
          <w:tcPr>
            <w:tcW w:w="3290" w:type="pct"/>
            <w:vAlign w:val="center"/>
          </w:tcPr>
          <w:p>
            <w:pPr>
              <w:topLinePunct/>
              <w:contextualSpacing/>
              <w:rPr>
                <w:rFonts w:ascii="宋体" w:cs="宋体"/>
                <w:bCs/>
                <w:sz w:val="18"/>
                <w:szCs w:val="18"/>
                <w:lang w:val="zh-CN"/>
              </w:rPr>
            </w:pPr>
            <w:r>
              <w:rPr>
                <w:rFonts w:ascii="宋体" w:cs="宋体"/>
                <w:bCs/>
                <w:sz w:val="18"/>
                <w:szCs w:val="18"/>
                <w:lang w:val="zh-CN"/>
              </w:rPr>
              <w:t>1、</w:t>
            </w:r>
            <w:r>
              <w:rPr>
                <w:rFonts w:hint="eastAsia" w:ascii="宋体" w:cs="宋体"/>
                <w:bCs/>
                <w:sz w:val="18"/>
                <w:szCs w:val="18"/>
                <w:lang w:val="zh-CN"/>
              </w:rPr>
              <w:t>项目</w:t>
            </w:r>
            <w:r>
              <w:rPr>
                <w:rFonts w:ascii="宋体" w:cs="宋体"/>
                <w:bCs/>
                <w:sz w:val="18"/>
                <w:szCs w:val="18"/>
                <w:lang w:val="zh-CN"/>
              </w:rPr>
              <w:t>负责人设计经历及业务能力：</w:t>
            </w:r>
          </w:p>
          <w:p>
            <w:pPr>
              <w:autoSpaceDE w:val="0"/>
              <w:autoSpaceDN w:val="0"/>
              <w:contextualSpacing/>
              <w:rPr>
                <w:rFonts w:ascii="宋体" w:cs="宋体"/>
                <w:bCs/>
                <w:sz w:val="18"/>
                <w:szCs w:val="18"/>
                <w:lang w:val="zh-CN"/>
              </w:rPr>
            </w:pPr>
            <w:r>
              <w:rPr>
                <w:rFonts w:hint="eastAsia" w:ascii="宋体" w:cs="宋体"/>
                <w:bCs/>
                <w:sz w:val="18"/>
                <w:szCs w:val="18"/>
                <w:lang w:val="zh-CN"/>
              </w:rPr>
              <w:t>设计经历在</w:t>
            </w:r>
            <w:r>
              <w:rPr>
                <w:rFonts w:ascii="宋体" w:cs="宋体"/>
                <w:bCs/>
                <w:sz w:val="18"/>
                <w:szCs w:val="18"/>
                <w:lang w:val="zh-CN"/>
              </w:rPr>
              <w:t>20</w:t>
            </w:r>
            <w:r>
              <w:rPr>
                <w:rFonts w:hint="eastAsia" w:ascii="宋体" w:cs="宋体"/>
                <w:bCs/>
                <w:sz w:val="18"/>
                <w:szCs w:val="18"/>
                <w:lang w:val="en-US" w:eastAsia="zh-CN"/>
              </w:rPr>
              <w:t>或</w:t>
            </w:r>
            <w:r>
              <w:rPr>
                <w:rFonts w:hint="eastAsia" w:ascii="宋体" w:cs="宋体"/>
                <w:bCs/>
                <w:sz w:val="18"/>
                <w:szCs w:val="18"/>
                <w:lang w:val="zh-CN"/>
              </w:rPr>
              <w:t>年以上，具备给水排水正高级工程师职称的得</w:t>
            </w:r>
            <w:r>
              <w:rPr>
                <w:rFonts w:ascii="宋体" w:cs="宋体"/>
                <w:bCs/>
                <w:sz w:val="18"/>
                <w:szCs w:val="18"/>
                <w:lang w:val="zh-CN"/>
              </w:rPr>
              <w:t>1</w:t>
            </w:r>
            <w:r>
              <w:rPr>
                <w:rFonts w:hint="eastAsia" w:ascii="宋体" w:cs="宋体"/>
                <w:bCs/>
                <w:sz w:val="18"/>
                <w:szCs w:val="18"/>
                <w:lang w:val="zh-CN"/>
              </w:rPr>
              <w:t xml:space="preserve">分，在此基础上参与的设计项目每增加一个获得过国家级奖项的得 </w:t>
            </w:r>
            <w:r>
              <w:rPr>
                <w:rFonts w:ascii="宋体" w:cs="宋体"/>
                <w:bCs/>
                <w:sz w:val="18"/>
                <w:szCs w:val="18"/>
                <w:lang w:val="zh-CN"/>
              </w:rPr>
              <w:t>1 分</w:t>
            </w:r>
            <w:r>
              <w:rPr>
                <w:rFonts w:hint="eastAsia" w:ascii="宋体" w:cs="宋体"/>
                <w:bCs/>
                <w:sz w:val="18"/>
                <w:szCs w:val="18"/>
                <w:lang w:val="zh-CN"/>
              </w:rPr>
              <w:t xml:space="preserve">。本小项最多得 </w:t>
            </w:r>
            <w:r>
              <w:rPr>
                <w:rFonts w:ascii="宋体" w:cs="宋体"/>
                <w:bCs/>
                <w:sz w:val="18"/>
                <w:szCs w:val="18"/>
                <w:lang w:val="zh-CN"/>
              </w:rPr>
              <w:t xml:space="preserve">3 </w:t>
            </w:r>
            <w:r>
              <w:rPr>
                <w:rFonts w:hint="eastAsia" w:ascii="宋体" w:cs="宋体"/>
                <w:bCs/>
                <w:sz w:val="18"/>
                <w:szCs w:val="18"/>
                <w:lang w:val="zh-CN"/>
              </w:rPr>
              <w:t>分。</w:t>
            </w:r>
          </w:p>
          <w:p>
            <w:pPr>
              <w:autoSpaceDE w:val="0"/>
              <w:autoSpaceDN w:val="0"/>
              <w:contextualSpacing/>
              <w:rPr>
                <w:rFonts w:ascii="宋体" w:cs="宋体"/>
                <w:bCs/>
                <w:sz w:val="18"/>
                <w:szCs w:val="18"/>
                <w:lang w:val="zh-CN"/>
              </w:rPr>
            </w:pPr>
            <w:r>
              <w:rPr>
                <w:rFonts w:hint="eastAsia" w:ascii="宋体" w:cs="宋体"/>
                <w:bCs/>
                <w:sz w:val="18"/>
                <w:szCs w:val="18"/>
                <w:lang w:val="zh-CN"/>
              </w:rPr>
              <w:t xml:space="preserve">（注：① </w:t>
            </w:r>
            <w:r>
              <w:rPr>
                <w:rFonts w:ascii="宋体" w:cs="宋体"/>
                <w:bCs/>
                <w:sz w:val="18"/>
                <w:szCs w:val="18"/>
                <w:lang w:val="zh-CN"/>
              </w:rPr>
              <w:t>所提供的投入人员必须为投标单位人员，以提供</w:t>
            </w:r>
            <w:r>
              <w:rPr>
                <w:rFonts w:hint="eastAsia" w:ascii="宋体" w:cs="宋体"/>
                <w:bCs/>
                <w:sz w:val="18"/>
                <w:szCs w:val="18"/>
                <w:lang w:val="zh-CN"/>
              </w:rPr>
              <w:t>本项目开标截止前近一个月</w:t>
            </w:r>
            <w:r>
              <w:rPr>
                <w:rFonts w:ascii="宋体" w:cs="宋体"/>
                <w:bCs/>
                <w:sz w:val="18"/>
                <w:szCs w:val="18"/>
                <w:lang w:val="zh-CN"/>
              </w:rPr>
              <w:t>社保证明为准。</w:t>
            </w:r>
            <w:r>
              <w:rPr>
                <w:rFonts w:hint="eastAsia" w:ascii="宋体" w:cs="宋体"/>
                <w:bCs/>
                <w:sz w:val="18"/>
                <w:szCs w:val="18"/>
                <w:lang w:val="zh-CN"/>
              </w:rPr>
              <w:t>②</w:t>
            </w:r>
            <w:r>
              <w:rPr>
                <w:rFonts w:ascii="宋体" w:cs="宋体"/>
                <w:bCs/>
                <w:sz w:val="18"/>
                <w:szCs w:val="18"/>
                <w:lang w:val="zh-CN"/>
              </w:rPr>
              <w:t>每个项目只能按最高奖得分。</w:t>
            </w:r>
            <w:r>
              <w:rPr>
                <w:rFonts w:hint="eastAsia" w:ascii="宋体" w:cs="宋体"/>
                <w:bCs/>
                <w:sz w:val="18"/>
                <w:szCs w:val="18"/>
                <w:lang w:val="zh-CN"/>
              </w:rPr>
              <w:t xml:space="preserve">③ </w:t>
            </w:r>
            <w:r>
              <w:rPr>
                <w:rFonts w:ascii="宋体" w:cs="宋体"/>
                <w:bCs/>
                <w:sz w:val="18"/>
                <w:szCs w:val="18"/>
                <w:lang w:val="zh-CN"/>
              </w:rPr>
              <w:t>工作年限以毕业证注明时间为准</w:t>
            </w:r>
            <w:r>
              <w:rPr>
                <w:rFonts w:hint="eastAsia" w:ascii="宋体" w:cs="宋体"/>
                <w:bCs/>
                <w:sz w:val="18"/>
                <w:szCs w:val="18"/>
                <w:lang w:val="zh-CN"/>
              </w:rPr>
              <w:t>）。</w:t>
            </w:r>
          </w:p>
        </w:tc>
        <w:tc>
          <w:tcPr>
            <w:tcW w:w="650" w:type="pct"/>
            <w:vAlign w:val="center"/>
          </w:tcPr>
          <w:p>
            <w:pPr>
              <w:keepNext/>
              <w:keepLines/>
              <w:autoSpaceDE w:val="0"/>
              <w:autoSpaceDN w:val="0"/>
              <w:contextualSpacing/>
              <w:jc w:val="center"/>
              <w:outlineLvl w:val="2"/>
              <w:rPr>
                <w:rFonts w:ascii="宋体" w:cs="宋体"/>
                <w:bCs/>
                <w:sz w:val="18"/>
                <w:szCs w:val="18"/>
                <w:lang w:val="zh-CN"/>
              </w:rP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Merge w:val="continue"/>
            <w:vAlign w:val="center"/>
          </w:tcPr>
          <w:p/>
        </w:tc>
        <w:tc>
          <w:tcPr>
            <w:tcW w:w="270" w:type="pct"/>
            <w:vMerge w:val="continue"/>
            <w:vAlign w:val="center"/>
          </w:tcPr>
          <w:p/>
        </w:tc>
        <w:tc>
          <w:tcPr>
            <w:tcW w:w="3290" w:type="pct"/>
            <w:vAlign w:val="center"/>
          </w:tcPr>
          <w:p>
            <w:pPr>
              <w:topLinePunct/>
              <w:contextualSpacing/>
              <w:rPr>
                <w:rFonts w:ascii="宋体" w:cs="宋体"/>
                <w:bCs/>
                <w:sz w:val="18"/>
                <w:szCs w:val="18"/>
                <w:lang w:val="zh-CN"/>
              </w:rPr>
            </w:pPr>
            <w:r>
              <w:rPr>
                <w:rFonts w:ascii="宋体" w:cs="宋体"/>
                <w:bCs/>
                <w:sz w:val="18"/>
                <w:szCs w:val="18"/>
                <w:lang w:val="zh-CN"/>
              </w:rPr>
              <w:t>2、</w:t>
            </w:r>
            <w:r>
              <w:rPr>
                <w:rFonts w:hint="eastAsia" w:ascii="宋体" w:cs="宋体"/>
                <w:bCs/>
                <w:sz w:val="18"/>
                <w:szCs w:val="18"/>
                <w:lang w:val="zh-CN"/>
              </w:rPr>
              <w:t>各专业负责人</w:t>
            </w:r>
            <w:r>
              <w:rPr>
                <w:rFonts w:ascii="宋体" w:cs="宋体"/>
                <w:bCs/>
                <w:sz w:val="18"/>
                <w:szCs w:val="18"/>
                <w:lang w:val="zh-CN"/>
              </w:rPr>
              <w:t xml:space="preserve">设计经历及业务能力： </w:t>
            </w:r>
          </w:p>
          <w:p>
            <w:pPr>
              <w:topLinePunct/>
              <w:contextualSpacing/>
              <w:rPr>
                <w:rFonts w:ascii="宋体" w:cs="宋体"/>
                <w:bCs/>
                <w:sz w:val="18"/>
                <w:szCs w:val="18"/>
                <w:lang w:val="zh-CN"/>
              </w:rPr>
            </w:pPr>
            <w:r>
              <w:rPr>
                <w:rFonts w:hint="eastAsia" w:ascii="宋体" w:cs="宋体"/>
                <w:bCs/>
                <w:sz w:val="18"/>
                <w:szCs w:val="18"/>
                <w:lang w:val="zh-CN"/>
              </w:rPr>
              <w:t>专业负责人分别具备结构、建筑、电气、给排水、概预算专业，各</w:t>
            </w:r>
            <w:r>
              <w:rPr>
                <w:rFonts w:ascii="宋体" w:cs="宋体"/>
                <w:bCs/>
                <w:sz w:val="18"/>
                <w:szCs w:val="18"/>
                <w:lang w:val="zh-CN"/>
              </w:rPr>
              <w:t>专业负责人</w:t>
            </w:r>
            <w:r>
              <w:rPr>
                <w:rFonts w:hint="eastAsia" w:ascii="宋体" w:cs="宋体"/>
                <w:bCs/>
                <w:sz w:val="18"/>
                <w:szCs w:val="18"/>
                <w:lang w:val="zh-CN"/>
              </w:rPr>
              <w:t xml:space="preserve">为高级职称或以上且具备本专业注册资格的得 </w:t>
            </w:r>
            <w:r>
              <w:rPr>
                <w:rFonts w:ascii="宋体" w:cs="宋体"/>
                <w:bCs/>
                <w:sz w:val="18"/>
                <w:szCs w:val="18"/>
                <w:lang w:val="zh-CN"/>
              </w:rPr>
              <w:t xml:space="preserve">2 </w:t>
            </w:r>
            <w:r>
              <w:rPr>
                <w:rFonts w:hint="eastAsia" w:ascii="宋体" w:cs="宋体"/>
                <w:bCs/>
                <w:sz w:val="18"/>
                <w:szCs w:val="18"/>
                <w:lang w:val="zh-CN"/>
              </w:rPr>
              <w:t xml:space="preserve">分，只具备高级职称或以上或具备本专业注册资格的得 </w:t>
            </w:r>
            <w:r>
              <w:rPr>
                <w:rFonts w:ascii="宋体" w:cs="宋体"/>
                <w:bCs/>
                <w:sz w:val="18"/>
                <w:szCs w:val="18"/>
                <w:lang w:val="zh-CN"/>
              </w:rPr>
              <w:t xml:space="preserve">1 </w:t>
            </w:r>
            <w:r>
              <w:rPr>
                <w:rFonts w:hint="eastAsia" w:ascii="宋体" w:cs="宋体"/>
                <w:bCs/>
                <w:sz w:val="18"/>
                <w:szCs w:val="18"/>
                <w:lang w:val="zh-CN"/>
              </w:rPr>
              <w:t>分，本项最多</w:t>
            </w:r>
            <w:r>
              <w:rPr>
                <w:rFonts w:ascii="宋体" w:cs="宋体"/>
                <w:bCs/>
                <w:sz w:val="18"/>
                <w:szCs w:val="18"/>
                <w:lang w:val="zh-CN"/>
              </w:rPr>
              <w:t xml:space="preserve"> 2 </w:t>
            </w:r>
            <w:r>
              <w:rPr>
                <w:rFonts w:hint="eastAsia" w:ascii="宋体" w:cs="宋体"/>
                <w:bCs/>
                <w:sz w:val="18"/>
                <w:szCs w:val="18"/>
                <w:lang w:val="zh-CN"/>
              </w:rPr>
              <w:t>分。</w:t>
            </w:r>
          </w:p>
          <w:p>
            <w:pPr>
              <w:topLinePunct/>
              <w:contextualSpacing/>
              <w:rPr>
                <w:rFonts w:ascii="宋体" w:cs="宋体"/>
                <w:bCs/>
                <w:sz w:val="18"/>
                <w:szCs w:val="18"/>
                <w:lang w:val="zh-CN"/>
              </w:rPr>
            </w:pPr>
            <w:r>
              <w:rPr>
                <w:rFonts w:ascii="宋体" w:cs="宋体"/>
                <w:bCs/>
                <w:sz w:val="18"/>
                <w:szCs w:val="18"/>
                <w:lang w:val="zh-CN"/>
              </w:rPr>
              <w:t>（</w:t>
            </w:r>
            <w:r>
              <w:rPr>
                <w:rFonts w:hint="eastAsia" w:ascii="宋体" w:cs="宋体"/>
                <w:bCs/>
                <w:sz w:val="18"/>
                <w:szCs w:val="18"/>
                <w:lang w:val="zh-CN"/>
              </w:rPr>
              <w:t>注：</w:t>
            </w:r>
            <w:r>
              <w:rPr>
                <w:rFonts w:ascii="宋体" w:cs="宋体"/>
                <w:bCs/>
                <w:sz w:val="18"/>
                <w:szCs w:val="18"/>
                <w:lang w:val="zh-CN"/>
              </w:rPr>
              <w:t>所提供的投入人员必须为投标单位人员，以提供</w:t>
            </w:r>
            <w:r>
              <w:rPr>
                <w:rFonts w:hint="eastAsia" w:ascii="宋体" w:cs="宋体"/>
                <w:bCs/>
                <w:sz w:val="18"/>
                <w:szCs w:val="18"/>
                <w:lang w:val="zh-CN"/>
              </w:rPr>
              <w:t>本项目开标截止前近一个</w:t>
            </w:r>
            <w:r>
              <w:rPr>
                <w:rFonts w:ascii="宋体" w:cs="宋体"/>
                <w:bCs/>
                <w:sz w:val="18"/>
                <w:szCs w:val="18"/>
                <w:lang w:val="zh-CN"/>
              </w:rPr>
              <w:t>月社保证明为准</w:t>
            </w:r>
            <w:r>
              <w:rPr>
                <w:rFonts w:hint="eastAsia" w:ascii="宋体" w:cs="宋体"/>
                <w:bCs/>
                <w:sz w:val="18"/>
                <w:szCs w:val="18"/>
                <w:lang w:val="zh-CN"/>
              </w:rPr>
              <w:t>。</w:t>
            </w:r>
            <w:r>
              <w:rPr>
                <w:rFonts w:ascii="宋体" w:cs="宋体"/>
                <w:bCs/>
                <w:sz w:val="18"/>
                <w:szCs w:val="18"/>
                <w:lang w:val="zh-CN"/>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信誉及荣誉</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[4]</w:t>
            </w:r>
          </w:p>
        </w:tc>
        <w:tc>
          <w:tcPr>
            <w:tcW w:w="3290" w:type="pct"/>
            <w:vAlign w:val="center"/>
          </w:tcPr>
          <w:p>
            <w:pPr>
              <w:topLinePunct/>
              <w:contextualSpacing/>
              <w:rPr>
                <w:rFonts w:ascii="宋体" w:cs="宋体"/>
                <w:bCs/>
                <w:sz w:val="18"/>
                <w:szCs w:val="18"/>
                <w:lang w:val="zh-CN"/>
              </w:rPr>
            </w:pPr>
            <w:r>
              <w:rPr>
                <w:rFonts w:ascii="宋体" w:cs="宋体"/>
                <w:bCs/>
                <w:sz w:val="18"/>
                <w:szCs w:val="18"/>
                <w:lang w:val="zh-CN"/>
              </w:rPr>
              <w:t>1</w:t>
            </w:r>
            <w:r>
              <w:rPr>
                <w:rFonts w:hint="eastAsia" w:ascii="宋体" w:cs="宋体"/>
                <w:bCs/>
                <w:sz w:val="18"/>
                <w:szCs w:val="18"/>
                <w:lang w:val="zh-CN"/>
              </w:rPr>
              <w:t xml:space="preserve">、投标人（独立体或联合体设计任意方）曾荣获住房城乡建设部颁发的“全国先进工程勘察设计企业”称号的，得 </w:t>
            </w:r>
            <w:r>
              <w:rPr>
                <w:rFonts w:ascii="宋体" w:cs="宋体"/>
                <w:bCs/>
                <w:sz w:val="18"/>
                <w:szCs w:val="18"/>
                <w:lang w:val="zh-CN"/>
              </w:rPr>
              <w:t xml:space="preserve">2 </w:t>
            </w:r>
            <w:r>
              <w:rPr>
                <w:rFonts w:hint="eastAsia" w:ascii="宋体" w:cs="宋体"/>
                <w:bCs/>
                <w:sz w:val="18"/>
                <w:szCs w:val="18"/>
                <w:lang w:val="zh-CN"/>
              </w:rPr>
              <w:t xml:space="preserve">分；曾荣获省住房城乡建设厅颁发的“省级先进工程勘察设计企业”称号的，得 </w:t>
            </w:r>
            <w:r>
              <w:rPr>
                <w:rFonts w:ascii="宋体" w:cs="宋体"/>
                <w:bCs/>
                <w:sz w:val="18"/>
                <w:szCs w:val="18"/>
                <w:lang w:val="zh-CN"/>
              </w:rPr>
              <w:t xml:space="preserve">1 </w:t>
            </w:r>
            <w:r>
              <w:rPr>
                <w:rFonts w:hint="eastAsia" w:ascii="宋体" w:cs="宋体"/>
                <w:bCs/>
                <w:sz w:val="18"/>
                <w:szCs w:val="18"/>
                <w:lang w:val="zh-CN"/>
              </w:rPr>
              <w:t>分；曾荣获</w:t>
            </w:r>
            <w:r>
              <w:rPr>
                <w:rFonts w:hint="eastAsia" w:ascii="宋体" w:cs="宋体"/>
                <w:bCs/>
                <w:sz w:val="18"/>
                <w:szCs w:val="18"/>
              </w:rPr>
              <w:t>市</w:t>
            </w:r>
            <w:r>
              <w:rPr>
                <w:rFonts w:hint="eastAsia" w:ascii="宋体" w:cs="宋体"/>
                <w:bCs/>
                <w:sz w:val="18"/>
                <w:szCs w:val="18"/>
                <w:lang w:val="zh-CN"/>
              </w:rPr>
              <w:t>住房城乡建设</w:t>
            </w:r>
            <w:r>
              <w:rPr>
                <w:rFonts w:hint="eastAsia" w:ascii="宋体" w:cs="宋体"/>
                <w:bCs/>
                <w:sz w:val="18"/>
                <w:szCs w:val="18"/>
              </w:rPr>
              <w:t>局</w:t>
            </w:r>
            <w:r>
              <w:rPr>
                <w:rFonts w:hint="eastAsia" w:ascii="宋体" w:cs="宋体"/>
                <w:bCs/>
                <w:sz w:val="18"/>
                <w:szCs w:val="18"/>
                <w:lang w:val="zh-CN"/>
              </w:rPr>
              <w:t>颁发的“</w:t>
            </w:r>
            <w:r>
              <w:rPr>
                <w:rFonts w:hint="eastAsia" w:ascii="宋体" w:cs="宋体"/>
                <w:bCs/>
                <w:sz w:val="18"/>
                <w:szCs w:val="18"/>
              </w:rPr>
              <w:t>市</w:t>
            </w:r>
            <w:r>
              <w:rPr>
                <w:rFonts w:hint="eastAsia" w:ascii="宋体" w:cs="宋体"/>
                <w:bCs/>
                <w:sz w:val="18"/>
                <w:szCs w:val="18"/>
                <w:lang w:val="zh-CN"/>
              </w:rPr>
              <w:t xml:space="preserve">级先进工程勘察设计企业”称号的 </w:t>
            </w:r>
            <w:r>
              <w:rPr>
                <w:rFonts w:hint="eastAsia" w:ascii="宋体" w:cs="宋体"/>
                <w:bCs/>
                <w:sz w:val="18"/>
                <w:szCs w:val="18"/>
              </w:rPr>
              <w:t>0.5</w:t>
            </w:r>
            <w:r>
              <w:rPr>
                <w:rFonts w:ascii="宋体" w:cs="宋体"/>
                <w:bCs/>
                <w:sz w:val="18"/>
                <w:szCs w:val="18"/>
              </w:rPr>
              <w:t xml:space="preserve"> </w:t>
            </w:r>
            <w:r>
              <w:rPr>
                <w:rFonts w:hint="eastAsia" w:ascii="宋体" w:cs="宋体"/>
                <w:bCs/>
                <w:sz w:val="18"/>
                <w:szCs w:val="18"/>
              </w:rPr>
              <w:t>分。</w:t>
            </w:r>
            <w:r>
              <w:rPr>
                <w:rFonts w:hint="eastAsia" w:ascii="宋体" w:cs="宋体"/>
                <w:bCs/>
                <w:sz w:val="18"/>
                <w:szCs w:val="18"/>
                <w:lang w:val="zh-CN"/>
              </w:rPr>
              <w:t xml:space="preserve">本小项最高得 </w:t>
            </w:r>
            <w:r>
              <w:rPr>
                <w:rFonts w:ascii="宋体" w:cs="宋体"/>
                <w:bCs/>
                <w:sz w:val="18"/>
                <w:szCs w:val="18"/>
                <w:lang w:val="zh-CN"/>
              </w:rPr>
              <w:t xml:space="preserve">2 </w:t>
            </w:r>
            <w:r>
              <w:rPr>
                <w:rFonts w:hint="eastAsia" w:ascii="宋体" w:cs="宋体"/>
                <w:bCs/>
                <w:sz w:val="18"/>
                <w:szCs w:val="18"/>
                <w:lang w:val="zh-CN"/>
              </w:rPr>
              <w:t>分。</w:t>
            </w:r>
          </w:p>
          <w:p>
            <w:pPr>
              <w:topLinePunct/>
              <w:contextualSpacing/>
              <w:rPr>
                <w:rFonts w:ascii="宋体" w:cs="宋体"/>
                <w:bCs/>
                <w:sz w:val="18"/>
                <w:szCs w:val="18"/>
                <w:lang w:val="zh-CN"/>
              </w:rPr>
            </w:pPr>
            <w:r>
              <w:rPr>
                <w:rFonts w:hint="eastAsia" w:ascii="宋体" w:cs="宋体"/>
                <w:bCs/>
                <w:sz w:val="18"/>
                <w:szCs w:val="18"/>
                <w:lang w:val="zh-CN"/>
              </w:rPr>
              <w:t>注：提供相关证明文件复印件并加盖公章。</w:t>
            </w:r>
          </w:p>
          <w:p>
            <w:pPr>
              <w:pStyle w:val="259"/>
              <w:topLinePunct/>
              <w:contextualSpacing/>
              <w:rPr>
                <w:rFonts w:ascii="宋体" w:cs="宋体"/>
                <w:bCs/>
                <w:sz w:val="18"/>
                <w:szCs w:val="18"/>
                <w:lang w:val="zh-CN"/>
              </w:rPr>
            </w:pPr>
            <w:r>
              <w:rPr>
                <w:rFonts w:ascii="宋体" w:cs="宋体"/>
                <w:bCs/>
                <w:sz w:val="18"/>
                <w:szCs w:val="18"/>
                <w:lang w:val="zh-CN"/>
              </w:rPr>
              <w:t>2</w:t>
            </w:r>
            <w:r>
              <w:rPr>
                <w:rFonts w:hint="eastAsia" w:ascii="宋体" w:cs="宋体"/>
                <w:bCs/>
                <w:sz w:val="18"/>
                <w:szCs w:val="18"/>
                <w:lang w:val="zh-CN"/>
              </w:rPr>
              <w:t xml:space="preserve">、投标人（独立体或联合体设计任意方）具有省级（或以上）市政行业协会颁发的5A级等级证书（企业信用等级证书）的得 </w:t>
            </w:r>
            <w:r>
              <w:rPr>
                <w:rFonts w:ascii="宋体" w:cs="宋体"/>
                <w:bCs/>
                <w:sz w:val="18"/>
                <w:szCs w:val="18"/>
                <w:lang w:val="zh-CN"/>
              </w:rPr>
              <w:t xml:space="preserve">2 </w:t>
            </w:r>
            <w:r>
              <w:rPr>
                <w:rFonts w:hint="eastAsia" w:ascii="宋体" w:cs="宋体"/>
                <w:bCs/>
                <w:sz w:val="18"/>
                <w:szCs w:val="18"/>
                <w:lang w:val="zh-CN"/>
              </w:rPr>
              <w:t xml:space="preserve">分，具备4A级的得 </w:t>
            </w:r>
            <w:r>
              <w:rPr>
                <w:rFonts w:ascii="宋体" w:cs="宋体"/>
                <w:bCs/>
                <w:sz w:val="18"/>
                <w:szCs w:val="18"/>
                <w:lang w:val="zh-CN"/>
              </w:rPr>
              <w:t xml:space="preserve">1 </w:t>
            </w:r>
            <w:r>
              <w:rPr>
                <w:rFonts w:hint="eastAsia" w:ascii="宋体" w:cs="宋体"/>
                <w:bCs/>
                <w:sz w:val="18"/>
                <w:szCs w:val="18"/>
                <w:lang w:val="zh-CN"/>
              </w:rPr>
              <w:t xml:space="preserve">分，具备3A级的得 </w:t>
            </w:r>
            <w:r>
              <w:rPr>
                <w:rFonts w:ascii="宋体" w:cs="宋体"/>
                <w:bCs/>
                <w:sz w:val="18"/>
                <w:szCs w:val="18"/>
                <w:lang w:val="zh-CN"/>
              </w:rPr>
              <w:t xml:space="preserve">0.5 </w:t>
            </w:r>
            <w:r>
              <w:rPr>
                <w:rFonts w:hint="eastAsia" w:ascii="宋体" w:cs="宋体"/>
                <w:bCs/>
                <w:sz w:val="18"/>
                <w:szCs w:val="18"/>
                <w:lang w:val="zh-CN"/>
              </w:rPr>
              <w:t xml:space="preserve">分，其余不得分。本项最高得 </w:t>
            </w:r>
            <w:r>
              <w:rPr>
                <w:rFonts w:ascii="宋体" w:cs="宋体"/>
                <w:bCs/>
                <w:sz w:val="18"/>
                <w:szCs w:val="18"/>
                <w:lang w:val="zh-CN"/>
              </w:rPr>
              <w:t xml:space="preserve">2 </w:t>
            </w:r>
            <w:r>
              <w:rPr>
                <w:rFonts w:hint="eastAsia" w:ascii="宋体" w:cs="宋体"/>
                <w:bCs/>
                <w:sz w:val="18"/>
                <w:szCs w:val="18"/>
                <w:lang w:val="zh-CN"/>
              </w:rPr>
              <w:t>分。</w:t>
            </w:r>
          </w:p>
          <w:p>
            <w:pPr>
              <w:pStyle w:val="259"/>
              <w:topLinePunct/>
              <w:contextualSpacing/>
              <w:rPr>
                <w:rFonts w:ascii="宋体" w:cs="宋体"/>
                <w:bCs/>
                <w:sz w:val="18"/>
                <w:szCs w:val="18"/>
                <w:lang w:val="zh-CN"/>
              </w:rPr>
            </w:pPr>
            <w:r>
              <w:rPr>
                <w:rFonts w:hint="eastAsia" w:ascii="宋体" w:cs="宋体"/>
                <w:bCs/>
                <w:sz w:val="18"/>
                <w:szCs w:val="18"/>
                <w:lang w:val="zh-CN"/>
              </w:rPr>
              <w:t>注：提供相关资质证书复印件并加盖公章。</w:t>
            </w:r>
          </w:p>
        </w:tc>
        <w:tc>
          <w:tcPr>
            <w:tcW w:w="650" w:type="pct"/>
            <w:vAlign w:val="center"/>
          </w:tcPr>
          <w:p>
            <w:pPr>
              <w:keepNext/>
              <w:keepLines/>
              <w:autoSpaceDE w:val="0"/>
              <w:autoSpaceDN w:val="0"/>
              <w:contextualSpacing/>
              <w:jc w:val="center"/>
              <w:outlineLvl w:val="2"/>
              <w:rPr>
                <w:rFonts w:ascii="宋体" w:cs="宋体"/>
                <w:bCs/>
                <w:sz w:val="18"/>
                <w:szCs w:val="18"/>
                <w:lang w:val="zh-CN"/>
              </w:rP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二、施工企业部分资信及业绩部分（</w:t>
            </w:r>
            <w:r>
              <w:rPr>
                <w:rFonts w:hint="eastAsia" w:ascii="宋体" w:cs="宋体"/>
                <w:bCs/>
                <w:sz w:val="18"/>
                <w:szCs w:val="18"/>
              </w:rPr>
              <w:t>28分</w:t>
            </w:r>
            <w:r>
              <w:rPr>
                <w:rFonts w:hint="eastAsia" w:ascii="宋体" w:cs="宋体"/>
                <w:bCs/>
                <w:sz w:val="18"/>
                <w:szCs w:val="18"/>
                <w:lang w:val="zh-CN"/>
              </w:rPr>
              <w:t>）</w:t>
            </w:r>
          </w:p>
        </w:tc>
        <w:tc>
          <w:tcPr>
            <w:tcW w:w="389" w:type="pct"/>
            <w:vAlign w:val="center"/>
          </w:tcPr>
          <w:p>
            <w:pPr>
              <w:tabs>
                <w:tab w:val="left" w:pos="360"/>
              </w:tabs>
              <w:contextualSpacing/>
              <w:jc w:val="center"/>
              <w:rPr>
                <w:rFonts w:ascii="宋体" w:cs="宋体"/>
                <w:bCs/>
                <w:sz w:val="18"/>
                <w:szCs w:val="18"/>
                <w:lang w:val="zh-CN"/>
              </w:rPr>
            </w:pPr>
            <w:r>
              <w:rPr>
                <w:rFonts w:hint="eastAsia" w:ascii="宋体" w:cs="宋体"/>
                <w:bCs/>
                <w:sz w:val="18"/>
                <w:szCs w:val="18"/>
                <w:lang w:val="zh-CN"/>
              </w:rPr>
              <w:t>施工业绩</w:t>
            </w:r>
          </w:p>
        </w:tc>
        <w:tc>
          <w:tcPr>
            <w:tcW w:w="270" w:type="pct"/>
            <w:vAlign w:val="center"/>
          </w:tcPr>
          <w:p>
            <w:pPr>
              <w:contextualSpacing/>
              <w:jc w:val="center"/>
              <w:rPr>
                <w:rFonts w:ascii="宋体" w:cs="宋体"/>
                <w:bCs/>
                <w:sz w:val="18"/>
                <w:szCs w:val="18"/>
              </w:rPr>
            </w:pPr>
            <w:r>
              <w:rPr>
                <w:rFonts w:hint="eastAsia" w:ascii="宋体" w:cs="宋体"/>
                <w:bCs/>
                <w:sz w:val="18"/>
                <w:szCs w:val="18"/>
              </w:rPr>
              <w:t>5</w:t>
            </w:r>
          </w:p>
        </w:tc>
        <w:tc>
          <w:tcPr>
            <w:tcW w:w="3290" w:type="pct"/>
            <w:vAlign w:val="center"/>
          </w:tcPr>
          <w:p>
            <w:pPr>
              <w:rPr>
                <w:rFonts w:ascii="宋体"/>
                <w:b/>
                <w:bCs/>
                <w:kern w:val="0"/>
                <w:sz w:val="18"/>
                <w:szCs w:val="18"/>
              </w:rPr>
            </w:pPr>
            <w:r>
              <w:rPr>
                <w:rFonts w:hint="eastAsia" w:ascii="宋体" w:cs="宋体"/>
                <w:kern w:val="0"/>
                <w:sz w:val="18"/>
                <w:szCs w:val="18"/>
              </w:rPr>
              <w:t>投标人</w:t>
            </w:r>
            <w:r>
              <w:rPr>
                <w:rFonts w:hint="eastAsia" w:ascii="宋体" w:cs="宋体"/>
                <w:bCs/>
                <w:sz w:val="18"/>
                <w:szCs w:val="18"/>
                <w:lang w:val="zh-CN"/>
              </w:rPr>
              <w:t>（若为联合体，指联合体施工方）</w:t>
            </w:r>
            <w:r>
              <w:rPr>
                <w:rFonts w:hint="eastAsia" w:ascii="宋体" w:cs="宋体"/>
                <w:kern w:val="0"/>
                <w:sz w:val="18"/>
                <w:szCs w:val="18"/>
              </w:rPr>
              <w:t>自2017年1月1日至今承接过合同额≥5000万元的类似工程施工业绩，每项得2.5分；</w:t>
            </w:r>
            <w:r>
              <w:rPr>
                <w:rFonts w:hint="eastAsia" w:ascii="宋体"/>
                <w:b/>
                <w:bCs/>
                <w:kern w:val="0"/>
                <w:sz w:val="18"/>
                <w:szCs w:val="18"/>
              </w:rPr>
              <w:t>本项最高分为5分。</w:t>
            </w:r>
          </w:p>
          <w:p>
            <w:pPr>
              <w:autoSpaceDE w:val="0"/>
              <w:autoSpaceDN w:val="0"/>
              <w:contextualSpacing/>
              <w:rPr>
                <w:rFonts w:ascii="宋体" w:cs="宋体"/>
                <w:bCs/>
                <w:sz w:val="18"/>
                <w:szCs w:val="18"/>
                <w:lang w:val="zh-CN"/>
              </w:rPr>
            </w:pPr>
            <w:r>
              <w:rPr>
                <w:rFonts w:hint="eastAsia" w:ascii="宋体" w:cs="宋体"/>
                <w:kern w:val="0"/>
                <w:sz w:val="18"/>
                <w:szCs w:val="18"/>
              </w:rPr>
              <w:t>注：①类似工程业绩是指市政污水处理厂的施工业绩或设计施工总承包或勘察设计施工总承包或EPC项目业绩（施工部分）；②需同时提供中标通知书或免招标的证明、合同主要页等证明文件原件扫描件；③时间以合同签订时间为准，金额以合同中载明的金额为准，合同未载明合同金额的，需提供初步设计批复或中标通知书或免招标的证明等相关能够证明项目合同金额的证明材料。</w:t>
            </w:r>
          </w:p>
        </w:tc>
        <w:tc>
          <w:tcPr>
            <w:tcW w:w="650" w:type="pct"/>
            <w:vAlign w:val="center"/>
          </w:tcPr>
          <w:p>
            <w:pPr>
              <w:autoSpaceDE w:val="0"/>
              <w:autoSpaceDN w:val="0"/>
              <w:contextualSpacing/>
              <w:jc w:val="center"/>
              <w:rPr>
                <w:rFonts w:ascii="宋体" w:cs="宋体"/>
                <w:bCs/>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8" w:type="pct"/>
            <w:vMerge w:val="continue"/>
            <w:vAlign w:val="center"/>
          </w:tcPr>
          <w:p/>
        </w:tc>
        <w:tc>
          <w:tcPr>
            <w:tcW w:w="389" w:type="pct"/>
            <w:vAlign w:val="center"/>
          </w:tcPr>
          <w:p>
            <w:pPr>
              <w:tabs>
                <w:tab w:val="left" w:pos="360"/>
              </w:tabs>
              <w:contextualSpacing/>
              <w:jc w:val="center"/>
              <w:rPr>
                <w:rFonts w:ascii="宋体" w:cs="宋体"/>
                <w:bCs/>
                <w:sz w:val="18"/>
                <w:szCs w:val="18"/>
                <w:lang w:val="zh-CN"/>
              </w:rPr>
            </w:pPr>
            <w:r>
              <w:rPr>
                <w:rFonts w:hint="eastAsia" w:ascii="宋体" w:cs="宋体"/>
                <w:bCs/>
                <w:sz w:val="18"/>
                <w:szCs w:val="18"/>
                <w:lang w:val="zh-CN"/>
              </w:rPr>
              <w:t>企业工程获奖</w:t>
            </w:r>
          </w:p>
        </w:tc>
        <w:tc>
          <w:tcPr>
            <w:tcW w:w="270" w:type="pct"/>
            <w:vAlign w:val="center"/>
          </w:tcPr>
          <w:p>
            <w:pPr>
              <w:contextualSpacing/>
              <w:jc w:val="center"/>
              <w:rPr>
                <w:rFonts w:ascii="宋体" w:cs="宋体"/>
                <w:bCs/>
                <w:sz w:val="18"/>
                <w:szCs w:val="18"/>
              </w:rPr>
            </w:pPr>
            <w:r>
              <w:rPr>
                <w:rFonts w:hint="eastAsia" w:ascii="宋体" w:cs="宋体"/>
                <w:bCs/>
                <w:sz w:val="18"/>
                <w:szCs w:val="18"/>
              </w:rPr>
              <w:t>9</w:t>
            </w:r>
          </w:p>
        </w:tc>
        <w:tc>
          <w:tcPr>
            <w:tcW w:w="3290" w:type="pct"/>
            <w:vAlign w:val="center"/>
          </w:tcPr>
          <w:p>
            <w:pPr>
              <w:tabs>
                <w:tab w:val="left" w:pos="360"/>
              </w:tabs>
              <w:contextualSpacing/>
              <w:jc w:val="left"/>
              <w:rPr>
                <w:rFonts w:ascii="宋体" w:cs="宋体"/>
                <w:bCs/>
                <w:sz w:val="18"/>
                <w:szCs w:val="18"/>
                <w:lang w:val="zh-CN"/>
              </w:rPr>
            </w:pPr>
            <w:r>
              <w:rPr>
                <w:rFonts w:hint="eastAsia" w:ascii="宋体" w:cs="宋体"/>
                <w:bCs/>
                <w:sz w:val="18"/>
                <w:szCs w:val="18"/>
                <w:lang w:val="zh-CN"/>
              </w:rPr>
              <w:t>1、投标人（若为联合体，指联合体施工方）自201</w:t>
            </w:r>
            <w:r>
              <w:rPr>
                <w:rFonts w:hint="eastAsia" w:ascii="宋体" w:cs="宋体"/>
                <w:bCs/>
                <w:sz w:val="18"/>
                <w:szCs w:val="18"/>
              </w:rPr>
              <w:t>7</w:t>
            </w:r>
            <w:r>
              <w:rPr>
                <w:rFonts w:hint="eastAsia" w:ascii="宋体" w:cs="宋体"/>
                <w:bCs/>
                <w:sz w:val="18"/>
                <w:szCs w:val="18"/>
                <w:lang w:val="zh-CN"/>
              </w:rPr>
              <w:t>年1月1日至今承建的境内工程建设项目，获得过国家级质量奖的，每项得1分；获得过省级优质工程奖项的，每项得0.4分；获得过市级优质工程奖项的，每项得0.2分；其他不得分。本小项最多只计算</w:t>
            </w:r>
            <w:r>
              <w:rPr>
                <w:rFonts w:hint="eastAsia" w:ascii="宋体" w:cs="宋体"/>
                <w:bCs/>
                <w:sz w:val="18"/>
                <w:szCs w:val="18"/>
              </w:rPr>
              <w:t>9</w:t>
            </w:r>
            <w:r>
              <w:rPr>
                <w:rFonts w:hint="eastAsia" w:ascii="宋体" w:cs="宋体"/>
                <w:bCs/>
                <w:sz w:val="18"/>
                <w:szCs w:val="18"/>
                <w:lang w:val="zh-CN"/>
              </w:rPr>
              <w:t>个奖项，</w:t>
            </w:r>
            <w:r>
              <w:rPr>
                <w:rFonts w:hint="eastAsia" w:ascii="宋体" w:cs="宋体"/>
                <w:b/>
                <w:sz w:val="18"/>
                <w:szCs w:val="18"/>
                <w:lang w:val="zh-CN"/>
              </w:rPr>
              <w:t>本项最高得</w:t>
            </w:r>
            <w:r>
              <w:rPr>
                <w:rFonts w:hint="eastAsia" w:ascii="宋体" w:cs="宋体"/>
                <w:b/>
                <w:sz w:val="18"/>
                <w:szCs w:val="18"/>
              </w:rPr>
              <w:t>9</w:t>
            </w:r>
            <w:r>
              <w:rPr>
                <w:rFonts w:hint="eastAsia" w:ascii="宋体" w:cs="宋体"/>
                <w:b/>
                <w:sz w:val="18"/>
                <w:szCs w:val="18"/>
                <w:lang w:val="zh-CN"/>
              </w:rPr>
              <w:t>分。</w:t>
            </w:r>
          </w:p>
          <w:p>
            <w:pPr>
              <w:autoSpaceDE w:val="0"/>
              <w:autoSpaceDN w:val="0"/>
              <w:contextualSpacing/>
              <w:rPr>
                <w:rFonts w:ascii="宋体" w:cs="宋体"/>
                <w:bCs/>
                <w:sz w:val="18"/>
                <w:szCs w:val="18"/>
                <w:lang w:val="zh-CN"/>
              </w:rPr>
            </w:pPr>
            <w:r>
              <w:rPr>
                <w:rFonts w:hint="eastAsia" w:ascii="宋体" w:cs="宋体"/>
                <w:bCs/>
                <w:sz w:val="18"/>
                <w:szCs w:val="18"/>
                <w:lang w:val="zh-CN"/>
              </w:rPr>
              <w:t>注：投标人须提供获奖证书扫描件、奖项颁发机构在“中国社会组织政务服务平台”的查询结果截图并加盖投标单位（或联合体主办方）电子印章，资料不齐全的不得分。获奖仅计算承建（含联合承建）的单位业绩获奖，作为参建单位获奖的业绩不作计算；时间以获奖证书载明发证日期为准；此处“国家级质量奖”仅计鲁班奖、中国土木工程詹天佑奖、国家优质工程金奖；同一个项目获多个奖项的只按最高奖项计分，不重复计算。</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tabs>
                <w:tab w:val="left" w:pos="360"/>
              </w:tabs>
              <w:contextualSpacing/>
              <w:jc w:val="center"/>
              <w:rPr>
                <w:rFonts w:ascii="宋体" w:cs="宋体"/>
                <w:bCs/>
                <w:sz w:val="18"/>
                <w:szCs w:val="18"/>
                <w:lang w:val="zh-CN"/>
              </w:rPr>
            </w:pPr>
            <w:r>
              <w:rPr>
                <w:rFonts w:hint="eastAsia" w:ascii="宋体" w:cs="宋体"/>
                <w:bCs/>
                <w:sz w:val="18"/>
                <w:szCs w:val="18"/>
                <w:lang w:val="zh-CN"/>
              </w:rPr>
              <w:t>工程研发能力</w:t>
            </w:r>
          </w:p>
        </w:tc>
        <w:tc>
          <w:tcPr>
            <w:tcW w:w="270" w:type="pct"/>
            <w:vAlign w:val="center"/>
          </w:tcPr>
          <w:p>
            <w:pPr>
              <w:widowControl/>
              <w:contextualSpacing/>
              <w:jc w:val="center"/>
              <w:rPr>
                <w:rFonts w:ascii="宋体" w:cs="宋体"/>
                <w:bCs/>
                <w:sz w:val="18"/>
                <w:szCs w:val="18"/>
                <w:lang w:val="zh-CN"/>
              </w:rPr>
            </w:pPr>
            <w:r>
              <w:rPr>
                <w:rFonts w:hint="eastAsia" w:ascii="宋体" w:cs="宋体"/>
                <w:bCs/>
                <w:sz w:val="18"/>
                <w:szCs w:val="18"/>
              </w:rPr>
              <w:t>8</w:t>
            </w:r>
          </w:p>
        </w:tc>
        <w:tc>
          <w:tcPr>
            <w:tcW w:w="3290" w:type="pct"/>
            <w:vAlign w:val="center"/>
          </w:tcPr>
          <w:p>
            <w:pPr>
              <w:tabs>
                <w:tab w:val="left" w:pos="360"/>
              </w:tabs>
              <w:contextualSpacing/>
              <w:jc w:val="left"/>
              <w:rPr>
                <w:rFonts w:hint="eastAsia" w:ascii="宋体" w:cs="宋体"/>
                <w:bCs/>
                <w:sz w:val="18"/>
                <w:szCs w:val="18"/>
                <w:lang w:val="zh-CN"/>
              </w:rPr>
            </w:pPr>
            <w:r>
              <w:rPr>
                <w:rFonts w:hint="eastAsia" w:ascii="宋体" w:cs="宋体"/>
                <w:bCs/>
                <w:sz w:val="18"/>
                <w:szCs w:val="18"/>
                <w:lang w:val="zh-CN"/>
              </w:rPr>
              <w:t>投标人（若为联合体，指联合体施工方）自201</w:t>
            </w:r>
            <w:r>
              <w:rPr>
                <w:rFonts w:hint="eastAsia" w:ascii="宋体" w:cs="宋体"/>
                <w:bCs/>
                <w:sz w:val="18"/>
                <w:szCs w:val="18"/>
              </w:rPr>
              <w:t>7</w:t>
            </w:r>
            <w:r>
              <w:rPr>
                <w:rFonts w:hint="eastAsia" w:ascii="宋体" w:cs="宋体"/>
                <w:bCs/>
                <w:sz w:val="18"/>
                <w:szCs w:val="18"/>
                <w:lang w:val="zh-CN"/>
              </w:rPr>
              <w:t>年1月1日至今，获得过中华人民共和国国务院颁发的国家科学技术进步奖的，每项得</w:t>
            </w:r>
            <w:r>
              <w:rPr>
                <w:rFonts w:hint="eastAsia" w:ascii="宋体" w:cs="宋体"/>
                <w:bCs/>
                <w:sz w:val="18"/>
                <w:szCs w:val="18"/>
              </w:rPr>
              <w:t>3</w:t>
            </w:r>
            <w:r>
              <w:rPr>
                <w:rFonts w:hint="eastAsia" w:ascii="宋体" w:cs="宋体"/>
                <w:bCs/>
                <w:sz w:val="18"/>
                <w:szCs w:val="18"/>
                <w:lang w:val="zh-CN"/>
              </w:rPr>
              <w:t>分；获得过省级（含直辖市）人民政府颁发的科技进步奖的，每项得</w:t>
            </w:r>
            <w:r>
              <w:rPr>
                <w:rFonts w:hint="eastAsia" w:ascii="宋体" w:cs="宋体"/>
                <w:bCs/>
                <w:sz w:val="18"/>
                <w:szCs w:val="18"/>
              </w:rPr>
              <w:t>1</w:t>
            </w:r>
            <w:r>
              <w:rPr>
                <w:rFonts w:hint="eastAsia" w:ascii="宋体" w:cs="宋体"/>
                <w:bCs/>
                <w:sz w:val="18"/>
                <w:szCs w:val="18"/>
                <w:lang w:val="zh-CN"/>
              </w:rPr>
              <w:t>分；获得过市级人民政府颁发的科技进步奖的，每项得</w:t>
            </w:r>
            <w:r>
              <w:rPr>
                <w:rFonts w:hint="eastAsia" w:ascii="宋体" w:cs="宋体"/>
                <w:bCs/>
                <w:sz w:val="18"/>
                <w:szCs w:val="18"/>
              </w:rPr>
              <w:t>0.5</w:t>
            </w:r>
            <w:r>
              <w:rPr>
                <w:rFonts w:hint="eastAsia" w:ascii="宋体" w:cs="宋体"/>
                <w:bCs/>
                <w:sz w:val="18"/>
                <w:szCs w:val="18"/>
                <w:lang w:val="zh-CN"/>
              </w:rPr>
              <w:t>分；本小项最多只计算</w:t>
            </w:r>
            <w:r>
              <w:rPr>
                <w:rFonts w:hint="eastAsia" w:ascii="宋体" w:cs="宋体"/>
                <w:bCs/>
                <w:sz w:val="18"/>
                <w:szCs w:val="18"/>
              </w:rPr>
              <w:t>6</w:t>
            </w:r>
            <w:r>
              <w:rPr>
                <w:rFonts w:hint="eastAsia" w:ascii="宋体" w:cs="宋体"/>
                <w:bCs/>
                <w:sz w:val="18"/>
                <w:szCs w:val="18"/>
                <w:lang w:val="zh-CN"/>
              </w:rPr>
              <w:t>个奖项，</w:t>
            </w:r>
            <w:r>
              <w:rPr>
                <w:rFonts w:hint="eastAsia" w:ascii="宋体" w:cs="宋体"/>
                <w:b/>
                <w:sz w:val="18"/>
                <w:szCs w:val="18"/>
                <w:lang w:val="zh-CN"/>
              </w:rPr>
              <w:t>本项最高得</w:t>
            </w:r>
            <w:r>
              <w:rPr>
                <w:rFonts w:hint="eastAsia" w:ascii="宋体" w:cs="宋体"/>
                <w:b/>
                <w:sz w:val="18"/>
                <w:szCs w:val="18"/>
              </w:rPr>
              <w:t>8</w:t>
            </w:r>
            <w:r>
              <w:rPr>
                <w:rFonts w:hint="eastAsia" w:ascii="宋体" w:cs="宋体"/>
                <w:b/>
                <w:sz w:val="18"/>
                <w:szCs w:val="18"/>
                <w:lang w:val="zh-CN"/>
              </w:rPr>
              <w:t>分</w:t>
            </w:r>
            <w:r>
              <w:rPr>
                <w:rFonts w:hint="eastAsia" w:ascii="宋体" w:cs="宋体"/>
                <w:bCs/>
                <w:sz w:val="18"/>
                <w:szCs w:val="18"/>
                <w:lang w:val="zh-CN"/>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tabs>
                <w:tab w:val="left" w:pos="360"/>
              </w:tabs>
              <w:contextualSpacing/>
              <w:jc w:val="center"/>
              <w:rPr>
                <w:rFonts w:ascii="宋体" w:cs="宋体"/>
                <w:bCs/>
                <w:sz w:val="18"/>
                <w:szCs w:val="18"/>
                <w:lang w:val="zh-CN"/>
              </w:rPr>
            </w:pPr>
            <w:r>
              <w:rPr>
                <w:rFonts w:hint="eastAsia" w:ascii="宋体" w:cs="宋体"/>
                <w:bCs/>
                <w:sz w:val="18"/>
                <w:szCs w:val="18"/>
              </w:rPr>
              <w:t>企业纳税诚信等级</w:t>
            </w:r>
          </w:p>
        </w:tc>
        <w:tc>
          <w:tcPr>
            <w:tcW w:w="270" w:type="pct"/>
            <w:vAlign w:val="center"/>
          </w:tcPr>
          <w:p>
            <w:pPr>
              <w:contextualSpacing/>
              <w:jc w:val="center"/>
              <w:rPr>
                <w:rFonts w:ascii="宋体" w:cs="宋体"/>
                <w:bCs/>
                <w:sz w:val="18"/>
                <w:szCs w:val="18"/>
                <w:lang w:val="zh-CN"/>
              </w:rPr>
            </w:pPr>
            <w:r>
              <w:rPr>
                <w:rFonts w:hint="eastAsia" w:ascii="宋体" w:cs="宋体"/>
                <w:bCs/>
                <w:sz w:val="18"/>
                <w:szCs w:val="18"/>
              </w:rPr>
              <w:t>6</w:t>
            </w:r>
          </w:p>
        </w:tc>
        <w:tc>
          <w:tcPr>
            <w:tcW w:w="3290" w:type="pct"/>
            <w:vAlign w:val="center"/>
          </w:tcPr>
          <w:p>
            <w:pPr>
              <w:tabs>
                <w:tab w:val="left" w:pos="360"/>
              </w:tabs>
              <w:contextualSpacing/>
              <w:jc w:val="left"/>
              <w:rPr>
                <w:rFonts w:ascii="宋体" w:cs="宋体"/>
                <w:bCs/>
                <w:sz w:val="18"/>
                <w:szCs w:val="18"/>
                <w:lang w:val="zh-CN"/>
              </w:rPr>
            </w:pPr>
            <w:r>
              <w:rPr>
                <w:rFonts w:hint="eastAsia" w:ascii="宋体" w:cs="宋体"/>
                <w:bCs/>
                <w:sz w:val="18"/>
                <w:szCs w:val="18"/>
                <w:lang w:val="zh-CN"/>
              </w:rPr>
              <w:t>投标人（若为联合体，指联合体施工方）自最新可查到年度往前连续获得税务部门颁发的“纳税信用A级”情况的，连续7个年度（含本数），得</w:t>
            </w:r>
            <w:r>
              <w:rPr>
                <w:rFonts w:hint="eastAsia" w:ascii="宋体" w:cs="宋体"/>
                <w:bCs/>
                <w:sz w:val="18"/>
                <w:szCs w:val="18"/>
              </w:rPr>
              <w:t>6</w:t>
            </w:r>
            <w:r>
              <w:rPr>
                <w:rFonts w:hint="eastAsia" w:ascii="宋体" w:cs="宋体"/>
                <w:bCs/>
                <w:sz w:val="18"/>
                <w:szCs w:val="18"/>
                <w:lang w:val="zh-CN"/>
              </w:rPr>
              <w:t>分；连续5</w:t>
            </w:r>
            <w:r>
              <w:rPr>
                <w:rFonts w:hint="eastAsia" w:ascii="宋体" w:cs="宋体"/>
                <w:bCs/>
                <w:sz w:val="18"/>
                <w:szCs w:val="18"/>
              </w:rPr>
              <w:t>-6个</w:t>
            </w:r>
            <w:r>
              <w:rPr>
                <w:rFonts w:hint="eastAsia" w:ascii="宋体" w:cs="宋体"/>
                <w:bCs/>
                <w:sz w:val="18"/>
                <w:szCs w:val="18"/>
                <w:lang w:val="zh-CN"/>
              </w:rPr>
              <w:t>年度（含本数）获得税务部门颁发的“纳税信用A级”，得</w:t>
            </w:r>
            <w:r>
              <w:rPr>
                <w:rFonts w:hint="eastAsia" w:ascii="宋体" w:cs="宋体"/>
                <w:bCs/>
                <w:sz w:val="18"/>
                <w:szCs w:val="18"/>
              </w:rPr>
              <w:t>3</w:t>
            </w:r>
            <w:r>
              <w:rPr>
                <w:rFonts w:hint="eastAsia" w:ascii="宋体" w:cs="宋体"/>
                <w:bCs/>
                <w:sz w:val="18"/>
                <w:szCs w:val="18"/>
                <w:lang w:val="zh-CN"/>
              </w:rPr>
              <w:t>分，连续</w:t>
            </w:r>
            <w:r>
              <w:rPr>
                <w:rFonts w:hint="eastAsia" w:ascii="宋体" w:cs="宋体"/>
                <w:bCs/>
                <w:sz w:val="18"/>
                <w:szCs w:val="18"/>
              </w:rPr>
              <w:t>3-4个</w:t>
            </w:r>
            <w:r>
              <w:rPr>
                <w:rFonts w:hint="eastAsia" w:ascii="宋体" w:cs="宋体"/>
                <w:bCs/>
                <w:sz w:val="18"/>
                <w:szCs w:val="18"/>
                <w:lang w:val="zh-CN"/>
              </w:rPr>
              <w:t>年度（含本数）获得税务部门颁发的“纳税信用A级”，得</w:t>
            </w:r>
            <w:r>
              <w:rPr>
                <w:rFonts w:hint="eastAsia" w:ascii="宋体" w:cs="宋体"/>
                <w:bCs/>
                <w:sz w:val="18"/>
                <w:szCs w:val="18"/>
              </w:rPr>
              <w:t>1</w:t>
            </w:r>
            <w:r>
              <w:rPr>
                <w:rFonts w:hint="eastAsia" w:ascii="宋体" w:cs="宋体"/>
                <w:bCs/>
                <w:sz w:val="18"/>
                <w:szCs w:val="18"/>
                <w:lang w:val="zh-CN"/>
              </w:rPr>
              <w:t>分，其他情况不得分。</w:t>
            </w:r>
            <w:r>
              <w:rPr>
                <w:rFonts w:hint="eastAsia" w:ascii="宋体" w:cs="宋体"/>
                <w:b/>
                <w:sz w:val="18"/>
                <w:szCs w:val="18"/>
                <w:lang w:val="zh-CN"/>
              </w:rPr>
              <w:t>本项最高得</w:t>
            </w:r>
            <w:r>
              <w:rPr>
                <w:rFonts w:hint="eastAsia" w:ascii="宋体" w:cs="宋体"/>
                <w:b/>
                <w:sz w:val="18"/>
                <w:szCs w:val="18"/>
              </w:rPr>
              <w:t>6</w:t>
            </w:r>
            <w:r>
              <w:rPr>
                <w:rFonts w:hint="eastAsia" w:ascii="宋体" w:cs="宋体"/>
                <w:b/>
                <w:sz w:val="18"/>
                <w:szCs w:val="18"/>
                <w:lang w:val="zh-CN"/>
              </w:rPr>
              <w:t>分</w:t>
            </w:r>
            <w:r>
              <w:rPr>
                <w:rFonts w:hint="eastAsia" w:ascii="宋体" w:cs="宋体"/>
                <w:bCs/>
                <w:sz w:val="18"/>
                <w:szCs w:val="18"/>
                <w:lang w:val="zh-CN"/>
              </w:rPr>
              <w:t>。</w:t>
            </w:r>
          </w:p>
          <w:p>
            <w:pPr>
              <w:contextualSpacing/>
              <w:rPr>
                <w:rFonts w:ascii="宋体" w:cs="宋体"/>
                <w:bCs/>
                <w:sz w:val="18"/>
                <w:szCs w:val="18"/>
                <w:lang w:val="zh-CN"/>
              </w:rPr>
            </w:pPr>
            <w:r>
              <w:rPr>
                <w:rFonts w:hint="eastAsia" w:ascii="宋体" w:cs="宋体"/>
                <w:bCs/>
                <w:sz w:val="18"/>
                <w:szCs w:val="18"/>
                <w:lang w:val="zh-CN"/>
              </w:rPr>
              <w:t>注：需提供国家税务总局纳税信用查询网页信息截图（http://www.chinatax.gov.cn/index.htm），不符合上述条件或未提供上述资料的不得分。</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三、项目实施组织方案部分（</w:t>
            </w:r>
            <w:r>
              <w:rPr>
                <w:rFonts w:hint="eastAsia" w:ascii="宋体" w:cs="宋体"/>
                <w:bCs/>
                <w:sz w:val="18"/>
                <w:szCs w:val="18"/>
              </w:rPr>
              <w:t>2</w:t>
            </w:r>
            <w:r>
              <w:rPr>
                <w:rFonts w:ascii="宋体" w:cs="宋体"/>
                <w:bCs/>
                <w:sz w:val="18"/>
                <w:szCs w:val="18"/>
              </w:rPr>
              <w:t>3</w:t>
            </w:r>
            <w:r>
              <w:rPr>
                <w:rFonts w:hint="eastAsia" w:ascii="宋体" w:cs="宋体"/>
                <w:bCs/>
                <w:sz w:val="18"/>
                <w:szCs w:val="18"/>
              </w:rPr>
              <w:t>分</w:t>
            </w:r>
            <w:r>
              <w:rPr>
                <w:rFonts w:hint="eastAsia" w:ascii="宋体" w:cs="宋体"/>
                <w:bCs/>
                <w:sz w:val="18"/>
                <w:szCs w:val="18"/>
                <w:lang w:val="zh-CN"/>
              </w:rPr>
              <w:t>）</w:t>
            </w: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施工组织及设计方案</w:t>
            </w:r>
          </w:p>
        </w:tc>
        <w:tc>
          <w:tcPr>
            <w:tcW w:w="270" w:type="pct"/>
            <w:vAlign w:val="center"/>
          </w:tcPr>
          <w:p>
            <w:pPr>
              <w:autoSpaceDE w:val="0"/>
              <w:autoSpaceDN w:val="0"/>
              <w:contextualSpacing/>
              <w:jc w:val="center"/>
              <w:rPr>
                <w:rFonts w:ascii="宋体" w:cs="宋体"/>
                <w:bCs/>
                <w:sz w:val="18"/>
                <w:szCs w:val="18"/>
              </w:rPr>
            </w:pPr>
            <w:r>
              <w:rPr>
                <w:rFonts w:hint="eastAsia" w:ascii="宋体" w:cs="宋体"/>
                <w:bCs/>
                <w:sz w:val="18"/>
                <w:szCs w:val="18"/>
              </w:rPr>
              <w:t>7</w:t>
            </w:r>
          </w:p>
        </w:tc>
        <w:tc>
          <w:tcPr>
            <w:tcW w:w="3290" w:type="pct"/>
            <w:vAlign w:val="center"/>
          </w:tcPr>
          <w:p>
            <w:pPr>
              <w:jc w:val="left"/>
              <w:rPr>
                <w:rFonts w:ascii="宋体" w:cs="宋体"/>
                <w:bCs/>
                <w:sz w:val="18"/>
                <w:szCs w:val="21"/>
                <w:lang w:val="zh-CN"/>
              </w:rPr>
            </w:pPr>
            <w:r>
              <w:rPr>
                <w:rFonts w:hint="eastAsia" w:ascii="宋体" w:cs="宋体"/>
                <w:bCs/>
                <w:sz w:val="18"/>
                <w:szCs w:val="21"/>
                <w:lang w:val="zh-CN"/>
              </w:rPr>
              <w:t>结合本项目《项目实施组织方案部分编制需求》编制施工组织及设计方案，【优秀】得</w:t>
            </w:r>
            <w:r>
              <w:rPr>
                <w:rFonts w:hint="eastAsia" w:ascii="宋体" w:cs="宋体"/>
                <w:bCs/>
                <w:sz w:val="18"/>
                <w:szCs w:val="21"/>
              </w:rPr>
              <w:t>7</w:t>
            </w:r>
            <w:r>
              <w:rPr>
                <w:rFonts w:hint="eastAsia" w:ascii="宋体" w:cs="宋体"/>
                <w:bCs/>
                <w:sz w:val="18"/>
                <w:szCs w:val="21"/>
                <w:lang w:val="zh-CN"/>
              </w:rPr>
              <w:t>～</w:t>
            </w:r>
            <w:r>
              <w:rPr>
                <w:rFonts w:hint="eastAsia" w:ascii="宋体" w:cs="宋体"/>
                <w:bCs/>
                <w:sz w:val="18"/>
                <w:szCs w:val="21"/>
              </w:rPr>
              <w:t>5</w:t>
            </w:r>
            <w:r>
              <w:rPr>
                <w:rFonts w:hint="eastAsia" w:ascii="宋体" w:cs="宋体"/>
                <w:bCs/>
                <w:sz w:val="18"/>
                <w:szCs w:val="21"/>
                <w:lang w:val="zh-CN"/>
              </w:rPr>
              <w:t>分，【良好】得</w:t>
            </w:r>
            <w:r>
              <w:rPr>
                <w:rFonts w:hint="eastAsia" w:ascii="宋体" w:cs="宋体"/>
                <w:bCs/>
                <w:sz w:val="18"/>
                <w:szCs w:val="21"/>
              </w:rPr>
              <w:t>4</w:t>
            </w:r>
            <w:r>
              <w:rPr>
                <w:rFonts w:hint="eastAsia" w:ascii="宋体" w:cs="宋体"/>
                <w:bCs/>
                <w:sz w:val="18"/>
                <w:szCs w:val="21"/>
                <w:lang w:val="zh-CN"/>
              </w:rPr>
              <w:t>～</w:t>
            </w:r>
            <w:r>
              <w:rPr>
                <w:rFonts w:hint="eastAsia" w:ascii="宋体" w:cs="宋体"/>
                <w:bCs/>
                <w:sz w:val="18"/>
                <w:szCs w:val="21"/>
              </w:rPr>
              <w:t>3</w:t>
            </w:r>
            <w:r>
              <w:rPr>
                <w:rFonts w:hint="eastAsia" w:ascii="宋体" w:cs="宋体"/>
                <w:bCs/>
                <w:sz w:val="18"/>
                <w:szCs w:val="21"/>
                <w:lang w:val="zh-CN"/>
              </w:rPr>
              <w:t>分，【一般】得</w:t>
            </w:r>
            <w:r>
              <w:rPr>
                <w:rFonts w:hint="eastAsia" w:ascii="宋体" w:cs="宋体"/>
                <w:bCs/>
                <w:sz w:val="18"/>
                <w:szCs w:val="21"/>
              </w:rPr>
              <w:t>2</w:t>
            </w:r>
            <w:r>
              <w:rPr>
                <w:rFonts w:hint="eastAsia" w:ascii="宋体" w:cs="宋体"/>
                <w:bCs/>
                <w:sz w:val="18"/>
                <w:szCs w:val="21"/>
                <w:lang w:val="zh-CN"/>
              </w:rPr>
              <w:t>～1分，无得0分。</w:t>
            </w:r>
          </w:p>
          <w:p>
            <w:pPr>
              <w:pStyle w:val="259"/>
              <w:topLinePunct/>
              <w:rPr>
                <w:rFonts w:ascii="宋体" w:cs="宋体"/>
                <w:bCs/>
                <w:sz w:val="18"/>
                <w:szCs w:val="21"/>
                <w:lang w:val="zh-CN"/>
              </w:rPr>
            </w:pPr>
            <w:r>
              <w:rPr>
                <w:rFonts w:hint="eastAsia" w:ascii="宋体" w:cs="宋体"/>
                <w:sz w:val="18"/>
                <w:szCs w:val="21"/>
              </w:rPr>
              <w:t>注：具体评分细则详见下附表</w:t>
            </w:r>
            <w:r>
              <w:rPr>
                <w:rFonts w:hint="eastAsia" w:ascii="宋体" w:cs="宋体"/>
                <w:b/>
                <w:sz w:val="18"/>
                <w:szCs w:val="21"/>
              </w:rPr>
              <w:t>《</w:t>
            </w:r>
            <w:r>
              <w:rPr>
                <w:rFonts w:hint="eastAsia" w:ascii="宋体" w:cs="宋体"/>
                <w:b/>
                <w:sz w:val="18"/>
                <w:szCs w:val="21"/>
                <w:lang w:val="zh-CN"/>
              </w:rPr>
              <w:t>项目实施组织方案部分编制需求表</w:t>
            </w:r>
            <w:r>
              <w:rPr>
                <w:rFonts w:hint="eastAsia" w:ascii="宋体" w:cs="宋体"/>
                <w:b/>
                <w:sz w:val="18"/>
                <w:szCs w:val="21"/>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进度控制措施</w:t>
            </w:r>
          </w:p>
        </w:tc>
        <w:tc>
          <w:tcPr>
            <w:tcW w:w="27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rPr>
              <w:t>7</w:t>
            </w:r>
          </w:p>
        </w:tc>
        <w:tc>
          <w:tcPr>
            <w:tcW w:w="3290" w:type="pct"/>
            <w:vAlign w:val="center"/>
          </w:tcPr>
          <w:p>
            <w:pPr>
              <w:pStyle w:val="259"/>
              <w:topLinePunct/>
              <w:rPr>
                <w:rFonts w:ascii="宋体" w:cs="宋体"/>
                <w:bCs/>
                <w:sz w:val="18"/>
                <w:szCs w:val="21"/>
                <w:lang w:val="zh-CN"/>
              </w:rPr>
            </w:pPr>
            <w:r>
              <w:rPr>
                <w:rFonts w:hint="eastAsia" w:ascii="宋体" w:cs="宋体"/>
                <w:bCs/>
                <w:sz w:val="18"/>
                <w:szCs w:val="21"/>
                <w:lang w:val="zh-CN"/>
              </w:rPr>
              <w:t>合本项目《项目实施组织方案部分编制需求》编制施工总进度计划及工期保证措施，【优秀】得</w:t>
            </w:r>
            <w:r>
              <w:rPr>
                <w:rFonts w:hint="eastAsia" w:ascii="宋体" w:cs="宋体"/>
                <w:bCs/>
                <w:sz w:val="18"/>
                <w:szCs w:val="21"/>
              </w:rPr>
              <w:t>7</w:t>
            </w:r>
            <w:r>
              <w:rPr>
                <w:rFonts w:hint="eastAsia" w:ascii="宋体" w:cs="宋体"/>
                <w:bCs/>
                <w:sz w:val="18"/>
                <w:szCs w:val="21"/>
                <w:lang w:val="zh-CN"/>
              </w:rPr>
              <w:t>～</w:t>
            </w:r>
            <w:r>
              <w:rPr>
                <w:rFonts w:hint="eastAsia" w:ascii="宋体" w:cs="宋体"/>
                <w:bCs/>
                <w:sz w:val="18"/>
                <w:szCs w:val="21"/>
              </w:rPr>
              <w:t>5</w:t>
            </w:r>
            <w:r>
              <w:rPr>
                <w:rFonts w:hint="eastAsia" w:ascii="宋体" w:cs="宋体"/>
                <w:bCs/>
                <w:sz w:val="18"/>
                <w:szCs w:val="21"/>
                <w:lang w:val="zh-CN"/>
              </w:rPr>
              <w:t>分，【良好】得</w:t>
            </w:r>
            <w:r>
              <w:rPr>
                <w:rFonts w:hint="eastAsia" w:ascii="宋体" w:cs="宋体"/>
                <w:bCs/>
                <w:sz w:val="18"/>
                <w:szCs w:val="21"/>
              </w:rPr>
              <w:t>4</w:t>
            </w:r>
            <w:r>
              <w:rPr>
                <w:rFonts w:hint="eastAsia" w:ascii="宋体" w:cs="宋体"/>
                <w:bCs/>
                <w:sz w:val="18"/>
                <w:szCs w:val="21"/>
                <w:lang w:val="zh-CN"/>
              </w:rPr>
              <w:t>～</w:t>
            </w:r>
            <w:r>
              <w:rPr>
                <w:rFonts w:hint="eastAsia" w:ascii="宋体" w:cs="宋体"/>
                <w:bCs/>
                <w:sz w:val="18"/>
                <w:szCs w:val="21"/>
              </w:rPr>
              <w:t>3</w:t>
            </w:r>
            <w:r>
              <w:rPr>
                <w:rFonts w:hint="eastAsia" w:ascii="宋体" w:cs="宋体"/>
                <w:bCs/>
                <w:sz w:val="18"/>
                <w:szCs w:val="21"/>
                <w:lang w:val="zh-CN"/>
              </w:rPr>
              <w:t>分，【一般】得</w:t>
            </w:r>
            <w:r>
              <w:rPr>
                <w:rFonts w:hint="eastAsia" w:ascii="宋体" w:cs="宋体"/>
                <w:bCs/>
                <w:sz w:val="18"/>
                <w:szCs w:val="21"/>
              </w:rPr>
              <w:t>2</w:t>
            </w:r>
            <w:r>
              <w:rPr>
                <w:rFonts w:hint="eastAsia" w:ascii="宋体" w:cs="宋体"/>
                <w:bCs/>
                <w:sz w:val="18"/>
                <w:szCs w:val="21"/>
                <w:lang w:val="zh-CN"/>
              </w:rPr>
              <w:t>～1分，无得0分。</w:t>
            </w:r>
          </w:p>
          <w:p>
            <w:pPr>
              <w:pStyle w:val="259"/>
              <w:topLinePunct/>
              <w:rPr>
                <w:rFonts w:ascii="宋体" w:cs="宋体"/>
                <w:bCs/>
                <w:sz w:val="18"/>
                <w:szCs w:val="21"/>
                <w:lang w:val="zh-CN"/>
              </w:rPr>
            </w:pPr>
            <w:r>
              <w:rPr>
                <w:rFonts w:hint="eastAsia" w:ascii="宋体" w:cs="宋体"/>
                <w:sz w:val="18"/>
                <w:szCs w:val="21"/>
              </w:rPr>
              <w:t>注：具体评分细则详见下附表</w:t>
            </w:r>
            <w:r>
              <w:rPr>
                <w:rFonts w:hint="eastAsia" w:ascii="宋体" w:cs="宋体"/>
                <w:b/>
                <w:sz w:val="18"/>
                <w:szCs w:val="21"/>
              </w:rPr>
              <w:t>《</w:t>
            </w:r>
            <w:r>
              <w:rPr>
                <w:rFonts w:hint="eastAsia" w:ascii="宋体" w:cs="宋体"/>
                <w:b/>
                <w:sz w:val="18"/>
                <w:szCs w:val="21"/>
                <w:lang w:val="zh-CN"/>
              </w:rPr>
              <w:t>项目实施组织方案部分编制需求表</w:t>
            </w:r>
            <w:r>
              <w:rPr>
                <w:rFonts w:hint="eastAsia" w:ascii="宋体" w:cs="宋体"/>
                <w:b/>
                <w:sz w:val="18"/>
                <w:szCs w:val="21"/>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质量控制措施</w:t>
            </w:r>
          </w:p>
        </w:tc>
        <w:tc>
          <w:tcPr>
            <w:tcW w:w="27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rPr>
              <w:t>5</w:t>
            </w:r>
          </w:p>
        </w:tc>
        <w:tc>
          <w:tcPr>
            <w:tcW w:w="3290" w:type="pct"/>
            <w:vAlign w:val="center"/>
          </w:tcPr>
          <w:p>
            <w:pPr>
              <w:pStyle w:val="259"/>
              <w:topLinePunct/>
              <w:rPr>
                <w:rFonts w:ascii="宋体" w:cs="宋体"/>
                <w:bCs/>
                <w:sz w:val="18"/>
                <w:szCs w:val="21"/>
                <w:lang w:val="zh-CN"/>
              </w:rPr>
            </w:pPr>
            <w:r>
              <w:rPr>
                <w:rFonts w:hint="eastAsia" w:ascii="宋体" w:cs="宋体"/>
                <w:bCs/>
                <w:sz w:val="18"/>
                <w:szCs w:val="21"/>
                <w:lang w:val="zh-CN"/>
              </w:rPr>
              <w:t>合本项目《项目实施组织方案部分编制需求》编制质量管理水平及保证措施，【优秀】得</w:t>
            </w:r>
            <w:r>
              <w:rPr>
                <w:rFonts w:hint="eastAsia" w:ascii="宋体" w:cs="宋体"/>
                <w:bCs/>
                <w:sz w:val="18"/>
                <w:szCs w:val="21"/>
              </w:rPr>
              <w:t>5</w:t>
            </w:r>
            <w:bookmarkStart w:id="261" w:name="_GoBack"/>
            <w:bookmarkEnd w:id="261"/>
            <w:r>
              <w:rPr>
                <w:rFonts w:hint="eastAsia" w:ascii="宋体" w:cs="宋体"/>
                <w:bCs/>
                <w:sz w:val="18"/>
                <w:szCs w:val="21"/>
                <w:lang w:val="zh-CN"/>
              </w:rPr>
              <w:t>分，【良好】得</w:t>
            </w:r>
            <w:r>
              <w:rPr>
                <w:rFonts w:hint="eastAsia" w:ascii="宋体" w:cs="宋体"/>
                <w:bCs/>
                <w:sz w:val="18"/>
                <w:szCs w:val="21"/>
              </w:rPr>
              <w:t>4</w:t>
            </w:r>
            <w:r>
              <w:rPr>
                <w:rFonts w:hint="eastAsia" w:ascii="宋体" w:cs="宋体"/>
                <w:bCs/>
                <w:sz w:val="18"/>
                <w:szCs w:val="21"/>
                <w:lang w:val="zh-CN"/>
              </w:rPr>
              <w:t>～</w:t>
            </w:r>
            <w:r>
              <w:rPr>
                <w:rFonts w:hint="eastAsia" w:ascii="宋体" w:cs="宋体"/>
                <w:bCs/>
                <w:sz w:val="18"/>
                <w:szCs w:val="21"/>
              </w:rPr>
              <w:t>3</w:t>
            </w:r>
            <w:r>
              <w:rPr>
                <w:rFonts w:hint="eastAsia" w:ascii="宋体" w:cs="宋体"/>
                <w:bCs/>
                <w:sz w:val="18"/>
                <w:szCs w:val="21"/>
                <w:lang w:val="zh-CN"/>
              </w:rPr>
              <w:t>分，【一般】得</w:t>
            </w:r>
            <w:r>
              <w:rPr>
                <w:rFonts w:hint="eastAsia" w:ascii="宋体" w:cs="宋体"/>
                <w:bCs/>
                <w:sz w:val="18"/>
                <w:szCs w:val="21"/>
              </w:rPr>
              <w:t>2</w:t>
            </w:r>
            <w:r>
              <w:rPr>
                <w:rFonts w:hint="eastAsia" w:ascii="宋体" w:cs="宋体"/>
                <w:bCs/>
                <w:sz w:val="18"/>
                <w:szCs w:val="21"/>
                <w:lang w:val="zh-CN"/>
              </w:rPr>
              <w:t>～1分，无得0分。</w:t>
            </w:r>
          </w:p>
          <w:p>
            <w:pPr>
              <w:pStyle w:val="259"/>
              <w:topLinePunct/>
              <w:rPr>
                <w:rFonts w:ascii="宋体" w:cs="宋体"/>
                <w:bCs/>
                <w:sz w:val="18"/>
                <w:szCs w:val="21"/>
                <w:lang w:val="zh-CN"/>
              </w:rPr>
            </w:pPr>
            <w:r>
              <w:rPr>
                <w:rFonts w:hint="eastAsia" w:ascii="宋体" w:cs="宋体"/>
                <w:sz w:val="18"/>
                <w:szCs w:val="21"/>
              </w:rPr>
              <w:t>注：具体评分细则详见下附表</w:t>
            </w:r>
            <w:r>
              <w:rPr>
                <w:rFonts w:hint="eastAsia" w:ascii="宋体" w:cs="宋体"/>
                <w:b/>
                <w:sz w:val="18"/>
                <w:szCs w:val="21"/>
              </w:rPr>
              <w:t>《</w:t>
            </w:r>
            <w:r>
              <w:rPr>
                <w:rFonts w:hint="eastAsia" w:ascii="宋体" w:cs="宋体"/>
                <w:b/>
                <w:sz w:val="18"/>
                <w:szCs w:val="21"/>
                <w:lang w:val="zh-CN"/>
              </w:rPr>
              <w:t>项目实施组织方案部分编制需求表</w:t>
            </w:r>
            <w:r>
              <w:rPr>
                <w:rFonts w:hint="eastAsia" w:ascii="宋体" w:cs="宋体"/>
                <w:b/>
                <w:sz w:val="18"/>
                <w:szCs w:val="21"/>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绿色、节能、安全控制措施</w:t>
            </w:r>
          </w:p>
        </w:tc>
        <w:tc>
          <w:tcPr>
            <w:tcW w:w="27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rPr>
              <w:t>2</w:t>
            </w:r>
          </w:p>
        </w:tc>
        <w:tc>
          <w:tcPr>
            <w:tcW w:w="3290" w:type="pct"/>
            <w:vAlign w:val="center"/>
          </w:tcPr>
          <w:p>
            <w:pPr>
              <w:pStyle w:val="259"/>
              <w:topLinePunct/>
              <w:rPr>
                <w:rFonts w:ascii="宋体" w:cs="宋体"/>
                <w:bCs/>
                <w:sz w:val="18"/>
                <w:szCs w:val="21"/>
                <w:lang w:val="zh-CN"/>
              </w:rPr>
            </w:pPr>
            <w:r>
              <w:rPr>
                <w:rFonts w:hint="eastAsia" w:ascii="宋体" w:cs="宋体"/>
                <w:bCs/>
                <w:sz w:val="18"/>
                <w:szCs w:val="21"/>
                <w:lang w:val="zh-CN"/>
              </w:rPr>
              <w:t>合本项目《项目实施组织方案部分编制需求》编制完善的绿色、节能、安全控制措施，【优秀】得</w:t>
            </w:r>
            <w:r>
              <w:rPr>
                <w:rFonts w:hint="eastAsia" w:ascii="宋体" w:cs="宋体"/>
                <w:bCs/>
                <w:sz w:val="18"/>
                <w:szCs w:val="21"/>
              </w:rPr>
              <w:t>2</w:t>
            </w:r>
            <w:r>
              <w:rPr>
                <w:rFonts w:hint="eastAsia" w:ascii="宋体" w:cs="宋体"/>
                <w:bCs/>
                <w:sz w:val="18"/>
                <w:szCs w:val="21"/>
                <w:lang w:val="zh-CN"/>
              </w:rPr>
              <w:t>分，【良好】得</w:t>
            </w:r>
            <w:r>
              <w:rPr>
                <w:rFonts w:hint="eastAsia" w:ascii="宋体" w:cs="宋体"/>
                <w:bCs/>
                <w:sz w:val="18"/>
                <w:szCs w:val="21"/>
              </w:rPr>
              <w:t>1</w:t>
            </w:r>
            <w:r>
              <w:rPr>
                <w:rFonts w:hint="eastAsia" w:ascii="宋体" w:cs="宋体"/>
                <w:bCs/>
                <w:sz w:val="18"/>
                <w:szCs w:val="21"/>
                <w:lang w:val="zh-CN"/>
              </w:rPr>
              <w:t>分，无得0分。</w:t>
            </w:r>
          </w:p>
          <w:p>
            <w:pPr>
              <w:pStyle w:val="259"/>
              <w:topLinePunct/>
              <w:rPr>
                <w:rFonts w:ascii="宋体" w:cs="宋体"/>
                <w:bCs/>
                <w:sz w:val="18"/>
                <w:szCs w:val="21"/>
                <w:lang w:val="zh-CN"/>
              </w:rPr>
            </w:pPr>
            <w:r>
              <w:rPr>
                <w:rFonts w:hint="eastAsia" w:ascii="宋体" w:cs="宋体"/>
                <w:sz w:val="18"/>
                <w:szCs w:val="21"/>
              </w:rPr>
              <w:t>注：具体评分细则详见下附表</w:t>
            </w:r>
            <w:r>
              <w:rPr>
                <w:rFonts w:hint="eastAsia" w:ascii="宋体" w:cs="宋体"/>
                <w:b/>
                <w:sz w:val="18"/>
                <w:szCs w:val="21"/>
              </w:rPr>
              <w:t>《</w:t>
            </w:r>
            <w:r>
              <w:rPr>
                <w:rFonts w:hint="eastAsia" w:ascii="宋体" w:cs="宋体"/>
                <w:b/>
                <w:sz w:val="18"/>
                <w:szCs w:val="21"/>
                <w:lang w:val="zh-CN"/>
              </w:rPr>
              <w:t>项目实施组织方案部分编制需求表</w:t>
            </w:r>
            <w:r>
              <w:rPr>
                <w:rFonts w:hint="eastAsia" w:ascii="宋体" w:cs="宋体"/>
                <w:b/>
                <w:sz w:val="18"/>
                <w:szCs w:val="21"/>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设计和施工融合措施</w:t>
            </w:r>
          </w:p>
        </w:tc>
        <w:tc>
          <w:tcPr>
            <w:tcW w:w="27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rPr>
              <w:t>2</w:t>
            </w:r>
          </w:p>
        </w:tc>
        <w:tc>
          <w:tcPr>
            <w:tcW w:w="3290" w:type="pct"/>
            <w:vAlign w:val="center"/>
          </w:tcPr>
          <w:p>
            <w:pPr>
              <w:pStyle w:val="259"/>
              <w:topLinePunct/>
              <w:rPr>
                <w:rFonts w:ascii="宋体" w:cs="宋体"/>
                <w:bCs/>
                <w:sz w:val="18"/>
                <w:szCs w:val="21"/>
                <w:lang w:val="zh-CN"/>
              </w:rPr>
            </w:pPr>
            <w:r>
              <w:rPr>
                <w:rFonts w:hint="eastAsia" w:ascii="宋体" w:cs="宋体"/>
                <w:bCs/>
                <w:sz w:val="18"/>
                <w:szCs w:val="21"/>
                <w:lang w:val="zh-CN"/>
              </w:rPr>
              <w:t>合本项目《项目实施组织方案部分编制需求》编制设计和施工的融合措施，【优秀】得</w:t>
            </w:r>
            <w:r>
              <w:rPr>
                <w:rFonts w:hint="eastAsia" w:ascii="宋体" w:cs="宋体"/>
                <w:bCs/>
                <w:sz w:val="18"/>
                <w:szCs w:val="21"/>
              </w:rPr>
              <w:t>2</w:t>
            </w:r>
            <w:r>
              <w:rPr>
                <w:rFonts w:hint="eastAsia" w:ascii="宋体" w:cs="宋体"/>
                <w:bCs/>
                <w:sz w:val="18"/>
                <w:szCs w:val="21"/>
                <w:lang w:val="zh-CN"/>
              </w:rPr>
              <w:t>分，【良好】得</w:t>
            </w:r>
            <w:r>
              <w:rPr>
                <w:rFonts w:hint="eastAsia" w:ascii="宋体" w:cs="宋体"/>
                <w:bCs/>
                <w:sz w:val="18"/>
                <w:szCs w:val="21"/>
              </w:rPr>
              <w:t>1</w:t>
            </w:r>
            <w:r>
              <w:rPr>
                <w:rFonts w:hint="eastAsia" w:ascii="宋体" w:cs="宋体"/>
                <w:bCs/>
                <w:sz w:val="18"/>
                <w:szCs w:val="21"/>
                <w:lang w:val="zh-CN"/>
              </w:rPr>
              <w:t>分，无得0分。</w:t>
            </w:r>
          </w:p>
          <w:p>
            <w:pPr>
              <w:pStyle w:val="259"/>
              <w:topLinePunct/>
              <w:rPr>
                <w:rFonts w:ascii="宋体" w:cs="宋体"/>
                <w:bCs/>
                <w:sz w:val="18"/>
                <w:szCs w:val="21"/>
                <w:lang w:val="zh-CN"/>
              </w:rPr>
            </w:pPr>
            <w:r>
              <w:rPr>
                <w:rFonts w:hint="eastAsia" w:ascii="宋体" w:cs="宋体"/>
                <w:sz w:val="18"/>
                <w:szCs w:val="21"/>
              </w:rPr>
              <w:t>注：具体评分细则详见下附表</w:t>
            </w:r>
            <w:r>
              <w:rPr>
                <w:rFonts w:hint="eastAsia" w:ascii="宋体" w:cs="宋体"/>
                <w:b/>
                <w:sz w:val="18"/>
                <w:szCs w:val="21"/>
              </w:rPr>
              <w:t>《</w:t>
            </w:r>
            <w:r>
              <w:rPr>
                <w:rFonts w:hint="eastAsia" w:ascii="宋体" w:cs="宋体"/>
                <w:b/>
                <w:sz w:val="18"/>
                <w:szCs w:val="21"/>
                <w:lang w:val="zh-CN"/>
              </w:rPr>
              <w:t>项目实施组织方案部分编制需求表</w:t>
            </w:r>
            <w:r>
              <w:rPr>
                <w:rFonts w:hint="eastAsia" w:ascii="宋体" w:cs="宋体"/>
                <w:b/>
                <w:sz w:val="18"/>
                <w:szCs w:val="21"/>
              </w:rPr>
              <w:t>》。</w:t>
            </w:r>
          </w:p>
        </w:tc>
        <w:tc>
          <w:tcPr>
            <w:tcW w:w="65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如为联合体投标，由联合体施工方提供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98"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四、设计方案部分（</w:t>
            </w:r>
            <w:r>
              <w:rPr>
                <w:rFonts w:hint="eastAsia" w:ascii="宋体" w:cs="宋体"/>
                <w:bCs/>
                <w:sz w:val="18"/>
                <w:szCs w:val="18"/>
              </w:rPr>
              <w:t>20分</w:t>
            </w:r>
            <w:r>
              <w:rPr>
                <w:rFonts w:hint="eastAsia" w:ascii="宋体" w:cs="宋体"/>
                <w:bCs/>
                <w:sz w:val="18"/>
                <w:szCs w:val="18"/>
                <w:lang w:val="zh-CN"/>
              </w:rPr>
              <w:t>）</w:t>
            </w: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本工程的认识</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2</w:t>
            </w:r>
          </w:p>
        </w:tc>
        <w:tc>
          <w:tcPr>
            <w:tcW w:w="3290" w:type="pct"/>
            <w:vAlign w:val="center"/>
          </w:tcPr>
          <w:p>
            <w:pPr>
              <w:autoSpaceDE w:val="0"/>
              <w:autoSpaceDN w:val="0"/>
              <w:rPr>
                <w:rFonts w:ascii="宋体" w:cs="宋体"/>
                <w:bCs/>
                <w:sz w:val="18"/>
                <w:szCs w:val="21"/>
                <w:lang w:val="zh-CN"/>
              </w:rPr>
            </w:pPr>
            <w:r>
              <w:rPr>
                <w:rFonts w:hint="eastAsia" w:ascii="宋体" w:cs="宋体"/>
                <w:bCs/>
                <w:sz w:val="18"/>
                <w:szCs w:val="21"/>
                <w:lang w:val="zh-CN"/>
              </w:rPr>
              <w:t>对项目所在地</w:t>
            </w:r>
            <w:r>
              <w:rPr>
                <w:rFonts w:ascii="宋体" w:cs="宋体"/>
                <w:bCs/>
                <w:sz w:val="18"/>
                <w:szCs w:val="21"/>
                <w:lang w:val="zh-CN"/>
              </w:rPr>
              <w:t>规划、定位的</w:t>
            </w:r>
            <w:r>
              <w:rPr>
                <w:rFonts w:hint="eastAsia" w:ascii="宋体" w:cs="宋体"/>
                <w:bCs/>
                <w:sz w:val="18"/>
                <w:szCs w:val="21"/>
                <w:lang w:val="zh-CN"/>
              </w:rPr>
              <w:t>理解透彻，设计方案符合规划要求；熟悉本项目所在区域特点；工作范围和任务描述准确具体，设计思路清晰，图文并茂，符合实际情况，理念及立意构思同项目品质的</w:t>
            </w:r>
            <w:r>
              <w:rPr>
                <w:rFonts w:ascii="宋体" w:cs="宋体"/>
                <w:bCs/>
                <w:sz w:val="18"/>
                <w:szCs w:val="21"/>
                <w:lang w:val="zh-CN"/>
              </w:rPr>
              <w:t xml:space="preserve">贴合情况。 </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2</w:t>
            </w:r>
            <w:r>
              <w:rPr>
                <w:rFonts w:hint="eastAsia" w:ascii="宋体" w:cs="宋体"/>
                <w:bCs/>
                <w:sz w:val="18"/>
                <w:szCs w:val="21"/>
                <w:lang w:val="zh-CN"/>
              </w:rPr>
              <w:t>分：（优得</w:t>
            </w:r>
            <w:r>
              <w:rPr>
                <w:rFonts w:ascii="宋体" w:cs="宋体"/>
                <w:bCs/>
                <w:sz w:val="18"/>
                <w:szCs w:val="21"/>
                <w:lang w:val="zh-CN"/>
              </w:rPr>
              <w:t>2</w:t>
            </w:r>
            <w:r>
              <w:rPr>
                <w:rFonts w:hint="eastAsia" w:ascii="宋体" w:cs="宋体"/>
                <w:bCs/>
                <w:sz w:val="18"/>
                <w:szCs w:val="21"/>
                <w:lang w:val="zh-CN"/>
              </w:rPr>
              <w:t>分，良好得</w:t>
            </w:r>
            <w:r>
              <w:rPr>
                <w:rFonts w:ascii="宋体" w:cs="宋体"/>
                <w:bCs/>
                <w:sz w:val="18"/>
                <w:szCs w:val="21"/>
                <w:lang w:val="zh-CN"/>
              </w:rPr>
              <w:t>1</w:t>
            </w:r>
            <w:r>
              <w:rPr>
                <w:rFonts w:hint="eastAsia" w:ascii="宋体" w:cs="宋体"/>
                <w:bCs/>
                <w:sz w:val="18"/>
                <w:szCs w:val="21"/>
                <w:lang w:val="zh-CN"/>
              </w:rPr>
              <w:t>分，一般得</w:t>
            </w:r>
            <w:r>
              <w:rPr>
                <w:rFonts w:ascii="宋体" w:cs="宋体"/>
                <w:bCs/>
                <w:sz w:val="18"/>
                <w:szCs w:val="21"/>
                <w:lang w:val="zh-CN"/>
              </w:rPr>
              <w:t>0.5</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本项目的了解</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2</w:t>
            </w:r>
          </w:p>
        </w:tc>
        <w:tc>
          <w:tcPr>
            <w:tcW w:w="3290" w:type="pct"/>
            <w:vAlign w:val="center"/>
          </w:tcPr>
          <w:p>
            <w:pPr>
              <w:autoSpaceDE w:val="0"/>
              <w:autoSpaceDN w:val="0"/>
              <w:rPr>
                <w:rFonts w:ascii="宋体" w:cs="宋体"/>
                <w:bCs/>
                <w:sz w:val="18"/>
                <w:szCs w:val="21"/>
                <w:lang w:val="zh-CN"/>
              </w:rPr>
            </w:pPr>
            <w:r>
              <w:rPr>
                <w:rFonts w:hint="eastAsia" w:ascii="宋体" w:cs="宋体"/>
                <w:bCs/>
                <w:sz w:val="18"/>
                <w:szCs w:val="21"/>
                <w:lang w:val="zh-CN"/>
              </w:rPr>
              <w:t>对系统现状情况有充分的了解分析，工程设计基础资料翔实可靠，全面掌握地形条件、水文条件、地质条件等，水量预测、水质分析详细准确。</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2</w:t>
            </w:r>
            <w:r>
              <w:rPr>
                <w:rFonts w:hint="eastAsia" w:ascii="宋体" w:cs="宋体"/>
                <w:bCs/>
                <w:sz w:val="18"/>
                <w:szCs w:val="21"/>
                <w:lang w:val="zh-CN"/>
              </w:rPr>
              <w:t>分：（优得</w:t>
            </w:r>
            <w:r>
              <w:rPr>
                <w:rFonts w:ascii="宋体" w:cs="宋体"/>
                <w:bCs/>
                <w:sz w:val="18"/>
                <w:szCs w:val="21"/>
                <w:lang w:val="zh-CN"/>
              </w:rPr>
              <w:t>2</w:t>
            </w:r>
            <w:r>
              <w:rPr>
                <w:rFonts w:hint="eastAsia" w:ascii="宋体" w:cs="宋体"/>
                <w:bCs/>
                <w:sz w:val="18"/>
                <w:szCs w:val="21"/>
                <w:lang w:val="zh-CN"/>
              </w:rPr>
              <w:t>分，良好得</w:t>
            </w:r>
            <w:r>
              <w:rPr>
                <w:rFonts w:ascii="宋体" w:cs="宋体"/>
                <w:bCs/>
                <w:sz w:val="18"/>
                <w:szCs w:val="21"/>
                <w:lang w:val="zh-CN"/>
              </w:rPr>
              <w:t>1</w:t>
            </w:r>
            <w:r>
              <w:rPr>
                <w:rFonts w:hint="eastAsia" w:ascii="宋体" w:cs="宋体"/>
                <w:bCs/>
                <w:sz w:val="18"/>
                <w:szCs w:val="21"/>
                <w:lang w:val="zh-CN"/>
              </w:rPr>
              <w:t>分，一般得</w:t>
            </w:r>
            <w:r>
              <w:rPr>
                <w:rFonts w:ascii="宋体" w:cs="宋体"/>
                <w:bCs/>
                <w:sz w:val="18"/>
                <w:szCs w:val="21"/>
                <w:lang w:val="zh-CN"/>
              </w:rPr>
              <w:t>0.5</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项目重点难点分析及应对措施</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2</w:t>
            </w:r>
          </w:p>
        </w:tc>
        <w:tc>
          <w:tcPr>
            <w:tcW w:w="3290" w:type="pct"/>
            <w:vAlign w:val="center"/>
          </w:tcPr>
          <w:p>
            <w:pPr>
              <w:autoSpaceDE w:val="0"/>
              <w:autoSpaceDN w:val="0"/>
              <w:rPr>
                <w:rFonts w:ascii="宋体" w:cs="宋体"/>
                <w:bCs/>
                <w:sz w:val="18"/>
                <w:szCs w:val="21"/>
                <w:lang w:val="zh-CN"/>
              </w:rPr>
            </w:pPr>
            <w:r>
              <w:rPr>
                <w:rFonts w:hint="eastAsia" w:ascii="宋体" w:cs="宋体"/>
                <w:bCs/>
                <w:sz w:val="18"/>
                <w:szCs w:val="21"/>
                <w:lang w:val="zh-CN"/>
              </w:rPr>
              <w:t>对本项目设计重点、难点的把握正确，具有科学、合理、可行及具体措施的合理化建议，并能提出一定应对措施。</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2</w:t>
            </w:r>
            <w:r>
              <w:rPr>
                <w:rFonts w:hint="eastAsia" w:ascii="宋体" w:cs="宋体"/>
                <w:bCs/>
                <w:sz w:val="18"/>
                <w:szCs w:val="21"/>
                <w:lang w:val="zh-CN"/>
              </w:rPr>
              <w:t>分：（优得</w:t>
            </w:r>
            <w:r>
              <w:rPr>
                <w:rFonts w:ascii="宋体" w:cs="宋体"/>
                <w:bCs/>
                <w:sz w:val="18"/>
                <w:szCs w:val="21"/>
                <w:lang w:val="zh-CN"/>
              </w:rPr>
              <w:t>2</w:t>
            </w:r>
            <w:r>
              <w:rPr>
                <w:rFonts w:hint="eastAsia" w:ascii="宋体" w:cs="宋体"/>
                <w:bCs/>
                <w:sz w:val="18"/>
                <w:szCs w:val="21"/>
                <w:lang w:val="zh-CN"/>
              </w:rPr>
              <w:t>分；良好得</w:t>
            </w:r>
            <w:r>
              <w:rPr>
                <w:rFonts w:ascii="宋体" w:cs="宋体"/>
                <w:bCs/>
                <w:sz w:val="18"/>
                <w:szCs w:val="21"/>
                <w:lang w:val="zh-CN"/>
              </w:rPr>
              <w:t>1</w:t>
            </w:r>
            <w:r>
              <w:rPr>
                <w:rFonts w:hint="eastAsia" w:ascii="宋体" w:cs="宋体"/>
                <w:bCs/>
                <w:sz w:val="18"/>
                <w:szCs w:val="21"/>
                <w:lang w:val="zh-CN"/>
              </w:rPr>
              <w:t>分；一般得</w:t>
            </w:r>
            <w:r>
              <w:rPr>
                <w:rFonts w:ascii="宋体" w:cs="宋体"/>
                <w:bCs/>
                <w:sz w:val="18"/>
                <w:szCs w:val="21"/>
                <w:lang w:val="zh-CN"/>
              </w:rPr>
              <w:t>0.5</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utoSpaceDE w:val="0"/>
              <w:autoSpaceDN w:val="0"/>
              <w:adjustRightInd w:val="0"/>
              <w:snapToGrid w:val="0"/>
              <w:jc w:val="center"/>
              <w:rPr>
                <w:rFonts w:ascii="宋体" w:cs="宋体"/>
                <w:bCs/>
                <w:sz w:val="18"/>
                <w:szCs w:val="18"/>
                <w:lang w:val="zh-CN"/>
              </w:rPr>
            </w:pPr>
            <w:r>
              <w:rPr>
                <w:rFonts w:hint="eastAsia" w:ascii="宋体" w:cs="宋体"/>
                <w:bCs/>
                <w:sz w:val="18"/>
                <w:szCs w:val="18"/>
                <w:lang w:val="zh-CN"/>
              </w:rPr>
              <w:t>方案设计</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7</w:t>
            </w:r>
          </w:p>
        </w:tc>
        <w:tc>
          <w:tcPr>
            <w:tcW w:w="3290" w:type="pct"/>
            <w:vAlign w:val="center"/>
          </w:tcPr>
          <w:p>
            <w:pPr>
              <w:widowControl/>
              <w:jc w:val="left"/>
              <w:rPr>
                <w:rFonts w:ascii="宋体" w:cs="宋体"/>
                <w:bCs/>
                <w:sz w:val="18"/>
                <w:szCs w:val="21"/>
                <w:lang w:val="zh-CN"/>
              </w:rPr>
            </w:pPr>
            <w:r>
              <w:rPr>
                <w:rFonts w:hint="eastAsia" w:ascii="宋体" w:cs="宋体"/>
                <w:bCs/>
                <w:sz w:val="18"/>
                <w:szCs w:val="21"/>
                <w:lang w:val="zh-CN"/>
              </w:rPr>
              <w:t xml:space="preserve">工艺方案论证应系统全面，水、泥、气等处理工艺及工艺参数选择合理；方案设计内容全面完善，污水处理、污泥处理工艺、除臭工艺等应稳定、可靠、灵活、适应性强、抗冲击能力强、运行管理便捷。 </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7</w:t>
            </w:r>
            <w:r>
              <w:rPr>
                <w:rFonts w:hint="eastAsia" w:ascii="宋体" w:cs="宋体"/>
                <w:bCs/>
                <w:sz w:val="18"/>
                <w:szCs w:val="21"/>
                <w:lang w:val="zh-CN"/>
              </w:rPr>
              <w:t>分：（优得</w:t>
            </w:r>
            <w:r>
              <w:rPr>
                <w:rFonts w:ascii="宋体" w:cs="宋体"/>
                <w:bCs/>
                <w:sz w:val="18"/>
                <w:szCs w:val="21"/>
                <w:lang w:val="zh-CN"/>
              </w:rPr>
              <w:t>7</w:t>
            </w:r>
            <w:r>
              <w:rPr>
                <w:rFonts w:hint="eastAsia" w:ascii="宋体" w:cs="宋体"/>
                <w:bCs/>
                <w:sz w:val="18"/>
                <w:szCs w:val="21"/>
                <w:lang w:val="zh-CN"/>
              </w:rPr>
              <w:t>分，良好得</w:t>
            </w:r>
            <w:r>
              <w:rPr>
                <w:rFonts w:ascii="宋体" w:cs="宋体"/>
                <w:bCs/>
                <w:sz w:val="18"/>
                <w:szCs w:val="21"/>
                <w:lang w:val="zh-CN"/>
              </w:rPr>
              <w:t>4</w:t>
            </w:r>
            <w:r>
              <w:rPr>
                <w:rFonts w:hint="eastAsia" w:ascii="宋体" w:cs="宋体"/>
                <w:bCs/>
                <w:sz w:val="18"/>
                <w:szCs w:val="21"/>
                <w:lang w:val="zh-CN"/>
              </w:rPr>
              <w:t>分，一般得</w:t>
            </w:r>
            <w:r>
              <w:rPr>
                <w:rFonts w:ascii="宋体" w:cs="宋体"/>
                <w:bCs/>
                <w:sz w:val="18"/>
                <w:szCs w:val="21"/>
                <w:lang w:val="zh-CN"/>
              </w:rPr>
              <w:t>2</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Align w:val="center"/>
          </w:tcPr>
          <w:p>
            <w:pPr>
              <w:adjustRightInd w:val="0"/>
              <w:snapToGrid w:val="0"/>
              <w:jc w:val="center"/>
              <w:rPr>
                <w:rFonts w:ascii="宋体" w:cs="宋体"/>
                <w:bCs/>
                <w:sz w:val="18"/>
                <w:szCs w:val="18"/>
                <w:lang w:val="zh-CN"/>
              </w:rPr>
            </w:pPr>
            <w:r>
              <w:rPr>
                <w:rFonts w:hint="eastAsia" w:ascii="宋体" w:cs="宋体"/>
                <w:bCs/>
                <w:sz w:val="18"/>
                <w:szCs w:val="18"/>
                <w:lang w:val="zh-CN"/>
              </w:rPr>
              <w:t>附图</w:t>
            </w:r>
          </w:p>
        </w:tc>
        <w:tc>
          <w:tcPr>
            <w:tcW w:w="270" w:type="pc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5</w:t>
            </w:r>
          </w:p>
        </w:tc>
        <w:tc>
          <w:tcPr>
            <w:tcW w:w="3290" w:type="pct"/>
            <w:vAlign w:val="center"/>
          </w:tcPr>
          <w:p>
            <w:pPr>
              <w:rPr>
                <w:rFonts w:ascii="宋体" w:cs="宋体"/>
                <w:bCs/>
                <w:sz w:val="18"/>
                <w:szCs w:val="21"/>
                <w:lang w:val="zh-CN"/>
              </w:rPr>
            </w:pPr>
            <w:r>
              <w:rPr>
                <w:rFonts w:hint="eastAsia" w:ascii="宋体" w:cs="宋体"/>
                <w:bCs/>
                <w:sz w:val="18"/>
                <w:szCs w:val="21"/>
                <w:lang w:val="zh-CN"/>
              </w:rPr>
              <w:t>图纸设计内容反映全面，图纸深度达到招标要求，布置结合实际，设计合理，数据准确。</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5</w:t>
            </w:r>
            <w:r>
              <w:rPr>
                <w:rFonts w:hint="eastAsia" w:ascii="宋体" w:cs="宋体"/>
                <w:bCs/>
                <w:sz w:val="18"/>
                <w:szCs w:val="21"/>
                <w:lang w:val="zh-CN"/>
              </w:rPr>
              <w:t>分：（优得</w:t>
            </w:r>
            <w:r>
              <w:rPr>
                <w:rFonts w:ascii="宋体" w:cs="宋体"/>
                <w:bCs/>
                <w:sz w:val="18"/>
                <w:szCs w:val="21"/>
                <w:lang w:val="zh-CN"/>
              </w:rPr>
              <w:t>5</w:t>
            </w:r>
            <w:r>
              <w:rPr>
                <w:rFonts w:hint="eastAsia" w:ascii="宋体" w:cs="宋体"/>
                <w:bCs/>
                <w:sz w:val="18"/>
                <w:szCs w:val="21"/>
                <w:lang w:val="zh-CN"/>
              </w:rPr>
              <w:t>分，良好得</w:t>
            </w:r>
            <w:r>
              <w:rPr>
                <w:rFonts w:ascii="宋体" w:cs="宋体"/>
                <w:bCs/>
                <w:sz w:val="18"/>
                <w:szCs w:val="21"/>
                <w:lang w:val="zh-CN"/>
              </w:rPr>
              <w:t>3</w:t>
            </w:r>
            <w:r>
              <w:rPr>
                <w:rFonts w:hint="eastAsia" w:ascii="宋体" w:cs="宋体"/>
                <w:bCs/>
                <w:sz w:val="18"/>
                <w:szCs w:val="21"/>
                <w:lang w:val="zh-CN"/>
              </w:rPr>
              <w:t>分，一般得</w:t>
            </w:r>
            <w:r>
              <w:rPr>
                <w:rFonts w:ascii="宋体" w:cs="宋体"/>
                <w:bCs/>
                <w:sz w:val="18"/>
                <w:szCs w:val="21"/>
                <w:lang w:val="zh-CN"/>
              </w:rPr>
              <w:t>1</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Merge w:val="restart"/>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投资控制</w:t>
            </w:r>
          </w:p>
        </w:tc>
        <w:tc>
          <w:tcPr>
            <w:tcW w:w="270" w:type="pct"/>
            <w:vMerge w:val="restar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2</w:t>
            </w:r>
          </w:p>
        </w:tc>
        <w:tc>
          <w:tcPr>
            <w:tcW w:w="3290" w:type="pct"/>
            <w:vAlign w:val="center"/>
          </w:tcPr>
          <w:p>
            <w:pPr>
              <w:numPr>
                <w:ilvl w:val="0"/>
                <w:numId w:val="2"/>
              </w:numPr>
              <w:tabs>
                <w:tab w:val="left" w:pos="315"/>
              </w:tabs>
              <w:autoSpaceDE w:val="0"/>
              <w:autoSpaceDN w:val="0"/>
              <w:rPr>
                <w:rFonts w:ascii="宋体" w:cs="宋体"/>
                <w:bCs/>
                <w:sz w:val="18"/>
                <w:szCs w:val="21"/>
                <w:lang w:val="zh-CN"/>
              </w:rPr>
            </w:pPr>
            <w:r>
              <w:rPr>
                <w:rFonts w:hint="eastAsia" w:ascii="宋体" w:cs="宋体"/>
                <w:bCs/>
                <w:sz w:val="18"/>
                <w:szCs w:val="21"/>
                <w:lang w:val="zh-CN"/>
              </w:rPr>
              <w:t>工程总投资合理，节约工程总投资的措施及理由合理、可信、可行。</w:t>
            </w:r>
          </w:p>
          <w:p>
            <w:pPr>
              <w:tabs>
                <w:tab w:val="left" w:pos="315"/>
              </w:tabs>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1</w:t>
            </w:r>
            <w:r>
              <w:rPr>
                <w:rFonts w:hint="eastAsia" w:ascii="宋体" w:cs="宋体"/>
                <w:bCs/>
                <w:sz w:val="18"/>
                <w:szCs w:val="21"/>
                <w:lang w:val="zh-CN"/>
              </w:rPr>
              <w:t>分：（优得</w:t>
            </w:r>
            <w:r>
              <w:rPr>
                <w:rFonts w:ascii="宋体" w:cs="宋体"/>
                <w:bCs/>
                <w:sz w:val="18"/>
                <w:szCs w:val="21"/>
                <w:lang w:val="zh-CN"/>
              </w:rPr>
              <w:t>1</w:t>
            </w:r>
            <w:r>
              <w:rPr>
                <w:rFonts w:hint="eastAsia" w:ascii="宋体" w:cs="宋体"/>
                <w:bCs/>
                <w:sz w:val="18"/>
                <w:szCs w:val="21"/>
                <w:lang w:val="zh-CN"/>
              </w:rPr>
              <w:t>分；良好得</w:t>
            </w:r>
            <w:r>
              <w:rPr>
                <w:rFonts w:ascii="宋体" w:cs="宋体"/>
                <w:bCs/>
                <w:sz w:val="18"/>
                <w:szCs w:val="21"/>
                <w:lang w:val="zh-CN"/>
              </w:rPr>
              <w:t>0.6</w:t>
            </w:r>
            <w:r>
              <w:rPr>
                <w:rFonts w:hint="eastAsia" w:ascii="宋体" w:cs="宋体"/>
                <w:bCs/>
                <w:sz w:val="18"/>
                <w:szCs w:val="21"/>
                <w:lang w:val="zh-CN"/>
              </w:rPr>
              <w:t>分；一般得</w:t>
            </w:r>
            <w:r>
              <w:rPr>
                <w:rFonts w:ascii="宋体" w:cs="宋体"/>
                <w:bCs/>
                <w:sz w:val="18"/>
                <w:szCs w:val="21"/>
                <w:lang w:val="zh-CN"/>
              </w:rPr>
              <w:t>0.3</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tc>
        <w:tc>
          <w:tcPr>
            <w:tcW w:w="389" w:type="pct"/>
            <w:vMerge w:val="continue"/>
            <w:vAlign w:val="center"/>
          </w:tcPr>
          <w:p/>
        </w:tc>
        <w:tc>
          <w:tcPr>
            <w:tcW w:w="270" w:type="pct"/>
            <w:vMerge w:val="continue"/>
            <w:vAlign w:val="center"/>
          </w:tcPr>
          <w:p/>
        </w:tc>
        <w:tc>
          <w:tcPr>
            <w:tcW w:w="3290" w:type="pct"/>
            <w:vAlign w:val="center"/>
          </w:tcPr>
          <w:p>
            <w:pPr>
              <w:numPr>
                <w:ilvl w:val="0"/>
                <w:numId w:val="2"/>
              </w:numPr>
              <w:autoSpaceDE w:val="0"/>
              <w:autoSpaceDN w:val="0"/>
              <w:rPr>
                <w:rFonts w:ascii="宋体" w:cs="宋体"/>
                <w:bCs/>
                <w:sz w:val="18"/>
                <w:szCs w:val="21"/>
                <w:lang w:val="zh-CN"/>
              </w:rPr>
            </w:pPr>
            <w:r>
              <w:rPr>
                <w:rFonts w:hint="eastAsia" w:ascii="宋体" w:cs="宋体"/>
                <w:bCs/>
                <w:sz w:val="18"/>
                <w:szCs w:val="21"/>
                <w:lang w:val="zh-CN"/>
              </w:rPr>
              <w:t>投资估算编制依据正确，达到相应的深度要求，编制质量高。</w:t>
            </w:r>
          </w:p>
          <w:p>
            <w:pPr>
              <w:autoSpaceDE w:val="0"/>
              <w:autoSpaceDN w:val="0"/>
              <w:rPr>
                <w:rFonts w:ascii="宋体" w:cs="宋体"/>
                <w:bCs/>
                <w:sz w:val="18"/>
                <w:szCs w:val="21"/>
                <w:lang w:val="zh-CN"/>
              </w:rPr>
            </w:pPr>
            <w:r>
              <w:rPr>
                <w:rFonts w:hint="eastAsia" w:ascii="宋体" w:cs="宋体"/>
                <w:bCs/>
                <w:sz w:val="18"/>
                <w:szCs w:val="21"/>
                <w:lang w:val="zh-CN"/>
              </w:rPr>
              <w:t>满分</w:t>
            </w:r>
            <w:r>
              <w:rPr>
                <w:rFonts w:ascii="宋体" w:cs="宋体"/>
                <w:bCs/>
                <w:sz w:val="18"/>
                <w:szCs w:val="21"/>
                <w:lang w:val="zh-CN"/>
              </w:rPr>
              <w:t>1</w:t>
            </w:r>
            <w:r>
              <w:rPr>
                <w:rFonts w:hint="eastAsia" w:ascii="宋体" w:cs="宋体"/>
                <w:bCs/>
                <w:sz w:val="18"/>
                <w:szCs w:val="21"/>
                <w:lang w:val="zh-CN"/>
              </w:rPr>
              <w:t>分：（优得</w:t>
            </w:r>
            <w:r>
              <w:rPr>
                <w:rFonts w:ascii="宋体" w:cs="宋体"/>
                <w:bCs/>
                <w:sz w:val="18"/>
                <w:szCs w:val="21"/>
                <w:lang w:val="zh-CN"/>
              </w:rPr>
              <w:t>1</w:t>
            </w:r>
            <w:r>
              <w:rPr>
                <w:rFonts w:hint="eastAsia" w:ascii="宋体" w:cs="宋体"/>
                <w:bCs/>
                <w:sz w:val="18"/>
                <w:szCs w:val="21"/>
                <w:lang w:val="zh-CN"/>
              </w:rPr>
              <w:t>分；良好得</w:t>
            </w:r>
            <w:r>
              <w:rPr>
                <w:rFonts w:ascii="宋体" w:cs="宋体"/>
                <w:bCs/>
                <w:sz w:val="18"/>
                <w:szCs w:val="21"/>
                <w:lang w:val="zh-CN"/>
              </w:rPr>
              <w:t>0.6</w:t>
            </w:r>
            <w:r>
              <w:rPr>
                <w:rFonts w:hint="eastAsia" w:ascii="宋体" w:cs="宋体"/>
                <w:bCs/>
                <w:sz w:val="18"/>
                <w:szCs w:val="21"/>
                <w:lang w:val="zh-CN"/>
              </w:rPr>
              <w:t>分；一般得</w:t>
            </w:r>
            <w:r>
              <w:rPr>
                <w:rFonts w:ascii="宋体" w:cs="宋体"/>
                <w:bCs/>
                <w:sz w:val="18"/>
                <w:szCs w:val="21"/>
                <w:lang w:val="zh-CN"/>
              </w:rPr>
              <w:t>0.3</w:t>
            </w:r>
            <w:r>
              <w:rPr>
                <w:rFonts w:hint="eastAsia" w:ascii="宋体" w:cs="宋体"/>
                <w:bCs/>
                <w:sz w:val="18"/>
                <w:szCs w:val="21"/>
                <w:lang w:val="zh-CN"/>
              </w:rPr>
              <w:t>分，差得</w:t>
            </w:r>
            <w:r>
              <w:rPr>
                <w:rFonts w:ascii="宋体" w:cs="宋体"/>
                <w:bCs/>
                <w:sz w:val="18"/>
                <w:szCs w:val="21"/>
                <w:lang w:val="zh-CN"/>
              </w:rPr>
              <w:t>0</w:t>
            </w:r>
            <w:r>
              <w:rPr>
                <w:rFonts w:hint="eastAsia" w:ascii="宋体" w:cs="宋体"/>
                <w:bCs/>
                <w:sz w:val="18"/>
                <w:szCs w:val="21"/>
                <w:lang w:val="zh-CN"/>
              </w:rPr>
              <w:t>分）。</w:t>
            </w:r>
          </w:p>
        </w:tc>
        <w:tc>
          <w:tcPr>
            <w:tcW w:w="650" w:type="pct"/>
            <w:vAlign w:val="center"/>
          </w:tcPr>
          <w:p>
            <w:pPr>
              <w:jc w:val="center"/>
            </w:pPr>
            <w:r>
              <w:rPr>
                <w:rFonts w:hint="eastAsia" w:ascii="宋体" w:cs="宋体"/>
                <w:bCs/>
                <w:sz w:val="18"/>
                <w:szCs w:val="18"/>
                <w:lang w:val="zh-CN"/>
              </w:rPr>
              <w:t>如为联合体投标，由联合体设计方提供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gridSpan w:val="2"/>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总计</w:t>
            </w:r>
          </w:p>
        </w:tc>
        <w:tc>
          <w:tcPr>
            <w:tcW w:w="270" w:type="pct"/>
            <w:vAlign w:val="center"/>
          </w:tcPr>
          <w:p>
            <w:pPr>
              <w:autoSpaceDE w:val="0"/>
              <w:autoSpaceDN w:val="0"/>
              <w:contextualSpacing/>
              <w:jc w:val="center"/>
              <w:rPr>
                <w:rFonts w:ascii="宋体" w:cs="宋体"/>
                <w:bCs/>
                <w:sz w:val="18"/>
                <w:szCs w:val="18"/>
                <w:lang w:val="zh-CN"/>
              </w:rPr>
            </w:pPr>
            <w:r>
              <w:rPr>
                <w:rFonts w:ascii="宋体" w:cs="宋体"/>
                <w:bCs/>
                <w:sz w:val="18"/>
                <w:szCs w:val="18"/>
                <w:lang w:val="zh-CN"/>
              </w:rPr>
              <w:t>100</w:t>
            </w:r>
          </w:p>
        </w:tc>
        <w:tc>
          <w:tcPr>
            <w:tcW w:w="3290" w:type="pct"/>
            <w:vAlign w:val="center"/>
          </w:tcPr>
          <w:p>
            <w:pPr>
              <w:keepNext/>
              <w:keepLines/>
              <w:autoSpaceDE w:val="0"/>
              <w:autoSpaceDN w:val="0"/>
              <w:contextualSpacing/>
              <w:jc w:val="center"/>
              <w:outlineLvl w:val="0"/>
              <w:rPr>
                <w:rFonts w:ascii="宋体" w:cs="宋体"/>
                <w:bCs/>
                <w:sz w:val="18"/>
                <w:szCs w:val="18"/>
                <w:lang w:val="zh-CN"/>
              </w:rPr>
            </w:pPr>
          </w:p>
        </w:tc>
        <w:tc>
          <w:tcPr>
            <w:tcW w:w="650" w:type="pct"/>
            <w:vAlign w:val="center"/>
          </w:tcPr>
          <w:p>
            <w:pPr>
              <w:keepNext/>
              <w:keepLines/>
              <w:autoSpaceDE w:val="0"/>
              <w:autoSpaceDN w:val="0"/>
              <w:contextualSpacing/>
              <w:jc w:val="center"/>
              <w:outlineLvl w:val="0"/>
              <w:rPr>
                <w:rFonts w:ascii="宋体" w:cs="宋体"/>
                <w:bCs/>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gridSpan w:val="2"/>
            <w:vAlign w:val="center"/>
          </w:tcPr>
          <w:p>
            <w:pPr>
              <w:autoSpaceDE w:val="0"/>
              <w:autoSpaceDN w:val="0"/>
              <w:contextualSpacing/>
              <w:jc w:val="center"/>
              <w:rPr>
                <w:rFonts w:ascii="宋体" w:cs="宋体"/>
                <w:bCs/>
                <w:sz w:val="18"/>
                <w:szCs w:val="18"/>
                <w:lang w:val="zh-CN"/>
              </w:rPr>
            </w:pPr>
            <w:r>
              <w:rPr>
                <w:rFonts w:hint="eastAsia" w:ascii="宋体" w:cs="宋体"/>
                <w:bCs/>
                <w:sz w:val="18"/>
                <w:szCs w:val="18"/>
                <w:lang w:val="zh-CN"/>
              </w:rPr>
              <w:t>评审人员签名</w:t>
            </w:r>
          </w:p>
        </w:tc>
        <w:tc>
          <w:tcPr>
            <w:tcW w:w="4211" w:type="pct"/>
            <w:gridSpan w:val="3"/>
            <w:vAlign w:val="center"/>
          </w:tcPr>
          <w:p>
            <w:pPr>
              <w:keepNext/>
              <w:keepLines/>
              <w:autoSpaceDE w:val="0"/>
              <w:autoSpaceDN w:val="0"/>
              <w:contextualSpacing/>
              <w:jc w:val="center"/>
              <w:outlineLvl w:val="2"/>
              <w:rPr>
                <w:rFonts w:ascii="宋体" w:cs="宋体"/>
                <w:bCs/>
                <w:sz w:val="18"/>
                <w:szCs w:val="18"/>
                <w:lang w:val="zh-CN"/>
              </w:rPr>
            </w:pPr>
          </w:p>
        </w:tc>
      </w:tr>
    </w:tbl>
    <w:p>
      <w:pPr>
        <w:pStyle w:val="3"/>
        <w:spacing w:after="0"/>
      </w:pPr>
    </w:p>
    <w:p>
      <w:pPr>
        <w:pStyle w:val="2"/>
        <w:spacing w:after="0" w:line="240" w:lineRule="auto"/>
        <w:ind w:firstLine="0"/>
        <w:jc w:val="left"/>
        <w:rPr>
          <w:rFonts w:ascii="宋体"/>
          <w:strike/>
          <w:sz w:val="18"/>
          <w:szCs w:val="18"/>
        </w:rPr>
      </w:pPr>
      <w:r>
        <w:rPr>
          <w:rFonts w:hint="eastAsia" w:ascii="宋体"/>
          <w:sz w:val="18"/>
          <w:szCs w:val="18"/>
        </w:rPr>
        <w:t>备注：</w:t>
      </w:r>
    </w:p>
    <w:p>
      <w:pPr>
        <w:pStyle w:val="2"/>
        <w:spacing w:after="0" w:line="240" w:lineRule="auto"/>
        <w:ind w:firstLine="0"/>
        <w:jc w:val="left"/>
        <w:rPr>
          <w:rFonts w:ascii="宋体"/>
          <w:sz w:val="18"/>
          <w:szCs w:val="18"/>
        </w:rPr>
      </w:pPr>
      <w:r>
        <w:rPr>
          <w:rFonts w:hint="eastAsia" w:ascii="宋体"/>
          <w:sz w:val="18"/>
          <w:szCs w:val="18"/>
        </w:rPr>
        <w:t>1、投标人如果同时满足多个评分档次的，按所满足的最高档得分。</w:t>
      </w:r>
    </w:p>
    <w:p>
      <w:pPr>
        <w:rPr>
          <w:rFonts w:ascii="宋体"/>
          <w:kern w:val="0"/>
          <w:sz w:val="18"/>
          <w:szCs w:val="18"/>
        </w:rPr>
      </w:pPr>
      <w:r>
        <w:rPr>
          <w:rFonts w:hint="eastAsia" w:ascii="宋体"/>
          <w:kern w:val="0"/>
          <w:sz w:val="18"/>
          <w:szCs w:val="18"/>
        </w:rPr>
        <w:t>2、本表按百分制评分，评委每个分项的分数汇总后的算术平均值为投标人的最终得分。分数出现小数点，保留小数点后二位小数，第三位小数四舍五入。</w:t>
      </w:r>
    </w:p>
    <w:p>
      <w:pPr>
        <w:widowControl/>
        <w:rPr>
          <w:kern w:val="0"/>
        </w:rPr>
      </w:pPr>
      <w:r>
        <w:rPr>
          <w:rFonts w:hint="eastAsia" w:ascii="宋体" w:cs="宋体"/>
          <w:kern w:val="0"/>
          <w:szCs w:val="21"/>
        </w:rPr>
        <w:t>评委签名：                              日期</w:t>
      </w:r>
      <w:r>
        <w:rPr>
          <w:kern w:val="0"/>
        </w:rPr>
        <w:br w:type="page"/>
      </w:r>
    </w:p>
    <w:p>
      <w:pPr>
        <w:pStyle w:val="2"/>
        <w:ind w:firstLine="0"/>
        <w:jc w:val="center"/>
        <w:rPr>
          <w:rFonts w:ascii="宋体" w:cs="宋体"/>
          <w:b/>
          <w:sz w:val="28"/>
          <w:szCs w:val="28"/>
        </w:rPr>
      </w:pPr>
      <w:r>
        <w:rPr>
          <w:rFonts w:hint="eastAsia" w:ascii="宋体" w:cs="宋体"/>
          <w:b/>
          <w:sz w:val="28"/>
          <w:szCs w:val="28"/>
        </w:rPr>
        <w:t>附件：《</w:t>
      </w:r>
      <w:r>
        <w:rPr>
          <w:rFonts w:hint="eastAsia" w:ascii="宋体" w:cs="宋体"/>
          <w:b/>
          <w:sz w:val="28"/>
          <w:szCs w:val="28"/>
          <w:lang w:val="zh-CN"/>
        </w:rPr>
        <w:t>项目实施组织方案部分编制需求表</w:t>
      </w:r>
      <w:r>
        <w:rPr>
          <w:rFonts w:hint="eastAsia" w:ascii="宋体" w:cs="宋体"/>
          <w:b/>
          <w:sz w:val="28"/>
          <w:szCs w:val="28"/>
        </w:rPr>
        <w:t>》</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10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vAlign w:val="center"/>
          </w:tcPr>
          <w:p>
            <w:pPr>
              <w:pStyle w:val="2"/>
              <w:ind w:firstLine="0"/>
              <w:jc w:val="center"/>
              <w:rPr>
                <w:rFonts w:ascii="宋体" w:cs="宋体"/>
                <w:b/>
                <w:bCs/>
                <w:sz w:val="18"/>
                <w:szCs w:val="18"/>
              </w:rPr>
            </w:pPr>
            <w:r>
              <w:rPr>
                <w:rFonts w:hint="eastAsia" w:ascii="宋体" w:cs="宋体"/>
                <w:b/>
                <w:bCs/>
                <w:sz w:val="18"/>
                <w:szCs w:val="18"/>
              </w:rPr>
              <w:t>施工组织及设计方案</w:t>
            </w:r>
          </w:p>
        </w:tc>
        <w:tc>
          <w:tcPr>
            <w:tcW w:w="10993" w:type="dxa"/>
          </w:tcPr>
          <w:p>
            <w:pPr>
              <w:pStyle w:val="2"/>
              <w:rPr>
                <w:rFonts w:ascii="宋体" w:cs="宋体"/>
                <w:sz w:val="18"/>
                <w:szCs w:val="18"/>
              </w:rPr>
            </w:pPr>
            <w:r>
              <w:rPr>
                <w:rFonts w:hint="eastAsia" w:ascii="宋体" w:cs="宋体"/>
                <w:sz w:val="18"/>
                <w:szCs w:val="18"/>
              </w:rPr>
              <w:t>需根据项目实际提出具体、完整、可行的施工组织设计方案，包括但不限于以下内容：</w:t>
            </w:r>
          </w:p>
          <w:p>
            <w:pPr>
              <w:pStyle w:val="2"/>
              <w:rPr>
                <w:rFonts w:ascii="宋体" w:cs="宋体"/>
                <w:sz w:val="18"/>
                <w:szCs w:val="18"/>
              </w:rPr>
            </w:pPr>
            <w:r>
              <w:rPr>
                <w:rFonts w:hint="eastAsia" w:ascii="宋体" w:cs="宋体"/>
                <w:sz w:val="18"/>
                <w:szCs w:val="18"/>
              </w:rPr>
              <w:t>项目设计方案：</w:t>
            </w:r>
          </w:p>
          <w:p>
            <w:pPr>
              <w:pStyle w:val="2"/>
              <w:rPr>
                <w:rFonts w:ascii="宋体" w:cs="宋体"/>
                <w:sz w:val="18"/>
                <w:szCs w:val="18"/>
              </w:rPr>
            </w:pPr>
            <w:r>
              <w:rPr>
                <w:rFonts w:hint="eastAsia" w:ascii="宋体" w:cs="宋体"/>
                <w:sz w:val="18"/>
                <w:szCs w:val="18"/>
              </w:rPr>
              <w:t>项目设计方案包括但不限于： a ．对所在地区建设条件的认识：对项目特点和招标文件理解全面，熟悉本项目所在区域特点，内容明确、文字表达清楚、思路清晰；总体设计方案与规划衔接到位； b 、采用的设计技术标准及规范准确、全面； C ．总体设计思路：对本项目设计方案的总体认识，表述清晰、严谨、合理，能正确理解并执行规划建设意图： d ．设计工作方案：全面掌握区域内行水现状，对现场有效的实地踏勘、对净水厂布置现状及存在问题了解透切，提出的设计方案合理、可操作性强： e .项目重点难点分析：结合区域内现状，分析本项目的重点和难点，提出解决措施，措施具体、针对性强、方法合理可行： f ．质量保证措施：设计质量保证施工组织及设计方案措施针对性强、体系严密； g 合理化建议：对后期设施和管网维护及运营提出的建议合理、可行。</w:t>
            </w:r>
          </w:p>
          <w:p>
            <w:pPr>
              <w:pStyle w:val="2"/>
              <w:rPr>
                <w:rFonts w:ascii="宋体" w:cs="宋体"/>
                <w:sz w:val="18"/>
                <w:szCs w:val="18"/>
              </w:rPr>
            </w:pPr>
            <w:r>
              <w:rPr>
                <w:rFonts w:hint="eastAsia" w:ascii="宋体" w:cs="宋体"/>
                <w:sz w:val="18"/>
                <w:szCs w:val="18"/>
              </w:rPr>
              <w:t>项目施工方案</w:t>
            </w:r>
          </w:p>
          <w:p>
            <w:pPr>
              <w:pStyle w:val="2"/>
              <w:rPr>
                <w:rFonts w:ascii="宋体" w:cs="宋体"/>
                <w:sz w:val="18"/>
                <w:szCs w:val="18"/>
              </w:rPr>
            </w:pPr>
            <w:r>
              <w:rPr>
                <w:rFonts w:hint="eastAsia" w:ascii="宋体" w:cs="宋体"/>
                <w:sz w:val="18"/>
                <w:szCs w:val="18"/>
              </w:rPr>
              <w:t>项目施工组织方案包括但不限于： a .工程概况及编制依据（工程特点，施工条件，技术规范，行业标准等）; b ．总体工作思路和总体部署（包括但不限于施工安全、质量、工期目标，总体组织，施工协调管理）: C ．施工准备工作（施工准备工作计划：施工技术准备；施工生产准备；施工现场准备）: d ．项目实施方案（包括详实的施工进度安排和控制、工料机安排、施工技术方案、现状管道保护及接驳方案及施工重难点分析、对策等）: e .质量保证措施（质量目标；质量管理；主要工序质量保证措施：质量检查和检测手段）: f ．工期保证措施（进度目标，进度计划的实施保证措施、赶工措施等）; g ．合理化建议。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vAlign w:val="center"/>
          </w:tcPr>
          <w:p>
            <w:pPr>
              <w:pStyle w:val="2"/>
              <w:jc w:val="center"/>
              <w:rPr>
                <w:rFonts w:ascii="宋体" w:cs="宋体"/>
                <w:b/>
                <w:bCs/>
                <w:sz w:val="18"/>
                <w:szCs w:val="18"/>
              </w:rPr>
            </w:pPr>
            <w:r>
              <w:rPr>
                <w:rFonts w:hint="eastAsia" w:ascii="宋体" w:cs="宋体"/>
                <w:b/>
                <w:bCs/>
                <w:sz w:val="18"/>
                <w:szCs w:val="18"/>
              </w:rPr>
              <w:t>进度控制措施</w:t>
            </w:r>
          </w:p>
        </w:tc>
        <w:tc>
          <w:tcPr>
            <w:tcW w:w="10993" w:type="dxa"/>
          </w:tcPr>
          <w:p>
            <w:pPr>
              <w:pStyle w:val="2"/>
              <w:rPr>
                <w:rFonts w:ascii="宋体" w:cs="宋体"/>
                <w:sz w:val="18"/>
                <w:szCs w:val="18"/>
              </w:rPr>
            </w:pPr>
            <w:r>
              <w:rPr>
                <w:rFonts w:hint="eastAsia" w:ascii="宋体" w:cs="宋体"/>
                <w:sz w:val="18"/>
                <w:szCs w:val="18"/>
              </w:rPr>
              <w:t>应按建设单位通知的内容和期限，编制详细的进度计划，包括设计、文件提交、采购、制造、检验、运达现场、施工、安装、试验的各个阶段的预期时间以及设计和施工相互配合协调的组织方案说明。工程开始后，还应根据项目施工进度计划，编制更为详细的分阶段、分区域进度计划。在进度计划中专门列出设计进度计划，并能按计划按时开展并完成设计工作。</w:t>
            </w:r>
          </w:p>
          <w:p>
            <w:pPr>
              <w:pStyle w:val="2"/>
              <w:rPr>
                <w:rFonts w:ascii="宋体" w:cs="宋体"/>
                <w:sz w:val="18"/>
                <w:szCs w:val="18"/>
              </w:rPr>
            </w:pPr>
            <w:r>
              <w:rPr>
                <w:rFonts w:hint="eastAsia" w:ascii="宋体" w:cs="宋体"/>
                <w:sz w:val="18"/>
                <w:szCs w:val="18"/>
              </w:rPr>
              <w:t>要有详细的工期保证措施（进度目标，进度计划的实施保证措施、赶工措施等）。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vAlign w:val="center"/>
          </w:tcPr>
          <w:p>
            <w:pPr>
              <w:pStyle w:val="2"/>
              <w:jc w:val="center"/>
              <w:rPr>
                <w:rFonts w:ascii="宋体" w:cs="宋体"/>
                <w:b/>
                <w:bCs/>
                <w:sz w:val="18"/>
                <w:szCs w:val="18"/>
              </w:rPr>
            </w:pPr>
            <w:r>
              <w:rPr>
                <w:rFonts w:hint="eastAsia" w:ascii="宋体" w:cs="宋体"/>
                <w:b/>
                <w:bCs/>
                <w:sz w:val="18"/>
                <w:szCs w:val="18"/>
              </w:rPr>
              <w:t>质量控制措施</w:t>
            </w:r>
          </w:p>
        </w:tc>
        <w:tc>
          <w:tcPr>
            <w:tcW w:w="10993" w:type="dxa"/>
          </w:tcPr>
          <w:p>
            <w:pPr>
              <w:pStyle w:val="2"/>
              <w:rPr>
                <w:rFonts w:ascii="宋体" w:cs="宋体"/>
                <w:sz w:val="18"/>
                <w:szCs w:val="18"/>
              </w:rPr>
            </w:pPr>
            <w:r>
              <w:rPr>
                <w:rFonts w:hint="eastAsia" w:ascii="宋体" w:cs="宋体"/>
                <w:sz w:val="18"/>
                <w:szCs w:val="18"/>
              </w:rPr>
              <w:t>为保证工程质量应按照要求建立质量保证体系。设计要求的质量标准：达到国家现行以及行业规范、规程及标准。施工要求的质量标准。达到国家现行规范“合格"标准。</w:t>
            </w:r>
          </w:p>
          <w:p>
            <w:pPr>
              <w:pStyle w:val="2"/>
              <w:rPr>
                <w:rFonts w:ascii="宋体" w:cs="宋体"/>
                <w:sz w:val="18"/>
                <w:szCs w:val="18"/>
              </w:rPr>
            </w:pPr>
            <w:r>
              <w:rPr>
                <w:rFonts w:hint="eastAsia" w:ascii="宋体" w:cs="宋体"/>
                <w:sz w:val="18"/>
                <w:szCs w:val="18"/>
              </w:rPr>
              <w:t>开工前，设计和施工单位要制定具体的质量保证细则和工作程序，并遵循质量保证体系。</w:t>
            </w:r>
          </w:p>
          <w:p>
            <w:pPr>
              <w:pStyle w:val="2"/>
              <w:rPr>
                <w:rFonts w:ascii="宋体" w:cs="宋体"/>
                <w:sz w:val="18"/>
                <w:szCs w:val="18"/>
              </w:rPr>
            </w:pPr>
            <w:r>
              <w:rPr>
                <w:rFonts w:hint="eastAsia" w:ascii="宋体" w:cs="宋体"/>
                <w:sz w:val="18"/>
                <w:szCs w:val="18"/>
              </w:rPr>
              <w:t>施工方提供的材料和工程设备以须满足设计单位的标准和要求，对其采购的材料和工程设备负责。</w:t>
            </w:r>
          </w:p>
          <w:p>
            <w:pPr>
              <w:pStyle w:val="2"/>
              <w:rPr>
                <w:rFonts w:ascii="宋体" w:cs="宋体"/>
                <w:sz w:val="18"/>
                <w:szCs w:val="18"/>
              </w:rPr>
            </w:pPr>
            <w:r>
              <w:rPr>
                <w:rFonts w:hint="eastAsia" w:ascii="宋体" w:cs="宋体"/>
                <w:sz w:val="18"/>
                <w:szCs w:val="18"/>
              </w:rPr>
              <w:t>按照施工进度计划和建设单位要求，将主要材料和工程设备的生产厂家（或供货人）及品牌、规格、型号、数量、质量验收标准、质量控制措施和供货时间等报送审核批准。应提供相应的质量证明文件，确保满足合同的定的质量标准。</w:t>
            </w:r>
          </w:p>
          <w:p>
            <w:pPr>
              <w:pStyle w:val="2"/>
              <w:rPr>
                <w:rFonts w:ascii="宋体" w:cs="宋体"/>
                <w:sz w:val="18"/>
                <w:szCs w:val="18"/>
              </w:rPr>
            </w:pPr>
            <w:r>
              <w:rPr>
                <w:rFonts w:hint="eastAsia" w:ascii="宋体" w:cs="宋体"/>
                <w:sz w:val="18"/>
                <w:szCs w:val="18"/>
              </w:rPr>
              <w:t>施工方提供的材料和工程设备，必须进行检验和交货验收，查验材料合格证明和产品合格证书，并按照国家现行规范进行材料和设备的质量检测并提交检测报告等资料，进行材料的抽样检验和工程设备的检验测试，检验和测试结果应提交。</w:t>
            </w:r>
          </w:p>
          <w:p>
            <w:pPr>
              <w:pStyle w:val="2"/>
              <w:rPr>
                <w:rFonts w:ascii="宋体" w:cs="宋体"/>
                <w:sz w:val="18"/>
                <w:szCs w:val="18"/>
              </w:rPr>
            </w:pPr>
            <w:r>
              <w:rPr>
                <w:rFonts w:hint="eastAsia" w:ascii="宋体" w:cs="宋体"/>
                <w:sz w:val="18"/>
                <w:szCs w:val="18"/>
              </w:rPr>
              <w:t>施工方对材料的加工工程设备的采购、制造、安装应当按照法律规定以及行为习惯来实施</w:t>
            </w:r>
          </w:p>
          <w:p>
            <w:pPr>
              <w:pStyle w:val="2"/>
              <w:rPr>
                <w:rFonts w:ascii="宋体" w:cs="宋体"/>
                <w:sz w:val="18"/>
                <w:szCs w:val="18"/>
              </w:rPr>
            </w:pPr>
            <w:r>
              <w:rPr>
                <w:rFonts w:hint="eastAsia" w:ascii="宋体" w:cs="宋体"/>
                <w:sz w:val="18"/>
                <w:szCs w:val="18"/>
              </w:rPr>
              <w:t>施工方应按约定对设计、材料、工程设备以及全部工程内容及其施工工艺进行全过程的质量检查和检验，并作详细记录，编制工程质量报表。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vAlign w:val="center"/>
          </w:tcPr>
          <w:p>
            <w:pPr>
              <w:pStyle w:val="2"/>
              <w:jc w:val="center"/>
              <w:rPr>
                <w:rFonts w:ascii="宋体" w:cs="宋体"/>
                <w:b/>
                <w:bCs/>
                <w:sz w:val="18"/>
                <w:szCs w:val="18"/>
              </w:rPr>
            </w:pPr>
            <w:r>
              <w:rPr>
                <w:rFonts w:hint="eastAsia" w:ascii="宋体" w:cs="宋体"/>
                <w:b/>
                <w:bCs/>
                <w:sz w:val="18"/>
                <w:szCs w:val="18"/>
              </w:rPr>
              <w:t>绿色、节能、安全控制措施</w:t>
            </w:r>
          </w:p>
        </w:tc>
        <w:tc>
          <w:tcPr>
            <w:tcW w:w="10993" w:type="dxa"/>
          </w:tcPr>
          <w:p>
            <w:pPr>
              <w:pStyle w:val="2"/>
              <w:rPr>
                <w:rFonts w:ascii="宋体" w:cs="宋体"/>
                <w:sz w:val="18"/>
                <w:szCs w:val="18"/>
              </w:rPr>
            </w:pPr>
            <w:r>
              <w:rPr>
                <w:rFonts w:hint="eastAsia" w:ascii="宋体" w:cs="宋体"/>
                <w:sz w:val="18"/>
                <w:szCs w:val="18"/>
              </w:rPr>
              <w:t>1．项目安全管理整体规划（包括但不限于目标指标，安全管理组织架构，安全管理人员配置，制度体系，安全投入保障措施，安全教育培训及文化宣传，危险源辨识与风险控制，施工安全技术保证措施，应急预案及演练等）:</w:t>
            </w:r>
          </w:p>
          <w:p>
            <w:pPr>
              <w:pStyle w:val="2"/>
              <w:rPr>
                <w:rFonts w:ascii="宋体" w:cs="宋体"/>
                <w:sz w:val="18"/>
                <w:szCs w:val="18"/>
              </w:rPr>
            </w:pPr>
            <w:r>
              <w:rPr>
                <w:rFonts w:hint="eastAsia" w:ascii="宋体" w:cs="宋体"/>
                <w:sz w:val="18"/>
                <w:szCs w:val="18"/>
              </w:rPr>
              <w:t>2．绿色文明施工方案（包括但不限于安全文明施工、环境保护等措施）。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vAlign w:val="center"/>
          </w:tcPr>
          <w:p>
            <w:pPr>
              <w:pStyle w:val="2"/>
              <w:jc w:val="center"/>
              <w:rPr>
                <w:rFonts w:ascii="宋体" w:cs="宋体"/>
                <w:b/>
                <w:bCs/>
                <w:sz w:val="18"/>
                <w:szCs w:val="18"/>
              </w:rPr>
            </w:pPr>
            <w:r>
              <w:rPr>
                <w:rFonts w:hint="eastAsia" w:ascii="宋体" w:cs="宋体"/>
                <w:b/>
                <w:bCs/>
                <w:sz w:val="18"/>
                <w:szCs w:val="18"/>
              </w:rPr>
              <w:t>设计和施工的融合措施</w:t>
            </w:r>
          </w:p>
        </w:tc>
        <w:tc>
          <w:tcPr>
            <w:tcW w:w="10993" w:type="dxa"/>
          </w:tcPr>
          <w:p>
            <w:pPr>
              <w:pStyle w:val="2"/>
              <w:rPr>
                <w:rFonts w:ascii="宋体" w:cs="宋体"/>
                <w:sz w:val="18"/>
                <w:szCs w:val="18"/>
              </w:rPr>
            </w:pPr>
            <w:r>
              <w:rPr>
                <w:rFonts w:hint="eastAsia" w:ascii="宋体" w:cs="宋体"/>
                <w:sz w:val="18"/>
                <w:szCs w:val="18"/>
              </w:rPr>
              <w:t>1、项目管理组织、项目管理策划包括但不限于：组织机构组成，专业人员配备，管理策划。</w:t>
            </w:r>
          </w:p>
          <w:p>
            <w:pPr>
              <w:pStyle w:val="2"/>
              <w:rPr>
                <w:rFonts w:ascii="宋体" w:cs="宋体"/>
                <w:sz w:val="18"/>
                <w:szCs w:val="18"/>
              </w:rPr>
            </w:pPr>
            <w:r>
              <w:rPr>
                <w:rFonts w:hint="eastAsia" w:ascii="宋体" w:cs="宋体"/>
                <w:sz w:val="18"/>
                <w:szCs w:val="18"/>
              </w:rPr>
              <w:t>(1）项目管理组织机构组成；</w:t>
            </w:r>
          </w:p>
          <w:p>
            <w:pPr>
              <w:pStyle w:val="2"/>
              <w:rPr>
                <w:rFonts w:ascii="宋体" w:cs="宋体"/>
                <w:sz w:val="18"/>
                <w:szCs w:val="18"/>
              </w:rPr>
            </w:pPr>
            <w:r>
              <w:rPr>
                <w:rFonts w:hint="eastAsia" w:ascii="宋体" w:cs="宋体"/>
                <w:sz w:val="18"/>
                <w:szCs w:val="18"/>
              </w:rPr>
              <w:t>(2）本工程安全管理人员、施工技术人员及其技术资格一览表：</w:t>
            </w:r>
          </w:p>
          <w:p>
            <w:pPr>
              <w:pStyle w:val="2"/>
              <w:rPr>
                <w:rFonts w:ascii="宋体" w:cs="宋体"/>
                <w:sz w:val="18"/>
                <w:szCs w:val="18"/>
              </w:rPr>
            </w:pPr>
            <w:r>
              <w:rPr>
                <w:rFonts w:hint="eastAsia" w:ascii="宋体" w:cs="宋体"/>
                <w:sz w:val="18"/>
                <w:szCs w:val="18"/>
              </w:rPr>
              <w:t>(3）本工程劳务用工数量及来源一览表；</w:t>
            </w:r>
          </w:p>
          <w:p>
            <w:pPr>
              <w:pStyle w:val="2"/>
              <w:rPr>
                <w:rFonts w:ascii="宋体" w:cs="宋体"/>
                <w:sz w:val="18"/>
                <w:szCs w:val="18"/>
              </w:rPr>
            </w:pPr>
            <w:r>
              <w:rPr>
                <w:rFonts w:hint="eastAsia" w:ascii="宋体" w:cs="宋体"/>
                <w:sz w:val="18"/>
                <w:szCs w:val="18"/>
              </w:rPr>
              <w:t>(4）拟投入本工程主要设备一览表，包括但不限于设计勘察的车辆、多功能工程机、测深仪、钻机等设备。</w:t>
            </w:r>
          </w:p>
          <w:p>
            <w:pPr>
              <w:pStyle w:val="2"/>
              <w:rPr>
                <w:rFonts w:ascii="宋体" w:cs="宋体"/>
                <w:sz w:val="18"/>
                <w:szCs w:val="18"/>
              </w:rPr>
            </w:pPr>
            <w:r>
              <w:rPr>
                <w:rFonts w:hint="eastAsia" w:ascii="宋体" w:cs="宋体"/>
                <w:sz w:val="18"/>
                <w:szCs w:val="18"/>
              </w:rPr>
              <w:t>2．设计对项目的投资、进度、质量等的管理措施及人员配备绿色、节能、安全控制措施。</w:t>
            </w:r>
          </w:p>
          <w:p>
            <w:pPr>
              <w:pStyle w:val="2"/>
              <w:rPr>
                <w:rFonts w:ascii="宋体" w:cs="宋体"/>
                <w:sz w:val="18"/>
                <w:szCs w:val="18"/>
              </w:rPr>
            </w:pPr>
            <w:r>
              <w:rPr>
                <w:rFonts w:hint="eastAsia" w:ascii="宋体" w:cs="宋体"/>
                <w:sz w:val="18"/>
                <w:szCs w:val="18"/>
              </w:rPr>
              <w:t>3. 设计和施工的融合措施项目重点、难点分析，主要内容包括：</w:t>
            </w:r>
          </w:p>
          <w:p>
            <w:pPr>
              <w:pStyle w:val="2"/>
              <w:ind w:firstLine="0"/>
              <w:rPr>
                <w:rFonts w:ascii="宋体" w:cs="宋体"/>
                <w:sz w:val="18"/>
                <w:szCs w:val="18"/>
              </w:rPr>
            </w:pPr>
            <w:r>
              <w:rPr>
                <w:rFonts w:hint="eastAsia" w:ascii="宋体" w:cs="宋体"/>
                <w:sz w:val="18"/>
                <w:szCs w:val="18"/>
              </w:rPr>
              <w:t>a  ) 工程概况：项目特点、施工平面布置、施工要求和技术保证条件：</w:t>
            </w:r>
          </w:p>
          <w:p>
            <w:pPr>
              <w:pStyle w:val="2"/>
              <w:ind w:firstLine="0"/>
              <w:rPr>
                <w:rFonts w:ascii="宋体" w:cs="宋体"/>
                <w:sz w:val="18"/>
                <w:szCs w:val="18"/>
              </w:rPr>
            </w:pPr>
            <w:r>
              <w:rPr>
                <w:rFonts w:hint="eastAsia" w:ascii="宋体" w:cs="宋体"/>
                <w:sz w:val="18"/>
                <w:szCs w:val="18"/>
              </w:rPr>
              <w:t>b  )编制依据：相关法律、法规、规范性文件、标准、规范及施工图设计文件、施工组织设计等：</w:t>
            </w:r>
          </w:p>
          <w:p>
            <w:pPr>
              <w:pStyle w:val="2"/>
              <w:ind w:firstLine="0"/>
              <w:rPr>
                <w:rFonts w:ascii="宋体" w:cs="宋体"/>
                <w:sz w:val="18"/>
                <w:szCs w:val="18"/>
              </w:rPr>
            </w:pPr>
            <w:r>
              <w:rPr>
                <w:rFonts w:hint="eastAsia" w:ascii="宋体" w:cs="宋体"/>
                <w:sz w:val="18"/>
                <w:szCs w:val="18"/>
              </w:rPr>
              <w:t>c  ) 施工计划：包括施工进度计划、材料与设备计划：</w:t>
            </w:r>
          </w:p>
          <w:p>
            <w:pPr>
              <w:pStyle w:val="2"/>
              <w:ind w:firstLine="0"/>
              <w:rPr>
                <w:rFonts w:ascii="宋体" w:cs="宋体"/>
                <w:sz w:val="18"/>
                <w:szCs w:val="18"/>
              </w:rPr>
            </w:pPr>
            <w:r>
              <w:rPr>
                <w:rFonts w:hint="eastAsia" w:ascii="宋体" w:cs="宋体"/>
                <w:sz w:val="18"/>
                <w:szCs w:val="18"/>
              </w:rPr>
              <w:t xml:space="preserve">d ）施工工艺技术：技术参数、工艺流程、施工方法、操作要求、检查要求等： </w:t>
            </w:r>
          </w:p>
          <w:p>
            <w:pPr>
              <w:pStyle w:val="2"/>
              <w:ind w:firstLine="0"/>
              <w:rPr>
                <w:rFonts w:ascii="宋体" w:cs="宋体"/>
                <w:sz w:val="18"/>
                <w:szCs w:val="18"/>
              </w:rPr>
            </w:pPr>
            <w:r>
              <w:rPr>
                <w:rFonts w:hint="eastAsia" w:ascii="宋体" w:cs="宋体"/>
                <w:sz w:val="18"/>
                <w:szCs w:val="18"/>
              </w:rPr>
              <w:t>e ）施工安全保证措施：组织保障措施、技术措施、监测监控措施等；</w:t>
            </w:r>
          </w:p>
          <w:p>
            <w:pPr>
              <w:pStyle w:val="2"/>
              <w:ind w:firstLine="0"/>
              <w:rPr>
                <w:rFonts w:ascii="宋体" w:cs="宋体"/>
                <w:sz w:val="18"/>
                <w:szCs w:val="18"/>
              </w:rPr>
            </w:pPr>
            <w:r>
              <w:rPr>
                <w:rFonts w:hint="eastAsia" w:ascii="宋体" w:cs="宋体"/>
                <w:sz w:val="18"/>
                <w:szCs w:val="18"/>
              </w:rPr>
              <w:t xml:space="preserve">f ）施工管理及作业人员配备和分工：施工管理人员、专职安全生产管理人员、其他作业人员等： </w:t>
            </w:r>
          </w:p>
          <w:p>
            <w:pPr>
              <w:pStyle w:val="2"/>
              <w:ind w:firstLine="0"/>
              <w:rPr>
                <w:rFonts w:ascii="宋体" w:cs="宋体"/>
                <w:sz w:val="18"/>
                <w:szCs w:val="18"/>
              </w:rPr>
            </w:pPr>
            <w:r>
              <w:rPr>
                <w:rFonts w:hint="eastAsia" w:ascii="宋体" w:cs="宋体"/>
                <w:sz w:val="18"/>
                <w:szCs w:val="18"/>
              </w:rPr>
              <w:t>g  )验收要求：验收标准、验收程序、验收内容、验收人员等：</w:t>
            </w:r>
          </w:p>
          <w:p>
            <w:pPr>
              <w:pStyle w:val="2"/>
              <w:ind w:firstLine="0"/>
              <w:rPr>
                <w:rFonts w:ascii="宋体" w:cs="宋体"/>
                <w:sz w:val="18"/>
                <w:szCs w:val="18"/>
              </w:rPr>
            </w:pPr>
            <w:r>
              <w:rPr>
                <w:rFonts w:hint="eastAsia" w:ascii="宋体" w:cs="宋体"/>
                <w:sz w:val="18"/>
                <w:szCs w:val="18"/>
              </w:rPr>
              <w:t>h ）应急处置措施：</w:t>
            </w:r>
          </w:p>
          <w:p>
            <w:pPr>
              <w:pStyle w:val="2"/>
              <w:ind w:firstLine="0"/>
              <w:rPr>
                <w:rFonts w:ascii="宋体" w:cs="宋体"/>
                <w:sz w:val="18"/>
                <w:szCs w:val="18"/>
              </w:rPr>
            </w:pPr>
            <w:r>
              <w:rPr>
                <w:rFonts w:hint="eastAsia" w:ascii="宋体" w:cs="宋体"/>
                <w:sz w:val="18"/>
                <w:szCs w:val="18"/>
              </w:rPr>
              <w:t>i ）计算书及相关施工图纸。</w:t>
            </w:r>
          </w:p>
        </w:tc>
      </w:tr>
    </w:tbl>
    <w:p>
      <w:pPr>
        <w:rPr>
          <w:kern w:val="0"/>
        </w:rPr>
      </w:pPr>
    </w:p>
    <w:p>
      <w:pPr>
        <w:pStyle w:val="2"/>
      </w:pPr>
    </w:p>
    <w:p>
      <w:pPr>
        <w:pStyle w:val="2"/>
        <w:sectPr>
          <w:footerReference r:id="rId10" w:type="default"/>
          <w:pgSz w:w="16838" w:h="11906" w:orient="landscape"/>
          <w:pgMar w:top="1440" w:right="1440" w:bottom="1440" w:left="1440" w:header="6" w:footer="850" w:gutter="283"/>
          <w:cols w:space="720" w:num="1"/>
          <w:docGrid w:type="lines" w:linePitch="426" w:charSpace="0"/>
        </w:sectPr>
      </w:pPr>
    </w:p>
    <w:p>
      <w:pPr>
        <w:spacing w:line="360" w:lineRule="auto"/>
        <w:rPr>
          <w:rFonts w:ascii="宋体"/>
          <w:b/>
          <w:kern w:val="0"/>
          <w:sz w:val="24"/>
          <w:szCs w:val="24"/>
        </w:rPr>
      </w:pPr>
      <w:r>
        <w:rPr>
          <w:rFonts w:hint="eastAsia" w:ascii="宋体"/>
          <w:b/>
          <w:kern w:val="0"/>
          <w:sz w:val="24"/>
          <w:szCs w:val="24"/>
        </w:rPr>
        <w:t xml:space="preserve">附表4 </w:t>
      </w:r>
    </w:p>
    <w:p>
      <w:pPr>
        <w:jc w:val="center"/>
        <w:rPr>
          <w:rFonts w:ascii="宋体"/>
          <w:b/>
          <w:kern w:val="0"/>
          <w:sz w:val="28"/>
          <w:szCs w:val="28"/>
        </w:rPr>
      </w:pPr>
      <w:r>
        <w:rPr>
          <w:rFonts w:hint="eastAsia" w:ascii="宋体"/>
          <w:b/>
          <w:kern w:val="0"/>
          <w:sz w:val="28"/>
          <w:szCs w:val="28"/>
        </w:rPr>
        <w:t>施工费报价综合评分表</w:t>
      </w:r>
    </w:p>
    <w:tbl>
      <w:tblPr>
        <w:tblStyle w:val="58"/>
        <w:tblW w:w="9605" w:type="dxa"/>
        <w:jc w:val="center"/>
        <w:tblLayout w:type="fixed"/>
        <w:tblCellMar>
          <w:top w:w="0" w:type="dxa"/>
          <w:left w:w="108" w:type="dxa"/>
          <w:bottom w:w="0" w:type="dxa"/>
          <w:right w:w="108" w:type="dxa"/>
        </w:tblCellMar>
      </w:tblPr>
      <w:tblGrid>
        <w:gridCol w:w="1520"/>
        <w:gridCol w:w="1155"/>
        <w:gridCol w:w="1155"/>
        <w:gridCol w:w="1155"/>
        <w:gridCol w:w="1155"/>
        <w:gridCol w:w="1155"/>
        <w:gridCol w:w="1155"/>
        <w:gridCol w:w="1155"/>
      </w:tblGrid>
      <w:tr>
        <w:tblPrEx>
          <w:tblCellMar>
            <w:top w:w="0" w:type="dxa"/>
            <w:left w:w="108" w:type="dxa"/>
            <w:bottom w:w="0" w:type="dxa"/>
            <w:right w:w="108" w:type="dxa"/>
          </w:tblCellMar>
        </w:tblPrEx>
        <w:trPr>
          <w:trHeight w:val="93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投标人名称</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r>
        <w:tblPrEx>
          <w:tblCellMar>
            <w:top w:w="0" w:type="dxa"/>
            <w:left w:w="108" w:type="dxa"/>
            <w:bottom w:w="0" w:type="dxa"/>
            <w:right w:w="108" w:type="dxa"/>
          </w:tblCellMar>
        </w:tblPrEx>
        <w:trPr>
          <w:trHeight w:val="72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施工费报价（元）</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r>
        <w:tblPrEx>
          <w:tblCellMar>
            <w:top w:w="0" w:type="dxa"/>
            <w:left w:w="108" w:type="dxa"/>
            <w:bottom w:w="0" w:type="dxa"/>
            <w:right w:w="108" w:type="dxa"/>
          </w:tblCellMar>
        </w:tblPrEx>
        <w:trPr>
          <w:trHeight w:val="72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评标参考价（元）</w:t>
            </w:r>
          </w:p>
        </w:tc>
        <w:tc>
          <w:tcPr>
            <w:tcW w:w="808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r>
        <w:tblPrEx>
          <w:tblCellMar>
            <w:top w:w="0" w:type="dxa"/>
            <w:left w:w="108" w:type="dxa"/>
            <w:bottom w:w="0" w:type="dxa"/>
            <w:right w:w="108" w:type="dxa"/>
          </w:tblCellMar>
        </w:tblPrEx>
        <w:trPr>
          <w:trHeight w:val="72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偏差（%）</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r>
        <w:tblPrEx>
          <w:tblCellMar>
            <w:top w:w="0" w:type="dxa"/>
            <w:left w:w="108" w:type="dxa"/>
            <w:bottom w:w="0" w:type="dxa"/>
            <w:right w:w="108" w:type="dxa"/>
          </w:tblCellMar>
        </w:tblPrEx>
        <w:trPr>
          <w:trHeight w:val="72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减分（A）</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r>
        <w:tblPrEx>
          <w:tblCellMar>
            <w:top w:w="0" w:type="dxa"/>
            <w:left w:w="108" w:type="dxa"/>
            <w:bottom w:w="0" w:type="dxa"/>
            <w:right w:w="108" w:type="dxa"/>
          </w:tblCellMar>
        </w:tblPrEx>
        <w:trPr>
          <w:trHeight w:val="720" w:hRule="atLeast"/>
          <w:jc w:val="center"/>
        </w:trPr>
        <w:tc>
          <w:tcPr>
            <w:tcW w:w="1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r>
              <w:rPr>
                <w:rFonts w:hint="eastAsia" w:ascii="宋体" w:cs="宋体"/>
                <w:kern w:val="0"/>
                <w:sz w:val="24"/>
                <w:szCs w:val="24"/>
              </w:rPr>
              <w:t>施工费报价得分</w:t>
            </w:r>
          </w:p>
          <w:p>
            <w:pPr>
              <w:widowControl/>
              <w:jc w:val="center"/>
              <w:textAlignment w:val="center"/>
              <w:rPr>
                <w:rFonts w:ascii="宋体" w:cs="宋体"/>
                <w:kern w:val="0"/>
                <w:sz w:val="24"/>
                <w:szCs w:val="24"/>
              </w:rPr>
            </w:pPr>
            <w:r>
              <w:rPr>
                <w:rFonts w:hint="eastAsia" w:ascii="宋体" w:cs="宋体"/>
                <w:kern w:val="0"/>
                <w:sz w:val="24"/>
                <w:szCs w:val="24"/>
              </w:rPr>
              <w:t>(I=100-A)</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宋体"/>
                <w:kern w:val="0"/>
                <w:sz w:val="24"/>
                <w:szCs w:val="24"/>
              </w:rPr>
            </w:pPr>
          </w:p>
        </w:tc>
      </w:tr>
    </w:tbl>
    <w:p>
      <w:pPr>
        <w:keepNext/>
        <w:keepLines/>
        <w:spacing w:before="340" w:after="330"/>
        <w:jc w:val="left"/>
        <w:outlineLvl w:val="0"/>
        <w:rPr>
          <w:rFonts w:ascii="宋体" w:cs="宋体"/>
          <w:kern w:val="0"/>
          <w:sz w:val="24"/>
          <w:szCs w:val="24"/>
        </w:rPr>
      </w:pPr>
      <w:bookmarkStart w:id="257" w:name="_Toc79748094"/>
      <w:r>
        <w:rPr>
          <w:rFonts w:hint="eastAsia" w:ascii="宋体" w:cs="宋体"/>
          <w:kern w:val="0"/>
          <w:sz w:val="24"/>
          <w:szCs w:val="24"/>
        </w:rPr>
        <w:t>评标委员会签名：                                       日期：</w:t>
      </w:r>
      <w:bookmarkEnd w:id="257"/>
    </w:p>
    <w:p>
      <w:pPr>
        <w:widowControl/>
        <w:jc w:val="left"/>
        <w:rPr>
          <w:rFonts w:ascii="宋体"/>
          <w:b/>
          <w:kern w:val="0"/>
          <w:sz w:val="36"/>
          <w:szCs w:val="36"/>
        </w:rPr>
      </w:pPr>
      <w:r>
        <w:rPr>
          <w:rFonts w:ascii="宋体"/>
          <w:b/>
          <w:kern w:val="0"/>
          <w:sz w:val="36"/>
          <w:szCs w:val="36"/>
        </w:rPr>
        <w:br w:type="page"/>
      </w:r>
    </w:p>
    <w:p>
      <w:pPr>
        <w:keepNext/>
        <w:keepLines/>
        <w:numPr>
          <w:ilvl w:val="0"/>
          <w:numId w:val="3"/>
        </w:numPr>
        <w:spacing w:before="340" w:after="330"/>
        <w:jc w:val="center"/>
        <w:outlineLvl w:val="0"/>
        <w:rPr>
          <w:rFonts w:ascii="宋体"/>
          <w:b/>
          <w:bCs/>
          <w:kern w:val="0"/>
          <w:sz w:val="44"/>
          <w:szCs w:val="44"/>
        </w:rPr>
      </w:pPr>
      <w:bookmarkStart w:id="258" w:name="_Toc79748095"/>
      <w:r>
        <w:rPr>
          <w:rFonts w:hint="eastAsia" w:ascii="宋体"/>
          <w:b/>
          <w:bCs/>
          <w:kern w:val="0"/>
          <w:sz w:val="44"/>
          <w:szCs w:val="44"/>
        </w:rPr>
        <w:t>合同条款及格式</w:t>
      </w:r>
      <w:bookmarkEnd w:id="258"/>
    </w:p>
    <w:p>
      <w:pPr>
        <w:pStyle w:val="3"/>
        <w:jc w:val="center"/>
        <w:rPr>
          <w:kern w:val="0"/>
          <w:sz w:val="30"/>
          <w:szCs w:val="30"/>
        </w:rPr>
      </w:pPr>
      <w:r>
        <w:rPr>
          <w:rFonts w:hint="eastAsia"/>
          <w:kern w:val="0"/>
          <w:sz w:val="30"/>
          <w:szCs w:val="30"/>
        </w:rPr>
        <w:t>（另册）</w:t>
      </w:r>
    </w:p>
    <w:p>
      <w:pPr>
        <w:pStyle w:val="3"/>
      </w:pPr>
      <w:r>
        <w:br w:type="page"/>
      </w:r>
    </w:p>
    <w:p>
      <w:pPr>
        <w:pStyle w:val="5"/>
        <w:jc w:val="center"/>
        <w:rPr>
          <w:rFonts w:ascii="宋体"/>
          <w:kern w:val="0"/>
        </w:rPr>
      </w:pPr>
      <w:bookmarkStart w:id="259" w:name="_Toc79748096"/>
      <w:r>
        <w:rPr>
          <w:rFonts w:hint="eastAsia" w:ascii="宋体"/>
          <w:kern w:val="0"/>
        </w:rPr>
        <w:t>第四章  发包人要求</w:t>
      </w:r>
      <w:bookmarkEnd w:id="259"/>
    </w:p>
    <w:p>
      <w:pPr>
        <w:jc w:val="left"/>
        <w:rPr>
          <w:rFonts w:ascii="宋体"/>
          <w:b/>
          <w:bCs/>
          <w:kern w:val="0"/>
          <w:sz w:val="32"/>
          <w:szCs w:val="32"/>
        </w:rPr>
      </w:pPr>
      <w:r>
        <w:rPr>
          <w:rFonts w:hint="eastAsia" w:ascii="宋体"/>
          <w:b/>
          <w:bCs/>
          <w:kern w:val="0"/>
          <w:sz w:val="32"/>
          <w:szCs w:val="32"/>
        </w:rPr>
        <w:t>1．设计任务书</w:t>
      </w:r>
    </w:p>
    <w:p>
      <w:pPr>
        <w:ind w:firstLine="198"/>
        <w:jc w:val="center"/>
        <w:outlineLvl w:val="0"/>
        <w:rPr>
          <w:b/>
          <w:bCs/>
          <w:kern w:val="0"/>
          <w:sz w:val="44"/>
        </w:rPr>
      </w:pPr>
      <w:r>
        <w:rPr>
          <w:rFonts w:hint="eastAsia"/>
          <w:b/>
          <w:bCs/>
          <w:kern w:val="0"/>
          <w:sz w:val="44"/>
        </w:rPr>
        <w:t>工程勘察技术要求及勘察任务书</w:t>
      </w:r>
    </w:p>
    <w:p>
      <w:pPr>
        <w:pStyle w:val="739"/>
        <w:rPr>
          <w:kern w:val="0"/>
        </w:rPr>
      </w:pPr>
      <w:r>
        <w:rPr>
          <w:rFonts w:hint="eastAsia"/>
          <w:kern w:val="0"/>
        </w:rPr>
        <w:t xml:space="preserve"> </w:t>
      </w:r>
      <w:r>
        <w:rPr>
          <w:kern w:val="0"/>
        </w:rPr>
        <w:t>技术要求</w:t>
      </w:r>
    </w:p>
    <w:p>
      <w:pPr>
        <w:pStyle w:val="740"/>
        <w:spacing w:before="120" w:beforeLines="0" w:after="120" w:afterLines="0"/>
        <w:ind w:firstLine="420"/>
        <w:rPr>
          <w:kern w:val="0"/>
        </w:rPr>
      </w:pPr>
      <w:r>
        <w:rPr>
          <w:rFonts w:hint="eastAsia"/>
          <w:kern w:val="0"/>
        </w:rPr>
        <w:t>勘测</w:t>
      </w:r>
      <w:r>
        <w:rPr>
          <w:kern w:val="0"/>
        </w:rPr>
        <w:t>目的</w:t>
      </w:r>
    </w:p>
    <w:p>
      <w:pPr>
        <w:ind w:firstLine="480"/>
        <w:rPr>
          <w:kern w:val="0"/>
          <w:lang w:val="zh-CN"/>
        </w:rPr>
      </w:pPr>
      <w:r>
        <w:rPr>
          <w:rFonts w:hint="eastAsia"/>
          <w:kern w:val="0"/>
          <w:lang w:val="zh-CN"/>
        </w:rPr>
        <w:t>（1）</w:t>
      </w:r>
      <w:r>
        <w:rPr>
          <w:rFonts w:hint="eastAsia"/>
          <w:kern w:val="0"/>
          <w:lang w:val="zh-CN"/>
        </w:rPr>
        <w:tab/>
      </w:r>
      <w:r>
        <w:rPr>
          <w:rFonts w:hint="eastAsia"/>
          <w:kern w:val="0"/>
          <w:lang w:val="zh-CN"/>
        </w:rPr>
        <w:t>查明拟建场地不良地质作用的分布、规模、成因，分析发展趋势，评价其对拟建场地的影响，提出防治措施的建议;</w:t>
      </w:r>
    </w:p>
    <w:p>
      <w:pPr>
        <w:ind w:firstLine="480"/>
        <w:rPr>
          <w:kern w:val="0"/>
          <w:lang w:val="zh-CN"/>
        </w:rPr>
      </w:pPr>
      <w:r>
        <w:rPr>
          <w:rFonts w:hint="eastAsia"/>
          <w:kern w:val="0"/>
          <w:lang w:val="zh-CN"/>
        </w:rPr>
        <w:t>（2）</w:t>
      </w:r>
      <w:r>
        <w:rPr>
          <w:rFonts w:hint="eastAsia"/>
          <w:kern w:val="0"/>
          <w:lang w:val="zh-CN"/>
        </w:rPr>
        <w:tab/>
      </w:r>
      <w:r>
        <w:rPr>
          <w:rFonts w:hint="eastAsia"/>
          <w:kern w:val="0"/>
          <w:lang w:val="zh-CN"/>
        </w:rPr>
        <w:t>查明场地地层结构及其物理、力学性质;</w:t>
      </w:r>
    </w:p>
    <w:p>
      <w:pPr>
        <w:ind w:firstLine="480"/>
        <w:rPr>
          <w:kern w:val="0"/>
          <w:lang w:val="zh-CN"/>
        </w:rPr>
      </w:pPr>
      <w:r>
        <w:rPr>
          <w:rFonts w:hint="eastAsia"/>
          <w:kern w:val="0"/>
          <w:lang w:val="zh-CN"/>
        </w:rPr>
        <w:t>（3）</w:t>
      </w:r>
      <w:r>
        <w:rPr>
          <w:rFonts w:hint="eastAsia"/>
          <w:kern w:val="0"/>
          <w:lang w:val="zh-CN"/>
        </w:rPr>
        <w:tab/>
      </w:r>
      <w:r>
        <w:rPr>
          <w:rFonts w:hint="eastAsia"/>
          <w:kern w:val="0"/>
          <w:lang w:val="zh-CN"/>
        </w:rPr>
        <w:t>查明特殊性岩土、河湖沟坑及暗浜的分布范围，调查工程周边环境条件，分析评价其对设计与施工的影响;</w:t>
      </w:r>
    </w:p>
    <w:p>
      <w:pPr>
        <w:ind w:firstLine="480"/>
        <w:rPr>
          <w:kern w:val="0"/>
          <w:lang w:val="zh-CN"/>
        </w:rPr>
      </w:pPr>
      <w:r>
        <w:rPr>
          <w:rFonts w:hint="eastAsia"/>
          <w:kern w:val="0"/>
          <w:lang w:val="zh-CN"/>
        </w:rPr>
        <w:t>（4）</w:t>
      </w:r>
      <w:r>
        <w:rPr>
          <w:rFonts w:hint="eastAsia"/>
          <w:kern w:val="0"/>
          <w:lang w:val="zh-CN"/>
        </w:rPr>
        <w:tab/>
      </w:r>
      <w:r>
        <w:rPr>
          <w:rFonts w:hint="eastAsia"/>
          <w:kern w:val="0"/>
          <w:lang w:val="zh-CN"/>
        </w:rPr>
        <w:t>查明地下水埋藏条件及其和地表水的补排关系，提供地下水位动态变化规律，根据需要分析评价其对工程的影响;</w:t>
      </w:r>
    </w:p>
    <w:p>
      <w:pPr>
        <w:ind w:firstLine="480"/>
        <w:rPr>
          <w:kern w:val="0"/>
          <w:lang w:val="zh-CN"/>
        </w:rPr>
      </w:pPr>
      <w:r>
        <w:rPr>
          <w:rFonts w:hint="eastAsia"/>
          <w:kern w:val="0"/>
          <w:lang w:val="zh-CN"/>
        </w:rPr>
        <w:t>（5）</w:t>
      </w:r>
      <w:r>
        <w:rPr>
          <w:rFonts w:hint="eastAsia"/>
          <w:kern w:val="0"/>
          <w:lang w:val="zh-CN"/>
        </w:rPr>
        <w:tab/>
      </w:r>
      <w:r>
        <w:rPr>
          <w:rFonts w:hint="eastAsia"/>
          <w:kern w:val="0"/>
          <w:lang w:val="zh-CN"/>
        </w:rPr>
        <w:t>判定水、土对工程材料的腐蚀性;</w:t>
      </w:r>
    </w:p>
    <w:p>
      <w:pPr>
        <w:ind w:firstLine="480"/>
        <w:rPr>
          <w:kern w:val="0"/>
          <w:lang w:val="zh-CN"/>
        </w:rPr>
      </w:pPr>
      <w:r>
        <w:rPr>
          <w:rFonts w:hint="eastAsia"/>
          <w:kern w:val="0"/>
          <w:lang w:val="zh-CN"/>
        </w:rPr>
        <w:t>（6）对场地和地基的地震效应进行评价，提供抗震设计所需的有关参数; 提供各建（构）筑基础选型的建议；</w:t>
      </w:r>
    </w:p>
    <w:p>
      <w:pPr>
        <w:ind w:firstLine="480"/>
        <w:rPr>
          <w:kern w:val="0"/>
          <w:lang w:val="zh-CN"/>
        </w:rPr>
      </w:pPr>
      <w:r>
        <w:rPr>
          <w:rFonts w:hint="eastAsia"/>
          <w:kern w:val="0"/>
          <w:lang w:val="zh-CN"/>
        </w:rPr>
        <w:t>（7）</w:t>
      </w:r>
      <w:r>
        <w:rPr>
          <w:rFonts w:hint="eastAsia"/>
          <w:kern w:val="0"/>
          <w:lang w:val="zh-CN"/>
        </w:rPr>
        <w:tab/>
      </w:r>
      <w:r>
        <w:rPr>
          <w:rFonts w:hint="eastAsia"/>
          <w:kern w:val="0"/>
          <w:lang w:val="zh-CN"/>
        </w:rPr>
        <w:t>根据需要，对地基工程性质、围岩分级及稳定性、边坡稳定性等进行分析评价；</w:t>
      </w:r>
    </w:p>
    <w:p>
      <w:pPr>
        <w:ind w:firstLine="480"/>
        <w:rPr>
          <w:kern w:val="0"/>
          <w:lang w:val="zh-CN"/>
        </w:rPr>
      </w:pPr>
      <w:r>
        <w:rPr>
          <w:rFonts w:hint="eastAsia"/>
          <w:kern w:val="0"/>
          <w:lang w:val="zh-CN"/>
        </w:rPr>
        <w:t>（8）</w:t>
      </w:r>
      <w:r>
        <w:rPr>
          <w:rFonts w:hint="eastAsia"/>
          <w:kern w:val="0"/>
          <w:lang w:val="zh-CN"/>
        </w:rPr>
        <w:tab/>
      </w:r>
      <w:r>
        <w:rPr>
          <w:rFonts w:hint="eastAsia"/>
          <w:kern w:val="0"/>
          <w:lang w:val="zh-CN"/>
        </w:rPr>
        <w:t>对设计与施工中的岩土工程问题进行分析评价，提供岩土工程技术建议和相关岩土参数；</w:t>
      </w:r>
    </w:p>
    <w:p>
      <w:pPr>
        <w:ind w:firstLine="480"/>
        <w:rPr>
          <w:kern w:val="0"/>
          <w:lang w:val="zh-CN"/>
        </w:rPr>
      </w:pPr>
      <w:r>
        <w:rPr>
          <w:rFonts w:hint="eastAsia"/>
          <w:kern w:val="0"/>
          <w:lang w:val="zh-CN"/>
        </w:rPr>
        <w:t>（9）</w:t>
      </w:r>
      <w:r>
        <w:rPr>
          <w:rFonts w:hint="eastAsia"/>
          <w:kern w:val="0"/>
          <w:lang w:val="zh-CN"/>
        </w:rPr>
        <w:tab/>
      </w:r>
      <w:r>
        <w:rPr>
          <w:rFonts w:hint="eastAsia"/>
          <w:kern w:val="0"/>
          <w:lang w:val="zh-CN"/>
        </w:rPr>
        <w:t>完成场地地形测量测绘成果编制，为后续设计工作依据；</w:t>
      </w:r>
    </w:p>
    <w:p>
      <w:pPr>
        <w:ind w:firstLine="480"/>
        <w:rPr>
          <w:kern w:val="0"/>
          <w:lang w:val="zh-CN"/>
        </w:rPr>
      </w:pPr>
      <w:r>
        <w:rPr>
          <w:rFonts w:hint="eastAsia"/>
          <w:kern w:val="0"/>
          <w:lang w:val="zh-CN"/>
        </w:rPr>
        <w:t>（10）</w:t>
      </w:r>
      <w:r>
        <w:rPr>
          <w:rFonts w:hint="eastAsia"/>
          <w:kern w:val="0"/>
          <w:lang w:val="zh-CN"/>
        </w:rPr>
        <w:tab/>
      </w:r>
      <w:r>
        <w:rPr>
          <w:rFonts w:hint="eastAsia"/>
          <w:kern w:val="0"/>
          <w:lang w:val="zh-CN"/>
        </w:rPr>
        <w:t>探明拟建区域地下管线等物探情况，为后续地下建（构）筑物及管线建设提供参考。</w:t>
      </w:r>
    </w:p>
    <w:p>
      <w:pPr>
        <w:pStyle w:val="740"/>
        <w:spacing w:before="120" w:beforeLines="0" w:after="120" w:afterLines="0"/>
        <w:ind w:firstLine="420"/>
        <w:rPr>
          <w:kern w:val="0"/>
        </w:rPr>
      </w:pPr>
      <w:r>
        <w:rPr>
          <w:rFonts w:hint="eastAsia"/>
          <w:kern w:val="0"/>
        </w:rPr>
        <w:t>岩土</w:t>
      </w:r>
      <w:r>
        <w:rPr>
          <w:kern w:val="0"/>
        </w:rPr>
        <w:t>工程</w:t>
      </w:r>
      <w:r>
        <w:rPr>
          <w:rFonts w:hint="eastAsia"/>
          <w:kern w:val="0"/>
        </w:rPr>
        <w:t>勘察</w:t>
      </w:r>
      <w:r>
        <w:rPr>
          <w:kern w:val="0"/>
        </w:rPr>
        <w:t>技术要求</w:t>
      </w:r>
    </w:p>
    <w:p>
      <w:pPr>
        <w:ind w:firstLine="480"/>
        <w:rPr>
          <w:kern w:val="0"/>
          <w:lang w:val="zh-CN"/>
        </w:rPr>
      </w:pPr>
      <w:r>
        <w:rPr>
          <w:rFonts w:hint="eastAsia"/>
          <w:kern w:val="0"/>
          <w:lang w:val="zh-CN"/>
        </w:rPr>
        <w:t>（1）</w:t>
      </w:r>
      <w:r>
        <w:rPr>
          <w:rFonts w:hint="eastAsia"/>
          <w:kern w:val="0"/>
          <w:lang w:val="zh-CN"/>
        </w:rPr>
        <w:tab/>
      </w:r>
      <w:r>
        <w:rPr>
          <w:rFonts w:hint="eastAsia"/>
          <w:kern w:val="0"/>
          <w:lang w:val="zh-CN"/>
        </w:rPr>
        <w:t>应对地基作出工程地质评价，为地基基础和穿越工程设计、地基处理与加固、不良地质现象的防治、深基槽开挖和管线设计等提供工程地质依据和必要的设计参数，并提出相应的建议。</w:t>
      </w:r>
    </w:p>
    <w:p>
      <w:pPr>
        <w:ind w:firstLine="480"/>
        <w:rPr>
          <w:kern w:val="0"/>
          <w:lang w:val="zh-CN"/>
        </w:rPr>
      </w:pPr>
      <w:r>
        <w:rPr>
          <w:rFonts w:hint="eastAsia"/>
          <w:kern w:val="0"/>
          <w:lang w:val="zh-CN"/>
        </w:rPr>
        <w:t>（2）</w:t>
      </w:r>
      <w:r>
        <w:rPr>
          <w:rFonts w:hint="eastAsia"/>
          <w:kern w:val="0"/>
          <w:lang w:val="zh-CN"/>
        </w:rPr>
        <w:tab/>
      </w:r>
      <w:r>
        <w:rPr>
          <w:rFonts w:hint="eastAsia"/>
          <w:kern w:val="0"/>
          <w:lang w:val="zh-CN"/>
        </w:rPr>
        <w:t>提供基础设计所需的岩土技术参数，根据场地条件的地区经验，提出地基和基础设计方案建议。</w:t>
      </w:r>
    </w:p>
    <w:p>
      <w:pPr>
        <w:ind w:firstLine="480"/>
        <w:rPr>
          <w:kern w:val="0"/>
          <w:lang w:val="zh-CN"/>
        </w:rPr>
      </w:pPr>
      <w:r>
        <w:rPr>
          <w:rFonts w:hint="eastAsia"/>
          <w:kern w:val="0"/>
          <w:lang w:val="zh-CN"/>
        </w:rPr>
        <w:t>（3）</w:t>
      </w:r>
      <w:r>
        <w:rPr>
          <w:rFonts w:hint="eastAsia"/>
          <w:kern w:val="0"/>
          <w:lang w:val="zh-CN"/>
        </w:rPr>
        <w:tab/>
      </w:r>
      <w:r>
        <w:rPr>
          <w:rFonts w:hint="eastAsia"/>
          <w:kern w:val="0"/>
          <w:lang w:val="zh-CN"/>
        </w:rPr>
        <w:t>提供各土层的物理参数及地基承载力特征值；</w:t>
      </w:r>
    </w:p>
    <w:p>
      <w:pPr>
        <w:ind w:firstLine="480"/>
        <w:rPr>
          <w:kern w:val="0"/>
          <w:lang w:val="zh-CN"/>
        </w:rPr>
      </w:pPr>
      <w:r>
        <w:rPr>
          <w:rFonts w:hint="eastAsia"/>
          <w:kern w:val="0"/>
          <w:lang w:val="zh-CN"/>
        </w:rPr>
        <w:t>（4）</w:t>
      </w:r>
      <w:r>
        <w:rPr>
          <w:rFonts w:hint="eastAsia"/>
          <w:kern w:val="0"/>
          <w:lang w:val="zh-CN"/>
        </w:rPr>
        <w:tab/>
      </w:r>
      <w:r>
        <w:rPr>
          <w:rFonts w:hint="eastAsia"/>
          <w:kern w:val="0"/>
          <w:lang w:val="zh-CN"/>
        </w:rPr>
        <w:t>提供高强预应力管桩基础设计及灌注桩基础设计的各层岩土参数及持力层承载力特征值；</w:t>
      </w:r>
    </w:p>
    <w:p>
      <w:pPr>
        <w:ind w:firstLine="480"/>
        <w:rPr>
          <w:kern w:val="0"/>
          <w:lang w:val="zh-CN"/>
        </w:rPr>
      </w:pPr>
      <w:r>
        <w:rPr>
          <w:rFonts w:hint="eastAsia"/>
          <w:kern w:val="0"/>
          <w:lang w:val="zh-CN"/>
        </w:rPr>
        <w:t>（5）</w:t>
      </w:r>
      <w:r>
        <w:rPr>
          <w:rFonts w:hint="eastAsia"/>
          <w:kern w:val="0"/>
          <w:lang w:val="zh-CN"/>
        </w:rPr>
        <w:tab/>
      </w:r>
      <w:r>
        <w:rPr>
          <w:rFonts w:hint="eastAsia"/>
          <w:kern w:val="0"/>
          <w:lang w:val="zh-CN"/>
        </w:rPr>
        <w:t>提供地基处理方法及设计所需要的参数；</w:t>
      </w:r>
    </w:p>
    <w:p>
      <w:pPr>
        <w:ind w:firstLine="480"/>
        <w:rPr>
          <w:kern w:val="0"/>
          <w:lang w:val="zh-CN"/>
        </w:rPr>
      </w:pPr>
      <w:r>
        <w:rPr>
          <w:rFonts w:hint="eastAsia"/>
          <w:kern w:val="0"/>
          <w:lang w:val="zh-CN"/>
        </w:rPr>
        <w:t>（6）</w:t>
      </w:r>
      <w:r>
        <w:rPr>
          <w:rFonts w:hint="eastAsia"/>
          <w:kern w:val="0"/>
          <w:lang w:val="zh-CN"/>
        </w:rPr>
        <w:tab/>
      </w:r>
      <w:r>
        <w:rPr>
          <w:rFonts w:hint="eastAsia"/>
          <w:kern w:val="0"/>
          <w:lang w:val="zh-CN"/>
        </w:rPr>
        <w:t>提供无粘性土及粘性土自然放坡开挖稳定坡率最小值，以及粘性土垂直开挖时的坑壁自然稳定的临界深度。当基坑开挖深度较深时，提供边坡稳定计算、支护方案选择，以及基底稳定性验算所需的参数，并在基坑开挖、降水时对临近建筑物的影响作出论证和评价；</w:t>
      </w:r>
    </w:p>
    <w:p>
      <w:pPr>
        <w:ind w:firstLine="480"/>
        <w:rPr>
          <w:kern w:val="0"/>
          <w:lang w:val="zh-CN"/>
        </w:rPr>
      </w:pPr>
      <w:r>
        <w:rPr>
          <w:rFonts w:hint="eastAsia"/>
          <w:kern w:val="0"/>
          <w:lang w:val="zh-CN"/>
        </w:rPr>
        <w:t>（7）</w:t>
      </w:r>
      <w:r>
        <w:rPr>
          <w:rFonts w:hint="eastAsia"/>
          <w:kern w:val="0"/>
          <w:lang w:val="zh-CN"/>
        </w:rPr>
        <w:tab/>
      </w:r>
      <w:r>
        <w:rPr>
          <w:rFonts w:hint="eastAsia"/>
          <w:kern w:val="0"/>
          <w:lang w:val="zh-CN"/>
        </w:rPr>
        <w:t>对可能产生的流砂、管涌、坑底突涌等进行分析评价，提出相应处理措施的建议﹔</w:t>
      </w:r>
    </w:p>
    <w:p>
      <w:pPr>
        <w:ind w:firstLine="480"/>
        <w:rPr>
          <w:kern w:val="0"/>
          <w:lang w:val="zh-CN"/>
        </w:rPr>
      </w:pPr>
      <w:r>
        <w:rPr>
          <w:rFonts w:hint="eastAsia"/>
          <w:kern w:val="0"/>
          <w:lang w:val="zh-CN"/>
        </w:rPr>
        <w:t>（8）</w:t>
      </w:r>
      <w:r>
        <w:rPr>
          <w:rFonts w:hint="eastAsia"/>
          <w:kern w:val="0"/>
          <w:lang w:val="zh-CN"/>
        </w:rPr>
        <w:tab/>
      </w:r>
      <w:r>
        <w:rPr>
          <w:rFonts w:hint="eastAsia"/>
          <w:kern w:val="0"/>
          <w:lang w:val="zh-CN"/>
        </w:rPr>
        <w:t>对荷载较轻的储水构筑物，分析评价地下水对工程运营及其在空载状态时的不利影响，提出抗浮设计的相关建议;</w:t>
      </w:r>
    </w:p>
    <w:p>
      <w:pPr>
        <w:ind w:firstLine="480"/>
        <w:rPr>
          <w:kern w:val="0"/>
          <w:lang w:val="zh-CN"/>
        </w:rPr>
      </w:pPr>
      <w:r>
        <w:rPr>
          <w:rFonts w:hint="eastAsia"/>
          <w:kern w:val="0"/>
          <w:lang w:val="zh-CN"/>
        </w:rPr>
        <w:t>（9）</w:t>
      </w:r>
      <w:r>
        <w:rPr>
          <w:rFonts w:hint="eastAsia"/>
          <w:kern w:val="0"/>
          <w:lang w:val="zh-CN"/>
        </w:rPr>
        <w:tab/>
      </w:r>
      <w:r>
        <w:rPr>
          <w:rFonts w:hint="eastAsia"/>
          <w:kern w:val="0"/>
          <w:lang w:val="zh-CN"/>
        </w:rPr>
        <w:t>对厂区水处理构筑物，需要时，应通过专项工作评价不均匀沉降，提出措施及建议。</w:t>
      </w:r>
    </w:p>
    <w:p>
      <w:pPr>
        <w:pStyle w:val="740"/>
        <w:spacing w:before="120" w:beforeLines="0" w:after="120" w:afterLines="0"/>
        <w:ind w:firstLine="420"/>
        <w:rPr>
          <w:kern w:val="0"/>
        </w:rPr>
      </w:pPr>
      <w:r>
        <w:rPr>
          <w:rFonts w:hint="eastAsia"/>
          <w:kern w:val="0"/>
        </w:rPr>
        <w:t>测量</w:t>
      </w:r>
      <w:r>
        <w:rPr>
          <w:kern w:val="0"/>
        </w:rPr>
        <w:t>技术要求</w:t>
      </w:r>
    </w:p>
    <w:p>
      <w:pPr>
        <w:ind w:firstLine="480"/>
        <w:rPr>
          <w:rFonts w:ascii="宋体" w:cs="宋体"/>
          <w:kern w:val="0"/>
          <w:szCs w:val="28"/>
        </w:rPr>
      </w:pPr>
      <w:r>
        <w:rPr>
          <w:rFonts w:hint="eastAsia" w:ascii="宋体" w:cs="宋体"/>
          <w:kern w:val="0"/>
          <w:szCs w:val="28"/>
        </w:rPr>
        <w:t>（1）</w:t>
      </w:r>
      <w:r>
        <w:rPr>
          <w:rFonts w:hint="eastAsia" w:ascii="宋体" w:cs="宋体"/>
          <w:kern w:val="0"/>
          <w:szCs w:val="28"/>
        </w:rPr>
        <w:tab/>
      </w:r>
      <w:r>
        <w:rPr>
          <w:rFonts w:hint="eastAsia" w:ascii="宋体" w:cs="宋体"/>
          <w:kern w:val="0"/>
          <w:szCs w:val="28"/>
        </w:rPr>
        <w:t>控制测量：在项目拟建区域布设E级GPS控制网、水准测量线路及图根测量。</w:t>
      </w:r>
    </w:p>
    <w:p>
      <w:pPr>
        <w:ind w:firstLine="480"/>
        <w:rPr>
          <w:rFonts w:ascii="宋体" w:cs="宋体"/>
          <w:kern w:val="0"/>
          <w:szCs w:val="28"/>
        </w:rPr>
      </w:pPr>
      <w:r>
        <w:rPr>
          <w:rFonts w:hint="eastAsia" w:ascii="宋体" w:cs="宋体"/>
          <w:kern w:val="0"/>
          <w:szCs w:val="28"/>
        </w:rPr>
        <w:t>（2）</w:t>
      </w:r>
      <w:r>
        <w:rPr>
          <w:rFonts w:hint="eastAsia" w:ascii="宋体" w:cs="宋体"/>
          <w:kern w:val="0"/>
          <w:szCs w:val="28"/>
        </w:rPr>
        <w:tab/>
      </w:r>
      <w:r>
        <w:rPr>
          <w:rFonts w:hint="eastAsia" w:ascii="宋体" w:cs="宋体"/>
          <w:kern w:val="0"/>
          <w:szCs w:val="28"/>
        </w:rPr>
        <w:t>地形图测绘：规划围墙线范围以内测绘1：500地形图，其中厂区北侧需测绘至围墙外金坑河边，厂区西侧需测绘至围墙外市政道路中线。</w:t>
      </w:r>
    </w:p>
    <w:p>
      <w:pPr>
        <w:ind w:firstLine="480"/>
        <w:rPr>
          <w:rFonts w:ascii="宋体" w:cs="宋体"/>
          <w:kern w:val="0"/>
          <w:szCs w:val="28"/>
        </w:rPr>
      </w:pPr>
      <w:r>
        <w:rPr>
          <w:rFonts w:hint="eastAsia" w:ascii="宋体" w:cs="宋体"/>
          <w:kern w:val="0"/>
          <w:szCs w:val="28"/>
        </w:rPr>
        <w:t>（3）</w:t>
      </w:r>
      <w:r>
        <w:rPr>
          <w:rFonts w:hint="eastAsia" w:ascii="宋体" w:cs="宋体"/>
          <w:kern w:val="0"/>
          <w:szCs w:val="28"/>
        </w:rPr>
        <w:tab/>
      </w:r>
      <w:r>
        <w:rPr>
          <w:rFonts w:hint="eastAsia" w:ascii="宋体" w:cs="宋体"/>
          <w:kern w:val="0"/>
          <w:szCs w:val="28"/>
        </w:rPr>
        <w:t>采用广州市城建系统的坐标系和高程系。</w:t>
      </w:r>
    </w:p>
    <w:p>
      <w:pPr>
        <w:ind w:firstLine="480"/>
        <w:rPr>
          <w:rFonts w:ascii="宋体" w:cs="宋体"/>
          <w:kern w:val="0"/>
          <w:szCs w:val="28"/>
        </w:rPr>
      </w:pPr>
      <w:r>
        <w:rPr>
          <w:rFonts w:hint="eastAsia" w:ascii="宋体" w:cs="宋体"/>
          <w:kern w:val="0"/>
          <w:szCs w:val="28"/>
        </w:rPr>
        <w:t>（4）</w:t>
      </w:r>
      <w:r>
        <w:rPr>
          <w:rFonts w:hint="eastAsia" w:ascii="宋体" w:cs="宋体"/>
          <w:kern w:val="0"/>
          <w:szCs w:val="28"/>
        </w:rPr>
        <w:tab/>
      </w:r>
      <w:r>
        <w:rPr>
          <w:rFonts w:hint="eastAsia" w:ascii="宋体" w:cs="宋体"/>
          <w:kern w:val="0"/>
          <w:szCs w:val="28"/>
        </w:rPr>
        <w:t>树木调查：需查明现状厂区围墙范围内树木分布情况，具体需查明各树木树种、定位、胸径、数量信息，其中大树（胸径2</w:t>
      </w:r>
      <w:r>
        <w:rPr>
          <w:rFonts w:ascii="宋体" w:cs="宋体"/>
          <w:kern w:val="0"/>
          <w:szCs w:val="28"/>
        </w:rPr>
        <w:t>0</w:t>
      </w:r>
      <w:r>
        <w:rPr>
          <w:rFonts w:hint="eastAsia" w:ascii="宋体" w:cs="宋体"/>
          <w:kern w:val="0"/>
          <w:szCs w:val="28"/>
        </w:rPr>
        <w:t>cm或以上）需要进一步查明树高、冠幅信息并汇总成表。</w:t>
      </w:r>
    </w:p>
    <w:p>
      <w:pPr>
        <w:ind w:firstLine="480"/>
        <w:rPr>
          <w:rFonts w:ascii="宋体" w:cs="宋体"/>
          <w:kern w:val="0"/>
          <w:szCs w:val="28"/>
        </w:rPr>
      </w:pPr>
      <w:r>
        <w:rPr>
          <w:rFonts w:hint="eastAsia" w:ascii="宋体" w:cs="宋体"/>
          <w:kern w:val="0"/>
          <w:szCs w:val="28"/>
        </w:rPr>
        <w:t>（5）</w:t>
      </w:r>
      <w:r>
        <w:rPr>
          <w:rFonts w:ascii="宋体" w:cs="宋体"/>
          <w:kern w:val="0"/>
          <w:szCs w:val="28"/>
        </w:rPr>
        <w:tab/>
      </w:r>
      <w:r>
        <w:rPr>
          <w:rFonts w:hint="eastAsia" w:ascii="宋体" w:cs="宋体"/>
          <w:kern w:val="0"/>
          <w:szCs w:val="28"/>
        </w:rPr>
        <w:t>清淤测量：厂区景观湿地需进行清淤工作，应查明水底高程，淤泥层厚度。</w:t>
      </w:r>
    </w:p>
    <w:p>
      <w:pPr>
        <w:ind w:firstLine="480"/>
        <w:rPr>
          <w:rFonts w:ascii="宋体" w:cs="宋体"/>
          <w:kern w:val="0"/>
          <w:szCs w:val="28"/>
        </w:rPr>
      </w:pPr>
      <w:r>
        <w:rPr>
          <w:rFonts w:hint="eastAsia" w:ascii="宋体" w:cs="宋体"/>
          <w:kern w:val="0"/>
          <w:szCs w:val="28"/>
        </w:rPr>
        <w:t>（</w:t>
      </w:r>
      <w:r>
        <w:rPr>
          <w:rFonts w:ascii="宋体" w:cs="宋体"/>
          <w:kern w:val="0"/>
          <w:szCs w:val="28"/>
        </w:rPr>
        <w:t>6</w:t>
      </w:r>
      <w:r>
        <w:rPr>
          <w:rFonts w:hint="eastAsia" w:ascii="宋体" w:cs="宋体"/>
          <w:kern w:val="0"/>
          <w:szCs w:val="28"/>
        </w:rPr>
        <w:t>）</w:t>
      </w:r>
      <w:r>
        <w:rPr>
          <w:rFonts w:hint="eastAsia" w:ascii="宋体" w:cs="宋体"/>
          <w:kern w:val="0"/>
          <w:szCs w:val="28"/>
        </w:rPr>
        <w:tab/>
      </w:r>
      <w:r>
        <w:rPr>
          <w:rFonts w:hint="eastAsia" w:ascii="宋体" w:cs="宋体"/>
          <w:kern w:val="0"/>
          <w:szCs w:val="28"/>
        </w:rPr>
        <w:t>高压线以及其他小型测量。</w:t>
      </w:r>
    </w:p>
    <w:p>
      <w:pPr>
        <w:pStyle w:val="740"/>
        <w:spacing w:before="120" w:beforeLines="0" w:after="120" w:afterLines="0"/>
        <w:ind w:firstLine="420"/>
        <w:rPr>
          <w:kern w:val="0"/>
        </w:rPr>
      </w:pPr>
      <w:r>
        <w:rPr>
          <w:rFonts w:hint="eastAsia"/>
          <w:kern w:val="0"/>
        </w:rPr>
        <w:t>工程物探</w:t>
      </w:r>
      <w:r>
        <w:rPr>
          <w:kern w:val="0"/>
        </w:rPr>
        <w:t>（</w:t>
      </w:r>
      <w:r>
        <w:rPr>
          <w:rFonts w:hint="eastAsia"/>
          <w:kern w:val="0"/>
        </w:rPr>
        <w:t>含</w:t>
      </w:r>
      <w:r>
        <w:rPr>
          <w:kern w:val="0"/>
        </w:rPr>
        <w:t>地下管线探测）</w:t>
      </w:r>
      <w:r>
        <w:rPr>
          <w:rFonts w:hint="eastAsia"/>
          <w:kern w:val="0"/>
        </w:rPr>
        <w:t>技术</w:t>
      </w:r>
      <w:r>
        <w:rPr>
          <w:kern w:val="0"/>
        </w:rPr>
        <w:t>要求</w:t>
      </w:r>
    </w:p>
    <w:p>
      <w:pPr>
        <w:ind w:firstLine="480"/>
        <w:rPr>
          <w:kern w:val="0"/>
          <w:lang w:val="zh-CN"/>
        </w:rPr>
      </w:pPr>
      <w:r>
        <w:rPr>
          <w:rFonts w:hint="eastAsia"/>
          <w:kern w:val="0"/>
          <w:lang w:val="zh-CN"/>
        </w:rPr>
        <w:t>对测量范围内的现状雨水、污水、电力、电信、给水、燃气等管线及各类井，均应查明它们的平面位置、走向、埋深、规格、材质及连接关系等，并现场绘制地下管线调查图。</w:t>
      </w:r>
      <w:r>
        <w:rPr>
          <w:kern w:val="0"/>
          <w:lang w:val="zh-CN"/>
        </w:rPr>
        <w:br w:type="page"/>
      </w:r>
    </w:p>
    <w:p>
      <w:pPr>
        <w:pStyle w:val="739"/>
        <w:rPr>
          <w:kern w:val="0"/>
        </w:rPr>
      </w:pPr>
      <w:r>
        <w:rPr>
          <w:rFonts w:hint="eastAsia"/>
          <w:kern w:val="0"/>
        </w:rPr>
        <w:t>执行</w:t>
      </w:r>
      <w:r>
        <w:rPr>
          <w:kern w:val="0"/>
        </w:rPr>
        <w:t>的主要标准、规范及编制依据</w:t>
      </w:r>
    </w:p>
    <w:p>
      <w:pPr>
        <w:pStyle w:val="740"/>
        <w:spacing w:before="120" w:beforeLines="0" w:after="120" w:afterLines="0"/>
        <w:ind w:firstLine="420"/>
        <w:rPr>
          <w:kern w:val="0"/>
        </w:rPr>
      </w:pPr>
      <w:r>
        <w:rPr>
          <w:rFonts w:hint="eastAsia"/>
          <w:kern w:val="0"/>
        </w:rPr>
        <w:tab/>
      </w:r>
      <w:r>
        <w:rPr>
          <w:rFonts w:hint="eastAsia"/>
          <w:kern w:val="0"/>
        </w:rPr>
        <w:t>岩土勘察执行的主要标准、规范</w:t>
      </w:r>
    </w:p>
    <w:p>
      <w:pPr>
        <w:ind w:firstLine="480"/>
        <w:rPr>
          <w:kern w:val="0"/>
          <w:lang w:val="zh-CN"/>
        </w:rPr>
      </w:pPr>
      <w:r>
        <w:rPr>
          <w:rFonts w:hint="eastAsia"/>
          <w:kern w:val="0"/>
          <w:lang w:val="zh-CN"/>
        </w:rPr>
        <w:t>（1）</w:t>
      </w:r>
      <w:r>
        <w:rPr>
          <w:rFonts w:hint="eastAsia"/>
          <w:kern w:val="0"/>
          <w:lang w:val="zh-CN"/>
        </w:rPr>
        <w:tab/>
      </w:r>
      <w:r>
        <w:rPr>
          <w:rFonts w:hint="eastAsia"/>
          <w:kern w:val="0"/>
          <w:lang w:val="zh-CN"/>
        </w:rPr>
        <w:t>《工程勘察通用规范》55017-2021</w:t>
      </w:r>
    </w:p>
    <w:p>
      <w:pPr>
        <w:ind w:firstLine="480"/>
        <w:rPr>
          <w:kern w:val="0"/>
          <w:lang w:val="zh-CN"/>
        </w:rPr>
      </w:pPr>
      <w:r>
        <w:rPr>
          <w:rFonts w:hint="eastAsia"/>
          <w:kern w:val="0"/>
          <w:lang w:val="zh-CN"/>
        </w:rPr>
        <w:t>（2）</w:t>
      </w:r>
      <w:r>
        <w:rPr>
          <w:rFonts w:hint="eastAsia"/>
          <w:kern w:val="0"/>
          <w:lang w:val="zh-CN"/>
        </w:rPr>
        <w:tab/>
      </w:r>
      <w:r>
        <w:rPr>
          <w:rFonts w:hint="eastAsia"/>
          <w:kern w:val="0"/>
          <w:lang w:val="zh-CN"/>
        </w:rPr>
        <w:t>《岩土工程勘察规范》（GB 50021-2001）（2009年版）；</w:t>
      </w:r>
    </w:p>
    <w:p>
      <w:pPr>
        <w:ind w:firstLine="480"/>
        <w:rPr>
          <w:kern w:val="0"/>
          <w:lang w:val="zh-CN"/>
        </w:rPr>
      </w:pPr>
      <w:r>
        <w:rPr>
          <w:rFonts w:hint="eastAsia"/>
          <w:kern w:val="0"/>
          <w:lang w:val="zh-CN"/>
        </w:rPr>
        <w:t>（3）</w:t>
      </w:r>
      <w:r>
        <w:rPr>
          <w:rFonts w:hint="eastAsia"/>
          <w:kern w:val="0"/>
          <w:lang w:val="zh-CN"/>
        </w:rPr>
        <w:tab/>
      </w:r>
      <w:r>
        <w:rPr>
          <w:rFonts w:hint="eastAsia"/>
          <w:kern w:val="0"/>
          <w:lang w:val="zh-CN"/>
        </w:rPr>
        <w:t>《市政工程勘察规范》(CJJ 56-2012 )；</w:t>
      </w:r>
    </w:p>
    <w:p>
      <w:pPr>
        <w:ind w:firstLine="480"/>
        <w:rPr>
          <w:kern w:val="0"/>
          <w:lang w:val="zh-CN"/>
        </w:rPr>
      </w:pPr>
      <w:r>
        <w:rPr>
          <w:rFonts w:hint="eastAsia"/>
          <w:kern w:val="0"/>
          <w:lang w:val="zh-CN"/>
        </w:rPr>
        <w:t>（4）</w:t>
      </w:r>
      <w:r>
        <w:rPr>
          <w:rFonts w:hint="eastAsia"/>
          <w:kern w:val="0"/>
          <w:lang w:val="zh-CN"/>
        </w:rPr>
        <w:tab/>
      </w:r>
      <w:r>
        <w:rPr>
          <w:rFonts w:hint="eastAsia"/>
          <w:kern w:val="0"/>
          <w:lang w:val="zh-CN"/>
        </w:rPr>
        <w:t>《岩土工程勘察安全规范》（GB 50585-2010）；</w:t>
      </w:r>
    </w:p>
    <w:p>
      <w:pPr>
        <w:ind w:firstLine="480"/>
        <w:rPr>
          <w:kern w:val="0"/>
          <w:lang w:val="zh-CN"/>
        </w:rPr>
      </w:pPr>
      <w:r>
        <w:rPr>
          <w:rFonts w:hint="eastAsia"/>
          <w:kern w:val="0"/>
          <w:lang w:val="zh-CN"/>
        </w:rPr>
        <w:t>（5）</w:t>
      </w:r>
      <w:r>
        <w:rPr>
          <w:rFonts w:hint="eastAsia"/>
          <w:kern w:val="0"/>
          <w:lang w:val="zh-CN"/>
        </w:rPr>
        <w:tab/>
      </w:r>
      <w:r>
        <w:rPr>
          <w:rFonts w:hint="eastAsia"/>
          <w:kern w:val="0"/>
          <w:lang w:val="zh-CN"/>
        </w:rPr>
        <w:t>《建筑工程勘探和取样技术规程》（JGJ/T 87-2012）；</w:t>
      </w:r>
    </w:p>
    <w:p>
      <w:pPr>
        <w:ind w:firstLine="480"/>
        <w:rPr>
          <w:kern w:val="0"/>
          <w:lang w:val="zh-CN"/>
        </w:rPr>
      </w:pPr>
      <w:r>
        <w:rPr>
          <w:rFonts w:hint="eastAsia"/>
          <w:kern w:val="0"/>
          <w:lang w:val="zh-CN"/>
        </w:rPr>
        <w:t>（6）</w:t>
      </w:r>
      <w:r>
        <w:rPr>
          <w:rFonts w:hint="eastAsia"/>
          <w:kern w:val="0"/>
          <w:lang w:val="zh-CN"/>
        </w:rPr>
        <w:tab/>
      </w:r>
      <w:r>
        <w:rPr>
          <w:rFonts w:hint="eastAsia"/>
          <w:kern w:val="0"/>
          <w:lang w:val="zh-CN"/>
        </w:rPr>
        <w:t>《建筑地基基础设计规范》（GB 50007-2011）；</w:t>
      </w:r>
    </w:p>
    <w:p>
      <w:pPr>
        <w:ind w:firstLine="480"/>
        <w:rPr>
          <w:kern w:val="0"/>
          <w:lang w:val="zh-CN"/>
        </w:rPr>
      </w:pPr>
      <w:r>
        <w:rPr>
          <w:rFonts w:hint="eastAsia"/>
          <w:kern w:val="0"/>
          <w:lang w:val="zh-CN"/>
        </w:rPr>
        <w:t>（7）</w:t>
      </w:r>
      <w:r>
        <w:rPr>
          <w:rFonts w:hint="eastAsia"/>
          <w:kern w:val="0"/>
          <w:lang w:val="zh-CN"/>
        </w:rPr>
        <w:tab/>
      </w:r>
      <w:r>
        <w:rPr>
          <w:rFonts w:hint="eastAsia"/>
          <w:kern w:val="0"/>
          <w:lang w:val="zh-CN"/>
        </w:rPr>
        <w:t>《建筑基坑支护技术规程》（JGJ 120-2012）；</w:t>
      </w:r>
    </w:p>
    <w:p>
      <w:pPr>
        <w:ind w:firstLine="480"/>
        <w:rPr>
          <w:kern w:val="0"/>
          <w:lang w:val="zh-CN"/>
        </w:rPr>
      </w:pPr>
      <w:r>
        <w:rPr>
          <w:rFonts w:hint="eastAsia"/>
          <w:kern w:val="0"/>
          <w:lang w:val="zh-CN"/>
        </w:rPr>
        <w:t>（8）</w:t>
      </w:r>
      <w:r>
        <w:rPr>
          <w:rFonts w:hint="eastAsia"/>
          <w:kern w:val="0"/>
          <w:lang w:val="zh-CN"/>
        </w:rPr>
        <w:tab/>
      </w:r>
      <w:r>
        <w:rPr>
          <w:rFonts w:hint="eastAsia"/>
          <w:kern w:val="0"/>
          <w:lang w:val="zh-CN"/>
        </w:rPr>
        <w:t>《建筑地基基础设计规范》（DBJ 15-31-2016）；</w:t>
      </w:r>
    </w:p>
    <w:p>
      <w:pPr>
        <w:ind w:firstLine="480"/>
        <w:rPr>
          <w:kern w:val="0"/>
          <w:lang w:val="zh-CN"/>
        </w:rPr>
      </w:pPr>
      <w:r>
        <w:rPr>
          <w:rFonts w:hint="eastAsia"/>
          <w:kern w:val="0"/>
          <w:lang w:val="zh-CN"/>
        </w:rPr>
        <w:t>（9）</w:t>
      </w:r>
      <w:r>
        <w:rPr>
          <w:rFonts w:hint="eastAsia"/>
          <w:kern w:val="0"/>
          <w:lang w:val="zh-CN"/>
        </w:rPr>
        <w:tab/>
      </w:r>
      <w:r>
        <w:rPr>
          <w:rFonts w:hint="eastAsia"/>
          <w:kern w:val="0"/>
          <w:lang w:val="zh-CN"/>
        </w:rPr>
        <w:t>《建筑桩基技术规范》（JGJ 94-2008）；</w:t>
      </w:r>
    </w:p>
    <w:p>
      <w:pPr>
        <w:ind w:firstLine="480"/>
        <w:rPr>
          <w:kern w:val="0"/>
          <w:lang w:val="zh-CN"/>
        </w:rPr>
      </w:pPr>
      <w:r>
        <w:rPr>
          <w:rFonts w:hint="eastAsia"/>
          <w:kern w:val="0"/>
          <w:lang w:val="zh-CN"/>
        </w:rPr>
        <w:t>（10）</w:t>
      </w:r>
      <w:r>
        <w:rPr>
          <w:rFonts w:hint="eastAsia"/>
          <w:kern w:val="0"/>
          <w:lang w:val="zh-CN"/>
        </w:rPr>
        <w:tab/>
      </w:r>
      <w:r>
        <w:rPr>
          <w:rFonts w:hint="eastAsia"/>
          <w:kern w:val="0"/>
          <w:lang w:val="zh-CN"/>
        </w:rPr>
        <w:t>《建筑抗震设计规范》（GB 50011-2010）；</w:t>
      </w:r>
    </w:p>
    <w:p>
      <w:pPr>
        <w:ind w:firstLine="480"/>
        <w:rPr>
          <w:kern w:val="0"/>
          <w:lang w:val="zh-CN"/>
        </w:rPr>
      </w:pPr>
      <w:r>
        <w:rPr>
          <w:rFonts w:hint="eastAsia"/>
          <w:kern w:val="0"/>
          <w:lang w:val="zh-CN"/>
        </w:rPr>
        <w:t>（11）</w:t>
      </w:r>
      <w:r>
        <w:rPr>
          <w:rFonts w:hint="eastAsia"/>
          <w:kern w:val="0"/>
          <w:lang w:val="zh-CN"/>
        </w:rPr>
        <w:tab/>
      </w:r>
      <w:r>
        <w:rPr>
          <w:rFonts w:hint="eastAsia"/>
          <w:kern w:val="0"/>
          <w:lang w:val="zh-CN"/>
        </w:rPr>
        <w:t>《土的工程分类标准》（GB 50145-2007）；</w:t>
      </w:r>
    </w:p>
    <w:p>
      <w:pPr>
        <w:ind w:firstLine="480"/>
        <w:rPr>
          <w:kern w:val="0"/>
          <w:lang w:val="zh-CN"/>
        </w:rPr>
      </w:pPr>
      <w:r>
        <w:rPr>
          <w:rFonts w:hint="eastAsia"/>
          <w:kern w:val="0"/>
          <w:lang w:val="zh-CN"/>
        </w:rPr>
        <w:t>（12）</w:t>
      </w:r>
      <w:r>
        <w:rPr>
          <w:rFonts w:hint="eastAsia"/>
          <w:kern w:val="0"/>
          <w:lang w:val="zh-CN"/>
        </w:rPr>
        <w:tab/>
      </w:r>
      <w:r>
        <w:rPr>
          <w:rFonts w:hint="eastAsia"/>
          <w:kern w:val="0"/>
          <w:lang w:val="zh-CN"/>
        </w:rPr>
        <w:t>《工程岩体试验方法标准》（GB/T50266-2013）；</w:t>
      </w:r>
    </w:p>
    <w:p>
      <w:pPr>
        <w:ind w:firstLine="480"/>
        <w:rPr>
          <w:kern w:val="0"/>
          <w:lang w:val="zh-CN"/>
        </w:rPr>
      </w:pPr>
      <w:r>
        <w:rPr>
          <w:rFonts w:hint="eastAsia"/>
          <w:kern w:val="0"/>
          <w:lang w:val="zh-CN"/>
        </w:rPr>
        <w:t>（13）</w:t>
      </w:r>
      <w:r>
        <w:rPr>
          <w:rFonts w:hint="eastAsia"/>
          <w:kern w:val="0"/>
          <w:lang w:val="zh-CN"/>
        </w:rPr>
        <w:tab/>
      </w:r>
      <w:r>
        <w:rPr>
          <w:rFonts w:hint="eastAsia"/>
          <w:kern w:val="0"/>
          <w:lang w:val="zh-CN"/>
        </w:rPr>
        <w:t>《土工试验方法标准》(GB/T50123-1999)；</w:t>
      </w:r>
    </w:p>
    <w:p>
      <w:pPr>
        <w:ind w:firstLine="480"/>
        <w:rPr>
          <w:kern w:val="0"/>
          <w:lang w:val="zh-CN"/>
        </w:rPr>
      </w:pPr>
      <w:r>
        <w:rPr>
          <w:rFonts w:hint="eastAsia"/>
          <w:kern w:val="0"/>
          <w:lang w:val="zh-CN"/>
        </w:rPr>
        <w:t>（14）</w:t>
      </w:r>
      <w:r>
        <w:rPr>
          <w:rFonts w:hint="eastAsia"/>
          <w:kern w:val="0"/>
          <w:lang w:val="zh-CN"/>
        </w:rPr>
        <w:tab/>
      </w:r>
      <w:r>
        <w:rPr>
          <w:rFonts w:hint="eastAsia"/>
          <w:kern w:val="0"/>
          <w:lang w:val="zh-CN"/>
        </w:rPr>
        <w:t>《岩土工程勘察报告编制标准》（CECS99:98）；</w:t>
      </w:r>
    </w:p>
    <w:p>
      <w:pPr>
        <w:ind w:firstLine="480"/>
        <w:rPr>
          <w:kern w:val="0"/>
          <w:lang w:val="zh-CN"/>
        </w:rPr>
      </w:pPr>
      <w:r>
        <w:rPr>
          <w:rFonts w:hint="eastAsia"/>
          <w:kern w:val="0"/>
          <w:lang w:val="zh-CN"/>
        </w:rPr>
        <w:t>（15）</w:t>
      </w:r>
      <w:r>
        <w:rPr>
          <w:rFonts w:hint="eastAsia"/>
          <w:kern w:val="0"/>
          <w:lang w:val="zh-CN"/>
        </w:rPr>
        <w:tab/>
      </w:r>
      <w:r>
        <w:rPr>
          <w:rFonts w:hint="eastAsia"/>
          <w:kern w:val="0"/>
          <w:lang w:val="zh-CN"/>
        </w:rPr>
        <w:t>住房与城乡建设部《房屋建筑和市政基础设施工程勘察文件编制深度规定》（2010年版）(建质[2010]215号)。</w:t>
      </w:r>
    </w:p>
    <w:p>
      <w:pPr>
        <w:pStyle w:val="740"/>
        <w:spacing w:before="120" w:beforeLines="0" w:after="120" w:afterLines="0"/>
        <w:ind w:firstLine="420"/>
        <w:rPr>
          <w:kern w:val="0"/>
        </w:rPr>
      </w:pPr>
      <w:r>
        <w:rPr>
          <w:rFonts w:hint="eastAsia"/>
          <w:kern w:val="0"/>
        </w:rPr>
        <w:t>工程测量执行规范</w:t>
      </w:r>
    </w:p>
    <w:p>
      <w:pPr>
        <w:ind w:firstLine="480"/>
        <w:rPr>
          <w:kern w:val="0"/>
          <w:lang w:val="zh-CN"/>
        </w:rPr>
      </w:pPr>
      <w:r>
        <w:rPr>
          <w:rFonts w:hint="eastAsia"/>
          <w:kern w:val="0"/>
          <w:lang w:val="zh-CN"/>
        </w:rPr>
        <w:t>（1）</w:t>
      </w:r>
      <w:r>
        <w:rPr>
          <w:rFonts w:hint="eastAsia"/>
          <w:kern w:val="0"/>
          <w:lang w:val="zh-CN"/>
        </w:rPr>
        <w:tab/>
      </w:r>
      <w:r>
        <w:rPr>
          <w:rFonts w:hint="eastAsia"/>
          <w:kern w:val="0"/>
          <w:lang w:val="zh-CN"/>
        </w:rPr>
        <w:t>《工程测量标准》（GB50026-2020）；</w:t>
      </w:r>
    </w:p>
    <w:p>
      <w:pPr>
        <w:ind w:firstLine="480"/>
        <w:rPr>
          <w:kern w:val="0"/>
          <w:lang w:val="zh-CN"/>
        </w:rPr>
      </w:pPr>
      <w:r>
        <w:rPr>
          <w:rFonts w:hint="eastAsia"/>
          <w:kern w:val="0"/>
          <w:lang w:val="zh-CN"/>
        </w:rPr>
        <w:t>（2）</w:t>
      </w:r>
      <w:r>
        <w:rPr>
          <w:rFonts w:hint="eastAsia"/>
          <w:kern w:val="0"/>
          <w:lang w:val="zh-CN"/>
        </w:rPr>
        <w:tab/>
      </w:r>
      <w:r>
        <w:rPr>
          <w:rFonts w:hint="eastAsia"/>
          <w:kern w:val="0"/>
          <w:lang w:val="zh-CN"/>
        </w:rPr>
        <w:t>《城市测量规范》（CJJ/T8-2011）；</w:t>
      </w:r>
    </w:p>
    <w:p>
      <w:pPr>
        <w:ind w:firstLine="480"/>
        <w:rPr>
          <w:kern w:val="0"/>
          <w:lang w:val="zh-CN"/>
        </w:rPr>
      </w:pPr>
      <w:r>
        <w:rPr>
          <w:rFonts w:hint="eastAsia"/>
          <w:kern w:val="0"/>
          <w:lang w:val="zh-CN"/>
        </w:rPr>
        <w:t>（3）</w:t>
      </w:r>
      <w:r>
        <w:rPr>
          <w:rFonts w:hint="eastAsia"/>
          <w:kern w:val="0"/>
          <w:lang w:val="zh-CN"/>
        </w:rPr>
        <w:tab/>
      </w:r>
      <w:r>
        <w:rPr>
          <w:rFonts w:hint="eastAsia"/>
          <w:kern w:val="0"/>
          <w:lang w:val="zh-CN"/>
        </w:rPr>
        <w:t>《全球定位系统（GPS）测量规范》（GB/T18314-2001）；</w:t>
      </w:r>
    </w:p>
    <w:p>
      <w:pPr>
        <w:ind w:firstLine="480"/>
        <w:rPr>
          <w:kern w:val="0"/>
          <w:lang w:val="zh-CN"/>
        </w:rPr>
      </w:pPr>
      <w:r>
        <w:rPr>
          <w:rFonts w:hint="eastAsia"/>
          <w:kern w:val="0"/>
          <w:lang w:val="zh-CN"/>
        </w:rPr>
        <w:t>（4）</w:t>
      </w:r>
      <w:r>
        <w:rPr>
          <w:rFonts w:hint="eastAsia"/>
          <w:kern w:val="0"/>
          <w:lang w:val="zh-CN"/>
        </w:rPr>
        <w:tab/>
      </w:r>
      <w:r>
        <w:rPr>
          <w:rFonts w:hint="eastAsia"/>
          <w:kern w:val="0"/>
          <w:lang w:val="zh-CN"/>
        </w:rPr>
        <w:t>《卫星定位城市测量技术规范》（CJJ/T 73-2010）；</w:t>
      </w:r>
    </w:p>
    <w:p>
      <w:pPr>
        <w:ind w:firstLine="480"/>
        <w:rPr>
          <w:kern w:val="0"/>
          <w:lang w:val="zh-CN"/>
        </w:rPr>
      </w:pPr>
      <w:r>
        <w:rPr>
          <w:rFonts w:hint="eastAsia"/>
          <w:kern w:val="0"/>
          <w:lang w:val="zh-CN"/>
        </w:rPr>
        <w:t>（5）</w:t>
      </w:r>
      <w:r>
        <w:rPr>
          <w:rFonts w:hint="eastAsia"/>
          <w:kern w:val="0"/>
          <w:lang w:val="zh-CN"/>
        </w:rPr>
        <w:tab/>
      </w:r>
      <w:r>
        <w:rPr>
          <w:rFonts w:hint="eastAsia"/>
          <w:kern w:val="0"/>
          <w:lang w:val="zh-CN"/>
        </w:rPr>
        <w:t>《1：500、1：1000、1：2000外业数字测图技术规程》（GB/T14912-2005）；</w:t>
      </w:r>
    </w:p>
    <w:p>
      <w:pPr>
        <w:ind w:firstLine="480"/>
        <w:rPr>
          <w:kern w:val="0"/>
          <w:lang w:val="zh-CN"/>
        </w:rPr>
      </w:pPr>
      <w:r>
        <w:rPr>
          <w:rFonts w:hint="eastAsia"/>
          <w:kern w:val="0"/>
          <w:lang w:val="zh-CN"/>
        </w:rPr>
        <w:t>（6）</w:t>
      </w:r>
      <w:r>
        <w:rPr>
          <w:rFonts w:hint="eastAsia"/>
          <w:kern w:val="0"/>
          <w:lang w:val="zh-CN"/>
        </w:rPr>
        <w:tab/>
      </w:r>
      <w:r>
        <w:rPr>
          <w:rFonts w:hint="eastAsia"/>
          <w:kern w:val="0"/>
          <w:lang w:val="zh-CN"/>
        </w:rPr>
        <w:t>《国家基本比例尺地图图式 第1部分：1：500、1：1000、1：2000地形图图式》（GB/T 20257.1-2007）；</w:t>
      </w:r>
    </w:p>
    <w:p>
      <w:pPr>
        <w:ind w:firstLine="480"/>
        <w:rPr>
          <w:kern w:val="0"/>
          <w:lang w:val="zh-CN"/>
        </w:rPr>
      </w:pPr>
      <w:r>
        <w:rPr>
          <w:rFonts w:hint="eastAsia"/>
          <w:kern w:val="0"/>
          <w:lang w:val="zh-CN"/>
        </w:rPr>
        <w:t>（7）</w:t>
      </w:r>
      <w:r>
        <w:rPr>
          <w:rFonts w:hint="eastAsia"/>
          <w:kern w:val="0"/>
          <w:lang w:val="zh-CN"/>
        </w:rPr>
        <w:tab/>
      </w:r>
      <w:r>
        <w:rPr>
          <w:rFonts w:hint="eastAsia"/>
          <w:kern w:val="0"/>
          <w:lang w:val="zh-CN"/>
        </w:rPr>
        <w:t>《测绘技术设计规定》（CH/T 1004-2005）；</w:t>
      </w:r>
    </w:p>
    <w:p>
      <w:pPr>
        <w:ind w:firstLine="480"/>
        <w:rPr>
          <w:kern w:val="0"/>
          <w:lang w:val="zh-CN"/>
        </w:rPr>
      </w:pPr>
      <w:r>
        <w:rPr>
          <w:rFonts w:hint="eastAsia"/>
          <w:kern w:val="0"/>
          <w:lang w:val="zh-CN"/>
        </w:rPr>
        <w:t>（8）</w:t>
      </w:r>
      <w:r>
        <w:rPr>
          <w:rFonts w:hint="eastAsia"/>
          <w:kern w:val="0"/>
          <w:lang w:val="zh-CN"/>
        </w:rPr>
        <w:tab/>
      </w:r>
      <w:r>
        <w:rPr>
          <w:rFonts w:hint="eastAsia"/>
          <w:kern w:val="0"/>
          <w:lang w:val="zh-CN"/>
        </w:rPr>
        <w:t>《测绘技术总结编写规定》 （CH 1001-2005）；</w:t>
      </w:r>
    </w:p>
    <w:p>
      <w:pPr>
        <w:ind w:firstLine="480"/>
        <w:rPr>
          <w:kern w:val="0"/>
          <w:lang w:val="zh-CN"/>
        </w:rPr>
      </w:pPr>
      <w:r>
        <w:rPr>
          <w:rFonts w:hint="eastAsia"/>
          <w:kern w:val="0"/>
          <w:lang w:val="zh-CN"/>
        </w:rPr>
        <w:t>（9）</w:t>
      </w:r>
      <w:r>
        <w:rPr>
          <w:rFonts w:hint="eastAsia"/>
          <w:kern w:val="0"/>
          <w:lang w:val="zh-CN"/>
        </w:rPr>
        <w:tab/>
      </w:r>
      <w:r>
        <w:rPr>
          <w:rFonts w:hint="eastAsia"/>
          <w:kern w:val="0"/>
          <w:lang w:val="zh-CN"/>
        </w:rPr>
        <w:t>《测量成果质量检查与验收》（GB/T 24356-2009）；</w:t>
      </w:r>
    </w:p>
    <w:p>
      <w:pPr>
        <w:ind w:firstLine="480"/>
        <w:rPr>
          <w:kern w:val="0"/>
          <w:lang w:val="zh-CN"/>
        </w:rPr>
      </w:pPr>
      <w:r>
        <w:rPr>
          <w:rFonts w:hint="eastAsia"/>
          <w:kern w:val="0"/>
          <w:lang w:val="zh-CN"/>
        </w:rPr>
        <w:t>（10）</w:t>
      </w:r>
      <w:r>
        <w:rPr>
          <w:rFonts w:hint="eastAsia"/>
          <w:kern w:val="0"/>
          <w:lang w:val="zh-CN"/>
        </w:rPr>
        <w:tab/>
      </w:r>
      <w:r>
        <w:rPr>
          <w:rFonts w:hint="eastAsia"/>
          <w:kern w:val="0"/>
          <w:lang w:val="zh-CN"/>
        </w:rPr>
        <w:t>《广州市1：500、1：1000、1：2000地形图图式》（DBJ440100/T 230-2015）。</w:t>
      </w:r>
    </w:p>
    <w:p>
      <w:pPr>
        <w:pStyle w:val="740"/>
        <w:spacing w:before="120" w:beforeLines="0" w:after="120" w:afterLines="0"/>
        <w:ind w:firstLine="420"/>
        <w:rPr>
          <w:kern w:val="0"/>
        </w:rPr>
      </w:pPr>
      <w:r>
        <w:rPr>
          <w:rFonts w:hint="eastAsia"/>
          <w:kern w:val="0"/>
        </w:rPr>
        <w:t>工程物探（含管线探测）执行规范</w:t>
      </w:r>
    </w:p>
    <w:p>
      <w:pPr>
        <w:ind w:firstLine="480"/>
        <w:rPr>
          <w:kern w:val="0"/>
          <w:lang w:val="zh-CN"/>
        </w:rPr>
      </w:pPr>
      <w:r>
        <w:rPr>
          <w:rFonts w:hint="eastAsia"/>
          <w:kern w:val="0"/>
          <w:lang w:val="zh-CN"/>
        </w:rPr>
        <w:t>（1） 《城市地下管线探测技术规程》（CJJ 61-2003）；</w:t>
      </w:r>
    </w:p>
    <w:p>
      <w:pPr>
        <w:ind w:firstLine="480"/>
        <w:rPr>
          <w:kern w:val="0"/>
          <w:lang w:val="zh-CN"/>
        </w:rPr>
      </w:pPr>
      <w:r>
        <w:rPr>
          <w:rFonts w:hint="eastAsia"/>
          <w:kern w:val="0"/>
          <w:lang w:val="zh-CN"/>
        </w:rPr>
        <w:t>（2） 《广州市地下管线探测技术规程》（DBJ440100/T229-2015）。</w:t>
      </w:r>
    </w:p>
    <w:p>
      <w:pPr>
        <w:pStyle w:val="740"/>
        <w:spacing w:before="120" w:beforeLines="0" w:after="120" w:afterLines="0"/>
        <w:ind w:firstLine="420"/>
        <w:rPr>
          <w:kern w:val="0"/>
        </w:rPr>
      </w:pPr>
      <w:r>
        <w:rPr>
          <w:rFonts w:hint="eastAsia"/>
          <w:kern w:val="0"/>
        </w:rPr>
        <w:t>勘察</w:t>
      </w:r>
      <w:r>
        <w:rPr>
          <w:kern w:val="0"/>
        </w:rPr>
        <w:t>工作内容及范围</w:t>
      </w:r>
    </w:p>
    <w:p>
      <w:pPr>
        <w:ind w:firstLine="480"/>
        <w:rPr>
          <w:kern w:val="0"/>
          <w:lang w:val="zh-CN"/>
        </w:rPr>
      </w:pPr>
      <w:r>
        <w:rPr>
          <w:rFonts w:hint="eastAsia"/>
          <w:kern w:val="0"/>
          <w:lang w:val="zh-CN"/>
        </w:rPr>
        <w:t>勘察内容为本项目内新建建（构）筑物、管线及道路工程等地的岩土工程勘察、沿线地形测量、工程物探（含管线探测）。</w:t>
      </w:r>
    </w:p>
    <w:p>
      <w:pPr>
        <w:ind w:firstLine="480"/>
        <w:rPr>
          <w:kern w:val="0"/>
          <w:lang w:val="zh-CN"/>
        </w:rPr>
      </w:pPr>
      <w:r>
        <w:rPr>
          <w:rFonts w:hint="eastAsia"/>
          <w:kern w:val="0"/>
          <w:lang w:val="zh-CN"/>
        </w:rPr>
        <w:t>完成本项目规划用地红线内（含代征用地）及红线外（管线）所涉及建设内容的岩土工程勘察、地形测量及地下管线探测工作。</w:t>
      </w:r>
    </w:p>
    <w:p>
      <w:pPr>
        <w:ind w:firstLine="480"/>
        <w:rPr>
          <w:kern w:val="0"/>
          <w:lang w:val="zh-CN"/>
        </w:rPr>
      </w:pPr>
      <w:r>
        <w:rPr>
          <w:rFonts w:hint="eastAsia"/>
          <w:kern w:val="0"/>
          <w:lang w:val="zh-CN"/>
        </w:rPr>
        <w:t>树木调查及清淤相关测量。</w:t>
      </w:r>
    </w:p>
    <w:p>
      <w:pPr>
        <w:pStyle w:val="740"/>
        <w:spacing w:before="120" w:beforeLines="0" w:after="120" w:afterLines="0"/>
        <w:ind w:firstLine="420"/>
        <w:rPr>
          <w:kern w:val="0"/>
        </w:rPr>
      </w:pPr>
      <w:r>
        <w:rPr>
          <w:rFonts w:hint="eastAsia"/>
          <w:kern w:val="0"/>
        </w:rPr>
        <w:t>勘测阶段</w:t>
      </w:r>
      <w:r>
        <w:rPr>
          <w:kern w:val="0"/>
        </w:rPr>
        <w:t>分级</w:t>
      </w:r>
    </w:p>
    <w:p>
      <w:pPr>
        <w:ind w:firstLine="480"/>
        <w:rPr>
          <w:kern w:val="0"/>
          <w:lang w:val="zh-CN"/>
        </w:rPr>
      </w:pPr>
      <w:r>
        <w:rPr>
          <w:rFonts w:hint="eastAsia"/>
          <w:kern w:val="0"/>
          <w:lang w:val="zh-CN"/>
        </w:rPr>
        <w:t>岩土工程勘察阶段包括初勘、详勘等，各阶段地质勘察内容与要求执行《岩土工程勘察规范》及国家现行有关标准、规范相吻合。</w:t>
      </w:r>
    </w:p>
    <w:p>
      <w:pPr>
        <w:ind w:firstLine="480"/>
        <w:rPr>
          <w:kern w:val="0"/>
          <w:lang w:val="zh-CN"/>
        </w:rPr>
      </w:pPr>
      <w:r>
        <w:rPr>
          <w:rFonts w:hint="eastAsia"/>
          <w:kern w:val="0"/>
          <w:lang w:val="zh-CN"/>
        </w:rPr>
        <w:t>工程测量阶段包括初测、定测，各阶段工程测量内容与技术要求执行国家标准《工程测量规范》相吻合。</w:t>
      </w:r>
    </w:p>
    <w:p>
      <w:pPr>
        <w:ind w:firstLine="480"/>
        <w:rPr>
          <w:kern w:val="0"/>
          <w:lang w:val="zh-CN"/>
        </w:rPr>
      </w:pPr>
      <w:r>
        <w:rPr>
          <w:rFonts w:hint="eastAsia"/>
          <w:kern w:val="0"/>
          <w:lang w:val="zh-CN"/>
        </w:rPr>
        <w:t>工程物探（含管线探测）阶段、内容及技术要求与《城市地下管线探测技术规程》相吻合。</w:t>
      </w:r>
    </w:p>
    <w:p>
      <w:pPr>
        <w:pStyle w:val="740"/>
        <w:spacing w:before="120" w:beforeLines="0" w:after="120" w:afterLines="0"/>
        <w:ind w:firstLine="420"/>
        <w:rPr>
          <w:kern w:val="0"/>
        </w:rPr>
      </w:pPr>
      <w:r>
        <w:rPr>
          <w:rFonts w:hint="eastAsia"/>
          <w:kern w:val="0"/>
        </w:rPr>
        <w:t>工程勘察</w:t>
      </w:r>
      <w:r>
        <w:rPr>
          <w:kern w:val="0"/>
        </w:rPr>
        <w:t>成果</w:t>
      </w:r>
    </w:p>
    <w:p>
      <w:pPr>
        <w:ind w:firstLine="480"/>
        <w:rPr>
          <w:kern w:val="0"/>
          <w:lang w:val="zh-CN"/>
        </w:rPr>
      </w:pPr>
      <w:r>
        <w:rPr>
          <w:rFonts w:hint="eastAsia"/>
          <w:kern w:val="0"/>
          <w:lang w:val="zh-CN"/>
        </w:rPr>
        <w:t>本工程勘测成果文件如下：</w:t>
      </w:r>
    </w:p>
    <w:p>
      <w:pPr>
        <w:ind w:firstLine="480"/>
        <w:rPr>
          <w:kern w:val="0"/>
          <w:lang w:val="zh-CN"/>
        </w:rPr>
      </w:pPr>
      <w:r>
        <w:rPr>
          <w:rFonts w:hint="eastAsia"/>
          <w:kern w:val="0"/>
          <w:lang w:val="zh-CN"/>
        </w:rPr>
        <w:t>《岩土工程勘察大纲》、《工程测量大纲》、《地下综合管线探测大纲》；</w:t>
      </w:r>
    </w:p>
    <w:p>
      <w:pPr>
        <w:ind w:firstLine="480"/>
        <w:rPr>
          <w:kern w:val="0"/>
          <w:lang w:val="zh-CN"/>
        </w:rPr>
      </w:pPr>
      <w:r>
        <w:rPr>
          <w:rFonts w:hint="eastAsia"/>
          <w:kern w:val="0"/>
          <w:lang w:val="zh-CN"/>
        </w:rPr>
        <w:t>《岩土工程勘察报告》、《测量成果报告》、《地下综合管线探测成果报告》；</w:t>
      </w:r>
    </w:p>
    <w:p>
      <w:pPr>
        <w:ind w:firstLine="480"/>
        <w:rPr>
          <w:b/>
          <w:bCs/>
          <w:kern w:val="0"/>
          <w:sz w:val="44"/>
        </w:rPr>
      </w:pPr>
      <w:r>
        <w:rPr>
          <w:rFonts w:hint="eastAsia"/>
          <w:kern w:val="0"/>
          <w:lang w:val="zh-CN"/>
        </w:rPr>
        <w:t>《树木调查情况汇总表》。</w:t>
      </w:r>
      <w:r>
        <w:rPr>
          <w:b/>
          <w:bCs/>
          <w:kern w:val="0"/>
          <w:sz w:val="44"/>
        </w:rPr>
        <w:br w:type="page"/>
      </w:r>
    </w:p>
    <w:p>
      <w:pPr>
        <w:ind w:firstLine="198"/>
        <w:jc w:val="center"/>
        <w:outlineLvl w:val="0"/>
        <w:rPr>
          <w:b/>
          <w:bCs/>
          <w:kern w:val="0"/>
          <w:sz w:val="44"/>
        </w:rPr>
      </w:pPr>
      <w:r>
        <w:rPr>
          <w:rFonts w:hint="eastAsia"/>
          <w:b/>
          <w:bCs/>
          <w:kern w:val="0"/>
          <w:sz w:val="44"/>
        </w:rPr>
        <w:t>基础</w:t>
      </w:r>
      <w:r>
        <w:rPr>
          <w:b/>
          <w:bCs/>
          <w:kern w:val="0"/>
          <w:sz w:val="44"/>
        </w:rPr>
        <w:t>资料和设计任务书</w:t>
      </w:r>
    </w:p>
    <w:p>
      <w:pPr>
        <w:pStyle w:val="739"/>
        <w:numPr>
          <w:ilvl w:val="0"/>
          <w:numId w:val="4"/>
        </w:numPr>
        <w:rPr>
          <w:kern w:val="0"/>
        </w:rPr>
      </w:pPr>
      <w:r>
        <w:rPr>
          <w:rFonts w:hint="eastAsia"/>
          <w:kern w:val="0"/>
        </w:rPr>
        <w:t>基础</w:t>
      </w:r>
      <w:r>
        <w:rPr>
          <w:kern w:val="0"/>
        </w:rPr>
        <w:t>资料</w:t>
      </w:r>
    </w:p>
    <w:p>
      <w:pPr>
        <w:pStyle w:val="740"/>
        <w:spacing w:before="120" w:beforeLines="0" w:after="120" w:afterLines="0"/>
        <w:ind w:firstLine="420"/>
        <w:rPr>
          <w:kern w:val="0"/>
        </w:rPr>
      </w:pPr>
      <w:r>
        <w:rPr>
          <w:rFonts w:hint="eastAsia"/>
          <w:kern w:val="0"/>
        </w:rPr>
        <w:t>项目情况</w:t>
      </w:r>
    </w:p>
    <w:p>
      <w:pPr>
        <w:ind w:firstLine="480"/>
        <w:rPr>
          <w:kern w:val="0"/>
          <w:lang w:val="zh-CN"/>
        </w:rPr>
      </w:pPr>
      <w:r>
        <w:rPr>
          <w:rFonts w:hint="eastAsia"/>
          <w:kern w:val="0"/>
          <w:lang w:val="zh-CN"/>
        </w:rPr>
        <w:t>项目</w:t>
      </w:r>
      <w:r>
        <w:rPr>
          <w:kern w:val="0"/>
          <w:lang w:val="zh-CN"/>
        </w:rPr>
        <w:t>名称：</w:t>
      </w:r>
      <w:r>
        <w:rPr>
          <w:rFonts w:hint="eastAsia"/>
          <w:kern w:val="0"/>
          <w:lang w:val="zh-CN"/>
        </w:rPr>
        <w:t>九龙水质净化一厂扩容工程勘察设计采购施工总承包</w:t>
      </w:r>
    </w:p>
    <w:p>
      <w:pPr>
        <w:ind w:firstLine="480"/>
        <w:rPr>
          <w:kern w:val="0"/>
          <w:lang w:val="zh-CN"/>
        </w:rPr>
      </w:pPr>
      <w:r>
        <w:rPr>
          <w:kern w:val="0"/>
          <w:lang w:val="zh-CN"/>
        </w:rPr>
        <w:t>建设</w:t>
      </w:r>
      <w:r>
        <w:rPr>
          <w:rFonts w:hint="eastAsia"/>
          <w:kern w:val="0"/>
          <w:lang w:val="zh-CN"/>
        </w:rPr>
        <w:t>地点</w:t>
      </w:r>
      <w:r>
        <w:rPr>
          <w:kern w:val="0"/>
          <w:lang w:val="zh-CN"/>
        </w:rPr>
        <w:t>：</w:t>
      </w:r>
      <w:r>
        <w:rPr>
          <w:rFonts w:hint="eastAsia"/>
          <w:kern w:val="0"/>
          <w:lang w:val="zh-CN"/>
        </w:rPr>
        <w:t>九龙水质净化一厂（广东省广州市黄埔区九龙大道枫下村村委会西北侧）。</w:t>
      </w:r>
    </w:p>
    <w:p>
      <w:pPr>
        <w:ind w:firstLine="480"/>
        <w:rPr>
          <w:kern w:val="0"/>
          <w:lang w:val="zh-CN"/>
        </w:rPr>
      </w:pPr>
      <w:r>
        <w:rPr>
          <w:kern w:val="0"/>
          <w:lang w:val="zh-CN"/>
        </w:rPr>
        <w:t>建设单位：科学城（</w:t>
      </w:r>
      <w:r>
        <w:rPr>
          <w:rFonts w:hint="eastAsia"/>
          <w:kern w:val="0"/>
          <w:lang w:val="zh-CN"/>
        </w:rPr>
        <w:t>广州</w:t>
      </w:r>
      <w:r>
        <w:rPr>
          <w:kern w:val="0"/>
          <w:lang w:val="zh-CN"/>
        </w:rPr>
        <w:t>）</w:t>
      </w:r>
      <w:r>
        <w:rPr>
          <w:rFonts w:hint="eastAsia"/>
          <w:kern w:val="0"/>
          <w:lang w:val="zh-CN"/>
        </w:rPr>
        <w:t>投资集团有限</w:t>
      </w:r>
      <w:r>
        <w:rPr>
          <w:kern w:val="0"/>
          <w:lang w:val="zh-CN"/>
        </w:rPr>
        <w:t>公司</w:t>
      </w:r>
    </w:p>
    <w:p>
      <w:pPr>
        <w:ind w:firstLine="480"/>
        <w:rPr>
          <w:kern w:val="0"/>
          <w:lang w:val="zh-CN"/>
        </w:rPr>
      </w:pPr>
      <w:r>
        <w:rPr>
          <w:kern w:val="0"/>
          <w:lang w:val="zh-CN"/>
        </w:rPr>
        <w:t>建设性质：改扩建工程</w:t>
      </w:r>
    </w:p>
    <w:p>
      <w:pPr>
        <w:ind w:firstLine="480"/>
        <w:rPr>
          <w:kern w:val="0"/>
          <w:lang w:val="zh-CN"/>
        </w:rPr>
      </w:pPr>
      <w:r>
        <w:rPr>
          <w:rFonts w:hint="eastAsia"/>
          <w:kern w:val="0"/>
          <w:lang w:val="zh-CN"/>
        </w:rPr>
        <w:t>项目</w:t>
      </w:r>
      <w:r>
        <w:rPr>
          <w:kern w:val="0"/>
          <w:lang w:val="zh-CN"/>
        </w:rPr>
        <w:t>规模：</w:t>
      </w:r>
      <w:r>
        <w:rPr>
          <w:rFonts w:hint="eastAsia"/>
          <w:kern w:val="0"/>
          <w:lang w:val="zh-CN"/>
        </w:rPr>
        <w:t>本次工程通过在现有建构筑物基础上加装设备及新建深度处理设施，增加处理规模3万m</w:t>
      </w:r>
      <w:r>
        <w:rPr>
          <w:rFonts w:hint="eastAsia"/>
          <w:kern w:val="0"/>
          <w:vertAlign w:val="superscript"/>
          <w:lang w:val="zh-CN"/>
        </w:rPr>
        <w:t>3</w:t>
      </w:r>
      <w:r>
        <w:rPr>
          <w:rFonts w:hint="eastAsia"/>
          <w:kern w:val="0"/>
          <w:lang w:val="zh-CN"/>
        </w:rPr>
        <w:t>/d。工程建设完成后，实现污水厂总处理规模6万m</w:t>
      </w:r>
      <w:r>
        <w:rPr>
          <w:rFonts w:hint="eastAsia"/>
          <w:kern w:val="0"/>
          <w:vertAlign w:val="superscript"/>
          <w:lang w:val="zh-CN"/>
        </w:rPr>
        <w:t>3</w:t>
      </w:r>
      <w:r>
        <w:rPr>
          <w:rFonts w:hint="eastAsia"/>
          <w:kern w:val="0"/>
          <w:lang w:val="zh-CN"/>
        </w:rPr>
        <w:t>/d。</w:t>
      </w:r>
    </w:p>
    <w:p>
      <w:pPr>
        <w:ind w:firstLine="480"/>
        <w:rPr>
          <w:kern w:val="0"/>
          <w:lang w:val="zh-CN"/>
        </w:rPr>
      </w:pPr>
      <w:r>
        <w:rPr>
          <w:rFonts w:hint="eastAsia"/>
          <w:kern w:val="0"/>
          <w:lang w:val="zh-CN"/>
        </w:rPr>
        <w:t>项目</w:t>
      </w:r>
      <w:r>
        <w:rPr>
          <w:kern w:val="0"/>
          <w:lang w:val="zh-CN"/>
        </w:rPr>
        <w:t>内容：</w:t>
      </w:r>
      <w:r>
        <w:rPr>
          <w:rFonts w:hint="eastAsia"/>
          <w:kern w:val="0"/>
          <w:lang w:val="zh-CN"/>
        </w:rPr>
        <w:t>包括</w:t>
      </w:r>
      <w:r>
        <w:rPr>
          <w:kern w:val="0"/>
          <w:lang w:val="zh-CN"/>
        </w:rPr>
        <w:t>但</w:t>
      </w:r>
      <w:r>
        <w:rPr>
          <w:rFonts w:hint="eastAsia"/>
          <w:kern w:val="0"/>
          <w:lang w:val="zh-CN"/>
        </w:rPr>
        <w:t>不限于</w:t>
      </w:r>
      <w:r>
        <w:rPr>
          <w:kern w:val="0"/>
          <w:lang w:val="zh-CN"/>
        </w:rPr>
        <w:t>以下内容</w:t>
      </w:r>
    </w:p>
    <w:p>
      <w:pPr>
        <w:ind w:firstLine="480"/>
        <w:rPr>
          <w:kern w:val="0"/>
          <w:lang w:val="zh-CN"/>
        </w:rPr>
      </w:pPr>
      <w:r>
        <w:rPr>
          <w:rFonts w:hint="eastAsia"/>
          <w:kern w:val="0"/>
          <w:lang w:val="zh-CN"/>
        </w:rPr>
        <w:t>（1）粗格栅及</w:t>
      </w:r>
      <w:r>
        <w:rPr>
          <w:kern w:val="0"/>
          <w:lang w:val="zh-CN"/>
        </w:rPr>
        <w:t>进水泵房</w:t>
      </w:r>
      <w:r>
        <w:rPr>
          <w:rFonts w:hint="eastAsia"/>
          <w:kern w:val="0"/>
          <w:lang w:val="zh-CN"/>
        </w:rPr>
        <w:t>、</w:t>
      </w:r>
      <w:r>
        <w:rPr>
          <w:kern w:val="0"/>
          <w:lang w:val="zh-CN"/>
        </w:rPr>
        <w:t>细格栅</w:t>
      </w:r>
      <w:r>
        <w:rPr>
          <w:rFonts w:hint="eastAsia"/>
          <w:kern w:val="0"/>
          <w:lang w:val="zh-CN"/>
        </w:rPr>
        <w:t>及</w:t>
      </w:r>
      <w:r>
        <w:rPr>
          <w:kern w:val="0"/>
          <w:lang w:val="zh-CN"/>
        </w:rPr>
        <w:t>曝气沉砂池</w:t>
      </w:r>
      <w:r>
        <w:rPr>
          <w:rFonts w:hint="eastAsia"/>
          <w:kern w:val="0"/>
          <w:lang w:val="zh-CN"/>
        </w:rPr>
        <w:t>、AAO生物</w:t>
      </w:r>
      <w:r>
        <w:rPr>
          <w:kern w:val="0"/>
          <w:lang w:val="zh-CN"/>
        </w:rPr>
        <w:t>反应池</w:t>
      </w:r>
      <w:r>
        <w:rPr>
          <w:rFonts w:hint="eastAsia"/>
          <w:kern w:val="0"/>
          <w:lang w:val="zh-CN"/>
        </w:rPr>
        <w:t>、</w:t>
      </w:r>
      <w:r>
        <w:rPr>
          <w:kern w:val="0"/>
          <w:lang w:val="zh-CN"/>
        </w:rPr>
        <w:t>二沉池</w:t>
      </w:r>
      <w:r>
        <w:rPr>
          <w:rFonts w:hint="eastAsia"/>
          <w:kern w:val="0"/>
          <w:lang w:val="zh-CN"/>
        </w:rPr>
        <w:t>、加氯加药</w:t>
      </w:r>
      <w:r>
        <w:rPr>
          <w:kern w:val="0"/>
          <w:lang w:val="zh-CN"/>
        </w:rPr>
        <w:t>间</w:t>
      </w:r>
      <w:r>
        <w:rPr>
          <w:rFonts w:hint="eastAsia"/>
          <w:kern w:val="0"/>
          <w:lang w:val="zh-CN"/>
        </w:rPr>
        <w:t>、</w:t>
      </w:r>
      <w:r>
        <w:rPr>
          <w:kern w:val="0"/>
          <w:lang w:val="zh-CN"/>
        </w:rPr>
        <w:t>鼓风机房</w:t>
      </w:r>
      <w:r>
        <w:rPr>
          <w:rFonts w:hint="eastAsia"/>
          <w:kern w:val="0"/>
          <w:lang w:val="zh-CN"/>
        </w:rPr>
        <w:t>等</w:t>
      </w:r>
      <w:r>
        <w:rPr>
          <w:kern w:val="0"/>
          <w:lang w:val="zh-CN"/>
        </w:rPr>
        <w:t>单体构筑物</w:t>
      </w:r>
      <w:r>
        <w:rPr>
          <w:rFonts w:hint="eastAsia"/>
          <w:kern w:val="0"/>
          <w:lang w:val="zh-CN"/>
        </w:rPr>
        <w:t>通过改造</w:t>
      </w:r>
      <w:r>
        <w:rPr>
          <w:kern w:val="0"/>
          <w:lang w:val="zh-CN"/>
        </w:rPr>
        <w:t>设备</w:t>
      </w:r>
      <w:r>
        <w:rPr>
          <w:rFonts w:hint="eastAsia"/>
          <w:kern w:val="0"/>
          <w:lang w:val="zh-CN"/>
        </w:rPr>
        <w:t>增加3.0万</w:t>
      </w:r>
      <w:r>
        <w:rPr>
          <w:kern w:val="0"/>
          <w:lang w:val="zh-CN"/>
        </w:rPr>
        <w:t>m</w:t>
      </w:r>
      <w:r>
        <w:rPr>
          <w:kern w:val="0"/>
          <w:vertAlign w:val="superscript"/>
          <w:lang w:val="zh-CN"/>
        </w:rPr>
        <w:t>3</w:t>
      </w:r>
      <w:r>
        <w:rPr>
          <w:kern w:val="0"/>
          <w:lang w:val="zh-CN"/>
        </w:rPr>
        <w:t>/d的处理量，满足厂区</w:t>
      </w:r>
      <w:r>
        <w:rPr>
          <w:rFonts w:hint="eastAsia"/>
          <w:kern w:val="0"/>
          <w:lang w:val="zh-CN"/>
        </w:rPr>
        <w:t>共6.0万</w:t>
      </w:r>
      <w:r>
        <w:rPr>
          <w:kern w:val="0"/>
          <w:lang w:val="zh-CN"/>
        </w:rPr>
        <w:t>m</w:t>
      </w:r>
      <w:r>
        <w:rPr>
          <w:kern w:val="0"/>
          <w:vertAlign w:val="superscript"/>
          <w:lang w:val="zh-CN"/>
        </w:rPr>
        <w:t>3</w:t>
      </w:r>
      <w:r>
        <w:rPr>
          <w:kern w:val="0"/>
          <w:lang w:val="zh-CN"/>
        </w:rPr>
        <w:t>/d</w:t>
      </w:r>
      <w:r>
        <w:rPr>
          <w:rFonts w:hint="eastAsia"/>
          <w:kern w:val="0"/>
          <w:lang w:val="zh-CN"/>
        </w:rPr>
        <w:t>的处理</w:t>
      </w:r>
      <w:r>
        <w:rPr>
          <w:kern w:val="0"/>
          <w:lang w:val="zh-CN"/>
        </w:rPr>
        <w:t>量；</w:t>
      </w:r>
    </w:p>
    <w:p>
      <w:pPr>
        <w:ind w:firstLine="480"/>
        <w:rPr>
          <w:kern w:val="0"/>
          <w:lang w:val="zh-CN"/>
        </w:rPr>
      </w:pPr>
      <w:r>
        <w:rPr>
          <w:rFonts w:hint="eastAsia"/>
          <w:kern w:val="0"/>
          <w:lang w:val="zh-CN"/>
        </w:rPr>
        <w:t>（2）新建3万</w:t>
      </w:r>
      <w:r>
        <w:rPr>
          <w:kern w:val="0"/>
          <w:lang w:val="zh-CN"/>
        </w:rPr>
        <w:t>m</w:t>
      </w:r>
      <w:r>
        <w:rPr>
          <w:kern w:val="0"/>
          <w:vertAlign w:val="superscript"/>
          <w:lang w:val="zh-CN"/>
        </w:rPr>
        <w:t>3</w:t>
      </w:r>
      <w:r>
        <w:rPr>
          <w:rFonts w:hint="eastAsia"/>
          <w:kern w:val="0"/>
          <w:lang w:val="zh-CN"/>
        </w:rPr>
        <w:t>/</w:t>
      </w:r>
      <w:r>
        <w:rPr>
          <w:kern w:val="0"/>
          <w:lang w:val="zh-CN"/>
        </w:rPr>
        <w:t>d的深度处理</w:t>
      </w:r>
      <w:r>
        <w:rPr>
          <w:rFonts w:hint="eastAsia"/>
          <w:kern w:val="0"/>
          <w:lang w:val="zh-CN"/>
        </w:rPr>
        <w:t>构筑物</w:t>
      </w:r>
      <w:r>
        <w:rPr>
          <w:kern w:val="0"/>
          <w:lang w:val="zh-CN"/>
        </w:rPr>
        <w:t>，</w:t>
      </w:r>
      <w:r>
        <w:rPr>
          <w:rFonts w:hint="eastAsia"/>
          <w:kern w:val="0"/>
          <w:lang w:val="zh-CN"/>
        </w:rPr>
        <w:t>主要</w:t>
      </w:r>
      <w:r>
        <w:rPr>
          <w:kern w:val="0"/>
          <w:lang w:val="zh-CN"/>
        </w:rPr>
        <w:t>包括</w:t>
      </w:r>
      <w:r>
        <w:rPr>
          <w:rFonts w:hint="eastAsia"/>
          <w:kern w:val="0"/>
          <w:lang w:val="zh-CN"/>
        </w:rPr>
        <w:t>高效沉淀池+过滤+接触</w:t>
      </w:r>
      <w:r>
        <w:rPr>
          <w:kern w:val="0"/>
          <w:lang w:val="zh-CN"/>
        </w:rPr>
        <w:t>消毒池</w:t>
      </w:r>
      <w:r>
        <w:rPr>
          <w:rFonts w:hint="eastAsia"/>
          <w:kern w:val="0"/>
          <w:lang w:val="zh-CN"/>
        </w:rPr>
        <w:t>；</w:t>
      </w:r>
    </w:p>
    <w:p>
      <w:pPr>
        <w:ind w:firstLine="480"/>
        <w:rPr>
          <w:kern w:val="0"/>
          <w:lang w:val="zh-CN"/>
        </w:rPr>
      </w:pPr>
      <w:r>
        <w:rPr>
          <w:rFonts w:hint="eastAsia"/>
          <w:kern w:val="0"/>
          <w:lang w:val="zh-CN"/>
        </w:rPr>
        <w:t>（3）新建</w:t>
      </w:r>
      <w:r>
        <w:rPr>
          <w:kern w:val="0"/>
          <w:lang w:val="zh-CN"/>
        </w:rPr>
        <w:t>污泥</w:t>
      </w:r>
      <w:r>
        <w:rPr>
          <w:rFonts w:hint="eastAsia"/>
          <w:kern w:val="0"/>
          <w:lang w:val="zh-CN"/>
        </w:rPr>
        <w:t>干化</w:t>
      </w:r>
      <w:r>
        <w:rPr>
          <w:kern w:val="0"/>
          <w:lang w:val="zh-CN"/>
        </w:rPr>
        <w:t>处理系统，满足</w:t>
      </w:r>
      <w:r>
        <w:rPr>
          <w:rFonts w:hint="eastAsia"/>
          <w:kern w:val="0"/>
          <w:lang w:val="zh-CN"/>
        </w:rPr>
        <w:t>近期4.5</w:t>
      </w:r>
      <w:r>
        <w:rPr>
          <w:kern w:val="0"/>
          <w:lang w:val="zh-CN"/>
        </w:rPr>
        <w:t>tDs/d，远期</w:t>
      </w:r>
      <w:r>
        <w:rPr>
          <w:rFonts w:hint="eastAsia"/>
          <w:kern w:val="0"/>
          <w:lang w:val="zh-CN"/>
        </w:rPr>
        <w:t>18</w:t>
      </w:r>
      <w:r>
        <w:rPr>
          <w:kern w:val="0"/>
          <w:lang w:val="zh-CN"/>
        </w:rPr>
        <w:t>tDS/d</w:t>
      </w:r>
      <w:r>
        <w:rPr>
          <w:rFonts w:hint="eastAsia"/>
          <w:kern w:val="0"/>
          <w:lang w:val="zh-CN"/>
        </w:rPr>
        <w:t>的处理</w:t>
      </w:r>
      <w:r>
        <w:rPr>
          <w:kern w:val="0"/>
          <w:lang w:val="zh-CN"/>
        </w:rPr>
        <w:t>需求；</w:t>
      </w:r>
    </w:p>
    <w:p>
      <w:pPr>
        <w:ind w:firstLine="480"/>
        <w:rPr>
          <w:kern w:val="0"/>
          <w:lang w:val="zh-CN"/>
        </w:rPr>
      </w:pPr>
      <w:r>
        <w:rPr>
          <w:rFonts w:hint="eastAsia"/>
          <w:kern w:val="0"/>
          <w:lang w:val="zh-CN"/>
        </w:rPr>
        <w:t>（</w:t>
      </w:r>
      <w:r>
        <w:rPr>
          <w:kern w:val="0"/>
          <w:lang w:val="zh-CN"/>
        </w:rPr>
        <w:t>5</w:t>
      </w:r>
      <w:r>
        <w:rPr>
          <w:rFonts w:hint="eastAsia"/>
          <w:kern w:val="0"/>
          <w:lang w:val="zh-CN"/>
        </w:rPr>
        <w:t>）新建及改造完善工艺管线及排水管线系统，以满足运营需求；</w:t>
      </w:r>
    </w:p>
    <w:p>
      <w:pPr>
        <w:ind w:firstLine="480"/>
        <w:rPr>
          <w:kern w:val="0"/>
          <w:lang w:val="zh-CN"/>
        </w:rPr>
      </w:pPr>
      <w:r>
        <w:rPr>
          <w:rFonts w:hint="eastAsia"/>
          <w:kern w:val="0"/>
          <w:lang w:val="zh-CN"/>
        </w:rPr>
        <w:t>（7）电气自控、道路绿化等其他配套工程。</w:t>
      </w:r>
    </w:p>
    <w:p>
      <w:pPr>
        <w:ind w:firstLine="480"/>
        <w:rPr>
          <w:kern w:val="0"/>
          <w:lang w:val="zh-CN"/>
        </w:rPr>
      </w:pPr>
      <w:r>
        <w:rPr>
          <w:rFonts w:hint="eastAsia"/>
          <w:kern w:val="0"/>
          <w:lang w:val="zh-CN"/>
        </w:rPr>
        <w:t>项目</w:t>
      </w:r>
      <w:r>
        <w:rPr>
          <w:kern w:val="0"/>
          <w:lang w:val="zh-CN"/>
        </w:rPr>
        <w:t>总体目标：</w:t>
      </w:r>
      <w:r>
        <w:rPr>
          <w:rFonts w:hint="eastAsia"/>
          <w:kern w:val="0"/>
          <w:lang w:val="zh-CN"/>
        </w:rPr>
        <w:t>项目建成后整体规模达到6万m</w:t>
      </w:r>
      <w:r>
        <w:rPr>
          <w:kern w:val="0"/>
          <w:vertAlign w:val="superscript"/>
          <w:lang w:val="zh-CN"/>
        </w:rPr>
        <w:t>3</w:t>
      </w:r>
      <w:r>
        <w:rPr>
          <w:kern w:val="0"/>
          <w:lang w:val="zh-CN"/>
        </w:rPr>
        <w:t>/</w:t>
      </w:r>
      <w:r>
        <w:rPr>
          <w:rFonts w:hint="eastAsia"/>
          <w:kern w:val="0"/>
          <w:lang w:val="zh-CN"/>
        </w:rPr>
        <w:t>d，出水、出泥达到相关标准及广州市的相关要求。</w:t>
      </w:r>
    </w:p>
    <w:p>
      <w:pPr>
        <w:pStyle w:val="740"/>
        <w:spacing w:before="120" w:beforeLines="0" w:after="120" w:afterLines="0"/>
        <w:ind w:firstLine="420"/>
        <w:rPr>
          <w:kern w:val="0"/>
        </w:rPr>
      </w:pPr>
      <w:r>
        <w:rPr>
          <w:rFonts w:hint="eastAsia"/>
          <w:kern w:val="0"/>
        </w:rPr>
        <w:t>项目现场条件</w:t>
      </w:r>
    </w:p>
    <w:p>
      <w:pPr>
        <w:ind w:firstLine="480"/>
        <w:rPr>
          <w:kern w:val="0"/>
          <w:lang w:val="zh-CN"/>
        </w:rPr>
      </w:pPr>
      <w:r>
        <w:rPr>
          <w:rFonts w:hint="eastAsia"/>
          <w:kern w:val="0"/>
          <w:lang w:val="zh-CN"/>
        </w:rPr>
        <w:t>（1）用地范围：现场用地位于项目地块用地红线范围内和九龙</w:t>
      </w:r>
      <w:r>
        <w:rPr>
          <w:rFonts w:hint="eastAsia"/>
          <w:kern w:val="0"/>
        </w:rPr>
        <w:t>一</w:t>
      </w:r>
      <w:r>
        <w:rPr>
          <w:rFonts w:hint="eastAsia"/>
          <w:kern w:val="0"/>
          <w:lang w:val="zh-CN"/>
        </w:rPr>
        <w:t>厂现有厂区围墙范围内；</w:t>
      </w:r>
    </w:p>
    <w:p>
      <w:pPr>
        <w:ind w:firstLine="480"/>
        <w:rPr>
          <w:kern w:val="0"/>
          <w:lang w:val="zh-CN"/>
        </w:rPr>
      </w:pPr>
      <w:r>
        <w:rPr>
          <w:rFonts w:hint="eastAsia"/>
          <w:kern w:val="0"/>
          <w:lang w:val="zh-CN"/>
        </w:rPr>
        <w:t>（2）市政管线接管条件：具备自来水，</w:t>
      </w:r>
      <w:r>
        <w:rPr>
          <w:kern w:val="0"/>
          <w:lang w:val="zh-CN"/>
        </w:rPr>
        <w:t>雨污水管</w:t>
      </w:r>
      <w:r>
        <w:rPr>
          <w:rFonts w:hint="eastAsia"/>
          <w:kern w:val="0"/>
          <w:lang w:val="zh-CN"/>
        </w:rPr>
        <w:t>的接入条件；详细的管线情况应以承包人实际勘测为准；</w:t>
      </w:r>
    </w:p>
    <w:p>
      <w:pPr>
        <w:ind w:firstLine="480"/>
        <w:rPr>
          <w:kern w:val="0"/>
          <w:lang w:val="zh-CN"/>
        </w:rPr>
      </w:pPr>
      <w:r>
        <w:rPr>
          <w:rFonts w:hint="eastAsia"/>
          <w:kern w:val="0"/>
          <w:lang w:val="zh-CN"/>
        </w:rPr>
        <w:t>（3）用电条件：现有已有10KV供电线路，接入点在现有厂区配电房；</w:t>
      </w:r>
    </w:p>
    <w:p>
      <w:pPr>
        <w:ind w:firstLine="480"/>
        <w:rPr>
          <w:kern w:val="0"/>
          <w:lang w:val="zh-CN"/>
        </w:rPr>
      </w:pPr>
      <w:r>
        <w:rPr>
          <w:rFonts w:hint="eastAsia"/>
          <w:kern w:val="0"/>
          <w:lang w:val="zh-CN"/>
        </w:rPr>
        <w:t>（4）交通条件：承包人自行了解。</w:t>
      </w:r>
    </w:p>
    <w:p>
      <w:pPr>
        <w:ind w:firstLine="480"/>
        <w:rPr>
          <w:kern w:val="0"/>
          <w:lang w:val="zh-CN"/>
        </w:rPr>
      </w:pPr>
      <w:r>
        <w:rPr>
          <w:rFonts w:hint="eastAsia"/>
          <w:kern w:val="0"/>
          <w:lang w:val="zh-CN"/>
        </w:rPr>
        <w:t>为了保障现有厂区在施工及试运行期间正常生产，</w:t>
      </w:r>
      <w:r>
        <w:rPr>
          <w:kern w:val="0"/>
          <w:lang w:val="zh-CN"/>
        </w:rPr>
        <w:t>承包人</w:t>
      </w:r>
      <w:r>
        <w:rPr>
          <w:rFonts w:hint="eastAsia"/>
          <w:kern w:val="0"/>
          <w:lang w:val="zh-CN"/>
        </w:rPr>
        <w:t>需要自行</w:t>
      </w:r>
      <w:r>
        <w:rPr>
          <w:kern w:val="0"/>
          <w:lang w:val="zh-CN"/>
        </w:rPr>
        <w:t>考虑并根据现场</w:t>
      </w:r>
      <w:r>
        <w:rPr>
          <w:rFonts w:hint="eastAsia"/>
          <w:kern w:val="0"/>
          <w:lang w:val="zh-CN"/>
        </w:rPr>
        <w:t>运行的</w:t>
      </w:r>
      <w:r>
        <w:rPr>
          <w:kern w:val="0"/>
          <w:lang w:val="zh-CN"/>
        </w:rPr>
        <w:t>角度出发进行相应设计</w:t>
      </w:r>
      <w:r>
        <w:rPr>
          <w:rFonts w:hint="eastAsia"/>
          <w:kern w:val="0"/>
          <w:lang w:val="zh-CN"/>
        </w:rPr>
        <w:t>。</w:t>
      </w:r>
    </w:p>
    <w:p>
      <w:pPr>
        <w:jc w:val="center"/>
        <w:rPr>
          <w:lang w:val="zh-CN"/>
        </w:rPr>
      </w:pPr>
      <w:r>
        <mc:AlternateContent>
          <mc:Choice Requires="wps">
            <w:drawing>
              <wp:anchor distT="0" distB="0" distL="114300" distR="114300" simplePos="0" relativeHeight="251659264" behindDoc="0" locked="0" layoutInCell="1" allowOverlap="1">
                <wp:simplePos x="0" y="0"/>
                <wp:positionH relativeFrom="column">
                  <wp:posOffset>2468880</wp:posOffset>
                </wp:positionH>
                <wp:positionV relativeFrom="paragraph">
                  <wp:posOffset>2367915</wp:posOffset>
                </wp:positionV>
                <wp:extent cx="516255" cy="466090"/>
                <wp:effectExtent l="0" t="0" r="0" b="0"/>
                <wp:wrapNone/>
                <wp:docPr id="10" name="五角星 2"/>
                <wp:cNvGraphicFramePr/>
                <a:graphic xmlns:a="http://schemas.openxmlformats.org/drawingml/2006/main">
                  <a:graphicData uri="http://schemas.microsoft.com/office/word/2010/wordprocessingShape">
                    <wps:wsp>
                      <wps:cNvSpPr/>
                      <wps:spPr>
                        <a:xfrm>
                          <a:off x="0" y="0"/>
                          <a:ext cx="516255" cy="466089"/>
                        </a:xfrm>
                        <a:custGeom>
                          <a:avLst/>
                          <a:gdLst>
                            <a:gd name="T1" fmla="*/ 0 w 21600"/>
                            <a:gd name="T2" fmla="*/ 0 h 21600"/>
                            <a:gd name="T3" fmla="*/ 21600 w 21600"/>
                            <a:gd name="T4" fmla="*/ 21600 h 21600"/>
                          </a:gdLst>
                          <a:ahLst/>
                          <a:cxnLst/>
                          <a:rect l="T1" t="T2" r="T3" b="T4"/>
                          <a:pathLst>
                            <a:path w="21600" h="21600">
                              <a:moveTo>
                                <a:pt x="0" y="8249"/>
                              </a:moveTo>
                              <a:lnTo>
                                <a:pt x="8249" y="8249"/>
                              </a:lnTo>
                              <a:lnTo>
                                <a:pt x="10799" y="0"/>
                              </a:lnTo>
                              <a:lnTo>
                                <a:pt x="13350" y="8249"/>
                              </a:lnTo>
                              <a:lnTo>
                                <a:pt x="21599" y="8249"/>
                              </a:lnTo>
                              <a:lnTo>
                                <a:pt x="14924" y="13348"/>
                              </a:lnTo>
                              <a:lnTo>
                                <a:pt x="17475" y="21598"/>
                              </a:lnTo>
                              <a:lnTo>
                                <a:pt x="10799" y="16499"/>
                              </a:lnTo>
                              <a:lnTo>
                                <a:pt x="4124" y="21598"/>
                              </a:lnTo>
                              <a:lnTo>
                                <a:pt x="6675" y="13348"/>
                              </a:lnTo>
                              <a:lnTo>
                                <a:pt x="0" y="8249"/>
                              </a:lnTo>
                              <a:close/>
                            </a:path>
                          </a:pathLst>
                        </a:custGeom>
                        <a:solidFill>
                          <a:srgbClr val="FFFF00"/>
                        </a:solidFill>
                        <a:ln w="15875" cap="flat" cmpd="sng">
                          <a:solidFill>
                            <a:srgbClr val="FFFF00"/>
                          </a:solidFill>
                          <a:prstDash val="solid"/>
                          <a:round/>
                        </a:ln>
                      </wps:spPr>
                      <wps:bodyPr vert="horz" wrap="square" lIns="91440" tIns="45720" rIns="91440" bIns="45720" anchor="ctr" anchorCtr="0" upright="1">
                        <a:noAutofit/>
                      </wps:bodyPr>
                    </wps:wsp>
                  </a:graphicData>
                </a:graphic>
              </wp:anchor>
            </w:drawing>
          </mc:Choice>
          <mc:Fallback>
            <w:pict>
              <v:shape id="五角星 2" o:spid="_x0000_s1026" o:spt="100" style="position:absolute;left:0pt;margin-left:194.4pt;margin-top:186.45pt;height:36.7pt;width:40.65pt;z-index:251659264;v-text-anchor:middle;mso-width-relative:page;mso-height-relative:page;" fillcolor="#FFFF00" filled="t" stroked="t" coordsize="21600,21600" o:gfxdata="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CN42B/b&#10;AAAACwEAAA8AAAAAAAAAAQAgAAAAIgAAAGRycy9kb3ducmV2LnhtbFBLAQIUABQAAAAIAIdO4kCg&#10;+e/nAQMAAEgHAAAOAAAAAAAAAAEAIAAAACoBAABkcnMvZTJvRG9jLnhtbFBLBQYAAAAABgAGAFkB&#10;AACdBgAAAAA=&#10;" path="m0,8249l8249,8249,10799,0,13350,8249,21599,8249,14924,13348,17475,21598,10799,16499,4124,21598,6675,13348,0,8249xe">
                <v:fill on="t" focussize="0,0"/>
                <v:stroke weight="1.25pt" color="#FFFF00" joinstyle="round"/>
                <v:imagedata o:title=""/>
                <o:lock v:ext="edit" aspectratio="f"/>
              </v:shape>
            </w:pict>
          </mc:Fallback>
        </mc:AlternateContent>
      </w:r>
      <w:r>
        <w:drawing>
          <wp:inline distT="0" distB="0" distL="0" distR="0">
            <wp:extent cx="5759450" cy="5370195"/>
            <wp:effectExtent l="0" t="0" r="39" b="13"/>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759450" cy="5370195"/>
                    </a:xfrm>
                    <a:prstGeom prst="rect">
                      <a:avLst/>
                    </a:prstGeom>
                    <a:noFill/>
                    <a:ln w="9525" cap="flat" cmpd="sng">
                      <a:noFill/>
                      <a:prstDash val="solid"/>
                      <a:miter/>
                    </a:ln>
                  </pic:spPr>
                </pic:pic>
              </a:graphicData>
            </a:graphic>
          </wp:inline>
        </w:drawing>
      </w:r>
    </w:p>
    <w:p>
      <w:pPr>
        <w:pStyle w:val="746"/>
        <w:spacing w:after="120" w:afterLines="0"/>
        <w:rPr>
          <w:color w:val="auto"/>
          <w:kern w:val="0"/>
        </w:rPr>
      </w:pPr>
      <w:r>
        <w:rPr>
          <w:rFonts w:hint="eastAsia"/>
          <w:color w:val="auto"/>
          <w:kern w:val="0"/>
        </w:rPr>
        <w:t>项目地理</w:t>
      </w:r>
      <w:r>
        <w:rPr>
          <w:color w:val="auto"/>
          <w:kern w:val="0"/>
        </w:rPr>
        <w:t>位置</w:t>
      </w:r>
    </w:p>
    <w:p>
      <w:pPr>
        <w:widowControl/>
        <w:jc w:val="left"/>
        <w:rPr>
          <w:kern w:val="0"/>
          <w:lang w:val="zh-CN"/>
        </w:rPr>
      </w:pPr>
      <w:r>
        <w:rPr>
          <w:kern w:val="0"/>
          <w:lang w:val="zh-CN"/>
        </w:rPr>
        <w:br w:type="page"/>
      </w:r>
    </w:p>
    <w:p>
      <w:pPr>
        <w:pStyle w:val="739"/>
        <w:rPr>
          <w:kern w:val="0"/>
        </w:rPr>
      </w:pPr>
      <w:r>
        <w:rPr>
          <w:rFonts w:hint="eastAsia"/>
          <w:kern w:val="0"/>
        </w:rPr>
        <w:t>设计</w:t>
      </w:r>
      <w:r>
        <w:rPr>
          <w:kern w:val="0"/>
        </w:rPr>
        <w:t>任务书</w:t>
      </w:r>
    </w:p>
    <w:p>
      <w:pPr>
        <w:pStyle w:val="740"/>
        <w:spacing w:before="120" w:beforeLines="0" w:after="120" w:afterLines="0"/>
        <w:ind w:firstLine="420"/>
        <w:rPr>
          <w:kern w:val="0"/>
        </w:rPr>
      </w:pPr>
      <w:r>
        <w:rPr>
          <w:rFonts w:hint="eastAsia"/>
          <w:kern w:val="0"/>
        </w:rPr>
        <w:t>设计规模</w:t>
      </w:r>
    </w:p>
    <w:p>
      <w:pPr>
        <w:ind w:firstLine="480"/>
        <w:rPr>
          <w:kern w:val="0"/>
          <w:lang w:val="zh-CN"/>
        </w:rPr>
      </w:pPr>
      <w:r>
        <w:rPr>
          <w:rFonts w:hint="eastAsia"/>
          <w:kern w:val="0"/>
          <w:lang w:val="zh-CN"/>
        </w:rPr>
        <w:t>九龙水质净化厂</w:t>
      </w:r>
      <w:r>
        <w:rPr>
          <w:rFonts w:hint="eastAsia"/>
          <w:kern w:val="0"/>
        </w:rPr>
        <w:t>一</w:t>
      </w:r>
      <w:r>
        <w:rPr>
          <w:rFonts w:hint="eastAsia"/>
          <w:kern w:val="0"/>
          <w:lang w:val="zh-CN"/>
        </w:rPr>
        <w:t>厂改扩建规模：本次工程通过在现有建构筑物基础上加装设备及新建高效沉淀池，新增处理规模3万m</w:t>
      </w:r>
      <w:r>
        <w:rPr>
          <w:rFonts w:hint="eastAsia"/>
          <w:kern w:val="0"/>
          <w:vertAlign w:val="superscript"/>
          <w:lang w:val="zh-CN"/>
        </w:rPr>
        <w:t>3</w:t>
      </w:r>
      <w:r>
        <w:rPr>
          <w:rFonts w:hint="eastAsia"/>
          <w:kern w:val="0"/>
          <w:lang w:val="zh-CN"/>
        </w:rPr>
        <w:t>/d。待工程建设完成后，实现污水厂总处理规模6万m</w:t>
      </w:r>
      <w:r>
        <w:rPr>
          <w:rFonts w:hint="eastAsia"/>
          <w:kern w:val="0"/>
          <w:vertAlign w:val="superscript"/>
          <w:lang w:val="zh-CN"/>
        </w:rPr>
        <w:t>3</w:t>
      </w:r>
      <w:r>
        <w:rPr>
          <w:rFonts w:hint="eastAsia"/>
          <w:kern w:val="0"/>
          <w:lang w:val="zh-CN"/>
        </w:rPr>
        <w:t>/d。</w:t>
      </w:r>
    </w:p>
    <w:p>
      <w:pPr>
        <w:pStyle w:val="740"/>
        <w:spacing w:before="120" w:beforeLines="0" w:after="120" w:afterLines="0"/>
        <w:ind w:firstLine="420"/>
        <w:rPr>
          <w:kern w:val="0"/>
        </w:rPr>
      </w:pPr>
      <w:r>
        <w:rPr>
          <w:rFonts w:hint="eastAsia"/>
          <w:kern w:val="0"/>
        </w:rPr>
        <w:t>环保排放标准</w:t>
      </w:r>
    </w:p>
    <w:p>
      <w:pPr>
        <w:pStyle w:val="741"/>
        <w:spacing w:before="120" w:beforeLines="0" w:after="120" w:afterLines="0"/>
        <w:rPr>
          <w:snapToGrid/>
          <w:color w:val="auto"/>
          <w:kern w:val="0"/>
        </w:rPr>
      </w:pPr>
      <w:r>
        <w:rPr>
          <w:rFonts w:hint="eastAsia"/>
          <w:snapToGrid/>
          <w:color w:val="auto"/>
          <w:kern w:val="0"/>
        </w:rPr>
        <w:t>污水排放标准</w:t>
      </w:r>
    </w:p>
    <w:p>
      <w:pPr>
        <w:ind w:firstLine="480"/>
        <w:rPr>
          <w:kern w:val="0"/>
        </w:rPr>
      </w:pPr>
      <w:r>
        <w:rPr>
          <w:rFonts w:hint="eastAsia"/>
          <w:kern w:val="0"/>
        </w:rPr>
        <w:t>出水标准执行《城镇污水处理厂污染物排放标准》GB 18918-2002一级A标准和《地表水环境质量标准》(GB3838-2002)IV类水标准中较严者的要求，其中氨氮年均排放值≤1.5mg</w:t>
      </w:r>
      <w:r>
        <w:rPr>
          <w:kern w:val="0"/>
        </w:rPr>
        <w:t>/L</w:t>
      </w:r>
      <w:r>
        <w:rPr>
          <w:rFonts w:hint="eastAsia"/>
          <w:kern w:val="0"/>
        </w:rPr>
        <w:t>，总磷年均排放值≤</w:t>
      </w:r>
      <w:r>
        <w:rPr>
          <w:kern w:val="0"/>
        </w:rPr>
        <w:t>0.3</w:t>
      </w:r>
      <w:r>
        <w:rPr>
          <w:rFonts w:hint="eastAsia"/>
          <w:kern w:val="0"/>
        </w:rPr>
        <w:t>mg</w:t>
      </w:r>
      <w:r>
        <w:rPr>
          <w:kern w:val="0"/>
        </w:rPr>
        <w:t>/L</w:t>
      </w:r>
      <w:r>
        <w:rPr>
          <w:rFonts w:hint="eastAsia"/>
          <w:kern w:val="0"/>
        </w:rPr>
        <w:t>。</w:t>
      </w:r>
    </w:p>
    <w:p>
      <w:pPr>
        <w:pStyle w:val="741"/>
        <w:spacing w:before="120" w:beforeLines="0" w:after="120" w:afterLines="0"/>
        <w:rPr>
          <w:snapToGrid/>
          <w:color w:val="auto"/>
          <w:kern w:val="0"/>
        </w:rPr>
      </w:pPr>
      <w:r>
        <w:rPr>
          <w:rFonts w:hint="eastAsia"/>
          <w:snapToGrid/>
          <w:color w:val="auto"/>
          <w:kern w:val="0"/>
        </w:rPr>
        <w:t>污泥排放标准</w:t>
      </w:r>
    </w:p>
    <w:p>
      <w:pPr>
        <w:ind w:firstLine="480"/>
        <w:rPr>
          <w:kern w:val="0"/>
        </w:rPr>
      </w:pPr>
      <w:r>
        <w:rPr>
          <w:rFonts w:hint="eastAsia"/>
          <w:kern w:val="0"/>
        </w:rPr>
        <w:t>外运污泥含水率需达到3</w:t>
      </w:r>
      <w:r>
        <w:rPr>
          <w:kern w:val="0"/>
        </w:rPr>
        <w:t>0</w:t>
      </w:r>
      <w:r>
        <w:rPr>
          <w:rFonts w:hint="eastAsia"/>
          <w:kern w:val="0"/>
        </w:rPr>
        <w:t>%~</w:t>
      </w:r>
      <w:r>
        <w:rPr>
          <w:kern w:val="0"/>
        </w:rPr>
        <w:t>40</w:t>
      </w:r>
      <w:r>
        <w:rPr>
          <w:rFonts w:hint="eastAsia"/>
          <w:kern w:val="0"/>
        </w:rPr>
        <w:t>%，运往有资质的终端处置机构进行处置。</w:t>
      </w:r>
    </w:p>
    <w:p>
      <w:pPr>
        <w:pStyle w:val="741"/>
        <w:spacing w:before="120" w:beforeLines="0" w:after="120" w:afterLines="0"/>
        <w:rPr>
          <w:snapToGrid/>
          <w:color w:val="auto"/>
          <w:kern w:val="0"/>
        </w:rPr>
      </w:pPr>
      <w:r>
        <w:rPr>
          <w:rFonts w:hint="eastAsia"/>
          <w:snapToGrid/>
          <w:color w:val="auto"/>
          <w:kern w:val="0"/>
        </w:rPr>
        <w:t>臭气排放标准</w:t>
      </w:r>
    </w:p>
    <w:p>
      <w:pPr>
        <w:ind w:firstLine="480"/>
        <w:rPr>
          <w:kern w:val="0"/>
          <w:lang w:val="zh-CN"/>
        </w:rPr>
      </w:pPr>
      <w:r>
        <w:rPr>
          <w:rFonts w:hint="eastAsia"/>
          <w:kern w:val="0"/>
          <w:lang w:val="zh-CN"/>
        </w:rPr>
        <w:t>执行《恶臭污染物排放标准》（GB14554-93）二级标准。</w:t>
      </w:r>
    </w:p>
    <w:p>
      <w:pPr>
        <w:pStyle w:val="741"/>
        <w:spacing w:before="120" w:beforeLines="0" w:after="120" w:afterLines="0"/>
        <w:rPr>
          <w:snapToGrid/>
          <w:color w:val="auto"/>
          <w:kern w:val="0"/>
        </w:rPr>
      </w:pPr>
      <w:r>
        <w:rPr>
          <w:rFonts w:hint="eastAsia"/>
          <w:snapToGrid/>
          <w:color w:val="auto"/>
          <w:kern w:val="0"/>
        </w:rPr>
        <w:t>噪声排放标准</w:t>
      </w:r>
    </w:p>
    <w:p>
      <w:pPr>
        <w:ind w:firstLine="480"/>
        <w:rPr>
          <w:kern w:val="0"/>
          <w:lang w:val="zh-CN"/>
        </w:rPr>
      </w:pPr>
      <w:r>
        <w:rPr>
          <w:rFonts w:hint="eastAsia"/>
          <w:kern w:val="0"/>
          <w:lang w:val="zh-CN"/>
        </w:rPr>
        <w:t>执行《工业企业厂界环境噪声排放标准（GB12348-2008）》</w:t>
      </w:r>
    </w:p>
    <w:p>
      <w:pPr>
        <w:pStyle w:val="740"/>
        <w:spacing w:before="120" w:beforeLines="0" w:after="120" w:afterLines="0"/>
        <w:ind w:firstLine="420"/>
        <w:rPr>
          <w:kern w:val="0"/>
        </w:rPr>
      </w:pPr>
      <w:r>
        <w:rPr>
          <w:rFonts w:hint="eastAsia"/>
          <w:kern w:val="0"/>
        </w:rPr>
        <w:t>工艺流程</w:t>
      </w:r>
    </w:p>
    <w:p>
      <w:pPr>
        <w:jc w:val="center"/>
        <w:rPr>
          <w:lang w:val="zh-CN"/>
        </w:rPr>
      </w:pPr>
      <w:r>
        <w:drawing>
          <wp:inline distT="0" distB="0" distL="0" distR="0">
            <wp:extent cx="5122545" cy="1374140"/>
            <wp:effectExtent l="0" t="0" r="17" b="43"/>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5122545" cy="1374774"/>
                    </a:xfrm>
                    <a:prstGeom prst="rect">
                      <a:avLst/>
                    </a:prstGeom>
                    <a:noFill/>
                    <a:ln w="9525" cap="flat" cmpd="sng">
                      <a:noFill/>
                      <a:prstDash val="solid"/>
                      <a:round/>
                    </a:ln>
                  </pic:spPr>
                </pic:pic>
              </a:graphicData>
            </a:graphic>
          </wp:inline>
        </w:drawing>
      </w:r>
    </w:p>
    <w:p>
      <w:pPr>
        <w:pStyle w:val="746"/>
        <w:spacing w:after="120" w:afterLines="0"/>
        <w:rPr>
          <w:color w:val="auto"/>
          <w:kern w:val="0"/>
        </w:rPr>
      </w:pPr>
      <w:r>
        <w:rPr>
          <w:rFonts w:hint="eastAsia"/>
          <w:color w:val="auto"/>
          <w:kern w:val="0"/>
        </w:rPr>
        <w:t>工艺</w:t>
      </w:r>
      <w:r>
        <w:rPr>
          <w:color w:val="auto"/>
          <w:kern w:val="0"/>
        </w:rPr>
        <w:t>流程</w:t>
      </w:r>
    </w:p>
    <w:p>
      <w:pPr>
        <w:pStyle w:val="740"/>
        <w:spacing w:before="120" w:beforeLines="0" w:after="120" w:afterLines="0"/>
        <w:ind w:firstLine="420"/>
        <w:rPr>
          <w:kern w:val="0"/>
        </w:rPr>
      </w:pPr>
      <w:r>
        <w:rPr>
          <w:rFonts w:hint="eastAsia"/>
          <w:kern w:val="0"/>
        </w:rPr>
        <w:t>总体</w:t>
      </w:r>
      <w:r>
        <w:rPr>
          <w:kern w:val="0"/>
        </w:rPr>
        <w:t>设计</w:t>
      </w:r>
    </w:p>
    <w:p>
      <w:pPr>
        <w:pStyle w:val="741"/>
        <w:spacing w:before="120" w:beforeLines="0" w:after="120" w:afterLines="0"/>
        <w:rPr>
          <w:snapToGrid/>
          <w:color w:val="auto"/>
          <w:kern w:val="0"/>
        </w:rPr>
      </w:pPr>
      <w:r>
        <w:rPr>
          <w:rFonts w:hint="eastAsia"/>
          <w:snapToGrid/>
          <w:color w:val="auto"/>
          <w:kern w:val="0"/>
        </w:rPr>
        <w:t>与现状工程的衔接</w:t>
      </w:r>
    </w:p>
    <w:p>
      <w:pPr>
        <w:ind w:firstLine="480"/>
        <w:rPr>
          <w:kern w:val="0"/>
          <w:lang w:val="zh-CN"/>
        </w:rPr>
      </w:pPr>
      <w:r>
        <w:rPr>
          <w:rFonts w:hint="eastAsia"/>
          <w:kern w:val="0"/>
          <w:lang w:val="zh-CN"/>
        </w:rPr>
        <w:t>（1）污水处理系统衔接：原厂区大部分单体建设时已按远期规模进行土建建设，设计时应充分考虑其在现状条件下的衔接可行性。深度处理系统为新加系统，设计时应充分考虑衔接通道的可行性、高程系统的可行性。</w:t>
      </w:r>
    </w:p>
    <w:p>
      <w:pPr>
        <w:ind w:firstLine="480"/>
        <w:rPr>
          <w:kern w:val="0"/>
          <w:lang w:val="zh-CN"/>
        </w:rPr>
      </w:pPr>
      <w:r>
        <w:rPr>
          <w:rFonts w:hint="eastAsia"/>
          <w:kern w:val="0"/>
          <w:lang w:val="zh-CN"/>
        </w:rPr>
        <w:t>（2）污泥处理系统衔接：现状厂区污泥干化系统为P</w:t>
      </w:r>
      <w:r>
        <w:rPr>
          <w:kern w:val="0"/>
          <w:lang w:val="zh-CN"/>
        </w:rPr>
        <w:t>PP</w:t>
      </w:r>
      <w:r>
        <w:rPr>
          <w:rFonts w:hint="eastAsia"/>
          <w:kern w:val="0"/>
          <w:lang w:val="zh-CN"/>
        </w:rPr>
        <w:t>项目，仅提供首期3万m</w:t>
      </w:r>
      <w:r>
        <w:rPr>
          <w:kern w:val="0"/>
          <w:vertAlign w:val="superscript"/>
          <w:lang w:val="zh-CN"/>
        </w:rPr>
        <w:t>3</w:t>
      </w:r>
      <w:r>
        <w:rPr>
          <w:kern w:val="0"/>
          <w:lang w:val="zh-CN"/>
        </w:rPr>
        <w:t>/</w:t>
      </w:r>
      <w:r>
        <w:rPr>
          <w:rFonts w:hint="eastAsia"/>
          <w:kern w:val="0"/>
          <w:lang w:val="zh-CN"/>
        </w:rPr>
        <w:t>d的污泥干化产能，二期工程新增水量所产生的污泥应独立处理，设计时污泥系统衔接应充分考虑污泥分配、计量等问题。</w:t>
      </w:r>
    </w:p>
    <w:p>
      <w:pPr>
        <w:pStyle w:val="741"/>
        <w:spacing w:before="120" w:beforeLines="0" w:after="120" w:afterLines="0"/>
        <w:rPr>
          <w:snapToGrid/>
          <w:color w:val="auto"/>
          <w:kern w:val="0"/>
        </w:rPr>
      </w:pPr>
      <w:r>
        <w:rPr>
          <w:rFonts w:hint="eastAsia"/>
          <w:snapToGrid/>
          <w:color w:val="auto"/>
          <w:kern w:val="0"/>
        </w:rPr>
        <w:t>厂区平面</w:t>
      </w:r>
      <w:r>
        <w:rPr>
          <w:snapToGrid/>
          <w:color w:val="auto"/>
          <w:kern w:val="0"/>
        </w:rPr>
        <w:t>设计</w:t>
      </w:r>
    </w:p>
    <w:p>
      <w:pPr>
        <w:ind w:firstLine="480"/>
        <w:rPr>
          <w:kern w:val="0"/>
          <w:lang w:val="zh-CN"/>
        </w:rPr>
      </w:pPr>
      <w:r>
        <w:rPr>
          <w:rFonts w:hint="eastAsia"/>
          <w:kern w:val="0"/>
          <w:lang w:val="zh-CN"/>
        </w:rPr>
        <w:t>厂区总平面布置遵循如下原则：</w:t>
      </w:r>
    </w:p>
    <w:p>
      <w:pPr>
        <w:ind w:firstLine="480"/>
        <w:rPr>
          <w:kern w:val="0"/>
          <w:lang w:val="zh-CN"/>
        </w:rPr>
      </w:pPr>
      <w:r>
        <w:rPr>
          <w:rFonts w:hint="eastAsia"/>
          <w:kern w:val="0"/>
          <w:lang w:val="zh-CN"/>
        </w:rPr>
        <w:t>（</w:t>
      </w:r>
      <w:r>
        <w:rPr>
          <w:kern w:val="0"/>
          <w:lang w:val="zh-CN"/>
        </w:rPr>
        <w:t>1</w:t>
      </w:r>
      <w:r>
        <w:rPr>
          <w:rFonts w:hint="eastAsia"/>
          <w:kern w:val="0"/>
          <w:lang w:val="zh-CN"/>
        </w:rPr>
        <w:t>）严格按照规划项目所在地国土建设局所提供的用地规划设计条件进行平面规划设计。</w:t>
      </w:r>
    </w:p>
    <w:p>
      <w:pPr>
        <w:ind w:firstLine="480"/>
        <w:rPr>
          <w:kern w:val="0"/>
          <w:lang w:val="zh-CN"/>
        </w:rPr>
      </w:pPr>
      <w:r>
        <w:rPr>
          <w:rFonts w:hint="eastAsia"/>
          <w:kern w:val="0"/>
          <w:lang w:val="zh-CN"/>
        </w:rPr>
        <w:t>（</w:t>
      </w:r>
      <w:r>
        <w:rPr>
          <w:kern w:val="0"/>
          <w:lang w:val="zh-CN"/>
        </w:rPr>
        <w:t>2</w:t>
      </w:r>
      <w:r>
        <w:rPr>
          <w:rFonts w:hint="eastAsia"/>
          <w:kern w:val="0"/>
          <w:lang w:val="zh-CN"/>
        </w:rPr>
        <w:t>）流程力求简短、顺畅，避免迂回重复。</w:t>
      </w:r>
    </w:p>
    <w:p>
      <w:pPr>
        <w:ind w:firstLine="480"/>
        <w:rPr>
          <w:kern w:val="0"/>
          <w:lang w:val="zh-CN"/>
        </w:rPr>
      </w:pPr>
      <w:r>
        <w:rPr>
          <w:rFonts w:hint="eastAsia"/>
          <w:kern w:val="0"/>
          <w:lang w:val="zh-CN"/>
        </w:rPr>
        <w:t>（</w:t>
      </w:r>
      <w:r>
        <w:rPr>
          <w:kern w:val="0"/>
          <w:lang w:val="zh-CN"/>
        </w:rPr>
        <w:t>3</w:t>
      </w:r>
      <w:r>
        <w:rPr>
          <w:rFonts w:hint="eastAsia"/>
          <w:kern w:val="0"/>
          <w:lang w:val="zh-CN"/>
        </w:rPr>
        <w:t>）厂区绿化率较高，环境优美，总平面布置满足消防要求。</w:t>
      </w:r>
    </w:p>
    <w:p>
      <w:pPr>
        <w:ind w:firstLine="480"/>
        <w:rPr>
          <w:kern w:val="0"/>
          <w:lang w:val="zh-CN"/>
        </w:rPr>
      </w:pPr>
      <w:r>
        <w:rPr>
          <w:rFonts w:hint="eastAsia"/>
          <w:kern w:val="0"/>
          <w:lang w:val="zh-CN"/>
        </w:rPr>
        <w:t>（</w:t>
      </w:r>
      <w:r>
        <w:rPr>
          <w:kern w:val="0"/>
          <w:lang w:val="zh-CN"/>
        </w:rPr>
        <w:t>4</w:t>
      </w:r>
      <w:r>
        <w:rPr>
          <w:rFonts w:hint="eastAsia"/>
          <w:kern w:val="0"/>
          <w:lang w:val="zh-CN"/>
        </w:rPr>
        <w:t>）交通顺畅，便于管理。</w:t>
      </w:r>
    </w:p>
    <w:p>
      <w:pPr>
        <w:pStyle w:val="741"/>
        <w:spacing w:before="120" w:beforeLines="0" w:after="120" w:afterLines="0"/>
        <w:rPr>
          <w:snapToGrid/>
          <w:color w:val="auto"/>
          <w:kern w:val="0"/>
        </w:rPr>
      </w:pPr>
      <w:r>
        <w:rPr>
          <w:rFonts w:hint="eastAsia"/>
          <w:snapToGrid/>
          <w:color w:val="auto"/>
          <w:kern w:val="0"/>
        </w:rPr>
        <w:t>厂区</w:t>
      </w:r>
      <w:r>
        <w:rPr>
          <w:snapToGrid/>
          <w:color w:val="auto"/>
          <w:kern w:val="0"/>
        </w:rPr>
        <w:t>竖向设计</w:t>
      </w:r>
    </w:p>
    <w:p>
      <w:pPr>
        <w:pStyle w:val="743"/>
        <w:tabs>
          <w:tab w:val="clear" w:pos="360"/>
        </w:tabs>
        <w:spacing w:before="120" w:beforeLines="0" w:after="120" w:afterLines="0"/>
        <w:ind w:left="0" w:firstLine="0"/>
        <w:rPr>
          <w:snapToGrid/>
          <w:color w:val="auto"/>
        </w:rPr>
      </w:pPr>
      <w:r>
        <w:rPr>
          <w:snapToGrid/>
          <w:color w:val="auto"/>
        </w:rPr>
        <w:t>原则</w:t>
      </w:r>
    </w:p>
    <w:p>
      <w:pPr>
        <w:ind w:firstLine="480"/>
        <w:rPr>
          <w:kern w:val="0"/>
          <w:lang w:val="zh-CN"/>
        </w:rPr>
      </w:pPr>
      <w:r>
        <w:rPr>
          <w:rFonts w:hint="eastAsia"/>
          <w:kern w:val="0"/>
          <w:lang w:val="zh-CN"/>
        </w:rPr>
        <w:t>（1）尽量减少提升扬程，节省能源。</w:t>
      </w:r>
    </w:p>
    <w:p>
      <w:pPr>
        <w:ind w:firstLine="480"/>
        <w:rPr>
          <w:kern w:val="0"/>
          <w:lang w:val="zh-CN"/>
        </w:rPr>
      </w:pPr>
      <w:r>
        <w:rPr>
          <w:rFonts w:hint="eastAsia"/>
          <w:kern w:val="0"/>
          <w:lang w:val="zh-CN"/>
        </w:rPr>
        <w:t>（2）出厂污水能自流排入受纳水体尽量避免二次提升，节省能耗。</w:t>
      </w:r>
    </w:p>
    <w:p>
      <w:pPr>
        <w:ind w:firstLine="480"/>
        <w:rPr>
          <w:kern w:val="0"/>
          <w:lang w:val="zh-CN"/>
        </w:rPr>
      </w:pPr>
      <w:r>
        <w:rPr>
          <w:rFonts w:hint="eastAsia"/>
          <w:kern w:val="0"/>
          <w:lang w:val="zh-CN"/>
        </w:rPr>
        <w:t>（3）尽量减少厂区填方量，节省投资，考虑便于与周边道路及环境衔接。</w:t>
      </w:r>
    </w:p>
    <w:p>
      <w:pPr>
        <w:pStyle w:val="743"/>
        <w:tabs>
          <w:tab w:val="clear" w:pos="360"/>
        </w:tabs>
        <w:spacing w:before="120" w:beforeLines="0" w:after="120" w:afterLines="0"/>
        <w:ind w:left="0" w:firstLine="0"/>
        <w:rPr>
          <w:snapToGrid/>
          <w:color w:val="auto"/>
        </w:rPr>
      </w:pPr>
      <w:r>
        <w:rPr>
          <w:rFonts w:hint="eastAsia"/>
          <w:snapToGrid/>
          <w:color w:val="auto"/>
        </w:rPr>
        <w:t>设计</w:t>
      </w:r>
      <w:r>
        <w:rPr>
          <w:snapToGrid/>
          <w:color w:val="auto"/>
        </w:rPr>
        <w:t>地面高程</w:t>
      </w:r>
    </w:p>
    <w:p>
      <w:pPr>
        <w:ind w:firstLine="480"/>
        <w:rPr>
          <w:kern w:val="0"/>
          <w:lang w:val="zh-CN"/>
        </w:rPr>
      </w:pPr>
      <w:r>
        <w:rPr>
          <w:rFonts w:hint="eastAsia"/>
          <w:kern w:val="0"/>
          <w:lang w:val="zh-CN"/>
        </w:rPr>
        <w:t>与首期工程一致，采用广州城建高程，室外地坪设计标高由北至南26.50m~29.0m。</w:t>
      </w:r>
    </w:p>
    <w:p>
      <w:pPr>
        <w:pStyle w:val="743"/>
        <w:tabs>
          <w:tab w:val="clear" w:pos="360"/>
        </w:tabs>
        <w:spacing w:before="120" w:beforeLines="0" w:after="120" w:afterLines="0"/>
        <w:ind w:left="0" w:firstLine="0"/>
        <w:rPr>
          <w:snapToGrid/>
          <w:color w:val="auto"/>
        </w:rPr>
      </w:pPr>
      <w:r>
        <w:rPr>
          <w:rFonts w:hint="eastAsia"/>
          <w:snapToGrid/>
          <w:color w:val="auto"/>
        </w:rPr>
        <w:t>竖向设计</w:t>
      </w:r>
    </w:p>
    <w:p>
      <w:pPr>
        <w:ind w:firstLine="480"/>
        <w:rPr>
          <w:kern w:val="0"/>
          <w:lang w:val="zh-CN"/>
        </w:rPr>
      </w:pPr>
      <w:r>
        <w:rPr>
          <w:rFonts w:hint="eastAsia"/>
          <w:kern w:val="0"/>
          <w:lang w:val="zh-CN"/>
        </w:rPr>
        <w:t>竖向设计主要根据场地周围道路标高情况及市政雨污水管的标高确定，且尽可能减少构建筑物的基础处理、挖填方量，使主要构(建)物基础尽量放在原状土上，保证安全，节约投资。</w:t>
      </w:r>
    </w:p>
    <w:p>
      <w:pPr>
        <w:ind w:firstLine="480"/>
        <w:rPr>
          <w:kern w:val="0"/>
          <w:lang w:val="zh-CN"/>
        </w:rPr>
      </w:pPr>
      <w:r>
        <w:rPr>
          <w:rFonts w:hint="eastAsia"/>
          <w:kern w:val="0"/>
          <w:lang w:val="zh-CN"/>
        </w:rPr>
        <w:t>现状</w:t>
      </w:r>
      <w:r>
        <w:rPr>
          <w:kern w:val="0"/>
          <w:lang w:val="zh-CN"/>
        </w:rPr>
        <w:t>厂区进水管管底标高为19.00m，现状</w:t>
      </w:r>
      <w:r>
        <w:rPr>
          <w:rFonts w:hint="eastAsia"/>
          <w:kern w:val="0"/>
          <w:lang w:val="zh-CN"/>
        </w:rPr>
        <w:t>消毒池</w:t>
      </w:r>
      <w:r>
        <w:rPr>
          <w:kern w:val="0"/>
          <w:lang w:val="zh-CN"/>
        </w:rPr>
        <w:t>出水水位标高为</w:t>
      </w:r>
      <w:r>
        <w:rPr>
          <w:rFonts w:hint="eastAsia"/>
          <w:kern w:val="0"/>
          <w:lang w:val="zh-CN"/>
        </w:rPr>
        <w:t>24.90</w:t>
      </w:r>
      <w:r>
        <w:rPr>
          <w:kern w:val="0"/>
          <w:lang w:val="zh-CN"/>
        </w:rPr>
        <w:t>m，</w:t>
      </w:r>
      <w:r>
        <w:rPr>
          <w:rFonts w:hint="eastAsia"/>
          <w:kern w:val="0"/>
          <w:lang w:val="zh-CN"/>
        </w:rPr>
        <w:t>尾水排放沿用首期工程原设计，尾水</w:t>
      </w:r>
      <w:r>
        <w:rPr>
          <w:kern w:val="0"/>
          <w:lang w:val="zh-CN"/>
        </w:rPr>
        <w:t>一路自流排入</w:t>
      </w:r>
      <w:r>
        <w:rPr>
          <w:rFonts w:hint="eastAsia"/>
          <w:kern w:val="0"/>
          <w:lang w:val="zh-CN"/>
        </w:rPr>
        <w:t>金坑河，</w:t>
      </w:r>
      <w:r>
        <w:rPr>
          <w:kern w:val="0"/>
          <w:lang w:val="zh-CN"/>
        </w:rPr>
        <w:t>一路加压</w:t>
      </w:r>
      <w:r>
        <w:rPr>
          <w:rFonts w:hint="eastAsia"/>
          <w:kern w:val="0"/>
          <w:lang w:val="zh-CN"/>
        </w:rPr>
        <w:t>进入厂内</w:t>
      </w:r>
      <w:r>
        <w:rPr>
          <w:kern w:val="0"/>
          <w:lang w:val="zh-CN"/>
        </w:rPr>
        <w:t>景观</w:t>
      </w:r>
      <w:r>
        <w:rPr>
          <w:rFonts w:hint="eastAsia"/>
          <w:kern w:val="0"/>
          <w:lang w:val="zh-CN"/>
        </w:rPr>
        <w:t>湿地再自流排入金坑河</w:t>
      </w:r>
      <w:r>
        <w:rPr>
          <w:kern w:val="0"/>
          <w:lang w:val="zh-CN"/>
        </w:rPr>
        <w:t>。</w:t>
      </w:r>
    </w:p>
    <w:p>
      <w:pPr>
        <w:ind w:firstLine="480"/>
        <w:rPr>
          <w:kern w:val="0"/>
          <w:lang w:val="zh-CN"/>
        </w:rPr>
      </w:pPr>
      <w:r>
        <w:rPr>
          <w:rFonts w:hint="eastAsia"/>
          <w:kern w:val="0"/>
          <w:lang w:val="zh-CN"/>
        </w:rPr>
        <w:t>金坑河20一遇</w:t>
      </w:r>
      <w:r>
        <w:rPr>
          <w:kern w:val="0"/>
          <w:lang w:val="zh-CN"/>
        </w:rPr>
        <w:t>重现期水位标高为</w:t>
      </w:r>
      <w:r>
        <w:rPr>
          <w:rFonts w:hint="eastAsia"/>
          <w:kern w:val="0"/>
          <w:lang w:val="zh-CN"/>
        </w:rPr>
        <w:t>24.10</w:t>
      </w:r>
      <w:r>
        <w:rPr>
          <w:kern w:val="0"/>
          <w:lang w:val="zh-CN"/>
        </w:rPr>
        <w:t>m</w:t>
      </w:r>
      <w:r>
        <w:rPr>
          <w:rFonts w:hint="eastAsia"/>
          <w:kern w:val="0"/>
          <w:lang w:val="zh-CN"/>
        </w:rPr>
        <w:t>。</w:t>
      </w:r>
    </w:p>
    <w:p>
      <w:pPr>
        <w:pStyle w:val="741"/>
        <w:spacing w:before="120" w:beforeLines="0" w:after="120" w:afterLines="0"/>
        <w:rPr>
          <w:snapToGrid/>
          <w:color w:val="auto"/>
          <w:kern w:val="0"/>
        </w:rPr>
      </w:pPr>
      <w:r>
        <w:rPr>
          <w:rFonts w:hint="eastAsia"/>
          <w:snapToGrid/>
          <w:color w:val="auto"/>
          <w:kern w:val="0"/>
        </w:rPr>
        <w:t>厂区</w:t>
      </w:r>
      <w:r>
        <w:rPr>
          <w:snapToGrid/>
          <w:color w:val="auto"/>
          <w:kern w:val="0"/>
        </w:rPr>
        <w:t>公用工程</w:t>
      </w:r>
      <w:r>
        <w:rPr>
          <w:rFonts w:hint="eastAsia"/>
          <w:snapToGrid/>
          <w:color w:val="auto"/>
          <w:kern w:val="0"/>
        </w:rPr>
        <w:t>设计</w:t>
      </w:r>
    </w:p>
    <w:p>
      <w:pPr>
        <w:pStyle w:val="743"/>
        <w:tabs>
          <w:tab w:val="clear" w:pos="360"/>
        </w:tabs>
        <w:spacing w:before="120" w:beforeLines="0" w:after="120" w:afterLines="0"/>
        <w:ind w:left="0" w:firstLine="0"/>
        <w:rPr>
          <w:snapToGrid/>
          <w:color w:val="auto"/>
        </w:rPr>
      </w:pPr>
      <w:r>
        <w:rPr>
          <w:rFonts w:hint="eastAsia"/>
          <w:snapToGrid/>
          <w:color w:val="auto"/>
        </w:rPr>
        <w:t>厂区</w:t>
      </w:r>
      <w:r>
        <w:rPr>
          <w:snapToGrid/>
          <w:color w:val="auto"/>
        </w:rPr>
        <w:t>道路</w:t>
      </w:r>
    </w:p>
    <w:p>
      <w:pPr>
        <w:ind w:firstLine="480"/>
        <w:rPr>
          <w:kern w:val="0"/>
          <w:lang w:val="zh-CN"/>
        </w:rPr>
      </w:pPr>
      <w:r>
        <w:rPr>
          <w:rFonts w:hint="eastAsia"/>
          <w:kern w:val="0"/>
          <w:lang w:val="zh-CN"/>
        </w:rPr>
        <w:t>根据厂内交通情况合理规划新建相关道路通道，转弯半径需满足规范要求。</w:t>
      </w:r>
    </w:p>
    <w:p>
      <w:pPr>
        <w:pStyle w:val="743"/>
        <w:tabs>
          <w:tab w:val="clear" w:pos="360"/>
        </w:tabs>
        <w:spacing w:before="120" w:beforeLines="0" w:after="120" w:afterLines="0"/>
        <w:ind w:left="0" w:firstLine="0"/>
        <w:rPr>
          <w:snapToGrid/>
          <w:color w:val="auto"/>
        </w:rPr>
      </w:pPr>
      <w:r>
        <w:rPr>
          <w:rFonts w:hint="eastAsia"/>
          <w:snapToGrid/>
          <w:color w:val="auto"/>
        </w:rPr>
        <w:t>厂区照明</w:t>
      </w:r>
    </w:p>
    <w:p>
      <w:pPr>
        <w:ind w:firstLine="480"/>
        <w:rPr>
          <w:kern w:val="0"/>
          <w:lang w:val="zh-CN"/>
        </w:rPr>
      </w:pPr>
      <w:r>
        <w:rPr>
          <w:rFonts w:hint="eastAsia"/>
          <w:kern w:val="0"/>
          <w:lang w:val="zh-CN"/>
        </w:rPr>
        <w:t>厂区现有路灯老化，高度过高，需对厂区路灯进行统一更换为3</w:t>
      </w:r>
      <w:r>
        <w:rPr>
          <w:kern w:val="0"/>
          <w:lang w:val="zh-CN"/>
        </w:rPr>
        <w:t>.5</w:t>
      </w:r>
      <w:r>
        <w:rPr>
          <w:rFonts w:hint="eastAsia"/>
          <w:kern w:val="0"/>
          <w:lang w:val="zh-CN"/>
        </w:rPr>
        <w:t>m高路灯，应采用光效高、光线柔和、寿命长的节能路灯。</w:t>
      </w:r>
    </w:p>
    <w:p>
      <w:pPr>
        <w:pStyle w:val="743"/>
        <w:tabs>
          <w:tab w:val="clear" w:pos="360"/>
        </w:tabs>
        <w:spacing w:before="120" w:beforeLines="0" w:after="120" w:afterLines="0"/>
        <w:ind w:left="0" w:firstLine="0"/>
        <w:rPr>
          <w:snapToGrid/>
          <w:color w:val="auto"/>
        </w:rPr>
      </w:pPr>
      <w:r>
        <w:rPr>
          <w:rFonts w:hint="eastAsia"/>
          <w:snapToGrid/>
          <w:color w:val="auto"/>
        </w:rPr>
        <w:t>景观工程</w:t>
      </w:r>
    </w:p>
    <w:p>
      <w:pPr>
        <w:ind w:firstLine="480"/>
        <w:rPr>
          <w:kern w:val="0"/>
          <w:lang w:val="zh-CN"/>
        </w:rPr>
      </w:pPr>
      <w:r>
        <w:rPr>
          <w:rFonts w:hint="eastAsia"/>
          <w:kern w:val="0"/>
          <w:lang w:val="zh-CN"/>
        </w:rPr>
        <w:t>厂区景观水体存在淤积，需对景观水体进行清淤作业，新建建构筑物周边绿化宜与现状整体景观融合。</w:t>
      </w:r>
    </w:p>
    <w:p>
      <w:pPr>
        <w:pStyle w:val="741"/>
        <w:spacing w:before="120" w:beforeLines="0" w:after="120" w:afterLines="0"/>
        <w:rPr>
          <w:snapToGrid/>
          <w:color w:val="auto"/>
          <w:kern w:val="0"/>
        </w:rPr>
      </w:pPr>
      <w:r>
        <w:rPr>
          <w:rFonts w:hint="eastAsia"/>
          <w:snapToGrid/>
          <w:color w:val="auto"/>
          <w:kern w:val="0"/>
        </w:rPr>
        <w:t>厂区管线</w:t>
      </w:r>
      <w:r>
        <w:rPr>
          <w:snapToGrid/>
          <w:color w:val="auto"/>
          <w:kern w:val="0"/>
        </w:rPr>
        <w:t>工程</w:t>
      </w:r>
      <w:r>
        <w:rPr>
          <w:rFonts w:hint="eastAsia"/>
          <w:snapToGrid/>
          <w:color w:val="auto"/>
          <w:kern w:val="0"/>
        </w:rPr>
        <w:t>设计</w:t>
      </w:r>
    </w:p>
    <w:p>
      <w:pPr>
        <w:ind w:firstLine="480"/>
        <w:rPr>
          <w:kern w:val="0"/>
          <w:lang w:val="zh-CN"/>
        </w:rPr>
      </w:pPr>
      <w:r>
        <w:rPr>
          <w:rFonts w:hint="eastAsia"/>
          <w:kern w:val="0"/>
          <w:lang w:val="zh-CN"/>
        </w:rPr>
        <w:t>（1）新增工艺管线设计。新增工艺管线应遵循管线大管让小管、压力管让重力管的原则，合理布置管线。</w:t>
      </w:r>
    </w:p>
    <w:p>
      <w:pPr>
        <w:ind w:firstLine="480"/>
        <w:rPr>
          <w:kern w:val="0"/>
          <w:lang w:val="zh-CN"/>
        </w:rPr>
      </w:pPr>
      <w:r>
        <w:rPr>
          <w:rFonts w:hint="eastAsia"/>
          <w:kern w:val="0"/>
          <w:lang w:val="zh-CN"/>
        </w:rPr>
        <w:t>（2）原有工艺管线整改。厂区剩余污泥管、加药管、中水管存在不同程度的问题，需进行整体更换。</w:t>
      </w:r>
    </w:p>
    <w:p>
      <w:pPr>
        <w:ind w:firstLine="480"/>
        <w:rPr>
          <w:kern w:val="0"/>
          <w:lang w:val="zh-CN"/>
        </w:rPr>
      </w:pPr>
      <w:r>
        <w:rPr>
          <w:rFonts w:hint="eastAsia"/>
          <w:kern w:val="0"/>
          <w:lang w:val="zh-CN"/>
        </w:rPr>
        <w:t>（</w:t>
      </w:r>
      <w:r>
        <w:rPr>
          <w:kern w:val="0"/>
          <w:lang w:val="zh-CN"/>
        </w:rPr>
        <w:t>3</w:t>
      </w:r>
      <w:r>
        <w:rPr>
          <w:rFonts w:hint="eastAsia"/>
          <w:kern w:val="0"/>
          <w:lang w:val="zh-CN"/>
        </w:rPr>
        <w:t>）原有排水管线整改。厂区雨水管、污水管存在不同程度的结构缺陷问题，需进行整体更换。</w:t>
      </w:r>
    </w:p>
    <w:p>
      <w:pPr>
        <w:pStyle w:val="740"/>
        <w:spacing w:before="120" w:beforeLines="0" w:after="120" w:afterLines="0"/>
        <w:ind w:firstLine="420"/>
        <w:rPr>
          <w:kern w:val="0"/>
        </w:rPr>
      </w:pPr>
      <w:r>
        <w:rPr>
          <w:rFonts w:hint="eastAsia"/>
          <w:kern w:val="0"/>
        </w:rPr>
        <w:t>工艺</w:t>
      </w:r>
      <w:r>
        <w:rPr>
          <w:kern w:val="0"/>
        </w:rPr>
        <w:t>设计</w:t>
      </w:r>
    </w:p>
    <w:p>
      <w:pPr>
        <w:pStyle w:val="741"/>
        <w:spacing w:before="120" w:beforeLines="0" w:after="120" w:afterLines="0"/>
        <w:rPr>
          <w:snapToGrid/>
          <w:color w:val="auto"/>
          <w:kern w:val="0"/>
        </w:rPr>
      </w:pPr>
      <w:r>
        <w:rPr>
          <w:rFonts w:hint="eastAsia"/>
          <w:snapToGrid/>
          <w:color w:val="auto"/>
          <w:kern w:val="0"/>
        </w:rPr>
        <w:t>设计规范依据（包括并不限于）</w:t>
      </w:r>
    </w:p>
    <w:p>
      <w:pPr>
        <w:pStyle w:val="745"/>
        <w:rPr>
          <w:color w:val="auto"/>
          <w:kern w:val="0"/>
        </w:rPr>
      </w:pPr>
      <w:r>
        <w:rPr>
          <w:rFonts w:hint="eastAsia"/>
          <w:color w:val="auto"/>
          <w:kern w:val="0"/>
        </w:rPr>
        <w:t>《城市污水处理工程项目建设标准（修订）2001》</w:t>
      </w:r>
    </w:p>
    <w:p>
      <w:pPr>
        <w:pStyle w:val="745"/>
        <w:rPr>
          <w:color w:val="auto"/>
          <w:kern w:val="0"/>
        </w:rPr>
      </w:pPr>
      <w:r>
        <w:rPr>
          <w:rFonts w:hint="eastAsia"/>
          <w:color w:val="auto"/>
          <w:kern w:val="0"/>
        </w:rPr>
        <w:t>《室外排水设计标准 》GB50014-2021</w:t>
      </w:r>
    </w:p>
    <w:p>
      <w:pPr>
        <w:pStyle w:val="745"/>
        <w:rPr>
          <w:color w:val="auto"/>
          <w:kern w:val="0"/>
        </w:rPr>
      </w:pPr>
      <w:r>
        <w:rPr>
          <w:rFonts w:hint="eastAsia"/>
          <w:color w:val="auto"/>
          <w:kern w:val="0"/>
        </w:rPr>
        <w:t>《城市给水工程规划规范》GB50282-2016</w:t>
      </w:r>
    </w:p>
    <w:p>
      <w:pPr>
        <w:pStyle w:val="745"/>
        <w:rPr>
          <w:color w:val="auto"/>
          <w:kern w:val="0"/>
        </w:rPr>
      </w:pPr>
      <w:r>
        <w:rPr>
          <w:rFonts w:hint="eastAsia"/>
          <w:color w:val="auto"/>
          <w:kern w:val="0"/>
        </w:rPr>
        <w:t>《城市排水工程规划规范》GB50318-2017</w:t>
      </w:r>
    </w:p>
    <w:p>
      <w:pPr>
        <w:pStyle w:val="745"/>
        <w:rPr>
          <w:color w:val="auto"/>
          <w:kern w:val="0"/>
        </w:rPr>
      </w:pPr>
      <w:r>
        <w:rPr>
          <w:rFonts w:hint="eastAsia"/>
          <w:color w:val="auto"/>
          <w:kern w:val="0"/>
        </w:rPr>
        <w:t>《地表水环境质量标准》GB3838-2002</w:t>
      </w:r>
    </w:p>
    <w:p>
      <w:pPr>
        <w:pStyle w:val="745"/>
        <w:rPr>
          <w:color w:val="auto"/>
          <w:kern w:val="0"/>
        </w:rPr>
      </w:pPr>
      <w:r>
        <w:rPr>
          <w:rFonts w:hint="eastAsia"/>
          <w:color w:val="auto"/>
          <w:kern w:val="0"/>
        </w:rPr>
        <w:t>《城镇污水处理厂污染物排放标准》GB18918-2002</w:t>
      </w:r>
    </w:p>
    <w:p>
      <w:pPr>
        <w:pStyle w:val="745"/>
        <w:rPr>
          <w:color w:val="auto"/>
          <w:kern w:val="0"/>
        </w:rPr>
      </w:pPr>
      <w:r>
        <w:rPr>
          <w:rFonts w:hint="eastAsia"/>
          <w:color w:val="auto"/>
          <w:kern w:val="0"/>
        </w:rPr>
        <w:t>《污水排入城镇下水道水质标准》GB/T31962-2015</w:t>
      </w:r>
    </w:p>
    <w:p>
      <w:pPr>
        <w:pStyle w:val="745"/>
        <w:rPr>
          <w:color w:val="auto"/>
          <w:kern w:val="0"/>
        </w:rPr>
      </w:pPr>
      <w:r>
        <w:rPr>
          <w:rFonts w:hint="eastAsia"/>
          <w:color w:val="auto"/>
          <w:kern w:val="0"/>
        </w:rPr>
        <w:t>《城镇污水处理厂污泥厂内干化减量技术标准》</w:t>
      </w:r>
      <w:r>
        <w:rPr>
          <w:color w:val="auto"/>
          <w:kern w:val="0"/>
        </w:rPr>
        <w:t>DBJ440100/T271-2016</w:t>
      </w:r>
    </w:p>
    <w:p>
      <w:pPr>
        <w:pStyle w:val="745"/>
        <w:rPr>
          <w:color w:val="auto"/>
          <w:kern w:val="0"/>
        </w:rPr>
      </w:pPr>
      <w:r>
        <w:rPr>
          <w:rFonts w:hint="eastAsia"/>
          <w:color w:val="auto"/>
          <w:kern w:val="0"/>
        </w:rPr>
        <w:t>《工业企业厂界环境噪声排放标准》GB12348-2008</w:t>
      </w:r>
    </w:p>
    <w:p>
      <w:pPr>
        <w:pStyle w:val="741"/>
        <w:spacing w:before="120" w:beforeLines="0" w:after="120" w:afterLines="0"/>
        <w:rPr>
          <w:snapToGrid/>
          <w:color w:val="auto"/>
          <w:kern w:val="0"/>
        </w:rPr>
      </w:pPr>
      <w:r>
        <w:rPr>
          <w:rFonts w:hint="eastAsia"/>
          <w:snapToGrid/>
          <w:color w:val="auto"/>
          <w:kern w:val="0"/>
        </w:rPr>
        <w:t>粗格栅</w:t>
      </w:r>
      <w:r>
        <w:rPr>
          <w:snapToGrid/>
          <w:color w:val="auto"/>
          <w:kern w:val="0"/>
        </w:rPr>
        <w:t>及进水泵房</w:t>
      </w:r>
      <w:r>
        <w:rPr>
          <w:rFonts w:hint="eastAsia"/>
          <w:snapToGrid/>
          <w:color w:val="auto"/>
          <w:kern w:val="0"/>
        </w:rPr>
        <w:t>（现有单体）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设计内容：需增加提升水泵。</w:t>
      </w:r>
    </w:p>
    <w:p>
      <w:pPr>
        <w:pStyle w:val="741"/>
        <w:spacing w:before="120" w:beforeLines="0" w:after="120" w:afterLines="0"/>
        <w:rPr>
          <w:snapToGrid/>
          <w:color w:val="auto"/>
          <w:kern w:val="0"/>
        </w:rPr>
      </w:pPr>
      <w:r>
        <w:rPr>
          <w:rFonts w:hint="eastAsia"/>
          <w:snapToGrid/>
          <w:color w:val="auto"/>
          <w:kern w:val="0"/>
        </w:rPr>
        <w:t>细格栅</w:t>
      </w:r>
      <w:r>
        <w:rPr>
          <w:snapToGrid/>
          <w:color w:val="auto"/>
          <w:kern w:val="0"/>
        </w:rPr>
        <w:t>及曝气沉砂池</w:t>
      </w:r>
      <w:r>
        <w:rPr>
          <w:rFonts w:hint="eastAsia"/>
          <w:snapToGrid/>
          <w:color w:val="auto"/>
          <w:kern w:val="0"/>
        </w:rPr>
        <w:t>（现有单体）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设计内容：本次增容采用内进流式网板细格栅，安装于预留机位，并需对原有回转式格栅机配套设备进行调整改造以求满足布置需求。</w:t>
      </w:r>
    </w:p>
    <w:p>
      <w:pPr>
        <w:pStyle w:val="741"/>
        <w:spacing w:before="120" w:beforeLines="0" w:after="120" w:afterLines="0"/>
        <w:rPr>
          <w:snapToGrid/>
          <w:color w:val="auto"/>
          <w:kern w:val="0"/>
        </w:rPr>
      </w:pPr>
      <w:r>
        <w:rPr>
          <w:rFonts w:hint="eastAsia"/>
          <w:snapToGrid/>
          <w:color w:val="auto"/>
          <w:kern w:val="0"/>
        </w:rPr>
        <w:t>AAO</w:t>
      </w:r>
      <w:r>
        <w:rPr>
          <w:snapToGrid/>
          <w:color w:val="auto"/>
          <w:kern w:val="0"/>
        </w:rPr>
        <w:t>生物反应池</w:t>
      </w:r>
      <w:r>
        <w:rPr>
          <w:rFonts w:hint="eastAsia"/>
          <w:snapToGrid/>
          <w:color w:val="auto"/>
          <w:kern w:val="0"/>
        </w:rPr>
        <w:t>（现有单体）</w:t>
      </w:r>
    </w:p>
    <w:p>
      <w:pPr>
        <w:ind w:firstLine="480"/>
        <w:rPr>
          <w:kern w:val="0"/>
        </w:rPr>
      </w:pPr>
      <w:r>
        <w:rPr>
          <w:rFonts w:hint="eastAsia"/>
          <w:kern w:val="0"/>
        </w:rPr>
        <w:t>设计目标：增加3万m</w:t>
      </w:r>
      <w:r>
        <w:rPr>
          <w:rFonts w:hint="eastAsia"/>
          <w:kern w:val="0"/>
          <w:vertAlign w:val="superscript"/>
        </w:rPr>
        <w:t>3</w:t>
      </w:r>
      <w:r>
        <w:rPr>
          <w:rFonts w:hint="eastAsia"/>
          <w:kern w:val="0"/>
        </w:rPr>
        <w:t>/d规模。</w:t>
      </w:r>
    </w:p>
    <w:p>
      <w:pPr>
        <w:ind w:firstLine="480"/>
        <w:rPr>
          <w:b/>
          <w:kern w:val="0"/>
          <w:sz w:val="28"/>
          <w:szCs w:val="24"/>
        </w:rPr>
      </w:pPr>
      <w:r>
        <w:rPr>
          <w:rFonts w:hint="eastAsia"/>
          <w:kern w:val="0"/>
        </w:rPr>
        <w:t>设计内容：启用预留池组，进行设备加装设计，根据实际情况对预留池组中已安装的旧设备进行更新。</w:t>
      </w:r>
    </w:p>
    <w:p>
      <w:pPr>
        <w:pStyle w:val="741"/>
        <w:spacing w:before="120" w:beforeLines="0" w:after="120" w:afterLines="0"/>
        <w:rPr>
          <w:snapToGrid/>
          <w:color w:val="auto"/>
          <w:kern w:val="0"/>
        </w:rPr>
      </w:pPr>
      <w:r>
        <w:rPr>
          <w:rFonts w:hint="eastAsia"/>
          <w:snapToGrid/>
          <w:color w:val="auto"/>
          <w:kern w:val="0"/>
        </w:rPr>
        <w:t>二沉池（现有单体）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w:t>
      </w:r>
      <w:r>
        <w:rPr>
          <w:rFonts w:hint="eastAsia"/>
          <w:kern w:val="0"/>
        </w:rPr>
        <w:t>启用预留池组，</w:t>
      </w:r>
      <w:r>
        <w:rPr>
          <w:rFonts w:hint="eastAsia"/>
          <w:kern w:val="0"/>
          <w:lang w:val="zh-CN"/>
        </w:rPr>
        <w:t>进行设备加装设计，并需根据池面实际情况进行加开孔，需对出水位置进行改造以满足连接深度处理构筑物的需求。</w:t>
      </w:r>
    </w:p>
    <w:p>
      <w:pPr>
        <w:pStyle w:val="741"/>
        <w:spacing w:before="120" w:beforeLines="0" w:after="120" w:afterLines="0"/>
        <w:rPr>
          <w:snapToGrid/>
          <w:color w:val="auto"/>
          <w:kern w:val="0"/>
        </w:rPr>
      </w:pPr>
      <w:r>
        <w:rPr>
          <w:rFonts w:hint="eastAsia"/>
          <w:snapToGrid/>
          <w:color w:val="auto"/>
          <w:kern w:val="0"/>
        </w:rPr>
        <w:t>机械</w:t>
      </w:r>
      <w:r>
        <w:rPr>
          <w:snapToGrid/>
          <w:color w:val="auto"/>
          <w:kern w:val="0"/>
        </w:rPr>
        <w:t>絮凝池</w:t>
      </w:r>
      <w:r>
        <w:rPr>
          <w:rFonts w:hint="eastAsia"/>
          <w:snapToGrid/>
          <w:color w:val="auto"/>
          <w:kern w:val="0"/>
        </w:rPr>
        <w:t>及滤布滤池（现有单体</w:t>
      </w:r>
      <w:r>
        <w:rPr>
          <w:snapToGrid/>
          <w:color w:val="auto"/>
          <w:kern w:val="0"/>
        </w:rPr>
        <w:t>）</w:t>
      </w:r>
    </w:p>
    <w:p>
      <w:pPr>
        <w:ind w:left="1470" w:leftChars="200" w:hanging="1050" w:hangingChars="500"/>
        <w:rPr>
          <w:kern w:val="0"/>
          <w:lang w:val="zh-CN"/>
        </w:rPr>
      </w:pPr>
      <w:r>
        <w:rPr>
          <w:rFonts w:hint="eastAsia"/>
          <w:kern w:val="0"/>
          <w:lang w:val="zh-CN"/>
        </w:rPr>
        <w:t>设计目标：优化运行。</w:t>
      </w:r>
    </w:p>
    <w:p>
      <w:pPr>
        <w:ind w:left="1470" w:leftChars="200" w:hanging="1050" w:hangingChars="500"/>
        <w:rPr>
          <w:kern w:val="0"/>
          <w:lang w:val="zh-CN"/>
        </w:rPr>
      </w:pPr>
      <w:r>
        <w:rPr>
          <w:rFonts w:hint="eastAsia"/>
          <w:kern w:val="0"/>
          <w:lang w:val="zh-CN"/>
        </w:rPr>
        <w:t>设计内容：对预留位加装闸门及滤布滤池设备。</w:t>
      </w:r>
    </w:p>
    <w:p>
      <w:pPr>
        <w:pStyle w:val="741"/>
        <w:spacing w:before="120" w:beforeLines="0" w:after="120" w:afterLines="0"/>
        <w:rPr>
          <w:snapToGrid/>
          <w:color w:val="auto"/>
          <w:kern w:val="0"/>
        </w:rPr>
      </w:pPr>
      <w:r>
        <w:rPr>
          <w:rFonts w:hint="eastAsia"/>
          <w:snapToGrid/>
          <w:color w:val="auto"/>
          <w:kern w:val="0"/>
        </w:rPr>
        <w:t>污泥</w:t>
      </w:r>
      <w:r>
        <w:rPr>
          <w:snapToGrid/>
          <w:color w:val="auto"/>
          <w:kern w:val="0"/>
        </w:rPr>
        <w:t>泵房</w:t>
      </w:r>
      <w:r>
        <w:rPr>
          <w:rFonts w:hint="eastAsia"/>
          <w:snapToGrid/>
          <w:color w:val="auto"/>
          <w:kern w:val="0"/>
        </w:rPr>
        <w:t>及中水泵房（现有单体）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设计内容：进行设备加装设计，并根据二期需求对中水泵房设备进行更新。</w:t>
      </w:r>
    </w:p>
    <w:p>
      <w:pPr>
        <w:pStyle w:val="741"/>
        <w:spacing w:before="120" w:beforeLines="0" w:after="120" w:afterLines="0"/>
        <w:rPr>
          <w:snapToGrid/>
          <w:color w:val="auto"/>
          <w:kern w:val="0"/>
        </w:rPr>
      </w:pPr>
      <w:r>
        <w:rPr>
          <w:rFonts w:hint="eastAsia"/>
          <w:snapToGrid/>
          <w:color w:val="auto"/>
          <w:kern w:val="0"/>
        </w:rPr>
        <w:t>鼓风机房（现有单体）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设计内容：进行设备加装设计，并对进风口进行优化。</w:t>
      </w:r>
    </w:p>
    <w:p>
      <w:pPr>
        <w:pStyle w:val="741"/>
        <w:spacing w:before="120" w:beforeLines="0" w:after="120" w:afterLines="0"/>
        <w:rPr>
          <w:snapToGrid/>
          <w:color w:val="auto"/>
          <w:kern w:val="0"/>
        </w:rPr>
      </w:pPr>
      <w:r>
        <w:rPr>
          <w:rFonts w:hint="eastAsia"/>
          <w:snapToGrid/>
          <w:color w:val="auto"/>
          <w:kern w:val="0"/>
        </w:rPr>
        <w:t>加氯</w:t>
      </w:r>
      <w:r>
        <w:rPr>
          <w:snapToGrid/>
          <w:color w:val="auto"/>
          <w:kern w:val="0"/>
        </w:rPr>
        <w:t>加药间</w:t>
      </w:r>
      <w:r>
        <w:rPr>
          <w:rFonts w:hint="eastAsia"/>
          <w:snapToGrid/>
          <w:color w:val="auto"/>
          <w:kern w:val="0"/>
        </w:rPr>
        <w:t>（现有单体）</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设计内容：进行设备加装设计，并对搅拌器更换为可调速型式。</w:t>
      </w:r>
    </w:p>
    <w:p>
      <w:pPr>
        <w:pStyle w:val="741"/>
        <w:spacing w:before="120" w:beforeLines="0" w:after="120" w:afterLines="0"/>
        <w:rPr>
          <w:snapToGrid/>
          <w:color w:val="auto"/>
          <w:kern w:val="0"/>
        </w:rPr>
      </w:pPr>
      <w:r>
        <w:rPr>
          <w:rFonts w:hint="eastAsia"/>
          <w:snapToGrid/>
          <w:color w:val="auto"/>
          <w:kern w:val="0"/>
        </w:rPr>
        <w:t>碳源投加系统</w:t>
      </w:r>
    </w:p>
    <w:p>
      <w:pPr>
        <w:ind w:firstLine="480"/>
        <w:rPr>
          <w:kern w:val="0"/>
          <w:lang w:val="zh-CN"/>
        </w:rPr>
      </w:pPr>
      <w:r>
        <w:rPr>
          <w:rFonts w:hint="eastAsia"/>
          <w:kern w:val="0"/>
          <w:lang w:val="zh-CN"/>
        </w:rPr>
        <w:t>设计目标：增加3万m</w:t>
      </w:r>
      <w:r>
        <w:rPr>
          <w:rFonts w:hint="eastAsia"/>
          <w:kern w:val="0"/>
          <w:vertAlign w:val="superscript"/>
          <w:lang w:val="zh-CN"/>
        </w:rPr>
        <w:t>3</w:t>
      </w:r>
      <w:r>
        <w:rPr>
          <w:rFonts w:hint="eastAsia"/>
          <w:kern w:val="0"/>
          <w:lang w:val="zh-CN"/>
        </w:rPr>
        <w:t>/d规模。</w:t>
      </w:r>
    </w:p>
    <w:p>
      <w:pPr>
        <w:ind w:firstLine="480"/>
        <w:rPr>
          <w:kern w:val="0"/>
          <w:lang w:val="zh-CN"/>
        </w:rPr>
      </w:pPr>
      <w:r>
        <w:rPr>
          <w:rFonts w:hint="eastAsia"/>
          <w:kern w:val="0"/>
          <w:lang w:val="zh-CN"/>
        </w:rPr>
        <w:t>设计内容：于现状细格栅及曝气沉砂池旁边扩建一套投加系统。</w:t>
      </w:r>
    </w:p>
    <w:p>
      <w:pPr>
        <w:pStyle w:val="741"/>
        <w:spacing w:before="120" w:beforeLines="0" w:after="120" w:afterLines="0"/>
        <w:rPr>
          <w:snapToGrid/>
          <w:color w:val="auto"/>
          <w:kern w:val="0"/>
        </w:rPr>
      </w:pPr>
      <w:r>
        <w:rPr>
          <w:rFonts w:hint="eastAsia"/>
          <w:snapToGrid/>
          <w:color w:val="auto"/>
          <w:kern w:val="0"/>
        </w:rPr>
        <w:t>高效沉淀池</w:t>
      </w:r>
    </w:p>
    <w:p>
      <w:pPr>
        <w:ind w:firstLine="480"/>
        <w:rPr>
          <w:kern w:val="0"/>
          <w:lang w:val="zh-CN"/>
        </w:rPr>
      </w:pPr>
      <w:r>
        <w:rPr>
          <w:rFonts w:hint="eastAsia"/>
          <w:kern w:val="0"/>
          <w:lang w:val="zh-CN"/>
        </w:rPr>
        <w:t>设计目标：对二期工程增量3万m</w:t>
      </w:r>
      <w:r>
        <w:rPr>
          <w:kern w:val="0"/>
          <w:vertAlign w:val="superscript"/>
          <w:lang w:val="zh-CN"/>
        </w:rPr>
        <w:t>3</w:t>
      </w:r>
      <w:r>
        <w:rPr>
          <w:kern w:val="0"/>
          <w:lang w:val="zh-CN"/>
        </w:rPr>
        <w:t>/</w:t>
      </w:r>
      <w:r>
        <w:rPr>
          <w:rFonts w:hint="eastAsia"/>
          <w:kern w:val="0"/>
          <w:lang w:val="zh-CN"/>
        </w:rPr>
        <w:t>d水量进行深度处理、消毒及计量，以满足出水水质及在线监测要求。</w:t>
      </w:r>
    </w:p>
    <w:p>
      <w:pPr>
        <w:ind w:firstLine="480"/>
        <w:rPr>
          <w:kern w:val="0"/>
          <w:lang w:val="zh-CN"/>
        </w:rPr>
      </w:pPr>
      <w:r>
        <w:rPr>
          <w:rFonts w:hint="eastAsia"/>
          <w:kern w:val="0"/>
          <w:lang w:val="zh-CN"/>
        </w:rPr>
        <w:t>设计内容：对现状污泥脱水间进行拆除清理，并在该位置新建高效沉淀池，并具备消毒及尾水计量、在线监测间功能。</w:t>
      </w:r>
    </w:p>
    <w:p>
      <w:pPr>
        <w:pStyle w:val="741"/>
        <w:spacing w:before="120" w:beforeLines="0" w:after="120" w:afterLines="0"/>
        <w:rPr>
          <w:snapToGrid/>
          <w:color w:val="auto"/>
          <w:kern w:val="0"/>
        </w:rPr>
      </w:pPr>
      <w:r>
        <w:rPr>
          <w:rFonts w:hint="eastAsia"/>
          <w:snapToGrid/>
          <w:color w:val="auto"/>
          <w:kern w:val="0"/>
        </w:rPr>
        <w:t>污泥干化车间</w:t>
      </w:r>
    </w:p>
    <w:p>
      <w:pPr>
        <w:ind w:firstLine="480"/>
        <w:rPr>
          <w:kern w:val="0"/>
          <w:lang w:val="zh-CN"/>
        </w:rPr>
      </w:pPr>
      <w:r>
        <w:rPr>
          <w:rFonts w:hint="eastAsia"/>
          <w:kern w:val="0"/>
          <w:lang w:val="zh-CN"/>
        </w:rPr>
        <w:t>设计目标：建设总规模为</w:t>
      </w:r>
      <w:r>
        <w:rPr>
          <w:kern w:val="0"/>
          <w:lang w:val="zh-CN"/>
        </w:rPr>
        <w:t>18</w:t>
      </w:r>
      <w:r>
        <w:rPr>
          <w:rFonts w:hint="eastAsia"/>
          <w:kern w:val="0"/>
          <w:lang w:val="zh-CN"/>
        </w:rPr>
        <w:t>tDS/d处理能力的污泥干化车间，本期设备安装规模为4</w:t>
      </w:r>
      <w:r>
        <w:rPr>
          <w:kern w:val="0"/>
          <w:lang w:val="zh-CN"/>
        </w:rPr>
        <w:t>.5</w:t>
      </w:r>
      <w:r>
        <w:rPr>
          <w:rFonts w:hint="eastAsia"/>
          <w:kern w:val="0"/>
          <w:lang w:val="zh-CN"/>
        </w:rPr>
        <w:t>tDS/d，污泥含水率由9</w:t>
      </w:r>
      <w:r>
        <w:rPr>
          <w:kern w:val="0"/>
          <w:lang w:val="zh-CN"/>
        </w:rPr>
        <w:t>8</w:t>
      </w:r>
      <w:r>
        <w:rPr>
          <w:rFonts w:hint="eastAsia"/>
          <w:kern w:val="0"/>
          <w:lang w:val="zh-CN"/>
        </w:rPr>
        <w:t>%脱至4</w:t>
      </w:r>
      <w:r>
        <w:rPr>
          <w:kern w:val="0"/>
          <w:lang w:val="zh-CN"/>
        </w:rPr>
        <w:t>0</w:t>
      </w:r>
      <w:r>
        <w:rPr>
          <w:rFonts w:hint="eastAsia"/>
          <w:kern w:val="0"/>
          <w:lang w:val="zh-CN"/>
        </w:rPr>
        <w:t>%以下。</w:t>
      </w:r>
    </w:p>
    <w:p>
      <w:pPr>
        <w:ind w:firstLine="480"/>
        <w:rPr>
          <w:kern w:val="0"/>
          <w:lang w:val="zh-CN"/>
        </w:rPr>
      </w:pPr>
      <w:r>
        <w:rPr>
          <w:rFonts w:hint="eastAsia"/>
          <w:kern w:val="0"/>
          <w:lang w:val="zh-CN"/>
        </w:rPr>
        <w:t>设计内容：新建一座污泥干化车间，采用低温脱水干化工艺进行处理。厂区仅能提供电能作为干化能源来源。</w:t>
      </w:r>
    </w:p>
    <w:p>
      <w:pPr>
        <w:pStyle w:val="740"/>
        <w:spacing w:before="120" w:beforeLines="0" w:after="120" w:afterLines="0"/>
        <w:ind w:firstLine="420"/>
        <w:rPr>
          <w:kern w:val="0"/>
        </w:rPr>
      </w:pPr>
      <w:r>
        <w:rPr>
          <w:rFonts w:hint="eastAsia"/>
          <w:kern w:val="0"/>
        </w:rPr>
        <w:t>建筑与结构</w:t>
      </w:r>
      <w:r>
        <w:rPr>
          <w:kern w:val="0"/>
        </w:rPr>
        <w:t>设计</w:t>
      </w:r>
    </w:p>
    <w:p>
      <w:pPr>
        <w:pStyle w:val="741"/>
        <w:spacing w:before="120" w:beforeLines="0" w:after="120" w:afterLines="0"/>
        <w:rPr>
          <w:snapToGrid/>
          <w:color w:val="auto"/>
          <w:kern w:val="0"/>
        </w:rPr>
      </w:pPr>
      <w:r>
        <w:rPr>
          <w:rFonts w:hint="eastAsia"/>
          <w:snapToGrid/>
          <w:color w:val="auto"/>
          <w:kern w:val="0"/>
        </w:rPr>
        <w:t>设计规范依据（包括并不限于）</w:t>
      </w:r>
    </w:p>
    <w:p>
      <w:pPr>
        <w:ind w:firstLine="480"/>
        <w:rPr>
          <w:kern w:val="0"/>
          <w:lang w:val="zh-CN"/>
        </w:rPr>
      </w:pPr>
      <w:r>
        <w:rPr>
          <w:rFonts w:hint="eastAsia"/>
          <w:kern w:val="0"/>
          <w:lang w:val="zh-CN"/>
        </w:rPr>
        <w:t>（1）《民用建筑设计统一标准》GB 50352-2019</w:t>
      </w:r>
    </w:p>
    <w:p>
      <w:pPr>
        <w:ind w:firstLine="480"/>
        <w:rPr>
          <w:kern w:val="0"/>
          <w:lang w:val="zh-CN"/>
        </w:rPr>
      </w:pPr>
      <w:r>
        <w:rPr>
          <w:rFonts w:hint="eastAsia"/>
          <w:kern w:val="0"/>
          <w:lang w:val="zh-CN"/>
        </w:rPr>
        <w:t>（2）《建筑设计防火规范》GB50016-2014（2018版）</w:t>
      </w:r>
    </w:p>
    <w:p>
      <w:pPr>
        <w:ind w:firstLine="480"/>
        <w:rPr>
          <w:kern w:val="0"/>
          <w:lang w:val="zh-CN"/>
        </w:rPr>
      </w:pPr>
      <w:r>
        <w:rPr>
          <w:rFonts w:hint="eastAsia"/>
          <w:kern w:val="0"/>
          <w:lang w:val="zh-CN"/>
        </w:rPr>
        <w:t>（</w:t>
      </w:r>
      <w:r>
        <w:rPr>
          <w:kern w:val="0"/>
          <w:lang w:val="zh-CN"/>
        </w:rPr>
        <w:t>3</w:t>
      </w:r>
      <w:r>
        <w:rPr>
          <w:rFonts w:hint="eastAsia"/>
          <w:kern w:val="0"/>
          <w:lang w:val="zh-CN"/>
        </w:rPr>
        <w:t>）《建筑内部装修设计防火规范》GB50222-2017</w:t>
      </w:r>
    </w:p>
    <w:p>
      <w:pPr>
        <w:ind w:firstLine="480"/>
        <w:rPr>
          <w:kern w:val="0"/>
          <w:lang w:val="zh-CN"/>
        </w:rPr>
      </w:pPr>
      <w:r>
        <w:rPr>
          <w:rFonts w:hint="eastAsia"/>
          <w:kern w:val="0"/>
          <w:lang w:val="zh-CN"/>
        </w:rPr>
        <w:t>（</w:t>
      </w:r>
      <w:r>
        <w:rPr>
          <w:kern w:val="0"/>
          <w:lang w:val="zh-CN"/>
        </w:rPr>
        <w:t>4</w:t>
      </w:r>
      <w:r>
        <w:rPr>
          <w:rFonts w:hint="eastAsia"/>
          <w:kern w:val="0"/>
          <w:lang w:val="zh-CN"/>
        </w:rPr>
        <w:t>）《地下工程防水技术规范》GB 50189-2008</w:t>
      </w:r>
    </w:p>
    <w:p>
      <w:pPr>
        <w:ind w:firstLine="480"/>
        <w:rPr>
          <w:kern w:val="0"/>
          <w:lang w:val="zh-CN"/>
        </w:rPr>
      </w:pPr>
      <w:r>
        <w:rPr>
          <w:rFonts w:hint="eastAsia"/>
          <w:kern w:val="0"/>
          <w:lang w:val="zh-CN"/>
        </w:rPr>
        <w:t>（</w:t>
      </w:r>
      <w:r>
        <w:rPr>
          <w:kern w:val="0"/>
          <w:lang w:val="zh-CN"/>
        </w:rPr>
        <w:t>5</w:t>
      </w:r>
      <w:r>
        <w:rPr>
          <w:rFonts w:hint="eastAsia"/>
          <w:kern w:val="0"/>
          <w:lang w:val="zh-CN"/>
        </w:rPr>
        <w:t>）《建筑抗震设计规范》GB 50011-2010（2016版）</w:t>
      </w:r>
    </w:p>
    <w:p>
      <w:pPr>
        <w:ind w:firstLine="480"/>
        <w:rPr>
          <w:kern w:val="0"/>
        </w:rPr>
      </w:pPr>
      <w:r>
        <w:rPr>
          <w:rFonts w:hint="eastAsia"/>
          <w:kern w:val="0"/>
        </w:rPr>
        <w:t>（</w:t>
      </w:r>
      <w:r>
        <w:rPr>
          <w:kern w:val="0"/>
        </w:rPr>
        <w:t>6</w:t>
      </w:r>
      <w:r>
        <w:rPr>
          <w:rFonts w:hint="eastAsia"/>
          <w:kern w:val="0"/>
        </w:rPr>
        <w:t>）《混凝土结构设计规范》（GB50010-2010）（2015年版）</w:t>
      </w:r>
    </w:p>
    <w:p>
      <w:pPr>
        <w:ind w:firstLine="480"/>
        <w:rPr>
          <w:kern w:val="0"/>
        </w:rPr>
      </w:pPr>
      <w:r>
        <w:rPr>
          <w:rFonts w:hint="eastAsia"/>
          <w:kern w:val="0"/>
        </w:rPr>
        <w:t>（</w:t>
      </w:r>
      <w:r>
        <w:rPr>
          <w:kern w:val="0"/>
        </w:rPr>
        <w:t>7</w:t>
      </w:r>
      <w:r>
        <w:rPr>
          <w:rFonts w:hint="eastAsia"/>
          <w:kern w:val="0"/>
        </w:rPr>
        <w:t>）《建筑结构荷载规范》（GB50009-2012）</w:t>
      </w:r>
    </w:p>
    <w:p>
      <w:pPr>
        <w:ind w:firstLine="480"/>
        <w:rPr>
          <w:kern w:val="0"/>
        </w:rPr>
      </w:pPr>
      <w:r>
        <w:rPr>
          <w:rFonts w:hint="eastAsia"/>
          <w:kern w:val="0"/>
        </w:rPr>
        <w:t>（</w:t>
      </w:r>
      <w:r>
        <w:rPr>
          <w:kern w:val="0"/>
        </w:rPr>
        <w:t>8</w:t>
      </w:r>
      <w:r>
        <w:rPr>
          <w:rFonts w:hint="eastAsia"/>
          <w:kern w:val="0"/>
        </w:rPr>
        <w:t>）《建筑地基基础设计规范》（GB50007-2011）</w:t>
      </w:r>
    </w:p>
    <w:p>
      <w:pPr>
        <w:ind w:firstLine="480"/>
        <w:rPr>
          <w:kern w:val="0"/>
        </w:rPr>
      </w:pPr>
      <w:r>
        <w:rPr>
          <w:rFonts w:hint="eastAsia"/>
          <w:kern w:val="0"/>
        </w:rPr>
        <w:t>（9）《工业建筑防腐蚀设计标准》（GB50046-2018）</w:t>
      </w:r>
    </w:p>
    <w:p>
      <w:pPr>
        <w:ind w:firstLine="480"/>
        <w:rPr>
          <w:kern w:val="0"/>
        </w:rPr>
      </w:pPr>
      <w:r>
        <w:rPr>
          <w:rFonts w:hint="eastAsia"/>
          <w:kern w:val="0"/>
        </w:rPr>
        <w:t>（10）《构筑物抗震设计规范》（GB50191-2012）</w:t>
      </w:r>
    </w:p>
    <w:p>
      <w:pPr>
        <w:ind w:firstLine="480"/>
        <w:rPr>
          <w:kern w:val="0"/>
        </w:rPr>
      </w:pPr>
      <w:r>
        <w:rPr>
          <w:rFonts w:hint="eastAsia"/>
          <w:kern w:val="0"/>
        </w:rPr>
        <w:t>（11）《建筑结构可靠度设计统一标准》（GB50068-2018）</w:t>
      </w:r>
    </w:p>
    <w:p>
      <w:pPr>
        <w:ind w:firstLine="480"/>
        <w:rPr>
          <w:kern w:val="0"/>
        </w:rPr>
      </w:pPr>
      <w:r>
        <w:rPr>
          <w:rFonts w:hint="eastAsia"/>
          <w:kern w:val="0"/>
        </w:rPr>
        <w:t>（12）《建筑地基处理技术规范》（JGJ79-2012）</w:t>
      </w:r>
    </w:p>
    <w:p>
      <w:pPr>
        <w:ind w:firstLine="480"/>
        <w:rPr>
          <w:kern w:val="0"/>
        </w:rPr>
      </w:pPr>
      <w:r>
        <w:rPr>
          <w:rFonts w:hint="eastAsia"/>
          <w:kern w:val="0"/>
        </w:rPr>
        <w:t>（13）《建筑桩基技术规范》（JGJ94-2008）</w:t>
      </w:r>
    </w:p>
    <w:p>
      <w:pPr>
        <w:ind w:firstLine="480"/>
        <w:rPr>
          <w:kern w:val="0"/>
        </w:rPr>
      </w:pPr>
      <w:r>
        <w:rPr>
          <w:rFonts w:hint="eastAsia"/>
          <w:kern w:val="0"/>
        </w:rPr>
        <w:t>（14）《混凝土结构加固设计规范》（GB50367-2013）</w:t>
      </w:r>
    </w:p>
    <w:p>
      <w:pPr>
        <w:ind w:firstLine="480"/>
        <w:rPr>
          <w:kern w:val="0"/>
        </w:rPr>
      </w:pPr>
      <w:r>
        <w:rPr>
          <w:rFonts w:hint="eastAsia"/>
          <w:kern w:val="0"/>
        </w:rPr>
        <w:t>（15）《工业建筑可靠性鉴定标准》（GB50144-2019）</w:t>
      </w:r>
    </w:p>
    <w:p>
      <w:pPr>
        <w:ind w:firstLine="480"/>
        <w:rPr>
          <w:kern w:val="0"/>
        </w:rPr>
      </w:pPr>
      <w:r>
        <w:rPr>
          <w:rFonts w:hint="eastAsia"/>
          <w:kern w:val="0"/>
        </w:rPr>
        <w:t>（16）《混凝土结构后锚固技术规程》（JGJ145-2013）</w:t>
      </w:r>
    </w:p>
    <w:p>
      <w:pPr>
        <w:ind w:firstLine="480"/>
        <w:rPr>
          <w:kern w:val="0"/>
        </w:rPr>
      </w:pPr>
      <w:r>
        <w:rPr>
          <w:rFonts w:hint="eastAsia"/>
          <w:kern w:val="0"/>
        </w:rPr>
        <w:t>（17）《既有建筑地基可靠性鉴定标准》（JGJ404-2018）</w:t>
      </w:r>
    </w:p>
    <w:p>
      <w:pPr>
        <w:ind w:firstLine="480"/>
        <w:rPr>
          <w:kern w:val="0"/>
        </w:rPr>
      </w:pPr>
      <w:r>
        <w:rPr>
          <w:rFonts w:hint="eastAsia"/>
          <w:kern w:val="0"/>
        </w:rPr>
        <w:t>（18）《既有建筑地基基础加固技术规范》（JGJ123-2012）</w:t>
      </w:r>
    </w:p>
    <w:p>
      <w:pPr>
        <w:ind w:firstLine="480"/>
        <w:rPr>
          <w:kern w:val="0"/>
        </w:rPr>
      </w:pPr>
      <w:r>
        <w:rPr>
          <w:rFonts w:hint="eastAsia"/>
          <w:kern w:val="0"/>
        </w:rPr>
        <w:t>（19）《建筑地基基础设计规范》（DBJ15-31-2016）（广东省标准）</w:t>
      </w:r>
    </w:p>
    <w:p>
      <w:pPr>
        <w:ind w:firstLine="480"/>
        <w:rPr>
          <w:kern w:val="0"/>
        </w:rPr>
      </w:pPr>
      <w:r>
        <w:rPr>
          <w:rFonts w:hint="eastAsia"/>
          <w:kern w:val="0"/>
        </w:rPr>
        <w:t>（20）《建筑基坑工程技术规程》（DBJ/T15-20-2016）（广东省标准）</w:t>
      </w:r>
    </w:p>
    <w:p>
      <w:pPr>
        <w:ind w:firstLine="480"/>
        <w:rPr>
          <w:kern w:val="0"/>
          <w:lang w:val="zh-CN"/>
        </w:rPr>
      </w:pPr>
      <w:r>
        <w:rPr>
          <w:rFonts w:hint="eastAsia"/>
          <w:kern w:val="0"/>
          <w:lang w:val="zh-CN"/>
        </w:rPr>
        <w:t>（</w:t>
      </w:r>
      <w:r>
        <w:rPr>
          <w:kern w:val="0"/>
          <w:lang w:val="zh-CN"/>
        </w:rPr>
        <w:t>21</w:t>
      </w:r>
      <w:r>
        <w:rPr>
          <w:rFonts w:hint="eastAsia"/>
          <w:kern w:val="0"/>
          <w:lang w:val="zh-CN"/>
        </w:rPr>
        <w:t>） 其它与工程相关的国家、地方和行业现行技术的规范、规程和标准。</w:t>
      </w:r>
    </w:p>
    <w:p>
      <w:pPr>
        <w:pStyle w:val="741"/>
        <w:spacing w:before="120" w:beforeLines="0" w:after="120" w:afterLines="0"/>
        <w:rPr>
          <w:snapToGrid/>
          <w:color w:val="auto"/>
          <w:kern w:val="0"/>
        </w:rPr>
      </w:pPr>
      <w:r>
        <w:rPr>
          <w:rFonts w:hint="eastAsia"/>
          <w:snapToGrid/>
          <w:color w:val="auto"/>
          <w:kern w:val="0"/>
        </w:rPr>
        <w:t>设计范围</w:t>
      </w:r>
    </w:p>
    <w:p>
      <w:pPr>
        <w:ind w:firstLine="480"/>
        <w:rPr>
          <w:kern w:val="0"/>
          <w:lang w:val="zh-CN"/>
        </w:rPr>
      </w:pPr>
      <w:r>
        <w:rPr>
          <w:rFonts w:hint="eastAsia"/>
          <w:kern w:val="0"/>
          <w:lang w:val="zh-CN"/>
        </w:rPr>
        <w:t>本项目为二期改扩建工程，新加的建构筑物有：污泥干化车间、变配电间、高效沉淀池、门卫室、雨污水及工艺管道、厂区道路等。</w:t>
      </w:r>
    </w:p>
    <w:p>
      <w:pPr>
        <w:pStyle w:val="741"/>
        <w:spacing w:before="120" w:beforeLines="0" w:after="120" w:afterLines="0"/>
        <w:rPr>
          <w:snapToGrid/>
          <w:color w:val="auto"/>
          <w:kern w:val="0"/>
        </w:rPr>
      </w:pPr>
      <w:r>
        <w:rPr>
          <w:rFonts w:hint="eastAsia"/>
          <w:snapToGrid/>
          <w:color w:val="auto"/>
          <w:kern w:val="0"/>
        </w:rPr>
        <w:t>设计</w:t>
      </w:r>
      <w:r>
        <w:rPr>
          <w:snapToGrid/>
          <w:color w:val="auto"/>
          <w:kern w:val="0"/>
        </w:rPr>
        <w:t>原则</w:t>
      </w:r>
    </w:p>
    <w:p>
      <w:pPr>
        <w:ind w:firstLine="480"/>
        <w:rPr>
          <w:kern w:val="0"/>
          <w:lang w:val="zh-CN"/>
        </w:rPr>
      </w:pPr>
      <w:r>
        <w:rPr>
          <w:rFonts w:hint="eastAsia"/>
          <w:kern w:val="0"/>
          <w:lang w:val="zh-CN"/>
        </w:rPr>
        <w:t>遵守国家现行标准、规范、规程，在满足工艺要求的前提下，力求做到技术先进、安全可靠、经济合理、环境保护，尽量采用新材料、新技术。在满足国家标准、规范的情况下，结合工程当地实际情况，采用地方标准、规范和习惯做法。</w:t>
      </w:r>
    </w:p>
    <w:p>
      <w:pPr>
        <w:ind w:firstLine="480"/>
        <w:rPr>
          <w:kern w:val="0"/>
          <w:lang w:val="zh-CN"/>
        </w:rPr>
      </w:pPr>
      <w:r>
        <w:rPr>
          <w:rFonts w:hint="eastAsia"/>
          <w:kern w:val="0"/>
          <w:lang w:val="zh-CN"/>
        </w:rPr>
        <w:t>结构设计使用年限为50年。</w:t>
      </w:r>
    </w:p>
    <w:p>
      <w:pPr>
        <w:pStyle w:val="741"/>
        <w:spacing w:before="120" w:beforeLines="0" w:after="120" w:afterLines="0"/>
        <w:rPr>
          <w:snapToGrid/>
          <w:color w:val="auto"/>
          <w:kern w:val="0"/>
        </w:rPr>
      </w:pPr>
      <w:r>
        <w:rPr>
          <w:rFonts w:hint="eastAsia"/>
          <w:snapToGrid/>
          <w:color w:val="auto"/>
          <w:kern w:val="0"/>
        </w:rPr>
        <w:t>结构材料</w:t>
      </w:r>
    </w:p>
    <w:p>
      <w:pPr>
        <w:ind w:firstLine="480"/>
        <w:rPr>
          <w:kern w:val="0"/>
          <w:lang w:val="zh-CN"/>
        </w:rPr>
      </w:pPr>
      <w:r>
        <w:rPr>
          <w:rFonts w:hint="eastAsia"/>
          <w:kern w:val="0"/>
          <w:lang w:val="zh-CN"/>
        </w:rPr>
        <w:t>（1）高效沉淀池：混凝土强度等级C30起，抗渗等级为P6起。其他建(构)筑物:采用普通混凝土，混凝土强度等级为C30起。二次填充硷强度等级为C25，垫层素硷强度等级为C15。</w:t>
      </w:r>
    </w:p>
    <w:p>
      <w:pPr>
        <w:ind w:firstLine="480"/>
        <w:rPr>
          <w:kern w:val="0"/>
          <w:lang w:val="zh-CN"/>
        </w:rPr>
      </w:pPr>
      <w:r>
        <w:rPr>
          <w:rFonts w:hint="eastAsia"/>
          <w:kern w:val="0"/>
          <w:lang w:val="zh-CN"/>
        </w:rPr>
        <w:t>（2）砌体：本工程选用的填充墙体材料的要求详建筑要求，±0.00以上部位则采用MU5砌体，用WM M5的水泥混合砂浆砌筑。当采用加气混凝土砌块时，砌筑砂浆及抹面砂浆尚应满足国家标准《蒸压加气混凝土砌块用砌筑砂浆与抹面砂浆》（JC890-2001）的相关要求。</w:t>
      </w:r>
    </w:p>
    <w:p>
      <w:pPr>
        <w:ind w:firstLine="480"/>
        <w:rPr>
          <w:kern w:val="0"/>
          <w:lang w:val="zh-CN"/>
        </w:rPr>
      </w:pPr>
      <w:r>
        <w:rPr>
          <w:rFonts w:hint="eastAsia"/>
          <w:kern w:val="0"/>
          <w:lang w:val="zh-CN"/>
        </w:rPr>
        <w:t>（3）钢筋：除箍筋、吊钩采用HPB300级钢外，其余均采用HRB400级钢，fy=360Mpa。(采用的普通钢筋应符合抗震性能指标)</w:t>
      </w:r>
    </w:p>
    <w:p>
      <w:pPr>
        <w:ind w:firstLine="480"/>
        <w:rPr>
          <w:kern w:val="0"/>
          <w:lang w:val="zh-CN"/>
        </w:rPr>
      </w:pPr>
      <w:r>
        <w:rPr>
          <w:rFonts w:hint="eastAsia"/>
          <w:kern w:val="0"/>
          <w:lang w:val="zh-CN"/>
        </w:rPr>
        <w:t>（4）钢材及焊条：采用Q235B、Q345钢，焊条采用E43、E50型。</w:t>
      </w:r>
    </w:p>
    <w:p>
      <w:pPr>
        <w:ind w:firstLine="480"/>
        <w:rPr>
          <w:kern w:val="0"/>
          <w:lang w:val="zh-CN"/>
        </w:rPr>
      </w:pPr>
      <w:r>
        <w:rPr>
          <w:rFonts w:hint="eastAsia"/>
          <w:kern w:val="0"/>
          <w:lang w:val="zh-CN"/>
        </w:rPr>
        <w:t>（5）水泥：防水混凝土优先采用不低于42.5R级的硅酸盐水泥；普通混凝土采用不低于42.5R级的普通硅酸盐水泥。</w:t>
      </w:r>
    </w:p>
    <w:p>
      <w:pPr>
        <w:pStyle w:val="740"/>
        <w:spacing w:before="120" w:beforeLines="0" w:after="120" w:afterLines="0"/>
        <w:ind w:firstLine="420"/>
        <w:rPr>
          <w:kern w:val="0"/>
        </w:rPr>
      </w:pPr>
      <w:r>
        <w:rPr>
          <w:rFonts w:hint="eastAsia"/>
          <w:kern w:val="0"/>
        </w:rPr>
        <w:t>电气与自控</w:t>
      </w:r>
      <w:r>
        <w:rPr>
          <w:kern w:val="0"/>
        </w:rPr>
        <w:t>设计</w:t>
      </w:r>
    </w:p>
    <w:p>
      <w:pPr>
        <w:pStyle w:val="741"/>
        <w:spacing w:before="120" w:beforeLines="0" w:after="120" w:afterLines="0"/>
        <w:rPr>
          <w:snapToGrid/>
          <w:color w:val="auto"/>
          <w:kern w:val="0"/>
        </w:rPr>
      </w:pPr>
      <w:r>
        <w:rPr>
          <w:rFonts w:hint="eastAsia"/>
          <w:snapToGrid/>
          <w:color w:val="auto"/>
          <w:kern w:val="0"/>
        </w:rPr>
        <w:t>设计规范依据（包括并不限于）</w:t>
      </w:r>
    </w:p>
    <w:p>
      <w:pPr>
        <w:ind w:firstLine="480"/>
        <w:rPr>
          <w:kern w:val="0"/>
          <w:lang w:val="zh-CN"/>
        </w:rPr>
      </w:pPr>
      <w:r>
        <w:rPr>
          <w:rFonts w:hint="eastAsia"/>
          <w:kern w:val="0"/>
          <w:lang w:val="zh-CN"/>
        </w:rPr>
        <w:t>（1）《供配电系统设计规范》GB 50052—2009</w:t>
      </w:r>
    </w:p>
    <w:p>
      <w:pPr>
        <w:ind w:firstLine="480"/>
        <w:rPr>
          <w:kern w:val="0"/>
          <w:lang w:val="zh-CN"/>
        </w:rPr>
      </w:pPr>
      <w:r>
        <w:rPr>
          <w:rFonts w:hint="eastAsia"/>
          <w:kern w:val="0"/>
          <w:lang w:val="zh-CN"/>
        </w:rPr>
        <w:t>（2）《20kV及以下变电所设计规范》GB 50053-2013</w:t>
      </w:r>
    </w:p>
    <w:p>
      <w:pPr>
        <w:ind w:firstLine="480"/>
        <w:rPr>
          <w:kern w:val="0"/>
          <w:lang w:val="zh-CN"/>
        </w:rPr>
      </w:pPr>
      <w:r>
        <w:rPr>
          <w:rFonts w:hint="eastAsia"/>
          <w:kern w:val="0"/>
          <w:lang w:val="zh-CN"/>
        </w:rPr>
        <w:t>（3）《3~110kV 高压配电装置设计规范》GB 50060—2017</w:t>
      </w:r>
    </w:p>
    <w:p>
      <w:pPr>
        <w:ind w:firstLine="480"/>
        <w:rPr>
          <w:kern w:val="0"/>
          <w:lang w:val="zh-CN"/>
        </w:rPr>
      </w:pPr>
      <w:r>
        <w:rPr>
          <w:rFonts w:hint="eastAsia"/>
          <w:kern w:val="0"/>
          <w:lang w:val="zh-CN"/>
        </w:rPr>
        <w:t>（4）《低压配电设计规范》GB 50054—2011</w:t>
      </w:r>
    </w:p>
    <w:p>
      <w:pPr>
        <w:ind w:firstLine="480"/>
        <w:rPr>
          <w:kern w:val="0"/>
          <w:lang w:val="zh-CN"/>
        </w:rPr>
      </w:pPr>
      <w:r>
        <w:rPr>
          <w:rFonts w:hint="eastAsia"/>
          <w:kern w:val="0"/>
          <w:lang w:val="zh-CN"/>
        </w:rPr>
        <w:t>（5）《民用建筑电气设计规范》GB51348—2019</w:t>
      </w:r>
    </w:p>
    <w:p>
      <w:pPr>
        <w:ind w:firstLine="480"/>
        <w:rPr>
          <w:kern w:val="0"/>
          <w:lang w:val="zh-CN"/>
        </w:rPr>
      </w:pPr>
      <w:r>
        <w:rPr>
          <w:rFonts w:hint="eastAsia"/>
          <w:kern w:val="0"/>
          <w:lang w:val="zh-CN"/>
        </w:rPr>
        <w:t>（6）《电力工程电缆设计标准》GB 50217—2018</w:t>
      </w:r>
    </w:p>
    <w:p>
      <w:pPr>
        <w:ind w:firstLine="480"/>
        <w:rPr>
          <w:kern w:val="0"/>
          <w:lang w:val="zh-CN"/>
        </w:rPr>
      </w:pPr>
      <w:r>
        <w:rPr>
          <w:rFonts w:hint="eastAsia"/>
          <w:kern w:val="0"/>
          <w:lang w:val="zh-CN"/>
        </w:rPr>
        <w:t>（7）《建筑物防雷设计规范》GB 50057—2010</w:t>
      </w:r>
    </w:p>
    <w:p>
      <w:pPr>
        <w:ind w:firstLine="480"/>
        <w:rPr>
          <w:kern w:val="0"/>
          <w:lang w:val="zh-CN"/>
        </w:rPr>
      </w:pPr>
      <w:r>
        <w:rPr>
          <w:rFonts w:hint="eastAsia"/>
          <w:kern w:val="0"/>
          <w:lang w:val="zh-CN"/>
        </w:rPr>
        <w:t>（8）《建筑照明设计标准》GB 50034—2013</w:t>
      </w:r>
    </w:p>
    <w:p>
      <w:pPr>
        <w:ind w:firstLine="480"/>
        <w:rPr>
          <w:kern w:val="0"/>
          <w:lang w:val="zh-CN"/>
        </w:rPr>
      </w:pPr>
      <w:r>
        <w:rPr>
          <w:rFonts w:hint="eastAsia"/>
          <w:kern w:val="0"/>
          <w:lang w:val="zh-CN"/>
        </w:rPr>
        <w:t>（9）《通用用电设备配电设计规范》GB 50055—2011</w:t>
      </w:r>
    </w:p>
    <w:p>
      <w:pPr>
        <w:ind w:firstLine="480"/>
        <w:rPr>
          <w:kern w:val="0"/>
          <w:lang w:val="zh-CN"/>
        </w:rPr>
      </w:pPr>
      <w:r>
        <w:rPr>
          <w:rFonts w:hint="eastAsia"/>
          <w:kern w:val="0"/>
          <w:lang w:val="zh-CN"/>
        </w:rPr>
        <w:t>（10）《泵站设计规范》GB/T 50265-2010</w:t>
      </w:r>
    </w:p>
    <w:p>
      <w:pPr>
        <w:ind w:firstLine="480"/>
        <w:rPr>
          <w:kern w:val="0"/>
          <w:lang w:val="zh-CN"/>
        </w:rPr>
      </w:pPr>
      <w:r>
        <w:rPr>
          <w:rFonts w:hint="eastAsia"/>
          <w:kern w:val="0"/>
          <w:lang w:val="zh-CN"/>
        </w:rPr>
        <w:t>（11）《城镇排水系统电气与自动化工程技术标准》CJJT 120-2018</w:t>
      </w:r>
    </w:p>
    <w:p>
      <w:pPr>
        <w:pStyle w:val="741"/>
        <w:spacing w:before="120" w:beforeLines="0" w:after="120" w:afterLines="0"/>
        <w:rPr>
          <w:snapToGrid/>
          <w:color w:val="auto"/>
          <w:kern w:val="0"/>
        </w:rPr>
      </w:pPr>
      <w:r>
        <w:rPr>
          <w:rFonts w:hint="eastAsia"/>
          <w:snapToGrid/>
          <w:color w:val="auto"/>
          <w:kern w:val="0"/>
        </w:rPr>
        <w:t>污水</w:t>
      </w:r>
      <w:r>
        <w:rPr>
          <w:snapToGrid/>
          <w:color w:val="auto"/>
          <w:kern w:val="0"/>
        </w:rPr>
        <w:t>处理厂内设计范围</w:t>
      </w:r>
    </w:p>
    <w:p>
      <w:pPr>
        <w:ind w:firstLine="480"/>
        <w:rPr>
          <w:kern w:val="0"/>
          <w:lang w:val="zh-CN"/>
        </w:rPr>
      </w:pPr>
      <w:r>
        <w:rPr>
          <w:rFonts w:hint="eastAsia"/>
          <w:kern w:val="0"/>
          <w:lang w:val="zh-CN"/>
        </w:rPr>
        <w:t>（1）10/0.4kV变配电系统及高低压配电设施</w:t>
      </w:r>
    </w:p>
    <w:p>
      <w:pPr>
        <w:ind w:firstLine="480"/>
        <w:rPr>
          <w:kern w:val="0"/>
          <w:lang w:val="zh-CN"/>
        </w:rPr>
      </w:pPr>
      <w:r>
        <w:rPr>
          <w:rFonts w:hint="eastAsia"/>
          <w:kern w:val="0"/>
          <w:lang w:val="zh-CN"/>
        </w:rPr>
        <w:t>（2）各用电设备的配电、控制和保护</w:t>
      </w:r>
    </w:p>
    <w:p>
      <w:pPr>
        <w:ind w:firstLine="480"/>
        <w:rPr>
          <w:kern w:val="0"/>
          <w:lang w:val="zh-CN"/>
        </w:rPr>
      </w:pPr>
      <w:r>
        <w:rPr>
          <w:rFonts w:hint="eastAsia"/>
          <w:kern w:val="0"/>
          <w:lang w:val="zh-CN"/>
        </w:rPr>
        <w:t>（3）电缆敷设设计</w:t>
      </w:r>
    </w:p>
    <w:p>
      <w:pPr>
        <w:ind w:firstLine="480"/>
        <w:rPr>
          <w:kern w:val="0"/>
          <w:lang w:val="zh-CN"/>
        </w:rPr>
      </w:pPr>
      <w:r>
        <w:rPr>
          <w:rFonts w:hint="eastAsia"/>
          <w:kern w:val="0"/>
          <w:lang w:val="zh-CN"/>
        </w:rPr>
        <w:t>（4）新建建构筑物的照明系统及布置</w:t>
      </w:r>
    </w:p>
    <w:p>
      <w:pPr>
        <w:ind w:firstLine="480"/>
        <w:rPr>
          <w:kern w:val="0"/>
          <w:lang w:val="zh-CN"/>
        </w:rPr>
      </w:pPr>
      <w:r>
        <w:rPr>
          <w:rFonts w:hint="eastAsia"/>
          <w:kern w:val="0"/>
          <w:lang w:val="zh-CN"/>
        </w:rPr>
        <w:t>（5）防雷和接地</w:t>
      </w:r>
    </w:p>
    <w:p>
      <w:pPr>
        <w:pStyle w:val="741"/>
        <w:spacing w:before="120" w:beforeLines="0" w:after="120" w:afterLines="0"/>
        <w:rPr>
          <w:snapToGrid/>
          <w:color w:val="auto"/>
          <w:kern w:val="0"/>
        </w:rPr>
      </w:pPr>
      <w:r>
        <w:rPr>
          <w:rFonts w:hint="eastAsia"/>
          <w:snapToGrid/>
          <w:color w:val="auto"/>
          <w:kern w:val="0"/>
        </w:rPr>
        <w:t>电气设计</w:t>
      </w:r>
      <w:r>
        <w:rPr>
          <w:snapToGrid/>
          <w:color w:val="auto"/>
          <w:kern w:val="0"/>
        </w:rPr>
        <w:t>原则</w:t>
      </w:r>
    </w:p>
    <w:p>
      <w:pPr>
        <w:ind w:firstLine="480"/>
        <w:rPr>
          <w:kern w:val="0"/>
          <w:lang w:val="zh-CN"/>
        </w:rPr>
      </w:pPr>
      <w:r>
        <w:rPr>
          <w:rFonts w:hint="eastAsia"/>
          <w:kern w:val="0"/>
          <w:lang w:val="zh-CN"/>
        </w:rPr>
        <w:t>（1）本工程总体负荷等级为二级负荷，考虑双电源供电。</w:t>
      </w:r>
    </w:p>
    <w:p>
      <w:pPr>
        <w:ind w:firstLine="480"/>
        <w:rPr>
          <w:kern w:val="0"/>
          <w:lang w:val="zh-CN"/>
        </w:rPr>
      </w:pPr>
      <w:r>
        <w:rPr>
          <w:rFonts w:hint="eastAsia"/>
          <w:kern w:val="0"/>
          <w:lang w:val="zh-CN"/>
        </w:rPr>
        <w:t>（</w:t>
      </w:r>
      <w:r>
        <w:rPr>
          <w:kern w:val="0"/>
          <w:lang w:val="zh-CN"/>
        </w:rPr>
        <w:t>2</w:t>
      </w:r>
      <w:r>
        <w:rPr>
          <w:rFonts w:hint="eastAsia"/>
          <w:kern w:val="0"/>
          <w:lang w:val="zh-CN"/>
        </w:rPr>
        <w:t>）消防用电设备电缆采用耐火电缆，其余电缆均采用低烟无卤阻燃电缆。</w:t>
      </w:r>
    </w:p>
    <w:p>
      <w:pPr>
        <w:ind w:firstLine="480"/>
        <w:rPr>
          <w:kern w:val="0"/>
          <w:lang w:val="zh-CN"/>
        </w:rPr>
      </w:pPr>
      <w:r>
        <w:rPr>
          <w:rFonts w:hint="eastAsia"/>
          <w:kern w:val="0"/>
          <w:lang w:val="zh-CN"/>
        </w:rPr>
        <w:t>（</w:t>
      </w:r>
      <w:r>
        <w:rPr>
          <w:kern w:val="0"/>
          <w:lang w:val="zh-CN"/>
        </w:rPr>
        <w:t>3</w:t>
      </w:r>
      <w:r>
        <w:rPr>
          <w:rFonts w:hint="eastAsia"/>
          <w:kern w:val="0"/>
          <w:lang w:val="zh-CN"/>
        </w:rPr>
        <w:t>）厂区设应急照明、疏散指示照明。</w:t>
      </w:r>
    </w:p>
    <w:p>
      <w:pPr>
        <w:pStyle w:val="741"/>
        <w:spacing w:before="120" w:beforeLines="0" w:after="120" w:afterLines="0"/>
        <w:rPr>
          <w:snapToGrid/>
          <w:color w:val="auto"/>
          <w:kern w:val="0"/>
        </w:rPr>
      </w:pPr>
      <w:r>
        <w:rPr>
          <w:rFonts w:hint="eastAsia"/>
          <w:snapToGrid/>
          <w:color w:val="auto"/>
          <w:kern w:val="0"/>
        </w:rPr>
        <w:t>变电所设置</w:t>
      </w:r>
      <w:r>
        <w:rPr>
          <w:snapToGrid/>
          <w:color w:val="auto"/>
          <w:kern w:val="0"/>
        </w:rPr>
        <w:t>及</w:t>
      </w:r>
      <w:r>
        <w:rPr>
          <w:rFonts w:hint="eastAsia"/>
          <w:snapToGrid/>
          <w:color w:val="auto"/>
          <w:kern w:val="0"/>
        </w:rPr>
        <w:t>负荷</w:t>
      </w:r>
      <w:r>
        <w:rPr>
          <w:snapToGrid/>
          <w:color w:val="auto"/>
          <w:kern w:val="0"/>
        </w:rPr>
        <w:t>计算</w:t>
      </w:r>
    </w:p>
    <w:p>
      <w:pPr>
        <w:ind w:firstLine="480"/>
        <w:rPr>
          <w:kern w:val="0"/>
          <w:lang w:val="zh-CN"/>
        </w:rPr>
      </w:pPr>
      <w:r>
        <w:rPr>
          <w:rFonts w:hint="eastAsia"/>
          <w:kern w:val="0"/>
          <w:lang w:val="zh-CN"/>
        </w:rPr>
        <w:t>（1）变配电所的设置</w:t>
      </w:r>
    </w:p>
    <w:p>
      <w:pPr>
        <w:ind w:firstLine="480"/>
        <w:rPr>
          <w:kern w:val="0"/>
          <w:lang w:val="zh-CN"/>
        </w:rPr>
      </w:pPr>
      <w:r>
        <w:rPr>
          <w:rFonts w:hint="eastAsia"/>
          <w:kern w:val="0"/>
          <w:lang w:val="zh-CN"/>
        </w:rPr>
        <w:t>根据厂平面布置，本工程新建10/0.4kV变配电所一座，内设高、低压配电室和变压器室。</w:t>
      </w:r>
    </w:p>
    <w:p>
      <w:pPr>
        <w:ind w:firstLine="480"/>
        <w:rPr>
          <w:kern w:val="0"/>
          <w:lang w:val="zh-CN"/>
        </w:rPr>
      </w:pPr>
      <w:r>
        <w:rPr>
          <w:rFonts w:hint="eastAsia"/>
          <w:kern w:val="0"/>
          <w:lang w:val="zh-CN"/>
        </w:rPr>
        <w:t>（2）负荷计算及变压器容量选择</w:t>
      </w:r>
    </w:p>
    <w:p>
      <w:pPr>
        <w:ind w:firstLine="480"/>
        <w:rPr>
          <w:kern w:val="0"/>
          <w:lang w:val="zh-CN"/>
        </w:rPr>
      </w:pPr>
      <w:r>
        <w:rPr>
          <w:rFonts w:hint="eastAsia"/>
          <w:kern w:val="0"/>
          <w:lang w:val="zh-CN"/>
        </w:rPr>
        <w:t>负荷计算采用需要系数计算法和单位面积功率法计算，</w:t>
      </w:r>
    </w:p>
    <w:p>
      <w:pPr>
        <w:ind w:firstLine="480"/>
        <w:rPr>
          <w:kern w:val="0"/>
          <w:lang w:val="zh-CN"/>
        </w:rPr>
      </w:pPr>
      <w:r>
        <w:rPr>
          <w:rFonts w:hint="eastAsia"/>
          <w:kern w:val="0"/>
          <w:lang w:val="zh-CN"/>
        </w:rPr>
        <w:t>总设备装机容量约为2070kW，工作容量约</w:t>
      </w:r>
      <w:r>
        <w:rPr>
          <w:kern w:val="0"/>
          <w:lang w:val="zh-CN"/>
        </w:rPr>
        <w:t>1880</w:t>
      </w:r>
      <w:r>
        <w:rPr>
          <w:rFonts w:hint="eastAsia"/>
          <w:kern w:val="0"/>
          <w:lang w:val="zh-CN"/>
        </w:rPr>
        <w:t>kW，计算容量约为15</w:t>
      </w:r>
      <w:r>
        <w:rPr>
          <w:kern w:val="0"/>
          <w:lang w:val="zh-CN"/>
        </w:rPr>
        <w:t>10</w:t>
      </w:r>
      <w:r>
        <w:rPr>
          <w:rFonts w:hint="eastAsia"/>
          <w:kern w:val="0"/>
          <w:lang w:val="zh-CN"/>
        </w:rPr>
        <w:t>kVA。</w:t>
      </w:r>
    </w:p>
    <w:p>
      <w:pPr>
        <w:pStyle w:val="741"/>
        <w:spacing w:before="120" w:beforeLines="0" w:after="120" w:afterLines="0"/>
        <w:rPr>
          <w:snapToGrid/>
          <w:color w:val="auto"/>
          <w:kern w:val="0"/>
        </w:rPr>
      </w:pPr>
      <w:r>
        <w:rPr>
          <w:rFonts w:hint="eastAsia"/>
          <w:snapToGrid/>
          <w:color w:val="auto"/>
          <w:kern w:val="0"/>
        </w:rPr>
        <w:t>变配电系统</w:t>
      </w:r>
    </w:p>
    <w:p>
      <w:pPr>
        <w:ind w:firstLine="480"/>
        <w:rPr>
          <w:kern w:val="0"/>
          <w:lang w:val="zh-CN"/>
        </w:rPr>
      </w:pPr>
      <w:r>
        <w:rPr>
          <w:rFonts w:hint="eastAsia"/>
          <w:kern w:val="0"/>
          <w:lang w:val="zh-CN"/>
        </w:rPr>
        <w:t>（1）本工程电气设备的负荷等级为二级负荷。</w:t>
      </w:r>
    </w:p>
    <w:p>
      <w:pPr>
        <w:ind w:firstLine="480"/>
        <w:rPr>
          <w:kern w:val="0"/>
          <w:lang w:val="zh-CN"/>
        </w:rPr>
      </w:pPr>
      <w:r>
        <w:rPr>
          <w:rFonts w:hint="eastAsia"/>
          <w:kern w:val="0"/>
          <w:lang w:val="zh-CN"/>
        </w:rPr>
        <w:t>（2）变电所0.4kV侧设置电力电容器集中自动补偿装置，补偿后功率因数达到0.90以上。</w:t>
      </w:r>
    </w:p>
    <w:p>
      <w:pPr>
        <w:pStyle w:val="741"/>
        <w:spacing w:before="120" w:beforeLines="0" w:after="120" w:afterLines="0"/>
        <w:rPr>
          <w:snapToGrid/>
          <w:color w:val="auto"/>
          <w:kern w:val="0"/>
        </w:rPr>
      </w:pPr>
      <w:r>
        <w:rPr>
          <w:rFonts w:hint="eastAsia"/>
          <w:snapToGrid/>
          <w:color w:val="auto"/>
          <w:kern w:val="0"/>
        </w:rPr>
        <w:t>照明</w:t>
      </w:r>
    </w:p>
    <w:p>
      <w:pPr>
        <w:ind w:firstLine="480"/>
        <w:rPr>
          <w:kern w:val="0"/>
          <w:lang w:val="zh-CN"/>
        </w:rPr>
      </w:pPr>
      <w:r>
        <w:rPr>
          <w:rFonts w:hint="eastAsia"/>
          <w:kern w:val="0"/>
          <w:lang w:val="zh-CN"/>
        </w:rPr>
        <w:t>室内照明以高效照明光源LED灯为主，车间内采用广照型防水防尘灯，中控室、配电室等重要场所设备用照明灯具。</w:t>
      </w:r>
    </w:p>
    <w:p>
      <w:pPr>
        <w:ind w:firstLine="480"/>
        <w:rPr>
          <w:kern w:val="0"/>
          <w:lang w:val="zh-CN"/>
        </w:rPr>
      </w:pPr>
      <w:r>
        <w:rPr>
          <w:rFonts w:hint="eastAsia"/>
          <w:kern w:val="0"/>
          <w:lang w:val="zh-CN"/>
        </w:rPr>
        <w:t>厂区地面照明采用3</w:t>
      </w:r>
      <w:r>
        <w:rPr>
          <w:kern w:val="0"/>
          <w:lang w:val="zh-CN"/>
        </w:rPr>
        <w:t>.5</w:t>
      </w:r>
      <w:r>
        <w:rPr>
          <w:rFonts w:hint="eastAsia"/>
          <w:kern w:val="0"/>
          <w:lang w:val="zh-CN"/>
        </w:rPr>
        <w:t>m高庭院灯，并采用照明控制方式实现节能，照明控制采用智能型、集中控制方式。</w:t>
      </w:r>
    </w:p>
    <w:p>
      <w:pPr>
        <w:pStyle w:val="741"/>
        <w:spacing w:before="120" w:beforeLines="0" w:after="120" w:afterLines="0"/>
        <w:rPr>
          <w:snapToGrid/>
          <w:color w:val="auto"/>
          <w:kern w:val="0"/>
        </w:rPr>
      </w:pPr>
      <w:r>
        <w:rPr>
          <w:rFonts w:hint="eastAsia"/>
          <w:snapToGrid/>
          <w:color w:val="auto"/>
          <w:kern w:val="0"/>
        </w:rPr>
        <w:t>主要电气</w:t>
      </w:r>
      <w:r>
        <w:rPr>
          <w:snapToGrid/>
          <w:color w:val="auto"/>
          <w:kern w:val="0"/>
        </w:rPr>
        <w:t>设备选择</w:t>
      </w:r>
    </w:p>
    <w:p>
      <w:pPr>
        <w:ind w:firstLine="480"/>
        <w:rPr>
          <w:kern w:val="0"/>
          <w:lang w:val="zh-CN"/>
        </w:rPr>
      </w:pPr>
      <w:r>
        <w:rPr>
          <w:rFonts w:hint="eastAsia"/>
          <w:kern w:val="0"/>
          <w:lang w:val="zh-CN"/>
        </w:rPr>
        <w:t>电气设备选择充分考虑污水处理厂的环境，应采用防腐蚀、性能稳定、安全可靠、经济合理、技术先进、结构新颖的优质产品，达到当代国内先进水平，同时满足经济上的合理性，体现现代化污水处理厂的特点，以保证污水处理厂安全生产。</w:t>
      </w:r>
    </w:p>
    <w:p>
      <w:pPr>
        <w:ind w:firstLine="482"/>
        <w:rPr>
          <w:b/>
          <w:bCs/>
          <w:kern w:val="0"/>
          <w:lang w:val="zh-CN"/>
        </w:rPr>
      </w:pPr>
      <w:r>
        <w:rPr>
          <w:rFonts w:hint="eastAsia"/>
          <w:b/>
          <w:bCs/>
          <w:kern w:val="0"/>
          <w:lang w:val="zh-CN"/>
        </w:rPr>
        <w:t>（1）低压开关柜</w:t>
      </w:r>
    </w:p>
    <w:p>
      <w:pPr>
        <w:ind w:firstLine="480"/>
        <w:rPr>
          <w:kern w:val="0"/>
          <w:lang w:val="zh-CN"/>
        </w:rPr>
      </w:pPr>
      <w:r>
        <w:rPr>
          <w:rFonts w:hint="eastAsia"/>
          <w:kern w:val="0"/>
          <w:lang w:val="zh-CN"/>
        </w:rPr>
        <w:t>低压开关柜采用结构新颖的组合式抽屉式开关柜，产品技术性能符合IEC439等标准。</w:t>
      </w:r>
    </w:p>
    <w:p>
      <w:pPr>
        <w:ind w:firstLine="480"/>
        <w:rPr>
          <w:kern w:val="0"/>
          <w:lang w:val="zh-CN"/>
        </w:rPr>
      </w:pPr>
      <w:r>
        <w:rPr>
          <w:rFonts w:hint="eastAsia"/>
          <w:kern w:val="0"/>
          <w:lang w:val="zh-CN"/>
        </w:rPr>
        <w:t>总进线开关柜均设综合电量测量装置，通过通讯口将进线电流、电压、有功/无功功率、有功/无功电度、功率因数和频率等数据上传至PLC系统。</w:t>
      </w:r>
    </w:p>
    <w:p>
      <w:pPr>
        <w:ind w:firstLine="482"/>
        <w:rPr>
          <w:b/>
          <w:bCs/>
          <w:kern w:val="0"/>
          <w:lang w:val="zh-CN"/>
        </w:rPr>
      </w:pPr>
      <w:r>
        <w:rPr>
          <w:rFonts w:hint="eastAsia"/>
          <w:b/>
          <w:bCs/>
          <w:kern w:val="0"/>
          <w:lang w:val="zh-CN"/>
        </w:rPr>
        <w:t>（2）电力变压器</w:t>
      </w:r>
    </w:p>
    <w:p>
      <w:pPr>
        <w:ind w:firstLine="480"/>
        <w:rPr>
          <w:kern w:val="0"/>
          <w:lang w:val="zh-CN"/>
        </w:rPr>
      </w:pPr>
      <w:r>
        <w:rPr>
          <w:rFonts w:hint="eastAsia"/>
          <w:kern w:val="0"/>
          <w:lang w:val="zh-CN"/>
        </w:rPr>
        <w:t>10/0.4KV变压器宜采用SCB13低损耗环氧树脂绝缘干式变压器。</w:t>
      </w:r>
    </w:p>
    <w:p>
      <w:pPr>
        <w:ind w:firstLine="482"/>
        <w:rPr>
          <w:b/>
          <w:bCs/>
          <w:kern w:val="0"/>
          <w:lang w:val="zh-CN"/>
        </w:rPr>
      </w:pPr>
      <w:r>
        <w:rPr>
          <w:rFonts w:hint="eastAsia"/>
          <w:b/>
          <w:bCs/>
          <w:kern w:val="0"/>
          <w:lang w:val="zh-CN"/>
        </w:rPr>
        <w:t>（3）控制箱</w:t>
      </w:r>
    </w:p>
    <w:p>
      <w:pPr>
        <w:ind w:firstLine="480"/>
        <w:rPr>
          <w:kern w:val="0"/>
          <w:lang w:val="zh-CN"/>
        </w:rPr>
      </w:pPr>
      <w:r>
        <w:rPr>
          <w:rFonts w:hint="eastAsia"/>
          <w:kern w:val="0"/>
          <w:lang w:val="zh-CN"/>
        </w:rPr>
        <w:t>设备控制箱、按钮箱、接线盒等宜采用不锈钢箱体，防护等级IP54。</w:t>
      </w:r>
    </w:p>
    <w:p>
      <w:pPr>
        <w:pStyle w:val="741"/>
        <w:spacing w:before="120" w:beforeLines="0" w:after="120" w:afterLines="0"/>
        <w:rPr>
          <w:snapToGrid/>
          <w:color w:val="auto"/>
          <w:kern w:val="0"/>
        </w:rPr>
      </w:pPr>
      <w:r>
        <w:rPr>
          <w:rFonts w:hint="eastAsia"/>
          <w:snapToGrid/>
          <w:color w:val="auto"/>
          <w:kern w:val="0"/>
        </w:rPr>
        <w:t>电缆</w:t>
      </w:r>
      <w:r>
        <w:rPr>
          <w:snapToGrid/>
          <w:color w:val="auto"/>
          <w:kern w:val="0"/>
        </w:rPr>
        <w:t>敷设</w:t>
      </w:r>
    </w:p>
    <w:p>
      <w:pPr>
        <w:ind w:firstLine="480"/>
        <w:rPr>
          <w:kern w:val="0"/>
          <w:lang w:val="zh-CN"/>
        </w:rPr>
      </w:pPr>
      <w:r>
        <w:rPr>
          <w:rFonts w:hint="eastAsia"/>
          <w:kern w:val="0"/>
          <w:lang w:val="zh-CN"/>
        </w:rPr>
        <w:t>电缆按设备容量额定电流，并依据配电距离的长短、电缆敷设方式选择电缆截面。厂区10kV和0.4kV选用阻燃铜芯交联聚乙烯电缆。并按照电缆使用环境确定敷设方法。</w:t>
      </w:r>
    </w:p>
    <w:p>
      <w:pPr>
        <w:pStyle w:val="741"/>
        <w:spacing w:before="120" w:beforeLines="0" w:after="120" w:afterLines="0"/>
        <w:rPr>
          <w:snapToGrid/>
          <w:color w:val="auto"/>
          <w:kern w:val="0"/>
        </w:rPr>
      </w:pPr>
      <w:r>
        <w:rPr>
          <w:rFonts w:hint="eastAsia"/>
          <w:snapToGrid/>
          <w:color w:val="auto"/>
          <w:kern w:val="0"/>
        </w:rPr>
        <w:t>电气计量</w:t>
      </w:r>
    </w:p>
    <w:p>
      <w:pPr>
        <w:ind w:firstLine="480"/>
        <w:rPr>
          <w:kern w:val="0"/>
          <w:lang w:val="zh-CN"/>
        </w:rPr>
      </w:pPr>
      <w:r>
        <w:rPr>
          <w:rFonts w:hint="eastAsia"/>
          <w:kern w:val="0"/>
          <w:lang w:val="zh-CN"/>
        </w:rPr>
        <w:t>本工程计量采用高供高计，计量表计安装在变配电所的专用计量屏内。</w:t>
      </w:r>
    </w:p>
    <w:p>
      <w:pPr>
        <w:pStyle w:val="741"/>
        <w:spacing w:before="120" w:beforeLines="0" w:after="120" w:afterLines="0"/>
        <w:rPr>
          <w:snapToGrid/>
          <w:color w:val="auto"/>
          <w:kern w:val="0"/>
        </w:rPr>
      </w:pPr>
      <w:r>
        <w:rPr>
          <w:rFonts w:hint="eastAsia"/>
          <w:snapToGrid/>
          <w:color w:val="auto"/>
          <w:kern w:val="0"/>
        </w:rPr>
        <w:t>接地与防雷</w:t>
      </w:r>
    </w:p>
    <w:p>
      <w:pPr>
        <w:ind w:firstLine="480"/>
        <w:rPr>
          <w:kern w:val="0"/>
          <w:lang w:val="zh-CN"/>
        </w:rPr>
      </w:pPr>
      <w:r>
        <w:rPr>
          <w:rFonts w:hint="eastAsia"/>
          <w:kern w:val="0"/>
          <w:lang w:val="zh-CN"/>
        </w:rPr>
        <w:t>根据国家法律及相关规范要求进行防雷接地设计。</w:t>
      </w:r>
    </w:p>
    <w:p>
      <w:pPr>
        <w:pStyle w:val="741"/>
        <w:spacing w:before="120" w:beforeLines="0" w:after="120" w:afterLines="0"/>
        <w:rPr>
          <w:snapToGrid/>
          <w:color w:val="auto"/>
          <w:kern w:val="0"/>
        </w:rPr>
      </w:pPr>
      <w:r>
        <w:rPr>
          <w:rFonts w:hint="eastAsia"/>
          <w:snapToGrid/>
          <w:color w:val="auto"/>
          <w:kern w:val="0"/>
        </w:rPr>
        <w:t>自控控制</w:t>
      </w:r>
    </w:p>
    <w:p>
      <w:pPr>
        <w:ind w:firstLine="480"/>
        <w:rPr>
          <w:kern w:val="0"/>
          <w:lang w:val="zh-CN"/>
        </w:rPr>
      </w:pPr>
      <w:r>
        <w:rPr>
          <w:rFonts w:hint="eastAsia"/>
          <w:kern w:val="0"/>
          <w:lang w:val="zh-CN"/>
        </w:rPr>
        <w:t>九龙水质净化二厂已建自动控制系统，现状自动控制系统包括1个中央控制室、现场控制站，组成集中管理、分散控制的集散型控制系统,各现场控制站通过以太网光纤环网与中央控制室通讯。中央控制室为中央监控级，现场控制站为现场控制级，位于现场的在线检测仪表和现场执行设备组成检测执行级。现状中央控制室设置1台监控计算机及其它附属设备。</w:t>
      </w:r>
    </w:p>
    <w:p>
      <w:pPr>
        <w:ind w:firstLine="480"/>
        <w:rPr>
          <w:kern w:val="0"/>
          <w:lang w:val="zh-CN"/>
        </w:rPr>
      </w:pPr>
      <w:r>
        <w:rPr>
          <w:rFonts w:hint="eastAsia"/>
          <w:kern w:val="0"/>
          <w:lang w:val="zh-CN"/>
        </w:rPr>
        <w:t>本次二期工程新增生产线需接入原控制系统中。</w:t>
      </w:r>
    </w:p>
    <w:p>
      <w:pPr>
        <w:pStyle w:val="740"/>
        <w:spacing w:before="120" w:beforeLines="0" w:after="120" w:afterLines="0"/>
        <w:ind w:firstLine="420"/>
        <w:rPr>
          <w:kern w:val="0"/>
        </w:rPr>
      </w:pPr>
      <w:r>
        <w:rPr>
          <w:rFonts w:hint="eastAsia"/>
          <w:kern w:val="0"/>
        </w:rPr>
        <w:t>消防</w:t>
      </w:r>
      <w:r>
        <w:rPr>
          <w:kern w:val="0"/>
        </w:rPr>
        <w:t>设计</w:t>
      </w:r>
    </w:p>
    <w:p>
      <w:pPr>
        <w:pStyle w:val="741"/>
        <w:spacing w:before="120" w:beforeLines="0" w:after="120" w:afterLines="0"/>
        <w:rPr>
          <w:snapToGrid/>
          <w:color w:val="auto"/>
          <w:kern w:val="0"/>
        </w:rPr>
      </w:pPr>
      <w:r>
        <w:rPr>
          <w:rFonts w:hint="eastAsia"/>
          <w:snapToGrid/>
          <w:color w:val="auto"/>
          <w:kern w:val="0"/>
        </w:rPr>
        <w:t>设计标准</w:t>
      </w:r>
    </w:p>
    <w:p>
      <w:pPr>
        <w:ind w:firstLine="480"/>
        <w:rPr>
          <w:kern w:val="0"/>
          <w:lang w:val="zh-CN"/>
        </w:rPr>
      </w:pPr>
      <w:r>
        <w:rPr>
          <w:rFonts w:hint="eastAsia"/>
          <w:kern w:val="0"/>
          <w:lang w:val="zh-CN"/>
        </w:rPr>
        <w:t>应按现行国家相关消防规范执行。</w:t>
      </w:r>
    </w:p>
    <w:p>
      <w:pPr>
        <w:pStyle w:val="741"/>
        <w:spacing w:before="120" w:beforeLines="0" w:after="120" w:afterLines="0"/>
        <w:rPr>
          <w:snapToGrid/>
          <w:color w:val="auto"/>
          <w:kern w:val="0"/>
        </w:rPr>
      </w:pPr>
      <w:r>
        <w:rPr>
          <w:rFonts w:hint="eastAsia"/>
          <w:snapToGrid/>
          <w:color w:val="auto"/>
          <w:kern w:val="0"/>
        </w:rPr>
        <w:t>给排水防火设计</w:t>
      </w:r>
    </w:p>
    <w:p>
      <w:pPr>
        <w:ind w:firstLine="480"/>
        <w:rPr>
          <w:kern w:val="0"/>
          <w:lang w:val="zh-CN"/>
        </w:rPr>
      </w:pPr>
      <w:r>
        <w:rPr>
          <w:rFonts w:hint="eastAsia"/>
          <w:kern w:val="0"/>
          <w:lang w:val="zh-CN"/>
        </w:rPr>
        <w:t>厂区已有室外消火栓系统，本次设计部分总图道路新建，需对消火栓系统进行复核，按国家相关规定增加室外消火栓。</w:t>
      </w:r>
    </w:p>
    <w:p>
      <w:pPr>
        <w:pStyle w:val="741"/>
        <w:spacing w:before="120" w:beforeLines="0" w:after="120" w:afterLines="0"/>
        <w:rPr>
          <w:snapToGrid/>
          <w:color w:val="auto"/>
          <w:kern w:val="0"/>
        </w:rPr>
      </w:pPr>
      <w:r>
        <w:rPr>
          <w:rFonts w:hint="eastAsia"/>
          <w:snapToGrid/>
          <w:color w:val="auto"/>
          <w:kern w:val="0"/>
        </w:rPr>
        <w:t>建筑防火设计</w:t>
      </w:r>
    </w:p>
    <w:p>
      <w:pPr>
        <w:ind w:firstLine="480"/>
        <w:rPr>
          <w:kern w:val="0"/>
          <w:lang w:val="zh-CN"/>
        </w:rPr>
      </w:pPr>
      <w:r>
        <w:rPr>
          <w:rFonts w:hint="eastAsia"/>
          <w:kern w:val="0"/>
          <w:lang w:val="zh-CN"/>
        </w:rPr>
        <w:t>新建建构筑物周边设有厂区环形消防路，建筑平面布置、层数、长度、占地面积、安全疏散、出入口需满足《建筑设计防火规范》（GB50016-2014（2018年版））的规定。</w:t>
      </w:r>
    </w:p>
    <w:p>
      <w:pPr>
        <w:ind w:firstLine="480"/>
        <w:rPr>
          <w:kern w:val="0"/>
          <w:lang w:val="zh-CN"/>
        </w:rPr>
      </w:pPr>
      <w:r>
        <w:rPr>
          <w:rFonts w:hint="eastAsia"/>
          <w:kern w:val="0"/>
          <w:lang w:val="zh-CN"/>
        </w:rPr>
        <w:t>建筑室内装修材料需采用难燃和不燃材料，符合《建筑装修设计防火规范》（GB50222-2017）规范要求。</w:t>
      </w:r>
    </w:p>
    <w:p>
      <w:pPr>
        <w:pStyle w:val="741"/>
        <w:spacing w:before="120" w:beforeLines="0" w:after="120" w:afterLines="0"/>
        <w:rPr>
          <w:snapToGrid/>
          <w:color w:val="auto"/>
          <w:kern w:val="0"/>
        </w:rPr>
      </w:pPr>
      <w:r>
        <w:rPr>
          <w:rFonts w:hint="eastAsia"/>
          <w:snapToGrid/>
          <w:color w:val="auto"/>
          <w:kern w:val="0"/>
        </w:rPr>
        <w:t>电气防火设计</w:t>
      </w:r>
    </w:p>
    <w:p>
      <w:pPr>
        <w:ind w:firstLine="480"/>
        <w:rPr>
          <w:kern w:val="0"/>
          <w:lang w:val="zh-CN"/>
        </w:rPr>
      </w:pPr>
      <w:r>
        <w:rPr>
          <w:rFonts w:hint="eastAsia"/>
          <w:kern w:val="0"/>
          <w:lang w:val="zh-CN"/>
        </w:rPr>
        <w:t>本工程消防设施采用双回路电源供电，其配电线采用非延燃电缆，明敷时置于桥架内或埋地敷设，以保证消防用电的可靠性。</w:t>
      </w:r>
    </w:p>
    <w:p>
      <w:pPr>
        <w:ind w:firstLine="480"/>
        <w:rPr>
          <w:kern w:val="0"/>
          <w:lang w:val="zh-CN"/>
        </w:rPr>
      </w:pPr>
      <w:r>
        <w:rPr>
          <w:rFonts w:hint="eastAsia"/>
          <w:kern w:val="0"/>
          <w:lang w:val="zh-CN"/>
        </w:rPr>
        <w:t>消防水可在车间内任意一个消防箱处控制，从而及时扑救火灾。</w:t>
      </w:r>
    </w:p>
    <w:p>
      <w:pPr>
        <w:ind w:firstLine="480"/>
        <w:rPr>
          <w:kern w:val="0"/>
          <w:lang w:val="zh-CN"/>
        </w:rPr>
      </w:pPr>
      <w:r>
        <w:rPr>
          <w:rFonts w:hint="eastAsia"/>
          <w:kern w:val="0"/>
          <w:lang w:val="zh-CN"/>
        </w:rPr>
        <w:t>建、构筑物的设计均根据其不同的防雷级别按防雷规范设置相应的避雷装置，防止雷击引起的火灾。</w:t>
      </w:r>
    </w:p>
    <w:p>
      <w:pPr>
        <w:ind w:firstLine="480"/>
        <w:rPr>
          <w:kern w:val="0"/>
          <w:lang w:val="zh-CN"/>
        </w:rPr>
      </w:pPr>
      <w:r>
        <w:rPr>
          <w:rFonts w:hint="eastAsia"/>
          <w:kern w:val="0"/>
          <w:lang w:val="zh-CN"/>
        </w:rPr>
        <w:t>在爆炸和火灾危险场所严格按照环境的危险类别或区域配置相应的防爆型电器设备和灯具，避免电气火花引起的火灾，消防电缆采用耐火性电缆。</w:t>
      </w:r>
    </w:p>
    <w:p>
      <w:pPr>
        <w:pStyle w:val="740"/>
        <w:spacing w:before="120" w:beforeLines="0" w:after="120" w:afterLines="0"/>
        <w:ind w:firstLine="420"/>
        <w:rPr>
          <w:kern w:val="0"/>
        </w:rPr>
      </w:pPr>
      <w:r>
        <w:rPr>
          <w:rFonts w:hint="eastAsia"/>
          <w:kern w:val="0"/>
        </w:rPr>
        <w:t>海绵城市</w:t>
      </w:r>
      <w:r>
        <w:rPr>
          <w:kern w:val="0"/>
        </w:rPr>
        <w:t>设计</w:t>
      </w:r>
    </w:p>
    <w:p>
      <w:pPr>
        <w:pStyle w:val="741"/>
        <w:spacing w:before="120" w:beforeLines="0" w:after="120" w:afterLines="0"/>
        <w:rPr>
          <w:snapToGrid/>
          <w:color w:val="auto"/>
          <w:kern w:val="0"/>
        </w:rPr>
      </w:pPr>
      <w:r>
        <w:rPr>
          <w:rFonts w:hint="eastAsia"/>
          <w:snapToGrid/>
          <w:color w:val="auto"/>
          <w:kern w:val="0"/>
        </w:rPr>
        <w:t>设计</w:t>
      </w:r>
      <w:r>
        <w:rPr>
          <w:snapToGrid/>
          <w:color w:val="auto"/>
          <w:kern w:val="0"/>
        </w:rPr>
        <w:t>依据</w:t>
      </w:r>
      <w:r>
        <w:rPr>
          <w:rFonts w:hint="eastAsia"/>
          <w:snapToGrid/>
          <w:color w:val="auto"/>
          <w:kern w:val="0"/>
        </w:rPr>
        <w:t>（包括并不限于）</w:t>
      </w:r>
    </w:p>
    <w:p>
      <w:pPr>
        <w:ind w:firstLine="480"/>
        <w:rPr>
          <w:kern w:val="0"/>
          <w:lang w:val="zh-CN"/>
        </w:rPr>
      </w:pPr>
      <w:r>
        <w:rPr>
          <w:rFonts w:hint="eastAsia"/>
          <w:kern w:val="0"/>
          <w:lang w:val="zh-CN"/>
        </w:rPr>
        <w:t>（1）</w:t>
      </w:r>
      <w:r>
        <w:rPr>
          <w:rFonts w:hint="eastAsia"/>
          <w:kern w:val="0"/>
          <w:lang w:val="zh-CN"/>
        </w:rPr>
        <w:tab/>
      </w:r>
      <w:r>
        <w:rPr>
          <w:rFonts w:hint="eastAsia"/>
          <w:kern w:val="0"/>
          <w:lang w:val="zh-CN"/>
        </w:rPr>
        <w:t>《室外排水设计标准》</w:t>
      </w:r>
      <w:r>
        <w:rPr>
          <w:rFonts w:hint="eastAsia"/>
          <w:kern w:val="0"/>
          <w:lang w:val="zh-CN"/>
        </w:rPr>
        <w:tab/>
      </w:r>
      <w:r>
        <w:rPr>
          <w:rFonts w:hint="eastAsia"/>
          <w:kern w:val="0"/>
          <w:lang w:val="zh-CN"/>
        </w:rPr>
        <w:t>（GB50014-2021）</w:t>
      </w:r>
    </w:p>
    <w:p>
      <w:pPr>
        <w:ind w:firstLine="480"/>
        <w:rPr>
          <w:kern w:val="0"/>
          <w:lang w:val="zh-CN"/>
        </w:rPr>
      </w:pPr>
      <w:r>
        <w:rPr>
          <w:rFonts w:hint="eastAsia"/>
          <w:kern w:val="0"/>
          <w:lang w:val="zh-CN"/>
        </w:rPr>
        <w:t>（2）</w:t>
      </w:r>
      <w:r>
        <w:rPr>
          <w:rFonts w:hint="eastAsia"/>
          <w:kern w:val="0"/>
          <w:lang w:val="zh-CN"/>
        </w:rPr>
        <w:tab/>
      </w:r>
      <w:r>
        <w:rPr>
          <w:rFonts w:hint="eastAsia"/>
          <w:kern w:val="0"/>
          <w:lang w:val="zh-CN"/>
        </w:rPr>
        <w:t>《广州市海绵城市建设指标体系》（试行）</w:t>
      </w:r>
    </w:p>
    <w:p>
      <w:pPr>
        <w:ind w:firstLine="480"/>
        <w:rPr>
          <w:kern w:val="0"/>
          <w:lang w:val="zh-CN"/>
        </w:rPr>
      </w:pPr>
      <w:r>
        <w:rPr>
          <w:rFonts w:hint="eastAsia"/>
          <w:kern w:val="0"/>
          <w:lang w:val="zh-CN"/>
        </w:rPr>
        <w:t>（3）</w:t>
      </w:r>
      <w:r>
        <w:rPr>
          <w:rFonts w:hint="eastAsia"/>
          <w:kern w:val="0"/>
          <w:lang w:val="zh-CN"/>
        </w:rPr>
        <w:tab/>
      </w:r>
      <w:r>
        <w:rPr>
          <w:rFonts w:hint="eastAsia"/>
          <w:kern w:val="0"/>
          <w:lang w:val="zh-CN"/>
        </w:rPr>
        <w:t>《黄埔区给排水系统专项规划（2019-2035）说明书》（2021.11）</w:t>
      </w:r>
    </w:p>
    <w:p>
      <w:pPr>
        <w:ind w:firstLine="480"/>
        <w:rPr>
          <w:kern w:val="0"/>
          <w:lang w:val="zh-CN"/>
        </w:rPr>
      </w:pPr>
      <w:r>
        <w:rPr>
          <w:rFonts w:hint="eastAsia"/>
          <w:kern w:val="0"/>
          <w:lang w:val="zh-CN"/>
        </w:rPr>
        <w:t>（4）</w:t>
      </w:r>
      <w:r>
        <w:rPr>
          <w:rFonts w:hint="eastAsia"/>
          <w:kern w:val="0"/>
          <w:lang w:val="zh-CN"/>
        </w:rPr>
        <w:tab/>
      </w:r>
      <w:r>
        <w:rPr>
          <w:rFonts w:hint="eastAsia"/>
          <w:kern w:val="0"/>
          <w:lang w:val="zh-CN"/>
        </w:rPr>
        <w:t>《城镇雨水调蓄工程技术规范》（GB51174-2017）</w:t>
      </w:r>
    </w:p>
    <w:p>
      <w:pPr>
        <w:ind w:firstLine="480"/>
        <w:rPr>
          <w:kern w:val="0"/>
          <w:lang w:val="zh-CN"/>
        </w:rPr>
      </w:pPr>
      <w:r>
        <w:rPr>
          <w:rFonts w:hint="eastAsia"/>
          <w:kern w:val="0"/>
          <w:lang w:val="zh-CN"/>
        </w:rPr>
        <w:t>（5）</w:t>
      </w:r>
      <w:r>
        <w:rPr>
          <w:rFonts w:hint="eastAsia"/>
          <w:kern w:val="0"/>
          <w:lang w:val="zh-CN"/>
        </w:rPr>
        <w:tab/>
      </w:r>
      <w:r>
        <w:rPr>
          <w:rFonts w:hint="eastAsia"/>
          <w:kern w:val="0"/>
          <w:lang w:val="zh-CN"/>
        </w:rPr>
        <w:t>《海绵城市建设技术指南-低影响开发雨水系统构建》（2014-10）</w:t>
      </w:r>
    </w:p>
    <w:p>
      <w:pPr>
        <w:ind w:firstLine="480"/>
        <w:rPr>
          <w:kern w:val="0"/>
          <w:lang w:val="zh-CN"/>
        </w:rPr>
      </w:pPr>
      <w:r>
        <w:rPr>
          <w:rFonts w:hint="eastAsia"/>
          <w:kern w:val="0"/>
          <w:lang w:val="zh-CN"/>
        </w:rPr>
        <w:t>（6）</w:t>
      </w:r>
      <w:r>
        <w:rPr>
          <w:rFonts w:hint="eastAsia"/>
          <w:kern w:val="0"/>
          <w:lang w:val="zh-CN"/>
        </w:rPr>
        <w:tab/>
      </w:r>
      <w:r>
        <w:rPr>
          <w:rFonts w:hint="eastAsia"/>
          <w:kern w:val="0"/>
          <w:lang w:val="zh-CN"/>
        </w:rPr>
        <w:t>《透水水泥混凝土路面技术规程》（CJJ/T135-2009）</w:t>
      </w:r>
    </w:p>
    <w:p>
      <w:pPr>
        <w:ind w:firstLine="480"/>
        <w:rPr>
          <w:kern w:val="0"/>
          <w:lang w:val="zh-CN"/>
        </w:rPr>
      </w:pPr>
      <w:r>
        <w:rPr>
          <w:rFonts w:hint="eastAsia"/>
          <w:kern w:val="0"/>
          <w:lang w:val="zh-CN"/>
        </w:rPr>
        <w:t>（7）</w:t>
      </w:r>
      <w:r>
        <w:rPr>
          <w:rFonts w:hint="eastAsia"/>
          <w:kern w:val="0"/>
          <w:lang w:val="zh-CN"/>
        </w:rPr>
        <w:tab/>
      </w:r>
      <w:r>
        <w:rPr>
          <w:rFonts w:hint="eastAsia"/>
          <w:kern w:val="0"/>
          <w:lang w:val="zh-CN"/>
        </w:rPr>
        <w:t>《种植屋面工程技术规程》（JGJ155-2013）</w:t>
      </w:r>
    </w:p>
    <w:p>
      <w:pPr>
        <w:ind w:firstLine="480"/>
        <w:rPr>
          <w:kern w:val="0"/>
          <w:lang w:val="zh-CN"/>
        </w:rPr>
      </w:pPr>
      <w:r>
        <w:rPr>
          <w:rFonts w:hint="eastAsia"/>
          <w:kern w:val="0"/>
          <w:lang w:val="zh-CN"/>
        </w:rPr>
        <w:t>（8）</w:t>
      </w:r>
      <w:r>
        <w:rPr>
          <w:rFonts w:hint="eastAsia"/>
          <w:kern w:val="0"/>
          <w:lang w:val="zh-CN"/>
        </w:rPr>
        <w:tab/>
      </w:r>
      <w:r>
        <w:rPr>
          <w:rFonts w:hint="eastAsia"/>
          <w:kern w:val="0"/>
          <w:lang w:val="zh-CN"/>
        </w:rPr>
        <w:t>《建筑与小区雨水控制及利用工程技术规范》（GB50400-2016）</w:t>
      </w:r>
    </w:p>
    <w:p>
      <w:pPr>
        <w:ind w:firstLine="480"/>
        <w:rPr>
          <w:kern w:val="0"/>
          <w:lang w:val="zh-CN"/>
        </w:rPr>
      </w:pPr>
      <w:r>
        <w:rPr>
          <w:rFonts w:hint="eastAsia"/>
          <w:kern w:val="0"/>
          <w:lang w:val="zh-CN"/>
        </w:rPr>
        <w:t>（9）</w:t>
      </w:r>
      <w:r>
        <w:rPr>
          <w:rFonts w:hint="eastAsia"/>
          <w:kern w:val="0"/>
          <w:lang w:val="zh-CN"/>
        </w:rPr>
        <w:tab/>
      </w:r>
      <w:r>
        <w:rPr>
          <w:rFonts w:hint="eastAsia"/>
          <w:kern w:val="0"/>
          <w:lang w:val="zh-CN"/>
        </w:rPr>
        <w:t>《雨水集蓄利用工程技术规范》（GB/T50596-2010）</w:t>
      </w:r>
    </w:p>
    <w:p>
      <w:pPr>
        <w:ind w:firstLine="480"/>
        <w:rPr>
          <w:kern w:val="0"/>
          <w:lang w:val="zh-CN"/>
        </w:rPr>
      </w:pPr>
      <w:r>
        <w:rPr>
          <w:rFonts w:hint="eastAsia"/>
          <w:kern w:val="0"/>
          <w:lang w:val="zh-CN"/>
        </w:rPr>
        <w:t>（10）</w:t>
      </w:r>
      <w:r>
        <w:rPr>
          <w:rFonts w:hint="eastAsia"/>
          <w:kern w:val="0"/>
          <w:lang w:val="zh-CN"/>
        </w:rPr>
        <w:tab/>
      </w:r>
      <w:r>
        <w:rPr>
          <w:rFonts w:hint="eastAsia"/>
          <w:kern w:val="0"/>
          <w:lang w:val="zh-CN"/>
        </w:rPr>
        <w:t>《蓄滞洪区设计规范》（GB50773-2012）</w:t>
      </w:r>
    </w:p>
    <w:p>
      <w:pPr>
        <w:ind w:firstLine="480"/>
        <w:rPr>
          <w:kern w:val="0"/>
          <w:lang w:val="zh-CN"/>
        </w:rPr>
      </w:pPr>
      <w:r>
        <w:rPr>
          <w:rFonts w:hint="eastAsia"/>
          <w:kern w:val="0"/>
          <w:lang w:val="zh-CN"/>
        </w:rPr>
        <w:t>（11）</w:t>
      </w:r>
      <w:r>
        <w:rPr>
          <w:rFonts w:hint="eastAsia"/>
          <w:kern w:val="0"/>
          <w:lang w:val="zh-CN"/>
        </w:rPr>
        <w:tab/>
      </w:r>
      <w:r>
        <w:rPr>
          <w:rFonts w:hint="eastAsia"/>
          <w:kern w:val="0"/>
          <w:lang w:val="zh-CN"/>
        </w:rPr>
        <w:t>《透水沥青路面技术规程》（CJJ/T190-2012）</w:t>
      </w:r>
    </w:p>
    <w:p>
      <w:pPr>
        <w:ind w:firstLine="480"/>
        <w:rPr>
          <w:kern w:val="0"/>
          <w:lang w:val="zh-CN"/>
        </w:rPr>
      </w:pPr>
      <w:r>
        <w:rPr>
          <w:rFonts w:hint="eastAsia"/>
          <w:kern w:val="0"/>
          <w:lang w:val="zh-CN"/>
        </w:rPr>
        <w:t>（12）</w:t>
      </w:r>
      <w:r>
        <w:rPr>
          <w:rFonts w:hint="eastAsia"/>
          <w:kern w:val="0"/>
          <w:lang w:val="zh-CN"/>
        </w:rPr>
        <w:tab/>
      </w:r>
      <w:r>
        <w:rPr>
          <w:rFonts w:hint="eastAsia"/>
          <w:kern w:val="0"/>
          <w:lang w:val="zh-CN"/>
        </w:rPr>
        <w:t>《透水砖路面技术规程》（CJJ/T188-2012）</w:t>
      </w:r>
    </w:p>
    <w:p>
      <w:pPr>
        <w:pStyle w:val="741"/>
        <w:spacing w:before="120" w:beforeLines="0" w:after="120" w:afterLines="0"/>
        <w:rPr>
          <w:snapToGrid/>
          <w:color w:val="auto"/>
          <w:kern w:val="0"/>
        </w:rPr>
      </w:pPr>
      <w:r>
        <w:rPr>
          <w:rFonts w:hint="eastAsia"/>
          <w:snapToGrid/>
          <w:color w:val="auto"/>
          <w:kern w:val="0"/>
        </w:rPr>
        <w:t>设计原则及指导思想</w:t>
      </w:r>
    </w:p>
    <w:p>
      <w:pPr>
        <w:ind w:firstLine="480"/>
        <w:rPr>
          <w:kern w:val="0"/>
          <w:lang w:val="zh-CN"/>
        </w:rPr>
      </w:pPr>
      <w:r>
        <w:rPr>
          <w:rFonts w:hint="eastAsia"/>
          <w:kern w:val="0"/>
          <w:lang w:val="zh-CN"/>
        </w:rPr>
        <w:t>（1） 设计原则</w:t>
      </w:r>
    </w:p>
    <w:p>
      <w:pPr>
        <w:ind w:firstLine="480"/>
        <w:rPr>
          <w:kern w:val="0"/>
          <w:lang w:val="zh-CN"/>
        </w:rPr>
      </w:pPr>
      <w:r>
        <w:rPr>
          <w:rFonts w:hint="eastAsia"/>
          <w:kern w:val="0"/>
          <w:lang w:val="zh-CN"/>
        </w:rPr>
        <w:t>根据国民经济和社会发展规划，遵照国家经济建设的方针政策，对建设项目的技术方案及经济进行全面分析，为工程建设的提供可靠的方案；</w:t>
      </w:r>
    </w:p>
    <w:p>
      <w:pPr>
        <w:ind w:firstLine="480"/>
        <w:rPr>
          <w:kern w:val="0"/>
          <w:lang w:val="zh-CN"/>
        </w:rPr>
      </w:pPr>
      <w:r>
        <w:rPr>
          <w:rFonts w:hint="eastAsia"/>
          <w:kern w:val="0"/>
          <w:lang w:val="zh-CN"/>
        </w:rPr>
        <w:t>执行国家关于海绵城市建设的政策，符合国家及地方的有关法规、规范和标准；</w:t>
      </w:r>
    </w:p>
    <w:p>
      <w:pPr>
        <w:ind w:firstLine="480"/>
        <w:rPr>
          <w:kern w:val="0"/>
          <w:lang w:val="zh-CN"/>
        </w:rPr>
      </w:pPr>
      <w:r>
        <w:rPr>
          <w:rFonts w:hint="eastAsia"/>
          <w:kern w:val="0"/>
          <w:lang w:val="zh-CN"/>
        </w:rPr>
        <w:t>科学确定目标，合理选择海绵城市技术措施，充分发挥建设项目社会效益、环境效益、经济效益；</w:t>
      </w:r>
    </w:p>
    <w:p>
      <w:pPr>
        <w:ind w:firstLine="480"/>
        <w:rPr>
          <w:kern w:val="0"/>
          <w:lang w:val="zh-CN"/>
        </w:rPr>
      </w:pPr>
      <w:r>
        <w:rPr>
          <w:rFonts w:hint="eastAsia"/>
          <w:kern w:val="0"/>
          <w:lang w:val="zh-CN"/>
        </w:rPr>
        <w:t>采用技术先进、成熟可靠、高效节能、易于管理的处海绵城市技术措施，尽可能降低工程投资和运行成本；</w:t>
      </w:r>
    </w:p>
    <w:p>
      <w:pPr>
        <w:ind w:firstLine="480"/>
        <w:rPr>
          <w:kern w:val="0"/>
          <w:lang w:val="zh-CN"/>
        </w:rPr>
      </w:pPr>
      <w:r>
        <w:rPr>
          <w:rFonts w:hint="eastAsia"/>
          <w:kern w:val="0"/>
          <w:lang w:val="zh-CN"/>
        </w:rPr>
        <w:t>海绵城市技术措施做到合理、可靠、先进，关键设施选择国内外信誉良好品牌，监测仪器仪表选择国外进口先进产品；</w:t>
      </w:r>
    </w:p>
    <w:p>
      <w:pPr>
        <w:ind w:firstLine="480"/>
        <w:rPr>
          <w:kern w:val="0"/>
          <w:lang w:val="zh-CN"/>
        </w:rPr>
      </w:pPr>
      <w:r>
        <w:rPr>
          <w:rFonts w:hint="eastAsia"/>
          <w:kern w:val="0"/>
          <w:lang w:val="zh-CN"/>
        </w:rPr>
        <w:t>结合地形条件和环境状况，统一规划合理安排设施，控制工程用地，充分发挥建设项目的效益。</w:t>
      </w:r>
    </w:p>
    <w:p>
      <w:pPr>
        <w:ind w:firstLine="480"/>
        <w:rPr>
          <w:kern w:val="0"/>
          <w:lang w:val="zh-CN"/>
        </w:rPr>
      </w:pPr>
      <w:r>
        <w:rPr>
          <w:rFonts w:hint="eastAsia"/>
          <w:kern w:val="0"/>
          <w:lang w:val="zh-CN"/>
        </w:rPr>
        <w:t>（2） 指导思想</w:t>
      </w:r>
    </w:p>
    <w:p>
      <w:pPr>
        <w:ind w:firstLine="480"/>
        <w:rPr>
          <w:kern w:val="0"/>
          <w:lang w:val="zh-CN"/>
        </w:rPr>
      </w:pPr>
      <w:r>
        <w:rPr>
          <w:rFonts w:hint="eastAsia"/>
          <w:kern w:val="0"/>
          <w:lang w:val="zh-CN"/>
        </w:rPr>
        <w:t>综合“渗、滞、蓄、净、用、排”等多种技术措施，控制径流总量，提高排水标准，减少面源污染，改善城市水环境；积极采用国际新理念、新技术、新工艺，结合智慧城市建设，运用GIS、SWMM等技术建立具有在线监测、模拟、评估、运行、预警、应急抢修等功能的大数据处理中心和智慧管控平台，指导城市排水及相关规划建设活动，贯彻落实生态文明建设理念，全面推动海绵城市建设。</w:t>
      </w:r>
    </w:p>
    <w:p>
      <w:pPr>
        <w:widowControl/>
        <w:jc w:val="left"/>
        <w:rPr>
          <w:rFonts w:ascii="宋体"/>
          <w:b/>
          <w:bCs/>
          <w:kern w:val="0"/>
          <w:sz w:val="32"/>
          <w:szCs w:val="32"/>
        </w:rPr>
      </w:pPr>
      <w:r>
        <w:rPr>
          <w:rFonts w:ascii="宋体"/>
          <w:b/>
          <w:bCs/>
          <w:kern w:val="0"/>
          <w:sz w:val="32"/>
          <w:szCs w:val="32"/>
        </w:rPr>
        <w:br w:type="page"/>
      </w:r>
    </w:p>
    <w:p>
      <w:pPr>
        <w:pStyle w:val="5"/>
        <w:spacing w:before="0" w:after="0" w:line="360" w:lineRule="auto"/>
        <w:jc w:val="center"/>
        <w:rPr>
          <w:rFonts w:ascii="宋体"/>
          <w:kern w:val="0"/>
        </w:rPr>
      </w:pPr>
      <w:bookmarkStart w:id="260" w:name="_Toc79748097"/>
      <w:r>
        <w:rPr>
          <w:rFonts w:hint="eastAsia" w:ascii="宋体"/>
          <w:kern w:val="0"/>
        </w:rPr>
        <w:t>第五章  投标文件格式</w:t>
      </w:r>
      <w:bookmarkEnd w:id="260"/>
    </w:p>
    <w:p>
      <w:pPr>
        <w:pStyle w:val="6"/>
        <w:rPr>
          <w:rFonts w:ascii="宋体"/>
          <w:b w:val="0"/>
          <w:sz w:val="24"/>
        </w:rPr>
      </w:pPr>
      <w:r>
        <w:rPr>
          <w:rFonts w:hint="eastAsia" w:ascii="宋体"/>
        </w:rPr>
        <w:t>格式1：</w:t>
      </w:r>
    </w:p>
    <w:p>
      <w:pPr>
        <w:autoSpaceDE w:val="0"/>
        <w:autoSpaceDN w:val="0"/>
        <w:adjustRightInd w:val="0"/>
        <w:spacing w:line="360" w:lineRule="auto"/>
        <w:jc w:val="center"/>
        <w:rPr>
          <w:rFonts w:ascii="宋体" w:cs="宋体"/>
          <w:b/>
          <w:bCs/>
          <w:sz w:val="32"/>
          <w:szCs w:val="32"/>
          <w:lang w:val="zh-CN"/>
        </w:rPr>
      </w:pPr>
      <w:r>
        <w:rPr>
          <w:rFonts w:hint="eastAsia" w:ascii="宋体" w:cs="宋体"/>
          <w:b/>
          <w:bCs/>
          <w:sz w:val="32"/>
          <w:szCs w:val="32"/>
          <w:lang w:val="zh-CN"/>
        </w:rPr>
        <w:t>广州建设工程招标投标书</w:t>
      </w:r>
    </w:p>
    <w:tbl>
      <w:tblPr>
        <w:tblStyle w:val="58"/>
        <w:tblW w:w="10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642"/>
        <w:gridCol w:w="5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项目名称</w:t>
            </w:r>
          </w:p>
        </w:tc>
        <w:tc>
          <w:tcPr>
            <w:tcW w:w="7882" w:type="dxa"/>
            <w:gridSpan w:val="2"/>
            <w:vAlign w:val="center"/>
          </w:tcPr>
          <w:p>
            <w:pPr>
              <w:spacing w:line="360" w:lineRule="auto"/>
              <w:jc w:val="center"/>
              <w:rPr>
                <w:rFonts w:ascii="宋体" w:cs="宋体"/>
                <w:b/>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151" w:type="dxa"/>
            <w:vAlign w:val="center"/>
          </w:tcPr>
          <w:p>
            <w:pPr>
              <w:spacing w:line="360" w:lineRule="auto"/>
              <w:jc w:val="center"/>
              <w:rPr>
                <w:rFonts w:ascii="宋体"/>
                <w:b/>
                <w:szCs w:val="21"/>
              </w:rPr>
            </w:pPr>
            <w:r>
              <w:rPr>
                <w:rFonts w:hint="eastAsia" w:ascii="宋体" w:cs="宋体"/>
                <w:b/>
                <w:szCs w:val="21"/>
                <w:lang w:val="zh-CN"/>
              </w:rPr>
              <w:t>投标总报价（元）</w:t>
            </w:r>
          </w:p>
        </w:tc>
        <w:tc>
          <w:tcPr>
            <w:tcW w:w="7882" w:type="dxa"/>
            <w:gridSpan w:val="2"/>
            <w:vAlign w:val="center"/>
          </w:tcPr>
          <w:p>
            <w:pPr>
              <w:snapToGrid w:val="0"/>
              <w:spacing w:line="360" w:lineRule="auto"/>
              <w:jc w:val="left"/>
              <w:rPr>
                <w:rFonts w:ascii="宋体"/>
                <w:b/>
                <w:szCs w:val="21"/>
              </w:rPr>
            </w:pPr>
            <w:r>
              <w:rPr>
                <w:rFonts w:hint="eastAsia" w:ascii="宋体"/>
                <w:b/>
                <w:szCs w:val="21"/>
              </w:rPr>
              <w:t>大写：</w:t>
            </w:r>
          </w:p>
          <w:p>
            <w:pPr>
              <w:spacing w:line="360" w:lineRule="auto"/>
              <w:jc w:val="left"/>
              <w:rPr>
                <w:rFonts w:ascii="宋体"/>
                <w:b/>
                <w:szCs w:val="21"/>
              </w:rPr>
            </w:pPr>
            <w:r>
              <w:rPr>
                <w:rFonts w:hint="eastAsia" w:ascii="宋体"/>
                <w:b/>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51" w:type="dxa"/>
            <w:vAlign w:val="center"/>
          </w:tcPr>
          <w:p>
            <w:pPr>
              <w:snapToGrid w:val="0"/>
              <w:jc w:val="center"/>
              <w:rPr>
                <w:rFonts w:ascii="宋体"/>
                <w:b/>
                <w:szCs w:val="21"/>
              </w:rPr>
            </w:pPr>
            <w:r>
              <w:rPr>
                <w:rFonts w:hint="eastAsia" w:ascii="宋体" w:cs="宋体"/>
                <w:b/>
                <w:bCs/>
                <w:szCs w:val="21"/>
                <w:lang w:val="zh-CN"/>
              </w:rPr>
              <w:t>其中：</w:t>
            </w:r>
            <w:r>
              <w:rPr>
                <w:rFonts w:hint="eastAsia" w:ascii="宋体" w:cs="宋体"/>
                <w:b/>
                <w:szCs w:val="21"/>
                <w:lang w:val="zh-CN"/>
              </w:rPr>
              <w:t>勘察费</w:t>
            </w:r>
          </w:p>
        </w:tc>
        <w:tc>
          <w:tcPr>
            <w:tcW w:w="7882" w:type="dxa"/>
            <w:gridSpan w:val="2"/>
            <w:vAlign w:val="center"/>
          </w:tcPr>
          <w:p>
            <w:pPr>
              <w:autoSpaceDE w:val="0"/>
              <w:autoSpaceDN w:val="0"/>
              <w:adjustRightInd w:val="0"/>
              <w:snapToGrid w:val="0"/>
              <w:ind w:left="207" w:hanging="207" w:hangingChars="98"/>
              <w:rPr>
                <w:rFonts w:ascii="宋体"/>
                <w:b/>
                <w:szCs w:val="21"/>
              </w:rPr>
            </w:pPr>
            <w:r>
              <w:rPr>
                <w:rFonts w:hint="eastAsia" w:ascii="宋体"/>
                <w:b/>
                <w:szCs w:val="21"/>
              </w:rPr>
              <w:t>投标报价</w:t>
            </w:r>
            <w:r>
              <w:rPr>
                <w:rFonts w:hint="eastAsia" w:ascii="宋体"/>
                <w:b/>
                <w:szCs w:val="21"/>
                <w:u w:val="single"/>
              </w:rPr>
              <w:t xml:space="preserve">       </w:t>
            </w:r>
            <w:r>
              <w:rPr>
                <w:rFonts w:hint="eastAsia" w:ascii="宋体"/>
                <w:b/>
                <w:szCs w:val="21"/>
              </w:rPr>
              <w:t>元 [其中：岩土工程勘察费：</w:t>
            </w:r>
            <w:r>
              <w:rPr>
                <w:rFonts w:hint="eastAsia" w:ascii="宋体"/>
                <w:b/>
                <w:szCs w:val="21"/>
                <w:u w:val="single"/>
              </w:rPr>
              <w:t xml:space="preserve">   </w:t>
            </w:r>
            <w:r>
              <w:rPr>
                <w:rFonts w:hint="eastAsia" w:ascii="宋体"/>
                <w:b/>
                <w:szCs w:val="21"/>
              </w:rPr>
              <w:t>元；工程测量费：</w:t>
            </w:r>
            <w:r>
              <w:rPr>
                <w:rFonts w:hint="eastAsia" w:ascii="宋体"/>
                <w:b/>
                <w:szCs w:val="21"/>
                <w:u w:val="single"/>
              </w:rPr>
              <w:t xml:space="preserve">   </w:t>
            </w:r>
            <w:r>
              <w:rPr>
                <w:rFonts w:hint="eastAsia" w:ascii="宋体"/>
                <w:b/>
                <w:szCs w:val="21"/>
              </w:rPr>
              <w:t>元；工程物探（含管线探测）费：</w:t>
            </w:r>
            <w:r>
              <w:rPr>
                <w:rFonts w:hint="eastAsia" w:ascii="宋体"/>
                <w:b/>
                <w:szCs w:val="21"/>
                <w:u w:val="single"/>
              </w:rPr>
              <w:t xml:space="preserve">       </w:t>
            </w:r>
            <w:r>
              <w:rPr>
                <w:rFonts w:hint="eastAsia" w:ascii="宋体"/>
                <w:b/>
                <w:szCs w:val="21"/>
              </w:rPr>
              <w:t>元(详见勘测报价明细表）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51" w:type="dxa"/>
            <w:vAlign w:val="center"/>
          </w:tcPr>
          <w:p>
            <w:pPr>
              <w:spacing w:line="360" w:lineRule="auto"/>
              <w:jc w:val="center"/>
              <w:rPr>
                <w:rFonts w:ascii="宋体"/>
                <w:b/>
                <w:szCs w:val="21"/>
              </w:rPr>
            </w:pPr>
            <w:r>
              <w:rPr>
                <w:rFonts w:hint="eastAsia" w:ascii="宋体"/>
                <w:b/>
                <w:szCs w:val="21"/>
              </w:rPr>
              <w:t>施工费</w:t>
            </w:r>
          </w:p>
        </w:tc>
        <w:tc>
          <w:tcPr>
            <w:tcW w:w="7882" w:type="dxa"/>
            <w:gridSpan w:val="2"/>
            <w:vAlign w:val="center"/>
          </w:tcPr>
          <w:p>
            <w:pPr>
              <w:jc w:val="left"/>
              <w:rPr>
                <w:rFonts w:ascii="宋体"/>
                <w:b/>
                <w:szCs w:val="21"/>
              </w:rPr>
            </w:pPr>
            <w:r>
              <w:rPr>
                <w:rFonts w:hint="eastAsia" w:ascii="宋体"/>
                <w:b/>
                <w:szCs w:val="21"/>
              </w:rPr>
              <w:t>小写：</w:t>
            </w:r>
            <w:r>
              <w:rPr>
                <w:rFonts w:hint="eastAsia" w:ascii="宋体"/>
                <w:b/>
                <w:szCs w:val="21"/>
                <w:u w:val="single"/>
              </w:rPr>
              <w:t xml:space="preserve">         </w:t>
            </w:r>
            <w:r>
              <w:rPr>
                <w:rFonts w:hint="eastAsia" w:ascii="宋体"/>
                <w:b/>
                <w:szCs w:val="21"/>
              </w:rPr>
              <w:t>元</w:t>
            </w:r>
          </w:p>
          <w:p>
            <w:pPr>
              <w:jc w:val="left"/>
              <w:rPr>
                <w:rFonts w:ascii="宋体"/>
                <w:b/>
                <w:szCs w:val="21"/>
              </w:rPr>
            </w:pPr>
            <w:r>
              <w:rPr>
                <w:rFonts w:hint="eastAsia" w:ascii="宋体"/>
                <w:b/>
                <w:szCs w:val="21"/>
              </w:rPr>
              <w:t>下浮率</w:t>
            </w:r>
            <w:r>
              <w:rPr>
                <w:rFonts w:hint="eastAsia" w:ascii="宋体"/>
                <w:b/>
                <w:szCs w:val="21"/>
                <w:u w:val="single"/>
              </w:rPr>
              <w:t xml:space="preserve">   </w:t>
            </w:r>
            <w:r>
              <w:rPr>
                <w:rFonts w:hint="eastAsia" w:ascii="宋体"/>
                <w:b/>
                <w:szCs w:val="21"/>
              </w:rPr>
              <w:t xml:space="preserve"> %，</w:t>
            </w:r>
          </w:p>
          <w:p>
            <w:pPr>
              <w:jc w:val="left"/>
              <w:rPr>
                <w:rFonts w:ascii="宋体"/>
                <w:b/>
                <w:szCs w:val="21"/>
              </w:rPr>
            </w:pPr>
            <w:r>
              <w:rPr>
                <w:rFonts w:hint="eastAsia" w:ascii="宋体"/>
                <w:b/>
                <w:szCs w:val="21"/>
              </w:rPr>
              <w:t xml:space="preserve">注：下浮率=【1-（施工费投标报价/施工费发包基准价）】×100%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设计费</w:t>
            </w:r>
          </w:p>
        </w:tc>
        <w:tc>
          <w:tcPr>
            <w:tcW w:w="7882" w:type="dxa"/>
            <w:gridSpan w:val="2"/>
            <w:vAlign w:val="center"/>
          </w:tcPr>
          <w:p>
            <w:pPr>
              <w:jc w:val="left"/>
              <w:rPr>
                <w:rFonts w:ascii="宋体"/>
                <w:b/>
                <w:szCs w:val="21"/>
              </w:rPr>
            </w:pPr>
            <w:r>
              <w:rPr>
                <w:rFonts w:hint="eastAsia" w:ascii="宋体"/>
                <w:b/>
                <w:szCs w:val="21"/>
              </w:rPr>
              <w:t>小写：</w:t>
            </w:r>
            <w:r>
              <w:rPr>
                <w:rFonts w:hint="eastAsia" w:ascii="宋体"/>
                <w:b/>
                <w:szCs w:val="21"/>
                <w:u w:val="single"/>
              </w:rPr>
              <w:t xml:space="preserve">         </w:t>
            </w:r>
            <w:r>
              <w:rPr>
                <w:rFonts w:hint="eastAsia" w:ascii="宋体"/>
                <w:b/>
                <w:szCs w:val="21"/>
              </w:rPr>
              <w:t>元</w:t>
            </w:r>
          </w:p>
          <w:p>
            <w:pPr>
              <w:jc w:val="left"/>
              <w:rPr>
                <w:rFonts w:ascii="宋体"/>
                <w:b/>
                <w:szCs w:val="21"/>
              </w:rPr>
            </w:pPr>
            <w:r>
              <w:rPr>
                <w:rFonts w:hint="eastAsia" w:ascii="宋体"/>
                <w:b/>
                <w:szCs w:val="21"/>
              </w:rPr>
              <w:t>下浮率</w:t>
            </w:r>
            <w:r>
              <w:rPr>
                <w:rFonts w:hint="eastAsia" w:ascii="宋体"/>
                <w:b/>
                <w:szCs w:val="21"/>
                <w:u w:val="single"/>
              </w:rPr>
              <w:t xml:space="preserve">     </w:t>
            </w:r>
            <w:r>
              <w:rPr>
                <w:rFonts w:hint="eastAsia" w:ascii="宋体"/>
                <w:b/>
                <w:szCs w:val="21"/>
              </w:rPr>
              <w:t xml:space="preserve"> %，</w:t>
            </w:r>
          </w:p>
          <w:p>
            <w:pPr>
              <w:jc w:val="left"/>
            </w:pPr>
            <w:r>
              <w:rPr>
                <w:rFonts w:hint="eastAsia" w:ascii="宋体"/>
                <w:b/>
                <w:szCs w:val="21"/>
              </w:rPr>
              <w:t>注：下浮率=【1-（设计费投标报价/设计费发包基准价）】×100%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投标工期</w:t>
            </w:r>
          </w:p>
        </w:tc>
        <w:tc>
          <w:tcPr>
            <w:tcW w:w="7882" w:type="dxa"/>
            <w:gridSpan w:val="2"/>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51" w:type="dxa"/>
            <w:vAlign w:val="center"/>
          </w:tcPr>
          <w:p>
            <w:pPr>
              <w:spacing w:line="360" w:lineRule="auto"/>
              <w:jc w:val="center"/>
              <w:rPr>
                <w:rFonts w:ascii="宋体"/>
                <w:b/>
                <w:szCs w:val="21"/>
              </w:rPr>
            </w:pPr>
            <w:r>
              <w:rPr>
                <w:rFonts w:hint="eastAsia" w:ascii="宋体" w:cs="宋体"/>
                <w:b/>
                <w:szCs w:val="21"/>
                <w:lang w:val="zh-CN"/>
              </w:rPr>
              <w:t>工程质量标准</w:t>
            </w:r>
          </w:p>
        </w:tc>
        <w:tc>
          <w:tcPr>
            <w:tcW w:w="7882" w:type="dxa"/>
            <w:gridSpan w:val="2"/>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保修期限</w:t>
            </w:r>
          </w:p>
        </w:tc>
        <w:tc>
          <w:tcPr>
            <w:tcW w:w="7882" w:type="dxa"/>
            <w:gridSpan w:val="2"/>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委派的施工负责人</w:t>
            </w:r>
          </w:p>
          <w:p>
            <w:pPr>
              <w:spacing w:line="360" w:lineRule="auto"/>
              <w:jc w:val="center"/>
              <w:rPr>
                <w:rFonts w:ascii="宋体" w:cs="宋体"/>
                <w:b/>
                <w:szCs w:val="21"/>
                <w:lang w:val="zh-CN"/>
              </w:rPr>
            </w:pPr>
            <w:r>
              <w:rPr>
                <w:rFonts w:hint="eastAsia" w:ascii="宋体" w:cs="宋体"/>
                <w:b/>
                <w:szCs w:val="21"/>
                <w:lang w:val="zh-CN"/>
              </w:rPr>
              <w:t>（</w:t>
            </w:r>
            <w:r>
              <w:rPr>
                <w:rFonts w:hint="eastAsia" w:ascii="宋体" w:cs="宋体"/>
                <w:b/>
                <w:szCs w:val="21"/>
              </w:rPr>
              <w:t>兼项目负责人</w:t>
            </w:r>
            <w:r>
              <w:rPr>
                <w:rFonts w:hint="eastAsia" w:ascii="宋体" w:cs="宋体"/>
                <w:b/>
                <w:szCs w:val="21"/>
                <w:lang w:val="zh-CN"/>
              </w:rPr>
              <w:t>）</w:t>
            </w:r>
          </w:p>
        </w:tc>
        <w:tc>
          <w:tcPr>
            <w:tcW w:w="2642" w:type="dxa"/>
            <w:vAlign w:val="center"/>
          </w:tcPr>
          <w:p>
            <w:pPr>
              <w:spacing w:line="360" w:lineRule="auto"/>
              <w:jc w:val="center"/>
              <w:rPr>
                <w:rFonts w:ascii="宋体" w:cs="宋体"/>
                <w:b/>
                <w:szCs w:val="21"/>
                <w:lang w:val="zh-CN"/>
              </w:rPr>
            </w:pPr>
            <w:r>
              <w:rPr>
                <w:rFonts w:hint="eastAsia" w:ascii="宋体" w:cs="宋体"/>
                <w:b/>
                <w:szCs w:val="21"/>
                <w:lang w:val="zh-CN"/>
              </w:rPr>
              <w:t>姓    名</w:t>
            </w:r>
          </w:p>
        </w:tc>
        <w:tc>
          <w:tcPr>
            <w:tcW w:w="5240" w:type="dxa"/>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委派的</w:t>
            </w:r>
            <w:r>
              <w:rPr>
                <w:rFonts w:hint="eastAsia" w:ascii="宋体" w:cs="宋体"/>
                <w:b/>
                <w:szCs w:val="21"/>
              </w:rPr>
              <w:t>设计</w:t>
            </w:r>
            <w:r>
              <w:rPr>
                <w:rFonts w:hint="eastAsia" w:ascii="宋体" w:cs="宋体"/>
                <w:b/>
                <w:szCs w:val="21"/>
                <w:lang w:val="zh-CN"/>
              </w:rPr>
              <w:t>负责人</w:t>
            </w:r>
          </w:p>
        </w:tc>
        <w:tc>
          <w:tcPr>
            <w:tcW w:w="2642" w:type="dxa"/>
            <w:vAlign w:val="center"/>
          </w:tcPr>
          <w:p>
            <w:pPr>
              <w:spacing w:line="360" w:lineRule="auto"/>
              <w:jc w:val="center"/>
              <w:rPr>
                <w:rFonts w:ascii="宋体" w:cs="宋体"/>
                <w:b/>
                <w:szCs w:val="21"/>
                <w:lang w:val="zh-CN"/>
              </w:rPr>
            </w:pPr>
            <w:r>
              <w:rPr>
                <w:rFonts w:hint="eastAsia" w:ascii="宋体" w:cs="宋体"/>
                <w:b/>
                <w:szCs w:val="21"/>
                <w:lang w:val="zh-CN"/>
              </w:rPr>
              <w:t>姓    名</w:t>
            </w:r>
          </w:p>
        </w:tc>
        <w:tc>
          <w:tcPr>
            <w:tcW w:w="5240" w:type="dxa"/>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委派的专职安全员</w:t>
            </w:r>
          </w:p>
        </w:tc>
        <w:tc>
          <w:tcPr>
            <w:tcW w:w="2642" w:type="dxa"/>
            <w:vAlign w:val="center"/>
          </w:tcPr>
          <w:p>
            <w:pPr>
              <w:spacing w:line="360" w:lineRule="auto"/>
              <w:jc w:val="center"/>
              <w:rPr>
                <w:rFonts w:ascii="宋体" w:cs="宋体"/>
                <w:b/>
                <w:szCs w:val="21"/>
                <w:lang w:val="zh-CN"/>
              </w:rPr>
            </w:pPr>
            <w:r>
              <w:rPr>
                <w:rFonts w:hint="eastAsia" w:ascii="宋体" w:cs="宋体"/>
                <w:b/>
                <w:szCs w:val="21"/>
                <w:lang w:val="zh-CN"/>
              </w:rPr>
              <w:t>姓    名</w:t>
            </w:r>
          </w:p>
        </w:tc>
        <w:tc>
          <w:tcPr>
            <w:tcW w:w="5240" w:type="dxa"/>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投标有效期</w:t>
            </w:r>
          </w:p>
        </w:tc>
        <w:tc>
          <w:tcPr>
            <w:tcW w:w="7882" w:type="dxa"/>
            <w:gridSpan w:val="2"/>
            <w:vAlign w:val="center"/>
          </w:tcPr>
          <w:p>
            <w:pPr>
              <w:spacing w:line="360" w:lineRule="auto"/>
              <w:jc w:val="center"/>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151" w:type="dxa"/>
            <w:vAlign w:val="center"/>
          </w:tcPr>
          <w:p>
            <w:pPr>
              <w:spacing w:line="360" w:lineRule="auto"/>
              <w:jc w:val="center"/>
              <w:rPr>
                <w:rFonts w:ascii="宋体" w:cs="宋体"/>
                <w:b/>
                <w:szCs w:val="21"/>
                <w:lang w:val="zh-CN"/>
              </w:rPr>
            </w:pPr>
            <w:r>
              <w:rPr>
                <w:rFonts w:hint="eastAsia" w:ascii="宋体"/>
                <w:b/>
                <w:szCs w:val="21"/>
              </w:rPr>
              <w:t>法定代表人或其委托代理人（签字或盖章）</w:t>
            </w:r>
          </w:p>
        </w:tc>
        <w:tc>
          <w:tcPr>
            <w:tcW w:w="7882" w:type="dxa"/>
            <w:gridSpan w:val="2"/>
            <w:vAlign w:val="center"/>
          </w:tcPr>
          <w:p>
            <w:pPr>
              <w:spacing w:line="360" w:lineRule="auto"/>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151" w:type="dxa"/>
            <w:vAlign w:val="center"/>
          </w:tcPr>
          <w:p>
            <w:pPr>
              <w:spacing w:line="360" w:lineRule="auto"/>
              <w:jc w:val="center"/>
              <w:rPr>
                <w:rFonts w:ascii="宋体" w:cs="宋体"/>
                <w:b/>
                <w:szCs w:val="21"/>
                <w:lang w:val="zh-CN"/>
              </w:rPr>
            </w:pPr>
            <w:r>
              <w:rPr>
                <w:rFonts w:hint="eastAsia" w:ascii="宋体" w:cs="宋体"/>
                <w:b/>
                <w:szCs w:val="21"/>
                <w:lang w:val="zh-CN"/>
              </w:rPr>
              <w:t>投标单位（盖章）</w:t>
            </w:r>
          </w:p>
        </w:tc>
        <w:tc>
          <w:tcPr>
            <w:tcW w:w="7882" w:type="dxa"/>
            <w:gridSpan w:val="2"/>
            <w:vAlign w:val="center"/>
          </w:tcPr>
          <w:p>
            <w:pPr>
              <w:spacing w:line="360" w:lineRule="auto"/>
              <w:rPr>
                <w:rFonts w:ascii="宋体"/>
                <w:b/>
                <w:szCs w:val="21"/>
              </w:rPr>
            </w:pPr>
          </w:p>
        </w:tc>
      </w:tr>
    </w:tbl>
    <w:p>
      <w:pPr>
        <w:spacing w:line="360" w:lineRule="auto"/>
        <w:rPr>
          <w:rFonts w:ascii="宋体"/>
          <w:b/>
          <w:szCs w:val="21"/>
        </w:rPr>
      </w:pPr>
      <w:r>
        <w:rPr>
          <w:rFonts w:hint="eastAsia" w:ascii="宋体"/>
          <w:b/>
          <w:szCs w:val="21"/>
        </w:rPr>
        <w:t>注：（1）联合体投标的，“投标单位”一栏需书写所有联合体成员的单位全称，并由联合体主办方按要求签字或盖章，联合体其他成员可不签字或盖章。</w:t>
      </w:r>
    </w:p>
    <w:p>
      <w:pPr>
        <w:numPr>
          <w:ilvl w:val="0"/>
          <w:numId w:val="5"/>
        </w:numPr>
        <w:tabs>
          <w:tab w:val="clear" w:pos="0"/>
        </w:tabs>
        <w:spacing w:line="360" w:lineRule="auto"/>
        <w:rPr>
          <w:rFonts w:ascii="宋体" w:cs="宋体"/>
          <w:b/>
          <w:szCs w:val="21"/>
        </w:rPr>
      </w:pPr>
      <w:r>
        <w:rPr>
          <w:rFonts w:hint="eastAsia" w:ascii="宋体" w:cs="宋体"/>
          <w:b/>
          <w:szCs w:val="21"/>
        </w:rPr>
        <w:t>“投标工期”、“工程质量标准”、“保修期限”可以填写“按招标文件要求”或按投标文件内容填写。</w:t>
      </w:r>
    </w:p>
    <w:tbl>
      <w:tblPr>
        <w:tblStyle w:val="58"/>
        <w:tblW w:w="9690" w:type="dxa"/>
        <w:tblInd w:w="-614" w:type="dxa"/>
        <w:tblLayout w:type="autofit"/>
        <w:tblCellMar>
          <w:top w:w="0" w:type="dxa"/>
          <w:left w:w="108" w:type="dxa"/>
          <w:bottom w:w="0" w:type="dxa"/>
          <w:right w:w="108" w:type="dxa"/>
        </w:tblCellMar>
      </w:tblPr>
      <w:tblGrid>
        <w:gridCol w:w="480"/>
        <w:gridCol w:w="1725"/>
        <w:gridCol w:w="900"/>
        <w:gridCol w:w="1035"/>
        <w:gridCol w:w="1455"/>
        <w:gridCol w:w="1470"/>
        <w:gridCol w:w="1395"/>
        <w:gridCol w:w="1230"/>
      </w:tblGrid>
      <w:tr>
        <w:tblPrEx>
          <w:tblCellMar>
            <w:top w:w="0" w:type="dxa"/>
            <w:left w:w="108" w:type="dxa"/>
            <w:bottom w:w="0" w:type="dxa"/>
            <w:right w:w="108" w:type="dxa"/>
          </w:tblCellMar>
        </w:tblPrEx>
        <w:trPr>
          <w:trHeight w:val="500" w:hRule="atLeast"/>
        </w:trPr>
        <w:tc>
          <w:tcPr>
            <w:tcW w:w="9690" w:type="dxa"/>
            <w:gridSpan w:val="8"/>
            <w:tcBorders>
              <w:top w:val="nil"/>
              <w:left w:val="nil"/>
              <w:bottom w:val="nil"/>
              <w:right w:val="nil"/>
            </w:tcBorders>
            <w:shd w:val="clear" w:color="auto" w:fill="auto"/>
            <w:noWrap/>
            <w:vAlign w:val="center"/>
          </w:tcPr>
          <w:p>
            <w:pPr>
              <w:widowControl/>
              <w:jc w:val="center"/>
              <w:textAlignment w:val="center"/>
              <w:rPr>
                <w:rFonts w:ascii="宋体" w:cs="宋体"/>
                <w:b/>
                <w:bCs/>
                <w:sz w:val="22"/>
              </w:rPr>
            </w:pPr>
            <w:r>
              <w:rPr>
                <w:rFonts w:hint="eastAsia" w:ascii="宋体" w:cs="宋体"/>
                <w:b/>
                <w:bCs/>
                <w:kern w:val="0"/>
                <w:sz w:val="22"/>
              </w:rPr>
              <w:t>勘察报价明细表</w:t>
            </w:r>
          </w:p>
        </w:tc>
      </w:tr>
      <w:tr>
        <w:tblPrEx>
          <w:tblCellMar>
            <w:top w:w="0" w:type="dxa"/>
            <w:left w:w="108" w:type="dxa"/>
            <w:bottom w:w="0" w:type="dxa"/>
            <w:right w:w="108" w:type="dxa"/>
          </w:tblCellMar>
        </w:tblPrEx>
        <w:trPr>
          <w:trHeight w:val="520" w:hRule="atLeast"/>
        </w:trPr>
        <w:tc>
          <w:tcPr>
            <w:tcW w:w="9690" w:type="dxa"/>
            <w:gridSpan w:val="8"/>
            <w:tcBorders>
              <w:top w:val="nil"/>
              <w:left w:val="nil"/>
              <w:bottom w:val="nil"/>
              <w:right w:val="nil"/>
            </w:tcBorders>
            <w:shd w:val="clear" w:color="auto" w:fill="auto"/>
            <w:noWrap/>
            <w:vAlign w:val="center"/>
          </w:tcPr>
          <w:p>
            <w:pPr>
              <w:widowControl/>
              <w:jc w:val="center"/>
              <w:textAlignment w:val="center"/>
              <w:rPr>
                <w:rFonts w:ascii="宋体" w:cs="宋体"/>
                <w:b/>
                <w:bCs/>
                <w:sz w:val="20"/>
                <w:szCs w:val="20"/>
              </w:rPr>
            </w:pPr>
            <w:r>
              <w:rPr>
                <w:rFonts w:hint="eastAsia" w:ascii="宋体" w:cs="宋体"/>
                <w:b/>
                <w:bCs/>
                <w:kern w:val="0"/>
                <w:sz w:val="20"/>
                <w:szCs w:val="20"/>
              </w:rPr>
              <w:t>岩土工程勘察</w:t>
            </w:r>
          </w:p>
        </w:tc>
      </w:tr>
      <w:tr>
        <w:tblPrEx>
          <w:tblCellMar>
            <w:top w:w="0" w:type="dxa"/>
            <w:left w:w="108" w:type="dxa"/>
            <w:bottom w:w="0" w:type="dxa"/>
            <w:right w:w="108" w:type="dxa"/>
          </w:tblCellMar>
        </w:tblPrEx>
        <w:trPr>
          <w:trHeight w:val="6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序号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分类</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单位</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数量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综合单价</w:t>
            </w:r>
            <w:r>
              <w:rPr>
                <w:rFonts w:hint="eastAsia" w:ascii="宋体" w:cs="宋体"/>
                <w:kern w:val="0"/>
                <w:sz w:val="20"/>
                <w:szCs w:val="20"/>
              </w:rPr>
              <w:br w:type="textWrapping"/>
            </w:r>
            <w:r>
              <w:rPr>
                <w:rFonts w:hint="eastAsia" w:ascii="宋体" w:cs="宋体"/>
                <w:kern w:val="0"/>
                <w:sz w:val="20"/>
                <w:szCs w:val="20"/>
              </w:rPr>
              <w:t>最高限价(元）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投标单价（元）</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合价（元）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备注</w:t>
            </w:r>
          </w:p>
        </w:tc>
      </w:tr>
      <w:tr>
        <w:tblPrEx>
          <w:tblCellMar>
            <w:top w:w="0" w:type="dxa"/>
            <w:left w:w="108" w:type="dxa"/>
            <w:bottom w:w="0" w:type="dxa"/>
            <w:right w:w="108" w:type="dxa"/>
          </w:tblCellMar>
        </w:tblPrEx>
        <w:trPr>
          <w:trHeight w:val="4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一般场地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米</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180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 xml:space="preserve">150.00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r>
      <w:tr>
        <w:tblPrEx>
          <w:tblCellMar>
            <w:top w:w="0" w:type="dxa"/>
            <w:left w:w="108" w:type="dxa"/>
            <w:bottom w:w="0" w:type="dxa"/>
            <w:right w:w="108" w:type="dxa"/>
          </w:tblCellMar>
        </w:tblPrEx>
        <w:trPr>
          <w:trHeight w:val="460" w:hRule="atLeast"/>
        </w:trPr>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cs="宋体"/>
                <w:sz w:val="20"/>
                <w:szCs w:val="20"/>
              </w:rPr>
            </w:pPr>
            <w:r>
              <w:rPr>
                <w:rFonts w:hint="eastAsia" w:ascii="宋体" w:cs="宋体"/>
                <w:kern w:val="0"/>
                <w:sz w:val="20"/>
                <w:szCs w:val="20"/>
              </w:rPr>
              <w:t>合计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cs="宋体"/>
                <w:sz w:val="20"/>
                <w:szCs w:val="20"/>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cs="宋体"/>
                <w:sz w:val="20"/>
                <w:szCs w:val="20"/>
              </w:rPr>
            </w:pPr>
          </w:p>
        </w:tc>
      </w:tr>
    </w:tbl>
    <w:p>
      <w:pPr>
        <w:rPr>
          <w:rFonts w:ascii="宋体"/>
          <w:bCs/>
        </w:rPr>
      </w:pPr>
      <w:r>
        <w:rPr>
          <w:rFonts w:hint="eastAsia" w:ascii="宋体"/>
          <w:bCs/>
        </w:rPr>
        <w:t xml:space="preserve">报价说明： </w:t>
      </w:r>
    </w:p>
    <w:p>
      <w:pPr>
        <w:rPr>
          <w:rFonts w:ascii="宋体"/>
          <w:bCs/>
        </w:rPr>
      </w:pPr>
      <w:r>
        <w:rPr>
          <w:rFonts w:hint="eastAsia" w:ascii="宋体"/>
          <w:bCs/>
        </w:rPr>
        <w:t>1、岩土工程勘察钻探单位必须根据工程勘察规范、工程设计技术要求、工程现场实际情况，在勘探前，编制勘探作业详细方案，说明各孔位的地形地貌情况、投入人员、机械设备数量以及各个勘探孔所属类别，报建设业主审核确定。</w:t>
      </w:r>
    </w:p>
    <w:p>
      <w:pPr>
        <w:rPr>
          <w:rFonts w:ascii="宋体"/>
          <w:bCs/>
        </w:rPr>
      </w:pPr>
      <w:r>
        <w:rPr>
          <w:rFonts w:hint="eastAsia" w:ascii="宋体"/>
          <w:bCs/>
        </w:rPr>
        <w:t>2、上述综合报价中已包括所有实物工作收费、岩溶地区措施费、技术工作收费、税金以及办理工程勘察相关许可、苗木、养殖物赔偿等所有一切直接或间接的费用，发包人不再另行计量支付。</w:t>
      </w:r>
    </w:p>
    <w:p>
      <w:pPr>
        <w:rPr>
          <w:rFonts w:ascii="宋体"/>
          <w:bCs/>
        </w:rPr>
      </w:pPr>
      <w:r>
        <w:rPr>
          <w:rFonts w:hint="eastAsia" w:ascii="宋体"/>
          <w:bCs/>
        </w:rPr>
        <w:t>3、在合同实施期间勘测费按实际完成工作量调整，但单价不作调整。</w:t>
      </w:r>
    </w:p>
    <w:p>
      <w:pPr>
        <w:widowControl/>
        <w:jc w:val="left"/>
        <w:rPr>
          <w:rFonts w:ascii="宋体"/>
          <w:szCs w:val="21"/>
        </w:rPr>
      </w:pPr>
      <w:r>
        <w:rPr>
          <w:rFonts w:hint="eastAsia" w:ascii="宋体"/>
          <w:bCs/>
        </w:rPr>
        <w:t>4、本项目设置招标总价控制价及综合单价控制价，投标总价超过招标总控制价或投标报价中的综合单价超过相应的综合单价限价时，投标文件将做废标处理。</w:t>
      </w:r>
      <w:r>
        <w:rPr>
          <w:rFonts w:hint="eastAsia" w:ascii="宋体" w:cs="宋体"/>
          <w:kern w:val="0"/>
          <w:szCs w:val="21"/>
          <w:u w:val="single"/>
        </w:rPr>
        <w:t>若投标人的投标报价计算错误，发包人有权作出修正，若修正后价格超过招标控制价时，</w:t>
      </w:r>
      <w:r>
        <w:rPr>
          <w:rFonts w:hint="eastAsia" w:ascii="宋体"/>
          <w:bCs/>
          <w:u w:val="single"/>
        </w:rPr>
        <w:t>投标文件将做废标处理</w:t>
      </w:r>
      <w:r>
        <w:rPr>
          <w:rFonts w:hint="eastAsia" w:ascii="宋体" w:cs="宋体"/>
          <w:kern w:val="0"/>
          <w:szCs w:val="21"/>
        </w:rPr>
        <w:t>。（</w:t>
      </w:r>
      <w:r>
        <w:rPr>
          <w:rFonts w:hint="eastAsia" w:ascii="宋体"/>
          <w:szCs w:val="21"/>
        </w:rPr>
        <w:t>经算术复核的投标人报价与其投标报价不一致时，按就低不就高原则确定其最终报价。）</w:t>
      </w:r>
    </w:p>
    <w:p>
      <w:pPr>
        <w:pStyle w:val="32"/>
        <w:rPr>
          <w:bCs/>
          <w:kern w:val="2"/>
          <w:sz w:val="21"/>
          <w:szCs w:val="24"/>
        </w:rPr>
      </w:pPr>
      <w:r>
        <w:rPr>
          <w:rFonts w:hint="eastAsia"/>
          <w:bCs/>
          <w:kern w:val="2"/>
          <w:sz w:val="21"/>
          <w:szCs w:val="24"/>
        </w:rPr>
        <w:t>5、工程测量费和工程物探费如有新增内容按国家发展计划委员会、建设部2002年颁布的《工程勘察设计收费标准》的标准下浮30%再乘以（1-中标下浮率）计算，其中用于办理规划报建、用地预审等规划国土手续的1:500地形测量费用，按国家测绘局颁发的国家测绘产品价格收费标准下浮30%再乘以（1-中标下浮率）计算。中标下浮率＝（1-投标报价/最高投标限价）</w:t>
      </w:r>
    </w:p>
    <w:p>
      <w:pPr>
        <w:pStyle w:val="32"/>
        <w:rPr>
          <w:bCs/>
          <w:kern w:val="2"/>
          <w:sz w:val="21"/>
          <w:szCs w:val="24"/>
        </w:rPr>
      </w:pPr>
    </w:p>
    <w:p>
      <w:pPr>
        <w:widowControl/>
        <w:jc w:val="left"/>
        <w:rPr>
          <w:rFonts w:ascii="宋体"/>
          <w:b/>
          <w:bCs/>
          <w:kern w:val="0"/>
          <w:sz w:val="32"/>
          <w:szCs w:val="32"/>
        </w:rPr>
      </w:pPr>
      <w:r>
        <w:rPr>
          <w:rFonts w:ascii="宋体"/>
          <w:kern w:val="0"/>
        </w:rPr>
        <w:br w:type="page"/>
      </w:r>
    </w:p>
    <w:p>
      <w:pPr>
        <w:pStyle w:val="6"/>
        <w:rPr>
          <w:rFonts w:ascii="宋体"/>
          <w:sz w:val="36"/>
          <w:szCs w:val="36"/>
          <w:lang w:val="zh-CN"/>
        </w:rPr>
      </w:pPr>
      <w:r>
        <w:rPr>
          <w:rFonts w:hint="eastAsia" w:ascii="宋体"/>
        </w:rPr>
        <w:t>格式</w:t>
      </w:r>
      <w:r>
        <w:rPr>
          <w:rFonts w:ascii="宋体"/>
        </w:rPr>
        <w:t>2</w:t>
      </w:r>
      <w:r>
        <w:rPr>
          <w:rFonts w:hint="eastAsia" w:ascii="宋体"/>
        </w:rPr>
        <w:t>：</w:t>
      </w:r>
    </w:p>
    <w:p>
      <w:pPr>
        <w:autoSpaceDE w:val="0"/>
        <w:autoSpaceDN w:val="0"/>
        <w:spacing w:line="360" w:lineRule="auto"/>
        <w:jc w:val="center"/>
        <w:rPr>
          <w:rFonts w:ascii="宋体" w:cs="宋体"/>
          <w:b/>
          <w:bCs/>
          <w:kern w:val="0"/>
          <w:sz w:val="36"/>
          <w:szCs w:val="36"/>
          <w:lang w:val="zh-CN"/>
        </w:rPr>
      </w:pPr>
      <w:r>
        <w:rPr>
          <w:rFonts w:hint="eastAsia" w:ascii="宋体" w:cs="宋体"/>
          <w:b/>
          <w:bCs/>
          <w:kern w:val="0"/>
          <w:sz w:val="36"/>
          <w:szCs w:val="36"/>
          <w:lang w:val="zh-CN"/>
        </w:rPr>
        <w:t>法定代表人（负责人）证明书、法定代表人授权委托书</w:t>
      </w:r>
    </w:p>
    <w:p>
      <w:pPr>
        <w:spacing w:line="360" w:lineRule="auto"/>
        <w:jc w:val="center"/>
        <w:rPr>
          <w:rFonts w:ascii="宋体" w:cs="宋体"/>
          <w:b/>
          <w:kern w:val="0"/>
          <w:sz w:val="28"/>
        </w:rPr>
      </w:pPr>
      <w:r>
        <w:rPr>
          <w:rFonts w:hint="eastAsia" w:ascii="宋体" w:cs="宋体"/>
          <w:b/>
          <w:kern w:val="0"/>
          <w:sz w:val="28"/>
        </w:rPr>
        <w:t>法定代表人（负责人）证明书</w:t>
      </w:r>
    </w:p>
    <w:p>
      <w:pPr>
        <w:spacing w:line="360" w:lineRule="auto"/>
        <w:jc w:val="right"/>
        <w:rPr>
          <w:rFonts w:ascii="宋体" w:cs="宋体"/>
          <w:kern w:val="0"/>
          <w:sz w:val="24"/>
        </w:rPr>
      </w:pPr>
      <w:r>
        <w:rPr>
          <w:rFonts w:hint="eastAsia" w:ascii="宋体" w:cs="宋体"/>
          <w:kern w:val="0"/>
        </w:rPr>
        <w:t>（　）第　号</w:t>
      </w:r>
    </w:p>
    <w:tbl>
      <w:tblPr>
        <w:tblStyle w:val="5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42" w:type="dxa"/>
          </w:tcPr>
          <w:p>
            <w:pPr>
              <w:spacing w:line="360" w:lineRule="auto"/>
              <w:rPr>
                <w:rFonts w:ascii="宋体" w:cs="宋体"/>
                <w:kern w:val="0"/>
                <w:sz w:val="24"/>
                <w:u w:val="single"/>
              </w:rPr>
            </w:pPr>
          </w:p>
          <w:p>
            <w:pPr>
              <w:spacing w:line="360" w:lineRule="auto"/>
              <w:rPr>
                <w:rFonts w:ascii="宋体" w:cs="宋体"/>
                <w:kern w:val="0"/>
                <w:sz w:val="24"/>
              </w:rPr>
            </w:pPr>
            <w:r>
              <w:rPr>
                <w:rFonts w:hint="eastAsia" w:ascii="宋体" w:cs="宋体"/>
                <w:kern w:val="0"/>
                <w:sz w:val="24"/>
              </w:rPr>
              <w:t xml:space="preserve"> 　　</w:t>
            </w:r>
            <w:r>
              <w:rPr>
                <w:rFonts w:hint="eastAsia" w:ascii="宋体" w:cs="宋体"/>
                <w:kern w:val="0"/>
                <w:sz w:val="24"/>
                <w:u w:val="single"/>
              </w:rPr>
              <w:t>　　　　</w:t>
            </w:r>
            <w:r>
              <w:rPr>
                <w:rFonts w:hint="eastAsia" w:ascii="宋体" w:cs="宋体"/>
                <w:kern w:val="0"/>
                <w:sz w:val="24"/>
              </w:rPr>
              <w:t>现任我单位</w:t>
            </w:r>
            <w:r>
              <w:rPr>
                <w:rFonts w:hint="eastAsia" w:ascii="宋体" w:cs="宋体"/>
                <w:kern w:val="0"/>
                <w:sz w:val="24"/>
                <w:u w:val="single"/>
              </w:rPr>
              <w:t>　　　　　</w:t>
            </w:r>
            <w:r>
              <w:rPr>
                <w:rFonts w:hint="eastAsia" w:ascii="宋体" w:cs="宋体"/>
                <w:kern w:val="0"/>
                <w:sz w:val="24"/>
              </w:rPr>
              <w:t>职务，为法定代表人（负责人），特此证明。</w:t>
            </w:r>
          </w:p>
          <w:p>
            <w:pPr>
              <w:spacing w:line="360" w:lineRule="auto"/>
              <w:rPr>
                <w:rFonts w:ascii="宋体" w:cs="宋体"/>
                <w:kern w:val="0"/>
                <w:sz w:val="24"/>
                <w:u w:val="single"/>
              </w:rPr>
            </w:pPr>
            <w:r>
              <w:rPr>
                <w:rFonts w:hint="eastAsia" w:ascii="宋体" w:cs="宋体"/>
                <w:kern w:val="0"/>
                <w:sz w:val="24"/>
              </w:rPr>
              <w:t>有效期限：</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附：法定代表人（负责人）性别：</w:t>
            </w:r>
            <w:r>
              <w:rPr>
                <w:rFonts w:hint="eastAsia" w:ascii="宋体" w:cs="宋体"/>
                <w:kern w:val="0"/>
                <w:sz w:val="24"/>
                <w:u w:val="single"/>
              </w:rPr>
              <w:t>　　</w:t>
            </w:r>
            <w:r>
              <w:rPr>
                <w:rFonts w:hint="eastAsia" w:ascii="宋体" w:cs="宋体"/>
                <w:kern w:val="0"/>
                <w:sz w:val="24"/>
              </w:rPr>
              <w:t>年龄：</w:t>
            </w:r>
            <w:r>
              <w:rPr>
                <w:rFonts w:hint="eastAsia" w:ascii="宋体" w:cs="宋体"/>
                <w:kern w:val="0"/>
                <w:sz w:val="24"/>
                <w:u w:val="single"/>
              </w:rPr>
              <w:t>　　</w:t>
            </w:r>
            <w:r>
              <w:rPr>
                <w:rFonts w:hint="eastAsia" w:ascii="宋体" w:cs="宋体"/>
                <w:kern w:val="0"/>
                <w:sz w:val="24"/>
              </w:rPr>
              <w:t>身份证号码：</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注册号码：</w:t>
            </w:r>
            <w:r>
              <w:rPr>
                <w:rFonts w:hint="eastAsia" w:ascii="宋体" w:cs="宋体"/>
                <w:kern w:val="0"/>
                <w:sz w:val="24"/>
                <w:u w:val="single"/>
              </w:rPr>
              <w:t>　　　　　　　　　　</w:t>
            </w:r>
            <w:r>
              <w:rPr>
                <w:rFonts w:hint="eastAsia" w:ascii="宋体" w:cs="宋体"/>
                <w:kern w:val="0"/>
                <w:sz w:val="24"/>
              </w:rPr>
              <w:t>企业类型：</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经营范围：</w:t>
            </w:r>
            <w:r>
              <w:rPr>
                <w:rFonts w:hint="eastAsia" w:ascii="宋体" w:cs="宋体"/>
                <w:kern w:val="0"/>
                <w:sz w:val="24"/>
                <w:u w:val="single"/>
              </w:rPr>
              <w:t xml:space="preserve">                          </w:t>
            </w:r>
          </w:p>
          <w:p>
            <w:pPr>
              <w:spacing w:line="360" w:lineRule="auto"/>
              <w:rPr>
                <w:rFonts w:ascii="宋体" w:cs="宋体"/>
                <w:kern w:val="0"/>
                <w:sz w:val="24"/>
              </w:rPr>
            </w:pPr>
            <w:r>
              <w:rPr>
                <w:rFonts w:hint="eastAsia" w:ascii="宋体" w:cs="宋体"/>
                <w:kern w:val="0"/>
                <w:sz w:val="24"/>
                <w:u w:val="single"/>
              </w:rPr>
              <w:t>　　　　　　　　　　　　　　　　</w:t>
            </w:r>
            <w:r>
              <w:rPr>
                <w:rFonts w:hint="eastAsia" w:ascii="宋体" w:cs="宋体"/>
                <w:kern w:val="0"/>
                <w:sz w:val="24"/>
              </w:rPr>
              <w:t>单位：　　　　　　（盖章）</w:t>
            </w:r>
          </w:p>
          <w:p>
            <w:pPr>
              <w:spacing w:line="360" w:lineRule="auto"/>
              <w:rPr>
                <w:rFonts w:ascii="宋体" w:cs="宋体"/>
                <w:kern w:val="0"/>
                <w:sz w:val="24"/>
              </w:rPr>
            </w:pPr>
            <w:r>
              <w:rPr>
                <w:rFonts w:hint="eastAsia" w:ascii="宋体" w:cs="宋体"/>
                <w:kern w:val="0"/>
                <w:sz w:val="24"/>
                <w:u w:val="single"/>
              </w:rPr>
              <w:t>　　　　　　　　　　　　　　　　</w:t>
            </w:r>
            <w:r>
              <w:rPr>
                <w:rFonts w:hint="eastAsia" w:ascii="宋体" w:cs="宋体"/>
                <w:kern w:val="0"/>
                <w:sz w:val="24"/>
              </w:rPr>
              <w:t>　　　　　    年　月　　日</w:t>
            </w:r>
          </w:p>
        </w:tc>
      </w:tr>
    </w:tbl>
    <w:p>
      <w:pPr>
        <w:spacing w:line="360" w:lineRule="auto"/>
        <w:rPr>
          <w:rFonts w:ascii="宋体" w:cs="宋体"/>
          <w:kern w:val="0"/>
          <w:szCs w:val="21"/>
        </w:rPr>
      </w:pPr>
      <w:r>
        <w:rPr>
          <w:rFonts w:hint="eastAsia" w:ascii="宋体" w:cs="宋体"/>
          <w:kern w:val="0"/>
          <w:szCs w:val="21"/>
        </w:rPr>
        <w:t>注：1、法定代表人证明书也可以采用工商行政管理局统一印制的格式。</w:t>
      </w:r>
    </w:p>
    <w:p>
      <w:pPr>
        <w:spacing w:line="360" w:lineRule="auto"/>
        <w:rPr>
          <w:rFonts w:ascii="宋体" w:cs="宋体"/>
          <w:kern w:val="0"/>
          <w:szCs w:val="21"/>
        </w:rPr>
      </w:pPr>
      <w:r>
        <w:rPr>
          <w:rFonts w:hint="eastAsia" w:ascii="宋体" w:cs="宋体"/>
          <w:kern w:val="0"/>
          <w:szCs w:val="21"/>
        </w:rPr>
        <w:t>2、联合体投标的，本证明书由主办方出具，仅填写主办方单位名称并由主办方盖章即可。</w:t>
      </w:r>
    </w:p>
    <w:p>
      <w:pPr>
        <w:spacing w:line="360" w:lineRule="auto"/>
        <w:jc w:val="center"/>
        <w:rPr>
          <w:rFonts w:ascii="宋体" w:cs="宋体"/>
          <w:b/>
          <w:kern w:val="0"/>
          <w:sz w:val="24"/>
        </w:rPr>
      </w:pPr>
      <w:r>
        <w:rPr>
          <w:rFonts w:hint="eastAsia" w:ascii="宋体" w:cs="宋体"/>
          <w:b/>
          <w:kern w:val="0"/>
          <w:sz w:val="24"/>
        </w:rPr>
        <w:t>法定代表人授权委托书</w:t>
      </w:r>
    </w:p>
    <w:p>
      <w:pPr>
        <w:spacing w:line="360" w:lineRule="auto"/>
        <w:jc w:val="right"/>
        <w:rPr>
          <w:rFonts w:ascii="宋体" w:cs="宋体"/>
          <w:kern w:val="0"/>
          <w:sz w:val="24"/>
        </w:rPr>
      </w:pPr>
      <w:r>
        <w:rPr>
          <w:rFonts w:hint="eastAsia" w:ascii="宋体" w:cs="宋体"/>
          <w:kern w:val="0"/>
        </w:rPr>
        <w:t>（　）第　号</w:t>
      </w:r>
    </w:p>
    <w:tbl>
      <w:tblPr>
        <w:tblStyle w:val="5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42" w:type="dxa"/>
          </w:tcPr>
          <w:p>
            <w:pPr>
              <w:spacing w:line="360" w:lineRule="auto"/>
              <w:ind w:firstLine="480" w:firstLineChars="200"/>
              <w:rPr>
                <w:rFonts w:ascii="宋体" w:cs="宋体"/>
                <w:kern w:val="0"/>
                <w:sz w:val="24"/>
                <w:u w:val="single"/>
              </w:rPr>
            </w:pPr>
            <w:r>
              <w:rPr>
                <w:rFonts w:hint="eastAsia" w:ascii="宋体" w:cs="宋体"/>
                <w:kern w:val="0"/>
                <w:sz w:val="24"/>
              </w:rPr>
              <w:t>兹授权</w:t>
            </w:r>
            <w:r>
              <w:rPr>
                <w:rFonts w:hint="eastAsia" w:ascii="宋体" w:cs="宋体"/>
                <w:kern w:val="0"/>
                <w:sz w:val="24"/>
                <w:u w:val="single"/>
              </w:rPr>
              <w:t xml:space="preserve">                </w:t>
            </w:r>
            <w:r>
              <w:rPr>
                <w:rFonts w:hint="eastAsia" w:ascii="宋体" w:cs="宋体"/>
                <w:kern w:val="0"/>
                <w:sz w:val="24"/>
              </w:rPr>
              <w:t>为我方委托代理人，其权限是：</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有效期限：</w:t>
            </w:r>
            <w:r>
              <w:rPr>
                <w:rFonts w:hint="eastAsia" w:ascii="宋体" w:cs="宋体"/>
                <w:kern w:val="0"/>
                <w:sz w:val="24"/>
                <w:u w:val="single"/>
              </w:rPr>
              <w:t xml:space="preserve">                                                      </w:t>
            </w:r>
          </w:p>
          <w:p>
            <w:pPr>
              <w:spacing w:line="360" w:lineRule="auto"/>
              <w:rPr>
                <w:rFonts w:ascii="宋体" w:cs="宋体"/>
                <w:kern w:val="0"/>
                <w:sz w:val="24"/>
              </w:rPr>
            </w:pPr>
            <w:r>
              <w:rPr>
                <w:rFonts w:hint="eastAsia" w:ascii="宋体" w:cs="宋体"/>
                <w:kern w:val="0"/>
                <w:sz w:val="24"/>
              </w:rPr>
              <w:t>附：代理人性别：</w:t>
            </w:r>
            <w:r>
              <w:rPr>
                <w:rFonts w:hint="eastAsia" w:ascii="宋体" w:cs="宋体"/>
                <w:kern w:val="0"/>
                <w:sz w:val="24"/>
                <w:u w:val="single"/>
              </w:rPr>
              <w:t xml:space="preserve">     </w:t>
            </w:r>
            <w:r>
              <w:rPr>
                <w:rFonts w:hint="eastAsia" w:ascii="宋体" w:cs="宋体"/>
                <w:kern w:val="0"/>
                <w:sz w:val="24"/>
              </w:rPr>
              <w:t>年龄：</w:t>
            </w:r>
            <w:r>
              <w:rPr>
                <w:rFonts w:hint="eastAsia" w:ascii="宋体" w:cs="宋体"/>
                <w:kern w:val="0"/>
                <w:sz w:val="24"/>
                <w:u w:val="single"/>
              </w:rPr>
              <w:t xml:space="preserve">     </w:t>
            </w:r>
            <w:r>
              <w:rPr>
                <w:rFonts w:hint="eastAsia" w:ascii="宋体" w:cs="宋体"/>
                <w:kern w:val="0"/>
                <w:sz w:val="24"/>
              </w:rPr>
              <w:t>身份证号码：</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注册号码：</w:t>
            </w:r>
            <w:r>
              <w:rPr>
                <w:rFonts w:hint="eastAsia" w:ascii="宋体" w:cs="宋体"/>
                <w:kern w:val="0"/>
                <w:sz w:val="24"/>
                <w:u w:val="single"/>
              </w:rPr>
              <w:t xml:space="preserve">                  </w:t>
            </w:r>
            <w:r>
              <w:rPr>
                <w:rFonts w:hint="eastAsia" w:ascii="宋体" w:cs="宋体"/>
                <w:kern w:val="0"/>
                <w:sz w:val="24"/>
              </w:rPr>
              <w:t>企业类型：</w:t>
            </w:r>
            <w:r>
              <w:rPr>
                <w:rFonts w:hint="eastAsia" w:ascii="宋体" w:cs="宋体"/>
                <w:kern w:val="0"/>
                <w:sz w:val="24"/>
                <w:u w:val="single"/>
              </w:rPr>
              <w:t xml:space="preserve">                      </w:t>
            </w:r>
          </w:p>
          <w:p>
            <w:pPr>
              <w:spacing w:line="360" w:lineRule="auto"/>
              <w:rPr>
                <w:rFonts w:ascii="宋体" w:cs="宋体"/>
                <w:kern w:val="0"/>
                <w:sz w:val="24"/>
                <w:u w:val="single"/>
              </w:rPr>
            </w:pPr>
            <w:r>
              <w:rPr>
                <w:rFonts w:hint="eastAsia" w:ascii="宋体" w:cs="宋体"/>
                <w:kern w:val="0"/>
                <w:sz w:val="24"/>
              </w:rPr>
              <w:t>经营范围：</w:t>
            </w:r>
            <w:r>
              <w:rPr>
                <w:rFonts w:hint="eastAsia" w:ascii="宋体" w:cs="宋体"/>
                <w:kern w:val="0"/>
                <w:sz w:val="24"/>
                <w:u w:val="single"/>
              </w:rPr>
              <w:t xml:space="preserve">                                                  </w:t>
            </w:r>
          </w:p>
          <w:p>
            <w:pPr>
              <w:spacing w:line="360" w:lineRule="auto"/>
              <w:rPr>
                <w:rFonts w:ascii="宋体" w:cs="宋体"/>
                <w:kern w:val="0"/>
                <w:sz w:val="24"/>
              </w:rPr>
            </w:pPr>
            <w:r>
              <w:rPr>
                <w:rFonts w:hint="eastAsia" w:ascii="宋体" w:cs="宋体"/>
                <w:kern w:val="0"/>
                <w:sz w:val="24"/>
              </w:rPr>
              <w:t>法定代表人（负责人）：</w:t>
            </w:r>
            <w:r>
              <w:rPr>
                <w:rFonts w:hint="eastAsia" w:ascii="宋体" w:cs="宋体"/>
                <w:kern w:val="0"/>
                <w:sz w:val="24"/>
                <w:u w:val="single"/>
              </w:rPr>
              <w:t xml:space="preserve">                 </w:t>
            </w:r>
            <w:r>
              <w:rPr>
                <w:rFonts w:hint="eastAsia" w:ascii="宋体" w:cs="宋体"/>
                <w:kern w:val="0"/>
                <w:sz w:val="24"/>
              </w:rPr>
              <w:t>（签名或盖章）</w:t>
            </w:r>
          </w:p>
          <w:p>
            <w:pPr>
              <w:spacing w:line="360" w:lineRule="auto"/>
              <w:rPr>
                <w:rFonts w:ascii="宋体" w:cs="宋体"/>
                <w:kern w:val="0"/>
                <w:sz w:val="24"/>
              </w:rPr>
            </w:pPr>
            <w:r>
              <w:rPr>
                <w:rFonts w:hint="eastAsia" w:ascii="宋体" w:cs="宋体"/>
                <w:kern w:val="0"/>
                <w:sz w:val="24"/>
              </w:rPr>
              <w:t>授权单位：（盖章）</w:t>
            </w:r>
            <w:r>
              <w:rPr>
                <w:rFonts w:hint="eastAsia" w:ascii="宋体" w:cs="宋体"/>
                <w:kern w:val="0"/>
                <w:sz w:val="24"/>
                <w:u w:val="single"/>
              </w:rPr>
              <w:t xml:space="preserve">                     </w:t>
            </w:r>
            <w:r>
              <w:rPr>
                <w:rFonts w:hint="eastAsia" w:ascii="宋体" w:cs="宋体"/>
                <w:kern w:val="0"/>
                <w:sz w:val="24"/>
              </w:rPr>
              <w:t xml:space="preserve"> </w:t>
            </w:r>
          </w:p>
          <w:p>
            <w:pPr>
              <w:spacing w:line="360" w:lineRule="auto"/>
              <w:rPr>
                <w:rFonts w:ascii="宋体" w:cs="宋体"/>
                <w:kern w:val="0"/>
                <w:sz w:val="24"/>
              </w:rPr>
            </w:pPr>
            <w:r>
              <w:rPr>
                <w:rFonts w:hint="eastAsia" w:ascii="宋体" w:cs="宋体"/>
                <w:kern w:val="0"/>
                <w:sz w:val="24"/>
              </w:rPr>
              <w:t>年  月   日</w:t>
            </w:r>
          </w:p>
        </w:tc>
      </w:tr>
    </w:tbl>
    <w:p>
      <w:pPr>
        <w:spacing w:line="360" w:lineRule="auto"/>
        <w:rPr>
          <w:rFonts w:ascii="宋体" w:cs="宋体"/>
          <w:kern w:val="0"/>
          <w:szCs w:val="21"/>
        </w:rPr>
      </w:pPr>
      <w:r>
        <w:rPr>
          <w:rFonts w:hint="eastAsia" w:ascii="宋体" w:cs="宋体"/>
          <w:kern w:val="0"/>
          <w:szCs w:val="21"/>
        </w:rPr>
        <w:t>注：1、法定代表人授权委托书也可以采用工商行政管理局统一印制的格式。</w:t>
      </w:r>
    </w:p>
    <w:p>
      <w:pPr>
        <w:spacing w:line="360" w:lineRule="auto"/>
        <w:ind w:left="-359" w:firstLine="630" w:firstLineChars="300"/>
        <w:rPr>
          <w:rFonts w:ascii="宋体" w:cs="宋体"/>
          <w:kern w:val="0"/>
          <w:szCs w:val="21"/>
        </w:rPr>
      </w:pPr>
      <w:r>
        <w:rPr>
          <w:rFonts w:hint="eastAsia" w:ascii="宋体" w:cs="宋体"/>
          <w:kern w:val="0"/>
          <w:szCs w:val="21"/>
        </w:rPr>
        <w:t>2、联合体投标的，本授权书由主办方出具，仅填写主办方单位名称并由主办方签字或盖章即可。</w:t>
      </w:r>
    </w:p>
    <w:p>
      <w:pPr>
        <w:widowControl/>
        <w:jc w:val="left"/>
        <w:rPr>
          <w:rFonts w:ascii="宋体"/>
          <w:b/>
          <w:bCs/>
          <w:kern w:val="0"/>
          <w:sz w:val="32"/>
          <w:szCs w:val="32"/>
        </w:rPr>
      </w:pPr>
      <w:r>
        <w:rPr>
          <w:rFonts w:hint="eastAsia" w:ascii="宋体"/>
          <w:b/>
          <w:kern w:val="0"/>
        </w:rPr>
        <w:t>后附法定代表人身份证和代理人身份证原件扫描件。</w:t>
      </w:r>
      <w:r>
        <w:rPr>
          <w:rFonts w:ascii="宋体"/>
          <w:kern w:val="0"/>
        </w:rPr>
        <w:br w:type="page"/>
      </w:r>
    </w:p>
    <w:p>
      <w:pPr>
        <w:pStyle w:val="6"/>
        <w:rPr>
          <w:rFonts w:ascii="宋体"/>
        </w:rPr>
      </w:pPr>
      <w:r>
        <w:rPr>
          <w:rFonts w:hint="eastAsia" w:ascii="宋体"/>
        </w:rPr>
        <w:t>格式</w:t>
      </w:r>
      <w:r>
        <w:rPr>
          <w:rFonts w:ascii="宋体"/>
        </w:rPr>
        <w:t>3</w:t>
      </w:r>
      <w:r>
        <w:rPr>
          <w:rFonts w:hint="eastAsia" w:ascii="宋体"/>
        </w:rPr>
        <w:t>：</w:t>
      </w:r>
    </w:p>
    <w:p>
      <w:pPr>
        <w:autoSpaceDE w:val="0"/>
        <w:autoSpaceDN w:val="0"/>
        <w:jc w:val="center"/>
        <w:rPr>
          <w:rFonts w:ascii="宋体" w:cs="宋体"/>
          <w:b/>
          <w:bCs/>
          <w:kern w:val="0"/>
          <w:sz w:val="32"/>
          <w:szCs w:val="32"/>
          <w:lang w:val="zh-CN"/>
        </w:rPr>
      </w:pPr>
      <w:r>
        <w:rPr>
          <w:rFonts w:hint="eastAsia" w:ascii="宋体" w:cs="宋体"/>
          <w:b/>
          <w:bCs/>
          <w:kern w:val="0"/>
          <w:sz w:val="32"/>
          <w:szCs w:val="32"/>
          <w:lang w:val="zh-CN"/>
        </w:rPr>
        <w:t>勘察设计投标书</w:t>
      </w:r>
    </w:p>
    <w:p>
      <w:pPr>
        <w:spacing w:line="360" w:lineRule="auto"/>
        <w:jc w:val="left"/>
        <w:rPr>
          <w:rFonts w:ascii="宋体" w:cs="宋体"/>
          <w:kern w:val="0"/>
          <w:sz w:val="24"/>
          <w:szCs w:val="24"/>
        </w:rPr>
      </w:pPr>
      <w:r>
        <w:rPr>
          <w:rFonts w:hint="eastAsia" w:ascii="宋体" w:cs="宋体"/>
          <w:kern w:val="0"/>
          <w:sz w:val="24"/>
          <w:szCs w:val="24"/>
        </w:rPr>
        <w:t>项目名称：</w:t>
      </w:r>
      <w:r>
        <w:rPr>
          <w:rFonts w:hint="eastAsia" w:ascii="宋体" w:cs="宋体"/>
          <w:kern w:val="0"/>
          <w:sz w:val="24"/>
          <w:szCs w:val="24"/>
          <w:u w:val="single"/>
        </w:rPr>
        <w:t xml:space="preserve">              </w:t>
      </w:r>
    </w:p>
    <w:p>
      <w:pPr>
        <w:spacing w:line="360" w:lineRule="auto"/>
        <w:rPr>
          <w:rFonts w:ascii="宋体" w:cs="宋体"/>
          <w:kern w:val="0"/>
          <w:sz w:val="24"/>
          <w:szCs w:val="24"/>
        </w:rPr>
      </w:pPr>
      <w:r>
        <w:rPr>
          <w:rFonts w:hint="eastAsia" w:ascii="宋体" w:cs="宋体"/>
          <w:kern w:val="0"/>
          <w:sz w:val="24"/>
          <w:szCs w:val="24"/>
        </w:rPr>
        <w:t>致：</w:t>
      </w:r>
      <w:r>
        <w:rPr>
          <w:rFonts w:hint="eastAsia" w:ascii="宋体" w:cs="宋体"/>
          <w:kern w:val="0"/>
          <w:sz w:val="24"/>
          <w:szCs w:val="24"/>
          <w:u w:val="single"/>
        </w:rPr>
        <w:t xml:space="preserve"> </w:t>
      </w:r>
      <w:r>
        <w:rPr>
          <w:rFonts w:ascii="宋体" w:cs="宋体"/>
          <w:kern w:val="0"/>
          <w:sz w:val="24"/>
          <w:szCs w:val="24"/>
          <w:u w:val="single"/>
        </w:rPr>
        <w:t xml:space="preserve">                        </w:t>
      </w:r>
    </w:p>
    <w:p>
      <w:pPr>
        <w:spacing w:line="360" w:lineRule="auto"/>
        <w:ind w:firstLine="480" w:firstLineChars="200"/>
        <w:rPr>
          <w:rFonts w:ascii="宋体" w:cs="宋体"/>
          <w:kern w:val="0"/>
          <w:sz w:val="24"/>
          <w:szCs w:val="24"/>
        </w:rPr>
      </w:pPr>
      <w:r>
        <w:rPr>
          <w:rFonts w:hint="eastAsia" w:ascii="宋体" w:cs="宋体"/>
          <w:kern w:val="0"/>
          <w:sz w:val="24"/>
          <w:szCs w:val="24"/>
        </w:rPr>
        <w:t>我方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w:t>
      </w:r>
      <w:r>
        <w:rPr>
          <w:rFonts w:hint="eastAsia" w:ascii="宋体" w:cs="宋体"/>
          <w:kern w:val="0"/>
          <w:sz w:val="24"/>
          <w:szCs w:val="24"/>
          <w:u w:val="single"/>
        </w:rPr>
        <w:t>我方愿以《</w:t>
      </w:r>
      <w:r>
        <w:rPr>
          <w:rFonts w:hint="eastAsia" w:ascii="宋体" w:cs="宋体"/>
          <w:kern w:val="0"/>
          <w:sz w:val="24"/>
          <w:szCs w:val="24"/>
          <w:u w:val="single"/>
          <w:lang w:val="zh-CN"/>
        </w:rPr>
        <w:t>广州建设工程招标投标书</w:t>
      </w:r>
      <w:r>
        <w:rPr>
          <w:rFonts w:hint="eastAsia" w:ascii="宋体" w:cs="宋体"/>
          <w:kern w:val="0"/>
          <w:sz w:val="24"/>
          <w:szCs w:val="24"/>
          <w:u w:val="single"/>
        </w:rPr>
        <w:t>》的勘察费、设计费报价，承包本次招标所包含勘察和设计的工作，并承担质量缺陷责任。</w:t>
      </w:r>
      <w:r>
        <w:rPr>
          <w:rFonts w:hint="eastAsia" w:ascii="宋体" w:cs="宋体"/>
          <w:kern w:val="0"/>
          <w:sz w:val="24"/>
          <w:szCs w:val="24"/>
        </w:rPr>
        <w:t>本项目</w:t>
      </w:r>
      <w:r>
        <w:rPr>
          <w:rFonts w:hint="eastAsia" w:ascii="宋体" w:cs="宋体"/>
          <w:kern w:val="0"/>
          <w:sz w:val="24"/>
          <w:szCs w:val="24"/>
          <w:u w:val="single"/>
        </w:rPr>
        <w:t>设计</w:t>
      </w:r>
      <w:r>
        <w:rPr>
          <w:rFonts w:hint="eastAsia" w:ascii="宋体" w:cs="宋体"/>
          <w:kern w:val="0"/>
          <w:sz w:val="24"/>
          <w:szCs w:val="24"/>
        </w:rPr>
        <w:t>负责人是</w:t>
      </w:r>
      <w:r>
        <w:rPr>
          <w:rFonts w:hint="eastAsia" w:ascii="宋体" w:cs="宋体"/>
          <w:kern w:val="0"/>
          <w:sz w:val="24"/>
          <w:szCs w:val="24"/>
          <w:u w:val="single"/>
        </w:rPr>
        <w:t xml:space="preserve">       </w:t>
      </w:r>
      <w:r>
        <w:rPr>
          <w:rFonts w:hint="eastAsia" w:ascii="宋体" w:cs="宋体"/>
          <w:kern w:val="0"/>
          <w:sz w:val="24"/>
          <w:szCs w:val="24"/>
        </w:rPr>
        <w:t>。</w:t>
      </w:r>
      <w:r>
        <w:rPr>
          <w:rFonts w:hint="eastAsia" w:ascii="宋体" w:cs="Courier New"/>
          <w:kern w:val="0"/>
          <w:sz w:val="24"/>
          <w:szCs w:val="24"/>
        </w:rPr>
        <w:t>如我司成为本项目中标候选人，我司同意并授权招标人将我司投标文件商务部分的人员、业绩、奖项等资料进行公开。</w:t>
      </w:r>
    </w:p>
    <w:p>
      <w:pPr>
        <w:spacing w:line="360" w:lineRule="auto"/>
        <w:ind w:firstLine="480" w:firstLineChars="200"/>
        <w:rPr>
          <w:rFonts w:ascii="宋体" w:cs="宋体"/>
          <w:kern w:val="0"/>
          <w:sz w:val="24"/>
          <w:szCs w:val="24"/>
        </w:rPr>
      </w:pPr>
      <w:r>
        <w:rPr>
          <w:rFonts w:hint="eastAsia" w:ascii="宋体" w:cs="宋体"/>
          <w:kern w:val="0"/>
          <w:sz w:val="24"/>
          <w:szCs w:val="24"/>
        </w:rPr>
        <w:t>我方遵守本投标书直至投标有效期满，在该日期前，本投标书对我方一直具有约束力，随时可接受中标。我方承认所附设计文件资料为本投标书的一部分。如果我方投标书含有不符合招标文件规定的内容，我方同意按招标文件规定予以修正。我方接受你方关于任命争端裁决委员会的建议。</w:t>
      </w:r>
    </w:p>
    <w:p>
      <w:pPr>
        <w:spacing w:line="360" w:lineRule="auto"/>
        <w:ind w:firstLine="480"/>
        <w:rPr>
          <w:rFonts w:ascii="宋体" w:cs="宋体"/>
          <w:kern w:val="0"/>
          <w:sz w:val="24"/>
          <w:szCs w:val="24"/>
        </w:rPr>
      </w:pPr>
      <w:r>
        <w:rPr>
          <w:rFonts w:hint="eastAsia" w:ascii="宋体" w:cs="宋体"/>
          <w:kern w:val="0"/>
          <w:sz w:val="24"/>
          <w:szCs w:val="24"/>
        </w:rPr>
        <w:t>我方认同招标文件规定的评审规则，遵守评标委员会的裁决结果，并且不会采取妨碍项目进展的行为。我方理解你方没有必须接受你方可能收到的最低标或任何投标的义务。</w:t>
      </w:r>
    </w:p>
    <w:p>
      <w:pPr>
        <w:spacing w:line="360" w:lineRule="auto"/>
        <w:ind w:firstLine="480"/>
        <w:rPr>
          <w:rFonts w:ascii="宋体" w:cs="宋体"/>
          <w:kern w:val="0"/>
          <w:sz w:val="24"/>
          <w:szCs w:val="24"/>
        </w:rPr>
      </w:pPr>
      <w:r>
        <w:rPr>
          <w:rFonts w:hint="eastAsia" w:ascii="宋体" w:cs="宋体"/>
          <w:kern w:val="0"/>
          <w:sz w:val="24"/>
          <w:szCs w:val="24"/>
        </w:rPr>
        <w:t>如果我方中标，我方将提供规定的履约担保，将在合同规定的日期开工，并在竣工时间内，按照上述文件完成项目。</w:t>
      </w:r>
    </w:p>
    <w:p>
      <w:pPr>
        <w:spacing w:line="360" w:lineRule="auto"/>
        <w:ind w:firstLine="480" w:firstLineChars="200"/>
        <w:rPr>
          <w:rFonts w:ascii="宋体" w:cs="宋体"/>
          <w:kern w:val="0"/>
          <w:sz w:val="24"/>
          <w:szCs w:val="24"/>
        </w:rPr>
      </w:pPr>
      <w:r>
        <w:rPr>
          <w:rFonts w:hint="eastAsia" w:ascii="宋体" w:cs="宋体"/>
          <w:kern w:val="0"/>
          <w:sz w:val="24"/>
          <w:szCs w:val="24"/>
        </w:rPr>
        <w:t>除非制订正式合同协议书并生效，本投标书以及你方中标通知书，应构成你我双方间具有约束力的合同。</w:t>
      </w:r>
    </w:p>
    <w:p>
      <w:pPr>
        <w:spacing w:line="360" w:lineRule="auto"/>
        <w:ind w:firstLine="3840" w:firstLineChars="1600"/>
        <w:rPr>
          <w:rFonts w:ascii="宋体" w:cs="宋体"/>
          <w:kern w:val="0"/>
          <w:sz w:val="24"/>
        </w:rPr>
      </w:pPr>
    </w:p>
    <w:p>
      <w:pPr>
        <w:spacing w:line="360" w:lineRule="auto"/>
        <w:ind w:firstLine="3840" w:firstLineChars="1600"/>
        <w:rPr>
          <w:rFonts w:ascii="宋体" w:cs="宋体"/>
          <w:kern w:val="0"/>
          <w:sz w:val="24"/>
        </w:rPr>
      </w:pPr>
      <w:r>
        <w:rPr>
          <w:rFonts w:hint="eastAsia" w:ascii="宋体" w:cs="宋体"/>
          <w:kern w:val="0"/>
          <w:sz w:val="24"/>
        </w:rPr>
        <w:t>投标人：    （盖章）</w:t>
      </w:r>
    </w:p>
    <w:p>
      <w:pPr>
        <w:spacing w:line="360" w:lineRule="auto"/>
        <w:ind w:firstLine="3840" w:firstLineChars="1600"/>
        <w:rPr>
          <w:rFonts w:ascii="宋体" w:cs="宋体"/>
          <w:kern w:val="0"/>
          <w:sz w:val="24"/>
        </w:rPr>
      </w:pPr>
      <w:r>
        <w:rPr>
          <w:rFonts w:hint="eastAsia" w:ascii="宋体" w:cs="宋体"/>
          <w:kern w:val="0"/>
          <w:sz w:val="24"/>
        </w:rPr>
        <w:t>法定代表人或其授权代理人(签名或盖章)：</w:t>
      </w:r>
    </w:p>
    <w:p>
      <w:pPr>
        <w:spacing w:line="360" w:lineRule="auto"/>
        <w:ind w:firstLine="3840" w:firstLineChars="1600"/>
        <w:rPr>
          <w:rFonts w:ascii="宋体" w:cs="宋体"/>
          <w:kern w:val="0"/>
          <w:sz w:val="24"/>
        </w:rPr>
      </w:pPr>
      <w:r>
        <w:rPr>
          <w:rFonts w:hint="eastAsia" w:ascii="宋体" w:cs="宋体"/>
          <w:kern w:val="0"/>
          <w:sz w:val="24"/>
        </w:rPr>
        <w:t>日   期：    年    月    日</w:t>
      </w:r>
    </w:p>
    <w:p>
      <w:pPr>
        <w:spacing w:line="360" w:lineRule="auto"/>
        <w:jc w:val="left"/>
        <w:rPr>
          <w:rFonts w:ascii="宋体" w:cs="宋体"/>
          <w:kern w:val="0"/>
          <w:sz w:val="24"/>
          <w:szCs w:val="24"/>
        </w:rPr>
      </w:pPr>
    </w:p>
    <w:p>
      <w:pPr>
        <w:spacing w:line="360" w:lineRule="auto"/>
        <w:jc w:val="left"/>
        <w:rPr>
          <w:rFonts w:ascii="宋体" w:cs="宋体"/>
          <w:b/>
          <w:kern w:val="0"/>
          <w:sz w:val="24"/>
          <w:szCs w:val="24"/>
        </w:rPr>
      </w:pPr>
      <w:r>
        <w:rPr>
          <w:rFonts w:hint="eastAsia" w:ascii="宋体" w:cs="宋体"/>
          <w:b/>
          <w:kern w:val="0"/>
          <w:sz w:val="24"/>
          <w:szCs w:val="24"/>
        </w:rPr>
        <w:t>注：联合体投标的，“投标人”一栏需书写所有联合体成员的单位全称，可由主办方签署、盖章。</w:t>
      </w:r>
      <w:r>
        <w:rPr>
          <w:kern w:val="0"/>
        </w:rPr>
        <w:br w:type="page"/>
      </w:r>
    </w:p>
    <w:p>
      <w:pPr>
        <w:pStyle w:val="6"/>
        <w:rPr>
          <w:rFonts w:ascii="宋体"/>
          <w:lang w:val="zh-CN"/>
        </w:rPr>
      </w:pPr>
      <w:r>
        <w:rPr>
          <w:rFonts w:hint="eastAsia" w:ascii="宋体"/>
        </w:rPr>
        <w:t>格式</w:t>
      </w:r>
      <w:r>
        <w:rPr>
          <w:rFonts w:ascii="宋体"/>
        </w:rPr>
        <w:t>4</w:t>
      </w:r>
      <w:r>
        <w:rPr>
          <w:rFonts w:hint="eastAsia" w:ascii="宋体"/>
        </w:rPr>
        <w:t>：</w:t>
      </w:r>
    </w:p>
    <w:p>
      <w:pPr>
        <w:autoSpaceDE w:val="0"/>
        <w:autoSpaceDN w:val="0"/>
        <w:spacing w:line="360" w:lineRule="auto"/>
        <w:jc w:val="center"/>
        <w:rPr>
          <w:rFonts w:ascii="宋体" w:cs="宋体"/>
          <w:b/>
          <w:bCs/>
          <w:kern w:val="0"/>
          <w:sz w:val="28"/>
          <w:szCs w:val="28"/>
          <w:lang w:val="zh-CN"/>
        </w:rPr>
      </w:pPr>
      <w:r>
        <w:rPr>
          <w:rFonts w:hint="eastAsia" w:ascii="宋体" w:cs="宋体"/>
          <w:b/>
          <w:bCs/>
          <w:kern w:val="0"/>
          <w:sz w:val="28"/>
          <w:szCs w:val="28"/>
          <w:lang w:val="zh-CN"/>
        </w:rPr>
        <w:t>投标承诺书</w:t>
      </w:r>
    </w:p>
    <w:p>
      <w:pPr>
        <w:spacing w:line="300" w:lineRule="auto"/>
        <w:rPr>
          <w:rFonts w:ascii="宋体" w:cs="宋体"/>
          <w:kern w:val="0"/>
          <w:sz w:val="24"/>
        </w:rPr>
      </w:pPr>
      <w:r>
        <w:rPr>
          <w:rFonts w:hint="eastAsia" w:ascii="宋体" w:cs="宋体"/>
          <w:kern w:val="0"/>
          <w:sz w:val="24"/>
        </w:rPr>
        <w:t>致：</w:t>
      </w:r>
      <w:r>
        <w:rPr>
          <w:rFonts w:hint="eastAsia" w:ascii="宋体" w:cs="宋体"/>
          <w:kern w:val="0"/>
          <w:sz w:val="24"/>
          <w:u w:val="single"/>
        </w:rPr>
        <w:t xml:space="preserve">     （招标人名称）       </w:t>
      </w:r>
    </w:p>
    <w:p>
      <w:pPr>
        <w:spacing w:line="300" w:lineRule="auto"/>
        <w:ind w:firstLine="480" w:firstLineChars="200"/>
        <w:rPr>
          <w:rFonts w:ascii="宋体" w:cs="宋体"/>
          <w:kern w:val="0"/>
          <w:sz w:val="24"/>
        </w:rPr>
      </w:pPr>
      <w:r>
        <w:rPr>
          <w:rFonts w:hint="eastAsia" w:ascii="宋体" w:cs="宋体"/>
          <w:kern w:val="0"/>
          <w:sz w:val="24"/>
        </w:rPr>
        <w:t>我司确认收到贵司提供的</w:t>
      </w:r>
      <w:r>
        <w:rPr>
          <w:rFonts w:hint="eastAsia" w:ascii="宋体" w:cs="宋体"/>
          <w:kern w:val="0"/>
          <w:sz w:val="24"/>
          <w:u w:val="single"/>
        </w:rPr>
        <w:t xml:space="preserve">      （项目名称）      </w:t>
      </w:r>
      <w:r>
        <w:rPr>
          <w:rFonts w:hint="eastAsia" w:ascii="宋体" w:cs="宋体"/>
          <w:kern w:val="0"/>
          <w:sz w:val="24"/>
        </w:rPr>
        <w:t>招标文件的全部内容，我司：</w:t>
      </w:r>
      <w:r>
        <w:rPr>
          <w:rFonts w:hint="eastAsia" w:ascii="宋体" w:cs="宋体"/>
          <w:kern w:val="0"/>
          <w:sz w:val="24"/>
          <w:u w:val="single"/>
        </w:rPr>
        <w:t xml:space="preserve">       (投标人名称)      </w:t>
      </w:r>
      <w:r>
        <w:rPr>
          <w:rFonts w:hint="eastAsia" w:ascii="宋体" w:cs="宋体"/>
          <w:kern w:val="0"/>
          <w:sz w:val="24"/>
        </w:rPr>
        <w:t>已作为投标人正式授权</w:t>
      </w:r>
      <w:r>
        <w:rPr>
          <w:rFonts w:hint="eastAsia" w:ascii="宋体" w:cs="宋体"/>
          <w:kern w:val="0"/>
          <w:sz w:val="24"/>
          <w:u w:val="single"/>
        </w:rPr>
        <w:t xml:space="preserve">         (授权代表全名，职务)    </w:t>
      </w:r>
      <w:r>
        <w:rPr>
          <w:rFonts w:hint="eastAsia" w:ascii="宋体" w:cs="宋体"/>
          <w:kern w:val="0"/>
          <w:sz w:val="24"/>
        </w:rPr>
        <w:t>代表我司进行有关本投标的一切事宜。</w:t>
      </w:r>
    </w:p>
    <w:p>
      <w:pPr>
        <w:spacing w:line="300" w:lineRule="auto"/>
        <w:ind w:firstLine="480" w:firstLineChars="200"/>
        <w:rPr>
          <w:rFonts w:ascii="宋体" w:cs="宋体"/>
          <w:kern w:val="0"/>
          <w:sz w:val="24"/>
        </w:rPr>
      </w:pPr>
      <w:r>
        <w:rPr>
          <w:rFonts w:hint="eastAsia" w:ascii="宋体" w:cs="宋体"/>
          <w:kern w:val="0"/>
          <w:sz w:val="24"/>
        </w:rPr>
        <w:t>我司已完全明白和接受招标文件的所有条款要求，并重申以下几点：</w:t>
      </w:r>
    </w:p>
    <w:p>
      <w:pPr>
        <w:spacing w:line="300" w:lineRule="auto"/>
        <w:ind w:firstLine="480" w:firstLineChars="200"/>
        <w:rPr>
          <w:rFonts w:ascii="宋体" w:cs="宋体"/>
          <w:kern w:val="0"/>
          <w:sz w:val="24"/>
        </w:rPr>
      </w:pPr>
      <w:r>
        <w:rPr>
          <w:rFonts w:hint="eastAsia" w:ascii="宋体" w:cs="宋体"/>
          <w:kern w:val="0"/>
          <w:sz w:val="24"/>
        </w:rPr>
        <w:t>1．我司已详细研究并理解招标人提供的所有资料内容，同意招标文件的内容，对招标文件内容和约束无异议，充分了解了现场条件对可能存在的所有风险都已充分考虑，我司放弃在此方面提出含糊意见或误解的一切权力，承认招标文件的所有条款，按招标文件规定条款完成本次招标项目的内容。</w:t>
      </w:r>
    </w:p>
    <w:p>
      <w:pPr>
        <w:spacing w:line="300" w:lineRule="auto"/>
        <w:ind w:firstLine="480" w:firstLineChars="200"/>
        <w:rPr>
          <w:rFonts w:ascii="宋体" w:cs="宋体"/>
          <w:kern w:val="0"/>
          <w:sz w:val="24"/>
        </w:rPr>
      </w:pPr>
      <w:r>
        <w:rPr>
          <w:rFonts w:hint="eastAsia" w:ascii="宋体" w:cs="宋体"/>
          <w:kern w:val="0"/>
          <w:sz w:val="24"/>
        </w:rPr>
        <w:t>2. 我司已充分阅读了本项目招标文件并充分了解有关报价方式及变更、结算方式，我司完全响应招标文件的规定。</w:t>
      </w:r>
    </w:p>
    <w:p>
      <w:pPr>
        <w:spacing w:line="300" w:lineRule="auto"/>
        <w:ind w:firstLine="480" w:firstLineChars="200"/>
        <w:rPr>
          <w:rFonts w:ascii="宋体" w:cs="宋体"/>
          <w:kern w:val="0"/>
          <w:sz w:val="24"/>
        </w:rPr>
      </w:pPr>
      <w:r>
        <w:rPr>
          <w:rFonts w:hint="eastAsia" w:ascii="宋体" w:cs="宋体"/>
          <w:kern w:val="0"/>
          <w:sz w:val="24"/>
        </w:rPr>
        <w:t>3．本投标文件的有效期为投标截止日后</w:t>
      </w:r>
      <w:r>
        <w:rPr>
          <w:rFonts w:hint="eastAsia" w:ascii="宋体" w:cs="宋体"/>
          <w:b/>
          <w:kern w:val="0"/>
          <w:sz w:val="24"/>
          <w:u w:val="single"/>
        </w:rPr>
        <w:t>120日历天</w:t>
      </w:r>
      <w:r>
        <w:rPr>
          <w:rFonts w:hint="eastAsia" w:ascii="宋体" w:cs="宋体"/>
          <w:kern w:val="0"/>
          <w:sz w:val="24"/>
        </w:rPr>
        <w:t>内有效；</w:t>
      </w:r>
    </w:p>
    <w:p>
      <w:pPr>
        <w:spacing w:line="300" w:lineRule="auto"/>
        <w:ind w:firstLine="480" w:firstLineChars="200"/>
        <w:rPr>
          <w:rFonts w:ascii="宋体" w:cs="宋体"/>
          <w:kern w:val="0"/>
          <w:sz w:val="24"/>
        </w:rPr>
      </w:pPr>
      <w:r>
        <w:rPr>
          <w:rFonts w:hint="eastAsia" w:ascii="宋体" w:cs="宋体"/>
          <w:kern w:val="0"/>
          <w:sz w:val="24"/>
        </w:rPr>
        <w:t>4．我司承诺投标文件中的一切资料、数据是真实的，并承担由此引起的一切责任。</w:t>
      </w:r>
    </w:p>
    <w:p>
      <w:pPr>
        <w:spacing w:line="300" w:lineRule="auto"/>
        <w:ind w:firstLine="480" w:firstLineChars="200"/>
        <w:rPr>
          <w:rFonts w:ascii="宋体" w:cs="宋体"/>
          <w:kern w:val="0"/>
          <w:sz w:val="24"/>
        </w:rPr>
      </w:pPr>
      <w:r>
        <w:rPr>
          <w:rFonts w:hint="eastAsia" w:ascii="宋体" w:cs="宋体"/>
          <w:kern w:val="0"/>
          <w:sz w:val="24"/>
        </w:rPr>
        <w:t>5．我司明白并愿意若在规定的投标截止时间之后至投标有效期之内撤回投标，则投标担保将被贵司没收。</w:t>
      </w:r>
    </w:p>
    <w:p>
      <w:pPr>
        <w:spacing w:line="300" w:lineRule="auto"/>
        <w:ind w:firstLine="480" w:firstLineChars="200"/>
        <w:rPr>
          <w:rFonts w:ascii="宋体" w:cs="宋体"/>
          <w:kern w:val="0"/>
          <w:sz w:val="24"/>
        </w:rPr>
      </w:pPr>
      <w:r>
        <w:rPr>
          <w:rFonts w:hint="eastAsia" w:ascii="宋体" w:cs="宋体"/>
          <w:kern w:val="0"/>
          <w:sz w:val="24"/>
        </w:rPr>
        <w:t>6．我司同意按照贵司可能提出的要求而提供与投标有关的任何其它数据或信息。</w:t>
      </w:r>
    </w:p>
    <w:p>
      <w:pPr>
        <w:spacing w:line="300" w:lineRule="auto"/>
        <w:ind w:firstLine="480" w:firstLineChars="200"/>
        <w:rPr>
          <w:rFonts w:ascii="宋体" w:cs="宋体"/>
          <w:kern w:val="0"/>
          <w:sz w:val="24"/>
        </w:rPr>
      </w:pPr>
      <w:r>
        <w:rPr>
          <w:rFonts w:hint="eastAsia" w:ascii="宋体" w:cs="宋体"/>
          <w:kern w:val="0"/>
          <w:sz w:val="24"/>
        </w:rPr>
        <w:t>7．我司如果中标，我司保证：</w:t>
      </w:r>
    </w:p>
    <w:p>
      <w:pPr>
        <w:spacing w:line="300" w:lineRule="auto"/>
        <w:ind w:firstLine="480" w:firstLineChars="200"/>
        <w:rPr>
          <w:rFonts w:ascii="宋体" w:cs="宋体"/>
          <w:kern w:val="0"/>
          <w:sz w:val="24"/>
        </w:rPr>
      </w:pPr>
      <w:r>
        <w:rPr>
          <w:rFonts w:hint="eastAsia" w:ascii="宋体" w:cs="宋体"/>
          <w:kern w:val="0"/>
          <w:sz w:val="24"/>
        </w:rPr>
        <w:t>7.1保证履行招标文件以及招标文件修改书(如有)中的全部责任和义务，在中标通知书规定的时间内签订合同，并严格按国家有关法规履行我司的全部责任，按质、按量、按期完成合同约定的全部任务。</w:t>
      </w:r>
    </w:p>
    <w:p>
      <w:pPr>
        <w:spacing w:line="300" w:lineRule="auto"/>
        <w:ind w:firstLine="480" w:firstLineChars="200"/>
        <w:rPr>
          <w:rFonts w:ascii="宋体" w:cs="宋体"/>
          <w:kern w:val="0"/>
          <w:sz w:val="24"/>
        </w:rPr>
      </w:pPr>
      <w:r>
        <w:rPr>
          <w:rFonts w:hint="eastAsia" w:ascii="宋体" w:cs="宋体"/>
          <w:kern w:val="0"/>
          <w:sz w:val="24"/>
        </w:rPr>
        <w:t>7.2保证将我司的资质承包范围不能涵盖或不具备相应能力(该能力须保证进度和质量且须获得发包人认可)的部分专业工程（如果有），委托获得发包人批准的具备相应专业资质和能力的单位实施，确保项目质量及进度。</w:t>
      </w:r>
    </w:p>
    <w:p>
      <w:pPr>
        <w:spacing w:line="300" w:lineRule="auto"/>
        <w:ind w:firstLine="480" w:firstLineChars="200"/>
        <w:rPr>
          <w:rFonts w:ascii="宋体" w:cs="宋体"/>
          <w:kern w:val="0"/>
          <w:sz w:val="24"/>
        </w:rPr>
      </w:pPr>
      <w:r>
        <w:rPr>
          <w:rFonts w:hint="eastAsia" w:ascii="宋体" w:cs="宋体"/>
          <w:kern w:val="0"/>
          <w:sz w:val="24"/>
        </w:rPr>
        <w:t>7.3保证所完成的设计将完全符合国家相关规范要求，符合或优于招标文件、技术条件、合同条款的要求。若我司完成的设计文件未能达到发包人（或相关政府部门）的要求，我司将无条件根据要求进行修改设计文件，直至得到发包人（及相关政府部门）的认可为止。</w:t>
      </w:r>
    </w:p>
    <w:p>
      <w:pPr>
        <w:spacing w:line="300" w:lineRule="auto"/>
        <w:ind w:firstLine="480" w:firstLineChars="200"/>
        <w:rPr>
          <w:rFonts w:ascii="宋体" w:cs="宋体"/>
          <w:kern w:val="0"/>
          <w:sz w:val="24"/>
        </w:rPr>
      </w:pPr>
      <w:r>
        <w:rPr>
          <w:rFonts w:hint="eastAsia" w:ascii="宋体" w:cs="宋体"/>
          <w:kern w:val="0"/>
          <w:sz w:val="24"/>
        </w:rPr>
        <w:t>7.4保证尽一切力量确保投标承诺的竣工日期，若我司未能按投标承诺的工期完成本项目，除承担合同约定的违约责任外，发包人有权解除合同，我司承担由于违约解除合同退场造成的对发包人的一切损失。</w:t>
      </w:r>
    </w:p>
    <w:p>
      <w:pPr>
        <w:spacing w:line="300" w:lineRule="auto"/>
        <w:ind w:firstLine="480" w:firstLineChars="200"/>
        <w:rPr>
          <w:rFonts w:ascii="宋体" w:cs="宋体"/>
          <w:kern w:val="0"/>
          <w:sz w:val="24"/>
        </w:rPr>
      </w:pPr>
      <w:r>
        <w:rPr>
          <w:rFonts w:hint="eastAsia" w:ascii="宋体" w:cs="宋体"/>
          <w:kern w:val="0"/>
          <w:sz w:val="24"/>
        </w:rPr>
        <w:t>7.5</w:t>
      </w:r>
      <w:r>
        <w:rPr>
          <w:rFonts w:hint="eastAsia" w:ascii="宋体" w:cs="宋体"/>
          <w:kern w:val="0"/>
          <w:sz w:val="24"/>
          <w:szCs w:val="24"/>
          <w:u w:val="single"/>
        </w:rPr>
        <w:t>我公司保证拟派项目负责人应符合《广州市住房和城乡建设局关于加强建筑工程项目负责人管理的通知》（穗建规字〔2020〕32号）文的要求，</w:t>
      </w:r>
      <w:r>
        <w:rPr>
          <w:rFonts w:hint="eastAsia" w:ascii="宋体" w:cs="宋体"/>
          <w:kern w:val="0"/>
          <w:sz w:val="24"/>
        </w:rPr>
        <w:t>保证投标所报的项目负责人、设计负责人在本项目合同签订后7日内到职，全过程服务于本项目，在过程中非不可抗力或发包人要求不得更换。我司违反以上承诺的，同意按合同条款的规定承担违约责任。</w:t>
      </w:r>
    </w:p>
    <w:p>
      <w:pPr>
        <w:spacing w:line="300" w:lineRule="auto"/>
        <w:ind w:firstLine="480" w:firstLineChars="200"/>
        <w:rPr>
          <w:rFonts w:ascii="宋体" w:cs="宋体"/>
          <w:kern w:val="0"/>
          <w:sz w:val="24"/>
        </w:rPr>
      </w:pPr>
      <w:r>
        <w:rPr>
          <w:rFonts w:hint="eastAsia" w:ascii="宋体" w:cs="宋体"/>
          <w:kern w:val="0"/>
          <w:sz w:val="24"/>
        </w:rPr>
        <w:t>7.6保证所投入本项目的主要材料、设备质量符合或优于招标文件要求，所投入本项目的辅助设备、材料与主主要材料、设备质量一致并有良好的配套性。</w:t>
      </w:r>
    </w:p>
    <w:p>
      <w:pPr>
        <w:spacing w:line="300" w:lineRule="auto"/>
        <w:ind w:firstLine="480" w:firstLineChars="200"/>
        <w:rPr>
          <w:rFonts w:ascii="宋体" w:cs="宋体"/>
          <w:kern w:val="0"/>
          <w:sz w:val="24"/>
        </w:rPr>
      </w:pPr>
      <w:r>
        <w:rPr>
          <w:rFonts w:hint="eastAsia" w:ascii="宋体" w:cs="宋体"/>
          <w:kern w:val="0"/>
          <w:sz w:val="24"/>
        </w:rPr>
        <w:t>7.7保证按照招标文件的要求确保安全生产及文明施工，如有违反，我司愿意按合同约定承担违约责任，并为此负相关的法律责任。</w:t>
      </w:r>
    </w:p>
    <w:p>
      <w:pPr>
        <w:spacing w:line="300" w:lineRule="auto"/>
        <w:ind w:firstLine="480" w:firstLineChars="200"/>
        <w:rPr>
          <w:rFonts w:ascii="宋体" w:cs="宋体"/>
          <w:kern w:val="0"/>
          <w:sz w:val="24"/>
        </w:rPr>
      </w:pPr>
      <w:r>
        <w:rPr>
          <w:rFonts w:hint="eastAsia" w:ascii="宋体" w:cs="宋体"/>
          <w:kern w:val="0"/>
          <w:sz w:val="24"/>
        </w:rPr>
        <w:t>7.8保证按国家的有关规定制订保证民工工资支付的方案及保证措施，否则，我司愿按合同条款规定承担违约责任并赔偿发包人的全部损失。</w:t>
      </w:r>
    </w:p>
    <w:p>
      <w:pPr>
        <w:spacing w:line="300" w:lineRule="auto"/>
        <w:ind w:firstLine="480" w:firstLineChars="200"/>
        <w:rPr>
          <w:rFonts w:ascii="宋体" w:cs="宋体"/>
          <w:kern w:val="0"/>
          <w:sz w:val="24"/>
        </w:rPr>
      </w:pPr>
      <w:r>
        <w:rPr>
          <w:rFonts w:hint="eastAsia" w:ascii="宋体" w:cs="宋体"/>
          <w:kern w:val="0"/>
          <w:sz w:val="24"/>
        </w:rPr>
        <w:t xml:space="preserve">7.9如我方中标,我方承诺：须按广州开发区有关规定编制及办理建设项目工程结算。本公司未按上述规定的期限和内容编制及办理建设项目工程结算，经建设业主或代建单位或监理人书面通知之日起2个月内（最长期限不得超过6个月）仍未提交编制及办理建设项目工程结算的相关文件的，监理人和建设业主有权根据建设业主已有资料进行审核并报财政部门审定，财政部门审定的竣工结算合同总价视同是经我方认可的工程竣工结算合同总价。 </w:t>
      </w:r>
    </w:p>
    <w:p>
      <w:pPr>
        <w:spacing w:line="300" w:lineRule="auto"/>
        <w:ind w:firstLine="3840" w:firstLineChars="1600"/>
        <w:rPr>
          <w:rFonts w:ascii="宋体" w:cs="宋体"/>
          <w:kern w:val="0"/>
          <w:sz w:val="24"/>
        </w:rPr>
      </w:pPr>
    </w:p>
    <w:p>
      <w:pPr>
        <w:spacing w:line="300" w:lineRule="auto"/>
        <w:ind w:firstLine="3840" w:firstLineChars="1600"/>
        <w:rPr>
          <w:rFonts w:ascii="宋体" w:cs="宋体"/>
          <w:kern w:val="0"/>
          <w:sz w:val="24"/>
        </w:rPr>
      </w:pPr>
      <w:r>
        <w:rPr>
          <w:rFonts w:hint="eastAsia" w:ascii="宋体" w:cs="宋体"/>
          <w:kern w:val="0"/>
          <w:sz w:val="24"/>
        </w:rPr>
        <w:t>投标人：    （盖章）</w:t>
      </w:r>
    </w:p>
    <w:p>
      <w:pPr>
        <w:spacing w:line="300" w:lineRule="auto"/>
        <w:ind w:firstLine="3840" w:firstLineChars="1600"/>
        <w:rPr>
          <w:rFonts w:ascii="宋体" w:cs="宋体"/>
          <w:kern w:val="0"/>
          <w:sz w:val="24"/>
        </w:rPr>
      </w:pPr>
      <w:r>
        <w:rPr>
          <w:rFonts w:hint="eastAsia" w:ascii="宋体" w:cs="宋体"/>
          <w:kern w:val="0"/>
          <w:sz w:val="24"/>
        </w:rPr>
        <w:t>法定代表人或其授权代理人(签名或盖章)：</w:t>
      </w:r>
    </w:p>
    <w:p>
      <w:pPr>
        <w:spacing w:line="300" w:lineRule="auto"/>
        <w:ind w:firstLine="3840" w:firstLineChars="1600"/>
        <w:rPr>
          <w:rFonts w:ascii="宋体" w:cs="宋体"/>
          <w:kern w:val="0"/>
          <w:sz w:val="24"/>
        </w:rPr>
      </w:pPr>
      <w:r>
        <w:rPr>
          <w:rFonts w:hint="eastAsia" w:ascii="宋体" w:cs="宋体"/>
          <w:kern w:val="0"/>
          <w:sz w:val="24"/>
        </w:rPr>
        <w:t>日   期：    年    月    日</w:t>
      </w:r>
    </w:p>
    <w:p>
      <w:pPr>
        <w:topLinePunct/>
        <w:spacing w:line="300" w:lineRule="auto"/>
        <w:rPr>
          <w:rFonts w:ascii="宋体" w:cs="宋体"/>
          <w:b/>
          <w:kern w:val="0"/>
          <w:szCs w:val="21"/>
        </w:rPr>
      </w:pPr>
    </w:p>
    <w:p>
      <w:pPr>
        <w:topLinePunct/>
        <w:spacing w:line="300" w:lineRule="auto"/>
        <w:rPr>
          <w:rFonts w:ascii="宋体" w:cs="宋体"/>
          <w:b/>
          <w:bCs/>
          <w:kern w:val="0"/>
        </w:rPr>
      </w:pPr>
      <w:r>
        <w:rPr>
          <w:rFonts w:hint="eastAsia" w:ascii="宋体" w:cs="宋体"/>
          <w:b/>
          <w:kern w:val="0"/>
          <w:szCs w:val="21"/>
        </w:rPr>
        <w:t>注：联合体投标的，“投标人”一栏需书写所有联合体成员的单位全称，可由主办方签署、盖章。</w:t>
      </w:r>
    </w:p>
    <w:p>
      <w:pPr>
        <w:pStyle w:val="6"/>
        <w:rPr>
          <w:rFonts w:ascii="宋体"/>
        </w:rPr>
      </w:pPr>
      <w:r>
        <w:rPr>
          <w:rFonts w:hint="eastAsia" w:ascii="宋体"/>
        </w:rPr>
        <w:br w:type="page"/>
      </w:r>
      <w:r>
        <w:rPr>
          <w:rFonts w:hint="eastAsia" w:ascii="宋体"/>
        </w:rPr>
        <w:t>格式</w:t>
      </w:r>
      <w:r>
        <w:rPr>
          <w:rFonts w:ascii="宋体"/>
        </w:rPr>
        <w:t>5</w:t>
      </w:r>
      <w:r>
        <w:rPr>
          <w:rFonts w:hint="eastAsia" w:ascii="宋体"/>
        </w:rPr>
        <w:t>：</w:t>
      </w:r>
    </w:p>
    <w:p>
      <w:pPr>
        <w:spacing w:line="360" w:lineRule="auto"/>
        <w:jc w:val="center"/>
        <w:rPr>
          <w:rFonts w:ascii="宋体" w:cs="宋体"/>
          <w:b/>
          <w:bCs/>
          <w:kern w:val="0"/>
          <w:sz w:val="28"/>
          <w:szCs w:val="28"/>
          <w:lang w:val="zh-CN"/>
        </w:rPr>
      </w:pPr>
      <w:r>
        <w:rPr>
          <w:rFonts w:hint="eastAsia" w:ascii="宋体" w:cs="宋体"/>
          <w:b/>
          <w:bCs/>
          <w:kern w:val="0"/>
          <w:sz w:val="28"/>
          <w:szCs w:val="28"/>
          <w:lang w:val="zh-CN"/>
        </w:rPr>
        <w:t>投标人基本情况表</w:t>
      </w:r>
    </w:p>
    <w:tbl>
      <w:tblPr>
        <w:tblStyle w:val="58"/>
        <w:tblW w:w="0" w:type="auto"/>
        <w:jc w:val="center"/>
        <w:tblLayout w:type="fixed"/>
        <w:tblCellMar>
          <w:top w:w="0" w:type="dxa"/>
          <w:left w:w="0" w:type="dxa"/>
          <w:bottom w:w="0" w:type="dxa"/>
          <w:right w:w="0" w:type="dxa"/>
        </w:tblCellMar>
      </w:tblPr>
      <w:tblGrid>
        <w:gridCol w:w="1885"/>
        <w:gridCol w:w="1102"/>
        <w:gridCol w:w="1214"/>
        <w:gridCol w:w="840"/>
        <w:gridCol w:w="425"/>
        <w:gridCol w:w="212"/>
        <w:gridCol w:w="1265"/>
        <w:gridCol w:w="204"/>
        <w:gridCol w:w="840"/>
        <w:gridCol w:w="1060"/>
      </w:tblGrid>
      <w:tr>
        <w:trPr>
          <w:trHeight w:val="50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投标人名称</w:t>
            </w:r>
          </w:p>
        </w:tc>
        <w:tc>
          <w:tcPr>
            <w:tcW w:w="7162" w:type="dxa"/>
            <w:gridSpan w:val="9"/>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注册地址</w:t>
            </w:r>
          </w:p>
        </w:tc>
        <w:tc>
          <w:tcPr>
            <w:tcW w:w="3793" w:type="dxa"/>
            <w:gridSpan w:val="5"/>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126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邮政编码</w:t>
            </w:r>
          </w:p>
        </w:tc>
        <w:tc>
          <w:tcPr>
            <w:tcW w:w="2104"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cantSplit/>
          <w:trHeight w:val="540" w:hRule="exact"/>
          <w:jc w:val="center"/>
        </w:trPr>
        <w:tc>
          <w:tcPr>
            <w:tcW w:w="1885" w:type="dxa"/>
            <w:vMerge w:val="restart"/>
            <w:tcBorders>
              <w:top w:val="single" w:color="auto" w:sz="8" w:space="0"/>
              <w:left w:val="single" w:color="auto" w:sz="8" w:space="0"/>
              <w:bottom w:val="nil"/>
              <w:right w:val="single" w:color="auto" w:sz="8" w:space="0"/>
            </w:tcBorders>
            <w:vAlign w:val="center"/>
          </w:tcPr>
          <w:p>
            <w:pPr>
              <w:jc w:val="center"/>
              <w:rPr>
                <w:rFonts w:ascii="宋体" w:cs="宋体"/>
                <w:kern w:val="0"/>
                <w:szCs w:val="21"/>
              </w:rPr>
            </w:pPr>
            <w:r>
              <w:rPr>
                <w:rFonts w:hint="eastAsia" w:ascii="宋体" w:cs="宋体"/>
                <w:kern w:val="0"/>
                <w:szCs w:val="21"/>
              </w:rPr>
              <w:t>联系方式</w:t>
            </w:r>
          </w:p>
        </w:tc>
        <w:tc>
          <w:tcPr>
            <w:tcW w:w="1102"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联系人</w:t>
            </w:r>
          </w:p>
        </w:tc>
        <w:tc>
          <w:tcPr>
            <w:tcW w:w="2691"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126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电  话</w:t>
            </w:r>
          </w:p>
        </w:tc>
        <w:tc>
          <w:tcPr>
            <w:tcW w:w="2104"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cantSplit/>
          <w:trHeight w:val="520" w:hRule="exact"/>
          <w:jc w:val="center"/>
        </w:trPr>
        <w:tc>
          <w:tcPr>
            <w:tcW w:w="1885" w:type="dxa"/>
            <w:vMerge w:val="continue"/>
            <w:tcBorders>
              <w:top w:val="nil"/>
              <w:left w:val="single" w:color="auto" w:sz="8" w:space="0"/>
              <w:bottom w:val="single" w:color="auto" w:sz="8" w:space="0"/>
              <w:right w:val="single" w:color="auto" w:sz="8" w:space="0"/>
            </w:tcBorders>
            <w:vAlign w:val="center"/>
          </w:tcPr>
          <w:p/>
        </w:tc>
        <w:tc>
          <w:tcPr>
            <w:tcW w:w="1102"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传  真</w:t>
            </w:r>
          </w:p>
        </w:tc>
        <w:tc>
          <w:tcPr>
            <w:tcW w:w="2691"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126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电子邮件</w:t>
            </w:r>
          </w:p>
        </w:tc>
        <w:tc>
          <w:tcPr>
            <w:tcW w:w="2104"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法定代表人</w:t>
            </w:r>
          </w:p>
        </w:tc>
        <w:tc>
          <w:tcPr>
            <w:tcW w:w="1102"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姓名</w:t>
            </w:r>
          </w:p>
        </w:tc>
        <w:tc>
          <w:tcPr>
            <w:tcW w:w="1214"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1265"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技术职称</w:t>
            </w:r>
          </w:p>
        </w:tc>
        <w:tc>
          <w:tcPr>
            <w:tcW w:w="1681"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电话</w:t>
            </w:r>
          </w:p>
        </w:tc>
        <w:tc>
          <w:tcPr>
            <w:tcW w:w="1060"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技术负责人</w:t>
            </w:r>
          </w:p>
        </w:tc>
        <w:tc>
          <w:tcPr>
            <w:tcW w:w="1102"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姓名</w:t>
            </w:r>
          </w:p>
        </w:tc>
        <w:tc>
          <w:tcPr>
            <w:tcW w:w="1214"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1265"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技术职称</w:t>
            </w:r>
          </w:p>
        </w:tc>
        <w:tc>
          <w:tcPr>
            <w:tcW w:w="1681"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电话</w:t>
            </w:r>
          </w:p>
        </w:tc>
        <w:tc>
          <w:tcPr>
            <w:tcW w:w="1060"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54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成立时间</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4846" w:type="dxa"/>
            <w:gridSpan w:val="7"/>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员工总人数：</w:t>
            </w:r>
          </w:p>
        </w:tc>
      </w:tr>
      <w:tr>
        <w:tblPrEx>
          <w:tblCellMar>
            <w:top w:w="0" w:type="dxa"/>
            <w:left w:w="0" w:type="dxa"/>
            <w:bottom w:w="0" w:type="dxa"/>
            <w:right w:w="0" w:type="dxa"/>
          </w:tblCellMar>
        </w:tblPrEx>
        <w:trPr>
          <w:trHeight w:val="50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企业资质等级</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vMerge w:val="restart"/>
            <w:tcBorders>
              <w:top w:val="single" w:color="auto" w:sz="8" w:space="0"/>
              <w:left w:val="single" w:color="auto" w:sz="8" w:space="0"/>
              <w:bottom w:val="nil"/>
              <w:right w:val="single" w:color="auto" w:sz="8" w:space="0"/>
            </w:tcBorders>
            <w:vAlign w:val="center"/>
          </w:tcPr>
          <w:p>
            <w:pPr>
              <w:jc w:val="center"/>
              <w:rPr>
                <w:rFonts w:ascii="宋体" w:cs="宋体"/>
                <w:kern w:val="0"/>
                <w:szCs w:val="21"/>
              </w:rPr>
            </w:pPr>
            <w:r>
              <w:rPr>
                <w:rFonts w:hint="eastAsia" w:ascii="宋体" w:cs="宋体"/>
                <w:kern w:val="0"/>
                <w:szCs w:val="21"/>
              </w:rPr>
              <w:t>其中</w:t>
            </w:r>
          </w:p>
        </w:tc>
        <w:tc>
          <w:tcPr>
            <w:tcW w:w="2106"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项目经理</w:t>
            </w:r>
          </w:p>
        </w:tc>
        <w:tc>
          <w:tcPr>
            <w:tcW w:w="1900"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cantSplit/>
          <w:trHeight w:val="54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营业执照号</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vMerge w:val="continue"/>
            <w:tcBorders>
              <w:top w:val="nil"/>
              <w:left w:val="single" w:color="auto" w:sz="8" w:space="0"/>
              <w:bottom w:val="nil"/>
              <w:right w:val="single" w:color="auto" w:sz="8" w:space="0"/>
            </w:tcBorders>
            <w:vAlign w:val="center"/>
          </w:tcPr>
          <w:p/>
        </w:tc>
        <w:tc>
          <w:tcPr>
            <w:tcW w:w="2106"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高级职称人员</w:t>
            </w:r>
          </w:p>
        </w:tc>
        <w:tc>
          <w:tcPr>
            <w:tcW w:w="1900"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注册资金</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vMerge w:val="continue"/>
            <w:tcBorders>
              <w:top w:val="nil"/>
              <w:left w:val="single" w:color="auto" w:sz="8" w:space="0"/>
              <w:bottom w:val="nil"/>
              <w:right w:val="single" w:color="auto" w:sz="8" w:space="0"/>
            </w:tcBorders>
            <w:vAlign w:val="center"/>
          </w:tcPr>
          <w:p/>
        </w:tc>
        <w:tc>
          <w:tcPr>
            <w:tcW w:w="2106"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中级职称人员</w:t>
            </w:r>
          </w:p>
        </w:tc>
        <w:tc>
          <w:tcPr>
            <w:tcW w:w="1900"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cantSplit/>
          <w:trHeight w:val="782"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基本账户开户银行</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vMerge w:val="continue"/>
            <w:tcBorders>
              <w:top w:val="nil"/>
              <w:left w:val="single" w:color="auto" w:sz="8" w:space="0"/>
              <w:bottom w:val="nil"/>
              <w:right w:val="single" w:color="auto" w:sz="8" w:space="0"/>
            </w:tcBorders>
            <w:vAlign w:val="center"/>
          </w:tcPr>
          <w:p/>
        </w:tc>
        <w:tc>
          <w:tcPr>
            <w:tcW w:w="2106"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初级职称人员</w:t>
            </w:r>
          </w:p>
        </w:tc>
        <w:tc>
          <w:tcPr>
            <w:tcW w:w="1900"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cantSplit/>
          <w:trHeight w:val="71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基本账户账号</w:t>
            </w:r>
          </w:p>
        </w:tc>
        <w:tc>
          <w:tcPr>
            <w:tcW w:w="2316"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c>
          <w:tcPr>
            <w:tcW w:w="840" w:type="dxa"/>
            <w:vMerge w:val="continue"/>
            <w:tcBorders>
              <w:top w:val="nil"/>
              <w:left w:val="single" w:color="auto" w:sz="8" w:space="0"/>
              <w:bottom w:val="single" w:color="auto" w:sz="8" w:space="0"/>
              <w:right w:val="single" w:color="auto" w:sz="8" w:space="0"/>
            </w:tcBorders>
            <w:vAlign w:val="center"/>
          </w:tcPr>
          <w:p/>
        </w:tc>
        <w:tc>
          <w:tcPr>
            <w:tcW w:w="2106" w:type="dxa"/>
            <w:gridSpan w:val="4"/>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技工</w:t>
            </w:r>
          </w:p>
        </w:tc>
        <w:tc>
          <w:tcPr>
            <w:tcW w:w="1900"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1676"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经营范围</w:t>
            </w:r>
          </w:p>
        </w:tc>
        <w:tc>
          <w:tcPr>
            <w:tcW w:w="7162" w:type="dxa"/>
            <w:gridSpan w:val="9"/>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r>
        <w:tblPrEx>
          <w:tblCellMar>
            <w:top w:w="0" w:type="dxa"/>
            <w:left w:w="0" w:type="dxa"/>
            <w:bottom w:w="0" w:type="dxa"/>
            <w:right w:w="0" w:type="dxa"/>
          </w:tblCellMar>
        </w:tblPrEx>
        <w:trPr>
          <w:trHeight w:val="1421"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企业简介</w:t>
            </w:r>
          </w:p>
        </w:tc>
        <w:tc>
          <w:tcPr>
            <w:tcW w:w="7162" w:type="dxa"/>
            <w:gridSpan w:val="9"/>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（本项内容可另附页）</w:t>
            </w:r>
          </w:p>
        </w:tc>
      </w:tr>
      <w:tr>
        <w:tblPrEx>
          <w:tblCellMar>
            <w:top w:w="0" w:type="dxa"/>
            <w:left w:w="0" w:type="dxa"/>
            <w:bottom w:w="0" w:type="dxa"/>
            <w:right w:w="0" w:type="dxa"/>
          </w:tblCellMar>
        </w:tblPrEx>
        <w:trPr>
          <w:trHeight w:val="1084"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r>
              <w:rPr>
                <w:rFonts w:hint="eastAsia" w:ascii="宋体" w:cs="宋体"/>
                <w:kern w:val="0"/>
                <w:szCs w:val="21"/>
              </w:rPr>
              <w:t>备注</w:t>
            </w:r>
          </w:p>
        </w:tc>
        <w:tc>
          <w:tcPr>
            <w:tcW w:w="7162" w:type="dxa"/>
            <w:gridSpan w:val="9"/>
            <w:tcBorders>
              <w:top w:val="single" w:color="auto" w:sz="8" w:space="0"/>
              <w:left w:val="single" w:color="auto" w:sz="8" w:space="0"/>
              <w:bottom w:val="single" w:color="auto" w:sz="8" w:space="0"/>
              <w:right w:val="single" w:color="auto" w:sz="8" w:space="0"/>
            </w:tcBorders>
            <w:vAlign w:val="center"/>
          </w:tcPr>
          <w:p>
            <w:pPr>
              <w:jc w:val="center"/>
              <w:rPr>
                <w:rFonts w:ascii="宋体" w:cs="宋体"/>
                <w:kern w:val="0"/>
                <w:szCs w:val="21"/>
              </w:rPr>
            </w:pPr>
          </w:p>
        </w:tc>
      </w:tr>
    </w:tbl>
    <w:p>
      <w:pPr>
        <w:spacing w:line="360" w:lineRule="auto"/>
        <w:ind w:right="42" w:rightChars="20"/>
        <w:rPr>
          <w:rFonts w:ascii="宋体" w:cs="宋体"/>
          <w:b/>
          <w:bCs/>
          <w:kern w:val="0"/>
          <w:sz w:val="18"/>
          <w:szCs w:val="18"/>
        </w:rPr>
      </w:pPr>
      <w:r>
        <w:rPr>
          <w:rFonts w:hint="eastAsia" w:ascii="宋体" w:cs="宋体"/>
          <w:kern w:val="0"/>
          <w:szCs w:val="21"/>
        </w:rPr>
        <w:t>注：联合体投标的，由联合体主办方提交本表，其中投标人名称可只填写投标人主办方单位名称。</w:t>
      </w:r>
    </w:p>
    <w:p>
      <w:pPr>
        <w:pStyle w:val="6"/>
        <w:rPr>
          <w:rFonts w:ascii="宋体"/>
          <w:lang w:val="zh-CN"/>
        </w:rPr>
      </w:pPr>
      <w:r>
        <w:rPr>
          <w:rFonts w:hint="eastAsia" w:ascii="宋体"/>
          <w:sz w:val="18"/>
          <w:szCs w:val="18"/>
        </w:rPr>
        <w:br w:type="page"/>
      </w:r>
      <w:r>
        <w:rPr>
          <w:rFonts w:hint="eastAsia" w:ascii="宋体"/>
        </w:rPr>
        <w:t>格式</w:t>
      </w:r>
      <w:r>
        <w:rPr>
          <w:rFonts w:ascii="宋体"/>
        </w:rPr>
        <w:t>6</w:t>
      </w:r>
      <w:r>
        <w:rPr>
          <w:rFonts w:hint="eastAsia" w:ascii="宋体"/>
        </w:rPr>
        <w:t>：</w:t>
      </w:r>
    </w:p>
    <w:p>
      <w:pPr>
        <w:autoSpaceDE w:val="0"/>
        <w:autoSpaceDN w:val="0"/>
        <w:spacing w:line="360" w:lineRule="auto"/>
        <w:jc w:val="center"/>
        <w:rPr>
          <w:rFonts w:ascii="宋体" w:cs="宋体"/>
          <w:b/>
          <w:bCs/>
          <w:kern w:val="0"/>
          <w:sz w:val="28"/>
          <w:szCs w:val="28"/>
          <w:lang w:val="zh-CN"/>
        </w:rPr>
      </w:pPr>
      <w:r>
        <w:rPr>
          <w:rFonts w:hint="eastAsia" w:ascii="宋体" w:cs="宋体"/>
          <w:b/>
          <w:bCs/>
          <w:kern w:val="0"/>
          <w:sz w:val="28"/>
          <w:szCs w:val="28"/>
          <w:lang w:val="zh-CN"/>
        </w:rPr>
        <w:t>参与编制投标文件人员名单</w:t>
      </w:r>
    </w:p>
    <w:p>
      <w:pPr>
        <w:tabs>
          <w:tab w:val="left" w:pos="720"/>
        </w:tabs>
        <w:spacing w:line="360" w:lineRule="auto"/>
        <w:rPr>
          <w:rFonts w:ascii="宋体" w:cs="宋体"/>
          <w:caps/>
          <w:kern w:val="0"/>
          <w:sz w:val="24"/>
        </w:rPr>
      </w:pP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311"/>
        <w:gridCol w:w="2320"/>
        <w:gridCol w:w="2449"/>
        <w:gridCol w:w="14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281" w:type="dxa"/>
            <w:vAlign w:val="center"/>
          </w:tcPr>
          <w:p>
            <w:pPr>
              <w:tabs>
                <w:tab w:val="left" w:pos="0"/>
                <w:tab w:val="left" w:pos="720"/>
              </w:tabs>
              <w:jc w:val="center"/>
              <w:rPr>
                <w:rFonts w:ascii="宋体" w:cs="宋体"/>
                <w:kern w:val="0"/>
                <w:sz w:val="24"/>
              </w:rPr>
            </w:pPr>
            <w:r>
              <w:rPr>
                <w:rFonts w:hint="eastAsia" w:ascii="宋体" w:cs="宋体"/>
                <w:kern w:val="0"/>
                <w:sz w:val="24"/>
              </w:rPr>
              <w:t>姓名</w:t>
            </w:r>
          </w:p>
        </w:tc>
        <w:tc>
          <w:tcPr>
            <w:tcW w:w="1311" w:type="dxa"/>
            <w:vAlign w:val="center"/>
          </w:tcPr>
          <w:p>
            <w:pPr>
              <w:tabs>
                <w:tab w:val="left" w:pos="0"/>
                <w:tab w:val="left" w:pos="720"/>
              </w:tabs>
              <w:jc w:val="center"/>
              <w:rPr>
                <w:rFonts w:ascii="宋体" w:cs="宋体"/>
                <w:kern w:val="0"/>
                <w:sz w:val="24"/>
              </w:rPr>
            </w:pPr>
            <w:r>
              <w:rPr>
                <w:rFonts w:hint="eastAsia" w:ascii="宋体" w:cs="宋体"/>
                <w:kern w:val="0"/>
                <w:sz w:val="24"/>
              </w:rPr>
              <w:t>职务</w:t>
            </w:r>
          </w:p>
        </w:tc>
        <w:tc>
          <w:tcPr>
            <w:tcW w:w="2320" w:type="dxa"/>
            <w:vAlign w:val="center"/>
          </w:tcPr>
          <w:p>
            <w:pPr>
              <w:tabs>
                <w:tab w:val="left" w:pos="0"/>
                <w:tab w:val="left" w:pos="720"/>
              </w:tabs>
              <w:jc w:val="center"/>
              <w:rPr>
                <w:rFonts w:ascii="宋体" w:cs="宋体"/>
                <w:kern w:val="0"/>
                <w:sz w:val="24"/>
              </w:rPr>
            </w:pPr>
            <w:r>
              <w:rPr>
                <w:rFonts w:hint="eastAsia" w:ascii="宋体" w:cs="宋体"/>
                <w:kern w:val="0"/>
                <w:sz w:val="24"/>
              </w:rPr>
              <w:t>所承担工作</w:t>
            </w:r>
          </w:p>
        </w:tc>
        <w:tc>
          <w:tcPr>
            <w:tcW w:w="2449" w:type="dxa"/>
            <w:vAlign w:val="center"/>
          </w:tcPr>
          <w:p>
            <w:pPr>
              <w:tabs>
                <w:tab w:val="left" w:pos="0"/>
                <w:tab w:val="left" w:pos="720"/>
              </w:tabs>
              <w:jc w:val="center"/>
              <w:rPr>
                <w:rFonts w:ascii="宋体" w:cs="宋体"/>
                <w:kern w:val="0"/>
                <w:sz w:val="24"/>
              </w:rPr>
            </w:pPr>
            <w:r>
              <w:rPr>
                <w:rFonts w:hint="eastAsia" w:ascii="宋体" w:cs="宋体"/>
                <w:kern w:val="0"/>
                <w:sz w:val="24"/>
              </w:rPr>
              <w:t>身份证号码</w:t>
            </w:r>
          </w:p>
        </w:tc>
        <w:tc>
          <w:tcPr>
            <w:tcW w:w="1468" w:type="dxa"/>
            <w:vAlign w:val="center"/>
          </w:tcPr>
          <w:p>
            <w:pPr>
              <w:tabs>
                <w:tab w:val="left" w:pos="0"/>
                <w:tab w:val="left" w:pos="720"/>
              </w:tabs>
              <w:rPr>
                <w:rFonts w:ascii="宋体" w:cs="宋体"/>
                <w:kern w:val="0"/>
                <w:sz w:val="24"/>
              </w:rPr>
            </w:pPr>
            <w:r>
              <w:rPr>
                <w:rFonts w:hint="eastAsia" w:ascii="宋体" w:cs="宋体"/>
                <w:kern w:val="0"/>
                <w:sz w:val="24"/>
              </w:rPr>
              <w:t>本人签名栏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281" w:type="dxa"/>
            <w:vAlign w:val="center"/>
          </w:tcPr>
          <w:p>
            <w:pPr>
              <w:tabs>
                <w:tab w:val="left" w:pos="0"/>
                <w:tab w:val="left" w:pos="720"/>
              </w:tabs>
              <w:jc w:val="center"/>
              <w:rPr>
                <w:rFonts w:ascii="宋体" w:cs="宋体"/>
                <w:kern w:val="0"/>
                <w:sz w:val="24"/>
              </w:rPr>
            </w:pPr>
          </w:p>
        </w:tc>
        <w:tc>
          <w:tcPr>
            <w:tcW w:w="1311" w:type="dxa"/>
            <w:vAlign w:val="center"/>
          </w:tcPr>
          <w:p>
            <w:pPr>
              <w:tabs>
                <w:tab w:val="left" w:pos="0"/>
                <w:tab w:val="left" w:pos="720"/>
              </w:tabs>
              <w:jc w:val="center"/>
              <w:rPr>
                <w:rFonts w:ascii="宋体" w:cs="宋体"/>
                <w:kern w:val="0"/>
                <w:sz w:val="24"/>
              </w:rPr>
            </w:pPr>
          </w:p>
        </w:tc>
        <w:tc>
          <w:tcPr>
            <w:tcW w:w="2320" w:type="dxa"/>
            <w:vAlign w:val="center"/>
          </w:tcPr>
          <w:p>
            <w:pPr>
              <w:tabs>
                <w:tab w:val="left" w:pos="0"/>
                <w:tab w:val="left" w:pos="720"/>
              </w:tabs>
              <w:jc w:val="center"/>
              <w:rPr>
                <w:rFonts w:ascii="宋体" w:cs="宋体"/>
                <w:kern w:val="0"/>
                <w:sz w:val="24"/>
              </w:rPr>
            </w:pPr>
          </w:p>
        </w:tc>
        <w:tc>
          <w:tcPr>
            <w:tcW w:w="2449" w:type="dxa"/>
            <w:vAlign w:val="center"/>
          </w:tcPr>
          <w:p>
            <w:pPr>
              <w:tabs>
                <w:tab w:val="left" w:pos="0"/>
                <w:tab w:val="left" w:pos="720"/>
              </w:tabs>
              <w:jc w:val="center"/>
              <w:rPr>
                <w:rFonts w:ascii="宋体" w:cs="宋体"/>
                <w:kern w:val="0"/>
                <w:sz w:val="24"/>
              </w:rPr>
            </w:pPr>
          </w:p>
        </w:tc>
        <w:tc>
          <w:tcPr>
            <w:tcW w:w="1468" w:type="dxa"/>
            <w:vAlign w:val="center"/>
          </w:tcPr>
          <w:p>
            <w:pPr>
              <w:tabs>
                <w:tab w:val="left" w:pos="0"/>
                <w:tab w:val="left" w:pos="720"/>
              </w:tabs>
              <w:jc w:val="center"/>
              <w:rPr>
                <w:rFonts w:ascii="宋体" w:cs="宋体"/>
                <w:kern w:val="0"/>
                <w:sz w:val="24"/>
              </w:rPr>
            </w:pPr>
          </w:p>
        </w:tc>
      </w:tr>
    </w:tbl>
    <w:p>
      <w:pPr>
        <w:tabs>
          <w:tab w:val="left" w:pos="720"/>
        </w:tabs>
        <w:spacing w:line="360" w:lineRule="auto"/>
        <w:rPr>
          <w:rFonts w:ascii="宋体" w:cs="宋体"/>
          <w:kern w:val="0"/>
          <w:sz w:val="24"/>
        </w:rPr>
      </w:pPr>
    </w:p>
    <w:p>
      <w:pPr>
        <w:rPr>
          <w:rFonts w:ascii="宋体"/>
          <w:b/>
          <w:bCs/>
          <w:kern w:val="0"/>
          <w:sz w:val="32"/>
          <w:szCs w:val="32"/>
        </w:rPr>
      </w:pPr>
      <w:r>
        <w:rPr>
          <w:rFonts w:hint="eastAsia" w:ascii="宋体" w:cs="宋体"/>
          <w:b/>
          <w:bCs/>
          <w:kern w:val="0"/>
          <w:szCs w:val="21"/>
        </w:rPr>
        <w:t>注：参与编制标书所有人员名单应包括如编制技术投标方案、工程总承包实施方案、投标报价、负责清样校对、负责加密打包、负责上传、负责密封、负责打印及复印等所有人员在内的人员名单。</w:t>
      </w:r>
      <w:r>
        <w:rPr>
          <w:rFonts w:ascii="宋体"/>
          <w:kern w:val="0"/>
        </w:rPr>
        <w:br w:type="page"/>
      </w:r>
    </w:p>
    <w:p>
      <w:pPr>
        <w:pStyle w:val="6"/>
        <w:rPr>
          <w:rFonts w:ascii="宋体"/>
        </w:rPr>
      </w:pPr>
      <w:r>
        <w:rPr>
          <w:rFonts w:hint="eastAsia" w:ascii="宋体"/>
        </w:rPr>
        <w:t>格式</w:t>
      </w:r>
      <w:r>
        <w:rPr>
          <w:rFonts w:ascii="宋体"/>
        </w:rPr>
        <w:t>7</w:t>
      </w:r>
      <w:r>
        <w:rPr>
          <w:rFonts w:hint="eastAsia" w:ascii="宋体"/>
        </w:rPr>
        <w:t>：</w:t>
      </w:r>
    </w:p>
    <w:p>
      <w:pPr>
        <w:spacing w:line="336" w:lineRule="auto"/>
        <w:jc w:val="center"/>
        <w:rPr>
          <w:rFonts w:ascii="宋体" w:cs="宋体"/>
          <w:b/>
          <w:kern w:val="0"/>
          <w:sz w:val="24"/>
          <w:szCs w:val="24"/>
        </w:rPr>
      </w:pPr>
      <w:r>
        <w:rPr>
          <w:rFonts w:hint="eastAsia" w:ascii="宋体" w:cs="宋体"/>
          <w:b/>
          <w:kern w:val="0"/>
          <w:sz w:val="24"/>
          <w:szCs w:val="24"/>
        </w:rPr>
        <w:t>项目负责人驻场承诺书</w:t>
      </w:r>
    </w:p>
    <w:p>
      <w:pPr>
        <w:spacing w:line="336" w:lineRule="auto"/>
        <w:ind w:left="-2" w:leftChars="-1" w:firstLine="420" w:firstLineChars="175"/>
        <w:jc w:val="center"/>
        <w:rPr>
          <w:rFonts w:ascii="宋体" w:cs="宋体"/>
          <w:kern w:val="0"/>
          <w:sz w:val="24"/>
          <w:szCs w:val="24"/>
          <w:u w:val="single"/>
        </w:rPr>
      </w:pPr>
    </w:p>
    <w:p>
      <w:pPr>
        <w:spacing w:line="336" w:lineRule="auto"/>
        <w:rPr>
          <w:rFonts w:ascii="宋体" w:cs="宋体"/>
          <w:kern w:val="0"/>
          <w:sz w:val="24"/>
          <w:szCs w:val="24"/>
          <w:u w:val="single"/>
        </w:rPr>
      </w:pPr>
      <w:r>
        <w:rPr>
          <w:rFonts w:hint="eastAsia" w:ascii="宋体" w:cs="宋体"/>
          <w:kern w:val="0"/>
          <w:sz w:val="24"/>
          <w:szCs w:val="24"/>
          <w:u w:val="single"/>
        </w:rPr>
        <w:t>致（业主）                            ：</w:t>
      </w:r>
    </w:p>
    <w:p>
      <w:pPr>
        <w:spacing w:line="336" w:lineRule="auto"/>
        <w:ind w:firstLine="523" w:firstLineChars="218"/>
        <w:jc w:val="left"/>
        <w:rPr>
          <w:rFonts w:ascii="宋体" w:cs="宋体"/>
          <w:kern w:val="0"/>
          <w:sz w:val="24"/>
          <w:szCs w:val="24"/>
          <w:u w:val="single"/>
        </w:rPr>
      </w:pPr>
      <w:r>
        <w:rPr>
          <w:rFonts w:hint="eastAsia" w:ascii="宋体" w:cs="宋体"/>
          <w:kern w:val="0"/>
          <w:sz w:val="24"/>
          <w:szCs w:val="24"/>
          <w:u w:val="single"/>
        </w:rPr>
        <w:t>本人（姓名）            ，项目负责人证书注册编号：              受（投标人）                                                委派，拟在（项目名称）                                     担任项目负责人一职。为加强本工程项目管理，保证我公司在中标后严格履行与业主签定的工程建设承包合同，圆满的完成本项工程，我愿就此做出以下承诺；</w:t>
      </w:r>
    </w:p>
    <w:p>
      <w:pPr>
        <w:spacing w:line="336" w:lineRule="auto"/>
        <w:ind w:firstLine="480" w:firstLineChars="200"/>
        <w:rPr>
          <w:rFonts w:ascii="宋体" w:cs="宋体"/>
          <w:kern w:val="0"/>
          <w:sz w:val="24"/>
          <w:szCs w:val="24"/>
          <w:u w:val="single"/>
        </w:rPr>
      </w:pPr>
      <w:r>
        <w:rPr>
          <w:rFonts w:hint="eastAsia" w:ascii="宋体" w:cs="宋体"/>
          <w:kern w:val="0"/>
          <w:sz w:val="24"/>
          <w:szCs w:val="24"/>
          <w:u w:val="single"/>
        </w:rPr>
        <w:t>1．本人作为公司选派的本项目的项目负责人，我保证自即日起至项目竣工并通过验收之日止，自始至终全过程常驻工地现场，代表我公司全面负责本工程现场组织，指挥，管理，协调等工作。并承诺在本项目完成后的合同责任保修期内，根据项目实际保修工作需要也能随时到场负责指挥，安排应做的保修工作。</w:t>
      </w:r>
    </w:p>
    <w:p>
      <w:pPr>
        <w:spacing w:line="336" w:lineRule="auto"/>
        <w:ind w:firstLine="480" w:firstLineChars="200"/>
        <w:rPr>
          <w:rFonts w:ascii="宋体" w:cs="宋体"/>
          <w:kern w:val="0"/>
          <w:sz w:val="24"/>
          <w:szCs w:val="24"/>
          <w:u w:val="single"/>
        </w:rPr>
      </w:pPr>
      <w:r>
        <w:rPr>
          <w:rFonts w:hint="eastAsia" w:ascii="宋体" w:cs="宋体"/>
          <w:kern w:val="0"/>
          <w:sz w:val="24"/>
          <w:szCs w:val="24"/>
          <w:u w:val="single"/>
        </w:rPr>
        <w:t>2．如果本招标工程我公司中标，我本人保证在工程签订合同之日起至工程竣工验收完成期间只担任此工程的项目经理，不参加其他任何工程的登记和任何工作，不在其他任何工程担任本职务。</w:t>
      </w:r>
    </w:p>
    <w:p>
      <w:pPr>
        <w:spacing w:line="336" w:lineRule="auto"/>
        <w:ind w:firstLine="480" w:firstLineChars="200"/>
        <w:rPr>
          <w:rFonts w:ascii="宋体" w:cs="宋体"/>
          <w:kern w:val="0"/>
          <w:sz w:val="24"/>
          <w:szCs w:val="24"/>
          <w:u w:val="single"/>
        </w:rPr>
      </w:pPr>
      <w:r>
        <w:rPr>
          <w:rFonts w:hint="eastAsia" w:ascii="宋体" w:cs="宋体"/>
          <w:kern w:val="0"/>
          <w:sz w:val="24"/>
          <w:szCs w:val="24"/>
          <w:u w:val="single"/>
        </w:rPr>
        <w:t>3．除非征得业主的书面批准，否则如果违背以上承诺，不能常驻施工现场，我自愿接受业主给予我本人的批评和处罚，并同意业主就此作为我个人的不良纪录进一步上报区行业主管部门，项目负责人证书注册、备案、审批机构，直至广州市建设局等有关部门并接受上述部门给予的通报和相关职能部门给予的扣证等处罚。</w:t>
      </w:r>
    </w:p>
    <w:p>
      <w:pPr>
        <w:spacing w:line="336" w:lineRule="auto"/>
        <w:ind w:firstLine="480" w:firstLineChars="200"/>
        <w:rPr>
          <w:rFonts w:ascii="宋体" w:cs="宋体"/>
          <w:kern w:val="0"/>
          <w:sz w:val="24"/>
          <w:szCs w:val="24"/>
          <w:u w:val="single"/>
        </w:rPr>
      </w:pPr>
      <w:r>
        <w:rPr>
          <w:rFonts w:hint="eastAsia" w:ascii="宋体" w:cs="宋体"/>
          <w:kern w:val="0"/>
          <w:sz w:val="24"/>
          <w:szCs w:val="24"/>
          <w:u w:val="single"/>
        </w:rPr>
        <w:t>4．项目负责人本人身份证原件扫描件和两寸相片：</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3"/>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043" w:type="dxa"/>
            <w:tcBorders>
              <w:top w:val="single" w:color="auto" w:sz="4" w:space="0"/>
              <w:left w:val="single" w:color="auto" w:sz="4" w:space="0"/>
              <w:bottom w:val="single" w:color="auto" w:sz="4" w:space="0"/>
              <w:right w:val="single" w:color="auto" w:sz="4" w:space="0"/>
            </w:tcBorders>
          </w:tcPr>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r>
              <w:rPr>
                <w:rFonts w:hint="eastAsia" w:ascii="宋体" w:cs="宋体"/>
                <w:kern w:val="0"/>
                <w:szCs w:val="21"/>
                <w:u w:val="single"/>
              </w:rPr>
              <w:t>身份证原件扫描件</w:t>
            </w:r>
          </w:p>
        </w:tc>
        <w:tc>
          <w:tcPr>
            <w:tcW w:w="2492" w:type="dxa"/>
            <w:tcBorders>
              <w:top w:val="single" w:color="auto" w:sz="4" w:space="0"/>
              <w:left w:val="single" w:color="auto" w:sz="4" w:space="0"/>
              <w:bottom w:val="single" w:color="auto" w:sz="4" w:space="0"/>
              <w:right w:val="single" w:color="auto" w:sz="4" w:space="0"/>
            </w:tcBorders>
          </w:tcPr>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p>
          <w:p>
            <w:pPr>
              <w:spacing w:line="336" w:lineRule="auto"/>
              <w:jc w:val="center"/>
              <w:rPr>
                <w:rFonts w:ascii="宋体" w:cs="宋体"/>
                <w:kern w:val="0"/>
                <w:szCs w:val="21"/>
                <w:u w:val="single"/>
              </w:rPr>
            </w:pPr>
            <w:r>
              <w:rPr>
                <w:rFonts w:hint="eastAsia" w:ascii="宋体" w:cs="宋体"/>
                <w:kern w:val="0"/>
                <w:szCs w:val="21"/>
                <w:u w:val="single"/>
              </w:rPr>
              <w:t>相片</w:t>
            </w:r>
          </w:p>
        </w:tc>
      </w:tr>
    </w:tbl>
    <w:p>
      <w:pPr>
        <w:spacing w:line="336" w:lineRule="auto"/>
        <w:rPr>
          <w:rFonts w:ascii="宋体" w:cs="宋体"/>
          <w:kern w:val="0"/>
          <w:sz w:val="24"/>
          <w:szCs w:val="24"/>
          <w:u w:val="single"/>
        </w:rPr>
      </w:pPr>
    </w:p>
    <w:p>
      <w:pPr>
        <w:spacing w:line="336" w:lineRule="auto"/>
        <w:ind w:firstLine="3840" w:firstLineChars="1600"/>
        <w:rPr>
          <w:rFonts w:ascii="宋体" w:cs="宋体"/>
          <w:kern w:val="0"/>
          <w:sz w:val="24"/>
          <w:szCs w:val="24"/>
          <w:u w:val="single"/>
        </w:rPr>
      </w:pPr>
      <w:r>
        <w:rPr>
          <w:rFonts w:hint="eastAsia" w:ascii="宋体" w:cs="宋体"/>
          <w:kern w:val="0"/>
          <w:sz w:val="24"/>
          <w:szCs w:val="24"/>
          <w:u w:val="single"/>
        </w:rPr>
        <w:t>投标人：（盖章）</w:t>
      </w:r>
    </w:p>
    <w:p>
      <w:pPr>
        <w:spacing w:line="336" w:lineRule="auto"/>
        <w:ind w:firstLine="3840" w:firstLineChars="1600"/>
        <w:rPr>
          <w:rFonts w:ascii="宋体" w:cs="宋体"/>
          <w:kern w:val="0"/>
          <w:sz w:val="24"/>
          <w:szCs w:val="24"/>
          <w:u w:val="single"/>
        </w:rPr>
      </w:pPr>
      <w:r>
        <w:rPr>
          <w:rFonts w:hint="eastAsia" w:ascii="宋体" w:cs="宋体"/>
          <w:kern w:val="0"/>
          <w:sz w:val="24"/>
          <w:szCs w:val="24"/>
          <w:u w:val="single"/>
        </w:rPr>
        <w:t xml:space="preserve">项目负责人签名：                 </w:t>
      </w:r>
    </w:p>
    <w:p>
      <w:pPr>
        <w:tabs>
          <w:tab w:val="left" w:pos="720"/>
        </w:tabs>
        <w:spacing w:line="336" w:lineRule="auto"/>
        <w:jc w:val="right"/>
        <w:rPr>
          <w:rFonts w:ascii="宋体" w:cs="宋体"/>
          <w:kern w:val="0"/>
          <w:sz w:val="24"/>
          <w:szCs w:val="24"/>
          <w:u w:val="single"/>
        </w:rPr>
      </w:pPr>
      <w:r>
        <w:rPr>
          <w:rFonts w:hint="eastAsia" w:ascii="宋体" w:cs="宋体"/>
          <w:kern w:val="0"/>
          <w:sz w:val="24"/>
          <w:szCs w:val="24"/>
          <w:u w:val="single"/>
        </w:rPr>
        <w:t xml:space="preserve">     年   月    日</w:t>
      </w:r>
    </w:p>
    <w:p>
      <w:pPr>
        <w:pStyle w:val="3"/>
      </w:pPr>
      <w:r>
        <w:br w:type="page"/>
      </w:r>
    </w:p>
    <w:p>
      <w:pPr>
        <w:pStyle w:val="3"/>
        <w:outlineLvl w:val="1"/>
        <w:rPr>
          <w:b/>
          <w:kern w:val="0"/>
          <w:sz w:val="30"/>
          <w:szCs w:val="30"/>
        </w:rPr>
      </w:pPr>
      <w:r>
        <w:rPr>
          <w:rFonts w:hint="eastAsia" w:ascii="宋体"/>
          <w:b/>
          <w:kern w:val="0"/>
          <w:sz w:val="30"/>
          <w:szCs w:val="30"/>
        </w:rPr>
        <w:t>格式</w:t>
      </w:r>
      <w:r>
        <w:rPr>
          <w:rFonts w:ascii="宋体"/>
          <w:b/>
          <w:kern w:val="0"/>
          <w:sz w:val="30"/>
          <w:szCs w:val="30"/>
        </w:rPr>
        <w:t>8</w:t>
      </w:r>
      <w:r>
        <w:rPr>
          <w:rFonts w:hint="eastAsia" w:ascii="宋体"/>
          <w:b/>
          <w:kern w:val="0"/>
          <w:sz w:val="30"/>
          <w:szCs w:val="30"/>
        </w:rPr>
        <w:t>：</w:t>
      </w:r>
    </w:p>
    <w:p>
      <w:pPr>
        <w:autoSpaceDE w:val="0"/>
        <w:autoSpaceDN w:val="0"/>
        <w:spacing w:line="360" w:lineRule="auto"/>
        <w:jc w:val="center"/>
        <w:rPr>
          <w:rFonts w:ascii="宋体" w:cs="宋体"/>
          <w:b/>
          <w:bCs/>
          <w:kern w:val="0"/>
          <w:sz w:val="28"/>
          <w:szCs w:val="28"/>
        </w:rPr>
      </w:pPr>
      <w:r>
        <w:rPr>
          <w:rFonts w:hint="eastAsia" w:ascii="宋体" w:cs="宋体"/>
          <w:b/>
          <w:bCs/>
          <w:kern w:val="0"/>
          <w:sz w:val="28"/>
          <w:szCs w:val="28"/>
        </w:rPr>
        <w:t>投标人认为应该提供的其他资料</w:t>
      </w:r>
    </w:p>
    <w:p>
      <w:pPr>
        <w:autoSpaceDE w:val="0"/>
        <w:autoSpaceDN w:val="0"/>
        <w:spacing w:line="360" w:lineRule="auto"/>
        <w:jc w:val="center"/>
        <w:rPr>
          <w:rFonts w:ascii="宋体"/>
          <w:kern w:val="0"/>
        </w:rPr>
      </w:pPr>
      <w:r>
        <w:rPr>
          <w:rFonts w:hint="eastAsia" w:ascii="宋体" w:cs="宋体"/>
          <w:b/>
          <w:bCs/>
          <w:kern w:val="0"/>
          <w:sz w:val="28"/>
          <w:szCs w:val="28"/>
        </w:rPr>
        <w:t>（格式自拟）</w:t>
      </w:r>
    </w:p>
    <w:sectPr>
      <w:footerReference r:id="rId11" w:type="default"/>
      <w:pgSz w:w="11907" w:h="16840"/>
      <w:pgMar w:top="1440" w:right="1440" w:bottom="1440" w:left="1440" w:header="851" w:footer="90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enlo">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华文细黑">
    <w:panose1 w:val="02010600040101010101"/>
    <w:charset w:val="86"/>
    <w:family w:val="auto"/>
    <w:pitch w:val="default"/>
    <w:sig w:usb0="00000287" w:usb1="080F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IBM Helvetica Light">
    <w:altName w:val="Segoe Print"/>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UI Gothic">
    <w:panose1 w:val="020B0600070205080204"/>
    <w:charset w:val="80"/>
    <w:family w:val="swiss"/>
    <w:pitch w:val="default"/>
    <w:sig w:usb0="E00002FF" w:usb1="6AC7FDFB" w:usb2="08000012" w:usb3="00000000" w:csb0="4002009F" w:csb1="DFD70000"/>
  </w:font>
  <w:font w:name="Yenti EG">
    <w:altName w:val="宋体"/>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ˎ̥">
    <w:altName w:val="Segoe Print"/>
    <w:panose1 w:val="00000000000000000000"/>
    <w:charset w:val="00"/>
    <w:family w:val="roman"/>
    <w:pitch w:val="default"/>
    <w:sig w:usb0="00000000" w:usb1="00000000" w:usb2="00000000" w:usb3="00000000" w:csb0="00040001" w:csb1="00000000"/>
  </w:font>
  <w:font w:name="Beijing">
    <w:altName w:val="Segoe Print"/>
    <w:panose1 w:val="00000000000000000000"/>
    <w:charset w:val="50"/>
    <w:family w:val="auto"/>
    <w:pitch w:val="default"/>
    <w:sig w:usb0="00000000" w:usb1="00000000" w:usb2="00000000"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w:fldChar w:fldCharType="begin"/>
    </w:r>
    <w:r>
      <w:instrText xml:space="preserve">PAGE   \* MERGEFORMAT</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文本框 3076"/>
              <wp:cNvGraphicFramePr/>
              <a:graphic xmlns:a="http://schemas.openxmlformats.org/drawingml/2006/main">
                <a:graphicData uri="http://schemas.microsoft.com/office/word/2010/wordprocessingShape">
                  <wps:wsp>
                    <wps:cNvSpPr/>
                    <wps:spPr>
                      <a:xfrm>
                        <a:off x="0" y="0"/>
                        <a:ext cx="116204" cy="139700"/>
                      </a:xfrm>
                      <a:prstGeom prst="rect">
                        <a:avLst/>
                      </a:prstGeom>
                      <a:noFill/>
                      <a:ln w="9525" cap="flat" cmpd="sng">
                        <a:noFill/>
                        <a:prstDash val="solid"/>
                        <a:round/>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vert="horz" wrap="none" lIns="0" tIns="0" rIns="0" bIns="0" anchor="t" anchorCtr="0" upright="1">
                      <a:spAutoFit/>
                    </wps:bodyPr>
                  </wps:wsp>
                </a:graphicData>
              </a:graphic>
            </wp:anchor>
          </w:drawing>
        </mc:Choice>
        <mc:Fallback>
          <w:pict>
            <v:rect id="文本框 3076" o:spid="_x0000_s1026" o:spt="1"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dDqf0QAAAAMBAAAPAAAAAAAAAAEAIAAAACIAAABkcnMvZG93&#10;bnJldi54bWxQSwECFAAUAAAACACHTuJAHD220gcCAAD3AwAADgAAAAAAAAABACAAAAAgAQAAZHJz&#10;L2Uyb0RvYy54bWxQSwUGAAAAAAYABgBZAQAAmQUAAAAA&#10;">
              <v:fill on="f" focussize="0,0"/>
              <v:stroke on="f" joinstyle="round"/>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4" name="文本框 4"/>
              <wp:cNvGraphicFramePr/>
              <a:graphic xmlns:a="http://schemas.openxmlformats.org/drawingml/2006/main">
                <a:graphicData uri="http://schemas.microsoft.com/office/word/2010/wordprocessingShape">
                  <wps:wsp>
                    <wps:cNvSpPr/>
                    <wps:spPr>
                      <a:xfrm>
                        <a:off x="0" y="0"/>
                        <a:ext cx="116204" cy="139700"/>
                      </a:xfrm>
                      <a:prstGeom prst="rect">
                        <a:avLst/>
                      </a:prstGeom>
                      <a:noFill/>
                      <a:ln w="9525" cap="flat" cmpd="sng">
                        <a:noFill/>
                        <a:prstDash val="solid"/>
                        <a:round/>
                      </a:ln>
                    </wps:spPr>
                    <wps:txbx>
                      <w:txbxContent>
                        <w:p>
                          <w:pPr>
                            <w:pStyle w:val="38"/>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4" o:spid="_x0000_s1026" o:spt="1"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Q6n9EAAAADAQAADwAAAAAAAAABACAAAAAiAAAAZHJzL2Rvd25y&#10;ZXYueG1sUEsBAhQAFAAAAAgAh07iQPFefeIFAgAA9AMAAA4AAAAAAAAAAQAgAAAAIAEAAGRycy9l&#10;Mm9Eb2MueG1sUEsFBgAAAAAGAAYAWQEAAJcFAAAAAA==&#10;">
              <v:fill on="f" focussize="0,0"/>
              <v:stroke on="f" joinstyle="round"/>
              <v:imagedata o:title=""/>
              <o:lock v:ext="edit" aspectratio="f"/>
              <v:textbox inset="0mm,0mm,0mm,0mm" style="mso-fit-shape-to-text:t;">
                <w:txbxContent>
                  <w:p>
                    <w:pPr>
                      <w:pStyle w:val="38"/>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00" cy="147955"/>
              <wp:effectExtent l="0" t="0" r="0" b="0"/>
              <wp:wrapNone/>
              <wp:docPr id="7" name="文本框 2053"/>
              <wp:cNvGraphicFramePr/>
              <a:graphic xmlns:a="http://schemas.openxmlformats.org/drawingml/2006/main">
                <a:graphicData uri="http://schemas.microsoft.com/office/word/2010/wordprocessingShape">
                  <wps:wsp>
                    <wps:cNvSpPr/>
                    <wps:spPr>
                      <a:xfrm>
                        <a:off x="0" y="0"/>
                        <a:ext cx="114300" cy="147955"/>
                      </a:xfrm>
                      <a:prstGeom prst="rect">
                        <a:avLst/>
                      </a:prstGeom>
                      <a:noFill/>
                      <a:ln w="9525" cap="flat" cmpd="sng">
                        <a:noFill/>
                        <a:prstDash val="solid"/>
                        <a:round/>
                      </a:ln>
                    </wps:spPr>
                    <wps:txbx>
                      <w:txbxContent>
                        <w:p>
                          <w:pPr>
                            <w:pStyle w:val="38"/>
                            <w:jc w:val="center"/>
                          </w:pPr>
                          <w:r>
                            <w:rPr>
                              <w:rStyle w:val="62"/>
                              <w:rFonts w:hint="eastAsia"/>
                            </w:rPr>
                            <w:fldChar w:fldCharType="begin"/>
                          </w:r>
                          <w:r>
                            <w:rPr>
                              <w:rStyle w:val="62"/>
                              <w:rFonts w:hint="eastAsia" w:ascii="宋体" w:cs="宋体"/>
                            </w:rPr>
                            <w:instrText xml:space="preserve"> PAGE </w:instrText>
                          </w:r>
                          <w:r>
                            <w:rPr>
                              <w:rFonts w:hint="eastAsia" w:ascii="宋体" w:cs="宋体"/>
                            </w:rPr>
                            <w:fldChar w:fldCharType="separate"/>
                          </w:r>
                          <w:r>
                            <w:rPr>
                              <w:rStyle w:val="62"/>
                              <w:rFonts w:ascii="宋体" w:cs="宋体"/>
                            </w:rPr>
                            <w:t>63</w:t>
                          </w:r>
                          <w:r>
                            <w:rPr>
                              <w:rFonts w:hint="eastAsia" w:ascii="宋体" w:cs="宋体"/>
                            </w:rPr>
                            <w:fldChar w:fldCharType="end"/>
                          </w:r>
                        </w:p>
                      </w:txbxContent>
                    </wps:txbx>
                    <wps:bodyPr vert="horz" wrap="none" lIns="0" tIns="0" rIns="0" bIns="0" anchor="t" anchorCtr="0" upright="1">
                      <a:spAutoFit/>
                    </wps:bodyPr>
                  </wps:wsp>
                </a:graphicData>
              </a:graphic>
            </wp:anchor>
          </w:drawing>
        </mc:Choice>
        <mc:Fallback>
          <w:pict>
            <v:rect id="文本框 2053" o:spid="_x0000_s1026" o:spt="1" style="position:absolute;left:0pt;margin-top:0pt;height:11.65pt;width:9pt;mso-position-horizontal:center;mso-position-horizontal-relative:margin;mso-wrap-style:none;z-index:251659264;mso-width-relative:page;mso-height-relative:page;" filled="f" stroked="f" coordsize="21600,21600" o:gfxdata="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eSf6tAAAAADAQAADwAAAAAAAAABACAAAAAiAAAAZHJzL2Rvd25y&#10;ZXYueG1sUEsBAhQAFAAAAAgAh07iQPGUAOMGAgAA9wMAAA4AAAAAAAAAAQAgAAAAHwEAAGRycy9l&#10;Mm9Eb2MueG1sUEsFBgAAAAAGAAYAWQEAAJcFAAAAAA==&#10;">
              <v:fill on="f" focussize="0,0"/>
              <v:stroke on="f" joinstyle="round"/>
              <v:imagedata o:title=""/>
              <o:lock v:ext="edit" aspectratio="f"/>
              <v:textbox inset="0mm,0mm,0mm,0mm" style="mso-fit-shape-to-text:t;">
                <w:txbxContent>
                  <w:p>
                    <w:pPr>
                      <w:pStyle w:val="38"/>
                      <w:jc w:val="center"/>
                    </w:pPr>
                    <w:r>
                      <w:rPr>
                        <w:rStyle w:val="62"/>
                        <w:rFonts w:hint="eastAsia"/>
                      </w:rPr>
                      <w:fldChar w:fldCharType="begin"/>
                    </w:r>
                    <w:r>
                      <w:rPr>
                        <w:rStyle w:val="62"/>
                        <w:rFonts w:hint="eastAsia" w:ascii="宋体" w:cs="宋体"/>
                      </w:rPr>
                      <w:instrText xml:space="preserve"> PAGE </w:instrText>
                    </w:r>
                    <w:r>
                      <w:rPr>
                        <w:rFonts w:hint="eastAsia" w:ascii="宋体" w:cs="宋体"/>
                      </w:rPr>
                      <w:fldChar w:fldCharType="separate"/>
                    </w:r>
                    <w:r>
                      <w:rPr>
                        <w:rStyle w:val="62"/>
                        <w:rFonts w:ascii="宋体" w:cs="宋体"/>
                      </w:rPr>
                      <w:t>63</w:t>
                    </w:r>
                    <w:r>
                      <w:rPr>
                        <w:rFonts w:hint="eastAsia" w:ascii="宋体" w:cs="宋体"/>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1251E"/>
    <w:multiLevelType w:val="singleLevel"/>
    <w:tmpl w:val="E591251E"/>
    <w:lvl w:ilvl="0" w:tentative="0">
      <w:start w:val="3"/>
      <w:numFmt w:val="chineseCounting"/>
      <w:suff w:val="space"/>
      <w:lvlText w:val="第%1章"/>
      <w:lvlJc w:val="left"/>
      <w:pPr>
        <w:tabs>
          <w:tab w:val="left" w:pos="0"/>
        </w:tabs>
        <w:ind w:left="0" w:firstLine="0"/>
      </w:pPr>
      <w:rPr>
        <w:rFonts w:hint="eastAsia"/>
      </w:rPr>
    </w:lvl>
  </w:abstractNum>
  <w:abstractNum w:abstractNumId="1">
    <w:nsid w:val="025B6CD1"/>
    <w:multiLevelType w:val="singleLevel"/>
    <w:tmpl w:val="025B6CD1"/>
    <w:lvl w:ilvl="0" w:tentative="0">
      <w:start w:val="1"/>
      <w:numFmt w:val="decimal"/>
      <w:suff w:val="nothing"/>
      <w:lvlText w:val="%1、"/>
      <w:lvlJc w:val="left"/>
      <w:pPr>
        <w:tabs>
          <w:tab w:val="left" w:pos="0"/>
        </w:tabs>
        <w:ind w:left="0" w:firstLine="0"/>
      </w:pPr>
    </w:lvl>
  </w:abstractNum>
  <w:abstractNum w:abstractNumId="2">
    <w:nsid w:val="31CEE6E7"/>
    <w:multiLevelType w:val="multilevel"/>
    <w:tmpl w:val="31CEE6E7"/>
    <w:lvl w:ilvl="0" w:tentative="0">
      <w:start w:val="1"/>
      <w:numFmt w:val="decimal"/>
      <w:pStyle w:val="739"/>
      <w:suff w:val="space"/>
      <w:lvlText w:val="%1"/>
      <w:lvlJc w:val="left"/>
      <w:pPr>
        <w:tabs>
          <w:tab w:val="left" w:pos="0"/>
        </w:tabs>
        <w:ind w:left="0" w:firstLine="0"/>
      </w:pPr>
      <w:rPr>
        <w:rFonts w:hint="eastAsia"/>
      </w:rPr>
    </w:lvl>
    <w:lvl w:ilvl="1" w:tentative="0">
      <w:start w:val="1"/>
      <w:numFmt w:val="decimal"/>
      <w:pStyle w:val="740"/>
      <w:suff w:val="space"/>
      <w:lvlText w:val="%1.%2"/>
      <w:lvlJc w:val="left"/>
      <w:pPr>
        <w:tabs>
          <w:tab w:val="left" w:pos="0"/>
        </w:tabs>
        <w:ind w:left="0" w:firstLine="0"/>
      </w:pPr>
      <w:rPr>
        <w:rFonts w:hint="eastAsia"/>
      </w:rPr>
    </w:lvl>
    <w:lvl w:ilvl="2" w:tentative="0">
      <w:start w:val="1"/>
      <w:numFmt w:val="decimal"/>
      <w:pStyle w:val="741"/>
      <w:suff w:val="space"/>
      <w:lvlText w:val="%1.%2.%3"/>
      <w:lvlJc w:val="left"/>
      <w:pPr>
        <w:tabs>
          <w:tab w:val="left" w:pos="0"/>
        </w:tabs>
        <w:ind w:left="0" w:firstLine="0"/>
      </w:pPr>
      <w:rPr>
        <w:rFonts w:hint="eastAsia"/>
      </w:rPr>
    </w:lvl>
    <w:lvl w:ilvl="3" w:tentative="0">
      <w:start w:val="1"/>
      <w:numFmt w:val="decimal"/>
      <w:pStyle w:val="743"/>
      <w:suff w:val="space"/>
      <w:lvlText w:val="%1.%2.%3.%4"/>
      <w:lvlJc w:val="left"/>
      <w:pPr>
        <w:tabs>
          <w:tab w:val="left" w:pos="0"/>
        </w:tabs>
        <w:ind w:left="0" w:firstLine="0"/>
      </w:pPr>
      <w:rPr>
        <w:rFonts w:hint="eastAsia"/>
      </w:rPr>
    </w:lvl>
    <w:lvl w:ilvl="4" w:tentative="0">
      <w:start w:val="1"/>
      <w:numFmt w:val="decimal"/>
      <w:pStyle w:val="742"/>
      <w:suff w:val="space"/>
      <w:lvlText w:val="（%5）"/>
      <w:lvlJc w:val="left"/>
      <w:pPr>
        <w:tabs>
          <w:tab w:val="left" w:pos="0"/>
        </w:tabs>
        <w:ind w:left="0" w:firstLine="0"/>
      </w:pPr>
      <w:rPr>
        <w:rFonts w:hint="eastAsia"/>
      </w:rPr>
    </w:lvl>
    <w:lvl w:ilvl="5" w:tentative="0">
      <w:start w:val="1"/>
      <w:numFmt w:val="decimal"/>
      <w:pStyle w:val="745"/>
      <w:suff w:val="space"/>
      <w:lvlText w:val="（%6）"/>
      <w:lvlJc w:val="left"/>
      <w:pPr>
        <w:tabs>
          <w:tab w:val="left" w:pos="0"/>
        </w:tabs>
        <w:ind w:left="284"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lowerLetter"/>
      <w:pStyle w:val="744"/>
      <w:suff w:val="nothing"/>
      <w:lvlText w:val="%7、"/>
      <w:lvlJc w:val="left"/>
      <w:pPr>
        <w:tabs>
          <w:tab w:val="left" w:pos="0"/>
        </w:tabs>
        <w:ind w:left="0" w:firstLine="0"/>
      </w:pPr>
      <w:rPr>
        <w:rFonts w:hint="eastAsia"/>
      </w:rPr>
    </w:lvl>
    <w:lvl w:ilvl="7" w:tentative="0">
      <w:start w:val="1"/>
      <w:numFmt w:val="decimal"/>
      <w:lvlRestart w:val="1"/>
      <w:pStyle w:val="738"/>
      <w:suff w:val="space"/>
      <w:lvlText w:val="表%1-%8"/>
      <w:lvlJc w:val="center"/>
      <w:pPr>
        <w:tabs>
          <w:tab w:val="left" w:pos="0"/>
        </w:tabs>
        <w:ind w:left="0" w:firstLine="0"/>
      </w:pPr>
      <w:rPr>
        <w:rFonts w:hint="eastAsia"/>
      </w:rPr>
    </w:lvl>
    <w:lvl w:ilvl="8" w:tentative="0">
      <w:start w:val="1"/>
      <w:numFmt w:val="decimal"/>
      <w:lvlRestart w:val="1"/>
      <w:pStyle w:val="746"/>
      <w:suff w:val="space"/>
      <w:lvlText w:val="图%1-%9"/>
      <w:lvlJc w:val="left"/>
      <w:pPr>
        <w:tabs>
          <w:tab w:val="left" w:pos="0"/>
        </w:tabs>
        <w:ind w:left="0" w:firstLine="0"/>
      </w:pPr>
      <w:rPr>
        <w:rFonts w:hint="eastAsia"/>
      </w:rPr>
    </w:lvl>
  </w:abstractNum>
  <w:abstractNum w:abstractNumId="3">
    <w:nsid w:val="5524A58E"/>
    <w:multiLevelType w:val="singleLevel"/>
    <w:tmpl w:val="5524A58E"/>
    <w:lvl w:ilvl="0" w:tentative="0">
      <w:start w:val="2"/>
      <w:numFmt w:val="decimal"/>
      <w:suff w:val="nothing"/>
      <w:lvlText w:val="（%1）"/>
      <w:lvlJc w:val="left"/>
      <w:pPr>
        <w:tabs>
          <w:tab w:val="left" w:pos="0"/>
        </w:tabs>
        <w:ind w:left="0" w:firstLine="0"/>
      </w:pPr>
    </w:lvl>
  </w:abstractNum>
  <w:num w:numId="1">
    <w:abstractNumId w:val="2"/>
  </w:num>
  <w:num w:numId="2">
    <w:abstractNumId w:val="1"/>
  </w:num>
  <w:num w:numId="3">
    <w:abstractNumId w:val="0"/>
  </w:num>
  <w:num w:numId="4">
    <w:abstractNumId w:val="2"/>
    <w:lvlOverride w:ilvl="0">
      <w:startOverride w:val="1"/>
      <w:lvl w:ilvl="0" w:tentative="1">
        <w:start w:val="1"/>
        <w:numFmt w:val="decimal"/>
        <w:suff w:val="space"/>
        <w:lvlText w:val="%1"/>
        <w:lvlJc w:val="left"/>
        <w:pPr>
          <w:tabs>
            <w:tab w:val="left" w:pos="0"/>
          </w:tabs>
          <w:ind w:left="0" w:firstLine="0"/>
        </w:pPr>
        <w:rPr>
          <w:rFonts w:hint="eastAsia"/>
        </w:rPr>
      </w:lvl>
    </w:lvlOverride>
    <w:lvlOverride w:ilvl="1">
      <w:startOverride w:val="1"/>
      <w:lvl w:ilvl="1" w:tentative="1">
        <w:start w:val="1"/>
        <w:numFmt w:val="decimal"/>
        <w:suff w:val="space"/>
        <w:lvlText w:val="%1.%2"/>
        <w:lvlJc w:val="left"/>
        <w:pPr>
          <w:tabs>
            <w:tab w:val="left" w:pos="0"/>
          </w:tabs>
          <w:ind w:left="0" w:firstLine="0"/>
        </w:pPr>
        <w:rPr>
          <w:rFonts w:hint="eastAsia"/>
        </w:rPr>
      </w:lvl>
    </w:lvlOverride>
    <w:lvlOverride w:ilvl="2">
      <w:startOverride w:val="1"/>
      <w:lvl w:ilvl="2" w:tentative="1">
        <w:start w:val="1"/>
        <w:numFmt w:val="decimal"/>
        <w:suff w:val="space"/>
        <w:lvlText w:val="%1.%2.%3"/>
        <w:lvlJc w:val="left"/>
        <w:pPr>
          <w:tabs>
            <w:tab w:val="left" w:pos="0"/>
          </w:tabs>
          <w:ind w:left="0" w:firstLine="0"/>
        </w:pPr>
        <w:rPr>
          <w:rFonts w:hint="eastAsia"/>
        </w:rPr>
      </w:lvl>
    </w:lvlOverride>
    <w:lvlOverride w:ilvl="3">
      <w:startOverride w:val="1"/>
      <w:lvl w:ilvl="3" w:tentative="1">
        <w:start w:val="1"/>
        <w:numFmt w:val="decimal"/>
        <w:suff w:val="space"/>
        <w:lvlText w:val="%1.%2.%3.%4"/>
        <w:lvlJc w:val="left"/>
        <w:pPr>
          <w:tabs>
            <w:tab w:val="left" w:pos="0"/>
          </w:tabs>
          <w:ind w:left="0" w:firstLine="0"/>
        </w:pPr>
        <w:rPr>
          <w:rFonts w:hint="eastAsia"/>
        </w:rPr>
      </w:lvl>
    </w:lvlOverride>
    <w:lvlOverride w:ilvl="4">
      <w:startOverride w:val="1"/>
      <w:lvl w:ilvl="4" w:tentative="1">
        <w:start w:val="1"/>
        <w:numFmt w:val="decimal"/>
        <w:suff w:val="space"/>
        <w:lvlText w:val="（%5）"/>
        <w:lvlJc w:val="left"/>
        <w:pPr>
          <w:tabs>
            <w:tab w:val="left" w:pos="0"/>
          </w:tabs>
          <w:ind w:left="0" w:firstLine="0"/>
        </w:pPr>
        <w:rPr>
          <w:rFonts w:hint="eastAsia"/>
        </w:rPr>
      </w:lvl>
    </w:lvlOverride>
    <w:lvlOverride w:ilvl="5">
      <w:startOverride w:val="1"/>
      <w:lvl w:ilvl="5" w:tentative="1">
        <w:start w:val="1"/>
        <w:numFmt w:val="decimal"/>
        <w:suff w:val="space"/>
        <w:lvlText w:val="（%6）"/>
        <w:lvlJc w:val="left"/>
        <w:pPr>
          <w:tabs>
            <w:tab w:val="left" w:pos="0"/>
          </w:tabs>
          <w:ind w:left="284"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Override>
    <w:lvlOverride w:ilvl="6">
      <w:startOverride w:val="1"/>
      <w:lvl w:ilvl="6" w:tentative="1">
        <w:start w:val="1"/>
        <w:numFmt w:val="lowerLetter"/>
        <w:suff w:val="nothing"/>
        <w:lvlText w:val="%7、"/>
        <w:lvlJc w:val="left"/>
        <w:pPr>
          <w:tabs>
            <w:tab w:val="left" w:pos="0"/>
          </w:tabs>
          <w:ind w:left="0" w:firstLine="0"/>
        </w:pPr>
        <w:rPr>
          <w:rFonts w:hint="eastAsia"/>
        </w:rPr>
      </w:lvl>
    </w:lvlOverride>
    <w:lvlOverride w:ilvl="7">
      <w:startOverride w:val="1"/>
      <w:lvl w:ilvl="7" w:tentative="1">
        <w:start w:val="1"/>
        <w:numFmt w:val="decimal"/>
        <w:lvlRestart w:val="1"/>
        <w:suff w:val="space"/>
        <w:lvlText w:val="表%1-%8"/>
        <w:lvlJc w:val="center"/>
        <w:pPr>
          <w:tabs>
            <w:tab w:val="left" w:pos="0"/>
          </w:tabs>
          <w:ind w:left="0" w:firstLine="0"/>
        </w:pPr>
        <w:rPr>
          <w:rFonts w:hint="eastAsia"/>
        </w:rPr>
      </w:lvl>
    </w:lvlOverride>
    <w:lvlOverride w:ilvl="8">
      <w:startOverride w:val="1"/>
      <w:lvl w:ilvl="8" w:tentative="1">
        <w:start w:val="1"/>
        <w:numFmt w:val="decimal"/>
        <w:lvlRestart w:val="1"/>
        <w:suff w:val="space"/>
        <w:lvlText w:val="图%1-%9"/>
        <w:lvlJc w:val="left"/>
        <w:pPr>
          <w:tabs>
            <w:tab w:val="left" w:pos="0"/>
          </w:tabs>
          <w:ind w:left="0" w:firstLine="0"/>
        </w:pPr>
        <w:rPr>
          <w:rFonts w:hint="eastAsia"/>
        </w:rPr>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dit="trackedChanges" w:enforcement="0"/>
  <w:defaultTabStop w:val="420"/>
  <w:drawingGridHorizontalSpacing w:val="105"/>
  <w:drawingGridVerticalSpacing w:val="156"/>
  <w:displayHorizontalDrawingGridEvery w:val="0"/>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xNTU4Nzc0MDIwMjI5MjQ5MGYzMjIzY2Q4Nzk1ZDUifQ=="/>
  </w:docVars>
  <w:rsids>
    <w:rsidRoot w:val="00046462"/>
    <w:rsid w:val="00046462"/>
    <w:rsid w:val="007559EC"/>
    <w:rsid w:val="00BF12C1"/>
    <w:rsid w:val="15420863"/>
    <w:rsid w:val="1ECB3353"/>
    <w:rsid w:val="3E240BFD"/>
    <w:rsid w:val="44834E9F"/>
    <w:rsid w:val="565076BF"/>
    <w:rsid w:val="62561AC6"/>
    <w:rsid w:val="75A52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qFormat/>
    <w:uiPriority w:val="0"/>
    <w:pPr>
      <w:keepNext/>
      <w:keepLines/>
      <w:spacing w:before="340" w:after="330" w:line="576" w:lineRule="auto"/>
      <w:outlineLvl w:val="0"/>
    </w:pPr>
    <w:rPr>
      <w:b/>
      <w:bCs/>
      <w:kern w:val="44"/>
      <w:sz w:val="44"/>
      <w:szCs w:val="44"/>
    </w:rPr>
  </w:style>
  <w:style w:type="paragraph" w:styleId="6">
    <w:name w:val="heading 2"/>
    <w:basedOn w:val="1"/>
    <w:next w:val="1"/>
    <w:qFormat/>
    <w:uiPriority w:val="0"/>
    <w:pPr>
      <w:keepNext/>
      <w:keepLines/>
      <w:spacing w:line="360" w:lineRule="auto"/>
      <w:jc w:val="left"/>
      <w:outlineLvl w:val="1"/>
    </w:pPr>
    <w:rPr>
      <w:rFonts w:ascii="Arial" w:hAnsi="Arial"/>
      <w:b/>
      <w:bCs/>
      <w:kern w:val="0"/>
      <w:sz w:val="32"/>
      <w:szCs w:val="32"/>
    </w:rPr>
  </w:style>
  <w:style w:type="paragraph" w:styleId="7">
    <w:name w:val="heading 3"/>
    <w:basedOn w:val="1"/>
    <w:next w:val="1"/>
    <w:qFormat/>
    <w:uiPriority w:val="0"/>
    <w:pPr>
      <w:keepNext/>
      <w:keepLines/>
      <w:spacing w:before="260" w:after="260" w:line="415" w:lineRule="auto"/>
      <w:ind w:firstLine="49" w:firstLineChars="49"/>
      <w:outlineLvl w:val="2"/>
    </w:pPr>
    <w:rPr>
      <w:rFonts w:ascii="黑体" w:eastAsia="黑体"/>
      <w:bCs/>
      <w:kern w:val="0"/>
      <w:sz w:val="28"/>
      <w:szCs w:val="28"/>
    </w:rPr>
  </w:style>
  <w:style w:type="paragraph" w:styleId="8">
    <w:name w:val="heading 4"/>
    <w:basedOn w:val="1"/>
    <w:next w:val="1"/>
    <w:uiPriority w:val="0"/>
    <w:pPr>
      <w:keepNext/>
      <w:keepLines/>
      <w:spacing w:before="280" w:after="290" w:line="374" w:lineRule="auto"/>
      <w:outlineLvl w:val="3"/>
    </w:pPr>
    <w:rPr>
      <w:rFonts w:ascii="Arial" w:hAnsi="Arial" w:eastAsia="黑体"/>
      <w:b/>
      <w:bCs/>
      <w:kern w:val="0"/>
      <w:sz w:val="28"/>
      <w:szCs w:val="28"/>
    </w:rPr>
  </w:style>
  <w:style w:type="paragraph" w:styleId="9">
    <w:name w:val="heading 5"/>
    <w:basedOn w:val="1"/>
    <w:next w:val="1"/>
    <w:qFormat/>
    <w:uiPriority w:val="0"/>
    <w:pPr>
      <w:spacing w:before="100" w:beforeLines="100" w:after="100" w:afterLines="100" w:line="240" w:lineRule="exact"/>
      <w:ind w:left="284" w:hanging="284"/>
      <w:jc w:val="center"/>
      <w:outlineLvl w:val="4"/>
    </w:pPr>
    <w:rPr>
      <w:color w:val="000000"/>
      <w:sz w:val="24"/>
      <w:szCs w:val="24"/>
    </w:rPr>
  </w:style>
  <w:style w:type="paragraph" w:styleId="10">
    <w:name w:val="heading 6"/>
    <w:basedOn w:val="1"/>
    <w:next w:val="1"/>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1">
    <w:name w:val="heading 7"/>
    <w:basedOn w:val="1"/>
    <w:next w:val="1"/>
    <w:qFormat/>
    <w:uiPriority w:val="0"/>
    <w:pPr>
      <w:keepNext/>
      <w:keepLines/>
      <w:widowControl/>
      <w:tabs>
        <w:tab w:val="left" w:pos="2520"/>
      </w:tabs>
      <w:spacing w:before="240" w:after="64" w:line="319" w:lineRule="auto"/>
      <w:ind w:left="1296" w:hanging="1296"/>
      <w:jc w:val="left"/>
      <w:outlineLvl w:val="6"/>
    </w:pPr>
    <w:rPr>
      <w:b/>
      <w:bCs/>
      <w:kern w:val="0"/>
      <w:sz w:val="24"/>
      <w:szCs w:val="24"/>
    </w:rPr>
  </w:style>
  <w:style w:type="paragraph" w:styleId="12">
    <w:name w:val="heading 8"/>
    <w:basedOn w:val="1"/>
    <w:next w:val="1"/>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3">
    <w:name w:val="heading 9"/>
    <w:basedOn w:val="1"/>
    <w:next w:val="1"/>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59">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line="312" w:lineRule="auto"/>
      <w:ind w:firstLine="420"/>
    </w:pPr>
    <w:rPr>
      <w:kern w:val="0"/>
      <w:sz w:val="20"/>
      <w:szCs w:val="24"/>
    </w:rPr>
  </w:style>
  <w:style w:type="paragraph" w:styleId="3">
    <w:name w:val="Body Text"/>
    <w:basedOn w:val="1"/>
    <w:next w:val="1"/>
    <w:qFormat/>
    <w:uiPriority w:val="0"/>
    <w:pPr>
      <w:spacing w:after="120"/>
    </w:p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eastAsia="宋体" w:cs="Times New Roman"/>
      <w:kern w:val="2"/>
      <w:sz w:val="24"/>
      <w:lang w:val="en-US" w:eastAsia="zh-CN" w:bidi="ar-SA"/>
    </w:rPr>
  </w:style>
  <w:style w:type="paragraph" w:styleId="14">
    <w:name w:val="toc 7"/>
    <w:basedOn w:val="1"/>
    <w:next w:val="1"/>
    <w:qFormat/>
    <w:uiPriority w:val="0"/>
    <w:pPr>
      <w:ind w:left="1260"/>
      <w:jc w:val="left"/>
    </w:pPr>
    <w:rPr>
      <w:rFonts w:ascii="Times New Roman" w:hAnsi="Times New Roman"/>
      <w:sz w:val="18"/>
      <w:szCs w:val="18"/>
    </w:rPr>
  </w:style>
  <w:style w:type="paragraph" w:styleId="15">
    <w:name w:val="table of authorities"/>
    <w:basedOn w:val="1"/>
    <w:next w:val="1"/>
    <w:qFormat/>
    <w:uiPriority w:val="0"/>
    <w:pPr>
      <w:ind w:left="210" w:hanging="210"/>
      <w:jc w:val="left"/>
    </w:pPr>
    <w:rPr>
      <w:rFonts w:cs="Calibri"/>
      <w:sz w:val="20"/>
      <w:szCs w:val="20"/>
    </w:rPr>
  </w:style>
  <w:style w:type="paragraph" w:styleId="16">
    <w:name w:val="index 8"/>
    <w:basedOn w:val="1"/>
    <w:next w:val="1"/>
    <w:qFormat/>
    <w:uiPriority w:val="0"/>
    <w:rPr>
      <w:color w:val="FF0000"/>
      <w:szCs w:val="21"/>
      <w:lang w:val="zh-CN"/>
    </w:rPr>
  </w:style>
  <w:style w:type="paragraph" w:styleId="17">
    <w:name w:val="List Number"/>
    <w:basedOn w:val="1"/>
    <w:qFormat/>
    <w:uiPriority w:val="0"/>
    <w:pPr>
      <w:tabs>
        <w:tab w:val="left" w:pos="720"/>
        <w:tab w:val="left" w:pos="1440"/>
      </w:tabs>
      <w:spacing w:after="120"/>
      <w:ind w:left="360" w:hanging="360"/>
    </w:pPr>
    <w:rPr>
      <w:rFonts w:ascii="Times New Roman" w:hAnsi="Times New Roman"/>
      <w:sz w:val="20"/>
      <w:szCs w:val="20"/>
    </w:rPr>
  </w:style>
  <w:style w:type="paragraph" w:styleId="18">
    <w:name w:val="Normal Indent"/>
    <w:basedOn w:val="1"/>
    <w:qFormat/>
    <w:uiPriority w:val="0"/>
    <w:pPr>
      <w:ind w:firstLine="200" w:firstLineChars="200"/>
    </w:pPr>
    <w:rPr>
      <w:szCs w:val="24"/>
    </w:rPr>
  </w:style>
  <w:style w:type="paragraph" w:styleId="19">
    <w:name w:val="caption"/>
    <w:basedOn w:val="1"/>
    <w:next w:val="1"/>
    <w:qFormat/>
    <w:uiPriority w:val="0"/>
    <w:pPr>
      <w:snapToGrid w:val="0"/>
      <w:spacing w:line="288" w:lineRule="auto"/>
      <w:jc w:val="center"/>
    </w:pPr>
    <w:rPr>
      <w:rFonts w:cs="Arial"/>
      <w:szCs w:val="20"/>
    </w:rPr>
  </w:style>
  <w:style w:type="paragraph" w:styleId="20">
    <w:name w:val="List Bullet"/>
    <w:basedOn w:val="1"/>
    <w:qFormat/>
    <w:uiPriority w:val="0"/>
    <w:rPr>
      <w:rFonts w:ascii="Times New Roman" w:hAnsi="Times New Roman"/>
      <w:szCs w:val="20"/>
    </w:rPr>
  </w:style>
  <w:style w:type="paragraph" w:styleId="21">
    <w:name w:val="Document Map"/>
    <w:basedOn w:val="1"/>
    <w:qFormat/>
    <w:uiPriority w:val="0"/>
    <w:pPr>
      <w:shd w:val="clear" w:color="auto" w:fill="000080"/>
    </w:pPr>
    <w:rPr>
      <w:kern w:val="0"/>
      <w:sz w:val="20"/>
      <w:szCs w:val="24"/>
      <w:shd w:val="clear" w:color="auto" w:fill="000080"/>
    </w:rPr>
  </w:style>
  <w:style w:type="paragraph" w:styleId="22">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23">
    <w:name w:val="annotation text"/>
    <w:basedOn w:val="1"/>
    <w:qFormat/>
    <w:uiPriority w:val="0"/>
    <w:pPr>
      <w:jc w:val="left"/>
    </w:pPr>
    <w:rPr>
      <w:kern w:val="0"/>
      <w:sz w:val="20"/>
      <w:szCs w:val="24"/>
    </w:rPr>
  </w:style>
  <w:style w:type="paragraph" w:styleId="24">
    <w:name w:val="Body Text 3"/>
    <w:basedOn w:val="1"/>
    <w:qFormat/>
    <w:uiPriority w:val="0"/>
    <w:rPr>
      <w:rFonts w:ascii="宋体"/>
      <w:kern w:val="0"/>
      <w:sz w:val="24"/>
      <w:szCs w:val="20"/>
    </w:rPr>
  </w:style>
  <w:style w:type="paragraph" w:styleId="25">
    <w:name w:val="List Bullet 3"/>
    <w:basedOn w:val="1"/>
    <w:qFormat/>
    <w:uiPriority w:val="0"/>
    <w:pPr>
      <w:tabs>
        <w:tab w:val="left" w:pos="884"/>
      </w:tabs>
      <w:spacing w:line="360" w:lineRule="auto"/>
    </w:pPr>
    <w:rPr>
      <w:rFonts w:ascii="Times New Roman" w:hAnsi="Times New Roman"/>
      <w:sz w:val="24"/>
      <w:szCs w:val="20"/>
      <w:lang w:val="en-GB" w:eastAsia="en-GB"/>
    </w:rPr>
  </w:style>
  <w:style w:type="paragraph" w:styleId="26">
    <w:name w:val="Body Text Indent"/>
    <w:basedOn w:val="1"/>
    <w:qFormat/>
    <w:uiPriority w:val="0"/>
    <w:pPr>
      <w:spacing w:after="120"/>
      <w:ind w:left="200" w:leftChars="200"/>
    </w:pPr>
    <w:rPr>
      <w:kern w:val="0"/>
      <w:sz w:val="20"/>
      <w:szCs w:val="24"/>
    </w:rPr>
  </w:style>
  <w:style w:type="paragraph" w:styleId="27">
    <w:name w:val="List 2"/>
    <w:basedOn w:val="1"/>
    <w:qFormat/>
    <w:uiPriority w:val="0"/>
    <w:pPr>
      <w:ind w:left="566" w:hanging="283"/>
    </w:pPr>
    <w:rPr>
      <w:rFonts w:ascii="Times New Roman" w:hAnsi="Times New Roman"/>
      <w:szCs w:val="20"/>
    </w:rPr>
  </w:style>
  <w:style w:type="paragraph" w:styleId="28">
    <w:name w:val="Block Text"/>
    <w:basedOn w:val="1"/>
    <w:qFormat/>
    <w:uiPriority w:val="0"/>
    <w:pPr>
      <w:spacing w:before="120" w:after="120" w:line="360" w:lineRule="auto"/>
      <w:ind w:left="57" w:right="57" w:firstLine="468"/>
    </w:pPr>
    <w:rPr>
      <w:rFonts w:ascii="Arial" w:hAnsi="Arial"/>
      <w:sz w:val="24"/>
      <w:szCs w:val="20"/>
    </w:rPr>
  </w:style>
  <w:style w:type="paragraph" w:styleId="29">
    <w:name w:val="List Bullet 2"/>
    <w:basedOn w:val="1"/>
    <w:qFormat/>
    <w:uiPriority w:val="0"/>
    <w:rPr>
      <w:rFonts w:ascii="Times New Roman" w:hAnsi="Times New Roman"/>
      <w:szCs w:val="20"/>
    </w:rPr>
  </w:style>
  <w:style w:type="paragraph" w:styleId="30">
    <w:name w:val="toc 5"/>
    <w:basedOn w:val="1"/>
    <w:next w:val="1"/>
    <w:qFormat/>
    <w:uiPriority w:val="0"/>
    <w:pPr>
      <w:ind w:left="840"/>
      <w:jc w:val="left"/>
    </w:pPr>
    <w:rPr>
      <w:rFonts w:ascii="Times New Roman" w:hAnsi="Times New Roman"/>
      <w:sz w:val="18"/>
      <w:szCs w:val="18"/>
    </w:rPr>
  </w:style>
  <w:style w:type="paragraph" w:styleId="31">
    <w:name w:val="toc 3"/>
    <w:basedOn w:val="1"/>
    <w:next w:val="1"/>
    <w:qFormat/>
    <w:uiPriority w:val="0"/>
    <w:pPr>
      <w:ind w:left="420"/>
      <w:jc w:val="left"/>
    </w:pPr>
    <w:rPr>
      <w:rFonts w:ascii="Times New Roman" w:hAnsi="Times New Roman"/>
      <w:i/>
      <w:iCs/>
      <w:sz w:val="20"/>
      <w:szCs w:val="20"/>
    </w:rPr>
  </w:style>
  <w:style w:type="paragraph" w:styleId="32">
    <w:name w:val="Plain Text"/>
    <w:basedOn w:val="1"/>
    <w:next w:val="1"/>
    <w:qFormat/>
    <w:uiPriority w:val="0"/>
    <w:rPr>
      <w:rFonts w:ascii="宋体"/>
      <w:kern w:val="0"/>
      <w:sz w:val="20"/>
      <w:szCs w:val="20"/>
    </w:rPr>
  </w:style>
  <w:style w:type="paragraph" w:styleId="33">
    <w:name w:val="toc 8"/>
    <w:basedOn w:val="1"/>
    <w:next w:val="1"/>
    <w:qFormat/>
    <w:uiPriority w:val="0"/>
    <w:pPr>
      <w:ind w:left="1470"/>
      <w:jc w:val="left"/>
    </w:pPr>
    <w:rPr>
      <w:rFonts w:ascii="Times New Roman" w:hAnsi="Times New Roman"/>
      <w:sz w:val="18"/>
      <w:szCs w:val="18"/>
    </w:rPr>
  </w:style>
  <w:style w:type="paragraph" w:styleId="34">
    <w:name w:val="Date"/>
    <w:basedOn w:val="1"/>
    <w:next w:val="1"/>
    <w:qFormat/>
    <w:uiPriority w:val="0"/>
    <w:rPr>
      <w:kern w:val="0"/>
      <w:sz w:val="24"/>
      <w:szCs w:val="20"/>
    </w:rPr>
  </w:style>
  <w:style w:type="paragraph" w:styleId="35">
    <w:name w:val="Body Text Indent 2"/>
    <w:basedOn w:val="1"/>
    <w:qFormat/>
    <w:uiPriority w:val="0"/>
    <w:pPr>
      <w:spacing w:after="120" w:line="480" w:lineRule="auto"/>
      <w:ind w:left="200" w:leftChars="200"/>
    </w:pPr>
    <w:rPr>
      <w:kern w:val="0"/>
      <w:sz w:val="20"/>
      <w:szCs w:val="24"/>
    </w:rPr>
  </w:style>
  <w:style w:type="paragraph" w:styleId="36">
    <w:name w:val="endnote text"/>
    <w:basedOn w:val="1"/>
    <w:qFormat/>
    <w:uiPriority w:val="0"/>
    <w:pPr>
      <w:snapToGrid w:val="0"/>
      <w:jc w:val="left"/>
    </w:pPr>
    <w:rPr>
      <w:kern w:val="0"/>
      <w:sz w:val="20"/>
      <w:szCs w:val="20"/>
    </w:rPr>
  </w:style>
  <w:style w:type="paragraph" w:styleId="37">
    <w:name w:val="Balloon Text"/>
    <w:basedOn w:val="1"/>
    <w:qFormat/>
    <w:uiPriority w:val="0"/>
    <w:rPr>
      <w:kern w:val="0"/>
      <w:sz w:val="18"/>
      <w:szCs w:val="18"/>
    </w:rPr>
  </w:style>
  <w:style w:type="paragraph" w:styleId="38">
    <w:name w:val="footer"/>
    <w:basedOn w:val="1"/>
    <w:qFormat/>
    <w:uiPriority w:val="0"/>
    <w:pPr>
      <w:tabs>
        <w:tab w:val="center" w:pos="4153"/>
        <w:tab w:val="right" w:pos="8306"/>
      </w:tabs>
      <w:snapToGrid w:val="0"/>
      <w:jc w:val="left"/>
    </w:pPr>
    <w:rPr>
      <w:kern w:val="0"/>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40">
    <w:name w:val="Signature"/>
    <w:basedOn w:val="1"/>
    <w:qFormat/>
    <w:uiPriority w:val="0"/>
    <w:pPr>
      <w:ind w:left="4320"/>
    </w:pPr>
    <w:rPr>
      <w:rFonts w:eastAsia="楷体_GB2312"/>
      <w:szCs w:val="20"/>
    </w:rPr>
  </w:style>
  <w:style w:type="paragraph" w:styleId="41">
    <w:name w:val="toc 1"/>
    <w:basedOn w:val="1"/>
    <w:next w:val="1"/>
    <w:qFormat/>
    <w:uiPriority w:val="0"/>
    <w:pPr>
      <w:spacing w:before="120" w:after="120"/>
      <w:jc w:val="left"/>
    </w:pPr>
    <w:rPr>
      <w:rFonts w:ascii="Times New Roman" w:hAnsi="Times New Roman"/>
      <w:b/>
      <w:bCs/>
      <w:caps/>
      <w:sz w:val="20"/>
      <w:szCs w:val="20"/>
    </w:rPr>
  </w:style>
  <w:style w:type="paragraph" w:styleId="42">
    <w:name w:val="toc 4"/>
    <w:basedOn w:val="1"/>
    <w:next w:val="1"/>
    <w:qFormat/>
    <w:uiPriority w:val="0"/>
    <w:pPr>
      <w:ind w:left="630"/>
      <w:jc w:val="left"/>
    </w:pPr>
    <w:rPr>
      <w:rFonts w:ascii="Times New Roman" w:hAnsi="Times New Roman"/>
      <w:sz w:val="18"/>
      <w:szCs w:val="18"/>
    </w:rPr>
  </w:style>
  <w:style w:type="paragraph" w:styleId="43">
    <w:name w:val="index heading"/>
    <w:basedOn w:val="1"/>
    <w:next w:val="44"/>
    <w:qFormat/>
    <w:uiPriority w:val="0"/>
    <w:rPr>
      <w:rFonts w:ascii="Times New Roman" w:hAnsi="Times New Roman"/>
      <w:szCs w:val="24"/>
    </w:rPr>
  </w:style>
  <w:style w:type="paragraph" w:styleId="44">
    <w:name w:val="index 1"/>
    <w:basedOn w:val="1"/>
    <w:next w:val="1"/>
    <w:qFormat/>
    <w:uiPriority w:val="0"/>
  </w:style>
  <w:style w:type="paragraph" w:styleId="45">
    <w:name w:val="Subtitle"/>
    <w:basedOn w:val="1"/>
    <w:next w:val="1"/>
    <w:qFormat/>
    <w:uiPriority w:val="0"/>
    <w:rPr>
      <w:rFonts w:ascii="Cambria" w:hAnsi="Cambria"/>
      <w:i/>
      <w:color w:val="4F81BD"/>
      <w:spacing w:val="15"/>
      <w:sz w:val="24"/>
      <w:szCs w:val="20"/>
    </w:rPr>
  </w:style>
  <w:style w:type="paragraph" w:styleId="46">
    <w:name w:val="List"/>
    <w:basedOn w:val="1"/>
    <w:qFormat/>
    <w:uiPriority w:val="0"/>
    <w:pPr>
      <w:ind w:left="420" w:hanging="420"/>
    </w:pPr>
    <w:rPr>
      <w:rFonts w:ascii="Times New Roman" w:hAnsi="Times New Roman"/>
      <w:szCs w:val="20"/>
    </w:rPr>
  </w:style>
  <w:style w:type="paragraph" w:styleId="47">
    <w:name w:val="footnote text"/>
    <w:basedOn w:val="1"/>
    <w:qFormat/>
    <w:uiPriority w:val="0"/>
    <w:pPr>
      <w:snapToGrid w:val="0"/>
    </w:pPr>
    <w:rPr>
      <w:sz w:val="18"/>
      <w:szCs w:val="20"/>
    </w:rPr>
  </w:style>
  <w:style w:type="paragraph" w:styleId="48">
    <w:name w:val="toc 6"/>
    <w:basedOn w:val="1"/>
    <w:next w:val="1"/>
    <w:qFormat/>
    <w:uiPriority w:val="0"/>
    <w:pPr>
      <w:ind w:left="1050"/>
      <w:jc w:val="left"/>
    </w:pPr>
    <w:rPr>
      <w:rFonts w:ascii="Times New Roman" w:hAnsi="Times New Roman"/>
      <w:sz w:val="18"/>
      <w:szCs w:val="18"/>
    </w:rPr>
  </w:style>
  <w:style w:type="paragraph" w:styleId="49">
    <w:name w:val="Body Text Indent 3"/>
    <w:basedOn w:val="1"/>
    <w:qFormat/>
    <w:uiPriority w:val="0"/>
    <w:pPr>
      <w:spacing w:after="120"/>
      <w:ind w:left="200" w:leftChars="200"/>
    </w:pPr>
    <w:rPr>
      <w:kern w:val="0"/>
      <w:sz w:val="16"/>
      <w:szCs w:val="16"/>
    </w:rPr>
  </w:style>
  <w:style w:type="paragraph" w:styleId="50">
    <w:name w:val="toc 2"/>
    <w:basedOn w:val="1"/>
    <w:next w:val="1"/>
    <w:qFormat/>
    <w:uiPriority w:val="0"/>
    <w:pPr>
      <w:ind w:left="210"/>
      <w:jc w:val="left"/>
    </w:pPr>
    <w:rPr>
      <w:rFonts w:ascii="Times New Roman" w:hAnsi="Times New Roman"/>
      <w:smallCaps/>
      <w:sz w:val="20"/>
      <w:szCs w:val="20"/>
    </w:rPr>
  </w:style>
  <w:style w:type="paragraph" w:styleId="51">
    <w:name w:val="toc 9"/>
    <w:basedOn w:val="1"/>
    <w:next w:val="1"/>
    <w:qFormat/>
    <w:uiPriority w:val="0"/>
    <w:pPr>
      <w:ind w:left="1680"/>
      <w:jc w:val="left"/>
    </w:pPr>
    <w:rPr>
      <w:rFonts w:ascii="Times New Roman" w:hAnsi="Times New Roman"/>
      <w:sz w:val="18"/>
      <w:szCs w:val="18"/>
    </w:rPr>
  </w:style>
  <w:style w:type="paragraph" w:styleId="52">
    <w:name w:val="Body Text 2"/>
    <w:basedOn w:val="1"/>
    <w:qFormat/>
    <w:uiPriority w:val="0"/>
    <w:pPr>
      <w:spacing w:after="120" w:line="480" w:lineRule="auto"/>
    </w:pPr>
    <w:rPr>
      <w:kern w:val="0"/>
      <w:sz w:val="20"/>
      <w:szCs w:val="24"/>
    </w:rPr>
  </w:style>
  <w:style w:type="paragraph" w:styleId="53">
    <w:name w:val="HTML Preformatted"/>
    <w:basedOn w:val="1"/>
    <w:qFormat/>
    <w:uiPriority w:val="0"/>
    <w:rPr>
      <w:rFonts w:ascii="Courier New" w:hAnsi="Courier New"/>
      <w:kern w:val="0"/>
      <w:sz w:val="20"/>
      <w:szCs w:val="20"/>
    </w:rPr>
  </w:style>
  <w:style w:type="paragraph" w:styleId="54">
    <w:name w:val="Normal (Web)"/>
    <w:basedOn w:val="1"/>
    <w:qFormat/>
    <w:uiPriority w:val="0"/>
    <w:pPr>
      <w:widowControl/>
      <w:spacing w:before="100" w:beforeAutospacing="1" w:after="100" w:afterAutospacing="1"/>
      <w:jc w:val="left"/>
    </w:pPr>
    <w:rPr>
      <w:rFonts w:ascii="宋体" w:cs="宋体"/>
      <w:kern w:val="0"/>
      <w:sz w:val="24"/>
      <w:szCs w:val="24"/>
    </w:rPr>
  </w:style>
  <w:style w:type="paragraph" w:styleId="55">
    <w:name w:val="Title"/>
    <w:basedOn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56">
    <w:name w:val="annotation subject"/>
    <w:basedOn w:val="23"/>
    <w:next w:val="23"/>
    <w:qFormat/>
    <w:uiPriority w:val="0"/>
    <w:pPr>
      <w:jc w:val="both"/>
    </w:pPr>
    <w:rPr>
      <w:b/>
      <w:bCs/>
    </w:rPr>
  </w:style>
  <w:style w:type="paragraph" w:styleId="57">
    <w:name w:val="Body Text First Indent 2"/>
    <w:basedOn w:val="26"/>
    <w:qFormat/>
    <w:uiPriority w:val="0"/>
    <w:pPr>
      <w:ind w:firstLine="200" w:firstLineChars="200"/>
    </w:pPr>
    <w:rPr>
      <w:kern w:val="2"/>
      <w:sz w:val="21"/>
    </w:r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qFormat/>
    <w:uiPriority w:val="0"/>
  </w:style>
  <w:style w:type="character" w:styleId="63">
    <w:name w:val="FollowedHyperlink"/>
    <w:qFormat/>
    <w:uiPriority w:val="0"/>
    <w:rPr>
      <w:color w:val="6D6D6D"/>
      <w:u w:val="single"/>
    </w:rPr>
  </w:style>
  <w:style w:type="character" w:styleId="64">
    <w:name w:val="Emphasis"/>
    <w:qFormat/>
    <w:uiPriority w:val="0"/>
    <w:rPr>
      <w:rFonts w:eastAsia="宋体"/>
      <w:color w:val="CC0000"/>
      <w:kern w:val="2"/>
      <w:sz w:val="24"/>
      <w:szCs w:val="24"/>
      <w:lang w:val="en-US" w:eastAsia="zh-CN" w:bidi="ar-SA"/>
    </w:rPr>
  </w:style>
  <w:style w:type="character" w:styleId="65">
    <w:name w:val="HTML Definition"/>
    <w:qFormat/>
    <w:uiPriority w:val="0"/>
    <w:rPr>
      <w:i/>
    </w:rPr>
  </w:style>
  <w:style w:type="character" w:styleId="66">
    <w:name w:val="Hyperlink"/>
    <w:qFormat/>
    <w:uiPriority w:val="0"/>
    <w:rPr>
      <w:color w:val="6D6D6D"/>
      <w:u w:val="single"/>
    </w:rPr>
  </w:style>
  <w:style w:type="character" w:styleId="67">
    <w:name w:val="HTML Code"/>
    <w:qFormat/>
    <w:uiPriority w:val="0"/>
    <w:rPr>
      <w:rFonts w:ascii="Menlo" w:hAnsi="Menlo" w:eastAsia="Menlo" w:cs="Menlo"/>
      <w:color w:val="C7254E"/>
      <w:sz w:val="21"/>
      <w:szCs w:val="21"/>
      <w:bdr w:val="single" w:color="E1E1E1" w:sz="6" w:space="0"/>
      <w:shd w:val="clear" w:color="auto" w:fill="F9F2F4"/>
      <w:lang w:bidi="ar-SA"/>
    </w:rPr>
  </w:style>
  <w:style w:type="character" w:styleId="68">
    <w:name w:val="annotation reference"/>
    <w:qFormat/>
    <w:uiPriority w:val="0"/>
    <w:rPr>
      <w:sz w:val="21"/>
      <w:szCs w:val="21"/>
    </w:rPr>
  </w:style>
  <w:style w:type="character" w:styleId="69">
    <w:name w:val="footnote reference"/>
    <w:qFormat/>
    <w:uiPriority w:val="0"/>
    <w:rPr>
      <w:vertAlign w:val="superscript"/>
    </w:rPr>
  </w:style>
  <w:style w:type="character" w:styleId="70">
    <w:name w:val="HTML Keyboard"/>
    <w:qFormat/>
    <w:uiPriority w:val="0"/>
    <w:rPr>
      <w:rFonts w:ascii="Menlo" w:hAnsi="Menlo" w:eastAsia="Menlo" w:cs="Menlo"/>
      <w:color w:val="FFFFFF"/>
      <w:sz w:val="21"/>
      <w:szCs w:val="21"/>
      <w:shd w:val="clear" w:color="auto" w:fill="333333"/>
      <w:lang w:bidi="ar-SA"/>
    </w:rPr>
  </w:style>
  <w:style w:type="character" w:styleId="71">
    <w:name w:val="HTML Sample"/>
    <w:qFormat/>
    <w:uiPriority w:val="0"/>
    <w:rPr>
      <w:rFonts w:ascii="Menlo" w:hAnsi="Menlo" w:eastAsia="Menlo" w:cs="Menlo"/>
      <w:sz w:val="21"/>
      <w:szCs w:val="21"/>
      <w:lang w:bidi="ar-SA"/>
    </w:rPr>
  </w:style>
  <w:style w:type="paragraph" w:customStyle="1" w:styleId="72">
    <w:name w:val="_Style 3"/>
    <w:basedOn w:val="1"/>
    <w:qFormat/>
    <w:uiPriority w:val="0"/>
    <w:pPr>
      <w:ind w:firstLine="200" w:firstLineChars="200"/>
    </w:pPr>
    <w:rPr>
      <w:rFonts w:ascii="Times New Roman" w:hAnsi="Times New Roman"/>
      <w:sz w:val="20"/>
      <w:szCs w:val="24"/>
    </w:rPr>
  </w:style>
  <w:style w:type="paragraph" w:customStyle="1" w:styleId="73">
    <w:name w:val="样式3"/>
    <w:basedOn w:val="1"/>
    <w:qFormat/>
    <w:uiPriority w:val="0"/>
    <w:pPr>
      <w:ind w:firstLine="420"/>
      <w:jc w:val="left"/>
    </w:pPr>
    <w:rPr>
      <w:rFonts w:ascii="宋体"/>
      <w:kern w:val="0"/>
      <w:sz w:val="20"/>
      <w:szCs w:val="20"/>
    </w:rPr>
  </w:style>
  <w:style w:type="paragraph" w:customStyle="1" w:styleId="74">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paragraph" w:customStyle="1" w:styleId="75">
    <w:name w:val="图片标题"/>
    <w:basedOn w:val="1"/>
    <w:qFormat/>
    <w:uiPriority w:val="0"/>
    <w:pPr>
      <w:shd w:val="clear" w:color="auto" w:fill="FFFFFF"/>
      <w:spacing w:line="0" w:lineRule="atLeast"/>
      <w:jc w:val="distribute"/>
    </w:pPr>
    <w:rPr>
      <w:rFonts w:ascii="Arial Unicode MS" w:hAnsi="Arial Unicode MS" w:eastAsia="Arial Unicode MS"/>
      <w:kern w:val="0"/>
      <w:sz w:val="20"/>
      <w:szCs w:val="20"/>
      <w:shd w:val="clear" w:color="auto" w:fill="FFFFFF"/>
    </w:rPr>
  </w:style>
  <w:style w:type="paragraph" w:styleId="76">
    <w:name w:val="List Paragraph"/>
    <w:basedOn w:val="1"/>
    <w:qFormat/>
    <w:uiPriority w:val="0"/>
    <w:rPr>
      <w:sz w:val="20"/>
      <w:szCs w:val="20"/>
    </w:rPr>
  </w:style>
  <w:style w:type="paragraph" w:customStyle="1" w:styleId="77">
    <w:name w:val="正文文本 (2)"/>
    <w:basedOn w:val="1"/>
    <w:qFormat/>
    <w:uiPriority w:val="0"/>
    <w:pPr>
      <w:shd w:val="clear" w:color="auto" w:fill="FFFFFF"/>
      <w:spacing w:line="0" w:lineRule="atLeast"/>
      <w:ind w:hanging="520"/>
      <w:jc w:val="left"/>
    </w:pPr>
    <w:rPr>
      <w:rFonts w:ascii="宋体"/>
      <w:kern w:val="0"/>
      <w:sz w:val="20"/>
      <w:szCs w:val="20"/>
      <w:shd w:val="clear" w:color="auto" w:fill="FFFFFF"/>
    </w:rPr>
  </w:style>
  <w:style w:type="paragraph" w:customStyle="1" w:styleId="78">
    <w:name w:val="正文文本 (7)"/>
    <w:basedOn w:val="1"/>
    <w:qFormat/>
    <w:uiPriority w:val="0"/>
    <w:pPr>
      <w:shd w:val="clear" w:color="auto" w:fill="FFFFFF"/>
      <w:spacing w:before="120" w:line="466" w:lineRule="exact"/>
      <w:jc w:val="center"/>
    </w:pPr>
    <w:rPr>
      <w:rFonts w:ascii="宋体"/>
      <w:b/>
      <w:bCs/>
      <w:kern w:val="0"/>
      <w:sz w:val="20"/>
      <w:szCs w:val="21"/>
      <w:shd w:val="clear" w:color="auto" w:fill="FFFFFF"/>
    </w:rPr>
  </w:style>
  <w:style w:type="paragraph" w:customStyle="1" w:styleId="79">
    <w:name w:val="表格"/>
    <w:basedOn w:val="1"/>
    <w:qFormat/>
    <w:uiPriority w:val="0"/>
    <w:pPr>
      <w:jc w:val="center"/>
      <w:textAlignment w:val="center"/>
    </w:pPr>
    <w:rPr>
      <w:rFonts w:ascii="华文细黑" w:hAnsi="华文细黑"/>
      <w:kern w:val="0"/>
      <w:szCs w:val="20"/>
    </w:rPr>
  </w:style>
  <w:style w:type="paragraph" w:customStyle="1" w:styleId="80">
    <w:name w:val="二级条标题"/>
    <w:basedOn w:val="1"/>
    <w:next w:val="1"/>
    <w:qFormat/>
    <w:uiPriority w:val="0"/>
    <w:pPr>
      <w:widowControl/>
      <w:outlineLvl w:val="3"/>
    </w:pPr>
    <w:rPr>
      <w:rFonts w:eastAsia="黑体"/>
      <w:kern w:val="0"/>
      <w:szCs w:val="20"/>
    </w:rPr>
  </w:style>
  <w:style w:type="paragraph" w:customStyle="1" w:styleId="81">
    <w:name w:val="说明"/>
    <w:basedOn w:val="1"/>
    <w:qFormat/>
    <w:uiPriority w:val="0"/>
    <w:pPr>
      <w:spacing w:line="400" w:lineRule="atLeast"/>
    </w:pPr>
    <w:rPr>
      <w:rFonts w:ascii="楷体_GB2312" w:eastAsia="楷体_GB2312"/>
      <w:kern w:val="0"/>
      <w:sz w:val="24"/>
      <w:szCs w:val="20"/>
    </w:rPr>
  </w:style>
  <w:style w:type="paragraph" w:customStyle="1" w:styleId="82">
    <w:name w:val="标题 #7"/>
    <w:basedOn w:val="1"/>
    <w:qFormat/>
    <w:uiPriority w:val="0"/>
    <w:pPr>
      <w:shd w:val="clear" w:color="auto" w:fill="FFFFFF"/>
      <w:spacing w:before="120" w:after="120" w:line="0" w:lineRule="atLeast"/>
      <w:ind w:hanging="700"/>
      <w:jc w:val="distribute"/>
      <w:outlineLvl w:val="6"/>
    </w:pPr>
    <w:rPr>
      <w:rFonts w:ascii="Arial Unicode MS" w:hAnsi="Arial Unicode MS" w:eastAsia="Arial Unicode MS"/>
      <w:kern w:val="0"/>
      <w:sz w:val="20"/>
      <w:szCs w:val="20"/>
      <w:shd w:val="clear" w:color="auto" w:fill="FFFFFF"/>
    </w:rPr>
  </w:style>
  <w:style w:type="paragraph" w:customStyle="1" w:styleId="83">
    <w:name w:val="标题 #4 (2)"/>
    <w:basedOn w:val="1"/>
    <w:qFormat/>
    <w:uiPriority w:val="0"/>
    <w:pPr>
      <w:shd w:val="clear" w:color="auto" w:fill="FFFFFF"/>
      <w:spacing w:line="466" w:lineRule="exact"/>
      <w:ind w:hanging="420"/>
      <w:jc w:val="distribute"/>
      <w:outlineLvl w:val="3"/>
    </w:pPr>
    <w:rPr>
      <w:rFonts w:ascii="宋体"/>
      <w:kern w:val="0"/>
      <w:sz w:val="20"/>
      <w:szCs w:val="20"/>
      <w:shd w:val="clear" w:color="auto" w:fill="FFFFFF"/>
    </w:rPr>
  </w:style>
  <w:style w:type="paragraph" w:customStyle="1" w:styleId="84">
    <w:name w:val="新条文"/>
    <w:qFormat/>
    <w:uiPriority w:val="0"/>
    <w:pPr>
      <w:tabs>
        <w:tab w:val="left" w:pos="432"/>
        <w:tab w:val="left" w:pos="735"/>
      </w:tabs>
      <w:spacing w:line="400" w:lineRule="atLeast"/>
      <w:ind w:left="735" w:hanging="735"/>
    </w:pPr>
    <w:rPr>
      <w:rFonts w:ascii="Calibri" w:hAnsi="Calibri" w:eastAsia="Times New Roman" w:cs="Times New Roman"/>
      <w:kern w:val="2"/>
      <w:sz w:val="24"/>
      <w:szCs w:val="22"/>
      <w:lang w:val="en-US" w:eastAsia="zh-CN" w:bidi="ar-SA"/>
    </w:rPr>
  </w:style>
  <w:style w:type="paragraph" w:styleId="85">
    <w:name w:val="No Spacing"/>
    <w:qFormat/>
    <w:uiPriority w:val="0"/>
    <w:pPr>
      <w:spacing w:after="200" w:line="276" w:lineRule="auto"/>
    </w:pPr>
    <w:rPr>
      <w:rFonts w:ascii="Calibri" w:hAnsi="Calibri" w:eastAsia="宋体" w:cs="Times New Roman"/>
      <w:sz w:val="22"/>
      <w:lang w:val="en-US" w:eastAsia="zh-CN" w:bidi="ar-SA"/>
    </w:rPr>
  </w:style>
  <w:style w:type="paragraph" w:customStyle="1" w:styleId="86">
    <w:name w:val="标题 #2"/>
    <w:basedOn w:val="1"/>
    <w:qFormat/>
    <w:uiPriority w:val="0"/>
    <w:pPr>
      <w:shd w:val="clear" w:color="auto" w:fill="FFFFFF"/>
      <w:spacing w:after="600" w:line="0" w:lineRule="atLeast"/>
      <w:jc w:val="center"/>
      <w:outlineLvl w:val="1"/>
    </w:pPr>
    <w:rPr>
      <w:rFonts w:ascii="MingLiU" w:hAnsi="MingLiU" w:eastAsia="MingLiU"/>
      <w:kern w:val="0"/>
      <w:sz w:val="36"/>
      <w:szCs w:val="36"/>
      <w:shd w:val="clear" w:color="auto" w:fill="FFFFFF"/>
    </w:rPr>
  </w:style>
  <w:style w:type="paragraph" w:styleId="87">
    <w:name w:val="Intense Quote"/>
    <w:basedOn w:val="1"/>
    <w:next w:val="1"/>
    <w:qFormat/>
    <w:uiPriority w:val="0"/>
    <w:pPr>
      <w:pBdr>
        <w:bottom w:val="single" w:color="4F81BD" w:sz="4" w:space="4"/>
      </w:pBdr>
      <w:spacing w:before="200" w:after="280"/>
      <w:ind w:left="936" w:right="936"/>
    </w:pPr>
    <w:rPr>
      <w:b/>
      <w:i/>
      <w:color w:val="4F81BD"/>
      <w:szCs w:val="20"/>
    </w:rPr>
  </w:style>
  <w:style w:type="paragraph" w:customStyle="1" w:styleId="88">
    <w:name w:val="标题 #4"/>
    <w:basedOn w:val="1"/>
    <w:qFormat/>
    <w:uiPriority w:val="0"/>
    <w:pPr>
      <w:shd w:val="clear" w:color="auto" w:fill="FFFFFF"/>
      <w:spacing w:before="120" w:after="120" w:line="0" w:lineRule="atLeast"/>
      <w:jc w:val="center"/>
      <w:outlineLvl w:val="3"/>
    </w:pPr>
    <w:rPr>
      <w:rFonts w:ascii="黑体" w:eastAsia="黑体"/>
      <w:spacing w:val="40"/>
      <w:kern w:val="0"/>
      <w:sz w:val="28"/>
      <w:szCs w:val="28"/>
      <w:shd w:val="clear" w:color="auto" w:fill="FFFFFF"/>
    </w:rPr>
  </w:style>
  <w:style w:type="paragraph" w:styleId="89">
    <w:name w:val="Quote"/>
    <w:basedOn w:val="1"/>
    <w:next w:val="1"/>
    <w:qFormat/>
    <w:uiPriority w:val="0"/>
    <w:rPr>
      <w:i/>
      <w:color w:val="000000"/>
      <w:szCs w:val="20"/>
    </w:rPr>
  </w:style>
  <w:style w:type="paragraph" w:customStyle="1" w:styleId="90">
    <w:name w:val="正文文本 (5)"/>
    <w:basedOn w:val="1"/>
    <w:qFormat/>
    <w:uiPriority w:val="0"/>
    <w:pPr>
      <w:shd w:val="clear" w:color="auto" w:fill="FFFFFF"/>
      <w:spacing w:line="0" w:lineRule="atLeast"/>
      <w:jc w:val="left"/>
    </w:pPr>
    <w:rPr>
      <w:rFonts w:ascii="黑体" w:eastAsia="黑体"/>
      <w:spacing w:val="-40"/>
      <w:kern w:val="0"/>
      <w:sz w:val="20"/>
      <w:szCs w:val="20"/>
      <w:shd w:val="clear" w:color="auto" w:fill="FFFFFF"/>
    </w:rPr>
  </w:style>
  <w:style w:type="paragraph" w:customStyle="1" w:styleId="91">
    <w:name w:val="标题 #3"/>
    <w:basedOn w:val="1"/>
    <w:qFormat/>
    <w:uiPriority w:val="0"/>
    <w:pPr>
      <w:shd w:val="clear" w:color="auto" w:fill="FFFFFF"/>
      <w:spacing w:before="660" w:after="240" w:line="0" w:lineRule="atLeast"/>
      <w:jc w:val="center"/>
      <w:outlineLvl w:val="2"/>
    </w:pPr>
    <w:rPr>
      <w:rFonts w:ascii="MingLiU" w:hAnsi="MingLiU" w:eastAsia="MingLiU"/>
      <w:kern w:val="0"/>
      <w:sz w:val="31"/>
      <w:szCs w:val="31"/>
      <w:shd w:val="clear" w:color="auto" w:fill="FFFFFF"/>
    </w:rPr>
  </w:style>
  <w:style w:type="paragraph" w:customStyle="1" w:styleId="92">
    <w:name w:val="样式 正文文本"/>
    <w:basedOn w:val="1"/>
    <w:qFormat/>
    <w:uiPriority w:val="0"/>
    <w:pPr>
      <w:adjustRightInd w:val="0"/>
      <w:snapToGrid w:val="0"/>
      <w:spacing w:line="400" w:lineRule="exact"/>
      <w:ind w:firstLine="200" w:firstLineChars="200"/>
    </w:pPr>
    <w:rPr>
      <w:rFonts w:ascii="Arial" w:hAnsi="Arial"/>
      <w:color w:val="000000"/>
      <w:kern w:val="0"/>
      <w:szCs w:val="20"/>
    </w:rPr>
  </w:style>
  <w:style w:type="paragraph" w:customStyle="1" w:styleId="93">
    <w:name w:val="公式"/>
    <w:basedOn w:val="1"/>
    <w:qFormat/>
    <w:uiPriority w:val="0"/>
    <w:pPr>
      <w:spacing w:line="360" w:lineRule="auto"/>
      <w:jc w:val="right"/>
    </w:pPr>
    <w:rPr>
      <w:kern w:val="0"/>
      <w:sz w:val="24"/>
      <w:szCs w:val="20"/>
    </w:rPr>
  </w:style>
  <w:style w:type="paragraph" w:customStyle="1" w:styleId="94">
    <w:name w:val="注"/>
    <w:basedOn w:val="1"/>
    <w:qFormat/>
    <w:uiPriority w:val="0"/>
    <w:pPr>
      <w:ind w:left="375" w:leftChars="200" w:hanging="175" w:hangingChars="175"/>
    </w:pPr>
    <w:rPr>
      <w:kern w:val="0"/>
      <w:sz w:val="20"/>
      <w:szCs w:val="20"/>
    </w:rPr>
  </w:style>
  <w:style w:type="paragraph" w:customStyle="1" w:styleId="95">
    <w:name w:val="分条"/>
    <w:basedOn w:val="1"/>
    <w:qFormat/>
    <w:uiPriority w:val="0"/>
    <w:pPr>
      <w:spacing w:line="360" w:lineRule="auto"/>
      <w:ind w:firstLine="200" w:firstLineChars="200"/>
    </w:pPr>
    <w:rPr>
      <w:kern w:val="0"/>
      <w:sz w:val="24"/>
      <w:szCs w:val="20"/>
    </w:rPr>
  </w:style>
  <w:style w:type="paragraph" w:customStyle="1" w:styleId="96">
    <w:name w:val="段落样式"/>
    <w:basedOn w:val="1"/>
    <w:qFormat/>
    <w:uiPriority w:val="0"/>
    <w:pPr>
      <w:spacing w:line="400" w:lineRule="exact"/>
      <w:ind w:firstLine="200" w:firstLineChars="200"/>
    </w:pPr>
    <w:rPr>
      <w:kern w:val="0"/>
      <w:sz w:val="24"/>
      <w:szCs w:val="20"/>
    </w:rPr>
  </w:style>
  <w:style w:type="paragraph" w:customStyle="1" w:styleId="97">
    <w:name w:val="正文文本9"/>
    <w:basedOn w:val="1"/>
    <w:qFormat/>
    <w:uiPriority w:val="0"/>
    <w:pPr>
      <w:shd w:val="clear" w:color="auto" w:fill="FFFFFF"/>
      <w:spacing w:before="120" w:after="360" w:line="389" w:lineRule="exact"/>
      <w:ind w:hanging="780"/>
      <w:jc w:val="right"/>
    </w:pPr>
    <w:rPr>
      <w:rFonts w:ascii="Arial Unicode MS" w:hAnsi="Arial Unicode MS" w:eastAsia="Arial Unicode MS"/>
      <w:kern w:val="0"/>
      <w:sz w:val="20"/>
      <w:szCs w:val="20"/>
      <w:shd w:val="clear" w:color="auto" w:fill="FFFFFF"/>
    </w:rPr>
  </w:style>
  <w:style w:type="paragraph" w:customStyle="1" w:styleId="98">
    <w:name w:val="纯文本2"/>
    <w:basedOn w:val="1"/>
    <w:qFormat/>
    <w:uiPriority w:val="0"/>
    <w:rPr>
      <w:rFonts w:ascii="宋体"/>
      <w:szCs w:val="21"/>
    </w:rPr>
  </w:style>
  <w:style w:type="paragraph" w:customStyle="1" w:styleId="99">
    <w:name w:val="二级项目符号"/>
    <w:basedOn w:val="1"/>
    <w:qFormat/>
    <w:uiPriority w:val="0"/>
    <w:pPr>
      <w:spacing w:line="360" w:lineRule="auto"/>
    </w:pPr>
    <w:rPr>
      <w:rFonts w:ascii="Times New Roman" w:hAnsi="Times New Roman"/>
      <w:sz w:val="24"/>
      <w:szCs w:val="20"/>
    </w:rPr>
  </w:style>
  <w:style w:type="paragraph" w:customStyle="1" w:styleId="100">
    <w:name w:val="公文正文"/>
    <w:qFormat/>
    <w:uiPriority w:val="0"/>
    <w:pPr>
      <w:widowControl w:val="0"/>
      <w:spacing w:line="360" w:lineRule="auto"/>
      <w:ind w:firstLine="629"/>
      <w:jc w:val="both"/>
    </w:pPr>
    <w:rPr>
      <w:rFonts w:ascii="仿宋_GB2312" w:hAnsi="Times New Roman" w:eastAsia="仿宋_GB2312" w:cs="Times New Roman"/>
      <w:color w:val="000000"/>
      <w:sz w:val="32"/>
      <w:lang w:val="en-US" w:eastAsia="zh-CN" w:bidi="ar-SA"/>
    </w:rPr>
  </w:style>
  <w:style w:type="paragraph" w:customStyle="1" w:styleId="101">
    <w:name w:val="发文落款"/>
    <w:basedOn w:val="100"/>
    <w:qFormat/>
    <w:uiPriority w:val="0"/>
    <w:pPr>
      <w:ind w:left="4094" w:right="607" w:firstLine="0"/>
      <w:jc w:val="center"/>
    </w:pPr>
  </w:style>
  <w:style w:type="paragraph" w:customStyle="1" w:styleId="102">
    <w:name w:val="正文文本缩进 21"/>
    <w:basedOn w:val="1"/>
    <w:qFormat/>
    <w:uiPriority w:val="0"/>
    <w:pPr>
      <w:spacing w:line="420" w:lineRule="exact"/>
      <w:ind w:firstLine="480"/>
    </w:pPr>
    <w:rPr>
      <w:b/>
      <w:sz w:val="24"/>
      <w:szCs w:val="20"/>
    </w:rPr>
  </w:style>
  <w:style w:type="paragraph" w:customStyle="1" w:styleId="103">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cs="Arial Unicode MS"/>
      <w:kern w:val="0"/>
      <w:sz w:val="24"/>
      <w:szCs w:val="24"/>
    </w:rPr>
  </w:style>
  <w:style w:type="paragraph" w:customStyle="1" w:styleId="104">
    <w:name w:val="明显引用11"/>
    <w:basedOn w:val="1"/>
    <w:next w:val="1"/>
    <w:qFormat/>
    <w:uiPriority w:val="0"/>
    <w:pPr>
      <w:pBdr>
        <w:bottom w:val="single" w:color="4F81BD" w:sz="4" w:space="4"/>
      </w:pBdr>
      <w:spacing w:before="200" w:after="280"/>
      <w:ind w:left="936" w:right="936"/>
    </w:pPr>
    <w:rPr>
      <w:rFonts w:cs="黑体"/>
      <w:b/>
      <w:i/>
      <w:color w:val="4F81BD"/>
    </w:rPr>
  </w:style>
  <w:style w:type="paragraph" w:customStyle="1" w:styleId="105">
    <w:name w:val="Char5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rPr>
  </w:style>
  <w:style w:type="paragraph" w:customStyle="1" w:styleId="106">
    <w:name w:val="xl7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0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08">
    <w:name w:val="Item List"/>
    <w:qFormat/>
    <w:uiPriority w:val="0"/>
    <w:pPr>
      <w:tabs>
        <w:tab w:val="left" w:pos="2211"/>
      </w:tabs>
      <w:spacing w:after="200" w:line="300" w:lineRule="auto"/>
      <w:ind w:left="2211" w:hanging="510"/>
      <w:jc w:val="both"/>
    </w:pPr>
    <w:rPr>
      <w:rFonts w:ascii="Arial" w:hAnsi="Arial" w:eastAsia="宋体" w:cs="Times New Roman"/>
      <w:sz w:val="22"/>
      <w:lang w:val="en-US" w:eastAsia="zh-CN" w:bidi="ar-SA"/>
    </w:rPr>
  </w:style>
  <w:style w:type="paragraph" w:customStyle="1" w:styleId="109">
    <w:name w:val="Table Body"/>
    <w:basedOn w:val="1"/>
    <w:qFormat/>
    <w:uiPriority w:val="0"/>
    <w:pPr>
      <w:widowControl/>
      <w:jc w:val="center"/>
    </w:pPr>
    <w:rPr>
      <w:rFonts w:ascii="Arial" w:hAnsi="Arial"/>
      <w:snapToGrid w:val="0"/>
      <w:kern w:val="0"/>
      <w:sz w:val="18"/>
      <w:szCs w:val="20"/>
    </w:rPr>
  </w:style>
  <w:style w:type="paragraph" w:customStyle="1" w:styleId="110">
    <w:name w:val="itemlist"/>
    <w:basedOn w:val="1"/>
    <w:qFormat/>
    <w:uiPriority w:val="0"/>
    <w:pPr>
      <w:spacing w:before="100" w:beforeAutospacing="1" w:after="100" w:afterAutospacing="1" w:line="240" w:lineRule="atLeast"/>
    </w:pPr>
    <w:rPr>
      <w:rFonts w:ascii="宋体"/>
      <w:sz w:val="18"/>
      <w:szCs w:val="20"/>
    </w:rPr>
  </w:style>
  <w:style w:type="paragraph" w:customStyle="1" w:styleId="11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2">
    <w:name w:val="正文 New New New New New New New New New New New New New New New New New New New New New New New New New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113">
    <w:name w:val="报告正文"/>
    <w:basedOn w:val="1"/>
    <w:qFormat/>
    <w:uiPriority w:val="0"/>
    <w:pPr>
      <w:snapToGrid w:val="0"/>
      <w:spacing w:line="400" w:lineRule="exact"/>
      <w:ind w:firstLine="482"/>
    </w:pPr>
    <w:rPr>
      <w:rFonts w:ascii="Times New Roman" w:hAnsi="Times New Roman"/>
      <w:sz w:val="24"/>
      <w:szCs w:val="20"/>
    </w:rPr>
  </w:style>
  <w:style w:type="paragraph" w:customStyle="1" w:styleId="114">
    <w:name w:val="正文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5">
    <w:name w:val="正文 New New"/>
    <w:qFormat/>
    <w:uiPriority w:val="0"/>
    <w:pPr>
      <w:widowControl w:val="0"/>
      <w:jc w:val="both"/>
    </w:pPr>
    <w:rPr>
      <w:rFonts w:ascii="Calibri" w:hAnsi="Calibri" w:eastAsia="宋体" w:cs="Times New Roman"/>
      <w:kern w:val="2"/>
      <w:sz w:val="30"/>
      <w:szCs w:val="24"/>
      <w:lang w:val="en-US" w:eastAsia="zh-CN" w:bidi="ar-SA"/>
    </w:rPr>
  </w:style>
  <w:style w:type="paragraph" w:customStyle="1" w:styleId="11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7">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kern w:val="0"/>
      <w:sz w:val="22"/>
      <w:szCs w:val="20"/>
    </w:rPr>
  </w:style>
  <w:style w:type="paragraph" w:customStyle="1" w:styleId="118">
    <w:name w:val="图"/>
    <w:basedOn w:val="1"/>
    <w:qFormat/>
    <w:uiPriority w:val="0"/>
    <w:pPr>
      <w:keepNext/>
      <w:adjustRightInd w:val="0"/>
      <w:snapToGrid w:val="0"/>
      <w:spacing w:before="60" w:after="60" w:line="300" w:lineRule="auto"/>
      <w:jc w:val="center"/>
    </w:pPr>
    <w:rPr>
      <w:rFonts w:ascii="Times New Roman" w:hAnsi="Times New Roman"/>
      <w:spacing w:val="20"/>
      <w:kern w:val="0"/>
      <w:sz w:val="24"/>
      <w:szCs w:val="20"/>
    </w:rPr>
  </w:style>
  <w:style w:type="paragraph" w:customStyle="1" w:styleId="119">
    <w:name w:val="目录文字"/>
    <w:basedOn w:val="1"/>
    <w:qFormat/>
    <w:uiPriority w:val="0"/>
    <w:pPr>
      <w:widowControl/>
      <w:spacing w:line="480" w:lineRule="auto"/>
      <w:jc w:val="left"/>
    </w:pPr>
    <w:rPr>
      <w:rFonts w:ascii="宋体"/>
      <w:kern w:val="0"/>
      <w:sz w:val="24"/>
      <w:szCs w:val="20"/>
    </w:rPr>
  </w:style>
  <w:style w:type="paragraph" w:customStyle="1" w:styleId="120">
    <w:name w:val="正文文本 New"/>
    <w:basedOn w:val="115"/>
    <w:qFormat/>
    <w:uiPriority w:val="0"/>
    <w:pPr>
      <w:spacing w:after="120"/>
    </w:pPr>
  </w:style>
  <w:style w:type="paragraph" w:customStyle="1" w:styleId="121">
    <w:name w:val="正文首行缩进 New"/>
    <w:basedOn w:val="120"/>
    <w:qFormat/>
    <w:uiPriority w:val="0"/>
    <w:pPr>
      <w:ind w:firstLine="100" w:firstLineChars="100"/>
    </w:pPr>
  </w:style>
  <w:style w:type="paragraph" w:customStyle="1" w:styleId="12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b/>
      <w:kern w:val="0"/>
      <w:sz w:val="22"/>
      <w:szCs w:val="20"/>
    </w:rPr>
  </w:style>
  <w:style w:type="paragraph" w:customStyle="1" w:styleId="123">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24">
    <w:name w:val="Char"/>
    <w:basedOn w:val="1"/>
    <w:qFormat/>
    <w:uiPriority w:val="0"/>
    <w:pPr>
      <w:widowControl/>
      <w:spacing w:after="160" w:line="240" w:lineRule="exact"/>
      <w:jc w:val="left"/>
    </w:pPr>
    <w:rPr>
      <w:sz w:val="30"/>
      <w:szCs w:val="24"/>
    </w:rPr>
  </w:style>
  <w:style w:type="paragraph" w:customStyle="1" w:styleId="125">
    <w:name w:val="Table Text"/>
    <w:qFormat/>
    <w:uiPriority w:val="0"/>
    <w:pPr>
      <w:snapToGrid w:val="0"/>
      <w:spacing w:before="80" w:after="80" w:line="276" w:lineRule="auto"/>
    </w:pPr>
    <w:rPr>
      <w:rFonts w:ascii="Arial" w:hAnsi="Arial" w:eastAsia="宋体" w:cs="Times New Roman"/>
      <w:sz w:val="18"/>
      <w:lang w:val="en-US" w:eastAsia="zh-CN" w:bidi="ar-SA"/>
    </w:rPr>
  </w:style>
  <w:style w:type="paragraph" w:customStyle="1" w:styleId="126">
    <w:name w:val="正文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128">
    <w:name w:val="正文 New"/>
    <w:qFormat/>
    <w:uiPriority w:val="0"/>
    <w:pPr>
      <w:widowControl w:val="0"/>
      <w:jc w:val="both"/>
    </w:pPr>
    <w:rPr>
      <w:rFonts w:ascii="Calibri" w:hAnsi="Calibri" w:eastAsia="宋体" w:cs="Times New Roman"/>
      <w:kern w:val="2"/>
      <w:sz w:val="30"/>
      <w:szCs w:val="24"/>
      <w:lang w:val="en-US" w:eastAsia="zh-CN" w:bidi="ar-SA"/>
    </w:rPr>
  </w:style>
  <w:style w:type="paragraph" w:customStyle="1" w:styleId="129">
    <w:name w:val="标题 1 New"/>
    <w:basedOn w:val="128"/>
    <w:next w:val="128"/>
    <w:qFormat/>
    <w:uiPriority w:val="0"/>
    <w:pPr>
      <w:keepNext/>
      <w:keepLines/>
      <w:spacing w:before="340" w:after="330" w:line="576" w:lineRule="auto"/>
      <w:outlineLvl w:val="0"/>
    </w:pPr>
    <w:rPr>
      <w:b/>
      <w:bCs/>
      <w:kern w:val="44"/>
      <w:sz w:val="44"/>
      <w:szCs w:val="44"/>
    </w:rPr>
  </w:style>
  <w:style w:type="paragraph" w:customStyle="1" w:styleId="130">
    <w:name w:val="Char2"/>
    <w:basedOn w:val="1"/>
    <w:qFormat/>
    <w:uiPriority w:val="0"/>
    <w:pPr>
      <w:tabs>
        <w:tab w:val="left" w:pos="425"/>
      </w:tabs>
      <w:ind w:left="425" w:hanging="425"/>
    </w:pPr>
    <w:rPr>
      <w:rFonts w:ascii="Times New Roman" w:hAnsi="Times New Roman"/>
      <w:sz w:val="24"/>
      <w:szCs w:val="20"/>
    </w:rPr>
  </w:style>
  <w:style w:type="paragraph" w:customStyle="1" w:styleId="131">
    <w:name w:val="正文文本缩进2"/>
    <w:basedOn w:val="1"/>
    <w:qFormat/>
    <w:uiPriority w:val="0"/>
    <w:pPr>
      <w:ind w:firstLine="480"/>
    </w:pPr>
    <w:rPr>
      <w:sz w:val="24"/>
      <w:szCs w:val="20"/>
    </w:rPr>
  </w:style>
  <w:style w:type="paragraph" w:customStyle="1" w:styleId="132">
    <w:name w:val="font8"/>
    <w:basedOn w:val="1"/>
    <w:qFormat/>
    <w:uiPriority w:val="0"/>
    <w:pPr>
      <w:widowControl/>
      <w:spacing w:before="100" w:beforeAutospacing="1" w:after="100" w:afterAutospacing="1"/>
      <w:jc w:val="left"/>
    </w:pPr>
    <w:rPr>
      <w:rFonts w:ascii="宋体"/>
      <w:kern w:val="0"/>
      <w:sz w:val="24"/>
      <w:szCs w:val="20"/>
    </w:rPr>
  </w:style>
  <w:style w:type="paragraph" w:customStyle="1" w:styleId="133">
    <w:name w:val="素材4"/>
    <w:basedOn w:val="1"/>
    <w:qFormat/>
    <w:uiPriority w:val="0"/>
    <w:pPr>
      <w:snapToGrid w:val="0"/>
      <w:spacing w:line="500" w:lineRule="atLeast"/>
      <w:ind w:left="1135" w:hanging="284"/>
    </w:pPr>
    <w:rPr>
      <w:rFonts w:ascii="宋体"/>
      <w:kern w:val="28"/>
      <w:sz w:val="27"/>
      <w:szCs w:val="20"/>
    </w:rPr>
  </w:style>
  <w:style w:type="paragraph" w:customStyle="1" w:styleId="134">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0"/>
    </w:rPr>
  </w:style>
  <w:style w:type="paragraph" w:customStyle="1" w:styleId="135">
    <w:name w:val="列出段落6"/>
    <w:basedOn w:val="1"/>
    <w:qFormat/>
    <w:uiPriority w:val="0"/>
    <w:pPr>
      <w:ind w:left="1521" w:firstLine="480"/>
    </w:pPr>
  </w:style>
  <w:style w:type="paragraph" w:customStyle="1" w:styleId="13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szCs w:val="20"/>
    </w:rPr>
  </w:style>
  <w:style w:type="paragraph" w:customStyle="1" w:styleId="137">
    <w:name w:val="cnfont"/>
    <w:basedOn w:val="1"/>
    <w:qFormat/>
    <w:uiPriority w:val="0"/>
    <w:pPr>
      <w:widowControl/>
      <w:spacing w:before="100" w:beforeAutospacing="1" w:after="100" w:afterAutospacing="1"/>
      <w:jc w:val="left"/>
    </w:pPr>
    <w:rPr>
      <w:rFonts w:ascii="宋体"/>
      <w:color w:val="000000"/>
      <w:kern w:val="0"/>
      <w:sz w:val="24"/>
      <w:szCs w:val="20"/>
    </w:rPr>
  </w:style>
  <w:style w:type="paragraph" w:customStyle="1" w:styleId="138">
    <w:name w:val="正文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b/>
      <w:kern w:val="0"/>
      <w:sz w:val="22"/>
      <w:szCs w:val="20"/>
    </w:rPr>
  </w:style>
  <w:style w:type="paragraph" w:customStyle="1" w:styleId="140">
    <w:name w:val="contentnoteheader"/>
    <w:basedOn w:val="1"/>
    <w:qFormat/>
    <w:uiPriority w:val="0"/>
    <w:pPr>
      <w:spacing w:before="100" w:beforeAutospacing="1" w:after="100" w:afterAutospacing="1"/>
    </w:pPr>
    <w:rPr>
      <w:rFonts w:ascii="宋体"/>
      <w:color w:val="000000"/>
      <w:sz w:val="24"/>
      <w:szCs w:val="20"/>
    </w:rPr>
  </w:style>
  <w:style w:type="paragraph" w:customStyle="1" w:styleId="14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42">
    <w:name w:val="正文列表"/>
    <w:basedOn w:val="1"/>
    <w:qFormat/>
    <w:uiPriority w:val="0"/>
    <w:pPr>
      <w:spacing w:after="120"/>
    </w:pPr>
    <w:rPr>
      <w:rFonts w:ascii="Times New Roman" w:hAnsi="Times New Roman"/>
      <w:sz w:val="24"/>
      <w:szCs w:val="20"/>
      <w:lang w:eastAsia="zh-TW"/>
    </w:rPr>
  </w:style>
  <w:style w:type="paragraph" w:customStyle="1" w:styleId="143">
    <w:name w:val="标题二样式"/>
    <w:basedOn w:val="6"/>
    <w:qFormat/>
    <w:uiPriority w:val="0"/>
    <w:pPr>
      <w:tabs>
        <w:tab w:val="left" w:pos="525"/>
      </w:tabs>
      <w:spacing w:line="240" w:lineRule="auto"/>
    </w:pPr>
    <w:rPr>
      <w:rFonts w:ascii="Cambria" w:hAnsi="Cambria"/>
      <w:bCs w:val="0"/>
      <w:color w:val="4F81BD"/>
      <w:sz w:val="26"/>
      <w:szCs w:val="20"/>
    </w:rPr>
  </w:style>
  <w:style w:type="paragraph" w:customStyle="1" w:styleId="14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5">
    <w:name w:val="样式2"/>
    <w:basedOn w:val="7"/>
    <w:qFormat/>
    <w:uiPriority w:val="0"/>
    <w:rPr>
      <w:i/>
    </w:rPr>
  </w:style>
  <w:style w:type="paragraph" w:customStyle="1" w:styleId="146">
    <w:name w:val="样式8"/>
    <w:basedOn w:val="145"/>
    <w:qFormat/>
    <w:uiPriority w:val="0"/>
    <w:pPr>
      <w:keepNext w:val="0"/>
      <w:keepLines w:val="0"/>
      <w:tabs>
        <w:tab w:val="right" w:leader="dot" w:pos="9458"/>
      </w:tabs>
      <w:spacing w:before="0" w:after="0" w:line="240" w:lineRule="auto"/>
      <w:ind w:left="420" w:firstLine="0" w:firstLineChars="0"/>
      <w:outlineLvl w:val="9"/>
    </w:pPr>
    <w:rPr>
      <w:rFonts w:ascii="Arial" w:hAnsi="Arial" w:eastAsia="宋体"/>
      <w:bCs w:val="0"/>
      <w:i w:val="0"/>
      <w:sz w:val="21"/>
      <w:szCs w:val="20"/>
    </w:rPr>
  </w:style>
  <w:style w:type="paragraph" w:customStyle="1" w:styleId="147">
    <w:name w:val="a"/>
    <w:basedOn w:val="1"/>
    <w:qFormat/>
    <w:uiPriority w:val="0"/>
    <w:pPr>
      <w:widowControl/>
      <w:jc w:val="left"/>
    </w:pPr>
    <w:rPr>
      <w:rFonts w:ascii="宋体" w:cs="宋体"/>
      <w:kern w:val="0"/>
      <w:sz w:val="24"/>
      <w:szCs w:val="24"/>
    </w:rPr>
  </w:style>
  <w:style w:type="paragraph" w:customStyle="1" w:styleId="148">
    <w:name w:val="标句3"/>
    <w:basedOn w:val="1"/>
    <w:qFormat/>
    <w:uiPriority w:val="0"/>
    <w:pPr>
      <w:snapToGrid w:val="0"/>
      <w:spacing w:before="120" w:line="500" w:lineRule="atLeast"/>
      <w:ind w:left="568" w:hanging="284"/>
    </w:pPr>
    <w:rPr>
      <w:rFonts w:ascii="宋体"/>
      <w:b/>
      <w:kern w:val="52"/>
      <w:sz w:val="28"/>
      <w:szCs w:val="20"/>
    </w:rPr>
  </w:style>
  <w:style w:type="paragraph" w:customStyle="1" w:styleId="149">
    <w:name w:val="文字框居中"/>
    <w:basedOn w:val="1"/>
    <w:qFormat/>
    <w:uiPriority w:val="0"/>
    <w:pPr>
      <w:overflowPunct w:val="0"/>
      <w:topLinePunct/>
      <w:adjustRightInd w:val="0"/>
      <w:snapToGrid w:val="0"/>
      <w:spacing w:line="360" w:lineRule="auto"/>
      <w:jc w:val="center"/>
    </w:pPr>
    <w:rPr>
      <w:rFonts w:ascii="幼圆" w:eastAsia="幼圆"/>
      <w:snapToGrid w:val="0"/>
      <w:kern w:val="21"/>
      <w:sz w:val="24"/>
      <w:szCs w:val="20"/>
    </w:rPr>
  </w:style>
  <w:style w:type="paragraph" w:customStyle="1" w:styleId="150">
    <w:name w:val="正文 New New New New New New New New New New New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151">
    <w:name w:val="Body Text 21"/>
    <w:basedOn w:val="1"/>
    <w:qFormat/>
    <w:uiPriority w:val="0"/>
    <w:pPr>
      <w:adjustRightInd w:val="0"/>
      <w:spacing w:line="240" w:lineRule="exact"/>
      <w:textAlignment w:val="baseline"/>
    </w:pPr>
    <w:rPr>
      <w:rFonts w:ascii="宋体"/>
      <w:kern w:val="0"/>
      <w:sz w:val="18"/>
      <w:szCs w:val="20"/>
    </w:rPr>
  </w:style>
  <w:style w:type="paragraph" w:customStyle="1" w:styleId="152">
    <w:name w:val="样式 标题 3 + (中文) 黑体 小四 非加粗 段前: 7.8 磅 段后: 0 磅 行距: 固定值 20 磅"/>
    <w:basedOn w:val="7"/>
    <w:qFormat/>
    <w:uiPriority w:val="0"/>
    <w:pPr>
      <w:spacing w:before="0" w:after="0" w:line="400" w:lineRule="exact"/>
    </w:pPr>
    <w:rPr>
      <w:rFonts w:cs="宋体"/>
      <w:bCs w:val="0"/>
      <w:sz w:val="24"/>
      <w:szCs w:val="20"/>
    </w:rPr>
  </w:style>
  <w:style w:type="paragraph" w:customStyle="1" w:styleId="153">
    <w:name w:val="表"/>
    <w:basedOn w:val="1"/>
    <w:qFormat/>
    <w:uiPriority w:val="0"/>
    <w:pPr>
      <w:spacing w:line="300" w:lineRule="auto"/>
      <w:jc w:val="center"/>
    </w:pPr>
    <w:rPr>
      <w:rFonts w:ascii="Times New Roman" w:hAnsi="Times New Roman"/>
      <w:szCs w:val="20"/>
    </w:rPr>
  </w:style>
  <w:style w:type="paragraph" w:customStyle="1" w:styleId="154">
    <w:name w:val="明显引用111"/>
    <w:basedOn w:val="1"/>
    <w:next w:val="1"/>
    <w:qFormat/>
    <w:uiPriority w:val="0"/>
    <w:pPr>
      <w:pBdr>
        <w:bottom w:val="single" w:color="4F81BD" w:sz="4" w:space="4"/>
      </w:pBdr>
      <w:spacing w:before="200" w:after="280"/>
      <w:ind w:left="936" w:right="936"/>
    </w:pPr>
    <w:rPr>
      <w:rFonts w:cs="黑体"/>
      <w:b/>
      <w:i/>
      <w:color w:val="4F81BD"/>
    </w:rPr>
  </w:style>
  <w:style w:type="paragraph" w:customStyle="1" w:styleId="155">
    <w:name w:val="列出段落1"/>
    <w:basedOn w:val="1"/>
    <w:qFormat/>
    <w:uiPriority w:val="0"/>
    <w:pPr>
      <w:ind w:firstLine="200" w:firstLineChars="200"/>
    </w:pPr>
  </w:style>
  <w:style w:type="paragraph" w:customStyle="1" w:styleId="156">
    <w:name w:val="正文首行缩进11"/>
    <w:basedOn w:val="3"/>
    <w:qFormat/>
    <w:uiPriority w:val="0"/>
    <w:pPr>
      <w:ind w:firstLine="100" w:firstLineChars="100"/>
    </w:pPr>
    <w:rPr>
      <w:sz w:val="30"/>
      <w:szCs w:val="24"/>
    </w:rPr>
  </w:style>
  <w:style w:type="paragraph" w:customStyle="1" w:styleId="157">
    <w:name w:val="正文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正文文本缩进 211"/>
    <w:basedOn w:val="1"/>
    <w:qFormat/>
    <w:uiPriority w:val="0"/>
    <w:pPr>
      <w:spacing w:line="420" w:lineRule="exact"/>
      <w:ind w:firstLine="480"/>
    </w:pPr>
    <w:rPr>
      <w:b/>
      <w:sz w:val="24"/>
      <w:szCs w:val="20"/>
    </w:rPr>
  </w:style>
  <w:style w:type="paragraph" w:customStyle="1" w:styleId="159">
    <w:name w:val="Char11"/>
    <w:basedOn w:val="1"/>
    <w:qFormat/>
    <w:uiPriority w:val="0"/>
    <w:pPr>
      <w:tabs>
        <w:tab w:val="left" w:pos="1360"/>
      </w:tabs>
      <w:ind w:left="1360" w:hanging="720"/>
    </w:pPr>
    <w:rPr>
      <w:rFonts w:ascii="Times New Roman" w:hAnsi="Times New Roman"/>
      <w:szCs w:val="20"/>
    </w:rPr>
  </w:style>
  <w:style w:type="paragraph" w:customStyle="1" w:styleId="160">
    <w:name w:val="纯文本11"/>
    <w:basedOn w:val="1"/>
    <w:qFormat/>
    <w:uiPriority w:val="0"/>
    <w:pPr>
      <w:suppressAutoHyphens/>
    </w:pPr>
    <w:rPr>
      <w:rFonts w:ascii="宋体"/>
      <w:szCs w:val="20"/>
      <w:lang w:eastAsia="ar-SA"/>
    </w:rPr>
  </w:style>
  <w:style w:type="paragraph" w:customStyle="1" w:styleId="161">
    <w:name w:val="文档正文"/>
    <w:basedOn w:val="1"/>
    <w:qFormat/>
    <w:uiPriority w:val="0"/>
    <w:rPr>
      <w:rFonts w:ascii="Arial" w:hAnsi="Arial"/>
      <w:sz w:val="24"/>
      <w:szCs w:val="20"/>
    </w:rPr>
  </w:style>
  <w:style w:type="paragraph" w:customStyle="1" w:styleId="162">
    <w:name w:val="xl23"/>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cs="宋体"/>
      <w:color w:val="000000"/>
      <w:kern w:val="0"/>
      <w:sz w:val="24"/>
      <w:szCs w:val="24"/>
    </w:rPr>
  </w:style>
  <w:style w:type="paragraph" w:customStyle="1" w:styleId="163">
    <w:name w:val="三级无标题条"/>
    <w:basedOn w:val="1"/>
    <w:qFormat/>
    <w:uiPriority w:val="0"/>
    <w:pPr>
      <w:ind w:left="2100" w:hanging="420"/>
    </w:pPr>
    <w:rPr>
      <w:rFonts w:ascii="Times New Roman" w:hAnsi="Times New Roman"/>
      <w:szCs w:val="24"/>
    </w:rPr>
  </w:style>
  <w:style w:type="paragraph" w:customStyle="1" w:styleId="164">
    <w:name w:val="Default"/>
    <w:qFormat/>
    <w:uiPriority w:val="0"/>
    <w:pPr>
      <w:widowControl w:val="0"/>
      <w:autoSpaceDE w:val="0"/>
      <w:autoSpaceDN w:val="0"/>
      <w:adjustRightInd w:val="0"/>
      <w:spacing w:after="200" w:line="276" w:lineRule="auto"/>
    </w:pPr>
    <w:rPr>
      <w:rFonts w:ascii="宋体" w:hAnsi="Times New Roman" w:eastAsia="宋体" w:cs="Times New Roman"/>
      <w:color w:val="000000"/>
      <w:sz w:val="24"/>
      <w:lang w:val="en-US" w:eastAsia="zh-CN" w:bidi="ar-SA"/>
    </w:rPr>
  </w:style>
  <w:style w:type="paragraph" w:customStyle="1" w:styleId="165">
    <w:name w:val="插圖"/>
    <w:basedOn w:val="164"/>
    <w:next w:val="164"/>
    <w:qFormat/>
    <w:uiPriority w:val="0"/>
    <w:rPr>
      <w:rFonts w:ascii="Arial" w:hAnsi="Arial"/>
      <w:color w:val="auto"/>
      <w:sz w:val="20"/>
    </w:rPr>
  </w:style>
  <w:style w:type="paragraph" w:customStyle="1" w:styleId="166">
    <w:name w:val="IBM bullets 1"/>
    <w:basedOn w:val="1"/>
    <w:qFormat/>
    <w:uiPriority w:val="0"/>
    <w:pPr>
      <w:tabs>
        <w:tab w:val="left" w:pos="1080"/>
        <w:tab w:val="left" w:pos="1134"/>
      </w:tabs>
      <w:spacing w:before="120"/>
      <w:ind w:left="1135" w:hanging="360"/>
    </w:pPr>
    <w:rPr>
      <w:rFonts w:ascii="IBM Helvetica Light" w:hAnsi="IBM Helvetica Light" w:eastAsia="Times New Roman"/>
      <w:sz w:val="20"/>
      <w:szCs w:val="20"/>
      <w:lang w:val="en-AU" w:eastAsia="en-AU"/>
    </w:rPr>
  </w:style>
  <w:style w:type="paragraph" w:customStyle="1" w:styleId="167">
    <w:name w:val="彩色列表 - 强调文字颜色 12"/>
    <w:basedOn w:val="1"/>
    <w:qFormat/>
    <w:uiPriority w:val="0"/>
    <w:pPr>
      <w:ind w:firstLine="200" w:firstLineChars="200"/>
    </w:pPr>
    <w:rPr>
      <w:rFonts w:ascii="Times New Roman" w:hAnsi="Times New Roman"/>
      <w:szCs w:val="24"/>
    </w:rPr>
  </w:style>
  <w:style w:type="paragraph" w:customStyle="1" w:styleId="168">
    <w:name w:val="Char Char Char Char Char Char"/>
    <w:basedOn w:val="1"/>
    <w:qFormat/>
    <w:uiPriority w:val="0"/>
    <w:pPr>
      <w:adjustRightInd w:val="0"/>
      <w:spacing w:line="360" w:lineRule="auto"/>
    </w:pPr>
    <w:rPr>
      <w:rFonts w:ascii="Times New Roman" w:hAnsi="Times New Roman"/>
      <w:sz w:val="24"/>
      <w:szCs w:val="20"/>
    </w:rPr>
  </w:style>
  <w:style w:type="paragraph" w:customStyle="1" w:styleId="169">
    <w:name w:val="样式 小四 首行缩进:  0.85 厘米 行距: 固定值 20 磅"/>
    <w:basedOn w:val="1"/>
    <w:qFormat/>
    <w:uiPriority w:val="0"/>
    <w:pPr>
      <w:adjustRightInd w:val="0"/>
      <w:spacing w:line="360" w:lineRule="auto"/>
      <w:ind w:firstLine="482"/>
    </w:pPr>
    <w:rPr>
      <w:rFonts w:ascii="Times New Roman" w:hAnsi="Times New Roman"/>
      <w:sz w:val="24"/>
      <w:szCs w:val="20"/>
    </w:rPr>
  </w:style>
  <w:style w:type="paragraph" w:customStyle="1" w:styleId="170">
    <w:name w:val="素材6"/>
    <w:basedOn w:val="1"/>
    <w:qFormat/>
    <w:uiPriority w:val="0"/>
    <w:pPr>
      <w:snapToGrid w:val="0"/>
      <w:spacing w:line="500" w:lineRule="atLeast"/>
      <w:ind w:left="1418"/>
    </w:pPr>
    <w:rPr>
      <w:rFonts w:ascii="宋体"/>
      <w:kern w:val="52"/>
      <w:sz w:val="27"/>
      <w:szCs w:val="20"/>
    </w:rPr>
  </w:style>
  <w:style w:type="paragraph" w:customStyle="1" w:styleId="171">
    <w:name w:val="默认段落字体 Para Char"/>
    <w:basedOn w:val="1"/>
    <w:qFormat/>
    <w:uiPriority w:val="0"/>
    <w:pPr>
      <w:spacing w:line="360" w:lineRule="auto"/>
      <w:jc w:val="left"/>
    </w:pPr>
    <w:rPr>
      <w:rFonts w:ascii="Times New Roman" w:hAnsi="Times New Roman"/>
      <w:szCs w:val="24"/>
    </w:rPr>
  </w:style>
  <w:style w:type="paragraph" w:customStyle="1" w:styleId="172">
    <w:name w:val="font6"/>
    <w:basedOn w:val="1"/>
    <w:qFormat/>
    <w:uiPriority w:val="0"/>
    <w:pPr>
      <w:widowControl/>
      <w:spacing w:before="100" w:beforeAutospacing="1" w:after="100" w:afterAutospacing="1"/>
      <w:jc w:val="left"/>
    </w:pPr>
    <w:rPr>
      <w:rFonts w:ascii="宋体"/>
      <w:kern w:val="0"/>
      <w:sz w:val="22"/>
      <w:szCs w:val="20"/>
    </w:rPr>
  </w:style>
  <w:style w:type="paragraph" w:customStyle="1" w:styleId="173">
    <w:name w:val="¶ÎÂä2"/>
    <w:basedOn w:val="1"/>
    <w:qFormat/>
    <w:uiPriority w:val="0"/>
    <w:pPr>
      <w:overflowPunct w:val="0"/>
      <w:autoSpaceDE w:val="0"/>
      <w:autoSpaceDN w:val="0"/>
      <w:adjustRightInd w:val="0"/>
      <w:spacing w:line="360" w:lineRule="auto"/>
      <w:ind w:left="360"/>
      <w:textAlignment w:val="baseline"/>
    </w:pPr>
    <w:rPr>
      <w:rFonts w:ascii="宋体"/>
      <w:szCs w:val="20"/>
    </w:rPr>
  </w:style>
  <w:style w:type="paragraph" w:customStyle="1" w:styleId="174">
    <w:name w:val="xl46"/>
    <w:basedOn w:val="1"/>
    <w:qFormat/>
    <w:uiPriority w:val="0"/>
    <w:pPr>
      <w:widowControl/>
      <w:spacing w:before="100" w:beforeAutospacing="1" w:after="100" w:afterAutospacing="1"/>
      <w:jc w:val="left"/>
      <w:textAlignment w:val="center"/>
    </w:pPr>
    <w:rPr>
      <w:rFonts w:ascii="宋体"/>
      <w:kern w:val="0"/>
      <w:sz w:val="22"/>
      <w:szCs w:val="20"/>
    </w:rPr>
  </w:style>
  <w:style w:type="paragraph" w:customStyle="1" w:styleId="175">
    <w:name w:val="Normal Bold Char1"/>
    <w:basedOn w:val="1"/>
    <w:qFormat/>
    <w:uiPriority w:val="0"/>
    <w:pPr>
      <w:tabs>
        <w:tab w:val="left" w:pos="624"/>
        <w:tab w:val="left" w:pos="2340"/>
        <w:tab w:val="left" w:pos="4320"/>
      </w:tabs>
    </w:pPr>
    <w:rPr>
      <w:rFonts w:ascii="Arial" w:hAnsi="Arial"/>
      <w:b/>
      <w:sz w:val="18"/>
      <w:szCs w:val="20"/>
      <w:lang w:val="en-GB" w:eastAsia="en-GB"/>
    </w:rPr>
  </w:style>
  <w:style w:type="paragraph" w:customStyle="1" w:styleId="17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177">
    <w:name w:val="Style2"/>
    <w:basedOn w:val="6"/>
    <w:qFormat/>
    <w:uiPriority w:val="0"/>
    <w:pPr>
      <w:tabs>
        <w:tab w:val="left" w:pos="540"/>
      </w:tabs>
      <w:autoSpaceDE w:val="0"/>
      <w:autoSpaceDN w:val="0"/>
      <w:adjustRightInd w:val="0"/>
      <w:spacing w:before="200"/>
    </w:pPr>
    <w:rPr>
      <w:rFonts w:ascii="宋体"/>
      <w:bCs w:val="0"/>
      <w:color w:val="4F81BD"/>
      <w:sz w:val="21"/>
      <w:szCs w:val="20"/>
    </w:rPr>
  </w:style>
  <w:style w:type="paragraph" w:customStyle="1" w:styleId="178">
    <w:name w:val="_Style 177"/>
    <w:basedOn w:val="5"/>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79">
    <w:name w:val="正文文本 211"/>
    <w:basedOn w:val="1"/>
    <w:qFormat/>
    <w:uiPriority w:val="0"/>
    <w:pPr>
      <w:autoSpaceDE w:val="0"/>
      <w:autoSpaceDN w:val="0"/>
      <w:adjustRightInd w:val="0"/>
      <w:jc w:val="left"/>
    </w:pPr>
    <w:rPr>
      <w:rFonts w:ascii="宋体"/>
      <w:kern w:val="0"/>
      <w:sz w:val="22"/>
      <w:szCs w:val="20"/>
    </w:rPr>
  </w:style>
  <w:style w:type="paragraph" w:customStyle="1" w:styleId="180">
    <w:name w:val="样式 标题 1TITRE1H1Header1h1合同标题章-标题Title1标书11st levelSect..."/>
    <w:basedOn w:val="5"/>
    <w:qFormat/>
    <w:uiPriority w:val="0"/>
    <w:pPr>
      <w:keepNext w:val="0"/>
      <w:keepLines w:val="0"/>
      <w:spacing w:before="200" w:after="200" w:line="240" w:lineRule="auto"/>
      <w:jc w:val="center"/>
    </w:pPr>
    <w:rPr>
      <w:rFonts w:ascii="宋体"/>
      <w:bCs w:val="0"/>
      <w:color w:val="365F91"/>
      <w:kern w:val="2"/>
      <w:sz w:val="28"/>
      <w:szCs w:val="20"/>
    </w:rPr>
  </w:style>
  <w:style w:type="paragraph" w:customStyle="1" w:styleId="181">
    <w:name w:val="样式10"/>
    <w:basedOn w:val="5"/>
    <w:qFormat/>
    <w:uiPriority w:val="0"/>
    <w:pPr>
      <w:spacing w:before="480" w:after="0" w:line="240" w:lineRule="auto"/>
    </w:pPr>
    <w:rPr>
      <w:rFonts w:ascii="Cambria" w:hAnsi="Cambria"/>
      <w:bCs w:val="0"/>
      <w:color w:val="365F91"/>
      <w:kern w:val="2"/>
      <w:sz w:val="28"/>
      <w:szCs w:val="20"/>
    </w:rPr>
  </w:style>
  <w:style w:type="paragraph" w:customStyle="1" w:styleId="182">
    <w:name w:val="qc"/>
    <w:basedOn w:val="1"/>
    <w:qFormat/>
    <w:uiPriority w:val="0"/>
    <w:pPr>
      <w:spacing w:before="100" w:beforeAutospacing="1" w:after="100" w:afterAutospacing="1"/>
    </w:pPr>
    <w:rPr>
      <w:rFonts w:ascii="宋体"/>
      <w:color w:val="999999"/>
      <w:sz w:val="18"/>
      <w:szCs w:val="20"/>
    </w:rPr>
  </w:style>
  <w:style w:type="paragraph" w:customStyle="1" w:styleId="183">
    <w:name w:val="正文段"/>
    <w:basedOn w:val="1"/>
    <w:qFormat/>
    <w:uiPriority w:val="0"/>
    <w:pPr>
      <w:adjustRightInd w:val="0"/>
      <w:spacing w:after="240" w:line="360" w:lineRule="atLeast"/>
      <w:ind w:firstLine="454"/>
      <w:textAlignment w:val="bottom"/>
    </w:pPr>
    <w:rPr>
      <w:rFonts w:ascii="宋体"/>
      <w:sz w:val="24"/>
      <w:szCs w:val="20"/>
    </w:rPr>
  </w:style>
  <w:style w:type="paragraph" w:customStyle="1" w:styleId="184">
    <w:name w:val="纯文本1"/>
    <w:basedOn w:val="1"/>
    <w:qFormat/>
    <w:uiPriority w:val="0"/>
    <w:rPr>
      <w:rFonts w:ascii="宋体"/>
      <w:sz w:val="24"/>
      <w:szCs w:val="20"/>
    </w:rPr>
  </w:style>
  <w:style w:type="paragraph" w:customStyle="1" w:styleId="185">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86">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87">
    <w:name w:val="文二"/>
    <w:basedOn w:val="1"/>
    <w:qFormat/>
    <w:uiPriority w:val="0"/>
    <w:pPr>
      <w:jc w:val="left"/>
    </w:pPr>
    <w:rPr>
      <w:rFonts w:ascii="宋体"/>
      <w:szCs w:val="21"/>
    </w:rPr>
  </w:style>
  <w:style w:type="paragraph" w:customStyle="1" w:styleId="188">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9">
    <w:name w:val="_Style 182"/>
    <w:qFormat/>
    <w:uiPriority w:val="0"/>
    <w:rPr>
      <w:rFonts w:ascii="Calibri" w:hAnsi="Calibri" w:eastAsia="宋体" w:cs="Times New Roman"/>
      <w:kern w:val="2"/>
      <w:sz w:val="21"/>
      <w:szCs w:val="24"/>
      <w:lang w:val="en-US" w:eastAsia="zh-CN" w:bidi="ar-SA"/>
    </w:rPr>
  </w:style>
  <w:style w:type="paragraph" w:customStyle="1" w:styleId="190">
    <w:name w:val="Xie图文中"/>
    <w:qFormat/>
    <w:uiPriority w:val="0"/>
    <w:pPr>
      <w:widowControl w:val="0"/>
      <w:adjustRightInd w:val="0"/>
      <w:snapToGrid w:val="0"/>
      <w:spacing w:after="200" w:line="276" w:lineRule="auto"/>
      <w:jc w:val="center"/>
    </w:pPr>
    <w:rPr>
      <w:rFonts w:ascii="Calibri" w:hAnsi="Calibri" w:eastAsia="仿宋_GB2312" w:cs="Times New Roman"/>
      <w:sz w:val="24"/>
      <w:lang w:val="en-US" w:eastAsia="zh-CN" w:bidi="ar-SA"/>
    </w:rPr>
  </w:style>
  <w:style w:type="paragraph" w:customStyle="1" w:styleId="191">
    <w:name w:val="正文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2">
    <w:name w:val="我的正文"/>
    <w:basedOn w:val="1"/>
    <w:qFormat/>
    <w:uiPriority w:val="0"/>
    <w:pPr>
      <w:spacing w:line="288" w:lineRule="auto"/>
      <w:ind w:firstLine="567"/>
    </w:pPr>
    <w:rPr>
      <w:rFonts w:ascii="Times New Roman" w:hAnsi="Times New Roman"/>
      <w:spacing w:val="6"/>
      <w:sz w:val="24"/>
      <w:szCs w:val="20"/>
    </w:rPr>
  </w:style>
  <w:style w:type="paragraph" w:customStyle="1" w:styleId="193">
    <w:name w:val="修订2"/>
    <w:qFormat/>
    <w:uiPriority w:val="0"/>
    <w:rPr>
      <w:rFonts w:ascii="Calibri" w:hAnsi="Calibri" w:eastAsia="宋体" w:cs="Times New Roman"/>
      <w:szCs w:val="24"/>
      <w:lang w:val="en-US" w:eastAsia="zh-CN" w:bidi="ar-SA"/>
    </w:rPr>
  </w:style>
  <w:style w:type="paragraph" w:customStyle="1" w:styleId="194">
    <w:name w:val="_Style 379"/>
    <w:basedOn w:val="1"/>
    <w:next w:val="1"/>
    <w:qFormat/>
    <w:uiPriority w:val="0"/>
    <w:pPr>
      <w:pBdr>
        <w:bottom w:val="single" w:color="4F81BD" w:sz="4" w:space="4"/>
      </w:pBdr>
      <w:ind w:left="936" w:right="936"/>
    </w:pPr>
    <w:rPr>
      <w:b/>
      <w:i/>
      <w:color w:val="4F81BD"/>
      <w:szCs w:val="20"/>
    </w:rPr>
  </w:style>
  <w:style w:type="paragraph" w:customStyle="1" w:styleId="195">
    <w:name w:val="公文抬头"/>
    <w:basedOn w:val="18"/>
    <w:qFormat/>
    <w:uiPriority w:val="0"/>
    <w:pPr>
      <w:ind w:firstLine="0" w:firstLineChars="0"/>
    </w:pPr>
    <w:rPr>
      <w:rFonts w:ascii="仿宋_GB2312" w:eastAsia="仿宋_GB2312"/>
      <w:sz w:val="30"/>
    </w:rPr>
  </w:style>
  <w:style w:type="paragraph" w:customStyle="1" w:styleId="196">
    <w:name w:val="文档结构图1"/>
    <w:basedOn w:val="1"/>
    <w:qFormat/>
    <w:uiPriority w:val="0"/>
    <w:pPr>
      <w:shd w:val="clear" w:color="auto" w:fill="000080"/>
    </w:pPr>
    <w:rPr>
      <w:sz w:val="30"/>
      <w:szCs w:val="24"/>
    </w:rPr>
  </w:style>
  <w:style w:type="paragraph" w:customStyle="1" w:styleId="197">
    <w:name w:val="引用11"/>
    <w:basedOn w:val="1"/>
    <w:next w:val="1"/>
    <w:qFormat/>
    <w:uiPriority w:val="0"/>
    <w:rPr>
      <w:rFonts w:cs="黑体"/>
      <w:i/>
      <w:color w:val="000000"/>
    </w:rPr>
  </w:style>
  <w:style w:type="paragraph" w:customStyle="1" w:styleId="198">
    <w:name w:val="正题"/>
    <w:basedOn w:val="74"/>
    <w:next w:val="74"/>
    <w:qFormat/>
    <w:uiPriority w:val="0"/>
    <w:pPr>
      <w:ind w:firstLine="0" w:firstLineChars="0"/>
      <w:jc w:val="center"/>
    </w:pPr>
    <w:rPr>
      <w:rFonts w:eastAsia="黑体"/>
      <w:b/>
      <w:sz w:val="36"/>
      <w:szCs w:val="36"/>
    </w:rPr>
  </w:style>
  <w:style w:type="paragraph" w:customStyle="1" w:styleId="199">
    <w:name w:val="正文文本缩进1"/>
    <w:basedOn w:val="1"/>
    <w:qFormat/>
    <w:uiPriority w:val="0"/>
    <w:pPr>
      <w:ind w:firstLine="480"/>
    </w:pPr>
    <w:rPr>
      <w:sz w:val="24"/>
      <w:szCs w:val="20"/>
    </w:rPr>
  </w:style>
  <w:style w:type="paragraph" w:customStyle="1" w:styleId="200">
    <w:name w:val="正文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1">
    <w:name w:val="l2"/>
    <w:basedOn w:val="1"/>
    <w:qFormat/>
    <w:uiPriority w:val="0"/>
    <w:pPr>
      <w:keepLines/>
      <w:widowControl/>
      <w:spacing w:before="50" w:beforeLines="50" w:after="50" w:afterLines="50" w:line="300" w:lineRule="auto"/>
    </w:pPr>
    <w:rPr>
      <w:rFonts w:ascii="Arial" w:hAnsi="Arial"/>
      <w:szCs w:val="20"/>
    </w:rPr>
  </w:style>
  <w:style w:type="paragraph" w:customStyle="1" w:styleId="202">
    <w:name w:val="标题3"/>
    <w:basedOn w:val="1"/>
    <w:qFormat/>
    <w:uiPriority w:val="0"/>
    <w:pPr>
      <w:adjustRightInd w:val="0"/>
      <w:spacing w:before="120" w:after="120"/>
      <w:jc w:val="center"/>
      <w:textAlignment w:val="baseline"/>
    </w:pPr>
    <w:rPr>
      <w:rFonts w:ascii="Times New Roman" w:hAnsi="Times New Roman"/>
      <w:b/>
      <w:kern w:val="0"/>
      <w:sz w:val="18"/>
      <w:szCs w:val="20"/>
    </w:rPr>
  </w:style>
  <w:style w:type="paragraph" w:customStyle="1" w:styleId="203">
    <w:name w:val="Option"/>
    <w:basedOn w:val="1"/>
    <w:qFormat/>
    <w:uiPriority w:val="0"/>
    <w:rPr>
      <w:rFonts w:ascii="Arial" w:hAnsi="Arial"/>
      <w:color w:val="000000"/>
      <w:szCs w:val="20"/>
    </w:rPr>
  </w:style>
  <w:style w:type="paragraph" w:customStyle="1" w:styleId="204">
    <w:name w:val="图中文字"/>
    <w:basedOn w:val="1"/>
    <w:qFormat/>
    <w:uiPriority w:val="0"/>
    <w:pPr>
      <w:jc w:val="center"/>
    </w:pPr>
    <w:rPr>
      <w:rFonts w:ascii="Arial" w:hAnsi="Arial"/>
      <w:szCs w:val="20"/>
    </w:rPr>
  </w:style>
  <w:style w:type="paragraph" w:customStyle="1" w:styleId="205">
    <w:name w:val="正文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06">
    <w:name w:val="_Style 279"/>
    <w:basedOn w:val="1"/>
    <w:qFormat/>
    <w:uiPriority w:val="0"/>
    <w:rPr>
      <w:sz w:val="20"/>
      <w:szCs w:val="20"/>
    </w:rPr>
  </w:style>
  <w:style w:type="paragraph" w:customStyle="1" w:styleId="207">
    <w:name w:val="默认段落字体 Para Char Char Char Char Char Char Char"/>
    <w:basedOn w:val="21"/>
    <w:qFormat/>
    <w:uiPriority w:val="0"/>
    <w:pPr>
      <w:adjustRightInd w:val="0"/>
      <w:spacing w:line="436" w:lineRule="exact"/>
      <w:ind w:left="357"/>
      <w:jc w:val="left"/>
      <w:outlineLvl w:val="3"/>
    </w:pPr>
    <w:rPr>
      <w:rFonts w:ascii="Tahoma" w:hAnsi="Tahoma"/>
      <w:b/>
      <w:sz w:val="24"/>
    </w:rPr>
  </w:style>
  <w:style w:type="paragraph" w:customStyle="1" w:styleId="208">
    <w:name w:val="页脚 New"/>
    <w:basedOn w:val="205"/>
    <w:qFormat/>
    <w:uiPriority w:val="0"/>
    <w:pPr>
      <w:tabs>
        <w:tab w:val="center" w:pos="4153"/>
        <w:tab w:val="right" w:pos="8306"/>
      </w:tabs>
      <w:snapToGrid w:val="0"/>
      <w:jc w:val="left"/>
    </w:pPr>
    <w:rPr>
      <w:sz w:val="18"/>
    </w:rPr>
  </w:style>
  <w:style w:type="paragraph" w:customStyle="1" w:styleId="209">
    <w:name w:val="Table Bold"/>
    <w:basedOn w:val="109"/>
    <w:qFormat/>
    <w:uiPriority w:val="0"/>
    <w:pPr>
      <w:widowControl w:val="0"/>
      <w:spacing w:before="40" w:after="40" w:line="240" w:lineRule="exact"/>
      <w:ind w:right="113"/>
      <w:jc w:val="both"/>
    </w:pPr>
    <w:rPr>
      <w:b/>
      <w:snapToGrid/>
      <w:kern w:val="2"/>
    </w:rPr>
  </w:style>
  <w:style w:type="paragraph" w:customStyle="1" w:styleId="21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211">
    <w:name w:val="编号"/>
    <w:basedOn w:val="1"/>
    <w:qFormat/>
    <w:uiPriority w:val="0"/>
    <w:pPr>
      <w:spacing w:after="50" w:afterLines="50" w:line="300" w:lineRule="auto"/>
      <w:textAlignment w:val="center"/>
    </w:pPr>
    <w:rPr>
      <w:rFonts w:ascii="Times New Roman" w:hAnsi="Times New Roman" w:eastAsia="仿宋_GB2312"/>
      <w:spacing w:val="20"/>
      <w:szCs w:val="20"/>
    </w:rPr>
  </w:style>
  <w:style w:type="paragraph" w:customStyle="1" w:styleId="212">
    <w:name w:val="样式14"/>
    <w:basedOn w:val="9"/>
    <w:qFormat/>
    <w:uiPriority w:val="0"/>
    <w:pPr>
      <w:spacing w:beforeLines="0" w:afterLines="0" w:line="240" w:lineRule="auto"/>
      <w:jc w:val="both"/>
    </w:pPr>
    <w:rPr>
      <w:rFonts w:ascii="Cambria" w:hAnsi="Cambria"/>
      <w:color w:val="243F60"/>
      <w:sz w:val="21"/>
      <w:szCs w:val="20"/>
    </w:rPr>
  </w:style>
  <w:style w:type="paragraph" w:customStyle="1" w:styleId="213">
    <w:name w:val="Char Char1"/>
    <w:basedOn w:val="1"/>
    <w:qFormat/>
    <w:uiPriority w:val="0"/>
    <w:pPr>
      <w:widowControl/>
      <w:tabs>
        <w:tab w:val="left" w:pos="0"/>
      </w:tabs>
      <w:spacing w:line="300" w:lineRule="auto"/>
      <w:jc w:val="center"/>
    </w:pPr>
    <w:rPr>
      <w:rFonts w:ascii="Verdana" w:hAnsi="Verdana"/>
      <w:iCs/>
      <w:color w:val="000000"/>
      <w:kern w:val="0"/>
      <w:sz w:val="24"/>
      <w:szCs w:val="28"/>
    </w:rPr>
  </w:style>
  <w:style w:type="paragraph" w:customStyle="1" w:styleId="214">
    <w:name w:val="表头"/>
    <w:basedOn w:val="1"/>
    <w:qFormat/>
    <w:uiPriority w:val="0"/>
    <w:pPr>
      <w:spacing w:line="360" w:lineRule="auto"/>
      <w:jc w:val="center"/>
    </w:pPr>
    <w:rPr>
      <w:rFonts w:ascii="黑体" w:eastAsia="黑体"/>
      <w:kern w:val="0"/>
      <w:sz w:val="24"/>
      <w:szCs w:val="20"/>
    </w:rPr>
  </w:style>
  <w:style w:type="paragraph" w:customStyle="1" w:styleId="215">
    <w:name w:val="文档结构图2"/>
    <w:basedOn w:val="1"/>
    <w:qFormat/>
    <w:uiPriority w:val="0"/>
    <w:pPr>
      <w:shd w:val="clear" w:color="auto" w:fill="000080"/>
    </w:pPr>
    <w:rPr>
      <w:sz w:val="30"/>
      <w:szCs w:val="24"/>
    </w:rPr>
  </w:style>
  <w:style w:type="paragraph" w:customStyle="1" w:styleId="216">
    <w:name w:val="_Style 9"/>
    <w:basedOn w:val="1"/>
    <w:next w:val="76"/>
    <w:qFormat/>
    <w:uiPriority w:val="0"/>
    <w:pPr>
      <w:ind w:firstLine="200" w:firstLineChars="200"/>
    </w:pPr>
    <w:rPr>
      <w:szCs w:val="20"/>
    </w:rPr>
  </w:style>
  <w:style w:type="paragraph" w:customStyle="1" w:styleId="217">
    <w:name w:val="È±Ê¡ÎÄ±¾"/>
    <w:basedOn w:val="1"/>
    <w:qFormat/>
    <w:uiPriority w:val="0"/>
    <w:pPr>
      <w:overflowPunct w:val="0"/>
      <w:autoSpaceDE w:val="0"/>
      <w:autoSpaceDN w:val="0"/>
      <w:adjustRightInd w:val="0"/>
      <w:spacing w:before="80" w:after="80" w:line="360" w:lineRule="auto"/>
      <w:ind w:firstLine="493"/>
      <w:textAlignment w:val="baseline"/>
    </w:pPr>
    <w:rPr>
      <w:rFonts w:ascii="宋体"/>
      <w:sz w:val="24"/>
      <w:szCs w:val="20"/>
    </w:rPr>
  </w:style>
  <w:style w:type="paragraph" w:customStyle="1" w:styleId="218">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9">
    <w:name w:val="页眉 New New New New New New New"/>
    <w:basedOn w:val="218"/>
    <w:qFormat/>
    <w:uiPriority w:val="0"/>
    <w:pPr>
      <w:pBdr>
        <w:bottom w:val="single" w:color="auto" w:sz="6" w:space="1"/>
      </w:pBdr>
      <w:tabs>
        <w:tab w:val="center" w:pos="4153"/>
        <w:tab w:val="right" w:pos="8306"/>
      </w:tabs>
      <w:snapToGrid w:val="0"/>
      <w:jc w:val="center"/>
    </w:pPr>
    <w:rPr>
      <w:sz w:val="18"/>
      <w:szCs w:val="18"/>
    </w:rPr>
  </w:style>
  <w:style w:type="paragraph" w:customStyle="1" w:styleId="220">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22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0"/>
    </w:rPr>
  </w:style>
  <w:style w:type="paragraph" w:customStyle="1" w:styleId="222">
    <w:name w:val="list1"/>
    <w:basedOn w:val="1"/>
    <w:qFormat/>
    <w:uiPriority w:val="0"/>
    <w:pPr>
      <w:tabs>
        <w:tab w:val="left" w:pos="1265"/>
      </w:tabs>
      <w:adjustRightInd w:val="0"/>
      <w:spacing w:line="360" w:lineRule="auto"/>
      <w:ind w:left="1265" w:hanging="420"/>
      <w:textAlignment w:val="baseline"/>
    </w:pPr>
    <w:rPr>
      <w:rFonts w:ascii="宋体"/>
      <w:color w:val="000000"/>
      <w:sz w:val="24"/>
      <w:szCs w:val="20"/>
    </w:rPr>
  </w:style>
  <w:style w:type="paragraph" w:customStyle="1" w:styleId="223">
    <w:name w:val="正文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4">
    <w:name w:val="缺省文本"/>
    <w:basedOn w:val="1"/>
    <w:qFormat/>
    <w:uiPriority w:val="0"/>
    <w:pPr>
      <w:overflowPunct w:val="0"/>
      <w:autoSpaceDE w:val="0"/>
      <w:autoSpaceDN w:val="0"/>
      <w:adjustRightInd w:val="0"/>
      <w:textAlignment w:val="baseline"/>
    </w:pPr>
    <w:rPr>
      <w:rFonts w:ascii="Times New Roman" w:hAnsi="Times New Roman"/>
      <w:sz w:val="24"/>
      <w:szCs w:val="20"/>
    </w:rPr>
  </w:style>
  <w:style w:type="paragraph" w:customStyle="1" w:styleId="225">
    <w:name w:val="二级无标题条"/>
    <w:basedOn w:val="1"/>
    <w:qFormat/>
    <w:uiPriority w:val="0"/>
    <w:pPr>
      <w:ind w:left="1680" w:hanging="420"/>
    </w:pPr>
    <w:rPr>
      <w:rFonts w:ascii="Times New Roman" w:hAnsi="Times New Roman"/>
      <w:szCs w:val="24"/>
    </w:rPr>
  </w:style>
  <w:style w:type="paragraph" w:customStyle="1" w:styleId="226">
    <w:name w:val="表格文字居中"/>
    <w:basedOn w:val="1"/>
    <w:qFormat/>
    <w:uiPriority w:val="0"/>
    <w:pPr>
      <w:widowControl/>
      <w:spacing w:line="240" w:lineRule="atLeast"/>
      <w:jc w:val="center"/>
    </w:pPr>
    <w:rPr>
      <w:rFonts w:cs="宋体"/>
      <w:color w:val="000000"/>
      <w:kern w:val="0"/>
      <w:szCs w:val="20"/>
    </w:rPr>
  </w:style>
  <w:style w:type="paragraph" w:customStyle="1" w:styleId="227">
    <w:name w:val="Char Char Char1 Char"/>
    <w:basedOn w:val="21"/>
    <w:qFormat/>
    <w:uiPriority w:val="0"/>
    <w:rPr>
      <w:rFonts w:ascii="Tahoma" w:hAnsi="Tahoma"/>
      <w:sz w:val="24"/>
    </w:rPr>
  </w:style>
  <w:style w:type="paragraph" w:customStyle="1" w:styleId="228">
    <w:name w:val="_Style 428"/>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样式 标题 2 + 宋体"/>
    <w:basedOn w:val="6"/>
    <w:qFormat/>
    <w:uiPriority w:val="0"/>
    <w:pPr>
      <w:keepNext w:val="0"/>
      <w:keepLines w:val="0"/>
      <w:spacing w:before="100" w:beforeAutospacing="1" w:after="100" w:afterAutospacing="1"/>
    </w:pPr>
    <w:rPr>
      <w:rFonts w:ascii="宋体"/>
      <w:color w:val="000000"/>
      <w:sz w:val="30"/>
      <w:szCs w:val="24"/>
    </w:rPr>
  </w:style>
  <w:style w:type="paragraph" w:customStyle="1" w:styleId="230">
    <w:name w:val="Figure Description"/>
    <w:next w:val="1"/>
    <w:qFormat/>
    <w:uiPriority w:val="0"/>
    <w:pPr>
      <w:snapToGrid w:val="0"/>
      <w:spacing w:before="80" w:after="320" w:line="276" w:lineRule="auto"/>
      <w:ind w:firstLine="1701"/>
      <w:jc w:val="center"/>
    </w:pPr>
    <w:rPr>
      <w:rFonts w:ascii="Arial" w:hAnsi="Arial" w:eastAsia="黑体" w:cs="Times New Roman"/>
      <w:sz w:val="18"/>
      <w:lang w:val="en-US" w:eastAsia="zh-CN" w:bidi="ar-SA"/>
    </w:rPr>
  </w:style>
  <w:style w:type="paragraph" w:customStyle="1" w:styleId="231">
    <w:name w:val="Char1 Char Char Char Char Char Char1 Char Char Char"/>
    <w:basedOn w:val="1"/>
    <w:qFormat/>
    <w:uiPriority w:val="0"/>
    <w:rPr>
      <w:sz w:val="30"/>
      <w:szCs w:val="24"/>
    </w:rPr>
  </w:style>
  <w:style w:type="paragraph" w:customStyle="1" w:styleId="232">
    <w:name w:val="列出段落2"/>
    <w:basedOn w:val="1"/>
    <w:qFormat/>
    <w:uiPriority w:val="0"/>
    <w:pPr>
      <w:ind w:firstLine="200" w:firstLineChars="200"/>
    </w:pPr>
  </w:style>
  <w:style w:type="paragraph" w:customStyle="1" w:styleId="233">
    <w:name w:val="4"/>
    <w:basedOn w:val="1"/>
    <w:next w:val="1"/>
    <w:qFormat/>
    <w:uiPriority w:val="0"/>
    <w:rPr>
      <w:rFonts w:ascii="Times New Roman" w:hAnsi="Times New Roman"/>
      <w:szCs w:val="20"/>
    </w:rPr>
  </w:style>
  <w:style w:type="paragraph" w:customStyle="1" w:styleId="234">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235">
    <w:name w:val="List Paragraph1"/>
    <w:basedOn w:val="1"/>
    <w:qFormat/>
    <w:uiPriority w:val="0"/>
    <w:rPr>
      <w:rFonts w:ascii="Times New Roman" w:hAnsi="Times New Roman"/>
      <w:sz w:val="20"/>
      <w:szCs w:val="20"/>
    </w:rPr>
  </w:style>
  <w:style w:type="paragraph" w:customStyle="1" w:styleId="236">
    <w:name w:val="表项"/>
    <w:next w:val="1"/>
    <w:qFormat/>
    <w:uiPriority w:val="0"/>
    <w:pPr>
      <w:keepNext/>
      <w:spacing w:after="200" w:line="300" w:lineRule="auto"/>
      <w:jc w:val="center"/>
      <w:textAlignment w:val="baseline"/>
    </w:pPr>
    <w:rPr>
      <w:rFonts w:ascii="Arial" w:hAnsi="Arial" w:eastAsia="黑体" w:cs="Times New Roman"/>
      <w:sz w:val="22"/>
      <w:lang w:val="en-US" w:eastAsia="zh-CN" w:bidi="ar-SA"/>
    </w:rPr>
  </w:style>
  <w:style w:type="paragraph" w:customStyle="1" w:styleId="237">
    <w:name w:val="正文文本 (2)1"/>
    <w:basedOn w:val="1"/>
    <w:qFormat/>
    <w:uiPriority w:val="0"/>
    <w:pPr>
      <w:shd w:val="clear" w:color="auto" w:fill="FFFFFF"/>
      <w:spacing w:before="60" w:line="336" w:lineRule="exact"/>
      <w:jc w:val="distribute"/>
    </w:pPr>
    <w:rPr>
      <w:rFonts w:ascii="MingLiU" w:hAnsi="MingLiU" w:eastAsia="MingLiU" w:cs="MingLiU"/>
      <w:kern w:val="0"/>
      <w:sz w:val="20"/>
      <w:szCs w:val="20"/>
    </w:rPr>
  </w:style>
  <w:style w:type="paragraph" w:customStyle="1" w:styleId="238">
    <w:name w:val="正文文字3"/>
    <w:basedOn w:val="1"/>
    <w:next w:val="26"/>
    <w:qFormat/>
    <w:uiPriority w:val="0"/>
    <w:pPr>
      <w:spacing w:after="120"/>
      <w:ind w:left="420"/>
    </w:pPr>
    <w:rPr>
      <w:rFonts w:ascii="Times New Roman" w:hAnsi="Times New Roman"/>
      <w:szCs w:val="20"/>
    </w:rPr>
  </w:style>
  <w:style w:type="paragraph" w:customStyle="1" w:styleId="239">
    <w:name w:val="表格题注"/>
    <w:next w:val="1"/>
    <w:qFormat/>
    <w:uiPriority w:val="0"/>
    <w:pPr>
      <w:keepLines/>
      <w:spacing w:before="100" w:beforeLines="100" w:after="200" w:line="276" w:lineRule="auto"/>
      <w:jc w:val="center"/>
    </w:pPr>
    <w:rPr>
      <w:rFonts w:ascii="Arial" w:hAnsi="Arial" w:eastAsia="宋体" w:cs="Times New Roman"/>
      <w:sz w:val="18"/>
      <w:lang w:val="en-US" w:eastAsia="zh-CN" w:bidi="ar-SA"/>
    </w:rPr>
  </w:style>
  <w:style w:type="paragraph" w:customStyle="1" w:styleId="240">
    <w:name w:val="列出段落21"/>
    <w:basedOn w:val="1"/>
    <w:qFormat/>
    <w:uiPriority w:val="0"/>
    <w:pPr>
      <w:ind w:firstLine="200" w:firstLineChars="200"/>
    </w:pPr>
  </w:style>
  <w:style w:type="paragraph" w:customStyle="1" w:styleId="241">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kern w:val="0"/>
      <w:sz w:val="24"/>
      <w:szCs w:val="20"/>
    </w:rPr>
  </w:style>
  <w:style w:type="paragraph" w:customStyle="1" w:styleId="242">
    <w:name w:val="font9"/>
    <w:basedOn w:val="1"/>
    <w:qFormat/>
    <w:uiPriority w:val="0"/>
    <w:pPr>
      <w:widowControl/>
      <w:spacing w:before="100" w:beforeAutospacing="1" w:after="100" w:afterAutospacing="1"/>
      <w:jc w:val="left"/>
    </w:pPr>
    <w:rPr>
      <w:rFonts w:ascii="宋体"/>
      <w:kern w:val="0"/>
      <w:sz w:val="22"/>
      <w:szCs w:val="20"/>
    </w:rPr>
  </w:style>
  <w:style w:type="paragraph" w:customStyle="1" w:styleId="243">
    <w:name w:val="修订111"/>
    <w:qFormat/>
    <w:uiPriority w:val="0"/>
    <w:rPr>
      <w:rFonts w:ascii="Calibri" w:hAnsi="Calibri" w:eastAsia="宋体" w:cs="Times New Roman"/>
      <w:kern w:val="2"/>
      <w:sz w:val="21"/>
      <w:szCs w:val="24"/>
      <w:lang w:val="en-US" w:eastAsia="zh-CN" w:bidi="ar-SA"/>
    </w:rPr>
  </w:style>
  <w:style w:type="paragraph" w:customStyle="1" w:styleId="244">
    <w:name w:val="列出段落5"/>
    <w:basedOn w:val="1"/>
    <w:qFormat/>
    <w:uiPriority w:val="0"/>
    <w:rPr>
      <w:sz w:val="20"/>
      <w:szCs w:val="20"/>
    </w:rPr>
  </w:style>
  <w:style w:type="paragraph" w:customStyle="1" w:styleId="245">
    <w:name w:val="页眉 New New New"/>
    <w:basedOn w:val="126"/>
    <w:qFormat/>
    <w:uiPriority w:val="0"/>
    <w:pPr>
      <w:pBdr>
        <w:bottom w:val="single" w:color="auto" w:sz="6" w:space="1"/>
      </w:pBdr>
      <w:tabs>
        <w:tab w:val="center" w:pos="4153"/>
        <w:tab w:val="right" w:pos="8306"/>
      </w:tabs>
      <w:snapToGrid w:val="0"/>
      <w:jc w:val="center"/>
    </w:pPr>
    <w:rPr>
      <w:sz w:val="18"/>
      <w:szCs w:val="18"/>
    </w:rPr>
  </w:style>
  <w:style w:type="paragraph" w:customStyle="1" w:styleId="246">
    <w:name w:val="样式1"/>
    <w:basedOn w:val="1"/>
    <w:next w:val="8"/>
    <w:qFormat/>
    <w:uiPriority w:val="0"/>
    <w:pPr>
      <w:spacing w:line="360" w:lineRule="auto"/>
      <w:ind w:firstLine="200" w:firstLineChars="200"/>
    </w:pPr>
    <w:rPr>
      <w:rFonts w:ascii="宋体"/>
      <w:szCs w:val="21"/>
    </w:rPr>
  </w:style>
  <w:style w:type="paragraph" w:customStyle="1" w:styleId="247">
    <w:name w:val="素材2"/>
    <w:basedOn w:val="1"/>
    <w:qFormat/>
    <w:uiPriority w:val="0"/>
    <w:pPr>
      <w:snapToGrid w:val="0"/>
      <w:spacing w:line="500" w:lineRule="atLeast"/>
      <w:ind w:firstLine="567"/>
    </w:pPr>
    <w:rPr>
      <w:rFonts w:ascii="宋体"/>
      <w:sz w:val="27"/>
      <w:szCs w:val="20"/>
    </w:rPr>
  </w:style>
  <w:style w:type="paragraph" w:customStyle="1" w:styleId="248">
    <w:name w:val="正文样式 首行缩进:  0.74 厘米"/>
    <w:basedOn w:val="1"/>
    <w:qFormat/>
    <w:uiPriority w:val="0"/>
    <w:pPr>
      <w:spacing w:line="360" w:lineRule="auto"/>
      <w:ind w:left="-60" w:leftChars="-60" w:right="72" w:firstLine="200" w:firstLineChars="200"/>
    </w:pPr>
    <w:rPr>
      <w:rFonts w:ascii="Times New Roman" w:hAnsi="Times New Roman"/>
      <w:color w:val="000000"/>
      <w:sz w:val="24"/>
      <w:szCs w:val="20"/>
    </w:rPr>
  </w:style>
  <w:style w:type="paragraph" w:customStyle="1" w:styleId="249">
    <w:name w:val="Char22"/>
    <w:basedOn w:val="1"/>
    <w:qFormat/>
    <w:uiPriority w:val="0"/>
    <w:pPr>
      <w:tabs>
        <w:tab w:val="left" w:pos="1360"/>
      </w:tabs>
      <w:ind w:left="1360" w:hanging="720"/>
    </w:pPr>
    <w:rPr>
      <w:szCs w:val="20"/>
    </w:rPr>
  </w:style>
  <w:style w:type="paragraph" w:customStyle="1" w:styleId="250">
    <w:name w:val="Default 123  Text1"/>
    <w:basedOn w:val="1"/>
    <w:qFormat/>
    <w:uiPriority w:val="0"/>
    <w:pPr>
      <w:autoSpaceDE w:val="0"/>
      <w:autoSpaceDN w:val="0"/>
      <w:adjustRightInd w:val="0"/>
    </w:pPr>
    <w:rPr>
      <w:rFonts w:ascii="宋体"/>
      <w:sz w:val="26"/>
      <w:szCs w:val="20"/>
    </w:rPr>
  </w:style>
  <w:style w:type="paragraph" w:customStyle="1" w:styleId="251">
    <w:name w:val="样式 正文缩进 + 首行缩进:  2 字符"/>
    <w:basedOn w:val="18"/>
    <w:qFormat/>
    <w:uiPriority w:val="0"/>
    <w:pPr>
      <w:spacing w:line="360" w:lineRule="auto"/>
    </w:pPr>
    <w:rPr>
      <w:sz w:val="24"/>
      <w:szCs w:val="20"/>
    </w:rPr>
  </w:style>
  <w:style w:type="paragraph" w:customStyle="1" w:styleId="252">
    <w:name w:val="Char Char1 Char Char Char Char Char Char Char Char"/>
    <w:basedOn w:val="1"/>
    <w:qFormat/>
    <w:uiPriority w:val="0"/>
    <w:pPr>
      <w:spacing w:after="160" w:line="240" w:lineRule="exact"/>
    </w:pPr>
    <w:rPr>
      <w:rFonts w:ascii="Verdana" w:hAnsi="Verdana"/>
      <w:sz w:val="20"/>
      <w:szCs w:val="20"/>
    </w:rPr>
  </w:style>
  <w:style w:type="paragraph" w:customStyle="1" w:styleId="253">
    <w:name w:val="章节二"/>
    <w:basedOn w:val="1"/>
    <w:next w:val="1"/>
    <w:qFormat/>
    <w:uiPriority w:val="0"/>
    <w:pPr>
      <w:topLinePunct/>
      <w:adjustRightInd w:val="0"/>
      <w:snapToGrid w:val="0"/>
      <w:spacing w:before="50" w:beforeLines="50" w:after="50" w:afterLines="50"/>
      <w:jc w:val="center"/>
      <w:outlineLvl w:val="1"/>
    </w:pPr>
    <w:rPr>
      <w:rFonts w:ascii="Times New Roman" w:hAnsi="Times New Roman" w:eastAsia="黑体"/>
      <w:b/>
      <w:snapToGrid w:val="0"/>
      <w:spacing w:val="4"/>
      <w:kern w:val="0"/>
      <w:sz w:val="30"/>
      <w:szCs w:val="30"/>
    </w:rPr>
  </w:style>
  <w:style w:type="paragraph" w:customStyle="1" w:styleId="254">
    <w:name w:val="正文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255">
    <w:name w:val="页眉 New New New New"/>
    <w:basedOn w:val="254"/>
    <w:qFormat/>
    <w:uiPriority w:val="0"/>
    <w:pPr>
      <w:pBdr>
        <w:bottom w:val="single" w:color="auto" w:sz="6" w:space="1"/>
      </w:pBdr>
      <w:tabs>
        <w:tab w:val="center" w:pos="4153"/>
        <w:tab w:val="right" w:pos="8306"/>
      </w:tabs>
      <w:snapToGrid w:val="0"/>
      <w:jc w:val="center"/>
    </w:pPr>
    <w:rPr>
      <w:rFonts w:eastAsia="宋体"/>
      <w:sz w:val="18"/>
      <w:szCs w:val="18"/>
    </w:rPr>
  </w:style>
  <w:style w:type="paragraph" w:customStyle="1" w:styleId="256">
    <w:name w:val="Plain Text1"/>
    <w:basedOn w:val="1"/>
    <w:qFormat/>
    <w:uiPriority w:val="0"/>
    <w:rPr>
      <w:rFonts w:ascii="宋体"/>
      <w:kern w:val="0"/>
      <w:sz w:val="20"/>
      <w:szCs w:val="20"/>
    </w:rPr>
  </w:style>
  <w:style w:type="paragraph" w:customStyle="1" w:styleId="257">
    <w:name w:val="引用111"/>
    <w:basedOn w:val="1"/>
    <w:next w:val="1"/>
    <w:qFormat/>
    <w:uiPriority w:val="0"/>
    <w:rPr>
      <w:rFonts w:cs="黑体"/>
      <w:i/>
      <w:color w:val="000000"/>
    </w:rPr>
  </w:style>
  <w:style w:type="paragraph" w:customStyle="1" w:styleId="258">
    <w:name w:val="IBM bullets 2"/>
    <w:basedOn w:val="166"/>
    <w:qFormat/>
    <w:uiPriority w:val="0"/>
    <w:pPr>
      <w:ind w:left="1080"/>
    </w:pPr>
  </w:style>
  <w:style w:type="paragraph" w:customStyle="1" w:styleId="259">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0">
    <w:name w:val="表身"/>
    <w:qFormat/>
    <w:uiPriority w:val="0"/>
    <w:pPr>
      <w:keepNext/>
      <w:spacing w:before="60" w:after="60" w:line="300" w:lineRule="auto"/>
      <w:jc w:val="both"/>
      <w:textAlignment w:val="center"/>
    </w:pPr>
    <w:rPr>
      <w:rFonts w:ascii="Calibri" w:hAnsi="Calibri" w:eastAsia="宋体" w:cs="Times New Roman"/>
      <w:sz w:val="18"/>
      <w:lang w:val="en-US" w:eastAsia="zh-CN" w:bidi="ar-SA"/>
    </w:rPr>
  </w:style>
  <w:style w:type="paragraph" w:customStyle="1" w:styleId="261">
    <w:name w:val="标题 5 New"/>
    <w:basedOn w:val="126"/>
    <w:next w:val="126"/>
    <w:qFormat/>
    <w:uiPriority w:val="0"/>
    <w:pPr>
      <w:keepNext/>
      <w:keepLines/>
      <w:spacing w:before="280" w:after="290" w:line="377" w:lineRule="auto"/>
      <w:outlineLvl w:val="4"/>
    </w:pPr>
    <w:rPr>
      <w:rFonts w:eastAsia="仿宋_GB2312"/>
      <w:b/>
      <w:bCs/>
      <w:sz w:val="28"/>
      <w:szCs w:val="28"/>
    </w:rPr>
  </w:style>
  <w:style w:type="paragraph" w:customStyle="1" w:styleId="262">
    <w:name w:val="正文文本缩进 22"/>
    <w:basedOn w:val="1"/>
    <w:qFormat/>
    <w:uiPriority w:val="0"/>
    <w:pPr>
      <w:spacing w:line="420" w:lineRule="exact"/>
      <w:ind w:firstLine="480"/>
    </w:pPr>
    <w:rPr>
      <w:b/>
      <w:sz w:val="24"/>
      <w:szCs w:val="20"/>
    </w:rPr>
  </w:style>
  <w:style w:type="paragraph" w:customStyle="1" w:styleId="263">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265">
    <w:name w:val="正文缩进1"/>
    <w:basedOn w:val="1"/>
    <w:qFormat/>
    <w:uiPriority w:val="0"/>
    <w:pPr>
      <w:ind w:firstLine="567"/>
    </w:pPr>
    <w:rPr>
      <w:rFonts w:ascii="Times New Roman" w:hAnsi="Times New Roman"/>
      <w:spacing w:val="20"/>
      <w:sz w:val="24"/>
      <w:szCs w:val="20"/>
    </w:rPr>
  </w:style>
  <w:style w:type="paragraph" w:customStyle="1" w:styleId="266">
    <w:name w:val="Table Description"/>
    <w:next w:val="1"/>
    <w:qFormat/>
    <w:uiPriority w:val="0"/>
    <w:pPr>
      <w:keepNext/>
      <w:snapToGrid w:val="0"/>
      <w:spacing w:before="160" w:after="80" w:line="276" w:lineRule="auto"/>
      <w:ind w:firstLine="1701"/>
      <w:jc w:val="center"/>
    </w:pPr>
    <w:rPr>
      <w:rFonts w:ascii="Arial" w:hAnsi="Arial" w:eastAsia="黑体" w:cs="Times New Roman"/>
      <w:sz w:val="18"/>
      <w:lang w:val="en-US" w:eastAsia="zh-CN" w:bidi="ar-SA"/>
    </w:rPr>
  </w:style>
  <w:style w:type="paragraph" w:customStyle="1" w:styleId="267">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0"/>
    </w:rPr>
  </w:style>
  <w:style w:type="paragraph" w:customStyle="1" w:styleId="268">
    <w:name w:val="列出段落211"/>
    <w:basedOn w:val="1"/>
    <w:qFormat/>
    <w:uiPriority w:val="0"/>
    <w:pPr>
      <w:ind w:firstLine="200" w:firstLineChars="200"/>
    </w:pPr>
  </w:style>
  <w:style w:type="paragraph" w:customStyle="1" w:styleId="269">
    <w:name w:val="素材5"/>
    <w:basedOn w:val="1"/>
    <w:qFormat/>
    <w:uiPriority w:val="0"/>
    <w:pPr>
      <w:snapToGrid w:val="0"/>
      <w:spacing w:line="500" w:lineRule="atLeast"/>
      <w:ind w:left="1111"/>
    </w:pPr>
    <w:rPr>
      <w:rFonts w:ascii="宋体"/>
      <w:kern w:val="28"/>
      <w:sz w:val="27"/>
      <w:szCs w:val="20"/>
    </w:rPr>
  </w:style>
  <w:style w:type="paragraph" w:customStyle="1" w:styleId="270">
    <w:name w:val="正文文本缩进 New New"/>
    <w:basedOn w:val="1"/>
    <w:qFormat/>
    <w:uiPriority w:val="0"/>
    <w:pPr>
      <w:spacing w:after="120"/>
      <w:ind w:left="200" w:leftChars="200"/>
    </w:pPr>
    <w:rPr>
      <w:rFonts w:eastAsia="楷体_GB2312"/>
      <w:szCs w:val="20"/>
    </w:rPr>
  </w:style>
  <w:style w:type="paragraph" w:customStyle="1" w:styleId="271">
    <w:name w:val="列出段落41"/>
    <w:basedOn w:val="1"/>
    <w:qFormat/>
    <w:uiPriority w:val="0"/>
    <w:pPr>
      <w:ind w:firstLine="200" w:firstLineChars="200"/>
    </w:pPr>
    <w:rPr>
      <w:rFonts w:ascii="Times New Roman" w:hAnsi="Times New Roman"/>
      <w:szCs w:val="20"/>
    </w:rPr>
  </w:style>
  <w:style w:type="paragraph" w:customStyle="1" w:styleId="272">
    <w:name w:val="正文 New New New New New New New New New New New New New New New New New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273">
    <w:name w:val="正文缩进 New"/>
    <w:basedOn w:val="272"/>
    <w:qFormat/>
    <w:uiPriority w:val="0"/>
    <w:pPr>
      <w:ind w:firstLine="420"/>
    </w:pPr>
    <w:rPr>
      <w:rFonts w:ascii="Times New Roman" w:hAnsi="Times New Roman" w:cs="Times New Roman"/>
      <w:snapToGrid/>
      <w:kern w:val="2"/>
      <w:szCs w:val="20"/>
    </w:rPr>
  </w:style>
  <w:style w:type="paragraph" w:customStyle="1" w:styleId="274">
    <w:name w:val="纯文本12"/>
    <w:basedOn w:val="1"/>
    <w:qFormat/>
    <w:uiPriority w:val="0"/>
    <w:pPr>
      <w:suppressAutoHyphens/>
    </w:pPr>
    <w:rPr>
      <w:rFonts w:ascii="宋体"/>
      <w:szCs w:val="20"/>
      <w:lang w:eastAsia="ar-SA"/>
    </w:rPr>
  </w:style>
  <w:style w:type="paragraph" w:customStyle="1" w:styleId="27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276">
    <w:name w:val="样式4"/>
    <w:basedOn w:val="1"/>
    <w:qFormat/>
    <w:uiPriority w:val="0"/>
    <w:pPr>
      <w:tabs>
        <w:tab w:val="left" w:pos="1984"/>
      </w:tabs>
      <w:ind w:left="1983" w:hanging="708"/>
    </w:pPr>
    <w:rPr>
      <w:rFonts w:ascii="Times New Roman" w:hAnsi="Times New Roman"/>
      <w:szCs w:val="24"/>
    </w:rPr>
  </w:style>
  <w:style w:type="paragraph" w:customStyle="1" w:styleId="277">
    <w:name w:val="样式5"/>
    <w:basedOn w:val="276"/>
    <w:next w:val="276"/>
    <w:qFormat/>
    <w:uiPriority w:val="0"/>
    <w:pPr>
      <w:tabs>
        <w:tab w:val="right" w:leader="dot" w:pos="9458"/>
      </w:tabs>
      <w:spacing w:before="120" w:after="120"/>
      <w:ind w:left="0" w:firstLine="0"/>
      <w:jc w:val="left"/>
    </w:pPr>
    <w:rPr>
      <w:caps/>
      <w:szCs w:val="20"/>
    </w:rPr>
  </w:style>
  <w:style w:type="paragraph" w:customStyle="1" w:styleId="278">
    <w:name w:val="Char1"/>
    <w:basedOn w:val="1"/>
    <w:qFormat/>
    <w:uiPriority w:val="0"/>
    <w:pPr>
      <w:tabs>
        <w:tab w:val="left" w:pos="360"/>
      </w:tabs>
    </w:pPr>
    <w:rPr>
      <w:rFonts w:ascii="Times New Roman" w:hAnsi="Times New Roman"/>
      <w:sz w:val="24"/>
      <w:szCs w:val="24"/>
    </w:rPr>
  </w:style>
  <w:style w:type="paragraph" w:customStyle="1" w:styleId="279">
    <w:name w:val="正文文本缩进 31"/>
    <w:basedOn w:val="1"/>
    <w:qFormat/>
    <w:uiPriority w:val="0"/>
    <w:pPr>
      <w:snapToGrid w:val="0"/>
      <w:spacing w:line="360" w:lineRule="auto"/>
      <w:ind w:left="20" w:firstLine="189" w:firstLineChars="189"/>
    </w:pPr>
    <w:rPr>
      <w:rFonts w:ascii="仿宋_GB2312" w:eastAsia="仿宋_GB2312"/>
      <w:sz w:val="28"/>
      <w:szCs w:val="24"/>
    </w:rPr>
  </w:style>
  <w:style w:type="paragraph" w:customStyle="1" w:styleId="280">
    <w:name w:val="Char5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rPr>
  </w:style>
  <w:style w:type="paragraph" w:customStyle="1" w:styleId="281">
    <w:name w:val="条文1"/>
    <w:basedOn w:val="1"/>
    <w:qFormat/>
    <w:uiPriority w:val="0"/>
    <w:pPr>
      <w:tabs>
        <w:tab w:val="left" w:pos="2565"/>
      </w:tabs>
      <w:spacing w:line="360" w:lineRule="auto"/>
      <w:ind w:left="1845"/>
    </w:pPr>
    <w:rPr>
      <w:rFonts w:ascii="MS UI Gothic" w:hAnsi="MS UI Gothic"/>
      <w:bCs/>
      <w:kern w:val="44"/>
      <w:sz w:val="24"/>
      <w:szCs w:val="44"/>
    </w:rPr>
  </w:style>
  <w:style w:type="paragraph" w:customStyle="1" w:styleId="282">
    <w:name w:val="样式16"/>
    <w:basedOn w:val="41"/>
    <w:next w:val="41"/>
    <w:qFormat/>
    <w:uiPriority w:val="0"/>
    <w:pPr>
      <w:spacing w:before="0" w:after="0"/>
      <w:jc w:val="both"/>
    </w:pPr>
    <w:rPr>
      <w:b w:val="0"/>
      <w:bCs w:val="0"/>
      <w:sz w:val="21"/>
    </w:rPr>
  </w:style>
  <w:style w:type="paragraph" w:customStyle="1" w:styleId="283">
    <w:name w:val="样式11"/>
    <w:basedOn w:val="1"/>
    <w:qFormat/>
    <w:uiPriority w:val="0"/>
    <w:rPr>
      <w:rFonts w:ascii="Times New Roman" w:hAnsi="Times New Roman"/>
      <w:szCs w:val="20"/>
    </w:rPr>
  </w:style>
  <w:style w:type="paragraph" w:customStyle="1" w:styleId="284">
    <w:name w:val="正文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85">
    <w:name w:val="一级无标题条"/>
    <w:basedOn w:val="1"/>
    <w:qFormat/>
    <w:uiPriority w:val="0"/>
    <w:pPr>
      <w:ind w:left="1260" w:hanging="420"/>
    </w:pPr>
    <w:rPr>
      <w:rFonts w:ascii="Times New Roman" w:hAnsi="Times New Roman"/>
      <w:szCs w:val="24"/>
    </w:rPr>
  </w:style>
  <w:style w:type="paragraph" w:customStyle="1" w:styleId="286">
    <w:name w:val="正文首行缩进1"/>
    <w:basedOn w:val="3"/>
    <w:qFormat/>
    <w:uiPriority w:val="0"/>
    <w:pPr>
      <w:ind w:firstLine="100" w:firstLineChars="100"/>
    </w:pPr>
    <w:rPr>
      <w:sz w:val="30"/>
      <w:szCs w:val="24"/>
    </w:rPr>
  </w:style>
  <w:style w:type="paragraph" w:customStyle="1" w:styleId="287">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288">
    <w:name w:val="普通(网站)11"/>
    <w:basedOn w:val="1"/>
    <w:qFormat/>
    <w:uiPriority w:val="0"/>
    <w:pPr>
      <w:widowControl/>
      <w:spacing w:line="500" w:lineRule="exact"/>
      <w:ind w:firstLine="510"/>
    </w:pPr>
    <w:rPr>
      <w:rFonts w:ascii="仿宋_GB2312" w:eastAsia="仿宋_GB2312"/>
      <w:color w:val="000000"/>
      <w:spacing w:val="-10"/>
      <w:kern w:val="0"/>
      <w:szCs w:val="20"/>
    </w:rPr>
  </w:style>
  <w:style w:type="paragraph" w:customStyle="1" w:styleId="289">
    <w:name w:val="正文 New New New New New New New New New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290">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291">
    <w:name w:val="Char Char Char Char Char Char Char Char1 Char"/>
    <w:basedOn w:val="1"/>
    <w:qFormat/>
    <w:uiPriority w:val="0"/>
    <w:rPr>
      <w:rFonts w:ascii="Times New Roman" w:hAnsi="Times New Roman"/>
      <w:szCs w:val="20"/>
    </w:rPr>
  </w:style>
  <w:style w:type="paragraph" w:customStyle="1" w:styleId="292">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kern w:val="0"/>
      <w:sz w:val="22"/>
      <w:szCs w:val="20"/>
    </w:rPr>
  </w:style>
  <w:style w:type="paragraph" w:customStyle="1" w:styleId="293">
    <w:name w:val="Char1 Char Char Char"/>
    <w:basedOn w:val="1"/>
    <w:qFormat/>
    <w:uiPriority w:val="0"/>
    <w:pPr>
      <w:widowControl/>
      <w:spacing w:after="160" w:line="240" w:lineRule="exact"/>
      <w:ind w:firstLine="200" w:firstLineChars="200"/>
      <w:jc w:val="left"/>
    </w:pPr>
    <w:rPr>
      <w:rFonts w:ascii="Times New Roman" w:hAnsi="Times New Roman"/>
      <w:szCs w:val="20"/>
    </w:rPr>
  </w:style>
  <w:style w:type="paragraph" w:customStyle="1" w:styleId="294">
    <w:name w:val="页眉 New New New New New"/>
    <w:basedOn w:val="259"/>
    <w:qFormat/>
    <w:uiPriority w:val="0"/>
    <w:pPr>
      <w:pBdr>
        <w:bottom w:val="single" w:color="auto" w:sz="6" w:space="1"/>
      </w:pBdr>
      <w:tabs>
        <w:tab w:val="center" w:pos="4153"/>
        <w:tab w:val="right" w:pos="8306"/>
      </w:tabs>
      <w:snapToGrid w:val="0"/>
      <w:jc w:val="center"/>
    </w:pPr>
    <w:rPr>
      <w:sz w:val="18"/>
      <w:szCs w:val="18"/>
    </w:rPr>
  </w:style>
  <w:style w:type="paragraph" w:customStyle="1" w:styleId="295">
    <w:name w:val="正文文本4"/>
    <w:basedOn w:val="1"/>
    <w:qFormat/>
    <w:uiPriority w:val="0"/>
    <w:pPr>
      <w:shd w:val="clear" w:color="auto" w:fill="FFFFFF"/>
      <w:spacing w:line="466" w:lineRule="exact"/>
      <w:ind w:hanging="720"/>
      <w:jc w:val="distribute"/>
    </w:pPr>
    <w:rPr>
      <w:rFonts w:ascii="Arial Unicode MS" w:hAnsi="Arial Unicode MS" w:eastAsia="Arial Unicode MS" w:cs="Arial Unicode MS"/>
      <w:color w:val="000000"/>
      <w:kern w:val="0"/>
      <w:sz w:val="20"/>
      <w:szCs w:val="20"/>
      <w:lang w:val="zh-CN"/>
    </w:rPr>
  </w:style>
  <w:style w:type="paragraph" w:customStyle="1" w:styleId="296">
    <w:name w:val="Char Char Char Char Char Char Char Char Char Char Char Char Char"/>
    <w:basedOn w:val="1"/>
    <w:qFormat/>
    <w:uiPriority w:val="0"/>
    <w:rPr>
      <w:rFonts w:ascii="Tahoma" w:hAnsi="Tahoma"/>
      <w:sz w:val="24"/>
      <w:szCs w:val="20"/>
    </w:rPr>
  </w:style>
  <w:style w:type="paragraph" w:customStyle="1" w:styleId="297">
    <w:name w:val="节"/>
    <w:basedOn w:val="1"/>
    <w:qFormat/>
    <w:uiPriority w:val="0"/>
    <w:pPr>
      <w:spacing w:before="100" w:beforeLines="100" w:after="100" w:afterLines="100" w:line="300" w:lineRule="auto"/>
      <w:jc w:val="center"/>
      <w:outlineLvl w:val="1"/>
    </w:pPr>
    <w:rPr>
      <w:rFonts w:ascii="Times New Roman" w:hAnsi="Times New Roman"/>
      <w:b/>
      <w:sz w:val="24"/>
      <w:szCs w:val="20"/>
    </w:rPr>
  </w:style>
  <w:style w:type="paragraph" w:customStyle="1" w:styleId="298">
    <w:name w:val="正文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9">
    <w:name w:val="封一"/>
    <w:basedOn w:val="74"/>
    <w:next w:val="74"/>
    <w:qFormat/>
    <w:uiPriority w:val="0"/>
    <w:pPr>
      <w:ind w:firstLine="0" w:firstLineChars="0"/>
      <w:jc w:val="center"/>
    </w:pPr>
    <w:rPr>
      <w:rFonts w:eastAsia="黑体"/>
      <w:b/>
      <w:sz w:val="84"/>
      <w:szCs w:val="84"/>
    </w:rPr>
  </w:style>
  <w:style w:type="paragraph" w:customStyle="1" w:styleId="300">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301">
    <w:name w:val="正文首行缩进2"/>
    <w:basedOn w:val="3"/>
    <w:qFormat/>
    <w:uiPriority w:val="0"/>
    <w:pPr>
      <w:ind w:firstLine="100" w:firstLineChars="100"/>
    </w:pPr>
    <w:rPr>
      <w:sz w:val="30"/>
      <w:szCs w:val="24"/>
    </w:rPr>
  </w:style>
  <w:style w:type="paragraph" w:customStyle="1" w:styleId="302">
    <w:name w:val="插图题注"/>
    <w:next w:val="1"/>
    <w:qFormat/>
    <w:uiPriority w:val="0"/>
    <w:pPr>
      <w:spacing w:after="100" w:afterLines="100" w:line="276" w:lineRule="auto"/>
      <w:ind w:left="2880"/>
      <w:jc w:val="center"/>
    </w:pPr>
    <w:rPr>
      <w:rFonts w:ascii="Arial" w:hAnsi="Arial" w:eastAsia="宋体" w:cs="Times New Roman"/>
      <w:sz w:val="18"/>
      <w:lang w:val="en-US" w:eastAsia="zh-CN" w:bidi="ar-SA"/>
    </w:rPr>
  </w:style>
  <w:style w:type="paragraph" w:customStyle="1" w:styleId="303">
    <w:name w:val="无间隔11"/>
    <w:qFormat/>
    <w:uiPriority w:val="0"/>
    <w:pPr>
      <w:spacing w:after="200" w:line="276" w:lineRule="auto"/>
    </w:pPr>
    <w:rPr>
      <w:rFonts w:ascii="Calibri" w:hAnsi="Calibri" w:eastAsia="宋体" w:cs="Times New Roman"/>
      <w:sz w:val="22"/>
      <w:lang w:val="en-US" w:eastAsia="zh-CN" w:bidi="ar-SA"/>
    </w:rPr>
  </w:style>
  <w:style w:type="paragraph" w:customStyle="1" w:styleId="304">
    <w:name w:val="纯文本3"/>
    <w:basedOn w:val="1"/>
    <w:qFormat/>
    <w:uiPriority w:val="0"/>
    <w:rPr>
      <w:rFonts w:ascii="宋体"/>
      <w:sz w:val="24"/>
      <w:szCs w:val="20"/>
    </w:rPr>
  </w:style>
  <w:style w:type="paragraph" w:customStyle="1" w:styleId="305">
    <w:name w:val="页脚 New New"/>
    <w:basedOn w:val="284"/>
    <w:qFormat/>
    <w:uiPriority w:val="0"/>
    <w:pPr>
      <w:tabs>
        <w:tab w:val="center" w:pos="4153"/>
        <w:tab w:val="right" w:pos="8306"/>
      </w:tabs>
      <w:snapToGrid w:val="0"/>
      <w:jc w:val="left"/>
    </w:pPr>
    <w:rPr>
      <w:sz w:val="18"/>
    </w:rPr>
  </w:style>
  <w:style w:type="paragraph" w:customStyle="1" w:styleId="306">
    <w:name w:val="标句5"/>
    <w:basedOn w:val="1"/>
    <w:qFormat/>
    <w:uiPriority w:val="0"/>
    <w:pPr>
      <w:snapToGrid w:val="0"/>
      <w:spacing w:line="500" w:lineRule="atLeast"/>
      <w:ind w:left="1135" w:hanging="284"/>
    </w:pPr>
    <w:rPr>
      <w:rFonts w:ascii="宋体"/>
      <w:kern w:val="28"/>
      <w:sz w:val="27"/>
      <w:szCs w:val="20"/>
    </w:rPr>
  </w:style>
  <w:style w:type="paragraph" w:customStyle="1" w:styleId="307">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8">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309">
    <w:name w:val="xl22"/>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cs="宋体"/>
      <w:color w:val="000000"/>
      <w:kern w:val="0"/>
      <w:sz w:val="24"/>
      <w:szCs w:val="24"/>
    </w:rPr>
  </w:style>
  <w:style w:type="paragraph" w:customStyle="1" w:styleId="310">
    <w:name w:val="默认段落字体 Para Char Char Char Char Char Char Char Char Char1 Char Char Char Char Char Char Char Char Char Char Char Char Char Char Char Char Char Char"/>
    <w:basedOn w:val="21"/>
    <w:qFormat/>
    <w:uiPriority w:val="0"/>
    <w:pPr>
      <w:ind w:firstLine="225" w:firstLineChars="225"/>
    </w:pPr>
    <w:rPr>
      <w:rFonts w:ascii="Tahoma" w:hAnsi="Tahoma"/>
      <w:kern w:val="2"/>
      <w:sz w:val="24"/>
      <w:szCs w:val="20"/>
    </w:rPr>
  </w:style>
  <w:style w:type="paragraph" w:customStyle="1" w:styleId="311">
    <w:name w:val="CM11"/>
    <w:basedOn w:val="164"/>
    <w:next w:val="164"/>
    <w:qFormat/>
    <w:uiPriority w:val="0"/>
    <w:pPr>
      <w:spacing w:after="295"/>
    </w:pPr>
    <w:rPr>
      <w:rFonts w:ascii="Yenti EG" w:hAnsi="Yenti EG" w:eastAsia="Yenti EG"/>
      <w:color w:val="auto"/>
      <w:sz w:val="20"/>
    </w:rPr>
  </w:style>
  <w:style w:type="paragraph" w:customStyle="1" w:styleId="312">
    <w:name w:val="Char Char Char Char Char Char Char Char1 Char1"/>
    <w:basedOn w:val="1"/>
    <w:qFormat/>
    <w:uiPriority w:val="0"/>
    <w:rPr>
      <w:rFonts w:ascii="Times New Roman" w:hAnsi="Times New Roman"/>
      <w:szCs w:val="20"/>
    </w:rPr>
  </w:style>
  <w:style w:type="paragraph" w:customStyle="1" w:styleId="313">
    <w:name w:val="黑"/>
    <w:basedOn w:val="1"/>
    <w:qFormat/>
    <w:uiPriority w:val="0"/>
    <w:pPr>
      <w:spacing w:line="360" w:lineRule="auto"/>
    </w:pPr>
    <w:rPr>
      <w:rFonts w:ascii="Times New Roman" w:hAnsi="Times New Roman"/>
      <w:b/>
      <w:sz w:val="24"/>
      <w:szCs w:val="20"/>
    </w:rPr>
  </w:style>
  <w:style w:type="paragraph" w:customStyle="1" w:styleId="314">
    <w:name w:val="Response Char Char Char"/>
    <w:basedOn w:val="18"/>
    <w:qFormat/>
    <w:uiPriority w:val="0"/>
    <w:pPr>
      <w:spacing w:before="60" w:after="120"/>
      <w:ind w:left="567" w:firstLine="0" w:firstLineChars="0"/>
    </w:pPr>
    <w:rPr>
      <w:rFonts w:ascii="Arial" w:hAnsi="Arial" w:eastAsia="MS Mincho"/>
      <w:color w:val="0000FF"/>
      <w:sz w:val="24"/>
      <w:szCs w:val="20"/>
      <w:lang w:val="en-AU" w:eastAsia="en-AU"/>
    </w:rPr>
  </w:style>
  <w:style w:type="paragraph" w:customStyle="1" w:styleId="315">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316">
    <w:name w:val="fout"/>
    <w:basedOn w:val="1"/>
    <w:qFormat/>
    <w:uiPriority w:val="0"/>
    <w:pPr>
      <w:spacing w:before="100" w:beforeAutospacing="1" w:after="100" w:afterAutospacing="1" w:line="270" w:lineRule="atLeast"/>
    </w:pPr>
    <w:rPr>
      <w:rFonts w:ascii="ˎ̥" w:hAnsi="ˎ̥"/>
      <w:spacing w:val="30"/>
      <w:sz w:val="18"/>
      <w:szCs w:val="20"/>
    </w:rPr>
  </w:style>
  <w:style w:type="paragraph" w:customStyle="1" w:styleId="317">
    <w:name w:val="正文 New New New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318">
    <w:name w:val="无间隔1"/>
    <w:qFormat/>
    <w:uiPriority w:val="0"/>
    <w:pPr>
      <w:spacing w:after="200" w:line="276" w:lineRule="auto"/>
    </w:pPr>
    <w:rPr>
      <w:rFonts w:ascii="Calibri" w:hAnsi="Calibri" w:eastAsia="宋体" w:cs="Times New Roman"/>
      <w:sz w:val="22"/>
      <w:lang w:val="en-US" w:eastAsia="zh-CN" w:bidi="ar-SA"/>
    </w:rPr>
  </w:style>
  <w:style w:type="paragraph" w:customStyle="1" w:styleId="319">
    <w:name w:val="编号1"/>
    <w:basedOn w:val="1"/>
    <w:qFormat/>
    <w:uiPriority w:val="0"/>
    <w:pPr>
      <w:spacing w:line="360" w:lineRule="auto"/>
    </w:pPr>
    <w:rPr>
      <w:rFonts w:ascii="Arial" w:hAnsi="Arial"/>
      <w:sz w:val="24"/>
      <w:szCs w:val="20"/>
    </w:rPr>
  </w:style>
  <w:style w:type="paragraph" w:customStyle="1" w:styleId="320">
    <w:name w:val="列出段落4"/>
    <w:basedOn w:val="1"/>
    <w:qFormat/>
    <w:uiPriority w:val="0"/>
    <w:pPr>
      <w:ind w:firstLine="200" w:firstLineChars="200"/>
    </w:pPr>
    <w:rPr>
      <w:rFonts w:ascii="Times New Roman" w:hAnsi="Times New Roman"/>
      <w:szCs w:val="20"/>
    </w:rPr>
  </w:style>
  <w:style w:type="paragraph" w:customStyle="1" w:styleId="321">
    <w:name w:val="五级无标题条"/>
    <w:basedOn w:val="1"/>
    <w:qFormat/>
    <w:uiPriority w:val="0"/>
    <w:pPr>
      <w:ind w:left="2940" w:hanging="420"/>
    </w:pPr>
    <w:rPr>
      <w:rFonts w:ascii="Times New Roman" w:hAnsi="Times New Roman"/>
      <w:szCs w:val="24"/>
    </w:rPr>
  </w:style>
  <w:style w:type="paragraph" w:customStyle="1" w:styleId="322">
    <w:name w:val="样式 正文缩进 + 首行缩进:  2 字符 Char Char Char Char Char"/>
    <w:basedOn w:val="18"/>
    <w:qFormat/>
    <w:uiPriority w:val="0"/>
    <w:pPr>
      <w:spacing w:line="360" w:lineRule="auto"/>
    </w:pPr>
    <w:rPr>
      <w:sz w:val="24"/>
      <w:szCs w:val="20"/>
    </w:rPr>
  </w:style>
  <w:style w:type="paragraph" w:customStyle="1" w:styleId="323">
    <w:name w:val="默认段落字体 Para Char Char Char Char Char Char Char Char Char1 Char Char Char Char Char Char Char Char Char"/>
    <w:basedOn w:val="21"/>
    <w:qFormat/>
    <w:uiPriority w:val="0"/>
    <w:pPr>
      <w:ind w:firstLine="225" w:firstLineChars="225"/>
    </w:pPr>
    <w:rPr>
      <w:rFonts w:ascii="Tahoma" w:hAnsi="Tahoma"/>
      <w:kern w:val="2"/>
      <w:sz w:val="24"/>
      <w:szCs w:val="20"/>
    </w:rPr>
  </w:style>
  <w:style w:type="paragraph" w:customStyle="1" w:styleId="324">
    <w:name w:val="一般文字"/>
    <w:basedOn w:val="1"/>
    <w:next w:val="1"/>
    <w:qFormat/>
    <w:uiPriority w:val="0"/>
    <w:pPr>
      <w:autoSpaceDE w:val="0"/>
      <w:autoSpaceDN w:val="0"/>
      <w:adjustRightInd w:val="0"/>
    </w:pPr>
    <w:rPr>
      <w:rFonts w:ascii="Arial" w:hAnsi="Arial"/>
      <w:sz w:val="20"/>
      <w:szCs w:val="20"/>
    </w:rPr>
  </w:style>
  <w:style w:type="paragraph" w:customStyle="1" w:styleId="325">
    <w:name w:val="Char1 Char Char Char Char Char Char1"/>
    <w:basedOn w:val="1"/>
    <w:qFormat/>
    <w:uiPriority w:val="0"/>
    <w:rPr>
      <w:rFonts w:ascii="Times New Roman" w:hAnsi="Times New Roman"/>
      <w:sz w:val="24"/>
      <w:szCs w:val="24"/>
    </w:rPr>
  </w:style>
  <w:style w:type="paragraph" w:customStyle="1" w:styleId="326">
    <w:name w:val="_Style 325"/>
    <w:qFormat/>
    <w:uiPriority w:val="0"/>
    <w:rPr>
      <w:rFonts w:ascii="Calibri" w:hAnsi="Calibri" w:eastAsia="宋体" w:cs="Times New Roman"/>
      <w:kern w:val="2"/>
      <w:sz w:val="21"/>
      <w:szCs w:val="24"/>
      <w:lang w:val="en-US" w:eastAsia="zh-CN" w:bidi="ar-SA"/>
    </w:rPr>
  </w:style>
  <w:style w:type="paragraph" w:customStyle="1" w:styleId="327">
    <w:name w:val="样式 标题 3 + (西文) Arial (中文) 黑体 四号 非加粗"/>
    <w:basedOn w:val="7"/>
    <w:qFormat/>
    <w:uiPriority w:val="0"/>
    <w:pPr>
      <w:spacing w:before="0" w:after="0" w:line="360" w:lineRule="auto"/>
      <w:ind w:firstLine="0" w:firstLineChars="0"/>
    </w:pPr>
    <w:rPr>
      <w:bCs w:val="0"/>
      <w:color w:val="4F81BD"/>
      <w:sz w:val="21"/>
      <w:szCs w:val="20"/>
    </w:rPr>
  </w:style>
  <w:style w:type="paragraph" w:customStyle="1" w:styleId="328">
    <w:name w:val="正文缩进2"/>
    <w:basedOn w:val="1"/>
    <w:qFormat/>
    <w:uiPriority w:val="0"/>
    <w:pPr>
      <w:ind w:firstLine="200" w:firstLineChars="200"/>
    </w:pPr>
    <w:rPr>
      <w:sz w:val="30"/>
      <w:szCs w:val="24"/>
    </w:rPr>
  </w:style>
  <w:style w:type="paragraph" w:customStyle="1" w:styleId="329">
    <w:name w:val="附图居中"/>
    <w:basedOn w:val="1"/>
    <w:next w:val="330"/>
    <w:qFormat/>
    <w:uiPriority w:val="0"/>
    <w:pPr>
      <w:spacing w:after="50" w:afterLines="50" w:line="360" w:lineRule="auto"/>
      <w:jc w:val="center"/>
    </w:pPr>
    <w:rPr>
      <w:rFonts w:ascii="宋体"/>
      <w:szCs w:val="20"/>
    </w:rPr>
  </w:style>
  <w:style w:type="paragraph" w:customStyle="1" w:styleId="330">
    <w:name w:val="附图图题"/>
    <w:basedOn w:val="1"/>
    <w:next w:val="18"/>
    <w:qFormat/>
    <w:uiPriority w:val="0"/>
    <w:pPr>
      <w:spacing w:after="50" w:afterLines="50" w:line="360" w:lineRule="auto"/>
      <w:ind w:left="200" w:hanging="200" w:hangingChars="200"/>
      <w:jc w:val="center"/>
    </w:pPr>
    <w:rPr>
      <w:rFonts w:ascii="Arial" w:hAnsi="Arial" w:eastAsia="黑体"/>
      <w:sz w:val="18"/>
      <w:szCs w:val="20"/>
    </w:rPr>
  </w:style>
  <w:style w:type="paragraph" w:customStyle="1" w:styleId="331">
    <w:name w:val="无间隔111"/>
    <w:qFormat/>
    <w:uiPriority w:val="0"/>
    <w:pPr>
      <w:spacing w:after="200" w:line="276" w:lineRule="auto"/>
    </w:pPr>
    <w:rPr>
      <w:rFonts w:ascii="Calibri" w:hAnsi="Calibri" w:eastAsia="宋体" w:cs="Times New Roman"/>
      <w:sz w:val="22"/>
      <w:lang w:val="en-US" w:eastAsia="zh-CN" w:bidi="ar-SA"/>
    </w:rPr>
  </w:style>
  <w:style w:type="paragraph" w:customStyle="1" w:styleId="332">
    <w:name w:val="Char3"/>
    <w:basedOn w:val="1"/>
    <w:qFormat/>
    <w:uiPriority w:val="0"/>
    <w:pPr>
      <w:tabs>
        <w:tab w:val="left" w:pos="425"/>
      </w:tabs>
      <w:ind w:left="425" w:hanging="425"/>
    </w:pPr>
    <w:rPr>
      <w:rFonts w:ascii="Times New Roman" w:hAnsi="Times New Roman"/>
      <w:sz w:val="24"/>
      <w:szCs w:val="20"/>
    </w:rPr>
  </w:style>
  <w:style w:type="paragraph" w:customStyle="1" w:styleId="333">
    <w:name w:val="Char4"/>
    <w:basedOn w:val="1"/>
    <w:qFormat/>
    <w:uiPriority w:val="0"/>
    <w:pPr>
      <w:widowControl/>
      <w:spacing w:after="160" w:line="240" w:lineRule="exact"/>
      <w:jc w:val="left"/>
    </w:pPr>
    <w:rPr>
      <w:sz w:val="30"/>
      <w:szCs w:val="24"/>
    </w:rPr>
  </w:style>
  <w:style w:type="paragraph" w:customStyle="1" w:styleId="334">
    <w:name w:val="af0"/>
    <w:basedOn w:val="1"/>
    <w:qFormat/>
    <w:uiPriority w:val="0"/>
    <w:pPr>
      <w:spacing w:before="100" w:beforeAutospacing="1" w:after="100" w:afterAutospacing="1" w:line="256" w:lineRule="atLeast"/>
    </w:pPr>
    <w:rPr>
      <w:rFonts w:ascii="宋体"/>
      <w:sz w:val="19"/>
      <w:szCs w:val="20"/>
    </w:rPr>
  </w:style>
  <w:style w:type="paragraph" w:customStyle="1" w:styleId="33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b/>
      <w:kern w:val="0"/>
      <w:sz w:val="22"/>
      <w:szCs w:val="20"/>
    </w:rPr>
  </w:style>
  <w:style w:type="paragraph" w:customStyle="1" w:styleId="336">
    <w:name w:val="正文样式"/>
    <w:basedOn w:val="1"/>
    <w:qFormat/>
    <w:uiPriority w:val="0"/>
    <w:pPr>
      <w:tabs>
        <w:tab w:val="left" w:pos="1560"/>
      </w:tabs>
      <w:spacing w:before="163" w:after="163" w:line="300" w:lineRule="auto"/>
      <w:ind w:left="1560" w:hanging="360"/>
    </w:pPr>
    <w:rPr>
      <w:rFonts w:ascii="宋体"/>
      <w:sz w:val="24"/>
      <w:szCs w:val="20"/>
    </w:rPr>
  </w:style>
  <w:style w:type="paragraph" w:customStyle="1" w:styleId="337">
    <w:name w:val="正文 A"/>
    <w:qFormat/>
    <w:uiPriority w:val="0"/>
    <w:pPr>
      <w:widowControl w:val="0"/>
      <w:jc w:val="both"/>
    </w:pPr>
    <w:rPr>
      <w:rFonts w:ascii="Calibri" w:hAnsi="Calibri" w:eastAsia="Arial Unicode MS" w:cs="Arial Unicode MS"/>
      <w:color w:val="000000"/>
      <w:kern w:val="2"/>
      <w:sz w:val="21"/>
      <w:szCs w:val="21"/>
      <w:u w:color="000000"/>
      <w:lang w:val="en-US" w:eastAsia="zh-CN" w:bidi="ar-SA"/>
    </w:rPr>
  </w:style>
  <w:style w:type="paragraph" w:customStyle="1" w:styleId="338">
    <w:name w:val="_Style 41"/>
    <w:basedOn w:val="1"/>
    <w:qFormat/>
    <w:uiPriority w:val="0"/>
    <w:rPr>
      <w:rFonts w:ascii="宋体"/>
      <w:kern w:val="0"/>
      <w:szCs w:val="20"/>
    </w:rPr>
  </w:style>
  <w:style w:type="paragraph" w:customStyle="1" w:styleId="339">
    <w:name w:val="纯文本 New"/>
    <w:basedOn w:val="115"/>
    <w:qFormat/>
    <w:uiPriority w:val="0"/>
    <w:rPr>
      <w:rFonts w:ascii="宋体"/>
      <w:sz w:val="24"/>
      <w:szCs w:val="20"/>
    </w:rPr>
  </w:style>
  <w:style w:type="paragraph" w:customStyle="1" w:styleId="34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341">
    <w:name w:val="样式 附图标题 + 段后: 1 行"/>
    <w:basedOn w:val="1"/>
    <w:qFormat/>
    <w:uiPriority w:val="0"/>
    <w:pPr>
      <w:keepNext/>
      <w:tabs>
        <w:tab w:val="left" w:pos="720"/>
      </w:tabs>
      <w:spacing w:after="240"/>
      <w:jc w:val="center"/>
    </w:pPr>
    <w:rPr>
      <w:rFonts w:ascii="Arial" w:hAnsi="Arial" w:eastAsia="黑体"/>
      <w:b/>
      <w:sz w:val="18"/>
      <w:szCs w:val="20"/>
    </w:rPr>
  </w:style>
  <w:style w:type="paragraph" w:customStyle="1" w:styleId="342">
    <w:name w:val="WW-普通文字 Char Char"/>
    <w:basedOn w:val="1"/>
    <w:qFormat/>
    <w:uiPriority w:val="0"/>
    <w:pPr>
      <w:suppressAutoHyphens/>
    </w:pPr>
    <w:rPr>
      <w:rFonts w:ascii="宋体"/>
      <w:szCs w:val="20"/>
      <w:lang w:eastAsia="ar-SA"/>
    </w:rPr>
  </w:style>
  <w:style w:type="paragraph" w:customStyle="1" w:styleId="343">
    <w:name w:val="正文 New New New New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344">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345">
    <w:name w:val="Response italic"/>
    <w:basedOn w:val="314"/>
    <w:qFormat/>
    <w:uiPriority w:val="0"/>
    <w:rPr>
      <w:rFonts w:eastAsia="Times New Roman"/>
      <w:i/>
    </w:rPr>
  </w:style>
  <w:style w:type="paragraph" w:customStyle="1" w:styleId="346">
    <w:name w:val="标句4"/>
    <w:basedOn w:val="1"/>
    <w:qFormat/>
    <w:uiPriority w:val="0"/>
    <w:pPr>
      <w:snapToGrid w:val="0"/>
      <w:spacing w:before="120" w:line="500" w:lineRule="atLeast"/>
      <w:ind w:left="851" w:hanging="284"/>
    </w:pPr>
    <w:rPr>
      <w:rFonts w:ascii="宋体"/>
      <w:b/>
      <w:kern w:val="52"/>
      <w:sz w:val="27"/>
      <w:szCs w:val="20"/>
    </w:rPr>
  </w:style>
  <w:style w:type="paragraph" w:customStyle="1" w:styleId="347">
    <w:name w:val="正文 New New New New New New New New New New New New New New New New New New New New New New"/>
    <w:qFormat/>
    <w:uiPriority w:val="0"/>
    <w:pPr>
      <w:widowControl w:val="0"/>
      <w:jc w:val="both"/>
    </w:pPr>
    <w:rPr>
      <w:rFonts w:ascii="Calibri" w:hAnsi="Calibri" w:eastAsia="宋体" w:cs="Times New Roman"/>
      <w:kern w:val="2"/>
      <w:sz w:val="30"/>
      <w:szCs w:val="24"/>
      <w:lang w:val="en-US" w:eastAsia="zh-CN" w:bidi="ar-SA"/>
    </w:rPr>
  </w:style>
  <w:style w:type="paragraph" w:customStyle="1" w:styleId="348">
    <w:name w:val="正文 New New New New"/>
    <w:qFormat/>
    <w:uiPriority w:val="0"/>
    <w:pPr>
      <w:widowControl w:val="0"/>
      <w:jc w:val="both"/>
    </w:pPr>
    <w:rPr>
      <w:rFonts w:ascii="Calibri" w:hAnsi="Calibri" w:eastAsia="楷体_GB2312" w:cs="Times New Roman"/>
      <w:kern w:val="2"/>
      <w:sz w:val="21"/>
      <w:lang w:val="en-US" w:eastAsia="zh-CN" w:bidi="ar-SA"/>
    </w:rPr>
  </w:style>
  <w:style w:type="paragraph" w:customStyle="1" w:styleId="349">
    <w:name w:val="默认段落字体 Para Char Char Char Char"/>
    <w:basedOn w:val="348"/>
    <w:qFormat/>
    <w:uiPriority w:val="0"/>
    <w:rPr>
      <w:rFonts w:eastAsia="宋体"/>
    </w:rPr>
  </w:style>
  <w:style w:type="paragraph" w:customStyle="1" w:styleId="350">
    <w:name w:val="修订11"/>
    <w:qFormat/>
    <w:uiPriority w:val="0"/>
    <w:rPr>
      <w:rFonts w:ascii="Calibri" w:hAnsi="Calibri" w:eastAsia="宋体" w:cs="Times New Roman"/>
      <w:kern w:val="2"/>
      <w:sz w:val="21"/>
      <w:szCs w:val="24"/>
      <w:lang w:val="en-US" w:eastAsia="zh-CN" w:bidi="ar-SA"/>
    </w:rPr>
  </w:style>
  <w:style w:type="paragraph" w:customStyle="1" w:styleId="351">
    <w:name w:val="章节三"/>
    <w:basedOn w:val="74"/>
    <w:next w:val="74"/>
    <w:qFormat/>
    <w:uiPriority w:val="0"/>
    <w:pPr>
      <w:spacing w:before="50" w:beforeLines="50" w:after="50" w:afterLines="50" w:line="240" w:lineRule="auto"/>
      <w:ind w:firstLine="0" w:firstLineChars="0"/>
      <w:jc w:val="left"/>
      <w:outlineLvl w:val="2"/>
    </w:pPr>
    <w:rPr>
      <w:rFonts w:ascii="黑体" w:eastAsia="黑体"/>
      <w:b/>
    </w:rPr>
  </w:style>
  <w:style w:type="paragraph" w:customStyle="1" w:styleId="352">
    <w:name w:val="p15"/>
    <w:basedOn w:val="1"/>
    <w:qFormat/>
    <w:uiPriority w:val="0"/>
    <w:pPr>
      <w:widowControl/>
    </w:pPr>
    <w:rPr>
      <w:rFonts w:ascii="宋体" w:cs="宋体"/>
      <w:kern w:val="0"/>
      <w:szCs w:val="21"/>
    </w:rPr>
  </w:style>
  <w:style w:type="paragraph" w:customStyle="1" w:styleId="353">
    <w:name w:val="xl67"/>
    <w:basedOn w:val="1"/>
    <w:qFormat/>
    <w:uiPriority w:val="0"/>
    <w:pPr>
      <w:widowControl/>
      <w:spacing w:before="100" w:beforeAutospacing="1" w:after="100" w:afterAutospacing="1"/>
      <w:jc w:val="center"/>
      <w:textAlignment w:val="center"/>
    </w:pPr>
    <w:rPr>
      <w:rFonts w:ascii="宋体" w:cs="宋体"/>
      <w:kern w:val="0"/>
      <w:sz w:val="20"/>
      <w:szCs w:val="20"/>
    </w:rPr>
  </w:style>
  <w:style w:type="paragraph" w:customStyle="1" w:styleId="354">
    <w:name w:val="图表标题"/>
    <w:basedOn w:val="1"/>
    <w:next w:val="1"/>
    <w:qFormat/>
    <w:uiPriority w:val="0"/>
    <w:pPr>
      <w:spacing w:before="120"/>
      <w:jc w:val="center"/>
      <w:textAlignment w:val="baseline"/>
    </w:pPr>
    <w:rPr>
      <w:rFonts w:ascii="Arial" w:hAnsi="Arial" w:eastAsia="黑体"/>
      <w:szCs w:val="20"/>
    </w:rPr>
  </w:style>
  <w:style w:type="paragraph" w:customStyle="1" w:styleId="355">
    <w:name w:val="封三"/>
    <w:basedOn w:val="74"/>
    <w:next w:val="74"/>
    <w:qFormat/>
    <w:uiPriority w:val="0"/>
    <w:pPr>
      <w:ind w:firstLine="0" w:firstLineChars="0"/>
      <w:jc w:val="center"/>
    </w:pPr>
    <w:rPr>
      <w:sz w:val="30"/>
    </w:rPr>
  </w:style>
  <w:style w:type="paragraph" w:customStyle="1" w:styleId="356">
    <w:name w:val="正文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57">
    <w:name w:val="条文"/>
    <w:basedOn w:val="1"/>
    <w:qFormat/>
    <w:uiPriority w:val="0"/>
    <w:pPr>
      <w:spacing w:line="240" w:lineRule="atLeast"/>
    </w:pPr>
    <w:rPr>
      <w:rFonts w:ascii="Times New Roman" w:hAnsi="Times New Roman"/>
      <w:sz w:val="24"/>
      <w:szCs w:val="20"/>
    </w:rPr>
  </w:style>
  <w:style w:type="paragraph" w:customStyle="1" w:styleId="358">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kern w:val="0"/>
      <w:sz w:val="22"/>
      <w:szCs w:val="20"/>
    </w:rPr>
  </w:style>
  <w:style w:type="paragraph" w:customStyle="1" w:styleId="359">
    <w:name w:val="五号正文（标准）"/>
    <w:basedOn w:val="1"/>
    <w:qFormat/>
    <w:uiPriority w:val="0"/>
    <w:pPr>
      <w:spacing w:line="560" w:lineRule="exact"/>
      <w:ind w:firstLine="200" w:firstLineChars="200"/>
    </w:pPr>
    <w:rPr>
      <w:rFonts w:ascii="宋体"/>
      <w:sz w:val="28"/>
      <w:szCs w:val="20"/>
    </w:rPr>
  </w:style>
  <w:style w:type="paragraph" w:customStyle="1" w:styleId="360">
    <w:name w:val="Char1 Char Char Char Char Char Char11"/>
    <w:basedOn w:val="1"/>
    <w:qFormat/>
    <w:uiPriority w:val="0"/>
    <w:rPr>
      <w:sz w:val="24"/>
      <w:szCs w:val="24"/>
    </w:rPr>
  </w:style>
  <w:style w:type="paragraph" w:customStyle="1" w:styleId="361">
    <w:name w:val="1正文 Char1"/>
    <w:basedOn w:val="1"/>
    <w:qFormat/>
    <w:uiPriority w:val="0"/>
    <w:pPr>
      <w:widowControl/>
      <w:adjustRightInd w:val="0"/>
      <w:snapToGrid w:val="0"/>
      <w:spacing w:line="440" w:lineRule="exact"/>
    </w:pPr>
    <w:rPr>
      <w:rFonts w:ascii="宋体"/>
      <w:sz w:val="24"/>
      <w:szCs w:val="20"/>
    </w:rPr>
  </w:style>
  <w:style w:type="paragraph" w:customStyle="1" w:styleId="362">
    <w:name w:val="Sub Paragraph Type"/>
    <w:basedOn w:val="1"/>
    <w:qFormat/>
    <w:uiPriority w:val="0"/>
    <w:pPr>
      <w:tabs>
        <w:tab w:val="left" w:pos="360"/>
      </w:tabs>
      <w:spacing w:line="240" w:lineRule="exact"/>
    </w:pPr>
    <w:rPr>
      <w:rFonts w:ascii="Beijing" w:hAnsi="Beijing" w:eastAsia="Times New Roman"/>
      <w:sz w:val="18"/>
      <w:szCs w:val="20"/>
    </w:rPr>
  </w:style>
  <w:style w:type="paragraph" w:customStyle="1" w:styleId="363">
    <w:name w:val="Char Char Char Char Char Char Char Char1 Char2"/>
    <w:basedOn w:val="1"/>
    <w:qFormat/>
    <w:uiPriority w:val="0"/>
    <w:rPr>
      <w:rFonts w:ascii="Times New Roman" w:hAnsi="Times New Roman"/>
      <w:szCs w:val="20"/>
    </w:rPr>
  </w:style>
  <w:style w:type="paragraph" w:customStyle="1" w:styleId="364">
    <w:name w:val="2nd Subhead"/>
    <w:basedOn w:val="1"/>
    <w:qFormat/>
    <w:uiPriority w:val="0"/>
    <w:pPr>
      <w:spacing w:after="29"/>
    </w:pPr>
    <w:rPr>
      <w:rFonts w:ascii="Beijing" w:hAnsi="Beijing" w:eastAsia="Times New Roman"/>
      <w:sz w:val="16"/>
      <w:szCs w:val="20"/>
    </w:rPr>
  </w:style>
  <w:style w:type="paragraph" w:customStyle="1" w:styleId="365">
    <w:name w:val="签名 - 公司"/>
    <w:basedOn w:val="40"/>
    <w:next w:val="241"/>
    <w:qFormat/>
    <w:uiPriority w:val="0"/>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366">
    <w:name w:val="日期1"/>
    <w:basedOn w:val="1"/>
    <w:next w:val="1"/>
    <w:qFormat/>
    <w:uiPriority w:val="0"/>
    <w:pPr>
      <w:adjustRightInd w:val="0"/>
      <w:spacing w:before="100" w:after="100" w:line="360" w:lineRule="auto"/>
      <w:ind w:firstLine="425"/>
      <w:textAlignment w:val="baseline"/>
    </w:pPr>
    <w:rPr>
      <w:rFonts w:ascii="宋体"/>
      <w:spacing w:val="2"/>
      <w:sz w:val="24"/>
      <w:szCs w:val="20"/>
    </w:rPr>
  </w:style>
  <w:style w:type="paragraph" w:customStyle="1" w:styleId="367">
    <w:name w:val="font7"/>
    <w:basedOn w:val="1"/>
    <w:qFormat/>
    <w:uiPriority w:val="0"/>
    <w:pPr>
      <w:widowControl/>
      <w:spacing w:before="100" w:beforeAutospacing="1" w:after="100" w:afterAutospacing="1"/>
      <w:jc w:val="left"/>
    </w:pPr>
    <w:rPr>
      <w:rFonts w:ascii="Times New Roman" w:hAnsi="Times New Roman"/>
      <w:kern w:val="0"/>
      <w:sz w:val="22"/>
      <w:szCs w:val="20"/>
    </w:rPr>
  </w:style>
  <w:style w:type="paragraph" w:customStyle="1" w:styleId="368">
    <w:name w:val="正文1"/>
    <w:basedOn w:val="1"/>
    <w:qFormat/>
    <w:uiPriority w:val="0"/>
    <w:pPr>
      <w:tabs>
        <w:tab w:val="left" w:pos="4320"/>
        <w:tab w:val="left" w:pos="4680"/>
        <w:tab w:val="left" w:pos="5040"/>
        <w:tab w:val="left" w:pos="5400"/>
        <w:tab w:val="right" w:pos="10080"/>
      </w:tabs>
      <w:snapToGrid w:val="0"/>
      <w:spacing w:line="360" w:lineRule="auto"/>
    </w:pPr>
    <w:rPr>
      <w:rFonts w:ascii="宋体"/>
      <w:b/>
      <w:sz w:val="24"/>
      <w:szCs w:val="20"/>
    </w:rPr>
  </w:style>
  <w:style w:type="paragraph" w:customStyle="1" w:styleId="369">
    <w:name w:val="正文缩进11"/>
    <w:basedOn w:val="1"/>
    <w:qFormat/>
    <w:uiPriority w:val="0"/>
    <w:pPr>
      <w:ind w:firstLine="567"/>
    </w:pPr>
    <w:rPr>
      <w:spacing w:val="20"/>
      <w:sz w:val="24"/>
      <w:szCs w:val="20"/>
    </w:rPr>
  </w:style>
  <w:style w:type="paragraph" w:customStyle="1" w:styleId="370">
    <w:name w:val="Figure"/>
    <w:basedOn w:val="1"/>
    <w:next w:val="230"/>
    <w:qFormat/>
    <w:uiPriority w:val="0"/>
    <w:pPr>
      <w:keepNext/>
      <w:snapToGrid w:val="0"/>
      <w:spacing w:before="80" w:after="80" w:line="300" w:lineRule="auto"/>
      <w:ind w:left="1701"/>
      <w:jc w:val="center"/>
    </w:pPr>
    <w:rPr>
      <w:rFonts w:ascii="Arial" w:hAnsi="Arial"/>
      <w:szCs w:val="20"/>
    </w:rPr>
  </w:style>
  <w:style w:type="paragraph" w:customStyle="1" w:styleId="371">
    <w:name w:val="修订1"/>
    <w:qFormat/>
    <w:uiPriority w:val="0"/>
    <w:rPr>
      <w:rFonts w:ascii="Calibri" w:hAnsi="Calibri" w:eastAsia="宋体" w:cs="Times New Roman"/>
      <w:kern w:val="2"/>
      <w:sz w:val="21"/>
      <w:szCs w:val="24"/>
      <w:lang w:val="en-US" w:eastAsia="zh-CN" w:bidi="ar-SA"/>
    </w:rPr>
  </w:style>
  <w:style w:type="paragraph" w:customStyle="1" w:styleId="372">
    <w:name w:val="正文2"/>
    <w:qFormat/>
    <w:uiPriority w:val="0"/>
    <w:pPr>
      <w:widowControl w:val="0"/>
      <w:adjustRightInd w:val="0"/>
      <w:spacing w:after="200" w:line="360" w:lineRule="atLeast"/>
      <w:textAlignment w:val="baseline"/>
    </w:pPr>
    <w:rPr>
      <w:rFonts w:ascii="宋体" w:hAnsi="Times New Roman" w:eastAsia="宋体" w:cs="Times New Roman"/>
      <w:sz w:val="24"/>
      <w:lang w:val="en-US" w:eastAsia="zh-CN" w:bidi="ar-SA"/>
    </w:rPr>
  </w:style>
  <w:style w:type="paragraph" w:customStyle="1" w:styleId="37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0"/>
    </w:rPr>
  </w:style>
  <w:style w:type="paragraph" w:customStyle="1" w:styleId="374">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375">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rPr>
  </w:style>
  <w:style w:type="paragraph" w:customStyle="1" w:styleId="37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4"/>
      <w:szCs w:val="20"/>
    </w:rPr>
  </w:style>
  <w:style w:type="paragraph" w:customStyle="1" w:styleId="377">
    <w:name w:val="contents"/>
    <w:basedOn w:val="1"/>
    <w:next w:val="18"/>
    <w:qFormat/>
    <w:uiPriority w:val="0"/>
    <w:pPr>
      <w:ind w:firstLine="200" w:firstLineChars="200"/>
    </w:pPr>
    <w:rPr>
      <w:rFonts w:ascii="Times New Roman" w:hAnsi="Times New Roman"/>
      <w:szCs w:val="20"/>
    </w:rPr>
  </w:style>
  <w:style w:type="paragraph" w:customStyle="1" w:styleId="378">
    <w:name w:val="7"/>
    <w:basedOn w:val="1"/>
    <w:next w:val="52"/>
    <w:qFormat/>
    <w:uiPriority w:val="0"/>
    <w:pPr>
      <w:spacing w:before="120" w:after="120" w:line="480" w:lineRule="auto"/>
      <w:ind w:firstLine="454"/>
    </w:pPr>
    <w:rPr>
      <w:rFonts w:ascii="Times New Roman" w:hAnsi="Times New Roman"/>
      <w:szCs w:val="20"/>
    </w:rPr>
  </w:style>
  <w:style w:type="paragraph" w:customStyle="1" w:styleId="37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380">
    <w:name w:val="Default Text"/>
    <w:basedOn w:val="1"/>
    <w:qFormat/>
    <w:uiPriority w:val="0"/>
    <w:pPr>
      <w:spacing w:line="360" w:lineRule="auto"/>
    </w:pPr>
    <w:rPr>
      <w:rFonts w:ascii="Times New Roman" w:hAnsi="Times New Roman"/>
      <w:snapToGrid w:val="0"/>
      <w:sz w:val="24"/>
      <w:szCs w:val="20"/>
      <w:lang w:val="en-GB" w:eastAsia="en-GB"/>
    </w:rPr>
  </w:style>
  <w:style w:type="paragraph" w:customStyle="1" w:styleId="381">
    <w:name w:val="普通(网站)1"/>
    <w:basedOn w:val="1"/>
    <w:qFormat/>
    <w:uiPriority w:val="0"/>
    <w:pPr>
      <w:widowControl/>
      <w:spacing w:line="500" w:lineRule="exact"/>
      <w:ind w:firstLine="510"/>
    </w:pPr>
    <w:rPr>
      <w:rFonts w:ascii="仿宋_GB2312" w:eastAsia="仿宋_GB2312"/>
      <w:color w:val="000000"/>
      <w:spacing w:val="-10"/>
      <w:kern w:val="0"/>
      <w:szCs w:val="20"/>
    </w:rPr>
  </w:style>
  <w:style w:type="paragraph" w:customStyle="1" w:styleId="382">
    <w:name w:val="正文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383">
    <w:name w:val="文档结构图11"/>
    <w:basedOn w:val="1"/>
    <w:qFormat/>
    <w:uiPriority w:val="0"/>
    <w:pPr>
      <w:shd w:val="clear" w:color="auto" w:fill="000080"/>
    </w:pPr>
    <w:rPr>
      <w:sz w:val="30"/>
      <w:szCs w:val="24"/>
    </w:rPr>
  </w:style>
  <w:style w:type="paragraph" w:customStyle="1" w:styleId="384">
    <w:name w:val="标句6"/>
    <w:basedOn w:val="1"/>
    <w:qFormat/>
    <w:uiPriority w:val="0"/>
    <w:pPr>
      <w:snapToGrid w:val="0"/>
      <w:spacing w:line="500" w:lineRule="atLeast"/>
      <w:ind w:left="1418" w:hanging="284"/>
      <w:jc w:val="center"/>
    </w:pPr>
    <w:rPr>
      <w:rFonts w:ascii="宋体"/>
      <w:kern w:val="52"/>
      <w:sz w:val="27"/>
      <w:szCs w:val="20"/>
    </w:rPr>
  </w:style>
  <w:style w:type="paragraph" w:customStyle="1" w:styleId="385">
    <w:name w:val="正文文本缩进3"/>
    <w:basedOn w:val="1"/>
    <w:qFormat/>
    <w:uiPriority w:val="0"/>
    <w:pPr>
      <w:ind w:firstLine="480"/>
    </w:pPr>
    <w:rPr>
      <w:sz w:val="24"/>
      <w:szCs w:val="20"/>
    </w:rPr>
  </w:style>
  <w:style w:type="paragraph" w:customStyle="1" w:styleId="386">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kern w:val="0"/>
      <w:szCs w:val="20"/>
    </w:rPr>
  </w:style>
  <w:style w:type="paragraph" w:customStyle="1" w:styleId="387">
    <w:name w:val="列出段落3"/>
    <w:basedOn w:val="1"/>
    <w:qFormat/>
    <w:uiPriority w:val="0"/>
    <w:pPr>
      <w:widowControl/>
      <w:spacing w:after="200" w:line="276" w:lineRule="auto"/>
      <w:ind w:left="720"/>
      <w:jc w:val="left"/>
    </w:pPr>
    <w:rPr>
      <w:kern w:val="0"/>
      <w:sz w:val="22"/>
    </w:rPr>
  </w:style>
  <w:style w:type="paragraph" w:customStyle="1" w:styleId="388">
    <w:name w:val="正文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89">
    <w:name w:val="标题5"/>
    <w:basedOn w:val="1"/>
    <w:qFormat/>
    <w:uiPriority w:val="0"/>
    <w:pPr>
      <w:spacing w:before="120" w:after="120"/>
    </w:pPr>
    <w:rPr>
      <w:rFonts w:ascii="宋体"/>
      <w:b/>
      <w:sz w:val="28"/>
      <w:szCs w:val="20"/>
    </w:rPr>
  </w:style>
  <w:style w:type="paragraph" w:customStyle="1" w:styleId="390">
    <w:name w:val="Char Char Char Char"/>
    <w:basedOn w:val="1"/>
    <w:qFormat/>
    <w:uiPriority w:val="0"/>
    <w:rPr>
      <w:rFonts w:ascii="Times New Roman" w:hAnsi="Times New Roman"/>
      <w:szCs w:val="24"/>
    </w:rPr>
  </w:style>
  <w:style w:type="paragraph" w:customStyle="1" w:styleId="391">
    <w:name w:val="样式6"/>
    <w:basedOn w:val="5"/>
    <w:qFormat/>
    <w:uiPriority w:val="0"/>
    <w:pPr>
      <w:spacing w:before="260" w:after="200" w:line="360" w:lineRule="auto"/>
    </w:pPr>
    <w:rPr>
      <w:bCs w:val="0"/>
      <w:color w:val="000000"/>
      <w:kern w:val="2"/>
      <w:sz w:val="24"/>
      <w:szCs w:val="20"/>
    </w:rPr>
  </w:style>
  <w:style w:type="paragraph" w:customStyle="1" w:styleId="392">
    <w:name w:val="样式 宋体 行距: 1.5 倍行距"/>
    <w:basedOn w:val="1"/>
    <w:qFormat/>
    <w:uiPriority w:val="0"/>
    <w:pPr>
      <w:jc w:val="center"/>
    </w:pPr>
    <w:rPr>
      <w:b/>
    </w:rPr>
  </w:style>
  <w:style w:type="paragraph" w:customStyle="1" w:styleId="393">
    <w:name w:val="公文标题"/>
    <w:basedOn w:val="7"/>
    <w:qFormat/>
    <w:uiPriority w:val="0"/>
    <w:pPr>
      <w:spacing w:line="240" w:lineRule="auto"/>
      <w:ind w:left="1469" w:right="1542" w:firstLine="0" w:firstLineChars="0"/>
      <w:jc w:val="center"/>
    </w:pPr>
    <w:rPr>
      <w:rFonts w:ascii="Times New Roman" w:hAnsi="Times New Roman" w:eastAsia="宋体"/>
      <w:b/>
      <w:bCs w:val="0"/>
      <w:sz w:val="44"/>
      <w:szCs w:val="24"/>
    </w:rPr>
  </w:style>
  <w:style w:type="paragraph" w:customStyle="1" w:styleId="394">
    <w:name w:val="CM106"/>
    <w:qFormat/>
    <w:uiPriority w:val="0"/>
    <w:rPr>
      <w:rFonts w:ascii="Calibri" w:hAnsi="Calibri" w:eastAsia="宋体" w:cs="Times New Roman"/>
      <w:lang w:val="en-US" w:eastAsia="zh-CN" w:bidi="ar-SA"/>
    </w:rPr>
  </w:style>
  <w:style w:type="paragraph" w:customStyle="1" w:styleId="395">
    <w:name w:val="样式 标题 1 + 黑体 三号 非加粗 居中 段前: 6 磅 段后: 6 磅 行距: 固定值 20 磅"/>
    <w:basedOn w:val="5"/>
    <w:qFormat/>
    <w:uiPriority w:val="0"/>
    <w:pPr>
      <w:spacing w:before="120" w:after="120" w:line="400" w:lineRule="exact"/>
      <w:jc w:val="center"/>
    </w:pPr>
    <w:rPr>
      <w:rFonts w:ascii="黑体" w:eastAsia="黑体" w:cs="宋体"/>
      <w:b w:val="0"/>
      <w:bCs w:val="0"/>
      <w:sz w:val="32"/>
      <w:szCs w:val="20"/>
    </w:rPr>
  </w:style>
  <w:style w:type="paragraph" w:customStyle="1" w:styleId="396">
    <w:name w:val="页脚 New New New New New"/>
    <w:basedOn w:val="112"/>
    <w:qFormat/>
    <w:uiPriority w:val="0"/>
    <w:pPr>
      <w:tabs>
        <w:tab w:val="center" w:pos="4153"/>
        <w:tab w:val="right" w:pos="8306"/>
      </w:tabs>
      <w:snapToGrid w:val="0"/>
      <w:jc w:val="left"/>
    </w:pPr>
    <w:rPr>
      <w:sz w:val="18"/>
      <w:szCs w:val="18"/>
    </w:rPr>
  </w:style>
  <w:style w:type="paragraph" w:customStyle="1" w:styleId="397">
    <w:name w:val="需求书2"/>
    <w:basedOn w:val="1"/>
    <w:qFormat/>
    <w:uiPriority w:val="0"/>
    <w:pPr>
      <w:jc w:val="center"/>
    </w:pPr>
    <w:rPr>
      <w:rFonts w:ascii="宋体"/>
      <w:color w:val="FF0000"/>
      <w:sz w:val="20"/>
      <w:szCs w:val="20"/>
    </w:rPr>
  </w:style>
  <w:style w:type="paragraph" w:customStyle="1" w:styleId="398">
    <w:name w:val="msonormal"/>
    <w:basedOn w:val="1"/>
    <w:qFormat/>
    <w:uiPriority w:val="0"/>
    <w:pPr>
      <w:widowControl/>
      <w:spacing w:before="100" w:beforeAutospacing="1" w:after="100" w:afterAutospacing="1"/>
      <w:jc w:val="left"/>
    </w:pPr>
    <w:rPr>
      <w:rFonts w:ascii="宋体" w:cs="宋体"/>
      <w:kern w:val="0"/>
      <w:sz w:val="24"/>
      <w:szCs w:val="24"/>
    </w:rPr>
  </w:style>
  <w:style w:type="paragraph" w:customStyle="1" w:styleId="399">
    <w:name w:val="列出段落7"/>
    <w:basedOn w:val="1"/>
    <w:qFormat/>
    <w:uiPriority w:val="0"/>
    <w:pPr>
      <w:ind w:left="1521" w:firstLine="480"/>
    </w:pPr>
  </w:style>
  <w:style w:type="paragraph" w:customStyle="1" w:styleId="400">
    <w:name w:val="文提"/>
    <w:basedOn w:val="74"/>
    <w:qFormat/>
    <w:uiPriority w:val="0"/>
    <w:pPr>
      <w:ind w:firstLine="0" w:firstLineChars="0"/>
    </w:pPr>
    <w:rPr>
      <w:rFonts w:eastAsia="黑体" w:cs="宋体"/>
      <w:b/>
    </w:rPr>
  </w:style>
  <w:style w:type="paragraph" w:customStyle="1" w:styleId="401">
    <w:name w:val="Char5 Char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rPr>
  </w:style>
  <w:style w:type="paragraph" w:customStyle="1" w:styleId="402">
    <w:name w:val="正文文本 21"/>
    <w:basedOn w:val="1"/>
    <w:qFormat/>
    <w:uiPriority w:val="0"/>
    <w:pPr>
      <w:autoSpaceDE w:val="0"/>
      <w:autoSpaceDN w:val="0"/>
      <w:adjustRightInd w:val="0"/>
      <w:jc w:val="left"/>
    </w:pPr>
    <w:rPr>
      <w:rFonts w:ascii="宋体"/>
      <w:kern w:val="0"/>
      <w:sz w:val="22"/>
      <w:szCs w:val="20"/>
    </w:rPr>
  </w:style>
  <w:style w:type="paragraph" w:customStyle="1" w:styleId="403">
    <w:name w:val="四级无标题条"/>
    <w:basedOn w:val="1"/>
    <w:qFormat/>
    <w:uiPriority w:val="0"/>
    <w:pPr>
      <w:ind w:left="2520" w:hanging="420"/>
    </w:pPr>
    <w:rPr>
      <w:rFonts w:ascii="Times New Roman" w:hAnsi="Times New Roman"/>
      <w:szCs w:val="24"/>
    </w:rPr>
  </w:style>
  <w:style w:type="paragraph" w:customStyle="1" w:styleId="404">
    <w:name w:val="正文（2）"/>
    <w:qFormat/>
    <w:uiPriority w:val="0"/>
    <w:pPr>
      <w:spacing w:line="560" w:lineRule="exact"/>
      <w:ind w:firstLine="200" w:firstLineChars="200"/>
    </w:pPr>
    <w:rPr>
      <w:rFonts w:ascii="宋体" w:hAnsi="Times New Roman" w:eastAsia="宋体" w:cs="Times New Roman"/>
      <w:snapToGrid w:val="0"/>
      <w:spacing w:val="10"/>
      <w:sz w:val="24"/>
      <w:lang w:val="en-US" w:eastAsia="zh-CN" w:bidi="ar-SA"/>
    </w:rPr>
  </w:style>
  <w:style w:type="paragraph" w:customStyle="1" w:styleId="405">
    <w:name w:val="正文加点"/>
    <w:basedOn w:val="1"/>
    <w:next w:val="1"/>
    <w:qFormat/>
    <w:uiPriority w:val="0"/>
    <w:pPr>
      <w:tabs>
        <w:tab w:val="left" w:pos="780"/>
      </w:tabs>
      <w:spacing w:line="360" w:lineRule="auto"/>
      <w:ind w:firstLine="420"/>
    </w:pPr>
    <w:rPr>
      <w:rFonts w:ascii="Arial" w:hAnsi="Arial"/>
      <w:sz w:val="24"/>
      <w:szCs w:val="20"/>
    </w:rPr>
  </w:style>
  <w:style w:type="paragraph" w:customStyle="1" w:styleId="406">
    <w:name w:val="封二"/>
    <w:basedOn w:val="74"/>
    <w:next w:val="74"/>
    <w:qFormat/>
    <w:uiPriority w:val="0"/>
    <w:pPr>
      <w:ind w:firstLine="0" w:firstLineChars="0"/>
      <w:jc w:val="center"/>
    </w:pPr>
    <w:rPr>
      <w:rFonts w:eastAsia="黑体"/>
      <w:b/>
      <w:sz w:val="36"/>
      <w:szCs w:val="36"/>
    </w:rPr>
  </w:style>
  <w:style w:type="paragraph" w:customStyle="1" w:styleId="407">
    <w:name w:val="Paragraph Text"/>
    <w:basedOn w:val="1"/>
    <w:qFormat/>
    <w:uiPriority w:val="0"/>
    <w:pPr>
      <w:spacing w:line="320" w:lineRule="exact"/>
    </w:pPr>
    <w:rPr>
      <w:rFonts w:ascii="Beijing" w:hAnsi="Beijing" w:eastAsia="Times New Roman"/>
      <w:sz w:val="18"/>
      <w:szCs w:val="20"/>
    </w:rPr>
  </w:style>
  <w:style w:type="paragraph" w:customStyle="1" w:styleId="408">
    <w:name w:val="表正文左"/>
    <w:qFormat/>
    <w:uiPriority w:val="0"/>
    <w:pPr>
      <w:spacing w:after="200" w:line="276" w:lineRule="auto"/>
    </w:pPr>
    <w:rPr>
      <w:rFonts w:ascii="Arial" w:hAnsi="Arial" w:eastAsia="宋体" w:cs="Times New Roman"/>
      <w:kern w:val="2"/>
      <w:sz w:val="18"/>
      <w:lang w:val="en-US" w:eastAsia="zh-CN" w:bidi="ar-SA"/>
    </w:rPr>
  </w:style>
  <w:style w:type="paragraph" w:customStyle="1" w:styleId="409">
    <w:name w:val="样式 标题 2H2标题 2 CharUnderrubrik1prop2sect 1.2DO NOT USE_h2c..."/>
    <w:basedOn w:val="6"/>
    <w:qFormat/>
    <w:uiPriority w:val="0"/>
    <w:pPr>
      <w:keepNext w:val="0"/>
      <w:keepLines w:val="0"/>
      <w:tabs>
        <w:tab w:val="left" w:pos="525"/>
      </w:tabs>
      <w:spacing w:before="200" w:after="100"/>
    </w:pPr>
    <w:rPr>
      <w:rFonts w:ascii="宋体"/>
      <w:bCs w:val="0"/>
      <w:color w:val="000000"/>
      <w:sz w:val="28"/>
      <w:szCs w:val="20"/>
    </w:rPr>
  </w:style>
  <w:style w:type="paragraph" w:customStyle="1" w:styleId="410">
    <w:name w:val="0"/>
    <w:basedOn w:val="1"/>
    <w:qFormat/>
    <w:uiPriority w:val="0"/>
    <w:pPr>
      <w:widowControl/>
      <w:snapToGrid w:val="0"/>
    </w:pPr>
    <w:rPr>
      <w:rFonts w:ascii="Times New Roman" w:hAnsi="Times New Roman"/>
      <w:szCs w:val="20"/>
    </w:rPr>
  </w:style>
  <w:style w:type="paragraph" w:customStyle="1" w:styleId="411">
    <w:name w:val="页眉 New New"/>
    <w:basedOn w:val="284"/>
    <w:qFormat/>
    <w:uiPriority w:val="0"/>
    <w:pPr>
      <w:pBdr>
        <w:bottom w:val="single" w:color="auto" w:sz="6" w:space="1"/>
      </w:pBdr>
      <w:tabs>
        <w:tab w:val="center" w:pos="4153"/>
        <w:tab w:val="right" w:pos="8306"/>
      </w:tabs>
      <w:snapToGrid w:val="0"/>
      <w:jc w:val="center"/>
    </w:pPr>
    <w:rPr>
      <w:sz w:val="18"/>
    </w:rPr>
  </w:style>
  <w:style w:type="paragraph" w:customStyle="1" w:styleId="412">
    <w:name w:val="页脚 New New New"/>
    <w:basedOn w:val="126"/>
    <w:qFormat/>
    <w:uiPriority w:val="0"/>
    <w:pPr>
      <w:tabs>
        <w:tab w:val="center" w:pos="4153"/>
        <w:tab w:val="right" w:pos="8306"/>
      </w:tabs>
      <w:snapToGrid w:val="0"/>
      <w:jc w:val="left"/>
    </w:pPr>
    <w:rPr>
      <w:sz w:val="18"/>
      <w:szCs w:val="18"/>
    </w:rPr>
  </w:style>
  <w:style w:type="paragraph" w:customStyle="1" w:styleId="41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4"/>
      <w:szCs w:val="24"/>
    </w:rPr>
  </w:style>
  <w:style w:type="paragraph" w:customStyle="1" w:styleId="41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2"/>
      <w:szCs w:val="20"/>
    </w:rPr>
  </w:style>
  <w:style w:type="paragraph" w:customStyle="1" w:styleId="415">
    <w:name w:val="正文3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16">
    <w:name w:val="_Style 151"/>
    <w:qFormat/>
    <w:uiPriority w:val="0"/>
    <w:pPr>
      <w:spacing w:after="200" w:line="276" w:lineRule="auto"/>
    </w:pPr>
    <w:rPr>
      <w:rFonts w:ascii="Calibri" w:hAnsi="Calibri" w:eastAsia="宋体" w:cs="Times New Roman"/>
      <w:sz w:val="22"/>
      <w:lang w:val="en-US" w:eastAsia="zh-CN" w:bidi="ar-SA"/>
    </w:rPr>
  </w:style>
  <w:style w:type="paragraph" w:customStyle="1" w:styleId="41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b/>
      <w:kern w:val="0"/>
      <w:sz w:val="22"/>
      <w:szCs w:val="20"/>
    </w:rPr>
  </w:style>
  <w:style w:type="paragraph" w:customStyle="1" w:styleId="418">
    <w:name w:val="yehuda"/>
    <w:basedOn w:val="1"/>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sz w:val="24"/>
      <w:szCs w:val="20"/>
      <w:lang w:val="en-GB" w:eastAsia="en-GB"/>
    </w:rPr>
  </w:style>
  <w:style w:type="paragraph" w:customStyle="1" w:styleId="419">
    <w:name w:val="标题 2 New"/>
    <w:basedOn w:val="272"/>
    <w:next w:val="272"/>
    <w:qFormat/>
    <w:uiPriority w:val="0"/>
    <w:pPr>
      <w:keepNext/>
      <w:keepLines/>
      <w:spacing w:before="260" w:after="260" w:line="415" w:lineRule="auto"/>
      <w:outlineLvl w:val="1"/>
    </w:pPr>
    <w:rPr>
      <w:rFonts w:ascii="Arial" w:hAnsi="Arial" w:eastAsia="仿宋_GB2312"/>
      <w:b/>
      <w:bCs/>
      <w:sz w:val="32"/>
    </w:rPr>
  </w:style>
  <w:style w:type="paragraph" w:customStyle="1" w:styleId="420">
    <w:name w:val="Char Char Char Char Char Char Char Char1 Char11"/>
    <w:basedOn w:val="1"/>
    <w:qFormat/>
    <w:uiPriority w:val="0"/>
    <w:rPr>
      <w:rFonts w:ascii="Times New Roman" w:hAnsi="Times New Roman"/>
      <w:szCs w:val="20"/>
    </w:rPr>
  </w:style>
  <w:style w:type="paragraph" w:customStyle="1" w:styleId="421">
    <w:name w:val="样式 标题 2 + Times New Roman 四号 非加粗 段前: 5 磅 段后: 0 磅 行距: 固定值 20..."/>
    <w:basedOn w:val="6"/>
    <w:qFormat/>
    <w:uiPriority w:val="0"/>
    <w:pPr>
      <w:spacing w:before="100" w:line="400" w:lineRule="exact"/>
    </w:pPr>
    <w:rPr>
      <w:rFonts w:ascii="Times New Roman" w:hAnsi="Times New Roman" w:cs="宋体"/>
      <w:b w:val="0"/>
      <w:bCs w:val="0"/>
      <w:sz w:val="28"/>
      <w:szCs w:val="20"/>
    </w:rPr>
  </w:style>
  <w:style w:type="paragraph" w:customStyle="1" w:styleId="422">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23">
    <w:name w:val="引用1"/>
    <w:basedOn w:val="1"/>
    <w:next w:val="1"/>
    <w:qFormat/>
    <w:uiPriority w:val="0"/>
    <w:rPr>
      <w:rFonts w:ascii="Times New Roman" w:hAnsi="Times New Roman"/>
      <w:i/>
      <w:color w:val="000000"/>
      <w:kern w:val="0"/>
      <w:sz w:val="20"/>
      <w:szCs w:val="20"/>
    </w:rPr>
  </w:style>
  <w:style w:type="paragraph" w:customStyle="1" w:styleId="424">
    <w:name w:val="样式12"/>
    <w:basedOn w:val="1"/>
    <w:qFormat/>
    <w:uiPriority w:val="0"/>
    <w:rPr>
      <w:rFonts w:ascii="Times New Roman" w:hAnsi="Times New Roman"/>
      <w:szCs w:val="20"/>
    </w:rPr>
  </w:style>
  <w:style w:type="paragraph" w:customStyle="1" w:styleId="425">
    <w:name w:val="小标题 1"/>
    <w:basedOn w:val="1"/>
    <w:qFormat/>
    <w:uiPriority w:val="0"/>
    <w:pPr>
      <w:autoSpaceDE w:val="0"/>
      <w:autoSpaceDN w:val="0"/>
      <w:adjustRightInd w:val="0"/>
      <w:spacing w:line="360" w:lineRule="atLeast"/>
    </w:pPr>
    <w:rPr>
      <w:rFonts w:ascii="文鼎粗黑" w:eastAsia="文鼎粗黑"/>
      <w:szCs w:val="20"/>
    </w:rPr>
  </w:style>
  <w:style w:type="paragraph" w:customStyle="1" w:styleId="426">
    <w:name w:val="p0"/>
    <w:basedOn w:val="1"/>
    <w:qFormat/>
    <w:uiPriority w:val="0"/>
    <w:pPr>
      <w:widowControl/>
    </w:pPr>
    <w:rPr>
      <w:rFonts w:ascii="Times New Roman" w:hAnsi="Times New Roman"/>
      <w:kern w:val="0"/>
      <w:szCs w:val="21"/>
    </w:rPr>
  </w:style>
  <w:style w:type="paragraph" w:customStyle="1" w:styleId="427">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28">
    <w:name w:val="_Style 190"/>
    <w:basedOn w:val="1"/>
    <w:next w:val="1"/>
    <w:qFormat/>
    <w:uiPriority w:val="0"/>
    <w:rPr>
      <w:i/>
      <w:color w:val="000000"/>
      <w:szCs w:val="20"/>
    </w:rPr>
  </w:style>
  <w:style w:type="paragraph" w:customStyle="1" w:styleId="429">
    <w:name w:val="明显引用1"/>
    <w:basedOn w:val="1"/>
    <w:next w:val="1"/>
    <w:qFormat/>
    <w:uiPriority w:val="0"/>
    <w:pPr>
      <w:pBdr>
        <w:bottom w:val="single" w:color="4F81BD" w:sz="4" w:space="4"/>
      </w:pBdr>
      <w:spacing w:before="200" w:after="280"/>
      <w:ind w:left="936" w:right="936"/>
    </w:pPr>
    <w:rPr>
      <w:rFonts w:ascii="Times New Roman" w:hAnsi="Times New Roman"/>
      <w:b/>
      <w:i/>
      <w:color w:val="4F81BD"/>
      <w:kern w:val="0"/>
      <w:sz w:val="20"/>
      <w:szCs w:val="20"/>
    </w:rPr>
  </w:style>
  <w:style w:type="paragraph" w:customStyle="1" w:styleId="430">
    <w:name w:val="正文（首行不缩进）"/>
    <w:basedOn w:val="1"/>
    <w:qFormat/>
    <w:uiPriority w:val="0"/>
    <w:pPr>
      <w:autoSpaceDE w:val="0"/>
      <w:autoSpaceDN w:val="0"/>
      <w:adjustRightInd w:val="0"/>
      <w:spacing w:line="360" w:lineRule="auto"/>
    </w:pPr>
    <w:rPr>
      <w:rFonts w:ascii="Times New Roman" w:hAnsi="Times New Roman"/>
      <w:szCs w:val="20"/>
    </w:rPr>
  </w:style>
  <w:style w:type="paragraph" w:customStyle="1" w:styleId="4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432">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33">
    <w:name w:val="正文内容"/>
    <w:basedOn w:val="1"/>
    <w:qFormat/>
    <w:uiPriority w:val="0"/>
    <w:rPr>
      <w:rFonts w:ascii="Arial" w:hAnsi="Arial"/>
      <w:spacing w:val="-12"/>
      <w:szCs w:val="20"/>
    </w:rPr>
  </w:style>
  <w:style w:type="paragraph" w:customStyle="1" w:styleId="434">
    <w:name w:val="页脚 New New New New"/>
    <w:basedOn w:val="223"/>
    <w:qFormat/>
    <w:uiPriority w:val="0"/>
    <w:pPr>
      <w:tabs>
        <w:tab w:val="center" w:pos="4153"/>
        <w:tab w:val="right" w:pos="8306"/>
      </w:tabs>
      <w:snapToGrid w:val="0"/>
      <w:jc w:val="left"/>
    </w:pPr>
    <w:rPr>
      <w:sz w:val="18"/>
      <w:szCs w:val="18"/>
    </w:rPr>
  </w:style>
  <w:style w:type="paragraph" w:customStyle="1" w:styleId="435">
    <w:name w:val="样式9"/>
    <w:basedOn w:val="73"/>
    <w:qFormat/>
    <w:uiPriority w:val="0"/>
    <w:pPr>
      <w:suppressAutoHyphens/>
      <w:spacing w:before="100" w:beforeAutospacing="1" w:after="100" w:afterAutospacing="1" w:line="360" w:lineRule="auto"/>
      <w:ind w:firstLine="454"/>
      <w:jc w:val="both"/>
    </w:pPr>
    <w:rPr>
      <w:kern w:val="2"/>
      <w:sz w:val="21"/>
    </w:rPr>
  </w:style>
  <w:style w:type="paragraph" w:customStyle="1" w:styleId="436">
    <w:name w:val="font5"/>
    <w:basedOn w:val="1"/>
    <w:qFormat/>
    <w:uiPriority w:val="0"/>
    <w:pPr>
      <w:widowControl/>
      <w:spacing w:before="100" w:beforeAutospacing="1" w:after="100" w:afterAutospacing="1"/>
      <w:jc w:val="left"/>
    </w:pPr>
    <w:rPr>
      <w:rFonts w:ascii="宋体"/>
      <w:kern w:val="0"/>
      <w:sz w:val="18"/>
      <w:szCs w:val="20"/>
    </w:rPr>
  </w:style>
  <w:style w:type="paragraph" w:customStyle="1" w:styleId="437">
    <w:name w:val="Table"/>
    <w:qFormat/>
    <w:uiPriority w:val="0"/>
    <w:pPr>
      <w:spacing w:after="200" w:line="276" w:lineRule="auto"/>
    </w:pPr>
    <w:rPr>
      <w:rFonts w:ascii="Calibri" w:hAnsi="Calibri" w:eastAsia="宋体" w:cs="Times New Roman"/>
      <w:sz w:val="22"/>
      <w:lang w:val="en-US" w:eastAsia="zh-CN" w:bidi="ar-SA"/>
    </w:rPr>
  </w:style>
  <w:style w:type="paragraph" w:customStyle="1" w:styleId="438">
    <w:name w:val="z1"/>
    <w:basedOn w:val="1"/>
    <w:qFormat/>
    <w:uiPriority w:val="0"/>
    <w:pPr>
      <w:widowControl/>
      <w:wordWrap w:val="0"/>
      <w:adjustRightInd w:val="0"/>
      <w:snapToGrid w:val="0"/>
      <w:spacing w:before="50" w:beforeLines="50" w:after="50" w:afterLines="50" w:line="300" w:lineRule="auto"/>
      <w:ind w:left="171" w:leftChars="171" w:firstLine="200" w:firstLineChars="200"/>
    </w:pPr>
    <w:rPr>
      <w:rFonts w:ascii="Arial" w:hAnsi="Arial"/>
      <w:sz w:val="24"/>
      <w:szCs w:val="20"/>
    </w:rPr>
  </w:style>
  <w:style w:type="paragraph" w:customStyle="1" w:styleId="439">
    <w:name w:val="页眉 New"/>
    <w:basedOn w:val="205"/>
    <w:qFormat/>
    <w:uiPriority w:val="0"/>
    <w:pPr>
      <w:pBdr>
        <w:bottom w:val="single" w:color="auto" w:sz="6" w:space="1"/>
      </w:pBdr>
      <w:tabs>
        <w:tab w:val="center" w:pos="4153"/>
        <w:tab w:val="right" w:pos="8306"/>
      </w:tabs>
      <w:snapToGrid w:val="0"/>
      <w:jc w:val="center"/>
    </w:pPr>
    <w:rPr>
      <w:sz w:val="18"/>
    </w:rPr>
  </w:style>
  <w:style w:type="paragraph" w:customStyle="1" w:styleId="440">
    <w:name w:val="3 Char Char Char Char Char Char Char"/>
    <w:basedOn w:val="1"/>
    <w:qFormat/>
    <w:uiPriority w:val="0"/>
    <w:pPr>
      <w:adjustRightInd w:val="0"/>
      <w:snapToGrid w:val="0"/>
      <w:spacing w:line="400" w:lineRule="exact"/>
      <w:ind w:firstLine="200" w:firstLineChars="200"/>
    </w:pPr>
    <w:rPr>
      <w:rFonts w:ascii="Times New Roman" w:hAnsi="Times New Roman"/>
      <w:sz w:val="24"/>
      <w:szCs w:val="20"/>
    </w:rPr>
  </w:style>
  <w:style w:type="paragraph" w:customStyle="1" w:styleId="441">
    <w:name w:val="正文文本缩进 311"/>
    <w:basedOn w:val="1"/>
    <w:qFormat/>
    <w:uiPriority w:val="0"/>
    <w:pPr>
      <w:snapToGrid w:val="0"/>
      <w:spacing w:line="360" w:lineRule="auto"/>
      <w:ind w:left="20" w:firstLine="189" w:firstLineChars="189"/>
    </w:pPr>
    <w:rPr>
      <w:rFonts w:ascii="仿宋_GB2312" w:eastAsia="仿宋_GB2312"/>
      <w:sz w:val="28"/>
      <w:szCs w:val="24"/>
    </w:rPr>
  </w:style>
  <w:style w:type="paragraph" w:customStyle="1" w:styleId="442">
    <w:name w:val="项目正文"/>
    <w:basedOn w:val="1"/>
    <w:qFormat/>
    <w:uiPriority w:val="0"/>
    <w:pPr>
      <w:tabs>
        <w:tab w:val="left" w:pos="907"/>
      </w:tabs>
      <w:spacing w:line="360" w:lineRule="auto"/>
      <w:ind w:left="905" w:hanging="397"/>
    </w:pPr>
    <w:rPr>
      <w:rFonts w:ascii="Times New Roman" w:hAnsi="Times New Roman"/>
      <w:color w:val="000000"/>
      <w:szCs w:val="20"/>
    </w:rPr>
  </w:style>
  <w:style w:type="paragraph" w:customStyle="1" w:styleId="443">
    <w:name w:val="1"/>
    <w:basedOn w:val="1"/>
    <w:qFormat/>
    <w:uiPriority w:val="0"/>
    <w:rPr>
      <w:rFonts w:ascii="Times New Roman" w:hAnsi="Times New Roman"/>
      <w:szCs w:val="24"/>
    </w:rPr>
  </w:style>
  <w:style w:type="paragraph" w:customStyle="1" w:styleId="444">
    <w:name w:val="样式 标题 1标书1H1h11st levelSection Headl1标题一Heading 0PIM 1..."/>
    <w:basedOn w:val="1"/>
    <w:qFormat/>
    <w:uiPriority w:val="0"/>
    <w:rPr>
      <w:rFonts w:ascii="Times New Roman" w:hAnsi="Times New Roman"/>
      <w:szCs w:val="20"/>
    </w:rPr>
  </w:style>
  <w:style w:type="paragraph" w:customStyle="1" w:styleId="445">
    <w:name w:val="素材1"/>
    <w:basedOn w:val="1"/>
    <w:qFormat/>
    <w:uiPriority w:val="0"/>
    <w:pPr>
      <w:snapToGrid w:val="0"/>
      <w:spacing w:before="120" w:line="540" w:lineRule="atLeast"/>
      <w:ind w:firstLine="567"/>
    </w:pPr>
    <w:rPr>
      <w:rFonts w:ascii="宋体"/>
      <w:kern w:val="52"/>
      <w:sz w:val="28"/>
      <w:szCs w:val="20"/>
    </w:rPr>
  </w:style>
  <w:style w:type="paragraph" w:customStyle="1" w:styleId="446">
    <w:name w:val="样式 标题 2H2Heading 2 HiddenHeading 2 CCBSheading 2第一章 标题 2IS..."/>
    <w:basedOn w:val="6"/>
    <w:qFormat/>
    <w:uiPriority w:val="0"/>
    <w:pPr>
      <w:keepLines w:val="0"/>
      <w:adjustRightInd w:val="0"/>
      <w:spacing w:before="312" w:after="312" w:line="480" w:lineRule="auto"/>
      <w:textAlignment w:val="baseline"/>
    </w:pPr>
    <w:rPr>
      <w:rFonts w:ascii="Times New Roman" w:hAnsi="Times New Roman"/>
      <w:bCs w:val="0"/>
      <w:color w:val="4F81BD"/>
      <w:sz w:val="28"/>
      <w:szCs w:val="20"/>
    </w:rPr>
  </w:style>
  <w:style w:type="paragraph" w:customStyle="1" w:styleId="447">
    <w:name w:val="样式 标题 3H3l3CTh33rd levelLevel 3 HeadHeading 3 - oldISO2..."/>
    <w:basedOn w:val="7"/>
    <w:qFormat/>
    <w:uiPriority w:val="0"/>
    <w:pPr>
      <w:keepNext w:val="0"/>
      <w:keepLines w:val="0"/>
      <w:spacing w:before="0" w:after="0" w:line="360" w:lineRule="auto"/>
      <w:ind w:left="734" w:hanging="539" w:firstLineChars="0"/>
    </w:pPr>
    <w:rPr>
      <w:rFonts w:ascii="宋体" w:eastAsia="宋体"/>
      <w:b/>
      <w:bCs w:val="0"/>
      <w:sz w:val="24"/>
      <w:szCs w:val="20"/>
    </w:rPr>
  </w:style>
  <w:style w:type="paragraph" w:customStyle="1" w:styleId="448">
    <w:name w:val="样式15"/>
    <w:basedOn w:val="10"/>
    <w:uiPriority w:val="0"/>
    <w:pPr>
      <w:widowControl w:val="0"/>
      <w:tabs>
        <w:tab w:val="clear" w:pos="1440"/>
      </w:tabs>
      <w:spacing w:before="200" w:after="0" w:line="240" w:lineRule="auto"/>
      <w:jc w:val="both"/>
    </w:pPr>
    <w:rPr>
      <w:rFonts w:ascii="Cambria" w:hAnsi="Cambria" w:eastAsia="宋体"/>
      <w:b w:val="0"/>
      <w:bCs w:val="0"/>
      <w:i/>
      <w:color w:val="243F60"/>
      <w:kern w:val="2"/>
      <w:sz w:val="21"/>
      <w:szCs w:val="20"/>
    </w:rPr>
  </w:style>
  <w:style w:type="paragraph" w:customStyle="1" w:styleId="449">
    <w:name w:val="样式7"/>
    <w:basedOn w:val="1"/>
    <w:uiPriority w:val="0"/>
    <w:pPr>
      <w:ind w:firstLine="420"/>
    </w:pPr>
    <w:rPr>
      <w:rFonts w:ascii="Times New Roman" w:hAnsi="Times New Roman"/>
      <w:szCs w:val="20"/>
    </w:rPr>
  </w:style>
  <w:style w:type="paragraph" w:customStyle="1" w:styleId="450">
    <w:name w:val="Heading2"/>
    <w:basedOn w:val="1"/>
    <w:next w:val="1"/>
    <w:uiPriority w:val="0"/>
    <w:pPr>
      <w:keepNext/>
      <w:keepLines/>
      <w:spacing w:before="260" w:after="260" w:line="413" w:lineRule="auto"/>
    </w:pPr>
    <w:rPr>
      <w:rFonts w:ascii="Arial" w:hAnsi="Arial" w:eastAsia="黑体" w:cs="Arial"/>
      <w:b/>
      <w:bCs/>
      <w:sz w:val="32"/>
      <w:szCs w:val="32"/>
    </w:rPr>
  </w:style>
  <w:style w:type="paragraph" w:customStyle="1" w:styleId="451">
    <w:name w:val="正文文本2"/>
    <w:basedOn w:val="1"/>
    <w:uiPriority w:val="0"/>
    <w:pPr>
      <w:shd w:val="clear" w:color="auto" w:fill="FFFFFF"/>
      <w:spacing w:before="600" w:line="466" w:lineRule="exact"/>
      <w:ind w:hanging="480"/>
      <w:jc w:val="distribute"/>
    </w:pPr>
    <w:rPr>
      <w:rFonts w:ascii="MingLiU" w:hAnsi="MingLiU" w:eastAsia="MingLiU"/>
      <w:kern w:val="0"/>
      <w:sz w:val="23"/>
      <w:szCs w:val="23"/>
    </w:rPr>
  </w:style>
  <w:style w:type="paragraph" w:customStyle="1" w:styleId="452">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0"/>
      <w:szCs w:val="20"/>
    </w:rPr>
  </w:style>
  <w:style w:type="paragraph" w:customStyle="1" w:styleId="453">
    <w:name w:val="Char21"/>
    <w:basedOn w:val="1"/>
    <w:uiPriority w:val="0"/>
    <w:pPr>
      <w:tabs>
        <w:tab w:val="left" w:pos="425"/>
      </w:tabs>
      <w:ind w:left="425" w:hanging="425"/>
    </w:pPr>
    <w:rPr>
      <w:rFonts w:ascii="Times New Roman" w:hAnsi="Times New Roman"/>
      <w:sz w:val="24"/>
      <w:szCs w:val="20"/>
    </w:rPr>
  </w:style>
  <w:style w:type="paragraph" w:customStyle="1" w:styleId="454">
    <w:name w:val="xl33"/>
    <w:basedOn w:val="1"/>
    <w:uiPriority w:val="0"/>
    <w:pPr>
      <w:widowControl/>
      <w:spacing w:before="100" w:beforeAutospacing="1" w:after="100" w:afterAutospacing="1"/>
      <w:jc w:val="left"/>
      <w:textAlignment w:val="center"/>
    </w:pPr>
    <w:rPr>
      <w:rFonts w:ascii="宋体"/>
      <w:b/>
      <w:kern w:val="0"/>
      <w:sz w:val="28"/>
      <w:szCs w:val="20"/>
    </w:rPr>
  </w:style>
  <w:style w:type="paragraph" w:customStyle="1" w:styleId="455">
    <w:name w:val="样式13"/>
    <w:basedOn w:val="8"/>
    <w:uiPriority w:val="0"/>
    <w:pPr>
      <w:spacing w:before="200" w:after="0" w:line="240" w:lineRule="auto"/>
    </w:pPr>
    <w:rPr>
      <w:rFonts w:ascii="Cambria" w:hAnsi="Cambria" w:eastAsia="宋体"/>
      <w:bCs w:val="0"/>
      <w:i/>
      <w:color w:val="4F81BD"/>
      <w:sz w:val="21"/>
      <w:szCs w:val="20"/>
    </w:rPr>
  </w:style>
  <w:style w:type="paragraph" w:customStyle="1" w:styleId="456">
    <w:name w:val="Table Heading"/>
    <w:basedOn w:val="1"/>
    <w:uiPriority w:val="0"/>
    <w:pPr>
      <w:widowControl/>
      <w:jc w:val="center"/>
    </w:pPr>
    <w:rPr>
      <w:rFonts w:ascii="Arial" w:hAnsi="Arial"/>
      <w:b/>
      <w:kern w:val="0"/>
      <w:sz w:val="18"/>
      <w:szCs w:val="20"/>
    </w:rPr>
  </w:style>
  <w:style w:type="paragraph" w:customStyle="1" w:styleId="457">
    <w:name w:val="正文缩进3"/>
    <w:basedOn w:val="1"/>
    <w:uiPriority w:val="0"/>
    <w:pPr>
      <w:ind w:firstLine="200" w:firstLineChars="200"/>
    </w:pPr>
    <w:rPr>
      <w:sz w:val="30"/>
      <w:szCs w:val="24"/>
    </w:rPr>
  </w:style>
  <w:style w:type="paragraph" w:customStyle="1" w:styleId="458">
    <w:name w:val="封四"/>
    <w:basedOn w:val="74"/>
    <w:next w:val="74"/>
    <w:uiPriority w:val="0"/>
    <w:pPr>
      <w:jc w:val="left"/>
    </w:pPr>
    <w:rPr>
      <w:sz w:val="30"/>
      <w:szCs w:val="30"/>
    </w:rPr>
  </w:style>
  <w:style w:type="paragraph" w:customStyle="1" w:styleId="459">
    <w:name w:val="普通(网站)12"/>
    <w:basedOn w:val="1"/>
    <w:uiPriority w:val="0"/>
    <w:pPr>
      <w:widowControl/>
      <w:spacing w:line="500" w:lineRule="exact"/>
      <w:ind w:firstLine="510"/>
    </w:pPr>
    <w:rPr>
      <w:rFonts w:ascii="仿宋_GB2312" w:eastAsia="仿宋_GB2312"/>
      <w:color w:val="000000"/>
      <w:spacing w:val="-10"/>
      <w:kern w:val="0"/>
      <w:szCs w:val="20"/>
    </w:rPr>
  </w:style>
  <w:style w:type="paragraph" w:customStyle="1" w:styleId="460">
    <w:name w:val="正文文本缩进 32"/>
    <w:basedOn w:val="1"/>
    <w:uiPriority w:val="0"/>
    <w:pPr>
      <w:snapToGrid w:val="0"/>
      <w:spacing w:line="360" w:lineRule="auto"/>
      <w:ind w:left="20" w:firstLine="189" w:firstLineChars="189"/>
    </w:pPr>
    <w:rPr>
      <w:rFonts w:ascii="仿宋_GB2312" w:eastAsia="仿宋_GB2312"/>
      <w:sz w:val="28"/>
      <w:szCs w:val="24"/>
    </w:rPr>
  </w:style>
  <w:style w:type="paragraph" w:customStyle="1" w:styleId="461">
    <w:name w:val="彩色列表 - 强调文字颜色 11"/>
    <w:basedOn w:val="1"/>
    <w:uiPriority w:val="0"/>
    <w:pPr>
      <w:ind w:firstLine="200" w:firstLineChars="200"/>
    </w:pPr>
    <w:rPr>
      <w:rFonts w:ascii="Times New Roman" w:hAnsi="Times New Roman"/>
      <w:szCs w:val="24"/>
    </w:rPr>
  </w:style>
  <w:style w:type="paragraph" w:customStyle="1" w:styleId="462">
    <w:name w:val="普通(网站) New"/>
    <w:basedOn w:val="126"/>
    <w:uiPriority w:val="0"/>
    <w:pPr>
      <w:widowControl/>
      <w:spacing w:before="100" w:beforeAutospacing="1" w:after="100" w:afterAutospacing="1"/>
      <w:jc w:val="left"/>
    </w:pPr>
    <w:rPr>
      <w:rFonts w:ascii="宋体"/>
      <w:kern w:val="0"/>
      <w:sz w:val="24"/>
    </w:rPr>
  </w:style>
  <w:style w:type="paragraph" w:customStyle="1" w:styleId="463">
    <w:name w:val="Char1 Char Char Char Char Char Char12"/>
    <w:basedOn w:val="1"/>
    <w:uiPriority w:val="0"/>
    <w:rPr>
      <w:sz w:val="30"/>
      <w:szCs w:val="24"/>
    </w:rPr>
  </w:style>
  <w:style w:type="paragraph" w:customStyle="1" w:styleId="464">
    <w:name w:val="标题 11"/>
    <w:basedOn w:val="1"/>
    <w:uiPriority w:val="0"/>
    <w:pPr>
      <w:spacing w:before="58"/>
      <w:jc w:val="center"/>
      <w:outlineLvl w:val="1"/>
    </w:pPr>
    <w:rPr>
      <w:rFonts w:ascii="黑体" w:eastAsia="黑体" w:cs="黑体"/>
      <w:sz w:val="30"/>
      <w:szCs w:val="30"/>
    </w:rPr>
  </w:style>
  <w:style w:type="paragraph" w:customStyle="1" w:styleId="465">
    <w:name w:val="Char5 Char Char Char Char Char Char Char Char Char Char Char Char1"/>
    <w:basedOn w:val="1"/>
    <w:uiPriority w:val="0"/>
    <w:pPr>
      <w:widowControl/>
      <w:spacing w:after="160" w:line="240" w:lineRule="exact"/>
      <w:jc w:val="left"/>
    </w:pPr>
    <w:rPr>
      <w:rFonts w:ascii="Verdana" w:hAnsi="Verdana" w:eastAsia="仿宋_GB2312"/>
      <w:kern w:val="0"/>
      <w:sz w:val="24"/>
      <w:szCs w:val="20"/>
    </w:rPr>
  </w:style>
  <w:style w:type="paragraph" w:customStyle="1" w:styleId="466">
    <w:name w:val="Char Char Char Char Char Char2 Char"/>
    <w:basedOn w:val="1"/>
    <w:uiPriority w:val="0"/>
    <w:pPr>
      <w:spacing w:line="360" w:lineRule="auto"/>
      <w:ind w:firstLine="200" w:firstLineChars="200"/>
    </w:pPr>
    <w:rPr>
      <w:rFonts w:ascii="宋体" w:cs="宋体"/>
      <w:sz w:val="24"/>
      <w:szCs w:val="24"/>
    </w:rPr>
  </w:style>
  <w:style w:type="paragraph" w:customStyle="1" w:styleId="467">
    <w:name w:val="页眉 New New New New New New"/>
    <w:basedOn w:val="343"/>
    <w:uiPriority w:val="0"/>
    <w:pPr>
      <w:pBdr>
        <w:bottom w:val="single" w:color="auto" w:sz="6" w:space="1"/>
      </w:pBdr>
      <w:tabs>
        <w:tab w:val="center" w:pos="4153"/>
        <w:tab w:val="right" w:pos="8306"/>
      </w:tabs>
      <w:snapToGrid w:val="0"/>
      <w:jc w:val="center"/>
    </w:pPr>
    <w:rPr>
      <w:rFonts w:eastAsia="宋体"/>
      <w:sz w:val="18"/>
      <w:szCs w:val="18"/>
    </w:rPr>
  </w:style>
  <w:style w:type="character" w:customStyle="1" w:styleId="468">
    <w:name w:val="标题 6 Char Char Char"/>
    <w:uiPriority w:val="0"/>
    <w:rPr>
      <w:rFonts w:ascii="Cambria" w:hAnsi="Cambria" w:eastAsia="宋体" w:cs="Times New Roman"/>
      <w:b/>
      <w:bCs/>
      <w:kern w:val="2"/>
      <w:sz w:val="24"/>
      <w:szCs w:val="24"/>
      <w:lang w:bidi="ar-SA"/>
    </w:rPr>
  </w:style>
  <w:style w:type="character" w:customStyle="1" w:styleId="469">
    <w:name w:val="style11"/>
    <w:uiPriority w:val="0"/>
    <w:rPr>
      <w:color w:val="333333"/>
    </w:rPr>
  </w:style>
  <w:style w:type="character" w:customStyle="1" w:styleId="470">
    <w:name w:val="testimonials-name"/>
    <w:uiPriority w:val="0"/>
    <w:rPr>
      <w:color w:val="64AED9"/>
      <w:sz w:val="24"/>
      <w:szCs w:val="24"/>
    </w:rPr>
  </w:style>
  <w:style w:type="character" w:customStyle="1" w:styleId="471">
    <w:name w:val="标题 2 Char"/>
    <w:uiPriority w:val="0"/>
    <w:rPr>
      <w:rFonts w:ascii="Cambria" w:hAnsi="Cambria" w:eastAsia="宋体" w:cs="Times New Roman"/>
      <w:b/>
      <w:bCs/>
      <w:kern w:val="2"/>
      <w:sz w:val="32"/>
      <w:szCs w:val="32"/>
      <w:lang w:bidi="ar-SA"/>
    </w:rPr>
  </w:style>
  <w:style w:type="character" w:customStyle="1" w:styleId="472">
    <w:name w:val="标题 3 Char Char Char Char"/>
    <w:uiPriority w:val="0"/>
    <w:rPr>
      <w:b/>
      <w:bCs/>
      <w:kern w:val="2"/>
      <w:sz w:val="32"/>
      <w:szCs w:val="32"/>
    </w:rPr>
  </w:style>
  <w:style w:type="character" w:customStyle="1" w:styleId="473">
    <w:name w:val="apple-converted-space"/>
    <w:uiPriority w:val="0"/>
  </w:style>
  <w:style w:type="character" w:customStyle="1" w:styleId="474">
    <w:name w:val="不明显参考2"/>
    <w:uiPriority w:val="0"/>
    <w:rPr>
      <w:smallCaps/>
      <w:color w:val="C0504D"/>
      <w:u w:val="single"/>
    </w:rPr>
  </w:style>
  <w:style w:type="character" w:customStyle="1" w:styleId="475">
    <w:name w:val="标题 5 Char Char"/>
    <w:uiPriority w:val="0"/>
    <w:rPr>
      <w:b/>
      <w:bCs/>
      <w:kern w:val="2"/>
      <w:sz w:val="28"/>
      <w:szCs w:val="28"/>
    </w:rPr>
  </w:style>
  <w:style w:type="character" w:customStyle="1" w:styleId="476">
    <w:name w:val="_Style 534"/>
    <w:uiPriority w:val="0"/>
    <w:rPr>
      <w:b/>
      <w:i/>
      <w:color w:val="4F81BD"/>
    </w:rPr>
  </w:style>
  <w:style w:type="character" w:customStyle="1" w:styleId="477">
    <w:name w:val="页眉 Char"/>
    <w:uiPriority w:val="0"/>
    <w:rPr>
      <w:kern w:val="2"/>
      <w:sz w:val="18"/>
      <w:szCs w:val="18"/>
    </w:rPr>
  </w:style>
  <w:style w:type="character" w:customStyle="1" w:styleId="478">
    <w:name w:val="_Style 490"/>
    <w:uiPriority w:val="0"/>
    <w:rPr>
      <w:smallCaps/>
      <w:color w:val="C0504D"/>
      <w:u w:val="single"/>
    </w:rPr>
  </w:style>
  <w:style w:type="character" w:customStyle="1" w:styleId="479">
    <w:name w:val="正文文本缩进 2 Char Char"/>
    <w:uiPriority w:val="0"/>
    <w:rPr>
      <w:kern w:val="2"/>
      <w:sz w:val="21"/>
      <w:szCs w:val="22"/>
    </w:rPr>
  </w:style>
  <w:style w:type="character" w:customStyle="1" w:styleId="480">
    <w:name w:val="H2 Char1"/>
    <w:uiPriority w:val="0"/>
    <w:rPr>
      <w:rFonts w:ascii="Cambria" w:hAnsi="Cambria" w:eastAsia="宋体"/>
      <w:b/>
      <w:color w:val="4F81BD"/>
      <w:kern w:val="0"/>
      <w:sz w:val="26"/>
    </w:rPr>
  </w:style>
  <w:style w:type="character" w:customStyle="1" w:styleId="481">
    <w:name w:val="more8"/>
    <w:uiPriority w:val="0"/>
    <w:rPr>
      <w:color w:val="FFFFFF"/>
    </w:rPr>
  </w:style>
  <w:style w:type="character" w:customStyle="1" w:styleId="482">
    <w:name w:val="style321"/>
    <w:uiPriority w:val="0"/>
    <w:rPr>
      <w:color w:val="333333"/>
    </w:rPr>
  </w:style>
  <w:style w:type="character" w:customStyle="1" w:styleId="483">
    <w:name w:val="testimonials-post"/>
    <w:uiPriority w:val="0"/>
    <w:rPr>
      <w:color w:val="656565"/>
      <w:sz w:val="18"/>
      <w:szCs w:val="18"/>
    </w:rPr>
  </w:style>
  <w:style w:type="character" w:customStyle="1" w:styleId="484">
    <w:name w:val="标题 Char3"/>
    <w:uiPriority w:val="0"/>
    <w:rPr>
      <w:rFonts w:ascii="Cambria" w:hAnsi="Cambria" w:eastAsia="宋体" w:cs="Times New Roman"/>
      <w:b/>
      <w:bCs/>
      <w:sz w:val="32"/>
      <w:szCs w:val="32"/>
      <w:lang w:bidi="ar-SA"/>
    </w:rPr>
  </w:style>
  <w:style w:type="character" w:customStyle="1" w:styleId="485">
    <w:name w:val="不明显参考1"/>
    <w:uiPriority w:val="0"/>
    <w:rPr>
      <w:smallCaps/>
      <w:color w:val="C0504D"/>
      <w:u w:val="single"/>
    </w:rPr>
  </w:style>
  <w:style w:type="character" w:customStyle="1" w:styleId="486">
    <w:name w:val="明显引用 Char1"/>
    <w:uiPriority w:val="0"/>
    <w:rPr>
      <w:b/>
      <w:bCs/>
      <w:i/>
      <w:iCs/>
      <w:color w:val="4F81BD"/>
      <w:kern w:val="2"/>
      <w:sz w:val="21"/>
      <w:szCs w:val="22"/>
    </w:rPr>
  </w:style>
  <w:style w:type="character" w:customStyle="1" w:styleId="487">
    <w:name w:val="正文文本 Char3"/>
    <w:uiPriority w:val="0"/>
    <w:rPr>
      <w:rFonts w:ascii="Times New Roman" w:hAnsi="Times New Roman" w:eastAsia="宋体" w:cs="Times New Roman"/>
      <w:szCs w:val="24"/>
      <w:lang w:bidi="ar-SA"/>
    </w:rPr>
  </w:style>
  <w:style w:type="character" w:customStyle="1" w:styleId="488">
    <w:name w:val="mmm"/>
    <w:uiPriority w:val="0"/>
  </w:style>
  <w:style w:type="character" w:customStyle="1" w:styleId="489">
    <w:name w:val="批注框文本 Char1"/>
    <w:uiPriority w:val="0"/>
    <w:rPr>
      <w:rFonts w:ascii="Times New Roman" w:hAnsi="Times New Roman" w:eastAsia="宋体" w:cs="Times New Roman"/>
      <w:sz w:val="18"/>
      <w:szCs w:val="18"/>
      <w:lang w:bidi="ar-SA"/>
    </w:rPr>
  </w:style>
  <w:style w:type="character" w:customStyle="1" w:styleId="490">
    <w:name w:val="图片标题 Exact"/>
    <w:uiPriority w:val="0"/>
    <w:rPr>
      <w:rFonts w:ascii="Arial Unicode MS" w:hAnsi="Arial Unicode MS" w:eastAsia="Arial Unicode MS" w:cs="Arial Unicode MS"/>
      <w:spacing w:val="2"/>
      <w:sz w:val="18"/>
      <w:szCs w:val="18"/>
      <w:u w:val="none"/>
      <w:lang w:bidi="ar-SA"/>
    </w:rPr>
  </w:style>
  <w:style w:type="character" w:customStyle="1" w:styleId="491">
    <w:name w:val="key_point"/>
    <w:uiPriority w:val="0"/>
    <w:rPr>
      <w:rFonts w:eastAsia="宋体"/>
      <w:kern w:val="2"/>
      <w:sz w:val="24"/>
      <w:szCs w:val="24"/>
      <w:lang w:val="en-US" w:eastAsia="zh-CN" w:bidi="ar-SA"/>
    </w:rPr>
  </w:style>
  <w:style w:type="character" w:customStyle="1" w:styleId="492">
    <w:name w:val="批注框文本 Char Char"/>
    <w:uiPriority w:val="0"/>
    <w:rPr>
      <w:kern w:val="2"/>
      <w:sz w:val="18"/>
      <w:szCs w:val="18"/>
    </w:rPr>
  </w:style>
  <w:style w:type="character" w:customStyle="1" w:styleId="493">
    <w:name w:val="尾注文本 Char Char Char"/>
    <w:uiPriority w:val="0"/>
    <w:rPr>
      <w:kern w:val="2"/>
      <w:sz w:val="21"/>
      <w:szCs w:val="22"/>
    </w:rPr>
  </w:style>
  <w:style w:type="character" w:customStyle="1" w:styleId="494">
    <w:name w:val="明显强调1"/>
    <w:uiPriority w:val="0"/>
    <w:rPr>
      <w:b/>
      <w:i/>
      <w:color w:val="4F81BD"/>
    </w:rPr>
  </w:style>
  <w:style w:type="character" w:customStyle="1" w:styleId="495">
    <w:name w:val="正文（首行缩进两字）"/>
    <w:uiPriority w:val="0"/>
    <w:rPr>
      <w:rFonts w:ascii="宋体" w:eastAsia="宋体"/>
      <w:color w:val="000000"/>
      <w:kern w:val="2"/>
      <w:sz w:val="24"/>
      <w:lang w:val="en-US" w:eastAsia="zh-CN"/>
    </w:rPr>
  </w:style>
  <w:style w:type="character" w:customStyle="1" w:styleId="496">
    <w:name w:val="批注文字 Char Char Char Char"/>
    <w:uiPriority w:val="0"/>
    <w:rPr>
      <w:kern w:val="2"/>
      <w:sz w:val="21"/>
      <w:szCs w:val="22"/>
    </w:rPr>
  </w:style>
  <w:style w:type="character" w:customStyle="1" w:styleId="497">
    <w:name w:val="正文首行缩进 Char1"/>
    <w:uiPriority w:val="0"/>
    <w:rPr>
      <w:rFonts w:ascii="Times New Roman" w:hAnsi="Times New Roman" w:eastAsia="宋体" w:cs="Times New Roman"/>
      <w:kern w:val="2"/>
      <w:sz w:val="21"/>
      <w:szCs w:val="24"/>
      <w:lang w:bidi="ar-SA"/>
    </w:rPr>
  </w:style>
  <w:style w:type="character" w:customStyle="1" w:styleId="498">
    <w:name w:val="H212 C"/>
    <w:uiPriority w:val="0"/>
    <w:rPr>
      <w:rFonts w:ascii="Arial" w:hAnsi="Arial" w:eastAsia="黑体"/>
      <w:b/>
      <w:kern w:val="2"/>
      <w:sz w:val="32"/>
      <w:lang w:val="en-US" w:eastAsia="zh-CN"/>
    </w:rPr>
  </w:style>
  <w:style w:type="character" w:customStyle="1" w:styleId="499">
    <w:name w:val="specifications1"/>
    <w:uiPriority w:val="0"/>
    <w:rPr>
      <w:rFonts w:ascii="Arial" w:hAnsi="Arial"/>
      <w:i/>
      <w:color w:val="FF3300"/>
      <w:sz w:val="20"/>
      <w:u w:val="none"/>
    </w:rPr>
  </w:style>
  <w:style w:type="character" w:customStyle="1" w:styleId="500">
    <w:name w:val="Char Char9"/>
    <w:uiPriority w:val="0"/>
    <w:rPr>
      <w:rFonts w:ascii="黑体" w:eastAsia="黑体"/>
      <w:bCs/>
      <w:kern w:val="2"/>
      <w:sz w:val="28"/>
      <w:szCs w:val="28"/>
      <w:lang w:val="en-US" w:eastAsia="zh-CN" w:bidi="ar-SA"/>
    </w:rPr>
  </w:style>
  <w:style w:type="character" w:customStyle="1" w:styleId="501">
    <w:name w:val="FtrF Char Char"/>
    <w:uiPriority w:val="0"/>
    <w:rPr>
      <w:rFonts w:eastAsia="宋体"/>
      <w:kern w:val="2"/>
      <w:sz w:val="18"/>
      <w:lang w:val="en-US" w:eastAsia="zh-CN" w:bidi="ar-SA"/>
    </w:rPr>
  </w:style>
  <w:style w:type="character" w:customStyle="1" w:styleId="502">
    <w:name w:val="不明显强调111"/>
    <w:uiPriority w:val="0"/>
    <w:rPr>
      <w:i/>
      <w:iCs/>
      <w:color w:val="808080"/>
    </w:rPr>
  </w:style>
  <w:style w:type="character" w:customStyle="1" w:styleId="503">
    <w:name w:val="Footer Char"/>
    <w:uiPriority w:val="0"/>
    <w:rPr>
      <w:sz w:val="18"/>
    </w:rPr>
  </w:style>
  <w:style w:type="character" w:customStyle="1" w:styleId="504">
    <w:name w:val="style261"/>
    <w:uiPriority w:val="0"/>
    <w:rPr>
      <w:rFonts w:eastAsia="宋体"/>
      <w:kern w:val="2"/>
      <w:sz w:val="20"/>
      <w:szCs w:val="20"/>
      <w:lang w:val="en-US" w:eastAsia="zh-CN" w:bidi="ar-SA"/>
    </w:rPr>
  </w:style>
  <w:style w:type="character" w:customStyle="1" w:styleId="505">
    <w:name w:val="明显强调2"/>
    <w:uiPriority w:val="0"/>
    <w:rPr>
      <w:b/>
      <w:i/>
      <w:color w:val="4F81BD"/>
    </w:rPr>
  </w:style>
  <w:style w:type="character" w:customStyle="1" w:styleId="506">
    <w:name w:val="正文文本 + SimSun"/>
    <w:uiPriority w:val="0"/>
    <w:rPr>
      <w:rFonts w:ascii="宋体" w:eastAsia="宋体" w:cs="宋体"/>
      <w:color w:val="000000"/>
      <w:spacing w:val="0"/>
      <w:w w:val="100"/>
      <w:position w:val="0"/>
      <w:sz w:val="20"/>
      <w:szCs w:val="20"/>
      <w:u w:val="none"/>
      <w:lang w:val="en-US" w:bidi="ar-SA"/>
    </w:rPr>
  </w:style>
  <w:style w:type="character" w:customStyle="1" w:styleId="507">
    <w:name w:val="日期 Char3"/>
    <w:uiPriority w:val="0"/>
  </w:style>
  <w:style w:type="character" w:customStyle="1" w:styleId="508">
    <w:name w:val="正文文本缩进 3 Char Char"/>
    <w:uiPriority w:val="0"/>
    <w:rPr>
      <w:kern w:val="2"/>
      <w:sz w:val="16"/>
      <w:szCs w:val="16"/>
    </w:rPr>
  </w:style>
  <w:style w:type="character" w:customStyle="1" w:styleId="509">
    <w:name w:val="尾注文本 Char Char"/>
    <w:uiPriority w:val="0"/>
    <w:rPr>
      <w:kern w:val="2"/>
      <w:sz w:val="21"/>
      <w:szCs w:val="22"/>
    </w:rPr>
  </w:style>
  <w:style w:type="character" w:customStyle="1" w:styleId="510">
    <w:name w:val="标题 字符1"/>
    <w:uiPriority w:val="0"/>
    <w:rPr>
      <w:rFonts w:ascii="Cambria" w:hAnsi="Cambria" w:eastAsia="宋体" w:cs="Times New Roman"/>
      <w:b/>
      <w:bCs/>
      <w:kern w:val="2"/>
      <w:sz w:val="32"/>
      <w:szCs w:val="32"/>
      <w:lang w:bidi="ar-SA"/>
    </w:rPr>
  </w:style>
  <w:style w:type="character" w:customStyle="1" w:styleId="511">
    <w:name w:val="批注主题 Char Char"/>
    <w:uiPriority w:val="0"/>
    <w:rPr>
      <w:b/>
      <w:bCs/>
      <w:kern w:val="2"/>
      <w:sz w:val="21"/>
      <w:szCs w:val="22"/>
    </w:rPr>
  </w:style>
  <w:style w:type="character" w:customStyle="1" w:styleId="512">
    <w:name w:val="日期 Char1"/>
    <w:uiPriority w:val="0"/>
    <w:rPr>
      <w:rFonts w:ascii="Times New Roman" w:hAnsi="Times New Roman" w:eastAsia="宋体" w:cs="Times New Roman"/>
      <w:szCs w:val="24"/>
      <w:lang w:bidi="ar-SA"/>
    </w:rPr>
  </w:style>
  <w:style w:type="character" w:customStyle="1" w:styleId="513">
    <w:name w:val="标题 #7 + 粗体"/>
    <w:uiPriority w:val="0"/>
    <w:rPr>
      <w:rFonts w:ascii="Arial Unicode MS" w:hAnsi="Arial Unicode MS" w:eastAsia="Arial Unicode MS"/>
      <w:b/>
      <w:bCs/>
      <w:color w:val="000000"/>
      <w:spacing w:val="0"/>
      <w:w w:val="100"/>
      <w:position w:val="0"/>
      <w:lang w:bidi="ar-SA"/>
    </w:rPr>
  </w:style>
  <w:style w:type="character" w:customStyle="1" w:styleId="514">
    <w:name w:val="正文文本缩进 2 Char1"/>
    <w:uiPriority w:val="0"/>
    <w:rPr>
      <w:rFonts w:ascii="Times New Roman" w:hAnsi="Times New Roman" w:eastAsia="宋体" w:cs="Times New Roman"/>
      <w:szCs w:val="24"/>
      <w:lang w:bidi="ar-SA"/>
    </w:rPr>
  </w:style>
  <w:style w:type="character" w:customStyle="1" w:styleId="515">
    <w:name w:val="small-text"/>
    <w:uiPriority w:val="0"/>
  </w:style>
  <w:style w:type="character" w:customStyle="1" w:styleId="516">
    <w:name w:val="纯文本 Char1"/>
    <w:uiPriority w:val="0"/>
    <w:rPr>
      <w:rFonts w:ascii="宋体" w:eastAsia="宋体"/>
      <w:kern w:val="2"/>
      <w:sz w:val="21"/>
      <w:lang w:val="en-US" w:eastAsia="zh-CN" w:bidi="ar-SA"/>
    </w:rPr>
  </w:style>
  <w:style w:type="character" w:customStyle="1" w:styleId="517">
    <w:name w:val="HTML 预设格式 Char1"/>
    <w:uiPriority w:val="0"/>
    <w:rPr>
      <w:rFonts w:ascii="Courier New" w:hAnsi="Courier New" w:eastAsia="宋体" w:cs="Courier New"/>
      <w:sz w:val="20"/>
      <w:szCs w:val="20"/>
      <w:lang w:bidi="ar-SA"/>
    </w:rPr>
  </w:style>
  <w:style w:type="character" w:customStyle="1" w:styleId="518">
    <w:name w:val="sort"/>
    <w:uiPriority w:val="0"/>
    <w:rPr>
      <w:rFonts w:ascii="微软雅黑" w:eastAsia="微软雅黑" w:cs="微软雅黑"/>
      <w:b/>
      <w:color w:val="6D6D6D"/>
      <w:lang w:bidi="ar-SA"/>
    </w:rPr>
  </w:style>
  <w:style w:type="character" w:customStyle="1" w:styleId="519">
    <w:name w:val="正文文本 + 粗体"/>
    <w:uiPriority w:val="0"/>
    <w:rPr>
      <w:rFonts w:ascii="Arial Unicode MS" w:hAnsi="Arial Unicode MS" w:eastAsia="Arial Unicode MS"/>
      <w:b/>
      <w:bCs/>
      <w:color w:val="000000"/>
      <w:spacing w:val="0"/>
      <w:w w:val="100"/>
      <w:position w:val="0"/>
      <w:lang w:val="en-US" w:bidi="ar-SA"/>
    </w:rPr>
  </w:style>
  <w:style w:type="character" w:customStyle="1" w:styleId="520">
    <w:name w:val="批注框文本 Char Char Char"/>
    <w:uiPriority w:val="0"/>
    <w:rPr>
      <w:kern w:val="2"/>
      <w:sz w:val="18"/>
      <w:szCs w:val="18"/>
    </w:rPr>
  </w:style>
  <w:style w:type="character" w:customStyle="1" w:styleId="521">
    <w:name w:val="文档结构图 Char Char Char"/>
    <w:uiPriority w:val="0"/>
    <w:rPr>
      <w:rFonts w:ascii="宋体"/>
      <w:kern w:val="2"/>
      <w:sz w:val="18"/>
      <w:szCs w:val="18"/>
    </w:rPr>
  </w:style>
  <w:style w:type="character" w:customStyle="1" w:styleId="522">
    <w:name w:val="不明显强调2"/>
    <w:uiPriority w:val="0"/>
    <w:rPr>
      <w:i/>
      <w:iCs/>
      <w:color w:val="808080"/>
    </w:rPr>
  </w:style>
  <w:style w:type="character" w:customStyle="1" w:styleId="523">
    <w:name w:val="书籍标题11"/>
    <w:uiPriority w:val="0"/>
    <w:rPr>
      <w:b/>
      <w:smallCaps/>
      <w:spacing w:val="5"/>
    </w:rPr>
  </w:style>
  <w:style w:type="character" w:customStyle="1" w:styleId="524">
    <w:name w:val="标题 #3 + MS Mincho"/>
    <w:uiPriority w:val="0"/>
    <w:rPr>
      <w:rFonts w:ascii="MS Mincho" w:hAnsi="MS Mincho" w:eastAsia="MS Mincho" w:cs="MS Mincho"/>
      <w:color w:val="000000"/>
      <w:spacing w:val="0"/>
      <w:w w:val="100"/>
      <w:position w:val="0"/>
      <w:sz w:val="31"/>
      <w:szCs w:val="31"/>
      <w:lang w:bidi="ar-SA"/>
    </w:rPr>
  </w:style>
  <w:style w:type="character" w:customStyle="1" w:styleId="525">
    <w:name w:val="批注框文本 Char"/>
    <w:uiPriority w:val="0"/>
    <w:rPr>
      <w:kern w:val="2"/>
      <w:sz w:val="18"/>
      <w:szCs w:val="18"/>
    </w:rPr>
  </w:style>
  <w:style w:type="character" w:customStyle="1" w:styleId="526">
    <w:name w:val="标题 #3 + SimSun"/>
    <w:uiPriority w:val="0"/>
    <w:rPr>
      <w:rFonts w:ascii="宋体" w:eastAsia="宋体" w:cs="宋体"/>
      <w:color w:val="000000"/>
      <w:spacing w:val="0"/>
      <w:w w:val="100"/>
      <w:position w:val="0"/>
      <w:sz w:val="32"/>
      <w:szCs w:val="32"/>
      <w:lang w:bidi="ar-SA"/>
    </w:rPr>
  </w:style>
  <w:style w:type="character" w:customStyle="1" w:styleId="527">
    <w:name w:val="text_darkgray1"/>
    <w:uiPriority w:val="0"/>
    <w:rPr>
      <w:color w:val="000000"/>
      <w:spacing w:val="380"/>
      <w:sz w:val="22"/>
    </w:rPr>
  </w:style>
  <w:style w:type="character" w:customStyle="1" w:styleId="528">
    <w:name w:val="标题 9 Char Char Char"/>
    <w:uiPriority w:val="0"/>
    <w:rPr>
      <w:rFonts w:ascii="Cambria" w:hAnsi="Cambria" w:eastAsia="宋体" w:cs="Times New Roman"/>
      <w:kern w:val="2"/>
      <w:sz w:val="21"/>
      <w:szCs w:val="21"/>
      <w:lang w:bidi="ar-SA"/>
    </w:rPr>
  </w:style>
  <w:style w:type="character" w:customStyle="1" w:styleId="529">
    <w:name w:val="标题 9 Char Char"/>
    <w:uiPriority w:val="0"/>
    <w:rPr>
      <w:rFonts w:ascii="Cambria" w:hAnsi="Cambria" w:eastAsia="宋体" w:cs="Times New Roman"/>
      <w:kern w:val="2"/>
      <w:sz w:val="21"/>
      <w:szCs w:val="21"/>
      <w:lang w:bidi="ar-SA"/>
    </w:rPr>
  </w:style>
  <w:style w:type="character" w:customStyle="1" w:styleId="530">
    <w:name w:val="宏文本 Char1"/>
    <w:uiPriority w:val="0"/>
    <w:rPr>
      <w:rFonts w:ascii="Courier New" w:hAnsi="Courier New" w:eastAsia="宋体" w:cs="Courier New"/>
      <w:sz w:val="24"/>
      <w:szCs w:val="24"/>
      <w:lang w:bidi="ar-SA"/>
    </w:rPr>
  </w:style>
  <w:style w:type="character" w:customStyle="1" w:styleId="531">
    <w:name w:val="Footer-Even Char Char"/>
    <w:uiPriority w:val="0"/>
    <w:rPr>
      <w:kern w:val="0"/>
      <w:sz w:val="18"/>
    </w:rPr>
  </w:style>
  <w:style w:type="character" w:customStyle="1" w:styleId="532">
    <w:name w:val="orange1"/>
    <w:uiPriority w:val="0"/>
    <w:rPr>
      <w:rFonts w:ascii="Arial" w:hAnsi="Arial"/>
      <w:b/>
      <w:color w:val="FF6600"/>
      <w:sz w:val="18"/>
    </w:rPr>
  </w:style>
  <w:style w:type="character" w:customStyle="1" w:styleId="533">
    <w:name w:val="签名 Char1"/>
    <w:uiPriority w:val="0"/>
  </w:style>
  <w:style w:type="character" w:customStyle="1" w:styleId="534">
    <w:name w:val="副标题 字符1"/>
    <w:uiPriority w:val="0"/>
    <w:rPr>
      <w:rFonts w:ascii="Calibri" w:hAnsi="Calibri" w:eastAsia="宋体" w:cs="Times New Roman"/>
      <w:b/>
      <w:bCs/>
      <w:kern w:val="28"/>
      <w:sz w:val="32"/>
      <w:szCs w:val="32"/>
      <w:lang w:bidi="ar-SA"/>
    </w:rPr>
  </w:style>
  <w:style w:type="character" w:customStyle="1" w:styleId="535">
    <w:name w:val="正文首行缩进 2 Char1"/>
    <w:uiPriority w:val="0"/>
  </w:style>
  <w:style w:type="character" w:customStyle="1" w:styleId="536">
    <w:name w:val="正文文本 2 Char3"/>
    <w:uiPriority w:val="0"/>
  </w:style>
  <w:style w:type="character" w:customStyle="1" w:styleId="537">
    <w:name w:val="正文首行缩进1 Char Char"/>
    <w:uiPriority w:val="0"/>
    <w:rPr>
      <w:kern w:val="0"/>
      <w:sz w:val="22"/>
    </w:rPr>
  </w:style>
  <w:style w:type="character" w:customStyle="1" w:styleId="538">
    <w:name w:val="正文文本 + 间距 -1 pt"/>
    <w:uiPriority w:val="0"/>
    <w:rPr>
      <w:rFonts w:ascii="MingLiU" w:hAnsi="MingLiU" w:eastAsia="MingLiU" w:cs="MingLiU"/>
      <w:color w:val="000000"/>
      <w:spacing w:val="-20"/>
      <w:w w:val="100"/>
      <w:position w:val="0"/>
      <w:sz w:val="28"/>
      <w:szCs w:val="28"/>
      <w:u w:val="none"/>
      <w:lang w:val="en-US" w:bidi="ar-SA"/>
    </w:rPr>
  </w:style>
  <w:style w:type="character" w:customStyle="1" w:styleId="539">
    <w:name w:val="批注文字 Char Char"/>
    <w:uiPriority w:val="0"/>
    <w:rPr>
      <w:rFonts w:eastAsia="宋体"/>
      <w:szCs w:val="24"/>
      <w:lang w:bidi="ar-SA"/>
    </w:rPr>
  </w:style>
  <w:style w:type="character" w:customStyle="1" w:styleId="540">
    <w:name w:val="（A） Char"/>
    <w:uiPriority w:val="0"/>
    <w:rPr>
      <w:rFonts w:ascii="Cambria" w:hAnsi="Cambria" w:eastAsia="宋体"/>
      <w:color w:val="4F81BD"/>
      <w:kern w:val="0"/>
      <w:sz w:val="20"/>
    </w:rPr>
  </w:style>
  <w:style w:type="character" w:customStyle="1" w:styleId="541">
    <w:name w:val="正文缩进 Char Char"/>
    <w:uiPriority w:val="0"/>
    <w:rPr>
      <w:rFonts w:ascii="Times New Roman" w:hAnsi="Times New Roman" w:eastAsia="宋体" w:cs="Times New Roman"/>
      <w:szCs w:val="24"/>
      <w:lang w:bidi="ar-SA"/>
    </w:rPr>
  </w:style>
  <w:style w:type="character" w:customStyle="1" w:styleId="542">
    <w:name w:val="正文文字 Char Char Char Char Char Char Char Char Char Char Char Char Char Char Char Char Char Char Char Char Char Char Char Char Char Char Char Char Char Char Char Char Char Char Char Char Char Char Char Char Char Char Char Char Char Char Char Char Char  Ch"/>
    <w:uiPriority w:val="0"/>
    <w:rPr>
      <w:rFonts w:eastAsia="宋体"/>
      <w:kern w:val="2"/>
      <w:sz w:val="21"/>
      <w:lang w:val="en-US" w:eastAsia="zh-CN"/>
    </w:rPr>
  </w:style>
  <w:style w:type="character" w:customStyle="1" w:styleId="543">
    <w:name w:val="cnfont1"/>
    <w:uiPriority w:val="0"/>
  </w:style>
  <w:style w:type="character" w:customStyle="1" w:styleId="544">
    <w:name w:val="副标题 Char2"/>
    <w:uiPriority w:val="0"/>
    <w:rPr>
      <w:rFonts w:ascii="Cambria" w:hAnsi="Cambria" w:cs="Times New Roman"/>
      <w:b/>
      <w:bCs/>
      <w:kern w:val="28"/>
      <w:sz w:val="32"/>
      <w:szCs w:val="32"/>
      <w:lang w:bidi="ar-SA"/>
    </w:rPr>
  </w:style>
  <w:style w:type="character" w:customStyle="1" w:styleId="545">
    <w:name w:val="页脚 Char1"/>
    <w:uiPriority w:val="0"/>
    <w:rPr>
      <w:rFonts w:ascii="Times New Roman" w:hAnsi="Times New Roman" w:eastAsia="宋体" w:cs="Times New Roman"/>
      <w:sz w:val="18"/>
      <w:szCs w:val="18"/>
      <w:lang w:bidi="ar-SA"/>
    </w:rPr>
  </w:style>
  <w:style w:type="character" w:customStyle="1" w:styleId="546">
    <w:name w:val="正文文本缩进 3 Char3"/>
    <w:uiPriority w:val="0"/>
    <w:rPr>
      <w:sz w:val="16"/>
      <w:szCs w:val="16"/>
    </w:rPr>
  </w:style>
  <w:style w:type="character" w:customStyle="1" w:styleId="547">
    <w:name w:val="明显引用 Char2"/>
    <w:uiPriority w:val="0"/>
    <w:rPr>
      <w:b/>
      <w:bCs/>
      <w:i/>
      <w:iCs/>
      <w:color w:val="4F81BD"/>
    </w:rPr>
  </w:style>
  <w:style w:type="character" w:customStyle="1" w:styleId="548">
    <w:name w:val="页码2"/>
    <w:uiPriority w:val="0"/>
  </w:style>
  <w:style w:type="character" w:customStyle="1" w:styleId="549">
    <w:name w:val="页脚 Char3"/>
    <w:uiPriority w:val="0"/>
    <w:rPr>
      <w:sz w:val="18"/>
      <w:szCs w:val="18"/>
    </w:rPr>
  </w:style>
  <w:style w:type="character" w:customStyle="1" w:styleId="550">
    <w:name w:val="批注文字 Char"/>
    <w:uiPriority w:val="0"/>
    <w:rPr>
      <w:kern w:val="2"/>
      <w:sz w:val="21"/>
      <w:szCs w:val="22"/>
    </w:rPr>
  </w:style>
  <w:style w:type="character" w:customStyle="1" w:styleId="551">
    <w:name w:val="正文文本 3 Char3"/>
    <w:uiPriority w:val="0"/>
    <w:rPr>
      <w:sz w:val="16"/>
      <w:szCs w:val="16"/>
    </w:rPr>
  </w:style>
  <w:style w:type="character" w:customStyle="1" w:styleId="552">
    <w:name w:val="引用 Char2"/>
    <w:uiPriority w:val="0"/>
    <w:rPr>
      <w:i/>
      <w:iCs/>
      <w:color w:val="000000"/>
    </w:rPr>
  </w:style>
  <w:style w:type="character" w:customStyle="1" w:styleId="553">
    <w:name w:val="_Style 552"/>
    <w:uiPriority w:val="0"/>
    <w:rPr>
      <w:b/>
      <w:smallCaps/>
      <w:spacing w:val="5"/>
    </w:rPr>
  </w:style>
  <w:style w:type="character" w:customStyle="1" w:styleId="554">
    <w:name w:val="正文首行缩进 Char4"/>
    <w:uiPriority w:val="0"/>
  </w:style>
  <w:style w:type="character" w:customStyle="1" w:styleId="555">
    <w:name w:val="正 文 1 Char Char"/>
    <w:uiPriority w:val="0"/>
    <w:rPr>
      <w:rFonts w:ascii="宋体" w:eastAsia="宋体"/>
      <w:kern w:val="2"/>
      <w:sz w:val="21"/>
      <w:szCs w:val="24"/>
      <w:lang w:val="en-US" w:eastAsia="zh-CN" w:bidi="ar-SA"/>
    </w:rPr>
  </w:style>
  <w:style w:type="character" w:customStyle="1" w:styleId="556">
    <w:name w:val="批注文字 Char1"/>
    <w:uiPriority w:val="0"/>
    <w:rPr>
      <w:rFonts w:ascii="Times New Roman" w:hAnsi="Times New Roman" w:eastAsia="宋体" w:cs="Times New Roman"/>
      <w:szCs w:val="24"/>
      <w:lang w:bidi="ar-SA"/>
    </w:rPr>
  </w:style>
  <w:style w:type="character" w:customStyle="1" w:styleId="557">
    <w:name w:val="H6 Char"/>
    <w:uiPriority w:val="0"/>
    <w:rPr>
      <w:rFonts w:ascii="Cambria" w:hAnsi="Cambria" w:eastAsia="宋体"/>
      <w:i/>
      <w:color w:val="243F60"/>
      <w:kern w:val="0"/>
      <w:sz w:val="22"/>
    </w:rPr>
  </w:style>
  <w:style w:type="character" w:customStyle="1" w:styleId="558">
    <w:name w:val="font161"/>
    <w:uiPriority w:val="0"/>
    <w:rPr>
      <w:b/>
      <w:bCs/>
      <w:sz w:val="32"/>
      <w:szCs w:val="32"/>
    </w:rPr>
  </w:style>
  <w:style w:type="character" w:customStyle="1" w:styleId="559">
    <w:name w:val="标题 1 Char"/>
    <w:uiPriority w:val="0"/>
    <w:rPr>
      <w:b/>
      <w:bCs/>
      <w:kern w:val="44"/>
      <w:sz w:val="44"/>
      <w:szCs w:val="44"/>
    </w:rPr>
  </w:style>
  <w:style w:type="character" w:customStyle="1" w:styleId="560">
    <w:name w:val="小节 Cha"/>
    <w:uiPriority w:val="0"/>
    <w:rPr>
      <w:rFonts w:eastAsia="宋体"/>
      <w:b/>
      <w:kern w:val="2"/>
      <w:sz w:val="32"/>
      <w:lang w:val="en-US" w:eastAsia="zh-CN"/>
    </w:rPr>
  </w:style>
  <w:style w:type="character" w:customStyle="1" w:styleId="561">
    <w:name w:val="标题 Char4"/>
    <w:uiPriority w:val="0"/>
    <w:rPr>
      <w:rFonts w:ascii="Cambria" w:hAnsi="Cambria" w:eastAsia="宋体" w:cs="Times New Roman"/>
      <w:b/>
      <w:bCs/>
      <w:sz w:val="32"/>
      <w:szCs w:val="32"/>
      <w:lang w:bidi="ar-SA"/>
    </w:rPr>
  </w:style>
  <w:style w:type="character" w:customStyle="1" w:styleId="562">
    <w:name w:val="_Style 595"/>
    <w:uiPriority w:val="0"/>
    <w:rPr>
      <w:b/>
      <w:smallCaps/>
      <w:spacing w:val="5"/>
    </w:rPr>
  </w:style>
  <w:style w:type="character" w:customStyle="1" w:styleId="563">
    <w:name w:val="文档结构图 Char1"/>
    <w:uiPriority w:val="0"/>
    <w:rPr>
      <w:rFonts w:ascii="宋体" w:eastAsia="宋体" w:cs="Times New Roman"/>
      <w:sz w:val="18"/>
      <w:szCs w:val="18"/>
      <w:lang w:bidi="ar-SA"/>
    </w:rPr>
  </w:style>
  <w:style w:type="character" w:customStyle="1" w:styleId="564">
    <w:name w:val="标题 3 Char Char"/>
    <w:uiPriority w:val="0"/>
    <w:rPr>
      <w:rFonts w:ascii="宋体" w:eastAsia="宋体"/>
      <w:b/>
      <w:bCs/>
      <w:color w:val="FF0000"/>
      <w:kern w:val="2"/>
      <w:sz w:val="24"/>
      <w:szCs w:val="24"/>
      <w:lang w:val="zh-CN" w:eastAsia="zh-CN" w:bidi="ar-SA"/>
    </w:rPr>
  </w:style>
  <w:style w:type="character" w:customStyle="1" w:styleId="565">
    <w:name w:val="文档结构图 Char Char"/>
    <w:uiPriority w:val="0"/>
    <w:rPr>
      <w:rFonts w:ascii="宋体"/>
      <w:kern w:val="2"/>
      <w:sz w:val="18"/>
      <w:szCs w:val="18"/>
    </w:rPr>
  </w:style>
  <w:style w:type="character" w:customStyle="1" w:styleId="566">
    <w:name w:val="正文首行缩进 Char Char Char"/>
    <w:uiPriority w:val="0"/>
    <w:rPr>
      <w:rFonts w:eastAsia="宋体"/>
      <w:szCs w:val="24"/>
    </w:rPr>
  </w:style>
  <w:style w:type="character" w:customStyle="1" w:styleId="567">
    <w:name w:val="表正文 Char1"/>
    <w:uiPriority w:val="0"/>
    <w:rPr>
      <w:rFonts w:eastAsia="宋体"/>
      <w:kern w:val="2"/>
      <w:sz w:val="24"/>
      <w:lang w:val="en-US" w:eastAsia="zh-CN" w:bidi="ar-SA"/>
    </w:rPr>
  </w:style>
  <w:style w:type="character" w:customStyle="1" w:styleId="568">
    <w:name w:val="标题 #7 + 间距 2 pt"/>
    <w:uiPriority w:val="0"/>
    <w:rPr>
      <w:rFonts w:ascii="Arial Unicode MS" w:hAnsi="Arial Unicode MS" w:eastAsia="Arial Unicode MS"/>
      <w:color w:val="000000"/>
      <w:spacing w:val="40"/>
      <w:w w:val="100"/>
      <w:position w:val="0"/>
      <w:lang w:val="zh-CN" w:eastAsia="zh-CN" w:bidi="ar-SA"/>
    </w:rPr>
  </w:style>
  <w:style w:type="character" w:customStyle="1" w:styleId="569">
    <w:name w:val="正文文本1"/>
    <w:uiPriority w:val="0"/>
    <w:rPr>
      <w:rFonts w:ascii="Arial Unicode MS" w:hAnsi="Arial Unicode MS" w:eastAsia="Arial Unicode MS" w:cs="Arial Unicode MS"/>
      <w:color w:val="000000"/>
      <w:spacing w:val="0"/>
      <w:w w:val="100"/>
      <w:position w:val="0"/>
      <w:sz w:val="20"/>
      <w:szCs w:val="20"/>
      <w:u w:val="single"/>
      <w:lang w:val="zh-CN" w:eastAsia="zh-CN" w:bidi="ar-SA"/>
    </w:rPr>
  </w:style>
  <w:style w:type="character" w:customStyle="1" w:styleId="570">
    <w:name w:val="表格标题 + SimSun"/>
    <w:uiPriority w:val="0"/>
    <w:rPr>
      <w:rFonts w:ascii="宋体" w:eastAsia="宋体" w:cs="宋体"/>
      <w:color w:val="000000"/>
      <w:spacing w:val="0"/>
      <w:w w:val="100"/>
      <w:position w:val="0"/>
      <w:sz w:val="20"/>
      <w:szCs w:val="20"/>
      <w:u w:val="single"/>
      <w:lang w:val="en-US" w:bidi="ar-SA"/>
    </w:rPr>
  </w:style>
  <w:style w:type="character" w:customStyle="1" w:styleId="571">
    <w:name w:val="表正文 Char"/>
    <w:uiPriority w:val="0"/>
    <w:rPr>
      <w:rFonts w:eastAsia="宋体"/>
      <w:kern w:val="2"/>
      <w:sz w:val="24"/>
      <w:lang w:val="en-US" w:eastAsia="zh-CN" w:bidi="ar-SA"/>
    </w:rPr>
  </w:style>
  <w:style w:type="character" w:customStyle="1" w:styleId="572">
    <w:name w:val="正文文本缩进 3 Char"/>
    <w:uiPriority w:val="0"/>
    <w:rPr>
      <w:kern w:val="2"/>
      <w:sz w:val="16"/>
      <w:szCs w:val="16"/>
    </w:rPr>
  </w:style>
  <w:style w:type="character" w:customStyle="1" w:styleId="573">
    <w:name w:val="批注主题 Char4"/>
    <w:uiPriority w:val="0"/>
    <w:rPr>
      <w:rFonts w:ascii="Times New Roman" w:hAnsi="Times New Roman" w:eastAsia="宋体" w:cs="Times New Roman"/>
      <w:b/>
      <w:bCs/>
      <w:lang w:bidi="ar-SA"/>
    </w:rPr>
  </w:style>
  <w:style w:type="character" w:customStyle="1" w:styleId="574">
    <w:name w:val="日期 Char"/>
    <w:uiPriority w:val="0"/>
    <w:rPr>
      <w:kern w:val="2"/>
      <w:sz w:val="21"/>
      <w:szCs w:val="22"/>
    </w:rPr>
  </w:style>
  <w:style w:type="character" w:customStyle="1" w:styleId="575">
    <w:name w:val="脚注文本 Char1"/>
    <w:uiPriority w:val="0"/>
    <w:rPr>
      <w:sz w:val="18"/>
      <w:szCs w:val="18"/>
    </w:rPr>
  </w:style>
  <w:style w:type="character" w:customStyle="1" w:styleId="576">
    <w:name w:val="hover27"/>
    <w:uiPriority w:val="0"/>
    <w:rPr>
      <w:shd w:val="clear" w:color="auto" w:fill="EEEEEE"/>
    </w:rPr>
  </w:style>
  <w:style w:type="character" w:customStyle="1" w:styleId="577">
    <w:name w:val="正文文本缩进 Char Char Char"/>
    <w:uiPriority w:val="0"/>
    <w:rPr>
      <w:kern w:val="2"/>
      <w:sz w:val="21"/>
      <w:szCs w:val="22"/>
    </w:rPr>
  </w:style>
  <w:style w:type="character" w:customStyle="1" w:styleId="578">
    <w:name w:val="纯文本 Char2"/>
    <w:uiPriority w:val="0"/>
    <w:rPr>
      <w:rFonts w:ascii="宋体" w:eastAsia="宋体" w:cs="Courier New"/>
      <w:szCs w:val="21"/>
      <w:lang w:bidi="ar-SA"/>
    </w:rPr>
  </w:style>
  <w:style w:type="character" w:customStyle="1" w:styleId="579">
    <w:name w:val="正文文本缩进 Char Char"/>
    <w:uiPriority w:val="0"/>
    <w:rPr>
      <w:kern w:val="2"/>
      <w:sz w:val="21"/>
      <w:szCs w:val="22"/>
    </w:rPr>
  </w:style>
  <w:style w:type="character" w:customStyle="1" w:styleId="580">
    <w:name w:val="二级条标题 Char Char"/>
    <w:uiPriority w:val="0"/>
    <w:rPr>
      <w:rFonts w:eastAsia="黑体"/>
      <w:sz w:val="21"/>
    </w:rPr>
  </w:style>
  <w:style w:type="character" w:customStyle="1" w:styleId="581">
    <w:name w:val="纯文本 Char Char"/>
    <w:uiPriority w:val="0"/>
    <w:rPr>
      <w:rFonts w:ascii="宋体" w:cs="Courier New"/>
      <w:kern w:val="2"/>
      <w:sz w:val="21"/>
      <w:szCs w:val="21"/>
      <w:lang w:bidi="ar-SA"/>
    </w:rPr>
  </w:style>
  <w:style w:type="character" w:customStyle="1" w:styleId="582">
    <w:name w:val="HTML 预设格式 Char Char Char"/>
    <w:uiPriority w:val="0"/>
    <w:rPr>
      <w:rFonts w:ascii="Courier New" w:hAnsi="Courier New" w:cs="Courier New"/>
      <w:kern w:val="2"/>
      <w:lang w:bidi="ar-SA"/>
    </w:rPr>
  </w:style>
  <w:style w:type="character" w:customStyle="1" w:styleId="583">
    <w:name w:val="_Style 582"/>
    <w:uiPriority w:val="0"/>
    <w:rPr>
      <w:i/>
      <w:iCs/>
      <w:color w:val="808080"/>
    </w:rPr>
  </w:style>
  <w:style w:type="character" w:customStyle="1" w:styleId="584">
    <w:name w:val="标题 3 Char"/>
    <w:uiPriority w:val="0"/>
    <w:rPr>
      <w:b/>
      <w:bCs/>
      <w:kern w:val="2"/>
      <w:sz w:val="32"/>
      <w:szCs w:val="32"/>
    </w:rPr>
  </w:style>
  <w:style w:type="character" w:customStyle="1" w:styleId="585">
    <w:name w:val="批注主题 Char"/>
    <w:uiPriority w:val="0"/>
    <w:rPr>
      <w:b/>
      <w:bCs/>
      <w:kern w:val="2"/>
      <w:sz w:val="21"/>
      <w:szCs w:val="22"/>
    </w:rPr>
  </w:style>
  <w:style w:type="character" w:customStyle="1" w:styleId="586">
    <w:name w:val="书籍标题2"/>
    <w:uiPriority w:val="0"/>
    <w:rPr>
      <w:b/>
      <w:smallCaps/>
      <w:spacing w:val="5"/>
    </w:rPr>
  </w:style>
  <w:style w:type="character" w:customStyle="1" w:styleId="587">
    <w:name w:val="Bullet Response Char Char"/>
    <w:uiPriority w:val="0"/>
    <w:rPr>
      <w:rFonts w:ascii="Arial" w:hAnsi="Arial"/>
      <w:b/>
      <w:i/>
      <w:kern w:val="0"/>
      <w:sz w:val="24"/>
    </w:rPr>
  </w:style>
  <w:style w:type="character" w:customStyle="1" w:styleId="588">
    <w:name w:val="testimonials-name1"/>
    <w:uiPriority w:val="0"/>
    <w:rPr>
      <w:color w:val="E6400C"/>
      <w:sz w:val="19"/>
      <w:szCs w:val="19"/>
    </w:rPr>
  </w:style>
  <w:style w:type="character" w:customStyle="1" w:styleId="589">
    <w:name w:val="标题 Char1"/>
    <w:uiPriority w:val="0"/>
    <w:rPr>
      <w:rFonts w:ascii="Cambria" w:hAnsi="Cambria" w:eastAsia="宋体" w:cs="Times New Roman"/>
      <w:b/>
      <w:bCs/>
      <w:sz w:val="32"/>
      <w:szCs w:val="32"/>
      <w:lang w:bidi="ar-SA"/>
    </w:rPr>
  </w:style>
  <w:style w:type="character" w:customStyle="1" w:styleId="590">
    <w:name w:val="批注主题 Char1"/>
    <w:uiPriority w:val="0"/>
    <w:rPr>
      <w:rFonts w:ascii="Times New Roman" w:hAnsi="Times New Roman" w:eastAsia="宋体" w:cs="Times New Roman"/>
      <w:b/>
      <w:bCs/>
      <w:szCs w:val="24"/>
      <w:lang w:bidi="ar-SA"/>
    </w:rPr>
  </w:style>
  <w:style w:type="character" w:customStyle="1" w:styleId="591">
    <w:name w:val="old"/>
    <w:uiPriority w:val="0"/>
    <w:rPr>
      <w:color w:val="999999"/>
    </w:rPr>
  </w:style>
  <w:style w:type="character" w:customStyle="1" w:styleId="592">
    <w:name w:val="页码 New New New New New"/>
    <w:uiPriority w:val="0"/>
  </w:style>
  <w:style w:type="character" w:customStyle="1" w:styleId="593">
    <w:name w:val="_Style 592"/>
    <w:uiPriority w:val="0"/>
    <w:rPr>
      <w:b/>
      <w:i/>
      <w:color w:val="4F81BD"/>
    </w:rPr>
  </w:style>
  <w:style w:type="character" w:customStyle="1" w:styleId="594">
    <w:name w:val="页码 New New New"/>
    <w:uiPriority w:val="0"/>
  </w:style>
  <w:style w:type="character" w:customStyle="1" w:styleId="595">
    <w:name w:val="页码1"/>
    <w:uiPriority w:val="0"/>
  </w:style>
  <w:style w:type="character" w:customStyle="1" w:styleId="596">
    <w:name w:val="Char Char12"/>
    <w:uiPriority w:val="0"/>
    <w:rPr>
      <w:b/>
      <w:kern w:val="44"/>
      <w:sz w:val="44"/>
    </w:rPr>
  </w:style>
  <w:style w:type="character" w:customStyle="1" w:styleId="597">
    <w:name w:val="引用 Char3"/>
    <w:uiPriority w:val="0"/>
    <w:rPr>
      <w:i/>
      <w:iCs/>
      <w:color w:val="000000"/>
      <w:kern w:val="2"/>
      <w:sz w:val="21"/>
      <w:szCs w:val="22"/>
    </w:rPr>
  </w:style>
  <w:style w:type="character" w:customStyle="1" w:styleId="598">
    <w:name w:val="尾注文本 Char"/>
    <w:uiPriority w:val="0"/>
    <w:rPr>
      <w:kern w:val="2"/>
      <w:sz w:val="21"/>
      <w:szCs w:val="22"/>
    </w:rPr>
  </w:style>
  <w:style w:type="character" w:customStyle="1" w:styleId="599">
    <w:name w:val="color-mode-label"/>
    <w:uiPriority w:val="0"/>
  </w:style>
  <w:style w:type="character" w:customStyle="1" w:styleId="600">
    <w:name w:val="标题 #2 + 15.5 pt"/>
    <w:uiPriority w:val="0"/>
    <w:rPr>
      <w:rFonts w:ascii="MingLiU" w:hAnsi="MingLiU" w:eastAsia="MingLiU" w:cs="MingLiU"/>
      <w:color w:val="000000"/>
      <w:spacing w:val="0"/>
      <w:w w:val="100"/>
      <w:position w:val="0"/>
      <w:sz w:val="31"/>
      <w:szCs w:val="31"/>
      <w:u w:val="none"/>
      <w:lang w:val="zh-CN" w:eastAsia="zh-CN" w:bidi="ar-SA"/>
    </w:rPr>
  </w:style>
  <w:style w:type="character" w:customStyle="1" w:styleId="601">
    <w:name w:val="页码3"/>
    <w:uiPriority w:val="0"/>
  </w:style>
  <w:style w:type="character" w:customStyle="1" w:styleId="602">
    <w:name w:val="批注主题 Char2"/>
    <w:uiPriority w:val="0"/>
    <w:rPr>
      <w:rFonts w:ascii="Times New Roman" w:hAnsi="Times New Roman" w:eastAsia="宋体" w:cs="Times New Roman"/>
      <w:b/>
      <w:bCs/>
      <w:szCs w:val="24"/>
      <w:lang w:bidi="ar-SA"/>
    </w:rPr>
  </w:style>
  <w:style w:type="character" w:customStyle="1" w:styleId="603">
    <w:name w:val="引用 Char4"/>
    <w:uiPriority w:val="0"/>
    <w:rPr>
      <w:i/>
      <w:color w:val="000000"/>
    </w:rPr>
  </w:style>
  <w:style w:type="character" w:customStyle="1" w:styleId="604">
    <w:name w:val="正文文本 字符"/>
    <w:uiPriority w:val="0"/>
    <w:rPr>
      <w:kern w:val="2"/>
      <w:sz w:val="21"/>
      <w:szCs w:val="21"/>
    </w:rPr>
  </w:style>
  <w:style w:type="character" w:customStyle="1" w:styleId="605">
    <w:name w:val="书籍标题1"/>
    <w:uiPriority w:val="0"/>
    <w:rPr>
      <w:b/>
      <w:smallCaps/>
      <w:spacing w:val="5"/>
    </w:rPr>
  </w:style>
  <w:style w:type="character" w:customStyle="1" w:styleId="606">
    <w:name w:val="Char Char11"/>
    <w:uiPriority w:val="0"/>
    <w:rPr>
      <w:rFonts w:eastAsia="宋体"/>
      <w:b/>
      <w:bCs/>
      <w:kern w:val="44"/>
      <w:sz w:val="44"/>
      <w:szCs w:val="44"/>
      <w:lang w:val="en-US" w:eastAsia="zh-CN" w:bidi="ar-SA"/>
    </w:rPr>
  </w:style>
  <w:style w:type="character" w:customStyle="1" w:styleId="607">
    <w:name w:val="标题 3 Char Char Char"/>
    <w:uiPriority w:val="0"/>
    <w:rPr>
      <w:b/>
      <w:bCs/>
      <w:kern w:val="2"/>
      <w:sz w:val="32"/>
      <w:szCs w:val="32"/>
    </w:rPr>
  </w:style>
  <w:style w:type="character" w:customStyle="1" w:styleId="608">
    <w:name w:val="正文文本 3 Char Char"/>
    <w:uiPriority w:val="0"/>
    <w:rPr>
      <w:kern w:val="2"/>
      <w:sz w:val="16"/>
      <w:szCs w:val="16"/>
    </w:rPr>
  </w:style>
  <w:style w:type="character" w:customStyle="1" w:styleId="609">
    <w:name w:val="H3 Char"/>
    <w:uiPriority w:val="0"/>
    <w:rPr>
      <w:rFonts w:ascii="宋体"/>
      <w:b/>
      <w:kern w:val="2"/>
      <w:sz w:val="28"/>
    </w:rPr>
  </w:style>
  <w:style w:type="character" w:customStyle="1" w:styleId="610">
    <w:name w:val="页码 New New"/>
    <w:uiPriority w:val="0"/>
  </w:style>
  <w:style w:type="character" w:customStyle="1" w:styleId="611">
    <w:name w:val="正文首行缩进 Char"/>
    <w:uiPriority w:val="0"/>
  </w:style>
  <w:style w:type="character" w:customStyle="1" w:styleId="612">
    <w:name w:val="Char2 Char1"/>
    <w:uiPriority w:val="0"/>
    <w:rPr>
      <w:rFonts w:ascii="Arial" w:hAnsi="Arial" w:eastAsia="黑体"/>
      <w:b/>
      <w:bCs/>
      <w:kern w:val="2"/>
      <w:sz w:val="32"/>
      <w:szCs w:val="32"/>
      <w:lang w:val="en-US" w:eastAsia="zh-CN" w:bidi="ar-SA"/>
    </w:rPr>
  </w:style>
  <w:style w:type="character" w:customStyle="1" w:styleId="613">
    <w:name w:val="font01"/>
    <w:uiPriority w:val="0"/>
    <w:rPr>
      <w:rFonts w:ascii="Times New Roman" w:hAnsi="Times New Roman" w:cs="Times New Roman"/>
      <w:color w:val="000000"/>
      <w:sz w:val="20"/>
      <w:szCs w:val="20"/>
      <w:lang w:bidi="ar-SA"/>
    </w:rPr>
  </w:style>
  <w:style w:type="character" w:customStyle="1" w:styleId="614">
    <w:name w:val="apple-style-span"/>
    <w:uiPriority w:val="0"/>
    <w:rPr>
      <w:rFonts w:eastAsia="宋体"/>
      <w:kern w:val="2"/>
      <w:sz w:val="24"/>
      <w:szCs w:val="24"/>
      <w:lang w:val="en-US" w:eastAsia="zh-CN" w:bidi="ar-SA"/>
    </w:rPr>
  </w:style>
  <w:style w:type="character" w:customStyle="1" w:styleId="615">
    <w:name w:val="font11"/>
    <w:basedOn w:val="59"/>
    <w:uiPriority w:val="0"/>
    <w:rPr>
      <w:rFonts w:ascii="宋体" w:eastAsia="宋体" w:cs="宋体"/>
      <w:color w:val="000000"/>
      <w:sz w:val="20"/>
      <w:szCs w:val="20"/>
      <w:lang w:bidi="ar-SA"/>
    </w:rPr>
  </w:style>
  <w:style w:type="character" w:customStyle="1" w:styleId="616">
    <w:name w:val="标题 8 Char Char"/>
    <w:uiPriority w:val="0"/>
    <w:rPr>
      <w:rFonts w:ascii="Cambria" w:hAnsi="Cambria" w:eastAsia="宋体" w:cs="Times New Roman"/>
      <w:kern w:val="2"/>
      <w:sz w:val="24"/>
      <w:szCs w:val="24"/>
      <w:lang w:bidi="ar-SA"/>
    </w:rPr>
  </w:style>
  <w:style w:type="character" w:customStyle="1" w:styleId="617">
    <w:name w:val="huh Char"/>
    <w:uiPriority w:val="0"/>
    <w:rPr>
      <w:rFonts w:ascii="Cambria" w:hAnsi="Cambria" w:eastAsia="宋体"/>
      <w:i/>
      <w:color w:val="404040"/>
      <w:kern w:val="0"/>
      <w:sz w:val="20"/>
    </w:rPr>
  </w:style>
  <w:style w:type="character" w:customStyle="1" w:styleId="618">
    <w:name w:val="Heading Char"/>
    <w:uiPriority w:val="0"/>
    <w:rPr>
      <w:kern w:val="0"/>
      <w:sz w:val="18"/>
    </w:rPr>
  </w:style>
  <w:style w:type="character" w:customStyle="1" w:styleId="619">
    <w:name w:val="unnamed21"/>
    <w:uiPriority w:val="0"/>
    <w:rPr>
      <w:color w:val="CC6633"/>
      <w:u w:val="none"/>
    </w:rPr>
  </w:style>
  <w:style w:type="character" w:customStyle="1" w:styleId="620">
    <w:name w:val="正文文本缩进 2 Char"/>
    <w:uiPriority w:val="0"/>
    <w:rPr>
      <w:kern w:val="2"/>
      <w:sz w:val="21"/>
      <w:szCs w:val="22"/>
    </w:rPr>
  </w:style>
  <w:style w:type="character" w:customStyle="1" w:styleId="621">
    <w:name w:val="_Style 622"/>
    <w:uiPriority w:val="0"/>
    <w:rPr>
      <w:i/>
      <w:iCs/>
      <w:color w:val="808080"/>
    </w:rPr>
  </w:style>
  <w:style w:type="character" w:customStyle="1" w:styleId="622">
    <w:name w:val="尾注文本 Char1"/>
    <w:uiPriority w:val="0"/>
    <w:rPr>
      <w:rFonts w:ascii="Times New Roman" w:hAnsi="Times New Roman" w:eastAsia="宋体" w:cs="Times New Roman"/>
      <w:szCs w:val="24"/>
      <w:lang w:bidi="ar-SA"/>
    </w:rPr>
  </w:style>
  <w:style w:type="character" w:customStyle="1" w:styleId="623">
    <w:name w:val="正文文本 + MS Mincho"/>
    <w:uiPriority w:val="0"/>
    <w:rPr>
      <w:rFonts w:ascii="MS Mincho" w:hAnsi="MS Mincho" w:eastAsia="MS Mincho" w:cs="MS Mincho"/>
      <w:color w:val="000000"/>
      <w:spacing w:val="0"/>
      <w:w w:val="100"/>
      <w:position w:val="0"/>
      <w:sz w:val="21"/>
      <w:szCs w:val="21"/>
      <w:lang w:val="en-US" w:bidi="ar-SA"/>
    </w:rPr>
  </w:style>
  <w:style w:type="character" w:customStyle="1" w:styleId="624">
    <w:name w:val="页眉 Char3"/>
    <w:uiPriority w:val="0"/>
    <w:rPr>
      <w:sz w:val="18"/>
      <w:szCs w:val="18"/>
    </w:rPr>
  </w:style>
  <w:style w:type="character" w:customStyle="1" w:styleId="625">
    <w:name w:val="特点标题 Char Char"/>
    <w:uiPriority w:val="0"/>
    <w:rPr>
      <w:kern w:val="0"/>
      <w:sz w:val="22"/>
    </w:rPr>
  </w:style>
  <w:style w:type="character" w:customStyle="1" w:styleId="626">
    <w:name w:val="标题 1 Char Char Char"/>
    <w:uiPriority w:val="0"/>
    <w:rPr>
      <w:b/>
      <w:bCs/>
      <w:kern w:val="44"/>
      <w:sz w:val="44"/>
      <w:szCs w:val="44"/>
    </w:rPr>
  </w:style>
  <w:style w:type="character" w:customStyle="1" w:styleId="627">
    <w:name w:val="标题 5 Char"/>
    <w:uiPriority w:val="0"/>
    <w:rPr>
      <w:b/>
      <w:bCs/>
      <w:kern w:val="2"/>
      <w:sz w:val="28"/>
      <w:szCs w:val="28"/>
    </w:rPr>
  </w:style>
  <w:style w:type="character" w:customStyle="1" w:styleId="628">
    <w:name w:val="9ft1"/>
    <w:qFormat/>
    <w:uiPriority w:val="0"/>
    <w:rPr>
      <w:rFonts w:ascii="宋体" w:eastAsia="宋体"/>
      <w:color w:val="000000"/>
      <w:sz w:val="18"/>
      <w:u w:val="none"/>
    </w:rPr>
  </w:style>
  <w:style w:type="character" w:customStyle="1" w:styleId="629">
    <w:name w:val="不明显强调1"/>
    <w:uiPriority w:val="0"/>
    <w:rPr>
      <w:i/>
      <w:iCs/>
      <w:color w:val="808080"/>
    </w:rPr>
  </w:style>
  <w:style w:type="character" w:customStyle="1" w:styleId="630">
    <w:name w:val="二级条标题 Char Char Char"/>
    <w:uiPriority w:val="0"/>
    <w:rPr>
      <w:rFonts w:eastAsia="黑体"/>
    </w:rPr>
  </w:style>
  <w:style w:type="character" w:customStyle="1" w:styleId="631">
    <w:name w:val="Level 3 Head Char1"/>
    <w:uiPriority w:val="0"/>
    <w:rPr>
      <w:rFonts w:ascii="Cambria" w:hAnsi="Cambria" w:eastAsia="宋体"/>
      <w:b/>
      <w:color w:val="4F81BD"/>
      <w:kern w:val="0"/>
      <w:sz w:val="22"/>
    </w:rPr>
  </w:style>
  <w:style w:type="character" w:customStyle="1" w:styleId="632">
    <w:name w:val="正文文本 Char"/>
    <w:uiPriority w:val="0"/>
    <w:rPr>
      <w:rFonts w:eastAsia="宋体"/>
      <w:szCs w:val="24"/>
    </w:rPr>
  </w:style>
  <w:style w:type="character" w:customStyle="1" w:styleId="633">
    <w:name w:val="tw4winMark"/>
    <w:uiPriority w:val="0"/>
    <w:rPr>
      <w:rFonts w:ascii="Courier New" w:hAnsi="Courier New"/>
      <w:vanish/>
      <w:color w:val="800080"/>
      <w:vertAlign w:val="subscript"/>
    </w:rPr>
  </w:style>
  <w:style w:type="character" w:customStyle="1" w:styleId="634">
    <w:name w:val="不明显参考111"/>
    <w:uiPriority w:val="0"/>
    <w:rPr>
      <w:smallCaps/>
      <w:color w:val="C0504D"/>
      <w:u w:val="single"/>
    </w:rPr>
  </w:style>
  <w:style w:type="character" w:customStyle="1" w:styleId="635">
    <w:name w:val="HTML 预设格式 Char Char"/>
    <w:uiPriority w:val="0"/>
    <w:rPr>
      <w:rFonts w:ascii="Courier New" w:hAnsi="Courier New" w:cs="Courier New"/>
      <w:kern w:val="2"/>
      <w:lang w:bidi="ar-SA"/>
    </w:rPr>
  </w:style>
  <w:style w:type="character" w:customStyle="1" w:styleId="636">
    <w:name w:val="书籍标题111"/>
    <w:uiPriority w:val="0"/>
    <w:rPr>
      <w:b/>
      <w:smallCaps/>
      <w:spacing w:val="5"/>
    </w:rPr>
  </w:style>
  <w:style w:type="character" w:customStyle="1" w:styleId="637">
    <w:name w:val="current"/>
    <w:uiPriority w:val="0"/>
    <w:rPr>
      <w:color w:val="FFFFFF"/>
      <w:bdr w:val="single" w:color="2B55AF" w:sz="6" w:space="0"/>
      <w:shd w:val="clear" w:color="auto" w:fill="4F616C"/>
    </w:rPr>
  </w:style>
  <w:style w:type="character" w:customStyle="1" w:styleId="638">
    <w:name w:val="标题 Char Char"/>
    <w:uiPriority w:val="0"/>
    <w:rPr>
      <w:rFonts w:ascii="Cambria" w:hAnsi="Cambria" w:cs="Times New Roman"/>
      <w:b/>
      <w:bCs/>
      <w:kern w:val="2"/>
      <w:sz w:val="32"/>
      <w:szCs w:val="32"/>
      <w:lang w:bidi="ar-SA"/>
    </w:rPr>
  </w:style>
  <w:style w:type="character" w:customStyle="1" w:styleId="639">
    <w:name w:val="正文文本 2 Char1"/>
    <w:uiPriority w:val="0"/>
    <w:rPr>
      <w:rFonts w:ascii="Times New Roman" w:hAnsi="Times New Roman" w:eastAsia="宋体" w:cs="Times New Roman"/>
      <w:szCs w:val="24"/>
      <w:lang w:bidi="ar-SA"/>
    </w:rPr>
  </w:style>
  <w:style w:type="character" w:customStyle="1" w:styleId="640">
    <w:name w:val="disabled"/>
    <w:uiPriority w:val="0"/>
    <w:rPr>
      <w:vanish/>
    </w:rPr>
  </w:style>
  <w:style w:type="character" w:customStyle="1" w:styleId="641">
    <w:name w:val="页眉 Char Char"/>
    <w:uiPriority w:val="0"/>
    <w:rPr>
      <w:kern w:val="2"/>
      <w:sz w:val="18"/>
      <w:szCs w:val="18"/>
    </w:rPr>
  </w:style>
  <w:style w:type="character" w:customStyle="1" w:styleId="642">
    <w:name w:val="副标题 Char1"/>
    <w:uiPriority w:val="0"/>
    <w:rPr>
      <w:rFonts w:ascii="Cambria" w:hAnsi="Cambria" w:eastAsia="宋体" w:cs="Times New Roman"/>
      <w:b/>
      <w:bCs/>
      <w:kern w:val="28"/>
      <w:sz w:val="32"/>
      <w:szCs w:val="32"/>
      <w:lang w:bidi="ar-SA"/>
    </w:rPr>
  </w:style>
  <w:style w:type="character" w:customStyle="1" w:styleId="643">
    <w:name w:val="正文缩进 Char"/>
    <w:uiPriority w:val="0"/>
    <w:rPr>
      <w:rFonts w:ascii="Times New Roman" w:hAnsi="Times New Roman" w:eastAsia="宋体" w:cs="Times New Roman"/>
      <w:szCs w:val="24"/>
      <w:lang w:bidi="ar-SA"/>
    </w:rPr>
  </w:style>
  <w:style w:type="character" w:customStyle="1" w:styleId="644">
    <w:name w:val="正文文本 Char4"/>
    <w:uiPriority w:val="0"/>
  </w:style>
  <w:style w:type="character" w:customStyle="1" w:styleId="645">
    <w:name w:val="目录 + SimSun"/>
    <w:uiPriority w:val="0"/>
    <w:rPr>
      <w:rFonts w:ascii="宋体" w:eastAsia="宋体" w:cs="宋体"/>
      <w:color w:val="000000"/>
      <w:spacing w:val="0"/>
      <w:w w:val="100"/>
      <w:position w:val="0"/>
      <w:sz w:val="20"/>
      <w:szCs w:val="20"/>
      <w:u w:val="none"/>
      <w:lang w:val="zh-CN" w:eastAsia="zh-CN" w:bidi="ar-SA"/>
    </w:rPr>
  </w:style>
  <w:style w:type="character" w:customStyle="1" w:styleId="646">
    <w:name w:val="（1） Char"/>
    <w:uiPriority w:val="0"/>
    <w:rPr>
      <w:rFonts w:ascii="Cambria" w:hAnsi="Cambria" w:eastAsia="宋体"/>
      <w:i/>
      <w:color w:val="404040"/>
      <w:kern w:val="0"/>
      <w:sz w:val="22"/>
    </w:rPr>
  </w:style>
  <w:style w:type="character" w:customStyle="1" w:styleId="647">
    <w:name w:val="标题 Char"/>
    <w:uiPriority w:val="0"/>
    <w:rPr>
      <w:rFonts w:ascii="Cambria" w:hAnsi="Cambria" w:cs="Times New Roman"/>
      <w:b/>
      <w:bCs/>
      <w:kern w:val="2"/>
      <w:sz w:val="32"/>
      <w:szCs w:val="32"/>
      <w:lang w:bidi="ar-SA"/>
    </w:rPr>
  </w:style>
  <w:style w:type="character" w:customStyle="1" w:styleId="648">
    <w:name w:val="批注文字 Char3"/>
    <w:uiPriority w:val="0"/>
    <w:rPr>
      <w:rFonts w:ascii="Times New Roman" w:hAnsi="Times New Roman" w:eastAsia="宋体" w:cs="Times New Roman"/>
      <w:lang w:bidi="ar-SA"/>
    </w:rPr>
  </w:style>
  <w:style w:type="character" w:customStyle="1" w:styleId="649">
    <w:name w:val="titleblack14px1"/>
    <w:uiPriority w:val="0"/>
    <w:rPr>
      <w:b/>
      <w:color w:val="000000"/>
      <w:sz w:val="21"/>
    </w:rPr>
  </w:style>
  <w:style w:type="character" w:customStyle="1" w:styleId="650">
    <w:name w:val="正文文本 2 Char Char"/>
    <w:uiPriority w:val="0"/>
    <w:rPr>
      <w:kern w:val="2"/>
      <w:sz w:val="21"/>
      <w:szCs w:val="22"/>
    </w:rPr>
  </w:style>
  <w:style w:type="character" w:customStyle="1" w:styleId="651">
    <w:name w:val="正文文本缩进 Char"/>
    <w:uiPriority w:val="0"/>
    <w:rPr>
      <w:kern w:val="2"/>
      <w:sz w:val="21"/>
      <w:szCs w:val="22"/>
    </w:rPr>
  </w:style>
  <w:style w:type="character" w:customStyle="1" w:styleId="652">
    <w:name w:val="页码 New New New New"/>
    <w:uiPriority w:val="0"/>
  </w:style>
  <w:style w:type="character" w:customStyle="1" w:styleId="653">
    <w:name w:val="正文文本 Char2"/>
    <w:uiPriority w:val="0"/>
    <w:rPr>
      <w:rFonts w:ascii="Times New Roman" w:hAnsi="Times New Roman" w:eastAsia="宋体" w:cs="Times New Roman"/>
      <w:szCs w:val="24"/>
      <w:lang w:bidi="ar-SA"/>
    </w:rPr>
  </w:style>
  <w:style w:type="character" w:customStyle="1" w:styleId="654">
    <w:name w:val="正文文本缩进 Char1"/>
    <w:uiPriority w:val="0"/>
    <w:rPr>
      <w:rFonts w:ascii="Times New Roman" w:hAnsi="Times New Roman" w:eastAsia="宋体" w:cs="Times New Roman"/>
      <w:szCs w:val="24"/>
      <w:lang w:bidi="ar-SA"/>
    </w:rPr>
  </w:style>
  <w:style w:type="character" w:customStyle="1" w:styleId="655">
    <w:name w:val="正文文本缩进 Char3"/>
    <w:uiPriority w:val="0"/>
  </w:style>
  <w:style w:type="character" w:customStyle="1" w:styleId="656">
    <w:name w:val="H3 Char2"/>
    <w:uiPriority w:val="0"/>
    <w:rPr>
      <w:rFonts w:ascii="宋体" w:eastAsia="宋体"/>
      <w:b/>
      <w:kern w:val="2"/>
      <w:sz w:val="28"/>
      <w:lang w:val="en-US" w:eastAsia="zh-CN" w:bidi="ar-SA"/>
    </w:rPr>
  </w:style>
  <w:style w:type="character" w:customStyle="1" w:styleId="657">
    <w:name w:val="样式 正文文本 Char Char"/>
    <w:uiPriority w:val="0"/>
    <w:rPr>
      <w:rFonts w:ascii="Arial" w:hAnsi="Arial"/>
      <w:color w:val="000000"/>
      <w:sz w:val="21"/>
    </w:rPr>
  </w:style>
  <w:style w:type="character" w:customStyle="1" w:styleId="658">
    <w:name w:val="明显引用 Char4"/>
    <w:uiPriority w:val="0"/>
    <w:rPr>
      <w:b/>
      <w:i/>
      <w:color w:val="4F81BD"/>
    </w:rPr>
  </w:style>
  <w:style w:type="character" w:customStyle="1" w:styleId="659">
    <w:name w:val="标题 #2 (2) + 间距 -1 pt"/>
    <w:uiPriority w:val="0"/>
    <w:rPr>
      <w:rFonts w:ascii="宋体" w:eastAsia="宋体" w:cs="宋体"/>
      <w:color w:val="000000"/>
      <w:spacing w:val="-20"/>
      <w:w w:val="100"/>
      <w:position w:val="0"/>
      <w:sz w:val="33"/>
      <w:szCs w:val="33"/>
      <w:u w:val="none"/>
      <w:lang w:val="zh-CN" w:eastAsia="zh-CN" w:bidi="ar-SA"/>
    </w:rPr>
  </w:style>
  <w:style w:type="character" w:customStyle="1" w:styleId="660">
    <w:name w:val="尾注文本 Char3"/>
    <w:uiPriority w:val="0"/>
  </w:style>
  <w:style w:type="character" w:customStyle="1" w:styleId="661">
    <w:name w:val="页脚 Char"/>
    <w:uiPriority w:val="0"/>
    <w:rPr>
      <w:kern w:val="2"/>
      <w:sz w:val="18"/>
      <w:szCs w:val="18"/>
    </w:rPr>
  </w:style>
  <w:style w:type="character" w:customStyle="1" w:styleId="662">
    <w:name w:val="文档结构图 Char"/>
    <w:uiPriority w:val="0"/>
    <w:rPr>
      <w:rFonts w:ascii="宋体"/>
      <w:kern w:val="2"/>
      <w:sz w:val="18"/>
      <w:szCs w:val="18"/>
    </w:rPr>
  </w:style>
  <w:style w:type="character" w:customStyle="1" w:styleId="663">
    <w:name w:val="页眉或页脚 + Arial Unicode MS"/>
    <w:uiPriority w:val="0"/>
    <w:rPr>
      <w:rFonts w:ascii="Arial Unicode MS" w:hAnsi="Arial Unicode MS" w:eastAsia="Arial Unicode MS" w:cs="Arial Unicode MS"/>
      <w:color w:val="000000"/>
      <w:spacing w:val="10"/>
      <w:w w:val="100"/>
      <w:position w:val="0"/>
      <w:sz w:val="10"/>
      <w:szCs w:val="10"/>
      <w:u w:val="none"/>
      <w:lang w:bidi="ar-SA"/>
    </w:rPr>
  </w:style>
  <w:style w:type="character" w:customStyle="1" w:styleId="664">
    <w:name w:val="表格 Char Char Char"/>
    <w:uiPriority w:val="0"/>
    <w:rPr>
      <w:rFonts w:ascii="华文细黑" w:hAnsi="华文细黑"/>
    </w:rPr>
  </w:style>
  <w:style w:type="character" w:customStyle="1" w:styleId="665">
    <w:name w:val="sep"/>
    <w:uiPriority w:val="0"/>
    <w:rPr>
      <w:shd w:val="clear" w:color="auto" w:fill="EAEAEA"/>
    </w:rPr>
  </w:style>
  <w:style w:type="character" w:customStyle="1" w:styleId="666">
    <w:name w:val="明显引用 Char3"/>
    <w:uiPriority w:val="0"/>
    <w:rPr>
      <w:rFonts w:ascii="Times New Roman" w:hAnsi="Times New Roman"/>
      <w:b/>
      <w:bCs/>
      <w:i/>
      <w:iCs/>
      <w:color w:val="4F81BD"/>
      <w:kern w:val="2"/>
      <w:sz w:val="21"/>
      <w:szCs w:val="22"/>
    </w:rPr>
  </w:style>
  <w:style w:type="character" w:customStyle="1" w:styleId="667">
    <w:name w:val="不明显参考11"/>
    <w:uiPriority w:val="0"/>
    <w:rPr>
      <w:smallCaps/>
      <w:color w:val="C0504D"/>
      <w:u w:val="single"/>
    </w:rPr>
  </w:style>
  <w:style w:type="character" w:customStyle="1" w:styleId="668">
    <w:name w:val="正文首行缩进 Char2"/>
    <w:uiPriority w:val="0"/>
  </w:style>
  <w:style w:type="character" w:customStyle="1" w:styleId="669">
    <w:name w:val="Char Char15"/>
    <w:uiPriority w:val="0"/>
    <w:rPr>
      <w:sz w:val="18"/>
      <w:szCs w:val="18"/>
    </w:rPr>
  </w:style>
  <w:style w:type="character" w:customStyle="1" w:styleId="670">
    <w:name w:val="testimonials-post1"/>
    <w:uiPriority w:val="0"/>
    <w:rPr>
      <w:color w:val="656565"/>
      <w:sz w:val="18"/>
      <w:szCs w:val="18"/>
    </w:rPr>
  </w:style>
  <w:style w:type="character" w:customStyle="1" w:styleId="671">
    <w:name w:val="明显参考111"/>
    <w:uiPriority w:val="0"/>
    <w:rPr>
      <w:b/>
      <w:smallCaps/>
      <w:color w:val="C0504D"/>
      <w:spacing w:val="5"/>
      <w:u w:val="single"/>
    </w:rPr>
  </w:style>
  <w:style w:type="character" w:customStyle="1" w:styleId="672">
    <w:name w:val="标题 1 Char Char"/>
    <w:uiPriority w:val="0"/>
    <w:rPr>
      <w:b/>
      <w:bCs/>
      <w:kern w:val="44"/>
      <w:sz w:val="44"/>
      <w:szCs w:val="44"/>
    </w:rPr>
  </w:style>
  <w:style w:type="character" w:customStyle="1" w:styleId="673">
    <w:name w:val="正文文本缩进 3 Char1"/>
    <w:uiPriority w:val="0"/>
    <w:rPr>
      <w:rFonts w:ascii="Times New Roman" w:hAnsi="Times New Roman" w:eastAsia="宋体" w:cs="Times New Roman"/>
      <w:sz w:val="16"/>
      <w:szCs w:val="16"/>
      <w:lang w:bidi="ar-SA"/>
    </w:rPr>
  </w:style>
  <w:style w:type="character" w:customStyle="1" w:styleId="674">
    <w:name w:val="批注框文本 Char3"/>
    <w:uiPriority w:val="0"/>
    <w:rPr>
      <w:sz w:val="18"/>
      <w:szCs w:val="18"/>
    </w:rPr>
  </w:style>
  <w:style w:type="character" w:customStyle="1" w:styleId="675">
    <w:name w:val="纯文本 Char4"/>
    <w:uiPriority w:val="0"/>
    <w:rPr>
      <w:rFonts w:ascii="宋体" w:eastAsia="宋体" w:cs="Courier New"/>
      <w:szCs w:val="21"/>
      <w:lang w:bidi="ar-SA"/>
    </w:rPr>
  </w:style>
  <w:style w:type="character" w:customStyle="1" w:styleId="676">
    <w:name w:val="明显参考1"/>
    <w:uiPriority w:val="0"/>
    <w:rPr>
      <w:b/>
      <w:smallCaps/>
      <w:color w:val="C0504D"/>
      <w:spacing w:val="5"/>
      <w:u w:val="single"/>
    </w:rPr>
  </w:style>
  <w:style w:type="character" w:customStyle="1" w:styleId="677">
    <w:name w:val="new"/>
    <w:uiPriority w:val="0"/>
    <w:rPr>
      <w:color w:val="999999"/>
    </w:rPr>
  </w:style>
  <w:style w:type="character" w:customStyle="1" w:styleId="678">
    <w:name w:val="10"/>
    <w:uiPriority w:val="0"/>
    <w:rPr>
      <w:rFonts w:ascii="Times New Roman" w:hAnsi="Times New Roman" w:cs="Times New Roman"/>
      <w:lang w:bidi="ar-SA"/>
    </w:rPr>
  </w:style>
  <w:style w:type="character" w:customStyle="1" w:styleId="679">
    <w:name w:val="正文文本 2 Char"/>
    <w:uiPriority w:val="0"/>
    <w:rPr>
      <w:kern w:val="2"/>
      <w:sz w:val="21"/>
      <w:szCs w:val="22"/>
    </w:rPr>
  </w:style>
  <w:style w:type="character" w:customStyle="1" w:styleId="680">
    <w:name w:val="正文文本缩进 2 Char3"/>
    <w:uiPriority w:val="0"/>
  </w:style>
  <w:style w:type="character" w:customStyle="1" w:styleId="681">
    <w:name w:val="明显参考11"/>
    <w:uiPriority w:val="0"/>
    <w:rPr>
      <w:b/>
      <w:smallCaps/>
      <w:color w:val="C0504D"/>
      <w:spacing w:val="5"/>
      <w:u w:val="single"/>
    </w:rPr>
  </w:style>
  <w:style w:type="character" w:customStyle="1" w:styleId="682">
    <w:name w:val="正文文本缩进 3 Char Char Char"/>
    <w:uiPriority w:val="0"/>
    <w:rPr>
      <w:kern w:val="2"/>
      <w:sz w:val="16"/>
      <w:szCs w:val="16"/>
    </w:rPr>
  </w:style>
  <w:style w:type="character" w:customStyle="1" w:styleId="683">
    <w:name w:val="_Style 682"/>
    <w:uiPriority w:val="0"/>
    <w:rPr>
      <w:b/>
      <w:smallCaps/>
      <w:color w:val="C0504D"/>
      <w:spacing w:val="5"/>
      <w:u w:val="single"/>
    </w:rPr>
  </w:style>
  <w:style w:type="character" w:customStyle="1" w:styleId="684">
    <w:name w:val="HTML 预设格式 Char"/>
    <w:uiPriority w:val="0"/>
    <w:rPr>
      <w:rFonts w:ascii="Courier New" w:hAnsi="Courier New" w:cs="Courier New"/>
      <w:kern w:val="2"/>
      <w:lang w:bidi="ar-SA"/>
    </w:rPr>
  </w:style>
  <w:style w:type="character" w:customStyle="1" w:styleId="685">
    <w:name w:val="_Style 684"/>
    <w:uiPriority w:val="0"/>
    <w:rPr>
      <w:smallCaps/>
      <w:color w:val="C0504D"/>
      <w:u w:val="single"/>
    </w:rPr>
  </w:style>
  <w:style w:type="character" w:customStyle="1" w:styleId="686">
    <w:name w:val="正文文本 (2) + Arial Unicode MS"/>
    <w:uiPriority w:val="0"/>
    <w:rPr>
      <w:rFonts w:ascii="Arial Unicode MS" w:hAnsi="Arial Unicode MS" w:eastAsia="Arial Unicode MS" w:cs="Arial Unicode MS"/>
      <w:color w:val="000000"/>
      <w:spacing w:val="0"/>
      <w:w w:val="100"/>
      <w:position w:val="0"/>
      <w:lang w:val="zh-CN" w:eastAsia="zh-CN" w:bidi="ar-SA"/>
    </w:rPr>
  </w:style>
  <w:style w:type="character" w:customStyle="1" w:styleId="687">
    <w:name w:val="文档结构图 Char2"/>
    <w:uiPriority w:val="0"/>
    <w:rPr>
      <w:rFonts w:ascii="宋体" w:eastAsia="宋体" w:cs="Times New Roman"/>
      <w:sz w:val="18"/>
      <w:szCs w:val="18"/>
      <w:lang w:bidi="ar-SA"/>
    </w:rPr>
  </w:style>
  <w:style w:type="character" w:customStyle="1" w:styleId="688">
    <w:name w:val="正文首行缩进 Char Char"/>
    <w:uiPriority w:val="0"/>
    <w:rPr>
      <w:kern w:val="2"/>
      <w:sz w:val="21"/>
      <w:szCs w:val="22"/>
    </w:rPr>
  </w:style>
  <w:style w:type="character" w:customStyle="1" w:styleId="689">
    <w:name w:val="HTML 预设格式 Char3"/>
    <w:uiPriority w:val="0"/>
    <w:rPr>
      <w:rFonts w:ascii="Courier New" w:hAnsi="Courier New" w:cs="Courier New"/>
      <w:sz w:val="20"/>
      <w:szCs w:val="20"/>
      <w:lang w:bidi="ar-SA"/>
    </w:rPr>
  </w:style>
  <w:style w:type="character" w:customStyle="1" w:styleId="690">
    <w:name w:val="页脚 Char Char"/>
    <w:uiPriority w:val="0"/>
    <w:rPr>
      <w:kern w:val="2"/>
      <w:sz w:val="18"/>
      <w:szCs w:val="18"/>
    </w:rPr>
  </w:style>
  <w:style w:type="character" w:customStyle="1" w:styleId="691">
    <w:name w:val="日期 Char Char"/>
    <w:uiPriority w:val="0"/>
    <w:rPr>
      <w:kern w:val="2"/>
      <w:sz w:val="21"/>
      <w:szCs w:val="22"/>
    </w:rPr>
  </w:style>
  <w:style w:type="character" w:customStyle="1" w:styleId="692">
    <w:name w:val="正文文本 3 Char1"/>
    <w:uiPriority w:val="0"/>
    <w:rPr>
      <w:rFonts w:ascii="Times New Roman" w:hAnsi="Times New Roman" w:eastAsia="宋体" w:cs="Times New Roman"/>
      <w:sz w:val="16"/>
      <w:szCs w:val="16"/>
      <w:lang w:bidi="ar-SA"/>
    </w:rPr>
  </w:style>
  <w:style w:type="character" w:customStyle="1" w:styleId="693">
    <w:name w:val="style131"/>
    <w:uiPriority w:val="0"/>
    <w:rPr>
      <w:rFonts w:ascii="宋体" w:eastAsia="宋体"/>
      <w:color w:val="555555"/>
      <w:spacing w:val="360"/>
      <w:sz w:val="18"/>
    </w:rPr>
  </w:style>
  <w:style w:type="character" w:customStyle="1" w:styleId="694">
    <w:name w:val="标题 9 Char"/>
    <w:uiPriority w:val="0"/>
    <w:rPr>
      <w:rFonts w:ascii="Cambria" w:hAnsi="Cambria" w:eastAsia="宋体" w:cs="Times New Roman"/>
      <w:kern w:val="2"/>
      <w:sz w:val="21"/>
      <w:szCs w:val="21"/>
      <w:lang w:bidi="ar-SA"/>
    </w:rPr>
  </w:style>
  <w:style w:type="character" w:customStyle="1" w:styleId="695">
    <w:name w:val="标题 7 Char"/>
    <w:uiPriority w:val="0"/>
    <w:rPr>
      <w:b/>
      <w:bCs/>
      <w:kern w:val="2"/>
      <w:sz w:val="24"/>
      <w:szCs w:val="24"/>
    </w:rPr>
  </w:style>
  <w:style w:type="character" w:customStyle="1" w:styleId="696">
    <w:name w:val="标题 #4 (2) + 10.5 pt"/>
    <w:uiPriority w:val="0"/>
    <w:rPr>
      <w:rFonts w:ascii="宋体" w:eastAsia="宋体"/>
      <w:b/>
      <w:bCs/>
      <w:color w:val="000000"/>
      <w:spacing w:val="0"/>
      <w:w w:val="100"/>
      <w:position w:val="0"/>
      <w:sz w:val="21"/>
      <w:szCs w:val="21"/>
      <w:u w:val="single"/>
      <w:lang w:val="zh-CN" w:eastAsia="zh-CN" w:bidi="ar-SA"/>
    </w:rPr>
  </w:style>
  <w:style w:type="character" w:customStyle="1" w:styleId="697">
    <w:name w:val="不明显强调11"/>
    <w:uiPriority w:val="0"/>
    <w:rPr>
      <w:i/>
      <w:iCs/>
      <w:color w:val="808080"/>
    </w:rPr>
  </w:style>
  <w:style w:type="character" w:customStyle="1" w:styleId="698">
    <w:name w:val="Char Char10"/>
    <w:uiPriority w:val="0"/>
    <w:rPr>
      <w:rFonts w:ascii="Arial" w:hAnsi="Arial" w:eastAsia="黑体"/>
      <w:b/>
      <w:bCs/>
      <w:kern w:val="2"/>
      <w:sz w:val="32"/>
      <w:szCs w:val="32"/>
      <w:lang w:val="en-US" w:eastAsia="zh-CN" w:bidi="ar-SA"/>
    </w:rPr>
  </w:style>
  <w:style w:type="character" w:customStyle="1" w:styleId="699">
    <w:name w:val="NormalCharacter"/>
    <w:uiPriority w:val="0"/>
  </w:style>
  <w:style w:type="character" w:customStyle="1" w:styleId="700">
    <w:name w:val="标题 4 Char"/>
    <w:uiPriority w:val="0"/>
    <w:rPr>
      <w:rFonts w:ascii="Cambria" w:hAnsi="Cambria" w:eastAsia="宋体" w:cs="Times New Roman"/>
      <w:b/>
      <w:bCs/>
      <w:kern w:val="2"/>
      <w:sz w:val="28"/>
      <w:szCs w:val="28"/>
      <w:lang w:bidi="ar-SA"/>
    </w:rPr>
  </w:style>
  <w:style w:type="character" w:customStyle="1" w:styleId="701">
    <w:name w:val="无"/>
    <w:uiPriority w:val="0"/>
    <w:rPr>
      <w:lang w:val="zh-TW" w:eastAsia="zh-TW"/>
    </w:rPr>
  </w:style>
  <w:style w:type="character" w:customStyle="1" w:styleId="702">
    <w:name w:val="正文文本 Char Char"/>
    <w:uiPriority w:val="0"/>
    <w:rPr>
      <w:rFonts w:eastAsia="宋体"/>
      <w:szCs w:val="24"/>
    </w:rPr>
  </w:style>
  <w:style w:type="character" w:customStyle="1" w:styleId="703">
    <w:name w:val="cuti1"/>
    <w:uiPriority w:val="0"/>
    <w:rPr>
      <w:b/>
      <w:sz w:val="21"/>
      <w:u w:val="none"/>
    </w:rPr>
  </w:style>
  <w:style w:type="character" w:customStyle="1" w:styleId="704">
    <w:name w:val="表格 Char Char"/>
    <w:uiPriority w:val="0"/>
    <w:rPr>
      <w:rFonts w:ascii="华文细黑" w:hAnsi="华文细黑"/>
      <w:sz w:val="21"/>
    </w:rPr>
  </w:style>
  <w:style w:type="character" w:customStyle="1" w:styleId="705">
    <w:name w:val="_Style 496"/>
    <w:uiPriority w:val="0"/>
    <w:rPr>
      <w:b/>
      <w:smallCaps/>
      <w:color w:val="C0504D"/>
      <w:spacing w:val="5"/>
      <w:u w:val="single"/>
    </w:rPr>
  </w:style>
  <w:style w:type="character" w:customStyle="1" w:styleId="706">
    <w:name w:val="明显强调111"/>
    <w:uiPriority w:val="0"/>
    <w:rPr>
      <w:b/>
      <w:i/>
      <w:color w:val="4F81BD"/>
    </w:rPr>
  </w:style>
  <w:style w:type="character" w:customStyle="1" w:styleId="707">
    <w:name w:val="weby1"/>
    <w:uiPriority w:val="0"/>
  </w:style>
  <w:style w:type="character" w:customStyle="1" w:styleId="708">
    <w:name w:val="引用 Char1"/>
    <w:uiPriority w:val="0"/>
    <w:rPr>
      <w:i/>
      <w:iCs/>
      <w:color w:val="000000"/>
      <w:kern w:val="2"/>
      <w:sz w:val="21"/>
      <w:szCs w:val="22"/>
    </w:rPr>
  </w:style>
  <w:style w:type="character" w:customStyle="1" w:styleId="709">
    <w:name w:val="标题 1 Char1"/>
    <w:uiPriority w:val="0"/>
    <w:rPr>
      <w:rFonts w:eastAsia="宋体"/>
      <w:b/>
      <w:bCs/>
      <w:kern w:val="44"/>
      <w:sz w:val="44"/>
      <w:szCs w:val="44"/>
      <w:lang w:val="en-US" w:eastAsia="zh-CN" w:bidi="ar-SA"/>
    </w:rPr>
  </w:style>
  <w:style w:type="character" w:customStyle="1" w:styleId="710">
    <w:name w:val="标题 4 Char Char Char"/>
    <w:uiPriority w:val="0"/>
    <w:rPr>
      <w:rFonts w:ascii="Cambria" w:hAnsi="Cambria" w:eastAsia="宋体" w:cs="Times New Roman"/>
      <w:b/>
      <w:bCs/>
      <w:kern w:val="2"/>
      <w:sz w:val="28"/>
      <w:szCs w:val="28"/>
      <w:lang w:bidi="ar-SA"/>
    </w:rPr>
  </w:style>
  <w:style w:type="character" w:customStyle="1" w:styleId="711">
    <w:name w:val="标题 8 Char"/>
    <w:uiPriority w:val="0"/>
    <w:rPr>
      <w:rFonts w:ascii="Cambria" w:hAnsi="Cambria" w:eastAsia="宋体" w:cs="Times New Roman"/>
      <w:kern w:val="2"/>
      <w:sz w:val="24"/>
      <w:szCs w:val="24"/>
      <w:lang w:bidi="ar-SA"/>
    </w:rPr>
  </w:style>
  <w:style w:type="character" w:customStyle="1" w:styleId="712">
    <w:name w:val="标题 6 Char Char"/>
    <w:uiPriority w:val="0"/>
    <w:rPr>
      <w:rFonts w:ascii="Cambria" w:hAnsi="Cambria" w:eastAsia="宋体" w:cs="Times New Roman"/>
      <w:b/>
      <w:bCs/>
      <w:kern w:val="2"/>
      <w:sz w:val="24"/>
      <w:szCs w:val="24"/>
      <w:lang w:bidi="ar-SA"/>
    </w:rPr>
  </w:style>
  <w:style w:type="character" w:customStyle="1" w:styleId="713">
    <w:name w:val="正文文本 3 Char"/>
    <w:uiPriority w:val="0"/>
    <w:rPr>
      <w:kern w:val="2"/>
      <w:sz w:val="16"/>
      <w:szCs w:val="16"/>
    </w:rPr>
  </w:style>
  <w:style w:type="character" w:customStyle="1" w:styleId="714">
    <w:name w:val="15"/>
    <w:uiPriority w:val="0"/>
    <w:rPr>
      <w:rFonts w:ascii="Times New Roman" w:hAnsi="Times New Roman" w:cs="Times New Roman"/>
      <w:lang w:bidi="ar-SA"/>
    </w:rPr>
  </w:style>
  <w:style w:type="character" w:customStyle="1" w:styleId="715">
    <w:name w:val="标题 2 Char1"/>
    <w:uiPriority w:val="0"/>
    <w:rPr>
      <w:rFonts w:ascii="Arial" w:hAnsi="Arial" w:eastAsia="黑体"/>
      <w:b/>
      <w:bCs/>
      <w:kern w:val="2"/>
      <w:sz w:val="32"/>
      <w:szCs w:val="32"/>
      <w:lang w:val="en-US" w:eastAsia="zh-CN" w:bidi="ar-SA"/>
    </w:rPr>
  </w:style>
  <w:style w:type="character" w:customStyle="1" w:styleId="716">
    <w:name w:val="标题 6 Char"/>
    <w:uiPriority w:val="0"/>
    <w:rPr>
      <w:rFonts w:ascii="Cambria" w:hAnsi="Cambria" w:eastAsia="宋体" w:cs="Times New Roman"/>
      <w:b/>
      <w:bCs/>
      <w:kern w:val="2"/>
      <w:sz w:val="24"/>
      <w:szCs w:val="24"/>
      <w:lang w:bidi="ar-SA"/>
    </w:rPr>
  </w:style>
  <w:style w:type="character" w:customStyle="1" w:styleId="717">
    <w:name w:val="页脚 字符"/>
    <w:uiPriority w:val="0"/>
    <w:rPr>
      <w:sz w:val="18"/>
      <w:szCs w:val="18"/>
    </w:rPr>
  </w:style>
  <w:style w:type="character" w:customStyle="1" w:styleId="718">
    <w:name w:val="文档结构图 Char4"/>
    <w:uiPriority w:val="0"/>
    <w:rPr>
      <w:rFonts w:ascii="宋体" w:eastAsia="宋体"/>
      <w:sz w:val="18"/>
      <w:szCs w:val="18"/>
    </w:rPr>
  </w:style>
  <w:style w:type="character" w:customStyle="1" w:styleId="719">
    <w:name w:val="标题 7 Char Char"/>
    <w:uiPriority w:val="0"/>
    <w:rPr>
      <w:b/>
      <w:bCs/>
      <w:kern w:val="2"/>
      <w:sz w:val="24"/>
      <w:szCs w:val="24"/>
    </w:rPr>
  </w:style>
  <w:style w:type="character" w:customStyle="1" w:styleId="720">
    <w:name w:val="页码 New"/>
    <w:uiPriority w:val="0"/>
  </w:style>
  <w:style w:type="character" w:customStyle="1" w:styleId="721">
    <w:name w:val="line1801"/>
    <w:uiPriority w:val="0"/>
    <w:rPr>
      <w:spacing w:val="380"/>
      <w:sz w:val="19"/>
    </w:rPr>
  </w:style>
  <w:style w:type="character" w:customStyle="1" w:styleId="722">
    <w:name w:val="C C"/>
    <w:uiPriority w:val="0"/>
    <w:rPr>
      <w:rFonts w:eastAsia="宋体"/>
      <w:b/>
      <w:kern w:val="2"/>
      <w:sz w:val="32"/>
      <w:lang w:val="en-US" w:eastAsia="zh-CN"/>
    </w:rPr>
  </w:style>
  <w:style w:type="character" w:customStyle="1" w:styleId="723">
    <w:name w:val="明显强调11"/>
    <w:uiPriority w:val="0"/>
    <w:rPr>
      <w:b/>
      <w:i/>
      <w:color w:val="4F81BD"/>
    </w:rPr>
  </w:style>
  <w:style w:type="character" w:customStyle="1" w:styleId="724">
    <w:name w:val="页眉 Char1"/>
    <w:uiPriority w:val="0"/>
    <w:rPr>
      <w:rFonts w:ascii="Times New Roman" w:hAnsi="Times New Roman" w:eastAsia="宋体" w:cs="Times New Roman"/>
      <w:sz w:val="18"/>
      <w:szCs w:val="18"/>
      <w:lang w:bidi="ar-SA"/>
    </w:rPr>
  </w:style>
  <w:style w:type="character" w:customStyle="1" w:styleId="725">
    <w:name w:val="titlered1"/>
    <w:uiPriority w:val="0"/>
    <w:rPr>
      <w:color w:val="CE0702"/>
      <w:sz w:val="18"/>
    </w:rPr>
  </w:style>
  <w:style w:type="character" w:customStyle="1" w:styleId="726">
    <w:name w:val="标题 32"/>
    <w:uiPriority w:val="0"/>
    <w:rPr>
      <w:rFonts w:eastAsia="宋体"/>
      <w:b/>
      <w:kern w:val="2"/>
      <w:sz w:val="32"/>
      <w:lang w:val="en-US" w:eastAsia="zh-CN"/>
    </w:rPr>
  </w:style>
  <w:style w:type="character" w:customStyle="1" w:styleId="727">
    <w:name w:val="标题 4 Char Char"/>
    <w:uiPriority w:val="0"/>
    <w:rPr>
      <w:rFonts w:ascii="Cambria" w:hAnsi="Cambria" w:eastAsia="宋体" w:cs="Times New Roman"/>
      <w:b/>
      <w:bCs/>
      <w:kern w:val="2"/>
      <w:sz w:val="28"/>
      <w:szCs w:val="28"/>
      <w:lang w:bidi="ar-SA"/>
    </w:rPr>
  </w:style>
  <w:style w:type="character" w:customStyle="1" w:styleId="728">
    <w:name w:val="H5 Char"/>
    <w:uiPriority w:val="0"/>
    <w:rPr>
      <w:rFonts w:ascii="Cambria" w:hAnsi="Cambria" w:eastAsia="宋体"/>
      <w:color w:val="243F60"/>
      <w:kern w:val="0"/>
      <w:sz w:val="22"/>
    </w:rPr>
  </w:style>
  <w:style w:type="character" w:customStyle="1" w:styleId="729">
    <w:name w:val="标题 2 Char Char"/>
    <w:uiPriority w:val="0"/>
    <w:rPr>
      <w:rFonts w:ascii="Arial" w:hAnsi="Arial" w:eastAsia="黑体"/>
      <w:b/>
      <w:bCs/>
      <w:kern w:val="2"/>
      <w:sz w:val="32"/>
      <w:szCs w:val="32"/>
      <w:lang w:val="en-US" w:eastAsia="zh-CN" w:bidi="ar-SA"/>
    </w:rPr>
  </w:style>
  <w:style w:type="character" w:customStyle="1" w:styleId="730">
    <w:name w:val="目录 (2) + Arial Unicode MS"/>
    <w:uiPriority w:val="0"/>
    <w:rPr>
      <w:rFonts w:ascii="Arial Unicode MS" w:hAnsi="Arial Unicode MS" w:eastAsia="Arial Unicode MS" w:cs="Arial Unicode MS"/>
      <w:color w:val="000000"/>
      <w:spacing w:val="0"/>
      <w:w w:val="100"/>
      <w:position w:val="0"/>
      <w:sz w:val="20"/>
      <w:szCs w:val="20"/>
      <w:u w:val="none"/>
      <w:lang w:val="zh-CN" w:eastAsia="zh-CN" w:bidi="ar-SA"/>
    </w:rPr>
  </w:style>
  <w:style w:type="character" w:customStyle="1" w:styleId="731">
    <w:name w:val="样式 正文缩进 + 首行缩进:  2 字符 Char Char"/>
    <w:uiPriority w:val="0"/>
    <w:rPr>
      <w:rFonts w:eastAsia="宋体"/>
      <w:kern w:val="2"/>
      <w:sz w:val="24"/>
      <w:lang w:val="en-US" w:eastAsia="zh-CN"/>
    </w:rPr>
  </w:style>
  <w:style w:type="character" w:customStyle="1" w:styleId="732">
    <w:name w:val="页眉 字符"/>
    <w:uiPriority w:val="0"/>
    <w:rPr>
      <w:sz w:val="18"/>
      <w:szCs w:val="18"/>
    </w:rPr>
  </w:style>
  <w:style w:type="character" w:customStyle="1" w:styleId="733">
    <w:name w:val="纯文本 字符1"/>
    <w:uiPriority w:val="0"/>
    <w:rPr>
      <w:rFonts w:ascii="宋体"/>
    </w:rPr>
  </w:style>
  <w:style w:type="character" w:customStyle="1" w:styleId="734">
    <w:name w:val="标题 2 字符1"/>
    <w:uiPriority w:val="0"/>
    <w:rPr>
      <w:rFonts w:ascii="Arial" w:hAnsi="Arial" w:eastAsia="黑体" w:cs="Times New Roman"/>
      <w:b/>
      <w:bCs/>
      <w:kern w:val="0"/>
      <w:sz w:val="32"/>
      <w:szCs w:val="32"/>
      <w:lang w:bidi="ar-SA"/>
    </w:rPr>
  </w:style>
  <w:style w:type="character" w:customStyle="1" w:styleId="735">
    <w:name w:val="批注文字 字符1"/>
    <w:uiPriority w:val="0"/>
  </w:style>
  <w:style w:type="character" w:customStyle="1" w:styleId="736">
    <w:name w:val="font61"/>
    <w:basedOn w:val="59"/>
    <w:uiPriority w:val="0"/>
    <w:rPr>
      <w:rFonts w:ascii="Times New Roman" w:hAnsi="Times New Roman" w:cs="Times New Roman"/>
      <w:color w:val="000000"/>
      <w:sz w:val="20"/>
      <w:szCs w:val="20"/>
      <w:u w:val="none"/>
      <w:vertAlign w:val="superscript"/>
    </w:rPr>
  </w:style>
  <w:style w:type="character" w:customStyle="1" w:styleId="737">
    <w:name w:val="font51"/>
    <w:basedOn w:val="59"/>
    <w:uiPriority w:val="0"/>
    <w:rPr>
      <w:rFonts w:ascii="宋体" w:eastAsia="宋体" w:cs="宋体"/>
      <w:color w:val="000000"/>
      <w:sz w:val="20"/>
      <w:szCs w:val="20"/>
      <w:u w:val="none"/>
    </w:rPr>
  </w:style>
  <w:style w:type="paragraph" w:customStyle="1" w:styleId="738">
    <w:name w:val="表编号"/>
    <w:basedOn w:val="1"/>
    <w:next w:val="1"/>
    <w:uiPriority w:val="0"/>
    <w:pPr>
      <w:keepNext/>
      <w:widowControl/>
      <w:numPr>
        <w:ilvl w:val="7"/>
        <w:numId w:val="1"/>
      </w:numPr>
      <w:spacing w:before="50" w:beforeLines="50" w:after="50" w:afterLines="50"/>
      <w:jc w:val="center"/>
    </w:pPr>
    <w:rPr>
      <w:rFonts w:ascii="Times New Roman" w:hAnsi="Times New Roman" w:cs="宋体"/>
      <w:b/>
      <w:color w:val="000000"/>
      <w:sz w:val="24"/>
      <w:lang w:val="zh-CN"/>
    </w:rPr>
  </w:style>
  <w:style w:type="paragraph" w:customStyle="1" w:styleId="739">
    <w:name w:val="1级标题"/>
    <w:basedOn w:val="5"/>
    <w:next w:val="1"/>
    <w:uiPriority w:val="0"/>
    <w:pPr>
      <w:keepNext w:val="0"/>
      <w:keepLines w:val="0"/>
      <w:numPr>
        <w:ilvl w:val="0"/>
        <w:numId w:val="1"/>
      </w:numPr>
      <w:spacing w:before="0" w:after="0" w:line="360" w:lineRule="auto"/>
      <w:jc w:val="center"/>
    </w:pPr>
    <w:rPr>
      <w:rFonts w:ascii="Times New Roman" w:hAnsi="Times New Roman" w:cs="Arial"/>
      <w:sz w:val="36"/>
      <w:szCs w:val="56"/>
      <w:lang w:val="zh-CN"/>
    </w:rPr>
  </w:style>
  <w:style w:type="paragraph" w:customStyle="1" w:styleId="740">
    <w:name w:val="2级标题"/>
    <w:basedOn w:val="5"/>
    <w:next w:val="1"/>
    <w:uiPriority w:val="0"/>
    <w:pPr>
      <w:keepNext w:val="0"/>
      <w:keepLines w:val="0"/>
      <w:numPr>
        <w:ilvl w:val="1"/>
        <w:numId w:val="1"/>
      </w:numPr>
      <w:adjustRightInd w:val="0"/>
      <w:snapToGrid w:val="0"/>
      <w:spacing w:before="50" w:beforeLines="50" w:after="50" w:afterLines="50" w:line="360" w:lineRule="auto"/>
      <w:jc w:val="left"/>
      <w:outlineLvl w:val="1"/>
    </w:pPr>
    <w:rPr>
      <w:rFonts w:ascii="Times New Roman" w:hAnsi="Times New Roman"/>
      <w:sz w:val="32"/>
      <w:szCs w:val="32"/>
      <w:lang w:val="zh-CN"/>
    </w:rPr>
  </w:style>
  <w:style w:type="paragraph" w:customStyle="1" w:styleId="741">
    <w:name w:val="3级标题"/>
    <w:basedOn w:val="740"/>
    <w:next w:val="1"/>
    <w:uiPriority w:val="0"/>
    <w:pPr>
      <w:numPr>
        <w:ilvl w:val="2"/>
      </w:numPr>
      <w:outlineLvl w:val="2"/>
    </w:pPr>
    <w:rPr>
      <w:bCs w:val="0"/>
      <w:snapToGrid w:val="0"/>
      <w:color w:val="000000"/>
      <w:kern w:val="2"/>
      <w:sz w:val="28"/>
      <w:szCs w:val="24"/>
    </w:rPr>
  </w:style>
  <w:style w:type="paragraph" w:customStyle="1" w:styleId="742">
    <w:name w:val="多级1"/>
    <w:basedOn w:val="1"/>
    <w:next w:val="1"/>
    <w:uiPriority w:val="0"/>
    <w:pPr>
      <w:numPr>
        <w:ilvl w:val="4"/>
        <w:numId w:val="1"/>
      </w:numPr>
      <w:adjustRightInd w:val="0"/>
      <w:snapToGrid w:val="0"/>
      <w:spacing w:line="360" w:lineRule="auto"/>
      <w:jc w:val="left"/>
    </w:pPr>
    <w:rPr>
      <w:rFonts w:ascii="Times New Roman" w:hAnsi="Times New Roman"/>
      <w:b/>
      <w:sz w:val="24"/>
      <w:lang w:val="zh-CN"/>
    </w:rPr>
  </w:style>
  <w:style w:type="paragraph" w:customStyle="1" w:styleId="743">
    <w:name w:val="4级标题"/>
    <w:basedOn w:val="741"/>
    <w:next w:val="1"/>
    <w:uiPriority w:val="0"/>
    <w:pPr>
      <w:numPr>
        <w:ilvl w:val="3"/>
      </w:numPr>
      <w:tabs>
        <w:tab w:val="left" w:pos="360"/>
      </w:tabs>
      <w:ind w:left="1680" w:hanging="420"/>
      <w:outlineLvl w:val="3"/>
    </w:pPr>
    <w:rPr>
      <w:kern w:val="0"/>
    </w:rPr>
  </w:style>
  <w:style w:type="paragraph" w:customStyle="1" w:styleId="744">
    <w:name w:val="多级3"/>
    <w:basedOn w:val="1"/>
    <w:uiPriority w:val="0"/>
    <w:pPr>
      <w:numPr>
        <w:ilvl w:val="6"/>
        <w:numId w:val="1"/>
      </w:numPr>
      <w:adjustRightInd w:val="0"/>
      <w:snapToGrid w:val="0"/>
      <w:spacing w:line="360" w:lineRule="auto"/>
    </w:pPr>
    <w:rPr>
      <w:rFonts w:ascii="Times New Roman" w:hAnsi="Times New Roman" w:cs="Arial"/>
      <w:sz w:val="24"/>
    </w:rPr>
  </w:style>
  <w:style w:type="paragraph" w:customStyle="1" w:styleId="745">
    <w:name w:val="多级2"/>
    <w:basedOn w:val="1"/>
    <w:uiPriority w:val="0"/>
    <w:pPr>
      <w:numPr>
        <w:ilvl w:val="5"/>
        <w:numId w:val="1"/>
      </w:numPr>
      <w:adjustRightInd w:val="0"/>
      <w:snapToGrid w:val="0"/>
      <w:spacing w:line="360" w:lineRule="auto"/>
    </w:pPr>
    <w:rPr>
      <w:rFonts w:ascii="Times New Roman" w:hAnsi="Times New Roman" w:cs="Arial"/>
      <w:color w:val="000000"/>
      <w:sz w:val="24"/>
      <w:lang w:val="zh-CN"/>
    </w:rPr>
  </w:style>
  <w:style w:type="paragraph" w:customStyle="1" w:styleId="746">
    <w:name w:val="图编号"/>
    <w:basedOn w:val="1"/>
    <w:next w:val="1"/>
    <w:uiPriority w:val="0"/>
    <w:pPr>
      <w:numPr>
        <w:ilvl w:val="8"/>
        <w:numId w:val="1"/>
      </w:numPr>
      <w:spacing w:after="50" w:afterLines="50"/>
      <w:jc w:val="center"/>
    </w:pPr>
    <w:rPr>
      <w:rFonts w:ascii="Times New Roman" w:hAnsi="Times New Roman" w:cs="Arial"/>
      <w:b/>
      <w:color w:val="000000"/>
      <w:sz w:val="24"/>
      <w:lang w:val="zh-CN"/>
    </w:rPr>
  </w:style>
  <w:style w:type="paragraph" w:customStyle="1" w:styleId="747">
    <w:name w:val="修订3"/>
    <w:uiPriority w:val="0"/>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37190</Words>
  <Characters>39788</Characters>
  <Lines>309</Lines>
  <Paragraphs>87</Paragraphs>
  <TotalTime>185</TotalTime>
  <ScaleCrop>false</ScaleCrop>
  <LinksUpToDate>false</LinksUpToDate>
  <CharactersWithSpaces>41437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2022-12-05T08:40:00Z</dcterms:created>
  <dc:creator>Administrator</dc:creator>
  <cp:lastModifiedBy>招标代理机构</cp:lastModifiedBy>
  <cp:lastPrinted>2022-11-16T08:44:00Z</cp:lastPrinted>
  <dcterms:modified xsi:type="dcterms:W3CDTF">2022-12-14T06:52:30Z</dcterms:modified>
  <dc:title>11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45311379A975477890CA7EEA243F6D46</vt:lpwstr>
  </property>
</Properties>
</file>