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E5588">
      <w:pPr>
        <w:bidi w:val="0"/>
        <w:rPr>
          <w:rFonts w:hint="eastAsia"/>
          <w:b/>
          <w:bCs/>
          <w:color w:val="auto"/>
          <w:lang w:val="en-US" w:eastAsia="zh-CN"/>
        </w:rPr>
      </w:pPr>
      <w:bookmarkStart w:id="0" w:name="_Toc19875"/>
      <w:bookmarkStart w:id="1" w:name="_Toc7837"/>
      <w:bookmarkStart w:id="2" w:name="_Toc11251"/>
      <w:r>
        <w:rPr>
          <w:rFonts w:hint="eastAsia"/>
          <w:b/>
          <w:bCs/>
          <w:color w:val="auto"/>
        </w:rPr>
        <w:t>1.2 商务</w:t>
      </w:r>
      <w:r>
        <w:rPr>
          <w:b/>
          <w:bCs/>
          <w:color w:val="auto"/>
        </w:rPr>
        <w:t>评</w:t>
      </w:r>
      <w:r>
        <w:rPr>
          <w:rFonts w:hint="eastAsia"/>
          <w:b/>
          <w:bCs/>
          <w:color w:val="auto"/>
        </w:rPr>
        <w:t>分细则评分</w:t>
      </w:r>
      <w:r>
        <w:rPr>
          <w:b/>
          <w:bCs/>
          <w:color w:val="auto"/>
        </w:rPr>
        <w:t>标准</w:t>
      </w:r>
      <w:r>
        <w:rPr>
          <w:rFonts w:hint="eastAsia"/>
          <w:b/>
          <w:bCs/>
          <w:color w:val="auto"/>
        </w:rPr>
        <w:t>前附表（M=</w:t>
      </w:r>
      <w:r>
        <w:rPr>
          <w:rFonts w:hint="eastAsia"/>
          <w:b/>
          <w:bCs/>
          <w:color w:val="auto"/>
          <w:lang w:val="en-US" w:eastAsia="zh-CN"/>
        </w:rPr>
        <w:t>3</w:t>
      </w:r>
      <w:r>
        <w:rPr>
          <w:rFonts w:hint="eastAsia"/>
          <w:b/>
          <w:bCs/>
          <w:color w:val="auto"/>
        </w:rPr>
        <w:t>0分）</w:t>
      </w:r>
      <w:bookmarkEnd w:id="0"/>
      <w:bookmarkEnd w:id="1"/>
      <w:bookmarkEnd w:id="2"/>
    </w:p>
    <w:tbl>
      <w:tblPr>
        <w:tblStyle w:val="8"/>
        <w:tblpPr w:leftFromText="180" w:rightFromText="180" w:horzAnchor="margin" w:tblpY="7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19"/>
        <w:gridCol w:w="787"/>
        <w:gridCol w:w="5894"/>
      </w:tblGrid>
      <w:tr w14:paraId="2A1E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trPr>
        <w:tc>
          <w:tcPr>
            <w:tcW w:w="622" w:type="dxa"/>
            <w:noWrap w:val="0"/>
            <w:vAlign w:val="center"/>
          </w:tcPr>
          <w:p w14:paraId="36EB99D5">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19" w:type="dxa"/>
            <w:noWrap w:val="0"/>
            <w:vAlign w:val="center"/>
          </w:tcPr>
          <w:p w14:paraId="702DE362">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评审项目</w:t>
            </w:r>
          </w:p>
        </w:tc>
        <w:tc>
          <w:tcPr>
            <w:tcW w:w="787" w:type="dxa"/>
            <w:noWrap w:val="0"/>
            <w:vAlign w:val="center"/>
          </w:tcPr>
          <w:p w14:paraId="4B8EEAC3">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5894" w:type="dxa"/>
            <w:noWrap w:val="0"/>
            <w:vAlign w:val="center"/>
          </w:tcPr>
          <w:p w14:paraId="2185A142">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57F1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22" w:type="dxa"/>
            <w:noWrap w:val="0"/>
            <w:vAlign w:val="center"/>
          </w:tcPr>
          <w:p w14:paraId="7632E8DF">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219" w:type="dxa"/>
            <w:noWrap w:val="0"/>
            <w:vAlign w:val="center"/>
          </w:tcPr>
          <w:p w14:paraId="3A0CF2C7">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企业业绩</w:t>
            </w:r>
          </w:p>
        </w:tc>
        <w:tc>
          <w:tcPr>
            <w:tcW w:w="787" w:type="dxa"/>
            <w:noWrap w:val="0"/>
            <w:vAlign w:val="center"/>
          </w:tcPr>
          <w:p w14:paraId="22B96F5D">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5分</w:t>
            </w:r>
          </w:p>
        </w:tc>
        <w:tc>
          <w:tcPr>
            <w:tcW w:w="5894" w:type="dxa"/>
            <w:noWrap w:val="0"/>
            <w:vAlign w:val="top"/>
          </w:tcPr>
          <w:p w14:paraId="2DB092DA">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年1月1日起至投标截止时间止，</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过</w:t>
            </w:r>
            <w:r>
              <w:rPr>
                <w:rFonts w:hint="eastAsia" w:ascii="宋体" w:hAnsi="宋体" w:eastAsia="宋体" w:cs="宋体"/>
                <w:color w:val="auto"/>
                <w:kern w:val="2"/>
                <w:sz w:val="21"/>
                <w:szCs w:val="21"/>
                <w:highlight w:val="none"/>
                <w:lang w:val="en-US" w:eastAsia="zh-CN" w:bidi="zh-CN"/>
              </w:rPr>
              <w:t>市政类工程业绩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1、工程建安费</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万（含）以上，每提供一个得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2、工程建安费</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万至</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1E86D30D">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，最多五个项目</w:t>
            </w:r>
            <w:r>
              <w:rPr>
                <w:rFonts w:hint="eastAsia" w:ascii="宋体" w:hAnsi="宋体" w:eastAsia="宋体" w:cs="宋体"/>
                <w:color w:val="auto"/>
                <w:sz w:val="21"/>
                <w:szCs w:val="21"/>
                <w:highlight w:val="none"/>
              </w:rPr>
              <w:t>，须提供中标通知书、合同关键页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竣工验收报告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并加盖投标人公章。金额以合同为准，时间以竣工验收报告为准。上述资料须加盖投标人公章，否则不得分。</w:t>
            </w:r>
          </w:p>
        </w:tc>
      </w:tr>
      <w:tr w14:paraId="2881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22" w:type="dxa"/>
            <w:vMerge w:val="restart"/>
            <w:noWrap w:val="0"/>
            <w:vAlign w:val="center"/>
          </w:tcPr>
          <w:p w14:paraId="16D586F4">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p>
        </w:tc>
        <w:tc>
          <w:tcPr>
            <w:tcW w:w="1219" w:type="dxa"/>
            <w:vMerge w:val="restart"/>
            <w:noWrap w:val="0"/>
            <w:vAlign w:val="center"/>
          </w:tcPr>
          <w:p w14:paraId="6699C970">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企业信誉</w:t>
            </w:r>
          </w:p>
        </w:tc>
        <w:tc>
          <w:tcPr>
            <w:tcW w:w="787" w:type="dxa"/>
            <w:noWrap w:val="0"/>
            <w:vAlign w:val="center"/>
          </w:tcPr>
          <w:p w14:paraId="1744FE0F">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3分</w:t>
            </w:r>
          </w:p>
        </w:tc>
        <w:tc>
          <w:tcPr>
            <w:tcW w:w="5894" w:type="dxa"/>
            <w:noWrap w:val="0"/>
            <w:vAlign w:val="top"/>
          </w:tcPr>
          <w:p w14:paraId="121CFDC2">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投标人具有有效的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质量管理体系认证、环境管理体系认证证书、职业健康安全管理体系认证证书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分；没有的不得分。 注：提供有效期内的证书扫描件及国家认证认可监督管理委员会信息中心的认证认可业务信息统一查询平台(http://cx.cnca.cn/)中查询其证书信息的网页截图加盖公章，不提供不得分。</w:t>
            </w:r>
          </w:p>
        </w:tc>
      </w:tr>
      <w:tr w14:paraId="4358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22" w:type="dxa"/>
            <w:vMerge w:val="continue"/>
            <w:noWrap w:val="0"/>
            <w:vAlign w:val="center"/>
          </w:tcPr>
          <w:p w14:paraId="007A29AA">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lang w:val="en-US" w:eastAsia="zh-CN"/>
              </w:rPr>
            </w:pPr>
          </w:p>
        </w:tc>
        <w:tc>
          <w:tcPr>
            <w:tcW w:w="1219" w:type="dxa"/>
            <w:vMerge w:val="continue"/>
            <w:noWrap w:val="0"/>
            <w:vAlign w:val="center"/>
          </w:tcPr>
          <w:p w14:paraId="5EC27B49">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p>
        </w:tc>
        <w:tc>
          <w:tcPr>
            <w:tcW w:w="787" w:type="dxa"/>
            <w:noWrap w:val="0"/>
            <w:vAlign w:val="center"/>
          </w:tcPr>
          <w:p w14:paraId="7036781E">
            <w:pPr>
              <w:spacing w:line="320" w:lineRule="exact"/>
              <w:jc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p>
        </w:tc>
        <w:tc>
          <w:tcPr>
            <w:tcW w:w="5894" w:type="dxa"/>
            <w:noWrap w:val="0"/>
            <w:vAlign w:val="center"/>
          </w:tcPr>
          <w:p w14:paraId="3330577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2021 年1月 1 日至今，投标人连续四年获得过国家税务部门 </w:t>
            </w:r>
          </w:p>
          <w:p w14:paraId="48F016B8">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颁发的“纳税信用 A 级荣誉证书”，得 4 分；连续三年获得，得3分；两年获得，得 2 分；一年获得1分，其他不得分。</w:t>
            </w:r>
          </w:p>
        </w:tc>
      </w:tr>
      <w:tr w14:paraId="0A96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22" w:type="dxa"/>
            <w:vMerge w:val="continue"/>
            <w:noWrap w:val="0"/>
            <w:vAlign w:val="center"/>
          </w:tcPr>
          <w:p w14:paraId="4CB7EDA9">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lang w:val="en-US" w:eastAsia="zh-CN"/>
              </w:rPr>
            </w:pPr>
          </w:p>
        </w:tc>
        <w:tc>
          <w:tcPr>
            <w:tcW w:w="1219" w:type="dxa"/>
            <w:vMerge w:val="continue"/>
            <w:noWrap w:val="0"/>
            <w:vAlign w:val="center"/>
          </w:tcPr>
          <w:p w14:paraId="6B9A84E1">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p>
        </w:tc>
        <w:tc>
          <w:tcPr>
            <w:tcW w:w="787" w:type="dxa"/>
            <w:noWrap w:val="0"/>
            <w:vAlign w:val="center"/>
          </w:tcPr>
          <w:p w14:paraId="6076E8EF">
            <w:pPr>
              <w:spacing w:line="320" w:lineRule="exact"/>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lang w:val="en-US" w:eastAsia="zh-CN"/>
              </w:rPr>
              <w:t>3</w:t>
            </w:r>
          </w:p>
        </w:tc>
        <w:tc>
          <w:tcPr>
            <w:tcW w:w="5894" w:type="dxa"/>
            <w:noWrap w:val="0"/>
            <w:vAlign w:val="center"/>
          </w:tcPr>
          <w:p w14:paraId="1E4F864B">
            <w:pPr>
              <w:spacing w:line="320" w:lineRule="exact"/>
              <w:jc w:val="left"/>
              <w:rPr>
                <w:rFonts w:hint="eastAsia" w:ascii="宋体" w:hAnsi="宋体"/>
                <w:color w:val="auto"/>
                <w:szCs w:val="21"/>
                <w:highlight w:val="none"/>
              </w:rPr>
            </w:pPr>
            <w:r>
              <w:rPr>
                <w:rFonts w:hint="eastAsia" w:ascii="宋体" w:hAnsi="宋体"/>
                <w:color w:val="auto"/>
                <w:szCs w:val="21"/>
                <w:highlight w:val="none"/>
              </w:rPr>
              <w:t>投标人在茂名市建筑企业诚信综合评价为 A的得</w:t>
            </w:r>
            <w:r>
              <w:rPr>
                <w:rFonts w:hint="eastAsia" w:ascii="宋体" w:hAnsi="宋体"/>
                <w:color w:val="auto"/>
                <w:szCs w:val="21"/>
                <w:highlight w:val="none"/>
                <w:lang w:val="en-US" w:eastAsia="zh-CN"/>
              </w:rPr>
              <w:t>3</w:t>
            </w:r>
            <w:r>
              <w:rPr>
                <w:rFonts w:hint="eastAsia" w:ascii="宋体" w:hAnsi="宋体"/>
                <w:color w:val="auto"/>
                <w:szCs w:val="21"/>
                <w:highlight w:val="none"/>
              </w:rPr>
              <w:t>分，为B的得</w:t>
            </w:r>
            <w:r>
              <w:rPr>
                <w:rFonts w:hint="eastAsia" w:ascii="宋体" w:hAnsi="宋体"/>
                <w:color w:val="auto"/>
                <w:szCs w:val="21"/>
                <w:highlight w:val="none"/>
                <w:lang w:val="en-US" w:eastAsia="zh-CN"/>
              </w:rPr>
              <w:t>2</w:t>
            </w:r>
            <w:r>
              <w:rPr>
                <w:rFonts w:hint="eastAsia" w:ascii="宋体" w:hAnsi="宋体"/>
                <w:color w:val="auto"/>
                <w:szCs w:val="21"/>
                <w:highlight w:val="none"/>
              </w:rPr>
              <w:t>分，为 C的得</w:t>
            </w:r>
            <w:r>
              <w:rPr>
                <w:rFonts w:hint="eastAsia" w:ascii="宋体" w:hAnsi="宋体"/>
                <w:color w:val="auto"/>
                <w:szCs w:val="21"/>
                <w:highlight w:val="none"/>
                <w:lang w:val="en-US" w:eastAsia="zh-CN"/>
              </w:rPr>
              <w:t>1</w:t>
            </w:r>
            <w:r>
              <w:rPr>
                <w:rFonts w:hint="eastAsia" w:ascii="宋体" w:hAnsi="宋体"/>
                <w:color w:val="auto"/>
                <w:szCs w:val="21"/>
                <w:highlight w:val="none"/>
              </w:rPr>
              <w:t>分， D 以下及未进入诚信系统单位均为 0分。（需在有效期内）</w:t>
            </w:r>
          </w:p>
          <w:p w14:paraId="1CD7BF89">
            <w:pPr>
              <w:spacing w:line="32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注：诚信评价等级的证明材料需在开标前七天内进入《茂名市建筑企业诚信综合评价管理平台》（http://119.146.115.83:9001) 打印带标志网页，并加盖投标人单位公章。</w:t>
            </w:r>
          </w:p>
        </w:tc>
      </w:tr>
      <w:tr w14:paraId="1A77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noWrap w:val="0"/>
            <w:vAlign w:val="center"/>
          </w:tcPr>
          <w:p w14:paraId="510CC6CC">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p>
        </w:tc>
        <w:tc>
          <w:tcPr>
            <w:tcW w:w="1219" w:type="dxa"/>
            <w:noWrap w:val="0"/>
            <w:vAlign w:val="center"/>
          </w:tcPr>
          <w:p w14:paraId="78BADFAC">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项目管理</w:t>
            </w:r>
          </w:p>
          <w:p w14:paraId="5C8CAEB6">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w:t>
            </w:r>
          </w:p>
        </w:tc>
        <w:tc>
          <w:tcPr>
            <w:tcW w:w="787" w:type="dxa"/>
            <w:noWrap w:val="0"/>
            <w:vAlign w:val="center"/>
          </w:tcPr>
          <w:p w14:paraId="42C2B67A">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4分</w:t>
            </w:r>
          </w:p>
        </w:tc>
        <w:tc>
          <w:tcPr>
            <w:tcW w:w="5894" w:type="dxa"/>
            <w:noWrap w:val="0"/>
            <w:vAlign w:val="top"/>
          </w:tcPr>
          <w:p w14:paraId="59FC10FB">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投标人拟投入项目人员情况：</w:t>
            </w:r>
          </w:p>
          <w:p w14:paraId="6104FAA5">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、技术负责人：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市政类或</w:t>
            </w:r>
            <w:r>
              <w:rPr>
                <w:rFonts w:hint="eastAsia" w:ascii="宋体" w:hAnsi="宋体" w:eastAsia="宋体" w:cs="宋体"/>
                <w:color w:val="auto"/>
                <w:sz w:val="21"/>
                <w:szCs w:val="21"/>
                <w:highlight w:val="none"/>
                <w:lang w:val="en-US" w:eastAsia="zh-CN"/>
              </w:rPr>
              <w:t>相关专业的高级工程师（或以上）职称得1分；</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市政类或相关专业</w:t>
            </w:r>
            <w:r>
              <w:rPr>
                <w:rFonts w:hint="eastAsia" w:ascii="宋体" w:hAnsi="宋体" w:eastAsia="宋体" w:cs="宋体"/>
                <w:color w:val="auto"/>
                <w:sz w:val="21"/>
                <w:szCs w:val="21"/>
                <w:highlight w:val="none"/>
              </w:rPr>
              <w:t>工程师技术职称</w:t>
            </w:r>
            <w:r>
              <w:rPr>
                <w:rFonts w:hint="eastAsia" w:ascii="宋体" w:hAnsi="宋体" w:eastAsia="宋体" w:cs="宋体"/>
                <w:color w:val="auto"/>
                <w:sz w:val="21"/>
                <w:szCs w:val="21"/>
                <w:highlight w:val="none"/>
                <w:lang w:val="en-US" w:eastAsia="zh-CN"/>
              </w:rPr>
              <w:t>的得0.5分，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本小项最高得1分</w:t>
            </w:r>
            <w:r>
              <w:rPr>
                <w:rFonts w:hint="eastAsia" w:ascii="宋体" w:hAnsi="宋体" w:eastAsia="宋体" w:cs="宋体"/>
                <w:color w:val="auto"/>
                <w:sz w:val="21"/>
                <w:szCs w:val="21"/>
                <w:highlight w:val="none"/>
              </w:rPr>
              <w:t>。</w:t>
            </w:r>
          </w:p>
          <w:p w14:paraId="450EE951">
            <w:pPr>
              <w:spacing w:line="320" w:lineRule="exact"/>
              <w:jc w:val="left"/>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造价负责人：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olor w:val="auto"/>
                <w:szCs w:val="21"/>
                <w:highlight w:val="none"/>
              </w:rPr>
              <w:t>具有未分级时的注册造价工程师或一级注册造价工程师执业资格（须在有效期内）的，得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433D7F86">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2）造价类专业高级(或以上)职称，得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eastAsia="宋体" w:cs="宋体"/>
                <w:color w:val="auto"/>
                <w:sz w:val="21"/>
                <w:szCs w:val="21"/>
                <w:highlight w:val="none"/>
              </w:rPr>
              <w:t>。</w:t>
            </w:r>
          </w:p>
          <w:p w14:paraId="186FC804">
            <w:pPr>
              <w:pStyle w:val="3"/>
              <w:ind w:left="0" w:leftChars="0" w:firstLine="0" w:firstLineChars="0"/>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本小项最高得2分</w:t>
            </w:r>
            <w:r>
              <w:rPr>
                <w:rFonts w:hint="eastAsia" w:ascii="宋体" w:hAnsi="宋体" w:eastAsia="宋体" w:cs="宋体"/>
                <w:color w:val="auto"/>
                <w:sz w:val="21"/>
                <w:szCs w:val="21"/>
                <w:highlight w:val="none"/>
              </w:rPr>
              <w:t>。</w:t>
            </w:r>
          </w:p>
          <w:p w14:paraId="7A3A7D7B">
            <w:pPr>
              <w:keepNext w:val="0"/>
              <w:keepLines w:val="0"/>
              <w:pageBreakBefore w:val="0"/>
              <w:numPr>
                <w:ilvl w:val="0"/>
                <w:numId w:val="0"/>
              </w:numPr>
              <w:kinsoku/>
              <w:overflowPunct/>
              <w:topLinePunct w:val="0"/>
              <w:bidi w:val="0"/>
              <w:snapToGrid/>
              <w:spacing w:line="360" w:lineRule="exact"/>
              <w:ind w:left="0" w:leftChars="0" w:firstLine="0" w:firstLineChars="0"/>
              <w:jc w:val="both"/>
              <w:textAlignment w:val="auto"/>
              <w:rPr>
                <w:rFonts w:hint="eastAsia" w:ascii="宋体" w:hAnsi="宋体" w:eastAsia="宋体" w:cs="宋体"/>
                <w:color w:val="auto"/>
                <w:highlight w:val="none"/>
                <w:lang w:eastAsia="zh-CN"/>
              </w:rPr>
            </w:pPr>
            <w:r>
              <w:rPr>
                <w:rFonts w:hint="eastAsia" w:cs="Times New Roman"/>
                <w:color w:val="auto"/>
                <w:kern w:val="2"/>
                <w:sz w:val="21"/>
                <w:highlight w:val="none"/>
                <w:lang w:val="en-US" w:eastAsia="zh-CN" w:bidi="ar-SA"/>
              </w:rPr>
              <w:t>3</w:t>
            </w:r>
            <w:r>
              <w:rPr>
                <w:rFonts w:hint="eastAsia" w:ascii="Times New Roman" w:hAnsi="Times New Roman" w:eastAsia="宋体" w:cs="Times New Roman"/>
                <w:color w:val="auto"/>
                <w:kern w:val="2"/>
                <w:sz w:val="21"/>
                <w:highlight w:val="none"/>
                <w:lang w:val="en-US" w:eastAsia="zh-CN" w:bidi="ar-SA"/>
              </w:rPr>
              <w:t>、</w:t>
            </w:r>
            <w:r>
              <w:rPr>
                <w:rFonts w:hint="eastAsia" w:eastAsia="宋体"/>
                <w:color w:val="auto"/>
                <w:highlight w:val="none"/>
                <w:lang w:eastAsia="zh-CN"/>
              </w:rPr>
              <w:t>资料员</w:t>
            </w:r>
          </w:p>
          <w:p w14:paraId="1EFEE7E4">
            <w:pPr>
              <w:keepNext w:val="0"/>
              <w:keepLines w:val="0"/>
              <w:pageBreakBefore w:val="0"/>
              <w:numPr>
                <w:ilvl w:val="0"/>
                <w:numId w:val="1"/>
              </w:numPr>
              <w:kinsoku/>
              <w:overflowPunct/>
              <w:topLinePunct w:val="0"/>
              <w:bidi w:val="0"/>
              <w:snapToGrid/>
              <w:spacing w:line="360" w:lineRule="exact"/>
              <w:ind w:leftChars="0" w:firstLine="210" w:firstLineChars="1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具有</w:t>
            </w:r>
            <w:r>
              <w:rPr>
                <w:rFonts w:hint="eastAsia" w:ascii="宋体" w:hAnsi="宋体" w:eastAsia="宋体" w:cs="宋体"/>
                <w:color w:val="auto"/>
                <w:sz w:val="21"/>
                <w:szCs w:val="21"/>
                <w:highlight w:val="none"/>
                <w:lang w:val="en-US" w:eastAsia="zh-CN"/>
              </w:rPr>
              <w:t>市政类或相关专业</w:t>
            </w:r>
            <w:r>
              <w:rPr>
                <w:rFonts w:hint="eastAsia" w:ascii="宋体" w:hAnsi="宋体" w:eastAsia="宋体" w:cs="宋体"/>
                <w:color w:val="auto"/>
                <w:sz w:val="21"/>
                <w:szCs w:val="21"/>
                <w:highlight w:val="none"/>
              </w:rPr>
              <w:t>工程师技术职称</w:t>
            </w:r>
            <w:r>
              <w:rPr>
                <w:rFonts w:hint="eastAsia" w:ascii="宋体" w:hAnsi="宋体" w:eastAsia="宋体" w:cs="宋体"/>
                <w:color w:val="auto"/>
                <w:sz w:val="21"/>
                <w:szCs w:val="21"/>
                <w:highlight w:val="none"/>
                <w:lang w:val="en-US" w:eastAsia="zh-CN"/>
              </w:rPr>
              <w:t>的得1分。</w:t>
            </w:r>
          </w:p>
          <w:p w14:paraId="3791D0CC">
            <w:pPr>
              <w:keepNext w:val="0"/>
              <w:keepLines w:val="0"/>
              <w:pageBreakBefore w:val="0"/>
              <w:numPr>
                <w:ilvl w:val="0"/>
                <w:numId w:val="0"/>
              </w:numPr>
              <w:kinsoku/>
              <w:overflowPunct/>
              <w:topLinePunct w:val="0"/>
              <w:bidi w:val="0"/>
              <w:snapToGrid/>
              <w:spacing w:line="360" w:lineRule="exact"/>
              <w:ind w:firstLine="210" w:firstLineChars="100"/>
              <w:jc w:val="both"/>
              <w:textAlignment w:val="auto"/>
              <w:rPr>
                <w:rFonts w:hint="eastAsia"/>
                <w:color w:val="auto"/>
                <w:highlight w:val="none"/>
              </w:rPr>
            </w:pPr>
            <w:r>
              <w:rPr>
                <w:rFonts w:hint="eastAsia" w:ascii="宋体" w:hAnsi="宋体" w:eastAsia="宋体" w:cs="宋体"/>
                <w:color w:val="auto"/>
                <w:sz w:val="21"/>
                <w:szCs w:val="21"/>
                <w:highlight w:val="none"/>
                <w:lang w:val="en-US" w:eastAsia="zh-CN"/>
              </w:rPr>
              <w:t>以上人员不得兼任，提供以上人员注册证书、职称证证件身份证等证件复印件本单位购买的</w:t>
            </w:r>
            <w:r>
              <w:rPr>
                <w:rFonts w:hint="eastAsia" w:ascii="宋体" w:hAnsi="宋体" w:eastAsia="宋体" w:cs="宋体"/>
                <w:color w:val="auto"/>
                <w:sz w:val="21"/>
                <w:szCs w:val="21"/>
                <w:highlight w:val="none"/>
              </w:rPr>
              <w:t>至少含</w:t>
            </w:r>
            <w:r>
              <w:rPr>
                <w:rFonts w:hint="eastAsia" w:ascii="宋体" w:hAnsi="宋体" w:eastAsia="宋体" w:cs="宋体"/>
                <w:color w:val="auto"/>
                <w:sz w:val="21"/>
                <w:szCs w:val="21"/>
                <w:highlight w:val="none"/>
                <w:lang w:eastAsia="zh-CN"/>
              </w:rPr>
              <w:t>投标截止时间前</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个月（</w:t>
            </w:r>
            <w:r>
              <w:rPr>
                <w:rFonts w:hint="eastAsia" w:ascii="宋体" w:hAnsi="宋体" w:cs="宋体"/>
                <w:color w:val="auto"/>
                <w:sz w:val="21"/>
                <w:szCs w:val="21"/>
                <w:highlight w:val="none"/>
                <w:lang w:eastAsia="zh-CN"/>
              </w:rPr>
              <w:t>2025年0</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月至2025年0</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社保管理机构的证明材料</w:t>
            </w:r>
            <w:r>
              <w:rPr>
                <w:rFonts w:hint="eastAsia" w:ascii="宋体" w:hAnsi="宋体" w:eastAsia="宋体" w:cs="宋体"/>
                <w:color w:val="auto"/>
                <w:sz w:val="21"/>
                <w:szCs w:val="21"/>
                <w:highlight w:val="none"/>
                <w:lang w:val="en-US" w:eastAsia="zh-CN"/>
              </w:rPr>
              <w:t>资料复印件，并加盖投标人公章。不符合上述条件或不提供相关资料不得分。</w:t>
            </w:r>
          </w:p>
        </w:tc>
      </w:tr>
      <w:tr w14:paraId="265C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noWrap w:val="0"/>
            <w:vAlign w:val="center"/>
          </w:tcPr>
          <w:p w14:paraId="6BDB3DBB">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219" w:type="dxa"/>
            <w:noWrap w:val="0"/>
            <w:vAlign w:val="center"/>
          </w:tcPr>
          <w:p w14:paraId="599583A8">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企业荣誉</w:t>
            </w:r>
          </w:p>
        </w:tc>
        <w:tc>
          <w:tcPr>
            <w:tcW w:w="787" w:type="dxa"/>
            <w:noWrap w:val="0"/>
            <w:vAlign w:val="center"/>
          </w:tcPr>
          <w:p w14:paraId="68790FF4">
            <w:pPr>
              <w:keepNext w:val="0"/>
              <w:keepLines w:val="0"/>
              <w:pageBreakBefore w:val="0"/>
              <w:kinsoku/>
              <w:overflowPunct/>
              <w:topLinePunct w:val="0"/>
              <w:bidi w:val="0"/>
              <w:snapToGrid/>
              <w:spacing w:line="36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5894" w:type="dxa"/>
            <w:noWrap w:val="0"/>
            <w:vAlign w:val="top"/>
          </w:tcPr>
          <w:p w14:paraId="61ED8592">
            <w:pPr>
              <w:spacing w:line="320" w:lineRule="exact"/>
              <w:jc w:val="left"/>
              <w:rPr>
                <w:rFonts w:hint="eastAsia" w:ascii="宋体" w:hAnsi="宋体"/>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olor w:val="auto"/>
                <w:szCs w:val="21"/>
                <w:highlight w:val="none"/>
              </w:rPr>
              <w:t>投标人自 202</w:t>
            </w:r>
            <w:r>
              <w:rPr>
                <w:rFonts w:hint="eastAsia" w:ascii="宋体" w:hAnsi="宋体"/>
                <w:color w:val="auto"/>
                <w:szCs w:val="21"/>
                <w:highlight w:val="none"/>
                <w:lang w:val="en-US" w:eastAsia="zh-CN"/>
              </w:rPr>
              <w:t>1</w:t>
            </w:r>
            <w:r>
              <w:rPr>
                <w:rFonts w:hint="eastAsia" w:ascii="宋体" w:hAnsi="宋体"/>
                <w:color w:val="auto"/>
                <w:szCs w:val="21"/>
                <w:highlight w:val="none"/>
              </w:rPr>
              <w:t>年1月1 日至投标截止时间：</w:t>
            </w:r>
          </w:p>
          <w:p w14:paraId="045817B5">
            <w:pPr>
              <w:spacing w:line="320" w:lineRule="exact"/>
              <w:jc w:val="left"/>
              <w:rPr>
                <w:rFonts w:hint="eastAsia" w:ascii="宋体" w:hAnsi="宋体"/>
                <w:color w:val="auto"/>
                <w:szCs w:val="21"/>
                <w:highlight w:val="none"/>
              </w:rPr>
            </w:pPr>
            <w:r>
              <w:rPr>
                <w:rFonts w:hint="eastAsia" w:ascii="宋体" w:hAnsi="宋体"/>
                <w:color w:val="auto"/>
                <w:szCs w:val="21"/>
                <w:highlight w:val="none"/>
              </w:rPr>
              <w:t>（1）获得国家级工程质量奖项的，每一项得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5E031E3B">
            <w:pPr>
              <w:spacing w:line="320" w:lineRule="exact"/>
              <w:jc w:val="left"/>
              <w:rPr>
                <w:rFonts w:hint="eastAsia" w:ascii="宋体" w:hAnsi="宋体"/>
                <w:color w:val="auto"/>
                <w:szCs w:val="21"/>
                <w:highlight w:val="none"/>
              </w:rPr>
            </w:pPr>
            <w:r>
              <w:rPr>
                <w:rFonts w:hint="eastAsia" w:ascii="宋体" w:hAnsi="宋体"/>
                <w:color w:val="auto"/>
                <w:szCs w:val="21"/>
                <w:highlight w:val="none"/>
              </w:rPr>
              <w:t>（2）获得省级工程质量奖项的，每一项得</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14:paraId="6FF7D432">
            <w:pPr>
              <w:spacing w:line="320" w:lineRule="exact"/>
              <w:jc w:val="left"/>
              <w:rPr>
                <w:rFonts w:hint="eastAsia" w:ascii="宋体" w:hAnsi="宋体"/>
                <w:color w:val="auto"/>
                <w:szCs w:val="21"/>
                <w:highlight w:val="none"/>
              </w:rPr>
            </w:pPr>
            <w:r>
              <w:rPr>
                <w:rFonts w:hint="eastAsia" w:ascii="宋体" w:hAnsi="宋体"/>
                <w:color w:val="auto"/>
                <w:szCs w:val="21"/>
                <w:highlight w:val="none"/>
              </w:rPr>
              <w:t>（3）获得市级工程质重奖项的，每一项得</w:t>
            </w:r>
            <w:r>
              <w:rPr>
                <w:rFonts w:hint="eastAsia" w:ascii="宋体" w:hAnsi="宋体"/>
                <w:color w:val="auto"/>
                <w:szCs w:val="21"/>
                <w:highlight w:val="none"/>
                <w:lang w:val="en-US" w:eastAsia="zh-CN"/>
              </w:rPr>
              <w:t>0.5</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分。</w:t>
            </w:r>
          </w:p>
          <w:p w14:paraId="130CAE72">
            <w:pPr>
              <w:spacing w:line="320" w:lineRule="exact"/>
              <w:jc w:val="left"/>
              <w:rPr>
                <w:rFonts w:hint="eastAsia" w:ascii="宋体" w:hAnsi="宋体"/>
                <w:color w:val="auto"/>
                <w:szCs w:val="21"/>
                <w:highlight w:val="none"/>
              </w:rPr>
            </w:pPr>
            <w:r>
              <w:rPr>
                <w:rFonts w:hint="eastAsia" w:ascii="宋体" w:hAnsi="宋体"/>
                <w:color w:val="auto"/>
                <w:szCs w:val="21"/>
                <w:highlight w:val="none"/>
              </w:rPr>
              <w:t>注：本项最多计</w:t>
            </w:r>
            <w:r>
              <w:rPr>
                <w:rFonts w:hint="eastAsia" w:ascii="宋体" w:hAnsi="宋体"/>
                <w:color w:val="auto"/>
                <w:szCs w:val="21"/>
                <w:highlight w:val="none"/>
                <w:lang w:val="en-US" w:eastAsia="zh-CN"/>
              </w:rPr>
              <w:t>5</w:t>
            </w:r>
            <w:r>
              <w:rPr>
                <w:rFonts w:hint="eastAsia" w:ascii="宋体" w:hAnsi="宋体"/>
                <w:color w:val="auto"/>
                <w:szCs w:val="21"/>
                <w:highlight w:val="none"/>
              </w:rPr>
              <w:t>个奖项，最高得</w:t>
            </w:r>
            <w:r>
              <w:rPr>
                <w:rFonts w:hint="eastAsia" w:ascii="宋体" w:hAnsi="宋体"/>
                <w:color w:val="auto"/>
                <w:szCs w:val="21"/>
                <w:highlight w:val="none"/>
                <w:lang w:val="en-US" w:eastAsia="zh-CN"/>
              </w:rPr>
              <w:t>10</w:t>
            </w:r>
            <w:r>
              <w:rPr>
                <w:rFonts w:hint="eastAsia" w:ascii="宋体" w:hAnsi="宋体"/>
                <w:color w:val="auto"/>
                <w:szCs w:val="21"/>
                <w:highlight w:val="none"/>
              </w:rPr>
              <w:t>分。①国家级工程质量奖指的是鲁班奖、詹天佑奖、国家优质工程奖、全国市政金杯奖；同一项目只按最高奖项计算一次得分，不得重复计算，参建及承建的奖项均予以计算。</w:t>
            </w:r>
          </w:p>
          <w:p w14:paraId="6DC56591">
            <w:pPr>
              <w:pStyle w:val="10"/>
              <w:keepNext w:val="0"/>
              <w:keepLines w:val="0"/>
              <w:pageBreakBefore w:val="0"/>
              <w:kinsoku/>
              <w:overflowPunct/>
              <w:topLinePunct w:val="0"/>
              <w:autoSpaceDE w:val="0"/>
              <w:bidi w:val="0"/>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Times New Roman"/>
                <w:color w:val="auto"/>
                <w:kern w:val="2"/>
                <w:sz w:val="21"/>
                <w:szCs w:val="21"/>
                <w:highlight w:val="none"/>
                <w:lang w:val="en-US" w:eastAsia="zh-CN" w:bidi="ar-SA"/>
              </w:rPr>
              <w:t>②获奖时间以发证时间为准，投标人须提供相关获奖证书复印件，并加盖 投标人公章。</w:t>
            </w:r>
          </w:p>
        </w:tc>
      </w:tr>
      <w:tr w14:paraId="2662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noWrap w:val="0"/>
            <w:vAlign w:val="center"/>
          </w:tcPr>
          <w:p w14:paraId="14E31C9D">
            <w:pPr>
              <w:keepNext w:val="0"/>
              <w:keepLines w:val="0"/>
              <w:pageBreakBefore w:val="0"/>
              <w:kinsoku/>
              <w:overflowPunct/>
              <w:topLinePunct w:val="0"/>
              <w:bidi w:val="0"/>
              <w:snapToGrid/>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p>
        </w:tc>
        <w:tc>
          <w:tcPr>
            <w:tcW w:w="1219" w:type="dxa"/>
            <w:noWrap w:val="0"/>
            <w:vAlign w:val="center"/>
          </w:tcPr>
          <w:p w14:paraId="7F209153">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企业资质</w:t>
            </w:r>
          </w:p>
        </w:tc>
        <w:tc>
          <w:tcPr>
            <w:tcW w:w="787" w:type="dxa"/>
            <w:noWrap w:val="0"/>
            <w:vAlign w:val="center"/>
          </w:tcPr>
          <w:p w14:paraId="5BE4F4E2">
            <w:pPr>
              <w:keepNext w:val="0"/>
              <w:keepLines w:val="0"/>
              <w:pageBreakBefore w:val="0"/>
              <w:kinsoku/>
              <w:overflowPunct/>
              <w:topLinePunct w:val="0"/>
              <w:bidi w:val="0"/>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p>
        </w:tc>
        <w:tc>
          <w:tcPr>
            <w:tcW w:w="5894" w:type="dxa"/>
            <w:noWrap w:val="0"/>
            <w:vAlign w:val="top"/>
          </w:tcPr>
          <w:p w14:paraId="7B2A9CB0">
            <w:pPr>
              <w:keepNext w:val="0"/>
              <w:keepLines w:val="0"/>
              <w:pageBreakBefore w:val="0"/>
              <w:numPr>
                <w:ilvl w:val="0"/>
                <w:numId w:val="0"/>
              </w:numPr>
              <w:tabs>
                <w:tab w:val="left" w:pos="6940"/>
              </w:tabs>
              <w:kinsoku/>
              <w:overflowPunct/>
              <w:topLinePunct w:val="0"/>
              <w:bidi w:val="0"/>
              <w:snapToGrid/>
              <w:spacing w:line="360" w:lineRule="exact"/>
              <w:ind w:right="158" w:rightChars="75"/>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投标人具备市政公用工程施工总承包</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或以上资质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得1分。</w:t>
            </w:r>
          </w:p>
          <w:p w14:paraId="5CD1A725">
            <w:pPr>
              <w:keepNext w:val="0"/>
              <w:keepLines w:val="0"/>
              <w:pageBreakBefore w:val="0"/>
              <w:kinsoku/>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注：已按新规定办理电子证书，则提交有二维码的打印件加盖公章，所盖公章不得影响二维码的读取；未办理电子证书的则提供</w:t>
            </w:r>
            <w:r>
              <w:rPr>
                <w:rFonts w:hint="eastAsia" w:ascii="宋体" w:hAnsi="宋体" w:eastAsia="宋体" w:cs="宋体"/>
                <w:color w:val="auto"/>
                <w:sz w:val="21"/>
                <w:szCs w:val="21"/>
                <w:highlight w:val="none"/>
                <w:lang w:val="en-US" w:eastAsia="zh-CN"/>
              </w:rPr>
              <w:t>资质</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lang w:val="en-US" w:eastAsia="zh-CN"/>
              </w:rPr>
              <w:t>复印件并加盖投标人公章</w:t>
            </w:r>
            <w:r>
              <w:rPr>
                <w:rFonts w:hint="eastAsia" w:ascii="宋体" w:hAnsi="宋体" w:eastAsia="宋体" w:cs="宋体"/>
                <w:color w:val="auto"/>
                <w:sz w:val="21"/>
                <w:szCs w:val="21"/>
                <w:highlight w:val="none"/>
                <w:lang w:eastAsia="zh-CN"/>
              </w:rPr>
              <w:t>，否则不得分。</w:t>
            </w:r>
          </w:p>
        </w:tc>
      </w:tr>
    </w:tbl>
    <w:p w14:paraId="691E20CC">
      <w:pPr>
        <w:rPr>
          <w:color w:val="auto"/>
        </w:rPr>
      </w:pPr>
    </w:p>
    <w:p w14:paraId="662481CA">
      <w:pPr>
        <w:spacing w:line="500" w:lineRule="exact"/>
        <w:ind w:firstLine="482" w:firstLineChars="200"/>
        <w:outlineLvl w:val="1"/>
        <w:rPr>
          <w:rFonts w:hint="eastAsia" w:ascii="宋体" w:hAnsi="宋体"/>
          <w:b/>
          <w:bCs/>
          <w:color w:val="auto"/>
          <w:sz w:val="24"/>
          <w:highlight w:val="none"/>
        </w:rPr>
      </w:pPr>
      <w:bookmarkStart w:id="3" w:name="_Toc14938"/>
      <w:bookmarkStart w:id="4" w:name="_Toc13403"/>
      <w:bookmarkStart w:id="5" w:name="_Toc5709"/>
      <w:r>
        <w:rPr>
          <w:rFonts w:hint="eastAsia" w:ascii="宋体" w:hAnsi="宋体"/>
          <w:b/>
          <w:bCs/>
          <w:color w:val="auto"/>
          <w:sz w:val="24"/>
          <w:highlight w:val="none"/>
        </w:rPr>
        <w:t>1.3技术评分细则评分标准</w:t>
      </w:r>
      <w:r>
        <w:rPr>
          <w:rFonts w:hint="eastAsia" w:ascii="宋体" w:hAnsi="宋体" w:cs="黑体"/>
          <w:b/>
          <w:color w:val="auto"/>
          <w:kern w:val="0"/>
          <w:sz w:val="24"/>
          <w:szCs w:val="24"/>
          <w:highlight w:val="none"/>
        </w:rPr>
        <w:t>前附表</w:t>
      </w:r>
      <w:r>
        <w:rPr>
          <w:rFonts w:hint="eastAsia" w:ascii="宋体" w:hAnsi="宋体"/>
          <w:b/>
          <w:bCs/>
          <w:color w:val="auto"/>
          <w:sz w:val="24"/>
          <w:highlight w:val="none"/>
        </w:rPr>
        <w:t>（N=</w:t>
      </w:r>
      <w:r>
        <w:rPr>
          <w:rFonts w:hint="eastAsia" w:ascii="宋体" w:hAnsi="宋体"/>
          <w:b/>
          <w:bCs/>
          <w:color w:val="auto"/>
          <w:sz w:val="24"/>
          <w:highlight w:val="none"/>
          <w:lang w:val="en-US" w:eastAsia="zh-CN"/>
        </w:rPr>
        <w:t>50</w:t>
      </w:r>
      <w:r>
        <w:rPr>
          <w:rFonts w:hint="eastAsia" w:ascii="宋体" w:hAnsi="宋体"/>
          <w:b/>
          <w:bCs/>
          <w:color w:val="auto"/>
          <w:sz w:val="24"/>
          <w:highlight w:val="none"/>
        </w:rPr>
        <w:t>分）</w:t>
      </w:r>
      <w:bookmarkEnd w:id="3"/>
      <w:bookmarkEnd w:id="4"/>
      <w:bookmarkEnd w:id="5"/>
    </w:p>
    <w:tbl>
      <w:tblPr>
        <w:tblStyle w:val="7"/>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1"/>
        <w:gridCol w:w="1916"/>
        <w:gridCol w:w="1128"/>
        <w:gridCol w:w="5097"/>
      </w:tblGrid>
      <w:tr w14:paraId="550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blHeader/>
          <w:jc w:val="center"/>
        </w:trPr>
        <w:tc>
          <w:tcPr>
            <w:tcW w:w="501" w:type="dxa"/>
            <w:noWrap w:val="0"/>
            <w:vAlign w:val="center"/>
          </w:tcPr>
          <w:p w14:paraId="52B77B61">
            <w:pPr>
              <w:autoSpaceDE w:val="0"/>
              <w:autoSpaceDN w:val="0"/>
              <w:spacing w:line="240" w:lineRule="exact"/>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916" w:type="dxa"/>
            <w:noWrap w:val="0"/>
            <w:vAlign w:val="center"/>
          </w:tcPr>
          <w:p w14:paraId="768DE46A">
            <w:pPr>
              <w:autoSpaceDE w:val="0"/>
              <w:autoSpaceDN w:val="0"/>
              <w:spacing w:line="240" w:lineRule="exact"/>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1128" w:type="dxa"/>
            <w:tcBorders>
              <w:right w:val="single" w:color="auto" w:sz="4" w:space="0"/>
            </w:tcBorders>
            <w:noWrap w:val="0"/>
            <w:vAlign w:val="center"/>
          </w:tcPr>
          <w:p w14:paraId="0851E5E8">
            <w:pPr>
              <w:autoSpaceDE w:val="0"/>
              <w:autoSpaceDN w:val="0"/>
              <w:spacing w:line="240" w:lineRule="exact"/>
              <w:jc w:val="center"/>
              <w:rPr>
                <w:rFonts w:ascii="宋体" w:cs="宋体"/>
                <w:b/>
                <w:bCs/>
                <w:color w:val="auto"/>
                <w:kern w:val="0"/>
                <w:sz w:val="21"/>
                <w:szCs w:val="21"/>
                <w:highlight w:val="none"/>
              </w:rPr>
            </w:pPr>
            <w:r>
              <w:rPr>
                <w:rFonts w:hint="eastAsia" w:ascii="宋体" w:cs="宋体"/>
                <w:b/>
                <w:bCs/>
                <w:color w:val="auto"/>
                <w:kern w:val="0"/>
                <w:sz w:val="21"/>
                <w:szCs w:val="21"/>
                <w:highlight w:val="none"/>
              </w:rPr>
              <w:t>分值范围（100分）</w:t>
            </w:r>
          </w:p>
        </w:tc>
        <w:tc>
          <w:tcPr>
            <w:tcW w:w="5097" w:type="dxa"/>
            <w:tcBorders>
              <w:left w:val="single" w:color="auto" w:sz="4" w:space="0"/>
            </w:tcBorders>
            <w:noWrap w:val="0"/>
            <w:vAlign w:val="center"/>
          </w:tcPr>
          <w:p w14:paraId="2B91A3DB">
            <w:pPr>
              <w:autoSpaceDE w:val="0"/>
              <w:autoSpaceDN w:val="0"/>
              <w:spacing w:line="240" w:lineRule="exact"/>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评审标准</w:t>
            </w:r>
          </w:p>
        </w:tc>
      </w:tr>
      <w:tr w14:paraId="4BC1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5" w:hRule="atLeast"/>
          <w:jc w:val="center"/>
        </w:trPr>
        <w:tc>
          <w:tcPr>
            <w:tcW w:w="501" w:type="dxa"/>
            <w:tcBorders>
              <w:bottom w:val="single" w:color="auto" w:sz="4" w:space="0"/>
            </w:tcBorders>
            <w:noWrap w:val="0"/>
            <w:vAlign w:val="center"/>
          </w:tcPr>
          <w:p w14:paraId="2B94C168">
            <w:pPr>
              <w:autoSpaceDE w:val="0"/>
              <w:autoSpaceDN w:val="0"/>
              <w:spacing w:line="240" w:lineRule="exact"/>
              <w:rPr>
                <w:rFonts w:ascii="宋体" w:cs="宋体"/>
                <w:b/>
                <w:bCs/>
                <w:color w:val="auto"/>
                <w:kern w:val="0"/>
                <w:sz w:val="21"/>
                <w:szCs w:val="21"/>
                <w:highlight w:val="none"/>
              </w:rPr>
            </w:pPr>
            <w:r>
              <w:rPr>
                <w:rFonts w:ascii="宋体" w:hAnsi="宋体" w:cs="宋体"/>
                <w:b/>
                <w:bCs/>
                <w:color w:val="auto"/>
                <w:kern w:val="0"/>
                <w:sz w:val="21"/>
                <w:szCs w:val="21"/>
                <w:highlight w:val="none"/>
              </w:rPr>
              <w:t>1</w:t>
            </w:r>
          </w:p>
        </w:tc>
        <w:tc>
          <w:tcPr>
            <w:tcW w:w="1916" w:type="dxa"/>
            <w:tcBorders>
              <w:bottom w:val="single" w:color="auto" w:sz="4" w:space="0"/>
            </w:tcBorders>
            <w:noWrap w:val="0"/>
            <w:vAlign w:val="center"/>
          </w:tcPr>
          <w:p w14:paraId="7CD3D77C">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rPr>
              <w:t>总体概述</w:t>
            </w:r>
          </w:p>
        </w:tc>
        <w:tc>
          <w:tcPr>
            <w:tcW w:w="1128" w:type="dxa"/>
            <w:tcBorders>
              <w:right w:val="single" w:color="auto" w:sz="4" w:space="0"/>
            </w:tcBorders>
            <w:noWrap w:val="0"/>
            <w:vAlign w:val="center"/>
          </w:tcPr>
          <w:p w14:paraId="7C426579">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color w:val="auto"/>
                <w:sz w:val="21"/>
                <w:szCs w:val="21"/>
                <w:highlight w:val="none"/>
              </w:rPr>
            </w:pPr>
            <w:r>
              <w:rPr>
                <w:rFonts w:hint="eastAsia" w:ascii="宋体" w:cs="宋体"/>
                <w:color w:val="auto"/>
                <w:sz w:val="21"/>
                <w:szCs w:val="21"/>
                <w:highlight w:val="none"/>
              </w:rPr>
              <w:t>15分</w:t>
            </w:r>
          </w:p>
        </w:tc>
        <w:tc>
          <w:tcPr>
            <w:tcW w:w="5097" w:type="dxa"/>
            <w:tcBorders>
              <w:left w:val="single" w:color="auto" w:sz="4" w:space="0"/>
            </w:tcBorders>
            <w:noWrap w:val="0"/>
            <w:vAlign w:val="center"/>
          </w:tcPr>
          <w:p w14:paraId="07D6A505">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对项目总体有深刻认识，表述清晰、完整、严谨、合理，措施先进、具体、有效、成熟，采用了新技术、新工艺、新材料、新设备；施工段划分呼应总体表述，划分清晰、合理，符合规范要求。得分：11～15分。</w:t>
            </w:r>
          </w:p>
          <w:p w14:paraId="4A593760">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良：对项目总体有一定认识，表述清晰、完整，措施具体有效；施工段划分呼应总体表述，划分清晰，符合规范要求。得分：6～10分。</w:t>
            </w:r>
          </w:p>
          <w:p w14:paraId="5B8A8DA9">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中：对项目总体有认识，有一定的措施但部分不具体；施工段划分较合理，符合规范要求。得分：1～5分。</w:t>
            </w:r>
          </w:p>
          <w:p w14:paraId="709ABAB9">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差:对项目认识不足，表述不清晰，措施不具体；施工段划分不合理。得分：0分。</w:t>
            </w:r>
          </w:p>
        </w:tc>
      </w:tr>
      <w:tr w14:paraId="05E1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01" w:type="dxa"/>
            <w:tcBorders>
              <w:top w:val="single" w:color="auto" w:sz="4" w:space="0"/>
              <w:bottom w:val="single" w:color="auto" w:sz="4" w:space="0"/>
            </w:tcBorders>
            <w:noWrap w:val="0"/>
            <w:vAlign w:val="center"/>
          </w:tcPr>
          <w:p w14:paraId="67D9C05E">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2</w:t>
            </w:r>
          </w:p>
        </w:tc>
        <w:tc>
          <w:tcPr>
            <w:tcW w:w="1916" w:type="dxa"/>
            <w:tcBorders>
              <w:top w:val="single" w:color="auto" w:sz="4" w:space="0"/>
              <w:bottom w:val="single" w:color="auto" w:sz="4" w:space="0"/>
            </w:tcBorders>
            <w:noWrap w:val="0"/>
            <w:vAlign w:val="center"/>
          </w:tcPr>
          <w:p w14:paraId="762594B2">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rPr>
              <w:t>施工进度计划和各阶段进度的保证措施及违约责任承诺</w:t>
            </w:r>
          </w:p>
        </w:tc>
        <w:tc>
          <w:tcPr>
            <w:tcW w:w="1128" w:type="dxa"/>
            <w:tcBorders>
              <w:right w:val="single" w:color="auto" w:sz="4" w:space="0"/>
            </w:tcBorders>
            <w:noWrap w:val="0"/>
            <w:vAlign w:val="center"/>
          </w:tcPr>
          <w:p w14:paraId="3909DF1F">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color w:val="auto"/>
                <w:sz w:val="21"/>
                <w:szCs w:val="21"/>
                <w:highlight w:val="none"/>
              </w:rPr>
            </w:pPr>
            <w:r>
              <w:rPr>
                <w:rFonts w:hint="eastAsia" w:ascii="宋体" w:cs="宋体"/>
                <w:color w:val="auto"/>
                <w:sz w:val="21"/>
                <w:szCs w:val="21"/>
                <w:highlight w:val="none"/>
              </w:rPr>
              <w:t>1</w:t>
            </w:r>
            <w:r>
              <w:rPr>
                <w:rFonts w:hint="eastAsia" w:ascii="宋体" w:cs="宋体"/>
                <w:color w:val="auto"/>
                <w:sz w:val="21"/>
                <w:szCs w:val="21"/>
                <w:highlight w:val="none"/>
                <w:lang w:val="en-US" w:eastAsia="zh-CN"/>
              </w:rPr>
              <w:t>0</w:t>
            </w:r>
            <w:r>
              <w:rPr>
                <w:rFonts w:hint="eastAsia" w:ascii="宋体" w:cs="宋体"/>
                <w:color w:val="auto"/>
                <w:sz w:val="21"/>
                <w:szCs w:val="21"/>
                <w:highlight w:val="none"/>
              </w:rPr>
              <w:t>分</w:t>
            </w:r>
          </w:p>
        </w:tc>
        <w:tc>
          <w:tcPr>
            <w:tcW w:w="5097" w:type="dxa"/>
            <w:tcBorders>
              <w:left w:val="single" w:color="auto" w:sz="4" w:space="0"/>
            </w:tcBorders>
            <w:noWrap w:val="0"/>
            <w:vAlign w:val="center"/>
          </w:tcPr>
          <w:p w14:paraId="26F1BB2F">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优：关键线路清晰、准确、完整，计划编制合理、可行。关键节点的控制措施有力、合理、可行。进度违约责任承诺具体，经济赔偿最大。</w:t>
            </w:r>
            <w:r>
              <w:rPr>
                <w:rFonts w:hint="eastAsia" w:ascii="宋体" w:cs="宋体"/>
                <w:color w:val="auto"/>
                <w:sz w:val="21"/>
                <w:szCs w:val="21"/>
                <w:highlight w:val="none"/>
                <w:lang w:val="en-US" w:eastAsia="zh-CN"/>
              </w:rPr>
              <w:t>7</w:t>
            </w:r>
            <w:r>
              <w:rPr>
                <w:rFonts w:hint="eastAsia" w:ascii="宋体" w:cs="宋体"/>
                <w:color w:val="auto"/>
                <w:sz w:val="21"/>
                <w:szCs w:val="21"/>
                <w:highlight w:val="none"/>
              </w:rPr>
              <w:t>～1</w:t>
            </w:r>
            <w:r>
              <w:rPr>
                <w:rFonts w:hint="eastAsia" w:ascii="宋体" w:cs="宋体"/>
                <w:color w:val="auto"/>
                <w:sz w:val="21"/>
                <w:szCs w:val="21"/>
                <w:highlight w:val="none"/>
                <w:lang w:val="en-US" w:eastAsia="zh-CN"/>
              </w:rPr>
              <w:t>0</w:t>
            </w:r>
            <w:r>
              <w:rPr>
                <w:rFonts w:hint="eastAsia" w:ascii="宋体" w:cs="宋体"/>
                <w:color w:val="auto"/>
                <w:sz w:val="21"/>
                <w:szCs w:val="21"/>
                <w:highlight w:val="none"/>
              </w:rPr>
              <w:t>分。</w:t>
            </w:r>
          </w:p>
          <w:p w14:paraId="10808B87">
            <w:pPr>
              <w:keepNext w:val="0"/>
              <w:keepLines w:val="0"/>
              <w:pageBreakBefore w:val="0"/>
              <w:widowControl w:val="0"/>
              <w:kinsoku/>
              <w:wordWrap/>
              <w:overflowPunct/>
              <w:topLinePunct w:val="0"/>
              <w:bidi w:val="0"/>
              <w:adjustRightInd/>
              <w:snapToGrid/>
              <w:spacing w:line="320" w:lineRule="exact"/>
              <w:textAlignment w:val="auto"/>
              <w:rPr>
                <w:rFonts w:hint="default" w:ascii="宋体" w:eastAsia="宋体" w:cs="宋体"/>
                <w:color w:val="auto"/>
                <w:sz w:val="21"/>
                <w:szCs w:val="21"/>
                <w:highlight w:val="none"/>
                <w:lang w:val="en-US" w:eastAsia="zh-CN"/>
              </w:rPr>
            </w:pPr>
            <w:r>
              <w:rPr>
                <w:rFonts w:hint="eastAsia" w:ascii="宋体" w:cs="宋体"/>
                <w:color w:val="auto"/>
                <w:sz w:val="21"/>
                <w:szCs w:val="21"/>
                <w:highlight w:val="none"/>
              </w:rPr>
              <w:t>良：关键线路清晰、准确、完整，计划编制可行。关键节点的控制措施合理、可行。进度违约责任承诺具体，经济赔偿次大。</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6分。</w:t>
            </w:r>
          </w:p>
          <w:p w14:paraId="4A3EFAE5">
            <w:pPr>
              <w:keepNext w:val="0"/>
              <w:keepLines w:val="0"/>
              <w:pageBreakBefore w:val="0"/>
              <w:widowControl w:val="0"/>
              <w:kinsoku/>
              <w:wordWrap/>
              <w:overflowPunct/>
              <w:topLinePunct w:val="0"/>
              <w:bidi w:val="0"/>
              <w:adjustRightInd/>
              <w:snapToGrid/>
              <w:spacing w:line="320" w:lineRule="exact"/>
              <w:textAlignment w:val="auto"/>
              <w:rPr>
                <w:rFonts w:hint="default" w:ascii="宋体" w:eastAsia="宋体" w:cs="宋体"/>
                <w:color w:val="auto"/>
                <w:sz w:val="21"/>
                <w:szCs w:val="21"/>
                <w:highlight w:val="none"/>
                <w:lang w:val="en-US" w:eastAsia="zh-CN"/>
              </w:rPr>
            </w:pPr>
            <w:r>
              <w:rPr>
                <w:rFonts w:hint="eastAsia" w:ascii="宋体" w:cs="宋体"/>
                <w:color w:val="auto"/>
                <w:sz w:val="21"/>
                <w:szCs w:val="21"/>
                <w:highlight w:val="none"/>
              </w:rPr>
              <w:t>中：关键线路基本准确，计划编制基本合理，关键节点的控制措施基本可行。进度违约责任承诺具体。</w:t>
            </w:r>
            <w:r>
              <w:rPr>
                <w:rFonts w:hint="eastAsia" w:ascii="宋体" w:cs="宋体"/>
                <w:color w:val="auto"/>
                <w:sz w:val="21"/>
                <w:szCs w:val="21"/>
                <w:highlight w:val="none"/>
                <w:lang w:val="en-US" w:eastAsia="zh-CN"/>
              </w:rPr>
              <w:t>1</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3分。</w:t>
            </w:r>
          </w:p>
          <w:p w14:paraId="2510948B">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差：关键线路不准确，计划编制不合理。关键节点的控制不可行。没有违约责任承诺。得分：0分。</w:t>
            </w:r>
          </w:p>
        </w:tc>
      </w:tr>
      <w:tr w14:paraId="4988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jc w:val="center"/>
        </w:trPr>
        <w:tc>
          <w:tcPr>
            <w:tcW w:w="501" w:type="dxa"/>
            <w:tcBorders>
              <w:top w:val="single" w:color="auto" w:sz="4" w:space="0"/>
              <w:bottom w:val="single" w:color="auto" w:sz="4" w:space="0"/>
            </w:tcBorders>
            <w:noWrap w:val="0"/>
            <w:vAlign w:val="center"/>
          </w:tcPr>
          <w:p w14:paraId="61BA4613">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3</w:t>
            </w:r>
          </w:p>
        </w:tc>
        <w:tc>
          <w:tcPr>
            <w:tcW w:w="1916" w:type="dxa"/>
            <w:tcBorders>
              <w:top w:val="single" w:color="auto" w:sz="4" w:space="0"/>
              <w:bottom w:val="single" w:color="auto" w:sz="4" w:space="0"/>
            </w:tcBorders>
            <w:noWrap w:val="0"/>
            <w:vAlign w:val="center"/>
          </w:tcPr>
          <w:p w14:paraId="30AEFBD0">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rPr>
              <w:t>劳动力和材料投入计划及其保证措施</w:t>
            </w:r>
          </w:p>
        </w:tc>
        <w:tc>
          <w:tcPr>
            <w:tcW w:w="1128" w:type="dxa"/>
            <w:tcBorders>
              <w:right w:val="single" w:color="auto" w:sz="4" w:space="0"/>
            </w:tcBorders>
            <w:noWrap w:val="0"/>
            <w:vAlign w:val="center"/>
          </w:tcPr>
          <w:p w14:paraId="3B18EA8D">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p>
        </w:tc>
        <w:tc>
          <w:tcPr>
            <w:tcW w:w="5097" w:type="dxa"/>
            <w:tcBorders>
              <w:left w:val="single" w:color="auto" w:sz="4" w:space="0"/>
            </w:tcBorders>
            <w:noWrap w:val="0"/>
            <w:vAlign w:val="center"/>
          </w:tcPr>
          <w:p w14:paraId="6D8D2B40">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优：投入计划与进度计划呼应，较好满足施工需要，调配投入计划合理、准确。得分：</w:t>
            </w:r>
            <w:r>
              <w:rPr>
                <w:rFonts w:hint="eastAsia" w:ascii="宋体" w:cs="宋体"/>
                <w:color w:val="auto"/>
                <w:sz w:val="21"/>
                <w:szCs w:val="21"/>
                <w:highlight w:val="none"/>
                <w:lang w:val="en-US" w:eastAsia="zh-CN"/>
              </w:rPr>
              <w:t>7</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r>
              <w:rPr>
                <w:rFonts w:hint="eastAsia" w:ascii="宋体" w:cs="宋体"/>
                <w:color w:val="auto"/>
                <w:sz w:val="21"/>
                <w:szCs w:val="21"/>
                <w:highlight w:val="none"/>
              </w:rPr>
              <w:t>。</w:t>
            </w:r>
          </w:p>
          <w:p w14:paraId="5921AD46">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良：投入计划与进度计划呼应，基本满足施工需要，调配投入计划基本合理、准确。得分：</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分。</w:t>
            </w:r>
          </w:p>
          <w:p w14:paraId="51ADE05E">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中：投入计划与进度计划呼应，基本满足施工需要，调配投入计划基本合理。得分：</w:t>
            </w:r>
            <w:r>
              <w:rPr>
                <w:rFonts w:hint="eastAsia" w:ascii="宋体" w:cs="宋体"/>
                <w:color w:val="auto"/>
                <w:sz w:val="21"/>
                <w:szCs w:val="21"/>
                <w:highlight w:val="none"/>
                <w:lang w:val="en-US" w:eastAsia="zh-CN"/>
              </w:rPr>
              <w:t>1</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分。</w:t>
            </w:r>
          </w:p>
          <w:p w14:paraId="053E218F">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差：投入计划与进度计划不呼应，不能满足施工需要。得分：0分。</w:t>
            </w:r>
          </w:p>
        </w:tc>
      </w:tr>
      <w:tr w14:paraId="7110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5" w:hRule="atLeast"/>
          <w:jc w:val="center"/>
        </w:trPr>
        <w:tc>
          <w:tcPr>
            <w:tcW w:w="501" w:type="dxa"/>
            <w:tcBorders>
              <w:top w:val="single" w:color="auto" w:sz="4" w:space="0"/>
              <w:bottom w:val="single" w:color="auto" w:sz="4" w:space="0"/>
            </w:tcBorders>
            <w:noWrap w:val="0"/>
            <w:vAlign w:val="center"/>
          </w:tcPr>
          <w:p w14:paraId="6C9E711F">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4</w:t>
            </w:r>
          </w:p>
        </w:tc>
        <w:tc>
          <w:tcPr>
            <w:tcW w:w="1916" w:type="dxa"/>
            <w:tcBorders>
              <w:top w:val="single" w:color="auto" w:sz="4" w:space="0"/>
              <w:bottom w:val="single" w:color="auto" w:sz="4" w:space="0"/>
            </w:tcBorders>
            <w:noWrap w:val="0"/>
            <w:vAlign w:val="center"/>
          </w:tcPr>
          <w:p w14:paraId="42130B28">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rPr>
              <w:t>机械设备投入计划</w:t>
            </w:r>
          </w:p>
        </w:tc>
        <w:tc>
          <w:tcPr>
            <w:tcW w:w="1128" w:type="dxa"/>
            <w:tcBorders>
              <w:right w:val="single" w:color="auto" w:sz="4" w:space="0"/>
            </w:tcBorders>
            <w:noWrap w:val="0"/>
            <w:vAlign w:val="center"/>
          </w:tcPr>
          <w:p w14:paraId="1B86477B">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p>
        </w:tc>
        <w:tc>
          <w:tcPr>
            <w:tcW w:w="5097" w:type="dxa"/>
            <w:tcBorders>
              <w:left w:val="single" w:color="auto" w:sz="4" w:space="0"/>
            </w:tcBorders>
            <w:noWrap w:val="0"/>
            <w:vAlign w:val="center"/>
          </w:tcPr>
          <w:p w14:paraId="52A385D7">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优：投入计划与进度计划呼应，较好满足施工需要，采用先进机械设备。得分：</w:t>
            </w:r>
            <w:r>
              <w:rPr>
                <w:rFonts w:hint="eastAsia" w:ascii="宋体" w:cs="宋体"/>
                <w:color w:val="auto"/>
                <w:sz w:val="21"/>
                <w:szCs w:val="21"/>
                <w:highlight w:val="none"/>
                <w:lang w:val="en-US" w:eastAsia="zh-CN"/>
              </w:rPr>
              <w:t>7</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r>
              <w:rPr>
                <w:rFonts w:hint="eastAsia" w:ascii="宋体" w:cs="宋体"/>
                <w:color w:val="auto"/>
                <w:sz w:val="21"/>
                <w:szCs w:val="21"/>
                <w:highlight w:val="none"/>
              </w:rPr>
              <w:t>。</w:t>
            </w:r>
          </w:p>
          <w:p w14:paraId="2C1AC710">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良：投入计划与进度计划呼应，满足施工需要。得分：</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分。</w:t>
            </w:r>
          </w:p>
          <w:p w14:paraId="4CC48B70">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中：投入计划与进度计划呼应，基本满足施工需要。得分：</w:t>
            </w:r>
            <w:r>
              <w:rPr>
                <w:rFonts w:hint="eastAsia" w:ascii="宋体" w:cs="宋体"/>
                <w:color w:val="auto"/>
                <w:sz w:val="21"/>
                <w:szCs w:val="21"/>
                <w:highlight w:val="none"/>
                <w:lang w:val="en-US" w:eastAsia="zh-CN"/>
              </w:rPr>
              <w:t>1</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分。</w:t>
            </w:r>
          </w:p>
          <w:p w14:paraId="5A7A82BF">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差：投入计划与进度计划不呼应，不能满足施工需要。得分：0分。</w:t>
            </w:r>
          </w:p>
        </w:tc>
      </w:tr>
      <w:tr w14:paraId="1246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501" w:type="dxa"/>
            <w:tcBorders>
              <w:top w:val="single" w:color="auto" w:sz="4" w:space="0"/>
              <w:bottom w:val="single" w:color="auto" w:sz="4" w:space="0"/>
            </w:tcBorders>
            <w:noWrap w:val="0"/>
            <w:vAlign w:val="center"/>
          </w:tcPr>
          <w:p w14:paraId="3DFA511E">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5</w:t>
            </w:r>
          </w:p>
        </w:tc>
        <w:tc>
          <w:tcPr>
            <w:tcW w:w="1916" w:type="dxa"/>
            <w:tcBorders>
              <w:top w:val="single" w:color="auto" w:sz="4" w:space="0"/>
              <w:bottom w:val="single" w:color="auto" w:sz="4" w:space="0"/>
            </w:tcBorders>
            <w:noWrap w:val="0"/>
            <w:vAlign w:val="center"/>
          </w:tcPr>
          <w:p w14:paraId="5C8F8131">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rPr>
              <w:t>施工平面布置和临时设施布置</w:t>
            </w:r>
          </w:p>
        </w:tc>
        <w:tc>
          <w:tcPr>
            <w:tcW w:w="1128" w:type="dxa"/>
            <w:tcBorders>
              <w:right w:val="single" w:color="auto" w:sz="4" w:space="0"/>
            </w:tcBorders>
            <w:noWrap w:val="0"/>
            <w:vAlign w:val="center"/>
          </w:tcPr>
          <w:p w14:paraId="4E26932A">
            <w:pPr>
              <w:keepNext w:val="0"/>
              <w:keepLines w:val="0"/>
              <w:pageBreakBefore w:val="0"/>
              <w:widowControl w:val="0"/>
              <w:kinsoku/>
              <w:wordWrap/>
              <w:overflowPunct/>
              <w:topLinePunct w:val="0"/>
              <w:bidi w:val="0"/>
              <w:adjustRightInd/>
              <w:snapToGrid/>
              <w:spacing w:line="320" w:lineRule="exact"/>
              <w:jc w:val="center"/>
              <w:textAlignment w:val="auto"/>
              <w:rPr>
                <w:rFonts w:ascii="宋体" w:cs="宋体"/>
                <w:b/>
                <w:bCs/>
                <w:color w:val="auto"/>
                <w:sz w:val="21"/>
                <w:szCs w:val="21"/>
                <w:highlight w:val="none"/>
              </w:rPr>
            </w:pPr>
            <w:r>
              <w:rPr>
                <w:rFonts w:hint="eastAsia" w:ascii="宋体" w:cs="宋体"/>
                <w:b/>
                <w:bCs/>
                <w:color w:val="auto"/>
                <w:sz w:val="21"/>
                <w:szCs w:val="21"/>
                <w:highlight w:val="none"/>
                <w:lang w:val="en-US" w:eastAsia="zh-CN"/>
              </w:rPr>
              <w:t>10</w:t>
            </w:r>
            <w:r>
              <w:rPr>
                <w:rFonts w:hint="eastAsia" w:ascii="宋体" w:cs="宋体"/>
                <w:b/>
                <w:bCs/>
                <w:color w:val="auto"/>
                <w:sz w:val="21"/>
                <w:szCs w:val="21"/>
                <w:highlight w:val="none"/>
              </w:rPr>
              <w:t>分</w:t>
            </w:r>
          </w:p>
        </w:tc>
        <w:tc>
          <w:tcPr>
            <w:tcW w:w="5097" w:type="dxa"/>
            <w:tcBorders>
              <w:left w:val="single" w:color="auto" w:sz="4" w:space="0"/>
            </w:tcBorders>
            <w:noWrap w:val="0"/>
            <w:vAlign w:val="center"/>
          </w:tcPr>
          <w:p w14:paraId="5125B87E">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优：总体布置有针对性、合理，较好满足施工需要，符合安全、文明生产要求。得分：</w:t>
            </w:r>
            <w:r>
              <w:rPr>
                <w:rFonts w:hint="eastAsia" w:ascii="宋体" w:cs="宋体"/>
                <w:color w:val="auto"/>
                <w:sz w:val="21"/>
                <w:szCs w:val="21"/>
                <w:highlight w:val="none"/>
                <w:lang w:val="en-US" w:eastAsia="zh-CN"/>
              </w:rPr>
              <w:t>7</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r>
              <w:rPr>
                <w:rFonts w:hint="eastAsia" w:ascii="宋体" w:cs="宋体"/>
                <w:color w:val="auto"/>
                <w:sz w:val="21"/>
                <w:szCs w:val="21"/>
                <w:highlight w:val="none"/>
              </w:rPr>
              <w:t>。</w:t>
            </w:r>
          </w:p>
          <w:p w14:paraId="7D10CB27">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良：总体布置合理，能满足施工需要，基本符合安全、文明生产要求。得分：</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分。</w:t>
            </w:r>
          </w:p>
          <w:p w14:paraId="0DDA8EE1">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中：总体布置基本合理，基本满足施工需要。得分：</w:t>
            </w:r>
            <w:r>
              <w:rPr>
                <w:rFonts w:hint="eastAsia" w:ascii="宋体" w:cs="宋体"/>
                <w:color w:val="auto"/>
                <w:sz w:val="21"/>
                <w:szCs w:val="21"/>
                <w:highlight w:val="none"/>
                <w:lang w:val="en-US" w:eastAsia="zh-CN"/>
              </w:rPr>
              <w:t>1</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分。</w:t>
            </w:r>
          </w:p>
          <w:p w14:paraId="3CD86313">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差：总体布置不合理，不符合安全、文明生产要求。得分：0分。</w:t>
            </w:r>
          </w:p>
        </w:tc>
      </w:tr>
      <w:tr w14:paraId="3AFF3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501" w:type="dxa"/>
            <w:tcBorders>
              <w:top w:val="single" w:color="auto" w:sz="4" w:space="0"/>
              <w:bottom w:val="single" w:color="auto" w:sz="4" w:space="0"/>
            </w:tcBorders>
            <w:noWrap w:val="0"/>
            <w:vAlign w:val="center"/>
          </w:tcPr>
          <w:p w14:paraId="1985E7F4">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6</w:t>
            </w:r>
          </w:p>
        </w:tc>
        <w:tc>
          <w:tcPr>
            <w:tcW w:w="1916" w:type="dxa"/>
            <w:tcBorders>
              <w:top w:val="single" w:color="auto" w:sz="4" w:space="0"/>
              <w:bottom w:val="single" w:color="auto" w:sz="4" w:space="0"/>
            </w:tcBorders>
            <w:noWrap w:val="0"/>
            <w:vAlign w:val="center"/>
          </w:tcPr>
          <w:p w14:paraId="15D64BD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关键施工技术、工艺及工程项目实施的重点、难点分析和解决方案</w:t>
            </w:r>
          </w:p>
        </w:tc>
        <w:tc>
          <w:tcPr>
            <w:tcW w:w="1128" w:type="dxa"/>
            <w:tcBorders>
              <w:left w:val="single" w:color="auto" w:sz="4" w:space="0"/>
              <w:right w:val="single" w:color="auto" w:sz="4" w:space="0"/>
            </w:tcBorders>
            <w:noWrap w:val="0"/>
            <w:vAlign w:val="center"/>
          </w:tcPr>
          <w:p w14:paraId="615DE5F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15分</w:t>
            </w:r>
          </w:p>
        </w:tc>
        <w:tc>
          <w:tcPr>
            <w:tcW w:w="5097" w:type="dxa"/>
            <w:tcBorders>
              <w:left w:val="single" w:color="auto" w:sz="4" w:space="0"/>
            </w:tcBorders>
            <w:noWrap w:val="0"/>
            <w:vAlign w:val="center"/>
          </w:tcPr>
          <w:p w14:paraId="7129FBDE">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优：对项目关键技术、工艺有深入的表述，对重点、难点有先进、合理的建议，解决方案完整、经济、安全、切实可行，措施得力。得分：11～15分。</w:t>
            </w:r>
          </w:p>
          <w:p w14:paraId="53853C0D">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良：对项目关键技术、工艺有深入的表述，对重点、难点有合理的建议，解决方案经济、安全、基本可行。得分：6～10分。</w:t>
            </w:r>
          </w:p>
          <w:p w14:paraId="58AE1124">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中：对项目关键技术有一定了解，对重点、难点有建议，解决方案基本可行。得分：1～5分。</w:t>
            </w:r>
          </w:p>
          <w:p w14:paraId="724DD4B3">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sz w:val="21"/>
                <w:szCs w:val="21"/>
                <w:highlight w:val="none"/>
              </w:rPr>
              <w:t>差：对项目关键技术有表述，对重点、难点有建议，解决方案不可行。得分：0分。</w:t>
            </w:r>
          </w:p>
        </w:tc>
      </w:tr>
      <w:tr w14:paraId="6530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501" w:type="dxa"/>
            <w:tcBorders>
              <w:top w:val="single" w:color="auto" w:sz="4" w:space="0"/>
            </w:tcBorders>
            <w:noWrap w:val="0"/>
            <w:vAlign w:val="center"/>
          </w:tcPr>
          <w:p w14:paraId="418AA574">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7</w:t>
            </w:r>
          </w:p>
        </w:tc>
        <w:tc>
          <w:tcPr>
            <w:tcW w:w="1916" w:type="dxa"/>
            <w:tcBorders>
              <w:top w:val="single" w:color="auto" w:sz="4" w:space="0"/>
            </w:tcBorders>
            <w:noWrap w:val="0"/>
            <w:vAlign w:val="center"/>
          </w:tcPr>
          <w:p w14:paraId="462A294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安全文明施工措施</w:t>
            </w:r>
          </w:p>
        </w:tc>
        <w:tc>
          <w:tcPr>
            <w:tcW w:w="1128" w:type="dxa"/>
            <w:tcBorders>
              <w:left w:val="single" w:color="auto" w:sz="4" w:space="0"/>
              <w:right w:val="single" w:color="auto" w:sz="4" w:space="0"/>
            </w:tcBorders>
            <w:noWrap w:val="0"/>
            <w:vAlign w:val="center"/>
          </w:tcPr>
          <w:p w14:paraId="5DDD8C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1</w:t>
            </w:r>
            <w:r>
              <w:rPr>
                <w:rFonts w:hint="eastAsia" w:ascii="宋体" w:cs="宋体"/>
                <w:b/>
                <w:bCs/>
                <w:color w:val="auto"/>
                <w:kern w:val="0"/>
                <w:sz w:val="21"/>
                <w:szCs w:val="21"/>
                <w:highlight w:val="none"/>
                <w:lang w:val="en-US" w:eastAsia="zh-CN"/>
              </w:rPr>
              <w:t>4</w:t>
            </w:r>
            <w:r>
              <w:rPr>
                <w:rFonts w:hint="eastAsia" w:ascii="宋体" w:cs="宋体"/>
                <w:b/>
                <w:bCs/>
                <w:color w:val="auto"/>
                <w:kern w:val="0"/>
                <w:sz w:val="21"/>
                <w:szCs w:val="21"/>
                <w:highlight w:val="none"/>
              </w:rPr>
              <w:t>分</w:t>
            </w:r>
          </w:p>
        </w:tc>
        <w:tc>
          <w:tcPr>
            <w:tcW w:w="5097" w:type="dxa"/>
            <w:tcBorders>
              <w:left w:val="single" w:color="auto" w:sz="4" w:space="0"/>
            </w:tcBorders>
            <w:noWrap w:val="0"/>
            <w:vAlign w:val="center"/>
          </w:tcPr>
          <w:p w14:paraId="75C2D081">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优：针对项目实际情况，有先进、具体、完整、可行的实施措施，采用规范正确、清晰。得分</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11</w:t>
            </w:r>
            <w:r>
              <w:rPr>
                <w:rFonts w:hint="eastAsia" w:ascii="宋体" w:cs="宋体"/>
                <w:color w:val="auto"/>
                <w:sz w:val="21"/>
                <w:szCs w:val="21"/>
                <w:highlight w:val="none"/>
              </w:rPr>
              <w:t>～1</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分。</w:t>
            </w:r>
          </w:p>
          <w:p w14:paraId="48D20CE5">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良：针对项目实施情况，有合理的措施且具体、完整，采用规范正确。得分：</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10</w:t>
            </w:r>
            <w:r>
              <w:rPr>
                <w:rFonts w:hint="eastAsia" w:ascii="宋体" w:cs="宋体"/>
                <w:color w:val="auto"/>
                <w:sz w:val="21"/>
                <w:szCs w:val="21"/>
                <w:highlight w:val="none"/>
              </w:rPr>
              <w:t>分。</w:t>
            </w:r>
          </w:p>
          <w:p w14:paraId="45911B15">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sz w:val="21"/>
                <w:szCs w:val="21"/>
                <w:highlight w:val="none"/>
              </w:rPr>
            </w:pPr>
            <w:r>
              <w:rPr>
                <w:rFonts w:hint="eastAsia" w:ascii="宋体" w:cs="宋体"/>
                <w:color w:val="auto"/>
                <w:sz w:val="21"/>
                <w:szCs w:val="21"/>
                <w:highlight w:val="none"/>
              </w:rPr>
              <w:t>中：有基本合理的措施，采用规范正确。得分：1～</w:t>
            </w:r>
            <w:r>
              <w:rPr>
                <w:rFonts w:hint="eastAsia" w:ascii="宋体" w:cs="宋体"/>
                <w:color w:val="auto"/>
                <w:sz w:val="21"/>
                <w:szCs w:val="21"/>
                <w:highlight w:val="none"/>
                <w:lang w:val="en-US" w:eastAsia="zh-CN"/>
              </w:rPr>
              <w:t>5</w:t>
            </w:r>
            <w:r>
              <w:rPr>
                <w:rFonts w:hint="eastAsia" w:ascii="宋体" w:cs="宋体"/>
                <w:color w:val="auto"/>
                <w:sz w:val="21"/>
                <w:szCs w:val="21"/>
                <w:highlight w:val="none"/>
              </w:rPr>
              <w:t>分。</w:t>
            </w:r>
          </w:p>
          <w:p w14:paraId="07BBFE75">
            <w:pPr>
              <w:keepNext w:val="0"/>
              <w:keepLines w:val="0"/>
              <w:pageBreakBefore w:val="0"/>
              <w:widowControl w:val="0"/>
              <w:kinsoku/>
              <w:wordWrap/>
              <w:overflowPunct/>
              <w:topLinePunct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sz w:val="21"/>
                <w:szCs w:val="21"/>
                <w:highlight w:val="none"/>
              </w:rPr>
              <w:t>差：安全文明措施不得力，采用规范正确。得分：0分。</w:t>
            </w:r>
          </w:p>
        </w:tc>
      </w:tr>
      <w:tr w14:paraId="5F78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1" w:hRule="atLeast"/>
          <w:jc w:val="center"/>
        </w:trPr>
        <w:tc>
          <w:tcPr>
            <w:tcW w:w="501" w:type="dxa"/>
            <w:tcBorders>
              <w:bottom w:val="single" w:color="auto" w:sz="4" w:space="0"/>
            </w:tcBorders>
            <w:noWrap w:val="0"/>
            <w:vAlign w:val="center"/>
          </w:tcPr>
          <w:p w14:paraId="0912036A">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8</w:t>
            </w:r>
          </w:p>
        </w:tc>
        <w:tc>
          <w:tcPr>
            <w:tcW w:w="1916" w:type="dxa"/>
            <w:tcBorders>
              <w:bottom w:val="single" w:color="auto" w:sz="4" w:space="0"/>
            </w:tcBorders>
            <w:noWrap w:val="0"/>
            <w:vAlign w:val="center"/>
          </w:tcPr>
          <w:p w14:paraId="5EEF227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质量保证和质量违约责任承诺</w:t>
            </w:r>
          </w:p>
        </w:tc>
        <w:tc>
          <w:tcPr>
            <w:tcW w:w="1128" w:type="dxa"/>
            <w:tcBorders>
              <w:left w:val="single" w:color="auto" w:sz="4" w:space="0"/>
              <w:right w:val="single" w:color="auto" w:sz="4" w:space="0"/>
            </w:tcBorders>
            <w:noWrap w:val="0"/>
            <w:vAlign w:val="center"/>
          </w:tcPr>
          <w:p w14:paraId="1628B64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1</w:t>
            </w:r>
            <w:r>
              <w:rPr>
                <w:rFonts w:hint="eastAsia" w:ascii="宋体" w:cs="宋体"/>
                <w:b/>
                <w:bCs/>
                <w:color w:val="auto"/>
                <w:kern w:val="0"/>
                <w:sz w:val="21"/>
                <w:szCs w:val="21"/>
                <w:highlight w:val="none"/>
                <w:lang w:val="en-US" w:eastAsia="zh-CN"/>
              </w:rPr>
              <w:t>0</w:t>
            </w:r>
            <w:r>
              <w:rPr>
                <w:rFonts w:hint="eastAsia" w:ascii="宋体" w:cs="宋体"/>
                <w:b/>
                <w:bCs/>
                <w:color w:val="auto"/>
                <w:kern w:val="0"/>
                <w:sz w:val="21"/>
                <w:szCs w:val="21"/>
                <w:highlight w:val="none"/>
              </w:rPr>
              <w:t>分</w:t>
            </w:r>
          </w:p>
        </w:tc>
        <w:tc>
          <w:tcPr>
            <w:tcW w:w="5097" w:type="dxa"/>
            <w:tcBorders>
              <w:left w:val="single" w:color="auto" w:sz="4" w:space="0"/>
            </w:tcBorders>
            <w:noWrap w:val="0"/>
            <w:vAlign w:val="center"/>
          </w:tcPr>
          <w:p w14:paraId="50A0F183">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kern w:val="0"/>
                <w:sz w:val="21"/>
                <w:szCs w:val="21"/>
                <w:highlight w:val="none"/>
              </w:rPr>
              <w:t>优：应用新技术、新工艺、新材料、新设备，针对项目实际提出先进、可行、具体的保证措施。超过招标文件的质量要求。质量违约责任承诺具体，经济赔偿最大。</w:t>
            </w:r>
            <w:r>
              <w:rPr>
                <w:rFonts w:hint="eastAsia" w:ascii="宋体" w:cs="宋体"/>
                <w:color w:val="auto"/>
                <w:sz w:val="21"/>
                <w:szCs w:val="21"/>
                <w:highlight w:val="none"/>
              </w:rPr>
              <w:t>得分：</w:t>
            </w:r>
            <w:r>
              <w:rPr>
                <w:rFonts w:hint="eastAsia" w:ascii="宋体" w:cs="宋体"/>
                <w:color w:val="auto"/>
                <w:sz w:val="21"/>
                <w:szCs w:val="21"/>
                <w:highlight w:val="none"/>
                <w:lang w:val="en-US" w:eastAsia="zh-CN"/>
              </w:rPr>
              <w:t>7</w:t>
            </w:r>
            <w:r>
              <w:rPr>
                <w:rFonts w:hint="eastAsia" w:ascii="宋体" w:cs="宋体"/>
                <w:color w:val="auto"/>
                <w:sz w:val="21"/>
                <w:szCs w:val="21"/>
                <w:highlight w:val="none"/>
              </w:rPr>
              <w:t>～1</w:t>
            </w:r>
            <w:r>
              <w:rPr>
                <w:rFonts w:hint="eastAsia" w:ascii="宋体" w:cs="宋体"/>
                <w:color w:val="auto"/>
                <w:sz w:val="21"/>
                <w:szCs w:val="21"/>
                <w:highlight w:val="none"/>
                <w:lang w:val="en-US" w:eastAsia="zh-CN"/>
              </w:rPr>
              <w:t>0</w:t>
            </w:r>
            <w:r>
              <w:rPr>
                <w:rFonts w:hint="eastAsia" w:ascii="宋体" w:cs="宋体"/>
                <w:color w:val="auto"/>
                <w:sz w:val="21"/>
                <w:szCs w:val="21"/>
                <w:highlight w:val="none"/>
              </w:rPr>
              <w:t>分。</w:t>
            </w:r>
          </w:p>
          <w:p w14:paraId="60DBD3B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kern w:val="0"/>
                <w:sz w:val="21"/>
                <w:szCs w:val="21"/>
                <w:highlight w:val="none"/>
              </w:rPr>
              <w:t>良：针对项目实际提出先进、可行、具体的保证措施。满足招标文件的质量要求。质量违约责任承诺具体，经济赔偿次大。</w:t>
            </w:r>
            <w:r>
              <w:rPr>
                <w:rFonts w:hint="eastAsia" w:ascii="宋体" w:cs="宋体"/>
                <w:color w:val="auto"/>
                <w:sz w:val="21"/>
                <w:szCs w:val="21"/>
                <w:highlight w:val="none"/>
              </w:rPr>
              <w:t>得分：</w:t>
            </w:r>
            <w:r>
              <w:rPr>
                <w:rFonts w:hint="eastAsia" w:ascii="宋体" w:cs="宋体"/>
                <w:color w:val="auto"/>
                <w:sz w:val="21"/>
                <w:szCs w:val="21"/>
                <w:highlight w:val="none"/>
                <w:lang w:val="en-US" w:eastAsia="zh-CN"/>
              </w:rPr>
              <w:t>4</w:t>
            </w:r>
            <w:r>
              <w:rPr>
                <w:rFonts w:hint="eastAsia" w:ascii="宋体" w:cs="宋体"/>
                <w:color w:val="auto"/>
                <w:sz w:val="21"/>
                <w:szCs w:val="21"/>
                <w:highlight w:val="none"/>
              </w:rPr>
              <w:t>～</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分。</w:t>
            </w:r>
          </w:p>
          <w:p w14:paraId="3FBC2E99">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kern w:val="0"/>
                <w:sz w:val="21"/>
                <w:szCs w:val="21"/>
                <w:highlight w:val="none"/>
              </w:rPr>
              <w:t>中：具体措施可行。满足招标文件的质量要求。质量违约责任承诺具体。</w:t>
            </w:r>
            <w:r>
              <w:rPr>
                <w:rFonts w:hint="eastAsia" w:ascii="宋体" w:cs="宋体"/>
                <w:color w:val="auto"/>
                <w:sz w:val="21"/>
                <w:szCs w:val="21"/>
                <w:highlight w:val="none"/>
              </w:rPr>
              <w:t>得分：</w:t>
            </w:r>
            <w:r>
              <w:rPr>
                <w:rFonts w:hint="eastAsia" w:ascii="宋体" w:cs="宋体"/>
                <w:color w:val="auto"/>
                <w:sz w:val="21"/>
                <w:szCs w:val="21"/>
                <w:highlight w:val="none"/>
              </w:rPr>
              <w:t>1～</w:t>
            </w: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分</w:t>
            </w:r>
            <w:r>
              <w:rPr>
                <w:rFonts w:hint="eastAsia" w:ascii="宋体" w:cs="宋体"/>
                <w:color w:val="auto"/>
                <w:sz w:val="21"/>
                <w:szCs w:val="21"/>
                <w:highlight w:val="none"/>
              </w:rPr>
              <w:t>。</w:t>
            </w:r>
          </w:p>
          <w:p w14:paraId="0C5683E7">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ascii="宋体" w:cs="宋体"/>
                <w:color w:val="auto"/>
                <w:kern w:val="0"/>
                <w:sz w:val="21"/>
                <w:szCs w:val="21"/>
                <w:highlight w:val="none"/>
              </w:rPr>
            </w:pPr>
            <w:r>
              <w:rPr>
                <w:rFonts w:hint="eastAsia" w:ascii="宋体" w:cs="宋体"/>
                <w:color w:val="auto"/>
                <w:kern w:val="0"/>
                <w:sz w:val="21"/>
                <w:szCs w:val="21"/>
                <w:highlight w:val="none"/>
              </w:rPr>
              <w:t>差：措施不可行。没有质量违约责任承诺。</w:t>
            </w:r>
            <w:r>
              <w:rPr>
                <w:rFonts w:hint="eastAsia" w:ascii="宋体" w:cs="宋体"/>
                <w:color w:val="auto"/>
                <w:sz w:val="21"/>
                <w:szCs w:val="21"/>
                <w:highlight w:val="none"/>
              </w:rPr>
              <w:t>得分：0分。</w:t>
            </w:r>
          </w:p>
        </w:tc>
      </w:tr>
      <w:tr w14:paraId="7E29B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7" w:hRule="atLeast"/>
          <w:jc w:val="center"/>
        </w:trPr>
        <w:tc>
          <w:tcPr>
            <w:tcW w:w="501" w:type="dxa"/>
            <w:tcBorders>
              <w:top w:val="single" w:color="auto" w:sz="4" w:space="0"/>
              <w:bottom w:val="single" w:color="auto" w:sz="4" w:space="0"/>
            </w:tcBorders>
            <w:noWrap w:val="0"/>
            <w:vAlign w:val="center"/>
          </w:tcPr>
          <w:p w14:paraId="0699828D">
            <w:pPr>
              <w:autoSpaceDE w:val="0"/>
              <w:autoSpaceDN w:val="0"/>
              <w:spacing w:line="240" w:lineRule="exact"/>
              <w:rPr>
                <w:rFonts w:ascii="宋体" w:cs="宋体"/>
                <w:b/>
                <w:bCs/>
                <w:color w:val="auto"/>
                <w:kern w:val="0"/>
                <w:sz w:val="21"/>
                <w:szCs w:val="21"/>
                <w:highlight w:val="none"/>
              </w:rPr>
            </w:pPr>
            <w:r>
              <w:rPr>
                <w:rFonts w:hint="eastAsia" w:ascii="宋体" w:cs="宋体"/>
                <w:b/>
                <w:bCs/>
                <w:color w:val="auto"/>
                <w:kern w:val="0"/>
                <w:sz w:val="21"/>
                <w:szCs w:val="21"/>
                <w:highlight w:val="none"/>
              </w:rPr>
              <w:t>9</w:t>
            </w:r>
          </w:p>
        </w:tc>
        <w:tc>
          <w:tcPr>
            <w:tcW w:w="1916" w:type="dxa"/>
            <w:tcBorders>
              <w:top w:val="single" w:color="auto" w:sz="4" w:space="0"/>
              <w:bottom w:val="single" w:color="auto" w:sz="4" w:space="0"/>
            </w:tcBorders>
            <w:noWrap w:val="0"/>
            <w:vAlign w:val="center"/>
          </w:tcPr>
          <w:p w14:paraId="5BCD51E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b/>
                <w:bCs/>
                <w:color w:val="auto"/>
                <w:kern w:val="0"/>
                <w:sz w:val="21"/>
                <w:szCs w:val="21"/>
                <w:highlight w:val="none"/>
              </w:rPr>
            </w:pPr>
            <w:r>
              <w:rPr>
                <w:rFonts w:hint="eastAsia" w:ascii="宋体" w:cs="宋体"/>
                <w:b/>
                <w:bCs/>
                <w:color w:val="auto"/>
                <w:kern w:val="0"/>
                <w:sz w:val="21"/>
                <w:szCs w:val="21"/>
                <w:highlight w:val="none"/>
              </w:rPr>
              <w:t>新技术应用与违约责任承诺</w:t>
            </w:r>
          </w:p>
        </w:tc>
        <w:tc>
          <w:tcPr>
            <w:tcW w:w="1128" w:type="dxa"/>
            <w:tcBorders>
              <w:left w:val="single" w:color="auto" w:sz="4" w:space="0"/>
              <w:right w:val="single" w:color="auto" w:sz="4" w:space="0"/>
            </w:tcBorders>
            <w:noWrap w:val="0"/>
            <w:vAlign w:val="center"/>
          </w:tcPr>
          <w:p w14:paraId="69B7EAE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ascii="宋体" w:cs="宋体"/>
                <w:color w:val="auto"/>
                <w:kern w:val="0"/>
                <w:sz w:val="21"/>
                <w:szCs w:val="21"/>
                <w:highlight w:val="none"/>
              </w:rPr>
            </w:pPr>
            <w:r>
              <w:rPr>
                <w:rFonts w:hint="eastAsia" w:ascii="宋体" w:cs="宋体"/>
                <w:b/>
                <w:bCs/>
                <w:color w:val="auto"/>
                <w:kern w:val="0"/>
                <w:sz w:val="21"/>
                <w:szCs w:val="21"/>
                <w:highlight w:val="none"/>
              </w:rPr>
              <w:t>6分</w:t>
            </w:r>
          </w:p>
        </w:tc>
        <w:tc>
          <w:tcPr>
            <w:tcW w:w="5097" w:type="dxa"/>
            <w:tcBorders>
              <w:left w:val="single" w:color="auto" w:sz="4" w:space="0"/>
            </w:tcBorders>
            <w:noWrap w:val="0"/>
            <w:vAlign w:val="center"/>
          </w:tcPr>
          <w:p w14:paraId="3F3AEC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highlight w:val="none"/>
              </w:rPr>
            </w:pPr>
            <w:r>
              <w:rPr>
                <w:rFonts w:hint="eastAsia" w:ascii="宋体" w:cs="宋体"/>
                <w:color w:val="auto"/>
                <w:sz w:val="21"/>
                <w:szCs w:val="21"/>
                <w:highlight w:val="none"/>
              </w:rPr>
              <w:t>优：针对项目实际，提出采用新技术的具体措施。新技术的验证材料可靠，对节约投资和工期的保证措施得力、具体、严谨。对采用新技术可能产生的风险予见充分，违约承诺具体，经济赔偿最大。得分：5～6分。</w:t>
            </w:r>
          </w:p>
          <w:p w14:paraId="268192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highlight w:val="none"/>
              </w:rPr>
            </w:pPr>
            <w:r>
              <w:rPr>
                <w:rFonts w:hint="eastAsia" w:ascii="宋体" w:cs="宋体"/>
                <w:color w:val="auto"/>
                <w:sz w:val="21"/>
                <w:szCs w:val="21"/>
                <w:highlight w:val="none"/>
              </w:rPr>
              <w:t>良：针对项目实际，提出采用新技术的具体措施。新技术的验证材料可靠，对节约投资和工期有保证措施，对采用新技术可能产生的风险有一定的予见，违约责任承诺具体，经济赔偿次大。得分：3～4分。</w:t>
            </w:r>
          </w:p>
          <w:p w14:paraId="65A40E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highlight w:val="none"/>
              </w:rPr>
            </w:pPr>
            <w:r>
              <w:rPr>
                <w:rFonts w:hint="eastAsia" w:ascii="宋体" w:cs="宋体"/>
                <w:color w:val="auto"/>
                <w:sz w:val="21"/>
                <w:szCs w:val="21"/>
                <w:highlight w:val="none"/>
              </w:rPr>
              <w:t>中：有新技术措施，但验证材料不充分，对节约投资和工期可能有一定收益，对采用的新技术可能产生的风险予见不足。有违约责任承诺。分：1～2分。</w:t>
            </w:r>
          </w:p>
          <w:p w14:paraId="59BA47F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kern w:val="0"/>
                <w:sz w:val="21"/>
                <w:szCs w:val="21"/>
                <w:highlight w:val="none"/>
              </w:rPr>
            </w:pPr>
            <w:r>
              <w:rPr>
                <w:rFonts w:hint="eastAsia" w:ascii="宋体" w:cs="宋体"/>
                <w:color w:val="auto"/>
                <w:sz w:val="21"/>
                <w:szCs w:val="21"/>
                <w:highlight w:val="none"/>
              </w:rPr>
              <w:t>差：采用的新技术针对性不强或验证材料不可靠，对节约投资、工期没有具体收益。无违约责任承诺。得分：0分。</w:t>
            </w:r>
          </w:p>
        </w:tc>
      </w:tr>
    </w:tbl>
    <w:p w14:paraId="34E203C7">
      <w:pPr>
        <w:tabs>
          <w:tab w:val="left" w:pos="900"/>
        </w:tabs>
        <w:spacing w:beforeLines="50" w:line="400" w:lineRule="exact"/>
        <w:rPr>
          <w:rFonts w:ascii="宋体" w:hAnsi="宋体"/>
          <w:color w:val="auto"/>
          <w:sz w:val="18"/>
          <w:szCs w:val="18"/>
          <w:highlight w:val="none"/>
        </w:rPr>
      </w:pPr>
      <w:r>
        <w:rPr>
          <w:rFonts w:hint="eastAsia" w:ascii="宋体" w:hAnsi="宋体"/>
          <w:color w:val="auto"/>
          <w:sz w:val="18"/>
          <w:szCs w:val="18"/>
          <w:highlight w:val="none"/>
        </w:rPr>
        <w:t>注：1.技术部分评分由评标委员会成员单独对各投标人的技术文件的各项内容进行打分，汇总后去掉一个最高分和一个最低分取算术平均值为本项得分。各项得分汇总总分乘于技术分占比权重（</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0%）为技术得分。</w:t>
      </w:r>
    </w:p>
    <w:p w14:paraId="38D229F2">
      <w:pPr>
        <w:rPr>
          <w:color w:val="auto"/>
          <w:sz w:val="18"/>
          <w:szCs w:val="18"/>
        </w:rPr>
        <w:sectPr>
          <w:pgSz w:w="11906" w:h="16838"/>
          <w:pgMar w:top="1440" w:right="1800" w:bottom="1440" w:left="1800" w:header="851" w:footer="992" w:gutter="0"/>
          <w:cols w:space="425" w:num="1"/>
          <w:docGrid w:type="lines" w:linePitch="312" w:charSpace="0"/>
        </w:sectPr>
      </w:pPr>
    </w:p>
    <w:p w14:paraId="548F2E27">
      <w:pPr>
        <w:tabs>
          <w:tab w:val="left" w:pos="900"/>
        </w:tabs>
        <w:spacing w:line="480" w:lineRule="exact"/>
        <w:outlineLvl w:val="1"/>
        <w:rPr>
          <w:rFonts w:ascii="宋体" w:hAnsi="宋体"/>
          <w:b/>
          <w:color w:val="auto"/>
          <w:sz w:val="24"/>
          <w:highlight w:val="none"/>
        </w:rPr>
      </w:pPr>
      <w:bookmarkStart w:id="6" w:name="_Toc13465"/>
      <w:bookmarkStart w:id="7" w:name="_Toc6594"/>
      <w:bookmarkStart w:id="8" w:name="_Toc7436"/>
      <w:r>
        <w:rPr>
          <w:rFonts w:hint="eastAsia" w:ascii="宋体" w:hAnsi="宋体"/>
          <w:b/>
          <w:color w:val="auto"/>
          <w:sz w:val="24"/>
          <w:highlight w:val="none"/>
        </w:rPr>
        <w:t>1.4经济报价</w:t>
      </w:r>
      <w:r>
        <w:rPr>
          <w:b/>
          <w:color w:val="auto"/>
          <w:sz w:val="24"/>
          <w:szCs w:val="24"/>
          <w:highlight w:val="none"/>
        </w:rPr>
        <w:t>评</w:t>
      </w:r>
      <w:r>
        <w:rPr>
          <w:rFonts w:hint="eastAsia"/>
          <w:b/>
          <w:color w:val="auto"/>
          <w:sz w:val="24"/>
          <w:szCs w:val="24"/>
          <w:highlight w:val="none"/>
        </w:rPr>
        <w:t>分细则评分</w:t>
      </w:r>
      <w:r>
        <w:rPr>
          <w:b/>
          <w:color w:val="auto"/>
          <w:sz w:val="24"/>
          <w:szCs w:val="24"/>
          <w:highlight w:val="none"/>
        </w:rPr>
        <w:t>标准</w:t>
      </w:r>
      <w:r>
        <w:rPr>
          <w:rFonts w:hint="eastAsia" w:ascii="宋体" w:hAnsi="宋体" w:cs="黑体"/>
          <w:b/>
          <w:color w:val="auto"/>
          <w:kern w:val="0"/>
          <w:sz w:val="24"/>
          <w:szCs w:val="24"/>
          <w:highlight w:val="none"/>
        </w:rPr>
        <w:t>前附表</w:t>
      </w:r>
      <w:r>
        <w:rPr>
          <w:rFonts w:hint="eastAsia" w:ascii="宋体" w:hAnsi="宋体"/>
          <w:b/>
          <w:color w:val="auto"/>
          <w:sz w:val="24"/>
          <w:highlight w:val="none"/>
        </w:rPr>
        <w:t>（</w:t>
      </w:r>
      <w:r>
        <w:rPr>
          <w:rFonts w:ascii="Calibri" w:hAnsi="Calibri"/>
          <w:b/>
          <w:color w:val="auto"/>
          <w:sz w:val="24"/>
          <w:highlight w:val="none"/>
        </w:rPr>
        <w:t>F</w:t>
      </w:r>
      <w:r>
        <w:rPr>
          <w:rFonts w:hint="eastAsia" w:ascii="宋体" w:hAnsi="宋体"/>
          <w:b/>
          <w:color w:val="auto"/>
          <w:sz w:val="24"/>
          <w:highlight w:val="none"/>
        </w:rPr>
        <w:t>=</w:t>
      </w:r>
      <w:r>
        <w:rPr>
          <w:rFonts w:hint="eastAsia" w:ascii="宋体" w:hAnsi="宋体"/>
          <w:b/>
          <w:color w:val="auto"/>
          <w:sz w:val="24"/>
          <w:highlight w:val="none"/>
          <w:lang w:val="en-US" w:eastAsia="zh-CN"/>
        </w:rPr>
        <w:t>20</w:t>
      </w:r>
      <w:r>
        <w:rPr>
          <w:rFonts w:hint="eastAsia" w:ascii="宋体" w:hAnsi="宋体"/>
          <w:b/>
          <w:color w:val="auto"/>
          <w:sz w:val="24"/>
          <w:highlight w:val="none"/>
        </w:rPr>
        <w:t>分）</w:t>
      </w:r>
      <w:bookmarkEnd w:id="6"/>
      <w:bookmarkEnd w:id="7"/>
      <w:bookmarkEnd w:id="8"/>
    </w:p>
    <w:tbl>
      <w:tblPr>
        <w:tblStyle w:val="7"/>
        <w:tblpPr w:leftFromText="181" w:rightFromText="181" w:vertAnchor="text" w:horzAnchor="margin" w:tblpX="-36"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38"/>
        <w:gridCol w:w="840"/>
        <w:gridCol w:w="6195"/>
      </w:tblGrid>
      <w:tr w14:paraId="1287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75" w:type="dxa"/>
            <w:noWrap w:val="0"/>
            <w:vAlign w:val="center"/>
          </w:tcPr>
          <w:p w14:paraId="6949C136">
            <w:pPr>
              <w:spacing w:line="40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638" w:type="dxa"/>
            <w:noWrap w:val="0"/>
            <w:vAlign w:val="center"/>
          </w:tcPr>
          <w:p w14:paraId="29E84C1B">
            <w:pPr>
              <w:spacing w:line="40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评分项</w:t>
            </w:r>
          </w:p>
        </w:tc>
        <w:tc>
          <w:tcPr>
            <w:tcW w:w="840" w:type="dxa"/>
            <w:noWrap w:val="0"/>
            <w:vAlign w:val="center"/>
          </w:tcPr>
          <w:p w14:paraId="253F2CB9">
            <w:pPr>
              <w:spacing w:line="40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分值</w:t>
            </w:r>
          </w:p>
        </w:tc>
        <w:tc>
          <w:tcPr>
            <w:tcW w:w="6195" w:type="dxa"/>
            <w:noWrap w:val="0"/>
            <w:vAlign w:val="center"/>
          </w:tcPr>
          <w:p w14:paraId="4974E4B0">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评分标准</w:t>
            </w:r>
          </w:p>
        </w:tc>
      </w:tr>
      <w:tr w14:paraId="34DF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0" w:hRule="atLeast"/>
        </w:trPr>
        <w:tc>
          <w:tcPr>
            <w:tcW w:w="675" w:type="dxa"/>
            <w:noWrap w:val="0"/>
            <w:vAlign w:val="center"/>
          </w:tcPr>
          <w:p w14:paraId="11320186">
            <w:pPr>
              <w:spacing w:line="300" w:lineRule="exact"/>
              <w:jc w:val="center"/>
              <w:rPr>
                <w:rFonts w:ascii="宋体" w:hAnsi="宋体"/>
                <w:b/>
                <w:bCs w:val="0"/>
                <w:color w:val="auto"/>
                <w:sz w:val="22"/>
                <w:szCs w:val="22"/>
                <w:highlight w:val="none"/>
              </w:rPr>
            </w:pPr>
            <w:r>
              <w:rPr>
                <w:rFonts w:hint="eastAsia" w:ascii="宋体" w:hAnsi="宋体"/>
                <w:b/>
                <w:bCs w:val="0"/>
                <w:color w:val="auto"/>
                <w:sz w:val="22"/>
                <w:szCs w:val="22"/>
                <w:highlight w:val="none"/>
              </w:rPr>
              <w:t>1</w:t>
            </w:r>
          </w:p>
        </w:tc>
        <w:tc>
          <w:tcPr>
            <w:tcW w:w="1638" w:type="dxa"/>
            <w:noWrap w:val="0"/>
            <w:vAlign w:val="center"/>
          </w:tcPr>
          <w:p w14:paraId="61E7119C">
            <w:pPr>
              <w:spacing w:line="400" w:lineRule="exact"/>
              <w:jc w:val="center"/>
              <w:rPr>
                <w:rFonts w:ascii="宋体" w:hAnsi="宋体"/>
                <w:b/>
                <w:bCs w:val="0"/>
                <w:color w:val="auto"/>
                <w:sz w:val="22"/>
                <w:szCs w:val="22"/>
                <w:highlight w:val="none"/>
              </w:rPr>
            </w:pPr>
            <w:r>
              <w:rPr>
                <w:rFonts w:hint="eastAsia" w:ascii="宋体" w:hAnsi="宋体"/>
                <w:b/>
                <w:bCs w:val="0"/>
                <w:color w:val="auto"/>
                <w:sz w:val="22"/>
                <w:szCs w:val="22"/>
                <w:highlight w:val="none"/>
              </w:rPr>
              <w:t>经济报价</w:t>
            </w:r>
          </w:p>
        </w:tc>
        <w:tc>
          <w:tcPr>
            <w:tcW w:w="840" w:type="dxa"/>
            <w:noWrap w:val="0"/>
            <w:vAlign w:val="center"/>
          </w:tcPr>
          <w:p w14:paraId="0331B6D5">
            <w:pPr>
              <w:spacing w:line="400" w:lineRule="exact"/>
              <w:jc w:val="center"/>
              <w:rPr>
                <w:rFonts w:ascii="宋体" w:hAnsi="宋体"/>
                <w:b/>
                <w:bCs w:val="0"/>
                <w:color w:val="auto"/>
                <w:sz w:val="22"/>
                <w:szCs w:val="22"/>
                <w:highlight w:val="none"/>
              </w:rPr>
            </w:pPr>
            <w:r>
              <w:rPr>
                <w:rFonts w:hint="eastAsia" w:ascii="宋体" w:hAnsi="宋体"/>
                <w:b/>
                <w:bCs w:val="0"/>
                <w:color w:val="auto"/>
                <w:sz w:val="22"/>
                <w:szCs w:val="22"/>
                <w:highlight w:val="none"/>
                <w:lang w:val="en-US" w:eastAsia="zh-CN"/>
              </w:rPr>
              <w:t>2</w:t>
            </w:r>
            <w:r>
              <w:rPr>
                <w:rFonts w:hint="eastAsia" w:ascii="宋体" w:hAnsi="宋体"/>
                <w:b/>
                <w:bCs w:val="0"/>
                <w:color w:val="auto"/>
                <w:sz w:val="22"/>
                <w:szCs w:val="22"/>
                <w:highlight w:val="none"/>
              </w:rPr>
              <w:t>0分</w:t>
            </w:r>
          </w:p>
        </w:tc>
        <w:tc>
          <w:tcPr>
            <w:tcW w:w="6195" w:type="dxa"/>
            <w:noWrap w:val="0"/>
            <w:vAlign w:val="center"/>
          </w:tcPr>
          <w:p w14:paraId="408447AB">
            <w:pPr>
              <w:pStyle w:val="11"/>
              <w:spacing w:before="78" w:line="312" w:lineRule="auto"/>
              <w:rPr>
                <w:color w:val="auto"/>
                <w:highlight w:val="none"/>
              </w:rPr>
            </w:pPr>
            <w:r>
              <w:rPr>
                <w:color w:val="auto"/>
                <w:spacing w:val="1"/>
                <w:highlight w:val="none"/>
              </w:rPr>
              <w:t>1、将所有投标人有效的报价进行算术平均（如有效报价数量多于 5</w:t>
            </w:r>
            <w:r>
              <w:rPr>
                <w:color w:val="auto"/>
                <w:spacing w:val="16"/>
                <w:highlight w:val="none"/>
              </w:rPr>
              <w:t xml:space="preserve"> </w:t>
            </w:r>
            <w:r>
              <w:rPr>
                <w:color w:val="auto"/>
                <w:spacing w:val="-1"/>
                <w:highlight w:val="none"/>
              </w:rPr>
              <w:t>家，则去掉一个最高值和一个最低值</w:t>
            </w:r>
            <w:r>
              <w:rPr>
                <w:color w:val="auto"/>
                <w:spacing w:val="-10"/>
                <w:highlight w:val="none"/>
              </w:rPr>
              <w:t>），</w:t>
            </w:r>
            <w:r>
              <w:rPr>
                <w:color w:val="auto"/>
                <w:spacing w:val="-1"/>
                <w:highlight w:val="none"/>
              </w:rPr>
              <w:t>计算出</w:t>
            </w:r>
            <w:r>
              <w:rPr>
                <w:color w:val="auto"/>
                <w:spacing w:val="-2"/>
                <w:highlight w:val="none"/>
              </w:rPr>
              <w:t>平均值作为评标基准</w:t>
            </w:r>
            <w:r>
              <w:rPr>
                <w:color w:val="auto"/>
                <w:spacing w:val="1"/>
                <w:highlight w:val="none"/>
              </w:rPr>
              <w:t xml:space="preserve"> </w:t>
            </w:r>
            <w:r>
              <w:rPr>
                <w:color w:val="auto"/>
                <w:spacing w:val="-1"/>
                <w:highlight w:val="none"/>
              </w:rPr>
              <w:t>价</w:t>
            </w:r>
            <w:r>
              <w:rPr>
                <w:color w:val="auto"/>
                <w:spacing w:val="-44"/>
                <w:highlight w:val="none"/>
              </w:rPr>
              <w:t xml:space="preserve"> </w:t>
            </w:r>
            <w:r>
              <w:rPr>
                <w:color w:val="auto"/>
                <w:spacing w:val="-1"/>
                <w:highlight w:val="none"/>
              </w:rPr>
              <w:t>A，随后的评审中无论出现何种情形，该评标基准价不作调整。</w:t>
            </w:r>
          </w:p>
          <w:p w14:paraId="720BC6A9">
            <w:pPr>
              <w:pStyle w:val="11"/>
              <w:spacing w:before="182" w:line="218" w:lineRule="auto"/>
              <w:rPr>
                <w:color w:val="auto"/>
                <w:highlight w:val="none"/>
              </w:rPr>
            </w:pPr>
            <w:r>
              <w:rPr>
                <w:b/>
                <w:bCs/>
                <w:color w:val="auto"/>
                <w:spacing w:val="-1"/>
                <w:highlight w:val="none"/>
              </w:rPr>
              <w:t>2、所有投标人有效的投标报价得分折算公式如下：</w:t>
            </w:r>
          </w:p>
          <w:p w14:paraId="5A771444">
            <w:pPr>
              <w:spacing w:before="186" w:line="714" w:lineRule="exact"/>
              <w:ind w:left="213"/>
              <w:rPr>
                <w:color w:val="auto"/>
                <w:highlight w:val="none"/>
              </w:rPr>
            </w:pPr>
            <w:r>
              <w:rPr>
                <w:color w:val="auto"/>
                <w:position w:val="-14"/>
                <w:highlight w:val="none"/>
              </w:rPr>
              <w:drawing>
                <wp:inline distT="0" distB="0" distL="114300" distR="114300">
                  <wp:extent cx="2167255" cy="452755"/>
                  <wp:effectExtent l="0" t="0" r="254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167255" cy="452755"/>
                          </a:xfrm>
                          <a:prstGeom prst="rect">
                            <a:avLst/>
                          </a:prstGeom>
                          <a:noFill/>
                          <a:ln>
                            <a:noFill/>
                          </a:ln>
                        </pic:spPr>
                      </pic:pic>
                    </a:graphicData>
                  </a:graphic>
                </wp:inline>
              </w:drawing>
            </w:r>
          </w:p>
          <w:p w14:paraId="4A00651B">
            <w:pPr>
              <w:pStyle w:val="11"/>
              <w:spacing w:before="184" w:line="359" w:lineRule="auto"/>
              <w:ind w:left="213" w:right="96" w:firstLine="15"/>
              <w:rPr>
                <w:color w:val="auto"/>
                <w:highlight w:val="none"/>
              </w:rPr>
            </w:pPr>
            <w:r>
              <w:rPr>
                <w:color w:val="auto"/>
                <w:spacing w:val="-4"/>
                <w:highlight w:val="none"/>
              </w:rPr>
              <w:t>（得分取值保留到小数点后两位，小数点后第三位“</w:t>
            </w:r>
            <w:r>
              <w:rPr>
                <w:color w:val="auto"/>
                <w:spacing w:val="-79"/>
                <w:highlight w:val="none"/>
              </w:rPr>
              <w:t xml:space="preserve"> </w:t>
            </w:r>
            <w:r>
              <w:rPr>
                <w:color w:val="auto"/>
                <w:spacing w:val="-4"/>
                <w:highlight w:val="none"/>
              </w:rPr>
              <w:t>四舍五入</w:t>
            </w:r>
            <w:r>
              <w:rPr>
                <w:color w:val="auto"/>
                <w:spacing w:val="32"/>
                <w:highlight w:val="none"/>
              </w:rPr>
              <w:t xml:space="preserve"> </w:t>
            </w:r>
            <w:r>
              <w:rPr>
                <w:color w:val="auto"/>
                <w:spacing w:val="-4"/>
                <w:highlight w:val="none"/>
              </w:rPr>
              <w:t>”）</w:t>
            </w:r>
            <w:r>
              <w:rPr>
                <w:color w:val="auto"/>
                <w:highlight w:val="none"/>
              </w:rPr>
              <w:t xml:space="preserve"> </w:t>
            </w:r>
            <w:r>
              <w:rPr>
                <w:color w:val="auto"/>
                <w:spacing w:val="-1"/>
                <w:highlight w:val="none"/>
              </w:rPr>
              <w:t>F—投标报价得分；</w:t>
            </w:r>
          </w:p>
          <w:p w14:paraId="3E6A262A">
            <w:pPr>
              <w:pStyle w:val="11"/>
              <w:spacing w:before="1" w:line="217" w:lineRule="auto"/>
              <w:ind w:left="212"/>
              <w:rPr>
                <w:color w:val="auto"/>
                <w:highlight w:val="none"/>
              </w:rPr>
            </w:pPr>
            <w:r>
              <w:rPr>
                <w:color w:val="auto"/>
                <w:spacing w:val="-1"/>
                <w:highlight w:val="none"/>
              </w:rPr>
              <w:t>B—投标人的投标报价（金额</w:t>
            </w:r>
            <w:r>
              <w:rPr>
                <w:color w:val="auto"/>
                <w:spacing w:val="4"/>
                <w:highlight w:val="none"/>
              </w:rPr>
              <w:t>）；</w:t>
            </w:r>
          </w:p>
          <w:p w14:paraId="60C5C5F4">
            <w:pPr>
              <w:pStyle w:val="11"/>
              <w:spacing w:before="182" w:line="218" w:lineRule="auto"/>
              <w:ind w:left="210"/>
              <w:rPr>
                <w:color w:val="auto"/>
                <w:highlight w:val="none"/>
              </w:rPr>
            </w:pPr>
            <w:r>
              <w:rPr>
                <w:color w:val="auto"/>
                <w:spacing w:val="-1"/>
                <w:highlight w:val="none"/>
              </w:rPr>
              <w:t>A—评标基准价（金额）。</w:t>
            </w:r>
          </w:p>
          <w:p w14:paraId="4AE0A1FB">
            <w:pPr>
              <w:pStyle w:val="11"/>
              <w:spacing w:before="184" w:line="359" w:lineRule="auto"/>
              <w:ind w:left="218" w:hanging="3"/>
              <w:rPr>
                <w:color w:val="auto"/>
                <w:highlight w:val="none"/>
              </w:rPr>
            </w:pPr>
            <w:r>
              <w:rPr>
                <w:color w:val="auto"/>
                <w:spacing w:val="-4"/>
                <w:highlight w:val="none"/>
              </w:rPr>
              <w:t>C—经济投标报价大于评标基准价的取</w:t>
            </w:r>
            <w:r>
              <w:rPr>
                <w:color w:val="auto"/>
                <w:spacing w:val="-45"/>
                <w:highlight w:val="none"/>
              </w:rPr>
              <w:t xml:space="preserve"> </w:t>
            </w:r>
            <w:r>
              <w:rPr>
                <w:color w:val="auto"/>
                <w:spacing w:val="-4"/>
                <w:highlight w:val="none"/>
              </w:rPr>
              <w:t>0.6；经济投标报价小于评标基</w:t>
            </w:r>
            <w:r>
              <w:rPr>
                <w:color w:val="auto"/>
                <w:highlight w:val="none"/>
              </w:rPr>
              <w:t xml:space="preserve"> </w:t>
            </w:r>
            <w:r>
              <w:rPr>
                <w:color w:val="auto"/>
                <w:spacing w:val="-3"/>
                <w:highlight w:val="none"/>
              </w:rPr>
              <w:t>准价的取</w:t>
            </w:r>
            <w:r>
              <w:rPr>
                <w:color w:val="auto"/>
                <w:spacing w:val="-49"/>
                <w:highlight w:val="none"/>
              </w:rPr>
              <w:t xml:space="preserve"> </w:t>
            </w:r>
            <w:r>
              <w:rPr>
                <w:color w:val="auto"/>
                <w:spacing w:val="-3"/>
                <w:highlight w:val="none"/>
              </w:rPr>
              <w:t>0.3。</w:t>
            </w:r>
          </w:p>
          <w:p w14:paraId="74E0E8D9">
            <w:pPr>
              <w:spacing w:line="360" w:lineRule="auto"/>
              <w:rPr>
                <w:rFonts w:ascii="宋体" w:hAnsi="宋体" w:cs="宋体"/>
                <w:color w:val="auto"/>
                <w:kern w:val="0"/>
                <w:sz w:val="22"/>
                <w:szCs w:val="22"/>
                <w:highlight w:val="none"/>
              </w:rPr>
            </w:pPr>
            <w:r>
              <w:rPr>
                <w:b/>
                <w:bCs/>
                <w:color w:val="auto"/>
                <w:spacing w:val="-1"/>
                <w:sz w:val="24"/>
                <w:szCs w:val="24"/>
                <w:highlight w:val="none"/>
              </w:rPr>
              <w:t>3、经济投标报价评审得分＝投标报价得分×20%。</w:t>
            </w:r>
          </w:p>
        </w:tc>
      </w:tr>
    </w:tbl>
    <w:p w14:paraId="60AEA24C">
      <w:pPr>
        <w:tabs>
          <w:tab w:val="left" w:pos="900"/>
        </w:tabs>
        <w:spacing w:beforeLines="50" w:line="480" w:lineRule="exact"/>
        <w:rPr>
          <w:rFonts w:ascii="宋体" w:hAnsi="宋体"/>
          <w:color w:val="auto"/>
          <w:sz w:val="21"/>
          <w:szCs w:val="21"/>
          <w:highlight w:val="none"/>
        </w:rPr>
      </w:pPr>
      <w:r>
        <w:rPr>
          <w:rFonts w:hint="eastAsia" w:ascii="宋体" w:hAnsi="宋体"/>
          <w:b/>
          <w:color w:val="auto"/>
          <w:sz w:val="21"/>
          <w:szCs w:val="21"/>
          <w:highlight w:val="none"/>
        </w:rPr>
        <w:t>3</w:t>
      </w:r>
      <w:r>
        <w:rPr>
          <w:rFonts w:ascii="宋体" w:hAnsi="宋体"/>
          <w:b/>
          <w:color w:val="auto"/>
          <w:sz w:val="21"/>
          <w:szCs w:val="21"/>
          <w:highlight w:val="none"/>
        </w:rPr>
        <w:t xml:space="preserve">.2 </w:t>
      </w:r>
      <w:r>
        <w:rPr>
          <w:rFonts w:hint="eastAsia" w:ascii="宋体" w:hAnsi="宋体"/>
          <w:b/>
          <w:color w:val="auto"/>
          <w:sz w:val="21"/>
          <w:szCs w:val="21"/>
          <w:highlight w:val="none"/>
        </w:rPr>
        <w:t>分值构成与评分标准</w:t>
      </w:r>
    </w:p>
    <w:p w14:paraId="2D8E74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3.2.1 分值构成</w:t>
      </w:r>
    </w:p>
    <w:p w14:paraId="492FF5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3.2.1.1商务投标文件部分分值：M，满分</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分；</w:t>
      </w:r>
    </w:p>
    <w:p w14:paraId="2CFA5C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 xml:space="preserve">3.2.1.2 </w:t>
      </w:r>
      <w:r>
        <w:rPr>
          <w:rFonts w:hint="eastAsia" w:ascii="宋体" w:hAnsi="宋体"/>
          <w:bCs/>
          <w:color w:val="auto"/>
          <w:sz w:val="21"/>
          <w:szCs w:val="21"/>
          <w:highlight w:val="none"/>
        </w:rPr>
        <w:t>技术</w:t>
      </w:r>
      <w:r>
        <w:rPr>
          <w:rFonts w:hint="eastAsia" w:ascii="宋体" w:hAnsi="宋体"/>
          <w:color w:val="auto"/>
          <w:sz w:val="21"/>
          <w:szCs w:val="21"/>
          <w:highlight w:val="none"/>
        </w:rPr>
        <w:t>投标文件</w:t>
      </w:r>
      <w:r>
        <w:rPr>
          <w:rFonts w:hint="eastAsia" w:ascii="宋体" w:hAnsi="宋体"/>
          <w:bCs/>
          <w:color w:val="auto"/>
          <w:sz w:val="21"/>
          <w:szCs w:val="21"/>
          <w:highlight w:val="none"/>
        </w:rPr>
        <w:t>部分</w:t>
      </w:r>
      <w:r>
        <w:rPr>
          <w:rFonts w:hint="eastAsia" w:ascii="宋体" w:hAnsi="宋体"/>
          <w:color w:val="auto"/>
          <w:sz w:val="21"/>
          <w:szCs w:val="21"/>
          <w:highlight w:val="none"/>
        </w:rPr>
        <w:t>分值：N，满分</w:t>
      </w:r>
      <w:r>
        <w:rPr>
          <w:rFonts w:hint="eastAsia" w:ascii="宋体" w:hAnsi="宋体"/>
          <w:color w:val="auto"/>
          <w:sz w:val="21"/>
          <w:szCs w:val="21"/>
          <w:highlight w:val="none"/>
          <w:lang w:val="en-US" w:eastAsia="zh-CN"/>
        </w:rPr>
        <w:t>50</w:t>
      </w:r>
      <w:r>
        <w:rPr>
          <w:rFonts w:hint="eastAsia" w:ascii="宋体" w:hAnsi="宋体"/>
          <w:color w:val="auto"/>
          <w:sz w:val="21"/>
          <w:szCs w:val="21"/>
          <w:highlight w:val="none"/>
        </w:rPr>
        <w:t>分；</w:t>
      </w:r>
    </w:p>
    <w:p w14:paraId="18343763">
      <w:pPr>
        <w:keepNext w:val="0"/>
        <w:keepLines w:val="0"/>
        <w:pageBreakBefore w:val="0"/>
        <w:widowControl w:val="0"/>
        <w:tabs>
          <w:tab w:val="left" w:pos="7455"/>
        </w:tabs>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3.2.1.3经济投标报价分值：F，满分</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 xml:space="preserve">分。 </w:t>
      </w:r>
    </w:p>
    <w:p w14:paraId="6EF746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3.2.2 评分标准</w:t>
      </w:r>
    </w:p>
    <w:p w14:paraId="7D6573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3.2.2.1商务投标文件</w:t>
      </w:r>
      <w:r>
        <w:rPr>
          <w:rFonts w:hint="eastAsia"/>
          <w:color w:val="auto"/>
          <w:sz w:val="21"/>
          <w:szCs w:val="21"/>
          <w:highlight w:val="none"/>
        </w:rPr>
        <w:t>评分标准</w:t>
      </w:r>
      <w:r>
        <w:rPr>
          <w:rFonts w:hint="eastAsia" w:ascii="宋体" w:hAnsi="宋体"/>
          <w:color w:val="auto"/>
          <w:sz w:val="21"/>
          <w:szCs w:val="21"/>
          <w:highlight w:val="none"/>
        </w:rPr>
        <w:t>：详见本章评审标准前附表</w:t>
      </w:r>
      <w:r>
        <w:rPr>
          <w:rFonts w:hint="eastAsia" w:ascii="宋体" w:hAnsi="宋体" w:cs="宋体"/>
          <w:color w:val="auto"/>
          <w:spacing w:val="-2"/>
          <w:kern w:val="0"/>
          <w:sz w:val="21"/>
          <w:szCs w:val="21"/>
          <w:highlight w:val="none"/>
        </w:rPr>
        <w:t>之</w:t>
      </w:r>
      <w:r>
        <w:rPr>
          <w:rFonts w:hint="eastAsia" w:ascii="宋体" w:hAnsi="宋体"/>
          <w:color w:val="auto"/>
          <w:sz w:val="21"/>
          <w:szCs w:val="21"/>
          <w:highlight w:val="none"/>
        </w:rPr>
        <w:t>1.2商务评分细则评分标准前附表。</w:t>
      </w:r>
    </w:p>
    <w:p w14:paraId="7E060CD9">
      <w:pPr>
        <w:pStyle w:val="2"/>
        <w:keepNext w:val="0"/>
        <w:keepLines w:val="0"/>
        <w:pageBreakBefore w:val="0"/>
        <w:widowControl w:val="0"/>
        <w:kinsoku/>
        <w:wordWrap/>
        <w:overflowPunct/>
        <w:topLinePunct w:val="0"/>
        <w:autoSpaceDE/>
        <w:autoSpaceDN/>
        <w:bidi w:val="0"/>
        <w:adjustRightInd/>
        <w:snapToGrid/>
        <w:spacing w:before="182" w:line="360" w:lineRule="exact"/>
        <w:ind w:left="8" w:right="113" w:firstLine="485"/>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3.2.2.2</w:t>
      </w:r>
      <w:r>
        <w:rPr>
          <w:rFonts w:hint="eastAsia" w:ascii="宋体" w:hAnsi="宋体" w:eastAsia="宋体" w:cs="宋体"/>
          <w:bCs/>
          <w:color w:val="auto"/>
          <w:sz w:val="21"/>
          <w:szCs w:val="21"/>
          <w:highlight w:val="none"/>
        </w:rPr>
        <w:t>技术投标文件</w:t>
      </w:r>
      <w:r>
        <w:rPr>
          <w:rFonts w:hint="eastAsia" w:ascii="宋体" w:hAnsi="宋体" w:eastAsia="宋体" w:cs="宋体"/>
          <w:color w:val="auto"/>
          <w:sz w:val="21"/>
          <w:szCs w:val="21"/>
          <w:highlight w:val="none"/>
        </w:rPr>
        <w:t>评分标准：</w:t>
      </w:r>
      <w:r>
        <w:rPr>
          <w:rFonts w:hint="eastAsia" w:ascii="宋体" w:hAnsi="宋体" w:eastAsia="宋体" w:cs="宋体"/>
          <w:color w:val="auto"/>
          <w:spacing w:val="-1"/>
          <w:sz w:val="21"/>
          <w:szCs w:val="21"/>
          <w:highlight w:val="none"/>
        </w:rPr>
        <w:t>详见本章评审标准前附表之</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1.3</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
          <w:sz w:val="21"/>
          <w:szCs w:val="21"/>
          <w:highlight w:val="none"/>
        </w:rPr>
        <w:t>技术评分细则评分标准前附</w:t>
      </w:r>
      <w:r>
        <w:rPr>
          <w:rFonts w:hint="eastAsia" w:ascii="宋体" w:hAnsi="宋体" w:eastAsia="宋体" w:cs="宋体"/>
          <w:color w:val="auto"/>
          <w:spacing w:val="-5"/>
          <w:sz w:val="21"/>
          <w:szCs w:val="21"/>
          <w:highlight w:val="none"/>
        </w:rPr>
        <w:t>表。</w:t>
      </w:r>
    </w:p>
    <w:p w14:paraId="38F29447">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18"/>
          <w:szCs w:val="18"/>
        </w:rPr>
        <w:sectPr>
          <w:pgSz w:w="11906" w:h="16838"/>
          <w:pgMar w:top="1440" w:right="1800" w:bottom="1440" w:left="1800" w:header="851" w:footer="992" w:gutter="0"/>
          <w:cols w:space="425" w:num="1"/>
          <w:docGrid w:type="lines" w:linePitch="312" w:charSpace="0"/>
        </w:sectPr>
      </w:pPr>
    </w:p>
    <w:p w14:paraId="4E95F6B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18"/>
          <w:szCs w:val="18"/>
        </w:rPr>
      </w:pPr>
      <w:bookmarkStart w:id="9" w:name="_GoBack"/>
      <w:bookmarkEnd w:id="9"/>
    </w:p>
    <w:sectPr>
      <w:headerReference r:id="rId3" w:type="default"/>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4DEB">
    <w:pPr>
      <w:pStyle w:val="6"/>
      <w:pBdr>
        <w:bottom w:val="none" w:color="auto" w:sz="0" w:space="0"/>
      </w:pBdr>
      <w:jc w:val="center"/>
      <w:rPr>
        <w:rFonts w:hint="eastAsia" w:ascii="宋体" w:hAnsi="宋体" w:eastAsia="宋体" w:cs="Times New Roman"/>
        <w:sz w:val="21"/>
        <w:szCs w:val="21"/>
        <w:u w:val="non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25B4"/>
    <w:multiLevelType w:val="singleLevel"/>
    <w:tmpl w:val="AE5825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9717B"/>
    <w:rsid w:val="66485330"/>
    <w:rsid w:val="7CB400F8"/>
    <w:rsid w:val="7F3F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72"/>
      <w:szCs w:val="24"/>
    </w:rPr>
  </w:style>
  <w:style w:type="paragraph" w:styleId="3">
    <w:name w:val="Plain Text"/>
    <w:basedOn w:val="1"/>
    <w:next w:val="4"/>
    <w:qFormat/>
    <w:uiPriority w:val="0"/>
    <w:pPr>
      <w:widowControl/>
      <w:ind w:left="1800" w:hanging="360"/>
      <w:jc w:val="left"/>
    </w:pPr>
    <w:rPr>
      <w:rFonts w:ascii="宋体" w:hAnsi="Courier New" w:eastAsia="Times New Roman"/>
      <w:kern w:val="0"/>
      <w:sz w:val="24"/>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 New"/>
    <w:basedOn w:val="1"/>
    <w:qFormat/>
    <w:uiPriority w:val="0"/>
    <w:rPr>
      <w:rFonts w:ascii="Times New Roman" w:hAnsi="Times New Roman" w:eastAsia="楷体_GB2312" w:cs="Times New Roman"/>
      <w:kern w:val="0"/>
      <w:sz w:val="24"/>
      <w:szCs w:val="24"/>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3651</Words>
  <Characters>3824</Characters>
  <Lines>0</Lines>
  <Paragraphs>0</Paragraphs>
  <TotalTime>2</TotalTime>
  <ScaleCrop>false</ScaleCrop>
  <LinksUpToDate>false</LinksUpToDate>
  <CharactersWithSpaces>3864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2025-07-23T05:02:00Z</dcterms:created>
  <dc:creator>Administrator</dc:creator>
  <cp:lastModifiedBy>Akemi大人～</cp:lastModifiedBy>
  <dcterms:modified xsi:type="dcterms:W3CDTF">2025-07-23T09:12:58Z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eyJoZGlkIjoiMjMxZDRlZDMyZjU2ODYxZGYyOTQ5YmQwMzM4MGE3OWYiLCJ1c2VySWQiOiI0MTQ4NDc4NjIifQ==</vt:lpwstr>
  </property>
  <property fmtid="{D5CDD505-2E9C-101B-9397-08002B2CF9AE}" pid="4" name="ICV">
    <vt:lpwstr>D658D7A6D93447A2B75889F2199E9E14_12</vt:lpwstr>
  </property>
</Properties>
</file>