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color w:val="auto"/>
          <w:kern w:val="0"/>
          <w:sz w:val="44"/>
          <w:szCs w:val="44"/>
          <w:highlight w:val="none"/>
        </w:rPr>
      </w:pPr>
    </w:p>
    <w:p>
      <w:pPr>
        <w:spacing w:line="360" w:lineRule="auto"/>
        <w:jc w:val="center"/>
        <w:rPr>
          <w:rFonts w:hint="eastAsia" w:ascii="宋体" w:cs="宋体"/>
          <w:b/>
          <w:bCs/>
          <w:color w:val="auto"/>
          <w:sz w:val="48"/>
          <w:szCs w:val="48"/>
          <w:highlight w:val="none"/>
          <w:lang w:eastAsia="zh-CN"/>
        </w:rPr>
      </w:pPr>
      <w:r>
        <w:rPr>
          <w:rFonts w:hint="eastAsia" w:ascii="宋体" w:cs="宋体"/>
          <w:b/>
          <w:bCs/>
          <w:color w:val="auto"/>
          <w:sz w:val="48"/>
          <w:szCs w:val="48"/>
          <w:highlight w:val="none"/>
          <w:lang w:eastAsia="zh-CN"/>
        </w:rPr>
        <w:t>广州高新集团天蕴路2号物业（天河软件园软件产业集中孵化中心）配电增容项目</w:t>
      </w:r>
    </w:p>
    <w:p>
      <w:pPr>
        <w:spacing w:line="360" w:lineRule="auto"/>
        <w:jc w:val="center"/>
        <w:rPr>
          <w:rFonts w:hint="eastAsia" w:ascii="宋体" w:hAnsi="宋体" w:eastAsia="宋体" w:cs="宋体"/>
          <w:color w:val="auto"/>
          <w:sz w:val="48"/>
          <w:szCs w:val="48"/>
          <w:highlight w:val="none"/>
          <w:lang w:eastAsia="zh-CN"/>
        </w:rPr>
      </w:pPr>
      <w:r>
        <w:rPr>
          <w:rFonts w:hint="eastAsia" w:ascii="宋体" w:cs="宋体"/>
          <w:b/>
          <w:bCs/>
          <w:color w:val="auto"/>
          <w:sz w:val="48"/>
          <w:szCs w:val="48"/>
          <w:highlight w:val="none"/>
          <w:lang w:eastAsia="zh-CN"/>
        </w:rPr>
        <w:t>设计施工总承包</w:t>
      </w:r>
    </w:p>
    <w:p>
      <w:pPr>
        <w:pStyle w:val="22"/>
        <w:rPr>
          <w:color w:val="auto"/>
          <w:highlight w:val="none"/>
        </w:rPr>
      </w:pPr>
    </w:p>
    <w:p>
      <w:pPr>
        <w:spacing w:line="360" w:lineRule="auto"/>
        <w:jc w:val="center"/>
        <w:rPr>
          <w:rFonts w:ascii="宋体" w:hAnsi="宋体" w:cs="宋体"/>
          <w:color w:val="auto"/>
          <w:sz w:val="72"/>
          <w:szCs w:val="72"/>
          <w:highlight w:val="none"/>
        </w:rPr>
      </w:pPr>
    </w:p>
    <w:p>
      <w:pPr>
        <w:pStyle w:val="22"/>
        <w:rPr>
          <w:color w:val="auto"/>
          <w:highlight w:val="none"/>
        </w:rPr>
      </w:pPr>
    </w:p>
    <w:p>
      <w:pPr>
        <w:spacing w:line="300" w:lineRule="auto"/>
        <w:jc w:val="both"/>
        <w:rPr>
          <w:rFonts w:hint="eastAsia" w:ascii="宋体" w:hAnsi="宋体" w:cs="宋体"/>
          <w:b/>
          <w:bCs/>
          <w:color w:val="auto"/>
          <w:spacing w:val="26"/>
          <w:sz w:val="96"/>
          <w:szCs w:val="96"/>
          <w:highlight w:val="none"/>
        </w:rPr>
      </w:pPr>
    </w:p>
    <w:p>
      <w:pPr>
        <w:spacing w:line="360" w:lineRule="auto"/>
        <w:jc w:val="center"/>
        <w:rPr>
          <w:rFonts w:hint="eastAsia" w:ascii="宋体" w:hAnsi="宋体" w:cs="宋体"/>
          <w:b/>
          <w:bCs/>
          <w:color w:val="auto"/>
          <w:spacing w:val="0"/>
          <w:sz w:val="96"/>
          <w:szCs w:val="96"/>
          <w:highlight w:val="none"/>
        </w:rPr>
      </w:pPr>
      <w:r>
        <w:rPr>
          <w:rFonts w:hint="eastAsia" w:ascii="宋体" w:hAnsi="宋体" w:cs="宋体"/>
          <w:b/>
          <w:bCs/>
          <w:color w:val="auto"/>
          <w:spacing w:val="0"/>
          <w:sz w:val="96"/>
          <w:szCs w:val="96"/>
          <w:highlight w:val="none"/>
        </w:rPr>
        <w:t>招</w:t>
      </w:r>
      <w:r>
        <w:rPr>
          <w:rFonts w:hint="eastAsia" w:ascii="宋体" w:hAnsi="宋体" w:cs="宋体"/>
          <w:b/>
          <w:bCs/>
          <w:color w:val="auto"/>
          <w:spacing w:val="0"/>
          <w:sz w:val="96"/>
          <w:szCs w:val="96"/>
          <w:highlight w:val="none"/>
          <w:lang w:val="en-US" w:eastAsia="zh-CN"/>
        </w:rPr>
        <w:t xml:space="preserve"> </w:t>
      </w:r>
      <w:r>
        <w:rPr>
          <w:rFonts w:hint="eastAsia" w:ascii="宋体" w:hAnsi="宋体" w:cs="宋体"/>
          <w:b/>
          <w:bCs/>
          <w:color w:val="auto"/>
          <w:spacing w:val="0"/>
          <w:sz w:val="96"/>
          <w:szCs w:val="96"/>
          <w:highlight w:val="none"/>
        </w:rPr>
        <w:t>标</w:t>
      </w:r>
      <w:r>
        <w:rPr>
          <w:rFonts w:hint="eastAsia" w:ascii="宋体" w:hAnsi="宋体" w:cs="宋体"/>
          <w:b/>
          <w:bCs/>
          <w:color w:val="auto"/>
          <w:spacing w:val="0"/>
          <w:sz w:val="96"/>
          <w:szCs w:val="96"/>
          <w:highlight w:val="none"/>
          <w:lang w:val="en-US" w:eastAsia="zh-CN"/>
        </w:rPr>
        <w:t xml:space="preserve"> </w:t>
      </w:r>
      <w:r>
        <w:rPr>
          <w:rFonts w:hint="eastAsia" w:ascii="宋体" w:hAnsi="宋体" w:cs="宋体"/>
          <w:b/>
          <w:bCs/>
          <w:color w:val="auto"/>
          <w:spacing w:val="0"/>
          <w:sz w:val="96"/>
          <w:szCs w:val="96"/>
          <w:highlight w:val="none"/>
        </w:rPr>
        <w:t>文</w:t>
      </w:r>
      <w:r>
        <w:rPr>
          <w:rFonts w:hint="eastAsia" w:ascii="宋体" w:hAnsi="宋体" w:cs="宋体"/>
          <w:b/>
          <w:bCs/>
          <w:color w:val="auto"/>
          <w:spacing w:val="0"/>
          <w:sz w:val="96"/>
          <w:szCs w:val="96"/>
          <w:highlight w:val="none"/>
          <w:lang w:val="en-US" w:eastAsia="zh-CN"/>
        </w:rPr>
        <w:t xml:space="preserve"> </w:t>
      </w:r>
      <w:r>
        <w:rPr>
          <w:rFonts w:hint="eastAsia" w:ascii="宋体" w:hAnsi="宋体" w:cs="宋体"/>
          <w:b/>
          <w:bCs/>
          <w:color w:val="auto"/>
          <w:spacing w:val="0"/>
          <w:sz w:val="96"/>
          <w:szCs w:val="96"/>
          <w:highlight w:val="none"/>
        </w:rPr>
        <w:t>件</w:t>
      </w:r>
    </w:p>
    <w:p>
      <w:pPr>
        <w:spacing w:line="360" w:lineRule="auto"/>
        <w:jc w:val="center"/>
        <w:rPr>
          <w:rFonts w:hint="eastAsia" w:ascii="宋体" w:hAnsi="宋体" w:cs="宋体"/>
          <w:b/>
          <w:bCs/>
          <w:color w:val="auto"/>
          <w:spacing w:val="0"/>
          <w:sz w:val="96"/>
          <w:szCs w:val="96"/>
          <w:highlight w:val="none"/>
        </w:rPr>
      </w:pPr>
    </w:p>
    <w:p>
      <w:pPr>
        <w:spacing w:line="360" w:lineRule="auto"/>
        <w:jc w:val="center"/>
        <w:rPr>
          <w:rStyle w:val="49"/>
          <w:rFonts w:ascii="宋体" w:hAnsi="宋体" w:cs="宋体"/>
          <w:color w:val="auto"/>
          <w:sz w:val="48"/>
          <w:highlight w:val="none"/>
        </w:rPr>
      </w:pPr>
    </w:p>
    <w:p>
      <w:pPr>
        <w:spacing w:line="360" w:lineRule="auto"/>
        <w:jc w:val="center"/>
        <w:rPr>
          <w:rFonts w:ascii="宋体" w:hAnsi="宋体" w:cs="宋体"/>
          <w:color w:val="auto"/>
          <w:sz w:val="32"/>
          <w:szCs w:val="32"/>
          <w:highlight w:val="none"/>
        </w:rPr>
      </w:pPr>
    </w:p>
    <w:p>
      <w:pPr>
        <w:spacing w:line="360" w:lineRule="auto"/>
        <w:jc w:val="center"/>
        <w:rPr>
          <w:rFonts w:ascii="宋体" w:hAnsi="宋体" w:cs="宋体"/>
          <w:color w:val="auto"/>
          <w:highlight w:val="none"/>
        </w:rPr>
      </w:pPr>
    </w:p>
    <w:p>
      <w:pPr>
        <w:spacing w:line="360" w:lineRule="auto"/>
        <w:rPr>
          <w:rFonts w:ascii="宋体" w:hAnsi="宋体" w:cs="宋体"/>
          <w:color w:val="auto"/>
          <w:highlight w:val="none"/>
        </w:rPr>
      </w:pPr>
    </w:p>
    <w:p>
      <w:pPr>
        <w:spacing w:line="360" w:lineRule="auto"/>
        <w:jc w:val="center"/>
        <w:rPr>
          <w:rFonts w:ascii="宋体" w:hAnsi="宋体" w:cs="宋体"/>
          <w:color w:val="auto"/>
          <w:highlight w:val="none"/>
        </w:rPr>
      </w:pPr>
    </w:p>
    <w:p>
      <w:pPr>
        <w:pStyle w:val="2"/>
        <w:rPr>
          <w:color w:val="auto"/>
          <w:highlight w:val="none"/>
        </w:rPr>
      </w:pPr>
    </w:p>
    <w:p>
      <w:pPr>
        <w:rPr>
          <w:color w:val="auto"/>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ind w:firstLine="1560" w:firstLineChars="518"/>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  标 单 位：</w:t>
      </w:r>
      <w:r>
        <w:rPr>
          <w:rFonts w:hint="eastAsia" w:ascii="宋体" w:hAnsi="宋体" w:cs="宋体"/>
          <w:b/>
          <w:color w:val="auto"/>
          <w:sz w:val="30"/>
          <w:szCs w:val="30"/>
          <w:highlight w:val="none"/>
          <w:lang w:eastAsia="zh-CN"/>
        </w:rPr>
        <w:t xml:space="preserve">广州高新技术产业集团有限公司  </w:t>
      </w:r>
    </w:p>
    <w:p>
      <w:pPr>
        <w:spacing w:line="360" w:lineRule="auto"/>
        <w:ind w:firstLine="1560" w:firstLineChars="518"/>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招标代理单位：</w:t>
      </w:r>
      <w:r>
        <w:rPr>
          <w:rFonts w:hint="eastAsia" w:ascii="宋体" w:hAnsi="宋体" w:cs="宋体"/>
          <w:b/>
          <w:color w:val="auto"/>
          <w:sz w:val="30"/>
          <w:szCs w:val="30"/>
          <w:highlight w:val="none"/>
          <w:lang w:eastAsia="zh-CN"/>
        </w:rPr>
        <w:t xml:space="preserve">公诚管理咨询有限公司 </w:t>
      </w:r>
      <w:bookmarkStart w:id="1224" w:name="_GoBack"/>
      <w:bookmarkEnd w:id="1224"/>
    </w:p>
    <w:p>
      <w:pPr>
        <w:spacing w:line="360" w:lineRule="auto"/>
        <w:ind w:firstLine="1560" w:firstLineChars="518"/>
        <w:rPr>
          <w:rFonts w:ascii="宋体" w:hAnsi="宋体" w:cs="宋体"/>
          <w:color w:val="auto"/>
          <w:szCs w:val="24"/>
          <w:highlight w:val="none"/>
        </w:rPr>
        <w:sectPr>
          <w:footerReference r:id="rId6" w:type="first"/>
          <w:headerReference r:id="rId3" w:type="default"/>
          <w:footerReference r:id="rId4" w:type="default"/>
          <w:footerReference r:id="rId5" w:type="even"/>
          <w:pgSz w:w="11905" w:h="16838"/>
          <w:pgMar w:top="1247" w:right="1247" w:bottom="1247" w:left="1247" w:header="567" w:footer="850" w:gutter="0"/>
          <w:pgNumType w:start="1"/>
          <w:cols w:space="720" w:num="1"/>
          <w:docGrid w:type="lines" w:linePitch="312" w:charSpace="0"/>
        </w:sectPr>
      </w:pPr>
      <w:r>
        <w:rPr>
          <w:rFonts w:hint="eastAsia" w:ascii="宋体" w:hAnsi="宋体" w:cs="宋体"/>
          <w:b/>
          <w:color w:val="auto"/>
          <w:sz w:val="30"/>
          <w:szCs w:val="30"/>
          <w:highlight w:val="none"/>
        </w:rPr>
        <w:t>日        期：202</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7</w:t>
      </w:r>
      <w:r>
        <w:rPr>
          <w:rFonts w:hint="eastAsia" w:ascii="宋体" w:hAnsi="宋体" w:cs="宋体"/>
          <w:b/>
          <w:color w:val="auto"/>
          <w:sz w:val="30"/>
          <w:szCs w:val="30"/>
          <w:highlight w:val="none"/>
        </w:rPr>
        <w:t>月</w:t>
      </w:r>
    </w:p>
    <w:p>
      <w:pPr>
        <w:shd w:val="clear" w:color="auto" w:fill="FFFFFF"/>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pPr>
        <w:pStyle w:val="2"/>
        <w:rPr>
          <w:highlight w:val="none"/>
        </w:rPr>
      </w:pPr>
    </w:p>
    <w:p>
      <w:pPr>
        <w:pStyle w:val="28"/>
        <w:tabs>
          <w:tab w:val="right" w:leader="dot" w:pos="9411"/>
        </w:tabs>
        <w:rPr>
          <w:caps w:val="0"/>
          <w:color w:val="auto"/>
          <w:highlight w:val="none"/>
        </w:rPr>
      </w:pPr>
      <w:r>
        <w:rPr>
          <w:rFonts w:hint="eastAsia" w:ascii="宋体" w:hAnsi="宋体" w:cs="宋体"/>
          <w:b w:val="0"/>
          <w:bCs w:val="0"/>
          <w:caps w:val="0"/>
          <w:color w:val="auto"/>
          <w:sz w:val="24"/>
          <w:szCs w:val="24"/>
          <w:highlight w:val="none"/>
          <w:shd w:val="clear" w:color="FFFFFF" w:fill="D9D9D9"/>
        </w:rPr>
        <w:fldChar w:fldCharType="begin"/>
      </w:r>
      <w:r>
        <w:rPr>
          <w:rFonts w:hint="eastAsia" w:ascii="宋体" w:hAnsi="宋体" w:cs="宋体"/>
          <w:b w:val="0"/>
          <w:bCs w:val="0"/>
          <w:caps w:val="0"/>
          <w:color w:val="auto"/>
          <w:sz w:val="24"/>
          <w:szCs w:val="24"/>
          <w:highlight w:val="none"/>
          <w:shd w:val="clear" w:color="FFFFFF" w:fill="D9D9D9"/>
        </w:rPr>
        <w:instrText xml:space="preserve">TOC \o "1-3" \h \u </w:instrText>
      </w:r>
      <w:r>
        <w:rPr>
          <w:rFonts w:hint="eastAsia" w:ascii="宋体" w:hAnsi="宋体" w:cs="宋体"/>
          <w:b w:val="0"/>
          <w:bCs w:val="0"/>
          <w:caps w:val="0"/>
          <w:color w:val="auto"/>
          <w:sz w:val="24"/>
          <w:szCs w:val="24"/>
          <w:highlight w:val="none"/>
          <w:shd w:val="clear" w:color="FFFFFF" w:fill="D9D9D9"/>
        </w:rPr>
        <w:fldChar w:fldCharType="separate"/>
      </w:r>
      <w:r>
        <w:rPr>
          <w:color w:val="auto"/>
          <w:highlight w:val="none"/>
        </w:rPr>
        <w:fldChar w:fldCharType="begin"/>
      </w:r>
      <w:r>
        <w:rPr>
          <w:color w:val="auto"/>
          <w:highlight w:val="none"/>
        </w:rPr>
        <w:instrText xml:space="preserve"> HYPERLINK \l "_Toc29156" </w:instrText>
      </w:r>
      <w:r>
        <w:rPr>
          <w:color w:val="auto"/>
          <w:highlight w:val="none"/>
        </w:rPr>
        <w:fldChar w:fldCharType="separate"/>
      </w:r>
      <w:r>
        <w:rPr>
          <w:rFonts w:hint="eastAsia" w:ascii="宋体" w:hAnsi="宋体" w:cs="宋体"/>
          <w:caps w:val="0"/>
          <w:color w:val="auto"/>
          <w:kern w:val="44"/>
          <w:szCs w:val="44"/>
          <w:highlight w:val="none"/>
        </w:rPr>
        <w:t>第一章 招标公告</w:t>
      </w:r>
      <w:r>
        <w:rPr>
          <w:caps w:val="0"/>
          <w:color w:val="auto"/>
          <w:highlight w:val="none"/>
        </w:rPr>
        <w:tab/>
      </w:r>
      <w:r>
        <w:rPr>
          <w:caps w:val="0"/>
          <w:color w:val="auto"/>
          <w:highlight w:val="none"/>
        </w:rPr>
        <w:fldChar w:fldCharType="begin"/>
      </w:r>
      <w:r>
        <w:rPr>
          <w:caps w:val="0"/>
          <w:color w:val="auto"/>
          <w:highlight w:val="none"/>
        </w:rPr>
        <w:instrText xml:space="preserve"> PAGEREF _Toc29156 \h </w:instrText>
      </w:r>
      <w:r>
        <w:rPr>
          <w:caps w:val="0"/>
          <w:color w:val="auto"/>
          <w:highlight w:val="none"/>
        </w:rPr>
        <w:fldChar w:fldCharType="separate"/>
      </w:r>
      <w:r>
        <w:rPr>
          <w:caps w:val="0"/>
          <w:color w:val="auto"/>
          <w:highlight w:val="none"/>
        </w:rPr>
        <w:t>2</w:t>
      </w:r>
      <w:r>
        <w:rPr>
          <w:caps w:val="0"/>
          <w:color w:val="auto"/>
          <w:highlight w:val="none"/>
        </w:rPr>
        <w:fldChar w:fldCharType="end"/>
      </w:r>
      <w:r>
        <w:rPr>
          <w:caps w:val="0"/>
          <w:color w:val="auto"/>
          <w:highlight w:val="none"/>
        </w:rPr>
        <w:fldChar w:fldCharType="end"/>
      </w:r>
    </w:p>
    <w:p>
      <w:pPr>
        <w:pStyle w:val="28"/>
        <w:tabs>
          <w:tab w:val="right" w:leader="dot" w:pos="9411"/>
        </w:tabs>
        <w:rPr>
          <w:caps w:val="0"/>
          <w:color w:val="auto"/>
          <w:highlight w:val="none"/>
        </w:rPr>
      </w:pPr>
      <w:r>
        <w:rPr>
          <w:color w:val="auto"/>
          <w:highlight w:val="none"/>
        </w:rPr>
        <w:fldChar w:fldCharType="begin"/>
      </w:r>
      <w:r>
        <w:rPr>
          <w:color w:val="auto"/>
          <w:highlight w:val="none"/>
        </w:rPr>
        <w:instrText xml:space="preserve"> HYPERLINK \l "_Toc9948" </w:instrText>
      </w:r>
      <w:r>
        <w:rPr>
          <w:color w:val="auto"/>
          <w:highlight w:val="none"/>
        </w:rPr>
        <w:fldChar w:fldCharType="separate"/>
      </w:r>
      <w:r>
        <w:rPr>
          <w:rFonts w:hint="eastAsia" w:ascii="宋体" w:hAnsi="宋体" w:cs="宋体"/>
          <w:caps w:val="0"/>
          <w:color w:val="auto"/>
          <w:kern w:val="44"/>
          <w:szCs w:val="44"/>
          <w:highlight w:val="none"/>
        </w:rPr>
        <w:t>第二章 投标人须知</w:t>
      </w:r>
      <w:r>
        <w:rPr>
          <w:caps w:val="0"/>
          <w:color w:val="auto"/>
          <w:highlight w:val="none"/>
        </w:rPr>
        <w:tab/>
      </w:r>
      <w:r>
        <w:rPr>
          <w:caps w:val="0"/>
          <w:color w:val="auto"/>
          <w:highlight w:val="none"/>
        </w:rPr>
        <w:fldChar w:fldCharType="begin"/>
      </w:r>
      <w:r>
        <w:rPr>
          <w:caps w:val="0"/>
          <w:color w:val="auto"/>
          <w:highlight w:val="none"/>
        </w:rPr>
        <w:instrText xml:space="preserve"> PAGEREF _Toc9948 \h </w:instrText>
      </w:r>
      <w:r>
        <w:rPr>
          <w:caps w:val="0"/>
          <w:color w:val="auto"/>
          <w:highlight w:val="none"/>
        </w:rPr>
        <w:fldChar w:fldCharType="separate"/>
      </w:r>
      <w:r>
        <w:rPr>
          <w:caps w:val="0"/>
          <w:color w:val="auto"/>
          <w:highlight w:val="none"/>
        </w:rPr>
        <w:t>2</w:t>
      </w:r>
      <w:r>
        <w:rPr>
          <w:caps w:val="0"/>
          <w:color w:val="auto"/>
          <w:highlight w:val="none"/>
        </w:rPr>
        <w:fldChar w:fldCharType="end"/>
      </w:r>
      <w:r>
        <w:rPr>
          <w:caps w:val="0"/>
          <w:color w:val="auto"/>
          <w:highlight w:val="none"/>
        </w:rPr>
        <w:fldChar w:fldCharType="end"/>
      </w:r>
    </w:p>
    <w:p>
      <w:pPr>
        <w:pStyle w:val="28"/>
        <w:tabs>
          <w:tab w:val="right" w:leader="dot" w:pos="9411"/>
        </w:tabs>
        <w:rPr>
          <w:caps w:val="0"/>
          <w:color w:val="auto"/>
          <w:highlight w:val="none"/>
        </w:rPr>
      </w:pPr>
      <w:r>
        <w:rPr>
          <w:color w:val="auto"/>
          <w:highlight w:val="none"/>
        </w:rPr>
        <w:fldChar w:fldCharType="begin"/>
      </w:r>
      <w:r>
        <w:rPr>
          <w:color w:val="auto"/>
          <w:highlight w:val="none"/>
        </w:rPr>
        <w:instrText xml:space="preserve"> HYPERLINK \l "_Toc22564" </w:instrText>
      </w:r>
      <w:r>
        <w:rPr>
          <w:color w:val="auto"/>
          <w:highlight w:val="none"/>
        </w:rPr>
        <w:fldChar w:fldCharType="separate"/>
      </w:r>
      <w:r>
        <w:rPr>
          <w:rFonts w:hint="eastAsia" w:ascii="宋体" w:hAnsi="宋体" w:cs="宋体"/>
          <w:caps w:val="0"/>
          <w:color w:val="auto"/>
          <w:kern w:val="44"/>
          <w:szCs w:val="44"/>
          <w:highlight w:val="none"/>
        </w:rPr>
        <w:t>第三章 评（定）标办法</w:t>
      </w:r>
      <w:r>
        <w:rPr>
          <w:caps w:val="0"/>
          <w:color w:val="auto"/>
          <w:highlight w:val="none"/>
        </w:rPr>
        <w:tab/>
      </w:r>
      <w:r>
        <w:rPr>
          <w:caps w:val="0"/>
          <w:color w:val="auto"/>
          <w:highlight w:val="none"/>
        </w:rPr>
        <w:fldChar w:fldCharType="begin"/>
      </w:r>
      <w:r>
        <w:rPr>
          <w:caps w:val="0"/>
          <w:color w:val="auto"/>
          <w:highlight w:val="none"/>
        </w:rPr>
        <w:instrText xml:space="preserve"> PAGEREF _Toc22564 \h </w:instrText>
      </w:r>
      <w:r>
        <w:rPr>
          <w:caps w:val="0"/>
          <w:color w:val="auto"/>
          <w:highlight w:val="none"/>
        </w:rPr>
        <w:fldChar w:fldCharType="separate"/>
      </w:r>
      <w:r>
        <w:rPr>
          <w:caps w:val="0"/>
          <w:color w:val="auto"/>
          <w:highlight w:val="none"/>
        </w:rPr>
        <w:t>26</w:t>
      </w:r>
      <w:r>
        <w:rPr>
          <w:caps w:val="0"/>
          <w:color w:val="auto"/>
          <w:highlight w:val="none"/>
        </w:rPr>
        <w:fldChar w:fldCharType="end"/>
      </w:r>
      <w:r>
        <w:rPr>
          <w:caps w:val="0"/>
          <w:color w:val="auto"/>
          <w:highlight w:val="none"/>
        </w:rPr>
        <w:fldChar w:fldCharType="end"/>
      </w:r>
    </w:p>
    <w:p>
      <w:pPr>
        <w:pStyle w:val="28"/>
        <w:tabs>
          <w:tab w:val="right" w:leader="dot" w:pos="9411"/>
        </w:tabs>
        <w:rPr>
          <w:caps w:val="0"/>
          <w:color w:val="auto"/>
          <w:highlight w:val="none"/>
        </w:rPr>
      </w:pPr>
      <w:r>
        <w:rPr>
          <w:color w:val="auto"/>
          <w:highlight w:val="none"/>
        </w:rPr>
        <w:fldChar w:fldCharType="begin"/>
      </w:r>
      <w:r>
        <w:rPr>
          <w:color w:val="auto"/>
          <w:highlight w:val="none"/>
        </w:rPr>
        <w:instrText xml:space="preserve"> HYPERLINK \l "_Toc12567" </w:instrText>
      </w:r>
      <w:r>
        <w:rPr>
          <w:color w:val="auto"/>
          <w:highlight w:val="none"/>
        </w:rPr>
        <w:fldChar w:fldCharType="separate"/>
      </w:r>
      <w:r>
        <w:rPr>
          <w:rFonts w:hint="eastAsia" w:ascii="宋体" w:hAnsi="宋体" w:cs="宋体"/>
          <w:caps w:val="0"/>
          <w:color w:val="auto"/>
          <w:kern w:val="44"/>
          <w:szCs w:val="44"/>
          <w:highlight w:val="none"/>
        </w:rPr>
        <w:t>第四章 合同条款及格式</w:t>
      </w:r>
      <w:r>
        <w:rPr>
          <w:caps w:val="0"/>
          <w:color w:val="auto"/>
          <w:highlight w:val="none"/>
        </w:rPr>
        <w:tab/>
      </w:r>
      <w:r>
        <w:rPr>
          <w:caps w:val="0"/>
          <w:color w:val="auto"/>
          <w:highlight w:val="none"/>
        </w:rPr>
        <w:fldChar w:fldCharType="begin"/>
      </w:r>
      <w:r>
        <w:rPr>
          <w:caps w:val="0"/>
          <w:color w:val="auto"/>
          <w:highlight w:val="none"/>
        </w:rPr>
        <w:instrText xml:space="preserve"> PAGEREF _Toc12567 \h </w:instrText>
      </w:r>
      <w:r>
        <w:rPr>
          <w:caps w:val="0"/>
          <w:color w:val="auto"/>
          <w:highlight w:val="none"/>
        </w:rPr>
        <w:fldChar w:fldCharType="separate"/>
      </w:r>
      <w:r>
        <w:rPr>
          <w:caps w:val="0"/>
          <w:color w:val="auto"/>
          <w:highlight w:val="none"/>
        </w:rPr>
        <w:t>44</w:t>
      </w:r>
      <w:r>
        <w:rPr>
          <w:caps w:val="0"/>
          <w:color w:val="auto"/>
          <w:highlight w:val="none"/>
        </w:rPr>
        <w:fldChar w:fldCharType="end"/>
      </w:r>
      <w:r>
        <w:rPr>
          <w:caps w:val="0"/>
          <w:color w:val="auto"/>
          <w:highlight w:val="none"/>
        </w:rPr>
        <w:fldChar w:fldCharType="end"/>
      </w:r>
    </w:p>
    <w:p>
      <w:pPr>
        <w:pStyle w:val="28"/>
        <w:tabs>
          <w:tab w:val="right" w:leader="dot" w:pos="9411"/>
        </w:tabs>
        <w:rPr>
          <w:caps w:val="0"/>
          <w:color w:val="auto"/>
          <w:highlight w:val="none"/>
        </w:rPr>
      </w:pPr>
      <w:r>
        <w:rPr>
          <w:color w:val="auto"/>
          <w:highlight w:val="none"/>
        </w:rPr>
        <w:fldChar w:fldCharType="begin"/>
      </w:r>
      <w:r>
        <w:rPr>
          <w:color w:val="auto"/>
          <w:highlight w:val="none"/>
        </w:rPr>
        <w:instrText xml:space="preserve"> HYPERLINK \l "_Toc25999" </w:instrText>
      </w:r>
      <w:r>
        <w:rPr>
          <w:color w:val="auto"/>
          <w:highlight w:val="none"/>
        </w:rPr>
        <w:fldChar w:fldCharType="separate"/>
      </w:r>
      <w:r>
        <w:rPr>
          <w:rFonts w:hint="eastAsia" w:ascii="宋体" w:hAnsi="宋体" w:cs="宋体"/>
          <w:caps w:val="0"/>
          <w:color w:val="auto"/>
          <w:kern w:val="44"/>
          <w:szCs w:val="44"/>
          <w:highlight w:val="none"/>
        </w:rPr>
        <w:t>第五章 发包人要求</w:t>
      </w:r>
      <w:r>
        <w:rPr>
          <w:caps w:val="0"/>
          <w:color w:val="auto"/>
          <w:highlight w:val="none"/>
        </w:rPr>
        <w:tab/>
      </w:r>
      <w:r>
        <w:rPr>
          <w:caps w:val="0"/>
          <w:color w:val="auto"/>
          <w:highlight w:val="none"/>
        </w:rPr>
        <w:fldChar w:fldCharType="begin"/>
      </w:r>
      <w:r>
        <w:rPr>
          <w:caps w:val="0"/>
          <w:color w:val="auto"/>
          <w:highlight w:val="none"/>
        </w:rPr>
        <w:instrText xml:space="preserve"> PAGEREF _Toc25999 \h </w:instrText>
      </w:r>
      <w:r>
        <w:rPr>
          <w:caps w:val="0"/>
          <w:color w:val="auto"/>
          <w:highlight w:val="none"/>
        </w:rPr>
        <w:fldChar w:fldCharType="separate"/>
      </w:r>
      <w:r>
        <w:rPr>
          <w:caps w:val="0"/>
          <w:color w:val="auto"/>
          <w:highlight w:val="none"/>
        </w:rPr>
        <w:t>45</w:t>
      </w:r>
      <w:r>
        <w:rPr>
          <w:caps w:val="0"/>
          <w:color w:val="auto"/>
          <w:highlight w:val="none"/>
        </w:rPr>
        <w:fldChar w:fldCharType="end"/>
      </w:r>
      <w:r>
        <w:rPr>
          <w:caps w:val="0"/>
          <w:color w:val="auto"/>
          <w:highlight w:val="none"/>
        </w:rPr>
        <w:fldChar w:fldCharType="end"/>
      </w:r>
    </w:p>
    <w:p>
      <w:pPr>
        <w:pStyle w:val="28"/>
        <w:tabs>
          <w:tab w:val="right" w:leader="dot" w:pos="9411"/>
        </w:tabs>
        <w:rPr>
          <w:caps w:val="0"/>
          <w:color w:val="auto"/>
          <w:highlight w:val="none"/>
        </w:rPr>
      </w:pPr>
      <w:r>
        <w:rPr>
          <w:color w:val="auto"/>
          <w:highlight w:val="none"/>
        </w:rPr>
        <w:fldChar w:fldCharType="begin"/>
      </w:r>
      <w:r>
        <w:rPr>
          <w:color w:val="auto"/>
          <w:highlight w:val="none"/>
        </w:rPr>
        <w:instrText xml:space="preserve"> HYPERLINK \l "_Toc3257" </w:instrText>
      </w:r>
      <w:r>
        <w:rPr>
          <w:color w:val="auto"/>
          <w:highlight w:val="none"/>
        </w:rPr>
        <w:fldChar w:fldCharType="separate"/>
      </w:r>
      <w:r>
        <w:rPr>
          <w:rFonts w:hint="eastAsia" w:ascii="宋体" w:hAnsi="宋体" w:cs="宋体"/>
          <w:caps w:val="0"/>
          <w:color w:val="auto"/>
          <w:kern w:val="44"/>
          <w:szCs w:val="44"/>
          <w:highlight w:val="none"/>
        </w:rPr>
        <w:t>第六章 投标文件格式</w:t>
      </w:r>
      <w:r>
        <w:rPr>
          <w:caps w:val="0"/>
          <w:color w:val="auto"/>
          <w:highlight w:val="none"/>
        </w:rPr>
        <w:tab/>
      </w:r>
      <w:r>
        <w:rPr>
          <w:caps w:val="0"/>
          <w:color w:val="auto"/>
          <w:highlight w:val="none"/>
        </w:rPr>
        <w:fldChar w:fldCharType="begin"/>
      </w:r>
      <w:r>
        <w:rPr>
          <w:caps w:val="0"/>
          <w:color w:val="auto"/>
          <w:highlight w:val="none"/>
        </w:rPr>
        <w:instrText xml:space="preserve"> PAGEREF _Toc3257 \h </w:instrText>
      </w:r>
      <w:r>
        <w:rPr>
          <w:caps w:val="0"/>
          <w:color w:val="auto"/>
          <w:highlight w:val="none"/>
        </w:rPr>
        <w:fldChar w:fldCharType="separate"/>
      </w:r>
      <w:r>
        <w:rPr>
          <w:caps w:val="0"/>
          <w:color w:val="auto"/>
          <w:highlight w:val="none"/>
        </w:rPr>
        <w:t>46</w:t>
      </w:r>
      <w:r>
        <w:rPr>
          <w:caps w:val="0"/>
          <w:color w:val="auto"/>
          <w:highlight w:val="none"/>
        </w:rPr>
        <w:fldChar w:fldCharType="end"/>
      </w:r>
      <w:r>
        <w:rPr>
          <w:caps w:val="0"/>
          <w:color w:val="auto"/>
          <w:highlight w:val="none"/>
        </w:rPr>
        <w:fldChar w:fldCharType="end"/>
      </w:r>
    </w:p>
    <w:p>
      <w:pPr>
        <w:shd w:val="clear" w:color="auto" w:fill="FFFFFF"/>
        <w:spacing w:line="480" w:lineRule="auto"/>
        <w:ind w:firstLine="420" w:firstLineChars="200"/>
        <w:jc w:val="center"/>
        <w:rPr>
          <w:rFonts w:ascii="宋体" w:hAnsi="宋体" w:cs="宋体"/>
          <w:color w:val="auto"/>
          <w:szCs w:val="28"/>
          <w:highlight w:val="none"/>
          <w:shd w:val="clear" w:color="FFFFFF" w:fill="D9D9D9"/>
        </w:rPr>
      </w:pPr>
      <w:r>
        <w:rPr>
          <w:rFonts w:hint="eastAsia" w:ascii="宋体" w:hAnsi="宋体" w:cs="宋体"/>
          <w:color w:val="auto"/>
          <w:szCs w:val="24"/>
          <w:highlight w:val="none"/>
          <w:shd w:val="clear" w:color="FFFFFF" w:fill="D9D9D9"/>
        </w:rPr>
        <w:fldChar w:fldCharType="end"/>
      </w:r>
    </w:p>
    <w:p>
      <w:pPr>
        <w:shd w:val="clear" w:color="auto" w:fill="FFFFFF"/>
        <w:ind w:firstLine="420" w:firstLineChars="200"/>
        <w:jc w:val="center"/>
        <w:rPr>
          <w:rFonts w:ascii="宋体" w:hAnsi="宋体" w:cs="宋体"/>
          <w:color w:val="auto"/>
          <w:szCs w:val="28"/>
          <w:highlight w:val="none"/>
          <w:shd w:val="clear" w:color="FFFFFF" w:fill="D9D9D9"/>
        </w:rPr>
      </w:pPr>
    </w:p>
    <w:p>
      <w:pPr>
        <w:shd w:val="clear" w:color="auto" w:fill="FFFFFF"/>
        <w:ind w:firstLine="420" w:firstLineChars="200"/>
        <w:jc w:val="center"/>
        <w:rPr>
          <w:rFonts w:ascii="宋体" w:hAnsi="宋体" w:cs="宋体"/>
          <w:color w:val="auto"/>
          <w:szCs w:val="28"/>
          <w:highlight w:val="none"/>
          <w:shd w:val="clear" w:color="FFFFFF" w:fill="D9D9D9"/>
        </w:rPr>
      </w:pPr>
    </w:p>
    <w:p>
      <w:pPr>
        <w:shd w:val="clear" w:color="auto" w:fill="FFFFFF"/>
        <w:ind w:firstLine="420" w:firstLineChars="200"/>
        <w:jc w:val="center"/>
        <w:rPr>
          <w:rFonts w:ascii="宋体" w:hAnsi="宋体" w:cs="宋体"/>
          <w:color w:val="auto"/>
          <w:szCs w:val="28"/>
          <w:highlight w:val="none"/>
          <w:shd w:val="clear" w:color="FFFFFF" w:fill="D9D9D9"/>
        </w:rPr>
      </w:pPr>
    </w:p>
    <w:p>
      <w:pPr>
        <w:keepNext/>
        <w:keepLines/>
        <w:spacing w:before="340" w:after="330"/>
        <w:jc w:val="center"/>
        <w:outlineLvl w:val="0"/>
        <w:rPr>
          <w:rFonts w:ascii="宋体" w:hAnsi="宋体" w:cs="宋体"/>
          <w:b/>
          <w:bCs/>
          <w:color w:val="auto"/>
          <w:kern w:val="44"/>
          <w:sz w:val="44"/>
          <w:szCs w:val="44"/>
          <w:highlight w:val="none"/>
        </w:rPr>
      </w:pPr>
      <w:r>
        <w:rPr>
          <w:rFonts w:hint="eastAsia" w:ascii="宋体" w:hAnsi="宋体" w:cs="宋体"/>
          <w:b/>
          <w:bCs/>
          <w:color w:val="auto"/>
          <w:kern w:val="44"/>
          <w:sz w:val="44"/>
          <w:szCs w:val="28"/>
          <w:highlight w:val="none"/>
          <w:shd w:val="clear" w:color="FFFFFF" w:fill="D9D9D9"/>
        </w:rPr>
        <w:br w:type="page"/>
      </w:r>
      <w:bookmarkStart w:id="0" w:name="_Toc29156"/>
      <w:bookmarkStart w:id="1" w:name="_Toc25868"/>
      <w:bookmarkStart w:id="2" w:name="_Toc4910"/>
      <w:bookmarkStart w:id="3" w:name="_Toc485211037"/>
      <w:bookmarkStart w:id="4" w:name="_Toc21337"/>
      <w:bookmarkStart w:id="5" w:name="_Toc8601"/>
      <w:bookmarkStart w:id="6" w:name="_Toc1080"/>
      <w:bookmarkStart w:id="7" w:name="_Toc29410"/>
      <w:r>
        <w:rPr>
          <w:rFonts w:hint="eastAsia" w:ascii="宋体" w:hAnsi="宋体" w:cs="宋体"/>
          <w:b/>
          <w:bCs/>
          <w:color w:val="auto"/>
          <w:kern w:val="44"/>
          <w:sz w:val="44"/>
          <w:szCs w:val="44"/>
          <w:highlight w:val="none"/>
        </w:rPr>
        <w:t>第一章 招标公告</w:t>
      </w:r>
      <w:bookmarkEnd w:id="0"/>
    </w:p>
    <w:p>
      <w:pPr>
        <w:keepNext/>
        <w:keepLines/>
        <w:spacing w:before="340" w:after="330"/>
        <w:jc w:val="center"/>
        <w:outlineLvl w:val="0"/>
        <w:rPr>
          <w:rFonts w:ascii="宋体" w:hAnsi="宋体" w:cs="宋体"/>
          <w:b/>
          <w:bCs/>
          <w:color w:val="auto"/>
          <w:kern w:val="44"/>
          <w:sz w:val="44"/>
          <w:szCs w:val="44"/>
          <w:highlight w:val="none"/>
        </w:rPr>
      </w:pPr>
      <w:bookmarkStart w:id="8" w:name="_Toc9948"/>
      <w:r>
        <w:rPr>
          <w:rFonts w:hint="eastAsia" w:ascii="宋体" w:hAnsi="宋体" w:cs="宋体"/>
          <w:b/>
          <w:bCs/>
          <w:color w:val="auto"/>
          <w:kern w:val="44"/>
          <w:sz w:val="44"/>
          <w:szCs w:val="44"/>
          <w:highlight w:val="none"/>
        </w:rPr>
        <w:t>（另册）</w:t>
      </w:r>
      <w:r>
        <w:rPr>
          <w:rFonts w:hint="eastAsia" w:ascii="宋体" w:hAnsi="宋体" w:cs="宋体"/>
          <w:b/>
          <w:bCs/>
          <w:color w:val="auto"/>
          <w:kern w:val="44"/>
          <w:sz w:val="44"/>
          <w:szCs w:val="44"/>
          <w:highlight w:val="none"/>
        </w:rPr>
        <w:br w:type="page"/>
      </w:r>
      <w:r>
        <w:rPr>
          <w:rFonts w:hint="eastAsia" w:ascii="宋体" w:hAnsi="宋体" w:cs="宋体"/>
          <w:b/>
          <w:bCs/>
          <w:color w:val="auto"/>
          <w:kern w:val="44"/>
          <w:sz w:val="44"/>
          <w:szCs w:val="44"/>
          <w:highlight w:val="none"/>
        </w:rPr>
        <w:t>第二章 投标人须知</w:t>
      </w:r>
      <w:bookmarkEnd w:id="1"/>
      <w:bookmarkEnd w:id="2"/>
      <w:bookmarkEnd w:id="3"/>
      <w:bookmarkEnd w:id="4"/>
      <w:bookmarkEnd w:id="5"/>
      <w:bookmarkEnd w:id="6"/>
      <w:bookmarkEnd w:id="7"/>
      <w:bookmarkEnd w:id="8"/>
    </w:p>
    <w:p>
      <w:pPr>
        <w:keepNext/>
        <w:keepLines/>
        <w:spacing w:before="200" w:after="200"/>
        <w:jc w:val="center"/>
        <w:outlineLvl w:val="0"/>
        <w:rPr>
          <w:rFonts w:ascii="宋体" w:hAnsi="宋体" w:cs="宋体"/>
          <w:b/>
          <w:bCs/>
          <w:color w:val="auto"/>
          <w:kern w:val="44"/>
          <w:sz w:val="44"/>
          <w:szCs w:val="44"/>
          <w:highlight w:val="none"/>
        </w:rPr>
      </w:pPr>
      <w:bookmarkStart w:id="9" w:name="_Toc6263"/>
      <w:bookmarkStart w:id="10" w:name="_Toc14702"/>
      <w:bookmarkStart w:id="11" w:name="_Toc31358"/>
      <w:r>
        <w:rPr>
          <w:rFonts w:hint="eastAsia" w:ascii="宋体" w:hAnsi="宋体" w:cs="宋体"/>
          <w:b/>
          <w:bCs/>
          <w:color w:val="auto"/>
          <w:sz w:val="32"/>
          <w:szCs w:val="32"/>
          <w:highlight w:val="none"/>
        </w:rPr>
        <w:t>《投标人须知前附表》</w:t>
      </w:r>
      <w:bookmarkEnd w:id="9"/>
      <w:bookmarkEnd w:id="10"/>
      <w:bookmarkEnd w:id="11"/>
    </w:p>
    <w:tbl>
      <w:tblPr>
        <w:tblStyle w:val="40"/>
        <w:tblW w:w="0" w:type="auto"/>
        <w:tblInd w:w="0" w:type="dxa"/>
        <w:tblLayout w:type="fixed"/>
        <w:tblCellMar>
          <w:top w:w="0" w:type="dxa"/>
          <w:left w:w="108" w:type="dxa"/>
          <w:bottom w:w="0" w:type="dxa"/>
          <w:right w:w="108" w:type="dxa"/>
        </w:tblCellMar>
      </w:tblPr>
      <w:tblGrid>
        <w:gridCol w:w="985"/>
        <w:gridCol w:w="2906"/>
        <w:gridCol w:w="5723"/>
      </w:tblGrid>
      <w:tr>
        <w:tblPrEx>
          <w:tblCellMar>
            <w:top w:w="0" w:type="dxa"/>
            <w:left w:w="108" w:type="dxa"/>
            <w:bottom w:w="0" w:type="dxa"/>
            <w:right w:w="108" w:type="dxa"/>
          </w:tblCellMar>
        </w:tblPrEx>
        <w:trPr>
          <w:trHeight w:val="620" w:hRule="atLeast"/>
          <w:tblHeader/>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trHeight w:val="1336"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7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招标单位：</w:t>
            </w:r>
            <w:r>
              <w:rPr>
                <w:rFonts w:hint="eastAsia"/>
                <w:color w:val="auto"/>
                <w:szCs w:val="21"/>
                <w:highlight w:val="none"/>
                <w:lang w:eastAsia="zh-CN"/>
              </w:rPr>
              <w:t xml:space="preserve">广州高新技术产业集团有限公司  </w:t>
            </w:r>
          </w:p>
          <w:p>
            <w:pPr>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color w:val="auto"/>
                <w:szCs w:val="21"/>
                <w:highlight w:val="none"/>
                <w:lang w:eastAsia="zh-CN"/>
              </w:rPr>
              <w:t>广州市天河区软件路11号 10楼</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人：莫</w:t>
            </w:r>
            <w:r>
              <w:rPr>
                <w:rFonts w:hint="eastAsia" w:ascii="宋体" w:hAnsi="宋体" w:cs="宋体"/>
                <w:color w:val="auto"/>
                <w:szCs w:val="21"/>
                <w:highlight w:val="none"/>
                <w:lang w:val="en-US" w:eastAsia="zh-CN"/>
              </w:rPr>
              <w:t>工</w:t>
            </w:r>
            <w:r>
              <w:rPr>
                <w:rFonts w:hint="eastAsia" w:ascii="宋体" w:hAnsi="宋体"/>
                <w:color w:val="auto"/>
                <w:szCs w:val="21"/>
                <w:highlight w:val="none"/>
                <w:lang w:val="en-US" w:eastAsia="zh-CN"/>
              </w:rPr>
              <w:t xml:space="preserve">  </w:t>
            </w:r>
          </w:p>
          <w:p>
            <w:pPr>
              <w:rPr>
                <w:rFonts w:hint="default" w:ascii="宋体" w:hAnsi="宋体" w:eastAsia="宋体" w:cs="宋体"/>
                <w:color w:val="auto"/>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15920991682</w:t>
            </w:r>
          </w:p>
        </w:tc>
      </w:tr>
      <w:tr>
        <w:tblPrEx>
          <w:tblCellMar>
            <w:top w:w="0" w:type="dxa"/>
            <w:left w:w="108" w:type="dxa"/>
            <w:bottom w:w="0" w:type="dxa"/>
            <w:right w:w="108" w:type="dxa"/>
          </w:tblCellMar>
        </w:tblPrEx>
        <w:trPr>
          <w:trHeight w:val="1276"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7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u w:val="single"/>
                <w:lang w:eastAsia="zh-CN"/>
              </w:rPr>
            </w:pPr>
            <w:r>
              <w:rPr>
                <w:rFonts w:hint="eastAsia" w:ascii="宋体" w:hAnsi="宋体" w:cs="宋体"/>
                <w:color w:val="auto"/>
                <w:highlight w:val="none"/>
              </w:rPr>
              <w:t>招标代理机构：</w:t>
            </w:r>
            <w:r>
              <w:rPr>
                <w:rFonts w:hint="eastAsia" w:ascii="宋体" w:hAnsi="宋体" w:cs="宋体"/>
                <w:bCs/>
                <w:color w:val="auto"/>
                <w:highlight w:val="none"/>
                <w:lang w:eastAsia="zh-CN"/>
              </w:rPr>
              <w:t xml:space="preserve">公诚管理咨询有限公司 </w:t>
            </w:r>
          </w:p>
          <w:p>
            <w:pPr>
              <w:rPr>
                <w:rFonts w:hint="eastAsia" w:ascii="宋体" w:hAnsi="宋体" w:eastAsia="宋体" w:cs="宋体"/>
                <w:color w:val="auto"/>
                <w:highlight w:val="none"/>
                <w:lang w:eastAsia="zh-CN"/>
              </w:rPr>
            </w:pPr>
            <w:r>
              <w:rPr>
                <w:rFonts w:hint="eastAsia" w:ascii="宋体" w:hAnsi="宋体" w:cs="宋体"/>
                <w:color w:val="auto"/>
                <w:highlight w:val="none"/>
              </w:rPr>
              <w:t>地    址：</w:t>
            </w:r>
            <w:r>
              <w:rPr>
                <w:rFonts w:hint="eastAsia" w:ascii="宋体" w:hAnsi="宋体" w:cs="宋体"/>
                <w:color w:val="auto"/>
                <w:szCs w:val="21"/>
                <w:highlight w:val="none"/>
                <w:lang w:eastAsia="zh-CN"/>
              </w:rPr>
              <w:t>广州市天河北路423号远晖商厦8楼</w:t>
            </w:r>
          </w:p>
          <w:p>
            <w:pPr>
              <w:rPr>
                <w:rFonts w:ascii="宋体" w:hAnsi="宋体" w:cs="宋体"/>
                <w:color w:val="auto"/>
                <w:highlight w:val="none"/>
              </w:rPr>
            </w:pPr>
            <w:r>
              <w:rPr>
                <w:rFonts w:hint="eastAsia" w:ascii="宋体" w:hAnsi="宋体" w:cs="宋体"/>
                <w:color w:val="auto"/>
                <w:highlight w:val="none"/>
              </w:rPr>
              <w:t>联 系 人：</w:t>
            </w:r>
            <w:r>
              <w:rPr>
                <w:rFonts w:hint="eastAsia" w:ascii="宋体" w:hAnsi="宋体" w:cs="宋体"/>
                <w:color w:val="auto"/>
                <w:szCs w:val="21"/>
                <w:highlight w:val="none"/>
              </w:rPr>
              <w:t>黄工</w:t>
            </w:r>
          </w:p>
          <w:p>
            <w:pPr>
              <w:rPr>
                <w:rFonts w:hint="default" w:ascii="宋体" w:hAnsi="宋体" w:eastAsia="宋体" w:cs="宋体"/>
                <w:color w:val="auto"/>
                <w:highlight w:val="none"/>
                <w:lang w:val="en-US" w:eastAsia="zh-CN"/>
              </w:rPr>
            </w:pPr>
            <w:r>
              <w:rPr>
                <w:rFonts w:hint="eastAsia" w:ascii="宋体" w:hAnsi="宋体" w:cs="宋体"/>
                <w:color w:val="auto"/>
                <w:highlight w:val="none"/>
              </w:rPr>
              <w:t>联系电话：</w:t>
            </w:r>
            <w:r>
              <w:rPr>
                <w:rFonts w:hint="eastAsia" w:ascii="宋体" w:hAnsi="宋体" w:cs="宋体"/>
                <w:color w:val="auto"/>
                <w:szCs w:val="21"/>
                <w:highlight w:val="none"/>
              </w:rPr>
              <w:t>020-38903217（转911），15920177102</w:t>
            </w:r>
          </w:p>
        </w:tc>
      </w:tr>
      <w:tr>
        <w:tblPrEx>
          <w:tblCellMar>
            <w:top w:w="0" w:type="dxa"/>
            <w:left w:w="108" w:type="dxa"/>
            <w:bottom w:w="0" w:type="dxa"/>
            <w:right w:w="108" w:type="dxa"/>
          </w:tblCellMar>
        </w:tblPrEx>
        <w:trPr>
          <w:trHeight w:val="660"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7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lang w:eastAsia="zh-CN"/>
              </w:rPr>
            </w:pPr>
            <w:r>
              <w:rPr>
                <w:rFonts w:hint="eastAsia" w:ascii="宋体" w:hAnsi="宋体"/>
                <w:color w:val="auto"/>
                <w:szCs w:val="21"/>
                <w:highlight w:val="none"/>
                <w:lang w:eastAsia="zh-CN"/>
              </w:rPr>
              <w:t>广州高新集团天蕴路2号物业（天河软件园软件产业集中孵化中心）配电增容项目设计施工总承包</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57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lang w:eastAsia="zh-CN"/>
              </w:rPr>
            </w:pPr>
            <w:r>
              <w:rPr>
                <w:rFonts w:hint="eastAsia" w:ascii="宋体" w:hAnsi="宋体"/>
                <w:color w:val="auto"/>
                <w:szCs w:val="21"/>
                <w:highlight w:val="none"/>
                <w:lang w:eastAsia="zh-CN"/>
              </w:rPr>
              <w:t>广州市天河区天蕴路2号</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企业自筹</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u w:val="single"/>
              </w:rPr>
            </w:pPr>
            <w:r>
              <w:rPr>
                <w:rFonts w:hint="eastAsia" w:ascii="宋体" w:hAnsi="宋体" w:cs="宋体"/>
                <w:color w:val="auto"/>
                <w:highlight w:val="none"/>
              </w:rPr>
              <w:t>资金落实情况</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已落实</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7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auto"/>
                <w:szCs w:val="21"/>
                <w:highlight w:val="none"/>
              </w:rPr>
            </w:pPr>
            <w:r>
              <w:rPr>
                <w:rFonts w:hint="eastAsia" w:ascii="宋体" w:cs="宋体"/>
                <w:color w:val="auto"/>
                <w:szCs w:val="21"/>
                <w:highlight w:val="none"/>
              </w:rPr>
              <w:t>详见本项目招标公告</w:t>
            </w:r>
          </w:p>
        </w:tc>
      </w:tr>
      <w:tr>
        <w:tblPrEx>
          <w:tblCellMar>
            <w:top w:w="0" w:type="dxa"/>
            <w:left w:w="108" w:type="dxa"/>
            <w:bottom w:w="0" w:type="dxa"/>
            <w:right w:w="108" w:type="dxa"/>
          </w:tblCellMar>
        </w:tblPrEx>
        <w:trPr>
          <w:trHeight w:val="762"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right="-59" w:rightChars="-28"/>
              <w:rPr>
                <w:rFonts w:ascii="宋体" w:hAnsi="宋体" w:cs="宋体"/>
                <w:color w:val="auto"/>
                <w:szCs w:val="21"/>
                <w:highlight w:val="none"/>
              </w:rPr>
            </w:pPr>
            <w:r>
              <w:rPr>
                <w:rFonts w:hint="eastAsia" w:ascii="宋体" w:cs="宋体"/>
                <w:color w:val="auto"/>
                <w:szCs w:val="21"/>
                <w:highlight w:val="none"/>
              </w:rPr>
              <w:t>详见本项目招标公告</w:t>
            </w:r>
          </w:p>
        </w:tc>
      </w:tr>
      <w:tr>
        <w:tblPrEx>
          <w:tblCellMar>
            <w:top w:w="0" w:type="dxa"/>
            <w:left w:w="108" w:type="dxa"/>
            <w:bottom w:w="0" w:type="dxa"/>
            <w:right w:w="108" w:type="dxa"/>
          </w:tblCellMar>
        </w:tblPrEx>
        <w:trPr>
          <w:trHeight w:val="649"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72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Cs w:val="21"/>
                <w:highlight w:val="none"/>
                <w:lang w:val="en-US" w:eastAsia="zh-CN"/>
              </w:rPr>
            </w:pPr>
            <w:r>
              <w:rPr>
                <w:rFonts w:hint="eastAsia" w:ascii="宋体" w:cs="宋体"/>
                <w:color w:val="auto"/>
                <w:szCs w:val="21"/>
                <w:highlight w:val="none"/>
              </w:rPr>
              <w:t>详见本项目招标公告</w:t>
            </w:r>
          </w:p>
        </w:tc>
      </w:tr>
      <w:tr>
        <w:tblPrEx>
          <w:tblCellMar>
            <w:top w:w="0" w:type="dxa"/>
            <w:left w:w="108" w:type="dxa"/>
            <w:bottom w:w="0" w:type="dxa"/>
            <w:right w:w="108" w:type="dxa"/>
          </w:tblCellMar>
        </w:tblPrEx>
        <w:trPr>
          <w:trHeight w:val="609"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right="-59" w:rightChars="-28"/>
              <w:rPr>
                <w:rFonts w:ascii="宋体" w:hAnsi="宋体" w:cs="宋体"/>
                <w:color w:val="auto"/>
                <w:szCs w:val="21"/>
                <w:highlight w:val="none"/>
              </w:rPr>
            </w:pPr>
            <w:r>
              <w:rPr>
                <w:rFonts w:hint="eastAsia" w:ascii="宋体" w:cs="宋体"/>
                <w:color w:val="auto"/>
                <w:szCs w:val="21"/>
                <w:highlight w:val="none"/>
              </w:rPr>
              <w:t>详见本项目招标公告</w:t>
            </w:r>
          </w:p>
        </w:tc>
      </w:tr>
      <w:tr>
        <w:tblPrEx>
          <w:tblCellMar>
            <w:top w:w="0" w:type="dxa"/>
            <w:left w:w="108" w:type="dxa"/>
            <w:bottom w:w="0" w:type="dxa"/>
            <w:right w:w="108" w:type="dxa"/>
          </w:tblCellMar>
        </w:tblPrEx>
        <w:trPr>
          <w:trHeight w:val="61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723" w:type="dxa"/>
            <w:tcBorders>
              <w:top w:val="single" w:color="auto" w:sz="4" w:space="0"/>
              <w:left w:val="single" w:color="auto" w:sz="4" w:space="0"/>
              <w:bottom w:val="single" w:color="auto" w:sz="4" w:space="0"/>
              <w:right w:val="single" w:color="auto" w:sz="4" w:space="0"/>
            </w:tcBorders>
            <w:vAlign w:val="center"/>
          </w:tcPr>
          <w:p>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□不接受</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详见本项目招标公告</w:t>
            </w:r>
          </w:p>
        </w:tc>
      </w:tr>
      <w:tr>
        <w:tblPrEx>
          <w:tblCellMar>
            <w:top w:w="0" w:type="dxa"/>
            <w:left w:w="108" w:type="dxa"/>
            <w:bottom w:w="0" w:type="dxa"/>
            <w:right w:w="108" w:type="dxa"/>
          </w:tblCellMar>
        </w:tblPrEx>
        <w:trPr>
          <w:trHeight w:val="716"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1.5</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■不补偿</w:t>
            </w:r>
          </w:p>
          <w:p>
            <w:pPr>
              <w:snapToGrid w:val="0"/>
              <w:ind w:left="-55" w:leftChars="-26" w:right="-59" w:rightChars="-28"/>
              <w:rPr>
                <w:rFonts w:ascii="宋体" w:hAnsi="宋体" w:cs="宋体"/>
                <w:color w:val="auto"/>
                <w:szCs w:val="21"/>
                <w:highlight w:val="none"/>
                <w:u w:val="single"/>
              </w:rPr>
            </w:pPr>
            <w:r>
              <w:rPr>
                <w:rFonts w:hint="eastAsia" w:ascii="宋体" w:hAnsi="宋体" w:cs="宋体"/>
                <w:color w:val="auto"/>
                <w:szCs w:val="21"/>
                <w:highlight w:val="none"/>
              </w:rPr>
              <w:t>□补偿，补偿标准：</w:t>
            </w:r>
          </w:p>
        </w:tc>
      </w:tr>
      <w:tr>
        <w:tblPrEx>
          <w:tblCellMar>
            <w:top w:w="0" w:type="dxa"/>
            <w:left w:w="108" w:type="dxa"/>
            <w:bottom w:w="0" w:type="dxa"/>
            <w:right w:w="108" w:type="dxa"/>
          </w:tblCellMar>
        </w:tblPrEx>
        <w:trPr>
          <w:trHeight w:val="815"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踏勘</w:t>
            </w:r>
          </w:p>
        </w:tc>
        <w:tc>
          <w:tcPr>
            <w:tcW w:w="5723"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s="宋体"/>
                <w:color w:val="auto"/>
                <w:szCs w:val="21"/>
                <w:highlight w:val="none"/>
              </w:rPr>
              <w:sym w:font="Wingdings 2" w:char="00A3"/>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不组织：</w:t>
            </w:r>
            <w:r>
              <w:rPr>
                <w:rFonts w:hint="eastAsia" w:ascii="宋体" w:cs="宋体"/>
                <w:color w:val="auto"/>
                <w:szCs w:val="21"/>
                <w:highlight w:val="none"/>
              </w:rPr>
              <w:t>投标人可自行结合招标文件等对工程现场及周围环境进行踏勘，以便获取有关编制投标文件和签署合同所涉及现场的资料。考察期间所发生一切费用或意外由投标人自行负责。</w:t>
            </w:r>
          </w:p>
          <w:p>
            <w:pPr>
              <w:snapToGrid w:val="0"/>
              <w:ind w:left="-55" w:leftChars="-26" w:right="-59" w:rightChars="-28"/>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■组织，踏勘时间：</w:t>
            </w:r>
            <w:r>
              <w:rPr>
                <w:rFonts w:hint="eastAsia" w:ascii="宋体" w:hAnsi="宋体" w:cs="宋体"/>
                <w:color w:val="auto"/>
                <w:szCs w:val="21"/>
                <w:highlight w:val="none"/>
                <w:lang w:val="en-US" w:eastAsia="zh-CN"/>
              </w:rPr>
              <w:t>详见招标公告</w:t>
            </w:r>
          </w:p>
          <w:p>
            <w:pPr>
              <w:snapToGrid w:val="0"/>
              <w:ind w:left="-55" w:leftChars="-26" w:right="-59" w:rightChars="-28" w:firstLine="840" w:firstLineChars="400"/>
              <w:rPr>
                <w:rFonts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cs="宋体"/>
                <w:color w:val="auto"/>
                <w:szCs w:val="21"/>
                <w:highlight w:val="none"/>
                <w:lang w:val="en-US" w:eastAsia="zh-CN"/>
              </w:rPr>
              <w:t>详见招标公告</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723" w:type="dxa"/>
            <w:tcBorders>
              <w:top w:val="single" w:color="auto" w:sz="4" w:space="0"/>
              <w:left w:val="single" w:color="auto" w:sz="4" w:space="0"/>
              <w:bottom w:val="single" w:color="auto" w:sz="4" w:space="0"/>
              <w:right w:val="single" w:color="auto" w:sz="4" w:space="0"/>
            </w:tcBorders>
            <w:vAlign w:val="center"/>
          </w:tcPr>
          <w:p>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■不召开</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召开，召开时间：</w:t>
            </w:r>
          </w:p>
          <w:p>
            <w:pPr>
              <w:snapToGrid w:val="0"/>
              <w:ind w:left="-55" w:leftChars="-26" w:right="-59" w:rightChars="-28" w:firstLine="840" w:firstLineChars="400"/>
              <w:rPr>
                <w:rFonts w:ascii="宋体" w:hAnsi="宋体" w:cs="宋体"/>
                <w:color w:val="auto"/>
                <w:szCs w:val="21"/>
                <w:highlight w:val="none"/>
              </w:rPr>
            </w:pPr>
            <w:r>
              <w:rPr>
                <w:rFonts w:hint="eastAsia" w:ascii="宋体" w:hAnsi="宋体" w:cs="宋体"/>
                <w:color w:val="auto"/>
                <w:szCs w:val="21"/>
                <w:highlight w:val="none"/>
              </w:rPr>
              <w:t>召开地点：</w:t>
            </w:r>
          </w:p>
        </w:tc>
      </w:tr>
      <w:tr>
        <w:tblPrEx>
          <w:tblCellMar>
            <w:top w:w="0" w:type="dxa"/>
            <w:left w:w="108" w:type="dxa"/>
            <w:bottom w:w="0" w:type="dxa"/>
            <w:right w:w="108" w:type="dxa"/>
          </w:tblCellMar>
        </w:tblPrEx>
        <w:trPr>
          <w:trHeight w:val="71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7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1.方式：</w:t>
            </w:r>
            <w:r>
              <w:rPr>
                <w:rFonts w:hint="eastAsia" w:ascii="宋体" w:hAnsi="宋体" w:cs="宋体"/>
                <w:color w:val="auto"/>
                <w:szCs w:val="21"/>
                <w:highlight w:val="none"/>
                <w:u w:val="single"/>
              </w:rPr>
              <w:t>网上答疑。</w:t>
            </w:r>
            <w:r>
              <w:rPr>
                <w:rFonts w:hint="eastAsia" w:ascii="宋体" w:hAnsi="宋体" w:cs="宋体"/>
                <w:color w:val="auto"/>
                <w:szCs w:val="21"/>
                <w:highlight w:val="none"/>
              </w:rPr>
              <w:t>投标人疑问通过网上提交，具体操作方法详见《房建市政全流程电子化项目操作专章》。</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2.投标人质疑期限：</w:t>
            </w:r>
            <w:r>
              <w:rPr>
                <w:rFonts w:hint="eastAsia" w:ascii="宋体" w:hAnsi="宋体" w:cs="宋体"/>
                <w:color w:val="auto"/>
                <w:szCs w:val="21"/>
                <w:highlight w:val="none"/>
                <w:u w:val="single"/>
              </w:rPr>
              <w:t>在递交投标文件截止日期前18日。</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招标人书面澄清的时间</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highlight w:val="none"/>
              </w:rPr>
              <w:t>在递交投标文件截止日期前15日。</w:t>
            </w:r>
          </w:p>
        </w:tc>
      </w:tr>
      <w:tr>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rPr>
          <w:trHeight w:val="90"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1.11.2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投标人拟分包的工作</w:t>
            </w:r>
          </w:p>
        </w:tc>
        <w:tc>
          <w:tcPr>
            <w:tcW w:w="5723" w:type="dxa"/>
            <w:tcBorders>
              <w:top w:val="single" w:color="auto" w:sz="4" w:space="0"/>
              <w:left w:val="single" w:color="auto" w:sz="4" w:space="0"/>
              <w:bottom w:val="single" w:color="auto" w:sz="4" w:space="0"/>
              <w:right w:val="single" w:color="auto" w:sz="4" w:space="0"/>
            </w:tcBorders>
            <w:vAlign w:val="center"/>
          </w:tcPr>
          <w:p>
            <w:pPr>
              <w:topLinePunct/>
              <w:snapToGrid w:val="0"/>
              <w:ind w:left="-55" w:leftChars="-26" w:right="-59" w:rightChars="-28"/>
              <w:rPr>
                <w:rFonts w:ascii="宋体" w:hAnsi="宋体" w:cs="宋体"/>
                <w:color w:val="auto"/>
                <w:szCs w:val="21"/>
                <w:highlight w:val="none"/>
              </w:rPr>
            </w:pPr>
            <w:bookmarkStart w:id="12" w:name="OLE_LINK15"/>
            <w:r>
              <w:rPr>
                <w:rFonts w:hint="eastAsia" w:ascii="宋体" w:hAnsi="宋体" w:cs="宋体"/>
                <w:color w:val="auto"/>
                <w:szCs w:val="21"/>
                <w:highlight w:val="none"/>
              </w:rPr>
              <w:t>□</w:t>
            </w:r>
            <w:bookmarkEnd w:id="12"/>
            <w:r>
              <w:rPr>
                <w:rFonts w:hint="eastAsia" w:ascii="宋体" w:hAnsi="宋体" w:cs="宋体"/>
                <w:color w:val="auto"/>
                <w:szCs w:val="21"/>
                <w:highlight w:val="none"/>
              </w:rPr>
              <w:t>不允许</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■允许，经发包人同意，中标人可以把中标项目的部分非主体、非关键性工作分包给具有相应资质和能力的专业单位实施，但不得再次分包。</w:t>
            </w:r>
          </w:p>
        </w:tc>
      </w:tr>
      <w:tr>
        <w:tblPrEx>
          <w:tblCellMar>
            <w:top w:w="0" w:type="dxa"/>
            <w:left w:w="108" w:type="dxa"/>
            <w:bottom w:w="0" w:type="dxa"/>
            <w:right w:w="108" w:type="dxa"/>
          </w:tblCellMar>
        </w:tblPrEx>
        <w:trPr>
          <w:trHeight w:val="665"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240" w:lineRule="exact"/>
              <w:ind w:left="-55" w:leftChars="-26" w:right="-59" w:rightChars="-28"/>
              <w:jc w:val="center"/>
              <w:rPr>
                <w:rFonts w:ascii="宋体" w:hAnsi="宋体" w:cs="宋体"/>
                <w:color w:val="auto"/>
                <w:szCs w:val="32"/>
                <w:highlight w:val="none"/>
              </w:rPr>
            </w:pPr>
            <w:r>
              <w:rPr>
                <w:rFonts w:hint="eastAsia" w:ascii="宋体" w:hAnsi="宋体" w:cs="宋体"/>
                <w:color w:val="auto"/>
                <w:szCs w:val="32"/>
                <w:highlight w:val="none"/>
              </w:rPr>
              <w:t>偏离</w:t>
            </w:r>
          </w:p>
        </w:tc>
        <w:tc>
          <w:tcPr>
            <w:tcW w:w="5723" w:type="dxa"/>
            <w:tcBorders>
              <w:top w:val="single" w:color="auto" w:sz="4" w:space="0"/>
              <w:left w:val="single" w:color="auto" w:sz="4" w:space="0"/>
              <w:bottom w:val="single" w:color="auto" w:sz="4" w:space="0"/>
              <w:right w:val="single" w:color="auto" w:sz="4" w:space="0"/>
            </w:tcBorders>
            <w:vAlign w:val="center"/>
          </w:tcPr>
          <w:p>
            <w:pPr>
              <w:topLinePunct/>
              <w:snapToGrid w:val="0"/>
              <w:ind w:left="-55" w:leftChars="-26" w:right="-59" w:rightChars="-28"/>
              <w:rPr>
                <w:rFonts w:ascii="宋体" w:hAnsi="宋体" w:cs="宋体"/>
                <w:color w:val="auto"/>
                <w:szCs w:val="32"/>
                <w:highlight w:val="none"/>
              </w:rPr>
            </w:pPr>
            <w:r>
              <w:rPr>
                <w:rFonts w:hint="eastAsia" w:ascii="宋体" w:hAnsi="宋体" w:cs="宋体"/>
                <w:color w:val="auto"/>
                <w:szCs w:val="32"/>
                <w:highlight w:val="none"/>
              </w:rPr>
              <w:t>■不允许</w:t>
            </w:r>
          </w:p>
          <w:p>
            <w:pPr>
              <w:topLinePunct/>
              <w:snapToGrid w:val="0"/>
              <w:ind w:left="-55" w:leftChars="-26" w:right="-59" w:rightChars="-28"/>
              <w:rPr>
                <w:rFonts w:ascii="宋体" w:hAnsi="宋体" w:cs="宋体"/>
                <w:color w:val="auto"/>
                <w:szCs w:val="32"/>
                <w:highlight w:val="none"/>
              </w:rPr>
            </w:pPr>
            <w:r>
              <w:rPr>
                <w:rFonts w:hint="eastAsia" w:ascii="宋体" w:hAnsi="宋体" w:cs="宋体"/>
                <w:color w:val="auto"/>
                <w:szCs w:val="32"/>
                <w:highlight w:val="none"/>
              </w:rPr>
              <w:t>□允许，允许偏离的内容、偏离范围和幅度</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u w:val="single"/>
              </w:rPr>
              <w:t>补充公告、</w:t>
            </w:r>
            <w:r>
              <w:rPr>
                <w:rFonts w:hint="eastAsia" w:ascii="宋体" w:hAnsi="宋体" w:cs="宋体"/>
                <w:color w:val="auto"/>
                <w:szCs w:val="21"/>
                <w:highlight w:val="none"/>
              </w:rPr>
              <w:t>答疑纪要、澄清文件等（如有）</w:t>
            </w:r>
          </w:p>
        </w:tc>
      </w:tr>
      <w:tr>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kern w:val="0"/>
                <w:szCs w:val="21"/>
                <w:highlight w:val="none"/>
              </w:rPr>
              <w:t>同投标人提出问题的截止时间</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招标文件澄清，一经在广州公共资源交易中心网站发布，视作已发放给所有投标人。</w:t>
            </w:r>
          </w:p>
        </w:tc>
      </w:tr>
      <w:tr>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招标文件修改，一经在广州公共资源交易中心网站发布，视作已发放给所有投标人。</w:t>
            </w:r>
          </w:p>
        </w:tc>
      </w:tr>
      <w:tr>
        <w:tblPrEx>
          <w:tblCellMar>
            <w:top w:w="0" w:type="dxa"/>
            <w:left w:w="108" w:type="dxa"/>
            <w:bottom w:w="0" w:type="dxa"/>
            <w:right w:w="108" w:type="dxa"/>
          </w:tblCellMar>
        </w:tblPrEx>
        <w:trPr>
          <w:trHeight w:val="459"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见第六章《投标文件格式》要求</w:t>
            </w:r>
          </w:p>
        </w:tc>
      </w:tr>
      <w:tr>
        <w:tblPrEx>
          <w:tblCellMar>
            <w:top w:w="0" w:type="dxa"/>
            <w:left w:w="108" w:type="dxa"/>
            <w:bottom w:w="0" w:type="dxa"/>
            <w:right w:w="108" w:type="dxa"/>
          </w:tblCellMar>
        </w:tblPrEx>
        <w:trPr>
          <w:trHeight w:val="1745"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color w:val="auto"/>
                <w:szCs w:val="21"/>
                <w:highlight w:val="none"/>
              </w:rPr>
              <w:t>招标控制价</w:t>
            </w:r>
          </w:p>
        </w:tc>
        <w:tc>
          <w:tcPr>
            <w:tcW w:w="5723" w:type="dxa"/>
            <w:tcBorders>
              <w:top w:val="single" w:color="auto" w:sz="4" w:space="0"/>
              <w:left w:val="single" w:color="auto" w:sz="4" w:space="0"/>
              <w:bottom w:val="single" w:color="auto" w:sz="4" w:space="0"/>
              <w:right w:val="single" w:color="auto" w:sz="4" w:space="0"/>
            </w:tcBorders>
            <w:vAlign w:val="center"/>
          </w:tcPr>
          <w:p>
            <w:pPr>
              <w:snapToGrid/>
              <w:spacing w:line="360" w:lineRule="auto"/>
              <w:ind w:right="0" w:rightChars="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本项目招标控制价(最高投标限价)为:</w:t>
            </w:r>
            <w:bookmarkStart w:id="13" w:name="OLE_LINK7"/>
            <w:r>
              <w:rPr>
                <w:rFonts w:hint="eastAsia" w:ascii="宋体" w:hAnsi="宋体" w:eastAsia="宋体" w:cs="宋体"/>
                <w:bCs w:val="0"/>
                <w:color w:val="auto"/>
                <w:sz w:val="21"/>
                <w:szCs w:val="21"/>
                <w:highlight w:val="none"/>
                <w:u w:val="single"/>
              </w:rPr>
              <w:t>人民币</w:t>
            </w:r>
            <w:r>
              <w:rPr>
                <w:rFonts w:hint="eastAsia" w:ascii="宋体" w:hAnsi="宋体" w:eastAsia="宋体" w:cs="宋体"/>
                <w:bCs w:val="0"/>
                <w:color w:val="auto"/>
                <w:sz w:val="21"/>
                <w:szCs w:val="21"/>
                <w:highlight w:val="none"/>
                <w:u w:val="single"/>
                <w:lang w:val="en-US" w:eastAsia="zh-CN"/>
              </w:rPr>
              <w:t>532.8</w:t>
            </w:r>
            <w:r>
              <w:rPr>
                <w:rFonts w:hint="eastAsia" w:ascii="宋体" w:hAnsi="宋体" w:eastAsia="宋体" w:cs="宋体"/>
                <w:bCs w:val="0"/>
                <w:color w:val="auto"/>
                <w:sz w:val="21"/>
                <w:szCs w:val="21"/>
                <w:highlight w:val="none"/>
                <w:u w:val="single"/>
              </w:rPr>
              <w:t>万元，其中:工程设计费（含税）最高投标限价为10.66 万元，建安工程费（含税）最高投标限价为522.14万元。</w:t>
            </w:r>
            <w:bookmarkEnd w:id="13"/>
          </w:p>
          <w:p>
            <w:pPr>
              <w:snapToGrid w:val="0"/>
              <w:spacing w:line="360" w:lineRule="auto"/>
              <w:ind w:right="-59" w:rightChars="-28"/>
              <w:rPr>
                <w:rFonts w:ascii="宋体" w:hAnsi="宋体" w:cs="宋体"/>
                <w:color w:val="auto"/>
                <w:szCs w:val="21"/>
                <w:highlight w:val="none"/>
                <w:u w:val="single"/>
              </w:rPr>
            </w:pPr>
            <w:r>
              <w:rPr>
                <w:rFonts w:hint="eastAsia" w:ascii="宋体" w:hAnsi="宋体" w:cs="宋体"/>
                <w:color w:val="auto"/>
                <w:szCs w:val="21"/>
                <w:highlight w:val="none"/>
                <w:u w:val="single"/>
              </w:rPr>
              <w:t>注：投标报价超过最高投标限价的投标文件会导致无效标。</w:t>
            </w:r>
          </w:p>
        </w:tc>
      </w:tr>
      <w:tr>
        <w:tblPrEx>
          <w:tblCellMar>
            <w:top w:w="0" w:type="dxa"/>
            <w:left w:w="108" w:type="dxa"/>
            <w:bottom w:w="0" w:type="dxa"/>
            <w:right w:w="108" w:type="dxa"/>
          </w:tblCellMar>
        </w:tblPrEx>
        <w:trPr>
          <w:trHeight w:val="606"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color w:val="auto"/>
                <w:szCs w:val="21"/>
                <w:highlight w:val="none"/>
              </w:rPr>
              <w:t>3.2.3.2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工程建安工程费成本警戒价为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479.52万</w:t>
            </w:r>
            <w:r>
              <w:rPr>
                <w:rFonts w:hint="eastAsia" w:ascii="宋体" w:hAnsi="宋体" w:cs="宋体"/>
                <w:color w:val="auto"/>
                <w:szCs w:val="21"/>
                <w:highlight w:val="none"/>
              </w:rPr>
              <w:t>元(按招标控制价的90%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注：为充分体现招标人意愿及落实项目招标人负责制，警戒价由招标人决定。</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cs="宋体"/>
                <w:color w:val="auto"/>
                <w:szCs w:val="21"/>
                <w:highlight w:val="none"/>
                <w:u w:val="single"/>
              </w:rPr>
              <w:t>120日历天（从递交投标文件截止之日计起），如出现异议或投诉，则投标有效期自动延长至异议或投诉处理结束，确定中标人并发放中标通知书为止。</w:t>
            </w:r>
          </w:p>
        </w:tc>
      </w:tr>
      <w:tr>
        <w:tblPrEx>
          <w:tblCellMar>
            <w:top w:w="0" w:type="dxa"/>
            <w:left w:w="108" w:type="dxa"/>
            <w:bottom w:w="0" w:type="dxa"/>
            <w:right w:w="108" w:type="dxa"/>
          </w:tblCellMar>
        </w:tblPrEx>
        <w:trPr>
          <w:trHeight w:val="525"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723"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400" w:lineRule="exact"/>
              <w:ind w:right="42" w:rightChars="20"/>
              <w:rPr>
                <w:color w:val="auto"/>
                <w:sz w:val="21"/>
                <w:szCs w:val="21"/>
                <w:highlight w:val="none"/>
              </w:rPr>
            </w:pPr>
            <w:r>
              <w:rPr>
                <w:rFonts w:hint="eastAsia"/>
                <w:color w:val="auto"/>
                <w:sz w:val="21"/>
                <w:szCs w:val="21"/>
                <w:highlight w:val="none"/>
              </w:rPr>
              <w:t>是否要求投标人递交投标保证金：</w:t>
            </w:r>
          </w:p>
          <w:p>
            <w:pPr>
              <w:pStyle w:val="18"/>
              <w:adjustRightInd w:val="0"/>
              <w:snapToGrid w:val="0"/>
              <w:spacing w:line="400" w:lineRule="exact"/>
              <w:ind w:right="42" w:rightChars="20"/>
              <w:rPr>
                <w:color w:val="auto"/>
                <w:sz w:val="21"/>
                <w:szCs w:val="21"/>
                <w:highlight w:val="none"/>
              </w:rPr>
            </w:pPr>
            <w:r>
              <w:rPr>
                <w:rFonts w:hint="eastAsia" w:cs="宋体"/>
                <w:color w:val="auto"/>
                <w:sz w:val="21"/>
                <w:szCs w:val="21"/>
                <w:highlight w:val="none"/>
              </w:rPr>
              <w:t>□要求</w:t>
            </w:r>
          </w:p>
          <w:p>
            <w:pPr>
              <w:snapToGrid w:val="0"/>
              <w:ind w:right="-59" w:rightChars="-28"/>
              <w:rPr>
                <w:rStyle w:val="49"/>
                <w:rFonts w:ascii="宋体" w:hAnsi="宋体" w:cs="宋体"/>
                <w:color w:val="auto"/>
                <w:highlight w:val="none"/>
              </w:rPr>
            </w:pPr>
            <w:r>
              <w:rPr>
                <w:rFonts w:hint="eastAsia"/>
                <w:color w:val="auto"/>
                <w:szCs w:val="21"/>
                <w:highlight w:val="none"/>
              </w:rPr>
              <w:t>■</w:t>
            </w:r>
            <w:r>
              <w:rPr>
                <w:rFonts w:hint="eastAsia" w:ascii="宋体" w:cs="宋体"/>
                <w:color w:val="auto"/>
                <w:szCs w:val="21"/>
                <w:highlight w:val="none"/>
              </w:rPr>
              <w:t>不要求</w:t>
            </w:r>
          </w:p>
        </w:tc>
      </w:tr>
      <w:tr>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3.6</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723" w:type="dxa"/>
            <w:tcBorders>
              <w:top w:val="single" w:color="auto" w:sz="4" w:space="0"/>
              <w:left w:val="single" w:color="auto" w:sz="4" w:space="0"/>
              <w:bottom w:val="single" w:color="auto" w:sz="4" w:space="0"/>
              <w:right w:val="single" w:color="auto" w:sz="4" w:space="0"/>
            </w:tcBorders>
            <w:vAlign w:val="center"/>
          </w:tcPr>
          <w:p>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■不允许</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□允许</w:t>
            </w:r>
          </w:p>
        </w:tc>
      </w:tr>
      <w:tr>
        <w:tblPrEx>
          <w:tblCellMar>
            <w:top w:w="0" w:type="dxa"/>
            <w:left w:w="108" w:type="dxa"/>
            <w:bottom w:w="0" w:type="dxa"/>
            <w:right w:w="108" w:type="dxa"/>
          </w:tblCellMar>
        </w:tblPrEx>
        <w:trPr>
          <w:trHeight w:val="2132" w:hRule="atLeast"/>
        </w:trPr>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3.7.3</w:t>
            </w:r>
          </w:p>
          <w:p>
            <w:pPr>
              <w:jc w:val="center"/>
              <w:rPr>
                <w:rFonts w:ascii="宋体" w:hAnsi="宋体" w:cs="宋体"/>
                <w:color w:val="auto"/>
                <w:szCs w:val="21"/>
                <w:highlight w:val="none"/>
              </w:rPr>
            </w:pP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cs="宋体"/>
                <w:color w:val="auto"/>
                <w:szCs w:val="21"/>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除</w:t>
            </w:r>
            <w:r>
              <w:rPr>
                <w:rFonts w:hint="eastAsia" w:ascii="宋体" w:cs="宋体"/>
                <w:color w:val="auto"/>
                <w:szCs w:val="21"/>
                <w:highlight w:val="none"/>
                <w:u w:val="single"/>
                <w:lang w:eastAsia="zh-CN"/>
              </w:rPr>
              <w:t>联合体协议书</w:t>
            </w:r>
            <w:r>
              <w:rPr>
                <w:rFonts w:hint="eastAsia" w:ascii="宋体" w:cs="宋体"/>
                <w:color w:val="auto"/>
                <w:szCs w:val="21"/>
                <w:highlight w:val="none"/>
                <w:u w:val="single"/>
              </w:rPr>
              <w:t>需联合体各方同时签字或盖章外，法定代表人证明书及授权委托证明书可由联合体主办方出具，其中“单位”一栏可只填写联合体主办方名称外，其他内容及落款中的“投标人”“</w:t>
            </w:r>
            <w:r>
              <w:rPr>
                <w:rFonts w:hint="eastAsia" w:ascii="宋体" w:hAnsi="宋体"/>
                <w:color w:val="auto"/>
                <w:szCs w:val="21"/>
                <w:highlight w:val="none"/>
                <w:u w:val="single"/>
              </w:rPr>
              <w:t>声明企业</w:t>
            </w:r>
            <w:r>
              <w:rPr>
                <w:rFonts w:hint="eastAsia" w:ascii="宋体" w:cs="宋体"/>
                <w:color w:val="auto"/>
                <w:szCs w:val="21"/>
                <w:highlight w:val="none"/>
                <w:u w:val="single"/>
              </w:rPr>
              <w:t>”应填写联合体各方的单位全称【参考格式表示为：（主）XXXX公司（成）XXXX公司】，由联合体主办方签字、盖章即可。</w:t>
            </w:r>
          </w:p>
        </w:tc>
      </w:tr>
      <w:tr>
        <w:tblPrEx>
          <w:tblCellMar>
            <w:top w:w="0" w:type="dxa"/>
            <w:left w:w="108" w:type="dxa"/>
            <w:bottom w:w="0" w:type="dxa"/>
            <w:right w:w="108" w:type="dxa"/>
          </w:tblCellMar>
        </w:tblPrEx>
        <w:trPr>
          <w:trHeight w:val="1011"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递交投标文件</w:t>
            </w:r>
            <w:r>
              <w:rPr>
                <w:rFonts w:hint="eastAsia" w:ascii="宋体" w:hAnsi="宋体" w:cs="宋体"/>
                <w:color w:val="auto"/>
                <w:szCs w:val="21"/>
                <w:highlight w:val="none"/>
                <w:u w:val="single"/>
              </w:rPr>
              <w:t>及定标文件</w:t>
            </w:r>
            <w:r>
              <w:rPr>
                <w:rFonts w:hint="eastAsia" w:ascii="宋体" w:hAnsi="宋体" w:cs="宋体"/>
                <w:color w:val="auto"/>
                <w:szCs w:val="21"/>
                <w:highlight w:val="none"/>
              </w:rPr>
              <w:t>地点</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投标人应在截止时间前通过电子招标投标交易平台递交电子投标文件及定标文件。</w:t>
            </w:r>
          </w:p>
        </w:tc>
      </w:tr>
      <w:tr>
        <w:tblPrEx>
          <w:tblCellMar>
            <w:top w:w="0" w:type="dxa"/>
            <w:left w:w="108" w:type="dxa"/>
            <w:bottom w:w="0" w:type="dxa"/>
            <w:right w:w="108" w:type="dxa"/>
          </w:tblCellMar>
        </w:tblPrEx>
        <w:trPr>
          <w:trHeight w:val="58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5723" w:type="dxa"/>
            <w:tcBorders>
              <w:top w:val="single" w:color="auto" w:sz="4" w:space="0"/>
              <w:left w:val="single" w:color="auto" w:sz="4" w:space="0"/>
              <w:bottom w:val="single" w:color="auto" w:sz="4" w:space="0"/>
              <w:right w:val="single" w:color="auto" w:sz="4" w:space="0"/>
            </w:tcBorders>
            <w:vAlign w:val="center"/>
          </w:tcPr>
          <w:p>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■否</w:t>
            </w:r>
          </w:p>
          <w:p>
            <w:pPr>
              <w:snapToGrid w:val="0"/>
              <w:ind w:left="-55" w:leftChars="-26" w:right="-59" w:rightChars="-28"/>
              <w:rPr>
                <w:rFonts w:ascii="宋体" w:hAnsi="宋体" w:cs="宋体"/>
                <w:color w:val="auto"/>
                <w:szCs w:val="21"/>
                <w:highlight w:val="none"/>
                <w:u w:val="single"/>
              </w:rPr>
            </w:pPr>
            <w:r>
              <w:rPr>
                <w:rFonts w:hint="eastAsia" w:ascii="宋体" w:hAnsi="宋体" w:cs="宋体"/>
                <w:color w:val="auto"/>
                <w:szCs w:val="21"/>
                <w:highlight w:val="none"/>
              </w:rPr>
              <w:t>□是</w:t>
            </w:r>
          </w:p>
        </w:tc>
      </w:tr>
      <w:tr>
        <w:tblPrEx>
          <w:tblCellMar>
            <w:top w:w="0" w:type="dxa"/>
            <w:left w:w="108" w:type="dxa"/>
            <w:bottom w:w="0" w:type="dxa"/>
            <w:right w:w="108" w:type="dxa"/>
          </w:tblCellMar>
        </w:tblPrEx>
        <w:trPr>
          <w:trHeight w:val="843"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5.1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本项目投标文件与定标文件同时开启。</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具体时间和开标室可以到广州公共资源交易中心网站的</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rPr>
              <w:t>项目查询</w:t>
            </w:r>
            <w:r>
              <w:rPr>
                <w:rFonts w:hint="eastAsia" w:ascii="宋体" w:hAnsi="宋体" w:cs="宋体"/>
                <w:color w:val="auto"/>
                <w:szCs w:val="21"/>
                <w:highlight w:val="none"/>
              </w:rPr>
              <w:fldChar w:fldCharType="end"/>
            </w:r>
            <w:r>
              <w:rPr>
                <w:rFonts w:hint="eastAsia" w:ascii="宋体" w:hAnsi="宋体" w:cs="宋体"/>
                <w:color w:val="auto"/>
                <w:szCs w:val="21"/>
                <w:highlight w:val="none"/>
              </w:rPr>
              <w:t>输入本项目编号或项目名称进行查询。</w:t>
            </w:r>
          </w:p>
        </w:tc>
      </w:tr>
      <w:tr>
        <w:tblPrEx>
          <w:tblCellMar>
            <w:top w:w="0" w:type="dxa"/>
            <w:left w:w="108" w:type="dxa"/>
            <w:bottom w:w="0" w:type="dxa"/>
            <w:right w:w="108" w:type="dxa"/>
          </w:tblCellMar>
        </w:tblPrEx>
        <w:trPr>
          <w:trHeight w:val="1635" w:hRule="atLeast"/>
        </w:trPr>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5.2</w:t>
            </w: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（3）在投标截止时间后</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小时内，投标人通过递交投标文件的交易平台对已递交的电子投标文件进行解密。投标人完成解密后，再由招标人进行解密（投标人只用执行一次解密，招标人执行解密次数根据招标文件开标次数确定）。</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w:t>
            </w:r>
            <w:r>
              <w:rPr>
                <w:rFonts w:hint="eastAsia" w:ascii="宋体" w:cs="宋体"/>
                <w:color w:val="auto"/>
                <w:szCs w:val="21"/>
                <w:highlight w:val="none"/>
                <w:u w:val="single"/>
              </w:rPr>
              <w:t>项目负责人（兼施工负责人）、设计负责人、专职安全人员</w:t>
            </w:r>
            <w:r>
              <w:rPr>
                <w:rFonts w:hint="eastAsia" w:ascii="宋体" w:hAnsi="宋体" w:cs="宋体"/>
                <w:color w:val="auto"/>
                <w:szCs w:val="21"/>
                <w:highlight w:val="none"/>
                <w:u w:val="single"/>
              </w:rPr>
              <w:t>；e投标报价（含设计报价和施工报价）；f工期；g投标人的加密打包投标文件电脑机器特征码等主要内容，并记录在案。未在规定时间内解密的投标文件不参与开标、评标。</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（6）备用光盘的读取按“10 电子招标投标”第6点的规定执行。</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（11）投标人代表、招标人代表、监标人、记录人等有关人员在开标记录上签字确认；若有关人员不签字的，不影响开标程序；</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（12）开标结束。</w:t>
            </w:r>
          </w:p>
        </w:tc>
      </w:tr>
      <w:tr>
        <w:tblPrEx>
          <w:tblCellMar>
            <w:top w:w="0" w:type="dxa"/>
            <w:left w:w="108" w:type="dxa"/>
            <w:bottom w:w="0" w:type="dxa"/>
            <w:right w:w="108" w:type="dxa"/>
          </w:tblCellMar>
        </w:tblPrEx>
        <w:trPr>
          <w:trHeight w:val="2239"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5.3</w:t>
            </w: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u w:val="single"/>
              </w:rPr>
              <w:t>采用评定分离定标办法</w:t>
            </w:r>
          </w:p>
        </w:tc>
        <w:tc>
          <w:tcPr>
            <w:tcW w:w="5723" w:type="dxa"/>
            <w:tcBorders>
              <w:top w:val="single" w:color="auto" w:sz="4" w:space="0"/>
              <w:left w:val="single" w:color="auto" w:sz="4" w:space="0"/>
              <w:right w:val="single" w:color="auto" w:sz="4" w:space="0"/>
            </w:tcBorders>
            <w:vAlign w:val="center"/>
          </w:tcPr>
          <w:p>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评标办法：通过制评审法</w:t>
            </w:r>
          </w:p>
          <w:p>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评标委员会对投标文件进行资格审查、设计施工部分投标文</w:t>
            </w:r>
          </w:p>
          <w:p>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件有效性审查、经济标投标文件有效性审查，通过资格审查、设计施工部分投标文件有效性审查、经济标投标文件有效性审查的合格的投标人大于等于 3 名的，则合格的投标人全部推荐为合格的中标候选人进入定标阶段。合格的中标候选人不排序。</w:t>
            </w:r>
          </w:p>
          <w:p>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定标办法：采用直接票决定标法（记名投票+撰写评语）</w:t>
            </w:r>
          </w:p>
          <w:p>
            <w:pPr>
              <w:rPr>
                <w:rFonts w:ascii="宋体" w:hAnsi="宋体" w:cs="宋体"/>
                <w:b/>
                <w:bCs/>
                <w:color w:val="auto"/>
                <w:szCs w:val="21"/>
                <w:highlight w:val="none"/>
                <w:u w:val="single"/>
              </w:rPr>
            </w:pPr>
            <w:r>
              <w:rPr>
                <w:rFonts w:hint="eastAsia" w:ascii="宋体" w:hAnsi="宋体" w:cs="宋体"/>
                <w:b/>
                <w:bCs/>
                <w:color w:val="auto"/>
                <w:szCs w:val="21"/>
                <w:highlight w:val="none"/>
                <w:u w:val="single"/>
              </w:rPr>
              <w:t>具体要求详见 第三章 评（定）标办法</w:t>
            </w:r>
          </w:p>
        </w:tc>
      </w:tr>
      <w:tr>
        <w:tblPrEx>
          <w:tblCellMar>
            <w:top w:w="0" w:type="dxa"/>
            <w:left w:w="108" w:type="dxa"/>
            <w:bottom w:w="0" w:type="dxa"/>
            <w:right w:w="108" w:type="dxa"/>
          </w:tblCellMar>
        </w:tblPrEx>
        <w:trPr>
          <w:trHeight w:val="846"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5.4</w:t>
            </w:r>
          </w:p>
        </w:tc>
        <w:tc>
          <w:tcPr>
            <w:tcW w:w="29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进入</w:t>
            </w:r>
            <w:r>
              <w:rPr>
                <w:rFonts w:hint="eastAsia" w:ascii="宋体" w:hAnsi="宋体" w:cs="宋体"/>
                <w:color w:val="auto"/>
                <w:szCs w:val="21"/>
                <w:highlight w:val="none"/>
                <w:u w:val="single"/>
              </w:rPr>
              <w:t>定标阶段入围候选人</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除投标文件出现无效投标情形外，所有投标人均推荐为入围候选人。</w:t>
            </w:r>
          </w:p>
        </w:tc>
      </w:tr>
      <w:tr>
        <w:tblPrEx>
          <w:tblCellMar>
            <w:top w:w="0" w:type="dxa"/>
            <w:left w:w="108" w:type="dxa"/>
            <w:bottom w:w="0" w:type="dxa"/>
            <w:right w:w="108" w:type="dxa"/>
          </w:tblCellMar>
        </w:tblPrEx>
        <w:trPr>
          <w:trHeight w:val="542"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kern w:val="0"/>
                <w:szCs w:val="21"/>
                <w:highlight w:val="none"/>
              </w:rPr>
              <w:t>评标委员会由招标人</w:t>
            </w:r>
            <w:r>
              <w:rPr>
                <w:rFonts w:hint="eastAsia" w:ascii="宋体" w:hAnsi="宋体" w:cs="宋体"/>
                <w:b/>
                <w:color w:val="auto"/>
                <w:kern w:val="0"/>
                <w:szCs w:val="21"/>
                <w:highlight w:val="none"/>
              </w:rPr>
              <w:t>依法组建</w:t>
            </w:r>
            <w:r>
              <w:rPr>
                <w:rFonts w:hint="eastAsia" w:ascii="宋体" w:hAnsi="宋体" w:cs="宋体"/>
                <w:color w:val="auto"/>
                <w:kern w:val="0"/>
                <w:szCs w:val="21"/>
                <w:highlight w:val="none"/>
              </w:rPr>
              <w:t>。</w:t>
            </w:r>
          </w:p>
        </w:tc>
      </w:tr>
      <w:tr>
        <w:tblPrEx>
          <w:tblCellMar>
            <w:top w:w="0" w:type="dxa"/>
            <w:left w:w="108" w:type="dxa"/>
            <w:bottom w:w="0" w:type="dxa"/>
            <w:right w:w="108" w:type="dxa"/>
          </w:tblCellMar>
        </w:tblPrEx>
        <w:trPr>
          <w:trHeight w:val="968"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6.1.2</w:t>
            </w: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u w:val="single"/>
              </w:rPr>
              <w:t>定标委员会的组建</w:t>
            </w:r>
          </w:p>
        </w:tc>
        <w:tc>
          <w:tcPr>
            <w:tcW w:w="5723" w:type="dxa"/>
            <w:tcBorders>
              <w:top w:val="single" w:color="auto" w:sz="4" w:space="0"/>
              <w:left w:val="single" w:color="auto" w:sz="4" w:space="0"/>
              <w:bottom w:val="single" w:color="auto" w:sz="4" w:space="0"/>
              <w:right w:val="single" w:color="auto" w:sz="4" w:space="0"/>
            </w:tcBorders>
            <w:vAlign w:val="center"/>
          </w:tcPr>
          <w:p>
            <w:pPr>
              <w:pStyle w:val="38"/>
              <w:ind w:firstLine="0" w:firstLineChars="0"/>
              <w:rPr>
                <w:rFonts w:ascii="宋体" w:hAnsi="宋体" w:cs="宋体"/>
                <w:color w:val="auto"/>
                <w:szCs w:val="21"/>
                <w:highlight w:val="none"/>
              </w:rPr>
            </w:pPr>
            <w:r>
              <w:rPr>
                <w:rFonts w:hint="eastAsia" w:ascii="宋体" w:hAnsi="宋体" w:cs="宋体"/>
                <w:color w:val="auto"/>
                <w:szCs w:val="21"/>
                <w:highlight w:val="none"/>
                <w:u w:val="single"/>
              </w:rPr>
              <w:t>定标委员会由招标人依法依规组建。</w:t>
            </w:r>
          </w:p>
        </w:tc>
      </w:tr>
      <w:tr>
        <w:tblPrEx>
          <w:tblCellMar>
            <w:top w:w="0" w:type="dxa"/>
            <w:left w:w="108" w:type="dxa"/>
            <w:bottom w:w="0" w:type="dxa"/>
            <w:right w:w="108" w:type="dxa"/>
          </w:tblCellMar>
        </w:tblPrEx>
        <w:trPr>
          <w:trHeight w:val="968"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6.1.3</w:t>
            </w: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ascii="宋体" w:hAnsi="宋体" w:cs="宋体"/>
                <w:color w:val="auto"/>
                <w:szCs w:val="21"/>
                <w:highlight w:val="none"/>
                <w:u w:val="single"/>
              </w:rPr>
              <w:t>定标监督小组</w:t>
            </w:r>
          </w:p>
        </w:tc>
        <w:tc>
          <w:tcPr>
            <w:tcW w:w="5723" w:type="dxa"/>
            <w:tcBorders>
              <w:top w:val="single" w:color="auto" w:sz="4" w:space="0"/>
              <w:left w:val="single" w:color="auto" w:sz="4" w:space="0"/>
              <w:bottom w:val="single" w:color="auto" w:sz="4" w:space="0"/>
              <w:right w:val="single" w:color="auto" w:sz="4" w:space="0"/>
            </w:tcBorders>
            <w:vAlign w:val="center"/>
          </w:tcPr>
          <w:p>
            <w:pPr>
              <w:pStyle w:val="38"/>
              <w:spacing w:after="0"/>
              <w:ind w:firstLine="0" w:firstLineChars="0"/>
              <w:rPr>
                <w:rFonts w:ascii="宋体" w:hAnsi="宋体" w:cs="宋体"/>
                <w:color w:val="auto"/>
                <w:szCs w:val="21"/>
                <w:highlight w:val="none"/>
                <w:u w:val="single"/>
              </w:rPr>
            </w:pPr>
            <w:r>
              <w:rPr>
                <w:rFonts w:hint="eastAsia" w:ascii="宋体" w:hAnsi="宋体" w:cs="宋体"/>
                <w:color w:val="auto"/>
                <w:szCs w:val="21"/>
                <w:highlight w:val="none"/>
                <w:u w:val="single"/>
              </w:rPr>
              <w:t>招标人应当组建监督小组对定标过程进行见证监督，监督小组成员为</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人。</w:t>
            </w:r>
          </w:p>
        </w:tc>
      </w:tr>
      <w:tr>
        <w:tblPrEx>
          <w:tblCellMar>
            <w:top w:w="0" w:type="dxa"/>
            <w:left w:w="108" w:type="dxa"/>
            <w:bottom w:w="0" w:type="dxa"/>
            <w:right w:w="108" w:type="dxa"/>
          </w:tblCellMar>
        </w:tblPrEx>
        <w:trPr>
          <w:trHeight w:val="890"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7.1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□是</w:t>
            </w:r>
          </w:p>
          <w:p>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通过初步评审的投标人均进入定标阶段。</w:t>
            </w:r>
          </w:p>
        </w:tc>
      </w:tr>
      <w:tr>
        <w:tblPrEx>
          <w:tblCellMar>
            <w:top w:w="0" w:type="dxa"/>
            <w:left w:w="108" w:type="dxa"/>
            <w:bottom w:w="0" w:type="dxa"/>
            <w:right w:w="108" w:type="dxa"/>
          </w:tblCellMar>
        </w:tblPrEx>
        <w:trPr>
          <w:trHeight w:val="66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7.2</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宋体" w:hAnsi="宋体" w:cs="宋体"/>
                <w:color w:val="auto"/>
                <w:szCs w:val="21"/>
                <w:highlight w:val="none"/>
              </w:rPr>
            </w:pPr>
            <w:r>
              <w:rPr>
                <w:rFonts w:hint="eastAsia" w:ascii="宋体" w:hAnsi="宋体" w:cs="宋体"/>
                <w:color w:val="auto"/>
                <w:kern w:val="0"/>
                <w:szCs w:val="21"/>
                <w:highlight w:val="none"/>
                <w:u w:val="single"/>
              </w:rPr>
              <w:t>广州公共资源交易中心网站、中国招标投标公共服务平台、广东省招标投标监管网。</w:t>
            </w:r>
          </w:p>
        </w:tc>
      </w:tr>
      <w:tr>
        <w:tblPrEx>
          <w:tblCellMar>
            <w:top w:w="0" w:type="dxa"/>
            <w:left w:w="108" w:type="dxa"/>
            <w:bottom w:w="0" w:type="dxa"/>
            <w:right w:w="108" w:type="dxa"/>
          </w:tblCellMar>
        </w:tblPrEx>
        <w:trPr>
          <w:trHeight w:val="986"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7.4.1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rPr>
              <w:t>履约担保的形式：</w:t>
            </w:r>
            <w:r>
              <w:rPr>
                <w:rFonts w:hint="eastAsia" w:ascii="宋体" w:hAnsi="宋体" w:cs="宋体"/>
                <w:color w:val="auto"/>
                <w:szCs w:val="21"/>
                <w:highlight w:val="none"/>
                <w:u w:val="single"/>
              </w:rPr>
              <w:t>按合同约定</w:t>
            </w:r>
          </w:p>
          <w:p>
            <w:pPr>
              <w:widowControl/>
              <w:rPr>
                <w:color w:val="auto"/>
                <w:highlight w:val="none"/>
                <w:u w:val="single"/>
              </w:rPr>
            </w:pPr>
            <w:r>
              <w:rPr>
                <w:rFonts w:hint="eastAsia" w:ascii="宋体" w:hAnsi="宋体" w:cs="宋体"/>
                <w:color w:val="auto"/>
                <w:szCs w:val="21"/>
                <w:highlight w:val="none"/>
              </w:rPr>
              <w:t>履约担保的金额：</w:t>
            </w:r>
            <w:r>
              <w:rPr>
                <w:rFonts w:hint="eastAsia" w:ascii="宋体" w:hAnsi="宋体" w:cs="宋体"/>
                <w:color w:val="auto"/>
                <w:szCs w:val="21"/>
                <w:highlight w:val="none"/>
                <w:u w:val="single"/>
              </w:rPr>
              <w:t>按合同约定(由联合体投标的由联合体主办方提交）。</w:t>
            </w:r>
          </w:p>
        </w:tc>
      </w:tr>
      <w:tr>
        <w:tblPrEx>
          <w:tblCellMar>
            <w:top w:w="0" w:type="dxa"/>
            <w:left w:w="108" w:type="dxa"/>
            <w:bottom w:w="0" w:type="dxa"/>
            <w:right w:w="108" w:type="dxa"/>
          </w:tblCellMar>
        </w:tblPrEx>
        <w:trPr>
          <w:trHeight w:val="751"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承包方式</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szCs w:val="21"/>
                <w:highlight w:val="none"/>
              </w:rPr>
              <w:t>包设计、包工、包料、包设备、包工期、包质量、包概算编制、施工图预算编制、工程量清单编制、包造价控制、包安全、包文明施工、包项目协调管理、包验收移交、包竣工资料收集整理、包编制竣工图、包保修。结算方式具体按合同条款规定。</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8629" w:type="dxa"/>
            <w:gridSpan w:val="2"/>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需要补充的其他内容</w:t>
            </w:r>
          </w:p>
        </w:tc>
      </w:tr>
      <w:tr>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9.</w:t>
            </w:r>
            <w:r>
              <w:rPr>
                <w:rFonts w:hint="eastAsia" w:ascii="宋体" w:hAnsi="宋体" w:cs="宋体"/>
                <w:color w:val="auto"/>
                <w:szCs w:val="21"/>
                <w:highlight w:val="none"/>
                <w:u w:val="single"/>
                <w:lang w:val="en-US" w:eastAsia="zh-CN"/>
              </w:rPr>
              <w:t>1</w:t>
            </w:r>
          </w:p>
        </w:tc>
        <w:tc>
          <w:tcPr>
            <w:tcW w:w="8629" w:type="dxa"/>
            <w:gridSpan w:val="2"/>
            <w:tcBorders>
              <w:top w:val="single" w:color="auto" w:sz="4" w:space="0"/>
              <w:left w:val="single" w:color="auto" w:sz="4" w:space="0"/>
              <w:bottom w:val="single" w:color="auto" w:sz="4" w:space="0"/>
              <w:right w:val="single" w:color="auto" w:sz="4" w:space="0"/>
            </w:tcBorders>
            <w:vAlign w:val="center"/>
          </w:tcPr>
          <w:p>
            <w:pPr>
              <w:tabs>
                <w:tab w:val="left" w:pos="3047"/>
              </w:tabs>
              <w:rPr>
                <w:rFonts w:ascii="宋体" w:hAnsi="宋体" w:cs="宋体"/>
                <w:color w:val="auto"/>
                <w:szCs w:val="21"/>
                <w:highlight w:val="none"/>
                <w:u w:val="single"/>
              </w:rPr>
            </w:pPr>
            <w:r>
              <w:rPr>
                <w:rFonts w:hint="eastAsia" w:ascii="宋体" w:hAnsi="宋体" w:cs="宋体"/>
                <w:color w:val="auto"/>
                <w:szCs w:val="21"/>
                <w:highlight w:val="none"/>
                <w:u w:val="single"/>
              </w:rPr>
              <w:t>招标人向投标人提供的有关现场的数据和资料，是招标人现有的能被投标人利用的资料，一切以投标人实际踏勘现场情况为准，招标人对投标人做出的任何推论、理解和结论均不负责任。</w:t>
            </w:r>
          </w:p>
        </w:tc>
      </w:tr>
      <w:tr>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10</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电子招标投标</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rPr>
                <w:rFonts w:ascii="Calibri" w:hAnsi="Calibri"/>
                <w:color w:val="auto"/>
                <w:highlight w:val="none"/>
              </w:rPr>
            </w:pPr>
            <w:r>
              <w:rPr>
                <w:rFonts w:hint="eastAsia" w:ascii="Calibri" w:hAnsi="Calibri"/>
                <w:color w:val="auto"/>
                <w:highlight w:val="none"/>
              </w:rPr>
              <w:t>□否</w:t>
            </w:r>
          </w:p>
          <w:p>
            <w:pPr>
              <w:snapToGrid w:val="0"/>
              <w:ind w:left="-55" w:leftChars="-26" w:right="-59" w:rightChars="-28"/>
              <w:rPr>
                <w:rFonts w:ascii="Calibri" w:hAnsi="Calibri"/>
                <w:color w:val="auto"/>
                <w:highlight w:val="none"/>
              </w:rPr>
            </w:pPr>
            <w:r>
              <w:rPr>
                <w:rFonts w:hint="eastAsia" w:ascii="Calibri" w:hAnsi="Calibri"/>
                <w:color w:val="auto"/>
                <w:highlight w:val="none"/>
              </w:rPr>
              <w:t>■是，具体要求：</w:t>
            </w:r>
          </w:p>
          <w:p>
            <w:pPr>
              <w:rPr>
                <w:rFonts w:ascii="宋体" w:cs="宋体"/>
                <w:color w:val="auto"/>
                <w:szCs w:val="21"/>
                <w:highlight w:val="none"/>
              </w:rPr>
            </w:pPr>
            <w:r>
              <w:rPr>
                <w:rFonts w:hint="eastAsia" w:ascii="宋体" w:cs="宋体"/>
                <w:color w:val="auto"/>
                <w:szCs w:val="21"/>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pPr>
              <w:rPr>
                <w:rFonts w:ascii="宋体" w:cs="宋体"/>
                <w:color w:val="auto"/>
                <w:szCs w:val="21"/>
                <w:highlight w:val="none"/>
              </w:rPr>
            </w:pPr>
            <w:r>
              <w:rPr>
                <w:rFonts w:hint="eastAsia" w:ascii="宋体" w:cs="宋体"/>
                <w:color w:val="auto"/>
                <w:szCs w:val="21"/>
                <w:highlight w:val="none"/>
              </w:rPr>
              <w:t>2、投标文件的修改与撤回：投标人修改或撤回已递交的投标文件，需在交易平台发出撤回通知，并按要求加盖电子印章。电子招标投标交易平台收到通知后，即时向投标人发出确认回执通知。</w:t>
            </w:r>
          </w:p>
          <w:p>
            <w:pPr>
              <w:rPr>
                <w:rFonts w:ascii="宋体" w:hAnsi="宋体"/>
                <w:color w:val="auto"/>
                <w:highlight w:val="none"/>
              </w:rPr>
            </w:pPr>
            <w:r>
              <w:rPr>
                <w:rFonts w:hint="eastAsia" w:ascii="宋体" w:cs="宋体"/>
                <w:color w:val="auto"/>
                <w:szCs w:val="21"/>
                <w:highlight w:val="none"/>
              </w:rPr>
              <w:t>3、</w:t>
            </w:r>
            <w:r>
              <w:rPr>
                <w:rFonts w:hint="eastAsia" w:ascii="宋体" w:hAnsi="宋体"/>
                <w:color w:val="auto"/>
                <w:highlight w:val="none"/>
              </w:rPr>
              <w:t>（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广州公共资源交易中心数字交易平台网上递交电子投标文件的，不再读取提交的光盘或u盘。投标人也可不提交投标文件光盘或u盘（备用）。</w:t>
            </w:r>
          </w:p>
          <w:p>
            <w:pPr>
              <w:rPr>
                <w:rFonts w:ascii="宋体" w:cs="宋体"/>
                <w:color w:val="auto"/>
                <w:szCs w:val="21"/>
                <w:highlight w:val="none"/>
              </w:rPr>
            </w:pPr>
            <w:r>
              <w:rPr>
                <w:rFonts w:hint="eastAsia" w:ascii="宋体" w:cs="宋体"/>
                <w:color w:val="auto"/>
                <w:szCs w:val="21"/>
                <w:highlight w:val="none"/>
              </w:rPr>
              <w:t>4、投标文件的递交：</w:t>
            </w:r>
          </w:p>
          <w:p>
            <w:pPr>
              <w:rPr>
                <w:rFonts w:ascii="宋体" w:cs="宋体"/>
                <w:color w:val="auto"/>
                <w:szCs w:val="21"/>
                <w:highlight w:val="none"/>
              </w:rPr>
            </w:pPr>
            <w:r>
              <w:rPr>
                <w:rFonts w:hint="eastAsia" w:ascii="宋体" w:cs="宋体"/>
                <w:color w:val="auto"/>
                <w:szCs w:val="21"/>
                <w:highlight w:val="none"/>
              </w:rPr>
              <w:t>详见本项目招标公告。</w:t>
            </w:r>
          </w:p>
          <w:p>
            <w:pPr>
              <w:rPr>
                <w:rFonts w:ascii="宋体" w:cs="宋体"/>
                <w:color w:val="auto"/>
                <w:szCs w:val="21"/>
                <w:highlight w:val="none"/>
              </w:rPr>
            </w:pPr>
            <w:r>
              <w:rPr>
                <w:rFonts w:hint="eastAsia" w:ascii="宋体" w:cs="宋体"/>
                <w:color w:val="auto"/>
                <w:szCs w:val="21"/>
                <w:highlight w:val="none"/>
              </w:rPr>
              <w:t>5、投标文件加密要求：</w:t>
            </w:r>
          </w:p>
          <w:p>
            <w:pPr>
              <w:rPr>
                <w:rFonts w:ascii="宋体" w:cs="宋体"/>
                <w:color w:val="auto"/>
                <w:szCs w:val="21"/>
                <w:highlight w:val="none"/>
              </w:rPr>
            </w:pPr>
            <w:r>
              <w:rPr>
                <w:rFonts w:hint="eastAsia" w:ascii="宋体" w:cs="宋体"/>
                <w:color w:val="auto"/>
                <w:szCs w:val="21"/>
                <w:highlight w:val="none"/>
              </w:rPr>
              <w:fldChar w:fldCharType="begin"/>
            </w:r>
            <w:r>
              <w:rPr>
                <w:rFonts w:hint="eastAsia" w:ascii="宋体" w:cs="宋体"/>
                <w:color w:val="auto"/>
                <w:szCs w:val="21"/>
                <w:highlight w:val="none"/>
              </w:rPr>
              <w:instrText xml:space="preserve"> = 1 \* GB3 </w:instrText>
            </w:r>
            <w:r>
              <w:rPr>
                <w:rFonts w:hint="eastAsia" w:ascii="宋体" w:cs="宋体"/>
                <w:color w:val="auto"/>
                <w:szCs w:val="21"/>
                <w:highlight w:val="none"/>
              </w:rPr>
              <w:fldChar w:fldCharType="separate"/>
            </w:r>
            <w:r>
              <w:rPr>
                <w:rFonts w:hint="eastAsia" w:ascii="宋体" w:cs="宋体"/>
                <w:color w:val="auto"/>
                <w:szCs w:val="21"/>
                <w:highlight w:val="none"/>
              </w:rPr>
              <w:t>①</w:t>
            </w:r>
            <w:r>
              <w:rPr>
                <w:rFonts w:hint="eastAsia" w:ascii="宋体" w:cs="宋体"/>
                <w:color w:val="auto"/>
                <w:szCs w:val="21"/>
                <w:highlight w:val="none"/>
              </w:rPr>
              <w:fldChar w:fldCharType="end"/>
            </w:r>
            <w:r>
              <w:rPr>
                <w:rFonts w:hint="eastAsia" w:ascii="宋体" w:cs="宋体"/>
                <w:color w:val="auto"/>
                <w:szCs w:val="21"/>
                <w:highlight w:val="none"/>
              </w:rPr>
              <w:t>网上递交的电子投标文件须进行加密。具体操作详见交易平台相关操作指南。</w:t>
            </w:r>
          </w:p>
          <w:p>
            <w:pPr>
              <w:rPr>
                <w:rFonts w:ascii="宋体" w:cs="宋体"/>
                <w:color w:val="auto"/>
                <w:szCs w:val="21"/>
                <w:highlight w:val="none"/>
              </w:rPr>
            </w:pPr>
            <w:r>
              <w:rPr>
                <w:rFonts w:hint="eastAsia" w:ascii="宋体" w:cs="宋体"/>
                <w:color w:val="auto"/>
                <w:szCs w:val="21"/>
                <w:highlight w:val="none"/>
              </w:rPr>
              <w:fldChar w:fldCharType="begin"/>
            </w:r>
            <w:r>
              <w:rPr>
                <w:rFonts w:hint="eastAsia" w:ascii="宋体" w:cs="宋体"/>
                <w:color w:val="auto"/>
                <w:szCs w:val="21"/>
                <w:highlight w:val="none"/>
              </w:rPr>
              <w:instrText xml:space="preserve"> = 2 \* GB3 </w:instrText>
            </w:r>
            <w:r>
              <w:rPr>
                <w:rFonts w:hint="eastAsia" w:ascii="宋体" w:cs="宋体"/>
                <w:color w:val="auto"/>
                <w:szCs w:val="21"/>
                <w:highlight w:val="none"/>
              </w:rPr>
              <w:fldChar w:fldCharType="separate"/>
            </w:r>
            <w:r>
              <w:rPr>
                <w:rFonts w:hint="eastAsia" w:ascii="宋体" w:cs="宋体"/>
                <w:color w:val="auto"/>
                <w:szCs w:val="21"/>
                <w:highlight w:val="none"/>
              </w:rPr>
              <w:t>②</w:t>
            </w:r>
            <w:r>
              <w:rPr>
                <w:rFonts w:hint="eastAsia" w:ascii="宋体" w:cs="宋体"/>
                <w:color w:val="auto"/>
                <w:szCs w:val="21"/>
                <w:highlight w:val="none"/>
              </w:rPr>
              <w:fldChar w:fldCharType="end"/>
            </w:r>
            <w:r>
              <w:rPr>
                <w:rFonts w:hint="eastAsia" w:ascii="宋体" w:cs="宋体"/>
                <w:color w:val="auto"/>
                <w:szCs w:val="21"/>
                <w:highlight w:val="none"/>
              </w:rPr>
              <w:t>未按要求加密的投标文件，招标人将予以拒收。</w:t>
            </w:r>
          </w:p>
          <w:p>
            <w:pPr>
              <w:rPr>
                <w:rFonts w:ascii="宋体" w:cs="宋体"/>
                <w:color w:val="auto"/>
                <w:szCs w:val="21"/>
                <w:highlight w:val="none"/>
              </w:rPr>
            </w:pPr>
            <w:r>
              <w:rPr>
                <w:rFonts w:hint="eastAsia" w:ascii="宋体" w:cs="宋体"/>
                <w:color w:val="auto"/>
                <w:szCs w:val="21"/>
                <w:highlight w:val="none"/>
              </w:rPr>
              <w:t>6、投标文件解密失败的补救方案：</w:t>
            </w:r>
          </w:p>
          <w:p>
            <w:pPr>
              <w:rPr>
                <w:rFonts w:ascii="宋体" w:cs="宋体"/>
                <w:color w:val="auto"/>
                <w:szCs w:val="21"/>
                <w:highlight w:val="none"/>
              </w:rPr>
            </w:pPr>
            <w:r>
              <w:rPr>
                <w:rFonts w:hint="eastAsia" w:ascii="宋体" w:cs="宋体"/>
                <w:color w:val="auto"/>
                <w:szCs w:val="21"/>
                <w:highlight w:val="none"/>
              </w:rPr>
              <w:t>在规定时间内，因投标人之外原因（指网络瘫痪、服务器损坏、交易系统故障短期无法恢复）导致的电子投标文件解密失败，在开标现场读取光盘内容，继续开标程序。若出现招标人无法正常解密或导入开标系统的情况，在开标现场读取已成功解密、以及因投标人之外的原因导致电子投标文件解密失败的投标人递交的电子光盘内容。出现上述情况的，评标委员会对其投标文件的评审以光盘内容为准。因投标人之外原因解密失败且未递交电子光盘的，视为撤回投标文件。</w:t>
            </w:r>
          </w:p>
          <w:p>
            <w:pPr>
              <w:pStyle w:val="22"/>
              <w:rPr>
                <w:color w:val="auto"/>
                <w:highlight w:val="none"/>
              </w:rPr>
            </w:pPr>
            <w:r>
              <w:rPr>
                <w:rFonts w:hint="eastAsia" w:cs="宋体"/>
                <w:color w:val="auto"/>
                <w:szCs w:val="21"/>
                <w:highlight w:val="none"/>
              </w:rPr>
              <w:t>除发生上述情况外，开标评标均以投标人通过交易平台网上递交的电子投标文件为准。</w:t>
            </w:r>
          </w:p>
        </w:tc>
      </w:tr>
      <w:tr>
        <w:tblPrEx>
          <w:tblCellMar>
            <w:top w:w="0" w:type="dxa"/>
            <w:left w:w="108" w:type="dxa"/>
            <w:bottom w:w="0" w:type="dxa"/>
            <w:right w:w="108" w:type="dxa"/>
          </w:tblCellMar>
        </w:tblPrEx>
        <w:trPr>
          <w:trHeight w:val="311"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施工项目负责人和安全员注意事项</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firstLine="315" w:firstLineChars="150"/>
              <w:rPr>
                <w:rFonts w:ascii="宋体" w:hAnsi="宋体" w:cs="宋体"/>
                <w:color w:val="auto"/>
                <w:szCs w:val="21"/>
                <w:highlight w:val="none"/>
              </w:rPr>
            </w:pPr>
            <w:r>
              <w:rPr>
                <w:rFonts w:hint="eastAsia" w:ascii="宋体" w:hAnsi="宋体" w:cs="宋体"/>
                <w:color w:val="auto"/>
                <w:szCs w:val="21"/>
                <w:highlight w:val="none"/>
              </w:rPr>
              <w:t>1、投标人如违反《广州市住房和城乡建设局关于加强建筑工程项目负责人管理的通知》（穗建规字〔2020〕32号）有关规定，如经查实取消其本项目中标资格；</w:t>
            </w:r>
          </w:p>
          <w:p>
            <w:pPr>
              <w:snapToGrid w:val="0"/>
              <w:ind w:left="-55" w:leftChars="-26" w:right="-59" w:rightChars="-28" w:firstLine="315" w:firstLineChars="150"/>
              <w:rPr>
                <w:rFonts w:ascii="宋体" w:hAnsi="宋体" w:cs="宋体"/>
                <w:color w:val="auto"/>
                <w:szCs w:val="21"/>
                <w:highlight w:val="none"/>
              </w:rPr>
            </w:pPr>
            <w:r>
              <w:rPr>
                <w:rFonts w:hint="eastAsia" w:ascii="宋体" w:hAnsi="宋体" w:cs="宋体"/>
                <w:color w:val="auto"/>
                <w:szCs w:val="21"/>
                <w:highlight w:val="none"/>
              </w:rPr>
              <w:t>2、本工程施工项目负责人与专职安全员不得为同一人。</w:t>
            </w:r>
          </w:p>
          <w:p>
            <w:pPr>
              <w:snapToGrid w:val="0"/>
              <w:ind w:left="-55" w:leftChars="-26" w:right="-59" w:rightChars="-28" w:firstLine="315" w:firstLineChars="150"/>
              <w:rPr>
                <w:rFonts w:ascii="宋体" w:hAnsi="宋体" w:cs="宋体"/>
                <w:color w:val="auto"/>
                <w:szCs w:val="21"/>
                <w:highlight w:val="none"/>
                <w:u w:val="single"/>
              </w:rPr>
            </w:pPr>
            <w:r>
              <w:rPr>
                <w:rFonts w:hint="eastAsia" w:ascii="宋体" w:hAnsi="宋体" w:cs="宋体"/>
                <w:color w:val="auto"/>
                <w:szCs w:val="21"/>
                <w:highlight w:val="none"/>
              </w:rPr>
              <w:t>3、中标人拟任本工程安全员不得同时担任本项目以外的安全员（法律法规规定的有关情形除外），如经查实取消其本项目中标资格。</w:t>
            </w:r>
          </w:p>
        </w:tc>
      </w:tr>
      <w:tr>
        <w:tblPrEx>
          <w:tblCellMar>
            <w:top w:w="0" w:type="dxa"/>
            <w:left w:w="108" w:type="dxa"/>
            <w:bottom w:w="0" w:type="dxa"/>
            <w:right w:w="108" w:type="dxa"/>
          </w:tblCellMar>
        </w:tblPrEx>
        <w:trPr>
          <w:trHeight w:val="86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12</w:t>
            </w:r>
          </w:p>
        </w:tc>
        <w:tc>
          <w:tcPr>
            <w:tcW w:w="2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施工实名制</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本工程按《住房城乡建设部人力资源社会保障部关于印发建筑工人实名管理办法（试行）的通知》（建市〔2019〕18号），实施建筑施工实名制。</w:t>
            </w:r>
          </w:p>
        </w:tc>
      </w:tr>
      <w:tr>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w:t>
            </w:r>
          </w:p>
        </w:tc>
        <w:tc>
          <w:tcPr>
            <w:tcW w:w="2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工人工资分账管理</w:t>
            </w:r>
          </w:p>
        </w:tc>
        <w:tc>
          <w:tcPr>
            <w:tcW w:w="5723" w:type="dxa"/>
            <w:tcBorders>
              <w:top w:val="single" w:color="auto" w:sz="4" w:space="0"/>
              <w:left w:val="single" w:color="auto" w:sz="4" w:space="0"/>
              <w:bottom w:val="single" w:color="auto" w:sz="4" w:space="0"/>
              <w:right w:val="single" w:color="auto" w:sz="4" w:space="0"/>
            </w:tcBorders>
            <w:vAlign w:val="center"/>
          </w:tcPr>
          <w:p>
            <w:pPr>
              <w:snapToGrid w:val="0"/>
              <w:ind w:left="-55" w:leftChars="-26" w:right="-59" w:rightChars="-28"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本项目按照《关于印发广州市建设领域工人工资支付分账管理实施细则的通知》（穗建规字〔2020〕37号）实行工人工资分账管理。</w:t>
            </w:r>
          </w:p>
        </w:tc>
      </w:tr>
      <w:tr>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hint="default" w:ascii="宋体" w:hAnsi="宋体" w:eastAsia="宋体" w:cs="宋体"/>
                <w:color w:val="auto"/>
                <w:szCs w:val="21"/>
                <w:highlight w:val="none"/>
                <w:lang w:val="en-US" w:eastAsia="zh-CN"/>
              </w:rPr>
            </w:pPr>
            <w:bookmarkStart w:id="14" w:name="_Toc152042305"/>
            <w:bookmarkStart w:id="15" w:name="_Toc247513952"/>
            <w:bookmarkStart w:id="16" w:name="_Toc2958"/>
            <w:bookmarkStart w:id="17" w:name="_Toc1156"/>
            <w:bookmarkStart w:id="18" w:name="_Toc1831"/>
            <w:bookmarkStart w:id="19" w:name="_Toc8989"/>
            <w:bookmarkStart w:id="20" w:name="_Toc485211038"/>
            <w:bookmarkStart w:id="21" w:name="_Toc152045529"/>
            <w:bookmarkStart w:id="22" w:name="_Toc247527553"/>
            <w:bookmarkStart w:id="23" w:name="_Toc17566"/>
            <w:bookmarkStart w:id="24" w:name="_Toc144974497"/>
            <w:bookmarkStart w:id="25" w:name="_Toc14359"/>
            <w:bookmarkStart w:id="26" w:name="_Toc16820"/>
            <w:r>
              <w:rPr>
                <w:rFonts w:hint="eastAsia" w:ascii="宋体" w:hAnsi="宋体" w:cs="宋体"/>
                <w:color w:val="auto"/>
                <w:szCs w:val="21"/>
                <w:highlight w:val="none"/>
                <w:lang w:val="en-US" w:eastAsia="zh-CN"/>
              </w:rPr>
              <w:t>14</w:t>
            </w:r>
          </w:p>
        </w:tc>
        <w:tc>
          <w:tcPr>
            <w:tcW w:w="2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cs="宋体"/>
                <w:color w:val="auto"/>
                <w:szCs w:val="21"/>
                <w:highlight w:val="none"/>
              </w:rPr>
              <w:t>危险性较大的分部分项工程清单及超过一定规模的危险性较大的分部分项清单</w:t>
            </w:r>
          </w:p>
        </w:tc>
        <w:tc>
          <w:tcPr>
            <w:tcW w:w="57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cs="宋体"/>
                <w:color w:val="auto"/>
                <w:szCs w:val="21"/>
                <w:highlight w:val="none"/>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9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其他费用</w:t>
            </w:r>
          </w:p>
        </w:tc>
        <w:tc>
          <w:tcPr>
            <w:tcW w:w="57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firstLine="0" w:firstLineChars="0"/>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1、交易服务费：中标人代缴广州交易集团有限公司（广州公共资源交易中心）交易服务费，其费用包含在中标人报价中，由广州交易集团有限公司（广州公共资源交易中心）向中标人开具发票，招标人不再另行支付。</w:t>
            </w:r>
          </w:p>
          <w:p>
            <w:pPr>
              <w:spacing w:line="240" w:lineRule="auto"/>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2、中标人在领取《中标通知书》时向招标代理机构交纳招标代理服务费</w:t>
            </w:r>
            <w:r>
              <w:rPr>
                <w:rFonts w:hint="eastAsia" w:ascii="宋体" w:hAnsi="Times New Roman" w:eastAsia="宋体" w:cs="宋体"/>
                <w:color w:val="auto"/>
                <w:sz w:val="21"/>
                <w:szCs w:val="21"/>
                <w:highlight w:val="none"/>
                <w:lang w:val="en-US" w:eastAsia="zh-CN"/>
              </w:rPr>
              <w:t>及专家费</w:t>
            </w:r>
            <w:r>
              <w:rPr>
                <w:rFonts w:hint="eastAsia" w:ascii="宋体" w:hAnsi="Times New Roman" w:eastAsia="宋体" w:cs="宋体"/>
                <w:color w:val="auto"/>
                <w:sz w:val="21"/>
                <w:szCs w:val="21"/>
                <w:highlight w:val="none"/>
              </w:rPr>
              <w:t>。本次招标项目的招标代理服务费</w:t>
            </w:r>
            <w:r>
              <w:rPr>
                <w:rFonts w:hint="eastAsia" w:ascii="宋体" w:hAnsi="宋体"/>
                <w:szCs w:val="21"/>
                <w:highlight w:val="none"/>
                <w:lang w:val="en-US" w:eastAsia="zh-CN"/>
              </w:rPr>
              <w:t>参照</w:t>
            </w:r>
            <w:r>
              <w:rPr>
                <w:rFonts w:hint="eastAsia" w:ascii="宋体" w:hAnsi="宋体"/>
                <w:szCs w:val="21"/>
                <w:highlight w:val="none"/>
                <w:lang w:eastAsia="zh-CN"/>
              </w:rPr>
              <w:t>《</w:t>
            </w:r>
            <w:r>
              <w:rPr>
                <w:rFonts w:hint="eastAsia" w:ascii="宋体" w:hAnsi="宋体"/>
                <w:szCs w:val="21"/>
                <w:highlight w:val="none"/>
                <w:lang w:val="en-US" w:eastAsia="zh-CN"/>
              </w:rPr>
              <w:t>国家计委关于印发&lt;招标代理服务收费管理暂行办法&gt;的通知</w:t>
            </w:r>
            <w:r>
              <w:rPr>
                <w:rFonts w:hint="eastAsia" w:ascii="宋体" w:hAnsi="宋体"/>
                <w:szCs w:val="21"/>
                <w:highlight w:val="none"/>
                <w:lang w:eastAsia="zh-CN"/>
              </w:rPr>
              <w:t>》（</w:t>
            </w:r>
            <w:r>
              <w:rPr>
                <w:rFonts w:hint="eastAsia" w:ascii="宋体" w:hAnsi="宋体"/>
                <w:szCs w:val="21"/>
                <w:highlight w:val="none"/>
              </w:rPr>
              <w:t>计价格[2002]1980号</w:t>
            </w:r>
            <w:r>
              <w:rPr>
                <w:rFonts w:hint="eastAsia" w:ascii="宋体" w:hAnsi="宋体"/>
                <w:szCs w:val="21"/>
                <w:highlight w:val="none"/>
                <w:lang w:eastAsia="zh-CN"/>
              </w:rPr>
              <w:t>）</w:t>
            </w:r>
            <w:r>
              <w:rPr>
                <w:rFonts w:hint="eastAsia" w:ascii="宋体" w:hAnsi="宋体"/>
                <w:szCs w:val="21"/>
                <w:highlight w:val="none"/>
                <w:lang w:val="en-US" w:eastAsia="zh-CN"/>
              </w:rPr>
              <w:t>及《国家发改委关于降低部分建设项目收费标准规范收费行为等有关问题的通知》</w:t>
            </w:r>
            <w:r>
              <w:rPr>
                <w:rFonts w:hint="eastAsia" w:ascii="宋体" w:hAnsi="宋体"/>
                <w:szCs w:val="21"/>
                <w:highlight w:val="none"/>
                <w:lang w:eastAsia="zh-CN"/>
              </w:rPr>
              <w:t>（</w:t>
            </w:r>
            <w:r>
              <w:rPr>
                <w:rFonts w:hint="eastAsia" w:ascii="宋体" w:hAnsi="宋体"/>
                <w:szCs w:val="21"/>
                <w:highlight w:val="none"/>
                <w:lang w:val="en-US" w:eastAsia="zh-CN"/>
              </w:rPr>
              <w:t>发改</w:t>
            </w:r>
            <w:r>
              <w:rPr>
                <w:rFonts w:hint="eastAsia" w:ascii="宋体" w:hAnsi="宋体"/>
                <w:szCs w:val="21"/>
                <w:highlight w:val="none"/>
              </w:rPr>
              <w:t>价格[20</w:t>
            </w: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szCs w:val="21"/>
                <w:highlight w:val="none"/>
                <w:lang w:val="en-US" w:eastAsia="zh-CN"/>
              </w:rPr>
              <w:t>534</w:t>
            </w:r>
            <w:r>
              <w:rPr>
                <w:rFonts w:hint="eastAsia" w:ascii="宋体" w:hAnsi="宋体"/>
                <w:szCs w:val="21"/>
                <w:highlight w:val="none"/>
              </w:rPr>
              <w:t>号</w:t>
            </w:r>
            <w:r>
              <w:rPr>
                <w:rFonts w:hint="eastAsia" w:ascii="宋体" w:hAnsi="宋体"/>
                <w:szCs w:val="21"/>
                <w:highlight w:val="none"/>
                <w:lang w:eastAsia="zh-CN"/>
              </w:rPr>
              <w:t>）</w:t>
            </w:r>
            <w:r>
              <w:rPr>
                <w:rFonts w:hint="eastAsia" w:ascii="宋体" w:hAnsi="宋体"/>
                <w:szCs w:val="21"/>
                <w:highlight w:val="none"/>
              </w:rPr>
              <w:t>规定的收取标准</w:t>
            </w:r>
            <w:r>
              <w:rPr>
                <w:rFonts w:hint="eastAsia" w:ascii="宋体" w:hAnsi="宋体"/>
                <w:b/>
                <w:bCs/>
                <w:szCs w:val="21"/>
                <w:highlight w:val="none"/>
              </w:rPr>
              <w:t>下浮</w:t>
            </w:r>
            <w:r>
              <w:rPr>
                <w:rFonts w:hint="eastAsia" w:ascii="宋体" w:hAnsi="宋体"/>
                <w:b/>
                <w:bCs/>
                <w:szCs w:val="21"/>
                <w:highlight w:val="none"/>
                <w:lang w:val="en-US" w:eastAsia="zh-CN"/>
              </w:rPr>
              <w:t>40</w:t>
            </w:r>
            <w:r>
              <w:rPr>
                <w:rFonts w:hint="eastAsia" w:ascii="宋体" w:hAnsi="宋体"/>
                <w:b/>
                <w:bCs/>
                <w:szCs w:val="21"/>
                <w:highlight w:val="none"/>
              </w:rPr>
              <w:t>%</w:t>
            </w:r>
            <w:r>
              <w:rPr>
                <w:rFonts w:hint="eastAsia" w:ascii="宋体" w:hAnsi="宋体"/>
                <w:szCs w:val="21"/>
                <w:highlight w:val="none"/>
              </w:rPr>
              <w:t>计取</w:t>
            </w:r>
            <w:r>
              <w:rPr>
                <w:rFonts w:hint="eastAsia" w:ascii="宋体" w:hAnsi="宋体"/>
                <w:szCs w:val="21"/>
                <w:highlight w:val="none"/>
                <w:lang w:eastAsia="zh-CN"/>
              </w:rPr>
              <w:t>，</w:t>
            </w:r>
            <w:r>
              <w:rPr>
                <w:rFonts w:hint="eastAsia" w:ascii="宋体" w:hAnsi="宋体"/>
                <w:szCs w:val="21"/>
                <w:highlight w:val="none"/>
                <w:lang w:val="en-US" w:eastAsia="zh-CN"/>
              </w:rPr>
              <w:t>评审</w:t>
            </w:r>
            <w:r>
              <w:rPr>
                <w:rFonts w:hint="eastAsia" w:ascii="宋体" w:hAnsi="宋体"/>
                <w:szCs w:val="21"/>
                <w:highlight w:val="none"/>
              </w:rPr>
              <w:t>专家</w:t>
            </w:r>
            <w:r>
              <w:rPr>
                <w:rFonts w:hint="eastAsia" w:ascii="宋体" w:hAnsi="宋体"/>
                <w:szCs w:val="21"/>
                <w:highlight w:val="none"/>
                <w:lang w:val="en-US" w:eastAsia="zh-CN"/>
              </w:rPr>
              <w:t>劳务费</w:t>
            </w:r>
            <w:r>
              <w:rPr>
                <w:rFonts w:hint="eastAsia" w:ascii="宋体" w:hAnsi="宋体"/>
                <w:szCs w:val="21"/>
                <w:highlight w:val="none"/>
              </w:rPr>
              <w:t>按实际发生金额</w:t>
            </w:r>
            <w:r>
              <w:rPr>
                <w:rFonts w:hint="eastAsia" w:ascii="宋体" w:hAnsi="宋体"/>
                <w:szCs w:val="21"/>
                <w:highlight w:val="none"/>
                <w:lang w:val="en-US" w:eastAsia="zh-CN"/>
              </w:rPr>
              <w:t>向中标人另行</w:t>
            </w:r>
            <w:r>
              <w:rPr>
                <w:rFonts w:hint="eastAsia" w:ascii="宋体" w:hAnsi="宋体"/>
                <w:szCs w:val="21"/>
                <w:highlight w:val="none"/>
              </w:rPr>
              <w:t>收取</w:t>
            </w:r>
            <w:r>
              <w:rPr>
                <w:rFonts w:hint="eastAsia" w:ascii="宋体" w:hAnsi="宋体"/>
                <w:szCs w:val="21"/>
                <w:highlight w:val="none"/>
                <w:lang w:eastAsia="zh-CN"/>
              </w:rPr>
              <w:t>（</w:t>
            </w:r>
            <w:r>
              <w:rPr>
                <w:rFonts w:hint="eastAsia" w:ascii="宋体" w:hAnsi="宋体"/>
                <w:szCs w:val="21"/>
                <w:highlight w:val="none"/>
                <w:lang w:val="en-US" w:eastAsia="zh-CN"/>
              </w:rPr>
              <w:t>具体按招标代理合同约定执行</w:t>
            </w:r>
            <w:r>
              <w:rPr>
                <w:rFonts w:hint="eastAsia" w:ascii="宋体" w:hAnsi="宋体"/>
                <w:szCs w:val="21"/>
                <w:highlight w:val="none"/>
                <w:lang w:eastAsia="zh-CN"/>
              </w:rPr>
              <w:t>）。</w:t>
            </w:r>
            <w:r>
              <w:rPr>
                <w:rFonts w:hint="eastAsia" w:ascii="宋体" w:hAnsi="Times New Roman" w:eastAsia="宋体" w:cs="宋体"/>
                <w:color w:val="auto"/>
                <w:sz w:val="21"/>
                <w:szCs w:val="21"/>
                <w:highlight w:val="none"/>
                <w:lang w:val="en-US" w:eastAsia="zh-CN"/>
              </w:rPr>
              <w:t>本次费用</w:t>
            </w:r>
            <w:r>
              <w:rPr>
                <w:rFonts w:hint="eastAsia" w:ascii="宋体" w:hAnsi="Times New Roman" w:eastAsia="宋体" w:cs="宋体"/>
                <w:color w:val="auto"/>
                <w:sz w:val="21"/>
                <w:szCs w:val="21"/>
                <w:highlight w:val="none"/>
              </w:rPr>
              <w:t>不在投标报价中单列，但也视为包含在投标总价中。</w:t>
            </w:r>
          </w:p>
        </w:tc>
      </w:tr>
      <w:tr>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eastAsia="宋体"/>
                <w:color w:val="auto"/>
                <w:highlight w:val="none"/>
                <w:lang w:val="en-US" w:eastAsia="zh-CN"/>
              </w:rPr>
            </w:pPr>
            <w:r>
              <w:rPr>
                <w:rFonts w:hint="eastAsia"/>
                <w:color w:val="auto"/>
                <w:highlight w:val="none"/>
                <w:lang w:val="en-US" w:eastAsia="zh-CN"/>
              </w:rPr>
              <w:t>投标文件存档</w:t>
            </w:r>
          </w:p>
        </w:tc>
        <w:tc>
          <w:tcPr>
            <w:tcW w:w="5723" w:type="dxa"/>
            <w:tcBorders>
              <w:top w:val="single" w:color="auto" w:sz="4" w:space="0"/>
              <w:left w:val="single" w:color="auto" w:sz="4" w:space="0"/>
              <w:bottom w:val="single" w:color="auto" w:sz="4" w:space="0"/>
              <w:right w:val="single" w:color="auto" w:sz="4" w:space="0"/>
            </w:tcBorders>
            <w:vAlign w:val="center"/>
          </w:tcPr>
          <w:p>
            <w:pPr>
              <w:rPr>
                <w:rFonts w:hint="eastAsia" w:ascii="宋体" w:cs="宋体"/>
                <w:color w:val="auto"/>
                <w:szCs w:val="21"/>
                <w:highlight w:val="none"/>
              </w:rPr>
            </w:pPr>
            <w:r>
              <w:rPr>
                <w:rFonts w:hint="eastAsia" w:ascii="宋体" w:hAnsi="宋体" w:cs="宋体"/>
                <w:color w:val="auto"/>
                <w:szCs w:val="21"/>
                <w:highlight w:val="none"/>
                <w:lang w:val="en-US" w:eastAsia="zh-CN"/>
              </w:rPr>
              <w:t>中标单位在确认中标人后3个工作日内，打印两套书面投标文件（与系统的电子投标文件完全一致，并加盖公章）及电子文件U盘给招标人存档。</w:t>
            </w:r>
          </w:p>
        </w:tc>
      </w:tr>
    </w:tbl>
    <w:p>
      <w:pPr>
        <w:rPr>
          <w:rFonts w:ascii="宋体" w:hAnsi="宋体" w:cs="宋体"/>
          <w:color w:val="auto"/>
          <w:highlight w:val="none"/>
        </w:rPr>
      </w:pPr>
    </w:p>
    <w:p>
      <w:pPr>
        <w:keepNext/>
        <w:keepLines/>
        <w:spacing w:before="260" w:after="260" w:line="415"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7" w:name="_Toc3625"/>
      <w:bookmarkStart w:id="28" w:name="_Toc28109"/>
      <w:bookmarkStart w:id="29" w:name="_Toc25841"/>
      <w:r>
        <w:rPr>
          <w:rFonts w:hint="eastAsia" w:ascii="宋体" w:hAnsi="宋体" w:cs="宋体"/>
          <w:b/>
          <w:bCs/>
          <w:color w:val="auto"/>
          <w:sz w:val="32"/>
          <w:szCs w:val="32"/>
          <w:highlight w:val="none"/>
        </w:rPr>
        <w:t>1. 总则</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30" w:name="_Toc247527554"/>
      <w:bookmarkStart w:id="31" w:name="_Toc30357"/>
      <w:bookmarkStart w:id="32" w:name="_Toc1934"/>
      <w:bookmarkStart w:id="33" w:name="_Toc144974498"/>
      <w:bookmarkStart w:id="34" w:name="_Toc152045530"/>
      <w:bookmarkStart w:id="35" w:name="_Toc485211039"/>
      <w:bookmarkStart w:id="36" w:name="_Toc16373"/>
      <w:bookmarkStart w:id="37" w:name="_Toc17811"/>
      <w:bookmarkStart w:id="38" w:name="_Toc1880"/>
      <w:bookmarkStart w:id="39" w:name="_Toc9922"/>
      <w:bookmarkStart w:id="40" w:name="_Toc7241"/>
      <w:bookmarkStart w:id="41" w:name="_Toc152042306"/>
      <w:bookmarkStart w:id="42" w:name="_Toc7922"/>
      <w:bookmarkStart w:id="43" w:name="_Toc8691"/>
      <w:bookmarkStart w:id="44" w:name="_Toc247513953"/>
      <w:bookmarkStart w:id="45" w:name="_Toc590"/>
      <w:r>
        <w:rPr>
          <w:rFonts w:hint="eastAsia" w:ascii="宋体" w:hAnsi="宋体" w:cs="宋体"/>
          <w:bCs/>
          <w:color w:val="auto"/>
          <w:sz w:val="28"/>
          <w:szCs w:val="28"/>
          <w:highlight w:val="none"/>
        </w:rPr>
        <w:t>1.1 项目概况</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1.1.1根据《中华人民共和国招标投标法》等有关法律、法规和规章的规定，本招标项目已具备招标条件，现对该项目设计施工进行总承包招标。</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1.1.2 招标人：见《投标人须知前附表》。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1.1.3 招标代理机构：见《投标人须知前附表》。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1.1.4 招标项目名称：见《投标人须知前附表》。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1.1.5 项目建设地点：见《投标人须知前附表》。</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46" w:name="_Toc152045531"/>
      <w:bookmarkStart w:id="47" w:name="_Toc144974499"/>
      <w:bookmarkStart w:id="48" w:name="_Toc6642"/>
      <w:bookmarkStart w:id="49" w:name="_Toc485211040"/>
      <w:bookmarkStart w:id="50" w:name="_Toc11827"/>
      <w:bookmarkStart w:id="51" w:name="_Toc2254"/>
      <w:bookmarkStart w:id="52" w:name="_Toc10532"/>
      <w:bookmarkStart w:id="53" w:name="_Toc8082"/>
      <w:bookmarkStart w:id="54" w:name="_Toc15282"/>
      <w:bookmarkStart w:id="55" w:name="_Toc16015"/>
      <w:bookmarkStart w:id="56" w:name="_Toc247513954"/>
      <w:bookmarkStart w:id="57" w:name="_Toc18211"/>
      <w:bookmarkStart w:id="58" w:name="_Toc15709"/>
      <w:bookmarkStart w:id="59" w:name="_Toc152042307"/>
      <w:bookmarkStart w:id="60" w:name="_Toc247527555"/>
      <w:bookmarkStart w:id="61" w:name="_Toc30105"/>
      <w:r>
        <w:rPr>
          <w:rFonts w:hint="eastAsia" w:ascii="宋体" w:hAnsi="宋体" w:cs="宋体"/>
          <w:bCs/>
          <w:color w:val="auto"/>
          <w:sz w:val="28"/>
          <w:szCs w:val="28"/>
          <w:highlight w:val="none"/>
        </w:rPr>
        <w:t>1.2 项目的资金来源和落实情况</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1.2.1 资金来源及比例：见《投标人须知前附表》。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1.2.2 资金落实情况：见《投标人须知前附表》。</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62" w:name="_Toc247513955"/>
      <w:bookmarkStart w:id="63" w:name="_Toc247527556"/>
      <w:bookmarkStart w:id="64" w:name="_Toc144974500"/>
      <w:bookmarkStart w:id="65" w:name="_Toc152042308"/>
      <w:bookmarkStart w:id="66" w:name="_Toc152045532"/>
      <w:bookmarkStart w:id="67" w:name="_Toc21761"/>
      <w:bookmarkStart w:id="68" w:name="_Toc248"/>
      <w:bookmarkStart w:id="69" w:name="_Toc18073"/>
      <w:bookmarkStart w:id="70" w:name="_Toc60"/>
      <w:bookmarkStart w:id="71" w:name="_Toc2671"/>
      <w:bookmarkStart w:id="72" w:name="_Toc7244"/>
      <w:bookmarkStart w:id="73" w:name="_Toc25342"/>
      <w:bookmarkStart w:id="74" w:name="_Toc32288"/>
      <w:bookmarkStart w:id="75" w:name="_Toc485211041"/>
      <w:bookmarkStart w:id="76" w:name="_Toc15932"/>
      <w:bookmarkStart w:id="77" w:name="_Toc6068"/>
      <w:r>
        <w:rPr>
          <w:rFonts w:hint="eastAsia" w:ascii="宋体" w:hAnsi="宋体" w:cs="宋体"/>
          <w:bCs/>
          <w:color w:val="auto"/>
          <w:sz w:val="28"/>
          <w:szCs w:val="28"/>
          <w:highlight w:val="none"/>
        </w:rPr>
        <w:t>1.3 招标范围、计划工期和</w:t>
      </w:r>
      <w:bookmarkEnd w:id="62"/>
      <w:bookmarkEnd w:id="63"/>
      <w:bookmarkEnd w:id="64"/>
      <w:bookmarkEnd w:id="65"/>
      <w:bookmarkEnd w:id="66"/>
      <w:r>
        <w:rPr>
          <w:rFonts w:hint="eastAsia" w:ascii="宋体" w:hAnsi="宋体" w:cs="宋体"/>
          <w:bCs/>
          <w:color w:val="auto"/>
          <w:sz w:val="28"/>
          <w:szCs w:val="28"/>
          <w:highlight w:val="none"/>
        </w:rPr>
        <w:t>质量标准</w:t>
      </w:r>
      <w:bookmarkEnd w:id="67"/>
      <w:bookmarkEnd w:id="68"/>
      <w:bookmarkEnd w:id="69"/>
      <w:bookmarkEnd w:id="70"/>
      <w:bookmarkEnd w:id="71"/>
      <w:bookmarkEnd w:id="72"/>
      <w:bookmarkEnd w:id="73"/>
      <w:bookmarkEnd w:id="74"/>
      <w:bookmarkEnd w:id="75"/>
      <w:bookmarkEnd w:id="76"/>
      <w:bookmarkEnd w:id="77"/>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1.3.1 招标范围：见《投标人须知前附表》。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1.3.2 计划工期：见《投标人须知前附表》。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1.3.3 质量标准：见《投标人须知前附表》。</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78" w:name="_Toc22175"/>
      <w:bookmarkStart w:id="79" w:name="_Toc26989"/>
      <w:bookmarkStart w:id="80" w:name="_Toc152042309"/>
      <w:bookmarkStart w:id="81" w:name="_Toc247513956"/>
      <w:bookmarkStart w:id="82" w:name="_Toc9204"/>
      <w:bookmarkStart w:id="83" w:name="_Toc32210"/>
      <w:bookmarkStart w:id="84" w:name="_Toc144974501"/>
      <w:bookmarkStart w:id="85" w:name="_Toc152045533"/>
      <w:bookmarkStart w:id="86" w:name="_Toc12328"/>
      <w:bookmarkStart w:id="87" w:name="_Toc10229"/>
      <w:bookmarkStart w:id="88" w:name="_Toc4031"/>
      <w:bookmarkStart w:id="89" w:name="_Toc247527557"/>
      <w:bookmarkStart w:id="90" w:name="_Toc7576"/>
      <w:bookmarkStart w:id="91" w:name="_Toc14801"/>
      <w:bookmarkStart w:id="92" w:name="_Toc26295"/>
      <w:bookmarkStart w:id="93" w:name="_Toc485211042"/>
      <w:r>
        <w:rPr>
          <w:rFonts w:hint="eastAsia" w:ascii="宋体" w:hAnsi="宋体" w:cs="宋体"/>
          <w:bCs/>
          <w:color w:val="auto"/>
          <w:sz w:val="28"/>
          <w:szCs w:val="28"/>
          <w:highlight w:val="none"/>
        </w:rPr>
        <w:t>1.4 投标人资格要求</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400" w:lineRule="exact"/>
        <w:ind w:firstLine="420" w:firstLineChars="200"/>
        <w:rPr>
          <w:rFonts w:ascii="宋体" w:cs="宋体"/>
          <w:color w:val="auto"/>
          <w:highlight w:val="none"/>
          <w:u w:val="single"/>
        </w:rPr>
      </w:pPr>
      <w:r>
        <w:rPr>
          <w:rFonts w:hint="eastAsia" w:ascii="宋体" w:hAnsi="宋体" w:cs="宋体"/>
          <w:color w:val="auto"/>
          <w:szCs w:val="24"/>
          <w:highlight w:val="none"/>
        </w:rPr>
        <w:t>1.4.1</w:t>
      </w:r>
      <w:r>
        <w:rPr>
          <w:rFonts w:hint="eastAsia" w:ascii="宋体" w:cs="宋体"/>
          <w:color w:val="auto"/>
          <w:highlight w:val="none"/>
          <w:u w:val="single"/>
        </w:rPr>
        <w:t>投标人应是按招标公告要求成功投标登记的单位。</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1.4.2 关于联合体投标：</w:t>
      </w:r>
      <w:r>
        <w:rPr>
          <w:rFonts w:hint="eastAsia" w:ascii="宋体" w:hAnsi="宋体" w:cs="宋体"/>
          <w:color w:val="auto"/>
          <w:szCs w:val="24"/>
          <w:highlight w:val="none"/>
          <w:u w:val="single"/>
        </w:rPr>
        <w:t>见投标人须知前附表。</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94" w:name="_Toc152042311"/>
      <w:bookmarkStart w:id="95" w:name="_Toc144974503"/>
      <w:bookmarkStart w:id="96" w:name="_Toc247513958"/>
      <w:bookmarkStart w:id="97" w:name="_Toc152045535"/>
      <w:bookmarkStart w:id="98" w:name="_Toc247527559"/>
      <w:bookmarkStart w:id="99" w:name="_Toc29899"/>
      <w:bookmarkStart w:id="100" w:name="_Toc485211043"/>
      <w:bookmarkStart w:id="101" w:name="_Toc8400"/>
      <w:bookmarkStart w:id="102" w:name="_Toc23867"/>
      <w:bookmarkStart w:id="103" w:name="_Toc27154"/>
      <w:bookmarkStart w:id="104" w:name="_Toc9057"/>
      <w:bookmarkStart w:id="105" w:name="_Toc29601"/>
      <w:bookmarkStart w:id="106" w:name="_Toc11929"/>
      <w:bookmarkStart w:id="107" w:name="_Toc22812"/>
      <w:bookmarkStart w:id="108" w:name="_Toc2101"/>
      <w:bookmarkStart w:id="109" w:name="_Toc4322"/>
      <w:r>
        <w:rPr>
          <w:rFonts w:hint="eastAsia" w:ascii="宋体" w:hAnsi="宋体" w:cs="宋体"/>
          <w:bCs/>
          <w:color w:val="auto"/>
          <w:sz w:val="28"/>
          <w:szCs w:val="28"/>
          <w:highlight w:val="none"/>
        </w:rPr>
        <w:t>1.5 费用承担</w:t>
      </w:r>
      <w:bookmarkEnd w:id="94"/>
      <w:bookmarkEnd w:id="95"/>
      <w:bookmarkEnd w:id="96"/>
      <w:bookmarkEnd w:id="97"/>
      <w:bookmarkEnd w:id="98"/>
      <w:r>
        <w:rPr>
          <w:rFonts w:hint="eastAsia" w:ascii="宋体" w:hAnsi="宋体" w:cs="宋体"/>
          <w:bCs/>
          <w:color w:val="auto"/>
          <w:sz w:val="28"/>
          <w:szCs w:val="28"/>
          <w:highlight w:val="none"/>
        </w:rPr>
        <w:t>和设计成果补偿</w:t>
      </w:r>
      <w:bookmarkEnd w:id="99"/>
      <w:bookmarkEnd w:id="100"/>
      <w:bookmarkEnd w:id="101"/>
      <w:bookmarkEnd w:id="102"/>
      <w:bookmarkEnd w:id="103"/>
      <w:bookmarkEnd w:id="104"/>
      <w:bookmarkEnd w:id="105"/>
      <w:bookmarkEnd w:id="106"/>
      <w:bookmarkEnd w:id="107"/>
      <w:bookmarkEnd w:id="108"/>
      <w:bookmarkEnd w:id="109"/>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1.5.1 </w:t>
      </w:r>
      <w:r>
        <w:rPr>
          <w:rFonts w:hint="eastAsia" w:ascii="宋体" w:cs="宋体"/>
          <w:color w:val="auto"/>
          <w:highlight w:val="none"/>
        </w:rPr>
        <w:t>投标人准备和参加投标活动发生的设计费用成果补偿参考招标文件前附表1.5点设定。</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1.5.2 </w:t>
      </w:r>
      <w:r>
        <w:rPr>
          <w:rFonts w:hint="eastAsia" w:ascii="宋体" w:cs="宋体"/>
          <w:color w:val="auto"/>
          <w:highlight w:val="none"/>
          <w:u w:val="single"/>
        </w:rPr>
        <w:t>招标人在征得未中标人的同意后有权免费使用未中标人设计成果。</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1.5.3中标人应根据</w:t>
      </w:r>
      <w:r>
        <w:rPr>
          <w:rFonts w:hint="eastAsia" w:ascii="宋体" w:hAnsi="宋体" w:cs="宋体"/>
          <w:color w:val="auto"/>
          <w:szCs w:val="24"/>
          <w:highlight w:val="none"/>
          <w:u w:val="single"/>
          <w:lang w:val="en-US" w:eastAsia="zh-CN"/>
        </w:rPr>
        <w:t>约定</w:t>
      </w:r>
      <w:r>
        <w:rPr>
          <w:rFonts w:hint="eastAsia" w:ascii="宋体" w:hAnsi="宋体" w:cs="宋体"/>
          <w:color w:val="auto"/>
          <w:szCs w:val="24"/>
          <w:highlight w:val="none"/>
          <w:u w:val="single"/>
        </w:rPr>
        <w:t>，向广州公共资源交易中心交纳交易服务费。</w:t>
      </w:r>
    </w:p>
    <w:p>
      <w:pPr>
        <w:spacing w:line="400" w:lineRule="exact"/>
        <w:ind w:firstLine="420" w:firstLineChars="200"/>
        <w:rPr>
          <w:rFonts w:ascii="宋体" w:hAnsi="宋体" w:cs="宋体"/>
          <w:color w:val="auto"/>
          <w:szCs w:val="24"/>
          <w:highlight w:val="none"/>
        </w:rPr>
      </w:pP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10" w:name="_Toc9296"/>
      <w:bookmarkStart w:id="111" w:name="_Toc14164"/>
      <w:bookmarkStart w:id="112" w:name="_Toc15056"/>
      <w:bookmarkStart w:id="113" w:name="_Toc144974504"/>
      <w:bookmarkStart w:id="114" w:name="_Toc17963"/>
      <w:bookmarkStart w:id="115" w:name="_Toc10056"/>
      <w:bookmarkStart w:id="116" w:name="_Toc247513959"/>
      <w:bookmarkStart w:id="117" w:name="_Toc23498"/>
      <w:bookmarkStart w:id="118" w:name="_Toc152045536"/>
      <w:bookmarkStart w:id="119" w:name="_Toc32691"/>
      <w:bookmarkStart w:id="120" w:name="_Toc7692"/>
      <w:bookmarkStart w:id="121" w:name="_Toc29613"/>
      <w:bookmarkStart w:id="122" w:name="_Toc152042312"/>
      <w:bookmarkStart w:id="123" w:name="_Toc485211044"/>
      <w:bookmarkStart w:id="124" w:name="_Toc247527560"/>
      <w:bookmarkStart w:id="125" w:name="_Toc11167"/>
      <w:r>
        <w:rPr>
          <w:rFonts w:hint="eastAsia" w:ascii="宋体" w:hAnsi="宋体" w:cs="宋体"/>
          <w:bCs/>
          <w:color w:val="auto"/>
          <w:sz w:val="28"/>
          <w:szCs w:val="28"/>
          <w:highlight w:val="none"/>
        </w:rPr>
        <w:t>1.6 保密</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参与招标投标活动的各方应对招标文件和投标文件中的商业和技术等秘密保密，否则应承担相应的法律责任。</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26" w:name="_Toc144974505"/>
      <w:bookmarkStart w:id="127" w:name="_Toc3909"/>
      <w:bookmarkStart w:id="128" w:name="_Toc30812"/>
      <w:bookmarkStart w:id="129" w:name="_Toc15287"/>
      <w:bookmarkStart w:id="130" w:name="_Toc247513960"/>
      <w:bookmarkStart w:id="131" w:name="_Toc10834"/>
      <w:bookmarkStart w:id="132" w:name="_Toc134"/>
      <w:bookmarkStart w:id="133" w:name="_Toc152042313"/>
      <w:bookmarkStart w:id="134" w:name="_Toc485211045"/>
      <w:bookmarkStart w:id="135" w:name="_Toc247527561"/>
      <w:bookmarkStart w:id="136" w:name="_Toc152045537"/>
      <w:bookmarkStart w:id="137" w:name="_Toc6741"/>
      <w:bookmarkStart w:id="138" w:name="_Toc28067"/>
      <w:bookmarkStart w:id="139" w:name="_Toc32400"/>
      <w:bookmarkStart w:id="140" w:name="_Toc23891"/>
      <w:bookmarkStart w:id="141" w:name="_Toc10329"/>
      <w:r>
        <w:rPr>
          <w:rFonts w:hint="eastAsia" w:ascii="宋体" w:hAnsi="宋体" w:cs="宋体"/>
          <w:bCs/>
          <w:color w:val="auto"/>
          <w:sz w:val="28"/>
          <w:szCs w:val="28"/>
          <w:highlight w:val="none"/>
        </w:rPr>
        <w:t>1.7 语言</w:t>
      </w:r>
      <w:bookmarkEnd w:id="126"/>
      <w:r>
        <w:rPr>
          <w:rFonts w:hint="eastAsia" w:ascii="宋体" w:hAnsi="宋体" w:cs="宋体"/>
          <w:bCs/>
          <w:color w:val="auto"/>
          <w:sz w:val="28"/>
          <w:szCs w:val="28"/>
          <w:highlight w:val="none"/>
        </w:rPr>
        <w:t>文字</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招标投标文件使用的语言文字为中文。专用术语使用外文的，应附有中文注释。</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42" w:name="_Toc152045538"/>
      <w:bookmarkStart w:id="143" w:name="_Toc247513961"/>
      <w:bookmarkStart w:id="144" w:name="_Toc152042314"/>
      <w:bookmarkStart w:id="145" w:name="_Toc13564"/>
      <w:bookmarkStart w:id="146" w:name="_Toc28060"/>
      <w:bookmarkStart w:id="147" w:name="_Toc4572"/>
      <w:bookmarkStart w:id="148" w:name="_Toc26081"/>
      <w:bookmarkStart w:id="149" w:name="_Toc485211046"/>
      <w:bookmarkStart w:id="150" w:name="_Toc144974506"/>
      <w:bookmarkStart w:id="151" w:name="_Toc7341"/>
      <w:bookmarkStart w:id="152" w:name="_Toc18319"/>
      <w:bookmarkStart w:id="153" w:name="_Toc6180"/>
      <w:bookmarkStart w:id="154" w:name="_Toc19816"/>
      <w:bookmarkStart w:id="155" w:name="_Toc2398"/>
      <w:bookmarkStart w:id="156" w:name="_Toc247527562"/>
      <w:bookmarkStart w:id="157" w:name="_Toc3359"/>
      <w:r>
        <w:rPr>
          <w:rFonts w:hint="eastAsia" w:ascii="宋体" w:hAnsi="宋体" w:cs="宋体"/>
          <w:bCs/>
          <w:color w:val="auto"/>
          <w:sz w:val="28"/>
          <w:szCs w:val="28"/>
          <w:highlight w:val="none"/>
        </w:rPr>
        <w:t>1.8 计量单位</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1.8.1所有计量均采用中华人民共和国法定计量单位。</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1.8.2 本工程投标报价采用的币种为人民币。</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58" w:name="_Toc152045539"/>
      <w:bookmarkStart w:id="159" w:name="_Toc9837"/>
      <w:bookmarkStart w:id="160" w:name="_Toc144974507"/>
      <w:bookmarkStart w:id="161" w:name="_Toc30094"/>
      <w:bookmarkStart w:id="162" w:name="_Toc152042315"/>
      <w:bookmarkStart w:id="163" w:name="_Toc23228"/>
      <w:bookmarkStart w:id="164" w:name="_Toc8310"/>
      <w:bookmarkStart w:id="165" w:name="_Toc247513962"/>
      <w:bookmarkStart w:id="166" w:name="_Toc28179"/>
      <w:bookmarkStart w:id="167" w:name="_Toc9990"/>
      <w:bookmarkStart w:id="168" w:name="_Toc247527563"/>
      <w:bookmarkStart w:id="169" w:name="_Toc8509"/>
      <w:bookmarkStart w:id="170" w:name="_Toc29796"/>
      <w:bookmarkStart w:id="171" w:name="_Toc485211047"/>
      <w:bookmarkStart w:id="172" w:name="_Toc23741"/>
      <w:bookmarkStart w:id="173" w:name="_Toc8361"/>
      <w:r>
        <w:rPr>
          <w:rFonts w:hint="eastAsia" w:ascii="宋体" w:hAnsi="宋体" w:cs="宋体"/>
          <w:bCs/>
          <w:color w:val="auto"/>
          <w:sz w:val="28"/>
          <w:szCs w:val="28"/>
          <w:highlight w:val="none"/>
        </w:rPr>
        <w:t>1.9 踏勘现场</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1.9.1 </w:t>
      </w:r>
      <w:r>
        <w:rPr>
          <w:rFonts w:hint="eastAsia" w:ascii="宋体" w:cs="宋体"/>
          <w:color w:val="auto"/>
          <w:highlight w:val="none"/>
        </w:rPr>
        <w:t>投标人须知前附表规定组织踏勘现场的，招标人按投标人须知前附表规定的时间、地点组织投标人踏勘项目现场。</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1.9.2 投标人自行踏勘现场发生的费用自理。</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1.9.3 除招标人的原因外，投标人自行负责在踏勘现场中所发生的人员伤亡和财产损失。</w:t>
      </w:r>
    </w:p>
    <w:p>
      <w:pPr>
        <w:spacing w:line="400" w:lineRule="exact"/>
        <w:ind w:firstLine="420" w:firstLineChars="200"/>
        <w:rPr>
          <w:rFonts w:ascii="宋体" w:hAnsi="宋体" w:cs="宋体"/>
          <w:color w:val="auto"/>
          <w:szCs w:val="24"/>
          <w:highlight w:val="none"/>
          <w:u w:val="single"/>
        </w:rPr>
      </w:pPr>
      <w:bookmarkStart w:id="174" w:name="_Toc11038"/>
      <w:bookmarkStart w:id="175" w:name="_Toc144974508"/>
      <w:bookmarkStart w:id="176" w:name="_Toc27158"/>
      <w:bookmarkStart w:id="177" w:name="_Toc152045540"/>
      <w:bookmarkStart w:id="178" w:name="_Toc485211048"/>
      <w:bookmarkStart w:id="179" w:name="_Toc21953"/>
      <w:bookmarkStart w:id="180" w:name="_Toc247527564"/>
      <w:bookmarkStart w:id="181" w:name="_Toc247513963"/>
      <w:bookmarkStart w:id="182" w:name="_Toc11403"/>
      <w:bookmarkStart w:id="183" w:name="_Toc152042316"/>
      <w:bookmarkStart w:id="184" w:name="_Toc9067"/>
      <w:bookmarkStart w:id="185" w:name="_Toc11545"/>
      <w:bookmarkStart w:id="186" w:name="_Toc5838"/>
      <w:r>
        <w:rPr>
          <w:rFonts w:hint="eastAsia" w:ascii="宋体" w:hAnsi="宋体" w:cs="宋体"/>
          <w:color w:val="auto"/>
          <w:szCs w:val="24"/>
          <w:highlight w:val="none"/>
          <w:u w:val="single"/>
        </w:rPr>
        <w:t>1.9.4 现场由投标人自行踏勘，投标人不进行踏勘的，视为已熟知现场条件，自行承担相关风险。招标人不对投标人自行踏勘现场作出的判断和决策负责。</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87" w:name="_Toc13578"/>
      <w:bookmarkStart w:id="188" w:name="_Toc11636"/>
      <w:bookmarkStart w:id="189" w:name="_Toc3400"/>
      <w:r>
        <w:rPr>
          <w:rFonts w:hint="eastAsia" w:ascii="宋体" w:hAnsi="宋体" w:cs="宋体"/>
          <w:bCs/>
          <w:color w:val="auto"/>
          <w:sz w:val="28"/>
          <w:szCs w:val="28"/>
          <w:highlight w:val="none"/>
        </w:rPr>
        <w:t>1.10 投标预备会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1.10.1</w:t>
      </w:r>
      <w:r>
        <w:rPr>
          <w:rFonts w:hint="eastAsia" w:ascii="宋体" w:cs="宋体"/>
          <w:color w:val="auto"/>
          <w:highlight w:val="none"/>
        </w:rPr>
        <w:t>投标人须知前附表规定召开投标预备会的，招标人按投标人须知前附表规定的时间和地点召开投标预备会，澄清投标人提出的问题。</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1.10.2 </w:t>
      </w:r>
      <w:r>
        <w:rPr>
          <w:rFonts w:hint="eastAsia" w:ascii="宋体" w:cs="宋体"/>
          <w:color w:val="auto"/>
          <w:highlight w:val="none"/>
        </w:rPr>
        <w:t>投标人应在投标人须知前附表规定的时间前，以书面形式将提出的问题送达招标人，以便招标人在会议期间澄清。</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1.10.3 </w:t>
      </w:r>
      <w:r>
        <w:rPr>
          <w:rFonts w:hint="eastAsia" w:ascii="宋体" w:cs="宋体"/>
          <w:color w:val="auto"/>
          <w:highlight w:val="none"/>
        </w:rPr>
        <w:t>投标预备会后，招标人在投标人须知前附表规定的时间内，将对投标人所提问题的澄清，以书面形式通知所有购买招标文件的投标人。该澄清内容为招标文件的组成部分。</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90" w:name="_Toc152042317"/>
      <w:bookmarkStart w:id="191" w:name="_Toc247527565"/>
      <w:bookmarkStart w:id="192" w:name="_Toc4319"/>
      <w:bookmarkStart w:id="193" w:name="_Toc16758"/>
      <w:bookmarkStart w:id="194" w:name="_Toc6742"/>
      <w:bookmarkStart w:id="195" w:name="_Toc14541"/>
      <w:bookmarkStart w:id="196" w:name="_Toc247513964"/>
      <w:bookmarkStart w:id="197" w:name="_Toc31934"/>
      <w:bookmarkStart w:id="198" w:name="_Toc144974509"/>
      <w:bookmarkStart w:id="199" w:name="_Toc14339"/>
      <w:bookmarkStart w:id="200" w:name="_Toc25557"/>
      <w:bookmarkStart w:id="201" w:name="_Toc485211049"/>
      <w:bookmarkStart w:id="202" w:name="_Toc30953"/>
      <w:bookmarkStart w:id="203" w:name="_Toc4698"/>
      <w:bookmarkStart w:id="204" w:name="_Toc152045541"/>
      <w:bookmarkStart w:id="205" w:name="_Toc14099"/>
      <w:r>
        <w:rPr>
          <w:rFonts w:hint="eastAsia" w:ascii="宋体" w:hAnsi="宋体" w:cs="宋体"/>
          <w:bCs/>
          <w:color w:val="auto"/>
          <w:sz w:val="28"/>
          <w:szCs w:val="28"/>
          <w:highlight w:val="none"/>
        </w:rPr>
        <w:t>1.11 分包</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400" w:lineRule="exact"/>
        <w:ind w:firstLine="567" w:firstLineChars="270"/>
        <w:rPr>
          <w:rFonts w:ascii="宋体" w:hAnsi="宋体" w:cs="宋体"/>
          <w:color w:val="auto"/>
          <w:szCs w:val="24"/>
          <w:highlight w:val="none"/>
        </w:rPr>
      </w:pPr>
      <w:r>
        <w:rPr>
          <w:rFonts w:hint="eastAsia" w:ascii="宋体" w:hAnsi="宋体" w:cs="宋体"/>
          <w:color w:val="auto"/>
          <w:szCs w:val="24"/>
          <w:highlight w:val="none"/>
        </w:rPr>
        <w:t>1.11.1 《投标人须知前附表》规定应当由分包人实施的非主体、非关键性工作，投标人应当按照第五章“发包人要求”的规定提供分包人侯选名单及其相应资料。</w:t>
      </w:r>
    </w:p>
    <w:p>
      <w:pPr>
        <w:spacing w:line="400" w:lineRule="exact"/>
        <w:ind w:firstLine="567" w:firstLineChars="270"/>
        <w:rPr>
          <w:rFonts w:ascii="宋体" w:hAnsi="宋体" w:cs="宋体"/>
          <w:color w:val="auto"/>
          <w:szCs w:val="24"/>
          <w:highlight w:val="none"/>
        </w:rPr>
      </w:pPr>
      <w:r>
        <w:rPr>
          <w:rFonts w:hint="eastAsia" w:ascii="宋体" w:hAnsi="宋体" w:cs="宋体"/>
          <w:color w:val="auto"/>
          <w:szCs w:val="24"/>
          <w:highlight w:val="none"/>
        </w:rPr>
        <w:t>1.11.2 投标人拟在中标后将中标项目的部分非主体、非关键性工作进行分包的，应符合《投标人须知前附表》规定的分包内容、分包金额和资质要求等限制性条件。</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206" w:name="_Toc247527566"/>
      <w:bookmarkStart w:id="207" w:name="_Toc29868"/>
      <w:bookmarkStart w:id="208" w:name="_Toc20842"/>
      <w:bookmarkStart w:id="209" w:name="_Toc27670"/>
      <w:bookmarkStart w:id="210" w:name="_Toc21673"/>
      <w:bookmarkStart w:id="211" w:name="_Toc13266"/>
      <w:bookmarkStart w:id="212" w:name="_Toc22035"/>
      <w:bookmarkStart w:id="213" w:name="_Toc247513965"/>
      <w:bookmarkStart w:id="214" w:name="_Toc485211050"/>
      <w:bookmarkStart w:id="215" w:name="_Toc13443"/>
      <w:bookmarkStart w:id="216" w:name="_Toc6602"/>
      <w:bookmarkStart w:id="217" w:name="_Toc18430"/>
      <w:bookmarkStart w:id="218" w:name="_Toc32073"/>
      <w:r>
        <w:rPr>
          <w:rFonts w:hint="eastAsia" w:ascii="宋体" w:hAnsi="宋体" w:cs="宋体"/>
          <w:bCs/>
          <w:color w:val="auto"/>
          <w:sz w:val="28"/>
          <w:szCs w:val="28"/>
          <w:highlight w:val="none"/>
        </w:rPr>
        <w:t>1.12 偏离</w:t>
      </w:r>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400" w:lineRule="exact"/>
        <w:ind w:firstLine="359" w:firstLineChars="171"/>
        <w:rPr>
          <w:rFonts w:ascii="宋体" w:hAnsi="宋体" w:cs="宋体"/>
          <w:color w:val="auto"/>
          <w:szCs w:val="24"/>
          <w:highlight w:val="none"/>
        </w:rPr>
      </w:pPr>
      <w:r>
        <w:rPr>
          <w:rFonts w:hint="eastAsia" w:ascii="宋体" w:cs="宋体"/>
          <w:color w:val="auto"/>
          <w:highlight w:val="none"/>
        </w:rPr>
        <w:t>1.12.1投标人须知前附表允许投标文件偏离招标文件某些要求的，偏离应当符合招标文件规定的偏离范围和幅度。</w:t>
      </w:r>
    </w:p>
    <w:p>
      <w:pPr>
        <w:keepNext/>
        <w:keepLines/>
        <w:spacing w:before="260" w:after="260" w:line="415" w:lineRule="auto"/>
        <w:outlineLvl w:val="1"/>
        <w:rPr>
          <w:rFonts w:ascii="宋体" w:hAnsi="宋体" w:cs="宋体"/>
          <w:b/>
          <w:bCs/>
          <w:color w:val="auto"/>
          <w:sz w:val="32"/>
          <w:szCs w:val="32"/>
          <w:highlight w:val="none"/>
        </w:rPr>
      </w:pPr>
      <w:bookmarkStart w:id="219" w:name="_Toc18141"/>
      <w:bookmarkStart w:id="220" w:name="_Toc11258"/>
      <w:bookmarkStart w:id="221" w:name="_Toc3403"/>
      <w:bookmarkStart w:id="222" w:name="_Toc247513966"/>
      <w:bookmarkStart w:id="223" w:name="_Toc144974510"/>
      <w:bookmarkStart w:id="224" w:name="_Toc29206"/>
      <w:bookmarkStart w:id="225" w:name="_Toc12882"/>
      <w:bookmarkStart w:id="226" w:name="_Toc485211051"/>
      <w:bookmarkStart w:id="227" w:name="_Toc247527567"/>
      <w:bookmarkStart w:id="228" w:name="_Toc2209"/>
      <w:bookmarkStart w:id="229" w:name="_Toc25604"/>
      <w:bookmarkStart w:id="230" w:name="_Toc3075"/>
      <w:bookmarkStart w:id="231" w:name="_Toc152045542"/>
      <w:bookmarkStart w:id="232" w:name="_Toc29050"/>
      <w:bookmarkStart w:id="233" w:name="_Toc29934"/>
      <w:bookmarkStart w:id="234" w:name="_Toc152042318"/>
      <w:r>
        <w:rPr>
          <w:rFonts w:hint="eastAsia" w:ascii="宋体" w:hAnsi="宋体" w:cs="宋体"/>
          <w:b/>
          <w:bCs/>
          <w:color w:val="auto"/>
          <w:sz w:val="32"/>
          <w:szCs w:val="32"/>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235" w:name="_Toc11748"/>
      <w:bookmarkStart w:id="236" w:name="_Toc1130"/>
      <w:bookmarkStart w:id="237" w:name="_Toc15061"/>
      <w:bookmarkStart w:id="238" w:name="_Toc485211052"/>
      <w:bookmarkStart w:id="239" w:name="_Toc144974511"/>
      <w:bookmarkStart w:id="240" w:name="_Toc3440"/>
      <w:bookmarkStart w:id="241" w:name="_Toc13776"/>
      <w:bookmarkStart w:id="242" w:name="_Toc23401"/>
      <w:bookmarkStart w:id="243" w:name="_Toc21925"/>
      <w:bookmarkStart w:id="244" w:name="_Toc152045543"/>
      <w:bookmarkStart w:id="245" w:name="_Toc152042319"/>
      <w:bookmarkStart w:id="246" w:name="_Toc4736"/>
      <w:bookmarkStart w:id="247" w:name="_Toc247527568"/>
      <w:bookmarkStart w:id="248" w:name="_Toc23492"/>
      <w:bookmarkStart w:id="249" w:name="_Toc247513967"/>
      <w:bookmarkStart w:id="250" w:name="_Toc12359"/>
      <w:r>
        <w:rPr>
          <w:rFonts w:hint="eastAsia" w:ascii="宋体" w:hAnsi="宋体" w:cs="宋体"/>
          <w:bCs/>
          <w:color w:val="auto"/>
          <w:sz w:val="28"/>
          <w:szCs w:val="28"/>
          <w:highlight w:val="none"/>
        </w:rPr>
        <w:t>2.1 招标文件的组成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2.1.1本招标文件包括：</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（1）招标公告（另册）；</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（2）投标人须知；</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（3）评标办法；</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（4）合同条款及格式(另册)；</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（5）发包人要求；</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（6）发包人提供的资料和条件(另册)；</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（7）投标文件格式；</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（8）投标人须知前附表规定的其他资料。</w:t>
      </w:r>
    </w:p>
    <w:p>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2.1.2根据本章</w:t>
      </w:r>
      <w:r>
        <w:rPr>
          <w:rFonts w:hint="eastAsia" w:ascii="宋体" w:cs="宋体"/>
          <w:color w:val="auto"/>
          <w:highlight w:val="none"/>
        </w:rPr>
        <w:t>第1.10款、</w:t>
      </w:r>
      <w:r>
        <w:rPr>
          <w:rFonts w:hint="eastAsia" w:ascii="宋体" w:hAnsi="宋体" w:cs="宋体"/>
          <w:color w:val="auto"/>
          <w:szCs w:val="24"/>
          <w:highlight w:val="none"/>
        </w:rPr>
        <w:t>第2.2款和第2.3款对招标文件所作的澄清、修改，构成招标文件的组成部分。</w:t>
      </w:r>
      <w:r>
        <w:rPr>
          <w:rFonts w:hint="eastAsia" w:ascii="宋体" w:hAnsi="宋体" w:cs="宋体"/>
          <w:color w:val="auto"/>
          <w:szCs w:val="24"/>
          <w:highlight w:val="none"/>
          <w:u w:val="single"/>
        </w:rPr>
        <w:t>当招标文件的澄清、修改等在同一内容的表述不一致时，以最后发出的书面文件为准</w:t>
      </w:r>
      <w:r>
        <w:rPr>
          <w:rFonts w:hint="eastAsia" w:ascii="宋体" w:hAnsi="宋体" w:cs="宋体"/>
          <w:color w:val="auto"/>
          <w:szCs w:val="24"/>
          <w:highlight w:val="none"/>
        </w:rPr>
        <w:t>。</w:t>
      </w:r>
    </w:p>
    <w:p>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2.1.4投标人一旦中标，招标文件的内容对招标人和中标人双方均有约束力。</w:t>
      </w:r>
    </w:p>
    <w:p>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2.1.5发布招标公告的同时，通过广州公共资源交易中心网站发布招标文件、最高投标限价等。</w:t>
      </w:r>
    </w:p>
    <w:p>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2.1.6招标文件一经在广州公共资源交易中心网站发布，视作已发放给所有投标人。</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251" w:name="_Toc152045544"/>
      <w:bookmarkStart w:id="252" w:name="_Toc24492"/>
      <w:bookmarkStart w:id="253" w:name="_Toc247527569"/>
      <w:bookmarkStart w:id="254" w:name="_Toc27998"/>
      <w:bookmarkStart w:id="255" w:name="_Toc30001"/>
      <w:bookmarkStart w:id="256" w:name="_Toc21381"/>
      <w:bookmarkStart w:id="257" w:name="_Toc13002"/>
      <w:bookmarkStart w:id="258" w:name="_Toc18331"/>
      <w:bookmarkStart w:id="259" w:name="_Toc25303"/>
      <w:bookmarkStart w:id="260" w:name="_Toc247513968"/>
      <w:bookmarkStart w:id="261" w:name="_Toc152042320"/>
      <w:bookmarkStart w:id="262" w:name="_Toc8575"/>
      <w:bookmarkStart w:id="263" w:name="_Toc23964"/>
      <w:bookmarkStart w:id="264" w:name="_Toc22464"/>
      <w:bookmarkStart w:id="265" w:name="_Toc485211053"/>
      <w:bookmarkStart w:id="266" w:name="_Toc144974512"/>
      <w:r>
        <w:rPr>
          <w:rFonts w:hint="eastAsia" w:ascii="宋体" w:hAnsi="宋体" w:cs="宋体"/>
          <w:bCs/>
          <w:color w:val="auto"/>
          <w:sz w:val="28"/>
          <w:szCs w:val="28"/>
          <w:highlight w:val="none"/>
        </w:rPr>
        <w:t>2.2 招标文件的澄清</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szCs w:val="24"/>
          <w:highlight w:val="none"/>
        </w:rPr>
        <w:t>如有疑问，</w:t>
      </w:r>
      <w:r>
        <w:rPr>
          <w:rFonts w:hint="eastAsia" w:ascii="宋体" w:hAnsi="宋体" w:cs="宋体"/>
          <w:color w:val="auto"/>
          <w:szCs w:val="24"/>
          <w:highlight w:val="none"/>
          <w:u w:val="single"/>
        </w:rPr>
        <w:t>可在规定的时间内通过广州公共资源交易中心网站进入提问区域将问题提交给招标人或招标代理人，提交问题时一律不得署名。</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2.2.2招标人应在投标截止时间15日前解答投标人对招标文件提出的疑问，形成答疑纪要，方可在交易中心网站“项目答疑纪要”专区发布。</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2.2.3招标答疑纪要一经在广州公共资源交易中心网站发布，视作已发放给所有投标人。</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2.2.4招标答疑纪要为招标文件的一部分。投标人可在广州公共资源交易中心网站浏览、下载招标答疑纪要。</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2.2.5若招标答疑纪要与招标文件有矛盾时，以广州公共资源交易中心网站最后发布的答疑纪要为准。</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267" w:name="_Toc22060"/>
      <w:bookmarkStart w:id="268" w:name="_Toc6379"/>
      <w:bookmarkStart w:id="269" w:name="_Toc29548"/>
      <w:bookmarkStart w:id="270" w:name="_Toc22980"/>
      <w:bookmarkStart w:id="271" w:name="_Toc27838"/>
      <w:bookmarkStart w:id="272" w:name="_Toc152045545"/>
      <w:bookmarkStart w:id="273" w:name="_Toc144974513"/>
      <w:bookmarkStart w:id="274" w:name="_Toc9598"/>
      <w:bookmarkStart w:id="275" w:name="_Toc30706"/>
      <w:bookmarkStart w:id="276" w:name="_Toc13082"/>
      <w:bookmarkStart w:id="277" w:name="_Toc247527570"/>
      <w:bookmarkStart w:id="278" w:name="_Toc247513969"/>
      <w:bookmarkStart w:id="279" w:name="_Toc20025"/>
      <w:bookmarkStart w:id="280" w:name="_Toc485211054"/>
      <w:bookmarkStart w:id="281" w:name="_Toc152042321"/>
      <w:bookmarkStart w:id="282" w:name="_Toc15828"/>
      <w:r>
        <w:rPr>
          <w:rFonts w:hint="eastAsia" w:ascii="宋体" w:hAnsi="宋体" w:cs="宋体"/>
          <w:bCs/>
          <w:color w:val="auto"/>
          <w:sz w:val="28"/>
          <w:szCs w:val="28"/>
          <w:highlight w:val="none"/>
        </w:rPr>
        <w:t>2.3 招标文件的修改</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2.3.1招标文件发出后,在提交投标文件截止时间15日前，招标人可对招标文件进行必要的澄清或修改。</w:t>
      </w:r>
    </w:p>
    <w:p>
      <w:pPr>
        <w:spacing w:line="420" w:lineRule="exact"/>
        <w:ind w:left="-1"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keepNext/>
        <w:keepLines/>
        <w:spacing w:before="260" w:after="260" w:line="415" w:lineRule="auto"/>
        <w:outlineLvl w:val="1"/>
        <w:rPr>
          <w:rFonts w:ascii="宋体" w:hAnsi="宋体" w:cs="宋体"/>
          <w:b/>
          <w:bCs/>
          <w:color w:val="auto"/>
          <w:sz w:val="32"/>
          <w:szCs w:val="32"/>
          <w:highlight w:val="none"/>
        </w:rPr>
      </w:pPr>
      <w:bookmarkStart w:id="283" w:name="_Toc11146"/>
      <w:bookmarkStart w:id="284" w:name="_Toc30688"/>
      <w:bookmarkStart w:id="285" w:name="_Toc247513970"/>
      <w:bookmarkStart w:id="286" w:name="_Toc152045546"/>
      <w:bookmarkStart w:id="287" w:name="_Toc20660"/>
      <w:bookmarkStart w:id="288" w:name="_Toc27747"/>
      <w:bookmarkStart w:id="289" w:name="_Toc152042322"/>
      <w:bookmarkStart w:id="290" w:name="_Toc485211055"/>
      <w:bookmarkStart w:id="291" w:name="_Toc247527571"/>
      <w:bookmarkStart w:id="292" w:name="_Toc6005"/>
      <w:bookmarkStart w:id="293" w:name="_Toc144974514"/>
      <w:bookmarkStart w:id="294" w:name="_Toc18287"/>
      <w:bookmarkStart w:id="295" w:name="_Toc2293"/>
      <w:bookmarkStart w:id="296" w:name="_Toc22993"/>
      <w:bookmarkStart w:id="297" w:name="_Toc13105"/>
      <w:bookmarkStart w:id="298" w:name="_Toc11716"/>
      <w:r>
        <w:rPr>
          <w:rFonts w:hint="eastAsia" w:ascii="宋体" w:hAnsi="宋体" w:cs="宋体"/>
          <w:b/>
          <w:bCs/>
          <w:color w:val="auto"/>
          <w:sz w:val="32"/>
          <w:szCs w:val="32"/>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299" w:name="_Toc10975"/>
      <w:bookmarkStart w:id="300" w:name="_Toc247513971"/>
      <w:bookmarkStart w:id="301" w:name="_Toc10609"/>
      <w:bookmarkStart w:id="302" w:name="_Toc678"/>
      <w:bookmarkStart w:id="303" w:name="_Toc247527572"/>
      <w:bookmarkStart w:id="304" w:name="_Toc436834149"/>
      <w:bookmarkStart w:id="305" w:name="_Toc18769"/>
      <w:bookmarkStart w:id="306" w:name="_Toc18043"/>
      <w:bookmarkStart w:id="307" w:name="_Toc13959"/>
      <w:bookmarkStart w:id="308" w:name="_Toc152042323"/>
      <w:bookmarkStart w:id="309" w:name="_Toc485211056"/>
      <w:bookmarkStart w:id="310" w:name="_Toc152045547"/>
      <w:bookmarkStart w:id="311" w:name="_Toc24046"/>
      <w:bookmarkStart w:id="312" w:name="_Toc16238"/>
      <w:bookmarkStart w:id="313" w:name="_Toc144974515"/>
      <w:bookmarkStart w:id="314" w:name="_Toc436834742"/>
      <w:bookmarkStart w:id="315" w:name="_Toc384759593"/>
      <w:bookmarkStart w:id="316" w:name="_Toc31828"/>
      <w:bookmarkStart w:id="317" w:name="_Toc19073"/>
      <w:r>
        <w:rPr>
          <w:rFonts w:hint="eastAsia" w:ascii="宋体" w:hAnsi="宋体" w:cs="宋体"/>
          <w:bCs/>
          <w:color w:val="auto"/>
          <w:sz w:val="28"/>
          <w:szCs w:val="28"/>
          <w:highlight w:val="none"/>
        </w:rPr>
        <w:t>3.1 投标文件的组成</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spacing w:line="400" w:lineRule="exact"/>
        <w:ind w:firstLine="420" w:firstLineChars="200"/>
        <w:rPr>
          <w:rFonts w:ascii="宋体" w:hAnsi="宋体" w:cs="宋体"/>
          <w:b/>
          <w:color w:val="auto"/>
          <w:szCs w:val="24"/>
          <w:highlight w:val="none"/>
        </w:rPr>
      </w:pPr>
      <w:r>
        <w:rPr>
          <w:rFonts w:hint="eastAsia" w:ascii="宋体" w:hAnsi="宋体" w:cs="宋体"/>
          <w:color w:val="auto"/>
          <w:szCs w:val="24"/>
          <w:highlight w:val="none"/>
        </w:rPr>
        <w:t>3.1.1 投标文件由</w:t>
      </w:r>
      <w:r>
        <w:rPr>
          <w:rFonts w:hint="eastAsia" w:ascii="宋体" w:hAnsi="宋体" w:cs="宋体"/>
          <w:b/>
          <w:bCs/>
          <w:color w:val="auto"/>
          <w:szCs w:val="24"/>
          <w:highlight w:val="none"/>
          <w:u w:val="single"/>
        </w:rPr>
        <w:t>设计施工部分投标文件（含资格审查文件），</w:t>
      </w:r>
      <w:r>
        <w:rPr>
          <w:rFonts w:hint="eastAsia" w:ascii="宋体" w:hAnsi="宋体" w:cs="宋体"/>
          <w:b/>
          <w:bCs/>
          <w:color w:val="auto"/>
          <w:kern w:val="0"/>
          <w:szCs w:val="21"/>
          <w:highlight w:val="none"/>
          <w:u w:val="single"/>
        </w:rPr>
        <w:t>经济标投标文件及定标文件</w:t>
      </w:r>
      <w:r>
        <w:rPr>
          <w:rFonts w:hint="eastAsia" w:ascii="宋体" w:hAnsi="宋体" w:cs="宋体"/>
          <w:color w:val="auto"/>
          <w:szCs w:val="24"/>
          <w:highlight w:val="none"/>
        </w:rPr>
        <w:t>三部分组成</w:t>
      </w:r>
      <w:r>
        <w:rPr>
          <w:rFonts w:hint="eastAsia" w:ascii="宋体" w:hAnsi="宋体" w:cs="宋体"/>
          <w:b/>
          <w:color w:val="auto"/>
          <w:szCs w:val="24"/>
          <w:highlight w:val="none"/>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3.1.2设计施工部分投标文件（含资格审查文件）主要包括下列内容：</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1、资格审查文件：</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（1）法定代表人证明书，如投标文件为委托代理人签署应同时附上法定代表人证明书和法定代表人授权书（</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（2）企业营业执照扫描件或电子证照（联合体投标的，指联合体各成员</w:t>
      </w:r>
      <w:r>
        <w:rPr>
          <w:rFonts w:hint="eastAsia" w:ascii="宋体" w:hAnsi="宋体" w:cs="宋体"/>
          <w:color w:val="auto"/>
          <w:kern w:val="0"/>
          <w:szCs w:val="21"/>
          <w:highlight w:val="none"/>
          <w:u w:val="single"/>
          <w:lang w:val="en-US" w:eastAsia="zh-CN"/>
        </w:rPr>
        <w:t>出具</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w:t>
      </w:r>
      <w:bookmarkStart w:id="318" w:name="OLE_LINK2"/>
      <w:r>
        <w:rPr>
          <w:rFonts w:hint="eastAsia" w:ascii="宋体" w:hAnsi="宋体" w:cs="宋体"/>
          <w:color w:val="auto"/>
          <w:kern w:val="0"/>
          <w:szCs w:val="21"/>
          <w:highlight w:val="none"/>
          <w:u w:val="single"/>
        </w:rPr>
        <w:t>企业资质证书</w:t>
      </w:r>
      <w:bookmarkEnd w:id="318"/>
      <w:r>
        <w:rPr>
          <w:rFonts w:hint="eastAsia" w:ascii="宋体" w:hAnsi="宋体" w:cs="宋体"/>
          <w:color w:val="auto"/>
          <w:kern w:val="0"/>
          <w:szCs w:val="21"/>
          <w:highlight w:val="none"/>
          <w:u w:val="single"/>
        </w:rPr>
        <w:t>扫描件或电子证照（联合体投标的，指联合体各成员</w:t>
      </w:r>
      <w:r>
        <w:rPr>
          <w:rFonts w:hint="eastAsia" w:ascii="宋体" w:hAnsi="宋体" w:cs="宋体"/>
          <w:color w:val="auto"/>
          <w:kern w:val="0"/>
          <w:szCs w:val="21"/>
          <w:highlight w:val="none"/>
          <w:u w:val="single"/>
          <w:lang w:val="en-US" w:eastAsia="zh-CN"/>
        </w:rPr>
        <w:t>出具</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（4）建筑施工企业安全生产许可证扫描件或电子证照（</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（5）项目负责人的建造师注册证书扫描件或电子证书（</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（6）设计负责人相关证件扫描件</w:t>
      </w:r>
      <w:r>
        <w:rPr>
          <w:rFonts w:hint="eastAsia" w:ascii="宋体" w:hAnsi="宋体" w:eastAsia="宋体" w:cs="宋体"/>
          <w:color w:val="auto"/>
          <w:kern w:val="0"/>
          <w:sz w:val="21"/>
          <w:szCs w:val="21"/>
          <w:highlight w:val="none"/>
          <w:u w:val="single"/>
        </w:rPr>
        <w:t>（联合体投标的，由联合体设计方提供）</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7）项目负责人安全培训考核合格证（B类）或建筑施工企业项目负责人安全生产考核合格证书扫描件或取自平台上传件；专职安全人员的安全生产考核合格证（C类）或建筑施工企业专职安全生产管理人员安全生产考核合格证书（C3）。扫描件或取自平台上传件（按投标登记时选择拟派专职安全员）。项目负责人与安全员不为同一人；（</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（8）技术负责人职称证书扫描件（</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（9）投标人按照规定的格式及内容要求签署的《投标人声明》（格式见招标公告附件）；</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b/>
          <w:bCs/>
          <w:color w:val="auto"/>
          <w:kern w:val="0"/>
          <w:szCs w:val="21"/>
          <w:highlight w:val="none"/>
          <w:u w:val="single"/>
        </w:rPr>
        <w:t>）；</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（10）</w:t>
      </w:r>
      <w:r>
        <w:rPr>
          <w:rFonts w:hint="eastAsia" w:ascii="宋体" w:hAnsi="宋体" w:cs="宋体"/>
          <w:color w:val="auto"/>
          <w:kern w:val="0"/>
          <w:szCs w:val="21"/>
          <w:highlight w:val="none"/>
          <w:u w:val="single"/>
          <w:lang w:eastAsia="zh-CN"/>
        </w:rPr>
        <w:t>联合体协议书</w:t>
      </w:r>
      <w:r>
        <w:rPr>
          <w:rFonts w:hint="eastAsia" w:ascii="宋体" w:hAnsi="宋体" w:cs="宋体"/>
          <w:color w:val="auto"/>
          <w:kern w:val="0"/>
          <w:szCs w:val="21"/>
          <w:highlight w:val="none"/>
          <w:u w:val="single"/>
        </w:rPr>
        <w:t>（采用联合体投标时需递交，格式见第六章投标文件格式。</w:t>
      </w:r>
      <w:r>
        <w:rPr>
          <w:rFonts w:hint="eastAsia" w:ascii="宋体" w:hAnsi="宋体" w:cs="宋体"/>
          <w:color w:val="auto"/>
          <w:kern w:val="0"/>
          <w:szCs w:val="21"/>
          <w:highlight w:val="none"/>
          <w:u w:val="single"/>
          <w:lang w:eastAsia="zh-CN"/>
        </w:rPr>
        <w:t>联合体协议书</w:t>
      </w:r>
      <w:r>
        <w:rPr>
          <w:rFonts w:hint="eastAsia" w:ascii="宋体" w:hAnsi="宋体" w:cs="宋体"/>
          <w:color w:val="auto"/>
          <w:kern w:val="0"/>
          <w:szCs w:val="21"/>
          <w:highlight w:val="none"/>
          <w:u w:val="single"/>
        </w:rPr>
        <w:t>应明确约定各方拟承担的工作和责任）；</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11）资格审查前，投标人在广州市住建行业信用管理平台建立企业信用档案，且拟担任本项目的项目负责人、专职安全员、设计负责人是本企业信用档案中的在册人员（联合体投标的，信用档案信息和人员在册情况为联合体协议分工对应信用管理平台信息）。</w:t>
      </w:r>
    </w:p>
    <w:p>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rPr>
        <w:t>注：以上资格审查文件内容如投标人取自在广州市住建行业信用管理平台中的上传件，投标人须提交网页信息打印件以供核对。以上所有证书</w:t>
      </w:r>
      <w:r>
        <w:rPr>
          <w:rFonts w:hint="eastAsia" w:ascii="宋体" w:hAnsi="宋体" w:cs="宋体"/>
          <w:b/>
          <w:bCs/>
          <w:color w:val="auto"/>
          <w:kern w:val="0"/>
          <w:szCs w:val="21"/>
          <w:highlight w:val="none"/>
          <w:u w:val="single"/>
        </w:rPr>
        <w:t>扫描件或</w:t>
      </w:r>
      <w:r>
        <w:rPr>
          <w:rFonts w:hint="eastAsia" w:ascii="宋体" w:hAnsi="宋体" w:cs="宋体"/>
          <w:b/>
          <w:bCs/>
          <w:color w:val="auto"/>
          <w:szCs w:val="24"/>
          <w:highlight w:val="none"/>
          <w:u w:val="single"/>
        </w:rPr>
        <w:t>网页信息打印件均需加盖电子印章。</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2、技术投标书（格式见第六章投标文件格式）。</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3、投标承诺书（格式见第六章投标文件格式）。</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4、投标人认为需要提交的其它文件。</w:t>
      </w:r>
    </w:p>
    <w:p>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rPr>
        <w:t>3.1.3经济标投标文件主要包括下列内容:</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1、经济投标书</w:t>
      </w:r>
      <w:r>
        <w:rPr>
          <w:rFonts w:hint="eastAsia" w:ascii="宋体" w:hAnsi="宋体" w:cs="宋体"/>
          <w:color w:val="auto"/>
          <w:kern w:val="0"/>
          <w:szCs w:val="21"/>
          <w:highlight w:val="none"/>
          <w:u w:val="single"/>
        </w:rPr>
        <w:t>（格式见第六章投标文件格式）</w:t>
      </w:r>
      <w:r>
        <w:rPr>
          <w:rFonts w:hint="eastAsia" w:ascii="宋体" w:hAnsi="宋体" w:cs="宋体"/>
          <w:color w:val="auto"/>
          <w:szCs w:val="24"/>
          <w:highlight w:val="none"/>
          <w:u w:val="single"/>
        </w:rPr>
        <w:t>。</w:t>
      </w:r>
    </w:p>
    <w:p>
      <w:pPr>
        <w:spacing w:line="400" w:lineRule="exact"/>
        <w:ind w:firstLine="420" w:firstLineChars="200"/>
        <w:rPr>
          <w:rFonts w:ascii="宋体" w:hAnsi="宋体" w:cs="宋体"/>
          <w:b/>
          <w:bCs/>
          <w:color w:val="auto"/>
          <w:szCs w:val="24"/>
          <w:highlight w:val="none"/>
          <w:u w:val="single"/>
        </w:rPr>
      </w:pPr>
      <w:r>
        <w:rPr>
          <w:rFonts w:hint="eastAsia" w:ascii="宋体" w:hAnsi="宋体" w:cs="宋体"/>
          <w:color w:val="auto"/>
          <w:szCs w:val="24"/>
          <w:highlight w:val="none"/>
          <w:u w:val="single"/>
        </w:rPr>
        <w:t>2、</w:t>
      </w:r>
      <w:r>
        <w:rPr>
          <w:rFonts w:hint="eastAsia" w:ascii="宋体" w:hAnsi="宋体" w:cs="宋体"/>
          <w:b/>
          <w:bCs/>
          <w:color w:val="auto"/>
          <w:szCs w:val="24"/>
          <w:highlight w:val="none"/>
          <w:u w:val="single"/>
        </w:rPr>
        <w:t>若投标人的投标报价低于工程成本警戒价的，投标人还须提供详细的施工组织设计、单价、措施性费用、单价分析表、主要材料价格表、投标人成本分析供评标委员会评审（如有）；</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3、</w:t>
      </w:r>
      <w:r>
        <w:rPr>
          <w:rFonts w:hint="eastAsia" w:ascii="宋体" w:hAnsi="宋体" w:cs="宋体"/>
          <w:color w:val="auto"/>
          <w:kern w:val="0"/>
          <w:szCs w:val="21"/>
          <w:highlight w:val="none"/>
          <w:u w:val="single"/>
        </w:rPr>
        <w:t>投标人认为需要提交的其它文件。</w:t>
      </w:r>
    </w:p>
    <w:p>
      <w:pPr>
        <w:spacing w:line="4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3.1.4定标文件主要包括下列内容：</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1、投标人（联合体各方）的企业单位介绍；</w:t>
      </w:r>
    </w:p>
    <w:p>
      <w:pPr>
        <w:spacing w:line="400" w:lineRule="exact"/>
        <w:ind w:firstLine="420" w:firstLineChars="200"/>
        <w:rPr>
          <w:rFonts w:ascii="宋体" w:hAnsi="宋体" w:cs="宋体"/>
          <w:b/>
          <w:color w:val="auto"/>
          <w:szCs w:val="21"/>
          <w:highlight w:val="none"/>
          <w:u w:val="single"/>
        </w:rPr>
      </w:pPr>
      <w:r>
        <w:rPr>
          <w:rFonts w:hint="eastAsia" w:ascii="宋体" w:hAnsi="宋体" w:cs="宋体"/>
          <w:color w:val="auto"/>
          <w:szCs w:val="24"/>
          <w:highlight w:val="none"/>
          <w:u w:val="single"/>
        </w:rPr>
        <w:t>2、投标人的工程实施方案；</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3、投标人的团队因素文件；</w:t>
      </w:r>
    </w:p>
    <w:p>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4"/>
          <w:highlight w:val="none"/>
          <w:u w:val="single"/>
        </w:rPr>
        <w:t>4、</w:t>
      </w:r>
      <w:r>
        <w:rPr>
          <w:rFonts w:hint="eastAsia" w:ascii="宋体" w:hAnsi="宋体" w:cs="宋体"/>
          <w:color w:val="auto"/>
          <w:kern w:val="0"/>
          <w:szCs w:val="21"/>
          <w:highlight w:val="none"/>
          <w:u w:val="single"/>
        </w:rPr>
        <w:t>投标人认为需要提交的其它文件</w:t>
      </w:r>
      <w:r>
        <w:rPr>
          <w:rFonts w:hint="eastAsia" w:ascii="宋体" w:hAnsi="宋体" w:cs="宋体"/>
          <w:color w:val="auto"/>
          <w:szCs w:val="24"/>
          <w:highlight w:val="none"/>
          <w:u w:val="single"/>
        </w:rPr>
        <w:t>。</w:t>
      </w:r>
    </w:p>
    <w:p>
      <w:pPr>
        <w:keepNext/>
        <w:keepLines/>
        <w:spacing w:before="260" w:after="260" w:line="415" w:lineRule="auto"/>
        <w:ind w:firstLine="137" w:firstLineChars="49"/>
        <w:outlineLvl w:val="2"/>
        <w:rPr>
          <w:rFonts w:ascii="宋体" w:hAnsi="宋体" w:cs="宋体"/>
          <w:bCs/>
          <w:color w:val="auto"/>
          <w:sz w:val="24"/>
          <w:szCs w:val="28"/>
          <w:highlight w:val="none"/>
        </w:rPr>
      </w:pPr>
      <w:bookmarkStart w:id="319" w:name="_Toc26143"/>
      <w:bookmarkStart w:id="320" w:name="_Toc13108"/>
      <w:bookmarkStart w:id="321" w:name="_Toc12325"/>
      <w:bookmarkStart w:id="322" w:name="_Toc30511"/>
      <w:bookmarkStart w:id="323" w:name="_Toc535"/>
      <w:bookmarkStart w:id="324" w:name="_Toc17206"/>
      <w:r>
        <w:rPr>
          <w:rFonts w:hint="eastAsia" w:ascii="宋体" w:hAnsi="宋体" w:cs="宋体"/>
          <w:bCs/>
          <w:color w:val="auto"/>
          <w:sz w:val="28"/>
          <w:szCs w:val="28"/>
          <w:highlight w:val="none"/>
        </w:rPr>
        <w:t>3.2 投标报价</w:t>
      </w:r>
      <w:bookmarkEnd w:id="319"/>
      <w:bookmarkEnd w:id="320"/>
      <w:bookmarkEnd w:id="321"/>
      <w:bookmarkEnd w:id="322"/>
      <w:bookmarkEnd w:id="323"/>
      <w:bookmarkEnd w:id="324"/>
    </w:p>
    <w:p>
      <w:pPr>
        <w:spacing w:line="400" w:lineRule="exact"/>
        <w:ind w:firstLine="420" w:firstLineChars="200"/>
        <w:rPr>
          <w:rFonts w:ascii="宋体" w:hAnsi="宋体" w:cs="宋体"/>
          <w:color w:val="auto"/>
          <w:szCs w:val="24"/>
          <w:highlight w:val="none"/>
        </w:rPr>
      </w:pPr>
      <w:bookmarkStart w:id="325" w:name="_Toc8042"/>
      <w:bookmarkStart w:id="326" w:name="_Toc436834743"/>
      <w:bookmarkStart w:id="327" w:name="_Toc12966"/>
      <w:bookmarkStart w:id="328" w:name="_Toc8600"/>
      <w:bookmarkStart w:id="329" w:name="_Toc19364"/>
      <w:bookmarkStart w:id="330" w:name="_Toc144974516"/>
      <w:bookmarkStart w:id="331" w:name="_Toc436834150"/>
      <w:bookmarkStart w:id="332" w:name="_Toc485211057"/>
      <w:bookmarkStart w:id="333" w:name="_Toc92"/>
      <w:bookmarkStart w:id="334" w:name="_Toc247527573"/>
      <w:bookmarkStart w:id="335" w:name="_Toc6661"/>
      <w:bookmarkStart w:id="336" w:name="_Toc152045548"/>
      <w:bookmarkStart w:id="337" w:name="_Toc399165392"/>
      <w:bookmarkStart w:id="338" w:name="_Toc247513972"/>
      <w:bookmarkStart w:id="339" w:name="_Toc152042324"/>
      <w:bookmarkStart w:id="340" w:name="_Toc300834969"/>
      <w:bookmarkStart w:id="341" w:name="_Toc32164"/>
      <w:r>
        <w:rPr>
          <w:rFonts w:hint="eastAsia" w:ascii="宋体" w:hAnsi="宋体" w:cs="宋体"/>
          <w:color w:val="auto"/>
          <w:szCs w:val="24"/>
          <w:highlight w:val="none"/>
        </w:rPr>
        <w:t>3.2.1 本工程的投标报价按照3.2.3.2项所规定的方式。</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3.2.2 投标人应充分了解施工场地的</w:t>
      </w:r>
      <w:r>
        <w:rPr>
          <w:rFonts w:ascii="宋体" w:hAnsi="宋体" w:cs="宋体"/>
          <w:color w:val="auto"/>
          <w:szCs w:val="24"/>
          <w:highlight w:val="none"/>
        </w:rPr>
        <w:t>位置、周边</w:t>
      </w:r>
      <w:r>
        <w:rPr>
          <w:rFonts w:hint="eastAsia" w:ascii="宋体" w:hAnsi="宋体" w:cs="宋体"/>
          <w:color w:val="auto"/>
          <w:szCs w:val="24"/>
          <w:highlight w:val="none"/>
        </w:rPr>
        <w:t>环境</w:t>
      </w:r>
      <w:r>
        <w:rPr>
          <w:rFonts w:ascii="宋体" w:hAnsi="宋体" w:cs="宋体"/>
          <w:color w:val="auto"/>
          <w:szCs w:val="24"/>
          <w:highlight w:val="none"/>
        </w:rPr>
        <w:t>、道路、装卸、保管、安装限制</w:t>
      </w:r>
      <w:r>
        <w:rPr>
          <w:rFonts w:hint="eastAsia" w:ascii="宋体" w:hAnsi="宋体" w:cs="宋体"/>
          <w:color w:val="auto"/>
          <w:szCs w:val="24"/>
          <w:highlight w:val="none"/>
        </w:rPr>
        <w:t>以</w:t>
      </w:r>
      <w:r>
        <w:rPr>
          <w:rFonts w:ascii="宋体" w:hAnsi="宋体" w:cs="宋体"/>
          <w:color w:val="auto"/>
          <w:szCs w:val="24"/>
          <w:highlight w:val="none"/>
        </w:rPr>
        <w:t>及影响</w:t>
      </w:r>
      <w:r>
        <w:rPr>
          <w:rFonts w:hint="eastAsia" w:ascii="宋体" w:hAnsi="宋体" w:cs="宋体"/>
          <w:color w:val="auto"/>
          <w:szCs w:val="24"/>
          <w:highlight w:val="none"/>
        </w:rPr>
        <w:t>投标报价的其他要素。投标人</w:t>
      </w:r>
      <w:r>
        <w:rPr>
          <w:rFonts w:ascii="宋体" w:hAnsi="宋体" w:cs="宋体"/>
          <w:color w:val="auto"/>
          <w:szCs w:val="24"/>
          <w:highlight w:val="none"/>
        </w:rPr>
        <w:t>根据</w:t>
      </w:r>
      <w:r>
        <w:rPr>
          <w:rFonts w:hint="eastAsia" w:ascii="宋体" w:hAnsi="宋体" w:cs="宋体"/>
          <w:color w:val="auto"/>
          <w:szCs w:val="24"/>
          <w:highlight w:val="none"/>
        </w:rPr>
        <w:t>投标</w:t>
      </w:r>
      <w:r>
        <w:rPr>
          <w:rFonts w:ascii="宋体" w:hAnsi="宋体" w:cs="宋体"/>
          <w:color w:val="auto"/>
          <w:szCs w:val="24"/>
          <w:highlight w:val="none"/>
        </w:rPr>
        <w:t>设计</w:t>
      </w:r>
      <w:r>
        <w:rPr>
          <w:rFonts w:hint="eastAsia" w:ascii="宋体" w:hAnsi="宋体" w:cs="宋体"/>
          <w:color w:val="auto"/>
          <w:szCs w:val="24"/>
          <w:highlight w:val="none"/>
        </w:rPr>
        <w:t>，结合</w:t>
      </w:r>
      <w:r>
        <w:rPr>
          <w:rFonts w:ascii="宋体" w:hAnsi="宋体" w:cs="宋体"/>
          <w:color w:val="auto"/>
          <w:szCs w:val="24"/>
          <w:highlight w:val="none"/>
        </w:rPr>
        <w:t>市场情况进行投标报价。</w:t>
      </w:r>
    </w:p>
    <w:p>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3.2.3 招标人设有最高投标限价的，投标人的投标报价不得超过最高投标限价。详见投标人须知前附表。</w:t>
      </w:r>
    </w:p>
    <w:p>
      <w:pPr>
        <w:spacing w:line="400" w:lineRule="exact"/>
        <w:ind w:firstLine="420" w:firstLineChars="200"/>
        <w:rPr>
          <w:rFonts w:ascii="宋体"/>
          <w:color w:val="auto"/>
          <w:szCs w:val="21"/>
          <w:highlight w:val="none"/>
          <w:u w:val="single"/>
        </w:rPr>
      </w:pPr>
      <w:r>
        <w:rPr>
          <w:rFonts w:hint="eastAsia" w:ascii="宋体"/>
          <w:color w:val="auto"/>
          <w:szCs w:val="21"/>
          <w:highlight w:val="none"/>
          <w:u w:val="single"/>
        </w:rPr>
        <w:t>3.2.3.1招标人按照招标需求制定招标控制价（最高投标限价）。此处的招标控制价（最高投标限价）有两个含义，①</w:t>
      </w:r>
      <w:r>
        <w:rPr>
          <w:rFonts w:hint="eastAsia" w:ascii="宋体"/>
          <w:b/>
          <w:bCs/>
          <w:color w:val="auto"/>
          <w:szCs w:val="21"/>
          <w:highlight w:val="none"/>
          <w:u w:val="single"/>
        </w:rPr>
        <w:t>招标控制（最高投标限价）</w:t>
      </w:r>
      <w:r>
        <w:rPr>
          <w:rFonts w:hint="eastAsia" w:ascii="宋体"/>
          <w:b/>
          <w:bCs/>
          <w:color w:val="auto"/>
          <w:szCs w:val="21"/>
          <w:highlight w:val="none"/>
          <w:u w:val="single"/>
          <w:lang w:val="en-US" w:eastAsia="zh-CN"/>
        </w:rPr>
        <w:t>总价</w:t>
      </w:r>
      <w:r>
        <w:rPr>
          <w:rFonts w:hint="eastAsia" w:ascii="宋体"/>
          <w:color w:val="auto"/>
          <w:szCs w:val="21"/>
          <w:highlight w:val="none"/>
          <w:u w:val="single"/>
        </w:rPr>
        <w:t>，②</w:t>
      </w:r>
      <w:r>
        <w:rPr>
          <w:rFonts w:hint="eastAsia" w:ascii="宋体" w:cs="宋体"/>
          <w:b/>
          <w:bCs/>
          <w:color w:val="auto"/>
          <w:szCs w:val="21"/>
          <w:highlight w:val="none"/>
          <w:u w:val="single"/>
        </w:rPr>
        <w:t>工程设计费最高投标限价</w:t>
      </w:r>
      <w:r>
        <w:rPr>
          <w:rFonts w:hint="eastAsia" w:ascii="宋体"/>
          <w:color w:val="auto"/>
          <w:szCs w:val="21"/>
          <w:highlight w:val="none"/>
          <w:u w:val="single"/>
        </w:rPr>
        <w:t>、</w:t>
      </w:r>
      <w:r>
        <w:rPr>
          <w:rFonts w:hint="eastAsia" w:ascii="宋体" w:cs="宋体"/>
          <w:b/>
          <w:bCs/>
          <w:color w:val="auto"/>
          <w:szCs w:val="21"/>
          <w:highlight w:val="none"/>
          <w:u w:val="single"/>
        </w:rPr>
        <w:t>建安工程费最高投标限价</w:t>
      </w:r>
      <w:r>
        <w:rPr>
          <w:rFonts w:hint="eastAsia" w:ascii="宋体"/>
          <w:color w:val="auto"/>
          <w:szCs w:val="21"/>
          <w:highlight w:val="none"/>
          <w:u w:val="single"/>
        </w:rPr>
        <w:t>。投标人按照招标文件要求内容自行报价。</w:t>
      </w:r>
    </w:p>
    <w:p>
      <w:pPr>
        <w:spacing w:line="400" w:lineRule="exact"/>
        <w:ind w:firstLine="420" w:firstLineChars="200"/>
        <w:rPr>
          <w:rFonts w:ascii="宋体"/>
          <w:color w:val="auto"/>
          <w:szCs w:val="21"/>
          <w:highlight w:val="none"/>
          <w:u w:val="single"/>
        </w:rPr>
      </w:pPr>
      <w:r>
        <w:rPr>
          <w:rFonts w:hint="eastAsia" w:ascii="宋体"/>
          <w:color w:val="auto"/>
          <w:szCs w:val="21"/>
          <w:highlight w:val="none"/>
          <w:u w:val="single"/>
        </w:rPr>
        <w:t>3.2.3.1.1每一项费用只允许有一个报价，任何有选择的报价或未填报单价的投标文件将不予接受。</w:t>
      </w:r>
    </w:p>
    <w:p>
      <w:pPr>
        <w:spacing w:line="400" w:lineRule="exact"/>
        <w:ind w:firstLine="420" w:firstLineChars="200"/>
        <w:rPr>
          <w:rFonts w:ascii="宋体"/>
          <w:color w:val="auto"/>
          <w:szCs w:val="21"/>
          <w:highlight w:val="none"/>
        </w:rPr>
      </w:pPr>
      <w:r>
        <w:rPr>
          <w:rFonts w:hint="eastAsia" w:ascii="宋体"/>
          <w:color w:val="auto"/>
          <w:szCs w:val="21"/>
          <w:highlight w:val="none"/>
          <w:u w:val="single"/>
        </w:rPr>
        <w:t>3.2.3.2投标人的投标总报价，包括工程设计费</w:t>
      </w:r>
      <w:r>
        <w:rPr>
          <w:rFonts w:hint="eastAsia" w:ascii="宋体" w:cs="宋体"/>
          <w:color w:val="auto"/>
          <w:szCs w:val="21"/>
          <w:highlight w:val="none"/>
          <w:u w:val="single"/>
        </w:rPr>
        <w:t>（含税）</w:t>
      </w:r>
      <w:r>
        <w:rPr>
          <w:rFonts w:hint="eastAsia" w:ascii="宋体"/>
          <w:color w:val="auto"/>
          <w:szCs w:val="21"/>
          <w:highlight w:val="none"/>
          <w:u w:val="single"/>
        </w:rPr>
        <w:t>和建安工程费</w:t>
      </w:r>
      <w:r>
        <w:rPr>
          <w:rFonts w:hint="eastAsia" w:ascii="宋体" w:cs="宋体"/>
          <w:color w:val="auto"/>
          <w:szCs w:val="21"/>
          <w:highlight w:val="none"/>
          <w:u w:val="single"/>
        </w:rPr>
        <w:t>（含税）</w:t>
      </w:r>
      <w:r>
        <w:rPr>
          <w:rFonts w:hint="eastAsia" w:ascii="宋体"/>
          <w:color w:val="auto"/>
          <w:szCs w:val="21"/>
          <w:highlight w:val="none"/>
          <w:u w:val="single"/>
        </w:rPr>
        <w:t>。投标人应按照投标人须知前附表第 1.3.2 项的工期要求，在投标人须知前附表第 1.1.5 项的建设地点，完成投标人须知前附表第 1.3.1项的招标范围列明工作的全部费用，包括但不限于完成全部设计、建安工程施工工作的成本、利润、税金、技术措施费、大型机械进出场费、风险费以及政策性文件规定费用等，不得以任何理由予以重复计算。</w:t>
      </w:r>
    </w:p>
    <w:p>
      <w:pPr>
        <w:spacing w:line="360" w:lineRule="auto"/>
        <w:ind w:firstLine="420" w:firstLineChars="200"/>
        <w:rPr>
          <w:color w:val="auto"/>
          <w:szCs w:val="21"/>
          <w:highlight w:val="none"/>
        </w:rPr>
      </w:pPr>
      <w:r>
        <w:rPr>
          <w:rFonts w:hint="eastAsia" w:ascii="宋体"/>
          <w:color w:val="auto"/>
          <w:szCs w:val="21"/>
          <w:highlight w:val="none"/>
        </w:rPr>
        <w:t>3.2.4 投标报价的其他要求见投标人须知前附表。</w:t>
      </w:r>
    </w:p>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342" w:name="_Toc9600"/>
      <w:bookmarkStart w:id="343" w:name="_Toc300834970"/>
      <w:bookmarkStart w:id="344" w:name="_Toc152042325"/>
      <w:bookmarkStart w:id="345" w:name="_Toc436834151"/>
      <w:bookmarkStart w:id="346" w:name="_Toc4826"/>
      <w:bookmarkStart w:id="347" w:name="_Toc485211058"/>
      <w:bookmarkStart w:id="348" w:name="_Toc13045"/>
      <w:bookmarkStart w:id="349" w:name="_Toc13869"/>
      <w:bookmarkStart w:id="350" w:name="_Toc9785"/>
      <w:bookmarkStart w:id="351" w:name="_Toc15039"/>
      <w:bookmarkStart w:id="352" w:name="_Toc10475"/>
      <w:bookmarkStart w:id="353" w:name="_Toc30468"/>
      <w:bookmarkStart w:id="354" w:name="_Toc31054"/>
      <w:bookmarkStart w:id="355" w:name="_Toc247527574"/>
      <w:bookmarkStart w:id="356" w:name="_Toc436834744"/>
      <w:bookmarkStart w:id="357" w:name="_Toc247513973"/>
      <w:bookmarkStart w:id="358" w:name="_Toc152045549"/>
      <w:bookmarkStart w:id="359" w:name="_Toc22871"/>
      <w:bookmarkStart w:id="360" w:name="_Toc144974517"/>
      <w:bookmarkStart w:id="361" w:name="_Toc399165393"/>
      <w:r>
        <w:rPr>
          <w:rFonts w:hint="eastAsia" w:ascii="宋体" w:hAnsi="宋体" w:cs="宋体"/>
          <w:bCs/>
          <w:color w:val="auto"/>
          <w:sz w:val="28"/>
          <w:szCs w:val="28"/>
          <w:highlight w:val="none"/>
        </w:rPr>
        <w:t>3.3 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3.3.1投标有效期按须知前附表的规定。</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3.3.2 在投标有效期内，投标人撤销或修改其投标文件的，应承担招标文件和法律规定的责任。</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362" w:name="_Toc26430"/>
      <w:bookmarkStart w:id="363" w:name="_Toc436834152"/>
      <w:bookmarkStart w:id="364" w:name="_Toc11120"/>
      <w:bookmarkStart w:id="365" w:name="_Toc144974518"/>
      <w:bookmarkStart w:id="366" w:name="_Toc13638"/>
      <w:bookmarkStart w:id="367" w:name="_Toc5853"/>
      <w:bookmarkStart w:id="368" w:name="_Toc152042326"/>
      <w:bookmarkStart w:id="369" w:name="_Toc247527575"/>
      <w:bookmarkStart w:id="370" w:name="_Toc13048"/>
      <w:bookmarkStart w:id="371" w:name="_Toc680"/>
      <w:bookmarkStart w:id="372" w:name="_Toc21972"/>
      <w:bookmarkStart w:id="373" w:name="_Toc6160"/>
      <w:bookmarkStart w:id="374" w:name="_Toc247513974"/>
      <w:bookmarkStart w:id="375" w:name="_Toc31634"/>
      <w:bookmarkStart w:id="376" w:name="_Toc399165394"/>
      <w:bookmarkStart w:id="377" w:name="_Toc485211059"/>
      <w:bookmarkStart w:id="378" w:name="_Toc300834971"/>
      <w:bookmarkStart w:id="379" w:name="_Toc152045550"/>
      <w:bookmarkStart w:id="380" w:name="_Toc26267"/>
      <w:bookmarkStart w:id="381" w:name="_Toc436834745"/>
      <w:r>
        <w:rPr>
          <w:rFonts w:hint="eastAsia" w:ascii="宋体" w:hAnsi="宋体" w:cs="宋体"/>
          <w:bCs/>
          <w:color w:val="auto"/>
          <w:sz w:val="28"/>
          <w:szCs w:val="28"/>
          <w:highlight w:val="none"/>
        </w:rPr>
        <w:t>3.4 投标担保</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3.4.1 投标人在递交投标文件的同时，应按《投标人须知前附表》规定的金额、担保形式递交投标担保，并作为其投标文件的组成部分。联合体投标的，其投标担保由主办方递交，并应符合《投标人须知前附表》的规定。</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3.4.2 投标人不按本章第3.4.1项要求提交投标担保的，评标委员会将否决其投标。</w:t>
      </w:r>
    </w:p>
    <w:p>
      <w:pPr>
        <w:spacing w:line="400" w:lineRule="exact"/>
        <w:ind w:firstLine="422" w:firstLineChars="200"/>
        <w:rPr>
          <w:rFonts w:ascii="宋体" w:hAnsi="宋体" w:cs="宋体"/>
          <w:b/>
          <w:color w:val="auto"/>
          <w:szCs w:val="24"/>
          <w:highlight w:val="none"/>
        </w:rPr>
      </w:pPr>
      <w:r>
        <w:rPr>
          <w:rFonts w:hint="eastAsia" w:ascii="宋体" w:hAnsi="宋体" w:cs="宋体"/>
          <w:b/>
          <w:color w:val="auto"/>
          <w:szCs w:val="24"/>
          <w:highlight w:val="none"/>
        </w:rPr>
        <w:t>3.4.3未中标的投标担保将尽快退还，最迟不超过招标人与中标人签定合同后的5个工作日。中标人的投标担保，在签署合同后予以退还。</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3.4.4 有下列情形之一的，投标担保将不予退还：</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（1）投标人在规定的投标有效期内撤销或修改其投标文件；</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（2）中标人在收到中标通知书后，无正当理由拒签合同。</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382" w:name="_Toc485211060"/>
      <w:bookmarkStart w:id="383" w:name="_Toc436834153"/>
      <w:bookmarkStart w:id="384" w:name="_Toc247513975"/>
      <w:bookmarkStart w:id="385" w:name="_Toc432"/>
      <w:bookmarkStart w:id="386" w:name="_Toc16018"/>
      <w:bookmarkStart w:id="387" w:name="_Toc152045551"/>
      <w:bookmarkStart w:id="388" w:name="_Toc29352"/>
      <w:bookmarkStart w:id="389" w:name="_Toc20469"/>
      <w:bookmarkStart w:id="390" w:name="_Toc3053"/>
      <w:bookmarkStart w:id="391" w:name="_Toc22700"/>
      <w:bookmarkStart w:id="392" w:name="_Toc24641"/>
      <w:bookmarkStart w:id="393" w:name="_Toc26980"/>
      <w:bookmarkStart w:id="394" w:name="_Toc144974519"/>
      <w:bookmarkStart w:id="395" w:name="_Toc5399"/>
      <w:bookmarkStart w:id="396" w:name="_Toc152042327"/>
      <w:bookmarkStart w:id="397" w:name="_Toc10212"/>
      <w:bookmarkStart w:id="398" w:name="_Toc247527576"/>
      <w:bookmarkStart w:id="399" w:name="_Toc300834972"/>
      <w:bookmarkStart w:id="400" w:name="_Toc436834746"/>
      <w:bookmarkStart w:id="401" w:name="_Toc399165395"/>
      <w:r>
        <w:rPr>
          <w:rFonts w:hint="eastAsia" w:ascii="宋体" w:hAnsi="宋体" w:cs="宋体"/>
          <w:bCs/>
          <w:color w:val="auto"/>
          <w:sz w:val="28"/>
          <w:szCs w:val="28"/>
          <w:highlight w:val="none"/>
        </w:rPr>
        <w:t>3.5 资格审查资料</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采用电子化资格后审</w:t>
      </w:r>
      <w:bookmarkStart w:id="402" w:name="_Toc439240619"/>
      <w:bookmarkStart w:id="403" w:name="_Toc357089532"/>
      <w:bookmarkStart w:id="404" w:name="_Toc439246018"/>
      <w:bookmarkStart w:id="405" w:name="_Toc356469198"/>
      <w:r>
        <w:rPr>
          <w:rFonts w:hint="eastAsia" w:ascii="宋体" w:hAnsi="宋体" w:cs="宋体"/>
          <w:color w:val="auto"/>
          <w:szCs w:val="24"/>
          <w:highlight w:val="none"/>
          <w:u w:val="single"/>
        </w:rPr>
        <w:t>，由评标委员会负</w:t>
      </w:r>
      <w:bookmarkEnd w:id="402"/>
      <w:bookmarkEnd w:id="403"/>
      <w:bookmarkEnd w:id="404"/>
      <w:bookmarkEnd w:id="405"/>
      <w:r>
        <w:rPr>
          <w:rFonts w:hint="eastAsia" w:ascii="宋体" w:hAnsi="宋体" w:cs="宋体"/>
          <w:color w:val="auto"/>
          <w:szCs w:val="24"/>
          <w:highlight w:val="none"/>
          <w:u w:val="single"/>
        </w:rPr>
        <w:t>责对投标人的资格进行审查，评标时只对通过资格审查的投标人进行下一阶段的评审。</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406" w:name="_Toc20485"/>
      <w:bookmarkStart w:id="407" w:name="_Toc247513977"/>
      <w:bookmarkStart w:id="408" w:name="_Toc144974521"/>
      <w:bookmarkStart w:id="409" w:name="_Toc14964"/>
      <w:bookmarkStart w:id="410" w:name="_Toc300834974"/>
      <w:bookmarkStart w:id="411" w:name="_Toc15173"/>
      <w:bookmarkStart w:id="412" w:name="_Toc436834747"/>
      <w:bookmarkStart w:id="413" w:name="_Toc21267"/>
      <w:bookmarkStart w:id="414" w:name="_Toc19287"/>
      <w:bookmarkStart w:id="415" w:name="_Toc16473"/>
      <w:bookmarkStart w:id="416" w:name="_Toc19123"/>
      <w:bookmarkStart w:id="417" w:name="_Toc27106"/>
      <w:bookmarkStart w:id="418" w:name="_Toc436834154"/>
      <w:bookmarkStart w:id="419" w:name="_Toc399165396"/>
      <w:bookmarkStart w:id="420" w:name="_Toc152045553"/>
      <w:bookmarkStart w:id="421" w:name="_Toc152042329"/>
      <w:bookmarkStart w:id="422" w:name="_Toc247527578"/>
      <w:bookmarkStart w:id="423" w:name="_Toc485211061"/>
      <w:bookmarkStart w:id="424" w:name="_Toc7912"/>
      <w:bookmarkStart w:id="425" w:name="_Toc30313"/>
      <w:r>
        <w:rPr>
          <w:rFonts w:hint="eastAsia" w:ascii="宋体" w:hAnsi="宋体" w:cs="宋体"/>
          <w:bCs/>
          <w:color w:val="auto"/>
          <w:sz w:val="28"/>
          <w:szCs w:val="28"/>
          <w:highlight w:val="none"/>
        </w:rPr>
        <w:t>3.6 备选投标方案</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除《投标人须知前附表》另有规定外，投标人不得递交备选投标方案。</w:t>
      </w:r>
    </w:p>
    <w:p>
      <w:pPr>
        <w:spacing w:line="400" w:lineRule="exact"/>
        <w:ind w:firstLine="420" w:firstLineChars="200"/>
        <w:rPr>
          <w:rFonts w:ascii="宋体" w:hAnsi="宋体" w:cs="宋体"/>
          <w:color w:val="auto"/>
          <w:szCs w:val="24"/>
          <w:highlight w:val="none"/>
        </w:rPr>
      </w:pPr>
      <w:bookmarkStart w:id="426" w:name="_Toc28735"/>
      <w:bookmarkStart w:id="427" w:name="_Toc891"/>
      <w:bookmarkStart w:id="428" w:name="_Toc152042330"/>
      <w:bookmarkStart w:id="429" w:name="_Toc436834155"/>
      <w:bookmarkStart w:id="430" w:name="_Toc247513978"/>
      <w:bookmarkStart w:id="431" w:name="_Toc9691"/>
      <w:bookmarkStart w:id="432" w:name="_Toc19858"/>
      <w:bookmarkStart w:id="433" w:name="_Toc19573"/>
      <w:bookmarkStart w:id="434" w:name="_Toc300834975"/>
      <w:bookmarkStart w:id="435" w:name="_Toc144974522"/>
      <w:bookmarkStart w:id="436" w:name="_Toc152045554"/>
      <w:bookmarkStart w:id="437" w:name="_Toc10840"/>
      <w:bookmarkStart w:id="438" w:name="_Toc436834748"/>
      <w:bookmarkStart w:id="439" w:name="_Toc485211062"/>
      <w:bookmarkStart w:id="440" w:name="_Toc12905"/>
      <w:bookmarkStart w:id="441" w:name="_Toc399165397"/>
      <w:bookmarkStart w:id="442" w:name="_Toc247527579"/>
      <w:bookmarkStart w:id="443" w:name="_Toc18853"/>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444" w:name="_Toc21558"/>
      <w:bookmarkStart w:id="445" w:name="_Toc30912"/>
      <w:r>
        <w:rPr>
          <w:rFonts w:hint="eastAsia" w:ascii="宋体" w:hAnsi="宋体" w:cs="宋体"/>
          <w:bCs/>
          <w:color w:val="auto"/>
          <w:sz w:val="28"/>
          <w:szCs w:val="28"/>
          <w:highlight w:val="none"/>
        </w:rPr>
        <w:t>3.7 投标文件</w:t>
      </w:r>
      <w:r>
        <w:rPr>
          <w:rFonts w:hint="eastAsia" w:ascii="宋体" w:hAnsi="宋体" w:cs="宋体"/>
          <w:bCs/>
          <w:color w:val="auto"/>
          <w:sz w:val="28"/>
          <w:szCs w:val="28"/>
          <w:highlight w:val="none"/>
          <w:u w:val="single"/>
        </w:rPr>
        <w:t>及</w:t>
      </w:r>
      <w:r>
        <w:rPr>
          <w:rFonts w:hint="eastAsia" w:ascii="宋体" w:hAnsi="宋体" w:cs="宋体"/>
          <w:b/>
          <w:bCs w:val="0"/>
          <w:color w:val="auto"/>
          <w:sz w:val="28"/>
          <w:szCs w:val="28"/>
          <w:highlight w:val="none"/>
          <w:u w:val="single"/>
        </w:rPr>
        <w:t>定标文件</w:t>
      </w:r>
      <w:r>
        <w:rPr>
          <w:rFonts w:hint="eastAsia" w:ascii="宋体" w:hAnsi="宋体" w:cs="宋体"/>
          <w:bCs/>
          <w:color w:val="auto"/>
          <w:sz w:val="28"/>
          <w:szCs w:val="28"/>
          <w:highlight w:val="none"/>
        </w:rPr>
        <w:t>的编制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3.7.1 </w:t>
      </w:r>
      <w:r>
        <w:rPr>
          <w:rFonts w:hint="eastAsia" w:ascii="宋体" w:hAnsi="宋体" w:cs="宋体"/>
          <w:color w:val="auto"/>
          <w:szCs w:val="24"/>
          <w:highlight w:val="none"/>
          <w:u w:val="single"/>
        </w:rPr>
        <w:t>招标文件第六章“投标文件格式”有提供格式要求的投标文件应其按进行编写盖电子签章</w:t>
      </w:r>
      <w:r>
        <w:rPr>
          <w:rFonts w:hint="eastAsia" w:ascii="宋体" w:hAnsi="宋体" w:cs="宋体"/>
          <w:color w:val="auto"/>
          <w:szCs w:val="24"/>
          <w:highlight w:val="none"/>
        </w:rPr>
        <w:t>，如有必要，可以增加附页，作为投标文件的组成部分。其中，投标书在满足招标文件实质性要求的基础上，可以提出比招标文件要求更有利于招标人的承诺。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4"/>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3.7.3投标文件及定标文件编制要求：</w:t>
      </w:r>
    </w:p>
    <w:p>
      <w:pPr>
        <w:spacing w:line="400" w:lineRule="exact"/>
        <w:ind w:firstLine="420" w:firstLineChars="200"/>
        <w:rPr>
          <w:rFonts w:ascii="宋体" w:hAnsi="宋体" w:cs="宋体"/>
          <w:color w:val="auto"/>
          <w:sz w:val="24"/>
          <w:highlight w:val="none"/>
          <w:u w:val="single"/>
        </w:rPr>
      </w:pPr>
      <w:r>
        <w:rPr>
          <w:rFonts w:hint="eastAsia" w:ascii="宋体" w:hAnsi="宋体" w:cs="宋体"/>
          <w:color w:val="auto"/>
          <w:szCs w:val="24"/>
          <w:highlight w:val="none"/>
          <w:u w:val="single"/>
        </w:rPr>
        <w:t>（1）</w:t>
      </w:r>
      <w:r>
        <w:rPr>
          <w:rFonts w:hint="eastAsia" w:ascii="宋体" w:hAnsi="宋体" w:cs="宋体"/>
          <w:b/>
          <w:bCs/>
          <w:color w:val="auto"/>
          <w:szCs w:val="24"/>
          <w:highlight w:val="none"/>
          <w:u w:val="single"/>
        </w:rPr>
        <w:t>投标文件及定标文件须分别编制</w:t>
      </w:r>
      <w:r>
        <w:rPr>
          <w:rFonts w:hint="eastAsia" w:ascii="宋体" w:hAnsi="宋体" w:cs="宋体"/>
          <w:color w:val="auto"/>
          <w:szCs w:val="24"/>
          <w:highlight w:val="none"/>
          <w:u w:val="single"/>
        </w:rPr>
        <w:t>。</w:t>
      </w:r>
    </w:p>
    <w:p>
      <w:pPr>
        <w:tabs>
          <w:tab w:val="left" w:pos="1125"/>
        </w:tabs>
        <w:spacing w:line="360" w:lineRule="auto"/>
        <w:ind w:firstLine="420" w:firstLineChars="200"/>
        <w:rPr>
          <w:rFonts w:ascii="宋体" w:hAnsi="宋体" w:cs="宋体"/>
          <w:color w:val="auto"/>
          <w:sz w:val="24"/>
          <w:szCs w:val="24"/>
          <w:highlight w:val="none"/>
        </w:rPr>
      </w:pPr>
      <w:r>
        <w:rPr>
          <w:rFonts w:hint="eastAsia" w:ascii="宋体" w:hAnsi="宋体" w:cs="宋体"/>
          <w:color w:val="auto"/>
          <w:szCs w:val="24"/>
          <w:highlight w:val="none"/>
          <w:u w:val="single"/>
        </w:rPr>
        <w:t>（2）投标文件全部采用电子文档，投标文件应按广州公共资源交易中心平台相关操作指南编制。投标文件所附证书证件均为原件扫描件，并采用单位数字证书，按招标文件要求在相应位置加盖电子印章。投标文件中需个人签字或盖章的，应加盖个人电子印章或在线下完成后扫描上传</w:t>
      </w:r>
      <w:r>
        <w:rPr>
          <w:rFonts w:hint="eastAsia" w:ascii="仿宋" w:hAnsi="仿宋" w:eastAsia="仿宋" w:cs="宋体"/>
          <w:b/>
          <w:color w:val="auto"/>
          <w:kern w:val="0"/>
          <w:sz w:val="22"/>
          <w:highlight w:val="none"/>
        </w:rPr>
        <w:t>。</w:t>
      </w:r>
      <w:r>
        <w:rPr>
          <w:rFonts w:hint="eastAsia" w:ascii="宋体" w:hAnsi="宋体" w:cs="宋体"/>
          <w:color w:val="auto"/>
          <w:szCs w:val="24"/>
          <w:highlight w:val="none"/>
          <w:u w:val="single"/>
        </w:rPr>
        <w:t>具体操作详见交易平台相关操作指南。</w:t>
      </w:r>
      <w:r>
        <w:rPr>
          <w:rFonts w:hint="eastAsia" w:ascii="宋体" w:cs="宋体"/>
          <w:color w:val="auto"/>
          <w:highlight w:val="none"/>
          <w:u w:val="single"/>
        </w:rPr>
        <w:t>联合体投标的，除</w:t>
      </w:r>
      <w:r>
        <w:rPr>
          <w:rFonts w:hint="eastAsia" w:ascii="宋体" w:cs="宋体"/>
          <w:color w:val="auto"/>
          <w:highlight w:val="none"/>
          <w:u w:val="single"/>
          <w:lang w:eastAsia="zh-CN"/>
        </w:rPr>
        <w:t>联合体协议书</w:t>
      </w:r>
      <w:r>
        <w:rPr>
          <w:rFonts w:hint="eastAsia" w:ascii="宋体" w:cs="宋体"/>
          <w:color w:val="auto"/>
          <w:highlight w:val="none"/>
          <w:u w:val="single"/>
        </w:rPr>
        <w:t>需联合体各方同时签字或盖章外，法定代表人证明书及授权委托证明书可由联合体主办方出具，其中“单位”一栏可只填写联合体主办方名称外，其他内容及落款中的“投标人”“声明企业”应填写联合体各方的单位全称【参考格式表示为：（主）XXXX公司（成）XXXX公司】，由联合体主办方签字、盖章即可</w:t>
      </w:r>
      <w:r>
        <w:rPr>
          <w:rFonts w:hint="eastAsia" w:ascii="宋体" w:hAnsi="宋体"/>
          <w:b/>
          <w:color w:val="auto"/>
          <w:highlight w:val="none"/>
          <w:u w:val="single"/>
        </w:rPr>
        <w:t>（含设计施工部分投标文件（含资格审查文件）及经济标投标文件及定标文件</w:t>
      </w:r>
      <w:r>
        <w:rPr>
          <w:rFonts w:hint="eastAsia" w:ascii="宋体" w:hAnsi="宋体"/>
          <w:b/>
          <w:bCs/>
          <w:color w:val="auto"/>
          <w:szCs w:val="21"/>
          <w:highlight w:val="none"/>
          <w:u w:val="single"/>
        </w:rPr>
        <w:t>）</w:t>
      </w:r>
      <w:r>
        <w:rPr>
          <w:rFonts w:hint="eastAsia" w:ascii="宋体" w:cs="宋体"/>
          <w:color w:val="auto"/>
          <w:highlight w:val="none"/>
          <w:u w:val="single"/>
        </w:rPr>
        <w:t>。</w:t>
      </w:r>
    </w:p>
    <w:p>
      <w:pPr>
        <w:spacing w:line="400" w:lineRule="exact"/>
        <w:ind w:firstLine="420" w:firstLineChars="200"/>
        <w:rPr>
          <w:rFonts w:ascii="宋体" w:hAnsi="宋体" w:cs="宋体"/>
          <w:color w:val="auto"/>
          <w:szCs w:val="24"/>
          <w:highlight w:val="none"/>
        </w:rPr>
      </w:pPr>
    </w:p>
    <w:p>
      <w:pPr>
        <w:spacing w:line="400" w:lineRule="exact"/>
        <w:ind w:firstLine="420" w:firstLineChars="200"/>
        <w:rPr>
          <w:rFonts w:ascii="宋体" w:hAnsi="宋体" w:cs="宋体"/>
          <w:color w:val="auto"/>
          <w:szCs w:val="24"/>
          <w:highlight w:val="none"/>
        </w:rPr>
      </w:pPr>
      <w:bookmarkStart w:id="446" w:name="_Toc247513979"/>
      <w:bookmarkStart w:id="447" w:name="_Toc18477"/>
      <w:bookmarkStart w:id="448" w:name="_Toc18915"/>
      <w:bookmarkStart w:id="449" w:name="_Toc247527580"/>
      <w:bookmarkStart w:id="450" w:name="_Toc19642"/>
      <w:bookmarkStart w:id="451" w:name="_Toc8135"/>
      <w:bookmarkStart w:id="452" w:name="_Toc144974523"/>
      <w:bookmarkStart w:id="453" w:name="_Toc384759600"/>
      <w:bookmarkStart w:id="454" w:name="_Toc19013"/>
      <w:bookmarkStart w:id="455" w:name="_Toc152042331"/>
      <w:bookmarkStart w:id="456" w:name="_Toc436834156"/>
      <w:bookmarkStart w:id="457" w:name="_Toc436834749"/>
      <w:bookmarkStart w:id="458" w:name="_Toc8014"/>
      <w:bookmarkStart w:id="459" w:name="_Toc485211063"/>
      <w:bookmarkStart w:id="460" w:name="_Toc22778"/>
      <w:bookmarkStart w:id="461" w:name="_Toc152045555"/>
      <w:bookmarkStart w:id="462" w:name="_Toc5356"/>
      <w:bookmarkStart w:id="463" w:name="_Toc144974525"/>
      <w:bookmarkStart w:id="464" w:name="_Toc247513981"/>
      <w:bookmarkStart w:id="465" w:name="_Toc247527582"/>
      <w:bookmarkStart w:id="466" w:name="_Toc152045557"/>
      <w:bookmarkStart w:id="467" w:name="_Toc399165400"/>
      <w:bookmarkStart w:id="468" w:name="_Toc300834978"/>
      <w:bookmarkStart w:id="469" w:name="_Toc152042333"/>
    </w:p>
    <w:p>
      <w:pPr>
        <w:keepNext/>
        <w:keepLines/>
        <w:spacing w:before="260" w:after="260" w:line="415" w:lineRule="auto"/>
        <w:outlineLvl w:val="1"/>
        <w:rPr>
          <w:rFonts w:ascii="宋体" w:hAnsi="宋体" w:cs="宋体"/>
          <w:b/>
          <w:bCs/>
          <w:color w:val="auto"/>
          <w:sz w:val="32"/>
          <w:szCs w:val="32"/>
          <w:highlight w:val="none"/>
        </w:rPr>
      </w:pPr>
      <w:bookmarkStart w:id="470" w:name="_Toc4201"/>
      <w:bookmarkStart w:id="471" w:name="_Toc14461"/>
      <w:r>
        <w:rPr>
          <w:rFonts w:hint="eastAsia" w:ascii="宋体" w:hAnsi="宋体" w:cs="宋体"/>
          <w:b/>
          <w:bCs/>
          <w:color w:val="auto"/>
          <w:sz w:val="32"/>
          <w:szCs w:val="32"/>
          <w:highlight w:val="none"/>
        </w:rPr>
        <w:t>4. 投标</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70"/>
      <w:bookmarkEnd w:id="471"/>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472" w:name="_Toc26110"/>
      <w:bookmarkStart w:id="473" w:name="_Toc247513980"/>
      <w:bookmarkStart w:id="474" w:name="_Toc485211064"/>
      <w:bookmarkStart w:id="475" w:name="_Toc32403"/>
      <w:bookmarkStart w:id="476" w:name="_Toc12356"/>
      <w:bookmarkStart w:id="477" w:name="_Toc14380"/>
      <w:bookmarkStart w:id="478" w:name="_Toc25808"/>
      <w:bookmarkStart w:id="479" w:name="_Toc152042332"/>
      <w:bookmarkStart w:id="480" w:name="_Toc28266"/>
      <w:bookmarkStart w:id="481" w:name="_Toc247527581"/>
      <w:bookmarkStart w:id="482" w:name="_Toc384759601"/>
      <w:bookmarkStart w:id="483" w:name="_Toc28008"/>
      <w:bookmarkStart w:id="484" w:name="_Toc436834750"/>
      <w:bookmarkStart w:id="485" w:name="_Toc8390"/>
      <w:bookmarkStart w:id="486" w:name="_Toc26252"/>
      <w:bookmarkStart w:id="487" w:name="_Toc152045556"/>
      <w:bookmarkStart w:id="488" w:name="_Toc436834157"/>
      <w:bookmarkStart w:id="489" w:name="_Toc21175"/>
      <w:bookmarkStart w:id="490" w:name="_Toc144974524"/>
      <w:r>
        <w:rPr>
          <w:rFonts w:hint="eastAsia" w:ascii="宋体" w:hAnsi="宋体" w:cs="宋体"/>
          <w:bCs/>
          <w:color w:val="auto"/>
          <w:sz w:val="28"/>
          <w:szCs w:val="28"/>
          <w:highlight w:val="none"/>
        </w:rPr>
        <w:t xml:space="preserve">4.1 </w:t>
      </w:r>
      <w:r>
        <w:rPr>
          <w:rFonts w:hint="eastAsia" w:ascii="宋体" w:hAnsi="宋体" w:cs="宋体"/>
          <w:b/>
          <w:bCs w:val="0"/>
          <w:color w:val="auto"/>
          <w:sz w:val="28"/>
          <w:szCs w:val="28"/>
          <w:highlight w:val="none"/>
        </w:rPr>
        <w:t>投标文件</w:t>
      </w:r>
      <w:r>
        <w:rPr>
          <w:rFonts w:hint="eastAsia" w:ascii="宋体" w:hAnsi="宋体" w:cs="宋体"/>
          <w:b/>
          <w:bCs w:val="0"/>
          <w:color w:val="auto"/>
          <w:sz w:val="28"/>
          <w:szCs w:val="28"/>
          <w:highlight w:val="none"/>
          <w:u w:val="single"/>
        </w:rPr>
        <w:t>及定标文件</w:t>
      </w:r>
      <w:r>
        <w:rPr>
          <w:rFonts w:hint="eastAsia" w:ascii="宋体" w:hAnsi="宋体" w:cs="宋体"/>
          <w:bCs/>
          <w:color w:val="auto"/>
          <w:sz w:val="28"/>
          <w:szCs w:val="28"/>
          <w:highlight w:val="none"/>
        </w:rPr>
        <w:t>的密封和标记</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4.1.1投标人应当按照招标文件和电子招标投标交易平台的要求加密</w:t>
      </w:r>
      <w:r>
        <w:rPr>
          <w:rFonts w:hint="eastAsia" w:ascii="宋体" w:hAnsi="宋体" w:cs="宋体"/>
          <w:color w:val="auto"/>
          <w:szCs w:val="24"/>
          <w:highlight w:val="none"/>
          <w:u w:val="single"/>
        </w:rPr>
        <w:t>投标文件及定标文件</w:t>
      </w:r>
      <w:r>
        <w:rPr>
          <w:rFonts w:hint="eastAsia" w:ascii="宋体" w:hAnsi="宋体" w:cs="宋体"/>
          <w:color w:val="auto"/>
          <w:szCs w:val="24"/>
          <w:highlight w:val="none"/>
        </w:rPr>
        <w:t>，具体操作详见《房屋建筑和市政基础设施工程全流程电子化项目专章》；</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4.1.2 投标文件封套上应写明的内容见投标人须知前附表。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491" w:name="_Toc20463"/>
      <w:bookmarkStart w:id="492" w:name="_Toc18437"/>
      <w:bookmarkStart w:id="493" w:name="_Toc436834751"/>
      <w:bookmarkStart w:id="494" w:name="_Toc8844"/>
      <w:bookmarkStart w:id="495" w:name="_Toc7217"/>
      <w:bookmarkStart w:id="496" w:name="_Toc13525"/>
      <w:bookmarkStart w:id="497" w:name="_Toc485211065"/>
      <w:bookmarkStart w:id="498" w:name="_Toc10998"/>
      <w:bookmarkStart w:id="499" w:name="_Toc26573"/>
      <w:bookmarkStart w:id="500" w:name="_Toc20862"/>
      <w:bookmarkStart w:id="501" w:name="_Toc22154"/>
      <w:bookmarkStart w:id="502" w:name="_Toc436834158"/>
      <w:bookmarkStart w:id="503" w:name="_Toc29781"/>
      <w:r>
        <w:rPr>
          <w:rFonts w:hint="eastAsia" w:ascii="宋体" w:hAnsi="宋体" w:cs="宋体"/>
          <w:bCs/>
          <w:color w:val="auto"/>
          <w:sz w:val="28"/>
          <w:szCs w:val="28"/>
          <w:highlight w:val="none"/>
        </w:rPr>
        <w:t>4.2 投标文件</w:t>
      </w:r>
      <w:r>
        <w:rPr>
          <w:rFonts w:hint="eastAsia" w:ascii="宋体" w:hAnsi="宋体" w:cs="宋体"/>
          <w:bCs/>
          <w:color w:val="auto"/>
          <w:sz w:val="28"/>
          <w:szCs w:val="28"/>
          <w:highlight w:val="none"/>
          <w:u w:val="single"/>
        </w:rPr>
        <w:t>及定标文件</w:t>
      </w:r>
      <w:r>
        <w:rPr>
          <w:rFonts w:hint="eastAsia" w:ascii="宋体" w:hAnsi="宋体" w:cs="宋体"/>
          <w:bCs/>
          <w:color w:val="auto"/>
          <w:sz w:val="28"/>
          <w:szCs w:val="28"/>
          <w:highlight w:val="none"/>
        </w:rPr>
        <w:t>的递交</w:t>
      </w:r>
      <w:bookmarkEnd w:id="463"/>
      <w:bookmarkEnd w:id="464"/>
      <w:bookmarkEnd w:id="465"/>
      <w:bookmarkEnd w:id="466"/>
      <w:bookmarkEnd w:id="467"/>
      <w:bookmarkEnd w:id="468"/>
      <w:bookmarkEnd w:id="469"/>
      <w:bookmarkEnd w:id="491"/>
      <w:bookmarkEnd w:id="492"/>
      <w:bookmarkEnd w:id="493"/>
      <w:bookmarkEnd w:id="494"/>
      <w:bookmarkEnd w:id="495"/>
      <w:bookmarkEnd w:id="496"/>
      <w:bookmarkEnd w:id="497"/>
      <w:bookmarkEnd w:id="498"/>
      <w:bookmarkEnd w:id="499"/>
      <w:bookmarkEnd w:id="500"/>
      <w:bookmarkEnd w:id="501"/>
      <w:bookmarkEnd w:id="502"/>
      <w:bookmarkEnd w:id="503"/>
    </w:p>
    <w:p>
      <w:pPr>
        <w:spacing w:line="400" w:lineRule="exact"/>
        <w:ind w:firstLine="420" w:firstLineChars="200"/>
        <w:rPr>
          <w:rFonts w:ascii="宋体" w:hAnsi="宋体" w:cs="宋体"/>
          <w:color w:val="auto"/>
          <w:szCs w:val="24"/>
          <w:highlight w:val="none"/>
        </w:rPr>
      </w:pPr>
      <w:bookmarkStart w:id="504" w:name="_Toc152045558"/>
      <w:bookmarkStart w:id="505" w:name="_Toc152042334"/>
      <w:bookmarkStart w:id="506" w:name="_Toc247527583"/>
      <w:bookmarkStart w:id="507" w:name="_Toc399165401"/>
      <w:bookmarkStart w:id="508" w:name="_Toc300834979"/>
      <w:bookmarkStart w:id="509" w:name="_Toc144974526"/>
      <w:bookmarkStart w:id="510" w:name="_Toc247513982"/>
      <w:r>
        <w:rPr>
          <w:rFonts w:hint="eastAsia" w:ascii="宋体" w:hAnsi="宋体" w:cs="宋体"/>
          <w:color w:val="auto"/>
          <w:szCs w:val="24"/>
          <w:highlight w:val="none"/>
        </w:rPr>
        <w:t>4.2.1投标人代表应按投标人须知前附表所规定的时间和地点向招标人提交投标文件及定标文件。</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4.2.2 投标人递交投标文件的地点：见投标人须知前附表。</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4.2.3 除投标人须知前附表另有规定外，投标人所递交的投标文件不予退还。</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4.2.4 </w:t>
      </w:r>
      <w:r>
        <w:rPr>
          <w:rFonts w:hint="eastAsia" w:ascii="宋体" w:cs="宋体"/>
          <w:color w:val="auto"/>
          <w:szCs w:val="21"/>
          <w:highlight w:val="none"/>
          <w:u w:val="single"/>
        </w:rPr>
        <w:t>投</w:t>
      </w:r>
      <w:r>
        <w:rPr>
          <w:rFonts w:hint="eastAsia" w:ascii="宋体" w:cs="宋体"/>
          <w:color w:val="auto"/>
          <w:spacing w:val="-2"/>
          <w:szCs w:val="21"/>
          <w:highlight w:val="none"/>
          <w:u w:val="single"/>
        </w:rPr>
        <w:t>标</w:t>
      </w:r>
      <w:r>
        <w:rPr>
          <w:rFonts w:hint="eastAsia" w:ascii="宋体" w:cs="宋体"/>
          <w:color w:val="auto"/>
          <w:szCs w:val="21"/>
          <w:highlight w:val="none"/>
          <w:u w:val="single"/>
        </w:rPr>
        <w:t>人</w:t>
      </w:r>
      <w:r>
        <w:rPr>
          <w:rFonts w:hint="eastAsia" w:ascii="宋体" w:cs="宋体"/>
          <w:color w:val="auto"/>
          <w:spacing w:val="-2"/>
          <w:szCs w:val="21"/>
          <w:highlight w:val="none"/>
          <w:u w:val="single"/>
        </w:rPr>
        <w:t>完</w:t>
      </w:r>
      <w:r>
        <w:rPr>
          <w:rFonts w:hint="eastAsia" w:ascii="宋体" w:cs="宋体"/>
          <w:color w:val="auto"/>
          <w:szCs w:val="21"/>
          <w:highlight w:val="none"/>
          <w:u w:val="single"/>
        </w:rPr>
        <w:t>成</w:t>
      </w:r>
      <w:r>
        <w:rPr>
          <w:rFonts w:hint="eastAsia" w:ascii="宋体" w:cs="宋体"/>
          <w:color w:val="auto"/>
          <w:spacing w:val="-2"/>
          <w:szCs w:val="21"/>
          <w:highlight w:val="none"/>
          <w:u w:val="single"/>
        </w:rPr>
        <w:t>电</w:t>
      </w:r>
      <w:r>
        <w:rPr>
          <w:rFonts w:hint="eastAsia" w:ascii="宋体" w:cs="宋体"/>
          <w:color w:val="auto"/>
          <w:szCs w:val="21"/>
          <w:highlight w:val="none"/>
          <w:u w:val="single"/>
        </w:rPr>
        <w:t>子投</w:t>
      </w:r>
      <w:r>
        <w:rPr>
          <w:rFonts w:hint="eastAsia" w:ascii="宋体" w:cs="宋体"/>
          <w:color w:val="auto"/>
          <w:spacing w:val="-2"/>
          <w:szCs w:val="21"/>
          <w:highlight w:val="none"/>
          <w:u w:val="single"/>
        </w:rPr>
        <w:t>标</w:t>
      </w:r>
      <w:r>
        <w:rPr>
          <w:rFonts w:hint="eastAsia" w:ascii="宋体" w:cs="宋体"/>
          <w:color w:val="auto"/>
          <w:szCs w:val="21"/>
          <w:highlight w:val="none"/>
          <w:u w:val="single"/>
        </w:rPr>
        <w:t>文</w:t>
      </w:r>
      <w:r>
        <w:rPr>
          <w:rFonts w:hint="eastAsia" w:ascii="宋体" w:cs="宋体"/>
          <w:color w:val="auto"/>
          <w:spacing w:val="-2"/>
          <w:szCs w:val="21"/>
          <w:highlight w:val="none"/>
          <w:u w:val="single"/>
        </w:rPr>
        <w:t>件</w:t>
      </w:r>
      <w:r>
        <w:rPr>
          <w:rFonts w:hint="eastAsia" w:ascii="宋体" w:cs="宋体"/>
          <w:color w:val="auto"/>
          <w:szCs w:val="21"/>
          <w:highlight w:val="none"/>
          <w:u w:val="single"/>
        </w:rPr>
        <w:t>上</w:t>
      </w:r>
      <w:r>
        <w:rPr>
          <w:rFonts w:hint="eastAsia" w:ascii="宋体" w:cs="宋体"/>
          <w:color w:val="auto"/>
          <w:spacing w:val="-2"/>
          <w:szCs w:val="21"/>
          <w:highlight w:val="none"/>
          <w:u w:val="single"/>
        </w:rPr>
        <w:t>传</w:t>
      </w:r>
      <w:r>
        <w:rPr>
          <w:rFonts w:hint="eastAsia" w:ascii="宋体" w:cs="宋体"/>
          <w:color w:val="auto"/>
          <w:szCs w:val="21"/>
          <w:highlight w:val="none"/>
          <w:u w:val="single"/>
        </w:rPr>
        <w:t>后</w:t>
      </w:r>
      <w:r>
        <w:rPr>
          <w:rFonts w:hint="eastAsia" w:ascii="宋体" w:cs="宋体"/>
          <w:color w:val="auto"/>
          <w:spacing w:val="-5"/>
          <w:szCs w:val="21"/>
          <w:highlight w:val="none"/>
          <w:u w:val="single"/>
        </w:rPr>
        <w:t>，</w:t>
      </w:r>
      <w:r>
        <w:rPr>
          <w:rFonts w:hint="eastAsia" w:ascii="宋体" w:cs="宋体"/>
          <w:color w:val="auto"/>
          <w:szCs w:val="21"/>
          <w:highlight w:val="none"/>
          <w:u w:val="single"/>
        </w:rPr>
        <w:t>电</w:t>
      </w:r>
      <w:r>
        <w:rPr>
          <w:rFonts w:hint="eastAsia" w:ascii="宋体" w:cs="宋体"/>
          <w:color w:val="auto"/>
          <w:spacing w:val="-2"/>
          <w:szCs w:val="21"/>
          <w:highlight w:val="none"/>
          <w:u w:val="single"/>
        </w:rPr>
        <w:t>子</w:t>
      </w:r>
      <w:r>
        <w:rPr>
          <w:rFonts w:hint="eastAsia" w:ascii="宋体" w:cs="宋体"/>
          <w:color w:val="auto"/>
          <w:szCs w:val="21"/>
          <w:highlight w:val="none"/>
          <w:u w:val="single"/>
        </w:rPr>
        <w:t>招标</w:t>
      </w:r>
      <w:r>
        <w:rPr>
          <w:rFonts w:hint="eastAsia" w:ascii="宋体" w:cs="宋体"/>
          <w:color w:val="auto"/>
          <w:spacing w:val="-2"/>
          <w:szCs w:val="21"/>
          <w:highlight w:val="none"/>
          <w:u w:val="single"/>
        </w:rPr>
        <w:t>投</w:t>
      </w:r>
      <w:r>
        <w:rPr>
          <w:rFonts w:hint="eastAsia" w:ascii="宋体" w:cs="宋体"/>
          <w:color w:val="auto"/>
          <w:szCs w:val="21"/>
          <w:highlight w:val="none"/>
          <w:u w:val="single"/>
        </w:rPr>
        <w:t>标</w:t>
      </w:r>
      <w:r>
        <w:rPr>
          <w:rFonts w:hint="eastAsia" w:ascii="宋体" w:cs="宋体"/>
          <w:color w:val="auto"/>
          <w:spacing w:val="-2"/>
          <w:szCs w:val="21"/>
          <w:highlight w:val="none"/>
          <w:u w:val="single"/>
        </w:rPr>
        <w:t>交</w:t>
      </w:r>
      <w:r>
        <w:rPr>
          <w:rFonts w:hint="eastAsia" w:ascii="宋体" w:cs="宋体"/>
          <w:color w:val="auto"/>
          <w:szCs w:val="21"/>
          <w:highlight w:val="none"/>
          <w:u w:val="single"/>
        </w:rPr>
        <w:t>易</w:t>
      </w:r>
      <w:r>
        <w:rPr>
          <w:rFonts w:hint="eastAsia" w:ascii="宋体" w:cs="宋体"/>
          <w:color w:val="auto"/>
          <w:spacing w:val="-2"/>
          <w:szCs w:val="21"/>
          <w:highlight w:val="none"/>
          <w:u w:val="single"/>
        </w:rPr>
        <w:t>平</w:t>
      </w:r>
      <w:r>
        <w:rPr>
          <w:rFonts w:hint="eastAsia" w:ascii="宋体" w:cs="宋体"/>
          <w:color w:val="auto"/>
          <w:szCs w:val="21"/>
          <w:highlight w:val="none"/>
          <w:u w:val="single"/>
        </w:rPr>
        <w:t>台</w:t>
      </w:r>
      <w:r>
        <w:rPr>
          <w:rFonts w:hint="eastAsia" w:ascii="宋体" w:cs="宋体"/>
          <w:color w:val="auto"/>
          <w:spacing w:val="-2"/>
          <w:szCs w:val="21"/>
          <w:highlight w:val="none"/>
          <w:u w:val="single"/>
        </w:rPr>
        <w:t>即</w:t>
      </w:r>
      <w:r>
        <w:rPr>
          <w:rFonts w:hint="eastAsia" w:ascii="宋体" w:cs="宋体"/>
          <w:color w:val="auto"/>
          <w:szCs w:val="21"/>
          <w:highlight w:val="none"/>
          <w:u w:val="single"/>
        </w:rPr>
        <w:t>时</w:t>
      </w:r>
      <w:r>
        <w:rPr>
          <w:rFonts w:hint="eastAsia" w:ascii="宋体" w:cs="宋体"/>
          <w:color w:val="auto"/>
          <w:spacing w:val="-2"/>
          <w:szCs w:val="21"/>
          <w:highlight w:val="none"/>
          <w:u w:val="single"/>
        </w:rPr>
        <w:t>向</w:t>
      </w:r>
      <w:r>
        <w:rPr>
          <w:rFonts w:hint="eastAsia" w:ascii="宋体" w:cs="宋体"/>
          <w:color w:val="auto"/>
          <w:szCs w:val="21"/>
          <w:highlight w:val="none"/>
          <w:u w:val="single"/>
        </w:rPr>
        <w:t>投标</w:t>
      </w:r>
      <w:r>
        <w:rPr>
          <w:rFonts w:hint="eastAsia" w:ascii="宋体" w:cs="宋体"/>
          <w:color w:val="auto"/>
          <w:spacing w:val="-2"/>
          <w:szCs w:val="21"/>
          <w:highlight w:val="none"/>
          <w:u w:val="single"/>
        </w:rPr>
        <w:t>人</w:t>
      </w:r>
      <w:r>
        <w:rPr>
          <w:rFonts w:hint="eastAsia" w:ascii="宋体" w:cs="宋体"/>
          <w:color w:val="auto"/>
          <w:szCs w:val="21"/>
          <w:highlight w:val="none"/>
          <w:u w:val="single"/>
        </w:rPr>
        <w:t>发</w:t>
      </w:r>
      <w:r>
        <w:rPr>
          <w:rFonts w:hint="eastAsia" w:ascii="宋体" w:cs="宋体"/>
          <w:color w:val="auto"/>
          <w:spacing w:val="-2"/>
          <w:szCs w:val="21"/>
          <w:highlight w:val="none"/>
          <w:u w:val="single"/>
        </w:rPr>
        <w:t>出</w:t>
      </w:r>
      <w:r>
        <w:rPr>
          <w:rFonts w:hint="eastAsia" w:ascii="宋体" w:cs="宋体"/>
          <w:color w:val="auto"/>
          <w:szCs w:val="21"/>
          <w:highlight w:val="none"/>
          <w:u w:val="single"/>
        </w:rPr>
        <w:t>递交回</w:t>
      </w:r>
      <w:r>
        <w:rPr>
          <w:rFonts w:hint="eastAsia" w:ascii="宋体" w:cs="宋体"/>
          <w:color w:val="auto"/>
          <w:spacing w:val="-2"/>
          <w:szCs w:val="21"/>
          <w:highlight w:val="none"/>
          <w:u w:val="single"/>
        </w:rPr>
        <w:t>执</w:t>
      </w:r>
      <w:r>
        <w:rPr>
          <w:rFonts w:hint="eastAsia" w:ascii="宋体" w:cs="宋体"/>
          <w:color w:val="auto"/>
          <w:szCs w:val="21"/>
          <w:highlight w:val="none"/>
          <w:u w:val="single"/>
        </w:rPr>
        <w:t>通</w:t>
      </w:r>
      <w:r>
        <w:rPr>
          <w:rFonts w:hint="eastAsia" w:ascii="宋体" w:cs="宋体"/>
          <w:color w:val="auto"/>
          <w:spacing w:val="-3"/>
          <w:szCs w:val="21"/>
          <w:highlight w:val="none"/>
          <w:u w:val="single"/>
        </w:rPr>
        <w:t>知</w:t>
      </w:r>
      <w:r>
        <w:rPr>
          <w:rFonts w:hint="eastAsia" w:ascii="宋体" w:cs="宋体"/>
          <w:color w:val="auto"/>
          <w:szCs w:val="21"/>
          <w:highlight w:val="none"/>
          <w:u w:val="single"/>
        </w:rPr>
        <w:t>。</w:t>
      </w:r>
      <w:r>
        <w:rPr>
          <w:rFonts w:hint="eastAsia" w:ascii="宋体" w:cs="宋体"/>
          <w:color w:val="auto"/>
          <w:spacing w:val="-2"/>
          <w:szCs w:val="21"/>
          <w:highlight w:val="none"/>
          <w:u w:val="single"/>
        </w:rPr>
        <w:t>递</w:t>
      </w:r>
      <w:r>
        <w:rPr>
          <w:rFonts w:hint="eastAsia" w:ascii="宋体" w:cs="宋体"/>
          <w:color w:val="auto"/>
          <w:szCs w:val="21"/>
          <w:highlight w:val="none"/>
          <w:u w:val="single"/>
        </w:rPr>
        <w:t>交</w:t>
      </w:r>
      <w:r>
        <w:rPr>
          <w:rFonts w:hint="eastAsia" w:ascii="宋体" w:cs="宋体"/>
          <w:color w:val="auto"/>
          <w:spacing w:val="-2"/>
          <w:szCs w:val="21"/>
          <w:highlight w:val="none"/>
          <w:u w:val="single"/>
        </w:rPr>
        <w:t>时</w:t>
      </w:r>
      <w:r>
        <w:rPr>
          <w:rFonts w:hint="eastAsia" w:ascii="宋体" w:cs="宋体"/>
          <w:color w:val="auto"/>
          <w:szCs w:val="21"/>
          <w:highlight w:val="none"/>
          <w:u w:val="single"/>
        </w:rPr>
        <w:t>间</w:t>
      </w:r>
      <w:r>
        <w:rPr>
          <w:rFonts w:hint="eastAsia" w:ascii="宋体" w:cs="宋体"/>
          <w:color w:val="auto"/>
          <w:spacing w:val="-2"/>
          <w:szCs w:val="21"/>
          <w:highlight w:val="none"/>
          <w:u w:val="single"/>
        </w:rPr>
        <w:t>以</w:t>
      </w:r>
      <w:r>
        <w:rPr>
          <w:rFonts w:hint="eastAsia" w:ascii="宋体" w:cs="宋体"/>
          <w:color w:val="auto"/>
          <w:szCs w:val="21"/>
          <w:highlight w:val="none"/>
          <w:u w:val="single"/>
        </w:rPr>
        <w:t>递交</w:t>
      </w:r>
      <w:r>
        <w:rPr>
          <w:rFonts w:hint="eastAsia" w:ascii="宋体" w:cs="宋体"/>
          <w:color w:val="auto"/>
          <w:spacing w:val="-2"/>
          <w:szCs w:val="21"/>
          <w:highlight w:val="none"/>
          <w:u w:val="single"/>
        </w:rPr>
        <w:t>回</w:t>
      </w:r>
      <w:r>
        <w:rPr>
          <w:rFonts w:hint="eastAsia" w:ascii="宋体" w:cs="宋体"/>
          <w:color w:val="auto"/>
          <w:szCs w:val="21"/>
          <w:highlight w:val="none"/>
          <w:u w:val="single"/>
        </w:rPr>
        <w:t>执</w:t>
      </w:r>
      <w:r>
        <w:rPr>
          <w:rFonts w:hint="eastAsia" w:ascii="宋体" w:cs="宋体"/>
          <w:color w:val="auto"/>
          <w:spacing w:val="-2"/>
          <w:szCs w:val="21"/>
          <w:highlight w:val="none"/>
          <w:u w:val="single"/>
        </w:rPr>
        <w:t>通</w:t>
      </w:r>
      <w:r>
        <w:rPr>
          <w:rFonts w:hint="eastAsia" w:ascii="宋体" w:cs="宋体"/>
          <w:color w:val="auto"/>
          <w:szCs w:val="21"/>
          <w:highlight w:val="none"/>
          <w:u w:val="single"/>
        </w:rPr>
        <w:t>知</w:t>
      </w:r>
      <w:r>
        <w:rPr>
          <w:rFonts w:hint="eastAsia" w:ascii="宋体" w:cs="宋体"/>
          <w:color w:val="auto"/>
          <w:spacing w:val="-2"/>
          <w:szCs w:val="21"/>
          <w:highlight w:val="none"/>
          <w:u w:val="single"/>
        </w:rPr>
        <w:t>载</w:t>
      </w:r>
      <w:r>
        <w:rPr>
          <w:rFonts w:hint="eastAsia" w:ascii="宋体" w:cs="宋体"/>
          <w:color w:val="auto"/>
          <w:szCs w:val="21"/>
          <w:highlight w:val="none"/>
          <w:u w:val="single"/>
        </w:rPr>
        <w:t>明</w:t>
      </w:r>
      <w:r>
        <w:rPr>
          <w:rFonts w:hint="eastAsia" w:ascii="宋体" w:cs="宋体"/>
          <w:color w:val="auto"/>
          <w:spacing w:val="-2"/>
          <w:szCs w:val="21"/>
          <w:highlight w:val="none"/>
          <w:u w:val="single"/>
        </w:rPr>
        <w:t>的</w:t>
      </w:r>
      <w:r>
        <w:rPr>
          <w:rFonts w:hint="eastAsia" w:ascii="宋体" w:cs="宋体"/>
          <w:color w:val="auto"/>
          <w:szCs w:val="21"/>
          <w:highlight w:val="none"/>
          <w:u w:val="single"/>
        </w:rPr>
        <w:t>传</w:t>
      </w:r>
      <w:r>
        <w:rPr>
          <w:rFonts w:hint="eastAsia" w:ascii="宋体" w:cs="宋体"/>
          <w:color w:val="auto"/>
          <w:spacing w:val="-2"/>
          <w:szCs w:val="21"/>
          <w:highlight w:val="none"/>
          <w:u w:val="single"/>
        </w:rPr>
        <w:t>输</w:t>
      </w:r>
      <w:r>
        <w:rPr>
          <w:rFonts w:hint="eastAsia" w:ascii="宋体" w:cs="宋体"/>
          <w:color w:val="auto"/>
          <w:szCs w:val="21"/>
          <w:highlight w:val="none"/>
          <w:u w:val="single"/>
        </w:rPr>
        <w:t>完成</w:t>
      </w:r>
      <w:r>
        <w:rPr>
          <w:rFonts w:hint="eastAsia" w:ascii="宋体" w:cs="宋体"/>
          <w:color w:val="auto"/>
          <w:spacing w:val="-2"/>
          <w:szCs w:val="21"/>
          <w:highlight w:val="none"/>
          <w:u w:val="single"/>
        </w:rPr>
        <w:t>时</w:t>
      </w:r>
      <w:r>
        <w:rPr>
          <w:rFonts w:hint="eastAsia" w:ascii="宋体" w:cs="宋体"/>
          <w:color w:val="auto"/>
          <w:szCs w:val="21"/>
          <w:highlight w:val="none"/>
          <w:u w:val="single"/>
        </w:rPr>
        <w:t>间</w:t>
      </w:r>
      <w:r>
        <w:rPr>
          <w:rFonts w:hint="eastAsia" w:ascii="宋体" w:cs="宋体"/>
          <w:color w:val="auto"/>
          <w:spacing w:val="-2"/>
          <w:szCs w:val="21"/>
          <w:highlight w:val="none"/>
          <w:u w:val="single"/>
        </w:rPr>
        <w:t>为</w:t>
      </w:r>
      <w:r>
        <w:rPr>
          <w:rFonts w:hint="eastAsia" w:ascii="宋体" w:cs="宋体"/>
          <w:color w:val="auto"/>
          <w:szCs w:val="21"/>
          <w:highlight w:val="none"/>
          <w:u w:val="single"/>
        </w:rPr>
        <w:t>准</w:t>
      </w:r>
      <w:r>
        <w:rPr>
          <w:rFonts w:hint="eastAsia" w:ascii="宋体" w:cs="宋体"/>
          <w:color w:val="auto"/>
          <w:highlight w:val="none"/>
        </w:rPr>
        <w:t>。</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4.2.5若出现以下情况，招标人将拒绝接收投标文件：</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szCs w:val="24"/>
          <w:highlight w:val="none"/>
        </w:rPr>
        <w:t>；</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4.2.6投标截止前，招标人拒绝接收符合条件的投标文件，投标人可向招标监督机构投诉。</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4"/>
          <w:highlight w:val="none"/>
        </w:rPr>
        <w:t>4.2.7到投标截止时间止，若收到的投标文件少于3家的，则招标失败，将依法重新招标</w:t>
      </w:r>
      <w:r>
        <w:rPr>
          <w:rFonts w:hint="eastAsia" w:ascii="宋体" w:hAnsi="宋体" w:cs="宋体"/>
          <w:color w:val="auto"/>
          <w:szCs w:val="21"/>
          <w:highlight w:val="none"/>
        </w:rPr>
        <w:t>。</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511" w:name="_Toc14142"/>
      <w:bookmarkStart w:id="512" w:name="_Toc27723"/>
      <w:bookmarkStart w:id="513" w:name="_Toc29112"/>
      <w:bookmarkStart w:id="514" w:name="_Toc8164"/>
      <w:bookmarkStart w:id="515" w:name="_Toc27403"/>
      <w:bookmarkStart w:id="516" w:name="_Toc13787"/>
      <w:bookmarkStart w:id="517" w:name="_Toc436834159"/>
      <w:bookmarkStart w:id="518" w:name="_Toc485211066"/>
      <w:bookmarkStart w:id="519" w:name="_Toc2195"/>
      <w:bookmarkStart w:id="520" w:name="_Toc436834752"/>
      <w:bookmarkStart w:id="521" w:name="_Toc26983"/>
      <w:bookmarkStart w:id="522" w:name="_Toc12422"/>
      <w:bookmarkStart w:id="523" w:name="_Toc1087"/>
      <w:r>
        <w:rPr>
          <w:rFonts w:hint="eastAsia" w:ascii="宋体" w:hAnsi="宋体" w:cs="宋体"/>
          <w:bCs/>
          <w:color w:val="auto"/>
          <w:sz w:val="28"/>
          <w:szCs w:val="28"/>
          <w:highlight w:val="none"/>
        </w:rPr>
        <w:t>4.3 投标文件的修改与撤回</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4.3.1 在本章第4.2.1项规定的投标截止时间前，投标人可以修改或撤回已递交的投标文件，但</w:t>
      </w:r>
      <w:r>
        <w:rPr>
          <w:rFonts w:hint="eastAsia" w:ascii="宋体" w:hAnsi="宋体" w:cs="宋体"/>
          <w:color w:val="auto"/>
          <w:szCs w:val="24"/>
          <w:highlight w:val="none"/>
          <w:u w:val="single"/>
        </w:rPr>
        <w:t>但需在交易平台发出撤回通知</w:t>
      </w:r>
      <w:r>
        <w:rPr>
          <w:rFonts w:hint="eastAsia" w:ascii="宋体" w:hAnsi="宋体" w:cs="宋体"/>
          <w:color w:val="auto"/>
          <w:szCs w:val="24"/>
          <w:highlight w:val="none"/>
        </w:rPr>
        <w:t>。</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4.3.2 投标人修改或撤回已递交投标文件的通知应按照本章第 3.7.3项的要求加盖电子印章。</w:t>
      </w:r>
      <w:r>
        <w:rPr>
          <w:rFonts w:hint="eastAsia" w:ascii="宋体" w:hAnsi="宋体" w:cs="宋体"/>
          <w:color w:val="auto"/>
          <w:szCs w:val="24"/>
          <w:highlight w:val="none"/>
          <w:u w:val="single"/>
        </w:rPr>
        <w:t>电子招标投标交易平台收到通知后，即时向投标人发出确认回执通知</w:t>
      </w:r>
      <w:r>
        <w:rPr>
          <w:rFonts w:hint="eastAsia" w:ascii="宋体" w:hAnsi="宋体" w:cs="宋体"/>
          <w:color w:val="auto"/>
          <w:szCs w:val="24"/>
          <w:highlight w:val="none"/>
        </w:rPr>
        <w:t>。</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4.3.3 修改的内容为投标文件的组成部分。修改的投标文件应按照本章第3条、第4条规定进行编制</w:t>
      </w:r>
      <w:r>
        <w:rPr>
          <w:rFonts w:hint="eastAsia" w:ascii="宋体" w:hAnsi="宋体" w:cs="宋体"/>
          <w:color w:val="auto"/>
          <w:szCs w:val="21"/>
          <w:highlight w:val="none"/>
          <w:u w:val="single"/>
        </w:rPr>
        <w:t>和递交</w:t>
      </w:r>
      <w:r>
        <w:rPr>
          <w:rFonts w:hint="eastAsia" w:ascii="宋体" w:hAnsi="宋体" w:cs="宋体"/>
          <w:color w:val="auto"/>
          <w:szCs w:val="24"/>
          <w:highlight w:val="none"/>
        </w:rPr>
        <w:t>。</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4.3.4 在投标截止时间之后，投标人不得补充、修改和更换投标文件。</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4.3.5 在投标截止后，投标人在投标文件格式中规定的有效期终止日前，投标人不能撤回投标文件，</w:t>
      </w:r>
      <w:r>
        <w:rPr>
          <w:rFonts w:hint="eastAsia" w:ascii="宋体" w:hAnsi="宋体" w:cs="宋体"/>
          <w:color w:val="auto"/>
          <w:szCs w:val="24"/>
          <w:highlight w:val="none"/>
          <w:u w:val="single"/>
        </w:rPr>
        <w:t>否则招标人有权就其撤回行为报告政府主管部门载入不良信用记录</w:t>
      </w:r>
      <w:r>
        <w:rPr>
          <w:rFonts w:hint="eastAsia" w:ascii="宋体" w:hAnsi="宋体" w:cs="宋体"/>
          <w:color w:val="auto"/>
          <w:szCs w:val="24"/>
          <w:highlight w:val="none"/>
        </w:rPr>
        <w:t>。</w:t>
      </w:r>
    </w:p>
    <w:p>
      <w:pPr>
        <w:keepNext/>
        <w:keepLines/>
        <w:spacing w:before="260" w:after="260" w:line="415" w:lineRule="auto"/>
        <w:outlineLvl w:val="1"/>
        <w:rPr>
          <w:rFonts w:ascii="宋体" w:hAnsi="宋体" w:cs="宋体"/>
          <w:b/>
          <w:bCs/>
          <w:color w:val="auto"/>
          <w:sz w:val="32"/>
          <w:szCs w:val="32"/>
          <w:highlight w:val="none"/>
        </w:rPr>
      </w:pPr>
      <w:bookmarkStart w:id="524" w:name="_Toc4459"/>
      <w:bookmarkStart w:id="525" w:name="_Toc144974527"/>
      <w:bookmarkStart w:id="526" w:name="_Toc6364"/>
      <w:bookmarkStart w:id="527" w:name="_Toc152045559"/>
      <w:bookmarkStart w:id="528" w:name="_Toc12170"/>
      <w:bookmarkStart w:id="529" w:name="_Toc31450"/>
      <w:bookmarkStart w:id="530" w:name="_Toc399165402"/>
      <w:bookmarkStart w:id="531" w:name="_Toc436834753"/>
      <w:bookmarkStart w:id="532" w:name="_Toc247513983"/>
      <w:bookmarkStart w:id="533" w:name="_Toc5421"/>
      <w:bookmarkStart w:id="534" w:name="_Toc300834980"/>
      <w:bookmarkStart w:id="535" w:name="_Toc247527584"/>
      <w:bookmarkStart w:id="536" w:name="_Toc16642"/>
      <w:bookmarkStart w:id="537" w:name="_Toc17608"/>
      <w:bookmarkStart w:id="538" w:name="_Toc26618"/>
      <w:bookmarkStart w:id="539" w:name="_Toc436834160"/>
      <w:bookmarkStart w:id="540" w:name="_Toc30507"/>
      <w:bookmarkStart w:id="541" w:name="_Toc152042335"/>
      <w:bookmarkStart w:id="542" w:name="_Toc28294"/>
      <w:bookmarkStart w:id="543" w:name="_Toc485211067"/>
      <w:r>
        <w:rPr>
          <w:rFonts w:hint="eastAsia" w:ascii="宋体" w:hAnsi="宋体" w:cs="宋体"/>
          <w:b/>
          <w:bCs/>
          <w:color w:val="auto"/>
          <w:sz w:val="32"/>
          <w:szCs w:val="32"/>
          <w:highlight w:val="none"/>
        </w:rPr>
        <w:t>5. 开标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544" w:name="_Toc144974528"/>
      <w:bookmarkStart w:id="545" w:name="_Toc29641"/>
      <w:bookmarkStart w:id="546" w:name="_Toc27797"/>
      <w:bookmarkStart w:id="547" w:name="_Toc22565"/>
      <w:bookmarkStart w:id="548" w:name="_Toc399165403"/>
      <w:bookmarkStart w:id="549" w:name="_Toc300834981"/>
      <w:bookmarkStart w:id="550" w:name="_Toc247527585"/>
      <w:bookmarkStart w:id="551" w:name="_Toc24982"/>
      <w:bookmarkStart w:id="552" w:name="_Toc4802"/>
      <w:bookmarkStart w:id="553" w:name="_Toc485211068"/>
      <w:bookmarkStart w:id="554" w:name="_Toc436834754"/>
      <w:bookmarkStart w:id="555" w:name="_Toc436834161"/>
      <w:bookmarkStart w:id="556" w:name="_Toc152045560"/>
      <w:bookmarkStart w:id="557" w:name="_Toc6981"/>
      <w:bookmarkStart w:id="558" w:name="_Toc152042336"/>
      <w:bookmarkStart w:id="559" w:name="_Toc24693"/>
      <w:bookmarkStart w:id="560" w:name="_Toc7901"/>
      <w:bookmarkStart w:id="561" w:name="_Toc19541"/>
      <w:bookmarkStart w:id="562" w:name="_Toc10949"/>
      <w:bookmarkStart w:id="563" w:name="_Toc247513984"/>
      <w:r>
        <w:rPr>
          <w:rFonts w:hint="eastAsia" w:ascii="宋体" w:hAnsi="宋体" w:cs="宋体"/>
          <w:bCs/>
          <w:color w:val="auto"/>
          <w:sz w:val="28"/>
          <w:szCs w:val="28"/>
          <w:highlight w:val="none"/>
        </w:rPr>
        <w:t>5.1 开标时间和地点</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招标人在本章第4.2.1项规定的投标截止时间（开标时间）和《投标人须知前附表》规定的地点公开开标，并邀请所有投标人的法定代表人或其委托代理人准时参加。</w:t>
      </w:r>
      <w:r>
        <w:rPr>
          <w:rFonts w:hint="eastAsia" w:ascii="宋体" w:hAnsi="宋体" w:cs="宋体"/>
          <w:color w:val="auto"/>
          <w:highlight w:val="none"/>
          <w:u w:val="single"/>
        </w:rPr>
        <w:t>投标人（法定代表人或其委托代理人）可自行决定是否参加开标。投标人不参加的，视为认可开标过程及结果。</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564" w:name="_Toc21731"/>
      <w:bookmarkStart w:id="565" w:name="_Toc3858"/>
      <w:bookmarkStart w:id="566" w:name="_Toc247527586"/>
      <w:bookmarkStart w:id="567" w:name="_Toc485211069"/>
      <w:bookmarkStart w:id="568" w:name="_Toc300834982"/>
      <w:bookmarkStart w:id="569" w:name="_Toc1228"/>
      <w:bookmarkStart w:id="570" w:name="_Toc2356"/>
      <w:bookmarkStart w:id="571" w:name="_Toc1215"/>
      <w:bookmarkStart w:id="572" w:name="_Toc29350"/>
      <w:bookmarkStart w:id="573" w:name="_Toc399165404"/>
      <w:bookmarkStart w:id="574" w:name="_Toc32550"/>
      <w:bookmarkStart w:id="575" w:name="_Toc436834162"/>
      <w:bookmarkStart w:id="576" w:name="_Toc152042337"/>
      <w:bookmarkStart w:id="577" w:name="_Toc149"/>
      <w:bookmarkStart w:id="578" w:name="_Toc436834755"/>
      <w:bookmarkStart w:id="579" w:name="_Toc247513985"/>
      <w:bookmarkStart w:id="580" w:name="_Toc144974529"/>
      <w:bookmarkStart w:id="581" w:name="_Toc11280"/>
      <w:bookmarkStart w:id="582" w:name="_Toc22128"/>
      <w:bookmarkStart w:id="583" w:name="_Toc152045561"/>
      <w:bookmarkStart w:id="584" w:name="_Toc300834983"/>
      <w:bookmarkStart w:id="585" w:name="_Toc399165405"/>
      <w:r>
        <w:rPr>
          <w:rFonts w:hint="eastAsia" w:ascii="宋体" w:hAnsi="宋体" w:cs="宋体"/>
          <w:bCs/>
          <w:color w:val="auto"/>
          <w:sz w:val="28"/>
          <w:szCs w:val="28"/>
          <w:highlight w:val="none"/>
        </w:rPr>
        <w:t>5.2 开标程序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360" w:lineRule="auto"/>
        <w:ind w:firstLine="457" w:firstLineChars="218"/>
        <w:rPr>
          <w:rFonts w:ascii="宋体" w:hAnsi="宋体" w:cs="宋体"/>
          <w:color w:val="auto"/>
          <w:szCs w:val="21"/>
          <w:highlight w:val="none"/>
          <w:u w:val="single"/>
        </w:rPr>
      </w:pPr>
      <w:r>
        <w:rPr>
          <w:rFonts w:hint="eastAsia" w:ascii="宋体" w:cs="宋体"/>
          <w:color w:val="auto"/>
          <w:highlight w:val="none"/>
          <w:u w:val="single"/>
        </w:rPr>
        <w:t>见</w:t>
      </w:r>
      <w:r>
        <w:rPr>
          <w:rFonts w:hint="eastAsia" w:ascii="宋体" w:cs="宋体"/>
          <w:color w:val="auto"/>
          <w:szCs w:val="21"/>
          <w:highlight w:val="none"/>
          <w:u w:val="single"/>
        </w:rPr>
        <w:t>投标须知前附表。</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586" w:name="_Toc436834163"/>
      <w:bookmarkStart w:id="587" w:name="_Toc17100"/>
      <w:bookmarkStart w:id="588" w:name="_Toc11445"/>
      <w:bookmarkStart w:id="589" w:name="_Toc27243"/>
      <w:bookmarkStart w:id="590" w:name="_Toc19375"/>
      <w:bookmarkStart w:id="591" w:name="_Toc28564"/>
      <w:bookmarkStart w:id="592" w:name="_Toc30018"/>
      <w:bookmarkStart w:id="593" w:name="_Toc30580"/>
      <w:bookmarkStart w:id="594" w:name="_Toc1755"/>
      <w:bookmarkStart w:id="595" w:name="_Toc20459"/>
      <w:bookmarkStart w:id="596" w:name="_Toc485211070"/>
      <w:bookmarkStart w:id="597" w:name="_Toc436834756"/>
      <w:bookmarkStart w:id="598" w:name="_Toc3636"/>
      <w:r>
        <w:rPr>
          <w:rFonts w:hint="eastAsia" w:ascii="宋体" w:hAnsi="宋体" w:cs="宋体"/>
          <w:bCs/>
          <w:color w:val="auto"/>
          <w:sz w:val="28"/>
          <w:szCs w:val="28"/>
          <w:highlight w:val="none"/>
        </w:rPr>
        <w:t>5.3 开标异议</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spacing w:line="360" w:lineRule="auto"/>
        <w:ind w:firstLine="420" w:firstLineChars="200"/>
        <w:rPr>
          <w:rFonts w:ascii="宋体" w:cs="宋体"/>
          <w:color w:val="auto"/>
          <w:szCs w:val="21"/>
          <w:highlight w:val="none"/>
          <w:u w:val="single"/>
        </w:rPr>
      </w:pPr>
      <w:r>
        <w:rPr>
          <w:rFonts w:hint="eastAsia" w:ascii="宋体" w:cs="宋体"/>
          <w:color w:val="auto"/>
          <w:szCs w:val="21"/>
          <w:highlight w:val="none"/>
          <w:u w:val="single"/>
        </w:rPr>
        <w:t>投标人对开标有异议的，应当在开标现场提出，同时出示本人身份证原件，招标人当场作出答复，并制作记录。参加在线开标的，投标人应通过广交易建设工程电子交易系统在线提出，招标人应通过广交易建设工程电子交易系统答复，答复后方可结束开标。</w:t>
      </w:r>
    </w:p>
    <w:p>
      <w:pPr>
        <w:spacing w:line="360" w:lineRule="auto"/>
        <w:ind w:firstLine="420" w:firstLineChars="200"/>
        <w:rPr>
          <w:rFonts w:ascii="宋体" w:cs="宋体"/>
          <w:color w:val="auto"/>
          <w:szCs w:val="21"/>
          <w:highlight w:val="none"/>
          <w:u w:val="single"/>
        </w:rPr>
      </w:pPr>
      <w:r>
        <w:rPr>
          <w:rFonts w:hint="eastAsia" w:ascii="宋体" w:cs="宋体"/>
          <w:color w:val="auto"/>
          <w:szCs w:val="21"/>
          <w:highlight w:val="none"/>
          <w:u w:val="single"/>
        </w:rPr>
        <w:t>1、具体操作详见“广州交易集团有限公司（广州公共资源交易中心）门户网站首页-&gt;服务指南-&gt;系统帮助-&gt;操作手册-&gt;发起及受理异议操作指引”。</w:t>
      </w:r>
    </w:p>
    <w:p>
      <w:pPr>
        <w:spacing w:line="400" w:lineRule="exact"/>
        <w:ind w:firstLine="359" w:firstLineChars="171"/>
        <w:rPr>
          <w:rFonts w:ascii="宋体" w:hAnsi="宋体" w:cs="宋体"/>
          <w:color w:val="auto"/>
          <w:szCs w:val="24"/>
          <w:highlight w:val="none"/>
        </w:rPr>
      </w:pPr>
      <w:r>
        <w:rPr>
          <w:rFonts w:hint="eastAsia" w:asci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r>
        <w:rPr>
          <w:rFonts w:hint="eastAsia" w:ascii="宋体" w:cs="宋体"/>
          <w:color w:val="auto"/>
          <w:szCs w:val="21"/>
          <w:highlight w:val="none"/>
        </w:rPr>
        <w:t>。</w:t>
      </w:r>
    </w:p>
    <w:p>
      <w:pPr>
        <w:keepNext/>
        <w:keepLines/>
        <w:spacing w:before="260" w:after="260" w:line="415" w:lineRule="auto"/>
        <w:outlineLvl w:val="1"/>
        <w:rPr>
          <w:rFonts w:ascii="宋体" w:hAnsi="宋体" w:cs="宋体"/>
          <w:b/>
          <w:bCs/>
          <w:color w:val="auto"/>
          <w:sz w:val="32"/>
          <w:szCs w:val="32"/>
          <w:highlight w:val="none"/>
        </w:rPr>
      </w:pPr>
      <w:bookmarkStart w:id="599" w:name="_Toc247527587"/>
      <w:bookmarkStart w:id="600" w:name="_Toc152042338"/>
      <w:bookmarkStart w:id="601" w:name="_Toc29634"/>
      <w:bookmarkStart w:id="602" w:name="_Toc485211071"/>
      <w:bookmarkStart w:id="603" w:name="_Toc791"/>
      <w:bookmarkStart w:id="604" w:name="_Toc300834984"/>
      <w:bookmarkStart w:id="605" w:name="_Toc436834757"/>
      <w:bookmarkStart w:id="606" w:name="_Toc152045562"/>
      <w:bookmarkStart w:id="607" w:name="_Toc21872"/>
      <w:bookmarkStart w:id="608" w:name="_Toc436834164"/>
      <w:bookmarkStart w:id="609" w:name="_Toc17424"/>
      <w:bookmarkStart w:id="610" w:name="_Toc144974530"/>
      <w:bookmarkStart w:id="611" w:name="_Toc6781"/>
      <w:bookmarkStart w:id="612" w:name="_Toc16899"/>
      <w:bookmarkStart w:id="613" w:name="_Toc399165406"/>
      <w:bookmarkStart w:id="614" w:name="_Toc27065"/>
      <w:bookmarkStart w:id="615" w:name="_Toc17022"/>
      <w:bookmarkStart w:id="616" w:name="_Toc247513986"/>
      <w:bookmarkStart w:id="617" w:name="_Toc3138"/>
      <w:bookmarkStart w:id="618" w:name="_Toc2702"/>
      <w:r>
        <w:rPr>
          <w:rFonts w:hint="eastAsia" w:ascii="宋体" w:hAnsi="宋体" w:cs="宋体"/>
          <w:b/>
          <w:bCs/>
          <w:color w:val="auto"/>
          <w:sz w:val="32"/>
          <w:szCs w:val="32"/>
          <w:highlight w:val="none"/>
        </w:rPr>
        <w:t>6. 评标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619" w:name="_Toc485211072"/>
      <w:bookmarkStart w:id="620" w:name="_Toc152042339"/>
      <w:bookmarkStart w:id="621" w:name="_Toc1432"/>
      <w:bookmarkStart w:id="622" w:name="_Toc16102"/>
      <w:bookmarkStart w:id="623" w:name="_Toc9770"/>
      <w:bookmarkStart w:id="624" w:name="_Toc25490"/>
      <w:bookmarkStart w:id="625" w:name="_Toc144974531"/>
      <w:bookmarkStart w:id="626" w:name="_Toc29291"/>
      <w:bookmarkStart w:id="627" w:name="_Toc300834985"/>
      <w:bookmarkStart w:id="628" w:name="_Toc436834165"/>
      <w:bookmarkStart w:id="629" w:name="_Toc26166"/>
      <w:bookmarkStart w:id="630" w:name="_Toc152045563"/>
      <w:bookmarkStart w:id="631" w:name="_Toc22048"/>
      <w:bookmarkStart w:id="632" w:name="_Toc16779"/>
      <w:bookmarkStart w:id="633" w:name="_Toc247527588"/>
      <w:bookmarkStart w:id="634" w:name="_Toc436834758"/>
      <w:bookmarkStart w:id="635" w:name="_Toc28026"/>
      <w:bookmarkStart w:id="636" w:name="_Toc247513987"/>
      <w:bookmarkStart w:id="637" w:name="_Toc12762"/>
      <w:bookmarkStart w:id="638" w:name="_Toc399165407"/>
      <w:r>
        <w:rPr>
          <w:rFonts w:hint="eastAsia" w:ascii="宋体" w:hAnsi="宋体" w:cs="宋体"/>
          <w:bCs/>
          <w:color w:val="auto"/>
          <w:sz w:val="28"/>
          <w:szCs w:val="28"/>
          <w:highlight w:val="none"/>
        </w:rPr>
        <w:t>6.1 评标委员会</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6.1.1评标由招标人依法组建的评标委员会负责，</w:t>
      </w:r>
      <w:r>
        <w:rPr>
          <w:rFonts w:hint="eastAsia" w:ascii="宋体" w:hAnsi="宋体" w:cs="宋体"/>
          <w:color w:val="auto"/>
          <w:szCs w:val="21"/>
          <w:highlight w:val="none"/>
          <w:u w:val="single"/>
        </w:rPr>
        <w:t>评标委员会由招标人依法组建</w:t>
      </w:r>
      <w:r>
        <w:rPr>
          <w:rFonts w:hint="eastAsia" w:ascii="宋体" w:hAnsi="宋体" w:cs="宋体"/>
          <w:color w:val="auto"/>
          <w:szCs w:val="21"/>
          <w:highlight w:val="none"/>
        </w:rPr>
        <w:t>。</w:t>
      </w:r>
      <w:bookmarkStart w:id="639" w:name="_Toc247527589"/>
      <w:bookmarkStart w:id="640" w:name="_Toc300834986"/>
      <w:bookmarkStart w:id="641" w:name="_Toc144974532"/>
      <w:bookmarkStart w:id="642" w:name="_Toc247513988"/>
      <w:bookmarkStart w:id="643" w:name="_Toc152042340"/>
      <w:bookmarkStart w:id="644" w:name="_Toc152045564"/>
      <w:bookmarkStart w:id="645" w:name="_Toc39916540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（5）与投标人有其他利害关系。</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646" w:name="_Toc14481"/>
      <w:bookmarkStart w:id="647" w:name="_Toc12018"/>
      <w:bookmarkStart w:id="648" w:name="_Toc15933"/>
      <w:bookmarkStart w:id="649" w:name="_Toc1675"/>
      <w:bookmarkStart w:id="650" w:name="_Toc436834759"/>
      <w:bookmarkStart w:id="651" w:name="_Toc22045"/>
      <w:bookmarkStart w:id="652" w:name="_Toc485211073"/>
      <w:bookmarkStart w:id="653" w:name="_Toc436834166"/>
      <w:bookmarkStart w:id="654" w:name="_Toc29188"/>
      <w:bookmarkStart w:id="655" w:name="_Toc7385"/>
      <w:bookmarkStart w:id="656" w:name="_Toc10755"/>
      <w:bookmarkStart w:id="657" w:name="_Toc23158"/>
      <w:bookmarkStart w:id="658" w:name="_Toc30304"/>
      <w:r>
        <w:rPr>
          <w:rFonts w:hint="eastAsia" w:ascii="宋体" w:hAnsi="宋体" w:cs="宋体"/>
          <w:bCs/>
          <w:color w:val="auto"/>
          <w:sz w:val="28"/>
          <w:szCs w:val="28"/>
          <w:highlight w:val="none"/>
        </w:rPr>
        <w:t>6.2 评标原则</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评标活动遵循公平、公正、科学和择优的原则。</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659" w:name="_Toc300834987"/>
      <w:bookmarkStart w:id="660" w:name="_Toc144974533"/>
      <w:bookmarkStart w:id="661" w:name="_Toc247513989"/>
      <w:bookmarkStart w:id="662" w:name="_Toc485211074"/>
      <w:bookmarkStart w:id="663" w:name="_Toc152042341"/>
      <w:bookmarkStart w:id="664" w:name="_Toc22925"/>
      <w:bookmarkStart w:id="665" w:name="_Toc19074"/>
      <w:bookmarkStart w:id="666" w:name="_Toc24080"/>
      <w:bookmarkStart w:id="667" w:name="_Toc6398"/>
      <w:bookmarkStart w:id="668" w:name="_Toc9983"/>
      <w:bookmarkStart w:id="669" w:name="_Toc18940"/>
      <w:bookmarkStart w:id="670" w:name="_Toc436834760"/>
      <w:bookmarkStart w:id="671" w:name="_Toc247527590"/>
      <w:bookmarkStart w:id="672" w:name="_Toc21087"/>
      <w:bookmarkStart w:id="673" w:name="_Toc436834167"/>
      <w:bookmarkStart w:id="674" w:name="_Toc18962"/>
      <w:bookmarkStart w:id="675" w:name="_Toc23921"/>
      <w:bookmarkStart w:id="676" w:name="_Toc22884"/>
      <w:bookmarkStart w:id="677" w:name="_Toc399165409"/>
      <w:bookmarkStart w:id="678" w:name="_Toc152045565"/>
      <w:r>
        <w:rPr>
          <w:rFonts w:hint="eastAsia" w:ascii="宋体" w:hAnsi="宋体" w:cs="宋体"/>
          <w:bCs/>
          <w:color w:val="auto"/>
          <w:sz w:val="28"/>
          <w:szCs w:val="28"/>
          <w:highlight w:val="none"/>
        </w:rPr>
        <w:t>6.3 评标</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评标委员会按照第三章“评标办法”规定的方法、评审因素、标准和程序对投标文件进行评审。第三章“评标办法”没有规定的方法、评审因素和标准，不作为评标依据。</w:t>
      </w:r>
    </w:p>
    <w:p>
      <w:pPr>
        <w:keepNext/>
        <w:keepLines/>
        <w:spacing w:before="260" w:after="260" w:line="415" w:lineRule="auto"/>
        <w:outlineLvl w:val="1"/>
        <w:rPr>
          <w:rFonts w:ascii="宋体" w:hAnsi="宋体" w:cs="宋体"/>
          <w:b/>
          <w:bCs/>
          <w:color w:val="auto"/>
          <w:sz w:val="32"/>
          <w:szCs w:val="32"/>
          <w:highlight w:val="none"/>
        </w:rPr>
      </w:pPr>
      <w:bookmarkStart w:id="679" w:name="_Toc152045566"/>
      <w:bookmarkStart w:id="680" w:name="_Toc20501"/>
      <w:bookmarkStart w:id="681" w:name="_Toc152042342"/>
      <w:bookmarkStart w:id="682" w:name="_Toc15814"/>
      <w:bookmarkStart w:id="683" w:name="_Toc144974534"/>
      <w:bookmarkStart w:id="684" w:name="_Toc30169"/>
      <w:bookmarkStart w:id="685" w:name="_Toc485211075"/>
      <w:bookmarkStart w:id="686" w:name="_Toc247527591"/>
      <w:bookmarkStart w:id="687" w:name="_Toc436834168"/>
      <w:bookmarkStart w:id="688" w:name="_Toc19417"/>
      <w:bookmarkStart w:id="689" w:name="_Toc1457"/>
      <w:bookmarkStart w:id="690" w:name="_Toc9325"/>
      <w:bookmarkStart w:id="691" w:name="_Toc27113"/>
      <w:bookmarkStart w:id="692" w:name="_Toc26489"/>
      <w:bookmarkStart w:id="693" w:name="_Toc247513990"/>
      <w:bookmarkStart w:id="694" w:name="_Toc436834761"/>
      <w:bookmarkStart w:id="695" w:name="_Toc16775"/>
      <w:bookmarkStart w:id="696" w:name="_Toc399165410"/>
      <w:bookmarkStart w:id="697" w:name="_Toc11011"/>
      <w:bookmarkStart w:id="698" w:name="_Toc300834988"/>
      <w:r>
        <w:rPr>
          <w:rFonts w:hint="eastAsia" w:ascii="宋体" w:hAnsi="宋体" w:cs="宋体"/>
          <w:b/>
          <w:bCs/>
          <w:color w:val="auto"/>
          <w:sz w:val="32"/>
          <w:szCs w:val="32"/>
          <w:highlight w:val="none"/>
        </w:rPr>
        <w:t>7. 合同授予</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699" w:name="_Toc17516"/>
      <w:bookmarkStart w:id="700" w:name="_Toc126"/>
      <w:bookmarkStart w:id="701" w:name="_Toc32320"/>
      <w:bookmarkStart w:id="702" w:name="_Toc152045567"/>
      <w:bookmarkStart w:id="703" w:name="_Toc436834762"/>
      <w:bookmarkStart w:id="704" w:name="_Toc13774"/>
      <w:bookmarkStart w:id="705" w:name="_Toc23658"/>
      <w:bookmarkStart w:id="706" w:name="_Toc152042343"/>
      <w:bookmarkStart w:id="707" w:name="_Toc26639"/>
      <w:bookmarkStart w:id="708" w:name="_Toc14648"/>
      <w:bookmarkStart w:id="709" w:name="_Toc247513991"/>
      <w:bookmarkStart w:id="710" w:name="_Toc247527592"/>
      <w:bookmarkStart w:id="711" w:name="_Toc24540"/>
      <w:bookmarkStart w:id="712" w:name="_Toc436834169"/>
      <w:bookmarkStart w:id="713" w:name="_Toc144974535"/>
      <w:bookmarkStart w:id="714" w:name="_Toc4558"/>
      <w:bookmarkStart w:id="715" w:name="_Toc485211076"/>
      <w:bookmarkStart w:id="716" w:name="_Toc300834989"/>
      <w:bookmarkStart w:id="717" w:name="_Toc3151"/>
      <w:bookmarkStart w:id="718" w:name="_Toc399165411"/>
      <w:r>
        <w:rPr>
          <w:rFonts w:hint="eastAsia" w:ascii="宋体" w:hAnsi="宋体" w:cs="宋体"/>
          <w:bCs/>
          <w:color w:val="auto"/>
          <w:sz w:val="28"/>
          <w:szCs w:val="28"/>
          <w:highlight w:val="none"/>
        </w:rPr>
        <w:t>7.1 定标方式</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spacing w:line="400" w:lineRule="exact"/>
        <w:ind w:firstLine="420" w:firstLineChars="200"/>
        <w:rPr>
          <w:rFonts w:ascii="宋体" w:hAnsi="宋体" w:cs="宋体"/>
          <w:color w:val="auto"/>
          <w:szCs w:val="24"/>
          <w:highlight w:val="none"/>
        </w:rPr>
      </w:pPr>
      <w:r>
        <w:rPr>
          <w:rFonts w:hint="eastAsia"/>
          <w:color w:val="auto"/>
          <w:highlight w:val="none"/>
          <w:u w:val="single"/>
        </w:rPr>
        <w:t>除投标人须知前附表规定评标委员会直接确定中标人外，招标人依据评标委员会推荐的合格中标候选人确定中标人，评标委员会推荐合格中标候选人的人数见投标人须知前附表。</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719" w:name="_Toc436834170"/>
      <w:bookmarkStart w:id="720" w:name="_Toc20879"/>
      <w:bookmarkStart w:id="721" w:name="_Toc11008"/>
      <w:bookmarkStart w:id="722" w:name="_Toc8769"/>
      <w:bookmarkStart w:id="723" w:name="_Toc23065"/>
      <w:bookmarkStart w:id="724" w:name="_Toc436834763"/>
      <w:bookmarkStart w:id="725" w:name="_Toc485211077"/>
      <w:bookmarkStart w:id="726" w:name="_Toc1089"/>
      <w:bookmarkStart w:id="727" w:name="_Toc455"/>
      <w:bookmarkStart w:id="728" w:name="_Toc300834990"/>
      <w:bookmarkStart w:id="729" w:name="_Toc399165412"/>
      <w:bookmarkStart w:id="730" w:name="_Toc1391"/>
      <w:bookmarkStart w:id="731" w:name="_Toc30794"/>
      <w:bookmarkStart w:id="732" w:name="_Toc7129"/>
      <w:bookmarkStart w:id="733" w:name="_Toc8456"/>
      <w:r>
        <w:rPr>
          <w:rFonts w:hint="eastAsia" w:ascii="宋体" w:hAnsi="宋体" w:cs="宋体"/>
          <w:bCs/>
          <w:color w:val="auto"/>
          <w:sz w:val="28"/>
          <w:szCs w:val="28"/>
          <w:highlight w:val="none"/>
        </w:rPr>
        <w:t>7.2 中标候选人公示</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360" w:lineRule="auto"/>
        <w:ind w:firstLine="420" w:firstLineChars="200"/>
        <w:rPr>
          <w:rFonts w:ascii="宋体" w:hAnsi="宋体" w:cs="宋体"/>
          <w:color w:val="auto"/>
          <w:highlight w:val="none"/>
          <w:u w:val="single"/>
        </w:rPr>
      </w:pPr>
      <w:bookmarkStart w:id="734" w:name="_Toc3310"/>
      <w:bookmarkStart w:id="735" w:name="_Toc399165413"/>
      <w:bookmarkStart w:id="736" w:name="_Toc15766"/>
      <w:bookmarkStart w:id="737" w:name="_Toc17946"/>
      <w:bookmarkStart w:id="738" w:name="_Toc436834171"/>
      <w:bookmarkStart w:id="739" w:name="_Toc485211078"/>
      <w:bookmarkStart w:id="740" w:name="_Toc247527593"/>
      <w:bookmarkStart w:id="741" w:name="_Toc152045568"/>
      <w:bookmarkStart w:id="742" w:name="_Toc28986"/>
      <w:bookmarkStart w:id="743" w:name="_Toc13727"/>
      <w:bookmarkStart w:id="744" w:name="_Toc5132"/>
      <w:bookmarkStart w:id="745" w:name="_Toc144974536"/>
      <w:bookmarkStart w:id="746" w:name="_Toc19952"/>
      <w:bookmarkStart w:id="747" w:name="_Toc27933"/>
      <w:bookmarkStart w:id="748" w:name="_Toc8002"/>
      <w:bookmarkStart w:id="749" w:name="_Toc152042344"/>
      <w:bookmarkStart w:id="750" w:name="_Toc247513992"/>
      <w:bookmarkStart w:id="751" w:name="_Toc31317"/>
      <w:bookmarkStart w:id="752" w:name="_Toc436834764"/>
      <w:bookmarkStart w:id="753" w:name="_Toc300834991"/>
      <w:r>
        <w:rPr>
          <w:rFonts w:hint="eastAsia" w:ascii="宋体" w:hAnsi="宋体" w:cs="宋体"/>
          <w:color w:val="auto"/>
          <w:highlight w:val="none"/>
          <w:u w:val="single"/>
        </w:rPr>
        <w:t>招标人在投标人须知前附表规定的媒介公示</w:t>
      </w:r>
      <w:r>
        <w:rPr>
          <w:rFonts w:hint="eastAsia" w:ascii="宋体" w:hAnsi="宋体" w:cs="宋体"/>
          <w:b/>
          <w:bCs/>
          <w:color w:val="auto"/>
          <w:highlight w:val="none"/>
          <w:u w:val="single"/>
        </w:rPr>
        <w:t>合格的中标候选人</w:t>
      </w:r>
      <w:r>
        <w:rPr>
          <w:rFonts w:hint="eastAsia" w:ascii="宋体" w:hAnsi="宋体" w:cs="宋体"/>
          <w:color w:val="auto"/>
          <w:highlight w:val="none"/>
          <w:u w:val="single"/>
        </w:rPr>
        <w:t>，公示时间为三天（最后一天为工作日）。合格的中标候选人公示期间，投标人对评标结果有异议的应当在公示期内提出，因异议或投诉生效导致合格的中标候选人不符合中标资格的，将取消其合格的中标候选人资格；因异议或投诉生效导致所有入围候选人均不符合招标文件要求的，应当重新组织招标。</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keepNext/>
        <w:keepLines/>
        <w:spacing w:before="260" w:after="260" w:line="415" w:lineRule="auto"/>
        <w:ind w:firstLine="137" w:firstLineChars="49"/>
        <w:outlineLvl w:val="2"/>
        <w:rPr>
          <w:rFonts w:ascii="宋体" w:hAnsi="宋体" w:cs="宋体"/>
          <w:bCs/>
          <w:color w:val="auto"/>
          <w:sz w:val="28"/>
          <w:szCs w:val="28"/>
          <w:highlight w:val="none"/>
        </w:rPr>
      </w:pPr>
      <w:r>
        <w:rPr>
          <w:rFonts w:hint="eastAsia" w:ascii="宋体" w:hAnsi="宋体" w:cs="宋体"/>
          <w:bCs/>
          <w:color w:val="auto"/>
          <w:sz w:val="28"/>
          <w:szCs w:val="28"/>
          <w:highlight w:val="none"/>
        </w:rPr>
        <w:t>7.3 中标通知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7.3.1在本章第3.3款规定的投标有效期内，</w:t>
      </w:r>
      <w:r>
        <w:rPr>
          <w:rFonts w:hint="eastAsia" w:ascii="宋体" w:hAnsi="宋体" w:cs="宋体"/>
          <w:color w:val="auto"/>
          <w:highlight w:val="none"/>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r>
        <w:rPr>
          <w:rFonts w:hint="eastAsia" w:ascii="宋体" w:hAnsi="宋体" w:cs="宋体"/>
          <w:color w:val="auto"/>
          <w:szCs w:val="24"/>
          <w:highlight w:val="none"/>
        </w:rPr>
        <w:t>。</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7.3.2招标人应当自确定中标人后，向招投标监管机构提交招标投标情况的书面报告；经招投标监管机构备案后，方可发出中标通知书。中标通知书由招标人颁发，并经广州公共资源交易中心确认。</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754" w:name="_Toc16658"/>
      <w:bookmarkStart w:id="755" w:name="_Toc399165414"/>
      <w:bookmarkStart w:id="756" w:name="_Toc436834172"/>
      <w:bookmarkStart w:id="757" w:name="_Toc144974537"/>
      <w:bookmarkStart w:id="758" w:name="_Toc11792"/>
      <w:bookmarkStart w:id="759" w:name="_Toc436834765"/>
      <w:bookmarkStart w:id="760" w:name="_Toc247527594"/>
      <w:bookmarkStart w:id="761" w:name="_Toc485211079"/>
      <w:bookmarkStart w:id="762" w:name="_Toc152045569"/>
      <w:bookmarkStart w:id="763" w:name="_Toc7052"/>
      <w:bookmarkStart w:id="764" w:name="_Toc9996"/>
      <w:bookmarkStart w:id="765" w:name="_Toc20415"/>
      <w:bookmarkStart w:id="766" w:name="_Toc300834992"/>
      <w:bookmarkStart w:id="767" w:name="_Toc29469"/>
      <w:bookmarkStart w:id="768" w:name="_Toc28701"/>
      <w:bookmarkStart w:id="769" w:name="_Toc14040"/>
      <w:bookmarkStart w:id="770" w:name="_Toc247513993"/>
      <w:bookmarkStart w:id="771" w:name="_Toc32175"/>
      <w:bookmarkStart w:id="772" w:name="_Toc152042345"/>
      <w:bookmarkStart w:id="773" w:name="_Toc15332"/>
      <w:r>
        <w:rPr>
          <w:rFonts w:hint="eastAsia" w:ascii="宋体" w:hAnsi="宋体" w:cs="宋体"/>
          <w:bCs/>
          <w:color w:val="auto"/>
          <w:sz w:val="28"/>
          <w:szCs w:val="28"/>
          <w:highlight w:val="none"/>
        </w:rPr>
        <w:t>7.4 履约担保</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7.4.1</w:t>
      </w:r>
      <w:r>
        <w:rPr>
          <w:rFonts w:hint="eastAsia" w:ascii="宋体" w:hAnsi="宋体" w:cs="宋体"/>
          <w:color w:val="auto"/>
          <w:highlight w:val="none"/>
        </w:rPr>
        <w:t>在签订合同前，中标人应按投标人须知前附表规定的担保形式和招标文件第四章“合同条款及格式”规定的或者事先经过招标人书面认可的履约担保格式向招标人提交履约担保，如果中标人的履约担保是以银行保函的形式提供，则该银行保函应由招标人接受的国内商业银行开具。履约担保金额详见投标人须知前附表。联合体中标的，其履约担保由联合体各方或者联合体中主办方的名义提交。</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7.4.2 中标人不能按本章第7.4.1项要求提交履约担保的，视为放弃中标，其投标担保不予退还，给招标人造成的损失超过投标担保数额的，中标人还应当对超过部分予以赔偿。</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774" w:name="_Toc152045570"/>
      <w:bookmarkStart w:id="775" w:name="_Toc144974538"/>
      <w:bookmarkStart w:id="776" w:name="_Toc10427"/>
      <w:bookmarkStart w:id="777" w:name="_Toc24472"/>
      <w:bookmarkStart w:id="778" w:name="_Toc247527595"/>
      <w:bookmarkStart w:id="779" w:name="_Toc16750"/>
      <w:bookmarkStart w:id="780" w:name="_Toc29811"/>
      <w:bookmarkStart w:id="781" w:name="_Toc26297"/>
      <w:bookmarkStart w:id="782" w:name="_Toc30893"/>
      <w:bookmarkStart w:id="783" w:name="_Toc399165415"/>
      <w:bookmarkStart w:id="784" w:name="_Toc300834993"/>
      <w:bookmarkStart w:id="785" w:name="_Toc13654"/>
      <w:bookmarkStart w:id="786" w:name="_Toc152042346"/>
      <w:bookmarkStart w:id="787" w:name="_Toc436834766"/>
      <w:bookmarkStart w:id="788" w:name="_Toc485211080"/>
      <w:bookmarkStart w:id="789" w:name="_Toc28474"/>
      <w:bookmarkStart w:id="790" w:name="_Toc247513994"/>
      <w:bookmarkStart w:id="791" w:name="_Toc5465"/>
      <w:bookmarkStart w:id="792" w:name="_Toc436834173"/>
      <w:bookmarkStart w:id="793" w:name="_Toc1426"/>
      <w:r>
        <w:rPr>
          <w:rFonts w:hint="eastAsia" w:ascii="宋体" w:hAnsi="宋体" w:cs="宋体"/>
          <w:bCs/>
          <w:color w:val="auto"/>
          <w:sz w:val="28"/>
          <w:szCs w:val="28"/>
          <w:highlight w:val="none"/>
        </w:rPr>
        <w:t>7.5 签订合同</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7.5.1 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7.5.2 发出中标通知书后，招标人无正当理由拒签合同的，给中标人造成损失的，还应当赔偿损失。</w:t>
      </w:r>
    </w:p>
    <w:p>
      <w:pPr>
        <w:keepNext/>
        <w:keepLines/>
        <w:spacing w:before="260" w:after="260" w:line="415" w:lineRule="auto"/>
        <w:outlineLvl w:val="1"/>
        <w:rPr>
          <w:rFonts w:ascii="宋体" w:hAnsi="宋体" w:cs="宋体"/>
          <w:b/>
          <w:bCs/>
          <w:color w:val="auto"/>
          <w:sz w:val="32"/>
          <w:szCs w:val="32"/>
          <w:highlight w:val="none"/>
        </w:rPr>
      </w:pPr>
      <w:bookmarkStart w:id="794" w:name="_Toc152045571"/>
      <w:bookmarkStart w:id="795" w:name="_Toc152042347"/>
      <w:bookmarkStart w:id="796" w:name="_Toc247527596"/>
      <w:bookmarkStart w:id="797" w:name="_Toc144974539"/>
      <w:bookmarkStart w:id="798" w:name="_Toc247513995"/>
      <w:bookmarkStart w:id="799" w:name="_Toc300834994"/>
      <w:bookmarkStart w:id="800" w:name="_Toc7834"/>
      <w:bookmarkStart w:id="801" w:name="_Toc28927"/>
      <w:bookmarkStart w:id="802" w:name="_Toc6337"/>
      <w:bookmarkStart w:id="803" w:name="_Toc30528"/>
      <w:bookmarkStart w:id="804" w:name="_Toc485211081"/>
      <w:bookmarkStart w:id="805" w:name="_Toc29250"/>
      <w:bookmarkStart w:id="806" w:name="_Toc436834767"/>
      <w:bookmarkStart w:id="807" w:name="_Toc399165416"/>
      <w:bookmarkStart w:id="808" w:name="_Toc25566"/>
      <w:bookmarkStart w:id="809" w:name="_Toc5708"/>
      <w:bookmarkStart w:id="810" w:name="_Toc18789"/>
      <w:bookmarkStart w:id="811" w:name="_Toc23073"/>
      <w:bookmarkStart w:id="812" w:name="_Toc436834174"/>
      <w:bookmarkStart w:id="813" w:name="_Toc11110"/>
      <w:r>
        <w:rPr>
          <w:rFonts w:hint="eastAsia" w:ascii="宋体" w:hAnsi="宋体" w:cs="宋体"/>
          <w:b/>
          <w:bCs/>
          <w:color w:val="auto"/>
          <w:sz w:val="32"/>
          <w:szCs w:val="32"/>
          <w:highlight w:val="none"/>
        </w:rPr>
        <w:t>8.</w:t>
      </w:r>
      <w:bookmarkEnd w:id="794"/>
      <w:bookmarkEnd w:id="795"/>
      <w:bookmarkEnd w:id="796"/>
      <w:bookmarkEnd w:id="797"/>
      <w:bookmarkEnd w:id="798"/>
      <w:bookmarkStart w:id="814" w:name="_Toc144974542"/>
      <w:bookmarkStart w:id="815" w:name="_Toc247527599"/>
      <w:bookmarkStart w:id="816" w:name="_Toc247513998"/>
      <w:bookmarkStart w:id="817" w:name="_Toc152042350"/>
      <w:bookmarkStart w:id="818" w:name="_Toc152045574"/>
      <w:r>
        <w:rPr>
          <w:rFonts w:hint="eastAsia" w:ascii="宋体" w:hAnsi="宋体" w:cs="宋体"/>
          <w:b/>
          <w:bCs/>
          <w:color w:val="auto"/>
          <w:sz w:val="32"/>
          <w:szCs w:val="32"/>
          <w:highlight w:val="none"/>
        </w:rPr>
        <w:t xml:space="preserve"> 纪律和监督</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819" w:name="_Toc485211082"/>
      <w:bookmarkStart w:id="820" w:name="_Toc5172"/>
      <w:bookmarkStart w:id="821" w:name="_Toc26815"/>
      <w:bookmarkStart w:id="822" w:name="_Toc3121"/>
      <w:bookmarkStart w:id="823" w:name="_Toc1360"/>
      <w:bookmarkStart w:id="824" w:name="_Toc1452"/>
      <w:bookmarkStart w:id="825" w:name="_Toc152045575"/>
      <w:bookmarkStart w:id="826" w:name="_Toc436834768"/>
      <w:bookmarkStart w:id="827" w:name="_Toc23464"/>
      <w:bookmarkStart w:id="828" w:name="_Toc8648"/>
      <w:bookmarkStart w:id="829" w:name="_Toc144974543"/>
      <w:bookmarkStart w:id="830" w:name="_Toc25919"/>
      <w:bookmarkStart w:id="831" w:name="_Toc25574"/>
      <w:bookmarkStart w:id="832" w:name="_Toc152042351"/>
      <w:bookmarkStart w:id="833" w:name="_Toc399165417"/>
      <w:bookmarkStart w:id="834" w:name="_Toc247513999"/>
      <w:bookmarkStart w:id="835" w:name="_Toc247527600"/>
      <w:bookmarkStart w:id="836" w:name="_Toc300834995"/>
      <w:bookmarkStart w:id="837" w:name="_Toc436834175"/>
      <w:bookmarkStart w:id="838" w:name="_Toc24913"/>
      <w:r>
        <w:rPr>
          <w:rFonts w:hint="eastAsia" w:ascii="宋体" w:hAnsi="宋体" w:cs="宋体"/>
          <w:bCs/>
          <w:color w:val="auto"/>
          <w:sz w:val="28"/>
          <w:szCs w:val="28"/>
          <w:highlight w:val="none"/>
        </w:rPr>
        <w:t>8.1 对招标人的纪律要求</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招标人不得泄漏招标投标活动中应当保密的情况和资料，不得与投标人串通损害国家利益、社会公共利益或者他人合法权益。</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839" w:name="_Toc9604"/>
      <w:bookmarkStart w:id="840" w:name="_Toc247527601"/>
      <w:bookmarkStart w:id="841" w:name="_Toc21966"/>
      <w:bookmarkStart w:id="842" w:name="_Toc144974544"/>
      <w:bookmarkStart w:id="843" w:name="_Toc11497"/>
      <w:bookmarkStart w:id="844" w:name="_Toc7793"/>
      <w:bookmarkStart w:id="845" w:name="_Toc399165418"/>
      <w:bookmarkStart w:id="846" w:name="_Toc25854"/>
      <w:bookmarkStart w:id="847" w:name="_Toc436834769"/>
      <w:bookmarkStart w:id="848" w:name="_Toc24737"/>
      <w:bookmarkStart w:id="849" w:name="_Toc3971"/>
      <w:bookmarkStart w:id="850" w:name="_Toc152045576"/>
      <w:bookmarkStart w:id="851" w:name="_Toc10085"/>
      <w:bookmarkStart w:id="852" w:name="_Toc247514000"/>
      <w:bookmarkStart w:id="853" w:name="_Toc300834996"/>
      <w:bookmarkStart w:id="854" w:name="_Toc28773"/>
      <w:bookmarkStart w:id="855" w:name="_Toc485211083"/>
      <w:bookmarkStart w:id="856" w:name="_Toc7734"/>
      <w:bookmarkStart w:id="857" w:name="_Toc152042352"/>
      <w:bookmarkStart w:id="858" w:name="_Toc436834176"/>
      <w:r>
        <w:rPr>
          <w:rFonts w:hint="eastAsia" w:ascii="宋体" w:hAnsi="宋体" w:cs="宋体"/>
          <w:bCs/>
          <w:color w:val="auto"/>
          <w:sz w:val="28"/>
          <w:szCs w:val="28"/>
          <w:highlight w:val="none"/>
        </w:rPr>
        <w:t>8.2 对投标人的纪律要求</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859" w:name="_Toc300834997"/>
      <w:bookmarkStart w:id="860" w:name="_Toc18726"/>
      <w:bookmarkStart w:id="861" w:name="_Toc152042353"/>
      <w:bookmarkStart w:id="862" w:name="_Toc13115"/>
      <w:bookmarkStart w:id="863" w:name="_Toc9452"/>
      <w:bookmarkStart w:id="864" w:name="_Toc5574"/>
      <w:bookmarkStart w:id="865" w:name="_Toc12847"/>
      <w:bookmarkStart w:id="866" w:name="_Toc7942"/>
      <w:bookmarkStart w:id="867" w:name="_Toc399165419"/>
      <w:bookmarkStart w:id="868" w:name="_Toc152045577"/>
      <w:bookmarkStart w:id="869" w:name="_Toc247514001"/>
      <w:bookmarkStart w:id="870" w:name="_Toc485211084"/>
      <w:bookmarkStart w:id="871" w:name="_Toc247527602"/>
      <w:bookmarkStart w:id="872" w:name="_Toc16502"/>
      <w:bookmarkStart w:id="873" w:name="_Toc14578"/>
      <w:bookmarkStart w:id="874" w:name="_Toc144974545"/>
      <w:bookmarkStart w:id="875" w:name="_Toc9436"/>
      <w:bookmarkStart w:id="876" w:name="_Toc436834177"/>
      <w:bookmarkStart w:id="877" w:name="_Toc436834770"/>
      <w:bookmarkStart w:id="878" w:name="_Toc20671"/>
      <w:r>
        <w:rPr>
          <w:rFonts w:hint="eastAsia" w:ascii="宋体" w:hAnsi="宋体" w:cs="宋体"/>
          <w:bCs/>
          <w:color w:val="auto"/>
          <w:sz w:val="28"/>
          <w:szCs w:val="28"/>
          <w:highlight w:val="none"/>
        </w:rPr>
        <w:t>8.3 对评标委员会成员的纪律要求</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879" w:name="_Toc24670"/>
      <w:bookmarkStart w:id="880" w:name="_Toc424"/>
      <w:bookmarkStart w:id="881" w:name="_Toc152045578"/>
      <w:bookmarkStart w:id="882" w:name="_Toc247514002"/>
      <w:bookmarkStart w:id="883" w:name="_Toc436834178"/>
      <w:bookmarkStart w:id="884" w:name="_Toc13534"/>
      <w:bookmarkStart w:id="885" w:name="_Toc300834998"/>
      <w:bookmarkStart w:id="886" w:name="_Toc6372"/>
      <w:bookmarkStart w:id="887" w:name="_Toc23424"/>
      <w:bookmarkStart w:id="888" w:name="_Toc15426"/>
      <w:bookmarkStart w:id="889" w:name="_Toc2073"/>
      <w:bookmarkStart w:id="890" w:name="_Toc28465"/>
      <w:bookmarkStart w:id="891" w:name="_Toc9582"/>
      <w:bookmarkStart w:id="892" w:name="_Toc436834771"/>
      <w:bookmarkStart w:id="893" w:name="_Toc247527603"/>
      <w:bookmarkStart w:id="894" w:name="_Toc399165420"/>
      <w:bookmarkStart w:id="895" w:name="_Toc152042354"/>
      <w:bookmarkStart w:id="896" w:name="_Toc13233"/>
      <w:bookmarkStart w:id="897" w:name="_Toc485211085"/>
      <w:bookmarkStart w:id="898" w:name="_Toc144974546"/>
      <w:r>
        <w:rPr>
          <w:rFonts w:hint="eastAsia" w:ascii="宋体" w:hAnsi="宋体" w:cs="宋体"/>
          <w:bCs/>
          <w:color w:val="auto"/>
          <w:sz w:val="28"/>
          <w:szCs w:val="28"/>
          <w:highlight w:val="none"/>
        </w:rPr>
        <w:t>8.4 对与评标活动有关的工作人员的纪律要求</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spacing w:line="400" w:lineRule="exact"/>
        <w:ind w:firstLine="420" w:firstLineChars="200"/>
        <w:rPr>
          <w:rFonts w:ascii="宋体" w:hAnsi="宋体" w:cs="宋体"/>
          <w:color w:val="auto"/>
          <w:szCs w:val="24"/>
          <w:highlight w:val="none"/>
        </w:rPr>
      </w:pPr>
      <w:bookmarkStart w:id="899" w:name="_Toc152042355"/>
      <w:r>
        <w:rPr>
          <w:rFonts w:hint="eastAsia" w:ascii="宋体" w:hAnsi="宋体" w:cs="宋体"/>
          <w:color w:val="auto"/>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899"/>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900" w:name="_Toc399165421"/>
      <w:bookmarkStart w:id="901" w:name="_Toc22999"/>
      <w:bookmarkStart w:id="902" w:name="_Toc28353"/>
      <w:bookmarkStart w:id="903" w:name="_Toc152042356"/>
      <w:bookmarkStart w:id="904" w:name="_Toc10059"/>
      <w:bookmarkStart w:id="905" w:name="_Toc436834772"/>
      <w:bookmarkStart w:id="906" w:name="_Toc15882"/>
      <w:bookmarkStart w:id="907" w:name="_Toc2374"/>
      <w:bookmarkStart w:id="908" w:name="_Toc738"/>
      <w:bookmarkStart w:id="909" w:name="_Toc300834999"/>
      <w:bookmarkStart w:id="910" w:name="_Toc152045579"/>
      <w:bookmarkStart w:id="911" w:name="_Toc27663"/>
      <w:bookmarkStart w:id="912" w:name="_Toc247514003"/>
      <w:bookmarkStart w:id="913" w:name="_Toc5305"/>
      <w:bookmarkStart w:id="914" w:name="_Toc436834179"/>
      <w:bookmarkStart w:id="915" w:name="_Toc8527"/>
      <w:bookmarkStart w:id="916" w:name="_Toc485211086"/>
      <w:bookmarkStart w:id="917" w:name="_Toc247527604"/>
      <w:bookmarkStart w:id="918" w:name="_Toc21901"/>
      <w:r>
        <w:rPr>
          <w:rFonts w:hint="eastAsia" w:ascii="宋体" w:hAnsi="宋体" w:cs="宋体"/>
          <w:bCs/>
          <w:color w:val="auto"/>
          <w:sz w:val="28"/>
          <w:szCs w:val="28"/>
          <w:highlight w:val="none"/>
        </w:rPr>
        <w:t>8.5 投诉</w:t>
      </w:r>
      <w:bookmarkEnd w:id="898"/>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投标人和其他利害关系人认为本次招标活动违反法律、法规和规章规定的，有权向有关行政监督部门投诉。</w:t>
      </w:r>
    </w:p>
    <w:p>
      <w:pPr>
        <w:keepNext/>
        <w:keepLines/>
        <w:spacing w:before="260" w:after="260" w:line="415" w:lineRule="auto"/>
        <w:outlineLvl w:val="1"/>
        <w:rPr>
          <w:rFonts w:ascii="宋体" w:hAnsi="宋体" w:cs="宋体"/>
          <w:b/>
          <w:bCs/>
          <w:color w:val="auto"/>
          <w:sz w:val="32"/>
          <w:szCs w:val="32"/>
          <w:highlight w:val="none"/>
        </w:rPr>
      </w:pPr>
      <w:bookmarkStart w:id="919" w:name="_Toc152045580"/>
      <w:bookmarkStart w:id="920" w:name="_Toc144974547"/>
      <w:bookmarkStart w:id="921" w:name="_Toc22770"/>
      <w:bookmarkStart w:id="922" w:name="_Toc436834773"/>
      <w:bookmarkStart w:id="923" w:name="_Toc5380"/>
      <w:bookmarkStart w:id="924" w:name="_Toc152042357"/>
      <w:bookmarkStart w:id="925" w:name="_Toc9615"/>
      <w:bookmarkStart w:id="926" w:name="_Toc247514004"/>
      <w:bookmarkStart w:id="927" w:name="_Toc300835000"/>
      <w:bookmarkStart w:id="928" w:name="_Toc1548"/>
      <w:bookmarkStart w:id="929" w:name="_Toc11995"/>
      <w:bookmarkStart w:id="930" w:name="_Toc13569"/>
      <w:bookmarkStart w:id="931" w:name="_Toc11182"/>
      <w:bookmarkStart w:id="932" w:name="_Toc399165422"/>
      <w:bookmarkStart w:id="933" w:name="_Toc247527605"/>
      <w:bookmarkStart w:id="934" w:name="_Toc6670"/>
      <w:bookmarkStart w:id="935" w:name="_Toc485211087"/>
      <w:bookmarkStart w:id="936" w:name="_Toc18590"/>
      <w:bookmarkStart w:id="937" w:name="_Toc436834180"/>
      <w:bookmarkStart w:id="938" w:name="_Toc22539"/>
      <w:r>
        <w:rPr>
          <w:rFonts w:hint="eastAsia" w:ascii="宋体" w:hAnsi="宋体" w:cs="宋体"/>
          <w:b/>
          <w:bCs/>
          <w:color w:val="auto"/>
          <w:sz w:val="32"/>
          <w:szCs w:val="32"/>
          <w:highlight w:val="none"/>
        </w:rPr>
        <w:t>9. 需要补充的其他内容</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需要补充的其他内容：见投标人须知前附表。</w:t>
      </w:r>
    </w:p>
    <w:p>
      <w:pPr>
        <w:keepNext/>
        <w:keepLines/>
        <w:spacing w:before="260" w:after="260" w:line="415" w:lineRule="auto"/>
        <w:outlineLvl w:val="1"/>
        <w:rPr>
          <w:rFonts w:ascii="宋体" w:hAnsi="宋体" w:cs="宋体"/>
          <w:b/>
          <w:bCs/>
          <w:color w:val="auto"/>
          <w:sz w:val="32"/>
          <w:szCs w:val="32"/>
          <w:highlight w:val="none"/>
        </w:rPr>
      </w:pPr>
      <w:bookmarkStart w:id="939" w:name="_Toc29306"/>
      <w:bookmarkStart w:id="940" w:name="_Toc485211088"/>
      <w:bookmarkStart w:id="941" w:name="_Toc18743"/>
      <w:bookmarkStart w:id="942" w:name="_Toc5960"/>
      <w:bookmarkStart w:id="943" w:name="_Toc15755"/>
      <w:bookmarkStart w:id="944" w:name="_Toc29749"/>
      <w:bookmarkStart w:id="945" w:name="_Toc10898"/>
      <w:bookmarkStart w:id="946" w:name="_Toc436834181"/>
      <w:bookmarkStart w:id="947" w:name="_Toc144"/>
      <w:bookmarkStart w:id="948" w:name="_Toc21545"/>
      <w:bookmarkStart w:id="949" w:name="_Toc19525"/>
      <w:bookmarkStart w:id="950" w:name="_Toc10015"/>
      <w:bookmarkStart w:id="951" w:name="_Toc399165423"/>
      <w:bookmarkStart w:id="952" w:name="_Toc436834774"/>
      <w:bookmarkStart w:id="953" w:name="_Toc300835001"/>
      <w:r>
        <w:rPr>
          <w:rFonts w:hint="eastAsia" w:ascii="宋体" w:hAnsi="宋体" w:cs="宋体"/>
          <w:b/>
          <w:bCs/>
          <w:color w:val="auto"/>
          <w:sz w:val="32"/>
          <w:szCs w:val="32"/>
          <w:highlight w:val="none"/>
        </w:rPr>
        <w:t>10. 电子招标投标</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如采用电子招标投标，对投标文件的编制、密封和标记、递交、开标、评标等具体要求，见投标人须知前附表。</w:t>
      </w:r>
    </w:p>
    <w:p>
      <w:pPr>
        <w:spacing w:line="400" w:lineRule="exact"/>
        <w:ind w:firstLine="420" w:firstLineChars="200"/>
        <w:rPr>
          <w:rFonts w:ascii="宋体" w:hAnsi="宋体" w:cs="宋体"/>
          <w:color w:val="auto"/>
          <w:szCs w:val="24"/>
          <w:highlight w:val="none"/>
        </w:rPr>
      </w:pPr>
    </w:p>
    <w:p>
      <w:pPr>
        <w:spacing w:line="400" w:lineRule="exact"/>
        <w:ind w:firstLine="420" w:firstLineChars="200"/>
        <w:rPr>
          <w:rFonts w:ascii="宋体" w:hAnsi="宋体" w:cs="宋体"/>
          <w:color w:val="auto"/>
          <w:szCs w:val="24"/>
          <w:highlight w:val="none"/>
        </w:rPr>
      </w:pPr>
    </w:p>
    <w:p>
      <w:pPr>
        <w:spacing w:line="400" w:lineRule="exact"/>
        <w:ind w:firstLine="420" w:firstLineChars="200"/>
        <w:rPr>
          <w:rFonts w:ascii="宋体" w:hAnsi="宋体" w:cs="宋体"/>
          <w:color w:val="auto"/>
          <w:szCs w:val="24"/>
          <w:highlight w:val="none"/>
        </w:rPr>
        <w:sectPr>
          <w:headerReference r:id="rId7" w:type="default"/>
          <w:footerReference r:id="rId8" w:type="default"/>
          <w:pgSz w:w="11905" w:h="16838"/>
          <w:pgMar w:top="1247" w:right="1247" w:bottom="1247" w:left="1247" w:header="567" w:footer="850" w:gutter="0"/>
          <w:pgNumType w:start="1"/>
          <w:cols w:space="720" w:num="1"/>
          <w:docGrid w:type="lines" w:linePitch="312" w:charSpace="0"/>
        </w:sectPr>
      </w:pPr>
    </w:p>
    <w:p>
      <w:pPr>
        <w:spacing w:line="440" w:lineRule="exact"/>
        <w:rPr>
          <w:rFonts w:ascii="宋体" w:hAnsi="宋体" w:cs="宋体"/>
          <w:color w:val="auto"/>
          <w:szCs w:val="21"/>
          <w:highlight w:val="none"/>
        </w:rPr>
      </w:pPr>
      <w:bookmarkStart w:id="954" w:name="_Toc16275"/>
      <w:bookmarkStart w:id="955" w:name="_Toc152042358"/>
      <w:bookmarkStart w:id="956" w:name="_Toc247514005"/>
      <w:bookmarkStart w:id="957" w:name="_Toc13480"/>
      <w:bookmarkStart w:id="958" w:name="_Toc485211089"/>
      <w:bookmarkStart w:id="959" w:name="_Toc3477"/>
      <w:bookmarkStart w:id="960" w:name="_Toc247527606"/>
      <w:bookmarkStart w:id="961" w:name="_Toc152045581"/>
      <w:bookmarkStart w:id="962" w:name="_Toc14581"/>
      <w:bookmarkStart w:id="963" w:name="_Toc12839"/>
      <w:bookmarkStart w:id="964" w:name="_Toc17173"/>
      <w:bookmarkStart w:id="965" w:name="_Toc32530"/>
      <w:bookmarkStart w:id="966" w:name="_Toc144974548"/>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967" w:name="_Toc1292"/>
      <w:bookmarkStart w:id="968" w:name="_Toc3212"/>
      <w:bookmarkStart w:id="969" w:name="_Toc1539"/>
      <w:r>
        <w:rPr>
          <w:rFonts w:hint="eastAsia" w:ascii="宋体" w:hAnsi="宋体" w:cs="宋体"/>
          <w:bCs/>
          <w:color w:val="auto"/>
          <w:sz w:val="28"/>
          <w:szCs w:val="28"/>
          <w:highlight w:val="none"/>
        </w:rPr>
        <w:t>附件一：开标记录表</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pPr>
        <w:rPr>
          <w:rFonts w:ascii="宋体" w:hAnsi="宋体" w:cs="宋体"/>
          <w:color w:val="auto"/>
          <w:sz w:val="28"/>
          <w:szCs w:val="28"/>
          <w:highlight w:val="none"/>
        </w:rPr>
      </w:pPr>
      <w:r>
        <w:rPr>
          <w:rFonts w:hint="eastAsia" w:ascii="宋体" w:hAnsi="宋体" w:cs="宋体"/>
          <w:color w:val="auto"/>
          <w:sz w:val="28"/>
          <w:szCs w:val="28"/>
          <w:highlight w:val="none"/>
        </w:rPr>
        <w:t>开标记录表采用广州公共资源交易中心系统生成格式</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970" w:name="_Toc20609"/>
      <w:bookmarkStart w:id="971" w:name="_Toc247514006"/>
      <w:bookmarkStart w:id="972" w:name="_Toc22267"/>
      <w:bookmarkStart w:id="973" w:name="_Toc22367"/>
      <w:bookmarkStart w:id="974" w:name="_Toc152042359"/>
      <w:bookmarkStart w:id="975" w:name="_Toc152045582"/>
      <w:bookmarkStart w:id="976" w:name="_Toc22250"/>
      <w:bookmarkStart w:id="977" w:name="_Toc23946"/>
      <w:bookmarkStart w:id="978" w:name="_Toc26951"/>
      <w:bookmarkStart w:id="979" w:name="_Toc12992"/>
      <w:bookmarkStart w:id="980" w:name="_Toc7096"/>
      <w:bookmarkStart w:id="981" w:name="_Toc8530"/>
      <w:bookmarkStart w:id="982" w:name="_Toc247527607"/>
      <w:bookmarkStart w:id="983" w:name="_Toc6023"/>
      <w:bookmarkStart w:id="984" w:name="_Toc144974549"/>
      <w:bookmarkStart w:id="985" w:name="_Toc485211090"/>
      <w:r>
        <w:rPr>
          <w:rFonts w:hint="eastAsia" w:ascii="宋体" w:hAnsi="宋体" w:cs="宋体"/>
          <w:bCs/>
          <w:color w:val="auto"/>
          <w:sz w:val="28"/>
          <w:szCs w:val="28"/>
          <w:highlight w:val="none"/>
        </w:rPr>
        <w:t>附件二：问题澄清通知</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问题澄清通知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编号：</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（投标人名称）：</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（项目名称）设计施工总承包招标的评标委员会，对你方的投标文件进行了仔细的审查，现需你方对下列问题以书面形式予以澄清：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1.</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2.</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请将上述问题的澄清于年月日时前递交至（详细地址）或传真至（传真号码）。采用传真方式的，应在年月日时前将原件递交至（详细地址）。</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评标委员会授权的招标人或招标代理机构：（签字或盖章）</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年月日</w:t>
      </w:r>
    </w:p>
    <w:p>
      <w:pPr>
        <w:spacing w:line="400" w:lineRule="exact"/>
        <w:rPr>
          <w:rFonts w:ascii="宋体" w:hAnsi="宋体" w:cs="宋体"/>
          <w:color w:val="auto"/>
          <w:szCs w:val="24"/>
          <w:highlight w:val="none"/>
        </w:rPr>
      </w:pPr>
    </w:p>
    <w:p>
      <w:pPr>
        <w:spacing w:line="400" w:lineRule="exact"/>
        <w:rPr>
          <w:rFonts w:ascii="宋体" w:hAnsi="宋体" w:cs="宋体"/>
          <w:color w:val="auto"/>
          <w:szCs w:val="24"/>
          <w:highlight w:val="none"/>
        </w:rPr>
      </w:pPr>
      <w:r>
        <w:rPr>
          <w:rFonts w:hint="eastAsia" w:ascii="宋体" w:hAnsi="宋体" w:cs="宋体"/>
          <w:color w:val="auto"/>
          <w:szCs w:val="24"/>
          <w:highlight w:val="none"/>
        </w:rPr>
        <w:br w:type="page"/>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986" w:name="_Toc4085"/>
      <w:bookmarkStart w:id="987" w:name="_Toc13028"/>
      <w:bookmarkStart w:id="988" w:name="_Toc247527608"/>
      <w:bookmarkStart w:id="989" w:name="_Toc2612"/>
      <w:bookmarkStart w:id="990" w:name="_Toc29892"/>
      <w:bookmarkStart w:id="991" w:name="_Toc247514007"/>
      <w:bookmarkStart w:id="992" w:name="_Toc26015"/>
      <w:bookmarkStart w:id="993" w:name="_Toc20542"/>
      <w:bookmarkStart w:id="994" w:name="_Toc5410"/>
      <w:bookmarkStart w:id="995" w:name="_Toc18238"/>
      <w:bookmarkStart w:id="996" w:name="_Toc485211091"/>
      <w:bookmarkStart w:id="997" w:name="_Toc21221"/>
      <w:bookmarkStart w:id="998" w:name="_Toc18642"/>
      <w:bookmarkStart w:id="999" w:name="_Toc144974550"/>
      <w:bookmarkStart w:id="1000" w:name="_Toc152045583"/>
      <w:bookmarkStart w:id="1001" w:name="_Toc152042360"/>
      <w:r>
        <w:rPr>
          <w:rFonts w:hint="eastAsia" w:ascii="宋体" w:hAnsi="宋体" w:cs="宋体"/>
          <w:bCs/>
          <w:color w:val="auto"/>
          <w:sz w:val="28"/>
          <w:szCs w:val="28"/>
          <w:highlight w:val="none"/>
        </w:rPr>
        <w:t>附件三：问题的澄清</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pPr>
        <w:spacing w:line="400" w:lineRule="exact"/>
        <w:jc w:val="center"/>
        <w:rPr>
          <w:rFonts w:ascii="宋体" w:hAnsi="宋体" w:cs="宋体"/>
          <w:color w:val="auto"/>
          <w:sz w:val="28"/>
          <w:szCs w:val="28"/>
          <w:highlight w:val="none"/>
        </w:rPr>
      </w:pPr>
    </w:p>
    <w:p>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问题的澄清</w:t>
      </w:r>
    </w:p>
    <w:p>
      <w:pPr>
        <w:spacing w:line="400" w:lineRule="exact"/>
        <w:ind w:firstLine="3465" w:firstLineChars="1650"/>
        <w:rPr>
          <w:rFonts w:ascii="宋体" w:hAnsi="宋体" w:cs="宋体"/>
          <w:color w:val="auto"/>
          <w:szCs w:val="24"/>
          <w:highlight w:val="none"/>
        </w:rPr>
      </w:pPr>
      <w:r>
        <w:rPr>
          <w:rFonts w:hint="eastAsia" w:ascii="宋体" w:hAnsi="宋体" w:cs="宋体"/>
          <w:color w:val="auto"/>
          <w:szCs w:val="24"/>
          <w:highlight w:val="none"/>
        </w:rPr>
        <w:t xml:space="preserve">编号： </w:t>
      </w:r>
    </w:p>
    <w:p>
      <w:pPr>
        <w:spacing w:line="40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（项目名称）设计施工总承包招标评标委员会：</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1.</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2.</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投标人：（盖单位章）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法定代表人或其委托代理人：（签字）</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年月日</w:t>
      </w:r>
    </w:p>
    <w:p>
      <w:pPr>
        <w:spacing w:line="400" w:lineRule="exact"/>
        <w:rPr>
          <w:rFonts w:ascii="宋体" w:hAnsi="宋体" w:cs="宋体"/>
          <w:color w:val="auto"/>
          <w:szCs w:val="24"/>
          <w:highlight w:val="none"/>
        </w:rPr>
      </w:pPr>
    </w:p>
    <w:p>
      <w:pPr>
        <w:spacing w:line="400" w:lineRule="exact"/>
        <w:rPr>
          <w:rFonts w:ascii="宋体" w:hAnsi="宋体" w:cs="宋体"/>
          <w:color w:val="auto"/>
          <w:szCs w:val="24"/>
          <w:highlight w:val="none"/>
        </w:rPr>
      </w:pPr>
      <w:r>
        <w:rPr>
          <w:rFonts w:hint="eastAsia" w:ascii="宋体" w:hAnsi="宋体" w:cs="宋体"/>
          <w:color w:val="auto"/>
          <w:szCs w:val="24"/>
          <w:highlight w:val="none"/>
        </w:rPr>
        <w:br w:type="page"/>
      </w:r>
    </w:p>
    <w:p>
      <w:pPr>
        <w:keepNext/>
        <w:keepLines/>
        <w:spacing w:before="260" w:after="260" w:line="415" w:lineRule="auto"/>
        <w:ind w:firstLine="137" w:firstLineChars="49"/>
        <w:outlineLvl w:val="2"/>
        <w:rPr>
          <w:rFonts w:ascii="宋体" w:hAnsi="宋体" w:cs="宋体"/>
          <w:bCs/>
          <w:color w:val="auto"/>
          <w:sz w:val="28"/>
          <w:szCs w:val="28"/>
          <w:highlight w:val="none"/>
        </w:rPr>
      </w:pPr>
      <w:bookmarkStart w:id="1002" w:name="_Toc23717"/>
      <w:bookmarkStart w:id="1003" w:name="_Toc152042361"/>
      <w:bookmarkStart w:id="1004" w:name="_Toc947"/>
      <w:bookmarkStart w:id="1005" w:name="_Toc22580"/>
      <w:bookmarkStart w:id="1006" w:name="_Toc14178"/>
      <w:bookmarkStart w:id="1007" w:name="_Toc30679"/>
      <w:bookmarkStart w:id="1008" w:name="_Toc247514008"/>
      <w:bookmarkStart w:id="1009" w:name="_Toc152045584"/>
      <w:bookmarkStart w:id="1010" w:name="_Toc2111"/>
      <w:bookmarkStart w:id="1011" w:name="_Toc247527609"/>
      <w:bookmarkStart w:id="1012" w:name="_Toc26426"/>
      <w:bookmarkStart w:id="1013" w:name="_Toc485211092"/>
      <w:bookmarkStart w:id="1014" w:name="_Toc172"/>
      <w:bookmarkStart w:id="1015" w:name="_Toc144974551"/>
      <w:bookmarkStart w:id="1016" w:name="_Toc32454"/>
      <w:bookmarkStart w:id="1017" w:name="_Toc15621"/>
      <w:r>
        <w:rPr>
          <w:rFonts w:hint="eastAsia" w:ascii="宋体" w:hAnsi="宋体" w:cs="宋体"/>
          <w:bCs/>
          <w:color w:val="auto"/>
          <w:sz w:val="28"/>
          <w:szCs w:val="28"/>
          <w:highlight w:val="none"/>
        </w:rPr>
        <w:t>附件四：中标通知书</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pPr>
        <w:spacing w:line="400" w:lineRule="exact"/>
        <w:rPr>
          <w:rFonts w:ascii="宋体" w:hAnsi="宋体" w:cs="宋体"/>
          <w:color w:val="auto"/>
          <w:szCs w:val="24"/>
          <w:highlight w:val="none"/>
        </w:rPr>
      </w:pPr>
    </w:p>
    <w:p>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中标通知书采用广州公共资源交易中心格式</w:t>
      </w:r>
    </w:p>
    <w:p>
      <w:pPr>
        <w:spacing w:line="400" w:lineRule="exact"/>
        <w:rPr>
          <w:rFonts w:ascii="宋体" w:hAnsi="宋体" w:cs="宋体"/>
          <w:color w:val="auto"/>
          <w:szCs w:val="24"/>
          <w:highlight w:val="none"/>
        </w:rPr>
      </w:pPr>
    </w:p>
    <w:p>
      <w:pPr>
        <w:spacing w:line="540" w:lineRule="exact"/>
        <w:jc w:val="center"/>
        <w:rPr>
          <w:rFonts w:ascii="宋体" w:hAnsi="宋体" w:cs="宋体"/>
          <w:color w:val="auto"/>
          <w:szCs w:val="21"/>
          <w:highlight w:val="none"/>
        </w:rPr>
      </w:pPr>
      <w:r>
        <w:rPr>
          <w:rFonts w:hint="eastAsia" w:ascii="宋体" w:hAnsi="宋体" w:cs="宋体"/>
          <w:color w:val="auto"/>
          <w:szCs w:val="21"/>
          <w:highlight w:val="none"/>
        </w:rPr>
        <w:t>（以广州公共资源交易中心出具格式为准）</w:t>
      </w:r>
    </w:p>
    <w:p>
      <w:pPr>
        <w:spacing w:line="540" w:lineRule="exact"/>
        <w:jc w:val="center"/>
        <w:rPr>
          <w:rFonts w:ascii="宋体" w:hAnsi="宋体" w:cs="宋体"/>
          <w:color w:val="auto"/>
          <w:szCs w:val="21"/>
          <w:highlight w:val="none"/>
        </w:rPr>
      </w:pPr>
    </w:p>
    <w:p>
      <w:pPr>
        <w:spacing w:line="540" w:lineRule="exact"/>
        <w:jc w:val="center"/>
        <w:rPr>
          <w:rFonts w:ascii="宋体" w:hAnsi="宋体" w:cs="宋体"/>
          <w:color w:val="auto"/>
          <w:szCs w:val="21"/>
          <w:highlight w:val="none"/>
        </w:rPr>
      </w:pPr>
    </w:p>
    <w:p>
      <w:pPr>
        <w:spacing w:line="540" w:lineRule="exact"/>
        <w:jc w:val="center"/>
        <w:rPr>
          <w:rFonts w:ascii="宋体" w:hAnsi="宋体" w:cs="宋体"/>
          <w:color w:val="auto"/>
          <w:szCs w:val="21"/>
          <w:highlight w:val="none"/>
        </w:rPr>
      </w:pPr>
    </w:p>
    <w:p>
      <w:pPr>
        <w:spacing w:line="540" w:lineRule="exact"/>
        <w:jc w:val="center"/>
        <w:rPr>
          <w:rFonts w:ascii="宋体" w:hAnsi="宋体" w:cs="宋体"/>
          <w:color w:val="auto"/>
          <w:szCs w:val="21"/>
          <w:highlight w:val="none"/>
        </w:rPr>
      </w:pPr>
    </w:p>
    <w:p>
      <w:pPr>
        <w:spacing w:line="540" w:lineRule="exact"/>
        <w:jc w:val="center"/>
        <w:rPr>
          <w:rFonts w:ascii="宋体" w:hAnsi="宋体" w:cs="宋体"/>
          <w:color w:val="auto"/>
          <w:szCs w:val="21"/>
          <w:highlight w:val="none"/>
        </w:rPr>
      </w:pPr>
    </w:p>
    <w:p>
      <w:pPr>
        <w:spacing w:line="540" w:lineRule="exact"/>
        <w:jc w:val="center"/>
        <w:rPr>
          <w:rFonts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pPr>
        <w:keepNext/>
        <w:keepLines/>
        <w:spacing w:before="340" w:after="330" w:line="576" w:lineRule="auto"/>
        <w:jc w:val="center"/>
        <w:outlineLvl w:val="0"/>
        <w:rPr>
          <w:rFonts w:ascii="宋体" w:hAnsi="宋体" w:cs="宋体"/>
          <w:b/>
          <w:bCs/>
          <w:color w:val="auto"/>
          <w:kern w:val="44"/>
          <w:sz w:val="44"/>
          <w:szCs w:val="44"/>
          <w:highlight w:val="none"/>
        </w:rPr>
      </w:pPr>
      <w:bookmarkStart w:id="1018" w:name="_Toc24996"/>
      <w:bookmarkStart w:id="1019" w:name="_Toc32048"/>
      <w:bookmarkStart w:id="1020" w:name="_Toc144974565"/>
      <w:bookmarkStart w:id="1021" w:name="_Toc247514022"/>
      <w:bookmarkStart w:id="1022" w:name="_Toc152042375"/>
      <w:bookmarkStart w:id="1023" w:name="_Toc5899"/>
      <w:bookmarkStart w:id="1024" w:name="_Toc247527623"/>
      <w:bookmarkStart w:id="1025" w:name="_Toc14000"/>
      <w:bookmarkStart w:id="1026" w:name="_Toc485211093"/>
      <w:bookmarkStart w:id="1027" w:name="_Toc22564"/>
      <w:bookmarkStart w:id="1028" w:name="_Toc152045598"/>
      <w:bookmarkStart w:id="1029" w:name="_Toc5053"/>
      <w:bookmarkStart w:id="1030" w:name="_Toc13679"/>
      <w:bookmarkStart w:id="1031" w:name="_Toc354847399"/>
      <w:r>
        <w:rPr>
          <w:rFonts w:hint="eastAsia" w:ascii="宋体" w:hAnsi="宋体" w:cs="宋体"/>
          <w:b/>
          <w:bCs/>
          <w:color w:val="auto"/>
          <w:kern w:val="44"/>
          <w:sz w:val="44"/>
          <w:szCs w:val="44"/>
          <w:highlight w:val="none"/>
        </w:rPr>
        <w:t>第三章 评（定）标办法</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Start w:id="1032" w:name="_Toc152045599"/>
      <w:bookmarkStart w:id="1033" w:name="_Toc144974566"/>
      <w:bookmarkStart w:id="1034" w:name="_Toc247514023"/>
      <w:bookmarkStart w:id="1035" w:name="_Toc152042376"/>
      <w:bookmarkStart w:id="1036" w:name="_Toc247527624"/>
    </w:p>
    <w:bookmarkEnd w:id="1032"/>
    <w:bookmarkEnd w:id="1033"/>
    <w:bookmarkEnd w:id="1034"/>
    <w:bookmarkEnd w:id="1035"/>
    <w:bookmarkEnd w:id="1036"/>
    <w:p>
      <w:pPr>
        <w:keepNext/>
        <w:keepLines/>
        <w:spacing w:before="260" w:after="260" w:line="415" w:lineRule="auto"/>
        <w:jc w:val="center"/>
        <w:outlineLvl w:val="1"/>
        <w:rPr>
          <w:rFonts w:ascii="宋体" w:hAnsi="宋体" w:cs="宋体"/>
          <w:b/>
          <w:bCs/>
          <w:color w:val="auto"/>
          <w:sz w:val="32"/>
          <w:szCs w:val="32"/>
          <w:highlight w:val="none"/>
        </w:rPr>
      </w:pPr>
      <w:bookmarkStart w:id="1037" w:name="_Toc30443"/>
      <w:bookmarkStart w:id="1038" w:name="_Toc29441"/>
      <w:bookmarkStart w:id="1039" w:name="_Toc485211094"/>
      <w:bookmarkStart w:id="1040" w:name="_Toc24145"/>
      <w:bookmarkStart w:id="1041" w:name="_Toc436834777"/>
      <w:bookmarkStart w:id="1042" w:name="_Toc25722"/>
      <w:bookmarkStart w:id="1043" w:name="_Toc26598"/>
      <w:bookmarkStart w:id="1044" w:name="_Toc19639"/>
      <w:bookmarkStart w:id="1045" w:name="_Toc28730"/>
      <w:bookmarkStart w:id="1046" w:name="_Toc4140"/>
      <w:bookmarkStart w:id="1047" w:name="_Toc399165430"/>
      <w:bookmarkStart w:id="1048" w:name="_Toc17809"/>
      <w:bookmarkStart w:id="1049" w:name="_Toc436834184"/>
      <w:bookmarkStart w:id="1050" w:name="_Toc26731"/>
      <w:bookmarkStart w:id="1051" w:name="_Toc300835009"/>
      <w:r>
        <w:rPr>
          <w:rFonts w:hint="eastAsia" w:ascii="宋体" w:hAnsi="宋体" w:cs="宋体"/>
          <w:b/>
          <w:bCs/>
          <w:color w:val="auto"/>
          <w:sz w:val="32"/>
          <w:szCs w:val="32"/>
          <w:highlight w:val="none"/>
        </w:rPr>
        <w:t>评（定）标办法前附表</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251"/>
        <w:gridCol w:w="1314"/>
        <w:gridCol w:w="1809"/>
        <w:gridCol w:w="49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322" w:type="dxa"/>
            <w:gridSpan w:val="3"/>
            <w:vAlign w:val="center"/>
          </w:tcPr>
          <w:p>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09" w:type="dxa"/>
            <w:vAlign w:val="center"/>
          </w:tcPr>
          <w:p>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970" w:type="dxa"/>
            <w:vAlign w:val="center"/>
          </w:tcPr>
          <w:p>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1</w:t>
            </w:r>
          </w:p>
        </w:tc>
        <w:tc>
          <w:tcPr>
            <w:tcW w:w="1565" w:type="dxa"/>
            <w:gridSpan w:val="2"/>
            <w:vAlign w:val="center"/>
          </w:tcPr>
          <w:p>
            <w:pPr>
              <w:spacing w:line="440" w:lineRule="exact"/>
              <w:jc w:val="center"/>
              <w:rPr>
                <w:rFonts w:ascii="Calibri" w:hAnsi="Calibri"/>
                <w:color w:val="auto"/>
                <w:szCs w:val="21"/>
                <w:highlight w:val="none"/>
              </w:rPr>
            </w:pPr>
            <w:r>
              <w:rPr>
                <w:rFonts w:ascii="Calibri" w:hAnsi="Calibri"/>
                <w:color w:val="auto"/>
                <w:szCs w:val="21"/>
                <w:highlight w:val="none"/>
              </w:rPr>
              <w:t>资格</w:t>
            </w:r>
            <w:r>
              <w:rPr>
                <w:rFonts w:hint="eastAsia" w:ascii="Calibri" w:hAnsi="Calibri"/>
                <w:color w:val="auto"/>
                <w:szCs w:val="21"/>
                <w:highlight w:val="none"/>
              </w:rPr>
              <w:t>审查</w:t>
            </w:r>
          </w:p>
        </w:tc>
        <w:tc>
          <w:tcPr>
            <w:tcW w:w="6779" w:type="dxa"/>
            <w:gridSpan w:val="2"/>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详见附表一《资格审查表》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2</w:t>
            </w:r>
          </w:p>
        </w:tc>
        <w:tc>
          <w:tcPr>
            <w:tcW w:w="1565" w:type="dxa"/>
            <w:gridSpan w:val="2"/>
            <w:vAlign w:val="center"/>
          </w:tcPr>
          <w:p>
            <w:pPr>
              <w:spacing w:line="300" w:lineRule="exact"/>
              <w:ind w:left="-78" w:leftChars="-37" w:right="-69" w:rightChars="-33"/>
              <w:jc w:val="center"/>
              <w:rPr>
                <w:rFonts w:ascii="Calibri" w:hAnsi="Calibri"/>
                <w:color w:val="auto"/>
                <w:szCs w:val="21"/>
                <w:highlight w:val="none"/>
              </w:rPr>
            </w:pPr>
            <w:r>
              <w:rPr>
                <w:rFonts w:hint="eastAsia" w:ascii="宋体" w:hAnsi="宋体" w:cs="宋体"/>
                <w:color w:val="auto"/>
                <w:szCs w:val="21"/>
                <w:highlight w:val="none"/>
              </w:rPr>
              <w:t>设计施工部分投标文件有效性审查</w:t>
            </w:r>
          </w:p>
        </w:tc>
        <w:tc>
          <w:tcPr>
            <w:tcW w:w="6779" w:type="dxa"/>
            <w:gridSpan w:val="2"/>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详见附表二《设计施工部分投标文件有效性审查表》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3</w:t>
            </w:r>
          </w:p>
        </w:tc>
        <w:tc>
          <w:tcPr>
            <w:tcW w:w="1565" w:type="dxa"/>
            <w:gridSpan w:val="2"/>
            <w:vAlign w:val="center"/>
          </w:tcPr>
          <w:p>
            <w:pPr>
              <w:spacing w:line="300" w:lineRule="exact"/>
              <w:ind w:left="-78" w:leftChars="-37" w:right="-69" w:rightChars="-33"/>
              <w:jc w:val="center"/>
              <w:rPr>
                <w:rFonts w:ascii="宋体" w:hAnsi="宋体" w:cs="宋体"/>
                <w:color w:val="auto"/>
                <w:szCs w:val="21"/>
                <w:highlight w:val="none"/>
              </w:rPr>
            </w:pPr>
            <w:r>
              <w:rPr>
                <w:rFonts w:hint="eastAsia" w:ascii="宋体" w:hAnsi="宋体" w:cs="宋体"/>
                <w:color w:val="auto"/>
                <w:szCs w:val="21"/>
                <w:highlight w:val="none"/>
              </w:rPr>
              <w:t>经济标投标文件有效性审查</w:t>
            </w:r>
          </w:p>
        </w:tc>
        <w:tc>
          <w:tcPr>
            <w:tcW w:w="6779" w:type="dxa"/>
            <w:gridSpan w:val="2"/>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详见附表三《经济标投标文件有效性审查表》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22" w:type="dxa"/>
            <w:gridSpan w:val="3"/>
            <w:vAlign w:val="center"/>
          </w:tcPr>
          <w:p>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09" w:type="dxa"/>
            <w:vAlign w:val="center"/>
          </w:tcPr>
          <w:p>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4970" w:type="dxa"/>
            <w:vAlign w:val="center"/>
          </w:tcPr>
          <w:p>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0" w:hRule="atLeast"/>
          <w:jc w:val="center"/>
        </w:trPr>
        <w:tc>
          <w:tcPr>
            <w:tcW w:w="2322" w:type="dxa"/>
            <w:gridSpan w:val="3"/>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09" w:type="dxa"/>
            <w:vAlign w:val="center"/>
          </w:tcPr>
          <w:p>
            <w:pPr>
              <w:spacing w:line="300" w:lineRule="exact"/>
              <w:ind w:left="-78" w:leftChars="-37" w:right="-69" w:rightChars="-33"/>
              <w:jc w:val="center"/>
              <w:rPr>
                <w:rFonts w:ascii="宋体" w:hAnsi="宋体" w:cs="宋体"/>
                <w:color w:val="auto"/>
                <w:szCs w:val="21"/>
                <w:highlight w:val="none"/>
              </w:rPr>
            </w:pPr>
            <w:r>
              <w:rPr>
                <w:rFonts w:hint="eastAsia" w:ascii="宋体" w:hAnsi="宋体" w:cs="宋体"/>
                <w:color w:val="auto"/>
                <w:szCs w:val="21"/>
                <w:highlight w:val="none"/>
              </w:rPr>
              <w:t>初步评审标准</w:t>
            </w:r>
          </w:p>
        </w:tc>
        <w:tc>
          <w:tcPr>
            <w:tcW w:w="4970" w:type="dxa"/>
            <w:vAlign w:val="center"/>
          </w:tcPr>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rPr>
              <w:t>通过制评审：资格审查、设计施工部分投标文件有效性审查、经济标投标文件有效性审查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100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Calibri" w:hAnsi="Calibri"/>
                <w:color w:val="auto"/>
                <w:szCs w:val="21"/>
                <w:highlight w:val="none"/>
              </w:rPr>
            </w:pPr>
            <w:r>
              <w:rPr>
                <w:rFonts w:hint="eastAsia" w:ascii="Calibri" w:hAnsi="Calibri"/>
                <w:color w:val="auto"/>
                <w:szCs w:val="21"/>
                <w:highlight w:val="none"/>
              </w:rPr>
              <w:t>4</w:t>
            </w:r>
          </w:p>
        </w:tc>
        <w:tc>
          <w:tcPr>
            <w:tcW w:w="13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Calibri" w:hAnsi="Calibri"/>
                <w:color w:val="auto"/>
                <w:szCs w:val="21"/>
                <w:highlight w:val="none"/>
              </w:rPr>
            </w:pPr>
            <w:r>
              <w:rPr>
                <w:rFonts w:hint="eastAsia" w:ascii="Calibri" w:hAnsi="Calibri"/>
                <w:color w:val="auto"/>
                <w:szCs w:val="21"/>
                <w:highlight w:val="none"/>
              </w:rPr>
              <w:t>定标</w:t>
            </w:r>
          </w:p>
        </w:tc>
        <w:tc>
          <w:tcPr>
            <w:tcW w:w="67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Calibri" w:hAnsi="Calibri"/>
                <w:color w:val="auto"/>
                <w:szCs w:val="21"/>
                <w:highlight w:val="none"/>
              </w:rPr>
            </w:pPr>
            <w:r>
              <w:rPr>
                <w:rFonts w:hint="eastAsia" w:ascii="Calibri" w:hAnsi="Calibri"/>
                <w:color w:val="auto"/>
                <w:szCs w:val="21"/>
                <w:highlight w:val="none"/>
              </w:rPr>
              <w:t>采用直接票决定标法（定性评审</w:t>
            </w:r>
            <w:r>
              <w:rPr>
                <w:rFonts w:hint="eastAsia" w:ascii="Calibri" w:hAnsi="Calibri"/>
                <w:color w:val="auto"/>
                <w:szCs w:val="21"/>
                <w:highlight w:val="none"/>
                <w:lang w:eastAsia="zh-CN"/>
              </w:rPr>
              <w:t>：</w:t>
            </w:r>
            <w:r>
              <w:rPr>
                <w:rFonts w:hint="eastAsia" w:ascii="宋体" w:hAnsi="宋体" w:cs="宋体"/>
                <w:color w:val="auto"/>
                <w:szCs w:val="21"/>
                <w:highlight w:val="none"/>
                <w:u w:val="single"/>
              </w:rPr>
              <w:t>记名投票+撰写评语</w:t>
            </w:r>
            <w:r>
              <w:rPr>
                <w:rFonts w:hint="eastAsia" w:ascii="Calibri" w:hAnsi="Calibri"/>
                <w:color w:val="auto"/>
                <w:szCs w:val="21"/>
                <w:highlight w:val="none"/>
              </w:rPr>
              <w:t>），具体详见本章第4点要求。</w:t>
            </w:r>
          </w:p>
        </w:tc>
      </w:tr>
    </w:tbl>
    <w:p>
      <w:pPr>
        <w:rPr>
          <w:rFonts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pPr>
        <w:keepNext/>
        <w:keepLines/>
        <w:spacing w:before="100" w:after="100" w:line="360" w:lineRule="auto"/>
        <w:outlineLvl w:val="1"/>
        <w:rPr>
          <w:rFonts w:ascii="宋体" w:hAnsi="宋体" w:cs="宋体"/>
          <w:b/>
          <w:bCs/>
          <w:color w:val="auto"/>
          <w:kern w:val="0"/>
          <w:sz w:val="32"/>
          <w:szCs w:val="32"/>
          <w:highlight w:val="none"/>
        </w:rPr>
      </w:pPr>
      <w:bookmarkStart w:id="1052" w:name="_Toc28121"/>
      <w:bookmarkStart w:id="1053" w:name="_Toc485211095"/>
      <w:bookmarkStart w:id="1054" w:name="_Toc14459"/>
      <w:bookmarkStart w:id="1055" w:name="_Toc375931097"/>
      <w:bookmarkStart w:id="1056" w:name="_Toc22237"/>
      <w:bookmarkStart w:id="1057" w:name="_Toc3030"/>
      <w:bookmarkStart w:id="1058" w:name="_Toc21694"/>
      <w:bookmarkStart w:id="1059" w:name="_Toc27168"/>
      <w:bookmarkStart w:id="1060" w:name="_Toc16531"/>
      <w:bookmarkStart w:id="1061" w:name="_Toc12763"/>
      <w:bookmarkStart w:id="1062" w:name="_Toc29426"/>
      <w:bookmarkStart w:id="1063" w:name="_Toc8954"/>
      <w:r>
        <w:rPr>
          <w:rFonts w:hint="eastAsia" w:ascii="宋体" w:hAnsi="宋体" w:cs="宋体"/>
          <w:b/>
          <w:bCs/>
          <w:color w:val="auto"/>
          <w:kern w:val="0"/>
          <w:sz w:val="32"/>
          <w:szCs w:val="32"/>
          <w:highlight w:val="none"/>
        </w:rPr>
        <w:t>1. 评（定）标方法</w:t>
      </w:r>
      <w:bookmarkEnd w:id="1052"/>
      <w:bookmarkEnd w:id="1053"/>
      <w:bookmarkEnd w:id="1054"/>
      <w:bookmarkEnd w:id="1055"/>
      <w:bookmarkEnd w:id="1056"/>
      <w:bookmarkEnd w:id="1057"/>
      <w:bookmarkEnd w:id="1058"/>
      <w:bookmarkEnd w:id="1059"/>
      <w:bookmarkEnd w:id="1060"/>
      <w:bookmarkEnd w:id="1061"/>
      <w:bookmarkEnd w:id="1062"/>
      <w:bookmarkEnd w:id="1063"/>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本次评标及定标采用评定分离的方式，分为评标委员会与定标委员会，评标委员会负责对招标文件进行初步评审，定标委员会负责对通过评标阶段的入围候选人进行定标投票并按得票数决定确定中标人，但投标报价低于其成本的除外。</w:t>
      </w:r>
    </w:p>
    <w:p>
      <w:pPr>
        <w:spacing w:line="400" w:lineRule="exact"/>
        <w:ind w:firstLine="420" w:firstLineChars="200"/>
        <w:rPr>
          <w:rFonts w:ascii="宋体" w:hAnsi="宋体" w:cs="宋体"/>
          <w:color w:val="auto"/>
          <w:szCs w:val="24"/>
          <w:highlight w:val="none"/>
        </w:rPr>
      </w:pPr>
    </w:p>
    <w:p>
      <w:pPr>
        <w:keepNext/>
        <w:keepLines/>
        <w:spacing w:before="100" w:after="100" w:line="360" w:lineRule="auto"/>
        <w:outlineLvl w:val="1"/>
        <w:rPr>
          <w:rFonts w:ascii="宋体" w:hAnsi="宋体" w:cs="宋体"/>
          <w:b/>
          <w:bCs/>
          <w:color w:val="auto"/>
          <w:kern w:val="0"/>
          <w:sz w:val="32"/>
          <w:szCs w:val="32"/>
          <w:highlight w:val="none"/>
        </w:rPr>
      </w:pPr>
      <w:bookmarkStart w:id="1064" w:name="_Toc3630"/>
      <w:bookmarkStart w:id="1065" w:name="_Toc2279"/>
      <w:bookmarkStart w:id="1066" w:name="_Toc10045"/>
      <w:bookmarkStart w:id="1067" w:name="_Toc26325"/>
      <w:bookmarkStart w:id="1068" w:name="_Toc24828"/>
      <w:bookmarkStart w:id="1069" w:name="_Toc485211096"/>
      <w:bookmarkStart w:id="1070" w:name="_Toc27392"/>
      <w:bookmarkStart w:id="1071" w:name="_Toc375931098"/>
      <w:bookmarkStart w:id="1072" w:name="_Toc2505"/>
      <w:bookmarkStart w:id="1073" w:name="_Toc15820"/>
      <w:bookmarkStart w:id="1074" w:name="_Toc17945"/>
      <w:bookmarkStart w:id="1075" w:name="_Toc10955"/>
      <w:r>
        <w:rPr>
          <w:rFonts w:hint="eastAsia" w:ascii="宋体" w:hAnsi="宋体" w:cs="宋体"/>
          <w:b/>
          <w:bCs/>
          <w:color w:val="auto"/>
          <w:kern w:val="0"/>
          <w:sz w:val="32"/>
          <w:szCs w:val="32"/>
          <w:highlight w:val="none"/>
        </w:rPr>
        <w:t>2. 评审标准</w:t>
      </w:r>
      <w:bookmarkEnd w:id="1064"/>
      <w:bookmarkEnd w:id="1065"/>
      <w:bookmarkEnd w:id="1066"/>
      <w:bookmarkEnd w:id="1067"/>
      <w:bookmarkEnd w:id="1068"/>
      <w:bookmarkEnd w:id="1069"/>
      <w:bookmarkEnd w:id="1070"/>
      <w:bookmarkEnd w:id="1071"/>
      <w:bookmarkEnd w:id="1072"/>
      <w:bookmarkEnd w:id="1073"/>
      <w:bookmarkEnd w:id="1074"/>
      <w:bookmarkEnd w:id="1075"/>
    </w:p>
    <w:p>
      <w:pPr>
        <w:keepNext/>
        <w:keepLines/>
        <w:spacing w:before="100" w:after="100" w:line="360" w:lineRule="auto"/>
        <w:ind w:firstLine="137" w:firstLineChars="49"/>
        <w:outlineLvl w:val="2"/>
        <w:rPr>
          <w:rFonts w:ascii="宋体" w:hAnsi="宋体" w:cs="宋体"/>
          <w:bCs/>
          <w:color w:val="auto"/>
          <w:kern w:val="0"/>
          <w:sz w:val="28"/>
          <w:szCs w:val="28"/>
          <w:highlight w:val="none"/>
        </w:rPr>
      </w:pPr>
      <w:bookmarkStart w:id="1076" w:name="_Toc16162"/>
      <w:bookmarkStart w:id="1077" w:name="_Toc152042379"/>
      <w:bookmarkStart w:id="1078" w:name="_Toc144974569"/>
      <w:bookmarkStart w:id="1079" w:name="_Toc152045602"/>
      <w:bookmarkStart w:id="1080" w:name="_Toc300835012"/>
      <w:bookmarkStart w:id="1081" w:name="_Toc247514026"/>
      <w:bookmarkStart w:id="1082" w:name="_Toc247527627"/>
      <w:r>
        <w:rPr>
          <w:rFonts w:hint="eastAsia" w:ascii="宋体" w:hAnsi="宋体" w:cs="宋体"/>
          <w:bCs/>
          <w:color w:val="auto"/>
          <w:kern w:val="0"/>
          <w:sz w:val="28"/>
          <w:szCs w:val="28"/>
          <w:highlight w:val="none"/>
        </w:rPr>
        <w:t>2.1 初步评审标准</w:t>
      </w:r>
      <w:bookmarkEnd w:id="1076"/>
      <w:bookmarkEnd w:id="1077"/>
      <w:bookmarkEnd w:id="1078"/>
      <w:bookmarkEnd w:id="1079"/>
      <w:bookmarkEnd w:id="1080"/>
      <w:bookmarkEnd w:id="1081"/>
      <w:bookmarkEnd w:id="1082"/>
    </w:p>
    <w:p>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2.1.1 资格审查标准：见评标办法前附表</w:t>
      </w:r>
    </w:p>
    <w:p>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2.1.2 设计施工部分投标文件有效性审查标准：见评标办法前附表。</w:t>
      </w:r>
    </w:p>
    <w:p>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2.1.3 经济标投标文件有效性审查标准：见评标办法前附表。</w:t>
      </w:r>
    </w:p>
    <w:p>
      <w:pPr>
        <w:spacing w:line="400" w:lineRule="exact"/>
        <w:ind w:firstLine="420" w:firstLineChars="200"/>
        <w:rPr>
          <w:rFonts w:ascii="宋体" w:hAnsi="宋体" w:cs="宋体"/>
          <w:color w:val="auto"/>
          <w:szCs w:val="24"/>
          <w:highlight w:val="none"/>
        </w:rPr>
      </w:pPr>
    </w:p>
    <w:p>
      <w:pPr>
        <w:keepNext/>
        <w:keepLines/>
        <w:spacing w:before="100" w:after="100" w:line="360" w:lineRule="auto"/>
        <w:outlineLvl w:val="1"/>
        <w:rPr>
          <w:rFonts w:ascii="宋体" w:hAnsi="宋体" w:cs="宋体"/>
          <w:b/>
          <w:bCs/>
          <w:color w:val="auto"/>
          <w:kern w:val="0"/>
          <w:sz w:val="32"/>
          <w:szCs w:val="32"/>
          <w:highlight w:val="none"/>
        </w:rPr>
      </w:pPr>
      <w:bookmarkStart w:id="1083" w:name="_Toc19008"/>
      <w:bookmarkStart w:id="1084" w:name="_Toc6743"/>
      <w:bookmarkStart w:id="1085" w:name="_Toc30826"/>
      <w:bookmarkStart w:id="1086" w:name="_Toc28694"/>
      <w:bookmarkStart w:id="1087" w:name="_Toc19115"/>
      <w:bookmarkStart w:id="1088" w:name="_Toc31043"/>
      <w:bookmarkStart w:id="1089" w:name="_Toc485211099"/>
      <w:bookmarkStart w:id="1090" w:name="_Toc9293"/>
      <w:bookmarkStart w:id="1091" w:name="_Toc375931099"/>
      <w:bookmarkStart w:id="1092" w:name="_Toc6828"/>
      <w:bookmarkStart w:id="1093" w:name="_Toc4535"/>
      <w:bookmarkStart w:id="1094" w:name="_Toc12185"/>
      <w:r>
        <w:rPr>
          <w:rFonts w:hint="eastAsia" w:ascii="宋体" w:hAnsi="宋体" w:cs="宋体"/>
          <w:b/>
          <w:bCs/>
          <w:color w:val="auto"/>
          <w:kern w:val="0"/>
          <w:sz w:val="32"/>
          <w:szCs w:val="32"/>
          <w:highlight w:val="none"/>
        </w:rPr>
        <w:t xml:space="preserve">3. </w:t>
      </w:r>
      <w:r>
        <w:rPr>
          <w:rFonts w:hint="eastAsia" w:ascii="宋体" w:hAnsi="宋体" w:cs="宋体"/>
          <w:b/>
          <w:bCs/>
          <w:color w:val="auto"/>
          <w:kern w:val="0"/>
          <w:sz w:val="32"/>
          <w:szCs w:val="32"/>
          <w:highlight w:val="none"/>
          <w:u w:val="single"/>
        </w:rPr>
        <w:t>评标程序</w:t>
      </w:r>
      <w:bookmarkEnd w:id="1083"/>
      <w:bookmarkEnd w:id="1084"/>
      <w:bookmarkEnd w:id="1085"/>
      <w:bookmarkEnd w:id="1086"/>
      <w:bookmarkEnd w:id="1087"/>
      <w:bookmarkEnd w:id="1088"/>
      <w:bookmarkEnd w:id="1089"/>
      <w:bookmarkEnd w:id="1090"/>
      <w:bookmarkEnd w:id="1091"/>
      <w:bookmarkEnd w:id="1092"/>
      <w:bookmarkEnd w:id="1093"/>
      <w:bookmarkEnd w:id="1094"/>
    </w:p>
    <w:p>
      <w:pPr>
        <w:keepNext/>
        <w:keepLines/>
        <w:spacing w:before="100" w:after="100" w:line="360" w:lineRule="auto"/>
        <w:ind w:firstLine="137" w:firstLineChars="49"/>
        <w:outlineLvl w:val="2"/>
        <w:rPr>
          <w:rFonts w:ascii="宋体" w:hAnsi="宋体" w:cs="宋体"/>
          <w:bCs/>
          <w:color w:val="auto"/>
          <w:kern w:val="0"/>
          <w:sz w:val="28"/>
          <w:szCs w:val="28"/>
          <w:highlight w:val="none"/>
        </w:rPr>
      </w:pPr>
      <w:bookmarkStart w:id="1095" w:name="_Toc54828824"/>
      <w:bookmarkStart w:id="1096" w:name="_Toc16960"/>
      <w:bookmarkStart w:id="1097" w:name="_Toc485211100"/>
      <w:bookmarkStart w:id="1098" w:name="_Toc20824"/>
      <w:r>
        <w:rPr>
          <w:rFonts w:hint="eastAsia" w:ascii="宋体" w:hAnsi="宋体" w:cs="宋体"/>
          <w:bCs/>
          <w:color w:val="auto"/>
          <w:kern w:val="0"/>
          <w:sz w:val="28"/>
          <w:szCs w:val="28"/>
          <w:highlight w:val="none"/>
        </w:rPr>
        <w:t>3.1评标细则</w:t>
      </w:r>
      <w:bookmarkEnd w:id="1095"/>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lang w:val="zh-CN"/>
        </w:rPr>
        <w:t>本项目采取电子评标。</w:t>
      </w:r>
      <w:r>
        <w:rPr>
          <w:rFonts w:hint="eastAsia" w:ascii="宋体" w:hAnsi="宋体" w:cs="宋体"/>
          <w:color w:val="auto"/>
          <w:kern w:val="0"/>
          <w:szCs w:val="21"/>
          <w:highlight w:val="none"/>
        </w:rPr>
        <w:t>评标由招标人依法组建的评标委员会负责。</w:t>
      </w:r>
    </w:p>
    <w:p>
      <w:pPr>
        <w:adjustRightInd w:val="0"/>
        <w:snapToGrid w:val="0"/>
        <w:spacing w:line="360" w:lineRule="auto"/>
        <w:ind w:firstLine="460" w:firstLineChars="218"/>
        <w:rPr>
          <w:rFonts w:ascii="宋体" w:hAnsi="宋体" w:cs="宋体"/>
          <w:b/>
          <w:bCs/>
          <w:color w:val="auto"/>
          <w:kern w:val="0"/>
          <w:szCs w:val="21"/>
          <w:highlight w:val="none"/>
        </w:rPr>
      </w:pPr>
      <w:r>
        <w:rPr>
          <w:rFonts w:hint="eastAsia" w:ascii="宋体" w:hAnsi="宋体" w:cs="宋体"/>
          <w:b/>
          <w:bCs/>
          <w:color w:val="auto"/>
          <w:kern w:val="0"/>
          <w:szCs w:val="21"/>
          <w:highlight w:val="none"/>
        </w:rPr>
        <w:t>3.1.1资格审查</w:t>
      </w:r>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3.1.1.1资格审查文件中全部符合资格评审标准（详见</w:t>
      </w:r>
      <w:r>
        <w:rPr>
          <w:rFonts w:hint="eastAsia" w:ascii="宋体" w:hAnsi="宋体" w:cs="宋体"/>
          <w:color w:val="auto"/>
          <w:szCs w:val="24"/>
          <w:highlight w:val="none"/>
        </w:rPr>
        <w:t>评标办法</w:t>
      </w:r>
      <w:r>
        <w:rPr>
          <w:rFonts w:hint="eastAsia" w:ascii="宋体" w:hAnsi="宋体" w:cs="宋体"/>
          <w:color w:val="auto"/>
          <w:kern w:val="0"/>
          <w:szCs w:val="21"/>
          <w:highlight w:val="none"/>
        </w:rPr>
        <w:t>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3.1.1.2汇总资格审查情况，编写资格审查报告。资格审查合格的投标人少于3名的，则本项目招标失败。</w:t>
      </w:r>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3.1.1.3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adjustRightInd w:val="0"/>
        <w:snapToGrid w:val="0"/>
        <w:spacing w:line="360" w:lineRule="auto"/>
        <w:ind w:firstLine="460" w:firstLineChars="218"/>
        <w:rPr>
          <w:rFonts w:ascii="宋体" w:hAnsi="宋体" w:cs="宋体"/>
          <w:b/>
          <w:bCs/>
          <w:color w:val="auto"/>
          <w:kern w:val="0"/>
          <w:szCs w:val="21"/>
          <w:highlight w:val="none"/>
        </w:rPr>
      </w:pPr>
      <w:r>
        <w:rPr>
          <w:rFonts w:hint="eastAsia" w:ascii="宋体" w:hAnsi="宋体" w:cs="宋体"/>
          <w:b/>
          <w:bCs/>
          <w:color w:val="auto"/>
          <w:kern w:val="0"/>
          <w:szCs w:val="21"/>
          <w:highlight w:val="none"/>
        </w:rPr>
        <w:t>特别声明：资审合格后，投标人的资格发生变化而不满足投标人合格条件，在发出中标通知书前，资格问题仍未解决的，招标人将取消其中标资格。</w:t>
      </w:r>
    </w:p>
    <w:p>
      <w:pPr>
        <w:keepNext/>
        <w:keepLines/>
        <w:spacing w:before="100" w:after="100" w:line="360" w:lineRule="auto"/>
        <w:ind w:firstLine="103" w:firstLineChars="49"/>
        <w:outlineLvl w:val="2"/>
        <w:rPr>
          <w:rFonts w:ascii="宋体" w:hAnsi="宋体" w:cs="宋体"/>
          <w:bCs/>
          <w:color w:val="auto"/>
          <w:kern w:val="0"/>
          <w:sz w:val="28"/>
          <w:szCs w:val="28"/>
          <w:highlight w:val="none"/>
        </w:rPr>
      </w:pPr>
      <w:r>
        <w:rPr>
          <w:rFonts w:hint="eastAsia" w:ascii="宋体" w:hAnsi="宋体" w:cs="宋体"/>
          <w:b/>
          <w:bCs/>
          <w:color w:val="auto"/>
          <w:kern w:val="0"/>
          <w:szCs w:val="21"/>
          <w:highlight w:val="none"/>
        </w:rPr>
        <w:t>3.1.2设计施工部分投标文件有效性评审</w:t>
      </w:r>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3.1.2.1设计施工部分投标文件的有效性审查：通过资格审查的投标文件中全部满足列于本办法附表二《</w:t>
      </w:r>
      <w:r>
        <w:rPr>
          <w:rFonts w:hint="eastAsia" w:ascii="宋体" w:hAnsi="宋体" w:cs="宋体"/>
          <w:color w:val="auto"/>
          <w:szCs w:val="21"/>
          <w:highlight w:val="none"/>
        </w:rPr>
        <w:t>设计施工部分投标文件有效性审查表</w:t>
      </w:r>
      <w:r>
        <w:rPr>
          <w:rFonts w:hint="eastAsia" w:ascii="宋体" w:hAnsi="宋体" w:cs="宋体"/>
          <w:color w:val="auto"/>
          <w:kern w:val="0"/>
          <w:szCs w:val="21"/>
          <w:highlight w:val="none"/>
        </w:rPr>
        <w:t>》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3.1.2.2设计施工部分投标文件有效性评审合格的投标人少于3名的，则本项目招标失败。</w:t>
      </w:r>
    </w:p>
    <w:p>
      <w:pPr>
        <w:keepNext/>
        <w:keepLines/>
        <w:spacing w:before="100" w:after="100" w:line="360" w:lineRule="auto"/>
        <w:ind w:firstLine="103" w:firstLineChars="49"/>
        <w:outlineLvl w:val="2"/>
        <w:rPr>
          <w:rFonts w:ascii="宋体" w:hAnsi="宋体" w:cs="宋体"/>
          <w:b/>
          <w:bCs/>
          <w:color w:val="auto"/>
          <w:kern w:val="0"/>
          <w:szCs w:val="21"/>
          <w:highlight w:val="none"/>
        </w:rPr>
      </w:pPr>
      <w:bookmarkStart w:id="1099" w:name="_Toc23788"/>
      <w:bookmarkStart w:id="1100" w:name="_Toc19915"/>
      <w:bookmarkStart w:id="1101" w:name="_Toc54828826"/>
      <w:r>
        <w:rPr>
          <w:rFonts w:hint="eastAsia" w:ascii="宋体" w:hAnsi="宋体" w:cs="宋体"/>
          <w:b/>
          <w:bCs/>
          <w:color w:val="auto"/>
          <w:kern w:val="0"/>
          <w:szCs w:val="21"/>
          <w:highlight w:val="none"/>
        </w:rPr>
        <w:t>3.1.3经济标投标文件评审</w:t>
      </w:r>
      <w:bookmarkEnd w:id="1099"/>
      <w:bookmarkEnd w:id="1100"/>
      <w:bookmarkEnd w:id="1101"/>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3.1.3.1经济标投标文件的有效性审查：通过资格审查的投标文件中全部满足本办法附表三《经济标投标文件有效性审查表》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3.1.3.2 投标报价的算术校核。评标委员会对通过资格审查、设计施工部分投标文件有效性评审的投标文件投标报进行算术校核，具体标准如下：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cs="宋体"/>
          <w:color w:val="auto"/>
          <w:highlight w:val="none"/>
        </w:rPr>
        <w:t>如果数字表示的金额和用文字表示的金额不一致时，应以文字表示的金额为准（有以下算术性错误需要修正的除外）</w:t>
      </w:r>
      <w:r>
        <w:rPr>
          <w:rFonts w:hint="eastAsia" w:ascii="宋体" w:hAnsi="宋体" w:cs="宋体"/>
          <w:color w:val="auto"/>
          <w:szCs w:val="21"/>
          <w:highlight w:val="none"/>
        </w:rPr>
        <w:t>；</w:t>
      </w:r>
    </w:p>
    <w:p>
      <w:pPr>
        <w:spacing w:line="360" w:lineRule="auto"/>
        <w:ind w:firstLine="420" w:firstLineChars="200"/>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cs="宋体"/>
          <w:color w:val="auto"/>
          <w:highlight w:val="none"/>
        </w:rPr>
        <w:t>如果</w:t>
      </w:r>
      <w:r>
        <w:rPr>
          <w:rFonts w:hint="eastAsia"/>
          <w:color w:val="auto"/>
          <w:highlight w:val="none"/>
        </w:rPr>
        <w:t>下浮率与投标书报价不相符时，以报价为准修正下浮率；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（3）如果分项报价累加不等总价的，以分项报价累加为准，修正总价；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（4）投标文件存在其他计算性错误的，按就低不就高计算并修正；</w:t>
      </w:r>
    </w:p>
    <w:p>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1"/>
          <w:highlight w:val="none"/>
        </w:rPr>
        <w:t>（5</w:t>
      </w:r>
      <w:r>
        <w:rPr>
          <w:rFonts w:ascii="宋体" w:hAnsi="宋体" w:cs="宋体"/>
          <w:color w:val="auto"/>
          <w:szCs w:val="21"/>
          <w:highlight w:val="none"/>
        </w:rPr>
        <w:t>）按上述修正错误的原则及方法调整或修正投标文件的投标报价，调整后的投标报价对投标人起约束作用。如果投标人不接受修正后的报价，则取消其投标资格或中标资格。</w:t>
      </w:r>
    </w:p>
    <w:bookmarkEnd w:id="1096"/>
    <w:bookmarkEnd w:id="1097"/>
    <w:bookmarkEnd w:id="1098"/>
    <w:p>
      <w:pPr>
        <w:spacing w:line="400" w:lineRule="exact"/>
        <w:ind w:firstLine="420" w:firstLineChars="200"/>
        <w:rPr>
          <w:rFonts w:ascii="宋体" w:hAnsi="宋体" w:cs="宋体"/>
          <w:color w:val="auto"/>
          <w:szCs w:val="21"/>
          <w:highlight w:val="none"/>
        </w:rPr>
      </w:pPr>
    </w:p>
    <w:p>
      <w:pPr>
        <w:keepNext/>
        <w:keepLines/>
        <w:spacing w:before="100" w:after="100" w:line="360" w:lineRule="auto"/>
        <w:ind w:firstLine="118" w:firstLineChars="49"/>
        <w:outlineLvl w:val="2"/>
        <w:rPr>
          <w:rFonts w:ascii="宋体" w:hAnsi="宋体" w:cs="宋体"/>
          <w:b/>
          <w:color w:val="auto"/>
          <w:sz w:val="24"/>
          <w:szCs w:val="24"/>
          <w:highlight w:val="none"/>
        </w:rPr>
      </w:pPr>
      <w:bookmarkStart w:id="1102" w:name="_Toc22114"/>
      <w:bookmarkStart w:id="1103" w:name="_Toc623"/>
      <w:bookmarkStart w:id="1104" w:name="_Toc32165"/>
      <w:bookmarkStart w:id="1105" w:name="_Toc7763"/>
      <w:bookmarkStart w:id="1106" w:name="_Toc19366"/>
      <w:bookmarkStart w:id="1107" w:name="_Toc12458"/>
      <w:bookmarkStart w:id="1108" w:name="_Toc11316"/>
      <w:bookmarkStart w:id="1109" w:name="_Toc24321"/>
      <w:bookmarkStart w:id="1110" w:name="_Toc14447"/>
      <w:bookmarkStart w:id="1111" w:name="_Toc31339"/>
      <w:bookmarkStart w:id="1112" w:name="_Toc485211104"/>
      <w:r>
        <w:rPr>
          <w:rFonts w:hint="eastAsia" w:ascii="宋体" w:hAnsi="宋体" w:cs="宋体"/>
          <w:b/>
          <w:color w:val="auto"/>
          <w:sz w:val="24"/>
          <w:szCs w:val="24"/>
          <w:highlight w:val="none"/>
        </w:rPr>
        <w:t>3.2投标文件的澄清和补正</w:t>
      </w:r>
      <w:bookmarkEnd w:id="1102"/>
      <w:bookmarkEnd w:id="1103"/>
      <w:bookmarkEnd w:id="1104"/>
      <w:bookmarkEnd w:id="1105"/>
      <w:bookmarkEnd w:id="1106"/>
      <w:bookmarkEnd w:id="1107"/>
      <w:bookmarkEnd w:id="1108"/>
      <w:bookmarkEnd w:id="1109"/>
      <w:bookmarkEnd w:id="1110"/>
      <w:bookmarkEnd w:id="1111"/>
      <w:bookmarkEnd w:id="1112"/>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3.2.1 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3.2.2 澄清、说明和补正不得改变投标文件的实质性内容。投标人的书面澄清、说明和补正属于投标文件的组成部分。</w:t>
      </w:r>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3.2.3 评标委员会对投标人提交的澄清、说明或补正有疑问的，可以要求投标人进一步澄清、说明或补正，直至满足评标委员会的要求。</w:t>
      </w:r>
    </w:p>
    <w:p>
      <w:pPr>
        <w:pStyle w:val="2"/>
        <w:rPr>
          <w:color w:val="auto"/>
          <w:highlight w:val="none"/>
        </w:rPr>
      </w:pPr>
    </w:p>
    <w:p>
      <w:pPr>
        <w:keepNext/>
        <w:keepLines/>
        <w:spacing w:before="100" w:after="100" w:line="360" w:lineRule="auto"/>
        <w:ind w:firstLine="118" w:firstLineChars="49"/>
        <w:outlineLvl w:val="2"/>
        <w:rPr>
          <w:rFonts w:ascii="宋体" w:hAnsi="宋体" w:cs="宋体"/>
          <w:b/>
          <w:color w:val="auto"/>
          <w:sz w:val="24"/>
          <w:szCs w:val="24"/>
          <w:highlight w:val="none"/>
        </w:rPr>
      </w:pPr>
      <w:r>
        <w:rPr>
          <w:rFonts w:hint="eastAsia" w:ascii="宋体" w:hAnsi="宋体" w:cs="宋体"/>
          <w:b/>
          <w:color w:val="auto"/>
          <w:sz w:val="24"/>
          <w:szCs w:val="24"/>
          <w:highlight w:val="none"/>
        </w:rPr>
        <w:t>3.3 评标结果</w:t>
      </w:r>
    </w:p>
    <w:p>
      <w:pPr>
        <w:spacing w:line="44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.1 </w:t>
      </w:r>
      <w:r>
        <w:rPr>
          <w:rFonts w:hint="eastAsia" w:ascii="宋体" w:hAnsi="宋体" w:cs="宋体"/>
          <w:color w:val="auto"/>
          <w:kern w:val="0"/>
          <w:szCs w:val="21"/>
          <w:highlight w:val="none"/>
          <w:u w:val="single"/>
        </w:rPr>
        <w:t>评标委员会评出合格的投标人全部进入定标阶段；</w:t>
      </w:r>
      <w:r>
        <w:rPr>
          <w:rFonts w:hint="eastAsia" w:ascii="宋体" w:hAnsi="宋体" w:cs="宋体"/>
          <w:bCs/>
          <w:color w:val="auto"/>
          <w:kern w:val="0"/>
          <w:szCs w:val="21"/>
          <w:highlight w:val="none"/>
          <w:u w:val="single"/>
        </w:rPr>
        <w:t>按统一信用代码（联合体投标人，则以主办方为准）后四位大小（字母当作0）排位向招标人推荐不排序的合格的中标候选人</w:t>
      </w:r>
      <w:r>
        <w:rPr>
          <w:rFonts w:hint="eastAsia" w:ascii="宋体" w:hAnsi="宋体" w:cs="宋体"/>
          <w:color w:val="auto"/>
          <w:kern w:val="0"/>
          <w:szCs w:val="21"/>
          <w:highlight w:val="none"/>
          <w:u w:val="single"/>
        </w:rPr>
        <w:t>，并递交</w:t>
      </w:r>
      <w:r>
        <w:rPr>
          <w:rFonts w:hint="eastAsia" w:ascii="宋体" w:hAnsi="宋体" w:cs="宋体"/>
          <w:b/>
          <w:bCs/>
          <w:color w:val="auto"/>
          <w:kern w:val="0"/>
          <w:szCs w:val="21"/>
          <w:highlight w:val="none"/>
          <w:u w:val="single"/>
        </w:rPr>
        <w:t>资格审查报告及评标报告</w:t>
      </w:r>
      <w:r>
        <w:rPr>
          <w:rFonts w:hint="eastAsia" w:ascii="宋体" w:hAnsi="宋体" w:cs="宋体"/>
          <w:color w:val="auto"/>
          <w:kern w:val="0"/>
          <w:szCs w:val="21"/>
          <w:highlight w:val="none"/>
        </w:rPr>
        <w:t>。</w:t>
      </w:r>
    </w:p>
    <w:p>
      <w:pPr>
        <w:spacing w:line="44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.2 </w:t>
      </w:r>
      <w:r>
        <w:rPr>
          <w:rFonts w:hint="eastAsia" w:ascii="宋体" w:hAnsi="宋体" w:cs="宋体"/>
          <w:color w:val="auto"/>
          <w:kern w:val="0"/>
          <w:szCs w:val="21"/>
          <w:highlight w:val="none"/>
        </w:rPr>
        <w:t>有效投标单位不足三家，应当依法重新招标。</w:t>
      </w:r>
    </w:p>
    <w:p>
      <w:pPr>
        <w:spacing w:line="400" w:lineRule="exact"/>
        <w:ind w:firstLine="420" w:firstLineChars="200"/>
        <w:rPr>
          <w:rFonts w:ascii="宋体" w:hAnsi="宋体" w:cs="宋体"/>
          <w:color w:val="auto"/>
          <w:szCs w:val="24"/>
          <w:highlight w:val="none"/>
        </w:rPr>
      </w:pPr>
    </w:p>
    <w:p>
      <w:pPr>
        <w:keepNext/>
        <w:keepLines/>
        <w:spacing w:before="100" w:after="100" w:line="360" w:lineRule="auto"/>
        <w:outlineLvl w:val="1"/>
        <w:rPr>
          <w:rFonts w:ascii="宋体" w:hAnsi="宋体" w:cs="宋体"/>
          <w:b/>
          <w:bCs/>
          <w:color w:val="auto"/>
          <w:kern w:val="0"/>
          <w:sz w:val="32"/>
          <w:szCs w:val="32"/>
          <w:highlight w:val="none"/>
        </w:rPr>
      </w:pPr>
      <w:bookmarkStart w:id="1113" w:name="_Toc10695"/>
      <w:bookmarkStart w:id="1114" w:name="_Toc10967"/>
      <w:bookmarkStart w:id="1115" w:name="_Toc19376"/>
      <w:r>
        <w:rPr>
          <w:rFonts w:hint="eastAsia" w:ascii="宋体" w:hAnsi="宋体" w:cs="宋体"/>
          <w:b/>
          <w:bCs/>
          <w:color w:val="auto"/>
          <w:kern w:val="0"/>
          <w:sz w:val="32"/>
          <w:szCs w:val="32"/>
          <w:highlight w:val="none"/>
        </w:rPr>
        <w:t>4.定标</w:t>
      </w:r>
      <w:bookmarkEnd w:id="1113"/>
      <w:bookmarkEnd w:id="1114"/>
      <w:bookmarkEnd w:id="1115"/>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4.1 评标结束后，招标人须公示合格的中标候选人，公示期为三天。招标人须按以下规定组建定标委员会，在评标委员会推荐的合格中标候选人中推荐中标人：</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（1）定标由招标人依法组建的定标委员会负责，成员数量为5人或以上单数。</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（2）招标人应当组建监督小组对定标过程进行见证监督。</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4.2 定标时间和地点：</w:t>
      </w:r>
    </w:p>
    <w:p>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招标人在评标结束后10个工作日内在广州公共资源交易中心举行定标会议，招标人按规定程序在投标人须知的时间和地点完成定标工作。</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4.3定标规则及程序</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4.3.1 本项目采用“记名投票+撰写评语”的定标办法，定标委员会应根据评审因素对合格的中标候选人的各项能力进行定性评审，撰写评语，采用记名投票的方式推荐中标人；</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4.3.2 定标工作开始后，由定标委员会组长发放选票，定标委员会参考定标因素或其他进行投票排名，定标委员会应推荐一人为定标委员会组长，主持当次定标会议。</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4.3.3 定标辅助资料为评标阶段的评标报告、投标人提交的投标文件与定标文件。</w:t>
      </w:r>
    </w:p>
    <w:p>
      <w:pPr>
        <w:spacing w:line="400" w:lineRule="exact"/>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u w:val="single"/>
        </w:rPr>
        <w:t>4.3.4 定标委员会根据定标辅助资料，在同等条件下，</w:t>
      </w:r>
      <w:r>
        <w:rPr>
          <w:rFonts w:hint="eastAsia" w:ascii="宋体" w:hAnsi="宋体" w:cs="宋体"/>
          <w:b/>
          <w:bCs/>
          <w:color w:val="auto"/>
          <w:szCs w:val="21"/>
          <w:highlight w:val="none"/>
          <w:u w:val="single"/>
        </w:rPr>
        <w:t>定标因素的相对标准按以下几个方面进行：</w:t>
      </w:r>
    </w:p>
    <w:p>
      <w:pPr>
        <w:spacing w:line="400" w:lineRule="exact"/>
        <w:ind w:firstLine="422" w:firstLineChars="200"/>
        <w:rPr>
          <w:b/>
          <w:bCs/>
          <w:color w:val="auto"/>
          <w:highlight w:val="none"/>
        </w:rPr>
      </w:pP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lang w:val="en-US" w:eastAsia="zh-CN"/>
        </w:rPr>
        <w:t>1</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w:t>
      </w:r>
      <w:r>
        <w:rPr>
          <w:rFonts w:hint="eastAsia"/>
          <w:b/>
          <w:bCs/>
          <w:color w:val="auto"/>
          <w:highlight w:val="none"/>
          <w:u w:val="single"/>
        </w:rPr>
        <w:t>价格因素</w:t>
      </w:r>
      <w:r>
        <w:rPr>
          <w:rFonts w:hint="eastAsia" w:ascii="宋体" w:hAnsi="宋体" w:cs="宋体"/>
          <w:b/>
          <w:bCs/>
          <w:color w:val="auto"/>
          <w:szCs w:val="24"/>
          <w:highlight w:val="none"/>
          <w:u w:val="single"/>
        </w:rPr>
        <w:t>；</w:t>
      </w:r>
    </w:p>
    <w:p>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lang w:val="en-US" w:eastAsia="zh-CN"/>
        </w:rPr>
        <w:t>2</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、方案因素；</w:t>
      </w:r>
    </w:p>
    <w:p>
      <w:pPr>
        <w:spacing w:line="400" w:lineRule="exact"/>
        <w:ind w:firstLine="422" w:firstLineChars="200"/>
        <w:rPr>
          <w:rFonts w:hint="eastAsia" w:ascii="Times New Roman" w:hAnsi="Times New Roman" w:cs="Times New Roman"/>
          <w:b/>
          <w:bCs/>
          <w:color w:val="auto"/>
          <w:szCs w:val="22"/>
          <w:highlight w:val="none"/>
          <w:u w:val="single"/>
        </w:rPr>
      </w:pP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lang w:val="en-US" w:eastAsia="zh-CN"/>
        </w:rPr>
        <w:t>3</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w:t>
      </w:r>
      <w:r>
        <w:rPr>
          <w:rFonts w:hint="eastAsia" w:ascii="Times New Roman" w:hAnsi="Times New Roman" w:cs="Times New Roman"/>
          <w:b/>
          <w:bCs/>
          <w:color w:val="auto"/>
          <w:szCs w:val="22"/>
          <w:highlight w:val="none"/>
          <w:u w:val="single"/>
        </w:rPr>
        <w:t>团队因素；</w:t>
      </w:r>
    </w:p>
    <w:p>
      <w:pPr>
        <w:spacing w:line="400" w:lineRule="exact"/>
        <w:ind w:firstLine="422" w:firstLineChars="200"/>
        <w:rPr>
          <w:rFonts w:hint="eastAsia" w:ascii="Times New Roman" w:hAnsi="Times New Roman" w:cs="Times New Roman"/>
          <w:b/>
          <w:bCs/>
          <w:color w:val="auto"/>
          <w:szCs w:val="22"/>
          <w:highlight w:val="none"/>
          <w:u w:val="single"/>
          <w:lang w:val="en-US" w:eastAsia="zh-CN"/>
        </w:rPr>
      </w:pPr>
      <w:r>
        <w:rPr>
          <w:rFonts w:hint="eastAsia" w:cs="Times New Roman"/>
          <w:b/>
          <w:bCs/>
          <w:color w:val="auto"/>
          <w:szCs w:val="22"/>
          <w:highlight w:val="none"/>
          <w:u w:val="single"/>
          <w:lang w:val="en-US" w:eastAsia="zh-CN"/>
        </w:rPr>
        <w:t>（4）</w:t>
      </w:r>
      <w:r>
        <w:rPr>
          <w:rFonts w:hint="eastAsia" w:ascii="Times New Roman" w:hAnsi="Times New Roman" w:cs="Times New Roman"/>
          <w:b/>
          <w:bCs/>
          <w:color w:val="auto"/>
          <w:szCs w:val="22"/>
          <w:highlight w:val="none"/>
          <w:u w:val="single"/>
          <w:lang w:val="en-US" w:eastAsia="zh-CN"/>
        </w:rPr>
        <w:t>、性能因素；</w:t>
      </w:r>
    </w:p>
    <w:p>
      <w:pPr>
        <w:spacing w:line="400" w:lineRule="exact"/>
        <w:ind w:firstLine="422" w:firstLineChars="200"/>
        <w:rPr>
          <w:rFonts w:hint="eastAsia"/>
          <w:b/>
          <w:bCs/>
          <w:color w:val="auto"/>
          <w:highlight w:val="none"/>
          <w:u w:val="single"/>
          <w:lang w:val="en-US" w:eastAsia="zh-CN"/>
        </w:rPr>
      </w:pPr>
      <w:r>
        <w:rPr>
          <w:rFonts w:hint="eastAsia" w:cs="Times New Roman"/>
          <w:b/>
          <w:bCs/>
          <w:color w:val="auto"/>
          <w:szCs w:val="22"/>
          <w:highlight w:val="none"/>
          <w:u w:val="single"/>
          <w:lang w:val="en-US" w:eastAsia="zh-CN"/>
        </w:rPr>
        <w:t>（5）</w:t>
      </w:r>
      <w:r>
        <w:rPr>
          <w:rFonts w:hint="eastAsia" w:ascii="Times New Roman" w:hAnsi="Times New Roman" w:cs="Times New Roman"/>
          <w:b/>
          <w:bCs/>
          <w:color w:val="auto"/>
          <w:szCs w:val="22"/>
          <w:highlight w:val="none"/>
          <w:u w:val="single"/>
          <w:lang w:val="en-US" w:eastAsia="zh-CN"/>
        </w:rPr>
        <w:t>、资信因素</w:t>
      </w:r>
    </w:p>
    <w:p>
      <w:pPr>
        <w:spacing w:line="400" w:lineRule="exact"/>
        <w:ind w:firstLine="422" w:firstLineChars="200"/>
        <w:rPr>
          <w:rFonts w:hint="eastAsia" w:ascii="Times New Roman" w:hAnsi="Times New Roman" w:cs="Times New Roman"/>
          <w:b/>
          <w:bCs/>
          <w:color w:val="auto"/>
          <w:kern w:val="2"/>
          <w:szCs w:val="22"/>
          <w:highlight w:val="none"/>
          <w:u w:val="single"/>
        </w:rPr>
      </w:pPr>
      <w:r>
        <w:rPr>
          <w:rFonts w:hint="eastAsia" w:cs="Times New Roman"/>
          <w:b/>
          <w:bCs/>
          <w:color w:val="auto"/>
          <w:szCs w:val="22"/>
          <w:highlight w:val="none"/>
          <w:u w:val="single"/>
          <w:lang w:val="en-US" w:eastAsia="zh-CN"/>
        </w:rPr>
        <w:t>（6）</w:t>
      </w:r>
      <w:r>
        <w:rPr>
          <w:rFonts w:hint="eastAsia" w:ascii="Times New Roman" w:hAnsi="Times New Roman" w:cs="Times New Roman"/>
          <w:b/>
          <w:bCs/>
          <w:color w:val="auto"/>
          <w:szCs w:val="22"/>
          <w:highlight w:val="none"/>
          <w:u w:val="single"/>
        </w:rPr>
        <w:t>、</w:t>
      </w:r>
      <w:r>
        <w:rPr>
          <w:rFonts w:hint="eastAsia" w:ascii="Times New Roman" w:hAnsi="Times New Roman" w:cs="Times New Roman"/>
          <w:b/>
          <w:bCs/>
          <w:color w:val="auto"/>
          <w:kern w:val="2"/>
          <w:szCs w:val="22"/>
          <w:highlight w:val="none"/>
          <w:u w:val="single"/>
        </w:rPr>
        <w:t>投标人认为需要提交的其它文件。</w:t>
      </w:r>
    </w:p>
    <w:p>
      <w:pPr>
        <w:spacing w:line="400" w:lineRule="exact"/>
        <w:ind w:firstLine="422" w:firstLineChars="200"/>
        <w:rPr>
          <w:b/>
          <w:bCs/>
          <w:color w:val="auto"/>
          <w:highlight w:val="none"/>
        </w:rPr>
      </w:pPr>
      <w:r>
        <w:rPr>
          <w:rFonts w:hint="eastAsia" w:ascii="宋体" w:hAnsi="宋体" w:cs="宋体"/>
          <w:b/>
          <w:bCs/>
          <w:color w:val="auto"/>
          <w:szCs w:val="24"/>
          <w:highlight w:val="none"/>
          <w:u w:val="single"/>
        </w:rPr>
        <w:t>具体评价标准详见附表九：《定标因素表》。</w:t>
      </w:r>
    </w:p>
    <w:p>
      <w:pPr>
        <w:spacing w:line="400" w:lineRule="exact"/>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4.3.5 投票规则：</w:t>
      </w:r>
      <w:r>
        <w:rPr>
          <w:rFonts w:hint="eastAsia" w:ascii="宋体" w:hAnsi="宋体" w:cs="宋体"/>
          <w:b/>
          <w:bCs/>
          <w:color w:val="auto"/>
          <w:szCs w:val="21"/>
          <w:highlight w:val="none"/>
          <w:u w:val="single"/>
        </w:rPr>
        <w:t>定标委员会根据定标因素对各合格中标候选人进行综合比较后，进行一轮一次性票决并排序，每位定标委员会成员只有1票表决权（即只能对其中一家合格中标候选人投票），得票数最多的合格中标候选人将推荐为中标人，若出现票数相同且无法决出中标人时，票数相同的再进行附加的一次性票决，直至决出中标人。</w:t>
      </w:r>
    </w:p>
    <w:p>
      <w:pPr>
        <w:spacing w:line="400" w:lineRule="exact"/>
        <w:ind w:firstLine="420" w:firstLineChars="200"/>
        <w:rPr>
          <w:color w:val="auto"/>
          <w:highlight w:val="none"/>
        </w:rPr>
      </w:pPr>
      <w:r>
        <w:rPr>
          <w:rFonts w:hint="eastAsia" w:ascii="宋体" w:hAnsi="宋体" w:cs="宋体"/>
          <w:color w:val="auto"/>
          <w:szCs w:val="21"/>
          <w:highlight w:val="none"/>
          <w:u w:val="single"/>
        </w:rPr>
        <w:t>4.3.6</w:t>
      </w:r>
      <w:r>
        <w:rPr>
          <w:rFonts w:hint="eastAsia"/>
          <w:color w:val="auto"/>
          <w:highlight w:val="none"/>
          <w:u w:val="single"/>
        </w:rPr>
        <w:t>定标委员会对各投标单位的各定标因素进行撰写评语。</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4.3.7 定标委员会中的各定标委员应独立投票，</w:t>
      </w:r>
      <w:r>
        <w:rPr>
          <w:rFonts w:hint="eastAsia" w:ascii="宋体" w:hAnsi="宋体" w:cs="宋体"/>
          <w:color w:val="auto"/>
          <w:szCs w:val="21"/>
          <w:highlight w:val="none"/>
          <w:u w:val="single"/>
          <w:lang w:val="en-US" w:eastAsia="zh-CN"/>
        </w:rPr>
        <w:t>不</w:t>
      </w:r>
      <w:r>
        <w:rPr>
          <w:rFonts w:hint="eastAsia" w:ascii="宋体" w:hAnsi="宋体" w:cs="宋体"/>
          <w:color w:val="auto"/>
          <w:szCs w:val="21"/>
          <w:highlight w:val="none"/>
          <w:u w:val="single"/>
        </w:rPr>
        <w:t>可弃权。</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4.3.8定标委员会组长根据选票情况向招标人推荐中标人。</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4.3.9 编写定标报告，定标委员会全体确认后签署定标报告。</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4.4因质疑或投诉生效，需要重新评标或定标的，评标、定标信息仍以投标截止时投标人的信息为准。因特殊原因需要延长投标有效期，投标人拒绝延长投标有效期的，仍参与评标、定标，但不被推荐为中标候选人。</w:t>
      </w:r>
    </w:p>
    <w:p>
      <w:pPr>
        <w:rPr>
          <w:rFonts w:ascii="宋体" w:hAnsi="宋体" w:cs="宋体"/>
          <w:color w:val="auto"/>
          <w:szCs w:val="24"/>
          <w:highlight w:val="none"/>
        </w:rPr>
      </w:pPr>
    </w:p>
    <w:p>
      <w:pPr>
        <w:keepNext/>
        <w:keepLines/>
        <w:spacing w:before="100" w:after="100" w:line="360" w:lineRule="auto"/>
        <w:outlineLvl w:val="1"/>
        <w:rPr>
          <w:rFonts w:ascii="宋体" w:hAnsi="宋体" w:cs="宋体"/>
          <w:b/>
          <w:bCs/>
          <w:color w:val="auto"/>
          <w:kern w:val="0"/>
          <w:sz w:val="32"/>
          <w:szCs w:val="32"/>
          <w:highlight w:val="none"/>
        </w:rPr>
      </w:pPr>
      <w:bookmarkStart w:id="1116" w:name="_Toc14911"/>
      <w:bookmarkStart w:id="1117" w:name="_Toc12943"/>
      <w:bookmarkStart w:id="1118" w:name="_Toc26712"/>
      <w:bookmarkStart w:id="1119" w:name="_Toc30003"/>
      <w:bookmarkStart w:id="1120" w:name="_Toc7183"/>
      <w:bookmarkStart w:id="1121" w:name="_Toc485211106"/>
      <w:bookmarkStart w:id="1122" w:name="_Toc930"/>
      <w:bookmarkStart w:id="1123" w:name="_Toc1235"/>
      <w:bookmarkStart w:id="1124" w:name="_Toc26117"/>
      <w:bookmarkStart w:id="1125" w:name="_Toc375931100"/>
      <w:bookmarkStart w:id="1126" w:name="_Toc20085"/>
      <w:bookmarkStart w:id="1127" w:name="_Toc29753"/>
      <w:r>
        <w:rPr>
          <w:rFonts w:hint="eastAsia" w:ascii="宋体" w:hAnsi="宋体" w:cs="宋体"/>
          <w:b/>
          <w:bCs/>
          <w:color w:val="auto"/>
          <w:kern w:val="0"/>
          <w:sz w:val="32"/>
          <w:szCs w:val="32"/>
          <w:highlight w:val="none"/>
        </w:rPr>
        <w:t>5. 评标、定标表格</w:t>
      </w:r>
      <w:bookmarkEnd w:id="1116"/>
      <w:bookmarkEnd w:id="1117"/>
      <w:bookmarkEnd w:id="1118"/>
      <w:bookmarkEnd w:id="1119"/>
      <w:bookmarkEnd w:id="1120"/>
      <w:bookmarkEnd w:id="1121"/>
      <w:bookmarkEnd w:id="1122"/>
      <w:bookmarkEnd w:id="1123"/>
      <w:bookmarkEnd w:id="1124"/>
      <w:bookmarkEnd w:id="1125"/>
      <w:bookmarkEnd w:id="1126"/>
      <w:bookmarkEnd w:id="1127"/>
    </w:p>
    <w:p>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详见附件。</w:t>
      </w:r>
    </w:p>
    <w:p>
      <w:pPr>
        <w:spacing w:line="400" w:lineRule="exact"/>
        <w:ind w:firstLine="0" w:firstLineChars="0"/>
        <w:rPr>
          <w:rFonts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pPr>
        <w:pStyle w:val="32"/>
        <w:ind w:left="0"/>
        <w:rPr>
          <w:rFonts w:ascii="宋体" w:hAnsi="宋体" w:cs="宋体"/>
          <w:b/>
          <w:color w:val="auto"/>
          <w:sz w:val="30"/>
          <w:szCs w:val="30"/>
          <w:highlight w:val="none"/>
        </w:rPr>
      </w:pPr>
      <w:r>
        <w:rPr>
          <w:rFonts w:hint="eastAsia" w:ascii="宋体" w:hAnsi="宋体" w:cs="宋体"/>
          <w:color w:val="auto"/>
          <w:sz w:val="24"/>
          <w:szCs w:val="24"/>
          <w:highlight w:val="none"/>
        </w:rPr>
        <w:t>附表一</w:t>
      </w:r>
    </w:p>
    <w:p>
      <w:pPr>
        <w:pStyle w:val="32"/>
        <w:jc w:val="center"/>
        <w:rPr>
          <w:rFonts w:ascii="宋体" w:hAnsi="宋体" w:cs="宋体"/>
          <w:b/>
          <w:color w:val="auto"/>
          <w:sz w:val="30"/>
          <w:szCs w:val="30"/>
          <w:highlight w:val="none"/>
        </w:rPr>
      </w:pPr>
      <w:r>
        <w:rPr>
          <w:rFonts w:hint="eastAsia" w:ascii="宋体" w:hAnsi="宋体" w:cs="宋体"/>
          <w:b/>
          <w:color w:val="auto"/>
          <w:sz w:val="30"/>
          <w:szCs w:val="30"/>
          <w:highlight w:val="none"/>
        </w:rPr>
        <w:t>资格审查表</w:t>
      </w:r>
    </w:p>
    <w:tbl>
      <w:tblPr>
        <w:tblStyle w:val="40"/>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4008"/>
        <w:gridCol w:w="3941"/>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序号</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审查项目</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须审查的资料</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投标人参加投标的意思表达清楚，投标人代表被授权有效；</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法定代表人证明书；委托投标的还应提供法人授权委托证明书。</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2</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投标人（联合体投标的，指联合体各成员）均具有独立法人资格，按国家法律经营；</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s="宋体"/>
                <w:color w:val="auto"/>
                <w:kern w:val="0"/>
                <w:szCs w:val="21"/>
                <w:highlight w:val="none"/>
                <w:u w:val="single"/>
              </w:rPr>
            </w:pPr>
            <w:r>
              <w:rPr>
                <w:rFonts w:hint="eastAsia" w:ascii="宋体" w:cs="宋体"/>
                <w:color w:val="auto"/>
                <w:kern w:val="0"/>
                <w:szCs w:val="21"/>
                <w:highlight w:val="none"/>
              </w:rPr>
              <w:t>营业执照扫描件或电子证照（联合体投标的，指联合体各成员</w:t>
            </w:r>
            <w:r>
              <w:rPr>
                <w:rFonts w:hint="eastAsia" w:ascii="宋体" w:cs="宋体"/>
                <w:color w:val="auto"/>
                <w:kern w:val="0"/>
                <w:szCs w:val="21"/>
                <w:highlight w:val="none"/>
                <w:lang w:val="en-US" w:eastAsia="zh-CN"/>
              </w:rPr>
              <w:t>出具</w:t>
            </w:r>
            <w:r>
              <w:rPr>
                <w:rFonts w:hint="eastAsia" w:ascii="宋体" w:cs="宋体"/>
                <w:color w:val="auto"/>
                <w:kern w:val="0"/>
                <w:szCs w:val="21"/>
                <w:highlight w:val="none"/>
              </w:rPr>
              <w:t>）</w:t>
            </w:r>
            <w:r>
              <w:rPr>
                <w:rFonts w:hint="eastAsia" w:ascii="宋体" w:cs="宋体"/>
                <w:color w:val="auto"/>
                <w:kern w:val="0"/>
                <w:szCs w:val="21"/>
                <w:highlight w:val="none"/>
                <w:lang w:eastAsia="zh-CN"/>
              </w:rPr>
              <w:t>。</w:t>
            </w:r>
          </w:p>
          <w:p>
            <w:pPr>
              <w:widowControl/>
              <w:rPr>
                <w:rFonts w:ascii="宋体" w:cs="宋体"/>
                <w:color w:val="auto"/>
                <w:kern w:val="0"/>
                <w:szCs w:val="21"/>
                <w:highlight w:val="none"/>
              </w:rPr>
            </w:pPr>
            <w:r>
              <w:rPr>
                <w:rFonts w:hint="eastAsia" w:ascii="宋体" w:cs="宋体"/>
                <w:color w:val="auto"/>
                <w:kern w:val="0"/>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3</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hAnsi="Times New Roman" w:eastAsia="宋体" w:cs="宋体"/>
                <w:color w:val="auto"/>
                <w:kern w:val="0"/>
                <w:sz w:val="21"/>
                <w:szCs w:val="21"/>
                <w:highlight w:val="none"/>
              </w:rPr>
              <w:t>投标人同时具有承接本工程所需的设计类和施工类资质</w:t>
            </w:r>
            <w:r>
              <w:rPr>
                <w:rFonts w:hint="eastAsia" w:ascii="宋体" w:hAnsi="Times New Roman" w:eastAsia="宋体" w:cs="宋体"/>
                <w:color w:val="auto"/>
                <w:kern w:val="0"/>
                <w:sz w:val="21"/>
                <w:szCs w:val="21"/>
                <w:highlight w:val="none"/>
                <w:lang w:eastAsia="zh-CN"/>
              </w:rPr>
              <w:t>（</w:t>
            </w:r>
            <w:r>
              <w:rPr>
                <w:rFonts w:hint="eastAsia" w:ascii="宋体" w:hAnsi="Times New Roman" w:eastAsia="宋体" w:cs="宋体"/>
                <w:color w:val="auto"/>
                <w:kern w:val="0"/>
                <w:sz w:val="21"/>
                <w:szCs w:val="21"/>
                <w:highlight w:val="none"/>
              </w:rPr>
              <w:t>证书须在有效期内</w:t>
            </w:r>
            <w:r>
              <w:rPr>
                <w:rFonts w:hint="eastAsia" w:ascii="宋体" w:hAnsi="Times New Roman" w:eastAsia="宋体" w:cs="宋体"/>
                <w:color w:val="auto"/>
                <w:kern w:val="0"/>
                <w:sz w:val="21"/>
                <w:szCs w:val="21"/>
                <w:highlight w:val="none"/>
                <w:lang w:eastAsia="zh-CN"/>
              </w:rPr>
              <w:t>）</w:t>
            </w:r>
            <w:r>
              <w:rPr>
                <w:rFonts w:hint="eastAsia" w:ascii="宋体" w:cs="宋体"/>
                <w:color w:val="auto"/>
                <w:kern w:val="0"/>
                <w:szCs w:val="21"/>
                <w:highlight w:val="none"/>
                <w:lang w:eastAsia="zh-CN"/>
              </w:rPr>
              <w:t>，</w:t>
            </w:r>
            <w:r>
              <w:rPr>
                <w:rFonts w:hint="eastAsia" w:ascii="宋体" w:cs="宋体"/>
                <w:color w:val="auto"/>
                <w:kern w:val="0"/>
                <w:szCs w:val="21"/>
                <w:highlight w:val="none"/>
                <w:lang w:val="en-US" w:eastAsia="zh-CN"/>
              </w:rPr>
              <w:t>相关资质符合招标公告要求。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lang w:val="en-US" w:eastAsia="zh-CN"/>
              </w:rPr>
              <w:t>按招标公告要求提供相关</w:t>
            </w:r>
            <w:r>
              <w:rPr>
                <w:rFonts w:hint="eastAsia" w:ascii="宋体" w:cs="宋体"/>
                <w:color w:val="auto"/>
                <w:kern w:val="0"/>
                <w:szCs w:val="21"/>
                <w:highlight w:val="none"/>
              </w:rPr>
              <w:t>资质证书扫描件或电子证照（联合体投标的，指联合体各成员</w:t>
            </w:r>
            <w:r>
              <w:rPr>
                <w:rFonts w:hint="eastAsia" w:ascii="宋体" w:cs="宋体"/>
                <w:color w:val="auto"/>
                <w:kern w:val="0"/>
                <w:szCs w:val="21"/>
                <w:highlight w:val="none"/>
                <w:lang w:val="en-US" w:eastAsia="zh-CN"/>
              </w:rPr>
              <w:t>出具</w:t>
            </w:r>
            <w:r>
              <w:rPr>
                <w:rFonts w:hint="eastAsia" w:ascii="宋体" w:cs="宋体"/>
                <w:color w:val="auto"/>
                <w:kern w:val="0"/>
                <w:szCs w:val="21"/>
                <w:highlight w:val="none"/>
              </w:rPr>
              <w:t>）</w:t>
            </w:r>
            <w:r>
              <w:rPr>
                <w:rFonts w:hint="eastAsia" w:ascii="宋体" w:cs="宋体"/>
                <w:color w:val="auto"/>
                <w:kern w:val="0"/>
                <w:szCs w:val="21"/>
                <w:highlight w:val="none"/>
                <w:lang w:eastAsia="zh-CN"/>
              </w:rPr>
              <w:t>。</w:t>
            </w:r>
          </w:p>
          <w:p>
            <w:pPr>
              <w:widowControl/>
              <w:rPr>
                <w:rFonts w:ascii="宋体" w:cs="宋体"/>
                <w:color w:val="auto"/>
                <w:kern w:val="0"/>
                <w:szCs w:val="21"/>
                <w:highlight w:val="none"/>
              </w:rPr>
            </w:pPr>
            <w:r>
              <w:rPr>
                <w:rFonts w:hint="eastAsia" w:ascii="宋体" w:cs="宋体"/>
                <w:color w:val="auto"/>
                <w:kern w:val="0"/>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4</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投标人（联合体投标的，由联合体主办方提供）持有建设行政主管部门颁发的安全生产许可证；</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安全生产许可证扫描件或电子证照（</w:t>
            </w:r>
            <w:r>
              <w:rPr>
                <w:rFonts w:hint="eastAsia" w:ascii="宋体" w:cs="宋体"/>
                <w:color w:val="auto"/>
                <w:kern w:val="0"/>
                <w:szCs w:val="21"/>
                <w:highlight w:val="none"/>
                <w:lang w:eastAsia="zh-CN"/>
              </w:rPr>
              <w:t>联合体投标的，由联合体主办方提供</w:t>
            </w:r>
            <w:r>
              <w:rPr>
                <w:rFonts w:hint="eastAsia" w:ascii="宋体" w:cs="宋体"/>
                <w:color w:val="auto"/>
                <w:kern w:val="0"/>
                <w:szCs w:val="21"/>
                <w:highlight w:val="none"/>
              </w:rPr>
              <w:t>）</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5</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投标人拟担任本工程项目负责人（兼施工负责人）、设计负责人及技术负责人符合招标公告要求。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eastAsia="宋体"/>
                <w:b/>
                <w:bCs/>
                <w:color w:val="auto"/>
                <w:highlight w:val="none"/>
                <w:lang w:eastAsia="zh-CN"/>
              </w:rPr>
            </w:pPr>
            <w:r>
              <w:rPr>
                <w:rFonts w:hint="eastAsia"/>
                <w:b/>
                <w:bCs/>
                <w:color w:val="auto"/>
                <w:highlight w:val="none"/>
              </w:rPr>
              <w:t>项目负责人（兼施工负责人）：按公告要求</w:t>
            </w:r>
            <w:r>
              <w:rPr>
                <w:rFonts w:hint="eastAsia"/>
                <w:b/>
                <w:bCs/>
                <w:color w:val="auto"/>
                <w:highlight w:val="none"/>
                <w:lang w:eastAsia="zh-CN"/>
              </w:rPr>
              <w:t>；</w:t>
            </w:r>
          </w:p>
          <w:p>
            <w:pPr>
              <w:widowControl/>
              <w:snapToGrid w:val="0"/>
              <w:rPr>
                <w:rFonts w:hint="eastAsia" w:eastAsia="宋体"/>
                <w:b/>
                <w:bCs/>
                <w:color w:val="auto"/>
                <w:highlight w:val="none"/>
                <w:lang w:eastAsia="zh-CN"/>
              </w:rPr>
            </w:pPr>
            <w:r>
              <w:rPr>
                <w:rFonts w:hint="eastAsia"/>
                <w:b/>
                <w:bCs/>
                <w:color w:val="auto"/>
                <w:highlight w:val="none"/>
              </w:rPr>
              <w:t>设计负责人：按公告要求</w:t>
            </w:r>
            <w:r>
              <w:rPr>
                <w:rFonts w:hint="eastAsia"/>
                <w:b/>
                <w:bCs/>
                <w:color w:val="auto"/>
                <w:highlight w:val="none"/>
                <w:lang w:eastAsia="zh-CN"/>
              </w:rPr>
              <w:t>；</w:t>
            </w:r>
          </w:p>
          <w:p>
            <w:pPr>
              <w:widowControl/>
              <w:snapToGrid w:val="0"/>
              <w:rPr>
                <w:color w:val="auto"/>
                <w:highlight w:val="none"/>
              </w:rPr>
            </w:pPr>
          </w:p>
          <w:p>
            <w:pPr>
              <w:widowControl/>
              <w:snapToGrid w:val="0"/>
              <w:jc w:val="left"/>
              <w:rPr>
                <w:color w:val="auto"/>
                <w:highlight w:val="none"/>
              </w:rPr>
            </w:pPr>
            <w:r>
              <w:rPr>
                <w:rFonts w:hint="eastAsia"/>
                <w:b/>
                <w:bCs/>
                <w:color w:val="auto"/>
                <w:highlight w:val="none"/>
              </w:rPr>
              <w:t>技术负责人：按公告要求</w:t>
            </w:r>
            <w:r>
              <w:rPr>
                <w:rFonts w:hint="eastAsia"/>
                <w:b/>
                <w:bCs/>
                <w:color w:val="auto"/>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6</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投标人（联合体投标的，由联合体主办方提供）拟担任本工程专职安全人员持有在有效期内的安全生产考核合格证书（C类）或建筑施工企业专职安全生产管理人员安全生产考核合格证书（C3）。</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eastAsia="宋体" w:cs="宋体"/>
                <w:color w:val="auto"/>
                <w:kern w:val="0"/>
                <w:szCs w:val="21"/>
                <w:highlight w:val="none"/>
                <w:lang w:eastAsia="zh-CN"/>
              </w:rPr>
            </w:pPr>
            <w:r>
              <w:rPr>
                <w:rFonts w:hint="eastAsia" w:ascii="宋体" w:cs="宋体"/>
                <w:color w:val="auto"/>
                <w:kern w:val="0"/>
                <w:szCs w:val="21"/>
                <w:highlight w:val="none"/>
              </w:rPr>
              <w:t>专职安全员的安全生产考核合格证（C类）或建筑施工企业专职安全生产管理人员安全生产考核合格证证书（C3）扫描件或电子证书</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宋体"/>
                <w:color w:val="auto"/>
                <w:kern w:val="0"/>
                <w:szCs w:val="21"/>
                <w:highlight w:val="none"/>
              </w:rPr>
            </w:pPr>
            <w:r>
              <w:rPr>
                <w:rFonts w:hint="eastAsia" w:ascii="宋体" w:cs="宋体"/>
                <w:color w:val="auto"/>
                <w:kern w:val="0"/>
                <w:szCs w:val="21"/>
                <w:highlight w:val="none"/>
              </w:rPr>
              <w:t>7</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投标人已按照招标公告附件的内容签署盖章的</w:t>
            </w:r>
            <w:r>
              <w:rPr>
                <w:rFonts w:hint="eastAsia" w:ascii="宋体" w:cs="宋体"/>
                <w:color w:val="auto"/>
                <w:kern w:val="0"/>
                <w:szCs w:val="21"/>
                <w:highlight w:val="none"/>
                <w:lang w:eastAsia="zh-CN"/>
              </w:rPr>
              <w:t>《投标人声明》</w:t>
            </w:r>
            <w:r>
              <w:rPr>
                <w:rFonts w:hint="eastAsia" w:ascii="宋体" w:cs="宋体"/>
                <w:color w:val="auto"/>
                <w:kern w:val="0"/>
                <w:szCs w:val="21"/>
                <w:highlight w:val="none"/>
              </w:rPr>
              <w:t>。</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eastAsia="宋体" w:cs="宋体"/>
                <w:color w:val="auto"/>
                <w:kern w:val="0"/>
                <w:szCs w:val="21"/>
                <w:highlight w:val="none"/>
                <w:lang w:eastAsia="zh-CN"/>
              </w:rPr>
            </w:pPr>
            <w:r>
              <w:rPr>
                <w:rFonts w:hint="eastAsia" w:ascii="宋体" w:cs="宋体"/>
                <w:color w:val="auto"/>
                <w:kern w:val="0"/>
                <w:szCs w:val="21"/>
                <w:highlight w:val="none"/>
                <w:lang w:eastAsia="zh-CN"/>
              </w:rPr>
              <w:t>《投标人声明》</w:t>
            </w:r>
            <w:r>
              <w:rPr>
                <w:rFonts w:hint="eastAsia" w:ascii="宋体" w:cs="宋体"/>
                <w:color w:val="auto"/>
                <w:kern w:val="0"/>
                <w:szCs w:val="21"/>
                <w:highlight w:val="none"/>
              </w:rPr>
              <w:t>原件扫描件</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8</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联合体投标的提交</w:t>
            </w:r>
            <w:r>
              <w:rPr>
                <w:rFonts w:hint="eastAsia" w:ascii="宋体" w:cs="宋体"/>
                <w:color w:val="auto"/>
                <w:kern w:val="0"/>
                <w:szCs w:val="21"/>
                <w:highlight w:val="none"/>
                <w:lang w:eastAsia="zh-CN"/>
              </w:rPr>
              <w:t>联合体协议书</w:t>
            </w:r>
            <w:r>
              <w:rPr>
                <w:rFonts w:hint="eastAsia" w:ascii="宋体" w:cs="宋体"/>
                <w:color w:val="auto"/>
                <w:kern w:val="0"/>
                <w:szCs w:val="21"/>
                <w:highlight w:val="none"/>
              </w:rPr>
              <w:t>，联合体组成符合招标公告要求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eastAsia="宋体" w:cs="宋体"/>
                <w:color w:val="auto"/>
                <w:kern w:val="0"/>
                <w:szCs w:val="21"/>
                <w:highlight w:val="none"/>
                <w:lang w:eastAsia="zh-CN"/>
              </w:rPr>
            </w:pPr>
            <w:r>
              <w:rPr>
                <w:rFonts w:hint="eastAsia" w:ascii="宋体" w:cs="宋体"/>
                <w:color w:val="auto"/>
                <w:kern w:val="0"/>
                <w:szCs w:val="21"/>
                <w:highlight w:val="none"/>
              </w:rPr>
              <w:t>提供</w:t>
            </w:r>
            <w:r>
              <w:rPr>
                <w:rFonts w:hint="eastAsia" w:ascii="宋体" w:cs="宋体"/>
                <w:color w:val="auto"/>
                <w:kern w:val="0"/>
                <w:szCs w:val="21"/>
                <w:highlight w:val="none"/>
                <w:lang w:eastAsia="zh-CN"/>
              </w:rPr>
              <w:t>联合体协议书</w:t>
            </w:r>
            <w:r>
              <w:rPr>
                <w:rFonts w:hint="eastAsia" w:ascii="宋体" w:cs="宋体"/>
                <w:color w:val="auto"/>
                <w:kern w:val="0"/>
                <w:szCs w:val="21"/>
                <w:highlight w:val="none"/>
              </w:rPr>
              <w:t>原件扫描件</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9</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资格审查前，投标人（联合体投标的，指联合体各方）须在广州市住建行业信用管理平台建立企业信用档案，拟担任本工程项目负责人、施工负责人、设计负责人、专职安全人员须是本企业信用档案中的在册人员。</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eastAsia="宋体" w:cs="宋体"/>
                <w:color w:val="auto"/>
                <w:kern w:val="0"/>
                <w:szCs w:val="21"/>
                <w:highlight w:val="none"/>
                <w:lang w:eastAsia="zh-CN"/>
              </w:rPr>
            </w:pPr>
            <w:r>
              <w:rPr>
                <w:rFonts w:hint="eastAsia" w:ascii="宋体" w:cs="宋体"/>
                <w:color w:val="auto"/>
                <w:kern w:val="0"/>
                <w:szCs w:val="21"/>
                <w:highlight w:val="none"/>
              </w:rPr>
              <w:t>投标人（联合体投标的，指联合体各方）在广州市住建行业信用管理平台内企业信用档案的企业和人员信息</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10</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投标人（联合体投标的，指联合体各方）未出现以下情形与其它投标人（联合体投标的，指联合体各方）的单位负责人为同一人或者存在控股、管理关系的。</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eastAsia="宋体" w:cs="宋体"/>
                <w:color w:val="auto"/>
                <w:kern w:val="0"/>
                <w:szCs w:val="21"/>
                <w:highlight w:val="none"/>
                <w:lang w:eastAsia="zh-CN"/>
              </w:rPr>
            </w:pPr>
            <w:r>
              <w:rPr>
                <w:rFonts w:hint="eastAsia" w:ascii="宋体" w:cs="宋体"/>
                <w:color w:val="auto"/>
                <w:kern w:val="0"/>
                <w:szCs w:val="21"/>
                <w:highlight w:val="none"/>
              </w:rPr>
              <w:t>按投标人提供的《投标人声明》内容进行评审</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11</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投标人（联合体投标的，指联合体各方）未被列入拖欠农民工工资失信联合惩戒对象名单.</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eastAsia="宋体" w:cs="宋体"/>
                <w:color w:val="auto"/>
                <w:kern w:val="0"/>
                <w:szCs w:val="21"/>
                <w:highlight w:val="none"/>
                <w:lang w:eastAsia="zh-CN"/>
              </w:rPr>
            </w:pPr>
            <w:r>
              <w:rPr>
                <w:rFonts w:hint="eastAsia" w:ascii="宋体" w:cs="宋体"/>
                <w:color w:val="auto"/>
                <w:kern w:val="0"/>
                <w:szCs w:val="21"/>
                <w:highlight w:val="none"/>
              </w:rPr>
              <w:t>投标人</w:t>
            </w:r>
            <w:r>
              <w:rPr>
                <w:rFonts w:hint="eastAsia" w:ascii="宋体" w:cs="宋体"/>
                <w:b/>
                <w:bCs/>
                <w:color w:val="auto"/>
                <w:kern w:val="0"/>
                <w:szCs w:val="21"/>
                <w:highlight w:val="none"/>
              </w:rPr>
              <w:t>无需提供资料</w:t>
            </w:r>
            <w:r>
              <w:rPr>
                <w:rFonts w:hint="eastAsia" w:ascii="宋体" w:cs="宋体"/>
                <w:color w:val="auto"/>
                <w:kern w:val="0"/>
                <w:szCs w:val="21"/>
                <w:highlight w:val="none"/>
              </w:rPr>
              <w:t>，按投标截止时间交易系统比对的结果进行评审</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cs="宋体"/>
                <w:b/>
                <w:bCs/>
                <w:color w:val="auto"/>
                <w:kern w:val="0"/>
                <w:szCs w:val="21"/>
                <w:highlight w:val="none"/>
              </w:rPr>
            </w:pPr>
            <w:r>
              <w:rPr>
                <w:rFonts w:hint="eastAsia" w:ascii="宋体" w:cs="宋体"/>
                <w:b/>
                <w:bCs/>
                <w:color w:val="auto"/>
                <w:kern w:val="0"/>
                <w:szCs w:val="21"/>
                <w:highlight w:val="none"/>
              </w:rPr>
              <w:t>结论</w:t>
            </w:r>
          </w:p>
        </w:tc>
        <w:tc>
          <w:tcPr>
            <w:tcW w:w="40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cs="宋体"/>
                <w:b/>
                <w:bCs/>
                <w:color w:val="auto"/>
                <w:kern w:val="0"/>
                <w:szCs w:val="21"/>
                <w:highlight w:val="none"/>
              </w:rPr>
            </w:pPr>
            <w:r>
              <w:rPr>
                <w:rFonts w:hint="eastAsia" w:ascii="宋体" w:cs="宋体"/>
                <w:b/>
                <w:bCs/>
                <w:color w:val="auto"/>
                <w:kern w:val="0"/>
                <w:szCs w:val="21"/>
                <w:highlight w:val="none"/>
              </w:rPr>
              <w:t>通过或不通过</w:t>
            </w:r>
          </w:p>
        </w:tc>
        <w:tc>
          <w:tcPr>
            <w:tcW w:w="394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cs="宋体"/>
                <w:b/>
                <w:bCs/>
                <w:color w:val="auto"/>
                <w:kern w:val="0"/>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cs="宋体"/>
                <w:color w:val="auto"/>
                <w:kern w:val="0"/>
                <w:szCs w:val="21"/>
                <w:highlight w:val="none"/>
              </w:rPr>
            </w:pPr>
          </w:p>
        </w:tc>
      </w:tr>
    </w:tbl>
    <w:p>
      <w:pPr>
        <w:rPr>
          <w:color w:val="auto"/>
          <w:highlight w:val="none"/>
        </w:rPr>
      </w:pPr>
    </w:p>
    <w:p>
      <w:pPr>
        <w:widowControl/>
        <w:snapToGrid w:val="0"/>
        <w:jc w:val="left"/>
        <w:rPr>
          <w:rFonts w:ascii="宋体" w:cs="宋体"/>
          <w:color w:val="auto"/>
          <w:kern w:val="0"/>
          <w:szCs w:val="21"/>
          <w:highlight w:val="none"/>
        </w:rPr>
      </w:pPr>
      <w:r>
        <w:rPr>
          <w:rFonts w:hint="eastAsia" w:ascii="宋体" w:cs="宋体"/>
          <w:color w:val="auto"/>
          <w:kern w:val="0"/>
          <w:szCs w:val="21"/>
          <w:highlight w:val="none"/>
        </w:rPr>
        <w:t xml:space="preserve">备注：1、每一项目符合的打“○”，不符合的打“×”； </w:t>
      </w:r>
    </w:p>
    <w:p>
      <w:pPr>
        <w:numPr>
          <w:ilvl w:val="0"/>
          <w:numId w:val="2"/>
        </w:numPr>
        <w:ind w:firstLine="420" w:firstLineChars="200"/>
        <w:rPr>
          <w:rFonts w:ascii="宋体" w:cs="宋体"/>
          <w:color w:val="auto"/>
          <w:szCs w:val="21"/>
          <w:highlight w:val="none"/>
        </w:rPr>
      </w:pPr>
      <w:r>
        <w:rPr>
          <w:rFonts w:hint="eastAsia" w:ascii="宋体" w:cs="宋体"/>
          <w:color w:val="auto"/>
          <w:szCs w:val="21"/>
          <w:highlight w:val="none"/>
        </w:rPr>
        <w:t>若评委意见不一致时，则按少数服从多数的原则，作出评审结论。汇总后，出现一个“×”的结论为“不通过”。</w:t>
      </w:r>
    </w:p>
    <w:p>
      <w:pPr>
        <w:numPr>
          <w:ilvl w:val="0"/>
          <w:numId w:val="2"/>
        </w:numPr>
        <w:ind w:firstLine="420" w:firstLineChars="200"/>
        <w:rPr>
          <w:rFonts w:ascii="宋体" w:cs="宋体"/>
          <w:color w:val="auto"/>
          <w:szCs w:val="21"/>
          <w:highlight w:val="none"/>
        </w:rPr>
      </w:pPr>
      <w:r>
        <w:rPr>
          <w:rFonts w:hint="eastAsia" w:ascii="宋体" w:cs="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hint="eastAsia" w:ascii="宋体" w:cs="宋体"/>
          <w:color w:val="auto"/>
          <w:kern w:val="0"/>
          <w:szCs w:val="21"/>
          <w:highlight w:val="none"/>
        </w:rPr>
      </w:pPr>
    </w:p>
    <w:p>
      <w:pPr>
        <w:rPr>
          <w:color w:val="auto"/>
          <w:highlight w:val="none"/>
        </w:rPr>
        <w:sectPr>
          <w:pgSz w:w="11905" w:h="16838"/>
          <w:pgMar w:top="1247" w:right="1247" w:bottom="1247" w:left="1247" w:header="567" w:footer="850" w:gutter="0"/>
          <w:cols w:space="720" w:num="1"/>
          <w:docGrid w:type="lines" w:linePitch="312" w:charSpace="0"/>
        </w:sectPr>
      </w:pPr>
      <w:r>
        <w:rPr>
          <w:rFonts w:hint="eastAsia" w:ascii="宋体" w:cs="宋体"/>
          <w:color w:val="auto"/>
          <w:kern w:val="0"/>
          <w:szCs w:val="21"/>
          <w:highlight w:val="none"/>
        </w:rPr>
        <w:t>评委签名：                    日期：</w:t>
      </w:r>
    </w:p>
    <w:p>
      <w:pPr>
        <w:jc w:val="left"/>
        <w:rPr>
          <w:rFonts w:ascii="宋体" w:hAnsi="宋体" w:cs="宋体"/>
          <w:b/>
          <w:color w:val="auto"/>
          <w:sz w:val="28"/>
          <w:szCs w:val="28"/>
          <w:highlight w:val="none"/>
        </w:rPr>
      </w:pPr>
      <w:bookmarkStart w:id="1128" w:name="OLE_LINK1"/>
      <w:bookmarkEnd w:id="1128"/>
      <w:r>
        <w:rPr>
          <w:rFonts w:hint="eastAsia" w:ascii="宋体" w:hAnsi="宋体" w:cs="宋体"/>
          <w:b/>
          <w:color w:val="auto"/>
          <w:sz w:val="28"/>
          <w:szCs w:val="28"/>
          <w:highlight w:val="none"/>
        </w:rPr>
        <w:t>附表二：</w:t>
      </w: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设计施工部分投标文件有效性审查表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12"/>
        <w:gridCol w:w="850"/>
        <w:gridCol w:w="850"/>
        <w:gridCol w:w="851"/>
        <w:gridCol w:w="85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612" w:type="dxa"/>
            <w:tcBorders>
              <w:tl2br w:val="single" w:color="auto" w:sz="4" w:space="0"/>
            </w:tcBorders>
          </w:tcPr>
          <w:p>
            <w:pPr>
              <w:wordWrap w:val="0"/>
              <w:jc w:val="right"/>
              <w:rPr>
                <w:rFonts w:ascii="宋体" w:hAnsi="宋体" w:cs="宋体"/>
                <w:b/>
                <w:color w:val="auto"/>
                <w:szCs w:val="21"/>
                <w:highlight w:val="none"/>
              </w:rPr>
            </w:pPr>
            <w:r>
              <w:rPr>
                <w:rFonts w:hint="eastAsia" w:ascii="宋体" w:hAnsi="宋体" w:cs="宋体"/>
                <w:b/>
                <w:color w:val="auto"/>
                <w:szCs w:val="21"/>
                <w:highlight w:val="none"/>
              </w:rPr>
              <w:t xml:space="preserve">  投标单位</w:t>
            </w:r>
          </w:p>
          <w:p>
            <w:pPr>
              <w:rPr>
                <w:rFonts w:ascii="宋体" w:hAnsi="宋体" w:cs="宋体"/>
                <w:b/>
                <w:color w:val="auto"/>
                <w:szCs w:val="21"/>
                <w:highlight w:val="none"/>
              </w:rPr>
            </w:pPr>
            <w:r>
              <w:rPr>
                <w:rFonts w:hint="eastAsia" w:ascii="宋体" w:hAnsi="宋体" w:cs="宋体"/>
                <w:b/>
                <w:color w:val="auto"/>
                <w:szCs w:val="21"/>
                <w:highlight w:val="none"/>
              </w:rPr>
              <w:t>评审内容</w:t>
            </w:r>
          </w:p>
        </w:tc>
        <w:tc>
          <w:tcPr>
            <w:tcW w:w="850" w:type="dxa"/>
            <w:vAlign w:val="center"/>
          </w:tcPr>
          <w:p>
            <w:pPr>
              <w:jc w:val="center"/>
              <w:rPr>
                <w:rFonts w:ascii="宋体" w:hAnsi="宋体" w:cs="宋体"/>
                <w:b/>
                <w:color w:val="auto"/>
                <w:szCs w:val="21"/>
                <w:highlight w:val="none"/>
              </w:rPr>
            </w:pPr>
          </w:p>
        </w:tc>
        <w:tc>
          <w:tcPr>
            <w:tcW w:w="850" w:type="dxa"/>
            <w:vAlign w:val="center"/>
          </w:tcPr>
          <w:p>
            <w:pPr>
              <w:jc w:val="center"/>
              <w:rPr>
                <w:rFonts w:ascii="宋体" w:hAnsi="宋体" w:cs="宋体"/>
                <w:b/>
                <w:color w:val="auto"/>
                <w:szCs w:val="21"/>
                <w:highlight w:val="none"/>
              </w:rPr>
            </w:pPr>
          </w:p>
        </w:tc>
        <w:tc>
          <w:tcPr>
            <w:tcW w:w="851" w:type="dxa"/>
            <w:vAlign w:val="center"/>
          </w:tcPr>
          <w:p>
            <w:pPr>
              <w:jc w:val="center"/>
              <w:rPr>
                <w:rFonts w:ascii="宋体" w:hAnsi="宋体" w:cs="宋体"/>
                <w:b/>
                <w:color w:val="auto"/>
                <w:szCs w:val="21"/>
                <w:highlight w:val="none"/>
              </w:rPr>
            </w:pPr>
          </w:p>
        </w:tc>
        <w:tc>
          <w:tcPr>
            <w:tcW w:w="850" w:type="dxa"/>
            <w:vAlign w:val="center"/>
          </w:tcPr>
          <w:p>
            <w:pPr>
              <w:jc w:val="center"/>
              <w:rPr>
                <w:rFonts w:ascii="宋体" w:hAnsi="宋体" w:cs="宋体"/>
                <w:b/>
                <w:color w:val="auto"/>
                <w:szCs w:val="21"/>
                <w:highlight w:val="none"/>
              </w:rPr>
            </w:pPr>
          </w:p>
        </w:tc>
        <w:tc>
          <w:tcPr>
            <w:tcW w:w="850" w:type="dxa"/>
            <w:vAlign w:val="center"/>
          </w:tcPr>
          <w:p>
            <w:pPr>
              <w:jc w:val="center"/>
              <w:rPr>
                <w:rFonts w:ascii="宋体" w:hAnsi="宋体" w:cs="宋体"/>
                <w:b/>
                <w:color w:val="auto"/>
                <w:szCs w:val="21"/>
                <w:highlight w:val="none"/>
              </w:rPr>
            </w:pPr>
          </w:p>
        </w:tc>
        <w:tc>
          <w:tcPr>
            <w:tcW w:w="851" w:type="dxa"/>
            <w:vAlign w:val="center"/>
          </w:tcPr>
          <w:p>
            <w:pPr>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612" w:type="dxa"/>
            <w:vAlign w:val="center"/>
          </w:tcPr>
          <w:p>
            <w:pPr>
              <w:rPr>
                <w:rFonts w:ascii="宋体" w:hAnsi="宋体" w:cs="宋体"/>
                <w:color w:val="auto"/>
                <w:szCs w:val="21"/>
                <w:highlight w:val="none"/>
              </w:rPr>
            </w:pPr>
            <w:r>
              <w:rPr>
                <w:rFonts w:hint="eastAsia" w:ascii="宋体" w:hAnsi="宋体" w:cs="宋体"/>
                <w:color w:val="auto"/>
                <w:szCs w:val="21"/>
                <w:highlight w:val="none"/>
              </w:rPr>
              <w:t>投标文件所列投标人名称、项目负责人、专职安全员与投标登记时一致；</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612" w:type="dxa"/>
            <w:vAlign w:val="center"/>
          </w:tcPr>
          <w:p>
            <w:pPr>
              <w:rPr>
                <w:rFonts w:ascii="宋体" w:hAnsi="宋体" w:cs="宋体"/>
                <w:color w:val="auto"/>
                <w:szCs w:val="21"/>
                <w:highlight w:val="none"/>
              </w:rPr>
            </w:pPr>
            <w:r>
              <w:rPr>
                <w:rFonts w:hint="eastAsia" w:ascii="宋体" w:hAnsi="宋体" w:cs="宋体"/>
                <w:color w:val="auto"/>
                <w:szCs w:val="21"/>
                <w:highlight w:val="none"/>
              </w:rPr>
              <w:t>《投标承诺书》按规定的格式填写盖章；</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612" w:type="dxa"/>
            <w:vAlign w:val="center"/>
          </w:tcPr>
          <w:p>
            <w:pPr>
              <w:rPr>
                <w:rFonts w:ascii="宋体" w:hAnsi="宋体" w:cs="宋体"/>
                <w:color w:val="auto"/>
                <w:szCs w:val="21"/>
                <w:highlight w:val="none"/>
              </w:rPr>
            </w:pPr>
            <w:r>
              <w:rPr>
                <w:rFonts w:hint="eastAsia" w:ascii="宋体" w:hAnsi="宋体" w:cs="宋体"/>
                <w:color w:val="auto"/>
                <w:szCs w:val="21"/>
                <w:highlight w:val="none"/>
              </w:rPr>
              <w:t>技术投标书中质量标准符合招标文件要求；</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612" w:type="dxa"/>
            <w:vAlign w:val="center"/>
          </w:tcPr>
          <w:p>
            <w:pPr>
              <w:rPr>
                <w:rFonts w:ascii="宋体" w:hAnsi="宋体" w:cs="宋体"/>
                <w:color w:val="auto"/>
                <w:szCs w:val="21"/>
                <w:highlight w:val="none"/>
              </w:rPr>
            </w:pPr>
            <w:r>
              <w:rPr>
                <w:rFonts w:hint="eastAsia" w:ascii="宋体" w:hAnsi="宋体" w:cs="宋体"/>
                <w:color w:val="auto"/>
                <w:szCs w:val="21"/>
                <w:highlight w:val="none"/>
              </w:rPr>
              <w:t>技术投标书中工期符合招标文件要求</w:t>
            </w:r>
            <w:r>
              <w:rPr>
                <w:rFonts w:hint="eastAsia" w:ascii="宋体" w:cs="宋体"/>
                <w:color w:val="auto"/>
                <w:szCs w:val="21"/>
                <w:highlight w:val="none"/>
              </w:rPr>
              <w:t>；</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612" w:type="dxa"/>
            <w:vAlign w:val="center"/>
          </w:tcPr>
          <w:p>
            <w:pPr>
              <w:rPr>
                <w:rFonts w:ascii="宋体" w:hAnsi="宋体" w:cs="宋体"/>
                <w:color w:val="auto"/>
                <w:szCs w:val="21"/>
                <w:highlight w:val="none"/>
              </w:rPr>
            </w:pPr>
            <w:r>
              <w:rPr>
                <w:rFonts w:hint="eastAsia" w:ascii="宋体" w:cs="宋体"/>
                <w:color w:val="auto"/>
                <w:szCs w:val="21"/>
                <w:highlight w:val="none"/>
              </w:rPr>
              <w:t>投标文件按规定的格式填写</w:t>
            </w:r>
            <w:r>
              <w:rPr>
                <w:rFonts w:hint="eastAsia" w:ascii="宋体" w:hAnsi="宋体" w:cs="宋体"/>
                <w:color w:val="auto"/>
                <w:szCs w:val="21"/>
                <w:highlight w:val="none"/>
              </w:rPr>
              <w:t>（第六章“设计施工部分投标文件（含资格审查文件）格式”格式四、格式五）</w:t>
            </w:r>
            <w:r>
              <w:rPr>
                <w:rFonts w:hint="eastAsia" w:ascii="宋体" w:cs="宋体"/>
                <w:color w:val="auto"/>
                <w:szCs w:val="21"/>
                <w:highlight w:val="none"/>
              </w:rPr>
              <w:t>，没有出现主要内容不全或关键字迹模糊、无法辨认的情形；</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8612"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8612" w:type="dxa"/>
            <w:vAlign w:val="center"/>
          </w:tcPr>
          <w:p>
            <w:pPr>
              <w:rPr>
                <w:rFonts w:ascii="宋体" w:hAnsi="宋体" w:cs="宋体"/>
                <w:color w:val="auto"/>
                <w:szCs w:val="21"/>
                <w:highlight w:val="none"/>
              </w:rPr>
            </w:pPr>
            <w:r>
              <w:rPr>
                <w:rFonts w:hint="eastAsia" w:ascii="Calibri" w:hAnsi="Calibri"/>
                <w:color w:val="auto"/>
                <w:highlight w:val="none"/>
              </w:rPr>
              <w:t>投标人与其他投标人加密打包投标文件电脑机器特征码不一致的(以广州公共资源交易中心评标系统的检索信息为准)。</w:t>
            </w: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结论</w:t>
            </w:r>
          </w:p>
        </w:tc>
        <w:tc>
          <w:tcPr>
            <w:tcW w:w="861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color w:val="auto"/>
                <w:szCs w:val="21"/>
                <w:highlight w:val="none"/>
              </w:rPr>
            </w:pPr>
            <w:r>
              <w:rPr>
                <w:rFonts w:hint="eastAsia" w:ascii="宋体" w:hAnsi="宋体" w:cs="宋体"/>
                <w:color w:val="auto"/>
                <w:szCs w:val="21"/>
                <w:highlight w:val="none"/>
              </w:rPr>
              <w:t>是否通过并进入下一阶段评审。</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bl>
    <w:p>
      <w:pPr>
        <w:spacing w:line="240" w:lineRule="exact"/>
        <w:rPr>
          <w:rFonts w:ascii="宋体" w:hAnsi="宋体" w:cs="宋体"/>
          <w:color w:val="auto"/>
          <w:szCs w:val="21"/>
          <w:highlight w:val="none"/>
        </w:rPr>
      </w:pPr>
    </w:p>
    <w:p>
      <w:pPr>
        <w:spacing w:line="240" w:lineRule="exact"/>
        <w:rPr>
          <w:rFonts w:ascii="宋体" w:hAnsi="宋体" w:cs="宋体"/>
          <w:color w:val="auto"/>
          <w:szCs w:val="21"/>
          <w:highlight w:val="none"/>
        </w:rPr>
      </w:pPr>
      <w:r>
        <w:rPr>
          <w:rFonts w:hint="eastAsia" w:ascii="宋体" w:hAnsi="宋体" w:cs="宋体"/>
          <w:color w:val="auto"/>
          <w:szCs w:val="21"/>
          <w:highlight w:val="none"/>
        </w:rPr>
        <w:t>备注：1.每一项目符合有效的记“○”，无效的记“×”。</w:t>
      </w:r>
    </w:p>
    <w:p>
      <w:pPr>
        <w:spacing w:line="2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2.本表中出现一个（或以上）“×”，投标人的评审结论为“不通过”，即该投标人不进入下一阶段评审。</w:t>
      </w:r>
    </w:p>
    <w:p>
      <w:pPr>
        <w:spacing w:line="2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3.本表中评审项目全部为 “○”，投标人的评审结论为“通过”，即该投标人进入下一阶段评审。</w:t>
      </w:r>
    </w:p>
    <w:p>
      <w:pPr>
        <w:spacing w:line="2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4.如对本表中某种情形的评审意见不一致时，以评审组过半数成员的意见作为评审组对该情形的认定结论。</w:t>
      </w:r>
    </w:p>
    <w:p>
      <w:pPr>
        <w:spacing w:before="156" w:beforeLines="50" w:line="240" w:lineRule="exact"/>
        <w:ind w:firstLine="630" w:firstLineChars="300"/>
        <w:rPr>
          <w:rFonts w:ascii="宋体" w:hAnsi="宋体" w:cs="宋体"/>
          <w:color w:val="auto"/>
          <w:szCs w:val="21"/>
          <w:highlight w:val="none"/>
        </w:rPr>
        <w:sectPr>
          <w:footerReference r:id="rId9" w:type="default"/>
          <w:pgSz w:w="16838" w:h="11905" w:orient="landscape"/>
          <w:pgMar w:top="1247" w:right="1247" w:bottom="1247" w:left="1247" w:header="567" w:footer="850" w:gutter="0"/>
          <w:cols w:space="720" w:num="1"/>
          <w:docGrid w:type="lines" w:linePitch="312" w:charSpace="0"/>
        </w:sectPr>
      </w:pPr>
      <w:r>
        <w:rPr>
          <w:rFonts w:hint="eastAsia" w:ascii="宋体" w:hAnsi="宋体" w:cs="宋体"/>
          <w:color w:val="auto"/>
          <w:szCs w:val="21"/>
          <w:highlight w:val="none"/>
        </w:rPr>
        <w:t xml:space="preserve">评委签名：                                                                                                     日期：             </w:t>
      </w:r>
    </w:p>
    <w:p>
      <w:pPr>
        <w:pStyle w:val="162"/>
        <w:rPr>
          <w:rFonts w:cs="宋体"/>
          <w:b/>
          <w:color w:val="auto"/>
          <w:sz w:val="28"/>
          <w:szCs w:val="28"/>
          <w:highlight w:val="none"/>
        </w:rPr>
      </w:pPr>
      <w:r>
        <w:rPr>
          <w:rFonts w:hint="eastAsia" w:cs="宋体"/>
          <w:b/>
          <w:color w:val="auto"/>
          <w:sz w:val="28"/>
          <w:szCs w:val="28"/>
          <w:highlight w:val="none"/>
        </w:rPr>
        <w:t>附表三：</w:t>
      </w:r>
    </w:p>
    <w:p>
      <w:pPr>
        <w:jc w:val="center"/>
        <w:rPr>
          <w:rFonts w:ascii="宋体" w:hAnsi="宋体" w:cs="宋体"/>
          <w:b/>
          <w:color w:val="auto"/>
          <w:sz w:val="36"/>
          <w:szCs w:val="36"/>
          <w:highlight w:val="none"/>
          <w:u w:val="single"/>
        </w:rPr>
      </w:pPr>
      <w:r>
        <w:rPr>
          <w:rFonts w:hint="eastAsia" w:ascii="宋体" w:hAnsi="宋体" w:cs="宋体"/>
          <w:b/>
          <w:color w:val="auto"/>
          <w:sz w:val="36"/>
          <w:szCs w:val="36"/>
          <w:highlight w:val="none"/>
        </w:rPr>
        <w:t>经济标投标文件有效性审查表</w:t>
      </w:r>
    </w:p>
    <w:p>
      <w:pPr>
        <w:rPr>
          <w:rFonts w:ascii="宋体" w:hAnsi="宋体" w:cs="宋体"/>
          <w:color w:val="auto"/>
          <w:szCs w:val="21"/>
          <w:highlight w:val="none"/>
        </w:rPr>
      </w:pPr>
      <w:r>
        <w:rPr>
          <w:rFonts w:hint="eastAsia" w:ascii="宋体" w:hAnsi="宋体" w:cs="宋体"/>
          <w:color w:val="auto"/>
          <w:szCs w:val="21"/>
          <w:highlight w:val="none"/>
          <w:lang w:eastAsia="zh-CN"/>
        </w:rPr>
        <w:t>项目名称</w:t>
      </w:r>
      <w:r>
        <w:rPr>
          <w:rFonts w:hint="eastAsia" w:ascii="宋体" w:hAnsi="宋体" w:cs="宋体"/>
          <w:color w:val="auto"/>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491"/>
        <w:gridCol w:w="1491"/>
        <w:gridCol w:w="1488"/>
        <w:gridCol w:w="149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749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 xml:space="preserve">                                           投标单位</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评审内容</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49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对同一招标项目没有出现两个或以上的投标报价的；</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7491" w:type="dxa"/>
            <w:tcBorders>
              <w:top w:val="single" w:color="auto" w:sz="4" w:space="0"/>
              <w:left w:val="single" w:color="auto" w:sz="4" w:space="0"/>
              <w:bottom w:val="single" w:color="auto" w:sz="4" w:space="0"/>
              <w:right w:val="single" w:color="auto" w:sz="4" w:space="0"/>
            </w:tcBorders>
            <w:vAlign w:val="center"/>
          </w:tcPr>
          <w:p>
            <w:pPr>
              <w:pStyle w:val="32"/>
              <w:numPr>
                <w:ilvl w:val="0"/>
                <w:numId w:val="0"/>
              </w:numPr>
              <w:rPr>
                <w:rFonts w:hint="eastAsia" w:eastAsia="宋体"/>
                <w:color w:val="auto"/>
                <w:highlight w:val="none"/>
                <w:lang w:eastAsia="zh-CN"/>
              </w:rPr>
            </w:pPr>
            <w:r>
              <w:rPr>
                <w:rFonts w:hint="eastAsia" w:ascii="宋体" w:hAnsi="宋体" w:eastAsia="宋体" w:cs="宋体"/>
                <w:smallCaps w:val="0"/>
                <w:color w:val="auto"/>
                <w:kern w:val="2"/>
                <w:sz w:val="21"/>
                <w:szCs w:val="21"/>
                <w:highlight w:val="none"/>
                <w:lang w:val="en-US" w:eastAsia="zh-CN" w:bidi="ar-SA"/>
              </w:rPr>
              <w:t>按招标公告“招标控制价”要求，</w:t>
            </w:r>
            <w:r>
              <w:rPr>
                <w:rFonts w:hint="eastAsia" w:ascii="宋体" w:hAnsi="宋体" w:cs="宋体"/>
                <w:smallCaps w:val="0"/>
                <w:color w:val="auto"/>
                <w:kern w:val="2"/>
                <w:sz w:val="21"/>
                <w:szCs w:val="21"/>
                <w:highlight w:val="none"/>
                <w:lang w:val="en-US" w:eastAsia="zh-CN" w:bidi="ar-SA"/>
              </w:rPr>
              <w:t>投标报价未超过</w:t>
            </w:r>
            <w:r>
              <w:rPr>
                <w:rFonts w:hint="eastAsia" w:ascii="宋体" w:hAnsi="宋体" w:eastAsia="宋体" w:cs="宋体"/>
                <w:smallCaps w:val="0"/>
                <w:color w:val="auto"/>
                <w:kern w:val="2"/>
                <w:sz w:val="21"/>
                <w:szCs w:val="21"/>
                <w:highlight w:val="none"/>
                <w:lang w:val="en-US" w:eastAsia="zh-CN" w:bidi="ar-SA"/>
              </w:rPr>
              <w:t>最高投标限价</w:t>
            </w:r>
            <w:r>
              <w:rPr>
                <w:rFonts w:hint="eastAsia" w:ascii="宋体" w:hAnsi="宋体" w:cs="宋体"/>
                <w:smallCaps w:val="0"/>
                <w:color w:val="auto"/>
                <w:kern w:val="2"/>
                <w:sz w:val="21"/>
                <w:szCs w:val="21"/>
                <w:highlight w:val="none"/>
                <w:lang w:val="en-US" w:eastAsia="zh-CN" w:bidi="ar-SA"/>
              </w:rPr>
              <w:t>要求</w:t>
            </w:r>
            <w:r>
              <w:rPr>
                <w:rFonts w:hint="eastAsia" w:ascii="宋体" w:hAnsi="宋体" w:eastAsia="宋体" w:cs="宋体"/>
                <w:smallCaps w:val="0"/>
                <w:color w:val="auto"/>
                <w:kern w:val="2"/>
                <w:sz w:val="21"/>
                <w:szCs w:val="21"/>
                <w:highlight w:val="none"/>
                <w:lang w:val="en-US" w:eastAsia="zh-CN" w:bidi="ar-SA"/>
              </w:rPr>
              <w:t>。</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7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atLeast"/>
              <w:rPr>
                <w:rFonts w:ascii="宋体" w:hAnsi="宋体" w:cs="宋体"/>
                <w:color w:val="auto"/>
                <w:szCs w:val="21"/>
                <w:highlight w:val="none"/>
              </w:rPr>
            </w:pPr>
            <w:r>
              <w:rPr>
                <w:rFonts w:hint="eastAsia" w:ascii="宋体" w:cs="宋体"/>
                <w:color w:val="auto"/>
                <w:szCs w:val="21"/>
                <w:highlight w:val="none"/>
              </w:rPr>
              <w:t>建安工程费报价没有低于企业成本（投标人的报价低于成本警戒价，或明显低于其他投标报价，使得其投标报价可能低于其个别成本，但能合理说明或者能提供相关证明材料，评标委员会认定该投标人不低于成本报价的）；</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atLeast"/>
              <w:rPr>
                <w:rFonts w:hint="eastAsia" w:ascii="宋体" w:cs="宋体"/>
                <w:color w:val="auto"/>
                <w:szCs w:val="21"/>
                <w:highlight w:val="none"/>
              </w:rPr>
            </w:pPr>
            <w:r>
              <w:rPr>
                <w:rFonts w:hint="eastAsia" w:ascii="宋体" w:cs="宋体"/>
                <w:color w:val="auto"/>
                <w:szCs w:val="21"/>
                <w:highlight w:val="none"/>
              </w:rPr>
              <w:t>其他“★”要求：符合第五章“发包人要求”中的★条款要求。</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7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atLeast"/>
              <w:rPr>
                <w:rFonts w:ascii="宋体" w:hAnsi="宋体" w:cs="宋体"/>
                <w:color w:val="auto"/>
                <w:szCs w:val="21"/>
                <w:highlight w:val="none"/>
              </w:rPr>
            </w:pPr>
            <w:r>
              <w:rPr>
                <w:rFonts w:hint="eastAsia" w:ascii="宋体" w:cs="宋体"/>
                <w:color w:val="auto"/>
                <w:szCs w:val="21"/>
                <w:highlight w:val="none"/>
              </w:rPr>
              <w:t>投标文件按规定的格式填写（</w:t>
            </w:r>
            <w:r>
              <w:rPr>
                <w:rFonts w:hint="eastAsia" w:ascii="宋体" w:hAnsi="宋体" w:cs="宋体"/>
                <w:color w:val="auto"/>
                <w:szCs w:val="21"/>
                <w:highlight w:val="none"/>
              </w:rPr>
              <w:t>第六章“经济标投标文件格式”</w:t>
            </w:r>
            <w:r>
              <w:rPr>
                <w:rFonts w:hint="eastAsia" w:ascii="宋体" w:cs="宋体"/>
                <w:color w:val="auto"/>
                <w:szCs w:val="21"/>
                <w:highlight w:val="none"/>
              </w:rPr>
              <w:t>格式二），没有出现主要内容不全或关键字迹模糊、无法辨认的情形。</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7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atLeas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bl>
    <w:p>
      <w:pPr>
        <w:spacing w:line="240" w:lineRule="exact"/>
        <w:rPr>
          <w:rFonts w:ascii="宋体" w:hAnsi="宋体" w:cs="宋体"/>
          <w:color w:val="auto"/>
          <w:szCs w:val="21"/>
          <w:highlight w:val="none"/>
        </w:rPr>
      </w:pPr>
      <w:r>
        <w:rPr>
          <w:rFonts w:hint="eastAsia" w:ascii="宋体" w:hAnsi="宋体" w:cs="宋体"/>
          <w:color w:val="auto"/>
          <w:szCs w:val="21"/>
          <w:highlight w:val="none"/>
        </w:rPr>
        <w:t>注：1.每一项目符合有效的记“○”，无效的记“×”。</w:t>
      </w:r>
    </w:p>
    <w:p>
      <w:pPr>
        <w:spacing w:line="2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2.本表中出现一个（或以上）“×”，投标人的评审结论为“不通过”，即该投标人不进入下一阶段评审。</w:t>
      </w:r>
    </w:p>
    <w:p>
      <w:pPr>
        <w:spacing w:line="2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3.本表中评审项目全部为 “○”，投标人的评审结论为“通过”，即该投标人进入下一阶段评审。</w:t>
      </w:r>
    </w:p>
    <w:p>
      <w:pPr>
        <w:ind w:firstLine="458"/>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4.如对本表中某种情形的评审意见不一致时，以评审组过半数成员的意见作为评审组对该情形的认定结论。</w:t>
      </w:r>
    </w:p>
    <w:p>
      <w:pPr>
        <w:widowControl/>
        <w:jc w:val="left"/>
        <w:rPr>
          <w:rFonts w:ascii="宋体" w:hAnsi="宋体" w:cs="宋体"/>
          <w:color w:val="auto"/>
          <w:highlight w:val="none"/>
        </w:rPr>
      </w:pPr>
      <w:r>
        <w:rPr>
          <w:rFonts w:hint="eastAsia" w:ascii="宋体" w:hAnsi="宋体" w:cs="宋体"/>
          <w:color w:val="auto"/>
          <w:szCs w:val="21"/>
          <w:highlight w:val="none"/>
        </w:rPr>
        <w:t>评委签名：</w:t>
      </w:r>
    </w:p>
    <w:p>
      <w:pPr>
        <w:spacing w:line="360" w:lineRule="auto"/>
        <w:rPr>
          <w:rFonts w:ascii="宋体" w:hAnsi="宋体" w:cs="宋体"/>
          <w:color w:val="auto"/>
          <w:szCs w:val="21"/>
          <w:highlight w:val="none"/>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5" w:orient="landscape"/>
          <w:pgMar w:top="1247" w:right="1247" w:bottom="1247" w:left="1247" w:header="567" w:footer="850" w:gutter="0"/>
          <w:cols w:space="720" w:num="1"/>
          <w:docGrid w:type="lines" w:linePitch="312" w:charSpace="0"/>
        </w:sectPr>
      </w:pPr>
      <w:r>
        <w:rPr>
          <w:rFonts w:hint="eastAsia" w:cs="宋体"/>
          <w:b/>
          <w:color w:val="auto"/>
          <w:sz w:val="28"/>
          <w:szCs w:val="28"/>
          <w:highlight w:val="none"/>
        </w:rPr>
        <w:br w:type="page"/>
      </w:r>
    </w:p>
    <w:p>
      <w:pPr>
        <w:rPr>
          <w:rFonts w:ascii="宋体" w:hAnsi="宋体" w:cs="宋体"/>
          <w:b/>
          <w:bCs/>
          <w:color w:val="auto"/>
          <w:highlight w:val="none"/>
        </w:rPr>
      </w:pPr>
      <w:r>
        <w:rPr>
          <w:rFonts w:hint="eastAsia" w:ascii="宋体" w:hAnsi="宋体" w:cs="宋体"/>
          <w:b/>
          <w:bCs/>
          <w:color w:val="auto"/>
          <w:sz w:val="24"/>
          <w:szCs w:val="24"/>
          <w:highlight w:val="none"/>
        </w:rPr>
        <w:t>附表四</w:t>
      </w:r>
      <w:r>
        <w:rPr>
          <w:rFonts w:hint="eastAsia" w:ascii="宋体" w:hAnsi="宋体"/>
          <w:color w:val="auto"/>
          <w:sz w:val="24"/>
          <w:szCs w:val="24"/>
          <w:highlight w:val="none"/>
        </w:rPr>
        <w:t>（本页发给定标委员会成员，投票结束时收回）</w:t>
      </w:r>
    </w:p>
    <w:p>
      <w:pPr>
        <w:pStyle w:val="22"/>
        <w:jc w:val="center"/>
        <w:rPr>
          <w:rFonts w:hAnsi="宋体"/>
          <w:b/>
          <w:color w:val="auto"/>
          <w:sz w:val="32"/>
          <w:szCs w:val="32"/>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定标选票表（定标阶段</w:t>
      </w:r>
      <w:r>
        <w:rPr>
          <w:rFonts w:hint="eastAsia" w:ascii="宋体" w:hAnsi="宋体"/>
          <w:b/>
          <w:color w:val="auto"/>
          <w:sz w:val="28"/>
          <w:szCs w:val="28"/>
          <w:highlight w:val="none"/>
        </w:rPr>
        <w:t>用表</w:t>
      </w:r>
      <w:r>
        <w:rPr>
          <w:rFonts w:hint="eastAsia" w:ascii="宋体" w:hAnsi="宋体" w:cs="宋体"/>
          <w:b/>
          <w:color w:val="auto"/>
          <w:sz w:val="28"/>
          <w:szCs w:val="28"/>
          <w:highlight w:val="none"/>
        </w:rPr>
        <w:t>）</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lang w:eastAsia="zh-CN"/>
        </w:rPr>
        <w:t>项目名称</w:t>
      </w:r>
      <w:r>
        <w:rPr>
          <w:rFonts w:hint="eastAsia" w:ascii="宋体" w:hAnsi="宋体" w:cs="宋体"/>
          <w:color w:val="auto"/>
          <w:sz w:val="24"/>
          <w:szCs w:val="24"/>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trPr>
        <w:tc>
          <w:tcPr>
            <w:tcW w:w="4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合格中标候选人名称</w:t>
            </w:r>
          </w:p>
        </w:tc>
        <w:tc>
          <w:tcPr>
            <w:tcW w:w="458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投票</w:t>
            </w:r>
            <w:r>
              <w:rPr>
                <w:rFonts w:hint="eastAsia" w:ascii="宋体" w:hAnsi="宋体" w:cs="宋体"/>
                <w:b/>
                <w:color w:val="auto"/>
                <w:kern w:val="0"/>
                <w:sz w:val="24"/>
                <w:szCs w:val="24"/>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4"/>
                <w:highlight w:val="none"/>
              </w:rPr>
            </w:pPr>
          </w:p>
        </w:tc>
        <w:tc>
          <w:tcPr>
            <w:tcW w:w="458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4"/>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正式投票规则：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（1）以上表格用于正式投票，投票时须注明</w:t>
      </w:r>
      <w:r>
        <w:rPr>
          <w:rFonts w:hint="eastAsia" w:ascii="宋体" w:hAnsi="宋体"/>
          <w:color w:val="auto"/>
          <w:szCs w:val="21"/>
          <w:highlight w:val="none"/>
          <w:lang w:eastAsia="zh-CN"/>
        </w:rPr>
        <w:t>投票的合格中标候选人</w:t>
      </w:r>
      <w:r>
        <w:rPr>
          <w:rFonts w:hint="eastAsia" w:ascii="宋体" w:hAnsi="宋体"/>
          <w:color w:val="auto"/>
          <w:szCs w:val="21"/>
          <w:highlight w:val="none"/>
        </w:rPr>
        <w:t>及</w:t>
      </w:r>
      <w:r>
        <w:rPr>
          <w:rFonts w:hint="eastAsia" w:ascii="宋体" w:hAnsi="宋体"/>
          <w:color w:val="auto"/>
          <w:szCs w:val="21"/>
          <w:highlight w:val="none"/>
          <w:lang w:eastAsia="zh-CN"/>
        </w:rPr>
        <w:t>投票</w:t>
      </w:r>
      <w:r>
        <w:rPr>
          <w:rFonts w:hint="eastAsia" w:ascii="宋体" w:hAnsi="宋体"/>
          <w:color w:val="auto"/>
          <w:szCs w:val="21"/>
          <w:highlight w:val="none"/>
        </w:rPr>
        <w:t>理由。</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（2）由定标委员会成员进行投票，各定标委员会成员只有1票表决权（即只能对其中一名合格中标候选人“投票”）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不得弃权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s="Arial"/>
          <w:color w:val="auto"/>
          <w:szCs w:val="21"/>
          <w:highlight w:val="none"/>
        </w:rPr>
        <w:t>投票结束后，</w:t>
      </w:r>
      <w:r>
        <w:rPr>
          <w:rFonts w:hint="eastAsia" w:ascii="宋体" w:hAnsi="宋体"/>
          <w:color w:val="auto"/>
          <w:szCs w:val="21"/>
          <w:highlight w:val="none"/>
        </w:rPr>
        <w:t>点票人员</w:t>
      </w:r>
      <w:r>
        <w:rPr>
          <w:rFonts w:hint="eastAsia" w:ascii="宋体" w:hAnsi="宋体" w:cs="Arial"/>
          <w:color w:val="auto"/>
          <w:szCs w:val="21"/>
          <w:highlight w:val="none"/>
        </w:rPr>
        <w:t>对投票人数、票数和每票应选方案总数加以核对和统计，作废的选票不得统计，并向</w:t>
      </w:r>
      <w:r>
        <w:rPr>
          <w:rFonts w:hint="eastAsia" w:ascii="宋体" w:hAnsi="宋体"/>
          <w:color w:val="auto"/>
          <w:szCs w:val="21"/>
          <w:highlight w:val="none"/>
        </w:rPr>
        <w:t>定标委员会</w:t>
      </w:r>
      <w:r>
        <w:rPr>
          <w:rFonts w:hint="eastAsia" w:ascii="宋体" w:hAnsi="宋体" w:cs="Arial"/>
          <w:color w:val="auto"/>
          <w:szCs w:val="21"/>
          <w:highlight w:val="none"/>
        </w:rPr>
        <w:t>报告。</w:t>
      </w:r>
    </w:p>
    <w:p>
      <w:pPr>
        <w:spacing w:line="360" w:lineRule="auto"/>
        <w:ind w:firstLine="480"/>
        <w:rPr>
          <w:rFonts w:ascii="宋体" w:hAnsi="宋体"/>
          <w:color w:val="auto"/>
          <w:szCs w:val="21"/>
          <w:highlight w:val="none"/>
        </w:rPr>
      </w:pPr>
      <w:r>
        <w:rPr>
          <w:rFonts w:hint="eastAsia" w:ascii="宋体" w:hAnsi="宋体"/>
          <w:color w:val="auto"/>
          <w:szCs w:val="21"/>
          <w:highlight w:val="none"/>
        </w:rPr>
        <w:t>（4）定标委员会成员应当独立投票，自投票开始至最终排名统计结果公布期间，任何人不得非法干预、影响投票过程，不得透露、协商、改变投票结果，不得使用通信联络工具。</w:t>
      </w:r>
    </w:p>
    <w:p>
      <w:pPr>
        <w:spacing w:line="360" w:lineRule="auto"/>
        <w:rPr>
          <w:rFonts w:ascii="宋体" w:hAnsi="宋体"/>
          <w:color w:val="auto"/>
          <w:szCs w:val="21"/>
          <w:highlight w:val="none"/>
        </w:rPr>
      </w:pPr>
    </w:p>
    <w:p>
      <w:pPr>
        <w:adjustRightInd w:val="0"/>
        <w:snapToGrid w:val="0"/>
        <w:spacing w:line="360" w:lineRule="auto"/>
        <w:rPr>
          <w:rFonts w:ascii="宋体" w:hAnsi="宋体" w:cs="宋体"/>
          <w:b/>
          <w:color w:val="auto"/>
          <w:kern w:val="0"/>
          <w:highlight w:val="none"/>
        </w:rPr>
      </w:pPr>
      <w:r>
        <w:rPr>
          <w:rFonts w:hint="eastAsia" w:ascii="宋体" w:hAnsi="宋体"/>
          <w:color w:val="auto"/>
          <w:szCs w:val="21"/>
          <w:highlight w:val="none"/>
        </w:rPr>
        <w:t>定标委员签名：                                 日期：     年    月    日</w:t>
      </w:r>
    </w:p>
    <w:p>
      <w:pPr>
        <w:adjustRightInd w:val="0"/>
        <w:snapToGrid w:val="0"/>
        <w:spacing w:line="360" w:lineRule="auto"/>
        <w:rPr>
          <w:rFonts w:ascii="宋体" w:hAnsi="宋体" w:cs="宋体"/>
          <w:color w:val="auto"/>
          <w:kern w:val="0"/>
          <w:highlight w:val="none"/>
        </w:rPr>
      </w:pPr>
    </w:p>
    <w:p>
      <w:pPr>
        <w:pStyle w:val="138"/>
        <w:rPr>
          <w:rFonts w:ascii="宋体" w:hAnsi="宋体" w:cs="宋体"/>
          <w:color w:val="auto"/>
          <w:highlight w:val="none"/>
        </w:rPr>
      </w:pPr>
      <w:r>
        <w:rPr>
          <w:rFonts w:hint="eastAsia" w:ascii="宋体" w:hAnsi="宋体" w:cs="宋体"/>
          <w:color w:val="auto"/>
          <w:highlight w:val="none"/>
        </w:rPr>
        <w:br w:type="page"/>
      </w:r>
    </w:p>
    <w:p>
      <w:pPr>
        <w:pStyle w:val="162"/>
        <w:rPr>
          <w:rFonts w:cs="宋体"/>
          <w:b/>
          <w:color w:val="auto"/>
          <w:sz w:val="28"/>
          <w:szCs w:val="28"/>
          <w:highlight w:val="none"/>
        </w:rPr>
      </w:pPr>
      <w:r>
        <w:rPr>
          <w:rFonts w:hint="eastAsia" w:cs="宋体"/>
          <w:b/>
          <w:color w:val="auto"/>
          <w:sz w:val="28"/>
          <w:szCs w:val="28"/>
          <w:highlight w:val="none"/>
        </w:rPr>
        <w:t>附表五</w:t>
      </w:r>
    </w:p>
    <w:p>
      <w:pPr>
        <w:jc w:val="center"/>
        <w:rPr>
          <w:rFonts w:ascii="宋体" w:hAnsi="宋体" w:cs="宋体"/>
          <w:b/>
          <w:color w:val="auto"/>
          <w:sz w:val="28"/>
          <w:szCs w:val="28"/>
          <w:highlight w:val="none"/>
        </w:rPr>
      </w:pPr>
      <w:r>
        <w:rPr>
          <w:rFonts w:hint="eastAsia" w:ascii="宋体" w:hAnsi="宋体"/>
          <w:b/>
          <w:color w:val="auto"/>
          <w:sz w:val="28"/>
          <w:szCs w:val="28"/>
          <w:highlight w:val="none"/>
        </w:rPr>
        <w:t>投票汇总表格</w:t>
      </w:r>
      <w:r>
        <w:rPr>
          <w:rFonts w:hint="eastAsia" w:ascii="宋体" w:hAnsi="宋体" w:cs="宋体"/>
          <w:b/>
          <w:color w:val="auto"/>
          <w:sz w:val="28"/>
          <w:szCs w:val="28"/>
          <w:highlight w:val="none"/>
        </w:rPr>
        <w:t>（定标阶段）</w:t>
      </w:r>
    </w:p>
    <w:p>
      <w:pPr>
        <w:pStyle w:val="138"/>
        <w:rPr>
          <w:rFonts w:ascii="宋体" w:hAnsi="宋体" w:cs="宋体"/>
          <w:color w:val="auto"/>
          <w:highlight w:val="none"/>
        </w:rPr>
      </w:pPr>
    </w:p>
    <w:p>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eastAsia="zh-CN"/>
        </w:rPr>
        <w:t>项目名称</w:t>
      </w:r>
      <w:r>
        <w:rPr>
          <w:rFonts w:hint="eastAsia" w:ascii="宋体" w:hAnsi="宋体" w:cs="宋体"/>
          <w:color w:val="auto"/>
          <w:kern w:val="0"/>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4282"/>
        <w:gridCol w:w="4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2"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 w:val="24"/>
                <w:szCs w:val="24"/>
                <w:highlight w:val="none"/>
              </w:rPr>
              <w:t>合格中标候选人名称</w:t>
            </w:r>
          </w:p>
        </w:tc>
        <w:tc>
          <w:tcPr>
            <w:tcW w:w="4026"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2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2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2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2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282"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cs="宋体"/>
                <w:color w:val="auto"/>
                <w:kern w:val="0"/>
                <w:szCs w:val="21"/>
                <w:highlight w:val="none"/>
              </w:rPr>
            </w:pPr>
          </w:p>
        </w:tc>
      </w:tr>
    </w:tbl>
    <w:p>
      <w:pPr>
        <w:rPr>
          <w:rFonts w:ascii="宋体" w:hAnsi="宋体" w:cs="宋体"/>
          <w:color w:val="auto"/>
          <w:kern w:val="0"/>
          <w:szCs w:val="21"/>
          <w:highlight w:val="none"/>
        </w:rPr>
      </w:pPr>
    </w:p>
    <w:p>
      <w:pPr>
        <w:adjustRightInd w:val="0"/>
        <w:snapToGrid w:val="0"/>
        <w:spacing w:line="360" w:lineRule="auto"/>
        <w:rPr>
          <w:rFonts w:ascii="宋体" w:hAnsi="宋体" w:cs="宋体"/>
          <w:color w:val="auto"/>
          <w:kern w:val="0"/>
          <w:szCs w:val="21"/>
          <w:highlight w:val="none"/>
        </w:rPr>
      </w:pPr>
      <w:r>
        <w:rPr>
          <w:rFonts w:hint="eastAsia" w:ascii="宋体" w:hAnsi="宋体"/>
          <w:color w:val="auto"/>
          <w:szCs w:val="21"/>
          <w:highlight w:val="none"/>
        </w:rPr>
        <w:t>定标委员会全体成员签字</w:t>
      </w:r>
      <w:r>
        <w:rPr>
          <w:rFonts w:hint="eastAsia" w:ascii="宋体" w:hAnsi="宋体" w:cs="宋体"/>
          <w:color w:val="auto"/>
          <w:kern w:val="0"/>
          <w:szCs w:val="21"/>
          <w:highlight w:val="none"/>
        </w:rPr>
        <w:t>：                                         日期：</w:t>
      </w:r>
    </w:p>
    <w:p>
      <w:pPr>
        <w:pStyle w:val="138"/>
        <w:rPr>
          <w:rFonts w:ascii="宋体" w:hAnsi="宋体" w:cs="宋体"/>
          <w:color w:val="auto"/>
          <w:highlight w:val="none"/>
        </w:rPr>
      </w:pPr>
    </w:p>
    <w:p>
      <w:pPr>
        <w:pStyle w:val="138"/>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附表六</w:t>
      </w:r>
    </w:p>
    <w:p>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w:t>
      </w:r>
      <w:r>
        <w:rPr>
          <w:rFonts w:hint="eastAsia" w:ascii="宋体" w:hAnsi="宋体" w:cs="宋体"/>
          <w:b/>
          <w:color w:val="auto"/>
          <w:sz w:val="28"/>
          <w:szCs w:val="28"/>
          <w:highlight w:val="none"/>
        </w:rPr>
        <w:t>表</w:t>
      </w:r>
    </w:p>
    <w:p>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（定标阶段-票数相同时定标委员会个人用表）</w:t>
      </w:r>
    </w:p>
    <w:p>
      <w:pPr>
        <w:pStyle w:val="138"/>
        <w:jc w:val="center"/>
        <w:rPr>
          <w:rFonts w:ascii="宋体" w:hAnsi="宋体" w:cs="宋体"/>
          <w:b/>
          <w:color w:val="auto"/>
          <w:sz w:val="28"/>
          <w:szCs w:val="28"/>
          <w:highlight w:val="none"/>
        </w:rPr>
      </w:pPr>
    </w:p>
    <w:p>
      <w:pP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lang w:eastAsia="zh-CN"/>
        </w:rPr>
        <w:t>项目名称</w:t>
      </w:r>
      <w:r>
        <w:rPr>
          <w:rFonts w:hint="eastAsia" w:ascii="宋体" w:hAnsi="宋体" w:cs="宋体"/>
          <w:color w:val="auto"/>
          <w:kern w:val="0"/>
          <w:highlight w:val="none"/>
        </w:rPr>
        <w:t>：</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highlight w:val="none"/>
              </w:rPr>
            </w:pPr>
            <w:r>
              <w:rPr>
                <w:rFonts w:hint="eastAsia" w:ascii="宋体" w:hAnsi="宋体" w:cs="宋体"/>
                <w:b/>
                <w:color w:val="auto"/>
                <w:kern w:val="0"/>
                <w:sz w:val="21"/>
                <w:szCs w:val="21"/>
                <w:highlight w:val="none"/>
              </w:rPr>
              <w:t>合格中标候选人</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szCs w:val="21"/>
                <w:highlight w:val="none"/>
              </w:rPr>
            </w:pPr>
            <w:r>
              <w:rPr>
                <w:rFonts w:hint="eastAsia" w:ascii="宋体" w:hAnsi="宋体" w:cs="宋体"/>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auto"/>
                <w:kern w:val="0"/>
                <w:highlight w:val="none"/>
              </w:rPr>
            </w:pPr>
          </w:p>
        </w:tc>
      </w:tr>
    </w:tbl>
    <w:p>
      <w:pPr>
        <w:pStyle w:val="138"/>
        <w:rPr>
          <w:rFonts w:ascii="宋体" w:hAnsi="宋体" w:cs="宋体"/>
          <w:color w:val="auto"/>
          <w:kern w:val="0"/>
          <w:szCs w:val="21"/>
          <w:highlight w:val="none"/>
        </w:rPr>
      </w:pPr>
    </w:p>
    <w:p>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38"/>
        <w:rPr>
          <w:rFonts w:ascii="宋体" w:hAnsi="宋体" w:cs="宋体"/>
          <w:color w:val="auto"/>
          <w:highlight w:val="none"/>
        </w:rPr>
      </w:pPr>
    </w:p>
    <w:p>
      <w:pPr>
        <w:pStyle w:val="138"/>
        <w:rPr>
          <w:rFonts w:ascii="宋体" w:hAnsi="宋体" w:cs="宋体"/>
          <w:b/>
          <w:color w:val="auto"/>
          <w:highlight w:val="none"/>
        </w:rPr>
      </w:pPr>
      <w:r>
        <w:rPr>
          <w:rFonts w:hint="eastAsia" w:ascii="宋体" w:hAnsi="宋体" w:cs="宋体"/>
          <w:b/>
          <w:color w:val="auto"/>
          <w:highlight w:val="none"/>
        </w:rPr>
        <w:t>备注：</w:t>
      </w:r>
    </w:p>
    <w:p>
      <w:pPr>
        <w:pStyle w:val="138"/>
        <w:ind w:firstLine="422" w:firstLineChars="200"/>
        <w:rPr>
          <w:rFonts w:ascii="宋体" w:hAnsi="宋体" w:cs="宋体"/>
          <w:b/>
          <w:color w:val="auto"/>
          <w:highlight w:val="none"/>
        </w:rPr>
      </w:pPr>
      <w:r>
        <w:rPr>
          <w:rFonts w:hint="eastAsia" w:ascii="宋体" w:hAnsi="宋体" w:cs="宋体"/>
          <w:b/>
          <w:color w:val="auto"/>
          <w:highlight w:val="none"/>
        </w:rPr>
        <w:t>1、本表用于投票出现票数相同的情况。</w:t>
      </w:r>
    </w:p>
    <w:p>
      <w:pPr>
        <w:pStyle w:val="138"/>
        <w:ind w:firstLine="422" w:firstLineChars="200"/>
        <w:rPr>
          <w:rFonts w:ascii="宋体" w:hAnsi="宋体" w:cs="宋体"/>
          <w:b/>
          <w:color w:val="auto"/>
          <w:highlight w:val="none"/>
        </w:rPr>
      </w:pPr>
      <w:r>
        <w:rPr>
          <w:rFonts w:hint="eastAsia" w:ascii="宋体" w:hAnsi="宋体" w:cs="宋体"/>
          <w:b/>
          <w:color w:val="auto"/>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pPr>
        <w:pStyle w:val="138"/>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附表七</w:t>
      </w:r>
    </w:p>
    <w:p>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直接票决定标选票汇总</w:t>
      </w:r>
      <w:r>
        <w:rPr>
          <w:rFonts w:hint="eastAsia" w:ascii="宋体" w:hAnsi="宋体" w:cs="宋体"/>
          <w:b/>
          <w:color w:val="auto"/>
          <w:sz w:val="28"/>
          <w:szCs w:val="28"/>
          <w:highlight w:val="none"/>
        </w:rPr>
        <w:t>表</w:t>
      </w:r>
    </w:p>
    <w:p>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（定标阶段-票数相同时定标委员会汇总用表）</w:t>
      </w:r>
    </w:p>
    <w:p>
      <w:pPr>
        <w:pStyle w:val="138"/>
        <w:jc w:val="center"/>
        <w:rPr>
          <w:rFonts w:ascii="宋体" w:hAnsi="宋体" w:cs="宋体"/>
          <w:b/>
          <w:color w:val="auto"/>
          <w:sz w:val="28"/>
          <w:szCs w:val="28"/>
          <w:highlight w:val="none"/>
        </w:rPr>
      </w:pPr>
    </w:p>
    <w:p>
      <w:pP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lang w:eastAsia="zh-CN"/>
        </w:rPr>
        <w:t>项目名称</w:t>
      </w:r>
      <w:r>
        <w:rPr>
          <w:rFonts w:hint="eastAsia" w:ascii="宋体" w:hAnsi="宋体" w:cs="宋体"/>
          <w:color w:val="auto"/>
          <w:kern w:val="0"/>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3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54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合格中标候选人</w:t>
            </w:r>
            <w:r>
              <w:rPr>
                <w:rFonts w:hint="eastAsia" w:ascii="宋体" w:hAnsi="宋体" w:cs="宋体"/>
                <w:color w:val="auto"/>
                <w:sz w:val="24"/>
                <w:highlight w:val="none"/>
                <w:lang w:val="en-US" w:eastAsia="zh-CN"/>
              </w:rPr>
              <w:t>名称</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54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54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54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54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54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bl>
    <w:p>
      <w:pPr>
        <w:pStyle w:val="138"/>
        <w:rPr>
          <w:rFonts w:ascii="宋体" w:hAnsi="宋体" w:cs="宋体"/>
          <w:color w:val="auto"/>
          <w:kern w:val="0"/>
          <w:szCs w:val="21"/>
          <w:highlight w:val="none"/>
        </w:rPr>
      </w:pPr>
    </w:p>
    <w:p>
      <w:pPr>
        <w:spacing w:line="360" w:lineRule="auto"/>
        <w:ind w:firstLine="840" w:firstLineChars="400"/>
        <w:rPr>
          <w:rFonts w:ascii="宋体" w:hAnsi="宋体" w:cs="宋体"/>
          <w:color w:val="auto"/>
          <w:sz w:val="24"/>
          <w:szCs w:val="24"/>
          <w:highlight w:val="none"/>
        </w:rPr>
      </w:pPr>
      <w:r>
        <w:rPr>
          <w:rFonts w:hint="eastAsia" w:ascii="宋体" w:hAnsi="宋体" w:cs="宋体"/>
          <w:color w:val="auto"/>
          <w:kern w:val="0"/>
          <w:szCs w:val="21"/>
          <w:highlight w:val="none"/>
        </w:rPr>
        <w:t>定标委员会签名：                                            日期：</w:t>
      </w:r>
    </w:p>
    <w:p>
      <w:pPr>
        <w:spacing w:line="360" w:lineRule="auto"/>
        <w:ind w:firstLine="960" w:firstLineChars="400"/>
        <w:rPr>
          <w:rFonts w:ascii="宋体" w:hAnsi="宋体" w:cs="宋体"/>
          <w:color w:val="auto"/>
          <w:sz w:val="24"/>
          <w:szCs w:val="24"/>
          <w:highlight w:val="none"/>
        </w:rPr>
      </w:pPr>
    </w:p>
    <w:p>
      <w:pPr>
        <w:spacing w:line="360" w:lineRule="auto"/>
        <w:ind w:firstLine="960" w:firstLineChars="400"/>
        <w:rPr>
          <w:rFonts w:ascii="宋体" w:hAnsi="宋体" w:cs="宋体"/>
          <w:color w:val="auto"/>
          <w:sz w:val="24"/>
          <w:szCs w:val="24"/>
          <w:highlight w:val="none"/>
        </w:rPr>
        <w:sectPr>
          <w:headerReference r:id="rId16" w:type="default"/>
          <w:footerReference r:id="rId17" w:type="default"/>
          <w:pgSz w:w="11905" w:h="16838"/>
          <w:pgMar w:top="1247" w:right="1247" w:bottom="1247" w:left="1247" w:header="567" w:footer="850" w:gutter="0"/>
          <w:cols w:space="720" w:num="1"/>
          <w:docGrid w:type="lines" w:linePitch="312" w:charSpace="0"/>
        </w:sectPr>
      </w:pPr>
    </w:p>
    <w:p>
      <w:pPr>
        <w:jc w:val="left"/>
        <w:rPr>
          <w:rFonts w:ascii="宋体" w:hAnsi="宋体"/>
          <w:b/>
          <w:bCs/>
          <w:color w:val="auto"/>
          <w:sz w:val="32"/>
          <w:highlight w:val="none"/>
        </w:rPr>
      </w:pPr>
      <w:r>
        <w:rPr>
          <w:rFonts w:hint="eastAsia" w:ascii="宋体" w:hAnsi="宋体" w:cs="宋体"/>
          <w:b/>
          <w:color w:val="auto"/>
          <w:sz w:val="28"/>
          <w:szCs w:val="28"/>
          <w:highlight w:val="none"/>
        </w:rPr>
        <w:t>附表八</w:t>
      </w:r>
    </w:p>
    <w:p>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定标情况汇总表（定标阶段</w:t>
      </w:r>
      <w:r>
        <w:rPr>
          <w:rFonts w:hint="eastAsia" w:ascii="宋体" w:hAnsi="宋体"/>
          <w:b/>
          <w:color w:val="auto"/>
          <w:sz w:val="28"/>
          <w:szCs w:val="28"/>
          <w:highlight w:val="none"/>
        </w:rPr>
        <w:t>用表</w:t>
      </w:r>
      <w:r>
        <w:rPr>
          <w:rFonts w:hint="eastAsia" w:ascii="宋体" w:hAnsi="宋体" w:cs="宋体"/>
          <w:b/>
          <w:color w:val="auto"/>
          <w:sz w:val="28"/>
          <w:szCs w:val="28"/>
          <w:highlight w:val="none"/>
        </w:rPr>
        <w:t>）</w:t>
      </w:r>
    </w:p>
    <w:tbl>
      <w:tblPr>
        <w:tblStyle w:val="40"/>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4808"/>
        <w:gridCol w:w="1372"/>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Cs w:val="24"/>
                <w:highlight w:val="none"/>
              </w:rPr>
            </w:pPr>
            <w:r>
              <w:rPr>
                <w:rFonts w:hint="eastAsia" w:ascii="宋体" w:hAnsi="宋体" w:cs="宋体"/>
                <w:b/>
                <w:bCs/>
                <w:color w:val="auto"/>
                <w:sz w:val="24"/>
                <w:highlight w:val="none"/>
              </w:rPr>
              <w:t>合格中标候选人</w:t>
            </w:r>
            <w:r>
              <w:rPr>
                <w:rFonts w:hint="eastAsia" w:ascii="宋体" w:hAnsi="宋体" w:cs="宋体"/>
                <w:b/>
                <w:bCs/>
                <w:color w:val="auto"/>
                <w:sz w:val="24"/>
                <w:highlight w:val="none"/>
                <w:lang w:val="en-US" w:eastAsia="zh-CN"/>
              </w:rPr>
              <w:t>名称</w:t>
            </w: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Cs w:val="24"/>
                <w:highlight w:val="none"/>
              </w:rPr>
            </w:pPr>
            <w:r>
              <w:rPr>
                <w:rFonts w:hint="eastAsia" w:ascii="宋体" w:hAnsi="宋体" w:cs="宋体"/>
                <w:b/>
                <w:color w:val="auto"/>
                <w:szCs w:val="24"/>
                <w:highlight w:val="none"/>
              </w:rPr>
              <w:t>得票数</w:t>
            </w:r>
          </w:p>
        </w:tc>
        <w:tc>
          <w:tcPr>
            <w:tcW w:w="1344" w:type="pct"/>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Cs w:val="24"/>
                <w:highlight w:val="none"/>
              </w:rPr>
            </w:pPr>
            <w:r>
              <w:rPr>
                <w:rFonts w:hint="eastAsia" w:ascii="宋体" w:hAnsi="宋体" w:cs="宋体"/>
                <w:b/>
                <w:color w:val="auto"/>
                <w:szCs w:val="24"/>
                <w:highlight w:val="none"/>
              </w:rPr>
              <w:t>是否被推荐为中标人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highlight w:val="none"/>
              </w:rPr>
              <w:t>……</w:t>
            </w:r>
          </w:p>
        </w:tc>
        <w:tc>
          <w:tcPr>
            <w:tcW w:w="251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bl>
    <w:p>
      <w:pPr>
        <w:rPr>
          <w:rFonts w:ascii="宋体" w:hAnsi="宋体" w:cs="宋体"/>
          <w:color w:val="auto"/>
          <w:szCs w:val="21"/>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定标委员会签名：</w:t>
      </w: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360" w:lineRule="auto"/>
        <w:ind w:right="430" w:firstLine="5200" w:firstLineChars="2167"/>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138"/>
        <w:rPr>
          <w:rFonts w:ascii="宋体" w:hAnsi="宋体" w:cs="宋体"/>
          <w:color w:val="auto"/>
          <w:highlight w:val="none"/>
        </w:rPr>
      </w:pPr>
    </w:p>
    <w:p>
      <w:pPr>
        <w:pStyle w:val="138"/>
        <w:rPr>
          <w:rFonts w:ascii="宋体" w:hAnsi="宋体" w:cs="宋体"/>
          <w:color w:val="auto"/>
          <w:highlight w:val="none"/>
        </w:rPr>
      </w:pPr>
    </w:p>
    <w:p>
      <w:pPr>
        <w:pStyle w:val="38"/>
        <w:spacing w:line="360" w:lineRule="auto"/>
        <w:ind w:firstLine="241"/>
        <w:rPr>
          <w:rFonts w:ascii="宋体" w:hAnsi="宋体" w:cs="宋体"/>
          <w:color w:val="auto"/>
          <w:sz w:val="24"/>
          <w:highlight w:val="none"/>
        </w:rPr>
      </w:pPr>
      <w:r>
        <w:rPr>
          <w:rFonts w:hint="eastAsia" w:ascii="宋体" w:hAnsi="宋体" w:cs="宋体"/>
          <w:b/>
          <w:color w:val="auto"/>
          <w:sz w:val="24"/>
          <w:highlight w:val="none"/>
        </w:rPr>
        <w:t>注：定标委员会成员须根据每轮的投票结果，得票数最多的合格的中标候选人为中标人。</w:t>
      </w:r>
    </w:p>
    <w:p>
      <w:pPr>
        <w:adjustRightInd w:val="0"/>
        <w:snapToGrid w:val="0"/>
        <w:spacing w:line="360" w:lineRule="auto"/>
        <w:ind w:right="-84" w:rightChars="-40"/>
        <w:rPr>
          <w:rFonts w:ascii="宋体" w:hAnsi="宋体" w:cs="宋体"/>
          <w:b/>
          <w:color w:val="auto"/>
          <w:kern w:val="0"/>
          <w:highlight w:val="none"/>
          <w:u w:val="single"/>
        </w:rPr>
      </w:pPr>
    </w:p>
    <w:p>
      <w:pPr>
        <w:pStyle w:val="22"/>
        <w:rPr>
          <w:color w:val="auto"/>
          <w:highlight w:val="none"/>
          <w:u w:val="single"/>
        </w:rPr>
      </w:pPr>
    </w:p>
    <w:p>
      <w:pPr>
        <w:jc w:val="left"/>
        <w:rPr>
          <w:color w:val="auto"/>
          <w:sz w:val="24"/>
          <w:szCs w:val="24"/>
          <w:highlight w:val="none"/>
        </w:rPr>
      </w:pPr>
      <w:r>
        <w:rPr>
          <w:rFonts w:hint="eastAsia"/>
          <w:color w:val="auto"/>
          <w:highlight w:val="none"/>
        </w:rPr>
        <w:br w:type="page"/>
      </w:r>
      <w:r>
        <w:rPr>
          <w:rFonts w:hint="eastAsia"/>
          <w:b/>
          <w:color w:val="auto"/>
          <w:sz w:val="24"/>
          <w:szCs w:val="24"/>
          <w:highlight w:val="none"/>
        </w:rPr>
        <w:t>附表九：</w:t>
      </w:r>
    </w:p>
    <w:p>
      <w:pPr>
        <w:jc w:val="center"/>
        <w:rPr>
          <w:rFonts w:ascii="宋体" w:hAnsi="宋体"/>
          <w:b/>
          <w:color w:val="auto"/>
          <w:sz w:val="32"/>
          <w:szCs w:val="32"/>
          <w:highlight w:val="none"/>
        </w:rPr>
      </w:pPr>
      <w:r>
        <w:rPr>
          <w:rFonts w:hint="eastAsia" w:ascii="宋体" w:hAnsi="宋体"/>
          <w:b/>
          <w:color w:val="auto"/>
          <w:sz w:val="32"/>
          <w:szCs w:val="32"/>
          <w:highlight w:val="none"/>
        </w:rPr>
        <w:t>定标因素表（定标阶段用表）</w:t>
      </w:r>
    </w:p>
    <w:p>
      <w:pPr>
        <w:rPr>
          <w:rFonts w:ascii="宋体" w:hAnsi="宋体"/>
          <w:color w:val="auto"/>
          <w:sz w:val="24"/>
          <w:szCs w:val="24"/>
          <w:highlight w:val="none"/>
        </w:rPr>
      </w:pPr>
    </w:p>
    <w:p>
      <w:pPr>
        <w:rPr>
          <w:rFonts w:ascii="宋体" w:hAnsi="宋体"/>
          <w:color w:val="auto"/>
          <w:szCs w:val="21"/>
          <w:highlight w:val="none"/>
        </w:rPr>
      </w:pPr>
      <w:r>
        <w:rPr>
          <w:rFonts w:hint="eastAsia" w:ascii="宋体" w:hAnsi="宋体"/>
          <w:color w:val="auto"/>
          <w:szCs w:val="21"/>
          <w:highlight w:val="none"/>
          <w:lang w:eastAsia="zh-CN"/>
        </w:rPr>
        <w:t>项目名称</w:t>
      </w:r>
      <w:r>
        <w:rPr>
          <w:rFonts w:hint="eastAsia" w:ascii="宋体" w:hAnsi="宋体"/>
          <w:color w:val="auto"/>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olor w:val="auto"/>
                <w:szCs w:val="24"/>
                <w:highlight w:val="none"/>
              </w:rPr>
              <w:t>序号</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olor w:val="auto"/>
                <w:szCs w:val="24"/>
                <w:highlight w:val="none"/>
              </w:rPr>
              <w:t>定标因素</w:t>
            </w:r>
          </w:p>
        </w:tc>
        <w:tc>
          <w:tcPr>
            <w:tcW w:w="72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olor w:val="auto"/>
                <w:szCs w:val="24"/>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olor w:val="auto"/>
                <w:szCs w:val="24"/>
                <w:highlight w:val="none"/>
              </w:rPr>
              <w:t>1</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s="宋体"/>
                <w:color w:val="auto"/>
                <w:szCs w:val="21"/>
                <w:highlight w:val="none"/>
              </w:rPr>
              <w:t>价格因素</w:t>
            </w:r>
          </w:p>
        </w:tc>
        <w:tc>
          <w:tcPr>
            <w:tcW w:w="7229" w:type="dxa"/>
            <w:tcBorders>
              <w:top w:val="single" w:color="auto" w:sz="4" w:space="0"/>
              <w:left w:val="single" w:color="auto" w:sz="4" w:space="0"/>
              <w:bottom w:val="single" w:color="auto" w:sz="4" w:space="0"/>
              <w:right w:val="single" w:color="auto" w:sz="4" w:space="0"/>
            </w:tcBorders>
            <w:vAlign w:val="center"/>
          </w:tcPr>
          <w:p>
            <w:pPr>
              <w:pStyle w:val="171"/>
              <w:ind w:firstLine="0" w:firstLineChars="0"/>
              <w:rPr>
                <w:rFonts w:ascii="宋体" w:hAnsi="宋体"/>
                <w:color w:val="auto"/>
                <w:szCs w:val="24"/>
                <w:highlight w:val="none"/>
              </w:rPr>
            </w:pPr>
            <w:r>
              <w:rPr>
                <w:rFonts w:hint="eastAsia" w:ascii="宋体" w:hAnsi="宋体" w:cs="宋体"/>
                <w:color w:val="auto"/>
                <w:szCs w:val="21"/>
                <w:highlight w:val="none"/>
              </w:rPr>
              <w:t>对</w:t>
            </w:r>
            <w:r>
              <w:rPr>
                <w:rFonts w:hint="eastAsia" w:ascii="宋体" w:hAnsi="宋体" w:eastAsia="宋体" w:cs="宋体"/>
                <w:color w:val="auto"/>
                <w:kern w:val="2"/>
                <w:sz w:val="21"/>
                <w:szCs w:val="21"/>
                <w:highlight w:val="none"/>
                <w:lang w:val="en-US" w:eastAsia="zh-CN" w:bidi="ar"/>
              </w:rPr>
              <w:t>合格的中标候选人</w:t>
            </w:r>
            <w:r>
              <w:rPr>
                <w:rFonts w:hint="eastAsia" w:ascii="宋体" w:hAnsi="宋体" w:cs="宋体"/>
                <w:color w:val="auto"/>
                <w:szCs w:val="21"/>
                <w:highlight w:val="none"/>
              </w:rPr>
              <w:t>的投标报价进行分析，结合本项目特点，对报价的合理性及不平衡性进行评审。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olor w:val="auto"/>
                <w:szCs w:val="24"/>
                <w:highlight w:val="none"/>
              </w:rPr>
              <w:t>2</w:t>
            </w:r>
          </w:p>
        </w:tc>
        <w:tc>
          <w:tcPr>
            <w:tcW w:w="157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ascii="宋体" w:hAnsi="宋体"/>
                <w:color w:val="auto"/>
                <w:szCs w:val="24"/>
                <w:highlight w:val="none"/>
              </w:rPr>
              <w:t>方案因素</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auto"/>
                <w:szCs w:val="24"/>
                <w:highlight w:val="none"/>
              </w:rPr>
            </w:pPr>
            <w:r>
              <w:rPr>
                <w:rFonts w:hint="eastAsia" w:ascii="宋体" w:hAnsi="宋体"/>
                <w:b/>
                <w:color w:val="auto"/>
                <w:szCs w:val="24"/>
                <w:highlight w:val="none"/>
              </w:rPr>
              <w:t>设计方案:</w:t>
            </w:r>
          </w:p>
          <w:p>
            <w:pPr>
              <w:spacing w:line="360" w:lineRule="auto"/>
              <w:rPr>
                <w:rFonts w:ascii="宋体" w:hAnsi="宋体"/>
                <w:color w:val="auto"/>
                <w:szCs w:val="24"/>
                <w:highlight w:val="none"/>
              </w:rPr>
            </w:pPr>
            <w:r>
              <w:rPr>
                <w:rFonts w:hint="eastAsia" w:ascii="宋体" w:hAnsi="宋体"/>
                <w:color w:val="auto"/>
                <w:szCs w:val="24"/>
                <w:highlight w:val="none"/>
              </w:rPr>
              <w:t>（1）</w:t>
            </w:r>
            <w:r>
              <w:rPr>
                <w:rFonts w:ascii="宋体" w:hAnsi="宋体"/>
                <w:color w:val="auto"/>
                <w:szCs w:val="24"/>
                <w:highlight w:val="none"/>
              </w:rPr>
              <w:t>设计服务保障措施</w:t>
            </w:r>
            <w:r>
              <w:rPr>
                <w:rFonts w:hint="eastAsia" w:ascii="宋体" w:hAnsi="宋体"/>
                <w:color w:val="auto"/>
                <w:szCs w:val="24"/>
                <w:highlight w:val="none"/>
              </w:rPr>
              <w:t>（包括但</w:t>
            </w:r>
            <w:r>
              <w:rPr>
                <w:rFonts w:ascii="宋体" w:hAnsi="宋体"/>
                <w:color w:val="auto"/>
                <w:szCs w:val="24"/>
                <w:highlight w:val="none"/>
              </w:rPr>
              <w:t>不限于</w:t>
            </w:r>
            <w:r>
              <w:rPr>
                <w:rFonts w:hint="eastAsia" w:ascii="宋体" w:hAnsi="宋体"/>
                <w:color w:val="auto"/>
                <w:szCs w:val="24"/>
                <w:highlight w:val="none"/>
              </w:rPr>
              <w:t>响应</w:t>
            </w:r>
            <w:r>
              <w:rPr>
                <w:rFonts w:ascii="宋体" w:hAnsi="宋体"/>
                <w:color w:val="auto"/>
                <w:szCs w:val="24"/>
                <w:highlight w:val="none"/>
              </w:rPr>
              <w:t>招标文件</w:t>
            </w:r>
            <w:r>
              <w:rPr>
                <w:rFonts w:hint="eastAsia" w:ascii="宋体" w:hAnsi="宋体"/>
                <w:color w:val="auto"/>
                <w:szCs w:val="24"/>
                <w:highlight w:val="none"/>
              </w:rPr>
              <w:t>及</w:t>
            </w:r>
            <w:r>
              <w:rPr>
                <w:rFonts w:ascii="宋体" w:hAnsi="宋体"/>
                <w:color w:val="auto"/>
                <w:szCs w:val="24"/>
                <w:highlight w:val="none"/>
              </w:rPr>
              <w:t>相关资料的</w:t>
            </w:r>
            <w:r>
              <w:rPr>
                <w:rFonts w:hint="eastAsia" w:ascii="宋体" w:hAnsi="宋体"/>
                <w:color w:val="auto"/>
                <w:szCs w:val="24"/>
                <w:highlight w:val="none"/>
              </w:rPr>
              <w:t>设计</w:t>
            </w:r>
            <w:r>
              <w:rPr>
                <w:rFonts w:ascii="宋体" w:hAnsi="宋体"/>
                <w:color w:val="auto"/>
                <w:szCs w:val="24"/>
                <w:highlight w:val="none"/>
              </w:rPr>
              <w:t>服务指标</w:t>
            </w:r>
            <w:r>
              <w:rPr>
                <w:rFonts w:hint="eastAsia" w:ascii="宋体" w:hAnsi="宋体"/>
                <w:color w:val="auto"/>
                <w:szCs w:val="24"/>
                <w:highlight w:val="none"/>
              </w:rPr>
              <w:t>、</w:t>
            </w:r>
            <w:r>
              <w:rPr>
                <w:rFonts w:ascii="宋体" w:hAnsi="宋体"/>
                <w:color w:val="auto"/>
                <w:szCs w:val="24"/>
                <w:highlight w:val="none"/>
              </w:rPr>
              <w:t>设计</w:t>
            </w:r>
            <w:r>
              <w:rPr>
                <w:rFonts w:hint="eastAsia" w:ascii="宋体" w:hAnsi="宋体"/>
                <w:color w:val="auto"/>
                <w:szCs w:val="24"/>
                <w:highlight w:val="none"/>
              </w:rPr>
              <w:t>服务标准</w:t>
            </w:r>
            <w:r>
              <w:rPr>
                <w:rFonts w:ascii="宋体" w:hAnsi="宋体"/>
                <w:color w:val="auto"/>
                <w:szCs w:val="24"/>
                <w:highlight w:val="none"/>
              </w:rPr>
              <w:t>、</w:t>
            </w:r>
            <w:r>
              <w:rPr>
                <w:rFonts w:hint="eastAsia" w:ascii="宋体" w:hAnsi="宋体"/>
                <w:color w:val="auto"/>
                <w:szCs w:val="24"/>
                <w:highlight w:val="none"/>
              </w:rPr>
              <w:t>实施的</w:t>
            </w:r>
            <w:r>
              <w:rPr>
                <w:rFonts w:ascii="宋体" w:hAnsi="宋体"/>
                <w:color w:val="auto"/>
                <w:szCs w:val="24"/>
                <w:highlight w:val="none"/>
              </w:rPr>
              <w:t>时间地点等</w:t>
            </w:r>
            <w:r>
              <w:rPr>
                <w:rFonts w:hint="eastAsia" w:ascii="宋体" w:hAnsi="宋体"/>
                <w:color w:val="auto"/>
                <w:szCs w:val="24"/>
                <w:highlight w:val="none"/>
              </w:rPr>
              <w:t>）；</w:t>
            </w:r>
          </w:p>
          <w:p>
            <w:pPr>
              <w:spacing w:line="360" w:lineRule="auto"/>
              <w:rPr>
                <w:rFonts w:ascii="宋体" w:hAnsi="宋体"/>
                <w:color w:val="auto"/>
                <w:szCs w:val="24"/>
                <w:highlight w:val="none"/>
              </w:rPr>
            </w:pPr>
            <w:r>
              <w:rPr>
                <w:rFonts w:hint="eastAsia" w:ascii="宋体" w:hAnsi="宋体"/>
                <w:color w:val="auto"/>
                <w:szCs w:val="24"/>
                <w:highlight w:val="none"/>
              </w:rPr>
              <w:t>（2）设计方案图纸（包括但不限于</w:t>
            </w:r>
            <w:r>
              <w:rPr>
                <w:rFonts w:hint="eastAsia" w:ascii="宋体" w:hAnsi="宋体" w:cs="宋体"/>
                <w:color w:val="auto"/>
                <w:szCs w:val="21"/>
                <w:highlight w:val="none"/>
              </w:rPr>
              <w:t>项目生产及配套设施各功能空间布局、</w:t>
            </w:r>
            <w:r>
              <w:rPr>
                <w:rFonts w:hint="eastAsia" w:ascii="宋体" w:hAnsi="宋体" w:cs="宋体"/>
                <w:color w:val="auto"/>
                <w:szCs w:val="21"/>
                <w:highlight w:val="none"/>
                <w:lang w:val="en-US" w:eastAsia="zh-CN"/>
              </w:rPr>
              <w:t>配电增容方案</w:t>
            </w:r>
            <w:r>
              <w:rPr>
                <w:rFonts w:hint="eastAsia" w:ascii="宋体" w:hAnsi="宋体" w:cs="宋体"/>
                <w:color w:val="auto"/>
                <w:szCs w:val="21"/>
                <w:highlight w:val="none"/>
              </w:rPr>
              <w:t>、交通流线等）</w:t>
            </w:r>
            <w:r>
              <w:rPr>
                <w:rFonts w:hint="eastAsia" w:ascii="宋体" w:hAnsi="宋体"/>
                <w:color w:val="auto"/>
                <w:szCs w:val="24"/>
                <w:highlight w:val="none"/>
              </w:rPr>
              <w:t>；</w:t>
            </w:r>
          </w:p>
          <w:p>
            <w:pPr>
              <w:spacing w:line="360" w:lineRule="auto"/>
              <w:rPr>
                <w:rFonts w:ascii="宋体" w:hAnsi="宋体"/>
                <w:color w:val="auto"/>
                <w:szCs w:val="24"/>
                <w:highlight w:val="none"/>
              </w:rPr>
            </w:pPr>
            <w:r>
              <w:rPr>
                <w:rFonts w:hint="eastAsia" w:ascii="宋体" w:hAnsi="宋体"/>
                <w:color w:val="auto"/>
                <w:szCs w:val="24"/>
                <w:highlight w:val="none"/>
              </w:rPr>
              <w:t>（3）</w:t>
            </w:r>
            <w:r>
              <w:rPr>
                <w:rFonts w:ascii="宋体" w:hAnsi="宋体"/>
                <w:color w:val="auto"/>
                <w:szCs w:val="24"/>
                <w:highlight w:val="none"/>
              </w:rPr>
              <w:t>设计重、难点分析及解决措施</w:t>
            </w:r>
            <w:r>
              <w:rPr>
                <w:rFonts w:hint="eastAsia" w:ascii="宋体" w:hAnsi="宋体"/>
                <w:color w:val="auto"/>
                <w:szCs w:val="24"/>
                <w:highlight w:val="none"/>
              </w:rPr>
              <w:t>；</w:t>
            </w:r>
          </w:p>
          <w:p>
            <w:pPr>
              <w:spacing w:line="360" w:lineRule="auto"/>
              <w:rPr>
                <w:rFonts w:ascii="宋体" w:hAnsi="宋体"/>
                <w:color w:val="auto"/>
                <w:szCs w:val="24"/>
                <w:highlight w:val="none"/>
              </w:rPr>
            </w:pPr>
            <w:r>
              <w:rPr>
                <w:rFonts w:hint="eastAsia" w:ascii="宋体" w:hAnsi="宋体"/>
                <w:color w:val="auto"/>
                <w:szCs w:val="24"/>
                <w:highlight w:val="none"/>
              </w:rPr>
              <w:t>（4）</w:t>
            </w:r>
            <w:r>
              <w:rPr>
                <w:rFonts w:ascii="宋体" w:hAnsi="宋体"/>
                <w:color w:val="auto"/>
                <w:szCs w:val="24"/>
                <w:highlight w:val="none"/>
              </w:rPr>
              <w:t>设计进度安排及保障措施</w:t>
            </w: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4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ascii="宋体" w:hAnsi="宋体" w:cs="宋体"/>
                <w:b/>
                <w:color w:val="auto"/>
                <w:szCs w:val="21"/>
                <w:highlight w:val="none"/>
              </w:rPr>
              <w:t>设计施工融合措施</w:t>
            </w:r>
            <w:r>
              <w:rPr>
                <w:rFonts w:hint="eastAsia" w:ascii="宋体" w:hAnsi="宋体" w:cs="宋体"/>
                <w:b/>
                <w:color w:val="auto"/>
                <w:szCs w:val="21"/>
                <w:highlight w:val="none"/>
              </w:rPr>
              <w:t>：</w:t>
            </w:r>
            <w:r>
              <w:rPr>
                <w:rFonts w:hint="eastAsia" w:ascii="宋体" w:hAnsi="宋体" w:cs="宋体"/>
                <w:color w:val="auto"/>
                <w:szCs w:val="21"/>
                <w:highlight w:val="none"/>
              </w:rPr>
              <w:t>针对本项目特点，制定相应的设计和施工的融合措施，在项目的设计、施工及保修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b w:val="0"/>
                <w:bCs/>
                <w:color w:val="C00000"/>
                <w:szCs w:val="21"/>
                <w:highlight w:val="none"/>
                <w:lang w:eastAsia="zh-CN"/>
              </w:rPr>
              <w:t>高低压配电房</w:t>
            </w:r>
            <w:r>
              <w:rPr>
                <w:rFonts w:hint="eastAsia" w:ascii="宋体" w:hAnsi="宋体" w:cs="宋体"/>
                <w:color w:val="auto"/>
                <w:szCs w:val="21"/>
                <w:highlight w:val="none"/>
                <w:lang w:eastAsia="zh-CN"/>
              </w:rPr>
              <w:t>）</w:t>
            </w:r>
            <w:r>
              <w:rPr>
                <w:rFonts w:hint="eastAsia" w:ascii="宋体" w:hAnsi="宋体" w:cs="宋体"/>
                <w:color w:val="auto"/>
                <w:szCs w:val="21"/>
                <w:highlight w:val="none"/>
              </w:rPr>
              <w:t>等过程中，设计方、施工方紧密协作以满足项目的各阶段需求的</w:t>
            </w:r>
            <w:r>
              <w:rPr>
                <w:rFonts w:hint="eastAsia" w:ascii="宋体" w:hAnsi="宋体"/>
                <w:color w:val="auto"/>
                <w:szCs w:val="24"/>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b/>
                <w:bCs/>
                <w:highlight w:val="none"/>
              </w:rPr>
            </w:pPr>
            <w:r>
              <w:rPr>
                <w:b/>
                <w:bCs/>
                <w:highlight w:val="none"/>
              </w:rPr>
              <w:t>施工组织设计</w:t>
            </w:r>
            <w:r>
              <w:rPr>
                <w:rFonts w:hint="eastAsia"/>
                <w:b/>
                <w:bCs/>
                <w:highlight w:val="none"/>
              </w:rPr>
              <w:t>方案</w:t>
            </w:r>
            <w:r>
              <w:rPr>
                <w:b/>
                <w:bCs/>
                <w:highlight w:val="none"/>
              </w:rPr>
              <w:t>：</w:t>
            </w:r>
          </w:p>
          <w:p>
            <w:pPr>
              <w:spacing w:line="360" w:lineRule="auto"/>
              <w:rPr>
                <w:highlight w:val="none"/>
              </w:rPr>
            </w:pPr>
            <w:r>
              <w:rPr>
                <w:rFonts w:hint="eastAsia"/>
                <w:highlight w:val="none"/>
              </w:rPr>
              <w:t>（1）</w:t>
            </w:r>
            <w:r>
              <w:rPr>
                <w:highlight w:val="none"/>
              </w:rPr>
              <w:t>总工期及节点工期目标；</w:t>
            </w:r>
          </w:p>
          <w:p>
            <w:pPr>
              <w:spacing w:line="360" w:lineRule="auto"/>
              <w:rPr>
                <w:highlight w:val="none"/>
              </w:rPr>
            </w:pPr>
            <w:r>
              <w:rPr>
                <w:rFonts w:hint="eastAsia"/>
                <w:highlight w:val="none"/>
              </w:rPr>
              <w:t>（2）施工方案（包括但不限于</w:t>
            </w:r>
            <w:r>
              <w:rPr>
                <w:rFonts w:hint="eastAsia"/>
                <w:highlight w:val="none"/>
                <w:lang w:eastAsia="zh-CN"/>
              </w:rPr>
              <w:t>：</w:t>
            </w:r>
            <w:r>
              <w:rPr>
                <w:rFonts w:hint="eastAsia" w:ascii="宋体" w:hAnsi="宋体" w:cs="宋体"/>
                <w:szCs w:val="21"/>
                <w:highlight w:val="none"/>
              </w:rPr>
              <w:t>施工组织方案及施工方法先进，工程重点难点、施工关键技术工艺把握及应用</w:t>
            </w:r>
            <w:r>
              <w:rPr>
                <w:rFonts w:hint="eastAsia" w:ascii="宋体" w:hAnsi="宋体" w:cs="宋体"/>
                <w:szCs w:val="21"/>
                <w:highlight w:val="none"/>
                <w:lang w:eastAsia="zh-CN"/>
              </w:rPr>
              <w:t>、</w:t>
            </w:r>
            <w:r>
              <w:rPr>
                <w:rFonts w:hint="eastAsia" w:ascii="宋体" w:hAnsi="宋体" w:cs="宋体"/>
                <w:szCs w:val="21"/>
                <w:highlight w:val="none"/>
              </w:rPr>
              <w:t>技术措施</w:t>
            </w:r>
            <w:r>
              <w:rPr>
                <w:rFonts w:hint="eastAsia" w:ascii="宋体" w:hAnsi="宋体" w:cs="宋体"/>
                <w:szCs w:val="21"/>
                <w:highlight w:val="none"/>
                <w:lang w:eastAsia="zh-CN"/>
              </w:rPr>
              <w:t>、</w:t>
            </w:r>
            <w:r>
              <w:rPr>
                <w:rFonts w:hint="eastAsia"/>
                <w:highlight w:val="none"/>
              </w:rPr>
              <w:t>施工质量目标、实施的</w:t>
            </w:r>
            <w:r>
              <w:rPr>
                <w:rFonts w:hint="eastAsia"/>
                <w:highlight w:val="none"/>
                <w:lang w:val="en-US" w:eastAsia="zh-CN"/>
              </w:rPr>
              <w:t>具体计划及时间</w:t>
            </w:r>
            <w:r>
              <w:rPr>
                <w:rFonts w:hint="eastAsia"/>
                <w:highlight w:val="none"/>
              </w:rPr>
              <w:t>等）；</w:t>
            </w:r>
          </w:p>
          <w:p>
            <w:pPr>
              <w:spacing w:line="360" w:lineRule="auto"/>
              <w:rPr>
                <w:highlight w:val="none"/>
              </w:rPr>
            </w:pPr>
            <w:r>
              <w:rPr>
                <w:rFonts w:hint="eastAsia"/>
                <w:highlight w:val="none"/>
              </w:rPr>
              <w:t>（3）</w:t>
            </w:r>
            <w:r>
              <w:rPr>
                <w:highlight w:val="none"/>
              </w:rPr>
              <w:t>施工平面布置和重难点分析及对策；</w:t>
            </w:r>
          </w:p>
          <w:p>
            <w:pPr>
              <w:spacing w:line="360" w:lineRule="auto"/>
              <w:rPr>
                <w:rFonts w:hint="eastAsia" w:ascii="Times New Roman" w:hAnsi="Times New Roman" w:cs="Times New Roman"/>
                <w:highlight w:val="none"/>
              </w:rPr>
            </w:pPr>
            <w:r>
              <w:rPr>
                <w:rFonts w:hint="eastAsia"/>
                <w:highlight w:val="none"/>
              </w:rPr>
              <w:t>（4</w:t>
            </w:r>
            <w:r>
              <w:rPr>
                <w:rFonts w:hint="eastAsia" w:ascii="Times New Roman" w:hAnsi="Times New Roman" w:cs="Times New Roman"/>
                <w:highlight w:val="none"/>
              </w:rPr>
              <w:t>）进度、质量、安全文明施工控制措施等（包括但不限于进度目标、安全文明施工目标</w:t>
            </w:r>
            <w:r>
              <w:rPr>
                <w:rFonts w:hint="eastAsia" w:ascii="Times New Roman" w:hAnsi="Times New Roman" w:cs="Times New Roman"/>
                <w:highlight w:val="none"/>
                <w:lang w:val="en-US" w:eastAsia="zh-CN"/>
              </w:rPr>
              <w:t>及对应方案措施</w:t>
            </w:r>
            <w:r>
              <w:rPr>
                <w:rFonts w:hint="eastAsia" w:ascii="Times New Roman" w:hAnsi="Times New Roman" w:cs="Times New Roman"/>
                <w:highlight w:val="none"/>
              </w:rPr>
              <w:t>）。</w:t>
            </w:r>
          </w:p>
          <w:p>
            <w:pPr>
              <w:spacing w:line="360" w:lineRule="auto"/>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5</w:t>
            </w:r>
            <w:r>
              <w:rPr>
                <w:rFonts w:hint="eastAsia" w:ascii="Times New Roman" w:hAnsi="Times New Roman" w:cs="Times New Roman"/>
                <w:highlight w:val="none"/>
                <w:lang w:eastAsia="zh-CN"/>
              </w:rPr>
              <w:t>）</w:t>
            </w:r>
            <w:r>
              <w:rPr>
                <w:rFonts w:hint="eastAsia" w:ascii="Times New Roman" w:hAnsi="Times New Roman" w:cs="Times New Roman"/>
                <w:szCs w:val="22"/>
                <w:highlight w:val="none"/>
              </w:rPr>
              <w:t>调试、验收方案</w:t>
            </w:r>
            <w:r>
              <w:rPr>
                <w:rFonts w:hint="eastAsia" w:ascii="Times New Roman" w:hAnsi="Times New Roman" w:cs="Times New Roman"/>
                <w:szCs w:val="22"/>
                <w:highlight w:val="none"/>
                <w:lang w:eastAsia="zh-CN"/>
              </w:rPr>
              <w:t>（</w:t>
            </w:r>
            <w:r>
              <w:rPr>
                <w:rFonts w:hint="eastAsia"/>
                <w:color w:val="000000"/>
                <w:szCs w:val="21"/>
                <w:highlight w:val="none"/>
              </w:rPr>
              <w:t>制定供电系统的调试、送电、验收工作方案，方案应包括人员安排（包括技术负责人、施工人员等）、机械设备材料投入等相关保障措施、调试验收内容、工作流程（含供电部门办理的相关手续）等内容</w:t>
            </w:r>
            <w:r>
              <w:rPr>
                <w:rFonts w:hint="eastAsia" w:ascii="Times New Roman" w:hAnsi="Times New Roman" w:cs="Times New Roman"/>
                <w:szCs w:val="22"/>
                <w:highlight w:val="none"/>
                <w:lang w:eastAsia="zh-CN"/>
              </w:rPr>
              <w:t>）；</w:t>
            </w:r>
          </w:p>
          <w:p>
            <w:pPr>
              <w:spacing w:line="360" w:lineRule="auto"/>
              <w:rPr>
                <w:rFonts w:hint="eastAsia" w:eastAsia="宋体"/>
                <w:highlight w:val="none"/>
                <w:lang w:val="en-US" w:eastAsia="zh-CN"/>
              </w:rPr>
            </w:pPr>
            <w:r>
              <w:rPr>
                <w:rFonts w:hint="eastAsia" w:ascii="Times New Roman" w:hAnsi="Times New Roman" w:cs="Times New Roman"/>
                <w:highlight w:val="none"/>
                <w:lang w:val="en-US" w:eastAsia="zh-CN"/>
              </w:rPr>
              <w:t>（6）</w:t>
            </w:r>
            <w:r>
              <w:rPr>
                <w:rFonts w:hint="eastAsia" w:ascii="Times New Roman" w:hAnsi="Times New Roman" w:cs="Times New Roman"/>
                <w:szCs w:val="22"/>
                <w:highlight w:val="none"/>
              </w:rPr>
              <w:t>售后服务方案及保证措施</w:t>
            </w:r>
            <w:r>
              <w:rPr>
                <w:rFonts w:hint="eastAsia" w:ascii="Times New Roman" w:hAnsi="Times New Roman" w:cs="Times New Roman"/>
                <w:szCs w:val="22"/>
                <w:highlight w:val="none"/>
                <w:lang w:eastAsia="zh-CN"/>
              </w:rPr>
              <w:t>（</w:t>
            </w:r>
            <w:r>
              <w:rPr>
                <w:rFonts w:hint="eastAsia" w:ascii="宋体" w:hAnsi="宋体" w:eastAsia="宋体" w:cs="宋体"/>
                <w:color w:val="auto"/>
                <w:szCs w:val="21"/>
                <w:highlight w:val="none"/>
                <w:lang w:eastAsia="zh-CN"/>
              </w:rPr>
              <w:t>针对项目特点，编写的售后服务方案及保证措施合理，且备品备件供应情况、服务人员安排、故障处理响应时间等</w:t>
            </w:r>
            <w:r>
              <w:rPr>
                <w:rFonts w:hint="eastAsia" w:ascii="Times New Roman" w:hAnsi="Times New Roman" w:cs="Times New Roman"/>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4"/>
                <w:highlight w:val="none"/>
              </w:rPr>
            </w:pPr>
            <w:r>
              <w:rPr>
                <w:rFonts w:hint="eastAsia" w:ascii="宋体" w:hAnsi="宋体"/>
                <w:color w:val="auto"/>
                <w:szCs w:val="24"/>
                <w:highlight w:val="none"/>
              </w:rPr>
              <w:t>3</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团队因素</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评审</w:t>
            </w:r>
            <w:r>
              <w:rPr>
                <w:rFonts w:hint="eastAsia" w:ascii="宋体" w:hAnsi="宋体" w:eastAsia="宋体" w:cs="宋体"/>
                <w:color w:val="auto"/>
                <w:kern w:val="2"/>
                <w:sz w:val="21"/>
                <w:szCs w:val="21"/>
                <w:highlight w:val="none"/>
                <w:lang w:val="en-US" w:eastAsia="zh-CN" w:bidi="ar"/>
              </w:rPr>
              <w:t>合格的中标候选人</w:t>
            </w:r>
            <w:r>
              <w:rPr>
                <w:rFonts w:hint="eastAsia" w:ascii="宋体" w:hAnsi="宋体" w:cs="宋体"/>
                <w:color w:val="auto"/>
                <w:szCs w:val="21"/>
                <w:highlight w:val="none"/>
              </w:rPr>
              <w:t>组建的服务团队架构的情况。</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注：1、提供服务团队人员的职称或资格证书或岗位证书。</w:t>
            </w:r>
          </w:p>
          <w:p>
            <w:pPr>
              <w:spacing w:line="360" w:lineRule="auto"/>
              <w:rPr>
                <w:rFonts w:ascii="宋体" w:hAnsi="宋体"/>
                <w:color w:val="auto"/>
                <w:szCs w:val="24"/>
                <w:highlight w:val="none"/>
                <w:u w:val="single"/>
              </w:rPr>
            </w:pPr>
            <w:r>
              <w:rPr>
                <w:rFonts w:hint="eastAsia" w:ascii="宋体" w:hAnsi="宋体" w:cs="宋体"/>
                <w:color w:val="auto"/>
                <w:szCs w:val="21"/>
                <w:highlight w:val="none"/>
              </w:rPr>
              <w:t>2、必须为投标人正式员工，人员岗位不能相互兼任。投入人员均须同时提供相关证明材料扫描件和</w:t>
            </w:r>
            <w:r>
              <w:rPr>
                <w:rFonts w:hint="eastAsia" w:ascii="宋体" w:hAnsi="宋体" w:cs="宋体"/>
                <w:color w:val="auto"/>
                <w:szCs w:val="21"/>
                <w:highlight w:val="none"/>
                <w:lang w:eastAsia="zh-CN"/>
              </w:rPr>
              <w:t>投标截止前1个月</w:t>
            </w:r>
            <w:r>
              <w:rPr>
                <w:rFonts w:hint="eastAsia" w:ascii="宋体" w:hAnsi="宋体" w:cs="宋体"/>
                <w:color w:val="auto"/>
                <w:szCs w:val="21"/>
                <w:highlight w:val="none"/>
              </w:rPr>
              <w:t>在投标单位（不含投标人的子公司或母公司人员，含分公司</w:t>
            </w:r>
            <w:r>
              <w:rPr>
                <w:rFonts w:hint="eastAsia" w:ascii="宋体" w:hAnsi="宋体" w:cs="宋体"/>
                <w:color w:val="auto"/>
                <w:szCs w:val="21"/>
                <w:highlight w:val="none"/>
                <w:lang w:val="zh-TW"/>
              </w:rPr>
              <w:t>或分支机构</w:t>
            </w:r>
            <w:r>
              <w:rPr>
                <w:rFonts w:hint="eastAsia" w:ascii="宋体" w:hAnsi="宋体" w:cs="宋体"/>
                <w:color w:val="auto"/>
                <w:szCs w:val="21"/>
                <w:highlight w:val="none"/>
              </w:rPr>
              <w:t>）缴纳社保的证明材料。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4"/>
                <w:highlight w:val="none"/>
                <w:lang w:val="en-US" w:eastAsia="zh-CN"/>
              </w:rPr>
            </w:pPr>
            <w:r>
              <w:rPr>
                <w:rFonts w:hint="eastAsia" w:ascii="宋体" w:hAnsi="宋体"/>
                <w:color w:val="auto"/>
                <w:szCs w:val="24"/>
                <w:highlight w:val="none"/>
                <w:lang w:val="en-US" w:eastAsia="zh-CN"/>
              </w:rPr>
              <w:t>4</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性能因素</w:t>
            </w:r>
          </w:p>
        </w:tc>
        <w:tc>
          <w:tcPr>
            <w:tcW w:w="7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合格的中标候选人拟投材料和设备技术参数、性能、备品备件完善程度、维修保养等配套服务、对招标</w:t>
            </w:r>
            <w:r>
              <w:rPr>
                <w:rFonts w:hint="eastAsia" w:ascii="宋体" w:hAnsi="宋体" w:cs="宋体"/>
                <w:color w:val="auto"/>
                <w:kern w:val="2"/>
                <w:sz w:val="21"/>
                <w:szCs w:val="21"/>
                <w:highlight w:val="none"/>
                <w:lang w:val="en-US" w:eastAsia="zh-CN" w:bidi="ar"/>
              </w:rPr>
              <w:t>文</w:t>
            </w:r>
            <w:r>
              <w:rPr>
                <w:rFonts w:hint="eastAsia" w:ascii="宋体" w:hAnsi="宋体" w:eastAsia="宋体" w:cs="宋体"/>
                <w:color w:val="auto"/>
                <w:kern w:val="2"/>
                <w:sz w:val="21"/>
                <w:szCs w:val="21"/>
                <w:highlight w:val="none"/>
                <w:lang w:val="en-US" w:eastAsia="zh-CN" w:bidi="ar"/>
              </w:rPr>
              <w:t>件的响应程度以及合格的中标候选人的技术水平等。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4"/>
                <w:highlight w:val="none"/>
                <w:lang w:val="en-US" w:eastAsia="zh-CN"/>
              </w:rPr>
            </w:pPr>
            <w:r>
              <w:rPr>
                <w:rFonts w:hint="eastAsia" w:ascii="宋体" w:hAnsi="宋体"/>
                <w:color w:val="auto"/>
                <w:szCs w:val="24"/>
                <w:highlight w:val="none"/>
                <w:lang w:val="en-US" w:eastAsia="zh-CN"/>
              </w:rPr>
              <w:t>5</w:t>
            </w:r>
          </w:p>
        </w:tc>
        <w:tc>
          <w:tcPr>
            <w:tcW w:w="157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jc w:val="left"/>
              <w:rPr>
                <w:rFonts w:hint="eastAsia" w:ascii="Times New Roman" w:hAnsi="Times New Roman" w:eastAsia="宋体" w:cs="Times New Roman"/>
                <w:szCs w:val="22"/>
                <w:highlight w:val="none"/>
                <w:lang w:val="en-US" w:eastAsia="zh-CN"/>
              </w:rPr>
            </w:pPr>
            <w:r>
              <w:rPr>
                <w:rFonts w:hint="eastAsia" w:ascii="Times New Roman" w:hAnsi="Times New Roman" w:cs="Times New Roman"/>
                <w:szCs w:val="22"/>
                <w:highlight w:val="none"/>
                <w:lang w:val="en-US" w:eastAsia="zh-CN"/>
              </w:rPr>
              <w:t>资信因素</w:t>
            </w:r>
          </w:p>
        </w:tc>
        <w:tc>
          <w:tcPr>
            <w:tcW w:w="7229"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业绩：合格的中标候选人（若为联合体投标，指联合体牵头方）自</w:t>
            </w:r>
            <w:r>
              <w:rPr>
                <w:rFonts w:hint="eastAsia" w:ascii="Times New Roman" w:hAnsi="Times New Roman" w:cs="Times New Roman"/>
                <w:highlight w:val="none"/>
              </w:rPr>
              <w:t>202</w:t>
            </w:r>
            <w:r>
              <w:rPr>
                <w:rFonts w:hint="eastAsia" w:ascii="Times New Roman" w:hAnsi="Times New Roman" w:cs="Times New Roman"/>
                <w:highlight w:val="none"/>
                <w:lang w:val="en-US" w:eastAsia="zh-CN"/>
              </w:rPr>
              <w:t>0</w:t>
            </w:r>
            <w:r>
              <w:rPr>
                <w:rFonts w:hint="eastAsia" w:ascii="Times New Roman" w:hAnsi="Times New Roman" w:cs="Times New Roman"/>
                <w:highlight w:val="none"/>
              </w:rPr>
              <w:t>年1月1日</w:t>
            </w:r>
            <w:r>
              <w:rPr>
                <w:rFonts w:hint="eastAsia" w:ascii="Times New Roman" w:hAnsi="Times New Roman" w:cs="Times New Roman"/>
                <w:highlight w:val="none"/>
                <w:lang w:val="en-US" w:eastAsia="zh-CN"/>
              </w:rPr>
              <w:t>至今</w:t>
            </w:r>
            <w:r>
              <w:rPr>
                <w:rFonts w:hint="eastAsia" w:ascii="Times New Roman" w:hAnsi="Times New Roman" w:cs="Times New Roman"/>
                <w:highlight w:val="none"/>
              </w:rPr>
              <w:t>承接过单项合同金额大于或等于</w:t>
            </w:r>
            <w:r>
              <w:rPr>
                <w:rFonts w:hint="eastAsia" w:cs="Times New Roman"/>
                <w:highlight w:val="none"/>
                <w:lang w:val="en-US" w:eastAsia="zh-CN"/>
              </w:rPr>
              <w:t>3</w:t>
            </w:r>
            <w:r>
              <w:rPr>
                <w:rFonts w:hint="eastAsia" w:ascii="Times New Roman" w:hAnsi="Times New Roman" w:cs="Times New Roman"/>
                <w:highlight w:val="none"/>
                <w:lang w:val="en-US" w:eastAsia="zh-CN"/>
              </w:rPr>
              <w:t>00</w:t>
            </w:r>
            <w:r>
              <w:rPr>
                <w:rFonts w:hint="eastAsia" w:ascii="Times New Roman" w:hAnsi="Times New Roman" w:cs="Times New Roman"/>
                <w:highlight w:val="none"/>
              </w:rPr>
              <w:t>万元的类似工程业绩</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类似工程业绩指：供配电设计施工业绩或A级数据中心供配电设计施工业绩</w:t>
            </w:r>
            <w:r>
              <w:rPr>
                <w:rFonts w:hint="eastAsia" w:ascii="Times New Roman" w:hAnsi="Times New Roman" w:cs="Times New Roman"/>
                <w:highlight w:val="none"/>
                <w:lang w:eastAsia="zh-CN"/>
              </w:rPr>
              <w:t>）：</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①提供符合要求的类似业绩5个（及以上）的，为【优】。</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②提供符合要求的类似业绩4或3个的，为【中】；</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③提供符合要求的类似业绩2个（及以下）的，为【差】；</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注：</w:t>
            </w:r>
            <w:r>
              <w:rPr>
                <w:rFonts w:hint="eastAsia" w:ascii="Times New Roman" w:hAnsi="Times New Roman" w:cs="Times New Roman"/>
                <w:highlight w:val="none"/>
                <w:lang w:val="en-US" w:eastAsia="zh-CN"/>
              </w:rPr>
              <w:t>业绩需提供合同复印件（合同盖章关键页，项目服务内容及金额）、中标通知书（若有）、竣工验收报告或投入使用证明（建设单位出具）扫描件，业绩时间、金额以项目合同为准。</w:t>
            </w:r>
          </w:p>
          <w:p>
            <w:pPr>
              <w:numPr>
                <w:ilvl w:val="0"/>
                <w:numId w:val="3"/>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奖项：合格的中标候选人自2020年1月1日至投标截止时间前，投标人（若为联合体投标，指联合体牵头方）承接过的输变电工程施工项目获奖情况：</w:t>
            </w:r>
          </w:p>
          <w:p>
            <w:pPr>
              <w:numPr>
                <w:ilvl w:val="-1"/>
                <w:numId w:val="0"/>
              </w:numPr>
              <w:spacing w:line="360" w:lineRule="auto"/>
              <w:rPr>
                <w:rFonts w:hint="eastAsia" w:ascii="Times New Roman" w:hAnsi="Times New Roman" w:cs="Times New Roman"/>
                <w:highlight w:val="none"/>
                <w:lang w:val="en-US" w:eastAsia="zh-CN"/>
              </w:rPr>
            </w:pPr>
            <w:bookmarkStart w:id="1129" w:name="OLE_LINK3"/>
            <w:r>
              <w:rPr>
                <w:rFonts w:hint="eastAsia" w:ascii="Times New Roman" w:hAnsi="Times New Roman" w:cs="Times New Roman"/>
                <w:highlight w:val="none"/>
                <w:lang w:val="en-US" w:eastAsia="zh-CN"/>
              </w:rPr>
              <w:t>①获得过国家级工程质量奖项的，为【优】；</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②获得过省级工程质量奖项的，为【中】；</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③获得过市级工程质量奖项的，为【差】；</w:t>
            </w:r>
          </w:p>
          <w:bookmarkEnd w:id="1129"/>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不符合上述条件或不提供证明材料，不给予认可。</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注：提供相关证书扫描件或电子证书。</w:t>
            </w:r>
            <w:r>
              <w:rPr>
                <w:rFonts w:hint="eastAsia" w:asciiTheme="minorEastAsia" w:hAnsiTheme="minorEastAsia" w:eastAsiaTheme="minorEastAsia"/>
                <w:kern w:val="0"/>
                <w:szCs w:val="21"/>
                <w:highlight w:val="none"/>
              </w:rPr>
              <w:t>获奖时间以获奖证书颁发时间为准。同一个项目获得不同奖项的只计最高的奖项。</w:t>
            </w:r>
          </w:p>
          <w:p>
            <w:pPr>
              <w:numPr>
                <w:ilvl w:val="0"/>
                <w:numId w:val="3"/>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第三方信用评价：合格的中标候选人（若为联合体投标，指联合体各方）获得以下认证证书：质量管理体系认证、职业健康安全管理体系认证、环境管理体系认证等，认证情况：</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①同时具备以上证书的，为【优】；</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②具备2个的，为【中】；</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③具备1个或不具备的，为【差】；</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不符合上述条件或不提供证明材料，不给予认可。</w:t>
            </w:r>
          </w:p>
          <w:p>
            <w:pPr>
              <w:numPr>
                <w:ilvl w:val="-1"/>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注：须提供上述有效期内的证书复印件并加盖公章及提供“全国认证认可信息公共服务平台”(http://cx.cnca.cn/）上查询为“有效”的状态截图，已失效、撤销或不提供不给予认可。</w:t>
            </w:r>
          </w:p>
          <w:p>
            <w:pPr>
              <w:numPr>
                <w:ilvl w:val="0"/>
                <w:numId w:val="0"/>
              </w:numPr>
              <w:spacing w:line="360" w:lineRule="auto"/>
              <w:rPr>
                <w:rFonts w:hint="eastAsia" w:ascii="Times New Roman" w:hAnsi="Times New Roman" w:cs="Times New Roman"/>
                <w:highlight w:val="none"/>
                <w:lang w:val="en-US" w:eastAsia="zh-CN"/>
              </w:rPr>
            </w:pPr>
            <w:r>
              <w:rPr>
                <w:rFonts w:hint="eastAsia" w:ascii="Times New Roman" w:hAnsi="Times New Roman" w:cs="Times New Roman"/>
                <w:b w:val="0"/>
                <w:bCs w:val="0"/>
                <w:highlight w:val="none"/>
                <w:lang w:val="en-US" w:eastAsia="zh-CN"/>
              </w:rPr>
              <w:t>4.其他：工程研发能力等证明材料（如有）。</w:t>
            </w:r>
          </w:p>
        </w:tc>
      </w:tr>
    </w:tbl>
    <w:p>
      <w:pPr>
        <w:spacing w:line="360" w:lineRule="auto"/>
        <w:rPr>
          <w:rFonts w:ascii="宋体" w:hAnsi="宋体" w:cs="宋体"/>
          <w:color w:val="auto"/>
          <w:sz w:val="24"/>
          <w:szCs w:val="24"/>
          <w:highlight w:val="none"/>
        </w:rPr>
      </w:pPr>
    </w:p>
    <w:p>
      <w:pPr>
        <w:jc w:val="center"/>
        <w:rPr>
          <w:rFonts w:ascii="宋体" w:hAnsi="宋体"/>
          <w:b/>
          <w:color w:val="auto"/>
          <w:sz w:val="28"/>
          <w:szCs w:val="28"/>
          <w:highlight w:val="none"/>
        </w:rPr>
      </w:pPr>
    </w:p>
    <w:p>
      <w:pPr>
        <w:pStyle w:val="35"/>
        <w:spacing w:before="210" w:beforeAutospacing="0" w:after="0" w:afterAutospacing="0"/>
        <w:jc w:val="both"/>
        <w:rPr>
          <w:color w:val="auto"/>
          <w:sz w:val="21"/>
          <w:szCs w:val="21"/>
          <w:highlight w:val="none"/>
        </w:rPr>
      </w:pPr>
      <w:r>
        <w:rPr>
          <w:rFonts w:hint="eastAsia"/>
          <w:color w:val="auto"/>
          <w:sz w:val="21"/>
          <w:szCs w:val="21"/>
          <w:highlight w:val="none"/>
        </w:rPr>
        <w:t>附录：投入主要人员表</w:t>
      </w:r>
    </w:p>
    <w:p>
      <w:pPr>
        <w:pStyle w:val="35"/>
        <w:spacing w:before="210" w:beforeAutospacing="0" w:after="0" w:afterAutospacing="0"/>
        <w:jc w:val="both"/>
        <w:rPr>
          <w:color w:val="auto"/>
          <w:sz w:val="21"/>
          <w:szCs w:val="21"/>
          <w:highlight w:val="none"/>
        </w:rPr>
      </w:pPr>
    </w:p>
    <w:tbl>
      <w:tblPr>
        <w:tblStyle w:val="40"/>
        <w:tblW w:w="4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460"/>
        <w:gridCol w:w="826"/>
        <w:gridCol w:w="3180"/>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412" w:type="pct"/>
            <w:vAlign w:val="center"/>
          </w:tcPr>
          <w:p>
            <w:pPr>
              <w:pStyle w:val="162"/>
              <w:spacing w:line="240" w:lineRule="exact"/>
              <w:jc w:val="center"/>
              <w:rPr>
                <w:rFonts w:cs="宋体"/>
                <w:b/>
                <w:color w:val="auto"/>
                <w:highlight w:val="none"/>
              </w:rPr>
            </w:pPr>
            <w:r>
              <w:rPr>
                <w:rFonts w:hint="eastAsia" w:cs="宋体"/>
                <w:b/>
                <w:color w:val="auto"/>
                <w:highlight w:val="none"/>
              </w:rPr>
              <w:t>序号</w:t>
            </w:r>
          </w:p>
        </w:tc>
        <w:tc>
          <w:tcPr>
            <w:tcW w:w="829" w:type="pct"/>
            <w:vAlign w:val="center"/>
          </w:tcPr>
          <w:p>
            <w:pPr>
              <w:pStyle w:val="162"/>
              <w:spacing w:line="240" w:lineRule="exact"/>
              <w:jc w:val="center"/>
              <w:rPr>
                <w:rFonts w:cs="宋体"/>
                <w:b/>
                <w:color w:val="auto"/>
                <w:highlight w:val="none"/>
              </w:rPr>
            </w:pPr>
            <w:r>
              <w:rPr>
                <w:rFonts w:hint="eastAsia" w:cs="宋体"/>
                <w:b/>
                <w:color w:val="auto"/>
                <w:highlight w:val="none"/>
              </w:rPr>
              <w:t>在本项目担任职务</w:t>
            </w:r>
          </w:p>
        </w:tc>
        <w:tc>
          <w:tcPr>
            <w:tcW w:w="469" w:type="pct"/>
            <w:vAlign w:val="center"/>
          </w:tcPr>
          <w:p>
            <w:pPr>
              <w:pStyle w:val="162"/>
              <w:spacing w:line="240" w:lineRule="exact"/>
              <w:jc w:val="center"/>
              <w:rPr>
                <w:rFonts w:cs="宋体"/>
                <w:b/>
                <w:color w:val="auto"/>
                <w:highlight w:val="none"/>
              </w:rPr>
            </w:pPr>
            <w:r>
              <w:rPr>
                <w:rFonts w:hint="eastAsia" w:cs="宋体"/>
                <w:b/>
                <w:color w:val="auto"/>
                <w:highlight w:val="none"/>
              </w:rPr>
              <w:t>最少投入人员数量</w:t>
            </w:r>
          </w:p>
        </w:tc>
        <w:tc>
          <w:tcPr>
            <w:tcW w:w="1806" w:type="pct"/>
            <w:vAlign w:val="center"/>
          </w:tcPr>
          <w:p>
            <w:pPr>
              <w:pStyle w:val="128"/>
              <w:spacing w:after="156" w:line="240" w:lineRule="exact"/>
              <w:rPr>
                <w:rFonts w:ascii="宋体" w:hAnsi="宋体" w:cs="宋体"/>
                <w:b/>
                <w:color w:val="auto"/>
                <w:szCs w:val="21"/>
                <w:highlight w:val="none"/>
              </w:rPr>
            </w:pPr>
            <w:r>
              <w:rPr>
                <w:rFonts w:hint="eastAsia" w:ascii="宋体" w:hAnsi="宋体" w:cs="宋体"/>
                <w:b/>
                <w:color w:val="auto"/>
                <w:szCs w:val="21"/>
                <w:highlight w:val="none"/>
              </w:rPr>
              <w:t>基本要求</w:t>
            </w:r>
          </w:p>
        </w:tc>
        <w:tc>
          <w:tcPr>
            <w:tcW w:w="1481" w:type="pct"/>
            <w:vAlign w:val="center"/>
          </w:tcPr>
          <w:p>
            <w:pPr>
              <w:pStyle w:val="128"/>
              <w:spacing w:after="156" w:line="240" w:lineRule="exact"/>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color w:val="auto"/>
                <w:highlight w:val="none"/>
              </w:rPr>
              <w:t>项目负责人</w:t>
            </w:r>
            <w:r>
              <w:rPr>
                <w:rFonts w:hint="eastAsia" w:cs="宋体"/>
                <w:bCs/>
                <w:color w:val="auto"/>
                <w:highlight w:val="none"/>
                <w:lang w:val="zh-TW"/>
              </w:rPr>
              <w:t>（兼施工负责人）</w:t>
            </w:r>
          </w:p>
        </w:tc>
        <w:tc>
          <w:tcPr>
            <w:tcW w:w="469" w:type="pct"/>
            <w:vAlign w:val="center"/>
          </w:tcPr>
          <w:p>
            <w:pPr>
              <w:pStyle w:val="162"/>
              <w:spacing w:line="280" w:lineRule="exact"/>
              <w:jc w:val="center"/>
              <w:rPr>
                <w:rFonts w:cs="宋体"/>
                <w:color w:val="auto"/>
                <w:highlight w:val="none"/>
              </w:rPr>
            </w:pPr>
            <w:r>
              <w:rPr>
                <w:rFonts w:hint="eastAsia" w:cs="宋体"/>
                <w:color w:val="auto"/>
                <w:highlight w:val="none"/>
              </w:rPr>
              <w:t>1</w:t>
            </w:r>
          </w:p>
        </w:tc>
        <w:tc>
          <w:tcPr>
            <w:tcW w:w="1806" w:type="pct"/>
            <w:vAlign w:val="center"/>
          </w:tcPr>
          <w:p>
            <w:pPr>
              <w:pStyle w:val="162"/>
              <w:spacing w:line="280" w:lineRule="exact"/>
              <w:rPr>
                <w:rFonts w:cs="宋体"/>
                <w:color w:val="auto"/>
                <w:highlight w:val="none"/>
              </w:rPr>
            </w:pPr>
            <w:r>
              <w:rPr>
                <w:rFonts w:hint="eastAsia" w:cs="宋体"/>
                <w:color w:val="auto"/>
                <w:highlight w:val="none"/>
              </w:rPr>
              <w:t>按招标公告要求。</w:t>
            </w:r>
          </w:p>
        </w:tc>
        <w:tc>
          <w:tcPr>
            <w:tcW w:w="1481" w:type="pct"/>
            <w:vMerge w:val="restart"/>
            <w:vAlign w:val="center"/>
          </w:tcPr>
          <w:p>
            <w:pPr>
              <w:spacing w:line="280" w:lineRule="exact"/>
              <w:jc w:val="left"/>
              <w:rPr>
                <w:rFonts w:ascii="宋体" w:hAnsi="宋体" w:cs="宋体"/>
                <w:color w:val="auto"/>
                <w:szCs w:val="21"/>
                <w:highlight w:val="none"/>
              </w:rPr>
            </w:pPr>
            <w:r>
              <w:rPr>
                <w:rFonts w:hint="eastAsia" w:ascii="宋体" w:hAnsi="宋体" w:cs="宋体"/>
                <w:bCs/>
                <w:color w:val="auto"/>
                <w:szCs w:val="21"/>
                <w:highlight w:val="none"/>
              </w:rPr>
              <w:t>组成联合体投标的，由主办方提供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color w:val="auto"/>
                <w:highlight w:val="none"/>
              </w:rPr>
              <w:t>技术负责人</w:t>
            </w:r>
          </w:p>
        </w:tc>
        <w:tc>
          <w:tcPr>
            <w:tcW w:w="469" w:type="pct"/>
            <w:vAlign w:val="center"/>
          </w:tcPr>
          <w:p>
            <w:pPr>
              <w:pStyle w:val="162"/>
              <w:spacing w:line="280" w:lineRule="exact"/>
              <w:jc w:val="center"/>
              <w:rPr>
                <w:rFonts w:cs="宋体"/>
                <w:color w:val="auto"/>
                <w:highlight w:val="none"/>
              </w:rPr>
            </w:pPr>
            <w:r>
              <w:rPr>
                <w:rFonts w:hint="eastAsia" w:cs="宋体"/>
                <w:color w:val="auto"/>
                <w:highlight w:val="none"/>
              </w:rPr>
              <w:t>1</w:t>
            </w:r>
          </w:p>
        </w:tc>
        <w:tc>
          <w:tcPr>
            <w:tcW w:w="1806" w:type="pct"/>
            <w:vAlign w:val="center"/>
          </w:tcPr>
          <w:p>
            <w:pPr>
              <w:pStyle w:val="162"/>
              <w:spacing w:line="280" w:lineRule="exact"/>
              <w:rPr>
                <w:rFonts w:cs="宋体"/>
                <w:color w:val="auto"/>
                <w:highlight w:val="none"/>
              </w:rPr>
            </w:pPr>
            <w:r>
              <w:rPr>
                <w:rFonts w:hint="eastAsia" w:cs="宋体"/>
                <w:color w:val="auto"/>
                <w:highlight w:val="none"/>
              </w:rPr>
              <w:t>按招标公告要求。</w:t>
            </w:r>
          </w:p>
        </w:tc>
        <w:tc>
          <w:tcPr>
            <w:tcW w:w="1481" w:type="pct"/>
            <w:vMerge w:val="continue"/>
            <w:vAlign w:val="center"/>
          </w:tcPr>
          <w:p>
            <w:pPr>
              <w:spacing w:line="28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color w:val="auto"/>
                <w:highlight w:val="none"/>
              </w:rPr>
              <w:t>专职安全员</w:t>
            </w:r>
          </w:p>
        </w:tc>
        <w:tc>
          <w:tcPr>
            <w:tcW w:w="469" w:type="pct"/>
            <w:vAlign w:val="center"/>
          </w:tcPr>
          <w:p>
            <w:pPr>
              <w:pStyle w:val="162"/>
              <w:spacing w:line="280" w:lineRule="exact"/>
              <w:jc w:val="center"/>
              <w:rPr>
                <w:rFonts w:cs="宋体"/>
                <w:color w:val="auto"/>
                <w:highlight w:val="none"/>
              </w:rPr>
            </w:pPr>
            <w:r>
              <w:rPr>
                <w:rFonts w:hint="eastAsia" w:cs="宋体"/>
                <w:color w:val="auto"/>
                <w:highlight w:val="none"/>
              </w:rPr>
              <w:t>1</w:t>
            </w:r>
          </w:p>
        </w:tc>
        <w:tc>
          <w:tcPr>
            <w:tcW w:w="1806" w:type="pct"/>
            <w:vAlign w:val="center"/>
          </w:tcPr>
          <w:p>
            <w:pPr>
              <w:pStyle w:val="162"/>
              <w:spacing w:line="280" w:lineRule="exact"/>
              <w:rPr>
                <w:rFonts w:cs="宋体"/>
                <w:color w:val="auto"/>
                <w:highlight w:val="none"/>
              </w:rPr>
            </w:pPr>
            <w:r>
              <w:rPr>
                <w:rFonts w:hint="eastAsia" w:cs="宋体"/>
                <w:color w:val="auto"/>
                <w:highlight w:val="none"/>
              </w:rPr>
              <w:t>按招标公告要求。</w:t>
            </w:r>
          </w:p>
        </w:tc>
        <w:tc>
          <w:tcPr>
            <w:tcW w:w="1481" w:type="pct"/>
            <w:vMerge w:val="continue"/>
            <w:vAlign w:val="center"/>
          </w:tcPr>
          <w:p>
            <w:pPr>
              <w:spacing w:line="28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bCs/>
                <w:color w:val="auto"/>
                <w:highlight w:val="none"/>
                <w:lang w:val="zh-TW"/>
              </w:rPr>
              <w:t>质量</w:t>
            </w:r>
            <w:r>
              <w:rPr>
                <w:rFonts w:hint="eastAsia" w:cs="宋体"/>
                <w:color w:val="auto"/>
                <w:highlight w:val="none"/>
              </w:rPr>
              <w:t>负责人</w:t>
            </w:r>
          </w:p>
        </w:tc>
        <w:tc>
          <w:tcPr>
            <w:tcW w:w="469" w:type="pct"/>
            <w:vAlign w:val="center"/>
          </w:tcPr>
          <w:p>
            <w:pPr>
              <w:pStyle w:val="162"/>
              <w:spacing w:line="280" w:lineRule="exact"/>
              <w:jc w:val="center"/>
              <w:rPr>
                <w:rFonts w:hint="eastAsia" w:eastAsia="宋体" w:cs="宋体"/>
                <w:color w:val="auto"/>
                <w:highlight w:val="none"/>
                <w:lang w:eastAsia="zh-CN"/>
              </w:rPr>
            </w:pPr>
            <w:r>
              <w:rPr>
                <w:rFonts w:hint="eastAsia" w:cs="宋体"/>
                <w:color w:val="auto"/>
                <w:highlight w:val="none"/>
                <w:lang w:val="en-US" w:eastAsia="zh-CN"/>
              </w:rPr>
              <w:t>1</w:t>
            </w:r>
          </w:p>
        </w:tc>
        <w:tc>
          <w:tcPr>
            <w:tcW w:w="1806" w:type="pct"/>
            <w:vAlign w:val="center"/>
          </w:tcPr>
          <w:p>
            <w:pPr>
              <w:pStyle w:val="162"/>
              <w:spacing w:line="280" w:lineRule="exact"/>
              <w:rPr>
                <w:rFonts w:cs="宋体"/>
                <w:color w:val="auto"/>
                <w:highlight w:val="none"/>
              </w:rPr>
            </w:pPr>
            <w:r>
              <w:rPr>
                <w:rFonts w:hint="eastAsia" w:cs="宋体"/>
                <w:bCs/>
                <w:color w:val="auto"/>
                <w:highlight w:val="none"/>
                <w:lang w:val="en-US" w:eastAsia="zh-CN"/>
              </w:rPr>
              <w:t>具</w:t>
            </w:r>
            <w:r>
              <w:rPr>
                <w:rFonts w:hint="eastAsia" w:cs="宋体"/>
                <w:bCs/>
                <w:color w:val="auto"/>
                <w:highlight w:val="none"/>
                <w:lang w:val="zh-TW"/>
              </w:rPr>
              <w:t>有</w:t>
            </w:r>
            <w:r>
              <w:rPr>
                <w:rFonts w:hint="eastAsia" w:cs="宋体"/>
                <w:bCs/>
                <w:color w:val="auto"/>
                <w:highlight w:val="none"/>
                <w:lang w:val="en-US" w:eastAsia="zh-CN"/>
              </w:rPr>
              <w:t>电力</w:t>
            </w:r>
            <w:r>
              <w:rPr>
                <w:rFonts w:hint="eastAsia" w:cs="宋体"/>
                <w:bCs/>
                <w:color w:val="auto"/>
                <w:highlight w:val="none"/>
                <w:lang w:val="zh-TW"/>
              </w:rPr>
              <w:t>工程类</w:t>
            </w:r>
            <w:r>
              <w:rPr>
                <w:rFonts w:hint="eastAsia" w:cs="宋体"/>
                <w:bCs/>
                <w:color w:val="auto"/>
                <w:highlight w:val="none"/>
                <w:lang w:val="en-US" w:eastAsia="zh-CN"/>
              </w:rPr>
              <w:t>中级</w:t>
            </w:r>
            <w:r>
              <w:rPr>
                <w:rFonts w:hint="eastAsia" w:cs="宋体"/>
                <w:bCs/>
                <w:color w:val="auto"/>
                <w:highlight w:val="none"/>
                <w:lang w:val="zh-TW"/>
              </w:rPr>
              <w:t>或以上职称。</w:t>
            </w:r>
          </w:p>
        </w:tc>
        <w:tc>
          <w:tcPr>
            <w:tcW w:w="1481" w:type="pct"/>
            <w:vMerge w:val="continue"/>
            <w:vAlign w:val="center"/>
          </w:tcPr>
          <w:p>
            <w:pPr>
              <w:spacing w:line="28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bCs/>
                <w:color w:val="auto"/>
                <w:highlight w:val="none"/>
                <w:lang w:val="zh-TW"/>
              </w:rPr>
              <w:t>安全负责人</w:t>
            </w:r>
          </w:p>
        </w:tc>
        <w:tc>
          <w:tcPr>
            <w:tcW w:w="469" w:type="pct"/>
            <w:vAlign w:val="center"/>
          </w:tcPr>
          <w:p>
            <w:pPr>
              <w:pStyle w:val="162"/>
              <w:spacing w:line="280" w:lineRule="exact"/>
              <w:jc w:val="center"/>
              <w:rPr>
                <w:rFonts w:cs="宋体"/>
                <w:color w:val="auto"/>
                <w:highlight w:val="none"/>
              </w:rPr>
            </w:pPr>
            <w:r>
              <w:rPr>
                <w:rFonts w:hint="eastAsia" w:cs="宋体"/>
                <w:color w:val="auto"/>
                <w:highlight w:val="none"/>
              </w:rPr>
              <w:t>1</w:t>
            </w:r>
          </w:p>
        </w:tc>
        <w:tc>
          <w:tcPr>
            <w:tcW w:w="1806" w:type="pct"/>
            <w:vAlign w:val="center"/>
          </w:tcPr>
          <w:p>
            <w:pPr>
              <w:pStyle w:val="162"/>
              <w:spacing w:line="280" w:lineRule="exact"/>
              <w:rPr>
                <w:rFonts w:cs="宋体"/>
                <w:color w:val="auto"/>
                <w:highlight w:val="none"/>
              </w:rPr>
            </w:pPr>
            <w:r>
              <w:rPr>
                <w:rFonts w:hint="eastAsia" w:cs="宋体"/>
                <w:bCs/>
                <w:color w:val="auto"/>
                <w:highlight w:val="none"/>
                <w:lang w:val="zh-TW"/>
              </w:rPr>
              <w:t>具有</w:t>
            </w:r>
            <w:r>
              <w:rPr>
                <w:rFonts w:hint="eastAsia" w:cs="宋体"/>
                <w:bCs/>
                <w:color w:val="auto"/>
                <w:highlight w:val="none"/>
                <w:lang w:val="en-US" w:eastAsia="zh-CN"/>
              </w:rPr>
              <w:t>电力</w:t>
            </w:r>
            <w:r>
              <w:rPr>
                <w:rFonts w:hint="eastAsia" w:cs="宋体"/>
                <w:bCs/>
                <w:color w:val="auto"/>
                <w:highlight w:val="none"/>
                <w:lang w:val="zh-TW"/>
              </w:rPr>
              <w:t>工程类</w:t>
            </w:r>
            <w:r>
              <w:rPr>
                <w:rFonts w:hint="eastAsia" w:cs="宋体"/>
                <w:bCs/>
                <w:color w:val="auto"/>
                <w:highlight w:val="none"/>
                <w:lang w:val="en-US" w:eastAsia="zh-CN"/>
              </w:rPr>
              <w:t>中级</w:t>
            </w:r>
            <w:r>
              <w:rPr>
                <w:rFonts w:hint="eastAsia" w:cs="宋体"/>
                <w:bCs/>
                <w:color w:val="auto"/>
                <w:highlight w:val="none"/>
                <w:lang w:val="zh-TW"/>
              </w:rPr>
              <w:t>或以上职称。</w:t>
            </w:r>
          </w:p>
        </w:tc>
        <w:tc>
          <w:tcPr>
            <w:tcW w:w="1481" w:type="pct"/>
            <w:vMerge w:val="continue"/>
            <w:vAlign w:val="center"/>
          </w:tcPr>
          <w:p>
            <w:pPr>
              <w:spacing w:line="28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snapToGrid w:val="0"/>
              <w:spacing w:line="240" w:lineRule="atLeast"/>
              <w:ind w:left="42" w:leftChars="20" w:right="42" w:rightChars="20"/>
              <w:jc w:val="center"/>
              <w:rPr>
                <w:rFonts w:ascii="宋体" w:hAnsi="宋体" w:cs="宋体"/>
                <w:bCs/>
                <w:color w:val="auto"/>
                <w:szCs w:val="21"/>
                <w:highlight w:val="none"/>
                <w:lang w:val="zh-TW"/>
              </w:rPr>
            </w:pPr>
            <w:r>
              <w:rPr>
                <w:rFonts w:hint="eastAsia" w:ascii="宋体" w:hAnsi="宋体" w:cs="宋体"/>
                <w:bCs/>
                <w:color w:val="auto"/>
                <w:szCs w:val="21"/>
                <w:highlight w:val="none"/>
              </w:rPr>
              <w:t>其他专业工程师</w:t>
            </w:r>
          </w:p>
        </w:tc>
        <w:tc>
          <w:tcPr>
            <w:tcW w:w="469" w:type="pct"/>
            <w:vAlign w:val="center"/>
          </w:tcPr>
          <w:p>
            <w:pPr>
              <w:snapToGrid w:val="0"/>
              <w:spacing w:line="240" w:lineRule="atLeast"/>
              <w:ind w:left="42" w:leftChars="2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lang w:val="en-US" w:eastAsia="zh-CN"/>
              </w:rPr>
              <w:t>5</w:t>
            </w:r>
          </w:p>
        </w:tc>
        <w:tc>
          <w:tcPr>
            <w:tcW w:w="1806" w:type="pct"/>
            <w:vAlign w:val="center"/>
          </w:tcPr>
          <w:p>
            <w:pPr>
              <w:snapToGrid w:val="0"/>
              <w:spacing w:line="240" w:lineRule="atLeast"/>
              <w:ind w:left="42" w:leftChars="20" w:right="42" w:rightChars="20"/>
              <w:jc w:val="left"/>
              <w:rPr>
                <w:rFonts w:ascii="宋体" w:hAnsi="宋体" w:cs="宋体"/>
                <w:bCs/>
                <w:color w:val="auto"/>
                <w:szCs w:val="21"/>
                <w:highlight w:val="none"/>
              </w:rPr>
            </w:pPr>
            <w:r>
              <w:rPr>
                <w:rFonts w:ascii="宋体" w:hAnsi="宋体" w:cs="宋体"/>
                <w:bCs/>
                <w:color w:val="auto"/>
                <w:szCs w:val="21"/>
                <w:highlight w:val="none"/>
              </w:rPr>
              <w:t>具有对应专业（中级或以上）技术职称的</w:t>
            </w:r>
            <w:r>
              <w:rPr>
                <w:rFonts w:hint="eastAsia" w:ascii="宋体" w:hAnsi="宋体" w:cs="宋体"/>
                <w:bCs/>
                <w:color w:val="auto"/>
                <w:szCs w:val="21"/>
                <w:highlight w:val="none"/>
              </w:rPr>
              <w:t>：</w:t>
            </w:r>
          </w:p>
          <w:p>
            <w:pPr>
              <w:snapToGrid w:val="0"/>
              <w:spacing w:line="240" w:lineRule="atLeast"/>
              <w:ind w:left="42" w:leftChars="20" w:right="42" w:rightChars="20"/>
              <w:jc w:val="left"/>
              <w:rPr>
                <w:rFonts w:ascii="宋体" w:hAnsi="宋体" w:cs="宋体"/>
                <w:bCs/>
                <w:color w:val="auto"/>
                <w:szCs w:val="21"/>
                <w:highlight w:val="none"/>
              </w:rPr>
            </w:pPr>
            <w:r>
              <w:rPr>
                <w:rFonts w:ascii="宋体" w:hAnsi="宋体" w:cs="宋体"/>
                <w:bCs/>
                <w:color w:val="auto"/>
                <w:szCs w:val="21"/>
                <w:highlight w:val="none"/>
              </w:rPr>
              <w:t>【其他专业指：1、</w:t>
            </w:r>
            <w:r>
              <w:rPr>
                <w:rFonts w:hint="eastAsia" w:ascii="宋体" w:hAnsi="宋体" w:cs="宋体"/>
                <w:bCs/>
                <w:color w:val="auto"/>
                <w:szCs w:val="21"/>
                <w:highlight w:val="none"/>
                <w:lang w:val="en-US" w:eastAsia="zh-CN"/>
              </w:rPr>
              <w:t>机电安装</w:t>
            </w:r>
            <w:r>
              <w:rPr>
                <w:rFonts w:ascii="宋体" w:hAnsi="宋体" w:cs="宋体"/>
                <w:bCs/>
                <w:color w:val="auto"/>
                <w:szCs w:val="21"/>
                <w:highlight w:val="none"/>
              </w:rPr>
              <w:t>类</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电力</w:t>
            </w:r>
            <w:r>
              <w:rPr>
                <w:rFonts w:hint="eastAsia" w:ascii="宋体" w:hAnsi="宋体" w:cs="宋体"/>
                <w:bCs/>
                <w:color w:val="auto"/>
                <w:szCs w:val="21"/>
                <w:highlight w:val="none"/>
              </w:rPr>
              <w:t>工程类</w:t>
            </w:r>
            <w:r>
              <w:rPr>
                <w:rFonts w:ascii="宋体" w:hAnsi="宋体" w:cs="宋体"/>
                <w:bCs/>
                <w:color w:val="auto"/>
                <w:szCs w:val="21"/>
                <w:highlight w:val="none"/>
              </w:rPr>
              <w:t>】</w:t>
            </w:r>
          </w:p>
          <w:p>
            <w:pPr>
              <w:snapToGrid w:val="0"/>
              <w:spacing w:line="240" w:lineRule="atLeast"/>
              <w:ind w:left="42" w:leftChars="20" w:right="42" w:rightChars="20"/>
              <w:jc w:val="left"/>
              <w:rPr>
                <w:rFonts w:ascii="宋体" w:hAnsi="宋体" w:cs="宋体"/>
                <w:bCs/>
                <w:color w:val="auto"/>
                <w:szCs w:val="21"/>
                <w:highlight w:val="none"/>
                <w:lang w:val="zh-TW"/>
              </w:rPr>
            </w:pPr>
            <w:r>
              <w:rPr>
                <w:rFonts w:ascii="宋体" w:hAnsi="宋体" w:cs="宋体"/>
                <w:bCs/>
                <w:color w:val="auto"/>
                <w:szCs w:val="21"/>
                <w:highlight w:val="none"/>
              </w:rPr>
              <w:t>注</w:t>
            </w:r>
            <w:r>
              <w:rPr>
                <w:rFonts w:hint="eastAsia" w:ascii="宋体" w:hAnsi="宋体" w:cs="宋体"/>
                <w:bCs/>
                <w:color w:val="auto"/>
                <w:szCs w:val="21"/>
                <w:highlight w:val="none"/>
              </w:rPr>
              <w:t>：</w:t>
            </w:r>
            <w:r>
              <w:rPr>
                <w:rFonts w:ascii="宋体" w:hAnsi="宋体" w:cs="宋体"/>
                <w:bCs/>
                <w:color w:val="auto"/>
                <w:szCs w:val="21"/>
                <w:highlight w:val="none"/>
              </w:rPr>
              <w:t>具体专业名称按照职称证书所列相关专业进行评审。</w:t>
            </w:r>
          </w:p>
        </w:tc>
        <w:tc>
          <w:tcPr>
            <w:tcW w:w="1481" w:type="pct"/>
            <w:vMerge w:val="continue"/>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color w:val="auto"/>
                <w:highlight w:val="none"/>
              </w:rPr>
              <w:t>设计负责人</w:t>
            </w:r>
          </w:p>
        </w:tc>
        <w:tc>
          <w:tcPr>
            <w:tcW w:w="469" w:type="pct"/>
            <w:vAlign w:val="center"/>
          </w:tcPr>
          <w:p>
            <w:pPr>
              <w:pStyle w:val="162"/>
              <w:spacing w:line="280" w:lineRule="exact"/>
              <w:jc w:val="center"/>
              <w:rPr>
                <w:rFonts w:hint="eastAsia" w:eastAsia="宋体" w:cs="宋体"/>
                <w:color w:val="auto"/>
                <w:highlight w:val="none"/>
                <w:lang w:eastAsia="zh-CN"/>
              </w:rPr>
            </w:pPr>
            <w:r>
              <w:rPr>
                <w:rFonts w:hint="eastAsia" w:cs="宋体"/>
                <w:color w:val="auto"/>
                <w:highlight w:val="none"/>
                <w:lang w:val="en-US" w:eastAsia="zh-CN"/>
              </w:rPr>
              <w:t>1</w:t>
            </w:r>
          </w:p>
        </w:tc>
        <w:tc>
          <w:tcPr>
            <w:tcW w:w="1806" w:type="pct"/>
            <w:vAlign w:val="center"/>
          </w:tcPr>
          <w:p>
            <w:pPr>
              <w:pStyle w:val="162"/>
              <w:spacing w:line="280" w:lineRule="exact"/>
              <w:rPr>
                <w:color w:val="auto"/>
                <w:highlight w:val="none"/>
              </w:rPr>
            </w:pPr>
            <w:r>
              <w:rPr>
                <w:rFonts w:hint="eastAsia" w:cs="宋体"/>
                <w:color w:val="auto"/>
                <w:kern w:val="0"/>
                <w:highlight w:val="none"/>
              </w:rPr>
              <w:t>按招标公告要求。</w:t>
            </w:r>
          </w:p>
        </w:tc>
        <w:tc>
          <w:tcPr>
            <w:tcW w:w="1481" w:type="pct"/>
            <w:vMerge w:val="restart"/>
            <w:vAlign w:val="center"/>
          </w:tcPr>
          <w:p>
            <w:pPr>
              <w:spacing w:line="280" w:lineRule="exact"/>
              <w:jc w:val="left"/>
              <w:rPr>
                <w:rFonts w:ascii="宋体" w:hAnsi="宋体" w:cs="宋体"/>
                <w:color w:val="auto"/>
                <w:szCs w:val="21"/>
                <w:highlight w:val="none"/>
              </w:rPr>
            </w:pPr>
            <w:r>
              <w:rPr>
                <w:rFonts w:hint="eastAsia" w:ascii="宋体" w:hAnsi="宋体" w:cs="宋体"/>
                <w:bCs/>
                <w:color w:val="auto"/>
                <w:szCs w:val="21"/>
                <w:highlight w:val="none"/>
              </w:rPr>
              <w:t>组成联合体投标的，由设计方提供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color w:val="auto"/>
                <w:highlight w:val="none"/>
                <w:lang w:val="en-US" w:eastAsia="zh-CN"/>
              </w:rPr>
              <w:t>电力</w:t>
            </w:r>
            <w:r>
              <w:rPr>
                <w:rFonts w:hint="eastAsia" w:cs="宋体"/>
                <w:color w:val="auto"/>
                <w:highlight w:val="none"/>
              </w:rPr>
              <w:t>专业负责人</w:t>
            </w:r>
          </w:p>
        </w:tc>
        <w:tc>
          <w:tcPr>
            <w:tcW w:w="0" w:type="auto"/>
            <w:vAlign w:val="center"/>
          </w:tcPr>
          <w:p>
            <w:pPr>
              <w:pStyle w:val="162"/>
              <w:spacing w:line="280" w:lineRule="exact"/>
              <w:jc w:val="center"/>
              <w:rPr>
                <w:rFonts w:hint="eastAsia" w:eastAsia="宋体" w:cs="宋体"/>
                <w:color w:val="auto"/>
                <w:highlight w:val="none"/>
                <w:lang w:eastAsia="zh-CN"/>
              </w:rPr>
            </w:pPr>
            <w:r>
              <w:rPr>
                <w:rFonts w:hint="eastAsia" w:cs="宋体"/>
                <w:color w:val="auto"/>
                <w:highlight w:val="none"/>
                <w:lang w:val="en-US" w:eastAsia="zh-CN"/>
              </w:rPr>
              <w:t>1</w:t>
            </w:r>
          </w:p>
        </w:tc>
        <w:tc>
          <w:tcPr>
            <w:tcW w:w="1806" w:type="pct"/>
            <w:vAlign w:val="center"/>
          </w:tcPr>
          <w:p>
            <w:pPr>
              <w:pStyle w:val="162"/>
              <w:spacing w:line="280" w:lineRule="exact"/>
              <w:rPr>
                <w:rFonts w:cs="宋体"/>
                <w:color w:val="auto"/>
                <w:highlight w:val="none"/>
              </w:rPr>
            </w:pPr>
            <w:r>
              <w:rPr>
                <w:rFonts w:hint="eastAsia" w:cs="宋体"/>
                <w:bCs/>
                <w:color w:val="auto"/>
                <w:highlight w:val="none"/>
                <w:lang w:val="zh-TW"/>
              </w:rPr>
              <w:t>具有</w:t>
            </w:r>
            <w:r>
              <w:rPr>
                <w:rFonts w:hint="eastAsia" w:cs="宋体"/>
                <w:bCs/>
                <w:color w:val="auto"/>
                <w:highlight w:val="none"/>
                <w:lang w:val="en-US" w:eastAsia="zh-CN"/>
              </w:rPr>
              <w:t>电力</w:t>
            </w:r>
            <w:r>
              <w:rPr>
                <w:rFonts w:hint="eastAsia" w:cs="宋体"/>
                <w:bCs/>
                <w:color w:val="auto"/>
                <w:highlight w:val="none"/>
              </w:rPr>
              <w:t>相关专业中</w:t>
            </w:r>
            <w:r>
              <w:rPr>
                <w:rFonts w:hint="eastAsia" w:cs="宋体"/>
                <w:bCs/>
                <w:color w:val="auto"/>
                <w:highlight w:val="none"/>
                <w:lang w:val="zh-TW"/>
              </w:rPr>
              <w:t>级或以上职称</w:t>
            </w:r>
            <w:r>
              <w:rPr>
                <w:rFonts w:hint="eastAsia" w:cs="宋体"/>
                <w:color w:val="auto"/>
                <w:highlight w:val="none"/>
              </w:rPr>
              <w:t>。</w:t>
            </w:r>
          </w:p>
        </w:tc>
        <w:tc>
          <w:tcPr>
            <w:tcW w:w="1481" w:type="pct"/>
            <w:vMerge w:val="continue"/>
            <w:vAlign w:val="center"/>
          </w:tcPr>
          <w:p>
            <w:pPr>
              <w:spacing w:line="28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pPr>
              <w:pStyle w:val="130"/>
              <w:numPr>
                <w:ilvl w:val="0"/>
                <w:numId w:val="4"/>
              </w:numPr>
              <w:spacing w:line="280" w:lineRule="exact"/>
              <w:ind w:left="630" w:firstLineChars="0"/>
              <w:jc w:val="center"/>
              <w:rPr>
                <w:rFonts w:ascii="宋体" w:hAnsi="宋体" w:cs="宋体"/>
                <w:color w:val="auto"/>
                <w:szCs w:val="21"/>
                <w:highlight w:val="none"/>
              </w:rPr>
            </w:pPr>
          </w:p>
        </w:tc>
        <w:tc>
          <w:tcPr>
            <w:tcW w:w="829" w:type="pct"/>
            <w:vAlign w:val="center"/>
          </w:tcPr>
          <w:p>
            <w:pPr>
              <w:pStyle w:val="162"/>
              <w:spacing w:line="280" w:lineRule="exact"/>
              <w:rPr>
                <w:rFonts w:cs="宋体"/>
                <w:color w:val="auto"/>
                <w:highlight w:val="none"/>
              </w:rPr>
            </w:pPr>
            <w:r>
              <w:rPr>
                <w:rFonts w:hint="eastAsia" w:cs="宋体"/>
                <w:color w:val="auto"/>
                <w:highlight w:val="none"/>
              </w:rPr>
              <w:t>电气专业负责人</w:t>
            </w:r>
          </w:p>
        </w:tc>
        <w:tc>
          <w:tcPr>
            <w:tcW w:w="0" w:type="auto"/>
            <w:vAlign w:val="center"/>
          </w:tcPr>
          <w:p>
            <w:pPr>
              <w:pStyle w:val="162"/>
              <w:spacing w:line="280" w:lineRule="exact"/>
              <w:jc w:val="center"/>
              <w:rPr>
                <w:rFonts w:hint="eastAsia" w:eastAsia="宋体" w:cs="宋体"/>
                <w:color w:val="auto"/>
                <w:highlight w:val="none"/>
                <w:lang w:eastAsia="zh-CN"/>
              </w:rPr>
            </w:pPr>
            <w:r>
              <w:rPr>
                <w:rFonts w:hint="eastAsia" w:cs="宋体"/>
                <w:color w:val="auto"/>
                <w:highlight w:val="none"/>
                <w:lang w:val="en-US" w:eastAsia="zh-CN"/>
              </w:rPr>
              <w:t>1</w:t>
            </w:r>
          </w:p>
        </w:tc>
        <w:tc>
          <w:tcPr>
            <w:tcW w:w="1806" w:type="pct"/>
            <w:vAlign w:val="center"/>
          </w:tcPr>
          <w:p>
            <w:pPr>
              <w:pStyle w:val="162"/>
              <w:spacing w:line="280" w:lineRule="exact"/>
              <w:rPr>
                <w:rFonts w:cs="宋体"/>
                <w:color w:val="auto"/>
                <w:highlight w:val="none"/>
              </w:rPr>
            </w:pPr>
            <w:r>
              <w:rPr>
                <w:rFonts w:hint="eastAsia" w:cs="宋体"/>
                <w:bCs/>
                <w:color w:val="auto"/>
                <w:highlight w:val="none"/>
                <w:lang w:val="zh-TW"/>
              </w:rPr>
              <w:t>具有</w:t>
            </w:r>
            <w:r>
              <w:rPr>
                <w:rFonts w:hint="eastAsia" w:cs="宋体"/>
                <w:bCs/>
                <w:color w:val="auto"/>
                <w:highlight w:val="none"/>
              </w:rPr>
              <w:t>电气专业中</w:t>
            </w:r>
            <w:r>
              <w:rPr>
                <w:rFonts w:hint="eastAsia" w:cs="宋体"/>
                <w:bCs/>
                <w:color w:val="auto"/>
                <w:highlight w:val="none"/>
                <w:lang w:val="zh-TW"/>
              </w:rPr>
              <w:t>级或以上职称</w:t>
            </w:r>
            <w:r>
              <w:rPr>
                <w:rFonts w:hint="eastAsia" w:cs="宋体"/>
                <w:color w:val="auto"/>
                <w:highlight w:val="none"/>
              </w:rPr>
              <w:t>。</w:t>
            </w:r>
          </w:p>
        </w:tc>
        <w:tc>
          <w:tcPr>
            <w:tcW w:w="1481" w:type="pct"/>
            <w:vMerge w:val="continue"/>
            <w:vAlign w:val="center"/>
          </w:tcPr>
          <w:p>
            <w:pPr>
              <w:spacing w:line="280" w:lineRule="exact"/>
              <w:jc w:val="left"/>
              <w:rPr>
                <w:rFonts w:ascii="宋体" w:hAnsi="宋体" w:cs="宋体"/>
                <w:color w:val="auto"/>
                <w:szCs w:val="21"/>
                <w:highlight w:val="none"/>
              </w:rPr>
            </w:pPr>
          </w:p>
        </w:tc>
      </w:tr>
    </w:tbl>
    <w:p>
      <w:pPr>
        <w:pStyle w:val="35"/>
        <w:spacing w:before="0" w:beforeAutospacing="0" w:after="0" w:afterAutospacing="0"/>
        <w:rPr>
          <w:rFonts w:hint="eastAsia"/>
          <w:color w:val="auto"/>
          <w:sz w:val="21"/>
          <w:szCs w:val="21"/>
          <w:highlight w:val="none"/>
          <w:lang w:val="zh-TW"/>
        </w:rPr>
      </w:pPr>
      <w:r>
        <w:rPr>
          <w:rFonts w:hint="eastAsia"/>
          <w:color w:val="auto"/>
          <w:sz w:val="21"/>
          <w:szCs w:val="21"/>
          <w:highlight w:val="none"/>
        </w:rPr>
        <w:t>注：①</w:t>
      </w:r>
      <w:r>
        <w:rPr>
          <w:rFonts w:hint="eastAsia"/>
          <w:color w:val="auto"/>
          <w:sz w:val="21"/>
          <w:szCs w:val="21"/>
          <w:highlight w:val="none"/>
          <w:lang w:val="zh-TW"/>
        </w:rPr>
        <w:t>上表中的人员</w:t>
      </w:r>
      <w:r>
        <w:rPr>
          <w:rFonts w:hint="eastAsia"/>
          <w:color w:val="auto"/>
          <w:sz w:val="21"/>
          <w:szCs w:val="21"/>
          <w:highlight w:val="none"/>
        </w:rPr>
        <w:t>专业</w:t>
      </w:r>
      <w:r>
        <w:rPr>
          <w:rFonts w:hint="eastAsia"/>
          <w:color w:val="auto"/>
          <w:sz w:val="21"/>
          <w:szCs w:val="21"/>
          <w:highlight w:val="none"/>
          <w:lang w:val="zh-TW"/>
        </w:rPr>
        <w:t>以相关职称证书或执业资格证书或执业注册证书为准，投标人（</w:t>
      </w:r>
      <w:r>
        <w:rPr>
          <w:rFonts w:hint="eastAsia"/>
          <w:color w:val="auto"/>
          <w:sz w:val="21"/>
          <w:szCs w:val="21"/>
          <w:highlight w:val="none"/>
        </w:rPr>
        <w:t>若为联合体，指联合体各方</w:t>
      </w:r>
      <w:r>
        <w:rPr>
          <w:rFonts w:hint="eastAsia"/>
          <w:color w:val="auto"/>
          <w:sz w:val="21"/>
          <w:szCs w:val="21"/>
          <w:highlight w:val="none"/>
          <w:lang w:val="zh-TW"/>
        </w:rPr>
        <w:t>）须提交人员相关证书扫描件。</w:t>
      </w:r>
    </w:p>
    <w:p>
      <w:pPr>
        <w:pStyle w:val="35"/>
        <w:spacing w:before="0" w:beforeAutospacing="0" w:after="0" w:afterAutospacing="0"/>
        <w:rPr>
          <w:color w:val="auto"/>
          <w:sz w:val="21"/>
          <w:szCs w:val="21"/>
          <w:highlight w:val="none"/>
        </w:rPr>
      </w:pPr>
      <w:r>
        <w:rPr>
          <w:rFonts w:hint="eastAsia"/>
          <w:color w:val="auto"/>
          <w:sz w:val="21"/>
          <w:szCs w:val="21"/>
          <w:highlight w:val="none"/>
        </w:rPr>
        <w:t>②提供投标单位（不含投标人的子公司或母公司人员，含分公司</w:t>
      </w:r>
      <w:r>
        <w:rPr>
          <w:rFonts w:hint="eastAsia"/>
          <w:color w:val="auto"/>
          <w:sz w:val="21"/>
          <w:szCs w:val="21"/>
          <w:highlight w:val="none"/>
          <w:lang w:val="zh-TW"/>
        </w:rPr>
        <w:t>或分支机构</w:t>
      </w:r>
      <w:r>
        <w:rPr>
          <w:rFonts w:hint="eastAsia"/>
          <w:color w:val="auto"/>
          <w:sz w:val="21"/>
          <w:szCs w:val="21"/>
          <w:highlight w:val="none"/>
        </w:rPr>
        <w:t>）为</w:t>
      </w:r>
      <w:r>
        <w:rPr>
          <w:rFonts w:hint="eastAsia"/>
          <w:color w:val="auto"/>
          <w:sz w:val="21"/>
          <w:szCs w:val="21"/>
          <w:highlight w:val="none"/>
          <w:lang w:val="zh-TW"/>
        </w:rPr>
        <w:t>上表中</w:t>
      </w:r>
      <w:r>
        <w:rPr>
          <w:rFonts w:hint="eastAsia"/>
          <w:color w:val="auto"/>
          <w:sz w:val="21"/>
          <w:szCs w:val="21"/>
          <w:highlight w:val="none"/>
        </w:rPr>
        <w:t>人员购买的</w:t>
      </w:r>
      <w:r>
        <w:rPr>
          <w:rFonts w:hint="eastAsia"/>
          <w:color w:val="auto"/>
          <w:sz w:val="21"/>
          <w:szCs w:val="21"/>
          <w:highlight w:val="none"/>
          <w:lang w:val="zh-TW" w:eastAsia="zh-CN"/>
        </w:rPr>
        <w:t>投标截止前1个月</w:t>
      </w:r>
      <w:r>
        <w:rPr>
          <w:rFonts w:hint="eastAsia"/>
          <w:color w:val="auto"/>
          <w:sz w:val="21"/>
          <w:szCs w:val="21"/>
          <w:highlight w:val="none"/>
          <w:lang w:val="zh-TW"/>
        </w:rPr>
        <w:t>社保证明。</w:t>
      </w:r>
      <w:r>
        <w:rPr>
          <w:rFonts w:hint="eastAsia"/>
          <w:color w:val="auto"/>
          <w:sz w:val="21"/>
          <w:szCs w:val="21"/>
          <w:highlight w:val="none"/>
        </w:rPr>
        <w:t>确定中标人后，招标人将核实后续中标人项目经理部组成人员的社保补缴情况。</w:t>
      </w:r>
    </w:p>
    <w:p>
      <w:pPr>
        <w:pStyle w:val="35"/>
        <w:spacing w:before="210" w:after="0"/>
        <w:jc w:val="both"/>
        <w:rPr>
          <w:b/>
          <w:bCs/>
          <w:color w:val="auto"/>
          <w:kern w:val="44"/>
          <w:sz w:val="44"/>
          <w:szCs w:val="44"/>
          <w:highlight w:val="none"/>
        </w:rPr>
        <w:sectPr>
          <w:pgSz w:w="11906" w:h="16838"/>
          <w:pgMar w:top="1440" w:right="1066" w:bottom="1440" w:left="1180" w:header="851" w:footer="992" w:gutter="0"/>
          <w:cols w:space="720" w:num="1"/>
          <w:docGrid w:type="lines" w:linePitch="312" w:charSpace="0"/>
        </w:sectPr>
      </w:pPr>
      <w:bookmarkStart w:id="1130" w:name="_Toc26600"/>
      <w:bookmarkStart w:id="1131" w:name="_Toc27985"/>
      <w:bookmarkStart w:id="1132" w:name="_Toc485211107"/>
      <w:bookmarkStart w:id="1133" w:name="_Toc21185"/>
      <w:bookmarkStart w:id="1134" w:name="_Toc15305"/>
      <w:bookmarkStart w:id="1135" w:name="_Toc356306516"/>
      <w:bookmarkStart w:id="1136" w:name="_Toc25006"/>
      <w:bookmarkStart w:id="1137" w:name="_Toc17999"/>
      <w:bookmarkStart w:id="1138" w:name="_Toc12567"/>
    </w:p>
    <w:p>
      <w:pPr>
        <w:keepNext/>
        <w:keepLines/>
        <w:spacing w:before="340" w:after="330" w:line="576" w:lineRule="auto"/>
        <w:jc w:val="center"/>
        <w:outlineLvl w:val="0"/>
        <w:rPr>
          <w:color w:val="auto"/>
          <w:highlight w:val="none"/>
        </w:rPr>
      </w:pPr>
      <w:r>
        <w:rPr>
          <w:rFonts w:hint="eastAsia" w:ascii="宋体" w:hAnsi="宋体" w:cs="宋体"/>
          <w:b/>
          <w:bCs/>
          <w:color w:val="auto"/>
          <w:kern w:val="44"/>
          <w:sz w:val="44"/>
          <w:szCs w:val="44"/>
          <w:highlight w:val="none"/>
        </w:rPr>
        <w:t>第四章 主要合同条款</w:t>
      </w:r>
      <w:bookmarkEnd w:id="1130"/>
      <w:bookmarkEnd w:id="1131"/>
      <w:bookmarkEnd w:id="1132"/>
      <w:bookmarkEnd w:id="1133"/>
      <w:bookmarkEnd w:id="1134"/>
      <w:bookmarkEnd w:id="1135"/>
      <w:bookmarkEnd w:id="1136"/>
      <w:bookmarkEnd w:id="1137"/>
      <w:r>
        <w:rPr>
          <w:rFonts w:hint="eastAsia" w:ascii="宋体" w:hAnsi="宋体" w:cs="宋体"/>
          <w:b/>
          <w:bCs/>
          <w:color w:val="auto"/>
          <w:kern w:val="44"/>
          <w:sz w:val="44"/>
          <w:szCs w:val="44"/>
          <w:highlight w:val="none"/>
        </w:rPr>
        <w:t>及格式</w:t>
      </w:r>
      <w:bookmarkEnd w:id="1138"/>
    </w:p>
    <w:p>
      <w:pPr>
        <w:pStyle w:val="2"/>
        <w:rPr>
          <w:color w:val="auto"/>
          <w:highlight w:val="none"/>
        </w:rPr>
      </w:pPr>
    </w:p>
    <w:p>
      <w:pPr>
        <w:keepNext/>
        <w:keepLines/>
        <w:spacing w:before="340" w:after="330" w:line="576" w:lineRule="auto"/>
        <w:ind w:firstLine="0" w:firstLineChars="0"/>
        <w:jc w:val="center"/>
        <w:outlineLvl w:val="0"/>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（另册）</w:t>
      </w:r>
    </w:p>
    <w:p>
      <w:pPr>
        <w:pStyle w:val="2"/>
        <w:rPr>
          <w:color w:val="auto"/>
          <w:highlight w:val="none"/>
        </w:rPr>
        <w:sectPr>
          <w:pgSz w:w="11906" w:h="16838"/>
          <w:pgMar w:top="1440" w:right="1066" w:bottom="1440" w:left="1180" w:header="851" w:footer="992" w:gutter="0"/>
          <w:cols w:space="720" w:num="1"/>
          <w:docGrid w:type="lines" w:linePitch="312" w:charSpace="0"/>
        </w:sectPr>
      </w:pPr>
    </w:p>
    <w:p>
      <w:pPr>
        <w:rPr>
          <w:color w:val="auto"/>
          <w:highlight w:val="none"/>
        </w:rPr>
      </w:pPr>
    </w:p>
    <w:p>
      <w:pPr>
        <w:keepNext/>
        <w:keepLines/>
        <w:numPr>
          <w:ilvl w:val="0"/>
          <w:numId w:val="5"/>
        </w:numPr>
        <w:spacing w:before="340" w:after="330" w:line="576" w:lineRule="auto"/>
        <w:jc w:val="center"/>
        <w:outlineLvl w:val="0"/>
        <w:rPr>
          <w:rFonts w:ascii="宋体" w:hAnsi="宋体" w:cs="宋体"/>
          <w:b/>
          <w:bCs/>
          <w:color w:val="auto"/>
          <w:kern w:val="44"/>
          <w:sz w:val="44"/>
          <w:szCs w:val="44"/>
          <w:highlight w:val="none"/>
        </w:rPr>
      </w:pPr>
      <w:bookmarkStart w:id="1139" w:name="_Toc31278"/>
      <w:bookmarkStart w:id="1140" w:name="_Toc23508"/>
      <w:bookmarkStart w:id="1141" w:name="_Toc8354"/>
      <w:bookmarkStart w:id="1142" w:name="_Toc485211108"/>
      <w:bookmarkStart w:id="1143" w:name="_Toc25999"/>
      <w:bookmarkStart w:id="1144" w:name="_Toc16503"/>
      <w:bookmarkStart w:id="1145" w:name="_Toc13085"/>
      <w:bookmarkStart w:id="1146" w:name="_Toc20279"/>
      <w:bookmarkStart w:id="1147" w:name="_Toc468982743"/>
      <w:r>
        <w:rPr>
          <w:rFonts w:hint="eastAsia" w:ascii="宋体" w:hAnsi="宋体" w:cs="宋体"/>
          <w:b/>
          <w:bCs/>
          <w:color w:val="auto"/>
          <w:kern w:val="44"/>
          <w:sz w:val="44"/>
          <w:szCs w:val="44"/>
          <w:highlight w:val="none"/>
        </w:rPr>
        <w:t>发包人要求</w:t>
      </w:r>
      <w:bookmarkEnd w:id="1139"/>
      <w:bookmarkEnd w:id="1140"/>
      <w:bookmarkEnd w:id="1141"/>
      <w:bookmarkEnd w:id="1142"/>
      <w:bookmarkEnd w:id="1143"/>
      <w:bookmarkEnd w:id="1144"/>
      <w:bookmarkEnd w:id="1145"/>
      <w:bookmarkEnd w:id="1146"/>
    </w:p>
    <w:bookmarkEnd w:id="1147"/>
    <w:p>
      <w:pPr>
        <w:spacing w:before="340" w:after="330" w:line="576" w:lineRule="auto"/>
        <w:rPr>
          <w:rFonts w:hint="eastAsia" w:ascii="宋体" w:hAnsi="宋体" w:eastAsia="宋体" w:cs="宋体"/>
          <w:b/>
          <w:bCs/>
          <w:color w:val="auto"/>
          <w:kern w:val="44"/>
          <w:sz w:val="32"/>
          <w:szCs w:val="32"/>
          <w:highlight w:val="none"/>
          <w:lang w:val="en-US" w:eastAsia="zh-CN"/>
        </w:rPr>
      </w:pPr>
      <w:bookmarkStart w:id="1148" w:name="_Toc162880729"/>
      <w:r>
        <w:rPr>
          <w:rFonts w:hint="eastAsia" w:ascii="宋体" w:hAnsi="宋体" w:eastAsia="宋体" w:cs="宋体"/>
          <w:b/>
          <w:bCs/>
          <w:color w:val="auto"/>
          <w:kern w:val="44"/>
          <w:sz w:val="32"/>
          <w:szCs w:val="32"/>
          <w:highlight w:val="none"/>
        </w:rPr>
        <w:t>设计任务书</w:t>
      </w:r>
      <w:bookmarkEnd w:id="1148"/>
      <w:r>
        <w:rPr>
          <w:rFonts w:hint="eastAsia" w:ascii="宋体" w:hAnsi="宋体" w:cs="宋体"/>
          <w:b/>
          <w:bCs/>
          <w:color w:val="auto"/>
          <w:kern w:val="44"/>
          <w:sz w:val="32"/>
          <w:szCs w:val="32"/>
          <w:highlight w:val="none"/>
          <w:lang w:eastAsia="zh-CN"/>
        </w:rPr>
        <w:t>（</w:t>
      </w:r>
      <w:r>
        <w:rPr>
          <w:rFonts w:hint="eastAsia" w:ascii="宋体" w:hAnsi="宋体" w:cs="宋体"/>
          <w:b/>
          <w:bCs/>
          <w:color w:val="auto"/>
          <w:kern w:val="44"/>
          <w:sz w:val="32"/>
          <w:szCs w:val="32"/>
          <w:highlight w:val="none"/>
          <w:lang w:val="en-US" w:eastAsia="zh-CN"/>
        </w:rPr>
        <w:t>含技术规范书</w:t>
      </w:r>
      <w:r>
        <w:rPr>
          <w:rFonts w:hint="eastAsia" w:ascii="宋体" w:hAnsi="宋体" w:cs="宋体"/>
          <w:b/>
          <w:bCs/>
          <w:color w:val="auto"/>
          <w:kern w:val="44"/>
          <w:sz w:val="32"/>
          <w:szCs w:val="32"/>
          <w:highlight w:val="none"/>
          <w:lang w:eastAsia="zh-CN"/>
        </w:rPr>
        <w:t>）</w:t>
      </w:r>
      <w:r>
        <w:rPr>
          <w:rFonts w:hint="eastAsia" w:ascii="宋体" w:hAnsi="宋体" w:eastAsia="宋体" w:cs="宋体"/>
          <w:b/>
          <w:bCs/>
          <w:color w:val="auto"/>
          <w:kern w:val="44"/>
          <w:sz w:val="32"/>
          <w:szCs w:val="32"/>
          <w:highlight w:val="none"/>
          <w:lang w:eastAsia="zh-CN"/>
        </w:rPr>
        <w:t>——</w:t>
      </w:r>
      <w:r>
        <w:rPr>
          <w:rFonts w:hint="eastAsia" w:ascii="宋体" w:hAnsi="宋体" w:eastAsia="宋体" w:cs="宋体"/>
          <w:b/>
          <w:bCs/>
          <w:color w:val="auto"/>
          <w:kern w:val="44"/>
          <w:sz w:val="32"/>
          <w:szCs w:val="32"/>
          <w:highlight w:val="none"/>
          <w:lang w:val="en-US" w:eastAsia="zh-CN"/>
        </w:rPr>
        <w:t>另册。</w:t>
      </w:r>
    </w:p>
    <w:p>
      <w:pPr>
        <w:keepNext w:val="0"/>
        <w:keepLines w:val="0"/>
        <w:spacing w:before="0" w:after="0" w:line="240" w:lineRule="auto"/>
        <w:jc w:val="left"/>
        <w:outlineLvl w:val="9"/>
        <w:rPr>
          <w:rFonts w:hint="eastAsia" w:ascii="宋体" w:hAnsi="宋体" w:cs="宋体"/>
          <w:b/>
          <w:bCs/>
          <w:color w:val="auto"/>
          <w:kern w:val="44"/>
          <w:sz w:val="44"/>
          <w:szCs w:val="44"/>
          <w:highlight w:val="none"/>
        </w:rPr>
      </w:pPr>
      <w:bookmarkStart w:id="1149" w:name="_Toc144974855"/>
      <w:bookmarkStart w:id="1150" w:name="_Toc14218"/>
      <w:bookmarkStart w:id="1151" w:name="_Toc3257"/>
      <w:bookmarkStart w:id="1152" w:name="_Toc152042575"/>
      <w:bookmarkStart w:id="1153" w:name="_Toc1869"/>
      <w:bookmarkStart w:id="1154" w:name="_Toc247527826"/>
      <w:bookmarkStart w:id="1155" w:name="_Toc16057"/>
      <w:bookmarkStart w:id="1156" w:name="_Toc28106"/>
      <w:bookmarkStart w:id="1157" w:name="_Toc27623"/>
      <w:bookmarkStart w:id="1158" w:name="_Toc247514245"/>
      <w:bookmarkStart w:id="1159" w:name="_Toc152045786"/>
      <w:bookmarkStart w:id="1160" w:name="_Toc485211111"/>
      <w:bookmarkStart w:id="1161" w:name="_Toc24744"/>
      <w:r>
        <w:rPr>
          <w:rFonts w:hint="eastAsia" w:ascii="宋体" w:hAnsi="宋体" w:cs="宋体"/>
          <w:b/>
          <w:bCs/>
          <w:color w:val="auto"/>
          <w:kern w:val="44"/>
          <w:sz w:val="44"/>
          <w:szCs w:val="44"/>
          <w:highlight w:val="none"/>
        </w:rPr>
        <w:br w:type="page"/>
      </w:r>
    </w:p>
    <w:p>
      <w:pPr>
        <w:keepNext/>
        <w:keepLines/>
        <w:spacing w:before="340" w:after="330" w:line="576" w:lineRule="auto"/>
        <w:jc w:val="center"/>
        <w:outlineLvl w:val="0"/>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第六章 投标文件格式</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pStyle w:val="138"/>
        <w:rPr>
          <w:rFonts w:ascii="宋体" w:hAnsi="宋体" w:cs="宋体"/>
          <w:color w:val="auto"/>
          <w:highlight w:val="none"/>
        </w:rPr>
      </w:pPr>
      <w:bookmarkStart w:id="1162" w:name="_Toc268935231"/>
      <w:bookmarkStart w:id="1163" w:name="_Toc314129316"/>
      <w:bookmarkStart w:id="1164" w:name="_Toc226209002"/>
      <w:bookmarkStart w:id="1165" w:name="_Toc254961554"/>
      <w:bookmarkStart w:id="1166" w:name="_Toc332183369"/>
      <w:bookmarkStart w:id="1167" w:name="_Toc297120233"/>
      <w:bookmarkStart w:id="1168" w:name="_Toc314128460"/>
      <w:bookmarkStart w:id="1169" w:name="_Toc314127361"/>
      <w:bookmarkStart w:id="1170" w:name="_Toc296593028"/>
      <w:bookmarkStart w:id="1171" w:name="_Toc314127443"/>
      <w:bookmarkStart w:id="1172" w:name="_Toc314127292"/>
      <w:bookmarkStart w:id="1173" w:name="_Toc248650369"/>
    </w:p>
    <w:p>
      <w:pPr>
        <w:pStyle w:val="138"/>
        <w:rPr>
          <w:rFonts w:ascii="宋体" w:hAnsi="宋体" w:cs="宋体"/>
          <w:color w:val="auto"/>
          <w:highlight w:val="none"/>
        </w:rPr>
      </w:pPr>
    </w:p>
    <w:p>
      <w:pPr>
        <w:pStyle w:val="135"/>
        <w:spacing w:beforeLines="0" w:afterLines="0" w:line="360" w:lineRule="auto"/>
        <w:outlineLvl w:val="0"/>
        <w:rPr>
          <w:rFonts w:ascii="宋体" w:hAnsi="宋体" w:eastAsia="宋体" w:cs="宋体"/>
          <w:color w:val="auto"/>
          <w:highlight w:val="none"/>
        </w:rPr>
      </w:pPr>
      <w:bookmarkStart w:id="1174" w:name="_Toc32397"/>
      <w:bookmarkStart w:id="1175" w:name="_Toc7720"/>
      <w:bookmarkStart w:id="1176" w:name="_Toc18750"/>
      <w:r>
        <w:rPr>
          <w:rFonts w:hint="eastAsia" w:ascii="宋体" w:hAnsi="宋体" w:eastAsia="宋体" w:cs="宋体"/>
          <w:color w:val="auto"/>
          <w:highlight w:val="none"/>
        </w:rPr>
        <w:t>一、设计施工部分投标文件（含资格审查文件）格式</w:t>
      </w:r>
      <w:bookmarkEnd w:id="1174"/>
      <w:bookmarkEnd w:id="1175"/>
      <w:bookmarkEnd w:id="1176"/>
    </w:p>
    <w:p>
      <w:pPr>
        <w:spacing w:line="360" w:lineRule="auto"/>
        <w:jc w:val="center"/>
        <w:rPr>
          <w:rFonts w:ascii="宋体" w:hAnsi="宋体" w:cs="宋体"/>
          <w:b/>
          <w:color w:val="auto"/>
          <w:sz w:val="30"/>
          <w:szCs w:val="30"/>
          <w:highlight w:val="none"/>
        </w:rPr>
        <w:sectPr>
          <w:footerReference r:id="rId18" w:type="default"/>
          <w:pgSz w:w="11905" w:h="16838"/>
          <w:pgMar w:top="1247" w:right="1247" w:bottom="1247" w:left="1247" w:header="567" w:footer="850" w:gutter="0"/>
          <w:cols w:space="720" w:num="1"/>
          <w:docGrid w:type="lines" w:linePitch="312" w:charSpace="0"/>
        </w:sectPr>
      </w:pPr>
    </w:p>
    <w:p>
      <w:pPr>
        <w:pStyle w:val="156"/>
        <w:spacing w:beforeLines="0" w:afterLines="0"/>
        <w:ind w:firstLine="498"/>
        <w:rPr>
          <w:rFonts w:ascii="宋体" w:eastAsia="宋体" w:cs="宋体"/>
          <w:color w:val="auto"/>
          <w:highlight w:val="none"/>
        </w:rPr>
      </w:pPr>
      <w:bookmarkStart w:id="1177" w:name="_Toc16684"/>
      <w:bookmarkStart w:id="1178" w:name="_Toc17995"/>
      <w:bookmarkStart w:id="1179" w:name="_Toc236215897"/>
      <w:bookmarkStart w:id="1180" w:name="_Toc235615834"/>
      <w:bookmarkStart w:id="1181" w:name="_Toc235616116"/>
      <w:r>
        <w:rPr>
          <w:rFonts w:hint="eastAsia" w:ascii="宋体" w:eastAsia="宋体" w:cs="宋体"/>
          <w:color w:val="auto"/>
          <w:highlight w:val="none"/>
        </w:rPr>
        <w:t>格式一：设计施工部分投标文件（含资格审查文件）封面</w:t>
      </w:r>
      <w:bookmarkEnd w:id="1177"/>
      <w:bookmarkEnd w:id="1178"/>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24"/>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项目名称</w:t>
      </w:r>
      <w:r>
        <w:rPr>
          <w:rFonts w:hint="eastAsia" w:ascii="宋体" w:hAnsi="宋体" w:eastAsia="宋体" w:cs="宋体"/>
          <w:b w:val="0"/>
          <w:color w:val="auto"/>
          <w:highlight w:val="none"/>
          <w:u w:val="single"/>
        </w:rPr>
        <w:t xml:space="preserve">] </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48"/>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16"/>
        <w:ind w:firstLine="656"/>
        <w:jc w:val="center"/>
        <w:rPr>
          <w:rFonts w:ascii="宋体" w:hAnsi="宋体" w:cs="宋体"/>
          <w:color w:val="auto"/>
          <w:sz w:val="32"/>
          <w:szCs w:val="32"/>
          <w:highlight w:val="none"/>
        </w:rPr>
      </w:pPr>
      <w:r>
        <w:rPr>
          <w:rFonts w:hint="eastAsia" w:ascii="宋体" w:hAnsi="宋体" w:cs="宋体"/>
          <w:color w:val="auto"/>
          <w:sz w:val="32"/>
          <w:szCs w:val="32"/>
          <w:highlight w:val="none"/>
        </w:rPr>
        <w:t>设计施工部分（含资格审查文件）</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133"/>
        <w:ind w:firstLine="616"/>
        <w:rPr>
          <w:rFonts w:ascii="宋体" w:hAnsi="宋体" w:eastAsia="宋体" w:cs="宋体"/>
          <w:color w:val="auto"/>
          <w:highlight w:val="none"/>
        </w:rPr>
      </w:pP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法定代表人或</w:t>
      </w: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pPr>
        <w:pStyle w:val="133"/>
        <w:ind w:firstLine="616"/>
        <w:rPr>
          <w:rFonts w:ascii="宋体" w:hAnsi="宋体" w:eastAsia="宋体" w:cs="宋体"/>
          <w:color w:val="auto"/>
          <w:sz w:val="24"/>
          <w:szCs w:val="24"/>
          <w:highlight w:val="none"/>
        </w:rPr>
      </w:pPr>
      <w:r>
        <w:rPr>
          <w:rFonts w:hint="eastAsia" w:ascii="宋体" w:hAnsi="宋体" w:eastAsia="宋体" w:cs="宋体"/>
          <w:color w:val="auto"/>
          <w:highlight w:val="none"/>
        </w:rPr>
        <w:t xml:space="preserve">日  期：     </w:t>
      </w:r>
    </w:p>
    <w:p>
      <w:pPr>
        <w:pStyle w:val="116"/>
        <w:ind w:firstLine="496"/>
        <w:rPr>
          <w:rFonts w:ascii="宋体" w:hAnsi="宋体" w:cs="宋体"/>
          <w:color w:val="auto"/>
          <w:highlight w:val="none"/>
        </w:rPr>
      </w:pPr>
    </w:p>
    <w:p>
      <w:pPr>
        <w:pStyle w:val="5"/>
        <w:jc w:val="left"/>
        <w:rPr>
          <w:rFonts w:ascii="宋体" w:hAnsi="宋体" w:eastAsia="宋体" w:cs="宋体"/>
          <w:bCs w:val="0"/>
          <w:snapToGrid w:val="0"/>
          <w:color w:val="auto"/>
          <w:spacing w:val="4"/>
          <w:kern w:val="0"/>
          <w:sz w:val="24"/>
          <w:szCs w:val="24"/>
          <w:highlight w:val="none"/>
        </w:rPr>
      </w:pPr>
      <w:r>
        <w:rPr>
          <w:rFonts w:hint="eastAsia" w:ascii="宋体" w:hAnsi="宋体" w:cs="宋体"/>
          <w:color w:val="auto"/>
          <w:highlight w:val="none"/>
        </w:rPr>
        <w:br w:type="page"/>
      </w:r>
      <w:bookmarkStart w:id="1182" w:name="_Toc21263"/>
      <w:bookmarkStart w:id="1183" w:name="_Toc247527831"/>
      <w:bookmarkStart w:id="1184" w:name="_Toc152045791"/>
      <w:bookmarkStart w:id="1185" w:name="_Toc247514283"/>
      <w:bookmarkStart w:id="1186" w:name="_Toc152042580"/>
      <w:bookmarkStart w:id="1187" w:name="_Toc300835213"/>
      <w:bookmarkStart w:id="1188" w:name="_Toc144974860"/>
      <w:bookmarkStart w:id="1189" w:name="_Toc23424913"/>
      <w:bookmarkStart w:id="1190" w:name="_Toc19683"/>
      <w:r>
        <w:rPr>
          <w:rFonts w:hint="eastAsia" w:ascii="宋体" w:hAnsi="宋体" w:eastAsia="宋体" w:cs="宋体"/>
          <w:bCs w:val="0"/>
          <w:snapToGrid w:val="0"/>
          <w:color w:val="auto"/>
          <w:spacing w:val="4"/>
          <w:kern w:val="0"/>
          <w:sz w:val="24"/>
          <w:szCs w:val="24"/>
          <w:highlight w:val="none"/>
        </w:rPr>
        <w:t>格式二：法定代表人身份证明及授权委托书</w:t>
      </w:r>
      <w:bookmarkEnd w:id="1182"/>
    </w:p>
    <w:p>
      <w:pPr>
        <w:pStyle w:val="5"/>
        <w:jc w:val="center"/>
        <w:rPr>
          <w:color w:val="auto"/>
          <w:szCs w:val="21"/>
          <w:highlight w:val="none"/>
        </w:rPr>
      </w:pPr>
      <w:bookmarkStart w:id="1191" w:name="_Toc18572"/>
      <w:r>
        <w:rPr>
          <w:rFonts w:hint="eastAsia"/>
          <w:color w:val="auto"/>
          <w:highlight w:val="none"/>
        </w:rPr>
        <w:t>二</w:t>
      </w:r>
      <w:r>
        <w:rPr>
          <w:color w:val="auto"/>
          <w:highlight w:val="none"/>
        </w:rPr>
        <w:t>、法定代表人身份证明</w:t>
      </w:r>
      <w:bookmarkEnd w:id="1183"/>
      <w:bookmarkEnd w:id="1184"/>
      <w:bookmarkEnd w:id="1185"/>
      <w:bookmarkEnd w:id="1186"/>
      <w:bookmarkEnd w:id="1187"/>
      <w:bookmarkEnd w:id="1188"/>
      <w:bookmarkEnd w:id="1191"/>
    </w:p>
    <w:p>
      <w:pPr>
        <w:spacing w:line="440" w:lineRule="exact"/>
        <w:rPr>
          <w:color w:val="auto"/>
          <w:szCs w:val="21"/>
          <w:highlight w:val="none"/>
        </w:rPr>
      </w:pPr>
      <w:r>
        <w:rPr>
          <w:color w:val="auto"/>
          <w:szCs w:val="21"/>
          <w:highlight w:val="none"/>
        </w:rPr>
        <w:t>投标人名称：</w:t>
      </w:r>
    </w:p>
    <w:p>
      <w:pPr>
        <w:spacing w:line="440" w:lineRule="exact"/>
        <w:rPr>
          <w:color w:val="auto"/>
          <w:szCs w:val="21"/>
          <w:highlight w:val="none"/>
        </w:rPr>
      </w:pPr>
      <w:r>
        <w:rPr>
          <w:color w:val="auto"/>
          <w:szCs w:val="21"/>
          <w:highlight w:val="none"/>
        </w:rPr>
        <w:t>单位性质：</w:t>
      </w:r>
    </w:p>
    <w:p>
      <w:pPr>
        <w:spacing w:line="440" w:lineRule="exact"/>
        <w:rPr>
          <w:color w:val="auto"/>
          <w:szCs w:val="21"/>
          <w:highlight w:val="none"/>
        </w:rPr>
      </w:pPr>
      <w:r>
        <w:rPr>
          <w:color w:val="auto"/>
          <w:szCs w:val="21"/>
          <w:highlight w:val="none"/>
        </w:rPr>
        <w:t>地址：</w:t>
      </w:r>
    </w:p>
    <w:p>
      <w:pPr>
        <w:spacing w:line="440" w:lineRule="exact"/>
        <w:rPr>
          <w:color w:val="auto"/>
          <w:szCs w:val="21"/>
          <w:highlight w:val="none"/>
          <w:u w:val="single"/>
        </w:rPr>
      </w:pPr>
      <w:r>
        <w:rPr>
          <w:color w:val="auto"/>
          <w:szCs w:val="21"/>
          <w:highlight w:val="none"/>
        </w:rPr>
        <w:t>成立时间：</w:t>
      </w:r>
    </w:p>
    <w:p>
      <w:pPr>
        <w:spacing w:line="440" w:lineRule="exact"/>
        <w:rPr>
          <w:color w:val="auto"/>
          <w:szCs w:val="21"/>
          <w:highlight w:val="none"/>
        </w:rPr>
      </w:pPr>
      <w:r>
        <w:rPr>
          <w:color w:val="auto"/>
          <w:szCs w:val="21"/>
          <w:highlight w:val="none"/>
        </w:rPr>
        <w:t>经营期限：</w:t>
      </w:r>
    </w:p>
    <w:p>
      <w:pPr>
        <w:spacing w:line="440" w:lineRule="exact"/>
        <w:rPr>
          <w:color w:val="auto"/>
          <w:szCs w:val="21"/>
          <w:highlight w:val="none"/>
          <w:u w:val="single"/>
        </w:rPr>
      </w:pPr>
      <w:r>
        <w:rPr>
          <w:color w:val="auto"/>
          <w:szCs w:val="21"/>
          <w:highlight w:val="none"/>
        </w:rPr>
        <w:t xml:space="preserve">姓名：  </w:t>
      </w:r>
      <w:r>
        <w:rPr>
          <w:rFonts w:hint="eastAsia"/>
          <w:color w:val="auto"/>
          <w:szCs w:val="21"/>
          <w:highlight w:val="none"/>
        </w:rPr>
        <w:t xml:space="preserve">  </w:t>
      </w:r>
      <w:r>
        <w:rPr>
          <w:color w:val="auto"/>
          <w:szCs w:val="21"/>
          <w:highlight w:val="none"/>
        </w:rPr>
        <w:t xml:space="preserve"> 性别： </w:t>
      </w:r>
      <w:r>
        <w:rPr>
          <w:rFonts w:hint="eastAsia"/>
          <w:color w:val="auto"/>
          <w:szCs w:val="21"/>
          <w:highlight w:val="none"/>
        </w:rPr>
        <w:t xml:space="preserve">  </w:t>
      </w:r>
      <w:r>
        <w:rPr>
          <w:color w:val="auto"/>
          <w:szCs w:val="21"/>
          <w:highlight w:val="none"/>
        </w:rPr>
        <w:t xml:space="preserve">  年龄：</w:t>
      </w:r>
      <w:r>
        <w:rPr>
          <w:rFonts w:hint="eastAsia"/>
          <w:color w:val="auto"/>
          <w:szCs w:val="21"/>
          <w:highlight w:val="none"/>
        </w:rPr>
        <w:t xml:space="preserve">      </w:t>
      </w:r>
      <w:r>
        <w:rPr>
          <w:color w:val="auto"/>
          <w:szCs w:val="21"/>
          <w:highlight w:val="none"/>
        </w:rPr>
        <w:t>职务：</w:t>
      </w:r>
    </w:p>
    <w:p>
      <w:pPr>
        <w:spacing w:line="440" w:lineRule="exact"/>
        <w:rPr>
          <w:color w:val="auto"/>
          <w:szCs w:val="21"/>
          <w:highlight w:val="none"/>
        </w:rPr>
      </w:pPr>
      <w:r>
        <w:rPr>
          <w:color w:val="auto"/>
          <w:szCs w:val="21"/>
          <w:highlight w:val="none"/>
        </w:rPr>
        <w:t xml:space="preserve">系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440" w:lineRule="exact"/>
        <w:ind w:firstLine="420" w:firstLineChars="200"/>
        <w:rPr>
          <w:color w:val="auto"/>
          <w:szCs w:val="21"/>
          <w:highlight w:val="none"/>
        </w:rPr>
      </w:pPr>
      <w:r>
        <w:rPr>
          <w:color w:val="auto"/>
          <w:szCs w:val="21"/>
          <w:highlight w:val="none"/>
        </w:rPr>
        <w:t>特此证明。</w:t>
      </w:r>
    </w:p>
    <w:p>
      <w:pPr>
        <w:spacing w:line="440" w:lineRule="exact"/>
        <w:rPr>
          <w:color w:val="auto"/>
          <w:szCs w:val="21"/>
          <w:highlight w:val="none"/>
        </w:rPr>
      </w:pPr>
    </w:p>
    <w:p>
      <w:pPr>
        <w:spacing w:line="440" w:lineRule="exact"/>
        <w:rPr>
          <w:color w:val="auto"/>
          <w:szCs w:val="21"/>
          <w:highlight w:val="none"/>
        </w:rPr>
      </w:pPr>
      <w:r>
        <w:rPr>
          <w:rFonts w:hint="eastAsia"/>
          <w:color w:val="auto"/>
          <w:szCs w:val="21"/>
          <w:highlight w:val="none"/>
        </w:rPr>
        <w:t>附：法定代表人身份证复印件。</w:t>
      </w:r>
    </w:p>
    <w:p>
      <w:pPr>
        <w:spacing w:line="440" w:lineRule="exact"/>
        <w:rPr>
          <w:color w:val="auto"/>
          <w:szCs w:val="21"/>
          <w:highlight w:val="none"/>
        </w:rPr>
      </w:pPr>
    </w:p>
    <w:p>
      <w:pPr>
        <w:wordWrap w:val="0"/>
        <w:spacing w:line="440" w:lineRule="exact"/>
        <w:jc w:val="right"/>
        <w:rPr>
          <w:color w:val="auto"/>
          <w:szCs w:val="21"/>
          <w:highlight w:val="none"/>
        </w:rPr>
      </w:pPr>
      <w:r>
        <w:rPr>
          <w:color w:val="auto"/>
          <w:szCs w:val="21"/>
          <w:highlight w:val="none"/>
        </w:rPr>
        <w:t>投标人：</w:t>
      </w:r>
      <w:r>
        <w:rPr>
          <w:rFonts w:hint="eastAsia"/>
          <w:color w:val="auto"/>
          <w:szCs w:val="21"/>
          <w:highlight w:val="none"/>
        </w:rPr>
        <w:t xml:space="preserve">       </w:t>
      </w:r>
      <w:r>
        <w:rPr>
          <w:color w:val="auto"/>
          <w:szCs w:val="21"/>
          <w:highlight w:val="none"/>
        </w:rPr>
        <w:t>（盖单位章）</w:t>
      </w:r>
    </w:p>
    <w:p>
      <w:pPr>
        <w:spacing w:line="440" w:lineRule="exact"/>
        <w:ind w:right="420"/>
        <w:jc w:val="right"/>
        <w:rPr>
          <w:color w:val="auto"/>
          <w:szCs w:val="21"/>
          <w:highlight w:val="none"/>
        </w:rPr>
      </w:pPr>
      <w:r>
        <w:rPr>
          <w:color w:val="auto"/>
          <w:szCs w:val="21"/>
          <w:highlight w:val="none"/>
        </w:rPr>
        <w:t xml:space="preserve">年      月    日           </w:t>
      </w:r>
    </w:p>
    <w:p>
      <w:pPr>
        <w:spacing w:line="440" w:lineRule="exact"/>
        <w:rPr>
          <w:rFonts w:eastAsia="黑体"/>
          <w:color w:val="auto"/>
          <w:sz w:val="20"/>
          <w:szCs w:val="20"/>
          <w:highlight w:val="none"/>
        </w:rPr>
      </w:pPr>
      <w:r>
        <w:rPr>
          <w:rFonts w:eastAsia="黑体"/>
          <w:color w:val="auto"/>
          <w:sz w:val="20"/>
          <w:szCs w:val="20"/>
          <w:highlight w:val="none"/>
        </w:rPr>
        <w:br w:type="page"/>
      </w:r>
      <w:bookmarkStart w:id="1192" w:name="_Toc247527832"/>
      <w:bookmarkStart w:id="1193" w:name="_Toc300835214"/>
      <w:bookmarkStart w:id="1194" w:name="_Toc247514284"/>
      <w:bookmarkStart w:id="1195" w:name="_Toc152042581"/>
      <w:bookmarkStart w:id="1196" w:name="_Toc144974861"/>
      <w:bookmarkStart w:id="1197" w:name="_Toc152045792"/>
    </w:p>
    <w:p>
      <w:pPr>
        <w:spacing w:line="440" w:lineRule="exact"/>
        <w:ind w:firstLine="3534" w:firstLineChars="1100"/>
        <w:rPr>
          <w:rFonts w:ascii="Arial" w:hAnsi="Arial" w:eastAsia="黑体"/>
          <w:b/>
          <w:bCs/>
          <w:color w:val="auto"/>
          <w:sz w:val="32"/>
          <w:szCs w:val="32"/>
          <w:highlight w:val="none"/>
        </w:rPr>
      </w:pPr>
      <w:r>
        <w:rPr>
          <w:rFonts w:hint="eastAsia" w:ascii="Arial" w:hAnsi="Arial" w:eastAsia="黑体"/>
          <w:b/>
          <w:bCs/>
          <w:color w:val="auto"/>
          <w:sz w:val="32"/>
          <w:szCs w:val="32"/>
          <w:highlight w:val="none"/>
        </w:rPr>
        <w:t>二</w:t>
      </w:r>
      <w:r>
        <w:rPr>
          <w:rFonts w:ascii="Arial" w:hAnsi="Arial" w:eastAsia="黑体"/>
          <w:b/>
          <w:bCs/>
          <w:color w:val="auto"/>
          <w:sz w:val="32"/>
          <w:szCs w:val="32"/>
          <w:highlight w:val="none"/>
        </w:rPr>
        <w:t>、授权委托书</w:t>
      </w:r>
      <w:bookmarkEnd w:id="1192"/>
      <w:bookmarkEnd w:id="1193"/>
      <w:bookmarkEnd w:id="1194"/>
      <w:bookmarkEnd w:id="1195"/>
      <w:bookmarkEnd w:id="1196"/>
      <w:bookmarkEnd w:id="1197"/>
    </w:p>
    <w:p>
      <w:pPr>
        <w:topLinePunct/>
        <w:spacing w:line="440" w:lineRule="exact"/>
        <w:ind w:firstLine="420" w:firstLineChars="200"/>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rPr>
        <w:t>本人</w:t>
      </w:r>
      <w:r>
        <w:rPr>
          <w:color w:val="auto"/>
          <w:szCs w:val="21"/>
          <w:highlight w:val="none"/>
          <w:u w:val="single"/>
        </w:rPr>
        <w:t>（姓名）</w:t>
      </w:r>
      <w:r>
        <w:rPr>
          <w:color w:val="auto"/>
          <w:szCs w:val="21"/>
          <w:highlight w:val="none"/>
        </w:rPr>
        <w:t>系</w:t>
      </w:r>
      <w:r>
        <w:rPr>
          <w:color w:val="auto"/>
          <w:szCs w:val="21"/>
          <w:highlight w:val="none"/>
          <w:u w:val="single"/>
        </w:rPr>
        <w:t>（投标人名称）</w:t>
      </w:r>
      <w:r>
        <w:rPr>
          <w:color w:val="auto"/>
          <w:szCs w:val="21"/>
          <w:highlight w:val="none"/>
        </w:rPr>
        <w:t>的法定代表人，现委托</w:t>
      </w:r>
      <w:r>
        <w:rPr>
          <w:color w:val="auto"/>
          <w:szCs w:val="21"/>
          <w:highlight w:val="none"/>
          <w:u w:val="single"/>
        </w:rPr>
        <w:t xml:space="preserve"> （姓名）</w:t>
      </w:r>
      <w:r>
        <w:rPr>
          <w:color w:val="auto"/>
          <w:szCs w:val="21"/>
          <w:highlight w:val="none"/>
        </w:rPr>
        <w:t>为我方代理人。代理人根据授权，以我方名义签署、澄清</w:t>
      </w:r>
      <w:r>
        <w:rPr>
          <w:rFonts w:hint="eastAsia"/>
          <w:color w:val="auto"/>
          <w:szCs w:val="21"/>
          <w:highlight w:val="none"/>
        </w:rPr>
        <w:t>、说明、补正</w:t>
      </w:r>
      <w:r>
        <w:rPr>
          <w:color w:val="auto"/>
          <w:szCs w:val="21"/>
          <w:highlight w:val="none"/>
        </w:rPr>
        <w:t>、递交、撤回、修改（项目名称）投标文件、签订合同和处理有关事宜，其法律后果由我方承担。</w:t>
      </w:r>
    </w:p>
    <w:p>
      <w:pPr>
        <w:spacing w:line="440" w:lineRule="exact"/>
        <w:rPr>
          <w:color w:val="auto"/>
          <w:szCs w:val="21"/>
          <w:highlight w:val="none"/>
        </w:rPr>
      </w:pPr>
      <w:r>
        <w:rPr>
          <w:color w:val="auto"/>
          <w:szCs w:val="21"/>
          <w:highlight w:val="none"/>
        </w:rPr>
        <w:t xml:space="preserve">    委托期限：</w:t>
      </w:r>
    </w:p>
    <w:p>
      <w:pPr>
        <w:spacing w:line="440" w:lineRule="exact"/>
        <w:ind w:firstLine="420" w:firstLineChars="200"/>
        <w:rPr>
          <w:color w:val="auto"/>
          <w:szCs w:val="21"/>
          <w:highlight w:val="none"/>
        </w:rPr>
      </w:pPr>
      <w:r>
        <w:rPr>
          <w:color w:val="auto"/>
          <w:szCs w:val="21"/>
          <w:highlight w:val="none"/>
        </w:rPr>
        <w:t>代理人无转委托权。</w:t>
      </w:r>
    </w:p>
    <w:p>
      <w:pPr>
        <w:spacing w:line="440" w:lineRule="exact"/>
        <w:ind w:firstLine="420" w:firstLineChars="200"/>
        <w:rPr>
          <w:color w:val="auto"/>
          <w:szCs w:val="21"/>
          <w:highlight w:val="none"/>
        </w:rPr>
      </w:pPr>
      <w:r>
        <w:rPr>
          <w:rFonts w:hint="eastAsia"/>
          <w:color w:val="auto"/>
          <w:szCs w:val="21"/>
          <w:highlight w:val="none"/>
        </w:rPr>
        <w:t>附：法定代表人身份证明</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 xml:space="preserve">投标人：  </w:t>
      </w:r>
      <w:r>
        <w:rPr>
          <w:rFonts w:hint="eastAsia"/>
          <w:color w:val="auto"/>
          <w:szCs w:val="21"/>
          <w:highlight w:val="none"/>
        </w:rPr>
        <w:t xml:space="preserve">            </w:t>
      </w:r>
      <w:r>
        <w:rPr>
          <w:color w:val="auto"/>
          <w:szCs w:val="21"/>
          <w:highlight w:val="none"/>
        </w:rPr>
        <w:t>（盖单位章）</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 xml:space="preserve">法定代表人： </w:t>
      </w:r>
      <w:r>
        <w:rPr>
          <w:rFonts w:hint="eastAsia"/>
          <w:color w:val="auto"/>
          <w:szCs w:val="21"/>
          <w:highlight w:val="none"/>
        </w:rPr>
        <w:t xml:space="preserve">        </w:t>
      </w:r>
      <w:r>
        <w:rPr>
          <w:color w:val="auto"/>
          <w:szCs w:val="21"/>
          <w:highlight w:val="none"/>
        </w:rPr>
        <w:t>（</w:t>
      </w:r>
      <w:r>
        <w:rPr>
          <w:rFonts w:hint="eastAsia"/>
          <w:color w:val="auto"/>
          <w:szCs w:val="21"/>
          <w:highlight w:val="none"/>
        </w:rPr>
        <w:t>签字或盖章</w:t>
      </w:r>
      <w:r>
        <w:rPr>
          <w:color w:val="auto"/>
          <w:szCs w:val="21"/>
          <w:highlight w:val="none"/>
        </w:rPr>
        <w:t>）</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身份证号码：</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 xml:space="preserve">委托代理人： </w:t>
      </w:r>
      <w:r>
        <w:rPr>
          <w:rFonts w:hint="eastAsia"/>
          <w:color w:val="auto"/>
          <w:szCs w:val="21"/>
          <w:highlight w:val="none"/>
        </w:rPr>
        <w:t xml:space="preserve">         </w:t>
      </w:r>
      <w:r>
        <w:rPr>
          <w:color w:val="auto"/>
          <w:szCs w:val="21"/>
          <w:highlight w:val="none"/>
        </w:rPr>
        <w:t>（</w:t>
      </w:r>
      <w:r>
        <w:rPr>
          <w:rFonts w:hint="eastAsia"/>
          <w:color w:val="auto"/>
          <w:szCs w:val="21"/>
          <w:highlight w:val="none"/>
        </w:rPr>
        <w:t>签字或盖章</w:t>
      </w:r>
      <w:r>
        <w:rPr>
          <w:color w:val="auto"/>
          <w:szCs w:val="21"/>
          <w:highlight w:val="none"/>
        </w:rPr>
        <w:t xml:space="preserve">） </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身份证号码：</w:t>
      </w:r>
    </w:p>
    <w:p>
      <w:pPr>
        <w:spacing w:line="440" w:lineRule="exact"/>
        <w:rPr>
          <w:color w:val="auto"/>
          <w:szCs w:val="21"/>
          <w:highlight w:val="none"/>
        </w:rPr>
      </w:pPr>
    </w:p>
    <w:p>
      <w:pPr>
        <w:spacing w:line="440" w:lineRule="exact"/>
        <w:rPr>
          <w:color w:val="auto"/>
          <w:szCs w:val="21"/>
          <w:highlight w:val="none"/>
        </w:rPr>
      </w:pPr>
      <w:r>
        <w:rPr>
          <w:rFonts w:hint="eastAsia"/>
          <w:color w:val="auto"/>
          <w:szCs w:val="21"/>
          <w:highlight w:val="none"/>
        </w:rPr>
        <w:t>附身份证复印件。</w:t>
      </w:r>
    </w:p>
    <w:p>
      <w:pPr>
        <w:spacing w:line="440" w:lineRule="exact"/>
        <w:rPr>
          <w:color w:val="auto"/>
          <w:szCs w:val="21"/>
          <w:highlight w:val="none"/>
        </w:rPr>
      </w:pPr>
    </w:p>
    <w:p>
      <w:pPr>
        <w:spacing w:line="440" w:lineRule="exact"/>
        <w:rPr>
          <w:color w:val="auto"/>
          <w:szCs w:val="21"/>
          <w:highlight w:val="none"/>
        </w:rPr>
      </w:pPr>
    </w:p>
    <w:p>
      <w:pPr>
        <w:spacing w:line="440" w:lineRule="exact"/>
        <w:ind w:firstLine="1575" w:firstLineChars="750"/>
        <w:jc w:val="right"/>
        <w:rPr>
          <w:rFonts w:eastAsia="黑体"/>
          <w:color w:val="auto"/>
          <w:szCs w:val="21"/>
          <w:highlight w:val="none"/>
        </w:rPr>
      </w:pPr>
      <w:r>
        <w:rPr>
          <w:color w:val="auto"/>
          <w:szCs w:val="21"/>
          <w:highlight w:val="none"/>
        </w:rPr>
        <w:t xml:space="preserve">       年       月       日</w:t>
      </w:r>
    </w:p>
    <w:p>
      <w:pPr>
        <w:pStyle w:val="2"/>
        <w:rPr>
          <w:color w:val="auto"/>
          <w:highlight w:val="none"/>
        </w:rPr>
        <w:sectPr>
          <w:headerReference r:id="rId19" w:type="default"/>
          <w:footerReference r:id="rId20" w:type="default"/>
          <w:pgSz w:w="11905" w:h="16838"/>
          <w:pgMar w:top="1247" w:right="1247" w:bottom="1247" w:left="1247" w:header="567" w:footer="850" w:gutter="0"/>
          <w:cols w:space="720" w:num="1"/>
          <w:docGrid w:type="lines" w:linePitch="312" w:charSpace="0"/>
        </w:sectPr>
      </w:pPr>
    </w:p>
    <w:p>
      <w:pPr>
        <w:pStyle w:val="5"/>
        <w:jc w:val="left"/>
        <w:rPr>
          <w:rFonts w:hint="eastAsia" w:ascii="宋体" w:hAnsi="宋体" w:eastAsia="宋体" w:cs="宋体"/>
          <w:bCs w:val="0"/>
          <w:snapToGrid w:val="0"/>
          <w:color w:val="auto"/>
          <w:spacing w:val="4"/>
          <w:kern w:val="0"/>
          <w:sz w:val="24"/>
          <w:szCs w:val="24"/>
          <w:highlight w:val="none"/>
          <w:lang w:eastAsia="zh-CN"/>
        </w:rPr>
      </w:pPr>
      <w:bookmarkStart w:id="1198" w:name="_Toc14548"/>
      <w:r>
        <w:rPr>
          <w:rFonts w:hint="eastAsia" w:ascii="宋体" w:hAnsi="宋体" w:eastAsia="宋体" w:cs="宋体"/>
          <w:bCs w:val="0"/>
          <w:snapToGrid w:val="0"/>
          <w:color w:val="auto"/>
          <w:spacing w:val="4"/>
          <w:kern w:val="0"/>
          <w:sz w:val="24"/>
          <w:szCs w:val="24"/>
          <w:highlight w:val="none"/>
        </w:rPr>
        <w:t>格式三：联合体协议书</w:t>
      </w:r>
      <w:r>
        <w:rPr>
          <w:rFonts w:hint="eastAsia" w:ascii="宋体" w:hAnsi="宋体" w:eastAsia="宋体" w:cs="宋体"/>
          <w:bCs w:val="0"/>
          <w:snapToGrid w:val="0"/>
          <w:color w:val="auto"/>
          <w:spacing w:val="4"/>
          <w:kern w:val="0"/>
          <w:sz w:val="24"/>
          <w:szCs w:val="24"/>
          <w:highlight w:val="none"/>
          <w:lang w:eastAsia="zh-CN"/>
        </w:rPr>
        <w:t>（</w:t>
      </w:r>
      <w:r>
        <w:rPr>
          <w:rFonts w:hint="eastAsia" w:ascii="宋体" w:hAnsi="宋体" w:eastAsia="宋体" w:cs="宋体"/>
          <w:bCs w:val="0"/>
          <w:snapToGrid w:val="0"/>
          <w:color w:val="auto"/>
          <w:spacing w:val="4"/>
          <w:kern w:val="0"/>
          <w:sz w:val="24"/>
          <w:szCs w:val="24"/>
          <w:highlight w:val="none"/>
          <w:lang w:val="en-US" w:eastAsia="zh-CN"/>
        </w:rPr>
        <w:t>详见招标公告附件</w:t>
      </w:r>
      <w:r>
        <w:rPr>
          <w:rFonts w:hint="eastAsia" w:ascii="宋体" w:hAnsi="宋体" w:eastAsia="宋体" w:cs="宋体"/>
          <w:bCs w:val="0"/>
          <w:snapToGrid w:val="0"/>
          <w:color w:val="auto"/>
          <w:spacing w:val="4"/>
          <w:kern w:val="0"/>
          <w:sz w:val="24"/>
          <w:szCs w:val="24"/>
          <w:highlight w:val="none"/>
          <w:lang w:eastAsia="zh-CN"/>
        </w:rPr>
        <w:t>）</w:t>
      </w:r>
    </w:p>
    <w:p>
      <w:pPr>
        <w:rPr>
          <w:color w:val="auto"/>
          <w:highlight w:val="none"/>
        </w:rPr>
      </w:pPr>
    </w:p>
    <w:p>
      <w:pPr>
        <w:pStyle w:val="5"/>
        <w:jc w:val="left"/>
        <w:rPr>
          <w:rFonts w:ascii="宋体" w:hAnsi="宋体" w:eastAsia="宋体" w:cs="宋体"/>
          <w:bCs w:val="0"/>
          <w:snapToGrid w:val="0"/>
          <w:color w:val="auto"/>
          <w:spacing w:val="4"/>
          <w:kern w:val="0"/>
          <w:sz w:val="24"/>
          <w:szCs w:val="24"/>
          <w:highlight w:val="none"/>
        </w:rPr>
      </w:pPr>
      <w:r>
        <w:rPr>
          <w:rFonts w:hint="eastAsia" w:ascii="宋体" w:hAnsi="宋体" w:eastAsia="宋体" w:cs="宋体"/>
          <w:bCs w:val="0"/>
          <w:snapToGrid w:val="0"/>
          <w:color w:val="auto"/>
          <w:spacing w:val="4"/>
          <w:kern w:val="0"/>
          <w:sz w:val="24"/>
          <w:szCs w:val="24"/>
          <w:highlight w:val="none"/>
        </w:rPr>
        <w:t>格式四：</w:t>
      </w:r>
      <w:bookmarkEnd w:id="1189"/>
      <w:r>
        <w:rPr>
          <w:rFonts w:hint="eastAsia" w:ascii="宋体" w:hAnsi="宋体" w:eastAsia="宋体" w:cs="宋体"/>
          <w:bCs w:val="0"/>
          <w:snapToGrid w:val="0"/>
          <w:color w:val="auto"/>
          <w:spacing w:val="4"/>
          <w:kern w:val="0"/>
          <w:sz w:val="24"/>
          <w:szCs w:val="24"/>
          <w:highlight w:val="none"/>
        </w:rPr>
        <w:t>投标承诺书</w:t>
      </w:r>
      <w:bookmarkEnd w:id="1190"/>
      <w:bookmarkEnd w:id="1198"/>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投标承诺书</w:t>
      </w:r>
    </w:p>
    <w:p>
      <w:pPr>
        <w:spacing w:line="360" w:lineRule="auto"/>
        <w:jc w:val="center"/>
        <w:rPr>
          <w:rFonts w:ascii="宋体" w:hAnsi="宋体" w:cs="宋体"/>
          <w:b/>
          <w:color w:val="auto"/>
          <w:sz w:val="24"/>
          <w:szCs w:val="24"/>
          <w:highlight w:val="none"/>
        </w:rPr>
      </w:pPr>
    </w:p>
    <w:p>
      <w:pPr>
        <w:spacing w:line="360" w:lineRule="auto"/>
        <w:rPr>
          <w:rFonts w:ascii="宋体" w:cs="宋体"/>
          <w:color w:val="auto"/>
          <w:sz w:val="24"/>
          <w:highlight w:val="none"/>
        </w:rPr>
      </w:pPr>
      <w:r>
        <w:rPr>
          <w:rFonts w:hint="eastAsia" w:ascii="宋体" w:cs="宋体"/>
          <w:color w:val="auto"/>
          <w:sz w:val="24"/>
          <w:highlight w:val="none"/>
        </w:rPr>
        <w:t>致：</w:t>
      </w:r>
      <w:r>
        <w:rPr>
          <w:rFonts w:hint="eastAsia" w:ascii="宋体" w:cs="宋体"/>
          <w:color w:val="auto"/>
          <w:sz w:val="24"/>
          <w:highlight w:val="none"/>
          <w:u w:val="single"/>
        </w:rPr>
        <w:t xml:space="preserve">     （招标人名称）       </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我司确认收到贵司提供的</w:t>
      </w:r>
      <w:r>
        <w:rPr>
          <w:rFonts w:hint="eastAsia" w:ascii="宋体" w:cs="宋体"/>
          <w:color w:val="auto"/>
          <w:sz w:val="24"/>
          <w:highlight w:val="none"/>
          <w:u w:val="single"/>
        </w:rPr>
        <w:t xml:space="preserve">      （项目名称）      </w:t>
      </w:r>
      <w:r>
        <w:rPr>
          <w:rFonts w:hint="eastAsia" w:ascii="宋体" w:cs="宋体"/>
          <w:color w:val="auto"/>
          <w:sz w:val="24"/>
          <w:highlight w:val="none"/>
        </w:rPr>
        <w:t>招标文件的全部内容，我司：</w:t>
      </w:r>
      <w:r>
        <w:rPr>
          <w:rFonts w:hint="eastAsia" w:ascii="宋体" w:cs="宋体"/>
          <w:color w:val="auto"/>
          <w:sz w:val="24"/>
          <w:highlight w:val="none"/>
          <w:u w:val="single"/>
        </w:rPr>
        <w:t xml:space="preserve">       （投标人名称）      </w:t>
      </w:r>
      <w:r>
        <w:rPr>
          <w:rFonts w:hint="eastAsia" w:ascii="宋体" w:cs="宋体"/>
          <w:color w:val="auto"/>
          <w:sz w:val="24"/>
          <w:highlight w:val="none"/>
        </w:rPr>
        <w:t>已作为投标人正式授权</w:t>
      </w:r>
      <w:r>
        <w:rPr>
          <w:rFonts w:hint="eastAsia" w:ascii="宋体" w:cs="宋体"/>
          <w:color w:val="auto"/>
          <w:sz w:val="24"/>
          <w:highlight w:val="none"/>
          <w:u w:val="single"/>
        </w:rPr>
        <w:t xml:space="preserve">         （授权代表全名，职务）    </w:t>
      </w:r>
      <w:r>
        <w:rPr>
          <w:rFonts w:hint="eastAsia" w:ascii="宋体" w:cs="宋体"/>
          <w:color w:val="auto"/>
          <w:sz w:val="24"/>
          <w:highlight w:val="none"/>
        </w:rPr>
        <w:t>代表我司进行有关本投标的一切事宜。</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我司已完全明白和接受招标文件的所有条款要求，并重申以下几点：</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 我司已充分阅读了本项目招标文件并充分了解有关报价方式及变更、结算方式，我司完全响应招标文件的规定。</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3．本投标文件的有效期为投标截止日后</w:t>
      </w:r>
      <w:r>
        <w:rPr>
          <w:rFonts w:hint="eastAsia" w:ascii="宋体" w:cs="宋体"/>
          <w:b/>
          <w:color w:val="auto"/>
          <w:sz w:val="24"/>
          <w:highlight w:val="none"/>
          <w:u w:val="single"/>
        </w:rPr>
        <w:t>120日历天</w:t>
      </w:r>
      <w:r>
        <w:rPr>
          <w:rFonts w:hint="eastAsia" w:ascii="宋体" w:cs="宋体"/>
          <w:color w:val="auto"/>
          <w:sz w:val="24"/>
          <w:highlight w:val="none"/>
        </w:rPr>
        <w:t>内有效；</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4．</w:t>
      </w:r>
      <w:r>
        <w:rPr>
          <w:rFonts w:hint="eastAsia" w:ascii="宋体" w:cs="宋体"/>
          <w:color w:val="auto"/>
          <w:sz w:val="24"/>
          <w:highlight w:val="none"/>
          <w:lang w:val="zh-CN"/>
        </w:rPr>
        <w:t>我</w:t>
      </w:r>
      <w:r>
        <w:rPr>
          <w:rFonts w:hint="eastAsia" w:ascii="宋体" w:cs="宋体"/>
          <w:color w:val="auto"/>
          <w:sz w:val="24"/>
          <w:highlight w:val="none"/>
        </w:rPr>
        <w:t>司</w:t>
      </w:r>
      <w:r>
        <w:rPr>
          <w:rFonts w:hint="eastAsia" w:ascii="宋体" w:cs="宋体"/>
          <w:color w:val="auto"/>
          <w:sz w:val="24"/>
          <w:highlight w:val="none"/>
          <w:lang w:val="zh-CN"/>
        </w:rPr>
        <w:t>承诺对我</w:t>
      </w:r>
      <w:r>
        <w:rPr>
          <w:rFonts w:hint="eastAsia" w:ascii="宋体" w:cs="宋体"/>
          <w:color w:val="auto"/>
          <w:sz w:val="24"/>
          <w:highlight w:val="none"/>
        </w:rPr>
        <w:t>司</w:t>
      </w:r>
      <w:r>
        <w:rPr>
          <w:rFonts w:hint="eastAsia" w:ascii="宋体" w:cs="宋体"/>
          <w:color w:val="auto"/>
          <w:sz w:val="24"/>
          <w:highlight w:val="none"/>
          <w:lang w:val="zh-CN"/>
        </w:rPr>
        <w:t>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5．</w:t>
      </w:r>
      <w:r>
        <w:rPr>
          <w:rFonts w:hint="eastAsia" w:ascii="宋体" w:cs="宋体"/>
          <w:color w:val="auto"/>
          <w:sz w:val="24"/>
          <w:highlight w:val="none"/>
          <w:lang w:val="zh-CN"/>
        </w:rPr>
        <w:t>如我司成为本项目中标候选人，我司同意并授权招标人将我司投标文件商务部分的人员、业绩、奖项等资料进行公开。</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6．我司同意按照贵司可能提出的要求而提供与投标有关的任何其它数据或信息。</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7．我司如果中标，我司保证：</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7.2保证将我司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7.3保证所完成的设计将完全符合国家相关规范要求，符合或优于招标文件、技术条件、合同条款的要求。若我司完成的设计文件未能达到发包人（或相关政府部门）的要求，我司将无条件根据要求进行修改设计文件，直至得到发包人（及相关政府部门）的认可为止。</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7.4保证尽一切力量确保投标承诺的竣工日期，若我司未能按投标承诺的工期完成本项目，除承担合同约定的违约责任外，发包人有权解除合同，我司承担由于违约解除合同退场造成的对发包人的一切损失。</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7.5保证投标所报的项目负责人、设计负责人在本项目合同签订后7日内到职，全过程服务于本项目，在过程中非不可抗力或发包人要求不得更换。我司违反以上承诺的，同意按合同条款的规定承担违约责任。</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7.6保证所投入本项目的主要材料、设备质量符合或优于招标文件要求，所投入本项目的辅助设备、材料与主要材料、设备质量一致并有良好的配套性。</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7.7保证按照招标文件的要求确保安全生产及文明施工，如有违反，我司愿意按合同约定承担违约责任，并为此负相关的法律责任。</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7.8保证按国家的有关规定制订保证民工工资支付的方案及保证措施，否则，我司愿按合同条款规定承担违约责任并赔偿发包人的全部损失。</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7.9如我方中标，我方承诺：须按广州市</w:t>
      </w:r>
      <w:r>
        <w:rPr>
          <w:rFonts w:hint="eastAsia" w:ascii="宋体" w:cs="宋体"/>
          <w:color w:val="auto"/>
          <w:sz w:val="24"/>
          <w:highlight w:val="none"/>
          <w:lang w:val="en-US" w:eastAsia="zh-CN"/>
        </w:rPr>
        <w:t>天河</w:t>
      </w:r>
      <w:r>
        <w:rPr>
          <w:rFonts w:hint="eastAsia" w:ascii="宋体" w:cs="宋体"/>
          <w:color w:val="auto"/>
          <w:sz w:val="24"/>
          <w:highlight w:val="none"/>
        </w:rPr>
        <w:t xml:space="preserve">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发包人有权根据建设业主已有资料进行审核并审定，审定的竣工结算合同总价视同是经我方认可的工程竣工结算合同总价。 </w:t>
      </w:r>
    </w:p>
    <w:p>
      <w:pPr>
        <w:spacing w:line="360" w:lineRule="auto"/>
        <w:ind w:firstLine="3840" w:firstLineChars="1600"/>
        <w:rPr>
          <w:rFonts w:ascii="宋体" w:cs="宋体"/>
          <w:color w:val="auto"/>
          <w:sz w:val="24"/>
          <w:highlight w:val="none"/>
        </w:rPr>
      </w:pPr>
    </w:p>
    <w:p>
      <w:pPr>
        <w:spacing w:line="360" w:lineRule="auto"/>
        <w:ind w:firstLine="3840" w:firstLineChars="1600"/>
        <w:rPr>
          <w:rFonts w:ascii="宋体" w:cs="宋体"/>
          <w:color w:val="auto"/>
          <w:sz w:val="24"/>
          <w:highlight w:val="none"/>
        </w:rPr>
      </w:pPr>
      <w:r>
        <w:rPr>
          <w:rFonts w:hint="eastAsia" w:ascii="宋体" w:cs="宋体"/>
          <w:color w:val="auto"/>
          <w:sz w:val="24"/>
          <w:highlight w:val="none"/>
        </w:rPr>
        <w:t>投标人：    （盖章）</w:t>
      </w:r>
    </w:p>
    <w:p>
      <w:pPr>
        <w:spacing w:line="360" w:lineRule="auto"/>
        <w:ind w:firstLine="3840" w:firstLineChars="1600"/>
        <w:rPr>
          <w:rFonts w:ascii="宋体" w:cs="宋体"/>
          <w:color w:val="auto"/>
          <w:sz w:val="24"/>
          <w:highlight w:val="none"/>
        </w:rPr>
      </w:pPr>
      <w:r>
        <w:rPr>
          <w:rFonts w:hint="eastAsia" w:ascii="宋体" w:cs="宋体"/>
          <w:color w:val="auto"/>
          <w:sz w:val="24"/>
          <w:highlight w:val="none"/>
        </w:rPr>
        <w:t>法定代表人或其授权代理人（签字或盖章）：</w:t>
      </w:r>
    </w:p>
    <w:p>
      <w:pPr>
        <w:spacing w:line="360" w:lineRule="auto"/>
        <w:ind w:firstLine="3840" w:firstLineChars="1600"/>
        <w:rPr>
          <w:rFonts w:ascii="宋体" w:cs="宋体"/>
          <w:color w:val="auto"/>
          <w:sz w:val="24"/>
          <w:highlight w:val="none"/>
        </w:rPr>
      </w:pPr>
      <w:r>
        <w:rPr>
          <w:rFonts w:hint="eastAsia" w:ascii="宋体" w:cs="宋体"/>
          <w:color w:val="auto"/>
          <w:sz w:val="24"/>
          <w:highlight w:val="none"/>
        </w:rPr>
        <w:t>日   期：    年    月    日</w:t>
      </w:r>
    </w:p>
    <w:p>
      <w:pPr>
        <w:pStyle w:val="22"/>
        <w:spacing w:line="360" w:lineRule="auto"/>
        <w:ind w:firstLine="241" w:firstLineChars="100"/>
        <w:rPr>
          <w:rFonts w:cs="宋体"/>
          <w:b/>
          <w:color w:val="auto"/>
          <w:sz w:val="24"/>
          <w:szCs w:val="24"/>
          <w:highlight w:val="none"/>
        </w:rPr>
      </w:pPr>
    </w:p>
    <w:p>
      <w:pPr>
        <w:ind w:left="420" w:hanging="420" w:hangingChars="200"/>
        <w:rPr>
          <w:rFonts w:ascii="宋体" w:hAnsi="宋体" w:cs="宋体"/>
          <w:b/>
          <w:color w:val="auto"/>
          <w:szCs w:val="21"/>
          <w:highlight w:val="none"/>
        </w:rPr>
      </w:pPr>
      <w:r>
        <w:rPr>
          <w:rFonts w:hint="eastAsia" w:ascii="宋体" w:cs="宋体"/>
          <w:bCs/>
          <w:color w:val="auto"/>
          <w:szCs w:val="21"/>
          <w:highlight w:val="none"/>
        </w:rPr>
        <w:t>注：联合体投标的，“投标人”一栏需书写所有联合体成员的单位全称，可由主办方签字或盖章。</w:t>
      </w:r>
    </w:p>
    <w:p>
      <w:pPr>
        <w:autoSpaceDE w:val="0"/>
        <w:autoSpaceDN w:val="0"/>
        <w:adjustRightInd w:val="0"/>
        <w:rPr>
          <w:rFonts w:ascii="宋体" w:hAnsi="宋体" w:cs="宋体"/>
          <w:color w:val="auto"/>
          <w:szCs w:val="21"/>
          <w:highlight w:val="none"/>
        </w:rPr>
      </w:pPr>
    </w:p>
    <w:p>
      <w:pPr>
        <w:spacing w:line="360" w:lineRule="auto"/>
        <w:jc w:val="left"/>
        <w:outlineLvl w:val="2"/>
        <w:rPr>
          <w:rFonts w:ascii="宋体" w:hAnsi="宋体" w:cs="宋体"/>
          <w:color w:val="auto"/>
          <w:szCs w:val="21"/>
          <w:highlight w:val="none"/>
        </w:rPr>
      </w:pPr>
      <w:bookmarkStart w:id="1199" w:name="_Toc6182"/>
      <w:bookmarkStart w:id="1200" w:name="_Toc13324"/>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outlineLvl w:val="2"/>
        <w:rPr>
          <w:rFonts w:ascii="宋体" w:hAnsi="宋体" w:cs="宋体"/>
          <w:b/>
          <w:color w:val="auto"/>
          <w:sz w:val="24"/>
          <w:szCs w:val="24"/>
          <w:highlight w:val="none"/>
        </w:rPr>
      </w:pPr>
      <w:r>
        <w:rPr>
          <w:rFonts w:hint="eastAsia" w:ascii="宋体" w:hAnsi="宋体" w:cs="宋体"/>
          <w:b/>
          <w:color w:val="auto"/>
          <w:sz w:val="24"/>
          <w:szCs w:val="24"/>
          <w:highlight w:val="none"/>
        </w:rPr>
        <w:t>格式五：</w:t>
      </w:r>
      <w:bookmarkEnd w:id="1199"/>
      <w:bookmarkEnd w:id="1200"/>
      <w:r>
        <w:rPr>
          <w:rFonts w:hint="eastAsia" w:ascii="宋体" w:hAnsi="宋体" w:cs="宋体"/>
          <w:b/>
          <w:color w:val="auto"/>
          <w:sz w:val="24"/>
          <w:szCs w:val="24"/>
          <w:highlight w:val="none"/>
        </w:rPr>
        <w:t>技术投标书</w:t>
      </w:r>
    </w:p>
    <w:p>
      <w:pPr>
        <w:pStyle w:val="32"/>
        <w:rPr>
          <w:color w:val="auto"/>
          <w:highlight w:val="none"/>
        </w:rPr>
      </w:pPr>
    </w:p>
    <w:p>
      <w:pPr>
        <w:autoSpaceDE w:val="0"/>
        <w:autoSpaceDN w:val="0"/>
        <w:adjustRightInd w:val="0"/>
        <w:spacing w:line="360" w:lineRule="auto"/>
        <w:jc w:val="center"/>
        <w:rPr>
          <w:rFonts w:ascii="宋体" w:cs="宋体"/>
          <w:b/>
          <w:bCs/>
          <w:color w:val="auto"/>
          <w:sz w:val="36"/>
          <w:szCs w:val="36"/>
          <w:highlight w:val="none"/>
          <w:lang w:val="zh-CN"/>
        </w:rPr>
      </w:pPr>
      <w:r>
        <w:rPr>
          <w:rFonts w:hint="eastAsia" w:ascii="宋体" w:cs="宋体"/>
          <w:b/>
          <w:bCs/>
          <w:color w:val="auto"/>
          <w:sz w:val="36"/>
          <w:szCs w:val="36"/>
          <w:highlight w:val="none"/>
        </w:rPr>
        <w:t>技术</w:t>
      </w:r>
      <w:r>
        <w:rPr>
          <w:rFonts w:hint="eastAsia" w:ascii="宋体" w:cs="宋体"/>
          <w:b/>
          <w:bCs/>
          <w:color w:val="auto"/>
          <w:sz w:val="36"/>
          <w:szCs w:val="36"/>
          <w:highlight w:val="none"/>
          <w:lang w:val="zh-CN"/>
        </w:rPr>
        <w:t>投标书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294"/>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项目名称</w:t>
            </w:r>
          </w:p>
        </w:tc>
        <w:tc>
          <w:tcPr>
            <w:tcW w:w="545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highlight w:val="none"/>
                <w:lang w:val="zh-CN"/>
              </w:rPr>
            </w:pPr>
            <w:r>
              <w:rPr>
                <w:rFonts w:hint="eastAsia" w:ascii="宋体" w:cs="宋体"/>
                <w:b/>
                <w:color w:val="auto"/>
                <w:sz w:val="24"/>
                <w:highlight w:val="none"/>
                <w:lang w:val="zh-CN"/>
              </w:rPr>
              <w:t>投 标 总 工 期</w:t>
            </w:r>
          </w:p>
        </w:tc>
        <w:tc>
          <w:tcPr>
            <w:tcW w:w="545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left w:val="single" w:color="auto" w:sz="4" w:space="0"/>
              <w:bottom w:val="single" w:color="auto" w:sz="4" w:space="0"/>
              <w:right w:val="single" w:color="auto" w:sz="4" w:space="0"/>
            </w:tcBorders>
            <w:vAlign w:val="center"/>
          </w:tcPr>
          <w:p>
            <w:pPr>
              <w:jc w:val="center"/>
              <w:rPr>
                <w:rFonts w:ascii="宋体" w:cs="宋体"/>
                <w:b/>
                <w:color w:val="auto"/>
                <w:sz w:val="24"/>
                <w:highlight w:val="none"/>
                <w:lang w:val="zh-CN"/>
              </w:rPr>
            </w:pPr>
            <w:r>
              <w:rPr>
                <w:rFonts w:hint="eastAsia" w:ascii="宋体" w:cs="宋体"/>
                <w:b/>
                <w:bCs/>
                <w:color w:val="auto"/>
                <w:sz w:val="24"/>
                <w:highlight w:val="none"/>
                <w:lang w:val="zh-CN"/>
              </w:rPr>
              <w:t>质量标准</w:t>
            </w:r>
          </w:p>
        </w:tc>
        <w:tc>
          <w:tcPr>
            <w:tcW w:w="545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s="宋体"/>
                <w:b/>
                <w:bCs/>
                <w:color w:val="auto"/>
                <w:sz w:val="24"/>
                <w:highlight w:val="none"/>
                <w:lang w:val="zh-CN"/>
              </w:rPr>
            </w:pPr>
            <w:r>
              <w:rPr>
                <w:rFonts w:ascii="宋体" w:hAnsi="宋体" w:eastAsia="宋体" w:cs="宋体"/>
                <w:b/>
                <w:color w:val="auto"/>
                <w:kern w:val="1"/>
                <w:sz w:val="24"/>
                <w:highlight w:val="none"/>
                <w:lang w:val="zh-CN"/>
              </w:rPr>
              <w:t>完全响应招标文件及合同条款要求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lang w:val="zh-CN"/>
              </w:rPr>
              <w:t>保修期限</w:t>
            </w:r>
          </w:p>
        </w:tc>
        <w:tc>
          <w:tcPr>
            <w:tcW w:w="545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s="宋体"/>
                <w:b/>
                <w:bCs/>
                <w:color w:val="auto"/>
                <w:sz w:val="24"/>
                <w:highlight w:val="none"/>
                <w:lang w:val="zh-CN"/>
              </w:rPr>
            </w:pPr>
            <w:r>
              <w:rPr>
                <w:rFonts w:ascii="宋体" w:hAnsi="宋体" w:eastAsia="宋体" w:cs="宋体"/>
                <w:b/>
                <w:color w:val="auto"/>
                <w:kern w:val="1"/>
                <w:sz w:val="24"/>
                <w:highlight w:val="none"/>
                <w:lang w:val="zh-CN"/>
              </w:rPr>
              <w:t>完全响应招标文件及合同条款要求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委派的项目负责人（兼施工负责人）</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b/>
                <w:color w:val="auto"/>
                <w:sz w:val="24"/>
                <w:highlight w:val="none"/>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lang w:val="zh-CN"/>
              </w:rPr>
              <w:t>注册建造师编号</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cs="宋体"/>
                <w:b/>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rFonts w:hint="eastAsia" w:ascii="宋体" w:cs="宋体"/>
                <w:b/>
                <w:color w:val="auto"/>
                <w:sz w:val="24"/>
                <w:highlight w:val="none"/>
                <w:lang w:val="zh-CN"/>
              </w:rPr>
              <w:t>委派的</w:t>
            </w:r>
            <w:r>
              <w:rPr>
                <w:rFonts w:hint="eastAsia" w:ascii="宋体" w:cs="宋体"/>
                <w:b/>
                <w:color w:val="auto"/>
                <w:sz w:val="24"/>
                <w:highlight w:val="none"/>
              </w:rPr>
              <w:t>技术负责人</w:t>
            </w:r>
          </w:p>
        </w:tc>
        <w:tc>
          <w:tcPr>
            <w:tcW w:w="22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cs="宋体"/>
                <w:b/>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pPr>
              <w:rPr>
                <w:rFonts w:ascii="宋体" w:cs="宋体"/>
                <w:b/>
                <w:color w:val="auto"/>
                <w:sz w:val="24"/>
                <w:highlight w:val="none"/>
                <w:lang w:val="zh-CN"/>
              </w:rPr>
            </w:pPr>
          </w:p>
        </w:tc>
        <w:tc>
          <w:tcPr>
            <w:tcW w:w="22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color w:val="auto"/>
                <w:sz w:val="24"/>
                <w:highlight w:val="none"/>
              </w:rPr>
            </w:pPr>
            <w:r>
              <w:rPr>
                <w:rFonts w:hint="eastAsia" w:ascii="宋体" w:cs="宋体"/>
                <w:b/>
                <w:color w:val="auto"/>
                <w:sz w:val="24"/>
                <w:highlight w:val="none"/>
              </w:rPr>
              <w:t>证书</w:t>
            </w: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cs="宋体"/>
                <w:b/>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w:t>
            </w:r>
            <w:r>
              <w:rPr>
                <w:rFonts w:hint="eastAsia" w:ascii="宋体" w:cs="宋体"/>
                <w:b/>
                <w:color w:val="auto"/>
                <w:sz w:val="24"/>
                <w:highlight w:val="none"/>
              </w:rPr>
              <w:t>专职</w:t>
            </w:r>
            <w:r>
              <w:rPr>
                <w:rFonts w:hint="eastAsia" w:ascii="宋体" w:cs="宋体"/>
                <w:b/>
                <w:bCs/>
                <w:color w:val="auto"/>
                <w:sz w:val="24"/>
                <w:highlight w:val="none"/>
                <w:lang w:val="zh-CN"/>
              </w:rPr>
              <w:t>安全人员</w:t>
            </w:r>
          </w:p>
        </w:tc>
        <w:tc>
          <w:tcPr>
            <w:tcW w:w="22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cs="宋体"/>
                <w:b/>
                <w:bCs/>
                <w:color w:val="auto"/>
                <w:sz w:val="24"/>
                <w:highlight w:val="none"/>
                <w:lang w:val="zh-CN"/>
              </w:rPr>
            </w:pPr>
            <w:r>
              <w:rPr>
                <w:rFonts w:hint="eastAsia" w:ascii="宋体" w:cs="宋体"/>
                <w:b/>
                <w:bCs/>
                <w:color w:val="auto"/>
                <w:sz w:val="24"/>
                <w:highlight w:val="none"/>
                <w:lang w:val="zh-CN"/>
              </w:rPr>
              <w:t>姓   名</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color w:val="auto"/>
                <w:sz w:val="24"/>
                <w:highlight w:val="none"/>
                <w:lang w:val="zh-CN"/>
              </w:rPr>
            </w:pPr>
            <w:r>
              <w:rPr>
                <w:rFonts w:hint="eastAsia" w:ascii="宋体" w:cs="宋体"/>
                <w:b/>
                <w:color w:val="auto"/>
                <w:sz w:val="24"/>
                <w:highlight w:val="none"/>
                <w:lang w:val="zh-CN"/>
              </w:rPr>
              <w:t>安全考核证书</w:t>
            </w:r>
          </w:p>
          <w:p>
            <w:pPr>
              <w:autoSpaceDE w:val="0"/>
              <w:autoSpaceDN w:val="0"/>
              <w:adjustRightInd w:val="0"/>
              <w:jc w:val="center"/>
              <w:rPr>
                <w:rFonts w:ascii="宋体" w:cs="宋体"/>
                <w:b/>
                <w:color w:val="auto"/>
                <w:sz w:val="24"/>
                <w:highlight w:val="none"/>
              </w:rPr>
            </w:pP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w:t>
            </w:r>
            <w:r>
              <w:rPr>
                <w:rFonts w:hint="eastAsia" w:ascii="宋体" w:cs="宋体"/>
                <w:b/>
                <w:bCs/>
                <w:color w:val="auto"/>
                <w:sz w:val="24"/>
                <w:highlight w:val="none"/>
                <w:lang w:val="zh-CN"/>
              </w:rPr>
              <w:t>设计负责人</w:t>
            </w:r>
          </w:p>
        </w:tc>
        <w:tc>
          <w:tcPr>
            <w:tcW w:w="22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cs="宋体"/>
                <w:b/>
                <w:bCs/>
                <w:color w:val="auto"/>
                <w:sz w:val="24"/>
                <w:highlight w:val="none"/>
                <w:lang w:val="zh-CN"/>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color w:val="auto"/>
                <w:sz w:val="24"/>
                <w:highlight w:val="none"/>
                <w:lang w:val="zh-CN"/>
              </w:rPr>
            </w:pPr>
            <w:r>
              <w:rPr>
                <w:rFonts w:hint="eastAsia" w:ascii="宋体" w:cs="宋体"/>
                <w:b/>
                <w:color w:val="auto"/>
                <w:sz w:val="24"/>
                <w:highlight w:val="none"/>
                <w:lang w:val="en-US" w:eastAsia="zh-CN"/>
              </w:rPr>
              <w:t>证书</w:t>
            </w: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highlight w:val="none"/>
                <w:lang w:val="zh-CN"/>
              </w:rPr>
            </w:pPr>
            <w:r>
              <w:rPr>
                <w:rFonts w:hint="eastAsia" w:ascii="宋体" w:cs="宋体"/>
                <w:b/>
                <w:bCs/>
                <w:color w:val="auto"/>
                <w:sz w:val="24"/>
                <w:highlight w:val="none"/>
                <w:lang w:val="zh-CN"/>
              </w:rPr>
              <w:t>法定代表人或其委托代理人（签字或盖章）</w:t>
            </w:r>
          </w:p>
        </w:tc>
        <w:tc>
          <w:tcPr>
            <w:tcW w:w="545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highlight w:val="none"/>
                <w:lang w:val="zh-CN"/>
              </w:rPr>
            </w:pPr>
            <w:r>
              <w:rPr>
                <w:rFonts w:hint="eastAsia" w:ascii="宋体" w:cs="宋体"/>
                <w:b/>
                <w:bCs/>
                <w:color w:val="auto"/>
                <w:sz w:val="24"/>
                <w:highlight w:val="none"/>
                <w:lang w:val="zh-CN"/>
              </w:rPr>
              <w:t>投  标  单  位</w:t>
            </w:r>
          </w:p>
          <w:p>
            <w:pPr>
              <w:autoSpaceDE w:val="0"/>
              <w:autoSpaceDN w:val="0"/>
              <w:adjustRightInd w:val="0"/>
              <w:ind w:firstLine="239" w:firstLineChars="99"/>
              <w:jc w:val="center"/>
              <w:rPr>
                <w:rFonts w:ascii="宋体" w:cs="宋体"/>
                <w:b/>
                <w:bCs/>
                <w:color w:val="auto"/>
                <w:sz w:val="24"/>
                <w:highlight w:val="none"/>
                <w:lang w:val="zh-CN"/>
              </w:rPr>
            </w:pPr>
            <w:r>
              <w:rPr>
                <w:rFonts w:hint="eastAsia" w:ascii="宋体" w:cs="宋体"/>
                <w:b/>
                <w:bCs/>
                <w:color w:val="auto"/>
                <w:sz w:val="24"/>
                <w:highlight w:val="none"/>
                <w:lang w:val="zh-CN"/>
              </w:rPr>
              <w:t>（</w:t>
            </w:r>
            <w:r>
              <w:rPr>
                <w:rFonts w:hint="eastAsia" w:ascii="宋体" w:hAnsi="宋体" w:cs="宋体"/>
                <w:b/>
                <w:bCs/>
                <w:color w:val="auto"/>
                <w:sz w:val="24"/>
                <w:szCs w:val="24"/>
                <w:highlight w:val="none"/>
                <w:lang w:val="zh-CN"/>
              </w:rPr>
              <w:t>企业公章</w:t>
            </w:r>
            <w:r>
              <w:rPr>
                <w:rFonts w:hint="eastAsia" w:ascii="宋体" w:cs="宋体"/>
                <w:b/>
                <w:bCs/>
                <w:color w:val="auto"/>
                <w:sz w:val="24"/>
                <w:highlight w:val="none"/>
                <w:lang w:val="zh-CN"/>
              </w:rPr>
              <w:t>）</w:t>
            </w:r>
          </w:p>
        </w:tc>
        <w:tc>
          <w:tcPr>
            <w:tcW w:w="545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highlight w:val="none"/>
                <w:lang w:val="zh-CN"/>
              </w:rPr>
            </w:pPr>
          </w:p>
        </w:tc>
      </w:tr>
    </w:tbl>
    <w:p>
      <w:pPr>
        <w:widowControl/>
        <w:ind w:firstLine="361" w:firstLineChars="200"/>
        <w:jc w:val="left"/>
        <w:rPr>
          <w:rFonts w:ascii="宋体" w:cs="宋体"/>
          <w:b/>
          <w:color w:val="auto"/>
          <w:sz w:val="18"/>
          <w:szCs w:val="18"/>
          <w:highlight w:val="none"/>
        </w:rPr>
      </w:pPr>
      <w:r>
        <w:rPr>
          <w:rFonts w:hint="eastAsia" w:ascii="宋体" w:cs="宋体"/>
          <w:b/>
          <w:color w:val="auto"/>
          <w:sz w:val="18"/>
          <w:szCs w:val="18"/>
          <w:highlight w:val="none"/>
        </w:rPr>
        <w:t>注：（1）联合体投标的，“投标单位”一栏需书写所有联合体成员的单位全称，可由主办方签字或盖章。</w:t>
      </w:r>
    </w:p>
    <w:p>
      <w:pPr>
        <w:rPr>
          <w:rFonts w:ascii="宋体" w:hAnsi="宋体" w:cs="宋体"/>
          <w:b/>
          <w:color w:val="auto"/>
          <w:sz w:val="24"/>
          <w:szCs w:val="24"/>
          <w:highlight w:val="none"/>
        </w:rPr>
      </w:pPr>
      <w:r>
        <w:rPr>
          <w:rFonts w:hint="eastAsia" w:ascii="宋体" w:cs="宋体"/>
          <w:b/>
          <w:color w:val="auto"/>
          <w:sz w:val="18"/>
          <w:szCs w:val="18"/>
          <w:highlight w:val="none"/>
        </w:rPr>
        <w:t>（2）“投标工期”、“质量标准”、“保修期限”可以填写“</w:t>
      </w:r>
      <w:r>
        <w:rPr>
          <w:rFonts w:hint="eastAsia" w:ascii="宋体" w:hAnsi="Times New Roman" w:eastAsia="宋体" w:cs="宋体"/>
          <w:b/>
          <w:color w:val="auto"/>
          <w:kern w:val="2"/>
          <w:sz w:val="18"/>
          <w:szCs w:val="18"/>
          <w:highlight w:val="none"/>
          <w:lang w:val="zh-CN"/>
        </w:rPr>
        <w:t>完全响应招标文件及合同条款要求</w:t>
      </w:r>
      <w:r>
        <w:rPr>
          <w:rFonts w:hint="eastAsia" w:ascii="宋体" w:hAnsi="Times New Roman" w:eastAsia="宋体" w:cs="宋体"/>
          <w:b/>
          <w:color w:val="auto"/>
          <w:sz w:val="18"/>
          <w:szCs w:val="18"/>
          <w:highlight w:val="none"/>
        </w:rPr>
        <w:t>”</w:t>
      </w:r>
      <w:r>
        <w:rPr>
          <w:rFonts w:hint="eastAsia" w:ascii="宋体" w:cs="宋体"/>
          <w:b/>
          <w:color w:val="auto"/>
          <w:sz w:val="18"/>
          <w:szCs w:val="18"/>
          <w:highlight w:val="none"/>
        </w:rPr>
        <w:t>或按招标文件内容填写。</w:t>
      </w:r>
      <w:r>
        <w:rPr>
          <w:rFonts w:hint="eastAsia" w:ascii="宋体" w:hAnsi="宋体" w:cs="宋体"/>
          <w:b/>
          <w:color w:val="auto"/>
          <w:sz w:val="24"/>
          <w:szCs w:val="24"/>
          <w:highlight w:val="none"/>
        </w:rPr>
        <w:br w:type="page"/>
      </w:r>
    </w:p>
    <w:p>
      <w:pPr>
        <w:pStyle w:val="135"/>
        <w:spacing w:beforeLines="0" w:afterLines="0" w:line="360" w:lineRule="auto"/>
        <w:outlineLvl w:val="0"/>
        <w:rPr>
          <w:rFonts w:ascii="宋体" w:hAnsi="宋体" w:eastAsia="宋体" w:cs="宋体"/>
          <w:color w:val="auto"/>
          <w:highlight w:val="none"/>
        </w:rPr>
      </w:pPr>
      <w:bookmarkStart w:id="1201" w:name="_Toc28480"/>
      <w:bookmarkStart w:id="1202" w:name="_Toc532475368"/>
      <w:bookmarkStart w:id="1203" w:name="_Toc20237"/>
      <w:bookmarkStart w:id="1204" w:name="_Toc510963900"/>
      <w:bookmarkStart w:id="1205" w:name="_Toc12442"/>
      <w:bookmarkStart w:id="1206" w:name="_Toc23424914"/>
      <w:bookmarkStart w:id="1207" w:name="_Toc532475801"/>
      <w:r>
        <w:rPr>
          <w:rFonts w:hint="eastAsia" w:ascii="宋体" w:hAnsi="宋体" w:eastAsia="宋体" w:cs="宋体"/>
          <w:color w:val="auto"/>
          <w:highlight w:val="none"/>
        </w:rPr>
        <w:t>二、经济标投标文件格式</w:t>
      </w:r>
      <w:bookmarkEnd w:id="1201"/>
      <w:bookmarkEnd w:id="1202"/>
      <w:bookmarkEnd w:id="1203"/>
      <w:bookmarkEnd w:id="1204"/>
      <w:bookmarkEnd w:id="1205"/>
      <w:bookmarkEnd w:id="1206"/>
      <w:bookmarkEnd w:id="1207"/>
    </w:p>
    <w:p>
      <w:pPr>
        <w:pStyle w:val="116"/>
        <w:ind w:firstLine="496"/>
        <w:rPr>
          <w:rFonts w:ascii="宋体" w:hAnsi="宋体" w:cs="宋体"/>
          <w:color w:val="auto"/>
          <w:highlight w:val="none"/>
        </w:rPr>
      </w:pPr>
    </w:p>
    <w:p>
      <w:pPr>
        <w:pStyle w:val="156"/>
        <w:spacing w:beforeLines="0" w:afterLines="0"/>
        <w:ind w:firstLine="496"/>
        <w:rPr>
          <w:rFonts w:ascii="宋体" w:eastAsia="宋体" w:cs="宋体"/>
          <w:color w:val="auto"/>
          <w:highlight w:val="none"/>
        </w:rPr>
      </w:pPr>
      <w:bookmarkStart w:id="1208" w:name="_Toc532475804"/>
      <w:bookmarkStart w:id="1209" w:name="_Toc532475371"/>
      <w:bookmarkStart w:id="1210" w:name="_Toc23424916"/>
      <w:bookmarkStart w:id="1211" w:name="_Toc510963903"/>
      <w:r>
        <w:rPr>
          <w:rFonts w:hint="eastAsia" w:ascii="宋体" w:eastAsia="宋体" w:cs="宋体"/>
          <w:b w:val="0"/>
          <w:color w:val="auto"/>
          <w:highlight w:val="none"/>
        </w:rPr>
        <w:br w:type="page"/>
      </w:r>
      <w:bookmarkStart w:id="1212" w:name="_Toc532475802"/>
      <w:bookmarkStart w:id="1213" w:name="_Toc474"/>
      <w:bookmarkStart w:id="1214" w:name="_Toc23424915"/>
      <w:bookmarkStart w:id="1215" w:name="_Toc532475369"/>
      <w:bookmarkStart w:id="1216" w:name="_Toc11840"/>
      <w:bookmarkStart w:id="1217" w:name="_Toc8472"/>
      <w:bookmarkStart w:id="1218" w:name="_Toc510963901"/>
      <w:r>
        <w:rPr>
          <w:rFonts w:hint="eastAsia" w:ascii="宋体" w:eastAsia="宋体" w:cs="宋体"/>
          <w:color w:val="auto"/>
          <w:highlight w:val="none"/>
        </w:rPr>
        <w:t>格式一：经济标封面</w:t>
      </w:r>
      <w:bookmarkEnd w:id="1212"/>
      <w:bookmarkEnd w:id="1213"/>
      <w:bookmarkEnd w:id="1214"/>
      <w:bookmarkEnd w:id="1215"/>
      <w:bookmarkEnd w:id="1216"/>
      <w:bookmarkEnd w:id="1217"/>
      <w:bookmarkEnd w:id="1218"/>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24"/>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项目名称</w:t>
      </w:r>
      <w:r>
        <w:rPr>
          <w:rFonts w:hint="eastAsia" w:ascii="宋体" w:hAnsi="宋体" w:eastAsia="宋体" w:cs="宋体"/>
          <w:b w:val="0"/>
          <w:color w:val="auto"/>
          <w:highlight w:val="none"/>
          <w:u w:val="single"/>
        </w:rPr>
        <w:t xml:space="preserve">] </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48"/>
        <w:rPr>
          <w:rFonts w:ascii="宋体" w:hAnsi="宋体" w:eastAsia="宋体" w:cs="宋体"/>
          <w:b w:val="0"/>
          <w:color w:val="auto"/>
          <w:highlight w:val="none"/>
        </w:rPr>
      </w:pPr>
      <w:r>
        <w:rPr>
          <w:rFonts w:hint="eastAsia" w:ascii="宋体" w:hAnsi="宋体" w:eastAsia="宋体" w:cs="宋体"/>
          <w:b w:val="0"/>
          <w:color w:val="auto"/>
          <w:highlight w:val="none"/>
        </w:rPr>
        <w:t xml:space="preserve">  投标文件</w:t>
      </w:r>
    </w:p>
    <w:p>
      <w:pPr>
        <w:pStyle w:val="116"/>
        <w:ind w:firstLine="656"/>
        <w:jc w:val="center"/>
        <w:rPr>
          <w:rFonts w:ascii="宋体" w:hAnsi="宋体" w:cs="宋体"/>
          <w:color w:val="auto"/>
          <w:sz w:val="32"/>
          <w:szCs w:val="32"/>
          <w:highlight w:val="none"/>
        </w:rPr>
      </w:pPr>
      <w:r>
        <w:rPr>
          <w:rFonts w:hint="eastAsia" w:ascii="宋体" w:hAnsi="宋体" w:cs="宋体"/>
          <w:color w:val="auto"/>
          <w:sz w:val="32"/>
          <w:szCs w:val="32"/>
          <w:highlight w:val="none"/>
        </w:rPr>
        <w:t>经济标</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133"/>
        <w:ind w:firstLine="616"/>
        <w:rPr>
          <w:rFonts w:ascii="宋体" w:hAnsi="宋体" w:eastAsia="宋体" w:cs="宋体"/>
          <w:color w:val="auto"/>
          <w:highlight w:val="none"/>
        </w:rPr>
      </w:pP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法定代表人或</w:t>
      </w: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日  期：</w:t>
      </w:r>
    </w:p>
    <w:p>
      <w:pPr>
        <w:autoSpaceDE w:val="0"/>
        <w:autoSpaceDN w:val="0"/>
        <w:adjustRightInd w:val="0"/>
        <w:outlineLvl w:val="2"/>
        <w:rPr>
          <w:rFonts w:ascii="宋体" w:hAnsi="宋体" w:cs="宋体"/>
          <w:b/>
          <w:bCs/>
          <w:color w:val="auto"/>
          <w:sz w:val="24"/>
          <w:szCs w:val="28"/>
          <w:highlight w:val="none"/>
        </w:rPr>
      </w:pPr>
      <w:r>
        <w:rPr>
          <w:rFonts w:hint="eastAsia" w:ascii="宋体" w:hAnsi="宋体" w:cs="宋体"/>
          <w:color w:val="auto"/>
          <w:highlight w:val="none"/>
        </w:rPr>
        <w:br w:type="page"/>
      </w:r>
      <w:bookmarkStart w:id="1219" w:name="_Toc10379"/>
      <w:bookmarkStart w:id="1220" w:name="_Toc28859"/>
      <w:r>
        <w:rPr>
          <w:rFonts w:hint="eastAsia" w:ascii="宋体" w:hAnsi="宋体" w:cs="宋体"/>
          <w:b/>
          <w:bCs/>
          <w:color w:val="auto"/>
          <w:sz w:val="24"/>
          <w:szCs w:val="28"/>
          <w:highlight w:val="none"/>
        </w:rPr>
        <w:t>格式二：经济投标书</w:t>
      </w:r>
      <w:bookmarkEnd w:id="1219"/>
      <w:bookmarkEnd w:id="1220"/>
    </w:p>
    <w:p>
      <w:pPr>
        <w:autoSpaceDE w:val="0"/>
        <w:autoSpaceDN w:val="0"/>
        <w:adjustRightInd w:val="0"/>
        <w:rPr>
          <w:rFonts w:ascii="宋体" w:hAnsi="宋体" w:cs="宋体"/>
          <w:b/>
          <w:bCs/>
          <w:color w:val="auto"/>
          <w:sz w:val="24"/>
          <w:szCs w:val="28"/>
          <w:highlight w:val="none"/>
          <w:lang w:val="zh-CN"/>
        </w:rPr>
      </w:pPr>
    </w:p>
    <w:p>
      <w:pPr>
        <w:autoSpaceDE w:val="0"/>
        <w:autoSpaceDN w:val="0"/>
        <w:adjustRightInd w:val="0"/>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经济投标书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165"/>
        <w:gridCol w:w="5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项目名称</w:t>
            </w:r>
          </w:p>
        </w:tc>
        <w:tc>
          <w:tcPr>
            <w:tcW w:w="57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233"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投标总报价</w:t>
            </w:r>
            <w:r>
              <w:rPr>
                <w:rFonts w:hint="eastAsia" w:ascii="宋体" w:hAnsi="宋体" w:cs="宋体"/>
                <w:b/>
                <w:color w:val="auto"/>
                <w:sz w:val="24"/>
                <w:szCs w:val="24"/>
                <w:highlight w:val="none"/>
                <w:lang w:val="zh-CN"/>
              </w:rPr>
              <w:t>（元）</w:t>
            </w:r>
          </w:p>
        </w:tc>
        <w:tc>
          <w:tcPr>
            <w:tcW w:w="57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b/>
                <w:color w:val="auto"/>
                <w:sz w:val="24"/>
                <w:szCs w:val="24"/>
                <w:highlight w:val="none"/>
              </w:rPr>
            </w:pPr>
            <w:r>
              <w:rPr>
                <w:rFonts w:hint="eastAsia" w:ascii="宋体" w:hAnsi="宋体" w:cs="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b/>
                <w:color w:val="auto"/>
                <w:sz w:val="24"/>
                <w:szCs w:val="24"/>
                <w:highlight w:val="none"/>
                <w:lang w:val="zh-CN"/>
              </w:rPr>
            </w:pPr>
          </w:p>
        </w:tc>
        <w:tc>
          <w:tcPr>
            <w:tcW w:w="57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b/>
                <w:color w:val="auto"/>
                <w:sz w:val="24"/>
                <w:szCs w:val="24"/>
                <w:highlight w:val="none"/>
              </w:rPr>
            </w:pPr>
            <w:r>
              <w:rPr>
                <w:rFonts w:hint="eastAsia" w:ascii="宋体" w:hAnsi="宋体" w:cs="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6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p>
        </w:tc>
        <w:tc>
          <w:tcPr>
            <w:tcW w:w="2165"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工程设计费</w:t>
            </w:r>
            <w:r>
              <w:rPr>
                <w:rFonts w:hint="eastAsia" w:ascii="宋体" w:hAnsi="宋体" w:cs="宋体"/>
                <w:b/>
                <w:bCs/>
                <w:color w:val="auto"/>
                <w:kern w:val="0"/>
                <w:sz w:val="24"/>
                <w:szCs w:val="24"/>
                <w:highlight w:val="none"/>
                <w:lang w:val="zh-CN"/>
              </w:rPr>
              <w:t>（含税）</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2"/>
                <w:rFonts w:hint="default"/>
                <w:color w:val="auto"/>
                <w:highlight w:val="none"/>
              </w:rPr>
            </w:pPr>
            <w:r>
              <w:rPr>
                <w:rFonts w:hint="eastAsia" w:ascii="宋体" w:hAnsi="宋体" w:cs="宋体"/>
                <w:b/>
                <w:bCs/>
                <w:color w:val="auto"/>
                <w:kern w:val="0"/>
                <w:sz w:val="24"/>
                <w:szCs w:val="24"/>
                <w:highlight w:val="none"/>
              </w:rPr>
              <w:t xml:space="preserve">工程设计费 </w:t>
            </w:r>
            <w:r>
              <w:rPr>
                <w:rStyle w:val="92"/>
                <w:rFonts w:hint="default"/>
                <w:color w:val="auto"/>
                <w:highlight w:val="none"/>
                <w:u w:val="single"/>
              </w:rPr>
              <w:t xml:space="preserve">         </w:t>
            </w:r>
            <w:r>
              <w:rPr>
                <w:rStyle w:val="92"/>
                <w:rFonts w:hint="default"/>
                <w:color w:val="auto"/>
                <w:highlight w:val="none"/>
              </w:rPr>
              <w:t>元；</w:t>
            </w:r>
          </w:p>
          <w:p>
            <w:pPr>
              <w:pStyle w:val="2"/>
              <w:rPr>
                <w:color w:val="auto"/>
                <w:highlight w:val="none"/>
              </w:rPr>
            </w:pPr>
            <w:r>
              <w:rPr>
                <w:rStyle w:val="92"/>
                <w:rFonts w:hint="default"/>
                <w:color w:val="auto"/>
                <w:highlight w:val="none"/>
              </w:rPr>
              <w:t>工程设计费投标下浮率</w:t>
            </w:r>
            <w:r>
              <w:rPr>
                <w:rStyle w:val="92"/>
                <w:rFonts w:hint="default"/>
                <w:color w:val="auto"/>
                <w:highlight w:val="none"/>
                <w:u w:val="single"/>
              </w:rPr>
              <w:t xml:space="preserve">    </w:t>
            </w:r>
            <w:r>
              <w:rPr>
                <w:rStyle w:val="92"/>
                <w:rFonts w:hint="default"/>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68" w:type="dxa"/>
            <w:vMerge w:val="continue"/>
            <w:tcBorders>
              <w:left w:val="single" w:color="auto" w:sz="4" w:space="0"/>
              <w:right w:val="single" w:color="auto" w:sz="4" w:space="0"/>
            </w:tcBorders>
            <w:vAlign w:val="center"/>
          </w:tcPr>
          <w:p>
            <w:pPr>
              <w:adjustRightInd w:val="0"/>
              <w:snapToGrid w:val="0"/>
              <w:jc w:val="center"/>
              <w:rPr>
                <w:rFonts w:ascii="宋体" w:hAnsi="宋体" w:cs="宋体"/>
                <w:b/>
                <w:color w:val="auto"/>
                <w:sz w:val="24"/>
                <w:szCs w:val="24"/>
                <w:highlight w:val="none"/>
                <w:lang w:val="zh-CN"/>
              </w:rPr>
            </w:pPr>
          </w:p>
        </w:tc>
        <w:tc>
          <w:tcPr>
            <w:tcW w:w="2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建安工程费</w:t>
            </w:r>
            <w:r>
              <w:rPr>
                <w:rFonts w:hint="eastAsia" w:ascii="宋体" w:hAnsi="宋体" w:cs="宋体"/>
                <w:b/>
                <w:bCs/>
                <w:color w:val="auto"/>
                <w:kern w:val="0"/>
                <w:sz w:val="24"/>
                <w:szCs w:val="24"/>
                <w:highlight w:val="none"/>
                <w:lang w:val="zh-CN"/>
              </w:rPr>
              <w:t>（含税）</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2"/>
                <w:rFonts w:hint="default"/>
                <w:color w:val="auto"/>
                <w:highlight w:val="none"/>
              </w:rPr>
            </w:pPr>
            <w:r>
              <w:rPr>
                <w:rFonts w:hint="eastAsia" w:ascii="宋体" w:hAnsi="宋体" w:cs="宋体"/>
                <w:b/>
                <w:bCs/>
                <w:color w:val="auto"/>
                <w:kern w:val="0"/>
                <w:sz w:val="24"/>
                <w:szCs w:val="24"/>
                <w:highlight w:val="none"/>
              </w:rPr>
              <w:t>建安工程费</w:t>
            </w:r>
            <w:r>
              <w:rPr>
                <w:rStyle w:val="92"/>
                <w:rFonts w:hint="default"/>
                <w:color w:val="auto"/>
                <w:highlight w:val="none"/>
                <w:u w:val="single"/>
              </w:rPr>
              <w:t xml:space="preserve">         </w:t>
            </w:r>
            <w:r>
              <w:rPr>
                <w:rStyle w:val="92"/>
                <w:rFonts w:hint="default"/>
                <w:color w:val="auto"/>
                <w:highlight w:val="none"/>
              </w:rPr>
              <w:t>元；</w:t>
            </w:r>
          </w:p>
          <w:p>
            <w:pPr>
              <w:widowControl/>
              <w:jc w:val="left"/>
              <w:textAlignment w:val="center"/>
              <w:rPr>
                <w:rFonts w:ascii="宋体" w:hAnsi="宋体" w:cs="宋体"/>
                <w:b/>
                <w:bCs/>
                <w:color w:val="auto"/>
                <w:sz w:val="24"/>
                <w:szCs w:val="24"/>
                <w:highlight w:val="none"/>
                <w:u w:val="single"/>
                <w:lang w:val="zh-CN"/>
              </w:rPr>
            </w:pPr>
            <w:r>
              <w:rPr>
                <w:rFonts w:hint="eastAsia" w:ascii="宋体" w:hAnsi="宋体" w:cs="宋体"/>
                <w:b/>
                <w:bCs/>
                <w:color w:val="auto"/>
                <w:kern w:val="0"/>
                <w:sz w:val="24"/>
                <w:szCs w:val="24"/>
                <w:highlight w:val="none"/>
              </w:rPr>
              <w:t>建安工程费</w:t>
            </w:r>
            <w:r>
              <w:rPr>
                <w:rStyle w:val="92"/>
                <w:rFonts w:hint="default"/>
                <w:color w:val="auto"/>
                <w:highlight w:val="none"/>
              </w:rPr>
              <w:t>投标下浮率</w:t>
            </w:r>
            <w:r>
              <w:rPr>
                <w:rStyle w:val="92"/>
                <w:rFonts w:hint="default"/>
                <w:color w:val="auto"/>
                <w:highlight w:val="none"/>
                <w:u w:val="single"/>
              </w:rPr>
              <w:t xml:space="preserve">    </w:t>
            </w:r>
            <w:r>
              <w:rPr>
                <w:rStyle w:val="92"/>
                <w:rFonts w:hint="default"/>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b/>
                <w:color w:val="auto"/>
                <w:sz w:val="24"/>
                <w:szCs w:val="24"/>
                <w:highlight w:val="none"/>
              </w:rPr>
              <w:t>法定代表人或其委托代理人</w:t>
            </w:r>
            <w:r>
              <w:rPr>
                <w:rFonts w:hint="eastAsia" w:ascii="宋体" w:hAnsi="宋体" w:cs="宋体"/>
                <w:b/>
                <w:bCs/>
                <w:color w:val="auto"/>
                <w:sz w:val="24"/>
                <w:szCs w:val="24"/>
                <w:highlight w:val="none"/>
                <w:lang w:val="zh-CN"/>
              </w:rPr>
              <w:t>（签</w:t>
            </w:r>
            <w:r>
              <w:rPr>
                <w:rFonts w:hint="eastAsia" w:ascii="宋体" w:hAnsi="宋体" w:cs="宋体"/>
                <w:b/>
                <w:bCs/>
                <w:color w:val="auto"/>
                <w:sz w:val="24"/>
                <w:szCs w:val="24"/>
                <w:highlight w:val="none"/>
              </w:rPr>
              <w:t>字</w:t>
            </w:r>
            <w:r>
              <w:rPr>
                <w:rFonts w:hint="eastAsia" w:ascii="宋体" w:hAnsi="宋体" w:cs="宋体"/>
                <w:b/>
                <w:bCs/>
                <w:color w:val="auto"/>
                <w:sz w:val="24"/>
                <w:szCs w:val="24"/>
                <w:highlight w:val="none"/>
                <w:lang w:val="zh-CN"/>
              </w:rPr>
              <w:t>或盖章）</w:t>
            </w:r>
          </w:p>
        </w:tc>
        <w:tc>
          <w:tcPr>
            <w:tcW w:w="57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  标  单  位</w:t>
            </w:r>
          </w:p>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（企业公章）</w:t>
            </w:r>
          </w:p>
        </w:tc>
        <w:tc>
          <w:tcPr>
            <w:tcW w:w="57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bl>
    <w:p>
      <w:pP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 xml:space="preserve">    注：</w:t>
      </w:r>
    </w:p>
    <w:p>
      <w:pPr>
        <w:ind w:firstLine="394" w:firstLineChars="196"/>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（1）联合体投标的，“投标单位”一栏需书写所有联合体成员的单位全称，可由主办方签署、盖章。</w:t>
      </w:r>
    </w:p>
    <w:p>
      <w:pPr>
        <w:ind w:firstLine="394" w:firstLineChars="196"/>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（2）投标总报价的大写金额和小写金额不一致的，以大写金额为准，投标报价精确到小数点后两位。</w:t>
      </w:r>
    </w:p>
    <w:p>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（3）投标总报价为完成本次招标内容及《发包人要求》内的全部内容的费用。</w:t>
      </w:r>
    </w:p>
    <w:p>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（4）建安工程费投标报价作为评标价。</w:t>
      </w:r>
    </w:p>
    <w:p>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（5）投标人须按招标文件要求报价，且不超过最高投标限价，否则视为无效标。</w:t>
      </w:r>
    </w:p>
    <w:p>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（6）工程设计费（含税）下浮率=（1-工程设计费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报价÷工程设计费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投标最高限价）×100%。</w:t>
      </w:r>
    </w:p>
    <w:p>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（7）建安工程费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下浮率=（1-建安工程费（含税）报价÷建安工程费（含税）投标最高限价）×100%。</w:t>
      </w:r>
    </w:p>
    <w:p>
      <w:pPr>
        <w:pStyle w:val="138"/>
        <w:rPr>
          <w:rFonts w:ascii="宋体" w:hAnsi="宋体" w:cs="宋体"/>
          <w:color w:val="auto"/>
          <w:highlight w:val="none"/>
        </w:rPr>
      </w:pPr>
    </w:p>
    <w:p>
      <w:pPr>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br w:type="page"/>
      </w:r>
    </w:p>
    <w:p>
      <w:pPr>
        <w:ind w:firstLine="241" w:firstLineChars="100"/>
        <w:rPr>
          <w:rFonts w:hint="default"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分项报价表（若有）</w:t>
      </w:r>
    </w:p>
    <w:p>
      <w:pPr>
        <w:rPr>
          <w:rFonts w:ascii="宋体" w:hAnsi="宋体" w:cs="宋体"/>
          <w:b/>
          <w:bCs/>
          <w:color w:val="auto"/>
          <w:sz w:val="24"/>
          <w:szCs w:val="28"/>
          <w:highlight w:val="none"/>
        </w:rPr>
      </w:pPr>
    </w:p>
    <w:p>
      <w:pPr>
        <w:rPr>
          <w:rFonts w:ascii="宋体" w:hAnsi="宋体" w:cs="宋体"/>
          <w:b/>
          <w:bCs/>
          <w:color w:val="auto"/>
          <w:sz w:val="24"/>
          <w:szCs w:val="28"/>
          <w:highlight w:val="none"/>
        </w:rPr>
      </w:pPr>
    </w:p>
    <w:bookmarkEnd w:id="1031"/>
    <w:bookmarkEnd w:id="1162"/>
    <w:bookmarkEnd w:id="1163"/>
    <w:bookmarkEnd w:id="1164"/>
    <w:bookmarkEnd w:id="1165"/>
    <w:bookmarkEnd w:id="1166"/>
    <w:bookmarkEnd w:id="1167"/>
    <w:bookmarkEnd w:id="1168"/>
    <w:bookmarkEnd w:id="1169"/>
    <w:bookmarkEnd w:id="1170"/>
    <w:bookmarkEnd w:id="1171"/>
    <w:bookmarkEnd w:id="1172"/>
    <w:bookmarkEnd w:id="1173"/>
    <w:bookmarkEnd w:id="1179"/>
    <w:bookmarkEnd w:id="1180"/>
    <w:bookmarkEnd w:id="1181"/>
    <w:bookmarkEnd w:id="1208"/>
    <w:bookmarkEnd w:id="1209"/>
    <w:bookmarkEnd w:id="1210"/>
    <w:bookmarkEnd w:id="1211"/>
    <w:p>
      <w:pPr>
        <w:rPr>
          <w:rFonts w:hint="eastAsia" w:ascii="宋体" w:hAnsi="宋体" w:eastAsia="宋体" w:cs="宋体"/>
          <w:color w:val="auto"/>
          <w:highlight w:val="none"/>
        </w:rPr>
      </w:pPr>
      <w:bookmarkStart w:id="1221" w:name="_Toc6726"/>
      <w:bookmarkStart w:id="1222" w:name="_Toc32115"/>
      <w:r>
        <w:rPr>
          <w:rFonts w:hint="eastAsia" w:ascii="宋体" w:hAnsi="宋体" w:eastAsia="宋体" w:cs="宋体"/>
          <w:color w:val="auto"/>
          <w:highlight w:val="none"/>
        </w:rPr>
        <w:br w:type="page"/>
      </w:r>
    </w:p>
    <w:p>
      <w:pPr>
        <w:pStyle w:val="135"/>
        <w:spacing w:beforeLines="0" w:afterLines="0" w:line="360" w:lineRule="auto"/>
        <w:jc w:val="left"/>
        <w:outlineLvl w:val="0"/>
        <w:rPr>
          <w:rFonts w:hint="eastAsia" w:ascii="宋体" w:hAnsi="宋体" w:eastAsia="宋体" w:cs="宋体"/>
          <w:color w:val="auto"/>
          <w:highlight w:val="none"/>
        </w:rPr>
      </w:pPr>
    </w:p>
    <w:p>
      <w:pPr>
        <w:pStyle w:val="135"/>
        <w:spacing w:beforeLines="0" w:afterLines="0" w:line="360" w:lineRule="auto"/>
        <w:jc w:val="left"/>
        <w:outlineLvl w:val="0"/>
        <w:rPr>
          <w:rFonts w:hint="eastAsia" w:ascii="宋体" w:hAnsi="宋体" w:eastAsia="宋体" w:cs="宋体"/>
          <w:color w:val="auto"/>
          <w:highlight w:val="none"/>
        </w:rPr>
      </w:pPr>
    </w:p>
    <w:p>
      <w:pPr>
        <w:pStyle w:val="135"/>
        <w:spacing w:beforeLines="0" w:afterLines="0" w:line="360" w:lineRule="auto"/>
        <w:jc w:val="left"/>
        <w:outlineLvl w:val="0"/>
        <w:rPr>
          <w:rFonts w:ascii="宋体" w:hAnsi="宋体" w:eastAsia="宋体" w:cs="宋体"/>
          <w:color w:val="auto"/>
          <w:highlight w:val="none"/>
        </w:rPr>
      </w:pPr>
      <w:r>
        <w:rPr>
          <w:rFonts w:hint="eastAsia" w:ascii="宋体" w:hAnsi="宋体" w:eastAsia="宋体" w:cs="宋体"/>
          <w:color w:val="auto"/>
          <w:highlight w:val="none"/>
        </w:rPr>
        <w:t>三、定标文件格式</w:t>
      </w: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16"/>
        <w:ind w:firstLine="496"/>
        <w:rPr>
          <w:color w:val="auto"/>
          <w:highlight w:val="none"/>
        </w:rPr>
      </w:pP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pStyle w:val="156"/>
        <w:spacing w:beforeLines="0" w:afterLines="0"/>
        <w:ind w:firstLine="498"/>
        <w:rPr>
          <w:rFonts w:ascii="宋体" w:eastAsia="宋体" w:cs="宋体"/>
          <w:color w:val="auto"/>
          <w:highlight w:val="none"/>
        </w:rPr>
      </w:pPr>
    </w:p>
    <w:p>
      <w:pPr>
        <w:rPr>
          <w:rFonts w:ascii="宋体" w:cs="宋体"/>
          <w:color w:val="auto"/>
          <w:highlight w:val="none"/>
        </w:rPr>
      </w:pPr>
      <w:r>
        <w:rPr>
          <w:rFonts w:hint="eastAsia" w:ascii="宋体" w:cs="宋体"/>
          <w:color w:val="auto"/>
          <w:highlight w:val="none"/>
        </w:rPr>
        <w:br w:type="page"/>
      </w:r>
    </w:p>
    <w:p>
      <w:pPr>
        <w:pStyle w:val="156"/>
        <w:spacing w:beforeLines="0" w:afterLines="0"/>
        <w:ind w:firstLine="498"/>
        <w:rPr>
          <w:rFonts w:ascii="宋体" w:eastAsia="宋体" w:cs="宋体"/>
          <w:color w:val="auto"/>
          <w:highlight w:val="none"/>
        </w:rPr>
      </w:pPr>
      <w:r>
        <w:rPr>
          <w:rFonts w:hint="eastAsia" w:ascii="宋体" w:eastAsia="宋体" w:cs="宋体"/>
          <w:color w:val="auto"/>
          <w:highlight w:val="none"/>
        </w:rPr>
        <w:t>格式一：定标文件封面</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24"/>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项目名称</w:t>
      </w:r>
      <w:r>
        <w:rPr>
          <w:rFonts w:hint="eastAsia" w:ascii="宋体" w:hAnsi="宋体" w:eastAsia="宋体" w:cs="宋体"/>
          <w:b w:val="0"/>
          <w:color w:val="auto"/>
          <w:highlight w:val="none"/>
          <w:u w:val="single"/>
        </w:rPr>
        <w:t xml:space="preserve">] </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48"/>
        <w:rPr>
          <w:rFonts w:ascii="宋体" w:hAnsi="宋体" w:eastAsia="宋体" w:cs="宋体"/>
          <w:b w:val="0"/>
          <w:color w:val="auto"/>
          <w:highlight w:val="none"/>
        </w:rPr>
      </w:pPr>
      <w:r>
        <w:rPr>
          <w:rFonts w:hint="eastAsia" w:ascii="宋体" w:hAnsi="宋体" w:eastAsia="宋体" w:cs="宋体"/>
          <w:b w:val="0"/>
          <w:color w:val="auto"/>
          <w:highlight w:val="none"/>
        </w:rPr>
        <w:t xml:space="preserve">  定标文件</w:t>
      </w: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16"/>
        <w:ind w:firstLine="496"/>
        <w:rPr>
          <w:rFonts w:ascii="宋体" w:hAnsi="宋体" w:cs="宋体"/>
          <w:color w:val="auto"/>
          <w:highlight w:val="none"/>
        </w:rPr>
      </w:pP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133"/>
        <w:ind w:firstLine="616"/>
        <w:rPr>
          <w:rFonts w:ascii="宋体" w:hAnsi="宋体" w:eastAsia="宋体" w:cs="宋体"/>
          <w:color w:val="auto"/>
          <w:highlight w:val="none"/>
        </w:rPr>
      </w:pP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法定代表人或</w:t>
      </w: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pPr>
        <w:pStyle w:val="133"/>
        <w:ind w:firstLine="616"/>
        <w:rPr>
          <w:rFonts w:ascii="宋体" w:hAnsi="宋体" w:eastAsia="宋体" w:cs="宋体"/>
          <w:color w:val="auto"/>
          <w:highlight w:val="none"/>
        </w:rPr>
      </w:pPr>
      <w:r>
        <w:rPr>
          <w:rFonts w:hint="eastAsia" w:ascii="宋体" w:hAnsi="宋体" w:eastAsia="宋体" w:cs="宋体"/>
          <w:color w:val="auto"/>
          <w:highlight w:val="none"/>
        </w:rPr>
        <w:t>日  期：</w:t>
      </w: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pacing w:line="400" w:lineRule="exact"/>
        <w:rPr>
          <w:rFonts w:ascii="宋体" w:hAnsi="宋体" w:cs="宋体"/>
          <w:color w:val="auto"/>
          <w:spacing w:val="4"/>
          <w:kern w:val="0"/>
          <w:sz w:val="30"/>
          <w:szCs w:val="30"/>
          <w:highlight w:val="none"/>
        </w:rPr>
      </w:pPr>
    </w:p>
    <w:p>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格式二:</w:t>
      </w:r>
      <w:r>
        <w:rPr>
          <w:rFonts w:hint="eastAsia" w:ascii="宋体" w:hAnsi="宋体"/>
          <w:color w:val="auto"/>
          <w:sz w:val="30"/>
          <w:szCs w:val="30"/>
          <w:highlight w:val="none"/>
        </w:rPr>
        <w:t xml:space="preserve"> 定标文件相关资料</w:t>
      </w:r>
      <w:r>
        <w:rPr>
          <w:rFonts w:hint="eastAsia" w:ascii="宋体" w:hAnsi="宋体" w:cs="宋体"/>
          <w:color w:val="auto"/>
          <w:spacing w:val="4"/>
          <w:kern w:val="0"/>
          <w:sz w:val="30"/>
          <w:szCs w:val="30"/>
          <w:highlight w:val="none"/>
        </w:rPr>
        <w:t>：</w:t>
      </w:r>
    </w:p>
    <w:p>
      <w:pPr>
        <w:topLinePunct/>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包括但不限制于以下内容</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根据定标因素表内容自行补充调整</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w:t>
      </w:r>
    </w:p>
    <w:p>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1、投标人（联合体各方）的企业单位介绍；</w:t>
      </w:r>
    </w:p>
    <w:p>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2、投标人的工程实施方案；</w:t>
      </w:r>
    </w:p>
    <w:p>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3、投标人的</w:t>
      </w:r>
      <w:r>
        <w:rPr>
          <w:rFonts w:hint="eastAsia" w:ascii="宋体" w:hAnsi="宋体" w:cs="宋体"/>
          <w:color w:val="auto"/>
          <w:spacing w:val="4"/>
          <w:kern w:val="0"/>
          <w:sz w:val="30"/>
          <w:szCs w:val="30"/>
          <w:highlight w:val="none"/>
          <w:lang w:val="en-US" w:eastAsia="zh-CN"/>
        </w:rPr>
        <w:t>报价、</w:t>
      </w:r>
      <w:r>
        <w:rPr>
          <w:rFonts w:hint="eastAsia" w:ascii="宋体" w:hAnsi="宋体" w:cs="宋体"/>
          <w:color w:val="auto"/>
          <w:spacing w:val="4"/>
          <w:kern w:val="0"/>
          <w:sz w:val="30"/>
          <w:szCs w:val="30"/>
          <w:highlight w:val="none"/>
        </w:rPr>
        <w:t>团队</w:t>
      </w:r>
      <w:r>
        <w:rPr>
          <w:rFonts w:hint="eastAsia" w:ascii="宋体" w:hAnsi="宋体" w:cs="宋体"/>
          <w:color w:val="auto"/>
          <w:spacing w:val="4"/>
          <w:kern w:val="0"/>
          <w:sz w:val="30"/>
          <w:szCs w:val="30"/>
          <w:highlight w:val="none"/>
          <w:lang w:eastAsia="zh-CN"/>
        </w:rPr>
        <w:t>、</w:t>
      </w:r>
      <w:r>
        <w:rPr>
          <w:rFonts w:hint="eastAsia" w:ascii="宋体" w:hAnsi="宋体" w:cs="宋体"/>
          <w:color w:val="auto"/>
          <w:spacing w:val="4"/>
          <w:kern w:val="0"/>
          <w:sz w:val="30"/>
          <w:szCs w:val="30"/>
          <w:highlight w:val="none"/>
          <w:lang w:val="en-US" w:eastAsia="zh-CN"/>
        </w:rPr>
        <w:t>业绩等定标</w:t>
      </w:r>
      <w:r>
        <w:rPr>
          <w:rFonts w:hint="eastAsia" w:ascii="宋体" w:hAnsi="宋体" w:cs="宋体"/>
          <w:color w:val="auto"/>
          <w:spacing w:val="4"/>
          <w:kern w:val="0"/>
          <w:sz w:val="30"/>
          <w:szCs w:val="30"/>
          <w:highlight w:val="none"/>
        </w:rPr>
        <w:t>因素文件；</w:t>
      </w:r>
    </w:p>
    <w:p>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4、投标人认为需要提交的其它文件。</w:t>
      </w: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spacing w:line="360" w:lineRule="auto"/>
        <w:jc w:val="left"/>
        <w:outlineLvl w:val="2"/>
        <w:rPr>
          <w:rFonts w:ascii="宋体" w:hAnsi="宋体" w:cs="宋体"/>
          <w:b/>
          <w:bCs/>
          <w:color w:val="auto"/>
          <w:sz w:val="24"/>
          <w:szCs w:val="28"/>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r>
        <w:rPr>
          <w:rFonts w:hint="eastAsia" w:ascii="宋体" w:hAnsi="宋体" w:cs="宋体"/>
          <w:b/>
          <w:bCs/>
          <w:color w:val="auto"/>
          <w:sz w:val="24"/>
          <w:szCs w:val="28"/>
          <w:highlight w:val="none"/>
        </w:rPr>
        <w:t>格式三：</w:t>
      </w:r>
      <w:bookmarkStart w:id="1223" w:name="_Toc5620363"/>
      <w:r>
        <w:rPr>
          <w:rFonts w:hint="eastAsia" w:ascii="宋体" w:hAnsi="宋体" w:cs="宋体"/>
          <w:b/>
          <w:bCs/>
          <w:color w:val="auto"/>
          <w:sz w:val="24"/>
          <w:szCs w:val="28"/>
          <w:highlight w:val="none"/>
        </w:rPr>
        <w:t>拟投入本项目人员一览表</w:t>
      </w:r>
    </w:p>
    <w:p>
      <w:pPr>
        <w:pStyle w:val="2"/>
        <w:rPr>
          <w:color w:val="auto"/>
          <w:highlight w:val="none"/>
        </w:rPr>
      </w:pPr>
    </w:p>
    <w:p>
      <w:pPr>
        <w:pStyle w:val="116"/>
        <w:ind w:firstLine="658"/>
        <w:jc w:val="center"/>
        <w:rPr>
          <w:rFonts w:ascii="宋体" w:hAnsi="宋体" w:cs="宋体"/>
          <w:b/>
          <w:bCs/>
          <w:color w:val="auto"/>
          <w:highlight w:val="none"/>
        </w:rPr>
      </w:pPr>
      <w:r>
        <w:rPr>
          <w:rFonts w:hint="eastAsia" w:ascii="宋体" w:hAnsi="宋体" w:cs="宋体"/>
          <w:b/>
          <w:bCs/>
          <w:color w:val="auto"/>
          <w:sz w:val="32"/>
          <w:szCs w:val="32"/>
          <w:highlight w:val="none"/>
          <w:lang w:val="zh-CN"/>
        </w:rPr>
        <w:t>拟投入本项目人员一览表</w:t>
      </w:r>
    </w:p>
    <w:tbl>
      <w:tblPr>
        <w:tblStyle w:val="40"/>
        <w:tblW w:w="9217" w:type="dxa"/>
        <w:tblInd w:w="0" w:type="dxa"/>
        <w:tblLayout w:type="fixed"/>
        <w:tblCellMar>
          <w:top w:w="0" w:type="dxa"/>
          <w:left w:w="108" w:type="dxa"/>
          <w:bottom w:w="0" w:type="dxa"/>
          <w:right w:w="108" w:type="dxa"/>
        </w:tblCellMar>
      </w:tblPr>
      <w:tblGrid>
        <w:gridCol w:w="599"/>
        <w:gridCol w:w="600"/>
        <w:gridCol w:w="600"/>
        <w:gridCol w:w="600"/>
        <w:gridCol w:w="801"/>
        <w:gridCol w:w="717"/>
        <w:gridCol w:w="1103"/>
        <w:gridCol w:w="1661"/>
        <w:gridCol w:w="1309"/>
        <w:gridCol w:w="1227"/>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r>
              <w:rPr>
                <w:rFonts w:hint="eastAsia"/>
                <w:color w:val="auto"/>
                <w:highlight w:val="none"/>
              </w:rPr>
              <w:t>或岗位证编号</w:t>
            </w:r>
          </w:p>
        </w:tc>
        <w:tc>
          <w:tcPr>
            <w:tcW w:w="1309" w:type="dxa"/>
            <w:tcBorders>
              <w:top w:val="single" w:color="000000" w:sz="6" w:space="0"/>
              <w:left w:val="single" w:color="000000" w:sz="6" w:space="0"/>
              <w:bottom w:val="single" w:color="000000" w:sz="6" w:space="0"/>
              <w:right w:val="single" w:color="000000" w:sz="6" w:space="0"/>
            </w:tcBorders>
            <w:vAlign w:val="center"/>
          </w:tcPr>
          <w:p>
            <w:pPr>
              <w:pStyle w:val="162"/>
              <w:jc w:val="both"/>
              <w:rPr>
                <w:color w:val="auto"/>
                <w:highlight w:val="none"/>
              </w:rPr>
            </w:pPr>
            <w:r>
              <w:rPr>
                <w:rFonts w:hint="eastAsia"/>
                <w:color w:val="auto"/>
                <w:highlight w:val="none"/>
              </w:rPr>
              <w:t>从事工程工作年限</w:t>
            </w: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tblPrEx>
          <w:tblCellMar>
            <w:top w:w="0" w:type="dxa"/>
            <w:left w:w="108" w:type="dxa"/>
            <w:bottom w:w="0" w:type="dxa"/>
            <w:right w:w="108" w:type="dxa"/>
          </w:tblCellMar>
        </w:tblPrEx>
        <w:trPr>
          <w:trHeight w:val="60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bl>
    <w:p>
      <w:pP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注：表中人员为组建的服务团队所有人员,在本表后附</w:t>
      </w:r>
      <w:r>
        <w:rPr>
          <w:rFonts w:hint="eastAsia" w:cs="宋体"/>
          <w:color w:val="auto"/>
          <w:kern w:val="1"/>
          <w:sz w:val="18"/>
          <w:szCs w:val="18"/>
          <w:highlight w:val="none"/>
        </w:rPr>
        <w:t>对应的</w:t>
      </w:r>
      <w:r>
        <w:rPr>
          <w:rFonts w:hint="eastAsia" w:ascii="宋体" w:hAnsi="宋体" w:cs="宋体"/>
          <w:color w:val="auto"/>
          <w:kern w:val="1"/>
          <w:sz w:val="18"/>
          <w:szCs w:val="18"/>
          <w:highlight w:val="none"/>
        </w:rPr>
        <w:t>相关证明材料。</w:t>
      </w:r>
    </w:p>
    <w:p>
      <w:pPr>
        <w:spacing w:line="360" w:lineRule="auto"/>
        <w:ind w:firstLine="3600"/>
        <w:rPr>
          <w:rFonts w:ascii="宋体" w:hAnsi="宋体" w:cs="宋体"/>
          <w:color w:val="auto"/>
          <w:kern w:val="1"/>
          <w:sz w:val="28"/>
          <w:szCs w:val="28"/>
          <w:highlight w:val="none"/>
        </w:rPr>
      </w:pPr>
    </w:p>
    <w:bookmarkEnd w:id="1223"/>
    <w:p>
      <w:pPr>
        <w:tabs>
          <w:tab w:val="left" w:pos="7655"/>
        </w:tabs>
        <w:wordWrap w:val="0"/>
        <w:spacing w:line="360" w:lineRule="auto"/>
        <w:ind w:right="861"/>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投标人：         (盖章) </w:t>
      </w:r>
    </w:p>
    <w:p>
      <w:pPr>
        <w:tabs>
          <w:tab w:val="left" w:pos="7655"/>
        </w:tabs>
        <w:spacing w:line="360" w:lineRule="auto"/>
        <w:ind w:right="492"/>
        <w:jc w:val="center"/>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法定代表人或</w:t>
      </w:r>
      <w:r>
        <w:rPr>
          <w:rFonts w:hint="eastAsia" w:ascii="宋体" w:hAnsi="宋体" w:cs="宋体"/>
          <w:color w:val="auto"/>
          <w:spacing w:val="18"/>
          <w:kern w:val="1"/>
          <w:szCs w:val="21"/>
          <w:highlight w:val="none"/>
        </w:rPr>
        <w:t>其委托代理人</w:t>
      </w:r>
      <w:r>
        <w:rPr>
          <w:rFonts w:hint="eastAsia" w:ascii="宋体" w:hAnsi="宋体" w:cs="宋体"/>
          <w:color w:val="auto"/>
          <w:spacing w:val="18"/>
          <w:kern w:val="1"/>
          <w:szCs w:val="21"/>
          <w:highlight w:val="none"/>
          <w:lang w:val="zh-CN"/>
        </w:rPr>
        <w:t>：       （签字或盖章）</w:t>
      </w:r>
    </w:p>
    <w:p>
      <w:pPr>
        <w:wordWrap w:val="0"/>
        <w:spacing w:line="360" w:lineRule="auto"/>
        <w:ind w:right="492" w:firstLine="5658" w:firstLineChars="23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   年  月  日</w:t>
      </w:r>
    </w:p>
    <w:p>
      <w:pPr>
        <w:spacing w:line="360" w:lineRule="auto"/>
        <w:jc w:val="left"/>
        <w:rPr>
          <w:rFonts w:ascii="宋体" w:hAnsi="宋体" w:cs="宋体"/>
          <w:b/>
          <w:bCs/>
          <w:color w:val="auto"/>
          <w:sz w:val="24"/>
          <w:szCs w:val="28"/>
          <w:highlight w:val="none"/>
        </w:rPr>
        <w:sectPr>
          <w:pgSz w:w="11905" w:h="16838"/>
          <w:pgMar w:top="1247" w:right="1247" w:bottom="1247" w:left="1247" w:header="567" w:footer="850" w:gutter="0"/>
          <w:cols w:space="720" w:num="1"/>
          <w:docGrid w:type="lines" w:linePitch="312" w:charSpace="0"/>
        </w:sectPr>
      </w:pPr>
    </w:p>
    <w:p>
      <w:pPr>
        <w:spacing w:line="360" w:lineRule="auto"/>
        <w:jc w:val="left"/>
        <w:rPr>
          <w:rFonts w:ascii="宋体" w:hAnsi="宋体" w:cs="宋体"/>
          <w:b/>
          <w:bCs/>
          <w:color w:val="auto"/>
          <w:sz w:val="24"/>
          <w:szCs w:val="28"/>
          <w:highlight w:val="none"/>
        </w:rPr>
      </w:pPr>
      <w:r>
        <w:rPr>
          <w:rFonts w:hint="eastAsia" w:ascii="宋体" w:hAnsi="宋体" w:cs="宋体"/>
          <w:b/>
          <w:bCs/>
          <w:color w:val="auto"/>
          <w:sz w:val="24"/>
          <w:szCs w:val="28"/>
          <w:highlight w:val="none"/>
        </w:rPr>
        <w:t>格式四：拟投入本项目主要负责人员简历表</w:t>
      </w:r>
    </w:p>
    <w:bookmarkEnd w:id="1221"/>
    <w:bookmarkEnd w:id="1222"/>
    <w:p>
      <w:pPr>
        <w:spacing w:line="360" w:lineRule="auto"/>
        <w:jc w:val="left"/>
        <w:outlineLvl w:val="2"/>
        <w:rPr>
          <w:rFonts w:ascii="宋体" w:hAnsi="宋体" w:cs="宋体"/>
          <w:color w:val="auto"/>
          <w:highlight w:val="none"/>
        </w:rPr>
      </w:pPr>
    </w:p>
    <w:p>
      <w:pP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拟投入本项目主要负责人员简历表</w:t>
      </w:r>
    </w:p>
    <w:tbl>
      <w:tblPr>
        <w:tblStyle w:val="40"/>
        <w:tblW w:w="9663" w:type="dxa"/>
        <w:tblInd w:w="0" w:type="dxa"/>
        <w:tblLayout w:type="fixed"/>
        <w:tblCellMar>
          <w:top w:w="0" w:type="dxa"/>
          <w:left w:w="108" w:type="dxa"/>
          <w:bottom w:w="0" w:type="dxa"/>
          <w:right w:w="108" w:type="dxa"/>
        </w:tblCellMar>
      </w:tblPr>
      <w:tblGrid>
        <w:gridCol w:w="1574"/>
        <w:gridCol w:w="1466"/>
        <w:gridCol w:w="1313"/>
        <w:gridCol w:w="886"/>
        <w:gridCol w:w="849"/>
        <w:gridCol w:w="707"/>
        <w:gridCol w:w="1132"/>
        <w:gridCol w:w="898"/>
        <w:gridCol w:w="838"/>
      </w:tblGrid>
      <w:tr>
        <w:tblPrEx>
          <w:tblCellMar>
            <w:top w:w="0" w:type="dxa"/>
            <w:left w:w="108" w:type="dxa"/>
            <w:bottom w:w="0" w:type="dxa"/>
            <w:right w:w="108" w:type="dxa"/>
          </w:tblCellMar>
        </w:tblPrEx>
        <w:trPr>
          <w:trHeight w:val="839" w:hRule="exact"/>
        </w:trPr>
        <w:tc>
          <w:tcPr>
            <w:tcW w:w="1574"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6"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313"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性别</w:t>
            </w:r>
          </w:p>
        </w:tc>
        <w:tc>
          <w:tcPr>
            <w:tcW w:w="886"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lang w:val="zh-CN"/>
              </w:rPr>
            </w:pPr>
          </w:p>
        </w:tc>
        <w:tc>
          <w:tcPr>
            <w:tcW w:w="849"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出生年月</w:t>
            </w:r>
          </w:p>
        </w:tc>
        <w:tc>
          <w:tcPr>
            <w:tcW w:w="1839" w:type="dxa"/>
            <w:gridSpan w:val="2"/>
            <w:tcBorders>
              <w:top w:val="single" w:color="000000" w:sz="12"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lang w:val="zh-CN"/>
              </w:rPr>
            </w:pPr>
          </w:p>
        </w:tc>
        <w:tc>
          <w:tcPr>
            <w:tcW w:w="898" w:type="dxa"/>
            <w:tcBorders>
              <w:top w:val="single" w:color="000000" w:sz="12"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文化程度</w:t>
            </w:r>
          </w:p>
        </w:tc>
        <w:tc>
          <w:tcPr>
            <w:tcW w:w="838" w:type="dxa"/>
            <w:tcBorders>
              <w:top w:val="single" w:color="000000" w:sz="12"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lang w:val="zh-CN"/>
              </w:rPr>
            </w:pPr>
          </w:p>
        </w:tc>
      </w:tr>
      <w:tr>
        <w:tblPrEx>
          <w:tblCellMar>
            <w:top w:w="0" w:type="dxa"/>
            <w:left w:w="108" w:type="dxa"/>
            <w:bottom w:w="0" w:type="dxa"/>
            <w:right w:w="108" w:type="dxa"/>
          </w:tblCellMar>
        </w:tblPrEx>
        <w:trPr>
          <w:trHeight w:val="892" w:hRule="exact"/>
        </w:trPr>
        <w:tc>
          <w:tcPr>
            <w:tcW w:w="1574"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6"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131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专业</w:t>
            </w:r>
          </w:p>
        </w:tc>
        <w:tc>
          <w:tcPr>
            <w:tcW w:w="1735" w:type="dxa"/>
            <w:gridSpan w:val="2"/>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lang w:val="zh-CN"/>
              </w:rPr>
            </w:pPr>
          </w:p>
        </w:tc>
        <w:tc>
          <w:tcPr>
            <w:tcW w:w="707"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毕业时间</w:t>
            </w:r>
          </w:p>
        </w:tc>
        <w:tc>
          <w:tcPr>
            <w:tcW w:w="1132" w:type="dxa"/>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lang w:val="zh-CN"/>
              </w:rPr>
            </w:pPr>
          </w:p>
        </w:tc>
        <w:tc>
          <w:tcPr>
            <w:tcW w:w="898"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技术职称</w:t>
            </w:r>
          </w:p>
        </w:tc>
        <w:tc>
          <w:tcPr>
            <w:tcW w:w="838" w:type="dxa"/>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lang w:val="zh-CN"/>
              </w:rPr>
            </w:pPr>
          </w:p>
        </w:tc>
      </w:tr>
      <w:tr>
        <w:tblPrEx>
          <w:tblCellMar>
            <w:top w:w="0" w:type="dxa"/>
            <w:left w:w="108" w:type="dxa"/>
            <w:bottom w:w="0" w:type="dxa"/>
            <w:right w:w="108" w:type="dxa"/>
          </w:tblCellMar>
        </w:tblPrEx>
        <w:trPr>
          <w:trHeight w:val="1949" w:hRule="exact"/>
        </w:trPr>
        <w:tc>
          <w:tcPr>
            <w:tcW w:w="1574"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6"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1313"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86"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849"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39" w:type="dxa"/>
            <w:gridSpan w:val="2"/>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98"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联系</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电话</w:t>
            </w:r>
          </w:p>
        </w:tc>
        <w:tc>
          <w:tcPr>
            <w:tcW w:w="838" w:type="dxa"/>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1289" w:hRule="exact"/>
        </w:trPr>
        <w:tc>
          <w:tcPr>
            <w:tcW w:w="1574"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8089" w:type="dxa"/>
            <w:gridSpan w:val="8"/>
            <w:tcBorders>
              <w:top w:val="single" w:color="000000" w:sz="6" w:space="0"/>
              <w:left w:val="single" w:color="000000" w:sz="6"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rPr>
            </w:pPr>
          </w:p>
        </w:tc>
      </w:tr>
    </w:tbl>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1、项目负责人、技术负责人、质量负责人、设计负责人应附本简历表，其余人员无需本表。</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w:t>
      </w:r>
      <w:r>
        <w:rPr>
          <w:rFonts w:hint="eastAsia" w:ascii="宋体" w:hAnsi="宋体" w:cs="宋体"/>
          <w:color w:val="auto"/>
          <w:kern w:val="1"/>
          <w:sz w:val="18"/>
          <w:szCs w:val="18"/>
          <w:highlight w:val="none"/>
        </w:rPr>
        <w:t>定标因素</w:t>
      </w:r>
      <w:r>
        <w:rPr>
          <w:rFonts w:hint="eastAsia" w:ascii="宋体" w:hAnsi="宋体" w:cs="宋体"/>
          <w:color w:val="auto"/>
          <w:kern w:val="1"/>
          <w:sz w:val="18"/>
          <w:szCs w:val="18"/>
          <w:highlight w:val="none"/>
          <w:lang w:val="zh-CN"/>
        </w:rPr>
        <w:t>》“</w:t>
      </w:r>
      <w:r>
        <w:rPr>
          <w:rFonts w:hint="eastAsia" w:ascii="宋体" w:hAnsi="宋体" w:cs="宋体"/>
          <w:color w:val="auto"/>
          <w:kern w:val="1"/>
          <w:sz w:val="18"/>
          <w:szCs w:val="18"/>
          <w:highlight w:val="none"/>
        </w:rPr>
        <w:t>团队因素</w:t>
      </w:r>
      <w:r>
        <w:rPr>
          <w:rFonts w:hint="eastAsia" w:ascii="宋体" w:hAnsi="宋体" w:cs="宋体"/>
          <w:color w:val="auto"/>
          <w:kern w:val="1"/>
          <w:sz w:val="18"/>
          <w:szCs w:val="18"/>
          <w:highlight w:val="none"/>
          <w:lang w:val="zh-CN"/>
        </w:rPr>
        <w:t>”要求在本表后附对应的相关证明材料。</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pPr>
        <w:pStyle w:val="22"/>
        <w:spacing w:line="360" w:lineRule="auto"/>
        <w:rPr>
          <w:color w:val="auto"/>
          <w:highlight w:val="none"/>
        </w:rPr>
      </w:pPr>
    </w:p>
    <w:p>
      <w:pPr>
        <w:tabs>
          <w:tab w:val="left" w:pos="7655"/>
        </w:tabs>
        <w:wordWrap w:val="0"/>
        <w:spacing w:line="360" w:lineRule="auto"/>
        <w:ind w:right="861"/>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投标人：         (盖章) </w:t>
      </w:r>
    </w:p>
    <w:p>
      <w:pPr>
        <w:tabs>
          <w:tab w:val="left" w:pos="7655"/>
        </w:tabs>
        <w:spacing w:line="360" w:lineRule="auto"/>
        <w:ind w:right="492"/>
        <w:jc w:val="center"/>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法定代表人或</w:t>
      </w:r>
      <w:r>
        <w:rPr>
          <w:rFonts w:hint="eastAsia" w:ascii="宋体" w:hAnsi="宋体" w:cs="宋体"/>
          <w:color w:val="auto"/>
          <w:spacing w:val="18"/>
          <w:kern w:val="1"/>
          <w:szCs w:val="21"/>
          <w:highlight w:val="none"/>
        </w:rPr>
        <w:t>其委托代理人</w:t>
      </w:r>
      <w:r>
        <w:rPr>
          <w:rFonts w:hint="eastAsia" w:ascii="宋体" w:hAnsi="宋体" w:cs="宋体"/>
          <w:color w:val="auto"/>
          <w:spacing w:val="18"/>
          <w:kern w:val="1"/>
          <w:szCs w:val="21"/>
          <w:highlight w:val="none"/>
          <w:lang w:val="zh-CN"/>
        </w:rPr>
        <w:t>：       （签字或盖章）</w:t>
      </w:r>
    </w:p>
    <w:p>
      <w:pPr>
        <w:ind w:right="492" w:firstLine="5658" w:firstLineChars="2300"/>
        <w:rPr>
          <w:color w:val="auto"/>
          <w:highlight w:val="none"/>
        </w:rPr>
      </w:pPr>
      <w:r>
        <w:rPr>
          <w:rFonts w:hint="eastAsia" w:ascii="宋体" w:hAnsi="宋体" w:cs="宋体"/>
          <w:color w:val="auto"/>
          <w:spacing w:val="18"/>
          <w:kern w:val="1"/>
          <w:szCs w:val="21"/>
          <w:highlight w:val="none"/>
          <w:lang w:val="zh-CN"/>
        </w:rPr>
        <w:t>日期：   年  月  日</w:t>
      </w:r>
    </w:p>
    <w:p>
      <w:pPr>
        <w:jc w:val="right"/>
        <w:rPr>
          <w:color w:val="auto"/>
          <w:highlight w:val="none"/>
        </w:rPr>
      </w:pPr>
    </w:p>
    <w:sectPr>
      <w:pgSz w:w="11905" w:h="16838"/>
      <w:pgMar w:top="1247" w:right="1247" w:bottom="1247" w:left="1247" w:header="56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FE6B7E-A4A1-449A-B518-B614DC72B4BA}"/>
  </w:font>
  <w:font w:name="黑体">
    <w:panose1 w:val="02010609060101010101"/>
    <w:charset w:val="86"/>
    <w:family w:val="auto"/>
    <w:pitch w:val="default"/>
    <w:sig w:usb0="800002BF" w:usb1="38CF7CFA" w:usb2="00000016" w:usb3="00000000" w:csb0="00040001" w:csb1="00000000"/>
    <w:embedRegular r:id="rId2" w:fontKey="{23C241CB-0705-431E-B3D4-099DD5E8F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FEB0E83-EDB8-4A22-A654-8E3DD9C66B45}"/>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4" w:fontKey="{241B190A-859F-4045-A4E6-50CA16386ED1}"/>
  </w:font>
  <w:font w:name="仿宋">
    <w:panose1 w:val="02010609060101010101"/>
    <w:charset w:val="86"/>
    <w:family w:val="modern"/>
    <w:pitch w:val="default"/>
    <w:sig w:usb0="800002BF" w:usb1="38CF7CFA" w:usb2="00000016" w:usb3="00000000" w:csb0="00040001" w:csb1="00000000"/>
    <w:embedRegular r:id="rId5" w:fontKey="{48B70B43-7661-428A-83F2-FC9B1E69DFB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center"/>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TyBuUBAADP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m5jR2JywN/PL92+XHr8vPr2xZ&#10;Pl8lhXqPFSXeeUqNwysYaG9mP5IzER/aYNOfKDGKk77nq75qiEymS+vVel1SSFJsPhB+cX/dB4xv&#10;FFiWjJoHGmDWVZzeYRxT55RUzcGtNiYP0bi/HIQ5elTegul2YjJ2nKw47IeJ3h6aM7Gjd0FVOwhf&#10;OOtpK2ru6BFwZt46Ej0t0GyE2djPhnCSLtY8cjaar+O4aEcf9KEj3GWmgv7lMVLfmU5qY6xNMqQD&#10;zTkLMu1kWqQ/zznr/h1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ZVTyBuUBAADPAwAA&#10;DgAAAAAAAAABACAAAAAeAQAAZHJzL2Uyb0RvYy54bWxQSwUGAAAAAAYABgBZAQAAdQ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91</w:t>
    </w:r>
    <w:r>
      <w:fldChar w:fldCharType="end"/>
    </w:r>
  </w:p>
  <w:p>
    <w:pPr>
      <w:spacing w:line="400" w:lineRule="exact"/>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posOffset>2512695</wp:posOffset>
              </wp:positionH>
              <wp:positionV relativeFrom="paragraph">
                <wp:posOffset>-38735</wp:posOffset>
              </wp:positionV>
              <wp:extent cx="210820" cy="16700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10820" cy="16700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square" lIns="0" tIns="0" rIns="0" bIns="0"/>
                  </wps:wsp>
                </a:graphicData>
              </a:graphic>
            </wp:anchor>
          </w:drawing>
        </mc:Choice>
        <mc:Fallback>
          <w:pict>
            <v:shape id="文本框 4" o:spid="_x0000_s1026" o:spt="202" type="#_x0000_t202" style="position:absolute;left:0pt;margin-left:197.85pt;margin-top:-3.05pt;height:13.15pt;width:16.6pt;mso-position-horizontal-relative:margin;z-index:251660288;mso-width-relative:page;mso-height-relative:page;" filled="f" stroked="f" coordsize="21600,21600" o:gfxdata="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VIcKdkAAAAJAQAADwAAAAAAAAABACAAAAAiAAAAZHJz&#10;L2Rvd25yZXYueG1sUEsBAhQAFAAAAAgAh07iQDMbIb7KAQAAiwMAAA4AAAAAAAAAAQAgAAAAKAEA&#10;AGRycy9lMm9Eb2MueG1sUEsFBgAAAAAGAAYAWQEAAGQFAAAAAA==&#10;">
              <v:fill on="f" focussize="0,0"/>
              <v:stroke on="f" weight="1.25pt"/>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ZZL+W5AEAAM8DAAAO&#10;AAAAAAAAAAEAIAAAAB4BAABkcnMvZTJvRG9jLnhtbFBLBQYAAAAABgAGAFkBAAB0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32</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Xl88t5AEAAM8DAAAO&#10;AAAAAAAAAAEAIAAAAB4BAABkcnMvZTJvRG9jLnhtbFBLBQYAAAAABgAGAFkBAAB0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QqBU5AEAAM8DAAAO&#10;AAAAAAAAAAEAIAAAAB4BAABkcnMvZTJvRG9jLnhtbFBLBQYAAAAABgAGAFkBAAB0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5"/>
      </w:rPr>
    </w:pPr>
    <w:r>
      <w:fldChar w:fldCharType="begin"/>
    </w:r>
    <w:r>
      <w:rPr>
        <w:rStyle w:val="45"/>
      </w:rPr>
      <w:instrText xml:space="preserve">PAGE  </w:instrText>
    </w:r>
    <w:r>
      <w:fldChar w:fldCharType="separate"/>
    </w:r>
    <w:r>
      <w:rPr>
        <w:rStyle w:val="45"/>
        <w:rFonts w:hint="eastAsia"/>
      </w:rPr>
      <w:t>一</w:t>
    </w:r>
    <w:r>
      <w:rPr>
        <w:rStyle w:val="45"/>
      </w:rPr>
      <w:t>–2</w:t>
    </w:r>
    <w:r>
      <w:fldChar w:fldCharType="end"/>
    </w:r>
  </w:p>
  <w:p>
    <w:pPr>
      <w:pStyle w:val="26"/>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OyYsjIAQAAngMAAA4AAAAAAAAAAQAgAAAAHgEAAGRycy9lMm9Eb2Mu&#10;eG1sUEsFBgAAAAAGAAYAWQEAAFg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2z3ufeUBAADPAwAA&#10;DgAAAAAAAAABACAAAAAeAQAAZHJzL2Uyb0RvYy54bWxQSwUGAAAAAAYABgBZAQAAdQ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rPr>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0" t="5080" r="0" b="4445"/>
              <wp:wrapNone/>
              <wp:docPr id="2" name="Line 1"/>
              <wp:cNvGraphicFramePr/>
              <a:graphic xmlns:a="http://schemas.openxmlformats.org/drawingml/2006/main">
                <a:graphicData uri="http://schemas.microsoft.com/office/word/2010/wordprocessingShape">
                  <wps:wsp>
                    <wps:cNvCnPr/>
                    <wps:spPr>
                      <a:xfrm>
                        <a:off x="0" y="0"/>
                        <a:ext cx="6153150" cy="0"/>
                      </a:xfrm>
                      <a:prstGeom prst="line">
                        <a:avLst/>
                      </a:prstGeom>
                      <a:ln w="3175" cap="flat" cmpd="sng">
                        <a:solidFill>
                          <a:srgbClr val="FFFFFF"/>
                        </a:solidFill>
                        <a:prstDash val="solid"/>
                        <a:headEnd type="none" w="med" len="med"/>
                        <a:tailEnd type="none" w="med" len="med"/>
                      </a:ln>
                      <a:effectLst/>
                    </wps:spPr>
                    <wps:bodyPr/>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8p8ftcAAAAIAQAADwAAAAAAAAAB&#10;ACAAAAAiAAAAZHJzL2Rvd25yZXYueG1sUEsBAhQAFAAAAAgAh07iQJjcN4jYAQAA2wMAAA4AAAAA&#10;AAAAAQAgAAAAJgEAAGRycy9lMm9Eb2MueG1sUEsFBgAAAAAGAAYAWQEAAHA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240"/>
      </w:tabs>
      <w:kinsoku w:val="0"/>
      <w:overflowPunct w:val="0"/>
      <w:spacing w:line="14" w:lineRule="auto"/>
      <w:rPr>
        <w:sz w:val="20"/>
      </w:rPr>
    </w:pPr>
    <w:r>
      <w:rPr>
        <w:rFonts w:hint="eastAsia"/>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2726"/>
    <w:multiLevelType w:val="singleLevel"/>
    <w:tmpl w:val="ABF42726"/>
    <w:lvl w:ilvl="0" w:tentative="0">
      <w:start w:val="2"/>
      <w:numFmt w:val="decimal"/>
      <w:lvlText w:val="%1."/>
      <w:lvlJc w:val="left"/>
      <w:pPr>
        <w:tabs>
          <w:tab w:val="left" w:pos="312"/>
        </w:tabs>
      </w:pPr>
    </w:lvl>
  </w:abstractNum>
  <w:abstractNum w:abstractNumId="1">
    <w:nsid w:val="BC0475AF"/>
    <w:multiLevelType w:val="singleLevel"/>
    <w:tmpl w:val="BC0475AF"/>
    <w:lvl w:ilvl="0" w:tentative="0">
      <w:start w:val="2"/>
      <w:numFmt w:val="decimal"/>
      <w:suff w:val="nothing"/>
      <w:lvlText w:val="%1、"/>
      <w:lvlJc w:val="left"/>
    </w:lvl>
  </w:abstractNum>
  <w:abstractNum w:abstractNumId="2">
    <w:nsid w:val="02765031"/>
    <w:multiLevelType w:val="singleLevel"/>
    <w:tmpl w:val="02765031"/>
    <w:lvl w:ilvl="0" w:tentative="0">
      <w:start w:val="5"/>
      <w:numFmt w:val="chineseCounting"/>
      <w:suff w:val="space"/>
      <w:lvlText w:val="第%1章"/>
      <w:lvlJc w:val="left"/>
      <w:rPr>
        <w:rFonts w:hint="eastAsia"/>
      </w:rPr>
    </w:lvl>
  </w:abstractNum>
  <w:abstractNum w:abstractNumId="3">
    <w:nsid w:val="33575336"/>
    <w:multiLevelType w:val="multilevel"/>
    <w:tmpl w:val="33575336"/>
    <w:lvl w:ilvl="0" w:tentative="0">
      <w:start w:val="1"/>
      <w:numFmt w:val="decimal"/>
      <w:suff w:val="space"/>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A30922"/>
    <w:multiLevelType w:val="multilevel"/>
    <w:tmpl w:val="5DA30922"/>
    <w:lvl w:ilvl="0" w:tentative="0">
      <w:start w:val="1"/>
      <w:numFmt w:val="decimal"/>
      <w:pStyle w:val="149"/>
      <w:suff w:val="nothing"/>
      <w:lvlText w:val="%1."/>
      <w:lvlJc w:val="left"/>
      <w:pPr>
        <w:ind w:left="0" w:firstLine="0"/>
      </w:pPr>
      <w:rPr>
        <w:rFonts w:hint="eastAsia"/>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2MwODUyZDU0ZGQ0YzFkMzgyNjk1MmU3MTAxNTEifQ=="/>
    <w:docVar w:name="KSO_WPS_MARK_KEY" w:val="99b8e195-afb8-448f-a34b-6379a25cffbc"/>
  </w:docVars>
  <w:rsids>
    <w:rsidRoot w:val="001B48A2"/>
    <w:rsid w:val="00012EE0"/>
    <w:rsid w:val="00013DB5"/>
    <w:rsid w:val="000152E4"/>
    <w:rsid w:val="000160D7"/>
    <w:rsid w:val="0002220C"/>
    <w:rsid w:val="000271AB"/>
    <w:rsid w:val="00044B19"/>
    <w:rsid w:val="00071602"/>
    <w:rsid w:val="000761A2"/>
    <w:rsid w:val="00087B78"/>
    <w:rsid w:val="000901C3"/>
    <w:rsid w:val="000B038F"/>
    <w:rsid w:val="000B0E92"/>
    <w:rsid w:val="000B1D48"/>
    <w:rsid w:val="000C090E"/>
    <w:rsid w:val="000C5303"/>
    <w:rsid w:val="000E3D9D"/>
    <w:rsid w:val="000F1147"/>
    <w:rsid w:val="0010101A"/>
    <w:rsid w:val="0010670D"/>
    <w:rsid w:val="00117780"/>
    <w:rsid w:val="001236C0"/>
    <w:rsid w:val="0012412C"/>
    <w:rsid w:val="001327B6"/>
    <w:rsid w:val="001335AA"/>
    <w:rsid w:val="0013550B"/>
    <w:rsid w:val="00151BDF"/>
    <w:rsid w:val="0016688C"/>
    <w:rsid w:val="00171079"/>
    <w:rsid w:val="0018323F"/>
    <w:rsid w:val="001837F8"/>
    <w:rsid w:val="001A06CF"/>
    <w:rsid w:val="001A33B7"/>
    <w:rsid w:val="001B48A2"/>
    <w:rsid w:val="001B744A"/>
    <w:rsid w:val="001C18F9"/>
    <w:rsid w:val="001C5CEC"/>
    <w:rsid w:val="001D7A92"/>
    <w:rsid w:val="001F750D"/>
    <w:rsid w:val="00202BB5"/>
    <w:rsid w:val="00213D50"/>
    <w:rsid w:val="00215E8C"/>
    <w:rsid w:val="00230BB6"/>
    <w:rsid w:val="00232D77"/>
    <w:rsid w:val="0023453F"/>
    <w:rsid w:val="002363A3"/>
    <w:rsid w:val="0024409C"/>
    <w:rsid w:val="00250010"/>
    <w:rsid w:val="00250723"/>
    <w:rsid w:val="0025714C"/>
    <w:rsid w:val="00270B2F"/>
    <w:rsid w:val="00280BE6"/>
    <w:rsid w:val="00293878"/>
    <w:rsid w:val="002A2D33"/>
    <w:rsid w:val="002B18CA"/>
    <w:rsid w:val="002B1AB8"/>
    <w:rsid w:val="002B2A46"/>
    <w:rsid w:val="002B3188"/>
    <w:rsid w:val="002B5F2A"/>
    <w:rsid w:val="002B6261"/>
    <w:rsid w:val="002C3FC0"/>
    <w:rsid w:val="002D3ED3"/>
    <w:rsid w:val="002D60F7"/>
    <w:rsid w:val="002E156A"/>
    <w:rsid w:val="002E3D3E"/>
    <w:rsid w:val="002F17BB"/>
    <w:rsid w:val="00335F1C"/>
    <w:rsid w:val="00346EE2"/>
    <w:rsid w:val="0035011E"/>
    <w:rsid w:val="0035182F"/>
    <w:rsid w:val="0035200B"/>
    <w:rsid w:val="00353A44"/>
    <w:rsid w:val="0035480B"/>
    <w:rsid w:val="00364984"/>
    <w:rsid w:val="003817DA"/>
    <w:rsid w:val="0038283D"/>
    <w:rsid w:val="0038515D"/>
    <w:rsid w:val="003A24B9"/>
    <w:rsid w:val="003A672E"/>
    <w:rsid w:val="003B442A"/>
    <w:rsid w:val="003C1203"/>
    <w:rsid w:val="003C49D6"/>
    <w:rsid w:val="003C65FD"/>
    <w:rsid w:val="003D1D5F"/>
    <w:rsid w:val="003E050E"/>
    <w:rsid w:val="003E12D4"/>
    <w:rsid w:val="003F09E5"/>
    <w:rsid w:val="003F2853"/>
    <w:rsid w:val="00410BBF"/>
    <w:rsid w:val="00414F62"/>
    <w:rsid w:val="004268C5"/>
    <w:rsid w:val="0043276A"/>
    <w:rsid w:val="00435406"/>
    <w:rsid w:val="00437909"/>
    <w:rsid w:val="00454C9A"/>
    <w:rsid w:val="00455952"/>
    <w:rsid w:val="00456E82"/>
    <w:rsid w:val="00477482"/>
    <w:rsid w:val="004854B7"/>
    <w:rsid w:val="004916A4"/>
    <w:rsid w:val="004A3D01"/>
    <w:rsid w:val="004B2A96"/>
    <w:rsid w:val="004B7070"/>
    <w:rsid w:val="004D4112"/>
    <w:rsid w:val="004F16F8"/>
    <w:rsid w:val="004F3D88"/>
    <w:rsid w:val="00501124"/>
    <w:rsid w:val="00503092"/>
    <w:rsid w:val="00503983"/>
    <w:rsid w:val="00507AA7"/>
    <w:rsid w:val="005135C5"/>
    <w:rsid w:val="00516736"/>
    <w:rsid w:val="00516CD4"/>
    <w:rsid w:val="005302AF"/>
    <w:rsid w:val="00532D3F"/>
    <w:rsid w:val="0053444B"/>
    <w:rsid w:val="00534F15"/>
    <w:rsid w:val="00535FA2"/>
    <w:rsid w:val="00551DEA"/>
    <w:rsid w:val="00552709"/>
    <w:rsid w:val="00553840"/>
    <w:rsid w:val="00567334"/>
    <w:rsid w:val="00567E7E"/>
    <w:rsid w:val="005866C3"/>
    <w:rsid w:val="00594380"/>
    <w:rsid w:val="00595BB4"/>
    <w:rsid w:val="005A3E0A"/>
    <w:rsid w:val="005B4E64"/>
    <w:rsid w:val="005D25F1"/>
    <w:rsid w:val="005D4AE2"/>
    <w:rsid w:val="005D6DC2"/>
    <w:rsid w:val="005E1BA6"/>
    <w:rsid w:val="005E1CB9"/>
    <w:rsid w:val="005E1E06"/>
    <w:rsid w:val="005E32EC"/>
    <w:rsid w:val="005E6BF5"/>
    <w:rsid w:val="005E769F"/>
    <w:rsid w:val="00612C7A"/>
    <w:rsid w:val="006265A7"/>
    <w:rsid w:val="0062687B"/>
    <w:rsid w:val="006332E2"/>
    <w:rsid w:val="00634436"/>
    <w:rsid w:val="00642AE5"/>
    <w:rsid w:val="00646BE2"/>
    <w:rsid w:val="00646EF8"/>
    <w:rsid w:val="006542EF"/>
    <w:rsid w:val="00671EA7"/>
    <w:rsid w:val="00673143"/>
    <w:rsid w:val="006855C8"/>
    <w:rsid w:val="006867D4"/>
    <w:rsid w:val="00691A5B"/>
    <w:rsid w:val="006A10FC"/>
    <w:rsid w:val="006C704B"/>
    <w:rsid w:val="006C74A8"/>
    <w:rsid w:val="006D6FB9"/>
    <w:rsid w:val="006D7D84"/>
    <w:rsid w:val="006E602B"/>
    <w:rsid w:val="006F0093"/>
    <w:rsid w:val="006F3455"/>
    <w:rsid w:val="00701D5F"/>
    <w:rsid w:val="007034C8"/>
    <w:rsid w:val="007114B9"/>
    <w:rsid w:val="00712869"/>
    <w:rsid w:val="007322C5"/>
    <w:rsid w:val="00741545"/>
    <w:rsid w:val="0074318C"/>
    <w:rsid w:val="0074426A"/>
    <w:rsid w:val="007559AB"/>
    <w:rsid w:val="007646F2"/>
    <w:rsid w:val="00781FF5"/>
    <w:rsid w:val="00793F23"/>
    <w:rsid w:val="00795061"/>
    <w:rsid w:val="007A3D55"/>
    <w:rsid w:val="007B0A6C"/>
    <w:rsid w:val="007C3973"/>
    <w:rsid w:val="007C481F"/>
    <w:rsid w:val="007D09E8"/>
    <w:rsid w:val="007F10DF"/>
    <w:rsid w:val="00801AA4"/>
    <w:rsid w:val="0080322D"/>
    <w:rsid w:val="00803A79"/>
    <w:rsid w:val="00806158"/>
    <w:rsid w:val="00807595"/>
    <w:rsid w:val="00822091"/>
    <w:rsid w:val="008220E4"/>
    <w:rsid w:val="008231FA"/>
    <w:rsid w:val="00827EF1"/>
    <w:rsid w:val="008341C0"/>
    <w:rsid w:val="00835A0E"/>
    <w:rsid w:val="00837178"/>
    <w:rsid w:val="00840729"/>
    <w:rsid w:val="00841543"/>
    <w:rsid w:val="00842FA6"/>
    <w:rsid w:val="00843D56"/>
    <w:rsid w:val="008457F6"/>
    <w:rsid w:val="0085717B"/>
    <w:rsid w:val="00860E87"/>
    <w:rsid w:val="008634CB"/>
    <w:rsid w:val="00892064"/>
    <w:rsid w:val="008967C0"/>
    <w:rsid w:val="008B084C"/>
    <w:rsid w:val="008B0A43"/>
    <w:rsid w:val="008B4A57"/>
    <w:rsid w:val="008D6904"/>
    <w:rsid w:val="008F5559"/>
    <w:rsid w:val="009049BD"/>
    <w:rsid w:val="00904C89"/>
    <w:rsid w:val="009070B6"/>
    <w:rsid w:val="00914BC6"/>
    <w:rsid w:val="009166D6"/>
    <w:rsid w:val="009171D3"/>
    <w:rsid w:val="00923EC8"/>
    <w:rsid w:val="00932EF3"/>
    <w:rsid w:val="00933DAA"/>
    <w:rsid w:val="00934032"/>
    <w:rsid w:val="0094456C"/>
    <w:rsid w:val="00946A37"/>
    <w:rsid w:val="00952BDC"/>
    <w:rsid w:val="00954DD9"/>
    <w:rsid w:val="00961CDF"/>
    <w:rsid w:val="009740A9"/>
    <w:rsid w:val="009769F8"/>
    <w:rsid w:val="00981E7C"/>
    <w:rsid w:val="00983C6E"/>
    <w:rsid w:val="00995696"/>
    <w:rsid w:val="00996AF8"/>
    <w:rsid w:val="009A166A"/>
    <w:rsid w:val="009A6A67"/>
    <w:rsid w:val="009A6CEF"/>
    <w:rsid w:val="009B0C2E"/>
    <w:rsid w:val="009D1FF6"/>
    <w:rsid w:val="009D2B27"/>
    <w:rsid w:val="009D573D"/>
    <w:rsid w:val="009F3A29"/>
    <w:rsid w:val="00A00032"/>
    <w:rsid w:val="00A06545"/>
    <w:rsid w:val="00A10712"/>
    <w:rsid w:val="00A1504A"/>
    <w:rsid w:val="00A314E8"/>
    <w:rsid w:val="00A41C4F"/>
    <w:rsid w:val="00A55A5E"/>
    <w:rsid w:val="00A601CA"/>
    <w:rsid w:val="00A60E85"/>
    <w:rsid w:val="00A60F52"/>
    <w:rsid w:val="00A66E23"/>
    <w:rsid w:val="00A700CC"/>
    <w:rsid w:val="00A73516"/>
    <w:rsid w:val="00A742B5"/>
    <w:rsid w:val="00A767C3"/>
    <w:rsid w:val="00A8127F"/>
    <w:rsid w:val="00A91DBB"/>
    <w:rsid w:val="00A96587"/>
    <w:rsid w:val="00AA5D58"/>
    <w:rsid w:val="00AA79D4"/>
    <w:rsid w:val="00AC0CAB"/>
    <w:rsid w:val="00AD0588"/>
    <w:rsid w:val="00AD115F"/>
    <w:rsid w:val="00AE7467"/>
    <w:rsid w:val="00AF10FC"/>
    <w:rsid w:val="00B02D65"/>
    <w:rsid w:val="00B03A99"/>
    <w:rsid w:val="00B07B8F"/>
    <w:rsid w:val="00B07C38"/>
    <w:rsid w:val="00B13E9C"/>
    <w:rsid w:val="00B1776C"/>
    <w:rsid w:val="00B22701"/>
    <w:rsid w:val="00B30530"/>
    <w:rsid w:val="00B36A31"/>
    <w:rsid w:val="00B43BF3"/>
    <w:rsid w:val="00B46083"/>
    <w:rsid w:val="00B63037"/>
    <w:rsid w:val="00B66AA3"/>
    <w:rsid w:val="00B71AA4"/>
    <w:rsid w:val="00B819E3"/>
    <w:rsid w:val="00B87118"/>
    <w:rsid w:val="00B93016"/>
    <w:rsid w:val="00BA520E"/>
    <w:rsid w:val="00BB35C9"/>
    <w:rsid w:val="00BB44BA"/>
    <w:rsid w:val="00BB56BC"/>
    <w:rsid w:val="00BB7D1C"/>
    <w:rsid w:val="00BD4DAF"/>
    <w:rsid w:val="00BD6B8D"/>
    <w:rsid w:val="00BE3376"/>
    <w:rsid w:val="00BE4651"/>
    <w:rsid w:val="00BE7140"/>
    <w:rsid w:val="00BF0C1D"/>
    <w:rsid w:val="00C0458A"/>
    <w:rsid w:val="00C04840"/>
    <w:rsid w:val="00C10C59"/>
    <w:rsid w:val="00C12269"/>
    <w:rsid w:val="00C2468C"/>
    <w:rsid w:val="00C26916"/>
    <w:rsid w:val="00C43566"/>
    <w:rsid w:val="00C51A05"/>
    <w:rsid w:val="00C55D5B"/>
    <w:rsid w:val="00C56598"/>
    <w:rsid w:val="00C57314"/>
    <w:rsid w:val="00C66274"/>
    <w:rsid w:val="00C7037E"/>
    <w:rsid w:val="00C72639"/>
    <w:rsid w:val="00C74860"/>
    <w:rsid w:val="00C76293"/>
    <w:rsid w:val="00C765F8"/>
    <w:rsid w:val="00C87A87"/>
    <w:rsid w:val="00C944C9"/>
    <w:rsid w:val="00CA74A1"/>
    <w:rsid w:val="00CA74DE"/>
    <w:rsid w:val="00CB66A9"/>
    <w:rsid w:val="00CB6A30"/>
    <w:rsid w:val="00CC0BB7"/>
    <w:rsid w:val="00CC2AC0"/>
    <w:rsid w:val="00CC54E5"/>
    <w:rsid w:val="00CD44F1"/>
    <w:rsid w:val="00CD4636"/>
    <w:rsid w:val="00CE02FE"/>
    <w:rsid w:val="00CE6961"/>
    <w:rsid w:val="00CE79AC"/>
    <w:rsid w:val="00D061F9"/>
    <w:rsid w:val="00D06760"/>
    <w:rsid w:val="00D14365"/>
    <w:rsid w:val="00D22AC3"/>
    <w:rsid w:val="00D22DDF"/>
    <w:rsid w:val="00D353FC"/>
    <w:rsid w:val="00D3768C"/>
    <w:rsid w:val="00D41F33"/>
    <w:rsid w:val="00D5100F"/>
    <w:rsid w:val="00D51C6C"/>
    <w:rsid w:val="00D5224C"/>
    <w:rsid w:val="00D67675"/>
    <w:rsid w:val="00D72AB5"/>
    <w:rsid w:val="00D74F4A"/>
    <w:rsid w:val="00D80858"/>
    <w:rsid w:val="00D96E3A"/>
    <w:rsid w:val="00DA0E3D"/>
    <w:rsid w:val="00DA6204"/>
    <w:rsid w:val="00DB0674"/>
    <w:rsid w:val="00DB07E2"/>
    <w:rsid w:val="00DB47B6"/>
    <w:rsid w:val="00DD15F9"/>
    <w:rsid w:val="00DD1AB0"/>
    <w:rsid w:val="00DD2164"/>
    <w:rsid w:val="00DD573D"/>
    <w:rsid w:val="00DD6F81"/>
    <w:rsid w:val="00DE311B"/>
    <w:rsid w:val="00DF031B"/>
    <w:rsid w:val="00DF210A"/>
    <w:rsid w:val="00DF4034"/>
    <w:rsid w:val="00DF6BEF"/>
    <w:rsid w:val="00E11DBA"/>
    <w:rsid w:val="00E17150"/>
    <w:rsid w:val="00E17B6F"/>
    <w:rsid w:val="00E17CE1"/>
    <w:rsid w:val="00E324A2"/>
    <w:rsid w:val="00E3320E"/>
    <w:rsid w:val="00E42084"/>
    <w:rsid w:val="00E509A5"/>
    <w:rsid w:val="00E57796"/>
    <w:rsid w:val="00E60E14"/>
    <w:rsid w:val="00E75C3B"/>
    <w:rsid w:val="00E86FB2"/>
    <w:rsid w:val="00E876BF"/>
    <w:rsid w:val="00EA1EC0"/>
    <w:rsid w:val="00EA373F"/>
    <w:rsid w:val="00EA4F5C"/>
    <w:rsid w:val="00EB2260"/>
    <w:rsid w:val="00EB2617"/>
    <w:rsid w:val="00EB3E05"/>
    <w:rsid w:val="00EB602E"/>
    <w:rsid w:val="00EC17EC"/>
    <w:rsid w:val="00EC467A"/>
    <w:rsid w:val="00ED4594"/>
    <w:rsid w:val="00ED4F29"/>
    <w:rsid w:val="00EE2BB0"/>
    <w:rsid w:val="00EF08FA"/>
    <w:rsid w:val="00F0145D"/>
    <w:rsid w:val="00F01EAF"/>
    <w:rsid w:val="00F02F3D"/>
    <w:rsid w:val="00F05D58"/>
    <w:rsid w:val="00F07977"/>
    <w:rsid w:val="00F13986"/>
    <w:rsid w:val="00F4167D"/>
    <w:rsid w:val="00F42EB5"/>
    <w:rsid w:val="00F47660"/>
    <w:rsid w:val="00F53BB7"/>
    <w:rsid w:val="00F5553A"/>
    <w:rsid w:val="00F57E7D"/>
    <w:rsid w:val="00F601C4"/>
    <w:rsid w:val="00F64375"/>
    <w:rsid w:val="00F649A9"/>
    <w:rsid w:val="00F673F7"/>
    <w:rsid w:val="00F72AA6"/>
    <w:rsid w:val="00F72BD3"/>
    <w:rsid w:val="00F7523F"/>
    <w:rsid w:val="00F76FD5"/>
    <w:rsid w:val="00F8155B"/>
    <w:rsid w:val="00F96374"/>
    <w:rsid w:val="00F96604"/>
    <w:rsid w:val="00FA1DF2"/>
    <w:rsid w:val="00FA25D3"/>
    <w:rsid w:val="00FB2ED6"/>
    <w:rsid w:val="00FB4AAD"/>
    <w:rsid w:val="00FB55E2"/>
    <w:rsid w:val="00FB5DF1"/>
    <w:rsid w:val="00FD23E2"/>
    <w:rsid w:val="00FE077A"/>
    <w:rsid w:val="00FE540E"/>
    <w:rsid w:val="00FF5F60"/>
    <w:rsid w:val="00FF763A"/>
    <w:rsid w:val="013127AC"/>
    <w:rsid w:val="01656D39"/>
    <w:rsid w:val="022772C2"/>
    <w:rsid w:val="0227760A"/>
    <w:rsid w:val="026C7132"/>
    <w:rsid w:val="02917663"/>
    <w:rsid w:val="02D01BDD"/>
    <w:rsid w:val="02FE2F18"/>
    <w:rsid w:val="039D3F2D"/>
    <w:rsid w:val="03FF7C49"/>
    <w:rsid w:val="04336329"/>
    <w:rsid w:val="04AE022E"/>
    <w:rsid w:val="04B130BE"/>
    <w:rsid w:val="04F6345F"/>
    <w:rsid w:val="051D7183"/>
    <w:rsid w:val="056965FD"/>
    <w:rsid w:val="05BA3B35"/>
    <w:rsid w:val="05D34A55"/>
    <w:rsid w:val="05E40DE8"/>
    <w:rsid w:val="06426CC0"/>
    <w:rsid w:val="066147E9"/>
    <w:rsid w:val="06765B76"/>
    <w:rsid w:val="06773F78"/>
    <w:rsid w:val="06794EC3"/>
    <w:rsid w:val="06B90A66"/>
    <w:rsid w:val="06BD37DF"/>
    <w:rsid w:val="07664431"/>
    <w:rsid w:val="07944264"/>
    <w:rsid w:val="07A759FD"/>
    <w:rsid w:val="07E92D8B"/>
    <w:rsid w:val="08187180"/>
    <w:rsid w:val="0827305D"/>
    <w:rsid w:val="0835488D"/>
    <w:rsid w:val="08357C7C"/>
    <w:rsid w:val="084B2140"/>
    <w:rsid w:val="084F5179"/>
    <w:rsid w:val="087D4053"/>
    <w:rsid w:val="08926BA6"/>
    <w:rsid w:val="089B038B"/>
    <w:rsid w:val="08EE5E65"/>
    <w:rsid w:val="08EF2ECA"/>
    <w:rsid w:val="090076D0"/>
    <w:rsid w:val="090F5BDA"/>
    <w:rsid w:val="095F1D0D"/>
    <w:rsid w:val="09AC2F63"/>
    <w:rsid w:val="09E62544"/>
    <w:rsid w:val="0A757465"/>
    <w:rsid w:val="0A8E0442"/>
    <w:rsid w:val="0AD124A0"/>
    <w:rsid w:val="0AE70586"/>
    <w:rsid w:val="0B1D5864"/>
    <w:rsid w:val="0B272584"/>
    <w:rsid w:val="0B394F09"/>
    <w:rsid w:val="0B905E70"/>
    <w:rsid w:val="0BC2372F"/>
    <w:rsid w:val="0BC90BBB"/>
    <w:rsid w:val="0BD57B01"/>
    <w:rsid w:val="0BE01BB0"/>
    <w:rsid w:val="0C0559D6"/>
    <w:rsid w:val="0C5D255A"/>
    <w:rsid w:val="0C6D188D"/>
    <w:rsid w:val="0CCC6D98"/>
    <w:rsid w:val="0D0D3006"/>
    <w:rsid w:val="0D243AB2"/>
    <w:rsid w:val="0D290962"/>
    <w:rsid w:val="0D2D07BF"/>
    <w:rsid w:val="0D4F25F4"/>
    <w:rsid w:val="0D621AE8"/>
    <w:rsid w:val="0D621DD1"/>
    <w:rsid w:val="0D8852B5"/>
    <w:rsid w:val="0D9740F2"/>
    <w:rsid w:val="0DA16E1E"/>
    <w:rsid w:val="0DBE038E"/>
    <w:rsid w:val="0DFC7AA3"/>
    <w:rsid w:val="0E1B2FC6"/>
    <w:rsid w:val="0E2F2568"/>
    <w:rsid w:val="0E517E8F"/>
    <w:rsid w:val="0E850AF5"/>
    <w:rsid w:val="0E87566C"/>
    <w:rsid w:val="0E8E3B6F"/>
    <w:rsid w:val="0EB3626A"/>
    <w:rsid w:val="0EE01D03"/>
    <w:rsid w:val="0EEF6D6E"/>
    <w:rsid w:val="0EF826A4"/>
    <w:rsid w:val="0F930948"/>
    <w:rsid w:val="0FDF10B3"/>
    <w:rsid w:val="0FEA0D7A"/>
    <w:rsid w:val="106D6964"/>
    <w:rsid w:val="10EE036C"/>
    <w:rsid w:val="11130523"/>
    <w:rsid w:val="111927C8"/>
    <w:rsid w:val="11935711"/>
    <w:rsid w:val="12072152"/>
    <w:rsid w:val="121264EB"/>
    <w:rsid w:val="127C5E7D"/>
    <w:rsid w:val="12826EDE"/>
    <w:rsid w:val="12BA70F9"/>
    <w:rsid w:val="12CD7478"/>
    <w:rsid w:val="12D87739"/>
    <w:rsid w:val="13046B16"/>
    <w:rsid w:val="131B5B81"/>
    <w:rsid w:val="13294B42"/>
    <w:rsid w:val="133B640A"/>
    <w:rsid w:val="13B76C3E"/>
    <w:rsid w:val="13C379B5"/>
    <w:rsid w:val="14901E1A"/>
    <w:rsid w:val="15017ABC"/>
    <w:rsid w:val="151C6A50"/>
    <w:rsid w:val="15696A13"/>
    <w:rsid w:val="15BB0D33"/>
    <w:rsid w:val="15FB38DC"/>
    <w:rsid w:val="1604578A"/>
    <w:rsid w:val="16203D34"/>
    <w:rsid w:val="16591EC8"/>
    <w:rsid w:val="165D0C40"/>
    <w:rsid w:val="165D7FAC"/>
    <w:rsid w:val="167A6206"/>
    <w:rsid w:val="169550E8"/>
    <w:rsid w:val="169C1F73"/>
    <w:rsid w:val="16C46DBF"/>
    <w:rsid w:val="17144CFE"/>
    <w:rsid w:val="173E6699"/>
    <w:rsid w:val="17825FF3"/>
    <w:rsid w:val="1819257A"/>
    <w:rsid w:val="18232599"/>
    <w:rsid w:val="182903C4"/>
    <w:rsid w:val="187A0CA8"/>
    <w:rsid w:val="19027536"/>
    <w:rsid w:val="192C2F68"/>
    <w:rsid w:val="19415C4B"/>
    <w:rsid w:val="199800D3"/>
    <w:rsid w:val="19E33973"/>
    <w:rsid w:val="19FE1BA0"/>
    <w:rsid w:val="1A1C1BC8"/>
    <w:rsid w:val="1A522093"/>
    <w:rsid w:val="1A6324D2"/>
    <w:rsid w:val="1A9212A7"/>
    <w:rsid w:val="1AE1117A"/>
    <w:rsid w:val="1B216C7F"/>
    <w:rsid w:val="1B3D4A71"/>
    <w:rsid w:val="1BF353D3"/>
    <w:rsid w:val="1C004A8F"/>
    <w:rsid w:val="1C16688D"/>
    <w:rsid w:val="1C25270E"/>
    <w:rsid w:val="1C7B66ED"/>
    <w:rsid w:val="1CD9325D"/>
    <w:rsid w:val="1CEC5B6E"/>
    <w:rsid w:val="1D0C5A51"/>
    <w:rsid w:val="1D143AE3"/>
    <w:rsid w:val="1D1E3601"/>
    <w:rsid w:val="1D313C7F"/>
    <w:rsid w:val="1D4330A6"/>
    <w:rsid w:val="1D4A29CB"/>
    <w:rsid w:val="1D5A49F2"/>
    <w:rsid w:val="1D707A2B"/>
    <w:rsid w:val="1DBD01B4"/>
    <w:rsid w:val="1DC60054"/>
    <w:rsid w:val="1DC74FF5"/>
    <w:rsid w:val="1DDE4B7D"/>
    <w:rsid w:val="1DE01033"/>
    <w:rsid w:val="1E565A49"/>
    <w:rsid w:val="1E6D378B"/>
    <w:rsid w:val="1E6E4CAD"/>
    <w:rsid w:val="1E7569AF"/>
    <w:rsid w:val="1E895EDE"/>
    <w:rsid w:val="1E997BD0"/>
    <w:rsid w:val="1F0E55F1"/>
    <w:rsid w:val="1F2064E9"/>
    <w:rsid w:val="1F256FEF"/>
    <w:rsid w:val="1F91077D"/>
    <w:rsid w:val="1FE05080"/>
    <w:rsid w:val="20190DC9"/>
    <w:rsid w:val="2020085A"/>
    <w:rsid w:val="20683BE1"/>
    <w:rsid w:val="20A0258E"/>
    <w:rsid w:val="20D212C7"/>
    <w:rsid w:val="210963B5"/>
    <w:rsid w:val="21407217"/>
    <w:rsid w:val="219F1022"/>
    <w:rsid w:val="21BD61A2"/>
    <w:rsid w:val="22093F8A"/>
    <w:rsid w:val="22415B78"/>
    <w:rsid w:val="22CA1839"/>
    <w:rsid w:val="22DF0BC8"/>
    <w:rsid w:val="22F85D13"/>
    <w:rsid w:val="231066F8"/>
    <w:rsid w:val="231B2247"/>
    <w:rsid w:val="2325478B"/>
    <w:rsid w:val="23287C2F"/>
    <w:rsid w:val="23414FDB"/>
    <w:rsid w:val="235071BD"/>
    <w:rsid w:val="237619C1"/>
    <w:rsid w:val="23AA1BF9"/>
    <w:rsid w:val="23CB3027"/>
    <w:rsid w:val="24387A79"/>
    <w:rsid w:val="244653E0"/>
    <w:rsid w:val="246D4B14"/>
    <w:rsid w:val="248E78C3"/>
    <w:rsid w:val="249F0BC4"/>
    <w:rsid w:val="24A55FFB"/>
    <w:rsid w:val="24C55F02"/>
    <w:rsid w:val="24D95496"/>
    <w:rsid w:val="24FA2FE8"/>
    <w:rsid w:val="254000DA"/>
    <w:rsid w:val="2589789C"/>
    <w:rsid w:val="25B06611"/>
    <w:rsid w:val="26672070"/>
    <w:rsid w:val="2684763E"/>
    <w:rsid w:val="269A49DA"/>
    <w:rsid w:val="26A43DE2"/>
    <w:rsid w:val="26AE41AD"/>
    <w:rsid w:val="26B76457"/>
    <w:rsid w:val="26BF402B"/>
    <w:rsid w:val="27003CC4"/>
    <w:rsid w:val="27383119"/>
    <w:rsid w:val="275B068A"/>
    <w:rsid w:val="27D06A1D"/>
    <w:rsid w:val="27F31DF1"/>
    <w:rsid w:val="286C0309"/>
    <w:rsid w:val="286D68F1"/>
    <w:rsid w:val="2891460D"/>
    <w:rsid w:val="28D218CE"/>
    <w:rsid w:val="28E63F9D"/>
    <w:rsid w:val="29947EDF"/>
    <w:rsid w:val="29B0155A"/>
    <w:rsid w:val="2A1B6CFA"/>
    <w:rsid w:val="2A2E7604"/>
    <w:rsid w:val="2A4F3ED8"/>
    <w:rsid w:val="2A505068"/>
    <w:rsid w:val="2A525817"/>
    <w:rsid w:val="2A705E19"/>
    <w:rsid w:val="2A753218"/>
    <w:rsid w:val="2AC56865"/>
    <w:rsid w:val="2AE74CB2"/>
    <w:rsid w:val="2B3B7027"/>
    <w:rsid w:val="2BBB0C26"/>
    <w:rsid w:val="2BD65C9A"/>
    <w:rsid w:val="2C020D2C"/>
    <w:rsid w:val="2C1B0E3F"/>
    <w:rsid w:val="2C291D7E"/>
    <w:rsid w:val="2C455825"/>
    <w:rsid w:val="2CAE2C78"/>
    <w:rsid w:val="2D2056EC"/>
    <w:rsid w:val="2D221D56"/>
    <w:rsid w:val="2D226D69"/>
    <w:rsid w:val="2D262BA0"/>
    <w:rsid w:val="2D650BB7"/>
    <w:rsid w:val="2D6812F4"/>
    <w:rsid w:val="2D9A64AE"/>
    <w:rsid w:val="2DBB66BC"/>
    <w:rsid w:val="2DCB7786"/>
    <w:rsid w:val="2DE04210"/>
    <w:rsid w:val="2DF41E4A"/>
    <w:rsid w:val="2E153A05"/>
    <w:rsid w:val="2E203B68"/>
    <w:rsid w:val="2E8827B7"/>
    <w:rsid w:val="2F016F0F"/>
    <w:rsid w:val="2F6B2D48"/>
    <w:rsid w:val="2F716073"/>
    <w:rsid w:val="2F854E58"/>
    <w:rsid w:val="2FA04DC7"/>
    <w:rsid w:val="2FBA0461"/>
    <w:rsid w:val="30364B49"/>
    <w:rsid w:val="31013580"/>
    <w:rsid w:val="313C5CDD"/>
    <w:rsid w:val="316D0593"/>
    <w:rsid w:val="31861392"/>
    <w:rsid w:val="31E62D12"/>
    <w:rsid w:val="32087A69"/>
    <w:rsid w:val="3274583A"/>
    <w:rsid w:val="3281224F"/>
    <w:rsid w:val="329511EE"/>
    <w:rsid w:val="32A551AE"/>
    <w:rsid w:val="32EA6E10"/>
    <w:rsid w:val="3302378B"/>
    <w:rsid w:val="334F1DAE"/>
    <w:rsid w:val="33513CE1"/>
    <w:rsid w:val="338D73BE"/>
    <w:rsid w:val="33C7267B"/>
    <w:rsid w:val="33D628DE"/>
    <w:rsid w:val="33D6343E"/>
    <w:rsid w:val="33E9447A"/>
    <w:rsid w:val="3408055E"/>
    <w:rsid w:val="34113BD4"/>
    <w:rsid w:val="346440B1"/>
    <w:rsid w:val="34737952"/>
    <w:rsid w:val="349072D0"/>
    <w:rsid w:val="34D9697F"/>
    <w:rsid w:val="34FC75C8"/>
    <w:rsid w:val="35431A3E"/>
    <w:rsid w:val="3593220B"/>
    <w:rsid w:val="359978AF"/>
    <w:rsid w:val="35A70A2B"/>
    <w:rsid w:val="35C3631F"/>
    <w:rsid w:val="35EA3A52"/>
    <w:rsid w:val="35EB53A8"/>
    <w:rsid w:val="35F10195"/>
    <w:rsid w:val="363555D0"/>
    <w:rsid w:val="364014C6"/>
    <w:rsid w:val="36A007CA"/>
    <w:rsid w:val="36D7109D"/>
    <w:rsid w:val="36DF57F4"/>
    <w:rsid w:val="371D38DB"/>
    <w:rsid w:val="37312657"/>
    <w:rsid w:val="3734232A"/>
    <w:rsid w:val="376E6BF4"/>
    <w:rsid w:val="37711201"/>
    <w:rsid w:val="378A6CF2"/>
    <w:rsid w:val="379F2B84"/>
    <w:rsid w:val="37A10C4D"/>
    <w:rsid w:val="37AF1F8D"/>
    <w:rsid w:val="37FA13AE"/>
    <w:rsid w:val="382734B8"/>
    <w:rsid w:val="3874658A"/>
    <w:rsid w:val="38C37BFE"/>
    <w:rsid w:val="38CF552F"/>
    <w:rsid w:val="38D371C3"/>
    <w:rsid w:val="39653E2D"/>
    <w:rsid w:val="39E24013"/>
    <w:rsid w:val="3A394BB0"/>
    <w:rsid w:val="3A3A4CB5"/>
    <w:rsid w:val="3A61376F"/>
    <w:rsid w:val="3A7E7669"/>
    <w:rsid w:val="3A932E83"/>
    <w:rsid w:val="3AB67611"/>
    <w:rsid w:val="3ADD3A4A"/>
    <w:rsid w:val="3AE710BD"/>
    <w:rsid w:val="3AF84E44"/>
    <w:rsid w:val="3B011F4A"/>
    <w:rsid w:val="3B274F4E"/>
    <w:rsid w:val="3B444219"/>
    <w:rsid w:val="3BB0325D"/>
    <w:rsid w:val="3BD24954"/>
    <w:rsid w:val="3BD24E0F"/>
    <w:rsid w:val="3BE41159"/>
    <w:rsid w:val="3C1312DE"/>
    <w:rsid w:val="3C486D23"/>
    <w:rsid w:val="3C4B3D37"/>
    <w:rsid w:val="3C5970EE"/>
    <w:rsid w:val="3C6843F5"/>
    <w:rsid w:val="3C831881"/>
    <w:rsid w:val="3CA513FD"/>
    <w:rsid w:val="3CB420F3"/>
    <w:rsid w:val="3CEB13EF"/>
    <w:rsid w:val="3CF93D3D"/>
    <w:rsid w:val="3D34241A"/>
    <w:rsid w:val="3D3C6319"/>
    <w:rsid w:val="3D4B5CC7"/>
    <w:rsid w:val="3D6737CF"/>
    <w:rsid w:val="3D8631B6"/>
    <w:rsid w:val="3DA9164D"/>
    <w:rsid w:val="3DC80E9B"/>
    <w:rsid w:val="3DC90104"/>
    <w:rsid w:val="3DD31825"/>
    <w:rsid w:val="3DF43F30"/>
    <w:rsid w:val="3E15389D"/>
    <w:rsid w:val="3E2437C2"/>
    <w:rsid w:val="3E581B43"/>
    <w:rsid w:val="3EB33799"/>
    <w:rsid w:val="3EB732C9"/>
    <w:rsid w:val="3EC8588E"/>
    <w:rsid w:val="3F2B21F5"/>
    <w:rsid w:val="3F6D5D27"/>
    <w:rsid w:val="3F986DE5"/>
    <w:rsid w:val="3FD21C52"/>
    <w:rsid w:val="3FDC6741"/>
    <w:rsid w:val="40016210"/>
    <w:rsid w:val="4013221A"/>
    <w:rsid w:val="4025697C"/>
    <w:rsid w:val="40330901"/>
    <w:rsid w:val="40501202"/>
    <w:rsid w:val="405763D1"/>
    <w:rsid w:val="405B3577"/>
    <w:rsid w:val="406F2F19"/>
    <w:rsid w:val="40FA02C1"/>
    <w:rsid w:val="40FB0A9B"/>
    <w:rsid w:val="4176317A"/>
    <w:rsid w:val="41851043"/>
    <w:rsid w:val="4187188D"/>
    <w:rsid w:val="41905D8D"/>
    <w:rsid w:val="41D00045"/>
    <w:rsid w:val="423D3025"/>
    <w:rsid w:val="42520303"/>
    <w:rsid w:val="426D07F2"/>
    <w:rsid w:val="427C5B2B"/>
    <w:rsid w:val="42AF126D"/>
    <w:rsid w:val="42DD73AB"/>
    <w:rsid w:val="42EF5ED6"/>
    <w:rsid w:val="42F64187"/>
    <w:rsid w:val="438D0C17"/>
    <w:rsid w:val="43A22185"/>
    <w:rsid w:val="43C502C4"/>
    <w:rsid w:val="43ED74FF"/>
    <w:rsid w:val="43F33DE5"/>
    <w:rsid w:val="442B686D"/>
    <w:rsid w:val="447B1936"/>
    <w:rsid w:val="44A7099B"/>
    <w:rsid w:val="44B94A2D"/>
    <w:rsid w:val="44ED272F"/>
    <w:rsid w:val="455434DE"/>
    <w:rsid w:val="45622D3C"/>
    <w:rsid w:val="460C7B52"/>
    <w:rsid w:val="466B74B2"/>
    <w:rsid w:val="46A50C77"/>
    <w:rsid w:val="46BB72A9"/>
    <w:rsid w:val="46C82FA2"/>
    <w:rsid w:val="47014D9C"/>
    <w:rsid w:val="47AE6FE7"/>
    <w:rsid w:val="47D761EA"/>
    <w:rsid w:val="47EE4D3A"/>
    <w:rsid w:val="47F66F19"/>
    <w:rsid w:val="47FE3FA9"/>
    <w:rsid w:val="48AE11D0"/>
    <w:rsid w:val="48D6000B"/>
    <w:rsid w:val="49145A66"/>
    <w:rsid w:val="491C24D6"/>
    <w:rsid w:val="4956357C"/>
    <w:rsid w:val="495652F9"/>
    <w:rsid w:val="495912EE"/>
    <w:rsid w:val="49865F45"/>
    <w:rsid w:val="499C1303"/>
    <w:rsid w:val="499D7B9B"/>
    <w:rsid w:val="499E0A6D"/>
    <w:rsid w:val="49AE60F6"/>
    <w:rsid w:val="49B572D9"/>
    <w:rsid w:val="49B74E34"/>
    <w:rsid w:val="49D22700"/>
    <w:rsid w:val="4A200F72"/>
    <w:rsid w:val="4A2C5D01"/>
    <w:rsid w:val="4A434D46"/>
    <w:rsid w:val="4A96366D"/>
    <w:rsid w:val="4A991227"/>
    <w:rsid w:val="4AA85A47"/>
    <w:rsid w:val="4AC66E81"/>
    <w:rsid w:val="4AD644B4"/>
    <w:rsid w:val="4AFC3314"/>
    <w:rsid w:val="4B011504"/>
    <w:rsid w:val="4B48673D"/>
    <w:rsid w:val="4B856D85"/>
    <w:rsid w:val="4B8B22B0"/>
    <w:rsid w:val="4B9B1334"/>
    <w:rsid w:val="4BA75256"/>
    <w:rsid w:val="4BAD2384"/>
    <w:rsid w:val="4C186703"/>
    <w:rsid w:val="4C202766"/>
    <w:rsid w:val="4C282364"/>
    <w:rsid w:val="4CDB1B9B"/>
    <w:rsid w:val="4CE511D4"/>
    <w:rsid w:val="4D1A1780"/>
    <w:rsid w:val="4D454910"/>
    <w:rsid w:val="4DB52C4D"/>
    <w:rsid w:val="4DCD7F47"/>
    <w:rsid w:val="4DE668D8"/>
    <w:rsid w:val="4DED46E4"/>
    <w:rsid w:val="4DFD36D0"/>
    <w:rsid w:val="4E185E82"/>
    <w:rsid w:val="4E51270D"/>
    <w:rsid w:val="4E5A1A99"/>
    <w:rsid w:val="4E910898"/>
    <w:rsid w:val="4E9214CD"/>
    <w:rsid w:val="4EBA104D"/>
    <w:rsid w:val="4F2945FB"/>
    <w:rsid w:val="4FC150B9"/>
    <w:rsid w:val="4FED4628"/>
    <w:rsid w:val="504E1E72"/>
    <w:rsid w:val="50882241"/>
    <w:rsid w:val="508E74C5"/>
    <w:rsid w:val="50B53E76"/>
    <w:rsid w:val="50E53B54"/>
    <w:rsid w:val="50F70086"/>
    <w:rsid w:val="51001985"/>
    <w:rsid w:val="513465E2"/>
    <w:rsid w:val="51435470"/>
    <w:rsid w:val="514D3885"/>
    <w:rsid w:val="51A0666A"/>
    <w:rsid w:val="51A9336E"/>
    <w:rsid w:val="51B05FB9"/>
    <w:rsid w:val="51EE6435"/>
    <w:rsid w:val="52346A85"/>
    <w:rsid w:val="524E6C44"/>
    <w:rsid w:val="52716C12"/>
    <w:rsid w:val="52A21428"/>
    <w:rsid w:val="52F77906"/>
    <w:rsid w:val="5339717B"/>
    <w:rsid w:val="533D7905"/>
    <w:rsid w:val="534A02FA"/>
    <w:rsid w:val="538625DD"/>
    <w:rsid w:val="53916747"/>
    <w:rsid w:val="53AC65A8"/>
    <w:rsid w:val="54181DF5"/>
    <w:rsid w:val="54215965"/>
    <w:rsid w:val="5432187C"/>
    <w:rsid w:val="54705AAB"/>
    <w:rsid w:val="547F56B9"/>
    <w:rsid w:val="54AA12E8"/>
    <w:rsid w:val="54DF75D5"/>
    <w:rsid w:val="54F63B72"/>
    <w:rsid w:val="55847B74"/>
    <w:rsid w:val="55B74F08"/>
    <w:rsid w:val="55F52488"/>
    <w:rsid w:val="5618591B"/>
    <w:rsid w:val="561F00C7"/>
    <w:rsid w:val="562D3B44"/>
    <w:rsid w:val="562F16E6"/>
    <w:rsid w:val="56F30DBC"/>
    <w:rsid w:val="57063DED"/>
    <w:rsid w:val="57216905"/>
    <w:rsid w:val="57370A2E"/>
    <w:rsid w:val="574B3E2D"/>
    <w:rsid w:val="577C67F4"/>
    <w:rsid w:val="580E10E1"/>
    <w:rsid w:val="58126D30"/>
    <w:rsid w:val="581E07F5"/>
    <w:rsid w:val="583C6195"/>
    <w:rsid w:val="58682148"/>
    <w:rsid w:val="58756EC4"/>
    <w:rsid w:val="58C77100"/>
    <w:rsid w:val="58CC4B10"/>
    <w:rsid w:val="58EA3611"/>
    <w:rsid w:val="58F4557B"/>
    <w:rsid w:val="59062526"/>
    <w:rsid w:val="59073DA3"/>
    <w:rsid w:val="591C626B"/>
    <w:rsid w:val="59605E6B"/>
    <w:rsid w:val="59C4141F"/>
    <w:rsid w:val="59E93D3A"/>
    <w:rsid w:val="59EC546A"/>
    <w:rsid w:val="5A1E14E4"/>
    <w:rsid w:val="5A5203DA"/>
    <w:rsid w:val="5B3C538E"/>
    <w:rsid w:val="5B3C6463"/>
    <w:rsid w:val="5B4312C5"/>
    <w:rsid w:val="5B6471FF"/>
    <w:rsid w:val="5B693D6B"/>
    <w:rsid w:val="5C133668"/>
    <w:rsid w:val="5CAB3DCB"/>
    <w:rsid w:val="5CDC274D"/>
    <w:rsid w:val="5CE27FD6"/>
    <w:rsid w:val="5D02303C"/>
    <w:rsid w:val="5D7E0325"/>
    <w:rsid w:val="5DC96364"/>
    <w:rsid w:val="5DD67D6A"/>
    <w:rsid w:val="5DE213F8"/>
    <w:rsid w:val="5E156E3A"/>
    <w:rsid w:val="5E5119FF"/>
    <w:rsid w:val="5E8961D2"/>
    <w:rsid w:val="5E925392"/>
    <w:rsid w:val="5EBC057F"/>
    <w:rsid w:val="5EF43E59"/>
    <w:rsid w:val="5F3D2E2B"/>
    <w:rsid w:val="5F3E7104"/>
    <w:rsid w:val="5F7F1BB1"/>
    <w:rsid w:val="5F817A6B"/>
    <w:rsid w:val="5FAF565A"/>
    <w:rsid w:val="5FE0071B"/>
    <w:rsid w:val="60007483"/>
    <w:rsid w:val="60306875"/>
    <w:rsid w:val="6058455B"/>
    <w:rsid w:val="60772E6B"/>
    <w:rsid w:val="60787167"/>
    <w:rsid w:val="60C77377"/>
    <w:rsid w:val="60C9619F"/>
    <w:rsid w:val="60FB70EE"/>
    <w:rsid w:val="61487F91"/>
    <w:rsid w:val="61AB735D"/>
    <w:rsid w:val="61C06FD4"/>
    <w:rsid w:val="61EF768E"/>
    <w:rsid w:val="61F211A7"/>
    <w:rsid w:val="61F4032C"/>
    <w:rsid w:val="61FE765F"/>
    <w:rsid w:val="620A2E7C"/>
    <w:rsid w:val="621256DB"/>
    <w:rsid w:val="621D64BA"/>
    <w:rsid w:val="62437189"/>
    <w:rsid w:val="6270558C"/>
    <w:rsid w:val="62A212A2"/>
    <w:rsid w:val="62AA0BE3"/>
    <w:rsid w:val="62AD6577"/>
    <w:rsid w:val="62DC4402"/>
    <w:rsid w:val="62DD4363"/>
    <w:rsid w:val="62E96722"/>
    <w:rsid w:val="63083E81"/>
    <w:rsid w:val="633928B2"/>
    <w:rsid w:val="63473EC0"/>
    <w:rsid w:val="637350B6"/>
    <w:rsid w:val="637F2D8D"/>
    <w:rsid w:val="638F44EA"/>
    <w:rsid w:val="63D41841"/>
    <w:rsid w:val="64722C0D"/>
    <w:rsid w:val="649F41F5"/>
    <w:rsid w:val="64A23B17"/>
    <w:rsid w:val="64BC1A22"/>
    <w:rsid w:val="64CF430A"/>
    <w:rsid w:val="650E4F3B"/>
    <w:rsid w:val="65183920"/>
    <w:rsid w:val="6530788B"/>
    <w:rsid w:val="653C2B25"/>
    <w:rsid w:val="659D32EB"/>
    <w:rsid w:val="65C965F9"/>
    <w:rsid w:val="6625515E"/>
    <w:rsid w:val="662B4DDF"/>
    <w:rsid w:val="66C43615"/>
    <w:rsid w:val="66DD1446"/>
    <w:rsid w:val="674770E8"/>
    <w:rsid w:val="679631B0"/>
    <w:rsid w:val="67D66EC2"/>
    <w:rsid w:val="67EC3B3F"/>
    <w:rsid w:val="67ED710E"/>
    <w:rsid w:val="681E3BD0"/>
    <w:rsid w:val="68793329"/>
    <w:rsid w:val="69354577"/>
    <w:rsid w:val="69514D98"/>
    <w:rsid w:val="695A688E"/>
    <w:rsid w:val="69D451CC"/>
    <w:rsid w:val="69F718A2"/>
    <w:rsid w:val="6A032A44"/>
    <w:rsid w:val="6A3718D3"/>
    <w:rsid w:val="6A4F0C56"/>
    <w:rsid w:val="6A6354B8"/>
    <w:rsid w:val="6AFB490E"/>
    <w:rsid w:val="6AFC355C"/>
    <w:rsid w:val="6B2244F1"/>
    <w:rsid w:val="6B235F68"/>
    <w:rsid w:val="6B477D67"/>
    <w:rsid w:val="6B81648C"/>
    <w:rsid w:val="6BCD3880"/>
    <w:rsid w:val="6BE41455"/>
    <w:rsid w:val="6C285298"/>
    <w:rsid w:val="6C3659BD"/>
    <w:rsid w:val="6C427557"/>
    <w:rsid w:val="6C506AE9"/>
    <w:rsid w:val="6D0A7F9D"/>
    <w:rsid w:val="6D1A1733"/>
    <w:rsid w:val="6D2B07C1"/>
    <w:rsid w:val="6D334FE4"/>
    <w:rsid w:val="6DBD557A"/>
    <w:rsid w:val="6DC23115"/>
    <w:rsid w:val="6DE868E7"/>
    <w:rsid w:val="6DF1133C"/>
    <w:rsid w:val="6E3A5F5B"/>
    <w:rsid w:val="6E41156A"/>
    <w:rsid w:val="6E7148A2"/>
    <w:rsid w:val="6E9271DA"/>
    <w:rsid w:val="6E936D7B"/>
    <w:rsid w:val="6EFA6CE5"/>
    <w:rsid w:val="6F166029"/>
    <w:rsid w:val="6F2505DF"/>
    <w:rsid w:val="6F400D84"/>
    <w:rsid w:val="6F69510A"/>
    <w:rsid w:val="6F6A26DF"/>
    <w:rsid w:val="6FBF777B"/>
    <w:rsid w:val="6FCB60CC"/>
    <w:rsid w:val="6FE902A7"/>
    <w:rsid w:val="703C4332"/>
    <w:rsid w:val="708259FE"/>
    <w:rsid w:val="708425C0"/>
    <w:rsid w:val="70BD6CF4"/>
    <w:rsid w:val="70C055EA"/>
    <w:rsid w:val="70C06D15"/>
    <w:rsid w:val="71151EFF"/>
    <w:rsid w:val="712B3AB0"/>
    <w:rsid w:val="714205EC"/>
    <w:rsid w:val="71554798"/>
    <w:rsid w:val="71690E5D"/>
    <w:rsid w:val="71932BEA"/>
    <w:rsid w:val="71A8012B"/>
    <w:rsid w:val="71C75F76"/>
    <w:rsid w:val="72611747"/>
    <w:rsid w:val="72BC07FA"/>
    <w:rsid w:val="72CB3DE4"/>
    <w:rsid w:val="7328116E"/>
    <w:rsid w:val="73310A7E"/>
    <w:rsid w:val="736E3571"/>
    <w:rsid w:val="73770529"/>
    <w:rsid w:val="73871097"/>
    <w:rsid w:val="738A4646"/>
    <w:rsid w:val="73B91755"/>
    <w:rsid w:val="73F86818"/>
    <w:rsid w:val="744B128D"/>
    <w:rsid w:val="74782C0B"/>
    <w:rsid w:val="74BD763D"/>
    <w:rsid w:val="74C40761"/>
    <w:rsid w:val="74CD3FDC"/>
    <w:rsid w:val="751032B2"/>
    <w:rsid w:val="75167E37"/>
    <w:rsid w:val="753B6EFF"/>
    <w:rsid w:val="755A02A7"/>
    <w:rsid w:val="756F6773"/>
    <w:rsid w:val="759806E4"/>
    <w:rsid w:val="75A70BAD"/>
    <w:rsid w:val="75D2326D"/>
    <w:rsid w:val="75D63070"/>
    <w:rsid w:val="75D67ED8"/>
    <w:rsid w:val="76046164"/>
    <w:rsid w:val="7607731C"/>
    <w:rsid w:val="765B430A"/>
    <w:rsid w:val="766269B3"/>
    <w:rsid w:val="76CD56AB"/>
    <w:rsid w:val="76FC7596"/>
    <w:rsid w:val="77110920"/>
    <w:rsid w:val="77613082"/>
    <w:rsid w:val="77657850"/>
    <w:rsid w:val="77725A31"/>
    <w:rsid w:val="77972F48"/>
    <w:rsid w:val="77B41A50"/>
    <w:rsid w:val="77DC5234"/>
    <w:rsid w:val="782F3E39"/>
    <w:rsid w:val="7867455D"/>
    <w:rsid w:val="7872306D"/>
    <w:rsid w:val="78A551F0"/>
    <w:rsid w:val="78B72750"/>
    <w:rsid w:val="7937265D"/>
    <w:rsid w:val="79377EAD"/>
    <w:rsid w:val="79B40743"/>
    <w:rsid w:val="79D10D9C"/>
    <w:rsid w:val="79DB1543"/>
    <w:rsid w:val="79F67195"/>
    <w:rsid w:val="7A1444A3"/>
    <w:rsid w:val="7A205D81"/>
    <w:rsid w:val="7A5E6328"/>
    <w:rsid w:val="7A6F6183"/>
    <w:rsid w:val="7A886645"/>
    <w:rsid w:val="7A9A311E"/>
    <w:rsid w:val="7AB14FD3"/>
    <w:rsid w:val="7B052E58"/>
    <w:rsid w:val="7B1249F7"/>
    <w:rsid w:val="7B1348CB"/>
    <w:rsid w:val="7B256D9B"/>
    <w:rsid w:val="7B7C76A7"/>
    <w:rsid w:val="7BA467F4"/>
    <w:rsid w:val="7BDC3C70"/>
    <w:rsid w:val="7C530B9B"/>
    <w:rsid w:val="7C815ED2"/>
    <w:rsid w:val="7CDC13FD"/>
    <w:rsid w:val="7CDD416F"/>
    <w:rsid w:val="7D0F532E"/>
    <w:rsid w:val="7D8B0709"/>
    <w:rsid w:val="7D9C686B"/>
    <w:rsid w:val="7DDD48CA"/>
    <w:rsid w:val="7E3506EF"/>
    <w:rsid w:val="7E5275C6"/>
    <w:rsid w:val="7EDC291C"/>
    <w:rsid w:val="7EF615D7"/>
    <w:rsid w:val="7F757601"/>
    <w:rsid w:val="7F850220"/>
    <w:rsid w:val="7FA76AC5"/>
    <w:rsid w:val="7FAD73F4"/>
    <w:rsid w:val="7FE1001C"/>
    <w:rsid w:val="7FEF0BF0"/>
    <w:rsid w:val="7FFD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3"/>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55"/>
    <w:qFormat/>
    <w:uiPriority w:val="0"/>
    <w:pPr>
      <w:keepNext/>
      <w:keepLines/>
      <w:spacing w:before="260" w:after="260" w:line="415" w:lineRule="auto"/>
      <w:ind w:firstLine="137" w:firstLineChars="49"/>
      <w:outlineLvl w:val="2"/>
    </w:pPr>
    <w:rPr>
      <w:rFonts w:ascii="黑体" w:hAnsi="黑体" w:eastAsia="黑体"/>
      <w:bCs/>
      <w:sz w:val="28"/>
      <w:szCs w:val="28"/>
    </w:rPr>
  </w:style>
  <w:style w:type="paragraph" w:styleId="7">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9"/>
    <w:link w:val="57"/>
    <w:qFormat/>
    <w:uiPriority w:val="0"/>
    <w:pPr>
      <w:spacing w:beforeLines="50" w:afterLines="50" w:line="240" w:lineRule="exact"/>
      <w:ind w:left="284" w:hanging="284"/>
      <w:jc w:val="center"/>
      <w:outlineLvl w:val="4"/>
    </w:pPr>
    <w:rPr>
      <w:color w:val="000000"/>
      <w:sz w:val="24"/>
      <w:szCs w:val="24"/>
    </w:rPr>
  </w:style>
  <w:style w:type="paragraph" w:styleId="10">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2"/>
    <w:unhideWhenUsed/>
    <w:qFormat/>
    <w:uiPriority w:val="99"/>
    <w:pPr>
      <w:spacing w:after="120"/>
    </w:pPr>
  </w:style>
  <w:style w:type="paragraph" w:styleId="3">
    <w:name w:val="Date"/>
    <w:basedOn w:val="1"/>
    <w:next w:val="1"/>
    <w:link w:val="65"/>
    <w:qFormat/>
    <w:uiPriority w:val="0"/>
    <w:pPr>
      <w:ind w:left="100" w:leftChars="2500"/>
    </w:pPr>
    <w:rPr>
      <w:rFonts w:ascii="Calibri" w:hAnsi="Calibri"/>
      <w:kern w:val="0"/>
      <w:sz w:val="20"/>
      <w:szCs w:val="24"/>
    </w:rPr>
  </w:style>
  <w:style w:type="paragraph" w:customStyle="1" w:styleId="9">
    <w:name w:val="Normal Indent1"/>
    <w:basedOn w:val="1"/>
    <w:qFormat/>
    <w:uiPriority w:val="0"/>
    <w:pPr>
      <w:ind w:firstLine="420" w:firstLineChars="200"/>
    </w:pPr>
    <w:rPr>
      <w:szCs w:val="24"/>
    </w:rPr>
  </w:style>
  <w:style w:type="paragraph" w:styleId="14">
    <w:name w:val="toc 7"/>
    <w:basedOn w:val="1"/>
    <w:next w:val="1"/>
    <w:qFormat/>
    <w:uiPriority w:val="39"/>
    <w:pPr>
      <w:ind w:left="1260"/>
      <w:jc w:val="left"/>
    </w:pPr>
    <w:rPr>
      <w:sz w:val="18"/>
      <w:szCs w:val="18"/>
    </w:rPr>
  </w:style>
  <w:style w:type="paragraph" w:styleId="15">
    <w:name w:val="Normal Indent"/>
    <w:basedOn w:val="1"/>
    <w:next w:val="1"/>
    <w:qFormat/>
    <w:uiPriority w:val="0"/>
    <w:pPr>
      <w:ind w:firstLine="420"/>
    </w:pPr>
    <w:rPr>
      <w:szCs w:val="20"/>
    </w:rPr>
  </w:style>
  <w:style w:type="paragraph" w:styleId="16">
    <w:name w:val="Document Map"/>
    <w:basedOn w:val="1"/>
    <w:link w:val="62"/>
    <w:qFormat/>
    <w:uiPriority w:val="0"/>
    <w:rPr>
      <w:rFonts w:ascii="宋体"/>
      <w:sz w:val="18"/>
      <w:szCs w:val="18"/>
    </w:rPr>
  </w:style>
  <w:style w:type="paragraph" w:styleId="17">
    <w:name w:val="annotation text"/>
    <w:basedOn w:val="1"/>
    <w:link w:val="63"/>
    <w:qFormat/>
    <w:uiPriority w:val="99"/>
    <w:pPr>
      <w:jc w:val="left"/>
    </w:pPr>
    <w:rPr>
      <w:szCs w:val="24"/>
    </w:rPr>
  </w:style>
  <w:style w:type="paragraph" w:styleId="18">
    <w:name w:val="Body Text 3"/>
    <w:basedOn w:val="1"/>
    <w:qFormat/>
    <w:uiPriority w:val="0"/>
    <w:rPr>
      <w:rFonts w:ascii="宋体" w:hAnsi="Calibri"/>
      <w:sz w:val="24"/>
      <w:szCs w:val="20"/>
    </w:rPr>
  </w:style>
  <w:style w:type="paragraph" w:styleId="19">
    <w:name w:val="Body Text Indent"/>
    <w:basedOn w:val="1"/>
    <w:qFormat/>
    <w:uiPriority w:val="0"/>
    <w:pPr>
      <w:ind w:left="420" w:leftChars="200"/>
    </w:pPr>
    <w:rPr>
      <w:kern w:val="0"/>
      <w:sz w:val="20"/>
      <w:szCs w:val="24"/>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Cs/>
      <w:sz w:val="20"/>
      <w:szCs w:val="20"/>
    </w:rPr>
  </w:style>
  <w:style w:type="paragraph" w:styleId="22">
    <w:name w:val="Plain Text"/>
    <w:basedOn w:val="1"/>
    <w:next w:val="1"/>
    <w:link w:val="64"/>
    <w:qFormat/>
    <w:uiPriority w:val="0"/>
    <w:rPr>
      <w:rFonts w:ascii="宋体" w:hAnsi="Courier New"/>
      <w:szCs w:val="20"/>
    </w:rPr>
  </w:style>
  <w:style w:type="paragraph" w:styleId="23">
    <w:name w:val="toc 8"/>
    <w:basedOn w:val="1"/>
    <w:next w:val="1"/>
    <w:qFormat/>
    <w:uiPriority w:val="39"/>
    <w:pPr>
      <w:ind w:left="1470"/>
      <w:jc w:val="left"/>
    </w:pPr>
    <w:rPr>
      <w:sz w:val="18"/>
      <w:szCs w:val="18"/>
    </w:rPr>
  </w:style>
  <w:style w:type="paragraph" w:styleId="24">
    <w:name w:val="endnote text"/>
    <w:basedOn w:val="1"/>
    <w:link w:val="66"/>
    <w:qFormat/>
    <w:uiPriority w:val="0"/>
    <w:pPr>
      <w:snapToGrid w:val="0"/>
      <w:jc w:val="left"/>
    </w:pPr>
    <w:rPr>
      <w:szCs w:val="20"/>
    </w:rPr>
  </w:style>
  <w:style w:type="paragraph" w:styleId="25">
    <w:name w:val="Balloon Text"/>
    <w:basedOn w:val="1"/>
    <w:link w:val="67"/>
    <w:qFormat/>
    <w:uiPriority w:val="0"/>
    <w:rPr>
      <w:sz w:val="18"/>
      <w:szCs w:val="18"/>
    </w:rPr>
  </w:style>
  <w:style w:type="paragraph" w:styleId="26">
    <w:name w:val="footer"/>
    <w:basedOn w:val="1"/>
    <w:link w:val="68"/>
    <w:qFormat/>
    <w:uiPriority w:val="99"/>
    <w:pPr>
      <w:tabs>
        <w:tab w:val="center" w:pos="4153"/>
        <w:tab w:val="right" w:pos="8306"/>
      </w:tabs>
      <w:snapToGrid w:val="0"/>
      <w:jc w:val="left"/>
    </w:pPr>
    <w:rPr>
      <w:sz w:val="18"/>
      <w:szCs w:val="18"/>
    </w:rPr>
  </w:style>
  <w:style w:type="paragraph" w:styleId="2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39"/>
    <w:pPr>
      <w:ind w:left="630"/>
      <w:jc w:val="left"/>
    </w:pPr>
    <w:rPr>
      <w:sz w:val="18"/>
      <w:szCs w:val="18"/>
    </w:rPr>
  </w:style>
  <w:style w:type="paragraph" w:styleId="30">
    <w:name w:val="footnote text"/>
    <w:basedOn w:val="1"/>
    <w:link w:val="70"/>
    <w:qFormat/>
    <w:uiPriority w:val="0"/>
    <w:pPr>
      <w:snapToGrid w:val="0"/>
      <w:jc w:val="left"/>
    </w:pPr>
    <w:rPr>
      <w:sz w:val="18"/>
      <w:szCs w:val="20"/>
    </w:rPr>
  </w:style>
  <w:style w:type="paragraph" w:styleId="31">
    <w:name w:val="toc 6"/>
    <w:basedOn w:val="1"/>
    <w:next w:val="1"/>
    <w:qFormat/>
    <w:uiPriority w:val="39"/>
    <w:pPr>
      <w:ind w:left="1050"/>
      <w:jc w:val="left"/>
    </w:pPr>
    <w:rPr>
      <w:sz w:val="18"/>
      <w:szCs w:val="18"/>
    </w:r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39"/>
    <w:pPr>
      <w:ind w:left="1680"/>
      <w:jc w:val="left"/>
    </w:pPr>
    <w:rPr>
      <w:sz w:val="18"/>
      <w:szCs w:val="18"/>
    </w:rPr>
  </w:style>
  <w:style w:type="paragraph" w:styleId="34">
    <w:name w:val="Body Text 2"/>
    <w:basedOn w:val="1"/>
    <w:link w:val="71"/>
    <w:unhideWhenUsed/>
    <w:qFormat/>
    <w:uiPriority w:val="99"/>
    <w:rPr>
      <w:rFonts w:ascii="宋体"/>
      <w:sz w:val="24"/>
      <w:szCs w:val="24"/>
      <w:u w:val="single"/>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6">
    <w:name w:val="Title"/>
    <w:basedOn w:val="1"/>
    <w:link w:val="7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7"/>
    <w:next w:val="17"/>
    <w:link w:val="73"/>
    <w:qFormat/>
    <w:uiPriority w:val="0"/>
    <w:rPr>
      <w:b/>
      <w:bCs/>
    </w:rPr>
  </w:style>
  <w:style w:type="paragraph" w:styleId="38">
    <w:name w:val="Body Text First Indent"/>
    <w:basedOn w:val="2"/>
    <w:link w:val="74"/>
    <w:unhideWhenUsed/>
    <w:qFormat/>
    <w:uiPriority w:val="99"/>
    <w:pPr>
      <w:ind w:firstLine="420" w:firstLineChars="100"/>
    </w:pPr>
    <w:rPr>
      <w:szCs w:val="24"/>
    </w:rPr>
  </w:style>
  <w:style w:type="paragraph" w:styleId="39">
    <w:name w:val="Body Text First Indent 2"/>
    <w:basedOn w:val="19"/>
    <w:qFormat/>
    <w:uiPriority w:val="0"/>
    <w:pPr>
      <w:ind w:firstLine="420" w:firstLineChars="200"/>
    </w:pPr>
    <w:rPr>
      <w:kern w:val="2"/>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page number"/>
    <w:qFormat/>
    <w:uiPriority w:val="0"/>
  </w:style>
  <w:style w:type="character" w:styleId="46">
    <w:name w:val="FollowedHyperlink"/>
    <w:qFormat/>
    <w:uiPriority w:val="0"/>
    <w:rPr>
      <w:color w:val="000000"/>
      <w:u w:val="none"/>
    </w:rPr>
  </w:style>
  <w:style w:type="character" w:styleId="47">
    <w:name w:val="Emphasis"/>
    <w:qFormat/>
    <w:uiPriority w:val="0"/>
    <w:rPr>
      <w:color w:val="CC0000"/>
    </w:rPr>
  </w:style>
  <w:style w:type="character" w:styleId="48">
    <w:name w:val="Hyperlink"/>
    <w:qFormat/>
    <w:uiPriority w:val="99"/>
    <w:rPr>
      <w:color w:val="000000"/>
      <w:u w:val="none"/>
    </w:rPr>
  </w:style>
  <w:style w:type="character" w:styleId="49">
    <w:name w:val="annotation reference"/>
    <w:qFormat/>
    <w:uiPriority w:val="99"/>
    <w:rPr>
      <w:sz w:val="21"/>
      <w:szCs w:val="21"/>
    </w:rPr>
  </w:style>
  <w:style w:type="character" w:styleId="50">
    <w:name w:val="HTML Cite"/>
    <w:unhideWhenUsed/>
    <w:qFormat/>
    <w:uiPriority w:val="99"/>
    <w:rPr>
      <w:sz w:val="24"/>
      <w:szCs w:val="24"/>
    </w:rPr>
  </w:style>
  <w:style w:type="character" w:styleId="51">
    <w:name w:val="footnote reference"/>
    <w:qFormat/>
    <w:uiPriority w:val="0"/>
    <w:rPr>
      <w:vertAlign w:val="superscript"/>
    </w:rPr>
  </w:style>
  <w:style w:type="character" w:customStyle="1" w:styleId="52">
    <w:name w:val="正文文本 字符1"/>
    <w:link w:val="2"/>
    <w:qFormat/>
    <w:uiPriority w:val="99"/>
    <w:rPr>
      <w:kern w:val="2"/>
      <w:sz w:val="21"/>
      <w:szCs w:val="22"/>
    </w:rPr>
  </w:style>
  <w:style w:type="character" w:customStyle="1" w:styleId="53">
    <w:name w:val="标题 1 字符"/>
    <w:link w:val="4"/>
    <w:qFormat/>
    <w:uiPriority w:val="0"/>
    <w:rPr>
      <w:rFonts w:ascii="Times New Roman" w:hAnsi="Times New Roman" w:eastAsia="宋体"/>
      <w:b/>
      <w:bCs/>
      <w:kern w:val="44"/>
      <w:sz w:val="44"/>
      <w:szCs w:val="44"/>
    </w:rPr>
  </w:style>
  <w:style w:type="character" w:customStyle="1" w:styleId="54">
    <w:name w:val="标题 2 字符"/>
    <w:link w:val="5"/>
    <w:qFormat/>
    <w:uiPriority w:val="0"/>
    <w:rPr>
      <w:rFonts w:ascii="Arial" w:hAnsi="Arial" w:eastAsia="黑体"/>
      <w:b/>
      <w:bCs/>
      <w:kern w:val="2"/>
      <w:sz w:val="32"/>
      <w:szCs w:val="32"/>
    </w:rPr>
  </w:style>
  <w:style w:type="character" w:customStyle="1" w:styleId="55">
    <w:name w:val="标题 3 字符"/>
    <w:link w:val="6"/>
    <w:qFormat/>
    <w:uiPriority w:val="0"/>
    <w:rPr>
      <w:rFonts w:ascii="黑体" w:hAnsi="黑体" w:eastAsia="黑体"/>
      <w:bCs/>
      <w:kern w:val="2"/>
      <w:sz w:val="28"/>
      <w:szCs w:val="28"/>
    </w:rPr>
  </w:style>
  <w:style w:type="character" w:customStyle="1" w:styleId="56">
    <w:name w:val="标题 4 字符"/>
    <w:link w:val="7"/>
    <w:qFormat/>
    <w:uiPriority w:val="0"/>
    <w:rPr>
      <w:rFonts w:ascii="Arial" w:hAnsi="Arial" w:eastAsia="黑体"/>
      <w:b/>
      <w:bCs/>
      <w:kern w:val="2"/>
      <w:sz w:val="28"/>
      <w:szCs w:val="28"/>
    </w:rPr>
  </w:style>
  <w:style w:type="character" w:customStyle="1" w:styleId="57">
    <w:name w:val="标题 5 字符"/>
    <w:link w:val="8"/>
    <w:qFormat/>
    <w:uiPriority w:val="0"/>
    <w:rPr>
      <w:rFonts w:ascii="Times New Roman" w:hAnsi="Times New Roman" w:eastAsia="宋体"/>
      <w:color w:val="000000"/>
      <w:kern w:val="2"/>
      <w:sz w:val="24"/>
      <w:szCs w:val="24"/>
    </w:rPr>
  </w:style>
  <w:style w:type="character" w:customStyle="1" w:styleId="58">
    <w:name w:val="标题 6 字符"/>
    <w:link w:val="10"/>
    <w:qFormat/>
    <w:uiPriority w:val="0"/>
    <w:rPr>
      <w:rFonts w:ascii="Arial" w:hAnsi="Arial" w:eastAsia="黑体"/>
      <w:b/>
      <w:bCs/>
      <w:sz w:val="24"/>
      <w:szCs w:val="24"/>
    </w:rPr>
  </w:style>
  <w:style w:type="character" w:customStyle="1" w:styleId="59">
    <w:name w:val="标题 7 字符"/>
    <w:link w:val="11"/>
    <w:qFormat/>
    <w:uiPriority w:val="0"/>
    <w:rPr>
      <w:rFonts w:ascii="Times New Roman" w:hAnsi="Times New Roman" w:eastAsia="宋体"/>
      <w:b/>
      <w:bCs/>
      <w:sz w:val="24"/>
      <w:szCs w:val="24"/>
    </w:rPr>
  </w:style>
  <w:style w:type="character" w:customStyle="1" w:styleId="60">
    <w:name w:val="标题 8 字符"/>
    <w:link w:val="12"/>
    <w:qFormat/>
    <w:uiPriority w:val="0"/>
    <w:rPr>
      <w:rFonts w:ascii="Arial" w:hAnsi="Arial" w:eastAsia="黑体"/>
      <w:sz w:val="24"/>
      <w:szCs w:val="24"/>
    </w:rPr>
  </w:style>
  <w:style w:type="character" w:customStyle="1" w:styleId="61">
    <w:name w:val="标题 9 字符"/>
    <w:link w:val="13"/>
    <w:qFormat/>
    <w:uiPriority w:val="0"/>
    <w:rPr>
      <w:rFonts w:ascii="Arial" w:hAnsi="Arial" w:eastAsia="黑体"/>
      <w:sz w:val="21"/>
      <w:szCs w:val="21"/>
    </w:rPr>
  </w:style>
  <w:style w:type="character" w:customStyle="1" w:styleId="62">
    <w:name w:val="文档结构图 字符"/>
    <w:link w:val="16"/>
    <w:qFormat/>
    <w:uiPriority w:val="0"/>
    <w:rPr>
      <w:rFonts w:ascii="宋体"/>
      <w:kern w:val="2"/>
      <w:sz w:val="18"/>
      <w:szCs w:val="18"/>
    </w:rPr>
  </w:style>
  <w:style w:type="character" w:customStyle="1" w:styleId="63">
    <w:name w:val="批注文字 字符"/>
    <w:link w:val="17"/>
    <w:qFormat/>
    <w:uiPriority w:val="99"/>
    <w:rPr>
      <w:rFonts w:eastAsia="宋体"/>
      <w:kern w:val="2"/>
      <w:sz w:val="21"/>
      <w:szCs w:val="24"/>
    </w:rPr>
  </w:style>
  <w:style w:type="character" w:customStyle="1" w:styleId="64">
    <w:name w:val="纯文本 字符"/>
    <w:link w:val="22"/>
    <w:qFormat/>
    <w:uiPriority w:val="0"/>
    <w:rPr>
      <w:rFonts w:ascii="宋体" w:hAnsi="Courier New" w:eastAsia="宋体"/>
      <w:kern w:val="2"/>
      <w:sz w:val="21"/>
    </w:rPr>
  </w:style>
  <w:style w:type="character" w:customStyle="1" w:styleId="65">
    <w:name w:val="日期 字符"/>
    <w:link w:val="3"/>
    <w:qFormat/>
    <w:uiPriority w:val="0"/>
    <w:rPr>
      <w:rFonts w:ascii="Calibri" w:hAnsi="Calibri" w:eastAsia="宋体"/>
      <w:szCs w:val="24"/>
    </w:rPr>
  </w:style>
  <w:style w:type="character" w:customStyle="1" w:styleId="66">
    <w:name w:val="尾注文本 字符"/>
    <w:link w:val="24"/>
    <w:qFormat/>
    <w:uiPriority w:val="0"/>
    <w:rPr>
      <w:rFonts w:ascii="Times New Roman" w:hAnsi="Times New Roman" w:eastAsia="宋体"/>
      <w:kern w:val="2"/>
      <w:sz w:val="21"/>
    </w:rPr>
  </w:style>
  <w:style w:type="character" w:customStyle="1" w:styleId="67">
    <w:name w:val="批注框文本 字符"/>
    <w:link w:val="25"/>
    <w:qFormat/>
    <w:uiPriority w:val="0"/>
    <w:rPr>
      <w:rFonts w:eastAsia="宋体"/>
      <w:kern w:val="2"/>
      <w:sz w:val="18"/>
      <w:szCs w:val="18"/>
    </w:rPr>
  </w:style>
  <w:style w:type="character" w:customStyle="1" w:styleId="68">
    <w:name w:val="页脚 字符"/>
    <w:link w:val="26"/>
    <w:qFormat/>
    <w:uiPriority w:val="99"/>
    <w:rPr>
      <w:rFonts w:eastAsia="宋体"/>
      <w:kern w:val="2"/>
      <w:sz w:val="18"/>
      <w:szCs w:val="18"/>
    </w:rPr>
  </w:style>
  <w:style w:type="character" w:customStyle="1" w:styleId="69">
    <w:name w:val="页眉 字符"/>
    <w:link w:val="27"/>
    <w:qFormat/>
    <w:uiPriority w:val="0"/>
    <w:rPr>
      <w:rFonts w:eastAsia="宋体"/>
      <w:kern w:val="2"/>
      <w:sz w:val="18"/>
      <w:szCs w:val="18"/>
    </w:rPr>
  </w:style>
  <w:style w:type="character" w:customStyle="1" w:styleId="70">
    <w:name w:val="脚注文本 字符"/>
    <w:link w:val="30"/>
    <w:qFormat/>
    <w:uiPriority w:val="0"/>
    <w:rPr>
      <w:rFonts w:ascii="Times New Roman" w:hAnsi="Times New Roman" w:eastAsia="宋体"/>
      <w:kern w:val="2"/>
      <w:sz w:val="18"/>
    </w:rPr>
  </w:style>
  <w:style w:type="character" w:customStyle="1" w:styleId="71">
    <w:name w:val="正文文本 2 字符"/>
    <w:link w:val="34"/>
    <w:qFormat/>
    <w:uiPriority w:val="99"/>
    <w:rPr>
      <w:rFonts w:ascii="宋体" w:hAnsi="Times New Roman" w:eastAsia="宋体"/>
      <w:kern w:val="2"/>
      <w:sz w:val="24"/>
      <w:szCs w:val="24"/>
      <w:u w:val="single"/>
    </w:rPr>
  </w:style>
  <w:style w:type="character" w:customStyle="1" w:styleId="72">
    <w:name w:val="标题 字符"/>
    <w:link w:val="36"/>
    <w:qFormat/>
    <w:uiPriority w:val="0"/>
    <w:rPr>
      <w:rFonts w:ascii="Arial" w:hAnsi="Arial" w:eastAsia="宋体"/>
      <w:b/>
      <w:sz w:val="32"/>
    </w:rPr>
  </w:style>
  <w:style w:type="character" w:customStyle="1" w:styleId="73">
    <w:name w:val="批注主题 字符"/>
    <w:link w:val="37"/>
    <w:qFormat/>
    <w:uiPriority w:val="0"/>
    <w:rPr>
      <w:rFonts w:eastAsia="宋体"/>
      <w:b/>
      <w:bCs/>
      <w:kern w:val="2"/>
      <w:sz w:val="21"/>
      <w:szCs w:val="24"/>
    </w:rPr>
  </w:style>
  <w:style w:type="character" w:customStyle="1" w:styleId="74">
    <w:name w:val="正文文本首行缩进 字符1"/>
    <w:link w:val="38"/>
    <w:qFormat/>
    <w:uiPriority w:val="99"/>
  </w:style>
  <w:style w:type="character" w:customStyle="1" w:styleId="75">
    <w:name w:val="Char Char11"/>
    <w:qFormat/>
    <w:uiPriority w:val="0"/>
    <w:rPr>
      <w:rFonts w:ascii="Times New Roman" w:hAnsi="Times New Roman" w:eastAsia="宋体" w:cs="Times New Roman"/>
      <w:szCs w:val="24"/>
    </w:rPr>
  </w:style>
  <w:style w:type="character" w:customStyle="1" w:styleId="76">
    <w:name w:val="批注框文本 字符1"/>
    <w:semiHidden/>
    <w:qFormat/>
    <w:uiPriority w:val="99"/>
    <w:rPr>
      <w:kern w:val="2"/>
      <w:sz w:val="18"/>
      <w:szCs w:val="18"/>
    </w:rPr>
  </w:style>
  <w:style w:type="character" w:customStyle="1" w:styleId="77">
    <w:name w:val="正文文本首行缩进 字符2"/>
    <w:semiHidden/>
    <w:qFormat/>
    <w:uiPriority w:val="99"/>
  </w:style>
  <w:style w:type="character" w:customStyle="1" w:styleId="78">
    <w:name w:val="正文文本首行缩进 字符"/>
    <w:link w:val="79"/>
    <w:qFormat/>
    <w:uiPriority w:val="99"/>
    <w:rPr>
      <w:rFonts w:eastAsia="宋体"/>
      <w:kern w:val="2"/>
      <w:sz w:val="21"/>
      <w:szCs w:val="24"/>
    </w:rPr>
  </w:style>
  <w:style w:type="paragraph" w:customStyle="1" w:styleId="79">
    <w:name w:val="_Style 87"/>
    <w:basedOn w:val="1"/>
    <w:next w:val="38"/>
    <w:link w:val="78"/>
    <w:unhideWhenUsed/>
    <w:qFormat/>
    <w:uiPriority w:val="99"/>
    <w:pPr>
      <w:ind w:firstLine="420" w:firstLineChars="100"/>
    </w:pPr>
    <w:rPr>
      <w:szCs w:val="24"/>
    </w:rPr>
  </w:style>
  <w:style w:type="character" w:customStyle="1" w:styleId="80">
    <w:name w:val="font21"/>
    <w:qFormat/>
    <w:uiPriority w:val="0"/>
    <w:rPr>
      <w:rFonts w:hint="eastAsia" w:ascii="宋体" w:hAnsi="宋体" w:eastAsia="宋体" w:cs="宋体"/>
      <w:b/>
      <w:bCs/>
      <w:color w:val="000000"/>
      <w:sz w:val="24"/>
      <w:szCs w:val="24"/>
      <w:u w:val="single"/>
    </w:rPr>
  </w:style>
  <w:style w:type="character" w:customStyle="1" w:styleId="81">
    <w:name w:val="Char Char12"/>
    <w:qFormat/>
    <w:uiPriority w:val="0"/>
    <w:rPr>
      <w:rFonts w:ascii="Arial" w:hAnsi="Arial" w:eastAsia="黑体" w:cs="Times New Roman"/>
      <w:b/>
      <w:bCs/>
      <w:sz w:val="32"/>
      <w:szCs w:val="32"/>
    </w:rPr>
  </w:style>
  <w:style w:type="character" w:customStyle="1" w:styleId="82">
    <w:name w:val="hover37"/>
    <w:qFormat/>
    <w:uiPriority w:val="0"/>
  </w:style>
  <w:style w:type="character" w:customStyle="1" w:styleId="83">
    <w:name w:val="批注主题 Char Char"/>
    <w:link w:val="84"/>
    <w:qFormat/>
    <w:uiPriority w:val="0"/>
    <w:rPr>
      <w:rFonts w:eastAsia="宋体"/>
      <w:b/>
      <w:bCs/>
      <w:kern w:val="2"/>
      <w:sz w:val="21"/>
      <w:szCs w:val="24"/>
    </w:rPr>
  </w:style>
  <w:style w:type="paragraph" w:customStyle="1" w:styleId="84">
    <w:name w:val="批注主题1"/>
    <w:basedOn w:val="17"/>
    <w:next w:val="17"/>
    <w:link w:val="83"/>
    <w:qFormat/>
    <w:uiPriority w:val="0"/>
    <w:pPr>
      <w:jc w:val="both"/>
    </w:pPr>
    <w:rPr>
      <w:b/>
      <w:bCs/>
    </w:rPr>
  </w:style>
  <w:style w:type="character" w:customStyle="1" w:styleId="85">
    <w:name w:val="fontstyle01"/>
    <w:qFormat/>
    <w:uiPriority w:val="0"/>
    <w:rPr>
      <w:rFonts w:ascii="宋体" w:hAnsi="宋体" w:eastAsia="宋体" w:cs="宋体"/>
      <w:color w:val="000000"/>
      <w:sz w:val="24"/>
      <w:szCs w:val="24"/>
    </w:rPr>
  </w:style>
  <w:style w:type="character" w:customStyle="1" w:styleId="86">
    <w:name w:val="正文首行缩进 Char"/>
    <w:link w:val="87"/>
    <w:qFormat/>
    <w:uiPriority w:val="0"/>
  </w:style>
  <w:style w:type="paragraph" w:customStyle="1" w:styleId="87">
    <w:name w:val="正文首行缩进1"/>
    <w:basedOn w:val="1"/>
    <w:link w:val="86"/>
    <w:qFormat/>
    <w:uiPriority w:val="0"/>
    <w:pPr>
      <w:spacing w:line="312" w:lineRule="auto"/>
      <w:ind w:firstLine="420"/>
    </w:pPr>
    <w:rPr>
      <w:szCs w:val="24"/>
    </w:rPr>
  </w:style>
  <w:style w:type="character" w:customStyle="1" w:styleId="88">
    <w:name w:val="times"/>
    <w:qFormat/>
    <w:uiPriority w:val="0"/>
    <w:rPr>
      <w:color w:val="CDCDCD"/>
      <w:bdr w:val="single" w:color="CDCDCD" w:sz="6" w:space="0"/>
      <w:shd w:val="clear" w:color="auto" w:fill="EFEFEF"/>
    </w:rPr>
  </w:style>
  <w:style w:type="character" w:customStyle="1" w:styleId="89">
    <w:name w:val="Char Char13"/>
    <w:qFormat/>
    <w:uiPriority w:val="0"/>
    <w:rPr>
      <w:rFonts w:ascii="Times New Roman" w:hAnsi="Times New Roman" w:eastAsia="宋体" w:cs="Times New Roman"/>
      <w:b/>
      <w:bCs/>
      <w:kern w:val="44"/>
      <w:sz w:val="44"/>
      <w:szCs w:val="44"/>
    </w:rPr>
  </w:style>
  <w:style w:type="character" w:customStyle="1" w:styleId="90">
    <w:name w:val="font41"/>
    <w:qFormat/>
    <w:uiPriority w:val="0"/>
    <w:rPr>
      <w:rFonts w:hint="eastAsia" w:ascii="宋体" w:hAnsi="宋体" w:eastAsia="宋体" w:cs="宋体"/>
      <w:color w:val="000000"/>
      <w:sz w:val="21"/>
      <w:szCs w:val="21"/>
      <w:u w:val="none"/>
      <w:vertAlign w:val="superscript"/>
    </w:rPr>
  </w:style>
  <w:style w:type="character" w:customStyle="1" w:styleId="91">
    <w:name w:val="批注主题 字符1"/>
    <w:semiHidden/>
    <w:qFormat/>
    <w:uiPriority w:val="99"/>
    <w:rPr>
      <w:b/>
      <w:bCs/>
      <w:kern w:val="2"/>
      <w:sz w:val="21"/>
      <w:szCs w:val="22"/>
    </w:rPr>
  </w:style>
  <w:style w:type="character" w:customStyle="1" w:styleId="92">
    <w:name w:val="font01"/>
    <w:qFormat/>
    <w:uiPriority w:val="0"/>
    <w:rPr>
      <w:rFonts w:hint="eastAsia" w:ascii="宋体" w:hAnsi="宋体" w:eastAsia="宋体" w:cs="宋体"/>
      <w:b/>
      <w:bCs/>
      <w:color w:val="000000"/>
      <w:sz w:val="24"/>
      <w:szCs w:val="24"/>
      <w:u w:val="none"/>
    </w:rPr>
  </w:style>
  <w:style w:type="character" w:customStyle="1" w:styleId="93">
    <w:name w:val="批注引用1"/>
    <w:qFormat/>
    <w:uiPriority w:val="0"/>
    <w:rPr>
      <w:sz w:val="21"/>
      <w:szCs w:val="21"/>
    </w:rPr>
  </w:style>
  <w:style w:type="character" w:customStyle="1" w:styleId="94">
    <w:name w:val="批注文字 字符1"/>
    <w:semiHidden/>
    <w:qFormat/>
    <w:uiPriority w:val="99"/>
    <w:rPr>
      <w:kern w:val="2"/>
      <w:sz w:val="21"/>
      <w:szCs w:val="22"/>
    </w:rPr>
  </w:style>
  <w:style w:type="character" w:customStyle="1" w:styleId="95">
    <w:name w:val="纯文本 Char1"/>
    <w:link w:val="96"/>
    <w:qFormat/>
    <w:uiPriority w:val="0"/>
    <w:rPr>
      <w:rFonts w:ascii="宋体" w:hAnsi="Courier New" w:eastAsia="宋体"/>
      <w:kern w:val="2"/>
      <w:sz w:val="21"/>
    </w:rPr>
  </w:style>
  <w:style w:type="paragraph" w:customStyle="1" w:styleId="96">
    <w:name w:val="纯文本1"/>
    <w:basedOn w:val="1"/>
    <w:link w:val="95"/>
    <w:qFormat/>
    <w:uiPriority w:val="0"/>
    <w:rPr>
      <w:rFonts w:ascii="宋体" w:hAnsi="Courier New"/>
      <w:szCs w:val="20"/>
    </w:rPr>
  </w:style>
  <w:style w:type="character" w:customStyle="1" w:styleId="97">
    <w:name w:val="文档结构图 Char Char"/>
    <w:link w:val="98"/>
    <w:qFormat/>
    <w:uiPriority w:val="0"/>
    <w:rPr>
      <w:rFonts w:eastAsia="宋体"/>
      <w:kern w:val="2"/>
      <w:sz w:val="21"/>
      <w:szCs w:val="24"/>
      <w:shd w:val="clear" w:color="auto" w:fill="000080"/>
    </w:rPr>
  </w:style>
  <w:style w:type="paragraph" w:customStyle="1" w:styleId="98">
    <w:name w:val="文档结构图1"/>
    <w:basedOn w:val="1"/>
    <w:link w:val="97"/>
    <w:qFormat/>
    <w:uiPriority w:val="0"/>
    <w:pPr>
      <w:shd w:val="clear" w:color="auto" w:fill="000080"/>
    </w:pPr>
    <w:rPr>
      <w:szCs w:val="24"/>
    </w:rPr>
  </w:style>
  <w:style w:type="character" w:customStyle="1" w:styleId="99">
    <w:name w:val="times1"/>
    <w:qFormat/>
    <w:uiPriority w:val="0"/>
    <w:rPr>
      <w:color w:val="3399FF"/>
      <w:bdr w:val="single" w:color="D1EDF8" w:sz="6" w:space="0"/>
      <w:shd w:val="clear" w:color="auto" w:fill="EAF9FF"/>
    </w:rPr>
  </w:style>
  <w:style w:type="character" w:customStyle="1" w:styleId="100">
    <w:name w:val="username"/>
    <w:qFormat/>
    <w:uiPriority w:val="0"/>
  </w:style>
  <w:style w:type="character" w:customStyle="1" w:styleId="101">
    <w:name w:val="font161"/>
    <w:qFormat/>
    <w:uiPriority w:val="0"/>
    <w:rPr>
      <w:b/>
      <w:bCs/>
      <w:sz w:val="32"/>
      <w:szCs w:val="32"/>
    </w:rPr>
  </w:style>
  <w:style w:type="character" w:customStyle="1" w:styleId="102">
    <w:name w:val="msoins"/>
    <w:qFormat/>
    <w:uiPriority w:val="0"/>
  </w:style>
  <w:style w:type="character" w:customStyle="1" w:styleId="103">
    <w:name w:val="正文文本 字符"/>
    <w:qFormat/>
    <w:uiPriority w:val="0"/>
    <w:rPr>
      <w:rFonts w:eastAsia="宋体"/>
      <w:kern w:val="2"/>
      <w:sz w:val="21"/>
      <w:szCs w:val="24"/>
      <w:lang w:val="en-US" w:eastAsia="zh-CN"/>
    </w:rPr>
  </w:style>
  <w:style w:type="character" w:customStyle="1" w:styleId="104">
    <w:name w:val="文档结构图 字符1"/>
    <w:semiHidden/>
    <w:qFormat/>
    <w:uiPriority w:val="99"/>
    <w:rPr>
      <w:rFonts w:ascii="宋体" w:eastAsia="宋体"/>
      <w:kern w:val="2"/>
      <w:sz w:val="18"/>
      <w:szCs w:val="18"/>
    </w:rPr>
  </w:style>
  <w:style w:type="character" w:customStyle="1" w:styleId="105">
    <w:name w:val="hover36"/>
    <w:qFormat/>
    <w:uiPriority w:val="0"/>
  </w:style>
  <w:style w:type="character" w:customStyle="1" w:styleId="106">
    <w:name w:val="标题 3 Char1"/>
    <w:qFormat/>
    <w:uiPriority w:val="0"/>
    <w:rPr>
      <w:rFonts w:ascii="黑体" w:hAnsi="宋体" w:eastAsia="黑体"/>
      <w:bCs/>
      <w:kern w:val="2"/>
      <w:sz w:val="28"/>
      <w:szCs w:val="28"/>
      <w:lang w:val="en-US" w:eastAsia="zh-CN"/>
    </w:rPr>
  </w:style>
  <w:style w:type="character" w:customStyle="1" w:styleId="107">
    <w:name w:val="页脚 字符1"/>
    <w:semiHidden/>
    <w:qFormat/>
    <w:uiPriority w:val="99"/>
    <w:rPr>
      <w:kern w:val="2"/>
      <w:sz w:val="18"/>
      <w:szCs w:val="18"/>
    </w:rPr>
  </w:style>
  <w:style w:type="character" w:customStyle="1" w:styleId="108">
    <w:name w:val="页码1"/>
    <w:qFormat/>
    <w:uiPriority w:val="0"/>
  </w:style>
  <w:style w:type="character" w:customStyle="1" w:styleId="109">
    <w:name w:val="页眉 字符1"/>
    <w:semiHidden/>
    <w:qFormat/>
    <w:uiPriority w:val="99"/>
    <w:rPr>
      <w:kern w:val="2"/>
      <w:sz w:val="18"/>
      <w:szCs w:val="18"/>
    </w:rPr>
  </w:style>
  <w:style w:type="character" w:customStyle="1" w:styleId="110">
    <w:name w:val="15"/>
    <w:qFormat/>
    <w:uiPriority w:val="0"/>
    <w:rPr>
      <w:rFonts w:hint="default" w:ascii="Times New Roman" w:hAnsi="Times New Roman" w:cs="Times New Roman"/>
      <w:sz w:val="21"/>
      <w:szCs w:val="21"/>
    </w:rPr>
  </w:style>
  <w:style w:type="character" w:customStyle="1" w:styleId="111">
    <w:name w:val="title22"/>
    <w:qFormat/>
    <w:uiPriority w:val="0"/>
  </w:style>
  <w:style w:type="character" w:customStyle="1" w:styleId="112">
    <w:name w:val="font31"/>
    <w:qFormat/>
    <w:uiPriority w:val="0"/>
    <w:rPr>
      <w:rFonts w:hint="eastAsia" w:ascii="宋体" w:hAnsi="宋体" w:eastAsia="宋体" w:cs="宋体"/>
      <w:b/>
      <w:bCs/>
      <w:color w:val="000000"/>
      <w:sz w:val="21"/>
      <w:szCs w:val="21"/>
      <w:u w:val="none"/>
    </w:rPr>
  </w:style>
  <w:style w:type="character" w:customStyle="1" w:styleId="113">
    <w:name w:val="font51"/>
    <w:qFormat/>
    <w:uiPriority w:val="0"/>
    <w:rPr>
      <w:rFonts w:hint="eastAsia" w:ascii="宋体" w:hAnsi="宋体" w:eastAsia="宋体" w:cs="宋体"/>
      <w:color w:val="000000"/>
      <w:sz w:val="21"/>
      <w:szCs w:val="21"/>
      <w:u w:val="none"/>
      <w:vertAlign w:val="superscript"/>
    </w:rPr>
  </w:style>
  <w:style w:type="paragraph" w:customStyle="1" w:styleId="114">
    <w:name w:val="索引 11"/>
    <w:basedOn w:val="1"/>
    <w:next w:val="1"/>
    <w:qFormat/>
    <w:uiPriority w:val="0"/>
    <w:pPr>
      <w:spacing w:line="220" w:lineRule="exact"/>
      <w:jc w:val="center"/>
    </w:pPr>
    <w:rPr>
      <w:rFonts w:ascii="仿宋_GB2312" w:eastAsia="仿宋_GB2312"/>
      <w:szCs w:val="21"/>
    </w:rPr>
  </w:style>
  <w:style w:type="paragraph" w:customStyle="1" w:styleId="115">
    <w:name w:val="修订1"/>
    <w:qFormat/>
    <w:uiPriority w:val="0"/>
    <w:rPr>
      <w:rFonts w:ascii="Times New Roman" w:hAnsi="Times New Roman" w:eastAsia="宋体" w:cs="Times New Roman"/>
      <w:kern w:val="2"/>
      <w:sz w:val="21"/>
      <w:szCs w:val="24"/>
      <w:lang w:val="en-US" w:eastAsia="zh-CN" w:bidi="ar-SA"/>
    </w:rPr>
  </w:style>
  <w:style w:type="paragraph" w:customStyle="1" w:styleId="11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7">
    <w:name w:val="表头"/>
    <w:basedOn w:val="1"/>
    <w:qFormat/>
    <w:uiPriority w:val="0"/>
    <w:pPr>
      <w:spacing w:line="360" w:lineRule="auto"/>
      <w:jc w:val="center"/>
    </w:pPr>
    <w:rPr>
      <w:rFonts w:ascii="黑体" w:eastAsia="黑体"/>
      <w:kern w:val="0"/>
      <w:sz w:val="24"/>
      <w:szCs w:val="20"/>
    </w:rPr>
  </w:style>
  <w:style w:type="paragraph" w:customStyle="1" w:styleId="118">
    <w:name w:val="表格"/>
    <w:basedOn w:val="1"/>
    <w:qFormat/>
    <w:uiPriority w:val="0"/>
    <w:pPr>
      <w:jc w:val="center"/>
      <w:textAlignment w:val="center"/>
    </w:pPr>
    <w:rPr>
      <w:rFonts w:ascii="华文细黑" w:hAnsi="华文细黑"/>
      <w:kern w:val="0"/>
      <w:szCs w:val="20"/>
    </w:rPr>
  </w:style>
  <w:style w:type="paragraph" w:customStyle="1" w:styleId="119">
    <w:name w:val="正文文本缩进 21"/>
    <w:basedOn w:val="1"/>
    <w:qFormat/>
    <w:uiPriority w:val="0"/>
    <w:pPr>
      <w:spacing w:line="400" w:lineRule="exact"/>
      <w:ind w:left="425"/>
    </w:pPr>
    <w:rPr>
      <w:color w:val="000000"/>
      <w:sz w:val="24"/>
      <w:szCs w:val="20"/>
    </w:rPr>
  </w:style>
  <w:style w:type="paragraph" w:customStyle="1" w:styleId="120">
    <w:name w:val="表格文字"/>
    <w:basedOn w:val="1"/>
    <w:qFormat/>
    <w:uiPriority w:val="0"/>
    <w:pPr>
      <w:adjustRightInd w:val="0"/>
      <w:spacing w:line="420" w:lineRule="atLeast"/>
      <w:jc w:val="left"/>
      <w:textAlignment w:val="baseline"/>
    </w:pPr>
    <w:rPr>
      <w:kern w:val="0"/>
      <w:szCs w:val="20"/>
    </w:rPr>
  </w:style>
  <w:style w:type="paragraph" w:customStyle="1" w:styleId="1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2">
    <w:name w:val="样式1"/>
    <w:basedOn w:val="1"/>
    <w:next w:val="7"/>
    <w:qFormat/>
    <w:uiPriority w:val="0"/>
    <w:pPr>
      <w:spacing w:line="360" w:lineRule="auto"/>
      <w:ind w:firstLine="420" w:firstLineChars="200"/>
    </w:pPr>
    <w:rPr>
      <w:rFonts w:ascii="宋体" w:hAnsi="宋体"/>
      <w:szCs w:val="21"/>
    </w:rPr>
  </w:style>
  <w:style w:type="paragraph" w:customStyle="1" w:styleId="123">
    <w:name w:val="文字"/>
    <w:basedOn w:val="1"/>
    <w:qFormat/>
    <w:uiPriority w:val="0"/>
    <w:pPr>
      <w:spacing w:line="360" w:lineRule="auto"/>
      <w:ind w:firstLine="200" w:firstLineChars="200"/>
    </w:pPr>
    <w:rPr>
      <w:sz w:val="24"/>
      <w:szCs w:val="24"/>
    </w:rPr>
  </w:style>
  <w:style w:type="paragraph" w:customStyle="1" w:styleId="124">
    <w:name w:val="封二"/>
    <w:basedOn w:val="116"/>
    <w:next w:val="116"/>
    <w:qFormat/>
    <w:uiPriority w:val="0"/>
    <w:pPr>
      <w:ind w:firstLine="0" w:firstLineChars="0"/>
      <w:jc w:val="center"/>
    </w:pPr>
    <w:rPr>
      <w:rFonts w:eastAsia="黑体"/>
      <w:b/>
      <w:sz w:val="36"/>
      <w:szCs w:val="36"/>
    </w:rPr>
  </w:style>
  <w:style w:type="paragraph" w:customStyle="1" w:styleId="125">
    <w:name w:val="发文落款"/>
    <w:basedOn w:val="126"/>
    <w:qFormat/>
    <w:uiPriority w:val="0"/>
    <w:pPr>
      <w:ind w:left="4094" w:right="607" w:firstLine="0"/>
      <w:jc w:val="center"/>
    </w:pPr>
  </w:style>
  <w:style w:type="paragraph" w:customStyle="1" w:styleId="1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7">
    <w:name w:val="p0"/>
    <w:basedOn w:val="1"/>
    <w:qFormat/>
    <w:uiPriority w:val="0"/>
    <w:pPr>
      <w:widowControl/>
    </w:pPr>
    <w:rPr>
      <w:kern w:val="0"/>
      <w:szCs w:val="21"/>
    </w:rPr>
  </w:style>
  <w:style w:type="paragraph" w:customStyle="1" w:styleId="128">
    <w:name w:val="Char Char Char Char"/>
    <w:basedOn w:val="1"/>
    <w:qFormat/>
    <w:uiPriority w:val="0"/>
    <w:pPr>
      <w:spacing w:afterLines="50" w:line="520" w:lineRule="exact"/>
      <w:jc w:val="center"/>
    </w:pPr>
    <w:rPr>
      <w:szCs w:val="24"/>
    </w:rPr>
  </w:style>
  <w:style w:type="paragraph" w:customStyle="1" w:styleId="129">
    <w:name w:val="_Style 102"/>
    <w:qFormat/>
    <w:uiPriority w:val="0"/>
    <w:rPr>
      <w:rFonts w:ascii="Times New Roman" w:hAnsi="Times New Roman" w:eastAsia="宋体" w:cs="Times New Roman"/>
      <w:kern w:val="2"/>
      <w:sz w:val="21"/>
      <w:szCs w:val="24"/>
      <w:lang w:val="en-US" w:eastAsia="zh-CN" w:bidi="ar-SA"/>
    </w:rPr>
  </w:style>
  <w:style w:type="paragraph" w:styleId="130">
    <w:name w:val="List Paragraph"/>
    <w:basedOn w:val="1"/>
    <w:qFormat/>
    <w:uiPriority w:val="0"/>
    <w:pPr>
      <w:ind w:firstLine="420" w:firstLineChars="200"/>
    </w:pPr>
    <w:rPr>
      <w:rFonts w:ascii="Calibri" w:hAnsi="Calibri"/>
    </w:rPr>
  </w:style>
  <w:style w:type="paragraph" w:customStyle="1" w:styleId="131">
    <w:name w:val="正文文本 21"/>
    <w:basedOn w:val="1"/>
    <w:qFormat/>
    <w:uiPriority w:val="0"/>
    <w:rPr>
      <w:rFonts w:ascii="宋体" w:hAnsi="宋体"/>
      <w:szCs w:val="24"/>
      <w:u w:val="single"/>
    </w:rPr>
  </w:style>
  <w:style w:type="paragraph" w:customStyle="1" w:styleId="132">
    <w:name w:val="Char Char Char1 Char Char Char Char Char Char Char Char Char Char Char Char Char"/>
    <w:basedOn w:val="98"/>
    <w:qFormat/>
    <w:uiPriority w:val="0"/>
    <w:rPr>
      <w:rFonts w:ascii="Tahoma" w:hAnsi="Tahoma"/>
      <w:sz w:val="24"/>
    </w:rPr>
  </w:style>
  <w:style w:type="paragraph" w:customStyle="1" w:styleId="133">
    <w:name w:val="封四"/>
    <w:basedOn w:val="116"/>
    <w:next w:val="116"/>
    <w:qFormat/>
    <w:uiPriority w:val="0"/>
    <w:pPr>
      <w:jc w:val="left"/>
    </w:pPr>
    <w:rPr>
      <w:rFonts w:eastAsia="等线"/>
      <w:sz w:val="30"/>
      <w:szCs w:val="30"/>
    </w:rPr>
  </w:style>
  <w:style w:type="paragraph" w:customStyle="1" w:styleId="13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36">
    <w:name w:val="列出段落1"/>
    <w:basedOn w:val="1"/>
    <w:qFormat/>
    <w:uiPriority w:val="0"/>
    <w:pPr>
      <w:ind w:firstLine="420" w:firstLineChars="200"/>
    </w:pPr>
    <w:rPr>
      <w:szCs w:val="21"/>
    </w:rPr>
  </w:style>
  <w:style w:type="paragraph" w:customStyle="1" w:styleId="137">
    <w:name w:val="Char Char Char Char1"/>
    <w:basedOn w:val="1"/>
    <w:qFormat/>
    <w:uiPriority w:val="0"/>
    <w:pPr>
      <w:ind w:left="567" w:hanging="279"/>
    </w:pPr>
    <w:rPr>
      <w:sz w:val="24"/>
      <w:szCs w:val="2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默认段落字体 Para Char"/>
    <w:basedOn w:val="1"/>
    <w:qFormat/>
    <w:uiPriority w:val="0"/>
    <w:rPr>
      <w:b/>
      <w:sz w:val="24"/>
      <w:szCs w:val="24"/>
    </w:rPr>
  </w:style>
  <w:style w:type="paragraph" w:customStyle="1" w:styleId="14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1">
    <w:name w:val="1"/>
    <w:basedOn w:val="1"/>
    <w:qFormat/>
    <w:uiPriority w:val="0"/>
    <w:rPr>
      <w:szCs w:val="24"/>
    </w:rPr>
  </w:style>
  <w:style w:type="paragraph" w:customStyle="1" w:styleId="142">
    <w:name w:val="正文(仿)首缩"/>
    <w:basedOn w:val="1"/>
    <w:qFormat/>
    <w:uiPriority w:val="0"/>
    <w:pPr>
      <w:tabs>
        <w:tab w:val="left" w:pos="1108"/>
      </w:tabs>
      <w:ind w:left="554"/>
    </w:pPr>
    <w:rPr>
      <w:szCs w:val="28"/>
    </w:rPr>
  </w:style>
  <w:style w:type="paragraph" w:customStyle="1" w:styleId="143">
    <w:name w:val="正题"/>
    <w:basedOn w:val="116"/>
    <w:next w:val="116"/>
    <w:qFormat/>
    <w:uiPriority w:val="0"/>
    <w:pPr>
      <w:ind w:firstLine="0" w:firstLineChars="0"/>
      <w:jc w:val="center"/>
    </w:pPr>
    <w:rPr>
      <w:rFonts w:eastAsia="黑体"/>
      <w:b/>
      <w:sz w:val="36"/>
      <w:szCs w:val="36"/>
    </w:rPr>
  </w:style>
  <w:style w:type="paragraph" w:customStyle="1" w:styleId="144">
    <w:name w:val="List Paragraph1"/>
    <w:basedOn w:val="1"/>
    <w:qFormat/>
    <w:uiPriority w:val="0"/>
    <w:pPr>
      <w:ind w:firstLine="420" w:firstLineChars="200"/>
    </w:pPr>
    <w:rPr>
      <w:szCs w:val="24"/>
    </w:rPr>
  </w:style>
  <w:style w:type="paragraph" w:customStyle="1" w:styleId="145">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146">
    <w:name w:val="正文文本缩进1"/>
    <w:basedOn w:val="1"/>
    <w:qFormat/>
    <w:uiPriority w:val="0"/>
    <w:pPr>
      <w:spacing w:after="120"/>
      <w:ind w:left="420" w:leftChars="200"/>
    </w:pPr>
    <w:rPr>
      <w:szCs w:val="24"/>
    </w:rPr>
  </w:style>
  <w:style w:type="paragraph" w:customStyle="1" w:styleId="147">
    <w:name w:val="公文抬头"/>
    <w:basedOn w:val="9"/>
    <w:qFormat/>
    <w:uiPriority w:val="0"/>
    <w:pPr>
      <w:ind w:firstLine="0" w:firstLineChars="0"/>
    </w:pPr>
    <w:rPr>
      <w:rFonts w:ascii="仿宋_GB2312" w:eastAsia="仿宋_GB2312"/>
      <w:sz w:val="30"/>
    </w:rPr>
  </w:style>
  <w:style w:type="paragraph" w:customStyle="1" w:styleId="148">
    <w:name w:val="封一"/>
    <w:basedOn w:val="116"/>
    <w:next w:val="116"/>
    <w:qFormat/>
    <w:uiPriority w:val="0"/>
    <w:pPr>
      <w:ind w:firstLine="0" w:firstLineChars="0"/>
      <w:jc w:val="center"/>
    </w:pPr>
    <w:rPr>
      <w:rFonts w:eastAsia="黑体"/>
      <w:b/>
      <w:sz w:val="84"/>
      <w:szCs w:val="84"/>
    </w:rPr>
  </w:style>
  <w:style w:type="paragraph" w:customStyle="1" w:styleId="149">
    <w:name w:val="Char"/>
    <w:basedOn w:val="1"/>
    <w:qFormat/>
    <w:uiPriority w:val="0"/>
    <w:pPr>
      <w:numPr>
        <w:ilvl w:val="0"/>
        <w:numId w:val="1"/>
      </w:numPr>
    </w:pPr>
    <w:rPr>
      <w:sz w:val="24"/>
      <w:szCs w:val="24"/>
    </w:rPr>
  </w:style>
  <w:style w:type="paragraph" w:customStyle="1" w:styleId="150">
    <w:name w:val="Char1"/>
    <w:basedOn w:val="1"/>
    <w:qFormat/>
    <w:uiPriority w:val="0"/>
    <w:pPr>
      <w:tabs>
        <w:tab w:val="left" w:pos="360"/>
      </w:tabs>
    </w:pPr>
    <w:rPr>
      <w:sz w:val="24"/>
      <w:szCs w:val="24"/>
    </w:rPr>
  </w:style>
  <w:style w:type="paragraph" w:customStyle="1" w:styleId="151">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2">
    <w:name w:val="Char Char Char1 Char"/>
    <w:basedOn w:val="98"/>
    <w:qFormat/>
    <w:uiPriority w:val="0"/>
    <w:rPr>
      <w:rFonts w:ascii="Tahoma" w:hAnsi="Tahoma"/>
      <w:sz w:val="24"/>
    </w:rPr>
  </w:style>
  <w:style w:type="paragraph" w:customStyle="1" w:styleId="153">
    <w:name w:val="样式 四号 行距: 1.5 倍行距"/>
    <w:basedOn w:val="1"/>
    <w:qFormat/>
    <w:uiPriority w:val="0"/>
    <w:pPr>
      <w:spacing w:line="360" w:lineRule="auto"/>
      <w:ind w:firstLine="560" w:firstLineChars="200"/>
    </w:pPr>
    <w:rPr>
      <w:rFonts w:cs="宋体"/>
      <w:sz w:val="24"/>
      <w:szCs w:val="20"/>
    </w:rPr>
  </w:style>
  <w:style w:type="paragraph" w:customStyle="1" w:styleId="154">
    <w:name w:val="修订2"/>
    <w:qFormat/>
    <w:uiPriority w:val="0"/>
    <w:rPr>
      <w:rFonts w:ascii="Times New Roman" w:hAnsi="Times New Roman" w:eastAsia="宋体" w:cs="Times New Roman"/>
      <w:kern w:val="2"/>
      <w:sz w:val="21"/>
      <w:szCs w:val="24"/>
      <w:lang w:val="en-US" w:eastAsia="zh-CN" w:bidi="ar-SA"/>
    </w:rPr>
  </w:style>
  <w:style w:type="paragraph" w:customStyle="1" w:styleId="155">
    <w:name w:val="Char Char Char Char Char Char1 Char"/>
    <w:basedOn w:val="1"/>
    <w:qFormat/>
    <w:uiPriority w:val="0"/>
    <w:pPr>
      <w:widowControl/>
      <w:spacing w:after="160" w:line="240" w:lineRule="exact"/>
      <w:jc w:val="left"/>
    </w:pPr>
    <w:rPr>
      <w:rFonts w:eastAsia="仿宋_GB2312"/>
      <w:sz w:val="32"/>
      <w:szCs w:val="24"/>
    </w:rPr>
  </w:style>
  <w:style w:type="paragraph" w:customStyle="1" w:styleId="156">
    <w:name w:val="章节三"/>
    <w:basedOn w:val="116"/>
    <w:next w:val="116"/>
    <w:qFormat/>
    <w:uiPriority w:val="0"/>
    <w:pPr>
      <w:spacing w:beforeLines="50" w:afterLines="50"/>
      <w:jc w:val="left"/>
      <w:outlineLvl w:val="2"/>
    </w:pPr>
    <w:rPr>
      <w:rFonts w:ascii="黑体" w:hAnsi="宋体" w:eastAsia="黑体"/>
      <w:b/>
      <w:snapToGrid w:val="0"/>
    </w:rPr>
  </w:style>
  <w:style w:type="paragraph" w:customStyle="1" w:styleId="157">
    <w:name w:val="正文文本缩进 31"/>
    <w:basedOn w:val="1"/>
    <w:qFormat/>
    <w:uiPriority w:val="0"/>
    <w:pPr>
      <w:spacing w:after="120"/>
      <w:ind w:left="420" w:leftChars="200"/>
    </w:pPr>
    <w:rPr>
      <w:sz w:val="16"/>
      <w:szCs w:val="16"/>
    </w:rPr>
  </w:style>
  <w:style w:type="paragraph" w:customStyle="1" w:styleId="158">
    <w:name w:val="列出段落2"/>
    <w:basedOn w:val="1"/>
    <w:qFormat/>
    <w:uiPriority w:val="0"/>
    <w:pPr>
      <w:ind w:firstLine="420" w:firstLineChars="200"/>
    </w:pPr>
    <w:rPr>
      <w:szCs w:val="21"/>
    </w:rPr>
  </w:style>
  <w:style w:type="paragraph" w:customStyle="1" w:styleId="159">
    <w:name w:val="日期1"/>
    <w:basedOn w:val="1"/>
    <w:next w:val="1"/>
    <w:qFormat/>
    <w:uiPriority w:val="0"/>
    <w:rPr>
      <w:sz w:val="24"/>
      <w:szCs w:val="20"/>
    </w:rPr>
  </w:style>
  <w:style w:type="paragraph" w:customStyle="1" w:styleId="160">
    <w:name w:val="样式2"/>
    <w:basedOn w:val="6"/>
    <w:qFormat/>
    <w:uiPriority w:val="0"/>
    <w:rPr>
      <w:i/>
    </w:rPr>
  </w:style>
  <w:style w:type="paragraph" w:customStyle="1" w:styleId="161">
    <w:name w:val="Char2"/>
    <w:basedOn w:val="1"/>
    <w:qFormat/>
    <w:uiPriority w:val="0"/>
    <w:pPr>
      <w:ind w:left="567" w:hanging="279"/>
    </w:pPr>
    <w:rPr>
      <w:sz w:val="24"/>
      <w:szCs w:val="24"/>
    </w:rPr>
  </w:style>
  <w:style w:type="paragraph" w:customStyle="1" w:styleId="162">
    <w:name w:val="文二"/>
    <w:basedOn w:val="1"/>
    <w:qFormat/>
    <w:uiPriority w:val="0"/>
    <w:pPr>
      <w:jc w:val="left"/>
    </w:pPr>
    <w:rPr>
      <w:rFonts w:ascii="宋体" w:hAnsi="宋体"/>
      <w:szCs w:val="21"/>
    </w:rPr>
  </w:style>
  <w:style w:type="paragraph" w:customStyle="1" w:styleId="163">
    <w:name w:val="段落正文"/>
    <w:basedOn w:val="1"/>
    <w:qFormat/>
    <w:uiPriority w:val="0"/>
    <w:pPr>
      <w:spacing w:line="300" w:lineRule="auto"/>
      <w:ind w:firstLine="482" w:firstLineChars="200"/>
    </w:pPr>
    <w:rPr>
      <w:sz w:val="24"/>
      <w:szCs w:val="24"/>
    </w:rPr>
  </w:style>
  <w:style w:type="paragraph" w:customStyle="1" w:styleId="164">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5">
    <w:name w:val="a1"/>
    <w:basedOn w:val="1"/>
    <w:qFormat/>
    <w:uiPriority w:val="0"/>
    <w:pPr>
      <w:widowControl/>
      <w:tabs>
        <w:tab w:val="left" w:pos="936"/>
        <w:tab w:val="right" w:pos="7416"/>
      </w:tabs>
      <w:overflowPunct w:val="0"/>
      <w:autoSpaceDE w:val="0"/>
      <w:autoSpaceDN w:val="0"/>
      <w:adjustRightInd w:val="0"/>
      <w:textAlignment w:val="baseline"/>
    </w:pPr>
    <w:rPr>
      <w:kern w:val="0"/>
      <w:sz w:val="20"/>
      <w:szCs w:val="20"/>
      <w:lang w:eastAsia="en-US"/>
    </w:rPr>
  </w:style>
  <w:style w:type="paragraph" w:customStyle="1" w:styleId="166">
    <w:name w:val="Table Paragraph"/>
    <w:basedOn w:val="1"/>
    <w:unhideWhenUsed/>
    <w:qFormat/>
    <w:uiPriority w:val="1"/>
    <w:rPr>
      <w:rFonts w:hint="eastAsia"/>
      <w:sz w:val="24"/>
      <w:szCs w:val="24"/>
    </w:rPr>
  </w:style>
  <w:style w:type="paragraph" w:customStyle="1" w:styleId="1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8">
    <w:name w:val="正文文本 31"/>
    <w:basedOn w:val="1"/>
    <w:qFormat/>
    <w:uiPriority w:val="0"/>
    <w:rPr>
      <w:rFonts w:ascii="宋体"/>
      <w:sz w:val="24"/>
      <w:szCs w:val="20"/>
    </w:rPr>
  </w:style>
  <w:style w:type="paragraph" w:customStyle="1" w:styleId="169">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70">
    <w:name w:val="_Style 53"/>
    <w:basedOn w:val="1"/>
    <w:next w:val="130"/>
    <w:qFormat/>
    <w:uiPriority w:val="34"/>
    <w:pPr>
      <w:ind w:firstLine="420" w:firstLineChars="200"/>
    </w:pPr>
  </w:style>
  <w:style w:type="paragraph" w:customStyle="1" w:styleId="171">
    <w:name w:val="_Style 3"/>
    <w:basedOn w:val="1"/>
    <w:qFormat/>
    <w:uiPriority w:val="0"/>
    <w:pPr>
      <w:ind w:firstLine="420" w:firstLineChars="200"/>
    </w:pPr>
  </w:style>
  <w:style w:type="paragraph" w:customStyle="1" w:styleId="172">
    <w:name w:val="_Style 166"/>
    <w:unhideWhenUsed/>
    <w:qFormat/>
    <w:uiPriority w:val="99"/>
    <w:rPr>
      <w:rFonts w:ascii="Times New Roman" w:hAnsi="Times New Roman" w:eastAsia="宋体" w:cs="Times New Roman"/>
      <w:kern w:val="2"/>
      <w:sz w:val="21"/>
      <w:szCs w:val="22"/>
      <w:lang w:val="en-US" w:eastAsia="zh-CN" w:bidi="ar-SA"/>
    </w:rPr>
  </w:style>
  <w:style w:type="paragraph" w:customStyle="1" w:styleId="173">
    <w:name w:val="样式 宋体 行距: 1.5 倍行距"/>
    <w:basedOn w:val="1"/>
    <w:qFormat/>
    <w:uiPriority w:val="0"/>
    <w:pPr>
      <w:jc w:val="center"/>
    </w:pPr>
    <w:rPr>
      <w:b/>
    </w:rPr>
  </w:style>
  <w:style w:type="paragraph" w:customStyle="1" w:styleId="174">
    <w:name w:val="_Style 173"/>
    <w:unhideWhenUsed/>
    <w:qFormat/>
    <w:uiPriority w:val="99"/>
    <w:rPr>
      <w:rFonts w:ascii="Times New Roman" w:hAnsi="Times New Roman" w:eastAsia="宋体" w:cs="Times New Roman"/>
      <w:kern w:val="2"/>
      <w:sz w:val="21"/>
      <w:szCs w:val="22"/>
      <w:lang w:val="en-US" w:eastAsia="zh-CN" w:bidi="ar-SA"/>
    </w:rPr>
  </w:style>
  <w:style w:type="character" w:customStyle="1" w:styleId="175">
    <w:name w:val="font11"/>
    <w:qFormat/>
    <w:uiPriority w:val="0"/>
    <w:rPr>
      <w:rFonts w:hint="eastAsia" w:ascii="宋体" w:hAnsi="宋体" w:eastAsia="宋体" w:cs="宋体"/>
      <w:color w:val="000000"/>
      <w:sz w:val="20"/>
      <w:szCs w:val="20"/>
    </w:rPr>
  </w:style>
  <w:style w:type="paragraph" w:customStyle="1" w:styleId="176">
    <w:name w:val="表"/>
    <w:basedOn w:val="1"/>
    <w:qFormat/>
    <w:uiPriority w:val="0"/>
    <w:pPr>
      <w:spacing w:line="300" w:lineRule="auto"/>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20228</Words>
  <Characters>21284</Characters>
  <Lines>251</Lines>
  <Paragraphs>70</Paragraphs>
  <TotalTime>15</TotalTime>
  <ScaleCrop>false</ScaleCrop>
  <LinksUpToDate>false</LinksUpToDate>
  <CharactersWithSpaces>22027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2024-05-06T02:54:00Z</dcterms:created>
  <dc:creator>10662</dc:creator>
  <cp:lastModifiedBy>10662</cp:lastModifiedBy>
  <cp:lastPrinted>2024-05-10T01:53:00Z</cp:lastPrinted>
  <dcterms:modified xsi:type="dcterms:W3CDTF">2025-07-21T09:04:54Z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7106E257354C4B11AFD8B208BB9DC8CB_13</vt:lpwstr>
  </property>
  <property fmtid="{D5CDD505-2E9C-101B-9397-08002B2CF9AE}" pid="4" name="KSOTemplateDocerSaveRecord">
    <vt:lpwstr>eyJoZGlkIjoiZTAwNDM5ZTljZDY2Y2YyZTE5YzhjYzQ2NTAxMjMyNWQiLCJ1c2VySWQiOiIyOTkwODE4NTQifQ==</vt:lpwstr>
  </property>
</Properties>
</file>