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Cs/>
          <w:color w:val="auto"/>
          <w:sz w:val="44"/>
          <w:szCs w:val="44"/>
          <w:highlight w:val="none"/>
        </w:rPr>
      </w:pPr>
      <w:bookmarkStart w:id="0" w:name="_Toc179860350"/>
      <w:bookmarkEnd w:id="0"/>
      <w:bookmarkStart w:id="1" w:name="_Toc363571535"/>
      <w:bookmarkEnd w:id="1"/>
      <w:bookmarkStart w:id="2" w:name="_Toc176857811"/>
      <w:bookmarkEnd w:id="2"/>
      <w:bookmarkStart w:id="3" w:name="_Toc176923724"/>
      <w:bookmarkEnd w:id="3"/>
      <w:bookmarkStart w:id="4" w:name="_Toc176925091"/>
      <w:bookmarkEnd w:id="4"/>
      <w:bookmarkStart w:id="5" w:name="_Toc32670"/>
      <w:bookmarkEnd w:id="5"/>
      <w:bookmarkStart w:id="6" w:name="_Toc176921260"/>
      <w:bookmarkEnd w:id="6"/>
      <w:bookmarkStart w:id="31" w:name="_GoBack"/>
      <w:bookmarkEnd w:id="31"/>
    </w:p>
    <w:p>
      <w:pPr>
        <w:spacing w:line="360" w:lineRule="auto"/>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广州高新集团天蕴路2号物业（天河软件园软件产业集中孵化中心）配电增容项目</w:t>
      </w:r>
    </w:p>
    <w:p>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设计施工总承包</w:t>
      </w:r>
    </w:p>
    <w:p>
      <w:pPr>
        <w:spacing w:line="360" w:lineRule="auto"/>
        <w:ind w:firstLine="3080" w:firstLineChars="700"/>
        <w:rPr>
          <w:rFonts w:ascii="宋体" w:hAnsi="宋体" w:cs="宋体"/>
          <w:color w:val="auto"/>
          <w:sz w:val="44"/>
          <w:szCs w:val="44"/>
          <w:highlight w:val="none"/>
        </w:rPr>
      </w:pPr>
    </w:p>
    <w:p>
      <w:pPr>
        <w:spacing w:line="360" w:lineRule="auto"/>
        <w:ind w:firstLine="3080" w:firstLineChars="700"/>
        <w:rPr>
          <w:rFonts w:ascii="宋体" w:hAnsi="宋体" w:cs="宋体"/>
          <w:color w:val="auto"/>
          <w:sz w:val="44"/>
          <w:szCs w:val="44"/>
          <w:highlight w:val="none"/>
        </w:rPr>
      </w:pPr>
    </w:p>
    <w:p>
      <w:pPr>
        <w:spacing w:line="360" w:lineRule="auto"/>
        <w:ind w:firstLine="3080" w:firstLineChars="700"/>
        <w:rPr>
          <w:rFonts w:ascii="宋体" w:hAnsi="宋体" w:cs="宋体"/>
          <w:color w:val="auto"/>
          <w:sz w:val="44"/>
          <w:szCs w:val="44"/>
          <w:highlight w:val="none"/>
        </w:rPr>
      </w:pPr>
    </w:p>
    <w:p>
      <w:pPr>
        <w:spacing w:line="360" w:lineRule="auto"/>
        <w:ind w:firstLine="5040" w:firstLineChars="700"/>
        <w:rPr>
          <w:rFonts w:ascii="宋体" w:hAnsi="宋体" w:cs="宋体"/>
          <w:color w:val="auto"/>
          <w:sz w:val="72"/>
          <w:szCs w:val="72"/>
          <w:highlight w:val="none"/>
        </w:rPr>
      </w:pPr>
    </w:p>
    <w:p>
      <w:pPr>
        <w:spacing w:line="360" w:lineRule="auto"/>
        <w:jc w:val="center"/>
        <w:rPr>
          <w:rFonts w:ascii="宋体" w:hAnsi="宋体" w:cs="宋体"/>
          <w:b/>
          <w:bCs/>
          <w:color w:val="auto"/>
          <w:sz w:val="96"/>
          <w:szCs w:val="96"/>
          <w:highlight w:val="none"/>
        </w:rPr>
      </w:pPr>
      <w:r>
        <w:rPr>
          <w:rFonts w:hint="eastAsia" w:ascii="宋体" w:hAnsi="宋体" w:cs="宋体"/>
          <w:b/>
          <w:bCs/>
          <w:color w:val="auto"/>
          <w:sz w:val="96"/>
          <w:szCs w:val="96"/>
          <w:highlight w:val="none"/>
        </w:rPr>
        <w:t>招 标 公 告</w:t>
      </w:r>
    </w:p>
    <w:p>
      <w:pPr>
        <w:spacing w:line="360" w:lineRule="auto"/>
        <w:jc w:val="center"/>
        <w:rPr>
          <w:rStyle w:val="33"/>
          <w:rFonts w:ascii="宋体" w:hAnsi="宋体" w:cs="宋体"/>
          <w:b/>
          <w:bCs/>
          <w:color w:val="auto"/>
          <w:sz w:val="44"/>
          <w:szCs w:val="44"/>
          <w:highlight w:val="none"/>
        </w:rPr>
      </w:pPr>
    </w:p>
    <w:p>
      <w:pPr>
        <w:spacing w:line="360" w:lineRule="auto"/>
        <w:jc w:val="center"/>
        <w:rPr>
          <w:rFonts w:ascii="宋体" w:hAnsi="宋体" w:cs="宋体"/>
          <w:color w:val="auto"/>
          <w:highlight w:val="none"/>
        </w:rPr>
      </w:pPr>
    </w:p>
    <w:p>
      <w:pPr>
        <w:spacing w:line="360" w:lineRule="auto"/>
        <w:jc w:val="center"/>
        <w:rPr>
          <w:rFonts w:ascii="宋体" w:hAnsi="宋体" w:cs="宋体"/>
          <w:color w:val="auto"/>
          <w:highlight w:val="none"/>
        </w:rPr>
      </w:pPr>
    </w:p>
    <w:p>
      <w:pPr>
        <w:spacing w:line="360" w:lineRule="auto"/>
        <w:jc w:val="center"/>
        <w:rPr>
          <w:rFonts w:ascii="宋体" w:hAnsi="宋体" w:cs="宋体"/>
          <w:color w:val="auto"/>
          <w:highlight w:val="none"/>
        </w:rPr>
      </w:pPr>
    </w:p>
    <w:p>
      <w:pPr>
        <w:spacing w:line="360" w:lineRule="auto"/>
        <w:jc w:val="center"/>
        <w:rPr>
          <w:rFonts w:ascii="宋体" w:hAnsi="宋体" w:cs="宋体"/>
          <w:color w:val="auto"/>
          <w:highlight w:val="none"/>
        </w:rPr>
      </w:pPr>
    </w:p>
    <w:p>
      <w:pPr>
        <w:pStyle w:val="53"/>
        <w:rPr>
          <w:rFonts w:ascii="宋体" w:hAnsi="宋体" w:cs="宋体"/>
          <w:color w:val="auto"/>
          <w:highlight w:val="none"/>
        </w:rPr>
      </w:pPr>
    </w:p>
    <w:p>
      <w:pPr>
        <w:spacing w:line="360" w:lineRule="auto"/>
        <w:jc w:val="center"/>
        <w:rPr>
          <w:rFonts w:ascii="宋体" w:hAnsi="宋体" w:cs="宋体"/>
          <w:color w:val="auto"/>
          <w:highlight w:val="none"/>
        </w:rPr>
      </w:pPr>
    </w:p>
    <w:p>
      <w:pPr>
        <w:spacing w:line="360" w:lineRule="auto"/>
        <w:jc w:val="center"/>
        <w:rPr>
          <w:rFonts w:ascii="宋体" w:hAnsi="宋体" w:cs="宋体"/>
          <w:color w:val="auto"/>
          <w:highlight w:val="none"/>
        </w:rPr>
      </w:pPr>
    </w:p>
    <w:p>
      <w:pPr>
        <w:pStyle w:val="53"/>
        <w:rPr>
          <w:rFonts w:ascii="宋体" w:hAnsi="宋体"/>
          <w:color w:val="auto"/>
          <w:highlight w:val="none"/>
        </w:rPr>
      </w:pPr>
    </w:p>
    <w:p>
      <w:pPr>
        <w:pStyle w:val="53"/>
        <w:jc w:val="both"/>
        <w:rPr>
          <w:rFonts w:ascii="宋体" w:hAnsi="宋体"/>
          <w:color w:val="auto"/>
          <w:highlight w:val="none"/>
        </w:rPr>
      </w:pPr>
    </w:p>
    <w:p>
      <w:pPr>
        <w:pStyle w:val="53"/>
        <w:rPr>
          <w:rFonts w:ascii="宋体" w:hAnsi="宋体"/>
          <w:color w:val="auto"/>
          <w:highlight w:val="none"/>
        </w:rPr>
      </w:pPr>
    </w:p>
    <w:p>
      <w:pPr>
        <w:pStyle w:val="53"/>
        <w:rPr>
          <w:rFonts w:ascii="宋体" w:hAnsi="宋体"/>
          <w:color w:val="auto"/>
          <w:highlight w:val="none"/>
        </w:rPr>
      </w:pPr>
    </w:p>
    <w:p>
      <w:pPr>
        <w:spacing w:line="360" w:lineRule="auto"/>
        <w:ind w:firstLine="1560" w:firstLineChars="518"/>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  标 单 位：</w:t>
      </w:r>
      <w:r>
        <w:rPr>
          <w:rFonts w:hint="eastAsia" w:ascii="宋体" w:hAnsi="宋体" w:cs="宋体"/>
          <w:b/>
          <w:color w:val="auto"/>
          <w:sz w:val="30"/>
          <w:szCs w:val="30"/>
          <w:highlight w:val="none"/>
          <w:lang w:eastAsia="zh-CN"/>
        </w:rPr>
        <w:t>广州高新技术产业集团有限公司</w:t>
      </w:r>
    </w:p>
    <w:p>
      <w:pPr>
        <w:spacing w:line="360" w:lineRule="auto"/>
        <w:ind w:firstLine="2108" w:firstLineChars="700"/>
        <w:jc w:val="both"/>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招标代理单位：</w:t>
      </w:r>
      <w:r>
        <w:rPr>
          <w:rFonts w:hint="eastAsia" w:ascii="宋体" w:hAnsi="宋体" w:cs="宋体"/>
          <w:b/>
          <w:color w:val="auto"/>
          <w:sz w:val="30"/>
          <w:szCs w:val="30"/>
          <w:highlight w:val="none"/>
          <w:lang w:eastAsia="zh-CN"/>
        </w:rPr>
        <w:t>公诚管理咨询有限公司</w:t>
      </w:r>
    </w:p>
    <w:p>
      <w:pPr>
        <w:spacing w:line="360" w:lineRule="auto"/>
        <w:ind w:firstLine="2108" w:firstLineChars="700"/>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日</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 xml:space="preserve">  期：202</w:t>
      </w:r>
      <w:r>
        <w:rPr>
          <w:rFonts w:hint="eastAsia" w:ascii="宋体" w:hAnsi="宋体" w:eastAsia="宋体" w:cs="宋体"/>
          <w:b/>
          <w:color w:val="auto"/>
          <w:sz w:val="30"/>
          <w:szCs w:val="30"/>
          <w:highlight w:val="none"/>
          <w:lang w:val="en-US" w:eastAsia="zh-CN"/>
        </w:rPr>
        <w:t xml:space="preserve">5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7</w:t>
      </w:r>
      <w:r>
        <w:rPr>
          <w:rFonts w:hint="eastAsia" w:ascii="宋体" w:hAnsi="宋体" w:eastAsia="宋体" w:cs="宋体"/>
          <w:b/>
          <w:color w:val="auto"/>
          <w:sz w:val="30"/>
          <w:szCs w:val="30"/>
          <w:highlight w:val="none"/>
        </w:rPr>
        <w:t>月</w:t>
      </w:r>
    </w:p>
    <w:p>
      <w:pPr>
        <w:pStyle w:val="19"/>
        <w:adjustRightInd w:val="0"/>
        <w:snapToGrid w:val="0"/>
        <w:spacing w:after="0" w:line="360" w:lineRule="auto"/>
        <w:jc w:val="center"/>
        <w:rPr>
          <w:rFonts w:ascii="宋体" w:hAnsi="宋体"/>
          <w:bCs/>
          <w:color w:val="auto"/>
          <w:sz w:val="28"/>
          <w:szCs w:val="28"/>
          <w:highlight w:val="none"/>
          <w:u w:val="single"/>
        </w:rPr>
      </w:pPr>
    </w:p>
    <w:p>
      <w:pP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br w:type="page"/>
      </w:r>
    </w:p>
    <w:p>
      <w:pPr>
        <w:pStyle w:val="19"/>
        <w:adjustRightInd w:val="0"/>
        <w:snapToGrid w:val="0"/>
        <w:spacing w:after="0" w:line="360" w:lineRule="auto"/>
        <w:jc w:val="center"/>
        <w:rPr>
          <w:rFonts w:ascii="宋体" w:hAnsi="宋体" w:cs="宋体"/>
          <w:b/>
          <w:bCs/>
          <w:color w:val="auto"/>
          <w:sz w:val="32"/>
          <w:szCs w:val="32"/>
          <w:highlight w:val="none"/>
        </w:rPr>
      </w:pPr>
      <w:r>
        <w:rPr>
          <w:rFonts w:hint="eastAsia" w:ascii="宋体" w:hAnsi="宋体"/>
          <w:b/>
          <w:color w:val="auto"/>
          <w:sz w:val="32"/>
          <w:szCs w:val="32"/>
          <w:highlight w:val="none"/>
          <w:lang w:eastAsia="zh-CN"/>
        </w:rPr>
        <w:t>广州高新集团天蕴路2号物业（天河软件园软件产业集中孵化中心）配电增容项目设计施工总承包</w:t>
      </w:r>
      <w:r>
        <w:rPr>
          <w:rFonts w:hint="eastAsia" w:ascii="宋体" w:hAnsi="宋体" w:cs="宋体"/>
          <w:b/>
          <w:bCs/>
          <w:color w:val="auto"/>
          <w:sz w:val="32"/>
          <w:szCs w:val="32"/>
          <w:highlight w:val="none"/>
        </w:rPr>
        <w:t>招标公告</w:t>
      </w:r>
    </w:p>
    <w:p>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仿宋"/>
          <w:color w:val="auto"/>
          <w:sz w:val="24"/>
          <w:szCs w:val="24"/>
          <w:highlight w:val="none"/>
          <w:u w:val="single"/>
        </w:rPr>
        <w:t>广东省企业投资项目备案证</w:t>
      </w:r>
      <w:r>
        <w:rPr>
          <w:rFonts w:hint="eastAsia" w:ascii="宋体" w:hAnsi="宋体" w:cs="宋体"/>
          <w:color w:val="auto"/>
          <w:kern w:val="0"/>
          <w:sz w:val="24"/>
          <w:szCs w:val="24"/>
          <w:highlight w:val="none"/>
          <w:u w:val="single"/>
        </w:rPr>
        <w:t>（项目代码：</w:t>
      </w:r>
      <w:r>
        <w:rPr>
          <w:rFonts w:hint="eastAsia" w:ascii="宋体" w:hAnsi="宋体" w:cs="宋体"/>
          <w:color w:val="auto"/>
          <w:kern w:val="0"/>
          <w:sz w:val="24"/>
          <w:szCs w:val="24"/>
          <w:highlight w:val="none"/>
          <w:u w:val="single"/>
          <w:lang w:val="en-US" w:eastAsia="zh-CN"/>
        </w:rPr>
        <w:t>2506-440106-04-05-285581</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批准，</w:t>
      </w:r>
      <w:r>
        <w:rPr>
          <w:rFonts w:hint="eastAsia" w:ascii="宋体" w:hAnsi="宋体"/>
          <w:color w:val="auto"/>
          <w:kern w:val="0"/>
          <w:sz w:val="24"/>
          <w:szCs w:val="20"/>
          <w:highlight w:val="none"/>
          <w:u w:val="single"/>
          <w:lang w:eastAsia="zh-CN"/>
        </w:rPr>
        <w:t>广州高新技术产业集团有限公司</w:t>
      </w:r>
      <w:r>
        <w:rPr>
          <w:rFonts w:hint="eastAsia" w:ascii="宋体" w:hAnsi="宋体" w:cs="宋体"/>
          <w:color w:val="auto"/>
          <w:kern w:val="0"/>
          <w:sz w:val="24"/>
          <w:szCs w:val="24"/>
          <w:highlight w:val="none"/>
        </w:rPr>
        <w:t>现决定对</w:t>
      </w:r>
      <w:r>
        <w:rPr>
          <w:rFonts w:hint="eastAsia" w:ascii="宋体" w:hAnsi="宋体" w:cs="宋体"/>
          <w:color w:val="auto"/>
          <w:kern w:val="0"/>
          <w:sz w:val="24"/>
          <w:szCs w:val="24"/>
          <w:highlight w:val="none"/>
          <w:u w:val="single"/>
          <w:lang w:eastAsia="zh-CN"/>
        </w:rPr>
        <w:t>广州高新集团天蕴路2号物业（天河软件园软件产业集中孵化中心）配电增容项目设计施工总承包</w:t>
      </w:r>
      <w:r>
        <w:rPr>
          <w:rFonts w:hint="eastAsia" w:ascii="宋体" w:hAnsi="宋体" w:cs="宋体"/>
          <w:color w:val="auto"/>
          <w:kern w:val="0"/>
          <w:sz w:val="24"/>
          <w:szCs w:val="24"/>
          <w:highlight w:val="none"/>
        </w:rPr>
        <w:t>进行公开招标，选定承包人。</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一、项目名称：</w:t>
      </w:r>
      <w:r>
        <w:rPr>
          <w:rFonts w:hint="eastAsia" w:ascii="宋体" w:hAnsi="宋体" w:cs="宋体"/>
          <w:color w:val="auto"/>
          <w:kern w:val="0"/>
          <w:sz w:val="24"/>
          <w:szCs w:val="24"/>
          <w:highlight w:val="none"/>
          <w:u w:val="single"/>
          <w:lang w:eastAsia="zh-CN"/>
        </w:rPr>
        <w:t>广州高新集团天蕴路2号物业（天河软件园软件产业集中孵化中心）配电增容项目设计施工总承包</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二、招标单位：</w:t>
      </w:r>
      <w:r>
        <w:rPr>
          <w:rFonts w:hint="eastAsia" w:ascii="宋体" w:hAnsi="宋体"/>
          <w:color w:val="auto"/>
          <w:kern w:val="0"/>
          <w:sz w:val="24"/>
          <w:szCs w:val="20"/>
          <w:highlight w:val="none"/>
          <w:u w:val="single"/>
          <w:lang w:eastAsia="zh-CN"/>
        </w:rPr>
        <w:t>广州高新技术产业集团有限公司</w:t>
      </w:r>
    </w:p>
    <w:p>
      <w:pPr>
        <w:widowControl/>
        <w:spacing w:line="360" w:lineRule="auto"/>
        <w:ind w:firstLine="960" w:firstLineChars="400"/>
        <w:jc w:val="left"/>
        <w:rPr>
          <w:rFonts w:hint="eastAsia" w:ascii="宋体" w:hAnsi="宋体"/>
          <w:color w:val="auto"/>
          <w:kern w:val="0"/>
          <w:sz w:val="24"/>
          <w:szCs w:val="20"/>
          <w:highlight w:val="none"/>
          <w:u w:val="singl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lang w:val="en-US" w:eastAsia="zh-CN"/>
        </w:rPr>
        <w:t>莫工</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联系电话：</w:t>
      </w:r>
      <w:r>
        <w:rPr>
          <w:rFonts w:hint="eastAsia" w:ascii="宋体" w:hAnsi="宋体"/>
          <w:color w:val="auto"/>
          <w:kern w:val="0"/>
          <w:sz w:val="24"/>
          <w:szCs w:val="20"/>
          <w:highlight w:val="none"/>
          <w:u w:val="single"/>
          <w:lang w:val="en-US" w:eastAsia="zh-CN"/>
        </w:rPr>
        <w:t>15920991682</w:t>
      </w:r>
    </w:p>
    <w:p>
      <w:pPr>
        <w:widowControl/>
        <w:spacing w:line="360" w:lineRule="auto"/>
        <w:ind w:firstLine="960" w:firstLineChars="400"/>
        <w:jc w:val="left"/>
        <w:rPr>
          <w:rFonts w:hint="eastAsia" w:ascii="宋体" w:hAnsi="宋体"/>
          <w:color w:val="auto"/>
          <w:kern w:val="0"/>
          <w:sz w:val="24"/>
          <w:szCs w:val="20"/>
          <w:highlight w:val="none"/>
          <w:u w:val="single"/>
          <w:lang w:eastAsia="zh-CN"/>
        </w:rPr>
      </w:pPr>
      <w:r>
        <w:rPr>
          <w:rFonts w:hint="eastAsia" w:ascii="宋体" w:hAnsi="宋体"/>
          <w:color w:val="auto"/>
          <w:sz w:val="24"/>
          <w:szCs w:val="24"/>
          <w:highlight w:val="none"/>
        </w:rPr>
        <w:t>联系地址：</w:t>
      </w:r>
      <w:r>
        <w:rPr>
          <w:rFonts w:hint="eastAsia" w:ascii="宋体" w:hAnsi="宋体"/>
          <w:color w:val="auto"/>
          <w:kern w:val="0"/>
          <w:sz w:val="24"/>
          <w:szCs w:val="20"/>
          <w:highlight w:val="none"/>
          <w:u w:val="single"/>
          <w:lang w:eastAsia="zh-CN"/>
        </w:rPr>
        <w:t>广州市天河区软件</w:t>
      </w:r>
      <w:r>
        <w:rPr>
          <w:rFonts w:hint="eastAsia" w:ascii="宋体" w:hAnsi="宋体"/>
          <w:color w:val="auto"/>
          <w:kern w:val="0"/>
          <w:sz w:val="24"/>
          <w:szCs w:val="20"/>
          <w:highlight w:val="none"/>
          <w:u w:val="single"/>
          <w:lang w:val="en-US" w:eastAsia="zh-CN"/>
        </w:rPr>
        <w:t>路</w:t>
      </w:r>
      <w:r>
        <w:rPr>
          <w:rFonts w:hint="eastAsia" w:ascii="宋体" w:hAnsi="宋体"/>
          <w:color w:val="auto"/>
          <w:kern w:val="0"/>
          <w:sz w:val="24"/>
          <w:szCs w:val="20"/>
          <w:highlight w:val="none"/>
          <w:u w:val="single"/>
          <w:lang w:eastAsia="zh-CN"/>
        </w:rPr>
        <w:t>11号 10楼高新集团前台</w:t>
      </w:r>
    </w:p>
    <w:p>
      <w:pPr>
        <w:widowControl/>
        <w:spacing w:line="360" w:lineRule="auto"/>
        <w:ind w:firstLine="960" w:firstLineChars="4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olor w:val="auto"/>
          <w:kern w:val="0"/>
          <w:sz w:val="24"/>
          <w:szCs w:val="20"/>
          <w:highlight w:val="none"/>
          <w:u w:val="single"/>
          <w:lang w:eastAsia="zh-CN"/>
        </w:rPr>
        <w:t>公诚管理咨询有限公司</w:t>
      </w:r>
    </w:p>
    <w:p>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联系人：</w:t>
      </w:r>
      <w:r>
        <w:rPr>
          <w:rFonts w:hint="eastAsia" w:ascii="宋体" w:hAnsi="宋体"/>
          <w:color w:val="auto"/>
          <w:kern w:val="0"/>
          <w:sz w:val="24"/>
          <w:szCs w:val="20"/>
          <w:highlight w:val="none"/>
          <w:u w:val="single"/>
        </w:rPr>
        <w:t>黄工</w:t>
      </w:r>
    </w:p>
    <w:p>
      <w:pPr>
        <w:widowControl/>
        <w:spacing w:line="360" w:lineRule="auto"/>
        <w:ind w:firstLine="960" w:firstLineChars="400"/>
        <w:jc w:val="left"/>
        <w:rPr>
          <w:rFonts w:hint="eastAsia" w:ascii="宋体" w:hAnsi="宋体"/>
          <w:color w:val="auto"/>
          <w:kern w:val="0"/>
          <w:sz w:val="24"/>
          <w:szCs w:val="20"/>
          <w:highlight w:val="none"/>
          <w:u w:val="single"/>
        </w:rPr>
      </w:pPr>
      <w:r>
        <w:rPr>
          <w:rFonts w:hint="eastAsia" w:ascii="宋体" w:hAnsi="宋体" w:cs="宋体"/>
          <w:color w:val="auto"/>
          <w:kern w:val="0"/>
          <w:sz w:val="24"/>
          <w:szCs w:val="24"/>
          <w:highlight w:val="none"/>
        </w:rPr>
        <w:t>联系电话：</w:t>
      </w:r>
      <w:r>
        <w:rPr>
          <w:rFonts w:hint="eastAsia" w:ascii="宋体" w:hAnsi="宋体"/>
          <w:color w:val="auto"/>
          <w:kern w:val="0"/>
          <w:sz w:val="24"/>
          <w:szCs w:val="20"/>
          <w:highlight w:val="none"/>
          <w:u w:val="single"/>
        </w:rPr>
        <w:t>020-38903217（转911），15920177102</w:t>
      </w:r>
    </w:p>
    <w:p>
      <w:pPr>
        <w:widowControl/>
        <w:spacing w:line="360" w:lineRule="auto"/>
        <w:ind w:firstLine="960" w:firstLineChars="400"/>
        <w:jc w:val="left"/>
        <w:rPr>
          <w:rFonts w:ascii="宋体" w:hAnsi="宋体"/>
          <w:color w:val="auto"/>
          <w:kern w:val="0"/>
          <w:sz w:val="24"/>
          <w:szCs w:val="20"/>
          <w:highlight w:val="none"/>
          <w:u w:val="single"/>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地址：广州市天河北路423号远晖商厦8楼</w:t>
      </w:r>
    </w:p>
    <w:p>
      <w:pPr>
        <w:widowControl/>
        <w:spacing w:line="360" w:lineRule="auto"/>
        <w:ind w:firstLine="960" w:firstLineChars="400"/>
        <w:jc w:val="left"/>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招标</w:t>
      </w:r>
      <w:r>
        <w:rPr>
          <w:rFonts w:hint="eastAsia" w:ascii="宋体" w:hAnsi="宋体"/>
          <w:color w:val="auto"/>
          <w:sz w:val="24"/>
          <w:szCs w:val="24"/>
          <w:highlight w:val="none"/>
        </w:rPr>
        <w:t>监督机构：</w:t>
      </w:r>
      <w:r>
        <w:rPr>
          <w:rFonts w:hint="eastAsia" w:ascii="宋体" w:hAnsi="宋体"/>
          <w:color w:val="auto"/>
          <w:sz w:val="24"/>
          <w:szCs w:val="24"/>
          <w:highlight w:val="none"/>
          <w:u w:val="single"/>
        </w:rPr>
        <w:t>广州市天河区建设工程招标管理办公室</w:t>
      </w:r>
    </w:p>
    <w:p>
      <w:pPr>
        <w:widowControl/>
        <w:spacing w:line="360" w:lineRule="auto"/>
        <w:ind w:firstLine="960" w:firstLineChars="400"/>
        <w:jc w:val="left"/>
        <w:rPr>
          <w:rFonts w:hint="eastAsia" w:ascii="宋体" w:hAnsi="宋体"/>
          <w:color w:val="auto"/>
          <w:sz w:val="24"/>
          <w:szCs w:val="24"/>
          <w:highlight w:val="none"/>
          <w:u w:val="single"/>
        </w:rPr>
      </w:pPr>
      <w:r>
        <w:rPr>
          <w:rFonts w:hint="eastAsia" w:ascii="宋体" w:hAnsi="宋体" w:cs="宋体"/>
          <w:color w:val="auto"/>
          <w:kern w:val="0"/>
          <w:sz w:val="24"/>
          <w:szCs w:val="24"/>
          <w:highlight w:val="none"/>
        </w:rPr>
        <w:t>投诉</w:t>
      </w:r>
      <w:r>
        <w:rPr>
          <w:rFonts w:hint="eastAsia" w:ascii="宋体" w:hAnsi="宋体"/>
          <w:color w:val="auto"/>
          <w:sz w:val="24"/>
          <w:szCs w:val="24"/>
          <w:highlight w:val="none"/>
        </w:rPr>
        <w:t>电话：</w:t>
      </w:r>
      <w:r>
        <w:rPr>
          <w:rFonts w:hint="eastAsia" w:ascii="宋体" w:hAnsi="宋体"/>
          <w:color w:val="auto"/>
          <w:sz w:val="24"/>
          <w:szCs w:val="24"/>
          <w:highlight w:val="none"/>
          <w:u w:val="single"/>
        </w:rPr>
        <w:t>020-85536908</w:t>
      </w:r>
    </w:p>
    <w:p>
      <w:pPr>
        <w:widowControl/>
        <w:spacing w:line="360" w:lineRule="auto"/>
        <w:ind w:firstLine="960" w:firstLineChars="400"/>
        <w:jc w:val="left"/>
        <w:rPr>
          <w:rFonts w:ascii="宋体" w:hAnsi="宋体"/>
          <w:color w:val="auto"/>
          <w:sz w:val="24"/>
          <w:szCs w:val="24"/>
          <w:highlight w:val="none"/>
        </w:rPr>
      </w:pPr>
      <w:r>
        <w:rPr>
          <w:rFonts w:hint="eastAsia" w:ascii="宋体" w:hAnsi="宋体" w:cs="宋体"/>
          <w:color w:val="auto"/>
          <w:kern w:val="0"/>
          <w:sz w:val="24"/>
          <w:szCs w:val="24"/>
          <w:highlight w:val="none"/>
        </w:rPr>
        <w:t>联系</w:t>
      </w: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广州市天河区黄埔大道中166号305室</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olor w:val="auto"/>
          <w:sz w:val="24"/>
          <w:szCs w:val="24"/>
          <w:highlight w:val="none"/>
          <w:u w:val="single"/>
          <w:lang w:eastAsia="zh-CN"/>
        </w:rPr>
        <w:t>广州市天河区新塘街道天河软件园</w:t>
      </w:r>
      <w:r>
        <w:rPr>
          <w:rFonts w:hint="eastAsia" w:ascii="宋体" w:hAnsi="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四、项目概况：</w:t>
      </w:r>
    </w:p>
    <w:p>
      <w:pPr>
        <w:spacing w:line="360" w:lineRule="auto"/>
        <w:ind w:firstLine="480" w:firstLineChars="200"/>
        <w:rPr>
          <w:rFonts w:hint="eastAsia" w:ascii="宋体" w:hAnsi="宋体" w:eastAsia="宋体" w:cs="Times New Roman"/>
          <w:color w:val="auto"/>
          <w:sz w:val="24"/>
          <w:szCs w:val="24"/>
          <w:highlight w:val="none"/>
          <w:u w:val="none"/>
          <w:lang w:eastAsia="zh-CN"/>
        </w:rPr>
      </w:pPr>
      <w:r>
        <w:rPr>
          <w:rFonts w:hint="eastAsia" w:ascii="宋体" w:hAnsi="宋体" w:cs="宋体"/>
          <w:color w:val="auto"/>
          <w:sz w:val="24"/>
          <w:szCs w:val="24"/>
          <w:highlight w:val="none"/>
        </w:rPr>
        <w:t>1、</w:t>
      </w:r>
      <w:r>
        <w:rPr>
          <w:rFonts w:hint="eastAsia" w:ascii="宋体" w:hAnsi="宋体" w:eastAsia="宋体" w:cs="Times New Roman"/>
          <w:color w:val="auto"/>
          <w:sz w:val="24"/>
          <w:szCs w:val="24"/>
          <w:highlight w:val="none"/>
          <w:u w:val="none"/>
          <w:lang w:eastAsia="zh-CN"/>
        </w:rPr>
        <w:t>配电增容工程招标范围</w:t>
      </w:r>
      <w:r>
        <w:rPr>
          <w:rFonts w:hint="eastAsia" w:ascii="宋体" w:hAnsi="宋体" w:cs="Times New Roman"/>
          <w:color w:val="auto"/>
          <w:sz w:val="24"/>
          <w:szCs w:val="24"/>
          <w:highlight w:val="none"/>
          <w:u w:val="none"/>
          <w:lang w:val="en-US" w:eastAsia="zh-CN"/>
        </w:rPr>
        <w:t>：</w:t>
      </w:r>
      <w:r>
        <w:rPr>
          <w:rFonts w:hint="eastAsia" w:ascii="宋体" w:hAnsi="宋体" w:eastAsia="宋体" w:cs="Times New Roman"/>
          <w:color w:val="auto"/>
          <w:sz w:val="24"/>
          <w:szCs w:val="24"/>
          <w:highlight w:val="none"/>
          <w:u w:val="none"/>
          <w:lang w:eastAsia="zh-CN"/>
        </w:rPr>
        <w:t>带设计方案投标，含设计与施工，通过配电增容以达到满足附表1的用电需求，且供配电设计须满足A级数据中心供配电要求。含红线外土建及高压电气工程（若有）、红线内土建工程及高低压电气工程、电房装修及照明工程、安健环工程、电房地坪漆工程、通风工程、标识工程、高低压配电房绝缘垫及配套绝缘工具。包含材料设备供应、安装调试、验收、移交、质量保修二年。</w:t>
      </w:r>
    </w:p>
    <w:p>
      <w:pPr>
        <w:spacing w:line="360" w:lineRule="auto"/>
        <w:ind w:firstLine="480" w:firstLineChars="200"/>
        <w:jc w:val="left"/>
        <w:rPr>
          <w:rFonts w:ascii="宋体" w:hAnsi="宋体" w:cs="宋体"/>
          <w:color w:val="auto"/>
          <w:sz w:val="24"/>
          <w:szCs w:val="24"/>
          <w:highlight w:val="none"/>
        </w:rPr>
      </w:pPr>
      <w:r>
        <w:rPr>
          <w:rFonts w:hint="eastAsia" w:ascii="宋体" w:hAnsi="宋体" w:eastAsia="宋体" w:cs="Times New Roman"/>
          <w:color w:val="auto"/>
          <w:sz w:val="24"/>
          <w:szCs w:val="24"/>
          <w:highlight w:val="none"/>
          <w:u w:val="none"/>
          <w:lang w:eastAsia="zh-CN"/>
        </w:rPr>
        <w:t>（具体以本工程设计完善并确认后的施工图纸及工程量清单和发包人要求为准）。</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2、计划工期：总工期</w:t>
      </w:r>
      <w:r>
        <w:rPr>
          <w:rFonts w:hint="eastAsia" w:ascii="宋体" w:hAnsi="宋体"/>
          <w:color w:val="auto"/>
          <w:sz w:val="24"/>
          <w:szCs w:val="24"/>
          <w:highlight w:val="none"/>
          <w:u w:val="single"/>
          <w:lang w:val="en-US" w:eastAsia="zh-CN"/>
        </w:rPr>
        <w:t>56</w:t>
      </w:r>
      <w:r>
        <w:rPr>
          <w:rFonts w:hint="eastAsia" w:ascii="宋体" w:hAnsi="宋体"/>
          <w:color w:val="auto"/>
          <w:sz w:val="24"/>
          <w:szCs w:val="24"/>
          <w:highlight w:val="none"/>
        </w:rPr>
        <w:t>日历天，其中：</w:t>
      </w:r>
    </w:p>
    <w:p>
      <w:pPr>
        <w:numPr>
          <w:ilvl w:val="0"/>
          <w:numId w:val="1"/>
        </w:num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设计工期7日历天，自双方签订本项目合同之日起计；</w:t>
      </w:r>
    </w:p>
    <w:p>
      <w:pPr>
        <w:numPr>
          <w:ilvl w:val="0"/>
          <w:numId w:val="1"/>
        </w:numPr>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施工工期49日历天，自设计图纸通过供电局审查通过起计。</w:t>
      </w:r>
    </w:p>
    <w:p>
      <w:pPr>
        <w:pStyle w:val="7"/>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（3）投标单位需综合考虑，竣工时间（送电时间）为</w:t>
      </w:r>
      <w:r>
        <w:rPr>
          <w:rFonts w:hint="eastAsia" w:ascii="宋体" w:hAnsi="宋体" w:cs="Times New Roman"/>
          <w:color w:val="auto"/>
          <w:kern w:val="2"/>
          <w:sz w:val="24"/>
          <w:szCs w:val="24"/>
          <w:highlight w:val="none"/>
          <w:lang w:val="en-US" w:eastAsia="zh-CN" w:bidi="ar-SA"/>
        </w:rPr>
        <w:t>中标通知书发放后两个月</w:t>
      </w:r>
      <w:r>
        <w:rPr>
          <w:rFonts w:hint="eastAsia" w:ascii="宋体" w:hAnsi="宋体" w:eastAsia="宋体" w:cs="Times New Roman"/>
          <w:color w:val="auto"/>
          <w:kern w:val="2"/>
          <w:sz w:val="24"/>
          <w:szCs w:val="24"/>
          <w:highlight w:val="none"/>
          <w:lang w:val="en-US" w:eastAsia="zh-CN" w:bidi="ar-SA"/>
        </w:rPr>
        <w:t>。中标单位必须无条件配合甲方采取相应措施按时完成工程，相应措施包括增加施工人员加班等（中标单位应无条件服从甲方的加班要求），因此引起的相关费用由投标方报价时综合考虑，不再签证。</w:t>
      </w:r>
    </w:p>
    <w:p>
      <w:pPr>
        <w:numPr>
          <w:ilvl w:val="0"/>
          <w:numId w:val="0"/>
        </w:numPr>
        <w:spacing w:line="360" w:lineRule="auto"/>
        <w:ind w:leftChars="20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注：按以上总工期，各项目实施的具体工期分配按合同执行。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本工程划分为</w:t>
      </w: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rPr>
        <w:t>个标段。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招标内容：</w:t>
      </w:r>
      <w:r>
        <w:rPr>
          <w:rFonts w:hint="eastAsia" w:ascii="宋体" w:hAnsi="宋体"/>
          <w:bCs/>
          <w:color w:val="auto"/>
          <w:sz w:val="24"/>
          <w:szCs w:val="24"/>
          <w:highlight w:val="none"/>
          <w:u w:val="single"/>
        </w:rPr>
        <w:t>设计施工总承包</w:t>
      </w:r>
      <w:r>
        <w:rPr>
          <w:rFonts w:hint="eastAsia" w:ascii="宋体" w:hAnsi="宋体" w:cs="宋体"/>
          <w:color w:val="auto"/>
          <w:sz w:val="24"/>
          <w:szCs w:val="24"/>
          <w:highlight w:val="none"/>
          <w:u w:val="single"/>
        </w:rPr>
        <w:t>，包括但不限于以下内容</w:t>
      </w:r>
      <w:r>
        <w:rPr>
          <w:rFonts w:hint="eastAsia" w:ascii="宋体" w:hAnsi="宋体" w:cs="宋体"/>
          <w:color w:val="auto"/>
          <w:sz w:val="24"/>
          <w:szCs w:val="24"/>
          <w:highlight w:val="none"/>
        </w:rPr>
        <w:t>：</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2.1设计部分</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包括但不限于完成设计方案（非概念方案或创意发挥的方案）、初步设计文件、施工图设计、配合各类专业工程深化图纸设计审查、配合竣工图审查、配合完成初步设计审查和施工图审查（如有）、配合开展前期报建报批、配合相关评审工作、施工配合服务及后续服务工作、设计变更管理（如有）、设计分包管理等（如有）。具体详见合同及发包人要求。</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2.2施工部分</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包括但不限于完成本项目所需的所有的施工工作（含施工准备、围蔽工程等）、</w:t>
      </w:r>
      <w:bookmarkStart w:id="7" w:name="OLE_LINK8"/>
      <w:r>
        <w:rPr>
          <w:rFonts w:hint="eastAsia" w:ascii="宋体" w:hAnsi="宋体" w:cs="宋体"/>
          <w:color w:val="auto"/>
          <w:sz w:val="24"/>
          <w:szCs w:val="24"/>
          <w:highlight w:val="none"/>
          <w:u w:val="single"/>
        </w:rPr>
        <w:t>施工图预算编制、结算编制（如有）、编制竣工图、配合相关部门预、结（决）算审核等工作</w:t>
      </w:r>
      <w:bookmarkEnd w:id="7"/>
      <w:r>
        <w:rPr>
          <w:rFonts w:hint="eastAsia" w:ascii="宋体" w:hAnsi="宋体" w:cs="宋体"/>
          <w:color w:val="auto"/>
          <w:sz w:val="24"/>
          <w:szCs w:val="24"/>
          <w:highlight w:val="none"/>
          <w:u w:val="single"/>
        </w:rPr>
        <w:t>，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合同的要求。</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b w:val="0"/>
          <w:bCs w:val="0"/>
          <w:color w:val="auto"/>
          <w:sz w:val="24"/>
          <w:szCs w:val="24"/>
          <w:highlight w:val="none"/>
          <w:u w:val="single"/>
          <w:lang w:val="en-US" w:eastAsia="zh-CN"/>
        </w:rPr>
        <w:t>上述</w:t>
      </w:r>
      <w:r>
        <w:rPr>
          <w:rFonts w:hint="eastAsia" w:ascii="宋体" w:hAnsi="宋体" w:cs="宋体"/>
          <w:b w:val="0"/>
          <w:bCs w:val="0"/>
          <w:color w:val="auto"/>
          <w:sz w:val="24"/>
          <w:szCs w:val="24"/>
          <w:highlight w:val="none"/>
          <w:u w:val="single"/>
        </w:rPr>
        <w:t>工程范围、施工内容所涉及的费用均按</w:t>
      </w:r>
      <w:r>
        <w:rPr>
          <w:rFonts w:hint="eastAsia" w:ascii="宋体" w:hAnsi="宋体" w:cs="宋体"/>
          <w:b w:val="0"/>
          <w:bCs w:val="0"/>
          <w:color w:val="auto"/>
          <w:sz w:val="24"/>
          <w:szCs w:val="24"/>
          <w:highlight w:val="none"/>
          <w:u w:val="single"/>
          <w:lang w:eastAsia="zh-CN"/>
        </w:rPr>
        <w:t>综合单</w:t>
      </w:r>
      <w:r>
        <w:rPr>
          <w:rFonts w:hint="eastAsia" w:ascii="宋体" w:hAnsi="宋体" w:cs="宋体"/>
          <w:b w:val="0"/>
          <w:bCs w:val="0"/>
          <w:color w:val="auto"/>
          <w:sz w:val="24"/>
          <w:szCs w:val="24"/>
          <w:highlight w:val="none"/>
          <w:u w:val="single"/>
          <w:lang w:val="en-US" w:eastAsia="zh-CN"/>
        </w:rPr>
        <w:t>价</w:t>
      </w:r>
      <w:r>
        <w:rPr>
          <w:rFonts w:hint="eastAsia" w:ascii="宋体" w:hAnsi="宋体" w:cs="宋体"/>
          <w:b w:val="0"/>
          <w:bCs w:val="0"/>
          <w:color w:val="auto"/>
          <w:sz w:val="24"/>
          <w:szCs w:val="24"/>
          <w:highlight w:val="none"/>
          <w:u w:val="single"/>
        </w:rPr>
        <w:t>（按照</w:t>
      </w:r>
      <w:r>
        <w:rPr>
          <w:rFonts w:hint="eastAsia" w:ascii="宋体" w:hAnsi="宋体" w:cs="宋体"/>
          <w:b w:val="0"/>
          <w:bCs w:val="0"/>
          <w:color w:val="auto"/>
          <w:sz w:val="24"/>
          <w:szCs w:val="24"/>
          <w:highlight w:val="none"/>
          <w:u w:val="single"/>
          <w:lang w:eastAsia="zh-CN"/>
        </w:rPr>
        <w:t>深化图纸、</w:t>
      </w:r>
      <w:r>
        <w:rPr>
          <w:rFonts w:hint="eastAsia" w:ascii="宋体" w:hAnsi="宋体" w:cs="宋体"/>
          <w:b w:val="0"/>
          <w:bCs w:val="0"/>
          <w:color w:val="auto"/>
          <w:sz w:val="24"/>
          <w:szCs w:val="24"/>
          <w:highlight w:val="none"/>
          <w:u w:val="single"/>
        </w:rPr>
        <w:t>技术要求、招标清单、施工界面），投标人报价时予以综合考虑，若</w:t>
      </w:r>
      <w:r>
        <w:rPr>
          <w:rFonts w:hint="eastAsia" w:ascii="宋体" w:hAnsi="宋体" w:cs="宋体"/>
          <w:b w:val="0"/>
          <w:bCs w:val="0"/>
          <w:color w:val="auto"/>
          <w:sz w:val="24"/>
          <w:szCs w:val="24"/>
          <w:highlight w:val="none"/>
          <w:u w:val="single"/>
          <w:lang w:eastAsia="zh-CN"/>
        </w:rPr>
        <w:t>设计及报价</w:t>
      </w:r>
      <w:r>
        <w:rPr>
          <w:rFonts w:hint="eastAsia" w:ascii="宋体" w:hAnsi="宋体" w:cs="宋体"/>
          <w:b w:val="0"/>
          <w:bCs w:val="0"/>
          <w:color w:val="auto"/>
          <w:sz w:val="24"/>
          <w:szCs w:val="24"/>
          <w:highlight w:val="none"/>
          <w:u w:val="single"/>
        </w:rPr>
        <w:t>清单有遗漏，一概不做签证。移交范围包含</w:t>
      </w:r>
      <w:r>
        <w:rPr>
          <w:rFonts w:hint="eastAsia" w:ascii="宋体" w:hAnsi="宋体" w:cs="宋体"/>
          <w:b w:val="0"/>
          <w:bCs w:val="0"/>
          <w:color w:val="auto"/>
          <w:sz w:val="24"/>
          <w:szCs w:val="24"/>
          <w:highlight w:val="none"/>
          <w:u w:val="single"/>
          <w:lang w:eastAsia="zh-CN"/>
        </w:rPr>
        <w:t>孵化三期高低压配电房</w:t>
      </w:r>
      <w:r>
        <w:rPr>
          <w:rFonts w:hint="eastAsia" w:ascii="宋体" w:hAnsi="宋体" w:cs="宋体"/>
          <w:b w:val="0"/>
          <w:bCs w:val="0"/>
          <w:color w:val="auto"/>
          <w:sz w:val="24"/>
          <w:szCs w:val="24"/>
          <w:highlight w:val="none"/>
          <w:u w:val="single"/>
        </w:rPr>
        <w:t>，一切移交内容办理移交后全部交由中标单位进行保护及维护，若因中标方原因导致工期滞后、质量问题，甲方有权安排第三方单位进行整改，相关费用扣除中标单位且保留后期索赔的的权利。</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最高投标限价</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本次招标</w:t>
      </w:r>
      <w:bookmarkStart w:id="8" w:name="OLE_LINK7"/>
      <w:r>
        <w:rPr>
          <w:rFonts w:hint="eastAsia" w:ascii="宋体" w:hAnsi="宋体" w:eastAsia="宋体" w:cs="宋体"/>
          <w:bCs/>
          <w:color w:val="auto"/>
          <w:sz w:val="24"/>
          <w:szCs w:val="24"/>
          <w:highlight w:val="none"/>
        </w:rPr>
        <w:t>最高投标限价为人民币</w:t>
      </w:r>
      <w:r>
        <w:rPr>
          <w:rFonts w:hint="eastAsia" w:ascii="宋体" w:hAnsi="宋体" w:eastAsia="宋体" w:cs="宋体"/>
          <w:bCs/>
          <w:color w:val="auto"/>
          <w:sz w:val="24"/>
          <w:szCs w:val="24"/>
          <w:highlight w:val="none"/>
          <w:lang w:val="en-US" w:eastAsia="zh-CN"/>
        </w:rPr>
        <w:t>532.8</w:t>
      </w:r>
      <w:r>
        <w:rPr>
          <w:rFonts w:hint="eastAsia" w:ascii="宋体" w:hAnsi="宋体" w:eastAsia="宋体" w:cs="宋体"/>
          <w:bCs/>
          <w:color w:val="auto"/>
          <w:sz w:val="24"/>
          <w:szCs w:val="24"/>
          <w:highlight w:val="none"/>
        </w:rPr>
        <w:t>万元，其中:工程设计费（含税）最高投标限价为10.66 万元，建安工程费（含税）最高投标限价为522.14万元。</w:t>
      </w:r>
      <w:bookmarkEnd w:id="8"/>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注：1.投标人未按要求报价或投标报价（含投标总报价、设计费报价、建安工程费报价）超过上述相应最高投标限价的为无效标。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2.设计投标经济补偿：本工程不设投标补偿，投标费用由投标人自理（包括但不限于未中标的投标单位的设计方案，初步设计的设计费用等）。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3.本工程实行全过程限额设计和施工</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工程变更需经过招标人审定后方可实施。</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、质量标准</w:t>
      </w:r>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.1设计质量标</w:t>
      </w:r>
      <w:r>
        <w:rPr>
          <w:rFonts w:hint="eastAsia" w:ascii="宋体" w:hAnsi="宋体" w:eastAsia="宋体" w:cs="宋体"/>
          <w:bCs/>
          <w:color w:val="auto"/>
          <w:sz w:val="24"/>
          <w:szCs w:val="24"/>
          <w:highlight w:val="none"/>
          <w:u w:val="single"/>
        </w:rPr>
        <w:t>准：符合国家、行业、地方相关强制性标准及</w:t>
      </w:r>
      <w:r>
        <w:rPr>
          <w:rFonts w:hint="eastAsia" w:ascii="宋体" w:hAnsi="宋体" w:eastAsia="宋体" w:cs="宋体"/>
          <w:bCs/>
          <w:color w:val="auto"/>
          <w:sz w:val="24"/>
          <w:szCs w:val="24"/>
          <w:highlight w:val="none"/>
          <w:u w:val="single"/>
          <w:lang w:val="en-US" w:eastAsia="zh-CN"/>
        </w:rPr>
        <w:t>合同</w:t>
      </w:r>
      <w:r>
        <w:rPr>
          <w:rFonts w:hint="eastAsia" w:ascii="宋体" w:hAnsi="宋体" w:eastAsia="宋体" w:cs="宋体"/>
          <w:bCs/>
          <w:color w:val="auto"/>
          <w:sz w:val="24"/>
          <w:szCs w:val="24"/>
          <w:highlight w:val="none"/>
          <w:u w:val="single"/>
        </w:rPr>
        <w:t>等的要</w:t>
      </w:r>
      <w:r>
        <w:rPr>
          <w:rFonts w:hint="eastAsia" w:ascii="宋体" w:hAnsi="宋体" w:cs="宋体"/>
          <w:bCs/>
          <w:color w:val="auto"/>
          <w:sz w:val="24"/>
          <w:szCs w:val="24"/>
          <w:highlight w:val="none"/>
          <w:u w:val="single"/>
          <w:lang w:val="en-US" w:eastAsia="zh-CN"/>
        </w:rPr>
        <w:t>求</w:t>
      </w:r>
      <w:r>
        <w:rPr>
          <w:rFonts w:hint="eastAsia" w:ascii="宋体" w:hAnsi="宋体" w:eastAsia="宋体" w:cs="宋体"/>
          <w:bCs/>
          <w:color w:val="auto"/>
          <w:sz w:val="24"/>
          <w:szCs w:val="24"/>
          <w:highlight w:val="none"/>
          <w:u w:val="single"/>
        </w:rPr>
        <w:t>。</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.2施工质量标准：</w:t>
      </w:r>
      <w:r>
        <w:rPr>
          <w:rFonts w:hint="eastAsia" w:ascii="宋体" w:hAnsi="宋体" w:cs="宋体"/>
          <w:bCs/>
          <w:color w:val="auto"/>
          <w:sz w:val="24"/>
          <w:szCs w:val="24"/>
          <w:highlight w:val="none"/>
          <w:u w:val="single"/>
        </w:rPr>
        <w:t>符合设计图纸要求和国家、省、市相关法律法规规定要求及行业颁发的工程质量合格标准。</w:t>
      </w:r>
    </w:p>
    <w:p>
      <w:pPr>
        <w:pStyle w:val="7"/>
        <w:rPr>
          <w:rFonts w:hint="eastAsia" w:ascii="宋体" w:hAnsi="宋体" w:eastAsia="宋体" w:cs="宋体"/>
          <w:bCs/>
          <w:color w:val="auto"/>
          <w:sz w:val="24"/>
          <w:highlight w:val="none"/>
          <w:u w:val="single"/>
          <w:lang w:val="en-US" w:eastAsia="zh-CN"/>
        </w:rPr>
      </w:pPr>
      <w:r>
        <w:rPr>
          <w:rFonts w:hint="eastAsia" w:ascii="宋体" w:hAnsi="宋体" w:cs="宋体"/>
          <w:bCs/>
          <w:color w:val="auto"/>
          <w:sz w:val="24"/>
          <w:szCs w:val="24"/>
          <w:highlight w:val="none"/>
          <w:u w:val="single"/>
          <w:lang w:val="en-US" w:eastAsia="zh-CN"/>
        </w:rPr>
        <w:t>4.3其他质量要求：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eastAsia="zh-CN"/>
        </w:rPr>
        <w:t>高、低压配电柜电气元件品牌要求及技术要求详见《高压配电柜技术规范书》、《低压配电柜技术规范书》。</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高低压系统纳入动环监控系统，高压设备选型时必须预留数据接口，详见《</w:t>
      </w:r>
      <w:r>
        <w:rPr>
          <w:rFonts w:hint="eastAsia" w:ascii="宋体" w:hAnsi="宋体" w:eastAsia="宋体" w:cs="宋体"/>
          <w:b w:val="0"/>
          <w:bCs/>
          <w:color w:val="auto"/>
          <w:sz w:val="24"/>
          <w:szCs w:val="24"/>
          <w:highlight w:val="none"/>
          <w:u w:val="single"/>
          <w:lang w:eastAsia="zh-CN"/>
        </w:rPr>
        <w:t>高压配电柜技术规范书</w:t>
      </w:r>
      <w:r>
        <w:rPr>
          <w:rFonts w:hint="eastAsia" w:ascii="宋体" w:hAnsi="宋体" w:eastAsia="宋体" w:cs="宋体"/>
          <w:b w:val="0"/>
          <w:bCs/>
          <w:color w:val="auto"/>
          <w:sz w:val="24"/>
          <w:szCs w:val="24"/>
          <w:highlight w:val="none"/>
          <w:u w:val="single"/>
          <w:lang w:val="en-US" w:eastAsia="zh-CN"/>
        </w:rPr>
        <w:t>》电力集中监控系统技要求。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cs="宋体"/>
          <w:b w:val="0"/>
          <w:bCs/>
          <w:color w:val="auto"/>
          <w:sz w:val="24"/>
          <w:szCs w:val="24"/>
          <w:highlight w:val="none"/>
          <w:u w:val="single"/>
          <w:lang w:eastAsia="zh-CN"/>
        </w:rPr>
        <w:t>增容供配电设计须同时通过建设单位及供电局审图通过，增容后给智算中心的高低压配电必须是独立供电，不得与其它供</w:t>
      </w:r>
      <w:r>
        <w:rPr>
          <w:rFonts w:hint="eastAsia" w:ascii="宋体" w:hAnsi="宋体" w:eastAsia="宋体" w:cs="宋体"/>
          <w:b w:val="0"/>
          <w:bCs/>
          <w:color w:val="auto"/>
          <w:sz w:val="24"/>
          <w:szCs w:val="24"/>
          <w:highlight w:val="none"/>
          <w:u w:val="single"/>
          <w:lang w:eastAsia="zh-CN"/>
        </w:rPr>
        <w:t>电设备合并使用。</w:t>
      </w:r>
    </w:p>
    <w:p>
      <w:pPr>
        <w:numPr>
          <w:ilvl w:val="0"/>
          <w:numId w:val="2"/>
        </w:numPr>
        <w:spacing w:line="500" w:lineRule="exact"/>
        <w:ind w:firstLine="480" w:firstLineChars="200"/>
        <w:rPr>
          <w:rFonts w:hint="default" w:eastAsia="宋体"/>
          <w:lang w:val="en-US" w:eastAsia="zh-CN"/>
        </w:rPr>
      </w:pPr>
      <w:r>
        <w:rPr>
          <w:rFonts w:hint="eastAsia" w:ascii="宋体" w:hAnsi="宋体" w:eastAsia="宋体" w:cs="宋体"/>
          <w:b w:val="0"/>
          <w:bCs/>
          <w:color w:val="auto"/>
          <w:sz w:val="24"/>
          <w:szCs w:val="24"/>
          <w:highlight w:val="none"/>
          <w:u w:val="single"/>
          <w:lang w:val="en-US" w:eastAsia="zh-CN"/>
        </w:rPr>
        <w:t>智</w:t>
      </w:r>
      <w:r>
        <w:rPr>
          <w:rFonts w:hint="eastAsia" w:ascii="宋体" w:hAnsi="宋体" w:cs="宋体"/>
          <w:b w:val="0"/>
          <w:bCs/>
          <w:color w:val="auto"/>
          <w:sz w:val="24"/>
          <w:szCs w:val="24"/>
          <w:highlight w:val="none"/>
          <w:u w:val="single"/>
          <w:lang w:val="en-US" w:eastAsia="zh-CN"/>
        </w:rPr>
        <w:t>算</w:t>
      </w:r>
      <w:r>
        <w:rPr>
          <w:rFonts w:hint="eastAsia" w:ascii="宋体" w:hAnsi="宋体" w:eastAsia="宋体" w:cs="宋体"/>
          <w:b w:val="0"/>
          <w:bCs/>
          <w:color w:val="auto"/>
          <w:sz w:val="24"/>
          <w:szCs w:val="24"/>
          <w:highlight w:val="none"/>
          <w:u w:val="single"/>
          <w:lang w:val="en-US" w:eastAsia="zh-CN"/>
        </w:rPr>
        <w:t>中心A/B回路高低压线路敷设必须物理隔离，不允许共用管廊或线槽桥架。</w:t>
      </w:r>
    </w:p>
    <w:p>
      <w:pPr>
        <w:spacing w:line="360" w:lineRule="auto"/>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4.4</w:t>
      </w:r>
      <w:r>
        <w:rPr>
          <w:rFonts w:hint="eastAsia" w:ascii="宋体" w:hAnsi="宋体" w:eastAsia="宋体" w:cs="宋体"/>
          <w:bCs/>
          <w:color w:val="auto"/>
          <w:sz w:val="24"/>
          <w:szCs w:val="24"/>
          <w:highlight w:val="none"/>
          <w:u w:val="single"/>
          <w:lang w:eastAsia="zh-CN"/>
        </w:rPr>
        <w:t>增容供配电设计须同时通过建设单位及供电局审图通过，增容后给</w:t>
      </w:r>
      <w:r>
        <w:rPr>
          <w:rFonts w:hint="eastAsia" w:ascii="宋体" w:hAnsi="宋体" w:cs="宋体"/>
          <w:bCs/>
          <w:color w:val="auto"/>
          <w:sz w:val="24"/>
          <w:szCs w:val="24"/>
          <w:highlight w:val="none"/>
          <w:u w:val="single"/>
          <w:lang w:val="en-US" w:eastAsia="zh-CN"/>
        </w:rPr>
        <w:t>智</w:t>
      </w:r>
      <w:r>
        <w:rPr>
          <w:rFonts w:hint="eastAsia" w:ascii="宋体" w:hAnsi="宋体" w:eastAsia="宋体" w:cs="宋体"/>
          <w:bCs/>
          <w:color w:val="auto"/>
          <w:sz w:val="24"/>
          <w:szCs w:val="24"/>
          <w:highlight w:val="none"/>
          <w:u w:val="single"/>
          <w:lang w:eastAsia="zh-CN"/>
        </w:rPr>
        <w:t>算中心的高低压配电必须是独立供电，不得与其它供电设备合并使用。</w:t>
      </w:r>
    </w:p>
    <w:p>
      <w:pPr>
        <w:pStyle w:val="7"/>
        <w:rPr>
          <w:rFonts w:hint="default" w:eastAsia="宋体"/>
          <w:color w:val="auto"/>
          <w:highlight w:val="none"/>
          <w:lang w:val="en-US" w:eastAsia="zh-CN"/>
        </w:rPr>
      </w:pP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企业自筹。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七、招标文件的获取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凡有意参加投标者，请于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分（北京时间，下同）登录广州公共资源交易中心网站（网址：http://www.gzggzy.cn/）（电子招标投标交易平台）下载电子招标文件。招标文件一经在电子招标投标交易平台发布，视为送达给所有投标人。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八、发布招标公告、投标文件递交、开标时间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1、招标公告发布日期（含本日）：自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2、投标文件递交的截止时间为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投标人应在截止时间前通过广州公共资源交易中心交易平台网站递交电子投标文件。递交文件前，应按照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3、递交电子投标文件备用光盘时间：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分，递交地点：广州公共资源交易中心第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开标室。电子光盘需按规定封装。投标人在将数据刻录到光盘之后，投标前自行检查文件是否可以读取。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4、开标时间：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5、递交投标文件截止时间及开标时间是否有变化，请密切留意广州公共资源交易中心网站的相关信息。</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6、逾期送达的投标文件，交易平台将予以拒收。</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rPr>
        <w:t>7、现场踏勘：投标人可于 年 月 日 时 分</w:t>
      </w:r>
      <w:r>
        <w:rPr>
          <w:rFonts w:hint="eastAsia" w:ascii="宋体" w:hAnsi="宋体" w:eastAsia="宋体" w:cs="宋体"/>
          <w:i w:val="0"/>
          <w:iCs w:val="0"/>
          <w:caps w:val="0"/>
          <w:color w:val="auto"/>
          <w:spacing w:val="0"/>
          <w:sz w:val="24"/>
          <w:szCs w:val="24"/>
          <w:highlight w:val="none"/>
          <w:u w:val="single"/>
          <w:shd w:val="clear"/>
        </w:rPr>
        <w:t xml:space="preserve">至 </w:t>
      </w:r>
      <w:r>
        <w:rPr>
          <w:rFonts w:hint="eastAsia" w:ascii="宋体" w:hAnsi="宋体" w:eastAsia="宋体" w:cs="宋体"/>
          <w:i w:val="0"/>
          <w:iCs w:val="0"/>
          <w:caps w:val="0"/>
          <w:color w:val="auto"/>
          <w:spacing w:val="0"/>
          <w:sz w:val="24"/>
          <w:szCs w:val="24"/>
          <w:highlight w:val="none"/>
          <w:shd w:val="clear"/>
        </w:rPr>
        <w:t>年 月 日 时 分期间，</w:t>
      </w:r>
      <w:r>
        <w:rPr>
          <w:rFonts w:hint="eastAsia" w:ascii="宋体" w:hAnsi="宋体" w:cs="宋体"/>
          <w:i w:val="0"/>
          <w:iCs w:val="0"/>
          <w:caps w:val="0"/>
          <w:color w:val="auto"/>
          <w:spacing w:val="0"/>
          <w:sz w:val="24"/>
          <w:szCs w:val="24"/>
          <w:highlight w:val="none"/>
          <w:shd w:val="clear"/>
          <w:lang w:val="en-US" w:eastAsia="zh-CN"/>
        </w:rPr>
        <w:t>授权代表携带授权委托书，按时</w:t>
      </w:r>
      <w:r>
        <w:rPr>
          <w:rFonts w:hint="eastAsia" w:ascii="宋体" w:hAnsi="宋体" w:eastAsia="宋体" w:cs="宋体"/>
          <w:i w:val="0"/>
          <w:iCs w:val="0"/>
          <w:caps w:val="0"/>
          <w:color w:val="auto"/>
          <w:spacing w:val="0"/>
          <w:sz w:val="24"/>
          <w:szCs w:val="24"/>
          <w:highlight w:val="none"/>
          <w:shd w:val="clear"/>
        </w:rPr>
        <w:t>前往项目现场进行踏勘。</w:t>
      </w:r>
      <w:r>
        <w:rPr>
          <w:rFonts w:hint="eastAsia" w:ascii="宋体" w:hAnsi="宋体" w:cs="宋体"/>
          <w:color w:val="auto"/>
          <w:sz w:val="24"/>
          <w:szCs w:val="24"/>
          <w:highlight w:val="none"/>
          <w:lang w:val="en-US" w:eastAsia="zh-CN"/>
        </w:rPr>
        <w:t>具体安排如下：</w:t>
      </w:r>
    </w:p>
    <w:p>
      <w:pPr>
        <w:pStyle w:val="8"/>
        <w:ind w:firstLine="720" w:firstLineChars="300"/>
        <w:rPr>
          <w:rFonts w:hint="eastAsia" w:ascii="宋体" w:hAnsi="宋体" w:cs="宋体"/>
          <w:i w:val="0"/>
          <w:iCs w:val="0"/>
          <w:caps w:val="0"/>
          <w:color w:val="auto"/>
          <w:spacing w:val="0"/>
          <w:sz w:val="24"/>
          <w:szCs w:val="24"/>
          <w:highlight w:val="none"/>
          <w:shd w:val="clear"/>
          <w:lang w:eastAsia="zh-CN"/>
        </w:rPr>
      </w:pPr>
      <w:r>
        <w:rPr>
          <w:rFonts w:hint="eastAsia" w:ascii="宋体" w:hAnsi="宋体" w:cs="宋体"/>
          <w:color w:val="auto"/>
          <w:sz w:val="24"/>
          <w:szCs w:val="24"/>
          <w:highlight w:val="none"/>
          <w:lang w:val="en-US" w:eastAsia="zh-CN"/>
        </w:rPr>
        <w:t>踏勘时间：2025</w:t>
      </w:r>
      <w:r>
        <w:rPr>
          <w:rFonts w:hint="eastAsia" w:ascii="宋体" w:hAnsi="宋体" w:eastAsia="宋体" w:cs="宋体"/>
          <w:i w:val="0"/>
          <w:iCs w:val="0"/>
          <w:caps w:val="0"/>
          <w:color w:val="auto"/>
          <w:spacing w:val="0"/>
          <w:sz w:val="24"/>
          <w:szCs w:val="24"/>
          <w:highlight w:val="none"/>
          <w:shd w:val="clear"/>
        </w:rPr>
        <w:t>年 月 日 时 分</w:t>
      </w:r>
      <w:r>
        <w:rPr>
          <w:rFonts w:hint="eastAsia" w:ascii="宋体" w:hAnsi="宋体" w:eastAsia="宋体" w:cs="宋体"/>
          <w:i w:val="0"/>
          <w:iCs w:val="0"/>
          <w:caps w:val="0"/>
          <w:color w:val="auto"/>
          <w:spacing w:val="0"/>
          <w:sz w:val="24"/>
          <w:szCs w:val="24"/>
          <w:highlight w:val="none"/>
          <w:u w:val="none"/>
          <w:shd w:val="clear"/>
        </w:rPr>
        <w:t>至</w:t>
      </w:r>
      <w:r>
        <w:rPr>
          <w:rFonts w:hint="eastAsia" w:ascii="宋体" w:hAnsi="宋体" w:cs="宋体"/>
          <w:i w:val="0"/>
          <w:iCs w:val="0"/>
          <w:caps w:val="0"/>
          <w:color w:val="auto"/>
          <w:spacing w:val="0"/>
          <w:sz w:val="24"/>
          <w:szCs w:val="24"/>
          <w:highlight w:val="none"/>
          <w:u w:val="none"/>
          <w:shd w:val="clear"/>
          <w:lang w:val="en-US" w:eastAsia="zh-CN"/>
        </w:rPr>
        <w:t xml:space="preserve">  </w:t>
      </w:r>
      <w:r>
        <w:rPr>
          <w:rFonts w:hint="eastAsia" w:ascii="宋体" w:hAnsi="宋体" w:eastAsia="宋体" w:cs="宋体"/>
          <w:i w:val="0"/>
          <w:iCs w:val="0"/>
          <w:caps w:val="0"/>
          <w:color w:val="auto"/>
          <w:spacing w:val="0"/>
          <w:sz w:val="24"/>
          <w:szCs w:val="24"/>
          <w:highlight w:val="none"/>
          <w:shd w:val="clear"/>
        </w:rPr>
        <w:t>时 分期间</w:t>
      </w:r>
      <w:r>
        <w:rPr>
          <w:rFonts w:hint="eastAsia" w:ascii="宋体" w:hAnsi="宋体" w:cs="宋体"/>
          <w:i w:val="0"/>
          <w:iCs w:val="0"/>
          <w:caps w:val="0"/>
          <w:color w:val="auto"/>
          <w:spacing w:val="0"/>
          <w:sz w:val="24"/>
          <w:szCs w:val="24"/>
          <w:highlight w:val="none"/>
          <w:shd w:val="clear"/>
          <w:lang w:eastAsia="zh-CN"/>
        </w:rPr>
        <w:t>；</w:t>
      </w:r>
    </w:p>
    <w:p>
      <w:pPr>
        <w:widowControl/>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szCs w:val="24"/>
          <w:highlight w:val="none"/>
        </w:rPr>
        <w:t>踏勘集中地点：</w:t>
      </w:r>
      <w:r>
        <w:rPr>
          <w:rFonts w:hint="eastAsia" w:ascii="宋体" w:hAnsi="宋体" w:cs="宋体"/>
          <w:color w:val="auto"/>
          <w:kern w:val="2"/>
          <w:sz w:val="24"/>
          <w:szCs w:val="24"/>
          <w:highlight w:val="none"/>
          <w:u w:val="none"/>
          <w:lang w:eastAsia="zh-CN"/>
        </w:rPr>
        <w:t>广州市天河区软件</w:t>
      </w:r>
      <w:r>
        <w:rPr>
          <w:rFonts w:hint="eastAsia" w:ascii="宋体" w:hAnsi="宋体" w:cs="宋体"/>
          <w:color w:val="auto"/>
          <w:kern w:val="2"/>
          <w:sz w:val="24"/>
          <w:szCs w:val="24"/>
          <w:highlight w:val="none"/>
          <w:u w:val="none"/>
          <w:lang w:val="en-US" w:eastAsia="zh-CN"/>
        </w:rPr>
        <w:t>路</w:t>
      </w:r>
      <w:r>
        <w:rPr>
          <w:rFonts w:hint="eastAsia" w:ascii="宋体" w:hAnsi="宋体" w:cs="宋体"/>
          <w:color w:val="auto"/>
          <w:kern w:val="2"/>
          <w:sz w:val="24"/>
          <w:szCs w:val="24"/>
          <w:highlight w:val="none"/>
          <w:u w:val="none"/>
          <w:lang w:eastAsia="zh-CN"/>
        </w:rPr>
        <w:t>11号 10楼高新集团招商中心</w:t>
      </w:r>
    </w:p>
    <w:p>
      <w:pPr>
        <w:spacing w:line="360" w:lineRule="auto"/>
        <w:ind w:firstLine="720" w:firstLineChars="300"/>
        <w:rPr>
          <w:rFonts w:hint="eastAsia" w:ascii="宋体" w:hAnsi="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rPr>
        <w:t>踏勘联系人：赵工，联系电话：13533384230。</w:t>
      </w:r>
    </w:p>
    <w:p>
      <w:pPr>
        <w:spacing w:line="360" w:lineRule="auto"/>
        <w:ind w:firstLine="482" w:firstLineChars="200"/>
        <w:rPr>
          <w:rFonts w:ascii="宋体" w:hAnsi="宋体" w:cs="宋体"/>
          <w:b/>
          <w:bCs w:val="0"/>
          <w:color w:val="auto"/>
          <w:sz w:val="24"/>
          <w:szCs w:val="24"/>
          <w:highlight w:val="none"/>
        </w:rPr>
      </w:pPr>
      <w:r>
        <w:rPr>
          <w:rFonts w:hint="eastAsia" w:ascii="宋体" w:hAnsi="宋体" w:cs="宋体"/>
          <w:b/>
          <w:bCs w:val="0"/>
          <w:color w:val="auto"/>
          <w:sz w:val="24"/>
          <w:szCs w:val="24"/>
          <w:highlight w:val="none"/>
        </w:rPr>
        <w:t>九、投标人合格条件：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2、投标人（联合体投标的，指联合体各成员）均具有独立法人资格，按国家法律经营；</w:t>
      </w:r>
    </w:p>
    <w:p>
      <w:pPr>
        <w:pStyle w:val="50"/>
        <w:spacing w:line="360" w:lineRule="auto"/>
        <w:ind w:firstLine="480" w:firstLineChars="200"/>
        <w:rPr>
          <w:rFonts w:hint="eastAsia" w:ascii="宋体" w:hAnsi="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投标人同时具有承接本工程所需的设计</w:t>
      </w:r>
      <w:r>
        <w:rPr>
          <w:rFonts w:hint="eastAsia" w:ascii="宋体" w:hAnsi="宋体" w:eastAsia="宋体" w:cs="宋体"/>
          <w:color w:val="auto"/>
          <w:sz w:val="24"/>
          <w:szCs w:val="24"/>
          <w:highlight w:val="none"/>
        </w:rPr>
        <w:t>类和施工</w:t>
      </w:r>
      <w:r>
        <w:rPr>
          <w:rFonts w:hint="eastAsia" w:ascii="宋体" w:hAnsi="宋体" w:eastAsia="宋体" w:cs="宋体"/>
          <w:color w:val="auto"/>
          <w:kern w:val="2"/>
          <w:sz w:val="24"/>
          <w:szCs w:val="24"/>
          <w:highlight w:val="none"/>
        </w:rPr>
        <w:t>类资质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证书须在有效期内</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bookmarkStart w:id="9" w:name="_Hlk67648709"/>
    </w:p>
    <w:p>
      <w:pPr>
        <w:widowControl/>
        <w:spacing w:line="360" w:lineRule="auto"/>
        <w:ind w:firstLine="482" w:firstLineChars="200"/>
        <w:rPr>
          <w:rFonts w:ascii="宋体" w:hAnsi="宋体" w:cs="宋体"/>
          <w:color w:val="auto"/>
          <w:sz w:val="24"/>
          <w:szCs w:val="24"/>
          <w:highlight w:val="none"/>
          <w:u w:val="single"/>
        </w:rPr>
      </w:pPr>
      <w:r>
        <w:rPr>
          <w:rFonts w:hint="eastAsia" w:ascii="宋体" w:hAnsi="宋体"/>
          <w:b/>
          <w:bCs/>
          <w:color w:val="auto"/>
          <w:sz w:val="24"/>
          <w:szCs w:val="24"/>
          <w:highlight w:val="none"/>
          <w:u w:val="single"/>
          <w:lang w:val="en-US" w:eastAsia="zh-CN"/>
        </w:rPr>
        <w:t>3</w:t>
      </w:r>
      <w:r>
        <w:rPr>
          <w:rFonts w:hint="eastAsia" w:ascii="宋体" w:hAnsi="宋体"/>
          <w:b/>
          <w:bCs/>
          <w:color w:val="auto"/>
          <w:sz w:val="24"/>
          <w:szCs w:val="24"/>
          <w:highlight w:val="none"/>
          <w:u w:val="single"/>
        </w:rPr>
        <w:t>.</w:t>
      </w:r>
      <w:bookmarkEnd w:id="9"/>
      <w:r>
        <w:rPr>
          <w:rFonts w:hint="eastAsia" w:ascii="宋体" w:hAnsi="宋体"/>
          <w:b/>
          <w:bCs/>
          <w:color w:val="auto"/>
          <w:sz w:val="24"/>
          <w:szCs w:val="24"/>
          <w:highlight w:val="none"/>
          <w:u w:val="single"/>
        </w:rPr>
        <w:t>1</w:t>
      </w:r>
      <w:r>
        <w:rPr>
          <w:rFonts w:hint="eastAsia" w:ascii="宋体" w:hAnsi="宋体" w:cs="宋体"/>
          <w:b/>
          <w:bCs/>
          <w:color w:val="auto"/>
          <w:kern w:val="0"/>
          <w:sz w:val="24"/>
          <w:szCs w:val="24"/>
          <w:highlight w:val="none"/>
          <w:u w:val="single"/>
        </w:rPr>
        <w:t>工程设计资质</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工程设计综合资质甲级，或</w:t>
      </w:r>
      <w:r>
        <w:rPr>
          <w:rFonts w:hint="eastAsia" w:ascii="宋体" w:hAnsi="宋体" w:cs="宋体"/>
          <w:color w:val="auto"/>
          <w:sz w:val="24"/>
          <w:szCs w:val="24"/>
          <w:highlight w:val="none"/>
          <w:u w:val="single"/>
          <w:lang w:val="en-US" w:eastAsia="zh-CN"/>
        </w:rPr>
        <w:t>电力</w:t>
      </w:r>
      <w:r>
        <w:rPr>
          <w:rFonts w:hint="eastAsia" w:ascii="宋体" w:hAnsi="宋体" w:cs="宋体"/>
          <w:color w:val="auto"/>
          <w:sz w:val="24"/>
          <w:szCs w:val="24"/>
          <w:highlight w:val="none"/>
          <w:u w:val="single"/>
        </w:rPr>
        <w:t>行业设</w:t>
      </w:r>
      <w:r>
        <w:rPr>
          <w:rFonts w:hint="eastAsia" w:ascii="宋体" w:hAnsi="宋体" w:eastAsia="宋体" w:cs="宋体"/>
          <w:color w:val="auto"/>
          <w:sz w:val="24"/>
          <w:szCs w:val="24"/>
          <w:highlight w:val="none"/>
          <w:u w:val="single"/>
        </w:rPr>
        <w:t>计</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u w:val="single"/>
        </w:rPr>
        <w:t>资质，或</w:t>
      </w:r>
      <w:r>
        <w:rPr>
          <w:rFonts w:hint="eastAsia" w:ascii="宋体" w:hAnsi="宋体" w:eastAsia="宋体" w:cs="宋体"/>
          <w:color w:val="auto"/>
          <w:sz w:val="24"/>
          <w:szCs w:val="24"/>
          <w:highlight w:val="none"/>
          <w:u w:val="single"/>
          <w:lang w:val="en-US" w:eastAsia="zh-CN"/>
        </w:rPr>
        <w:t>电力</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u w:val="single"/>
          <w:lang w:val="en-US" w:eastAsia="zh-CN"/>
        </w:rPr>
        <w:t>变电工程和送电工程</w:t>
      </w:r>
      <w:r>
        <w:rPr>
          <w:rFonts w:hint="eastAsia" w:ascii="宋体" w:hAnsi="宋体" w:eastAsia="宋体" w:cs="宋体"/>
          <w:color w:val="auto"/>
          <w:sz w:val="24"/>
          <w:szCs w:val="24"/>
          <w:highlight w:val="none"/>
          <w:u w:val="single"/>
        </w:rPr>
        <w:t>）专业设计</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u w:val="single"/>
        </w:rPr>
        <w:t>资质</w:t>
      </w:r>
      <w:r>
        <w:rPr>
          <w:rFonts w:hint="eastAsia" w:ascii="宋体" w:hAnsi="宋体" w:cs="宋体"/>
          <w:color w:val="auto"/>
          <w:sz w:val="24"/>
          <w:szCs w:val="24"/>
          <w:highlight w:val="none"/>
          <w:u w:val="single"/>
        </w:rPr>
        <w:t>。</w:t>
      </w:r>
    </w:p>
    <w:p>
      <w:pPr>
        <w:widowControl/>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u w:val="single"/>
        </w:rPr>
        <w:t>香港企业独立参加投标的，须在广东省住房和城乡建设主管部门备案且备案的业务范围为符合本招标项目对工程设计资质的要求。</w:t>
      </w:r>
    </w:p>
    <w:p>
      <w:pPr>
        <w:pStyle w:val="50"/>
        <w:adjustRightInd w:val="0"/>
        <w:snapToGrid w:val="0"/>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工程设计资质内容按《建设工程勘察设计管理条例》（国务院令[2000]293号）、《建设工程勘察设计资质管理规定》（建设部令[2006]160号）、《工程勘察、工程设计资质分级标准补充规定》（建设[2001]178号）、《工程设计资质标准》（建市[2007]86号）、《建设工程勘察设计资质管理规定实施意见》（建市[2007]202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地方各级住房和城乡建设主管部门核发的建设工程企业资质证书延续有关政策按各省级住房和城乡建设主管部门规定执行。</w:t>
      </w:r>
    </w:p>
    <w:p>
      <w:pPr>
        <w:pStyle w:val="50"/>
        <w:adjustRightInd w:val="0"/>
        <w:snapToGrid w:val="0"/>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广东省住房和城乡建设主管部门备案且备案的业务范围满足招标文件要求的，可作设计方参与投标，同时提供相应资质证书及备案证明资料复印件。外国或澳门、台湾的设计企业必须选择一家符合上述条件的企业进行合作设计。香港企业如不单独参加投标，也必须选择一家符合上述条件的企业进行合作设计。</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.2</w:t>
      </w:r>
      <w:bookmarkStart w:id="10" w:name="OLE_LINK5"/>
      <w:r>
        <w:rPr>
          <w:rFonts w:hint="eastAsia" w:ascii="宋体" w:hAnsi="宋体" w:cs="宋体"/>
          <w:b/>
          <w:bCs/>
          <w:color w:val="auto"/>
          <w:kern w:val="0"/>
          <w:sz w:val="24"/>
          <w:szCs w:val="24"/>
          <w:highlight w:val="none"/>
        </w:rPr>
        <w:t>施工资质：</w:t>
      </w:r>
      <w:r>
        <w:rPr>
          <w:rFonts w:hint="eastAsia" w:ascii="宋体" w:hAnsi="宋体"/>
          <w:color w:val="auto"/>
          <w:sz w:val="24"/>
          <w:szCs w:val="24"/>
          <w:highlight w:val="none"/>
          <w:u w:val="single"/>
        </w:rPr>
        <w:t>具备电力工程施工总承包叁级（或以上）资质或输变电工程专业承包叁级（或以上）资质或建筑机电安装工程专业承包</w:t>
      </w:r>
      <w:r>
        <w:rPr>
          <w:rFonts w:hint="eastAsia" w:ascii="宋体" w:hAnsi="宋体"/>
          <w:color w:val="auto"/>
          <w:sz w:val="24"/>
          <w:szCs w:val="24"/>
          <w:highlight w:val="none"/>
          <w:u w:val="single"/>
          <w:lang w:val="en-US" w:eastAsia="zh-CN"/>
        </w:rPr>
        <w:t>壹</w:t>
      </w:r>
      <w:r>
        <w:rPr>
          <w:rFonts w:hint="eastAsia" w:ascii="宋体" w:hAnsi="宋体"/>
          <w:color w:val="auto"/>
          <w:sz w:val="24"/>
          <w:szCs w:val="24"/>
          <w:highlight w:val="none"/>
          <w:u w:val="single"/>
        </w:rPr>
        <w:t>级资质，同时具备</w:t>
      </w:r>
      <w:bookmarkStart w:id="11" w:name="OLE_LINK6"/>
      <w:r>
        <w:rPr>
          <w:rFonts w:hint="eastAsia" w:ascii="宋体" w:hAnsi="宋体"/>
          <w:color w:val="auto"/>
          <w:sz w:val="24"/>
          <w:szCs w:val="24"/>
          <w:highlight w:val="none"/>
          <w:u w:val="single"/>
        </w:rPr>
        <w:t>《承装(修、试)电力设施许可证》承装（修、试）</w:t>
      </w:r>
      <w:r>
        <w:rPr>
          <w:rFonts w:hint="eastAsia" w:ascii="宋体" w:hAnsi="宋体"/>
          <w:color w:val="auto"/>
          <w:sz w:val="24"/>
          <w:szCs w:val="24"/>
          <w:highlight w:val="none"/>
          <w:u w:val="single"/>
          <w:lang w:val="en-US" w:eastAsia="zh-CN"/>
        </w:rPr>
        <w:t>类三</w:t>
      </w:r>
      <w:r>
        <w:rPr>
          <w:rFonts w:hint="eastAsia" w:ascii="宋体" w:hAnsi="宋体"/>
          <w:color w:val="auto"/>
          <w:sz w:val="24"/>
          <w:szCs w:val="24"/>
          <w:highlight w:val="none"/>
          <w:u w:val="single"/>
        </w:rPr>
        <w:t>级（或以上）</w:t>
      </w:r>
      <w:r>
        <w:rPr>
          <w:rFonts w:hint="eastAsia" w:ascii="宋体" w:hAnsi="宋体"/>
          <w:color w:val="auto"/>
          <w:sz w:val="24"/>
          <w:szCs w:val="24"/>
          <w:highlight w:val="none"/>
          <w:u w:val="single"/>
          <w:lang w:val="en-US" w:eastAsia="zh-CN"/>
        </w:rPr>
        <w:t>许可</w:t>
      </w:r>
      <w:r>
        <w:rPr>
          <w:rFonts w:hint="eastAsia" w:ascii="宋体" w:hAnsi="宋体"/>
          <w:color w:val="auto"/>
          <w:sz w:val="24"/>
          <w:szCs w:val="24"/>
          <w:highlight w:val="none"/>
          <w:u w:val="single"/>
        </w:rPr>
        <w:t>资格</w:t>
      </w:r>
      <w:bookmarkEnd w:id="10"/>
      <w:r>
        <w:rPr>
          <w:rFonts w:hint="eastAsia" w:ascii="宋体" w:hAnsi="宋体"/>
          <w:color w:val="auto"/>
          <w:sz w:val="24"/>
          <w:szCs w:val="24"/>
          <w:highlight w:val="none"/>
          <w:u w:val="single"/>
          <w:lang w:eastAsia="zh-CN"/>
        </w:rPr>
        <w:t>，</w:t>
      </w:r>
      <w:bookmarkEnd w:id="11"/>
      <w:r>
        <w:rPr>
          <w:rFonts w:hint="eastAsia" w:ascii="宋体" w:hAnsi="宋体"/>
          <w:color w:val="auto"/>
          <w:sz w:val="24"/>
          <w:szCs w:val="24"/>
          <w:highlight w:val="none"/>
          <w:u w:val="single"/>
        </w:rPr>
        <w:t>且持有建设行政主管部门颁发的安全生产许可证</w:t>
      </w:r>
      <w:r>
        <w:rPr>
          <w:rFonts w:hint="eastAsia" w:ascii="宋体" w:hAnsi="宋体" w:cs="宋体"/>
          <w:color w:val="auto"/>
          <w:kern w:val="0"/>
          <w:sz w:val="24"/>
          <w:szCs w:val="24"/>
          <w:highlight w:val="none"/>
        </w:rPr>
        <w:t>；</w:t>
      </w:r>
    </w:p>
    <w:p>
      <w:pPr>
        <w:pStyle w:val="50"/>
        <w:adjustRightInd w:val="0"/>
        <w:snapToGrid w:val="0"/>
        <w:spacing w:line="360" w:lineRule="auto"/>
        <w:ind w:firstLine="539"/>
        <w:rPr>
          <w:rFonts w:hint="eastAsia" w:ascii="宋体" w:hAnsi="宋体" w:eastAsia="宋体"/>
          <w:b/>
          <w:bCs/>
          <w:color w:val="auto"/>
          <w:sz w:val="24"/>
          <w:szCs w:val="24"/>
          <w:highlight w:val="none"/>
          <w:u w:val="none"/>
        </w:rPr>
      </w:pPr>
      <w:r>
        <w:rPr>
          <w:rFonts w:hint="eastAsia" w:ascii="宋体" w:hAnsi="宋体" w:eastAsia="宋体" w:cs="宋体"/>
          <w:color w:val="auto"/>
          <w:sz w:val="24"/>
          <w:szCs w:val="24"/>
          <w:highlight w:val="none"/>
        </w:rPr>
        <w:t>注：</w:t>
      </w:r>
      <w:r>
        <w:rPr>
          <w:rFonts w:hint="eastAsia" w:ascii="宋体" w:hAnsi="宋体" w:eastAsia="宋体"/>
          <w:color w:val="auto"/>
          <w:sz w:val="24"/>
          <w:szCs w:val="24"/>
          <w:highlight w:val="none"/>
        </w:rPr>
        <w:t>①资质内容按照</w:t>
      </w:r>
      <w:bookmarkStart w:id="12" w:name="OLE_LINK3"/>
      <w:r>
        <w:rPr>
          <w:rFonts w:hint="eastAsia" w:ascii="宋体" w:hAnsi="宋体" w:eastAsia="宋体"/>
          <w:color w:val="auto"/>
          <w:sz w:val="24"/>
          <w:szCs w:val="24"/>
          <w:highlight w:val="none"/>
        </w:rPr>
        <w:t>建市[2014]159号文颁布的新版《建筑业企业资质标准》</w:t>
      </w:r>
      <w:bookmarkEnd w:id="12"/>
      <w:r>
        <w:rPr>
          <w:rFonts w:hint="eastAsia" w:ascii="宋体" w:hAnsi="宋体" w:eastAsia="宋体"/>
          <w:color w:val="auto"/>
          <w:sz w:val="24"/>
          <w:szCs w:val="24"/>
          <w:highlight w:val="none"/>
        </w:rPr>
        <w:t>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color w:val="auto"/>
          <w:sz w:val="24"/>
          <w:szCs w:val="24"/>
          <w:highlight w:val="none"/>
        </w:rPr>
        <w:t>的要求设置。投标人还应当符合</w:t>
      </w:r>
      <w:r>
        <w:rPr>
          <w:rFonts w:hint="eastAsia" w:ascii="宋体" w:hAnsi="宋体" w:eastAsia="宋体"/>
          <w:color w:val="auto"/>
          <w:sz w:val="24"/>
          <w:szCs w:val="24"/>
          <w:highlight w:val="none"/>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ascii="宋体" w:hAnsi="宋体" w:eastAsia="宋体" w:cs="宋体"/>
          <w:color w:val="auto"/>
          <w:sz w:val="24"/>
          <w:szCs w:val="24"/>
          <w:highlight w:val="none"/>
        </w:rPr>
        <w:t>《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w:t>
      </w:r>
      <w:r>
        <w:rPr>
          <w:rFonts w:hint="eastAsia" w:ascii="宋体" w:hAnsi="宋体" w:eastAsia="宋体"/>
          <w:b/>
          <w:bCs/>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eastAsia="宋体"/>
          <w:b/>
          <w:bCs/>
          <w:color w:val="auto"/>
          <w:sz w:val="24"/>
          <w:szCs w:val="24"/>
          <w:highlight w:val="none"/>
          <w:u w:val="none"/>
        </w:rPr>
        <w:t>。</w:t>
      </w:r>
    </w:p>
    <w:p>
      <w:pPr>
        <w:pStyle w:val="50"/>
        <w:adjustRightInd w:val="0"/>
        <w:snapToGrid w:val="0"/>
        <w:spacing w:line="360" w:lineRule="auto"/>
        <w:ind w:firstLine="539"/>
        <w:rPr>
          <w:rFonts w:hint="eastAsia" w:ascii="宋体" w:hAnsi="宋体" w:eastAsia="宋体"/>
          <w:b w:val="0"/>
          <w:bCs w:val="0"/>
          <w:color w:val="auto"/>
          <w:sz w:val="24"/>
          <w:szCs w:val="24"/>
          <w:highlight w:val="none"/>
          <w:u w:val="none"/>
          <w:lang w:eastAsia="zh-CN"/>
        </w:rPr>
      </w:pPr>
      <w:r>
        <w:rPr>
          <w:rFonts w:hint="eastAsia" w:ascii="宋体" w:hAnsi="宋体" w:eastAsia="宋体"/>
          <w:b w:val="0"/>
          <w:bCs w:val="0"/>
          <w:color w:val="auto"/>
          <w:sz w:val="24"/>
          <w:szCs w:val="24"/>
          <w:highlight w:val="none"/>
          <w:u w:val="none"/>
          <w:lang w:val="en-US" w:eastAsia="zh-CN"/>
        </w:rPr>
        <w:t>许可证书：</w:t>
      </w:r>
      <w:r>
        <w:rPr>
          <w:rFonts w:hint="eastAsia" w:ascii="宋体" w:hAnsi="宋体" w:eastAsia="宋体"/>
          <w:b w:val="0"/>
          <w:bCs w:val="0"/>
          <w:color w:val="auto"/>
          <w:sz w:val="24"/>
          <w:szCs w:val="24"/>
          <w:highlight w:val="none"/>
          <w:u w:val="none"/>
        </w:rPr>
        <w:t>《承装（修、试）电力设施许可证管理办法》（国家发展改革委 2025 年第 30 号令）于 2025年 7 月 1 日起施行</w:t>
      </w:r>
      <w:r>
        <w:rPr>
          <w:rFonts w:hint="eastAsia" w:ascii="宋体" w:hAnsi="宋体" w:eastAsia="宋体"/>
          <w:b w:val="0"/>
          <w:bCs w:val="0"/>
          <w:color w:val="auto"/>
          <w:sz w:val="24"/>
          <w:szCs w:val="24"/>
          <w:highlight w:val="none"/>
          <w:u w:val="none"/>
          <w:lang w:eastAsia="zh-CN"/>
        </w:rPr>
        <w:t>。</w:t>
      </w:r>
    </w:p>
    <w:p>
      <w:pPr>
        <w:pStyle w:val="5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、投标人拟担任本工程：</w:t>
      </w:r>
    </w:p>
    <w:p>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.1拟派项目负责人（兼施工负责人，联合体投标的，由联合体</w:t>
      </w:r>
      <w:r>
        <w:rPr>
          <w:rFonts w:hint="eastAsia" w:ascii="宋体" w:hAnsi="宋体" w:cs="宋体"/>
          <w:color w:val="auto"/>
          <w:sz w:val="24"/>
          <w:szCs w:val="24"/>
          <w:highlight w:val="none"/>
          <w:lang w:eastAsia="zh-CN"/>
        </w:rPr>
        <w:t>主办方</w:t>
      </w:r>
      <w:r>
        <w:rPr>
          <w:rFonts w:hint="eastAsia" w:ascii="宋体" w:hAnsi="宋体" w:cs="宋体"/>
          <w:color w:val="auto"/>
          <w:sz w:val="24"/>
          <w:szCs w:val="24"/>
          <w:highlight w:val="none"/>
        </w:rPr>
        <w:t>提供）</w:t>
      </w:r>
      <w:bookmarkStart w:id="13" w:name="OLE_LINK1"/>
      <w:r>
        <w:rPr>
          <w:rFonts w:hint="eastAsia" w:ascii="宋体" w:hAnsi="宋体" w:eastAsia="宋体" w:cs="宋体"/>
          <w:color w:val="auto"/>
          <w:sz w:val="24"/>
          <w:szCs w:val="24"/>
          <w:highlight w:val="none"/>
          <w:lang w:val="en-US" w:eastAsia="zh-CN"/>
        </w:rPr>
        <w:t>须具备</w:t>
      </w:r>
      <w:bookmarkEnd w:id="13"/>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机电工程专业</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或以上</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注册建造师，且持有有效的安全生产考核合格证（B类）或建筑施工企业项目负责人安全生产考核合格证书；投标登记时对投标人该项目负责人进行锁定；拟投入人员应为本单位正式员工。</w:t>
      </w:r>
    </w:p>
    <w:p>
      <w:pPr>
        <w:pStyle w:val="50"/>
        <w:spacing w:line="360" w:lineRule="auto"/>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.2设计负责人（</w:t>
      </w:r>
      <w:r>
        <w:rPr>
          <w:rFonts w:hint="eastAsia" w:ascii="宋体" w:hAnsi="宋体" w:eastAsia="宋体" w:cs="宋体"/>
          <w:color w:val="auto"/>
          <w:sz w:val="24"/>
          <w:szCs w:val="24"/>
          <w:highlight w:val="none"/>
          <w:u w:val="single"/>
        </w:rPr>
        <w:t>联合体投标的，由联合体设计方提供</w:t>
      </w:r>
      <w:r>
        <w:rPr>
          <w:rFonts w:hint="eastAsia" w:ascii="宋体" w:hAnsi="宋体" w:eastAsia="宋体" w:cs="宋体"/>
          <w:color w:val="auto"/>
          <w:kern w:val="2"/>
          <w:sz w:val="24"/>
          <w:szCs w:val="24"/>
          <w:highlight w:val="none"/>
          <w:u w:val="single"/>
          <w:lang w:val="en-US" w:eastAsia="zh-CN" w:bidi="ar-SA"/>
        </w:rPr>
        <w:t>）须具备</w:t>
      </w:r>
      <w:bookmarkStart w:id="14" w:name="OLE_LINK2"/>
      <w:r>
        <w:rPr>
          <w:rFonts w:hint="eastAsia" w:ascii="宋体" w:hAnsi="宋体" w:eastAsia="宋体" w:cs="宋体"/>
          <w:color w:val="auto"/>
          <w:kern w:val="2"/>
          <w:sz w:val="24"/>
          <w:szCs w:val="24"/>
          <w:highlight w:val="none"/>
          <w:u w:val="single"/>
          <w:lang w:val="en-US" w:eastAsia="zh-CN" w:bidi="ar-SA"/>
        </w:rPr>
        <w:t>注册电气工程师</w:t>
      </w:r>
      <w:bookmarkStart w:id="15" w:name="OLE_LINK4"/>
      <w:r>
        <w:rPr>
          <w:rFonts w:hint="eastAsia" w:ascii="宋体" w:hAnsi="宋体" w:eastAsia="宋体" w:cs="宋体"/>
          <w:color w:val="auto"/>
          <w:kern w:val="2"/>
          <w:sz w:val="24"/>
          <w:szCs w:val="24"/>
          <w:highlight w:val="none"/>
          <w:u w:val="single"/>
          <w:lang w:val="en-US" w:eastAsia="zh-CN" w:bidi="ar-SA"/>
        </w:rPr>
        <w:t>（供配电）</w:t>
      </w:r>
      <w:bookmarkEnd w:id="15"/>
      <w:r>
        <w:rPr>
          <w:rFonts w:hint="eastAsia" w:ascii="宋体" w:hAnsi="宋体" w:eastAsia="宋体" w:cs="宋体"/>
          <w:color w:val="auto"/>
          <w:kern w:val="2"/>
          <w:sz w:val="24"/>
          <w:szCs w:val="24"/>
          <w:highlight w:val="none"/>
          <w:u w:val="single"/>
          <w:lang w:val="en-US" w:eastAsia="zh-CN" w:bidi="ar-SA"/>
        </w:rPr>
        <w:t>执业资格</w:t>
      </w:r>
      <w:bookmarkEnd w:id="14"/>
      <w:r>
        <w:rPr>
          <w:rFonts w:hint="eastAsia" w:ascii="宋体" w:hAnsi="宋体" w:eastAsia="宋体" w:cs="宋体"/>
          <w:color w:val="auto"/>
          <w:kern w:val="2"/>
          <w:sz w:val="24"/>
          <w:szCs w:val="24"/>
          <w:highlight w:val="none"/>
          <w:u w:val="single"/>
          <w:lang w:val="en-US" w:eastAsia="zh-CN" w:bidi="ar-SA"/>
        </w:rPr>
        <w:t>或电力相关专业中级（或以上）职称或从事本专业工作5年以上的工程师或备案的业务范围相当于注册电气工程师的香港专业人士。</w:t>
      </w:r>
    </w:p>
    <w:p>
      <w:pPr>
        <w:pStyle w:val="22"/>
        <w:pageBreakBefore w:val="0"/>
        <w:kinsoku/>
        <w:overflowPunct/>
        <w:topLinePunct w:val="0"/>
        <w:autoSpaceDE/>
        <w:autoSpaceDN/>
        <w:bidi w:val="0"/>
        <w:spacing w:after="0" w:line="384" w:lineRule="auto"/>
        <w:ind w:firstLine="420" w:firstLineChars="2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u w:val="single"/>
        </w:rPr>
        <w:t>允许经备案且备案的业务范围满足本项目招标文件要求的香港专业人士担任本项目的相应职务。满足前述内容的香港企业及香港专业人士参与本次投标的，应按本项目要求提供本项目评审要求的相关证明文件。</w:t>
      </w:r>
    </w:p>
    <w:p>
      <w:pPr>
        <w:pStyle w:val="5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.3投标人拟担任本工程技术负责人（联合体投标的，由联合体</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须具备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机电工程或电力</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val="en-US" w:eastAsia="zh-CN"/>
        </w:rPr>
        <w:t>（供配电）</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级或以上技术职称。拟投入人员应为本单位正式员工。</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注：①</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w:t>
      </w:r>
      <w:r>
        <w:rPr>
          <w:rFonts w:hint="eastAsia" w:ascii="宋体" w:hAnsi="宋体" w:cs="宋体"/>
          <w:color w:val="auto"/>
          <w:sz w:val="24"/>
          <w:szCs w:val="24"/>
          <w:highlight w:val="none"/>
          <w:u w:val="single"/>
        </w:rPr>
        <w:t>项目负责人（兼施工负责人）、设计负责人、技术负责人及专职安全员</w:t>
      </w:r>
      <w:r>
        <w:rPr>
          <w:rFonts w:hint="eastAsia" w:ascii="宋体" w:hAnsi="宋体" w:cs="宋体"/>
          <w:b/>
          <w:bCs/>
          <w:color w:val="auto"/>
          <w:sz w:val="24"/>
          <w:szCs w:val="24"/>
          <w:highlight w:val="none"/>
          <w:u w:val="single"/>
        </w:rPr>
        <w:t>不能为同一人</w:t>
      </w:r>
      <w:r>
        <w:rPr>
          <w:rFonts w:hint="eastAsia" w:ascii="宋体" w:hAnsi="宋体" w:cs="宋体"/>
          <w:color w:val="auto"/>
          <w:kern w:val="0"/>
          <w:sz w:val="24"/>
          <w:szCs w:val="24"/>
          <w:highlight w:val="none"/>
          <w:u w:val="single"/>
        </w:rPr>
        <w:t>。</w:t>
      </w:r>
    </w:p>
    <w:p>
      <w:pP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②香港专业人士备案的业务范围依据《广东省住房和城乡建设厅关于印发香港工程建设咨询企业和专业人士在粤港澳大湾区内地城市开业执业试点管理暂行办法的通知》（粤建规范〔2020〕1号）确定。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③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50"/>
        <w:spacing w:line="360" w:lineRule="auto"/>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专职安全人员</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u w:val="single"/>
        </w:rPr>
        <w:t>联合体投标的，由联合体</w:t>
      </w:r>
      <w:r>
        <w:rPr>
          <w:rFonts w:hint="eastAsia" w:ascii="宋体" w:hAnsi="宋体" w:cs="宋体"/>
          <w:color w:val="auto"/>
          <w:sz w:val="24"/>
          <w:szCs w:val="24"/>
          <w:highlight w:val="none"/>
          <w:u w:val="single"/>
          <w:lang w:eastAsia="zh-CN"/>
        </w:rPr>
        <w:t>主办方</w:t>
      </w:r>
      <w:r>
        <w:rPr>
          <w:rFonts w:hint="eastAsia" w:ascii="宋体" w:hAnsi="宋体" w:cs="宋体"/>
          <w:color w:val="auto"/>
          <w:sz w:val="24"/>
          <w:szCs w:val="24"/>
          <w:highlight w:val="none"/>
          <w:u w:val="single"/>
        </w:rPr>
        <w:t>提供</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须持有在有效期内的安全生产考核合格证书（C类）或建筑施工企业专职安全生产管理人员安全生产考核合格证书（C3）。</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建筑施工企业主要负责人、项目负责人和专职安全生产管理人员安全生产管理规定》（住房和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、投标人已按照招标公告附件一的内容签署盖章的投标人声明。</w:t>
      </w:r>
    </w:p>
    <w:p>
      <w:pPr>
        <w:spacing w:line="360" w:lineRule="auto"/>
        <w:ind w:firstLine="480" w:firstLineChars="200"/>
        <w:outlineLvl w:val="0"/>
        <w:rPr>
          <w:rFonts w:ascii="宋体" w:hAnsi="宋体" w:cs="宋体"/>
          <w:color w:val="auto"/>
          <w:sz w:val="24"/>
          <w:szCs w:val="24"/>
          <w:highlight w:val="none"/>
        </w:rPr>
      </w:pPr>
      <w:bookmarkStart w:id="16" w:name="_Toc266093545"/>
      <w:bookmarkStart w:id="17" w:name="_Toc266881397"/>
      <w:bookmarkStart w:id="18" w:name="_Toc249846223"/>
      <w:bookmarkStart w:id="19" w:name="_Toc249845968"/>
      <w:bookmarkStart w:id="20" w:name="_Toc253143216"/>
      <w:bookmarkStart w:id="21" w:name="_Toc245023997"/>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、关于联合体投标：</w:t>
      </w:r>
      <w:bookmarkEnd w:id="16"/>
      <w:bookmarkEnd w:id="17"/>
      <w:bookmarkEnd w:id="18"/>
      <w:bookmarkEnd w:id="19"/>
      <w:bookmarkEnd w:id="20"/>
      <w:bookmarkEnd w:id="21"/>
    </w:p>
    <w:p>
      <w:pPr>
        <w:shd w:val="clear" w:color="auto" w:fill="FFFFFF"/>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.1允许联合体投标，应以承担施工任务的</w:t>
      </w:r>
      <w:r>
        <w:rPr>
          <w:rFonts w:hint="eastAsia" w:ascii="宋体" w:hAnsi="宋体" w:eastAsia="宋体" w:cs="宋体"/>
          <w:color w:val="auto"/>
          <w:sz w:val="24"/>
          <w:szCs w:val="24"/>
          <w:highlight w:val="none"/>
        </w:rPr>
        <w:t>一方为</w:t>
      </w:r>
      <w:r>
        <w:rPr>
          <w:rFonts w:hint="eastAsia" w:ascii="宋体" w:hAnsi="宋体" w:eastAsia="宋体" w:cs="宋体"/>
          <w:color w:val="auto"/>
          <w:sz w:val="24"/>
          <w:szCs w:val="24"/>
          <w:highlight w:val="none"/>
          <w:lang w:eastAsia="zh-CN"/>
        </w:rPr>
        <w:t>主办方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联合体最多由2家单位组成（即1家设计单位、1家施工单位）</w:t>
      </w:r>
      <w:r>
        <w:rPr>
          <w:rFonts w:hint="eastAsia" w:ascii="宋体" w:hAnsi="宋体" w:eastAsia="宋体" w:cs="宋体"/>
          <w:color w:val="auto"/>
          <w:sz w:val="24"/>
          <w:szCs w:val="24"/>
          <w:highlight w:val="none"/>
        </w:rPr>
        <w:t>并签订联合体共同投标协</w:t>
      </w:r>
      <w:r>
        <w:rPr>
          <w:rFonts w:hint="eastAsia" w:ascii="宋体" w:hAnsi="宋体" w:cs="宋体"/>
          <w:color w:val="auto"/>
          <w:sz w:val="24"/>
          <w:szCs w:val="24"/>
          <w:highlight w:val="none"/>
        </w:rPr>
        <w:t>议书。联合体共同投标协议书应明确约定各方拟承担的工作和责任。（注：组成联合体承接按资质标准划分为同一类工程的投标人，在资格审查环节，其资质按联合体成员中最低者确定。）</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投标人拟任本工程的项目负责人（兼施工负责人）、设计负责人、技术负责人、专职安全人员</w:t>
      </w:r>
      <w:r>
        <w:rPr>
          <w:rFonts w:hint="eastAsia" w:ascii="宋体" w:hAnsi="宋体" w:cs="宋体"/>
          <w:color w:val="auto"/>
          <w:kern w:val="0"/>
          <w:sz w:val="24"/>
          <w:szCs w:val="24"/>
          <w:highlight w:val="none"/>
          <w:u w:val="single"/>
        </w:rPr>
        <w:t>必须是联合体中对应分工成员的正式员工。</w:t>
      </w:r>
      <w:r>
        <w:rPr>
          <w:rFonts w:hint="eastAsia" w:ascii="宋体" w:hAnsi="宋体" w:cs="宋体"/>
          <w:color w:val="auto"/>
          <w:sz w:val="24"/>
          <w:szCs w:val="24"/>
          <w:highlight w:val="none"/>
          <w:u w:val="single"/>
        </w:rPr>
        <w:t>以上人员不得重复兼任。</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.3联合体的资格条件按联合体任务分工进行评审（</w:t>
      </w:r>
      <w:r>
        <w:rPr>
          <w:rFonts w:hint="eastAsia" w:ascii="宋体" w:hAnsi="宋体" w:cs="宋体"/>
          <w:color w:val="auto"/>
          <w:sz w:val="24"/>
          <w:szCs w:val="24"/>
          <w:highlight w:val="none"/>
          <w:u w:val="single"/>
        </w:rPr>
        <w:t>其中工程施工资质、安全生产许可证、项目负责人（兼施工负责人）、技术负责人、专职安全人员以承接施工任务的</w:t>
      </w:r>
      <w:r>
        <w:rPr>
          <w:rFonts w:hint="eastAsia" w:ascii="宋体" w:hAnsi="宋体" w:cs="宋体"/>
          <w:color w:val="auto"/>
          <w:sz w:val="24"/>
          <w:szCs w:val="24"/>
          <w:highlight w:val="none"/>
          <w:u w:val="single"/>
          <w:lang w:eastAsia="zh-CN"/>
        </w:rPr>
        <w:t>主办方</w:t>
      </w:r>
      <w:r>
        <w:rPr>
          <w:rFonts w:hint="eastAsia" w:ascii="宋体" w:hAnsi="宋体" w:cs="宋体"/>
          <w:color w:val="auto"/>
          <w:sz w:val="24"/>
          <w:szCs w:val="24"/>
          <w:highlight w:val="none"/>
          <w:u w:val="single"/>
        </w:rPr>
        <w:t>为准；工程设计资质及设计负责人以承接设计任务的成员单位为准）。</w:t>
      </w:r>
    </w:p>
    <w:p>
      <w:pPr>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.4联合体各方不得再以自己名义单独或加入其他联合体参加本项目的投标。</w:t>
      </w:r>
    </w:p>
    <w:p>
      <w:pPr>
        <w:wordWrap w:val="0"/>
        <w:spacing w:line="360" w:lineRule="auto"/>
        <w:ind w:firstLine="480" w:firstLineChars="200"/>
        <w:outlineLvl w:val="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bookmarkStart w:id="22" w:name="_Toc249845969"/>
      <w:bookmarkStart w:id="23" w:name="_Toc266881398"/>
      <w:bookmarkStart w:id="24" w:name="_Toc266093546"/>
      <w:bookmarkStart w:id="25" w:name="_Toc245023998"/>
      <w:bookmarkStart w:id="26" w:name="_Toc249846224"/>
      <w:bookmarkStart w:id="27" w:name="_Toc253143217"/>
      <w:r>
        <w:rPr>
          <w:rFonts w:hint="eastAsia" w:ascii="宋体" w:hAnsi="宋体" w:cs="宋体"/>
          <w:color w:val="auto"/>
          <w:sz w:val="24"/>
          <w:szCs w:val="24"/>
          <w:highlight w:val="none"/>
          <w:u w:val="single"/>
        </w:rPr>
        <w:t>资格审查前，投标人（联合体投标的，指联合体各方）须在广州市住建行业信用管理平台建立企业信用档案，拟担任本工程项目负责人（兼施工负责人）、设计负责人、专职安全人员须是本企业信用档案中的在册人员。企业</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取自投标截止时间投标人在</w:t>
      </w:r>
      <w:r>
        <w:rPr>
          <w:rFonts w:hint="eastAsia" w:ascii="宋体" w:hAnsi="宋体"/>
          <w:color w:val="auto"/>
          <w:sz w:val="24"/>
          <w:szCs w:val="24"/>
          <w:highlight w:val="none"/>
          <w:u w:val="single"/>
        </w:rPr>
        <w:t>信用管理平台</w:t>
      </w:r>
      <w:r>
        <w:rPr>
          <w:rFonts w:hint="eastAsia" w:ascii="宋体" w:hAnsi="宋体" w:cs="宋体"/>
          <w:color w:val="auto"/>
          <w:sz w:val="24"/>
          <w:szCs w:val="24"/>
          <w:highlight w:val="none"/>
          <w:u w:val="single"/>
        </w:rPr>
        <w:t>内的信息，投标人无需提交相关资料，若招标人延长递交投标文件截止时间的，</w:t>
      </w:r>
      <w:r>
        <w:rPr>
          <w:rFonts w:hint="eastAsia" w:ascii="宋体" w:hAnsi="宋体"/>
          <w:color w:val="auto"/>
          <w:sz w:val="24"/>
          <w:szCs w:val="24"/>
          <w:highlight w:val="none"/>
          <w:u w:val="single"/>
        </w:rPr>
        <w:t>信用档案</w:t>
      </w:r>
      <w:r>
        <w:rPr>
          <w:rFonts w:hint="eastAsia" w:ascii="宋体" w:hAnsi="宋体" w:cs="宋体"/>
          <w:color w:val="auto"/>
          <w:sz w:val="24"/>
          <w:szCs w:val="24"/>
          <w:highlight w:val="none"/>
          <w:u w:val="single"/>
        </w:rPr>
        <w:t>信息的评审时点也相应延长。信用档案办理详见《广州市住房和城乡建设局关于正式启用广州市住建行业信用管理平台的通知》http://zfcj.gz.gov.cn/zjyw/xyjs/content/mpost_8041415.html）</w:t>
      </w:r>
    </w:p>
    <w:p>
      <w:pPr>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）的单位负责人为同一人或者存在控股、管理关系的（按投标人提供的《投标人声明》相应的内容进行评审）。如不同投标人（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）出现单位负责人为同一人或者存在控股、管理关系的情形，则不得参加同一招标项目投标，否则均视其不符合投标人合格条件予以处理（联合体内各成员之间不受本条限制）。</w:t>
      </w:r>
    </w:p>
    <w:p>
      <w:pPr>
        <w:wordWrap w:val="0"/>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联合体投标的，指联合体各方</w:t>
      </w:r>
      <w:r>
        <w:rPr>
          <w:rFonts w:hint="eastAsia" w:ascii="宋体" w:hAnsi="宋体" w:cs="宋体"/>
          <w:color w:val="auto"/>
          <w:sz w:val="24"/>
          <w:szCs w:val="24"/>
          <w:highlight w:val="none"/>
        </w:rPr>
        <w:t>）</w:t>
      </w:r>
      <w:r>
        <w:rPr>
          <w:rFonts w:hint="eastAsia" w:ascii="宋体" w:hAnsi="宋体" w:cs="宋体"/>
          <w:color w:val="auto"/>
          <w:kern w:val="0"/>
          <w:sz w:val="24"/>
          <w:highlight w:val="none"/>
        </w:rPr>
        <w:t>未被列入拖欠农民工工资失信联合惩戒对象名单</w:t>
      </w:r>
      <w:r>
        <w:rPr>
          <w:rFonts w:hint="eastAsia" w:ascii="宋体" w:hAnsi="宋体" w:cs="宋体"/>
          <w:color w:val="auto"/>
          <w:sz w:val="24"/>
          <w:highlight w:val="none"/>
        </w:rPr>
        <w:t>。</w:t>
      </w:r>
    </w:p>
    <w:p>
      <w:pPr>
        <w:pStyle w:val="22"/>
        <w:tabs>
          <w:tab w:val="left" w:pos="73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十、</w:t>
      </w:r>
      <w:bookmarkEnd w:id="22"/>
      <w:bookmarkEnd w:id="23"/>
      <w:bookmarkEnd w:id="24"/>
      <w:bookmarkEnd w:id="25"/>
      <w:bookmarkEnd w:id="26"/>
      <w:bookmarkEnd w:id="27"/>
      <w:r>
        <w:rPr>
          <w:rFonts w:hint="eastAsia" w:ascii="宋体" w:hAnsi="宋体" w:cs="宋体"/>
          <w:color w:val="auto"/>
          <w:sz w:val="24"/>
          <w:szCs w:val="24"/>
          <w:highlight w:val="none"/>
          <w:shd w:val="clear" w:color="auto" w:fill="FFFFFF"/>
        </w:rPr>
        <w:t>资格审查方式：本项目采用资格后审，由评标委员会负责对投标人的资格进行审查，</w:t>
      </w:r>
      <w:r>
        <w:rPr>
          <w:rFonts w:hint="eastAsia" w:ascii="宋体" w:hAnsi="宋体" w:cs="宋体"/>
          <w:color w:val="auto"/>
          <w:sz w:val="24"/>
          <w:szCs w:val="24"/>
          <w:highlight w:val="none"/>
        </w:rPr>
        <w:t>评标时只对通过资格审查的投标人进行下一阶段的评审。</w:t>
      </w:r>
      <w:r>
        <w:rPr>
          <w:rFonts w:hint="eastAsia" w:ascii="宋体" w:hAnsi="宋体" w:cs="宋体"/>
          <w:color w:val="auto"/>
          <w:sz w:val="24"/>
          <w:szCs w:val="24"/>
          <w:highlight w:val="none"/>
          <w:shd w:val="clear" w:color="auto" w:fill="FFFFFF"/>
        </w:rPr>
        <w:t>满足资格审查合格条件的投标人不足</w:t>
      </w:r>
      <w:r>
        <w:rPr>
          <w:rFonts w:hint="eastAsia" w:ascii="宋体" w:hAnsi="宋体" w:cs="宋体"/>
          <w:color w:val="auto"/>
          <w:sz w:val="24"/>
          <w:szCs w:val="24"/>
          <w:highlight w:val="none"/>
        </w:rPr>
        <w:t>3名或经评审通过有效性审查的投标人少于3人时为招标失败。招标人分析招标失败原因，修正招标方案，报有关管理部门核准后，重新组织招标。</w:t>
      </w:r>
    </w:p>
    <w:p>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w:t>
      </w:r>
      <w:r>
        <w:rPr>
          <w:rFonts w:hint="eastAsia" w:ascii="宋体" w:hAnsi="宋体" w:cs="宋体"/>
          <w:color w:val="auto"/>
          <w:sz w:val="24"/>
          <w:szCs w:val="24"/>
          <w:highlight w:val="none"/>
        </w:rPr>
        <w:t>、</w:t>
      </w:r>
      <w:r>
        <w:rPr>
          <w:rFonts w:hint="eastAsia" w:ascii="宋体" w:hAnsi="宋体" w:cs="宋体"/>
          <w:color w:val="auto"/>
          <w:sz w:val="24"/>
          <w:szCs w:val="24"/>
          <w:highlight w:val="none"/>
          <w:shd w:val="clear" w:color="auto" w:fill="FFFFFF"/>
        </w:rPr>
        <w:t>资格审查结果及中标结果将在广州公共资源交易中心网站、广东省招标投标监管网、中国招标投标公共服务平台公示，公开接受投标人的监督。公示期为3个日历天，公示期间的最后1天应当为工作日，否则将公示期的最后1天顺延至下一个工作日。招标人进行资格评审结果公示时，将对投标人投标文件中的资质、人员、业绩等资料进行公示。</w:t>
      </w:r>
    </w:p>
    <w:p>
      <w:pPr>
        <w:spacing w:line="360" w:lineRule="auto"/>
        <w:rPr>
          <w:rFonts w:ascii="宋体" w:hAnsi="宋体" w:cs="宋体"/>
          <w:b/>
          <w:bCs/>
          <w:color w:val="auto"/>
          <w:sz w:val="36"/>
          <w:szCs w:val="36"/>
          <w:highlight w:val="none"/>
        </w:rPr>
      </w:pPr>
    </w:p>
    <w:p>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十</w:t>
      </w:r>
      <w:r>
        <w:rPr>
          <w:rFonts w:hint="eastAsia" w:ascii="宋体" w:hAnsi="宋体" w:cs="宋体"/>
          <w:bCs/>
          <w:color w:val="auto"/>
          <w:kern w:val="0"/>
          <w:sz w:val="24"/>
          <w:szCs w:val="24"/>
          <w:highlight w:val="none"/>
          <w:lang w:val="en-US" w:eastAsia="zh-CN"/>
        </w:rPr>
        <w:t>二</w:t>
      </w:r>
      <w:r>
        <w:rPr>
          <w:rFonts w:hint="eastAsia" w:ascii="宋体" w:hAnsi="宋体" w:cs="宋体"/>
          <w:bCs/>
          <w:color w:val="auto"/>
          <w:kern w:val="0"/>
          <w:sz w:val="24"/>
          <w:szCs w:val="24"/>
          <w:highlight w:val="none"/>
        </w:rPr>
        <w:t>、其他</w:t>
      </w:r>
      <w:r>
        <w:rPr>
          <w:rFonts w:hint="eastAsia" w:ascii="宋体" w:hAnsi="宋体" w:cs="宋体"/>
          <w:color w:val="auto"/>
          <w:kern w:val="0"/>
          <w:sz w:val="24"/>
          <w:szCs w:val="24"/>
          <w:highlight w:val="none"/>
        </w:rPr>
        <w:t>事项</w:t>
      </w:r>
    </w:p>
    <w:p>
      <w:pPr>
        <w:pStyle w:val="54"/>
        <w:spacing w:line="360" w:lineRule="auto"/>
        <w:ind w:firstLine="480" w:firstLineChars="200"/>
        <w:jc w:val="both"/>
        <w:rPr>
          <w:rFonts w:ascii="宋体" w:hAnsi="宋体" w:cs="宋体"/>
          <w:color w:val="auto"/>
          <w:kern w:val="0"/>
          <w:sz w:val="24"/>
          <w:szCs w:val="24"/>
          <w:highlight w:val="none"/>
        </w:rPr>
      </w:pPr>
      <w:r>
        <w:rPr>
          <w:rFonts w:hint="eastAsia" w:ascii="宋体" w:hAnsi="宋体" w:eastAsia="宋体" w:cs="宋体"/>
          <w:color w:val="auto"/>
          <w:kern w:val="2"/>
          <w:sz w:val="24"/>
          <w:szCs w:val="22"/>
          <w:highlight w:val="none"/>
        </w:rPr>
        <w:t>1、前期服务机构：</w:t>
      </w:r>
      <w:r>
        <w:rPr>
          <w:rFonts w:hint="eastAsia" w:ascii="宋体" w:hAnsi="宋体" w:eastAsia="宋体" w:cs="宋体"/>
          <w:color w:val="auto"/>
          <w:kern w:val="2"/>
          <w:sz w:val="24"/>
          <w:szCs w:val="22"/>
          <w:highlight w:val="none"/>
          <w:lang w:val="en-US" w:eastAsia="zh-CN" w:bidi="ar-SA"/>
        </w:rPr>
        <w:t>无 （</w:t>
      </w:r>
      <w:r>
        <w:rPr>
          <w:rFonts w:hint="eastAsia" w:ascii="宋体" w:hAnsi="宋体" w:eastAsia="宋体" w:cs="宋体"/>
          <w:color w:val="auto"/>
          <w:kern w:val="2"/>
          <w:sz w:val="24"/>
          <w:szCs w:val="22"/>
          <w:highlight w:val="none"/>
        </w:rPr>
        <w:t>可行性研究报告编制单位</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 xml:space="preserve"> ；</w:t>
      </w:r>
      <w:r>
        <w:rPr>
          <w:rFonts w:hint="eastAsia" w:ascii="宋体" w:hAnsi="宋体" w:cs="宋体"/>
          <w:color w:val="auto"/>
          <w:kern w:val="0"/>
          <w:sz w:val="24"/>
          <w:szCs w:val="24"/>
          <w:highlight w:val="none"/>
        </w:rPr>
        <w:t xml:space="preserve"> </w:t>
      </w:r>
    </w:p>
    <w:p>
      <w:pPr>
        <w:spacing w:line="360" w:lineRule="auto"/>
        <w:ind w:firstLine="960" w:firstLineChars="4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[注释]</w:t>
      </w:r>
      <w:r>
        <w:rPr>
          <w:rFonts w:hint="eastAsia" w:ascii="宋体" w:hAnsi="宋体" w:cs="宋体"/>
          <w:b/>
          <w:color w:val="auto"/>
          <w:kern w:val="0"/>
          <w:sz w:val="24"/>
          <w:szCs w:val="24"/>
          <w:highlight w:val="none"/>
          <w:u w:val="single"/>
        </w:rPr>
        <w:t xml:space="preserve"> </w:t>
      </w:r>
      <w:r>
        <w:rPr>
          <w:rFonts w:hint="eastAsia" w:ascii="宋体" w:hAnsi="宋体" w:cs="宋体"/>
          <w:b/>
          <w:bCs/>
          <w:color w:val="auto"/>
          <w:kern w:val="0"/>
          <w:sz w:val="24"/>
          <w:szCs w:val="24"/>
          <w:highlight w:val="none"/>
        </w:rPr>
        <w:t>本项目</w:t>
      </w:r>
      <w:r>
        <w:rPr>
          <w:rFonts w:hint="eastAsia" w:ascii="宋体" w:hAnsi="宋体" w:cs="宋体"/>
          <w:b/>
          <w:bCs/>
          <w:color w:val="auto"/>
          <w:kern w:val="0"/>
          <w:sz w:val="24"/>
          <w:szCs w:val="24"/>
          <w:highlight w:val="none"/>
          <w:lang w:val="en-US" w:eastAsia="zh-CN"/>
        </w:rPr>
        <w:t>不</w:t>
      </w:r>
      <w:r>
        <w:rPr>
          <w:rFonts w:hint="eastAsia" w:ascii="宋体" w:hAnsi="宋体" w:cs="宋体"/>
          <w:b/>
          <w:bCs/>
          <w:color w:val="auto"/>
          <w:kern w:val="0"/>
          <w:sz w:val="24"/>
          <w:szCs w:val="24"/>
          <w:highlight w:val="none"/>
        </w:rPr>
        <w:t>接受前期服务机构投标</w:t>
      </w:r>
      <w:r>
        <w:rPr>
          <w:rFonts w:hint="eastAsia" w:ascii="宋体" w:hAnsi="宋体" w:cs="宋体"/>
          <w:color w:val="auto"/>
          <w:kern w:val="0"/>
          <w:sz w:val="24"/>
          <w:szCs w:val="24"/>
          <w:highlight w:val="none"/>
        </w:rPr>
        <w:t>。</w:t>
      </w:r>
    </w:p>
    <w:p>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2</w:t>
      </w:r>
      <w:r>
        <w:rPr>
          <w:rFonts w:hint="eastAsia" w:ascii="宋体" w:hAnsi="宋体" w:cs="宋体"/>
          <w:color w:val="auto"/>
          <w:kern w:val="0"/>
          <w:sz w:val="24"/>
          <w:szCs w:val="24"/>
          <w:highlight w:val="none"/>
        </w:rPr>
        <w:t>、投标时是否需要提交设计模型：</w:t>
      </w:r>
      <w:r>
        <w:rPr>
          <w:rFonts w:hint="eastAsia" w:ascii="宋体" w:hAnsi="宋体" w:cs="宋体"/>
          <w:color w:val="auto"/>
          <w:kern w:val="0"/>
          <w:sz w:val="24"/>
          <w:szCs w:val="24"/>
          <w:highlight w:val="none"/>
          <w:u w:val="single"/>
        </w:rPr>
        <w:t>否。</w:t>
      </w:r>
    </w:p>
    <w:p>
      <w:pPr>
        <w:widowControl/>
        <w:shd w:val="clear" w:color="auto" w:fill="FFFFFF"/>
        <w:tabs>
          <w:tab w:val="left" w:pos="105"/>
        </w:tabs>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u w:val="single"/>
          <w:shd w:val="clear" w:color="auto" w:fill="FFFFFF"/>
        </w:rPr>
        <w:t>参加投标之前，</w:t>
      </w:r>
      <w:r>
        <w:rPr>
          <w:rFonts w:hint="eastAsia" w:ascii="宋体" w:hAnsi="宋体" w:cs="宋体"/>
          <w:color w:val="auto"/>
          <w:sz w:val="24"/>
          <w:szCs w:val="24"/>
          <w:highlight w:val="none"/>
          <w:u w:val="single"/>
        </w:rPr>
        <w:t>投标人应查询企业信用档案、拟报项目负责人的使用状态，</w:t>
      </w:r>
      <w:r>
        <w:rPr>
          <w:rFonts w:hint="eastAsia" w:ascii="宋体" w:hAnsi="宋体" w:cs="宋体"/>
          <w:color w:val="auto"/>
          <w:sz w:val="24"/>
          <w:szCs w:val="24"/>
          <w:highlight w:val="none"/>
          <w:u w:val="single"/>
          <w:shd w:val="clear" w:color="auto" w:fill="FFFFFF"/>
        </w:rPr>
        <w:t>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、潜在投标人或利害关系人对本招标公告及招标内容有异议的，向招标人提出。</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highlight w:val="none"/>
          <w:u w:val="single"/>
          <w:lang w:eastAsia="zh-CN"/>
        </w:rPr>
        <w:t>广州高新技术产业集团有限公司</w:t>
      </w:r>
      <w:r>
        <w:rPr>
          <w:rFonts w:hint="eastAsia" w:ascii="宋体" w:hAnsi="宋体" w:cs="宋体"/>
          <w:color w:val="auto"/>
          <w:kern w:val="0"/>
          <w:sz w:val="24"/>
          <w:szCs w:val="24"/>
          <w:highlight w:val="none"/>
          <w:u w:val="single"/>
        </w:rPr>
        <w:t>；</w:t>
      </w:r>
    </w:p>
    <w:p>
      <w:pPr>
        <w:widowControl/>
        <w:shd w:val="clear" w:color="auto" w:fill="FFFFFF"/>
        <w:spacing w:line="360" w:lineRule="auto"/>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sz w:val="24"/>
          <w:highlight w:val="none"/>
          <w:u w:val="single"/>
          <w:lang w:eastAsia="zh-CN"/>
        </w:rPr>
        <w:t>15920991682</w:t>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地</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址：</w:t>
      </w:r>
      <w:r>
        <w:rPr>
          <w:rFonts w:hint="eastAsia" w:ascii="宋体" w:cs="宋体"/>
          <w:color w:val="auto"/>
          <w:kern w:val="0"/>
          <w:sz w:val="24"/>
          <w:szCs w:val="24"/>
          <w:highlight w:val="none"/>
          <w:u w:val="single"/>
        </w:rPr>
        <w:t>广州市天河区软件路11号 10楼</w:t>
      </w:r>
      <w:r>
        <w:rPr>
          <w:rFonts w:hint="eastAsia" w:ascii="宋体" w:hAnsi="宋体"/>
          <w:color w:val="auto"/>
          <w:sz w:val="24"/>
          <w:highlight w:val="none"/>
          <w:u w:val="single"/>
          <w:lang w:val="en-US" w:eastAsia="zh-CN"/>
        </w:rPr>
        <w:t>。</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1.具体操作详见“广州交易集团有限公司（广州公共资源交易中心）门户网站首页-&gt;服务指南-&gt;系统帮助-&gt;操作手册-&gt;发起及受理异议操作指引”。</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widowControl/>
        <w:shd w:val="clear" w:color="auto" w:fill="FFFFFF"/>
        <w:tabs>
          <w:tab w:val="left" w:pos="0"/>
        </w:tabs>
        <w:wordWrap w:val="0"/>
        <w:spacing w:line="360" w:lineRule="auto"/>
        <w:ind w:firstLine="420" w:firstLineChars="1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、本公告在</w:t>
      </w:r>
      <w:r>
        <w:rPr>
          <w:rFonts w:hint="eastAsia" w:ascii="宋体" w:hAnsi="宋体" w:cs="宋体"/>
          <w:b/>
          <w:bCs/>
          <w:color w:val="auto"/>
          <w:kern w:val="0"/>
          <w:sz w:val="24"/>
          <w:szCs w:val="24"/>
          <w:highlight w:val="none"/>
        </w:rPr>
        <w:t>广州交易集团有限公司（广州公共资源交易中心）官网（网址：http://www.gzggzy.cn）、广东省招标投标监管网（网址：https://zbtb.gd.gov.cn/）和中国招标投标公共服务平台（网址：http://www.cebpubservice.com/）</w:t>
      </w:r>
      <w:r>
        <w:rPr>
          <w:rFonts w:hint="eastAsia" w:ascii="宋体" w:hAnsi="宋体" w:cs="宋体"/>
          <w:color w:val="auto"/>
          <w:kern w:val="0"/>
          <w:sz w:val="24"/>
          <w:szCs w:val="24"/>
          <w:highlight w:val="none"/>
        </w:rPr>
        <w:t>发布，本公告的修改、补充，在广州交易集团有限公司（广州公共资源交易中心）官网发布。</w:t>
      </w:r>
    </w:p>
    <w:p>
      <w:pPr>
        <w:spacing w:line="360" w:lineRule="auto"/>
        <w:ind w:firstLine="561" w:firstLineChars="234"/>
        <w:contextualSpacing/>
        <w:rPr>
          <w:rFonts w:ascii="宋体" w:hAnsi="宋体" w:cs="宋体"/>
          <w:color w:val="auto"/>
          <w:sz w:val="24"/>
          <w:szCs w:val="24"/>
          <w:highlight w:val="none"/>
        </w:rPr>
      </w:pPr>
      <w:r>
        <w:rPr>
          <w:rFonts w:hint="eastAsia" w:ascii="宋体" w:hAnsi="宋体" w:cs="宋体"/>
          <w:color w:val="auto"/>
          <w:kern w:val="0"/>
          <w:sz w:val="24"/>
          <w:szCs w:val="24"/>
          <w:highlight w:val="none"/>
        </w:rPr>
        <w:t>十</w:t>
      </w: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、本项目为电子评标，投标文件全部采用电子文档，投标人按招标文件要求提交投标文件。</w:t>
      </w:r>
    </w:p>
    <w:p>
      <w:pPr>
        <w:spacing w:line="360" w:lineRule="auto"/>
        <w:ind w:firstLine="561" w:firstLineChars="234"/>
        <w:contextualSpacing/>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、特别提示：投标人在本项目招标人的工程项目中存在下列行为的，将被拒绝一年内参与我司后续工程投标。（注：拒绝投标时限由招标人视严重程度确定，最低</w:t>
      </w:r>
      <w:r>
        <w:rPr>
          <w:rFonts w:ascii="宋体" w:hAnsi="宋体" w:cs="Calibri"/>
          <w:color w:val="auto"/>
          <w:sz w:val="24"/>
          <w:szCs w:val="24"/>
          <w:highlight w:val="none"/>
          <w:shd w:val="clear" w:color="auto" w:fill="FFFFFF"/>
        </w:rPr>
        <w:t>一年</w:t>
      </w:r>
      <w:r>
        <w:rPr>
          <w:rFonts w:hint="eastAsia" w:ascii="宋体" w:hAnsi="宋体" w:cs="宋体"/>
          <w:color w:val="auto"/>
          <w:sz w:val="24"/>
          <w:szCs w:val="24"/>
          <w:highlight w:val="none"/>
        </w:rPr>
        <w:t>起，自招标人发出通知之日起计）：</w:t>
      </w:r>
    </w:p>
    <w:p>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3.出让投标资格的；</w:t>
      </w:r>
    </w:p>
    <w:p>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.存在围标或串标情形的；</w:t>
      </w:r>
    </w:p>
    <w:p>
      <w:pPr>
        <w:adjustRightInd/>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.在投标文件中提供虚假材料的；</w:t>
      </w:r>
    </w:p>
    <w:p>
      <w:pPr>
        <w:adjustRightInd/>
        <w:snapToGri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6.存在少放、不放业绩、奖项等客观评审资料，减少自身竞争力情形的；</w:t>
      </w:r>
    </w:p>
    <w:p>
      <w:pPr>
        <w:adjustRightInd/>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.存在行贿情形的；</w:t>
      </w:r>
    </w:p>
    <w:p>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highlight w:val="none"/>
        </w:rPr>
        <w:t>拖欠农民工工资的；</w:t>
      </w:r>
    </w:p>
    <w:p>
      <w:pPr>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.未按照国家、省、市有关建筑施工实名制管理和工人工资支付分账管理的规定执行，被行政监管部门处罚的。</w:t>
      </w:r>
    </w:p>
    <w:p>
      <w:pPr>
        <w:snapToGrid w:val="0"/>
        <w:spacing w:line="360" w:lineRule="auto"/>
        <w:ind w:right="97" w:rightChars="46" w:firstLine="3120" w:firstLineChars="1300"/>
        <w:jc w:val="left"/>
        <w:rPr>
          <w:rFonts w:ascii="宋体" w:hAnsi="宋体" w:cs="宋体"/>
          <w:color w:val="auto"/>
          <w:sz w:val="24"/>
          <w:szCs w:val="24"/>
          <w:highlight w:val="none"/>
        </w:rPr>
      </w:pPr>
    </w:p>
    <w:p>
      <w:pPr>
        <w:adjustRightInd w:val="0"/>
        <w:snapToGrid w:val="0"/>
        <w:spacing w:line="360" w:lineRule="auto"/>
        <w:ind w:firstLine="540"/>
        <w:jc w:val="right"/>
        <w:rPr>
          <w:rFonts w:hint="eastAsia" w:ascii="宋体" w:hAnsi="宋体" w:cs="宋体"/>
          <w:color w:val="auto"/>
          <w:kern w:val="0"/>
          <w:sz w:val="24"/>
          <w:highlight w:val="none"/>
        </w:rPr>
      </w:pPr>
    </w:p>
    <w:p>
      <w:pPr>
        <w:adjustRightInd w:val="0"/>
        <w:snapToGrid w:val="0"/>
        <w:spacing w:line="360" w:lineRule="auto"/>
        <w:ind w:firstLine="540"/>
        <w:jc w:val="righ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p>
    <w:p>
      <w:pPr>
        <w:adjustRightInd w:val="0"/>
        <w:snapToGrid w:val="0"/>
        <w:spacing w:line="480" w:lineRule="auto"/>
        <w:ind w:firstLine="540"/>
        <w:jc w:val="righ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招标人：</w:t>
      </w:r>
      <w:r>
        <w:rPr>
          <w:rFonts w:hint="eastAsia" w:ascii="宋体" w:hAnsi="宋体" w:cs="宋体"/>
          <w:color w:val="auto"/>
          <w:kern w:val="0"/>
          <w:sz w:val="24"/>
          <w:highlight w:val="none"/>
          <w:lang w:eastAsia="zh-CN"/>
        </w:rPr>
        <w:t>广州高新技术产业集团有限公司</w:t>
      </w:r>
    </w:p>
    <w:p>
      <w:pPr>
        <w:adjustRightInd w:val="0"/>
        <w:snapToGrid w:val="0"/>
        <w:spacing w:line="480" w:lineRule="auto"/>
        <w:ind w:firstLine="540"/>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lang w:eastAsia="zh-CN"/>
        </w:rPr>
        <w:t>公诚管理咨询有限公司</w:t>
      </w:r>
    </w:p>
    <w:p>
      <w:pPr>
        <w:adjustRightInd w:val="0"/>
        <w:snapToGrid w:val="0"/>
        <w:spacing w:line="480" w:lineRule="auto"/>
        <w:ind w:firstLine="540"/>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日     期：</w:t>
      </w: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rPr>
        <w:t>年　　月　　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附件一：</w:t>
      </w:r>
    </w:p>
    <w:p>
      <w:pPr>
        <w:widowControl/>
        <w:spacing w:line="400" w:lineRule="exact"/>
        <w:ind w:firstLine="723"/>
        <w:jc w:val="center"/>
        <w:rPr>
          <w:rFonts w:ascii="宋体" w:hAnsi="宋体"/>
          <w:b/>
          <w:color w:val="auto"/>
          <w:sz w:val="36"/>
          <w:szCs w:val="36"/>
          <w:highlight w:val="none"/>
          <w:u w:val="single"/>
        </w:rPr>
      </w:pPr>
      <w:r>
        <w:rPr>
          <w:rFonts w:hint="eastAsia" w:ascii="宋体" w:hAnsi="宋体"/>
          <w:b/>
          <w:color w:val="auto"/>
          <w:sz w:val="36"/>
          <w:szCs w:val="36"/>
          <w:highlight w:val="none"/>
        </w:rPr>
        <w:t>投标人声明</w:t>
      </w:r>
    </w:p>
    <w:p>
      <w:pPr>
        <w:widowControl/>
        <w:spacing w:line="400" w:lineRule="exact"/>
        <w:ind w:firstLine="540"/>
        <w:rPr>
          <w:rFonts w:ascii="宋体" w:hAnsi="宋体"/>
          <w:color w:val="auto"/>
          <w:spacing w:val="15"/>
          <w:kern w:val="0"/>
          <w:highlight w:val="none"/>
        </w:rPr>
      </w:pPr>
    </w:p>
    <w:p>
      <w:pPr>
        <w:pStyle w:val="50"/>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广州市天河区住房和城乡建设局、本招标项目招标人及招标监管机构：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lang w:eastAsia="zh-CN"/>
        </w:rPr>
        <w:t>广州高新集团天蕴路2号物业（天河软件园软件产业集中孵化中心）配电增容项目设计施工总承包</w:t>
      </w:r>
      <w:r>
        <w:rPr>
          <w:rFonts w:hint="eastAsia" w:ascii="宋体" w:hAnsi="宋体" w:eastAsia="宋体"/>
          <w:color w:val="auto"/>
          <w:sz w:val="24"/>
          <w:szCs w:val="24"/>
          <w:highlight w:val="none"/>
        </w:rPr>
        <w:t>投标工作，作出郑重声明：</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（9）与本标段的检测机构有隶属关系或者其他利害关系；</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（10）与招标人存在利害关系且可能影响招标公正性； </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（11）与本标段的其他投标人为同一个单位负责人； </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（12）与本标段的其他投标人存在控股、管理关系； </w:t>
      </w:r>
    </w:p>
    <w:p>
      <w:pPr>
        <w:pStyle w:val="50"/>
        <w:ind w:left="0" w:leftChars="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13</w:t>
      </w:r>
      <w:r>
        <w:rPr>
          <w:rFonts w:hint="eastAsia" w:ascii="宋体" w:hAnsi="宋体" w:eastAsia="宋体" w:cs="Times New Roman"/>
          <w:color w:val="auto"/>
          <w:sz w:val="24"/>
          <w:szCs w:val="24"/>
          <w:highlight w:val="none"/>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50"/>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）被责令停产停业、暂扣或者吊销许可证、暂扣或者吊销执照的（本项事实应当以根据《中华人民共和国行政处罚法》依法作出并已经生效的行政处罚决定为认定依据。）；</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）进入清算程序，或被宣布破产，或其他丧失履约能力的情形；</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）在最近三年内有骗取中标或严重违约或重大工程质量问题的</w:t>
      </w:r>
      <w:r>
        <w:rPr>
          <w:rFonts w:hint="eastAsia" w:ascii="宋体" w:hAnsi="宋体" w:eastAsia="宋体" w:cs="Times New Roman"/>
          <w:color w:val="auto"/>
          <w:sz w:val="24"/>
          <w:szCs w:val="24"/>
          <w:highlight w:val="non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auto"/>
          <w:sz w:val="24"/>
          <w:szCs w:val="24"/>
          <w:highlight w:val="none"/>
        </w:rPr>
        <w:t>；</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）被工商行政管理机关在全国企业信用信息公示系统中列入严重违法失信企业名单；</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）被最高人民法院在“信用中国”网站（www.creditchina.gov.cn）或各级信用信息共享平台中列入失信被执行人名单；</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19</w:t>
      </w:r>
      <w:r>
        <w:rPr>
          <w:rFonts w:hint="eastAsia" w:ascii="宋体" w:hAnsi="宋体" w:eastAsia="宋体"/>
          <w:color w:val="auto"/>
          <w:sz w:val="24"/>
          <w:szCs w:val="24"/>
          <w:highlight w:val="none"/>
        </w:rPr>
        <w:t>）在近三年内投标人或其法定代表人、拟委派的项目负责人有行贿犯罪行为的；</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）法律法规规定的其他情形。</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5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。（注：本条由投标人如实填写，如有，应列出全部满足招标公告资质要求的相关单位的名称；如无，则填写“无”。）</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十、本公司承诺，中标后将按招标人要求，积极响应广州市关于投身“百千万工程”的号召，主动参与建筑业结对帮扶。</w:t>
      </w:r>
    </w:p>
    <w:p>
      <w:pPr>
        <w:pStyle w:val="5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特此声明。</w:t>
      </w:r>
    </w:p>
    <w:p>
      <w:pPr>
        <w:pStyle w:val="49"/>
        <w:ind w:left="0" w:right="1449"/>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pPr>
        <w:pStyle w:val="49"/>
        <w:ind w:left="0" w:right="1449"/>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声明企业：</w:t>
      </w:r>
    </w:p>
    <w:p>
      <w:pPr>
        <w:pStyle w:val="49"/>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项目负责人签字:</w:t>
      </w:r>
    </w:p>
    <w:p>
      <w:pPr>
        <w:pStyle w:val="49"/>
        <w:ind w:left="0" w:right="1449" w:firstLine="3600" w:firstLineChars="1500"/>
        <w:jc w:val="both"/>
        <w:rPr>
          <w:rFonts w:hint="eastAsia" w:ascii="宋体" w:hAnsi="宋体"/>
          <w:color w:val="auto"/>
          <w:sz w:val="24"/>
          <w:szCs w:val="24"/>
          <w:highlight w:val="none"/>
        </w:rPr>
      </w:pPr>
      <w:r>
        <w:rPr>
          <w:rFonts w:hint="eastAsia" w:ascii="宋体" w:hAnsi="宋体"/>
          <w:color w:val="auto"/>
          <w:sz w:val="24"/>
          <w:szCs w:val="24"/>
          <w:highlight w:val="none"/>
        </w:rPr>
        <w:t>技术负责人签字：</w:t>
      </w:r>
    </w:p>
    <w:p>
      <w:pPr>
        <w:pStyle w:val="49"/>
        <w:ind w:left="629" w:right="1449" w:firstLine="3840" w:firstLineChars="1600"/>
        <w:jc w:val="both"/>
        <w:rPr>
          <w:rFonts w:hint="eastAsia" w:ascii="宋体" w:hAnsi="宋体"/>
          <w:color w:val="auto"/>
          <w:sz w:val="24"/>
          <w:szCs w:val="24"/>
          <w:highlight w:val="none"/>
        </w:rPr>
      </w:pPr>
      <w:r>
        <w:rPr>
          <w:rFonts w:hint="eastAsia" w:ascii="宋体" w:hAnsi="宋体"/>
          <w:color w:val="auto"/>
          <w:sz w:val="24"/>
          <w:szCs w:val="24"/>
          <w:highlight w:val="none"/>
        </w:rPr>
        <w:t>年   月   日</w:t>
      </w:r>
    </w:p>
    <w:p>
      <w:pPr>
        <w:pStyle w:val="49"/>
        <w:ind w:left="0" w:right="1449"/>
        <w:jc w:val="both"/>
        <w:rPr>
          <w:rFonts w:hint="eastAsia" w:ascii="宋体" w:hAnsi="宋体"/>
          <w:color w:val="auto"/>
          <w:sz w:val="24"/>
          <w:szCs w:val="24"/>
          <w:highlight w:val="none"/>
        </w:rPr>
      </w:pPr>
    </w:p>
    <w:p>
      <w:pPr>
        <w:pStyle w:val="50"/>
        <w:ind w:right="879" w:firstLine="0" w:firstLineChars="0"/>
        <w:jc w:val="left"/>
        <w:rPr>
          <w:rFonts w:hint="eastAsia" w:ascii="宋体" w:hAnsi="宋体" w:eastAsia="宋体"/>
          <w:color w:val="auto"/>
          <w:sz w:val="24"/>
          <w:szCs w:val="24"/>
          <w:highlight w:val="none"/>
        </w:rPr>
      </w:pPr>
    </w:p>
    <w:p>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附件二</w:t>
      </w:r>
      <w:bookmarkStart w:id="28" w:name="_Toc176957438"/>
      <w:bookmarkStart w:id="29" w:name="_Toc174886239"/>
      <w:bookmarkStart w:id="30" w:name="_Toc81818274"/>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联合体协议书（联合体投标人提供）</w:t>
      </w:r>
      <w:bookmarkEnd w:id="28"/>
    </w:p>
    <w:bookmarkEnd w:id="29"/>
    <w:bookmarkEnd w:id="30"/>
    <w:p>
      <w:pPr>
        <w:spacing w:line="360" w:lineRule="auto"/>
        <w:jc w:val="center"/>
        <w:rPr>
          <w:rFonts w:hint="eastAsia" w:ascii="宋体" w:hAnsi="宋体" w:cs="宋体"/>
          <w:b/>
          <w:color w:val="auto"/>
          <w:sz w:val="24"/>
          <w:highlight w:val="none"/>
        </w:rPr>
      </w:pPr>
      <w:r>
        <w:rPr>
          <w:rFonts w:hint="eastAsia" w:ascii="宋体" w:hAnsi="宋体" w:cs="宋体"/>
          <w:b/>
          <w:color w:val="auto"/>
          <w:kern w:val="0"/>
          <w:sz w:val="24"/>
          <w:highlight w:val="none"/>
        </w:rPr>
        <w:t>联合体共同投标协议书</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[主办方单位名称、成员方单位名称]自愿组成联合体，共同参加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（主办方单位名称）为联合体主办方。</w:t>
      </w:r>
      <w:r>
        <w:rPr>
          <w:rFonts w:hint="eastAsia" w:ascii="宋体" w:hAnsi="宋体" w:cs="宋体"/>
          <w:color w:val="auto"/>
          <w:sz w:val="24"/>
          <w:highlight w:val="none"/>
          <w:lang w:val="en-US" w:eastAsia="zh-CN"/>
        </w:rPr>
        <w:t>为施工总负责方，并</w:t>
      </w:r>
      <w:r>
        <w:rPr>
          <w:rFonts w:hint="eastAsia" w:ascii="宋体" w:hAnsi="宋体" w:cs="宋体"/>
          <w:color w:val="auto"/>
          <w:sz w:val="24"/>
          <w:highlight w:val="none"/>
        </w:rPr>
        <w:t>负责设计施工总承包管理的职责。联合体其他相关方违约时，主办方应承担连带责任，具体按合同要求。</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4、联合体各成员单位内部的职责分工如下：</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①（单位名称，主办方）</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：职责分工</w:t>
      </w:r>
      <w:r>
        <w:rPr>
          <w:rFonts w:hint="eastAsia" w:hAnsi="宋体" w:cs="宋体"/>
          <w:color w:val="auto"/>
          <w:sz w:val="24"/>
          <w:szCs w:val="24"/>
          <w:highlight w:val="none"/>
          <w:lang w:val="en-US" w:eastAsia="zh-CN"/>
        </w:rPr>
        <w:t>包含</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w:t>
      </w:r>
      <w:r>
        <w:rPr>
          <w:rFonts w:hint="eastAsia" w:ascii="宋体" w:hAnsi="宋体" w:cs="宋体"/>
          <w:color w:val="auto"/>
          <w:sz w:val="24"/>
          <w:highlight w:val="none"/>
          <w:lang w:val="en-US" w:eastAsia="zh-CN"/>
        </w:rPr>
        <w:t>并作为施工总负责方，</w:t>
      </w:r>
      <w:r>
        <w:rPr>
          <w:rFonts w:hint="eastAsia" w:hAnsi="宋体" w:cs="宋体"/>
          <w:color w:val="auto"/>
          <w:sz w:val="24"/>
          <w:szCs w:val="24"/>
          <w:highlight w:val="none"/>
          <w:lang w:val="en-US" w:eastAsia="zh-CN"/>
        </w:rPr>
        <w:t>同时还</w:t>
      </w:r>
      <w:r>
        <w:rPr>
          <w:rFonts w:hint="eastAsia" w:hAnsi="宋体" w:cs="宋体"/>
          <w:color w:val="auto"/>
          <w:sz w:val="24"/>
          <w:szCs w:val="24"/>
          <w:highlight w:val="none"/>
        </w:rPr>
        <w:t>负责设计施工总承包管理的职责。联合体其他相关方违约时，主办方应承担连带责任</w:t>
      </w:r>
      <w:r>
        <w:rPr>
          <w:rFonts w:hint="eastAsia" w:hAnsi="宋体" w:cs="宋体"/>
          <w:color w:val="auto"/>
          <w:sz w:val="24"/>
          <w:szCs w:val="24"/>
          <w:highlight w:val="none"/>
          <w:lang w:eastAsia="zh-CN"/>
        </w:rPr>
        <w:t>；</w:t>
      </w:r>
      <w:r>
        <w:rPr>
          <w:rFonts w:hint="eastAsia" w:hAnsi="宋体" w:cs="宋体"/>
          <w:color w:val="auto"/>
          <w:sz w:val="24"/>
          <w:szCs w:val="24"/>
          <w:highlight w:val="none"/>
        </w:rPr>
        <w:t>具体按合同要求。</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②（单位名称，成员方）</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：职责分工</w:t>
      </w:r>
      <w:r>
        <w:rPr>
          <w:rFonts w:hint="eastAsia" w:hAnsi="宋体" w:cs="宋体"/>
          <w:color w:val="auto"/>
          <w:sz w:val="24"/>
          <w:szCs w:val="24"/>
          <w:highlight w:val="none"/>
          <w:lang w:val="en-US" w:eastAsia="zh-CN"/>
        </w:rPr>
        <w:t>包含</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none"/>
          <w:lang w:val="en-US" w:eastAsia="zh-CN"/>
        </w:rPr>
        <w:t>的设计工作</w:t>
      </w:r>
      <w:r>
        <w:rPr>
          <w:rFonts w:hint="eastAsia" w:hAnsi="宋体" w:cs="宋体"/>
          <w:color w:val="auto"/>
          <w:sz w:val="24"/>
          <w:szCs w:val="24"/>
          <w:highlight w:val="none"/>
        </w:rPr>
        <w:t>，</w:t>
      </w:r>
      <w:r>
        <w:rPr>
          <w:rFonts w:hint="eastAsia" w:ascii="宋体" w:hAnsi="宋体" w:cs="宋体"/>
          <w:color w:val="auto"/>
          <w:sz w:val="24"/>
          <w:highlight w:val="none"/>
          <w:lang w:val="en-US" w:eastAsia="zh-CN"/>
        </w:rPr>
        <w:t>并作为设计总负责方；</w:t>
      </w:r>
      <w:r>
        <w:rPr>
          <w:rFonts w:hint="eastAsia" w:hAnsi="宋体" w:cs="宋体"/>
          <w:color w:val="auto"/>
          <w:sz w:val="24"/>
          <w:szCs w:val="24"/>
          <w:highlight w:val="none"/>
        </w:rPr>
        <w:t>具体按合同要求。</w:t>
      </w:r>
    </w:p>
    <w:p>
      <w:pPr>
        <w:pStyle w:val="12"/>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......（由投标人根据自身联合体数量增减）</w:t>
      </w:r>
    </w:p>
    <w:p>
      <w:pPr>
        <w:pStyle w:val="12"/>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SA"/>
        </w:rPr>
        <w:t>5、</w:t>
      </w:r>
      <w:r>
        <w:rPr>
          <w:rFonts w:hint="eastAsia" w:hAnsi="宋体" w:cs="宋体"/>
          <w:color w:val="auto"/>
          <w:sz w:val="24"/>
          <w:szCs w:val="24"/>
          <w:highlight w:val="none"/>
          <w:lang w:val="en-US" w:eastAsia="zh-CN"/>
        </w:rPr>
        <w:t>其他：</w:t>
      </w:r>
    </w:p>
    <w:p>
      <w:pPr>
        <w:pStyle w:val="12"/>
        <w:numPr>
          <w:ilvl w:val="0"/>
          <w:numId w:val="0"/>
        </w:numPr>
        <w:spacing w:line="360" w:lineRule="auto"/>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......（由投标人根据自身分工约定）</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本协议书自签署盖章之日起生效，合同履行完毕后自动失效。</w:t>
      </w:r>
    </w:p>
    <w:p>
      <w:pPr>
        <w:topLinePunct/>
        <w:spacing w:line="360" w:lineRule="auto"/>
        <w:rPr>
          <w:rFonts w:hint="eastAsia" w:ascii="宋体" w:hAnsi="宋体" w:cs="宋体"/>
          <w:color w:val="auto"/>
          <w:sz w:val="24"/>
          <w:highlight w:val="none"/>
        </w:rPr>
      </w:pP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主办方名称：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成员方名称：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......（由投标人根据自身联合体数量增减）</w:t>
      </w:r>
    </w:p>
    <w:p>
      <w:pPr>
        <w:pStyle w:val="12"/>
        <w:spacing w:line="360" w:lineRule="auto"/>
        <w:rPr>
          <w:rFonts w:hint="eastAsia" w:hAnsi="宋体" w:cs="宋体"/>
          <w:color w:val="auto"/>
          <w:sz w:val="24"/>
          <w:szCs w:val="24"/>
          <w:highlight w:val="none"/>
        </w:rPr>
      </w:pPr>
    </w:p>
    <w:p>
      <w:pPr>
        <w:pStyle w:val="12"/>
        <w:spacing w:line="360" w:lineRule="auto"/>
        <w:jc w:val="right"/>
        <w:rPr>
          <w:rFonts w:hint="eastAsia" w:hAnsi="宋体" w:cs="宋体"/>
          <w:color w:val="auto"/>
          <w:sz w:val="24"/>
          <w:szCs w:val="24"/>
          <w:highlight w:val="none"/>
        </w:rPr>
      </w:pPr>
      <w:r>
        <w:rPr>
          <w:rFonts w:hint="eastAsia" w:hAnsi="宋体" w:cs="宋体"/>
          <w:color w:val="auto"/>
          <w:sz w:val="24"/>
          <w:szCs w:val="24"/>
          <w:highlight w:val="none"/>
        </w:rPr>
        <w:t>年   月   日</w:t>
      </w:r>
    </w:p>
    <w:p>
      <w:pPr>
        <w:topLinePunct/>
        <w:spacing w:line="420" w:lineRule="exact"/>
        <w:rPr>
          <w:rFonts w:hint="eastAsia" w:ascii="宋体" w:hAnsi="宋体" w:cs="宋体"/>
          <w:b/>
          <w:color w:val="auto"/>
          <w:kern w:val="0"/>
          <w:sz w:val="24"/>
          <w:highlight w:val="none"/>
        </w:rPr>
      </w:pPr>
    </w:p>
    <w:p>
      <w:pPr>
        <w:topLinePunct/>
        <w:spacing w:line="420" w:lineRule="exact"/>
        <w:rPr>
          <w:rFonts w:ascii="宋体" w:hAnsi="宋体"/>
          <w:color w:val="auto"/>
          <w:sz w:val="24"/>
          <w:szCs w:val="24"/>
          <w:highlight w:val="none"/>
        </w:rPr>
      </w:pPr>
      <w:r>
        <w:rPr>
          <w:rFonts w:hint="eastAsia" w:ascii="宋体" w:hAnsi="宋体" w:cs="宋体"/>
          <w:b/>
          <w:color w:val="auto"/>
          <w:kern w:val="0"/>
          <w:sz w:val="24"/>
          <w:highlight w:val="none"/>
        </w:rPr>
        <w:t>注：单独投标的，无需提交本协议。联合体投标的，本协议需填妥并由联合体各方按格式共同盖章和签字后提交。</w:t>
      </w: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pStyle w:val="50"/>
        <w:ind w:right="1449" w:firstLine="0"/>
        <w:rPr>
          <w:rFonts w:ascii="宋体" w:hAnsi="宋体" w:eastAsia="宋体" w:cs="宋体"/>
          <w:color w:val="auto"/>
          <w:highlight w:val="none"/>
        </w:rPr>
      </w:pPr>
    </w:p>
    <w:p>
      <w:pPr>
        <w:ind w:firstLine="480"/>
        <w:rPr>
          <w:rFonts w:ascii="宋体" w:hAnsi="宋体"/>
          <w:color w:val="auto"/>
          <w:highlight w:val="none"/>
        </w:rPr>
      </w:pPr>
    </w:p>
    <w:p>
      <w:pPr>
        <w:widowControl/>
        <w:ind w:firstLine="723"/>
        <w:jc w:val="center"/>
        <w:rPr>
          <w:rFonts w:ascii="宋体" w:hAnsi="宋体"/>
          <w:b/>
          <w:bCs/>
          <w:color w:val="auto"/>
          <w:kern w:val="0"/>
          <w:sz w:val="36"/>
          <w:szCs w:val="36"/>
          <w:highlight w:val="none"/>
        </w:rPr>
      </w:pPr>
    </w:p>
    <w:p>
      <w:pPr>
        <w:widowControl/>
        <w:ind w:firstLine="723"/>
        <w:rPr>
          <w:rFonts w:ascii="宋体" w:hAnsi="宋体"/>
          <w:b/>
          <w:bCs/>
          <w:color w:val="auto"/>
          <w:kern w:val="0"/>
          <w:sz w:val="36"/>
          <w:szCs w:val="36"/>
          <w:highlight w:val="none"/>
        </w:rPr>
      </w:pPr>
    </w:p>
    <w:p>
      <w:pPr>
        <w:pStyle w:val="18"/>
        <w:ind w:left="0"/>
        <w:rPr>
          <w:rFonts w:ascii="宋体" w:hAnsi="宋体"/>
          <w:color w:val="auto"/>
          <w:highlight w:val="none"/>
        </w:rPr>
      </w:pPr>
    </w:p>
    <w:sectPr>
      <w:footerReference r:id="rId5" w:type="first"/>
      <w:headerReference r:id="rId3" w:type="default"/>
      <w:footerReference r:id="rId4" w:type="default"/>
      <w:pgSz w:w="11906" w:h="16838"/>
      <w:pgMar w:top="1417" w:right="1417" w:bottom="1417" w:left="1417"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6151" w:y="64"/>
      <w:rPr>
        <w:rStyle w:val="28"/>
      </w:rPr>
    </w:pPr>
    <w:r>
      <w:fldChar w:fldCharType="begin"/>
    </w:r>
    <w:r>
      <w:rPr>
        <w:rStyle w:val="28"/>
      </w:rPr>
      <w:instrText xml:space="preserve">PAGE  </w:instrText>
    </w:r>
    <w:r>
      <w:fldChar w:fldCharType="separate"/>
    </w:r>
    <w:r>
      <w:rPr>
        <w:rStyle w:val="28"/>
      </w:rPr>
      <w:t>18</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BF0C5"/>
    <w:multiLevelType w:val="singleLevel"/>
    <w:tmpl w:val="D05BF0C5"/>
    <w:lvl w:ilvl="0" w:tentative="0">
      <w:start w:val="1"/>
      <w:numFmt w:val="decimal"/>
      <w:suff w:val="nothing"/>
      <w:lvlText w:val="（%1）"/>
      <w:lvlJc w:val="left"/>
    </w:lvl>
  </w:abstractNum>
  <w:abstractNum w:abstractNumId="1">
    <w:nsid w:val="3FE54067"/>
    <w:multiLevelType w:val="singleLevel"/>
    <w:tmpl w:val="3FE5406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s>
  <w:rsids>
    <w:rsidRoot w:val="00172A27"/>
    <w:rsid w:val="00047B4F"/>
    <w:rsid w:val="00051687"/>
    <w:rsid w:val="0005425C"/>
    <w:rsid w:val="000757B0"/>
    <w:rsid w:val="000827B5"/>
    <w:rsid w:val="000B5178"/>
    <w:rsid w:val="000C121C"/>
    <w:rsid w:val="000E4F5A"/>
    <w:rsid w:val="000F1C16"/>
    <w:rsid w:val="00101674"/>
    <w:rsid w:val="001040FF"/>
    <w:rsid w:val="00116675"/>
    <w:rsid w:val="001313B0"/>
    <w:rsid w:val="0015338A"/>
    <w:rsid w:val="00162544"/>
    <w:rsid w:val="00166FBB"/>
    <w:rsid w:val="00172A27"/>
    <w:rsid w:val="0020660A"/>
    <w:rsid w:val="0022585B"/>
    <w:rsid w:val="00233ED3"/>
    <w:rsid w:val="00261352"/>
    <w:rsid w:val="002E2F6D"/>
    <w:rsid w:val="002F72A7"/>
    <w:rsid w:val="002F75A3"/>
    <w:rsid w:val="003075BA"/>
    <w:rsid w:val="003323C5"/>
    <w:rsid w:val="00334392"/>
    <w:rsid w:val="003344BB"/>
    <w:rsid w:val="003379C2"/>
    <w:rsid w:val="003418EE"/>
    <w:rsid w:val="003634E0"/>
    <w:rsid w:val="00363A73"/>
    <w:rsid w:val="00383D10"/>
    <w:rsid w:val="003A4453"/>
    <w:rsid w:val="003B5865"/>
    <w:rsid w:val="003D6007"/>
    <w:rsid w:val="003F0B0F"/>
    <w:rsid w:val="00405DDA"/>
    <w:rsid w:val="00433DEC"/>
    <w:rsid w:val="004641C9"/>
    <w:rsid w:val="004D0B35"/>
    <w:rsid w:val="004E5901"/>
    <w:rsid w:val="004F7556"/>
    <w:rsid w:val="005536F5"/>
    <w:rsid w:val="0056136C"/>
    <w:rsid w:val="00592015"/>
    <w:rsid w:val="005A2A8D"/>
    <w:rsid w:val="005A3F69"/>
    <w:rsid w:val="005B21C3"/>
    <w:rsid w:val="005D231C"/>
    <w:rsid w:val="00667BFA"/>
    <w:rsid w:val="0067302D"/>
    <w:rsid w:val="00676FDA"/>
    <w:rsid w:val="006E6959"/>
    <w:rsid w:val="00712D8C"/>
    <w:rsid w:val="00714CBC"/>
    <w:rsid w:val="0073060F"/>
    <w:rsid w:val="007646A4"/>
    <w:rsid w:val="007923BE"/>
    <w:rsid w:val="007B2A58"/>
    <w:rsid w:val="007C534E"/>
    <w:rsid w:val="00866CF5"/>
    <w:rsid w:val="00873FB5"/>
    <w:rsid w:val="008915CD"/>
    <w:rsid w:val="008D096B"/>
    <w:rsid w:val="00925407"/>
    <w:rsid w:val="009F761E"/>
    <w:rsid w:val="009F7A86"/>
    <w:rsid w:val="00A03414"/>
    <w:rsid w:val="00A130AF"/>
    <w:rsid w:val="00A302E3"/>
    <w:rsid w:val="00A44063"/>
    <w:rsid w:val="00A44472"/>
    <w:rsid w:val="00A65DF8"/>
    <w:rsid w:val="00A669CE"/>
    <w:rsid w:val="00A76CA0"/>
    <w:rsid w:val="00A87CD1"/>
    <w:rsid w:val="00AC561F"/>
    <w:rsid w:val="00AD5823"/>
    <w:rsid w:val="00AE41F1"/>
    <w:rsid w:val="00B03AB8"/>
    <w:rsid w:val="00B13C69"/>
    <w:rsid w:val="00B2321B"/>
    <w:rsid w:val="00B619BE"/>
    <w:rsid w:val="00B62B25"/>
    <w:rsid w:val="00B91A00"/>
    <w:rsid w:val="00BC371A"/>
    <w:rsid w:val="00C408D2"/>
    <w:rsid w:val="00C612B7"/>
    <w:rsid w:val="00CC112D"/>
    <w:rsid w:val="00CC7B03"/>
    <w:rsid w:val="00CC7F8D"/>
    <w:rsid w:val="00CF3035"/>
    <w:rsid w:val="00CF68D9"/>
    <w:rsid w:val="00D16C5B"/>
    <w:rsid w:val="00D41191"/>
    <w:rsid w:val="00D47683"/>
    <w:rsid w:val="00D53C8B"/>
    <w:rsid w:val="00D5763E"/>
    <w:rsid w:val="00D613ED"/>
    <w:rsid w:val="00DC6CDF"/>
    <w:rsid w:val="00DF26FE"/>
    <w:rsid w:val="00E006F9"/>
    <w:rsid w:val="00E0515D"/>
    <w:rsid w:val="00E1365B"/>
    <w:rsid w:val="00E21493"/>
    <w:rsid w:val="00F02DA0"/>
    <w:rsid w:val="00F93B99"/>
    <w:rsid w:val="011858CB"/>
    <w:rsid w:val="019138AB"/>
    <w:rsid w:val="01A303CF"/>
    <w:rsid w:val="01B74261"/>
    <w:rsid w:val="01B963EB"/>
    <w:rsid w:val="01E52DAF"/>
    <w:rsid w:val="029D275F"/>
    <w:rsid w:val="029E3EF7"/>
    <w:rsid w:val="02E6168A"/>
    <w:rsid w:val="02F20591"/>
    <w:rsid w:val="03011BBD"/>
    <w:rsid w:val="03470150"/>
    <w:rsid w:val="036A13A4"/>
    <w:rsid w:val="03723DF1"/>
    <w:rsid w:val="0397607D"/>
    <w:rsid w:val="03C525EF"/>
    <w:rsid w:val="03C74B3D"/>
    <w:rsid w:val="03D52EF4"/>
    <w:rsid w:val="03E43A43"/>
    <w:rsid w:val="03E55A4E"/>
    <w:rsid w:val="0431202E"/>
    <w:rsid w:val="04B229E2"/>
    <w:rsid w:val="04D01847"/>
    <w:rsid w:val="05377F86"/>
    <w:rsid w:val="053A19A4"/>
    <w:rsid w:val="053A45A8"/>
    <w:rsid w:val="0590772F"/>
    <w:rsid w:val="05B32F51"/>
    <w:rsid w:val="05EB4FCC"/>
    <w:rsid w:val="065B7836"/>
    <w:rsid w:val="06782196"/>
    <w:rsid w:val="06C14C23"/>
    <w:rsid w:val="06EF7CF0"/>
    <w:rsid w:val="07010239"/>
    <w:rsid w:val="07BB7C23"/>
    <w:rsid w:val="07E37DDC"/>
    <w:rsid w:val="07EC308B"/>
    <w:rsid w:val="07FF75A1"/>
    <w:rsid w:val="082C7F21"/>
    <w:rsid w:val="08D1053A"/>
    <w:rsid w:val="08DE512C"/>
    <w:rsid w:val="09016473"/>
    <w:rsid w:val="09304580"/>
    <w:rsid w:val="094620D8"/>
    <w:rsid w:val="09675484"/>
    <w:rsid w:val="09A903F3"/>
    <w:rsid w:val="09C55EF2"/>
    <w:rsid w:val="09DA4F37"/>
    <w:rsid w:val="09FC4E8C"/>
    <w:rsid w:val="0A1809FE"/>
    <w:rsid w:val="0A3038F8"/>
    <w:rsid w:val="0A5F6F37"/>
    <w:rsid w:val="0A8C0315"/>
    <w:rsid w:val="0A8C07BD"/>
    <w:rsid w:val="0A9C5944"/>
    <w:rsid w:val="0AAA31CF"/>
    <w:rsid w:val="0AF845A7"/>
    <w:rsid w:val="0AFB2731"/>
    <w:rsid w:val="0B3D575C"/>
    <w:rsid w:val="0B7D013F"/>
    <w:rsid w:val="0B8F59C6"/>
    <w:rsid w:val="0BA4310E"/>
    <w:rsid w:val="0C3E58C5"/>
    <w:rsid w:val="0C7156BE"/>
    <w:rsid w:val="0C926000"/>
    <w:rsid w:val="0CA15321"/>
    <w:rsid w:val="0D1A620C"/>
    <w:rsid w:val="0D7F02AE"/>
    <w:rsid w:val="0D99235D"/>
    <w:rsid w:val="0DF84C32"/>
    <w:rsid w:val="0E455347"/>
    <w:rsid w:val="0ED67CAB"/>
    <w:rsid w:val="0EE00547"/>
    <w:rsid w:val="0F4A5C10"/>
    <w:rsid w:val="0F642DCD"/>
    <w:rsid w:val="0FBA381F"/>
    <w:rsid w:val="0FC17622"/>
    <w:rsid w:val="0FD73D21"/>
    <w:rsid w:val="0FE73022"/>
    <w:rsid w:val="10174E6A"/>
    <w:rsid w:val="10386129"/>
    <w:rsid w:val="10A85396"/>
    <w:rsid w:val="10CD3C50"/>
    <w:rsid w:val="10DB0979"/>
    <w:rsid w:val="10EA3C90"/>
    <w:rsid w:val="10F560D6"/>
    <w:rsid w:val="114B184E"/>
    <w:rsid w:val="11514121"/>
    <w:rsid w:val="116577BB"/>
    <w:rsid w:val="116B4F27"/>
    <w:rsid w:val="1179120F"/>
    <w:rsid w:val="11AC0F46"/>
    <w:rsid w:val="11B64C99"/>
    <w:rsid w:val="11E5634B"/>
    <w:rsid w:val="12133F19"/>
    <w:rsid w:val="123E5365"/>
    <w:rsid w:val="126F773A"/>
    <w:rsid w:val="12740B7C"/>
    <w:rsid w:val="12B64C94"/>
    <w:rsid w:val="133306C6"/>
    <w:rsid w:val="13525B1D"/>
    <w:rsid w:val="136E0BA9"/>
    <w:rsid w:val="13837D2F"/>
    <w:rsid w:val="1432266A"/>
    <w:rsid w:val="143C21E2"/>
    <w:rsid w:val="145558C5"/>
    <w:rsid w:val="145B6BA9"/>
    <w:rsid w:val="14601D7C"/>
    <w:rsid w:val="148B46C1"/>
    <w:rsid w:val="14CE3DA3"/>
    <w:rsid w:val="14D76E2D"/>
    <w:rsid w:val="14DD044C"/>
    <w:rsid w:val="14ED5ED8"/>
    <w:rsid w:val="14EE2922"/>
    <w:rsid w:val="15023713"/>
    <w:rsid w:val="15426A77"/>
    <w:rsid w:val="1615442F"/>
    <w:rsid w:val="16707D13"/>
    <w:rsid w:val="1699207B"/>
    <w:rsid w:val="169B6FA9"/>
    <w:rsid w:val="16A9014A"/>
    <w:rsid w:val="16B56AEF"/>
    <w:rsid w:val="16C92FA7"/>
    <w:rsid w:val="16D048ED"/>
    <w:rsid w:val="1736126E"/>
    <w:rsid w:val="174B5F00"/>
    <w:rsid w:val="18147845"/>
    <w:rsid w:val="18182799"/>
    <w:rsid w:val="18291F9C"/>
    <w:rsid w:val="18301194"/>
    <w:rsid w:val="18463EA2"/>
    <w:rsid w:val="18A92E43"/>
    <w:rsid w:val="18C1177B"/>
    <w:rsid w:val="18E952BE"/>
    <w:rsid w:val="18FC6C57"/>
    <w:rsid w:val="192D5062"/>
    <w:rsid w:val="192D615C"/>
    <w:rsid w:val="194A3EAC"/>
    <w:rsid w:val="19790C12"/>
    <w:rsid w:val="197F59AE"/>
    <w:rsid w:val="19B5667D"/>
    <w:rsid w:val="19F16090"/>
    <w:rsid w:val="1A051B3B"/>
    <w:rsid w:val="1A09162B"/>
    <w:rsid w:val="1A0E10E0"/>
    <w:rsid w:val="1A7C55C2"/>
    <w:rsid w:val="1AAD15FF"/>
    <w:rsid w:val="1AC13CB4"/>
    <w:rsid w:val="1AEB3C17"/>
    <w:rsid w:val="1B5D1961"/>
    <w:rsid w:val="1B6E32B2"/>
    <w:rsid w:val="1C5F3784"/>
    <w:rsid w:val="1C7B0DC7"/>
    <w:rsid w:val="1CCC1E2A"/>
    <w:rsid w:val="1CF30371"/>
    <w:rsid w:val="1D0B0B28"/>
    <w:rsid w:val="1D1E1215"/>
    <w:rsid w:val="1D3F7C0B"/>
    <w:rsid w:val="1D547061"/>
    <w:rsid w:val="1D9B4C90"/>
    <w:rsid w:val="1DAF24EA"/>
    <w:rsid w:val="1DBD187D"/>
    <w:rsid w:val="1DCE22AC"/>
    <w:rsid w:val="1DF94C3D"/>
    <w:rsid w:val="1E2C3DBE"/>
    <w:rsid w:val="1E3D5D47"/>
    <w:rsid w:val="1E65704C"/>
    <w:rsid w:val="1E7E0087"/>
    <w:rsid w:val="1ED14CB3"/>
    <w:rsid w:val="1FC677C0"/>
    <w:rsid w:val="1FCA144D"/>
    <w:rsid w:val="1FD44D9F"/>
    <w:rsid w:val="1FFE32B4"/>
    <w:rsid w:val="20415148"/>
    <w:rsid w:val="20542ED4"/>
    <w:rsid w:val="20E266AB"/>
    <w:rsid w:val="210E7527"/>
    <w:rsid w:val="21112ACF"/>
    <w:rsid w:val="215556FA"/>
    <w:rsid w:val="21697F91"/>
    <w:rsid w:val="21845A3B"/>
    <w:rsid w:val="219C0FD7"/>
    <w:rsid w:val="21B75806"/>
    <w:rsid w:val="21DB6E7F"/>
    <w:rsid w:val="21E86048"/>
    <w:rsid w:val="222B5EB7"/>
    <w:rsid w:val="22A40F75"/>
    <w:rsid w:val="22B41B73"/>
    <w:rsid w:val="22D56455"/>
    <w:rsid w:val="235C138F"/>
    <w:rsid w:val="235C6C70"/>
    <w:rsid w:val="23AB062F"/>
    <w:rsid w:val="23B45558"/>
    <w:rsid w:val="23D77FA4"/>
    <w:rsid w:val="23E0386F"/>
    <w:rsid w:val="23EB6BA9"/>
    <w:rsid w:val="23EE7467"/>
    <w:rsid w:val="24235517"/>
    <w:rsid w:val="24433851"/>
    <w:rsid w:val="2444388B"/>
    <w:rsid w:val="244B0A92"/>
    <w:rsid w:val="24C033D9"/>
    <w:rsid w:val="24D51090"/>
    <w:rsid w:val="250F7D12"/>
    <w:rsid w:val="255804BD"/>
    <w:rsid w:val="258629BC"/>
    <w:rsid w:val="258915A1"/>
    <w:rsid w:val="259D1505"/>
    <w:rsid w:val="25B85CB3"/>
    <w:rsid w:val="2613339A"/>
    <w:rsid w:val="263F7105"/>
    <w:rsid w:val="267C318C"/>
    <w:rsid w:val="26B371DD"/>
    <w:rsid w:val="26C2089D"/>
    <w:rsid w:val="26C3276D"/>
    <w:rsid w:val="270952E7"/>
    <w:rsid w:val="271B13D7"/>
    <w:rsid w:val="279347BF"/>
    <w:rsid w:val="27E663D8"/>
    <w:rsid w:val="282E40EC"/>
    <w:rsid w:val="283261F1"/>
    <w:rsid w:val="285B23F8"/>
    <w:rsid w:val="28F2772E"/>
    <w:rsid w:val="292C2C40"/>
    <w:rsid w:val="294361DC"/>
    <w:rsid w:val="29A7676B"/>
    <w:rsid w:val="29CE06E9"/>
    <w:rsid w:val="2AB729DE"/>
    <w:rsid w:val="2ABC7531"/>
    <w:rsid w:val="2B6639CF"/>
    <w:rsid w:val="2B8F7621"/>
    <w:rsid w:val="2BAA2542"/>
    <w:rsid w:val="2BB4516F"/>
    <w:rsid w:val="2C0C4FD7"/>
    <w:rsid w:val="2C210F16"/>
    <w:rsid w:val="2C582F61"/>
    <w:rsid w:val="2CAD65E9"/>
    <w:rsid w:val="2CB52F4D"/>
    <w:rsid w:val="2CBA6DEC"/>
    <w:rsid w:val="2CCD64E8"/>
    <w:rsid w:val="2CF5572D"/>
    <w:rsid w:val="2D807AA5"/>
    <w:rsid w:val="2D8A6187"/>
    <w:rsid w:val="2D9D34B1"/>
    <w:rsid w:val="2DAA11C0"/>
    <w:rsid w:val="2DD13DB6"/>
    <w:rsid w:val="2DD65871"/>
    <w:rsid w:val="2DE47F8D"/>
    <w:rsid w:val="2E440A2C"/>
    <w:rsid w:val="2E5F7BCB"/>
    <w:rsid w:val="2E741DF0"/>
    <w:rsid w:val="2EB80BCC"/>
    <w:rsid w:val="2ED755C2"/>
    <w:rsid w:val="2EF8115E"/>
    <w:rsid w:val="2F185EAC"/>
    <w:rsid w:val="2F4C51CE"/>
    <w:rsid w:val="2F8E5DBB"/>
    <w:rsid w:val="30112C71"/>
    <w:rsid w:val="303B19BB"/>
    <w:rsid w:val="30436BAE"/>
    <w:rsid w:val="304E3C5D"/>
    <w:rsid w:val="306A59AF"/>
    <w:rsid w:val="30B218B6"/>
    <w:rsid w:val="310E3885"/>
    <w:rsid w:val="312569CB"/>
    <w:rsid w:val="31340829"/>
    <w:rsid w:val="31777D9C"/>
    <w:rsid w:val="31BF532C"/>
    <w:rsid w:val="32C11043"/>
    <w:rsid w:val="32D40360"/>
    <w:rsid w:val="32D63A85"/>
    <w:rsid w:val="330072BC"/>
    <w:rsid w:val="3340061A"/>
    <w:rsid w:val="33994C99"/>
    <w:rsid w:val="339E298D"/>
    <w:rsid w:val="34555ECA"/>
    <w:rsid w:val="34C8511C"/>
    <w:rsid w:val="354B2F17"/>
    <w:rsid w:val="35503867"/>
    <w:rsid w:val="35840EDB"/>
    <w:rsid w:val="368F480F"/>
    <w:rsid w:val="36C70CDB"/>
    <w:rsid w:val="37492287"/>
    <w:rsid w:val="37517D16"/>
    <w:rsid w:val="37826121"/>
    <w:rsid w:val="380B05FC"/>
    <w:rsid w:val="380F56FA"/>
    <w:rsid w:val="38AE7F5F"/>
    <w:rsid w:val="38FF5354"/>
    <w:rsid w:val="39240A54"/>
    <w:rsid w:val="39280B79"/>
    <w:rsid w:val="39901F65"/>
    <w:rsid w:val="39B06043"/>
    <w:rsid w:val="39B241A2"/>
    <w:rsid w:val="39F74BA5"/>
    <w:rsid w:val="3A036CB2"/>
    <w:rsid w:val="3A0E0140"/>
    <w:rsid w:val="3A371445"/>
    <w:rsid w:val="3A4927F6"/>
    <w:rsid w:val="3A691DF3"/>
    <w:rsid w:val="3AAB541D"/>
    <w:rsid w:val="3AD04845"/>
    <w:rsid w:val="3B306C48"/>
    <w:rsid w:val="3BF53366"/>
    <w:rsid w:val="3BF7335B"/>
    <w:rsid w:val="3C131844"/>
    <w:rsid w:val="3C920BB5"/>
    <w:rsid w:val="3CE159FE"/>
    <w:rsid w:val="3D2A729E"/>
    <w:rsid w:val="3D3178F2"/>
    <w:rsid w:val="3D5E14BA"/>
    <w:rsid w:val="3D710186"/>
    <w:rsid w:val="3DED085D"/>
    <w:rsid w:val="3E09213F"/>
    <w:rsid w:val="3E3D72AB"/>
    <w:rsid w:val="3E3E5157"/>
    <w:rsid w:val="3E432AAE"/>
    <w:rsid w:val="3E8409D1"/>
    <w:rsid w:val="3E92391B"/>
    <w:rsid w:val="3EA01CAF"/>
    <w:rsid w:val="3F1360BC"/>
    <w:rsid w:val="3F7A4244"/>
    <w:rsid w:val="3F9A1C3A"/>
    <w:rsid w:val="40300E10"/>
    <w:rsid w:val="4034372C"/>
    <w:rsid w:val="40351EB2"/>
    <w:rsid w:val="405E3BCF"/>
    <w:rsid w:val="407D392A"/>
    <w:rsid w:val="40855AC8"/>
    <w:rsid w:val="40E57358"/>
    <w:rsid w:val="40F047DB"/>
    <w:rsid w:val="411400D3"/>
    <w:rsid w:val="412166BC"/>
    <w:rsid w:val="41415E6E"/>
    <w:rsid w:val="418F5913"/>
    <w:rsid w:val="419C60A3"/>
    <w:rsid w:val="41E96B91"/>
    <w:rsid w:val="41F12821"/>
    <w:rsid w:val="41F52311"/>
    <w:rsid w:val="427B0B72"/>
    <w:rsid w:val="42876CE2"/>
    <w:rsid w:val="432915DE"/>
    <w:rsid w:val="43DC1B95"/>
    <w:rsid w:val="44092F55"/>
    <w:rsid w:val="4428651C"/>
    <w:rsid w:val="44450C02"/>
    <w:rsid w:val="444A09B9"/>
    <w:rsid w:val="44704B90"/>
    <w:rsid w:val="44761D0D"/>
    <w:rsid w:val="447A127C"/>
    <w:rsid w:val="44875B8C"/>
    <w:rsid w:val="44A428C6"/>
    <w:rsid w:val="44A66F4D"/>
    <w:rsid w:val="44BC0BCB"/>
    <w:rsid w:val="44D77AAC"/>
    <w:rsid w:val="44F4608F"/>
    <w:rsid w:val="450B7B47"/>
    <w:rsid w:val="45193829"/>
    <w:rsid w:val="45195B31"/>
    <w:rsid w:val="4534766C"/>
    <w:rsid w:val="456B6447"/>
    <w:rsid w:val="461846C2"/>
    <w:rsid w:val="4647522B"/>
    <w:rsid w:val="465D66D7"/>
    <w:rsid w:val="46694586"/>
    <w:rsid w:val="46A55988"/>
    <w:rsid w:val="46F26E20"/>
    <w:rsid w:val="47C605D3"/>
    <w:rsid w:val="47CE7777"/>
    <w:rsid w:val="487216E8"/>
    <w:rsid w:val="488B1B48"/>
    <w:rsid w:val="48B85E47"/>
    <w:rsid w:val="48E26B1E"/>
    <w:rsid w:val="493C4574"/>
    <w:rsid w:val="49B35ECF"/>
    <w:rsid w:val="49E63A52"/>
    <w:rsid w:val="49FC0FBA"/>
    <w:rsid w:val="4A2B77FA"/>
    <w:rsid w:val="4A6C409E"/>
    <w:rsid w:val="4AA03036"/>
    <w:rsid w:val="4BCA6307"/>
    <w:rsid w:val="4BFA0F73"/>
    <w:rsid w:val="4C673035"/>
    <w:rsid w:val="4C742EFD"/>
    <w:rsid w:val="4CA01A34"/>
    <w:rsid w:val="4CE94821"/>
    <w:rsid w:val="4CFB09F8"/>
    <w:rsid w:val="4D2E5FD8"/>
    <w:rsid w:val="4D3D6B7B"/>
    <w:rsid w:val="4D752558"/>
    <w:rsid w:val="4D7D358A"/>
    <w:rsid w:val="4D9A3D6D"/>
    <w:rsid w:val="4DB11B97"/>
    <w:rsid w:val="4DD10ED9"/>
    <w:rsid w:val="4DD85184"/>
    <w:rsid w:val="4E17153C"/>
    <w:rsid w:val="4E3C7EAA"/>
    <w:rsid w:val="4E6B1F26"/>
    <w:rsid w:val="4E6C318B"/>
    <w:rsid w:val="4EC07803"/>
    <w:rsid w:val="4EDB288F"/>
    <w:rsid w:val="4EF54A9B"/>
    <w:rsid w:val="4F8545A9"/>
    <w:rsid w:val="4F9842DC"/>
    <w:rsid w:val="4FA90200"/>
    <w:rsid w:val="4FB010F3"/>
    <w:rsid w:val="4FBA057D"/>
    <w:rsid w:val="4FBA4253"/>
    <w:rsid w:val="4FBB2527"/>
    <w:rsid w:val="4FC71A12"/>
    <w:rsid w:val="4FD03A76"/>
    <w:rsid w:val="4FD64204"/>
    <w:rsid w:val="4FED7CB1"/>
    <w:rsid w:val="500C4424"/>
    <w:rsid w:val="50662C3E"/>
    <w:rsid w:val="50BB2A09"/>
    <w:rsid w:val="515A1CFC"/>
    <w:rsid w:val="5191524F"/>
    <w:rsid w:val="51D37E07"/>
    <w:rsid w:val="51D7701E"/>
    <w:rsid w:val="525F1CB4"/>
    <w:rsid w:val="527B23BF"/>
    <w:rsid w:val="529A036B"/>
    <w:rsid w:val="52A65DDA"/>
    <w:rsid w:val="52B21252"/>
    <w:rsid w:val="52B7716F"/>
    <w:rsid w:val="52F90FB4"/>
    <w:rsid w:val="5311687F"/>
    <w:rsid w:val="53467CD3"/>
    <w:rsid w:val="53F6208D"/>
    <w:rsid w:val="546450D5"/>
    <w:rsid w:val="549C03CB"/>
    <w:rsid w:val="54AB4AB2"/>
    <w:rsid w:val="54B25E40"/>
    <w:rsid w:val="54B621F5"/>
    <w:rsid w:val="54B831BE"/>
    <w:rsid w:val="54BC6260"/>
    <w:rsid w:val="54D37691"/>
    <w:rsid w:val="555166D3"/>
    <w:rsid w:val="556B7ED7"/>
    <w:rsid w:val="55802459"/>
    <w:rsid w:val="55933D75"/>
    <w:rsid w:val="55D40D5D"/>
    <w:rsid w:val="55D87B28"/>
    <w:rsid w:val="56026953"/>
    <w:rsid w:val="560C2B63"/>
    <w:rsid w:val="56A85113"/>
    <w:rsid w:val="56B539C6"/>
    <w:rsid w:val="56F12761"/>
    <w:rsid w:val="571E5B34"/>
    <w:rsid w:val="57351577"/>
    <w:rsid w:val="57707013"/>
    <w:rsid w:val="578A029C"/>
    <w:rsid w:val="578F2341"/>
    <w:rsid w:val="57AA29AA"/>
    <w:rsid w:val="57B123DF"/>
    <w:rsid w:val="57B90F5E"/>
    <w:rsid w:val="58067C35"/>
    <w:rsid w:val="580D65AE"/>
    <w:rsid w:val="58A35F9C"/>
    <w:rsid w:val="58C25987"/>
    <w:rsid w:val="594D1592"/>
    <w:rsid w:val="594E40CF"/>
    <w:rsid w:val="599550EE"/>
    <w:rsid w:val="59A55F73"/>
    <w:rsid w:val="59C32BAC"/>
    <w:rsid w:val="59D84C70"/>
    <w:rsid w:val="59F53571"/>
    <w:rsid w:val="5A094754"/>
    <w:rsid w:val="5A0F163F"/>
    <w:rsid w:val="5A851901"/>
    <w:rsid w:val="5A897643"/>
    <w:rsid w:val="5A8D2D48"/>
    <w:rsid w:val="5AB93586"/>
    <w:rsid w:val="5AD564B8"/>
    <w:rsid w:val="5B40799D"/>
    <w:rsid w:val="5BA30291"/>
    <w:rsid w:val="5BE20FCF"/>
    <w:rsid w:val="5BE75FAA"/>
    <w:rsid w:val="5BEA277A"/>
    <w:rsid w:val="5C520D53"/>
    <w:rsid w:val="5CBA3AE4"/>
    <w:rsid w:val="5D3537E5"/>
    <w:rsid w:val="5D412701"/>
    <w:rsid w:val="5D751094"/>
    <w:rsid w:val="5D9018F9"/>
    <w:rsid w:val="5DA57E53"/>
    <w:rsid w:val="5DAD18E5"/>
    <w:rsid w:val="5DDE2CEB"/>
    <w:rsid w:val="5DE56D33"/>
    <w:rsid w:val="5DF50B4C"/>
    <w:rsid w:val="5E036287"/>
    <w:rsid w:val="5E576187"/>
    <w:rsid w:val="5E7A738C"/>
    <w:rsid w:val="5E7B65FE"/>
    <w:rsid w:val="5E8A71EF"/>
    <w:rsid w:val="5E92150B"/>
    <w:rsid w:val="5ED1684F"/>
    <w:rsid w:val="5F1C681A"/>
    <w:rsid w:val="5F2B2A77"/>
    <w:rsid w:val="5F2C38EE"/>
    <w:rsid w:val="5F447FDD"/>
    <w:rsid w:val="5F9616B4"/>
    <w:rsid w:val="5F96519B"/>
    <w:rsid w:val="5F993E84"/>
    <w:rsid w:val="5FAA0209"/>
    <w:rsid w:val="5FE42B98"/>
    <w:rsid w:val="5FF50DB6"/>
    <w:rsid w:val="5FF939FE"/>
    <w:rsid w:val="60096E3A"/>
    <w:rsid w:val="605D248E"/>
    <w:rsid w:val="607A0ACB"/>
    <w:rsid w:val="608E7761"/>
    <w:rsid w:val="60F03B02"/>
    <w:rsid w:val="6121044E"/>
    <w:rsid w:val="61277CB2"/>
    <w:rsid w:val="615D48BB"/>
    <w:rsid w:val="61AE5BE1"/>
    <w:rsid w:val="61CD5316"/>
    <w:rsid w:val="61D513C0"/>
    <w:rsid w:val="61F45FE9"/>
    <w:rsid w:val="624A0A25"/>
    <w:rsid w:val="62660BF4"/>
    <w:rsid w:val="62803BD3"/>
    <w:rsid w:val="62C70FC7"/>
    <w:rsid w:val="62D16A8D"/>
    <w:rsid w:val="62D17B1E"/>
    <w:rsid w:val="62FF66F4"/>
    <w:rsid w:val="632C3F5B"/>
    <w:rsid w:val="633914DA"/>
    <w:rsid w:val="634B193A"/>
    <w:rsid w:val="636D1953"/>
    <w:rsid w:val="637A5D7B"/>
    <w:rsid w:val="63A83FA7"/>
    <w:rsid w:val="63B514A9"/>
    <w:rsid w:val="649370FE"/>
    <w:rsid w:val="652D3B62"/>
    <w:rsid w:val="65783887"/>
    <w:rsid w:val="65845F9C"/>
    <w:rsid w:val="65982E30"/>
    <w:rsid w:val="65F20792"/>
    <w:rsid w:val="66214A59"/>
    <w:rsid w:val="66214BC6"/>
    <w:rsid w:val="6673555F"/>
    <w:rsid w:val="667E7310"/>
    <w:rsid w:val="66A870A3"/>
    <w:rsid w:val="67002D5C"/>
    <w:rsid w:val="674610B8"/>
    <w:rsid w:val="67706206"/>
    <w:rsid w:val="677D2756"/>
    <w:rsid w:val="677D3648"/>
    <w:rsid w:val="6784541A"/>
    <w:rsid w:val="678F6D0A"/>
    <w:rsid w:val="67B4217D"/>
    <w:rsid w:val="67B850C4"/>
    <w:rsid w:val="67C4276C"/>
    <w:rsid w:val="67F53910"/>
    <w:rsid w:val="680B20B0"/>
    <w:rsid w:val="6833256D"/>
    <w:rsid w:val="68420AA1"/>
    <w:rsid w:val="68582403"/>
    <w:rsid w:val="686D3BBA"/>
    <w:rsid w:val="688A2F04"/>
    <w:rsid w:val="690B1AFC"/>
    <w:rsid w:val="69362ED9"/>
    <w:rsid w:val="695B664F"/>
    <w:rsid w:val="696372FB"/>
    <w:rsid w:val="69A32E61"/>
    <w:rsid w:val="6A2C460B"/>
    <w:rsid w:val="6A3B63DF"/>
    <w:rsid w:val="6A584189"/>
    <w:rsid w:val="6A8614A9"/>
    <w:rsid w:val="6A9030FE"/>
    <w:rsid w:val="6B1B6445"/>
    <w:rsid w:val="6B317D0F"/>
    <w:rsid w:val="6B767770"/>
    <w:rsid w:val="6B826114"/>
    <w:rsid w:val="6B9F6CC6"/>
    <w:rsid w:val="6BC2633C"/>
    <w:rsid w:val="6C3D3559"/>
    <w:rsid w:val="6C474C68"/>
    <w:rsid w:val="6C7D2E62"/>
    <w:rsid w:val="6CD209D6"/>
    <w:rsid w:val="6CD80675"/>
    <w:rsid w:val="6D226FA0"/>
    <w:rsid w:val="6D866EFF"/>
    <w:rsid w:val="6D997745"/>
    <w:rsid w:val="6DB6210A"/>
    <w:rsid w:val="6DC62AE9"/>
    <w:rsid w:val="6E363B46"/>
    <w:rsid w:val="6E4C510A"/>
    <w:rsid w:val="6E510020"/>
    <w:rsid w:val="6E87564F"/>
    <w:rsid w:val="6F241291"/>
    <w:rsid w:val="6F63625D"/>
    <w:rsid w:val="6F99614B"/>
    <w:rsid w:val="7041400D"/>
    <w:rsid w:val="706E4EB9"/>
    <w:rsid w:val="70825F2C"/>
    <w:rsid w:val="708448E0"/>
    <w:rsid w:val="708C533F"/>
    <w:rsid w:val="70DC0075"/>
    <w:rsid w:val="70F669F5"/>
    <w:rsid w:val="715674E5"/>
    <w:rsid w:val="71B07C13"/>
    <w:rsid w:val="71DF78C7"/>
    <w:rsid w:val="72361A07"/>
    <w:rsid w:val="724D3C51"/>
    <w:rsid w:val="726E6F20"/>
    <w:rsid w:val="729D55E2"/>
    <w:rsid w:val="72E2393D"/>
    <w:rsid w:val="730247A7"/>
    <w:rsid w:val="737437FD"/>
    <w:rsid w:val="73850297"/>
    <w:rsid w:val="738D5249"/>
    <w:rsid w:val="73937890"/>
    <w:rsid w:val="739E1612"/>
    <w:rsid w:val="73A376AD"/>
    <w:rsid w:val="73C3515A"/>
    <w:rsid w:val="73D019E7"/>
    <w:rsid w:val="745B39A7"/>
    <w:rsid w:val="74E379A2"/>
    <w:rsid w:val="74F811F5"/>
    <w:rsid w:val="750A2733"/>
    <w:rsid w:val="7544268D"/>
    <w:rsid w:val="756B7C19"/>
    <w:rsid w:val="75714A9E"/>
    <w:rsid w:val="757D26F8"/>
    <w:rsid w:val="757D55EC"/>
    <w:rsid w:val="759058D2"/>
    <w:rsid w:val="75C33018"/>
    <w:rsid w:val="765A4CFD"/>
    <w:rsid w:val="766052A4"/>
    <w:rsid w:val="76EC57DC"/>
    <w:rsid w:val="76F51E90"/>
    <w:rsid w:val="76F53C3E"/>
    <w:rsid w:val="770E172F"/>
    <w:rsid w:val="77242BC9"/>
    <w:rsid w:val="773537A2"/>
    <w:rsid w:val="774C0731"/>
    <w:rsid w:val="7776456D"/>
    <w:rsid w:val="778648C1"/>
    <w:rsid w:val="77A05EDF"/>
    <w:rsid w:val="77BA7CF2"/>
    <w:rsid w:val="77CA67EB"/>
    <w:rsid w:val="77D2120F"/>
    <w:rsid w:val="77DB732A"/>
    <w:rsid w:val="781F0BD2"/>
    <w:rsid w:val="78A0113B"/>
    <w:rsid w:val="78AE679B"/>
    <w:rsid w:val="78B572EB"/>
    <w:rsid w:val="793D7B1F"/>
    <w:rsid w:val="79517126"/>
    <w:rsid w:val="798057FE"/>
    <w:rsid w:val="79871BE8"/>
    <w:rsid w:val="79CE01D4"/>
    <w:rsid w:val="7A0128FA"/>
    <w:rsid w:val="7A053DF4"/>
    <w:rsid w:val="7A1F7224"/>
    <w:rsid w:val="7A2618F6"/>
    <w:rsid w:val="7A676F29"/>
    <w:rsid w:val="7A6D5F07"/>
    <w:rsid w:val="7ABD5CE4"/>
    <w:rsid w:val="7B333917"/>
    <w:rsid w:val="7B446F42"/>
    <w:rsid w:val="7B5B0730"/>
    <w:rsid w:val="7B6C0691"/>
    <w:rsid w:val="7B930378"/>
    <w:rsid w:val="7BAD2677"/>
    <w:rsid w:val="7C0447A2"/>
    <w:rsid w:val="7C5F4598"/>
    <w:rsid w:val="7C6524C3"/>
    <w:rsid w:val="7C6D13D7"/>
    <w:rsid w:val="7CB327E5"/>
    <w:rsid w:val="7D1F1D43"/>
    <w:rsid w:val="7D731D61"/>
    <w:rsid w:val="7D887A39"/>
    <w:rsid w:val="7DCB0DF5"/>
    <w:rsid w:val="7DE06CCB"/>
    <w:rsid w:val="7DE9463D"/>
    <w:rsid w:val="7DEC0085"/>
    <w:rsid w:val="7E092845"/>
    <w:rsid w:val="7E3C1526"/>
    <w:rsid w:val="7E4C4FE6"/>
    <w:rsid w:val="7E670906"/>
    <w:rsid w:val="7EC00FD6"/>
    <w:rsid w:val="7EC04977"/>
    <w:rsid w:val="7EDD1803"/>
    <w:rsid w:val="7EF16F50"/>
    <w:rsid w:val="7F0C363E"/>
    <w:rsid w:val="7F2D5F40"/>
    <w:rsid w:val="7F4C2DEE"/>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Date"/>
    <w:basedOn w:val="1"/>
    <w:next w:val="1"/>
    <w:qFormat/>
    <w:uiPriority w:val="0"/>
    <w:pPr>
      <w:ind w:left="2500" w:leftChars="2500"/>
    </w:pPr>
  </w:style>
  <w:style w:type="paragraph" w:styleId="7">
    <w:name w:val="Normal Indent"/>
    <w:basedOn w:val="1"/>
    <w:next w:val="1"/>
    <w:unhideWhenUsed/>
    <w:qFormat/>
    <w:uiPriority w:val="99"/>
    <w:pPr>
      <w:ind w:firstLine="420"/>
    </w:pPr>
    <w:rPr>
      <w:szCs w:val="24"/>
    </w:rPr>
  </w:style>
  <w:style w:type="paragraph" w:styleId="8">
    <w:name w:val="annotation text"/>
    <w:basedOn w:val="1"/>
    <w:link w:val="36"/>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toc 5"/>
    <w:basedOn w:val="1"/>
    <w:next w:val="1"/>
    <w:qFormat/>
    <w:uiPriority w:val="0"/>
    <w:pPr>
      <w:ind w:left="1680"/>
    </w:pPr>
  </w:style>
  <w:style w:type="paragraph" w:styleId="11">
    <w:name w:val="toc 3"/>
    <w:basedOn w:val="1"/>
    <w:next w:val="1"/>
    <w:qFormat/>
    <w:uiPriority w:val="0"/>
    <w:pPr>
      <w:ind w:left="840"/>
    </w:pPr>
  </w:style>
  <w:style w:type="paragraph" w:styleId="12">
    <w:name w:val="Plain Text"/>
    <w:basedOn w:val="1"/>
    <w:next w:val="1"/>
    <w:qFormat/>
    <w:uiPriority w:val="0"/>
    <w:rPr>
      <w:rFonts w:ascii="宋体" w:hAnsi="Courier New"/>
      <w:kern w:val="0"/>
      <w:sz w:val="20"/>
      <w:szCs w:val="20"/>
    </w:rPr>
  </w:style>
  <w:style w:type="paragraph" w:styleId="13">
    <w:name w:val="Balloon Text"/>
    <w:basedOn w:val="1"/>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kern w:val="0"/>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4"/>
    <w:basedOn w:val="1"/>
    <w:next w:val="1"/>
    <w:qFormat/>
    <w:uiPriority w:val="0"/>
    <w:pPr>
      <w:ind w:left="1260"/>
    </w:pPr>
  </w:style>
  <w:style w:type="paragraph" w:styleId="18">
    <w:name w:val="toc 2"/>
    <w:basedOn w:val="1"/>
    <w:next w:val="1"/>
    <w:qFormat/>
    <w:uiPriority w:val="0"/>
    <w:pPr>
      <w:ind w:left="420"/>
    </w:pPr>
  </w:style>
  <w:style w:type="paragraph" w:styleId="19">
    <w:name w:val="Body Text 2"/>
    <w:basedOn w:val="1"/>
    <w:qFormat/>
    <w:uiPriority w:val="0"/>
    <w:pPr>
      <w:spacing w:after="120" w:line="480" w:lineRule="auto"/>
    </w:pPr>
    <w:rPr>
      <w:kern w:val="0"/>
      <w:sz w:val="20"/>
      <w:szCs w:val="24"/>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8"/>
    <w:next w:val="8"/>
    <w:link w:val="39"/>
    <w:qFormat/>
    <w:uiPriority w:val="0"/>
    <w:rPr>
      <w:b/>
      <w:bCs/>
    </w:rPr>
  </w:style>
  <w:style w:type="paragraph" w:styleId="22">
    <w:name w:val="Body Text First Indent"/>
    <w:basedOn w:val="2"/>
    <w:qFormat/>
    <w:uiPriority w:val="0"/>
    <w:pPr>
      <w:spacing w:line="312" w:lineRule="auto"/>
      <w:ind w:firstLine="420"/>
    </w:pPr>
    <w:rPr>
      <w:kern w:val="0"/>
      <w:sz w:val="20"/>
      <w:szCs w:val="24"/>
    </w:rPr>
  </w:style>
  <w:style w:type="paragraph" w:styleId="23">
    <w:name w:val="Body Text First Indent 2"/>
    <w:basedOn w:val="9"/>
    <w:unhideWhenUsed/>
    <w:qFormat/>
    <w:uiPriority w:val="99"/>
    <w:pPr>
      <w:spacing w:after="0"/>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rPr>
      <w:rFonts w:ascii="Times New Roman" w:hAnsi="Times New Roman" w:eastAsia="宋体" w:cs="Times New Roman"/>
      <w:lang w:bidi="ar-SA"/>
    </w:rPr>
  </w:style>
  <w:style w:type="character" w:styleId="29">
    <w:name w:val="FollowedHyperlink"/>
    <w:qFormat/>
    <w:uiPriority w:val="0"/>
    <w:rPr>
      <w:rFonts w:ascii="Times New Roman" w:hAnsi="Times New Roman" w:eastAsia="宋体" w:cs="Times New Roman"/>
      <w:color w:val="000000"/>
      <w:u w:val="none"/>
      <w:lang w:bidi="ar-SA"/>
    </w:rPr>
  </w:style>
  <w:style w:type="character" w:styleId="30">
    <w:name w:val="HTML Definition"/>
    <w:qFormat/>
    <w:uiPriority w:val="0"/>
    <w:rPr>
      <w:i/>
    </w:rPr>
  </w:style>
  <w:style w:type="character" w:styleId="31">
    <w:name w:val="Hyperlink"/>
    <w:qFormat/>
    <w:uiPriority w:val="0"/>
    <w:rPr>
      <w:rFonts w:ascii="Times New Roman" w:hAnsi="Times New Roman" w:eastAsia="宋体" w:cs="Times New Roman"/>
      <w:color w:val="000000"/>
      <w:u w:val="none"/>
      <w:lang w:bidi="ar-SA"/>
    </w:rPr>
  </w:style>
  <w:style w:type="character" w:styleId="32">
    <w:name w:val="HTML Code"/>
    <w:qFormat/>
    <w:uiPriority w:val="0"/>
    <w:rPr>
      <w:rFonts w:ascii="Consolas" w:hAnsi="Consolas" w:eastAsia="Consolas" w:cs="Consolas"/>
      <w:color w:val="C7254E"/>
      <w:sz w:val="21"/>
      <w:szCs w:val="21"/>
      <w:bdr w:val="single" w:color="E1E1E1" w:sz="4" w:space="0"/>
      <w:shd w:val="clear" w:color="auto" w:fill="F9F2F4"/>
      <w:lang w:bidi="ar-SA"/>
    </w:rPr>
  </w:style>
  <w:style w:type="character" w:styleId="33">
    <w:name w:val="annotation reference"/>
    <w:qFormat/>
    <w:uiPriority w:val="0"/>
    <w:rPr>
      <w:rFonts w:ascii="Times New Roman" w:hAnsi="Times New Roman" w:eastAsia="宋体" w:cs="Times New Roman"/>
      <w:sz w:val="21"/>
      <w:szCs w:val="21"/>
      <w:lang w:bidi="ar-SA"/>
    </w:rPr>
  </w:style>
  <w:style w:type="character" w:styleId="34">
    <w:name w:val="HTML Keyboard"/>
    <w:qFormat/>
    <w:uiPriority w:val="0"/>
    <w:rPr>
      <w:rFonts w:ascii="Consolas" w:hAnsi="Consolas" w:eastAsia="Consolas" w:cs="Consolas"/>
      <w:color w:val="FFFFFF"/>
      <w:sz w:val="21"/>
      <w:szCs w:val="21"/>
      <w:shd w:val="clear" w:color="auto" w:fill="333333"/>
      <w:lang w:bidi="ar-SA"/>
    </w:rPr>
  </w:style>
  <w:style w:type="character" w:styleId="35">
    <w:name w:val="HTML Sample"/>
    <w:qFormat/>
    <w:uiPriority w:val="0"/>
    <w:rPr>
      <w:rFonts w:ascii="Consolas" w:hAnsi="Consolas" w:eastAsia="Consolas" w:cs="Consolas"/>
      <w:sz w:val="21"/>
      <w:szCs w:val="21"/>
      <w:lang w:bidi="ar-SA"/>
    </w:rPr>
  </w:style>
  <w:style w:type="character" w:customStyle="1" w:styleId="36">
    <w:name w:val="批注文字 字符"/>
    <w:link w:val="8"/>
    <w:qFormat/>
    <w:uiPriority w:val="0"/>
    <w:rPr>
      <w:kern w:val="2"/>
      <w:sz w:val="21"/>
      <w:szCs w:val="22"/>
    </w:rPr>
  </w:style>
  <w:style w:type="character" w:customStyle="1" w:styleId="37">
    <w:name w:val="页脚 字符1"/>
    <w:link w:val="14"/>
    <w:qFormat/>
    <w:uiPriority w:val="0"/>
    <w:rPr>
      <w:sz w:val="18"/>
      <w:szCs w:val="18"/>
    </w:rPr>
  </w:style>
  <w:style w:type="character" w:customStyle="1" w:styleId="38">
    <w:name w:val="页眉 字符"/>
    <w:link w:val="15"/>
    <w:qFormat/>
    <w:uiPriority w:val="0"/>
    <w:rPr>
      <w:sz w:val="18"/>
      <w:szCs w:val="18"/>
    </w:rPr>
  </w:style>
  <w:style w:type="character" w:customStyle="1" w:styleId="39">
    <w:name w:val="批注主题 字符"/>
    <w:link w:val="21"/>
    <w:qFormat/>
    <w:uiPriority w:val="0"/>
    <w:rPr>
      <w:b/>
      <w:bCs/>
      <w:kern w:val="2"/>
      <w:sz w:val="21"/>
      <w:szCs w:val="22"/>
    </w:rPr>
  </w:style>
  <w:style w:type="character" w:customStyle="1" w:styleId="40">
    <w:name w:val="页脚 字符"/>
    <w:qFormat/>
    <w:uiPriority w:val="0"/>
  </w:style>
  <w:style w:type="character" w:customStyle="1" w:styleId="41">
    <w:name w:val="hover42"/>
    <w:qFormat/>
    <w:uiPriority w:val="0"/>
  </w:style>
  <w:style w:type="character" w:customStyle="1" w:styleId="42">
    <w:name w:val="正文文本 2 Char1"/>
    <w:qFormat/>
    <w:uiPriority w:val="0"/>
    <w:rPr>
      <w:rFonts w:ascii="Times New Roman" w:hAnsi="Times New Roman" w:eastAsia="宋体" w:cs="Times New Roman"/>
      <w:lang w:bidi="ar-SA"/>
    </w:rPr>
  </w:style>
  <w:style w:type="character" w:customStyle="1" w:styleId="43">
    <w:name w:val="正文首行缩进 Char1"/>
    <w:qFormat/>
    <w:uiPriority w:val="0"/>
    <w:rPr>
      <w:rFonts w:ascii="Times New Roman" w:hAnsi="Times New Roman" w:eastAsia="宋体" w:cs="Times New Roman"/>
      <w:lang w:bidi="ar-SA"/>
    </w:rPr>
  </w:style>
  <w:style w:type="character" w:customStyle="1" w:styleId="44">
    <w:name w:val="username"/>
    <w:qFormat/>
    <w:uiPriority w:val="0"/>
  </w:style>
  <w:style w:type="character" w:customStyle="1" w:styleId="45">
    <w:name w:val="title24"/>
    <w:qFormat/>
    <w:uiPriority w:val="0"/>
  </w:style>
  <w:style w:type="character" w:customStyle="1" w:styleId="46">
    <w:name w:val="times"/>
    <w:qFormat/>
    <w:uiPriority w:val="0"/>
    <w:rPr>
      <w:rFonts w:ascii="Times New Roman" w:hAnsi="Times New Roman" w:eastAsia="宋体" w:cs="Times New Roman"/>
      <w:color w:val="CDCDCD"/>
      <w:bdr w:val="single" w:color="CDCDCD" w:sz="6" w:space="0"/>
      <w:shd w:val="clear" w:color="auto" w:fill="EFEFEF"/>
      <w:lang w:bidi="ar-SA"/>
    </w:rPr>
  </w:style>
  <w:style w:type="character" w:customStyle="1" w:styleId="47">
    <w:name w:val="times1"/>
    <w:qFormat/>
    <w:uiPriority w:val="0"/>
    <w:rPr>
      <w:rFonts w:ascii="Times New Roman" w:hAnsi="Times New Roman" w:eastAsia="宋体" w:cs="Times New Roman"/>
      <w:color w:val="3399FF"/>
      <w:bdr w:val="single" w:color="D1EDF8" w:sz="6" w:space="0"/>
      <w:shd w:val="clear" w:color="auto" w:fill="EAF9FF"/>
      <w:lang w:bidi="ar-SA"/>
    </w:rPr>
  </w:style>
  <w:style w:type="paragraph" w:customStyle="1" w:styleId="48">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发文落款"/>
    <w:basedOn w:val="50"/>
    <w:qFormat/>
    <w:uiPriority w:val="0"/>
    <w:pPr>
      <w:ind w:left="4094" w:right="607" w:firstLine="0"/>
      <w:jc w:val="center"/>
    </w:pPr>
    <w:rPr>
      <w:rFonts w:ascii="Times New Roman" w:eastAsia="宋体"/>
    </w:rPr>
  </w:style>
  <w:style w:type="paragraph" w:customStyle="1" w:styleId="50">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51">
    <w:name w:val="a0"/>
    <w:basedOn w:val="1"/>
    <w:qFormat/>
    <w:uiPriority w:val="0"/>
    <w:pPr>
      <w:widowControl/>
      <w:jc w:val="left"/>
    </w:pPr>
    <w:rPr>
      <w:rFonts w:ascii="宋体" w:cs="宋体"/>
      <w:kern w:val="0"/>
      <w:sz w:val="24"/>
      <w:szCs w:val="24"/>
    </w:rPr>
  </w:style>
  <w:style w:type="paragraph" w:customStyle="1" w:styleId="52">
    <w:name w:val="_Style 51"/>
    <w:qFormat/>
    <w:uiPriority w:val="0"/>
    <w:rPr>
      <w:rFonts w:ascii="Times New Roman" w:hAnsi="Times New Roman" w:eastAsia="宋体" w:cs="Times New Roman"/>
      <w:kern w:val="2"/>
      <w:sz w:val="21"/>
      <w:szCs w:val="22"/>
      <w:lang w:val="en-US" w:eastAsia="zh-CN" w:bidi="ar-SA"/>
    </w:rPr>
  </w:style>
  <w:style w:type="paragraph" w:customStyle="1" w:styleId="53">
    <w:name w:val="样式 宋体 行距: 1.5 倍行距"/>
    <w:basedOn w:val="1"/>
    <w:qFormat/>
    <w:uiPriority w:val="0"/>
    <w:pPr>
      <w:jc w:val="center"/>
    </w:pPr>
    <w:rPr>
      <w:b/>
    </w:rPr>
  </w:style>
  <w:style w:type="paragraph" w:customStyle="1" w:styleId="54">
    <w:name w:val="1-封面公司名与日期"/>
    <w:basedOn w:val="1"/>
    <w:next w:val="1"/>
    <w:qFormat/>
    <w:uiPriority w:val="0"/>
    <w:pPr>
      <w:jc w:val="center"/>
    </w:pPr>
    <w:rPr>
      <w:rFonts w:eastAsia="楷体_GB2312"/>
      <w:kern w:val="2"/>
      <w:sz w:val="36"/>
      <w:szCs w:val="28"/>
    </w:rPr>
  </w:style>
  <w:style w:type="paragraph" w:customStyle="1" w:styleId="55">
    <w:name w:val="Body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11533</Words>
  <Characters>12234</Characters>
  <Lines>98</Lines>
  <Paragraphs>27</Paragraphs>
  <TotalTime>4</TotalTime>
  <ScaleCrop>false</ScaleCrop>
  <LinksUpToDate>false</LinksUpToDate>
  <CharactersWithSpaces>12643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2024-05-07T06:14:00Z</dcterms:created>
  <dc:creator>10662</dc:creator>
  <cp:lastModifiedBy>10662</cp:lastModifiedBy>
  <cp:lastPrinted>2024-01-31T08:44:00Z</cp:lastPrinted>
  <dcterms:modified xsi:type="dcterms:W3CDTF">2025-07-21T09:03:53Z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F6B11D892E364039B4245A19D975615A_13</vt:lpwstr>
  </property>
  <property fmtid="{D5CDD505-2E9C-101B-9397-08002B2CF9AE}" pid="4" name="commondata">
    <vt:lpwstr>eyJoZGlkIjoiMzVjNTgwYTZmYjgwMWUxM2QyOGQwYzM1YTk3MzAzZDEifQ==</vt:lpwstr>
  </property>
  <property fmtid="{D5CDD505-2E9C-101B-9397-08002B2CF9AE}" pid="5" name="KSOTemplateDocerSaveRecord">
    <vt:lpwstr>eyJoZGlkIjoiZTAwNDM5ZTljZDY2Y2YyZTE5YzhjYzQ2NTAxMjMyNWQiLCJ1c2VySWQiOiIyOTkwODE4NTQifQ==</vt:lpwstr>
  </property>
</Properties>
</file>