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6872C">
      <w:pPr>
        <w:tabs>
          <w:tab w:val="left" w:pos="1605"/>
          <w:tab w:val="center" w:pos="4819"/>
        </w:tabs>
        <w:spacing w:line="360" w:lineRule="auto"/>
        <w:jc w:val="center"/>
        <w:rPr>
          <w:rFonts w:hint="eastAsia" w:ascii="宋体" w:hAnsi="宋体" w:cs="宋体"/>
          <w:b/>
          <w:color w:val="auto"/>
          <w:spacing w:val="20"/>
          <w:kern w:val="0"/>
          <w:sz w:val="40"/>
          <w:szCs w:val="40"/>
          <w:highlight w:val="none"/>
        </w:rPr>
      </w:pPr>
      <w:r>
        <w:rPr>
          <w:rFonts w:hint="eastAsia" w:ascii="宋体" w:hAnsi="宋体" w:cs="宋体"/>
          <w:b/>
          <w:color w:val="auto"/>
          <w:spacing w:val="20"/>
          <w:kern w:val="0"/>
          <w:sz w:val="40"/>
          <w:szCs w:val="40"/>
          <w:highlight w:val="none"/>
          <w:lang w:eastAsia="zh-CN"/>
        </w:rPr>
        <w:t>广州高新集团天蕴路</w:t>
      </w:r>
      <w:bookmarkStart w:id="44" w:name="_GoBack"/>
      <w:bookmarkEnd w:id="44"/>
      <w:r>
        <w:rPr>
          <w:rFonts w:hint="eastAsia" w:ascii="宋体" w:hAnsi="宋体" w:cs="宋体"/>
          <w:b/>
          <w:color w:val="auto"/>
          <w:spacing w:val="20"/>
          <w:kern w:val="0"/>
          <w:sz w:val="40"/>
          <w:szCs w:val="40"/>
          <w:highlight w:val="none"/>
          <w:lang w:eastAsia="zh-CN"/>
        </w:rPr>
        <w:t>2号物业（天河软件园软件产业集中孵化中心）配电增容项目设计施工总承包</w:t>
      </w:r>
      <w:r>
        <w:rPr>
          <w:rFonts w:hint="eastAsia" w:ascii="宋体" w:hAnsi="宋体" w:cs="宋体"/>
          <w:b/>
          <w:color w:val="auto"/>
          <w:spacing w:val="20"/>
          <w:kern w:val="0"/>
          <w:sz w:val="40"/>
          <w:szCs w:val="40"/>
          <w:highlight w:val="none"/>
        </w:rPr>
        <w:t>合同</w:t>
      </w:r>
    </w:p>
    <w:p w14:paraId="1EC7F367">
      <w:pPr>
        <w:spacing w:line="360" w:lineRule="auto"/>
        <w:ind w:left="1302" w:leftChars="450" w:hanging="357" w:hangingChars="148"/>
        <w:rPr>
          <w:rFonts w:ascii="仿宋_GB2312" w:hAnsi="宋体" w:eastAsia="仿宋_GB2312"/>
          <w:b/>
          <w:bCs/>
          <w:color w:val="auto"/>
          <w:sz w:val="24"/>
          <w:szCs w:val="24"/>
          <w:highlight w:val="none"/>
        </w:rPr>
      </w:pPr>
    </w:p>
    <w:p w14:paraId="48106481">
      <w:pPr>
        <w:tabs>
          <w:tab w:val="left" w:pos="1080"/>
        </w:tabs>
        <w:adjustRightInd w:val="0"/>
        <w:snapToGrid w:val="0"/>
        <w:spacing w:line="360" w:lineRule="auto"/>
        <w:rPr>
          <w:rFonts w:hint="eastAsia" w:ascii="宋体" w:hAnsi="宋体" w:eastAsia="宋体"/>
          <w:b/>
          <w:bCs/>
          <w:color w:val="auto"/>
          <w:kern w:val="24"/>
          <w:sz w:val="24"/>
          <w:szCs w:val="20"/>
          <w:highlight w:val="none"/>
          <w:lang w:eastAsia="zh-CN"/>
        </w:rPr>
      </w:pPr>
      <w:r>
        <w:rPr>
          <w:rFonts w:hint="eastAsia" w:ascii="宋体" w:hAnsi="宋体"/>
          <w:b/>
          <w:bCs/>
          <w:color w:val="auto"/>
          <w:kern w:val="24"/>
          <w:sz w:val="24"/>
          <w:szCs w:val="20"/>
          <w:highlight w:val="none"/>
        </w:rPr>
        <w:t>甲方（发包人）：</w:t>
      </w:r>
      <w:permStart w:id="0" w:edGrp="everyone"/>
      <w:r>
        <w:rPr>
          <w:rFonts w:hint="eastAsia" w:ascii="宋体" w:hAnsi="宋体"/>
          <w:b/>
          <w:bCs/>
          <w:color w:val="auto"/>
          <w:kern w:val="24"/>
          <w:sz w:val="24"/>
          <w:szCs w:val="20"/>
          <w:highlight w:val="none"/>
          <w:u w:val="none"/>
          <w:lang w:eastAsia="zh-CN"/>
        </w:rPr>
        <w:t>广州高新技术产业集团有限公司</w:t>
      </w:r>
      <w:permEnd w:id="0"/>
      <w:r>
        <w:rPr>
          <w:rFonts w:hint="eastAsia" w:ascii="宋体" w:hAnsi="宋体"/>
          <w:b/>
          <w:bCs/>
          <w:color w:val="auto"/>
          <w:kern w:val="24"/>
          <w:sz w:val="24"/>
          <w:szCs w:val="20"/>
          <w:highlight w:val="none"/>
          <w:lang w:eastAsia="zh-CN"/>
        </w:rPr>
        <w:t xml:space="preserve"> </w:t>
      </w:r>
    </w:p>
    <w:p w14:paraId="10692CCF">
      <w:pPr>
        <w:tabs>
          <w:tab w:val="left" w:pos="1080"/>
        </w:tabs>
        <w:adjustRightInd w:val="0"/>
        <w:snapToGrid w:val="0"/>
        <w:spacing w:line="360" w:lineRule="auto"/>
        <w:rPr>
          <w:rFonts w:hint="eastAsia" w:ascii="宋体" w:hAnsi="宋体" w:eastAsia="宋体"/>
          <w:b/>
          <w:bCs/>
          <w:color w:val="auto"/>
          <w:kern w:val="24"/>
          <w:sz w:val="24"/>
          <w:szCs w:val="20"/>
          <w:highlight w:val="none"/>
          <w:lang w:eastAsia="zh-CN"/>
        </w:rPr>
      </w:pPr>
      <w:r>
        <w:rPr>
          <w:rFonts w:hint="eastAsia" w:ascii="宋体" w:hAnsi="宋体"/>
          <w:b/>
          <w:bCs/>
          <w:color w:val="auto"/>
          <w:kern w:val="24"/>
          <w:sz w:val="24"/>
          <w:szCs w:val="20"/>
          <w:highlight w:val="none"/>
        </w:rPr>
        <w:t>法定代表人：</w:t>
      </w:r>
      <w:r>
        <w:rPr>
          <w:rFonts w:hint="eastAsia" w:ascii="宋体" w:hAnsi="宋体"/>
          <w:b/>
          <w:bCs/>
          <w:color w:val="auto"/>
          <w:kern w:val="24"/>
          <w:sz w:val="24"/>
          <w:szCs w:val="20"/>
          <w:highlight w:val="none"/>
          <w:lang w:eastAsia="zh-CN"/>
        </w:rPr>
        <w:t>张旷</w:t>
      </w:r>
    </w:p>
    <w:p w14:paraId="1609FA1C">
      <w:pPr>
        <w:tabs>
          <w:tab w:val="left" w:pos="1080"/>
        </w:tabs>
        <w:snapToGrid w:val="0"/>
        <w:rPr>
          <w:rFonts w:hint="eastAsia" w:ascii="宋体" w:hAnsi="宋体" w:eastAsia="宋体"/>
          <w:b/>
          <w:bCs/>
          <w:color w:val="auto"/>
          <w:kern w:val="24"/>
          <w:sz w:val="24"/>
          <w:szCs w:val="20"/>
          <w:highlight w:val="none"/>
          <w:lang w:eastAsia="zh-CN"/>
        </w:rPr>
      </w:pPr>
      <w:r>
        <w:rPr>
          <w:rFonts w:hint="eastAsia" w:ascii="宋体" w:hAnsi="宋体"/>
          <w:b/>
          <w:bCs/>
          <w:color w:val="auto"/>
          <w:kern w:val="24"/>
          <w:sz w:val="24"/>
          <w:szCs w:val="20"/>
          <w:highlight w:val="none"/>
        </w:rPr>
        <w:t>联系地址：</w:t>
      </w:r>
      <w:r>
        <w:rPr>
          <w:rFonts w:hint="eastAsia" w:ascii="宋体" w:hAnsi="宋体"/>
          <w:b/>
          <w:bCs/>
          <w:color w:val="auto"/>
          <w:kern w:val="24"/>
          <w:sz w:val="24"/>
          <w:szCs w:val="20"/>
          <w:highlight w:val="none"/>
          <w:lang w:eastAsia="zh-CN"/>
        </w:rPr>
        <w:t>广州市天河区软件路11号10楼</w:t>
      </w:r>
    </w:p>
    <w:p w14:paraId="322ACA77">
      <w:pPr>
        <w:tabs>
          <w:tab w:val="left" w:pos="1080"/>
        </w:tabs>
        <w:snapToGrid w:val="0"/>
        <w:rPr>
          <w:rFonts w:hint="eastAsia" w:ascii="宋体" w:hAnsi="宋体" w:eastAsia="宋体"/>
          <w:b/>
          <w:bCs/>
          <w:color w:val="auto"/>
          <w:kern w:val="24"/>
          <w:sz w:val="24"/>
          <w:szCs w:val="24"/>
          <w:highlight w:val="none"/>
          <w:lang w:eastAsia="zh-CN"/>
        </w:rPr>
      </w:pPr>
    </w:p>
    <w:p w14:paraId="2B6E8390">
      <w:pPr>
        <w:tabs>
          <w:tab w:val="left" w:pos="1080"/>
        </w:tabs>
        <w:snapToGrid w:val="0"/>
        <w:rPr>
          <w:rFonts w:ascii="宋体" w:hAnsi="宋体"/>
          <w:b/>
          <w:bCs/>
          <w:color w:val="auto"/>
          <w:kern w:val="24"/>
          <w:sz w:val="24"/>
          <w:szCs w:val="24"/>
          <w:highlight w:val="none"/>
        </w:rPr>
      </w:pPr>
      <w:r>
        <w:rPr>
          <w:rFonts w:hint="eastAsia" w:ascii="宋体" w:hAnsi="宋体"/>
          <w:b/>
          <w:bCs/>
          <w:color w:val="auto"/>
          <w:kern w:val="24"/>
          <w:sz w:val="24"/>
          <w:szCs w:val="24"/>
          <w:highlight w:val="none"/>
        </w:rPr>
        <w:t xml:space="preserve"> </w:t>
      </w:r>
    </w:p>
    <w:p w14:paraId="45F1F00D">
      <w:pPr>
        <w:tabs>
          <w:tab w:val="left" w:pos="1080"/>
        </w:tabs>
        <w:snapToGrid w:val="0"/>
        <w:spacing w:line="360" w:lineRule="auto"/>
        <w:jc w:val="both"/>
        <w:rPr>
          <w:rFonts w:ascii="宋体" w:hAnsi="宋体"/>
          <w:b/>
          <w:bCs/>
          <w:color w:val="auto"/>
          <w:kern w:val="24"/>
          <w:sz w:val="24"/>
          <w:szCs w:val="20"/>
          <w:highlight w:val="none"/>
          <w:u w:val="none"/>
        </w:rPr>
      </w:pPr>
      <w:r>
        <w:rPr>
          <w:rFonts w:hint="eastAsia" w:ascii="宋体" w:hAnsi="宋体"/>
          <w:b/>
          <w:bCs/>
          <w:color w:val="auto"/>
          <w:kern w:val="24"/>
          <w:sz w:val="24"/>
          <w:szCs w:val="20"/>
          <w:highlight w:val="none"/>
        </w:rPr>
        <w:t>乙方（承包人）：</w:t>
      </w:r>
      <w:permStart w:id="1" w:edGrp="everyone"/>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permEnd w:id="1"/>
    </w:p>
    <w:p w14:paraId="125F760D">
      <w:pPr>
        <w:tabs>
          <w:tab w:val="left" w:pos="1080"/>
        </w:tabs>
        <w:snapToGrid w:val="0"/>
        <w:spacing w:line="360" w:lineRule="auto"/>
        <w:jc w:val="both"/>
        <w:rPr>
          <w:rFonts w:ascii="宋体" w:hAnsi="宋体"/>
          <w:b/>
          <w:bCs/>
          <w:color w:val="auto"/>
          <w:kern w:val="24"/>
          <w:sz w:val="24"/>
          <w:szCs w:val="24"/>
          <w:highlight w:val="none"/>
          <w:u w:val="none"/>
        </w:rPr>
      </w:pPr>
      <w:r>
        <w:rPr>
          <w:rFonts w:hint="eastAsia" w:ascii="宋体" w:hAnsi="宋体"/>
          <w:b/>
          <w:bCs/>
          <w:color w:val="auto"/>
          <w:kern w:val="24"/>
          <w:sz w:val="24"/>
          <w:szCs w:val="24"/>
          <w:highlight w:val="none"/>
        </w:rPr>
        <w:t>法定代表人：</w:t>
      </w:r>
      <w:permStart w:id="2" w:edGrp="everyone"/>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permEnd w:id="2"/>
    </w:p>
    <w:p w14:paraId="5E4E5CCA">
      <w:pPr>
        <w:tabs>
          <w:tab w:val="left" w:pos="1080"/>
        </w:tabs>
        <w:spacing w:line="360" w:lineRule="auto"/>
        <w:jc w:val="both"/>
        <w:rPr>
          <w:rFonts w:ascii="宋体" w:hAnsi="宋体" w:cs="宋体"/>
          <w:color w:val="auto"/>
          <w:sz w:val="24"/>
          <w:szCs w:val="24"/>
          <w:highlight w:val="none"/>
        </w:rPr>
      </w:pPr>
      <w:r>
        <w:rPr>
          <w:rFonts w:hint="eastAsia" w:ascii="宋体" w:hAnsi="宋体"/>
          <w:b/>
          <w:bCs/>
          <w:color w:val="auto"/>
          <w:kern w:val="24"/>
          <w:sz w:val="24"/>
          <w:szCs w:val="20"/>
          <w:highlight w:val="none"/>
          <w:u w:val="none"/>
        </w:rPr>
        <w:t>联系地址：</w:t>
      </w:r>
      <w:permStart w:id="3" w:edGrp="everyone"/>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r>
        <w:rPr>
          <w:rFonts w:hint="eastAsia" w:ascii="宋体" w:hAnsi="宋体" w:eastAsia="宋体"/>
          <w:color w:val="auto"/>
          <w:sz w:val="32"/>
          <w:szCs w:val="32"/>
          <w:highlight w:val="none"/>
          <w:u w:val="none"/>
          <w:lang w:val="en-US" w:eastAsia="zh-CN"/>
        </w:rPr>
        <w:t xml:space="preserve">  </w:t>
      </w:r>
      <w:r>
        <w:rPr>
          <w:rFonts w:hint="eastAsia" w:ascii="宋体" w:hAnsi="宋体" w:eastAsia="宋体"/>
          <w:color w:val="auto"/>
          <w:sz w:val="32"/>
          <w:szCs w:val="32"/>
          <w:highlight w:val="none"/>
          <w:u w:val="none"/>
        </w:rPr>
        <w:t xml:space="preserve"> </w:t>
      </w:r>
      <w:permEnd w:id="3"/>
    </w:p>
    <w:p w14:paraId="75148DC3">
      <w:pPr>
        <w:tabs>
          <w:tab w:val="left" w:pos="1080"/>
        </w:tabs>
        <w:spacing w:line="360" w:lineRule="auto"/>
        <w:rPr>
          <w:rFonts w:ascii="宋体" w:hAnsi="宋体" w:cs="宋体"/>
          <w:color w:val="auto"/>
          <w:sz w:val="24"/>
          <w:szCs w:val="24"/>
          <w:highlight w:val="none"/>
        </w:rPr>
      </w:pPr>
    </w:p>
    <w:p w14:paraId="157E7ACF">
      <w:pPr>
        <w:tabs>
          <w:tab w:val="left" w:pos="1080"/>
        </w:tabs>
        <w:spacing w:line="360" w:lineRule="auto"/>
        <w:ind w:firstLine="480" w:firstLineChars="200"/>
        <w:rPr>
          <w:rFonts w:ascii="宋体" w:hAnsi="宋体" w:cs="宋体"/>
          <w:bCs/>
          <w:color w:val="auto"/>
          <w:kern w:val="24"/>
          <w:sz w:val="24"/>
          <w:szCs w:val="24"/>
          <w:highlight w:val="none"/>
        </w:rPr>
      </w:pPr>
      <w:r>
        <w:rPr>
          <w:rFonts w:hint="eastAsia" w:ascii="宋体" w:hAnsi="宋体" w:cs="宋体"/>
          <w:color w:val="auto"/>
          <w:sz w:val="24"/>
          <w:szCs w:val="24"/>
          <w:highlight w:val="none"/>
        </w:rPr>
        <w:t>依照《中华人民共和国民法典》、《中华人民共和国建筑法》等法律法规，</w:t>
      </w:r>
      <w:r>
        <w:rPr>
          <w:rFonts w:hint="eastAsia" w:ascii="宋体" w:hAnsi="宋体" w:cs="宋体"/>
          <w:bCs/>
          <w:color w:val="auto"/>
          <w:kern w:val="24"/>
          <w:sz w:val="24"/>
          <w:szCs w:val="24"/>
          <w:highlight w:val="none"/>
        </w:rPr>
        <w:t>经友好协商，甲、乙双方就</w:t>
      </w:r>
      <w:r>
        <w:rPr>
          <w:rFonts w:hint="eastAsia" w:ascii="宋体" w:hAnsi="宋体" w:cs="宋体"/>
          <w:color w:val="auto"/>
          <w:kern w:val="0"/>
          <w:sz w:val="24"/>
          <w:szCs w:val="24"/>
          <w:highlight w:val="none"/>
        </w:rPr>
        <w:t>配电工程</w:t>
      </w:r>
      <w:r>
        <w:rPr>
          <w:rFonts w:hint="eastAsia" w:ascii="宋体" w:hAnsi="宋体" w:cs="宋体"/>
          <w:color w:val="auto"/>
          <w:sz w:val="24"/>
          <w:szCs w:val="24"/>
          <w:highlight w:val="none"/>
        </w:rPr>
        <w:t>（以下简称“工程”或“项目”）施工等有</w:t>
      </w:r>
      <w:r>
        <w:rPr>
          <w:rFonts w:hint="eastAsia" w:ascii="宋体" w:hAnsi="宋体" w:cs="宋体"/>
          <w:bCs/>
          <w:color w:val="auto"/>
          <w:kern w:val="24"/>
          <w:sz w:val="24"/>
          <w:szCs w:val="24"/>
          <w:highlight w:val="none"/>
        </w:rPr>
        <w:t>关事宜达成一致意见，签订本合同。</w:t>
      </w:r>
    </w:p>
    <w:p w14:paraId="33DCDDB1">
      <w:pPr>
        <w:spacing w:line="360" w:lineRule="auto"/>
        <w:ind w:firstLine="482" w:firstLineChars="200"/>
        <w:rPr>
          <w:rFonts w:ascii="宋体" w:hAnsi="宋体" w:cs="宋体"/>
          <w:b/>
          <w:bCs/>
          <w:color w:val="auto"/>
          <w:sz w:val="24"/>
          <w:szCs w:val="24"/>
          <w:highlight w:val="none"/>
        </w:rPr>
      </w:pPr>
      <w:bookmarkStart w:id="0" w:name="_Toc175473405"/>
      <w:bookmarkStart w:id="1" w:name="_Toc166559800"/>
      <w:r>
        <w:rPr>
          <w:rFonts w:hint="eastAsia" w:ascii="宋体" w:hAnsi="宋体" w:cs="宋体"/>
          <w:b/>
          <w:bCs/>
          <w:color w:val="auto"/>
          <w:sz w:val="24"/>
          <w:szCs w:val="24"/>
          <w:highlight w:val="none"/>
        </w:rPr>
        <w:t>第一条 工程概况</w:t>
      </w:r>
      <w:bookmarkEnd w:id="0"/>
      <w:bookmarkEnd w:id="1"/>
    </w:p>
    <w:p w14:paraId="67E6EEF7">
      <w:pPr>
        <w:tabs>
          <w:tab w:val="left" w:pos="840"/>
          <w:tab w:val="left" w:pos="945"/>
          <w:tab w:val="left" w:pos="1050"/>
        </w:tabs>
        <w:spacing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rPr>
        <w:t>1.工程名称：</w:t>
      </w:r>
      <w:r>
        <w:rPr>
          <w:rFonts w:hint="eastAsia" w:ascii="宋体" w:hAnsi="宋体" w:cs="宋体"/>
          <w:color w:val="auto"/>
          <w:sz w:val="24"/>
          <w:szCs w:val="24"/>
          <w:highlight w:val="none"/>
          <w:lang w:eastAsia="zh-CN"/>
        </w:rPr>
        <w:t>广州高新集团天蕴路2号物业（天河软件园软件产业集中孵化中心）配电增容项目设计施工总承包</w:t>
      </w:r>
    </w:p>
    <w:p w14:paraId="1495F0F5">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cs="宋体"/>
          <w:color w:val="auto"/>
          <w:sz w:val="24"/>
          <w:szCs w:val="24"/>
          <w:highlight w:val="none"/>
        </w:rPr>
        <w:t>2.工程地点：</w:t>
      </w:r>
      <w:r>
        <w:rPr>
          <w:rFonts w:hint="eastAsia" w:ascii="宋体" w:hAnsi="宋体" w:cs="宋体"/>
          <w:color w:val="auto"/>
          <w:sz w:val="24"/>
          <w:szCs w:val="24"/>
          <w:highlight w:val="none"/>
          <w:lang w:eastAsia="zh-CN"/>
        </w:rPr>
        <w:t>广州</w:t>
      </w:r>
      <w:r>
        <w:rPr>
          <w:rFonts w:hint="eastAsia" w:ascii="宋体" w:hAnsi="宋体" w:cs="宋体"/>
          <w:color w:val="auto"/>
          <w:sz w:val="24"/>
          <w:szCs w:val="24"/>
          <w:highlight w:val="none"/>
        </w:rPr>
        <w:t>市</w:t>
      </w:r>
      <w:r>
        <w:rPr>
          <w:rFonts w:hint="eastAsia" w:ascii="宋体" w:hAnsi="宋体" w:cs="宋体"/>
          <w:color w:val="auto"/>
          <w:sz w:val="24"/>
          <w:szCs w:val="24"/>
          <w:highlight w:val="none"/>
          <w:lang w:eastAsia="zh-CN"/>
        </w:rPr>
        <w:t>天河</w:t>
      </w:r>
      <w:r>
        <w:rPr>
          <w:rFonts w:hint="eastAsia" w:ascii="宋体" w:hAnsi="宋体" w:cs="宋体"/>
          <w:color w:val="auto"/>
          <w:sz w:val="24"/>
          <w:szCs w:val="24"/>
          <w:highlight w:val="none"/>
        </w:rPr>
        <w:t>区</w:t>
      </w:r>
      <w:r>
        <w:rPr>
          <w:rFonts w:hint="eastAsia" w:ascii="宋体" w:hAnsi="宋体" w:cs="宋体"/>
          <w:color w:val="auto"/>
          <w:sz w:val="24"/>
          <w:szCs w:val="24"/>
          <w:highlight w:val="none"/>
          <w:lang w:eastAsia="zh-CN"/>
        </w:rPr>
        <w:t>天蕴路</w:t>
      </w:r>
      <w:r>
        <w:rPr>
          <w:rFonts w:hint="eastAsia" w:ascii="宋体" w:hAnsi="宋体" w:cs="宋体"/>
          <w:color w:val="auto"/>
          <w:sz w:val="24"/>
          <w:szCs w:val="24"/>
          <w:highlight w:val="none"/>
          <w:lang w:val="en-US" w:eastAsia="zh-CN"/>
        </w:rPr>
        <w:t>2号</w:t>
      </w:r>
    </w:p>
    <w:p w14:paraId="43BF8BD7">
      <w:pPr>
        <w:spacing w:line="360" w:lineRule="auto"/>
        <w:ind w:firstLine="480" w:firstLineChars="200"/>
        <w:jc w:val="left"/>
        <w:rPr>
          <w:rFonts w:hint="eastAsia" w:ascii="宋体" w:hAnsi="宋体" w:cs="宋体"/>
          <w:color w:val="auto"/>
          <w:kern w:val="0"/>
          <w:sz w:val="24"/>
          <w:szCs w:val="24"/>
          <w:highlight w:val="none"/>
          <w:u w:val="none"/>
        </w:rPr>
      </w:pPr>
      <w:r>
        <w:rPr>
          <w:rFonts w:hint="eastAsia" w:ascii="宋体" w:hAnsi="宋体" w:cs="宋体"/>
          <w:color w:val="auto"/>
          <w:kern w:val="0"/>
          <w:sz w:val="24"/>
          <w:szCs w:val="24"/>
          <w:highlight w:val="none"/>
        </w:rPr>
        <w:t>3.工程内容：</w:t>
      </w:r>
      <w:bookmarkStart w:id="2" w:name="_Toc164044172"/>
      <w:bookmarkStart w:id="3" w:name="_Toc163989681"/>
      <w:bookmarkStart w:id="4" w:name="_Toc167005370"/>
      <w:bookmarkStart w:id="5" w:name="_Toc175473406"/>
      <w:r>
        <w:rPr>
          <w:rFonts w:hint="eastAsia" w:ascii="宋体" w:hAnsi="宋体" w:cs="宋体"/>
          <w:color w:val="auto"/>
          <w:kern w:val="0"/>
          <w:sz w:val="24"/>
          <w:szCs w:val="24"/>
          <w:highlight w:val="none"/>
          <w:u w:val="none"/>
        </w:rPr>
        <w:t>1：改造原有高压室高压柜</w:t>
      </w:r>
      <w:permStart w:id="4" w:edGrp="everyone"/>
      <w:r>
        <w:rPr>
          <w:rFonts w:hint="eastAsia" w:ascii="宋体" w:hAnsi="宋体" w:eastAsia="宋体"/>
          <w:color w:val="auto"/>
          <w:sz w:val="24"/>
          <w:highlight w:val="none"/>
          <w:u w:val="single"/>
        </w:rPr>
        <w:t xml:space="preserve">   </w:t>
      </w:r>
      <w:permEnd w:id="4"/>
      <w:r>
        <w:rPr>
          <w:rFonts w:hint="eastAsia" w:ascii="宋体" w:hAnsi="宋体" w:cs="宋体"/>
          <w:color w:val="auto"/>
          <w:kern w:val="0"/>
          <w:sz w:val="24"/>
          <w:szCs w:val="24"/>
          <w:highlight w:val="none"/>
          <w:u w:val="none"/>
        </w:rPr>
        <w:t>台、在原有</w:t>
      </w:r>
      <w:permStart w:id="5" w:edGrp="everyone"/>
      <w:r>
        <w:rPr>
          <w:rFonts w:hint="eastAsia" w:ascii="宋体" w:hAnsi="宋体" w:eastAsia="宋体"/>
          <w:color w:val="auto"/>
          <w:sz w:val="24"/>
          <w:highlight w:val="none"/>
          <w:u w:val="single"/>
        </w:rPr>
        <w:t xml:space="preserve">   </w:t>
      </w:r>
      <w:permEnd w:id="5"/>
      <w:r>
        <w:rPr>
          <w:rFonts w:hint="eastAsia" w:ascii="宋体" w:hAnsi="宋体" w:cs="宋体"/>
          <w:color w:val="auto"/>
          <w:kern w:val="0"/>
          <w:sz w:val="24"/>
          <w:szCs w:val="24"/>
          <w:highlight w:val="none"/>
          <w:u w:val="none"/>
        </w:rPr>
        <w:t>房新装</w:t>
      </w:r>
      <w:permStart w:id="6" w:edGrp="everyone"/>
      <w:r>
        <w:rPr>
          <w:rFonts w:hint="eastAsia" w:ascii="宋体" w:hAnsi="宋体" w:eastAsia="宋体"/>
          <w:color w:val="auto"/>
          <w:sz w:val="24"/>
          <w:highlight w:val="none"/>
          <w:u w:val="single"/>
        </w:rPr>
        <w:t xml:space="preserve">   </w:t>
      </w:r>
      <w:permEnd w:id="6"/>
      <w:r>
        <w:rPr>
          <w:rFonts w:hint="eastAsia" w:ascii="宋体" w:hAnsi="宋体" w:cs="宋体"/>
          <w:color w:val="auto"/>
          <w:kern w:val="0"/>
          <w:sz w:val="24"/>
          <w:szCs w:val="24"/>
          <w:highlight w:val="none"/>
          <w:u w:val="none"/>
        </w:rPr>
        <w:t>柜</w:t>
      </w:r>
      <w:permStart w:id="7" w:edGrp="everyone"/>
      <w:r>
        <w:rPr>
          <w:rFonts w:hint="eastAsia" w:ascii="宋体" w:hAnsi="宋体" w:eastAsia="宋体"/>
          <w:color w:val="auto"/>
          <w:sz w:val="24"/>
          <w:highlight w:val="none"/>
          <w:u w:val="single"/>
        </w:rPr>
        <w:t xml:space="preserve">   </w:t>
      </w:r>
      <w:permEnd w:id="7"/>
      <w:r>
        <w:rPr>
          <w:rFonts w:hint="eastAsia" w:ascii="宋体" w:hAnsi="宋体" w:cs="宋体"/>
          <w:color w:val="auto"/>
          <w:kern w:val="0"/>
          <w:sz w:val="24"/>
          <w:szCs w:val="24"/>
          <w:highlight w:val="none"/>
          <w:u w:val="none"/>
        </w:rPr>
        <w:t>台，敷设高压电缆</w:t>
      </w:r>
      <w:permStart w:id="8" w:edGrp="everyone"/>
      <w:r>
        <w:rPr>
          <w:rFonts w:hint="eastAsia" w:ascii="宋体" w:hAnsi="宋体" w:eastAsia="宋体"/>
          <w:color w:val="auto"/>
          <w:sz w:val="24"/>
          <w:highlight w:val="none"/>
          <w:u w:val="single"/>
        </w:rPr>
        <w:t xml:space="preserve">   </w:t>
      </w:r>
      <w:permEnd w:id="8"/>
      <w:r>
        <w:rPr>
          <w:rFonts w:hint="eastAsia" w:ascii="宋体" w:hAnsi="宋体" w:cs="宋体"/>
          <w:color w:val="auto"/>
          <w:kern w:val="0"/>
          <w:sz w:val="24"/>
          <w:szCs w:val="24"/>
          <w:highlight w:val="none"/>
          <w:u w:val="none"/>
        </w:rPr>
        <w:t>-8.7/15kV-</w:t>
      </w:r>
      <w:permStart w:id="9" w:edGrp="everyone"/>
      <w:r>
        <w:rPr>
          <w:rFonts w:hint="eastAsia" w:ascii="宋体" w:hAnsi="宋体" w:eastAsia="宋体"/>
          <w:color w:val="auto"/>
          <w:sz w:val="24"/>
          <w:highlight w:val="none"/>
          <w:u w:val="single"/>
        </w:rPr>
        <w:t xml:space="preserve">   </w:t>
      </w:r>
      <w:permEnd w:id="9"/>
      <w:r>
        <w:rPr>
          <w:rFonts w:hint="eastAsia" w:ascii="宋体" w:hAnsi="宋体" w:cs="宋体"/>
          <w:color w:val="auto"/>
          <w:kern w:val="0"/>
          <w:sz w:val="24"/>
          <w:szCs w:val="24"/>
          <w:highlight w:val="none"/>
          <w:u w:val="none"/>
        </w:rPr>
        <w:t>mm</w:t>
      </w:r>
      <w:r>
        <w:rPr>
          <w:rFonts w:hint="eastAsia" w:ascii="宋体" w:hAnsi="宋体" w:cs="宋体"/>
          <w:color w:val="auto"/>
          <w:kern w:val="0"/>
          <w:sz w:val="24"/>
          <w:szCs w:val="24"/>
          <w:highlight w:val="none"/>
          <w:u w:val="none"/>
          <w:vertAlign w:val="superscript"/>
        </w:rPr>
        <w:t>2</w:t>
      </w:r>
      <w:r>
        <w:rPr>
          <w:rFonts w:hint="eastAsia" w:ascii="宋体" w:hAnsi="宋体" w:cs="宋体"/>
          <w:color w:val="auto"/>
          <w:kern w:val="0"/>
          <w:sz w:val="24"/>
          <w:szCs w:val="24"/>
          <w:highlight w:val="none"/>
          <w:u w:val="none"/>
        </w:rPr>
        <w:t>至</w:t>
      </w:r>
      <w:r>
        <w:rPr>
          <w:rFonts w:hint="eastAsia" w:ascii="宋体" w:hAnsi="宋体" w:cs="宋体"/>
          <w:color w:val="auto"/>
          <w:kern w:val="0"/>
          <w:sz w:val="24"/>
          <w:szCs w:val="24"/>
          <w:highlight w:val="none"/>
          <w:u w:val="none"/>
          <w:lang w:val="en-US" w:eastAsia="zh-CN"/>
        </w:rPr>
        <w:t>天蕴路2号</w:t>
      </w:r>
      <w:r>
        <w:rPr>
          <w:rFonts w:hint="eastAsia" w:ascii="宋体" w:hAnsi="宋体" w:cs="宋体"/>
          <w:color w:val="auto"/>
          <w:kern w:val="0"/>
          <w:sz w:val="24"/>
          <w:szCs w:val="24"/>
          <w:highlight w:val="none"/>
          <w:u w:val="none"/>
        </w:rPr>
        <w:t>孵化三期地下室层原有高压室</w:t>
      </w:r>
      <w:r>
        <w:rPr>
          <w:rFonts w:hint="eastAsia" w:ascii="宋体" w:hAnsi="宋体" w:cs="宋体"/>
          <w:color w:val="auto"/>
          <w:kern w:val="0"/>
          <w:sz w:val="24"/>
          <w:szCs w:val="24"/>
          <w:highlight w:val="none"/>
          <w:u w:val="none"/>
          <w:lang w:val="en-US" w:eastAsia="zh-CN"/>
        </w:rPr>
        <w:t>,总容量7200KVA</w:t>
      </w:r>
      <w:r>
        <w:rPr>
          <w:rFonts w:hint="eastAsia" w:ascii="宋体" w:hAnsi="宋体" w:cs="宋体"/>
          <w:color w:val="auto"/>
          <w:kern w:val="0"/>
          <w:sz w:val="24"/>
          <w:szCs w:val="24"/>
          <w:highlight w:val="none"/>
          <w:u w:val="none"/>
        </w:rPr>
        <w:t>；2：在天蕴路2号首层新建满足A级数据中心供配电规范要求的高低压电气系统及土建工程，总容量8000kVA；3：对改造、新装电气设备进行调试、试验。</w:t>
      </w:r>
    </w:p>
    <w:p w14:paraId="44BEDF5A">
      <w:pPr>
        <w:spacing w:line="360" w:lineRule="auto"/>
        <w:ind w:firstLine="480" w:firstLineChars="200"/>
        <w:jc w:val="left"/>
        <w:rPr>
          <w:rFonts w:hint="eastAsia" w:ascii="宋体" w:hAnsi="宋体" w:eastAsia="宋体"/>
          <w:color w:val="auto"/>
          <w:sz w:val="24"/>
          <w:highlight w:val="none"/>
          <w:u w:val="none"/>
          <w:lang w:eastAsia="zh-CN"/>
        </w:rPr>
      </w:pPr>
      <w:r>
        <w:rPr>
          <w:rFonts w:hint="eastAsia" w:ascii="宋体" w:hAnsi="宋体"/>
          <w:color w:val="auto"/>
          <w:sz w:val="24"/>
          <w:highlight w:val="none"/>
        </w:rPr>
        <w:t>（1）</w:t>
      </w:r>
      <w:r>
        <w:rPr>
          <w:rFonts w:hint="eastAsia" w:ascii="宋体" w:hAnsi="宋体"/>
          <w:color w:val="auto"/>
          <w:sz w:val="24"/>
          <w:highlight w:val="none"/>
          <w:lang w:eastAsia="zh-CN"/>
        </w:rPr>
        <w:t>设计部分：</w:t>
      </w:r>
      <w:r>
        <w:rPr>
          <w:rFonts w:hint="eastAsia" w:ascii="宋体" w:hAnsi="宋体"/>
          <w:color w:val="auto"/>
          <w:sz w:val="24"/>
          <w:highlight w:val="none"/>
          <w:u w:val="none"/>
          <w:lang w:eastAsia="zh-CN"/>
        </w:rPr>
        <w:t>包括</w:t>
      </w:r>
      <w:r>
        <w:rPr>
          <w:rFonts w:hint="eastAsia" w:ascii="宋体" w:hAnsi="宋体" w:cs="宋体"/>
          <w:color w:val="auto"/>
          <w:sz w:val="24"/>
          <w:szCs w:val="24"/>
          <w:highlight w:val="none"/>
          <w:u w:val="none"/>
        </w:rPr>
        <w:t>但不限于完成设计方案（非概念方案或创意发挥的方案）、初步设计文件、施工图设计、配合各类专业工程深化图纸设计审查、配合竣工图审查、配合完成初步设计审查和施工图审查（如有）、配合开展前期报建报批、配合相关评审工作、施工配合服务及后续服务工作、设计变更管理（如有）、设计分包管理等（如有）。具体详见合同及发包人要求。</w:t>
      </w:r>
    </w:p>
    <w:p w14:paraId="3AD4EBF2">
      <w:pPr>
        <w:spacing w:line="360" w:lineRule="auto"/>
        <w:ind w:firstLine="480" w:firstLineChars="200"/>
        <w:rPr>
          <w:rFonts w:hint="eastAsia" w:ascii="宋体" w:hAnsi="宋体" w:cs="宋体"/>
          <w:color w:val="auto"/>
          <w:sz w:val="24"/>
          <w:szCs w:val="24"/>
          <w:highlight w:val="none"/>
          <w:u w:val="none"/>
        </w:rPr>
      </w:pPr>
      <w:r>
        <w:rPr>
          <w:rFonts w:hint="eastAsia" w:ascii="宋体" w:hAnsi="宋体"/>
          <w:color w:val="auto"/>
          <w:sz w:val="24"/>
          <w:highlight w:val="none"/>
          <w:u w:val="none"/>
        </w:rPr>
        <w:t>（2）</w:t>
      </w:r>
      <w:r>
        <w:rPr>
          <w:rFonts w:hint="eastAsia" w:ascii="宋体" w:hAnsi="宋体"/>
          <w:color w:val="auto"/>
          <w:sz w:val="24"/>
          <w:highlight w:val="none"/>
          <w:u w:val="none"/>
          <w:lang w:eastAsia="zh-CN"/>
        </w:rPr>
        <w:t>施工部分：包括</w:t>
      </w:r>
      <w:r>
        <w:rPr>
          <w:rFonts w:hint="eastAsia" w:ascii="宋体" w:hAnsi="宋体" w:cs="宋体"/>
          <w:color w:val="auto"/>
          <w:sz w:val="24"/>
          <w:szCs w:val="24"/>
          <w:highlight w:val="none"/>
          <w:u w:val="none"/>
        </w:rPr>
        <w:t>但不限于完成本项目所需的所有的施工工作（含施工准备、围蔽工程等）、</w:t>
      </w:r>
      <w:bookmarkStart w:id="6" w:name="OLE_LINK8"/>
      <w:r>
        <w:rPr>
          <w:rFonts w:hint="eastAsia" w:ascii="宋体" w:hAnsi="宋体" w:cs="宋体"/>
          <w:color w:val="auto"/>
          <w:sz w:val="24"/>
          <w:szCs w:val="24"/>
          <w:highlight w:val="none"/>
          <w:u w:val="none"/>
        </w:rPr>
        <w:t>施工图预算编制、结算编制（如有）、编制竣工图、配合相关部门预、结（决）算审核等工作</w:t>
      </w:r>
      <w:bookmarkEnd w:id="6"/>
      <w:r>
        <w:rPr>
          <w:rFonts w:hint="eastAsia" w:ascii="宋体" w:hAnsi="宋体" w:cs="宋体"/>
          <w:color w:val="auto"/>
          <w:sz w:val="24"/>
          <w:szCs w:val="24"/>
          <w:highlight w:val="none"/>
          <w:u w:val="none"/>
        </w:rPr>
        <w:t>，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等。具体详见合同的要求。</w:t>
      </w:r>
    </w:p>
    <w:p w14:paraId="3570DCE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olor w:val="auto"/>
          <w:sz w:val="24"/>
          <w:highlight w:val="none"/>
          <w:u w:val="none"/>
        </w:rPr>
        <w:t>（</w:t>
      </w:r>
      <w:r>
        <w:rPr>
          <w:rFonts w:hint="eastAsia" w:ascii="宋体" w:hAnsi="宋体"/>
          <w:color w:val="auto"/>
          <w:sz w:val="24"/>
          <w:highlight w:val="none"/>
          <w:u w:val="none"/>
          <w:lang w:val="en-US" w:eastAsia="zh-CN"/>
        </w:rPr>
        <w:t>3</w:t>
      </w:r>
      <w:r>
        <w:rPr>
          <w:rFonts w:hint="eastAsia" w:ascii="宋体" w:hAnsi="宋体"/>
          <w:color w:val="auto"/>
          <w:sz w:val="24"/>
          <w:highlight w:val="none"/>
          <w:u w:val="none"/>
        </w:rPr>
        <w:t>）</w:t>
      </w:r>
      <w:r>
        <w:rPr>
          <w:rFonts w:hint="eastAsia" w:ascii="宋体" w:hAnsi="宋体" w:cs="宋体"/>
          <w:b w:val="0"/>
          <w:bCs w:val="0"/>
          <w:color w:val="auto"/>
          <w:sz w:val="24"/>
          <w:szCs w:val="24"/>
          <w:highlight w:val="none"/>
          <w:u w:val="none"/>
          <w:lang w:val="en-US" w:eastAsia="zh-CN"/>
        </w:rPr>
        <w:t>上述工程</w:t>
      </w:r>
      <w:r>
        <w:rPr>
          <w:rFonts w:hint="eastAsia" w:ascii="宋体" w:hAnsi="宋体" w:cs="宋体"/>
          <w:b w:val="0"/>
          <w:bCs w:val="0"/>
          <w:color w:val="auto"/>
          <w:sz w:val="24"/>
          <w:szCs w:val="24"/>
          <w:highlight w:val="none"/>
          <w:u w:val="none"/>
        </w:rPr>
        <w:t>施工内容所涉及的费用均按</w:t>
      </w:r>
      <w:r>
        <w:rPr>
          <w:rFonts w:hint="eastAsia" w:ascii="宋体" w:hAnsi="宋体" w:cs="宋体"/>
          <w:b w:val="0"/>
          <w:bCs w:val="0"/>
          <w:color w:val="auto"/>
          <w:sz w:val="24"/>
          <w:szCs w:val="24"/>
          <w:highlight w:val="none"/>
          <w:u w:val="none"/>
          <w:lang w:eastAsia="zh-CN"/>
        </w:rPr>
        <w:t>综合单</w:t>
      </w:r>
      <w:r>
        <w:rPr>
          <w:rFonts w:hint="eastAsia" w:ascii="宋体" w:hAnsi="宋体" w:cs="宋体"/>
          <w:b w:val="0"/>
          <w:bCs w:val="0"/>
          <w:color w:val="auto"/>
          <w:sz w:val="24"/>
          <w:szCs w:val="24"/>
          <w:highlight w:val="none"/>
          <w:u w:val="none"/>
          <w:lang w:val="en-US" w:eastAsia="zh-CN"/>
        </w:rPr>
        <w:t>价</w:t>
      </w:r>
      <w:r>
        <w:rPr>
          <w:rFonts w:hint="eastAsia" w:ascii="宋体" w:hAnsi="宋体" w:cs="宋体"/>
          <w:b w:val="0"/>
          <w:bCs w:val="0"/>
          <w:color w:val="auto"/>
          <w:sz w:val="24"/>
          <w:szCs w:val="24"/>
          <w:highlight w:val="none"/>
          <w:u w:val="none"/>
        </w:rPr>
        <w:t>（按照</w:t>
      </w:r>
      <w:r>
        <w:rPr>
          <w:rFonts w:hint="eastAsia" w:ascii="宋体" w:hAnsi="宋体" w:cs="宋体"/>
          <w:b w:val="0"/>
          <w:bCs w:val="0"/>
          <w:color w:val="auto"/>
          <w:sz w:val="24"/>
          <w:szCs w:val="24"/>
          <w:highlight w:val="none"/>
          <w:u w:val="none"/>
          <w:lang w:eastAsia="zh-CN"/>
        </w:rPr>
        <w:t>深化图纸、</w:t>
      </w:r>
      <w:r>
        <w:rPr>
          <w:rFonts w:hint="eastAsia" w:ascii="宋体" w:hAnsi="宋体" w:cs="宋体"/>
          <w:b w:val="0"/>
          <w:bCs w:val="0"/>
          <w:color w:val="auto"/>
          <w:sz w:val="24"/>
          <w:szCs w:val="24"/>
          <w:highlight w:val="none"/>
          <w:u w:val="none"/>
        </w:rPr>
        <w:t>技术要求、招标清单、施工界面），投标人报价时予以综合考虑，若</w:t>
      </w:r>
      <w:r>
        <w:rPr>
          <w:rFonts w:hint="eastAsia" w:ascii="宋体" w:hAnsi="宋体" w:cs="宋体"/>
          <w:b w:val="0"/>
          <w:bCs w:val="0"/>
          <w:color w:val="auto"/>
          <w:sz w:val="24"/>
          <w:szCs w:val="24"/>
          <w:highlight w:val="none"/>
          <w:u w:val="none"/>
          <w:lang w:eastAsia="zh-CN"/>
        </w:rPr>
        <w:t>设计及报价</w:t>
      </w:r>
      <w:r>
        <w:rPr>
          <w:rFonts w:hint="eastAsia" w:ascii="宋体" w:hAnsi="宋体" w:cs="宋体"/>
          <w:b w:val="0"/>
          <w:bCs w:val="0"/>
          <w:color w:val="auto"/>
          <w:sz w:val="24"/>
          <w:szCs w:val="24"/>
          <w:highlight w:val="none"/>
          <w:u w:val="none"/>
        </w:rPr>
        <w:t>清单有遗漏，一概不做签证。移交范围包含</w:t>
      </w:r>
      <w:r>
        <w:rPr>
          <w:rFonts w:hint="eastAsia" w:ascii="宋体" w:hAnsi="宋体" w:cs="宋体"/>
          <w:b w:val="0"/>
          <w:bCs w:val="0"/>
          <w:color w:val="auto"/>
          <w:sz w:val="24"/>
          <w:szCs w:val="24"/>
          <w:highlight w:val="none"/>
          <w:u w:val="none"/>
          <w:lang w:eastAsia="zh-CN"/>
        </w:rPr>
        <w:t>孵化三期高低压配电房</w:t>
      </w:r>
      <w:r>
        <w:rPr>
          <w:rFonts w:hint="eastAsia" w:ascii="宋体" w:hAnsi="宋体" w:cs="宋体"/>
          <w:b w:val="0"/>
          <w:bCs w:val="0"/>
          <w:color w:val="auto"/>
          <w:sz w:val="24"/>
          <w:szCs w:val="24"/>
          <w:highlight w:val="none"/>
          <w:u w:val="none"/>
        </w:rPr>
        <w:t>，一切移交内容办理移交后全部交由中标单位进行保护及维护，若因中标方原因导致工期滞后、质量问题，甲方有权安排第三方单位进行整改，相关费用扣除中标单位且保留后期索赔的的权利。</w:t>
      </w:r>
    </w:p>
    <w:p w14:paraId="67CC8A08">
      <w:pPr>
        <w:pStyle w:val="2"/>
        <w:adjustRightInd w:val="0"/>
        <w:snapToGrid w:val="0"/>
        <w:spacing w:line="360" w:lineRule="auto"/>
        <w:ind w:firstLineChars="200"/>
        <w:jc w:val="left"/>
        <w:rPr>
          <w:rFonts w:hint="eastAsia" w:ascii="宋体" w:hAnsi="宋体" w:cs="宋体"/>
          <w:bCs w:val="0"/>
          <w:color w:val="auto"/>
          <w:kern w:val="0"/>
          <w:sz w:val="24"/>
          <w:szCs w:val="22"/>
          <w:highlight w:val="none"/>
        </w:rPr>
      </w:pPr>
      <w:r>
        <w:rPr>
          <w:rFonts w:hint="eastAsia" w:ascii="宋体" w:hAnsi="宋体" w:cs="宋体"/>
          <w:color w:val="auto"/>
          <w:kern w:val="0"/>
          <w:sz w:val="24"/>
          <w:szCs w:val="22"/>
          <w:highlight w:val="none"/>
        </w:rPr>
        <w:t>（</w:t>
      </w:r>
      <w:r>
        <w:rPr>
          <w:rFonts w:hint="eastAsia" w:ascii="宋体" w:hAnsi="宋体" w:cs="宋体"/>
          <w:color w:val="auto"/>
          <w:kern w:val="0"/>
          <w:sz w:val="24"/>
          <w:szCs w:val="22"/>
          <w:highlight w:val="none"/>
          <w:lang w:val="en-US" w:eastAsia="zh-CN"/>
        </w:rPr>
        <w:t>4</w:t>
      </w:r>
      <w:r>
        <w:rPr>
          <w:rFonts w:hint="eastAsia" w:ascii="宋体" w:hAnsi="宋体" w:cs="宋体"/>
          <w:color w:val="auto"/>
          <w:kern w:val="0"/>
          <w:sz w:val="24"/>
          <w:szCs w:val="22"/>
          <w:highlight w:val="none"/>
        </w:rPr>
        <w:t>）</w:t>
      </w:r>
      <w:r>
        <w:rPr>
          <w:rFonts w:hint="eastAsia" w:ascii="宋体" w:hAnsi="宋体" w:cs="宋体"/>
          <w:bCs w:val="0"/>
          <w:color w:val="auto"/>
          <w:kern w:val="0"/>
          <w:sz w:val="24"/>
          <w:szCs w:val="22"/>
          <w:highlight w:val="none"/>
        </w:rPr>
        <w:t>工程施工及管理内容主要</w:t>
      </w:r>
      <w:r>
        <w:rPr>
          <w:rFonts w:hint="eastAsia" w:ascii="宋体" w:hAnsi="宋体" w:cs="宋体"/>
          <w:color w:val="auto"/>
          <w:kern w:val="0"/>
          <w:sz w:val="24"/>
          <w:szCs w:val="22"/>
          <w:highlight w:val="none"/>
        </w:rPr>
        <w:t>包括但不限于</w:t>
      </w:r>
      <w:r>
        <w:rPr>
          <w:rFonts w:hint="eastAsia" w:ascii="宋体" w:hAnsi="宋体" w:cs="宋体"/>
          <w:bCs w:val="0"/>
          <w:color w:val="auto"/>
          <w:kern w:val="0"/>
          <w:sz w:val="24"/>
          <w:szCs w:val="22"/>
          <w:highlight w:val="none"/>
        </w:rPr>
        <w:t>本工程</w:t>
      </w:r>
      <w:r>
        <w:rPr>
          <w:rFonts w:hint="eastAsia" w:ascii="宋体" w:hAnsi="宋体" w:cs="宋体"/>
          <w:color w:val="auto"/>
          <w:kern w:val="0"/>
          <w:sz w:val="24"/>
          <w:szCs w:val="22"/>
          <w:highlight w:val="none"/>
        </w:rPr>
        <w:t>施工图设计及优化并报送相关供电局等审核通过、施工、竣工验收、送电、保修和施工图纸中约定的其它工作</w:t>
      </w:r>
      <w:r>
        <w:rPr>
          <w:rFonts w:hint="eastAsia" w:ascii="宋体" w:hAnsi="宋体" w:cs="宋体"/>
          <w:bCs w:val="0"/>
          <w:color w:val="auto"/>
          <w:kern w:val="0"/>
          <w:sz w:val="24"/>
          <w:szCs w:val="22"/>
          <w:highlight w:val="none"/>
        </w:rPr>
        <w:t>；对本工程施工过程中所造成的破坏进行恢复；对本工程线路走向涉及的树木砍伐及赔偿、市政管线保护、市政道路砼路面的开挖及恢复等工作；与开展本工程施工有关的申请审批工作以及完成本工程施工所需要的不可分割的相关工作（包括但不限于：施工许可、开工报告、开工告知、施工/竣工报检等相关政府监管手续的办理）；取得电力线路、市政道路通过权须制作的满足当地职能部门管理和审批所需要的技术资料和文件（包括但不限于：相关的工程施工过程文件、竣工文件、政府报批、第三方报检等所需的各种文件）；取得质监、环保、电力、市政等相关政府管理部门工作配合及工程竣工验收合格合法送电并顺利移交甲方；与工程当地城区单位、居民关系的协调处理等。</w:t>
      </w:r>
    </w:p>
    <w:p w14:paraId="5C83CF59">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第二条 承包范围及承包方式</w:t>
      </w:r>
      <w:bookmarkEnd w:id="2"/>
      <w:bookmarkEnd w:id="3"/>
      <w:bookmarkEnd w:id="4"/>
      <w:bookmarkEnd w:id="5"/>
    </w:p>
    <w:p w14:paraId="7779C49C">
      <w:pPr>
        <w:tabs>
          <w:tab w:val="left" w:pos="840"/>
          <w:tab w:val="left" w:pos="945"/>
          <w:tab w:val="left" w:pos="105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1．承包范围：</w:t>
      </w:r>
      <w:r>
        <w:rPr>
          <w:rFonts w:hint="eastAsia" w:ascii="宋体" w:hAnsi="宋体" w:cs="宋体"/>
          <w:color w:val="auto"/>
          <w:kern w:val="0"/>
          <w:sz w:val="24"/>
          <w:highlight w:val="none"/>
        </w:rPr>
        <w:t>本工程具体施工范围及内容</w:t>
      </w:r>
      <w:r>
        <w:rPr>
          <w:rFonts w:hint="eastAsia" w:ascii="宋体" w:hAnsi="宋体" w:cs="宋体"/>
          <w:color w:val="auto"/>
          <w:sz w:val="24"/>
          <w:szCs w:val="24"/>
          <w:highlight w:val="none"/>
        </w:rPr>
        <w:t>以</w:t>
      </w:r>
      <w:r>
        <w:rPr>
          <w:rFonts w:hint="eastAsia" w:ascii="宋体" w:hAnsi="宋体" w:cs="宋体"/>
          <w:color w:val="auto"/>
          <w:sz w:val="24"/>
          <w:szCs w:val="24"/>
          <w:highlight w:val="none"/>
          <w:lang w:eastAsia="zh-CN"/>
        </w:rPr>
        <w:t>乙</w:t>
      </w:r>
      <w:r>
        <w:rPr>
          <w:rFonts w:hint="eastAsia" w:ascii="宋体" w:hAnsi="宋体" w:cs="宋体"/>
          <w:color w:val="auto"/>
          <w:sz w:val="24"/>
          <w:szCs w:val="24"/>
          <w:highlight w:val="none"/>
        </w:rPr>
        <w:t>方按照中标设计方案、经供电局审图合格的施工图及工程预算报价书中工程内容进行施工，</w:t>
      </w:r>
      <w:r>
        <w:rPr>
          <w:rFonts w:hint="eastAsia" w:ascii="宋体" w:hAnsi="宋体"/>
          <w:color w:val="auto"/>
          <w:kern w:val="0"/>
          <w:sz w:val="24"/>
          <w:highlight w:val="none"/>
        </w:rPr>
        <w:t>甲方有权对本工程施工范围及内容进行增减，乙方对此无异议</w:t>
      </w:r>
      <w:r>
        <w:rPr>
          <w:rFonts w:hint="eastAsia" w:ascii="宋体" w:hAnsi="宋体" w:cs="宋体"/>
          <w:color w:val="auto"/>
          <w:sz w:val="24"/>
          <w:szCs w:val="24"/>
          <w:highlight w:val="none"/>
        </w:rPr>
        <w:t>。</w:t>
      </w:r>
    </w:p>
    <w:p w14:paraId="2518E7E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2．承包方式：</w:t>
      </w:r>
      <w:bookmarkStart w:id="7" w:name="_第三条：工程质量标准"/>
      <w:bookmarkEnd w:id="7"/>
      <w:bookmarkStart w:id="8" w:name="_Toc164246854"/>
      <w:bookmarkStart w:id="9" w:name="_Toc164044176"/>
      <w:bookmarkStart w:id="10" w:name="_Toc166559802"/>
      <w:bookmarkStart w:id="11" w:name="_Toc163989685"/>
      <w:bookmarkStart w:id="12" w:name="_Toc175473407"/>
    </w:p>
    <w:p w14:paraId="6F610AE4">
      <w:pPr>
        <w:spacing w:line="360" w:lineRule="auto"/>
        <w:ind w:firstLine="480" w:firstLineChars="200"/>
        <w:jc w:val="left"/>
        <w:rPr>
          <w:rFonts w:ascii="宋体" w:hAnsi="宋体"/>
          <w:color w:val="auto"/>
          <w:sz w:val="24"/>
          <w:highlight w:val="none"/>
        </w:rPr>
      </w:pPr>
      <w:r>
        <w:rPr>
          <w:rFonts w:ascii="宋体" w:hAnsi="宋体" w:cs="宋体"/>
          <w:color w:val="auto"/>
          <w:sz w:val="24"/>
          <w:szCs w:val="24"/>
          <w:highlight w:val="none"/>
        </w:rPr>
        <w:t>采用单价合同方</w:t>
      </w:r>
      <w:r>
        <w:rPr>
          <w:rFonts w:hint="eastAsia" w:ascii="宋体" w:hAnsi="宋体" w:cs="宋体"/>
          <w:color w:val="auto"/>
          <w:sz w:val="24"/>
          <w:szCs w:val="24"/>
          <w:highlight w:val="none"/>
          <w:lang w:eastAsia="zh-CN"/>
        </w:rPr>
        <w:t>式。包设计、包图审合格、包工、包料、包质量、包工期、包安全文明施工、包试验、包验收、包送电形式进行承包</w:t>
      </w:r>
      <w:r>
        <w:rPr>
          <w:rFonts w:hint="eastAsia" w:ascii="宋体" w:hAnsi="宋体" w:cs="宋体"/>
          <w:color w:val="auto"/>
          <w:kern w:val="0"/>
          <w:sz w:val="24"/>
          <w:szCs w:val="24"/>
          <w:highlight w:val="none"/>
        </w:rPr>
        <w:t>。</w:t>
      </w:r>
      <w:r>
        <w:rPr>
          <w:rFonts w:ascii="宋体" w:hAnsi="宋体"/>
          <w:color w:val="auto"/>
          <w:sz w:val="24"/>
          <w:highlight w:val="none"/>
        </w:rPr>
        <w:t>合同单价详见投标报价书，投标报价书</w:t>
      </w:r>
      <w:r>
        <w:rPr>
          <w:rFonts w:hint="eastAsia" w:ascii="宋体" w:hAnsi="宋体"/>
          <w:color w:val="auto"/>
          <w:sz w:val="24"/>
          <w:highlight w:val="none"/>
        </w:rPr>
        <w:t>未</w:t>
      </w:r>
      <w:r>
        <w:rPr>
          <w:rFonts w:ascii="宋体" w:hAnsi="宋体"/>
          <w:color w:val="auto"/>
          <w:sz w:val="24"/>
          <w:highlight w:val="none"/>
        </w:rPr>
        <w:t>满足</w:t>
      </w:r>
      <w:r>
        <w:rPr>
          <w:rFonts w:hint="eastAsia" w:ascii="宋体" w:hAnsi="宋体"/>
          <w:color w:val="auto"/>
          <w:sz w:val="24"/>
          <w:highlight w:val="none"/>
        </w:rPr>
        <w:t>招标文件及合同要求的及</w:t>
      </w:r>
      <w:r>
        <w:rPr>
          <w:rFonts w:ascii="宋体" w:hAnsi="宋体"/>
          <w:color w:val="auto"/>
          <w:sz w:val="24"/>
          <w:highlight w:val="none"/>
        </w:rPr>
        <w:t>投标报价书没有的项目，</w:t>
      </w:r>
      <w:r>
        <w:rPr>
          <w:rFonts w:hint="eastAsia" w:ascii="宋体" w:hAnsi="宋体"/>
          <w:color w:val="auto"/>
          <w:sz w:val="24"/>
          <w:highlight w:val="none"/>
        </w:rPr>
        <w:t>按</w:t>
      </w:r>
      <w:r>
        <w:rPr>
          <w:rFonts w:ascii="宋体" w:hAnsi="宋体"/>
          <w:color w:val="auto"/>
          <w:sz w:val="24"/>
          <w:highlight w:val="none"/>
        </w:rPr>
        <w:t>招标文件</w:t>
      </w:r>
      <w:r>
        <w:rPr>
          <w:rFonts w:hint="eastAsia" w:ascii="宋体" w:hAnsi="宋体"/>
          <w:color w:val="auto"/>
          <w:sz w:val="24"/>
          <w:highlight w:val="none"/>
        </w:rPr>
        <w:t>及合同的相关约定执行</w:t>
      </w:r>
      <w:r>
        <w:rPr>
          <w:rFonts w:ascii="宋体" w:hAnsi="宋体"/>
          <w:color w:val="auto"/>
          <w:sz w:val="24"/>
          <w:highlight w:val="none"/>
        </w:rPr>
        <w:t>。</w:t>
      </w:r>
    </w:p>
    <w:p w14:paraId="51B32288">
      <w:pPr>
        <w:spacing w:line="360" w:lineRule="auto"/>
        <w:ind w:firstLine="480" w:firstLineChars="200"/>
        <w:jc w:val="left"/>
        <w:rPr>
          <w:rFonts w:ascii="宋体" w:hAnsi="宋体" w:cs="宋体"/>
          <w:color w:val="auto"/>
          <w:kern w:val="0"/>
          <w:sz w:val="24"/>
          <w:szCs w:val="24"/>
          <w:highlight w:val="none"/>
        </w:rPr>
      </w:pPr>
      <w:r>
        <w:rPr>
          <w:rFonts w:hint="eastAsia" w:cs="宋体"/>
          <w:color w:val="auto"/>
          <w:kern w:val="0"/>
          <w:sz w:val="24"/>
          <w:highlight w:val="none"/>
        </w:rPr>
        <w:t>3</w:t>
      </w:r>
      <w:r>
        <w:rPr>
          <w:rFonts w:hint="eastAsia" w:cs="宋体"/>
          <w:color w:val="auto"/>
          <w:sz w:val="24"/>
          <w:highlight w:val="none"/>
        </w:rPr>
        <w:t>．</w:t>
      </w:r>
      <w:r>
        <w:rPr>
          <w:rFonts w:hint="eastAsia" w:cs="宋体"/>
          <w:color w:val="auto"/>
          <w:kern w:val="0"/>
          <w:sz w:val="24"/>
          <w:highlight w:val="none"/>
        </w:rPr>
        <w:t>承包风险：</w:t>
      </w:r>
      <w:r>
        <w:rPr>
          <w:rFonts w:hint="eastAsia" w:ascii="宋体" w:hAnsi="宋体"/>
          <w:color w:val="auto"/>
          <w:sz w:val="24"/>
          <w:highlight w:val="none"/>
        </w:rPr>
        <w:t>招标文件所约定的投标报价风险及承包风险。此外还包括：</w:t>
      </w:r>
    </w:p>
    <w:p w14:paraId="5B96CC2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（1）本合同、招标文件所提供的工程相关资料和数据资料是为乙方提供大体的信息和一般性的指导。乙方有责任获取更多更详细的需要的资料，补充资料的费用乙方自行承担。</w:t>
      </w:r>
    </w:p>
    <w:p w14:paraId="5DEF9CA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（2）由于天河软件园软件产业集中孵化中心</w:t>
      </w:r>
      <w:r>
        <w:rPr>
          <w:rFonts w:hint="eastAsia" w:ascii="宋体" w:hAnsi="宋体"/>
          <w:color w:val="auto"/>
          <w:sz w:val="24"/>
          <w:highlight w:val="none"/>
          <w:lang w:val="en-US" w:eastAsia="zh-CN"/>
        </w:rPr>
        <w:t>园区企业办公需要等客观</w:t>
      </w:r>
      <w:r>
        <w:rPr>
          <w:rFonts w:hint="eastAsia" w:ascii="宋体" w:hAnsi="宋体"/>
          <w:color w:val="auto"/>
          <w:sz w:val="24"/>
          <w:highlight w:val="none"/>
        </w:rPr>
        <w:t>原因，临时导致只能利用晚上施工，因此引起施工期间的施工降效的相关费用，乙方须根据实际情况自行考虑。</w:t>
      </w:r>
    </w:p>
    <w:p w14:paraId="65B24AB3">
      <w:pPr>
        <w:spacing w:line="360" w:lineRule="auto"/>
        <w:jc w:val="left"/>
        <w:rPr>
          <w:rFonts w:ascii="宋体" w:hAnsi="宋体"/>
          <w:color w:val="auto"/>
          <w:sz w:val="24"/>
          <w:highlight w:val="none"/>
        </w:rPr>
      </w:pPr>
      <w:r>
        <w:rPr>
          <w:rFonts w:hint="eastAsia" w:ascii="宋体" w:hAnsi="宋体"/>
          <w:color w:val="auto"/>
          <w:sz w:val="24"/>
          <w:highlight w:val="none"/>
        </w:rPr>
        <w:t xml:space="preserve">    （3）乙方应自行安排和雇佣所有的职员和劳务人员，且为本工程所招用的工人提供必要保护，并应按政府及有关管理机构规定为本合同项下雇用的人员购买保险、办理证件以及提供必要的人身安全保护等事宜，由乙方自行承担相关费用。乙方应自行考虑施工过程中施工人员的人身财产安全及风险等因素，对施工过程中施工人员的人身财产安全承担责任并承诺使甲方免于承担由此引发的诉讼或者索赔，相关费用全部由乙方承担。</w:t>
      </w:r>
    </w:p>
    <w:p w14:paraId="43CCA11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（4）因施工引起的各类政府相关手续的办理与审查及费用由乙方承担。</w:t>
      </w:r>
    </w:p>
    <w:p w14:paraId="2B597778">
      <w:pPr>
        <w:keepNext/>
        <w:keepLines/>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（5）施工过程甲方对主要节点工期的调整，乙方应积极配合。</w:t>
      </w:r>
    </w:p>
    <w:p w14:paraId="535C2E47">
      <w:pPr>
        <w:keepNext/>
        <w:keepLines/>
        <w:spacing w:line="360" w:lineRule="auto"/>
        <w:ind w:firstLine="480" w:firstLineChars="200"/>
        <w:outlineLvl w:val="3"/>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）乙方已经了解现场情况，并摸清地下管线现状，对地下管线作出相应的保护措施。由于乙方原因造成地下管线破坏，由乙方负责赔偿。</w:t>
      </w:r>
    </w:p>
    <w:p w14:paraId="1FF6BCF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）由乙方负责办理取得出入本工程施工场地的专用和临时道路的通行权并承担相关费用，甲方协助乙方办理上述手续。</w:t>
      </w:r>
    </w:p>
    <w:p w14:paraId="37853231">
      <w:pPr>
        <w:spacing w:line="360" w:lineRule="auto"/>
        <w:ind w:firstLine="480" w:firstLineChars="200"/>
        <w:jc w:val="left"/>
        <w:rPr>
          <w:rFonts w:ascii="宋体" w:hAnsi="宋体"/>
          <w:color w:val="auto"/>
          <w:sz w:val="24"/>
          <w:szCs w:val="20"/>
          <w:highlight w:val="none"/>
        </w:rPr>
      </w:pPr>
      <w:r>
        <w:rPr>
          <w:rFonts w:hint="eastAsia" w:ascii="宋体" w:hAnsi="宋体"/>
          <w:color w:val="auto"/>
          <w:sz w:val="24"/>
          <w:szCs w:val="20"/>
          <w:highlight w:val="none"/>
        </w:rPr>
        <w:t>（</w:t>
      </w:r>
      <w:r>
        <w:rPr>
          <w:rFonts w:hint="eastAsia" w:ascii="宋体" w:hAnsi="宋体"/>
          <w:color w:val="auto"/>
          <w:sz w:val="24"/>
          <w:szCs w:val="20"/>
          <w:highlight w:val="none"/>
          <w:lang w:val="en-US" w:eastAsia="zh-CN"/>
        </w:rPr>
        <w:t>8</w:t>
      </w:r>
      <w:r>
        <w:rPr>
          <w:rFonts w:hint="eastAsia" w:ascii="宋体" w:hAnsi="宋体"/>
          <w:color w:val="auto"/>
          <w:sz w:val="24"/>
          <w:szCs w:val="20"/>
          <w:highlight w:val="none"/>
        </w:rPr>
        <w:t>）乙方须按有关行政主管部门规定办理有关施工场地的交通、环卫和施工噪音管理等手续，须按甲方所在经济特区的有关规定办理相关手续，并承担相应费用。</w:t>
      </w:r>
    </w:p>
    <w:p w14:paraId="54965BA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）施工期间乙方应保证原有管、沟、渠及道路畅通完好，因乙方原因保护不当造成邻近建筑物等的损坏，由乙方承担由此发生的费用与责任。</w:t>
      </w:r>
    </w:p>
    <w:p w14:paraId="7E46B4B5">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cs="宋体"/>
          <w:color w:val="auto"/>
          <w:kern w:val="0"/>
          <w:sz w:val="24"/>
          <w:szCs w:val="24"/>
          <w:highlight w:val="none"/>
        </w:rPr>
        <w:t>）施工过程需进入非甲方管辖区域</w:t>
      </w:r>
      <w:r>
        <w:rPr>
          <w:rFonts w:hint="eastAsia" w:ascii="宋体" w:hAnsi="宋体" w:cs="宋体"/>
          <w:color w:val="auto"/>
          <w:kern w:val="0"/>
          <w:sz w:val="24"/>
          <w:szCs w:val="24"/>
          <w:highlight w:val="none"/>
          <w:lang w:val="en-US" w:eastAsia="zh-CN"/>
        </w:rPr>
        <w:t>的</w:t>
      </w:r>
      <w:r>
        <w:rPr>
          <w:rFonts w:hint="eastAsia" w:ascii="宋体" w:hAnsi="宋体" w:cs="宋体"/>
          <w:color w:val="auto"/>
          <w:kern w:val="0"/>
          <w:sz w:val="24"/>
          <w:szCs w:val="24"/>
          <w:highlight w:val="none"/>
        </w:rPr>
        <w:t>，由乙方负责协调沟通和办理相关手续，由此产生的所有费用已包含在合同价款中，同时乙方不得以此作为延长工期的条件。</w:t>
      </w:r>
    </w:p>
    <w:p w14:paraId="6FDA33A6">
      <w:pPr>
        <w:tabs>
          <w:tab w:val="left" w:pos="840"/>
          <w:tab w:val="left" w:pos="945"/>
          <w:tab w:val="left" w:pos="1050"/>
        </w:tabs>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w:t>
      </w:r>
      <w:r>
        <w:rPr>
          <w:rFonts w:hint="eastAsia" w:ascii="宋体" w:hAnsi="宋体"/>
          <w:color w:val="auto"/>
          <w:sz w:val="24"/>
          <w:highlight w:val="none"/>
        </w:rPr>
        <w:t>提供施工图深化设计成果产生的费用及成果报审报批产生的费用均由乙方承担</w:t>
      </w:r>
      <w:r>
        <w:rPr>
          <w:rFonts w:hint="eastAsia" w:ascii="宋体" w:hAnsi="宋体" w:cs="宋体"/>
          <w:color w:val="auto"/>
          <w:kern w:val="0"/>
          <w:sz w:val="24"/>
          <w:szCs w:val="24"/>
          <w:highlight w:val="none"/>
        </w:rPr>
        <w:t>。</w:t>
      </w:r>
    </w:p>
    <w:p w14:paraId="009585FF">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）乙方负责办理所有与配电房有关的申报、验收、移交（包括但不限于所有配电房机合法交付使用手续的办理，所有配电房、电表、</w:t>
      </w:r>
      <w:r>
        <w:rPr>
          <w:rFonts w:hint="eastAsia" w:ascii="宋体" w:hAnsi="宋体" w:cs="宋体"/>
          <w:color w:val="auto"/>
          <w:kern w:val="0"/>
          <w:sz w:val="24"/>
          <w:szCs w:val="24"/>
          <w:highlight w:val="none"/>
          <w:lang w:eastAsia="zh-CN"/>
        </w:rPr>
        <w:t>高</w:t>
      </w:r>
      <w:r>
        <w:rPr>
          <w:rFonts w:hint="eastAsia" w:ascii="宋体" w:hAnsi="宋体" w:cs="宋体"/>
          <w:color w:val="auto"/>
          <w:kern w:val="0"/>
          <w:sz w:val="24"/>
          <w:szCs w:val="24"/>
          <w:highlight w:val="none"/>
        </w:rPr>
        <w:t>低压电缆及与其相关资料的收集整理并移交甲方）等手续，由此产生的所有费用已包含于合同价款中，同时乙方不得以此作为延长工期的条件。</w:t>
      </w:r>
    </w:p>
    <w:p w14:paraId="35D578C2">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）本工程安装施工如需对现有配电房进行土建施工，全部由乙方完成。乙方包与供电系统关系的协调、包验收、包送电、包移交。</w:t>
      </w:r>
    </w:p>
    <w:p w14:paraId="407BFFA1">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）配电房若与其它系统（如消防系统）存在关联，则乙方负责提供硬件软件支持，并按甲方要求到现场配合，由此产生的所有费用已包含在合同价款中，同时乙方不得以此作为延长工期的条件。</w:t>
      </w:r>
    </w:p>
    <w:p w14:paraId="1ADCA4FF">
      <w:pPr>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本工程施工时须同工程所在地供电局做好相应沟通及相应施工措施，做好停电通知、带电施工等各项准备工作，因工程施工造成用户停电产生的费用、损失均已包含在合同价款中，停电通知及带电施工产生的特别措施费用均已包含在合同价款中。</w:t>
      </w:r>
    </w:p>
    <w:p w14:paraId="2BB20E9E">
      <w:pPr>
        <w:spacing w:line="360" w:lineRule="auto"/>
        <w:ind w:firstLine="480" w:firstLineChars="200"/>
        <w:rPr>
          <w:rFonts w:cs="宋体"/>
          <w:color w:val="auto"/>
          <w:sz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配电增容施工过程中</w:t>
      </w:r>
      <w:r>
        <w:rPr>
          <w:rFonts w:hint="eastAsia" w:cs="宋体"/>
          <w:color w:val="auto"/>
          <w:sz w:val="24"/>
          <w:highlight w:val="none"/>
        </w:rPr>
        <w:t>所应</w:t>
      </w:r>
      <w:r>
        <w:rPr>
          <w:rFonts w:hint="eastAsia" w:ascii="宋体" w:hAnsi="宋体"/>
          <w:color w:val="auto"/>
          <w:sz w:val="24"/>
          <w:highlight w:val="none"/>
        </w:rPr>
        <w:t>预见的</w:t>
      </w:r>
      <w:r>
        <w:rPr>
          <w:rFonts w:hint="eastAsia" w:ascii="宋体" w:hAnsi="宋体"/>
          <w:color w:val="auto"/>
          <w:sz w:val="24"/>
          <w:highlight w:val="none"/>
          <w:lang w:val="en-US" w:eastAsia="zh-CN"/>
        </w:rPr>
        <w:t>其他</w:t>
      </w:r>
      <w:r>
        <w:rPr>
          <w:rFonts w:hint="eastAsia" w:ascii="宋体" w:hAnsi="宋体"/>
          <w:color w:val="auto"/>
          <w:sz w:val="24"/>
          <w:highlight w:val="none"/>
        </w:rPr>
        <w:t>各种风险</w:t>
      </w:r>
      <w:r>
        <w:rPr>
          <w:rFonts w:hint="eastAsia" w:cs="宋体"/>
          <w:color w:val="auto"/>
          <w:sz w:val="24"/>
          <w:highlight w:val="none"/>
        </w:rPr>
        <w:t>。</w:t>
      </w:r>
    </w:p>
    <w:p w14:paraId="0346BE81">
      <w:pPr>
        <w:spacing w:line="360" w:lineRule="auto"/>
        <w:ind w:firstLine="480" w:firstLineChars="200"/>
        <w:jc w:val="left"/>
        <w:rPr>
          <w:rFonts w:cs="宋体"/>
          <w:color w:val="auto"/>
          <w:sz w:val="24"/>
          <w:highlight w:val="none"/>
        </w:rPr>
      </w:pPr>
      <w:r>
        <w:rPr>
          <w:rFonts w:hint="eastAsia" w:ascii="宋体" w:hAnsi="宋体" w:cs="宋体"/>
          <w:color w:val="auto"/>
          <w:sz w:val="24"/>
          <w:highlight w:val="none"/>
        </w:rPr>
        <w:t>4.分</w:t>
      </w:r>
      <w:r>
        <w:rPr>
          <w:rFonts w:hint="eastAsia" w:cs="宋体"/>
          <w:color w:val="auto"/>
          <w:sz w:val="24"/>
          <w:highlight w:val="none"/>
        </w:rPr>
        <w:t>包规定：</w:t>
      </w:r>
    </w:p>
    <w:p w14:paraId="127B3557">
      <w:pPr>
        <w:pStyle w:val="40"/>
        <w:adjustRightInd w:val="0"/>
        <w:snapToGrid w:val="0"/>
        <w:spacing w:before="0" w:beforeAutospacing="0" w:after="0" w:afterAutospacing="0" w:line="360" w:lineRule="auto"/>
        <w:ind w:firstLine="489" w:firstLineChars="204"/>
        <w:textAlignment w:val="top"/>
        <w:rPr>
          <w:color w:val="auto"/>
          <w:highlight w:val="none"/>
        </w:rPr>
      </w:pPr>
      <w:r>
        <w:rPr>
          <w:rFonts w:hint="eastAsia"/>
          <w:color w:val="auto"/>
          <w:highlight w:val="none"/>
        </w:rPr>
        <w:t>乙方应当自行完成本合同约定的</w:t>
      </w:r>
      <w:r>
        <w:rPr>
          <w:rFonts w:hint="eastAsia" w:cs="宋体"/>
          <w:color w:val="auto"/>
          <w:highlight w:val="none"/>
        </w:rPr>
        <w:t>所有内容</w:t>
      </w:r>
      <w:r>
        <w:rPr>
          <w:rFonts w:hint="eastAsia"/>
          <w:color w:val="auto"/>
          <w:highlight w:val="none"/>
        </w:rPr>
        <w:t>，不得转包、分包或允许第三方挂靠。</w:t>
      </w:r>
    </w:p>
    <w:p w14:paraId="4EE40499">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第三条 工期</w:t>
      </w:r>
    </w:p>
    <w:bookmarkEnd w:id="8"/>
    <w:bookmarkEnd w:id="9"/>
    <w:bookmarkEnd w:id="10"/>
    <w:bookmarkEnd w:id="11"/>
    <w:bookmarkEnd w:id="12"/>
    <w:p w14:paraId="7416FCF3">
      <w:pPr>
        <w:tabs>
          <w:tab w:val="left" w:pos="840"/>
          <w:tab w:val="left" w:pos="945"/>
          <w:tab w:val="left" w:pos="1050"/>
        </w:tabs>
        <w:spacing w:line="360" w:lineRule="auto"/>
        <w:ind w:firstLine="480" w:firstLineChars="200"/>
        <w:rPr>
          <w:rFonts w:ascii="宋体" w:hAnsi="宋体" w:cs="宋体"/>
          <w:color w:val="auto"/>
          <w:sz w:val="24"/>
          <w:szCs w:val="24"/>
          <w:highlight w:val="none"/>
        </w:rPr>
      </w:pPr>
      <w:bookmarkStart w:id="13" w:name="_Toc163989686"/>
      <w:bookmarkStart w:id="14" w:name="_Toc166559806"/>
      <w:bookmarkStart w:id="15" w:name="_Toc175473409"/>
      <w:bookmarkStart w:id="16" w:name="_Toc164044177"/>
      <w:r>
        <w:rPr>
          <w:rFonts w:hint="eastAsia" w:ascii="宋体" w:hAnsi="宋体" w:cs="宋体"/>
          <w:color w:val="auto"/>
          <w:sz w:val="24"/>
          <w:szCs w:val="24"/>
          <w:highlight w:val="none"/>
        </w:rPr>
        <w:t>1．总工期：</w:t>
      </w:r>
    </w:p>
    <w:p w14:paraId="61AE4008">
      <w:pPr>
        <w:spacing w:line="500" w:lineRule="exact"/>
        <w:ind w:firstLine="480" w:firstLineChars="200"/>
        <w:rPr>
          <w:rFonts w:ascii="宋体" w:hAnsi="宋体"/>
          <w:color w:val="auto"/>
          <w:sz w:val="24"/>
          <w:szCs w:val="24"/>
          <w:highlight w:val="none"/>
        </w:rPr>
      </w:pPr>
      <w:r>
        <w:rPr>
          <w:rFonts w:ascii="宋体" w:hAnsi="宋体" w:cs="宋体"/>
          <w:color w:val="auto"/>
          <w:sz w:val="24"/>
          <w:highlight w:val="none"/>
        </w:rPr>
        <w:t>1.自</w:t>
      </w:r>
      <w:r>
        <w:rPr>
          <w:rFonts w:hint="eastAsia" w:ascii="宋体" w:hAnsi="宋体" w:cs="宋体"/>
          <w:color w:val="auto"/>
          <w:sz w:val="24"/>
          <w:highlight w:val="none"/>
          <w:u w:val="single"/>
          <w:lang w:eastAsia="zh-CN"/>
        </w:rPr>
        <w:t>合同签订</w:t>
      </w:r>
      <w:r>
        <w:rPr>
          <w:rFonts w:hint="eastAsia" w:ascii="宋体" w:hAnsi="宋体" w:cs="宋体"/>
          <w:color w:val="auto"/>
          <w:sz w:val="24"/>
          <w:highlight w:val="none"/>
        </w:rPr>
        <w:t>之日起计</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7</w:t>
      </w:r>
      <w:r>
        <w:rPr>
          <w:rFonts w:ascii="宋体" w:hAnsi="宋体" w:cs="宋体"/>
          <w:color w:val="auto"/>
          <w:sz w:val="24"/>
          <w:highlight w:val="none"/>
          <w:u w:val="single"/>
        </w:rPr>
        <w:t xml:space="preserve"> </w:t>
      </w:r>
      <w:r>
        <w:rPr>
          <w:rFonts w:hint="eastAsia" w:ascii="宋体" w:hAnsi="宋体" w:cs="宋体"/>
          <w:color w:val="auto"/>
          <w:sz w:val="24"/>
          <w:highlight w:val="none"/>
        </w:rPr>
        <w:t>个日历天内完成</w:t>
      </w:r>
      <w:r>
        <w:rPr>
          <w:rFonts w:hint="eastAsia" w:ascii="宋体" w:hAnsi="宋体"/>
          <w:color w:val="auto"/>
          <w:sz w:val="24"/>
          <w:szCs w:val="24"/>
          <w:highlight w:val="none"/>
        </w:rPr>
        <w:t>施工设计及</w:t>
      </w:r>
      <w:r>
        <w:rPr>
          <w:rFonts w:hint="eastAsia" w:ascii="宋体" w:hAnsi="宋体"/>
          <w:color w:val="auto"/>
          <w:sz w:val="24"/>
          <w:szCs w:val="24"/>
          <w:highlight w:val="none"/>
          <w:lang w:eastAsia="zh-CN"/>
        </w:rPr>
        <w:t>供电局图纸</w:t>
      </w:r>
      <w:r>
        <w:rPr>
          <w:rFonts w:hint="eastAsia" w:ascii="宋体" w:hAnsi="宋体"/>
          <w:color w:val="auto"/>
          <w:sz w:val="24"/>
          <w:szCs w:val="24"/>
          <w:highlight w:val="none"/>
        </w:rPr>
        <w:t>审</w:t>
      </w:r>
      <w:r>
        <w:rPr>
          <w:rFonts w:hint="eastAsia" w:ascii="宋体" w:hAnsi="宋体"/>
          <w:color w:val="auto"/>
          <w:sz w:val="24"/>
          <w:szCs w:val="24"/>
          <w:highlight w:val="none"/>
          <w:lang w:eastAsia="zh-CN"/>
        </w:rPr>
        <w:t>查</w:t>
      </w:r>
      <w:r>
        <w:rPr>
          <w:rFonts w:hint="eastAsia" w:ascii="宋体" w:hAnsi="宋体"/>
          <w:color w:val="auto"/>
          <w:sz w:val="24"/>
          <w:szCs w:val="24"/>
          <w:highlight w:val="none"/>
        </w:rPr>
        <w:t>工作，</w:t>
      </w:r>
      <w:r>
        <w:rPr>
          <w:rFonts w:hint="eastAsia" w:ascii="宋体" w:hAnsi="宋体"/>
          <w:color w:val="auto"/>
          <w:sz w:val="24"/>
          <w:szCs w:val="24"/>
          <w:highlight w:val="none"/>
          <w:lang w:eastAsia="zh-CN"/>
        </w:rPr>
        <w:t>送电日期为</w:t>
      </w:r>
      <w:r>
        <w:rPr>
          <w:rFonts w:hint="eastAsia" w:ascii="宋体" w:hAnsi="宋体"/>
          <w:color w:val="auto"/>
          <w:sz w:val="24"/>
          <w:szCs w:val="24"/>
          <w:highlight w:val="none"/>
          <w:lang w:val="en-US" w:eastAsia="zh-CN"/>
        </w:rPr>
        <w:t>中标通知书发放后二个月</w:t>
      </w:r>
      <w:r>
        <w:rPr>
          <w:rFonts w:hint="eastAsia" w:ascii="宋体" w:hAnsi="宋体"/>
          <w:color w:val="auto"/>
          <w:sz w:val="24"/>
          <w:szCs w:val="24"/>
          <w:highlight w:val="none"/>
        </w:rPr>
        <w:t>。乙方须满足甲方提出的施工工作计划要求。</w:t>
      </w:r>
    </w:p>
    <w:p w14:paraId="6E57D40E">
      <w:pPr>
        <w:autoSpaceDE w:val="0"/>
        <w:autoSpaceDN w:val="0"/>
        <w:adjustRightInd w:val="0"/>
        <w:spacing w:line="360" w:lineRule="auto"/>
        <w:ind w:firstLine="480" w:firstLineChars="200"/>
        <w:jc w:val="left"/>
        <w:rPr>
          <w:rFonts w:ascii="宋体" w:hAnsi="宋体"/>
          <w:color w:val="auto"/>
          <w:sz w:val="24"/>
          <w:szCs w:val="24"/>
          <w:highlight w:val="none"/>
        </w:rPr>
      </w:pPr>
      <w:r>
        <w:rPr>
          <w:rFonts w:ascii="宋体" w:hAnsi="宋体" w:cs="宋体"/>
          <w:color w:val="auto"/>
          <w:sz w:val="24"/>
          <w:szCs w:val="24"/>
          <w:highlight w:val="none"/>
        </w:rPr>
        <w:t>2．</w:t>
      </w:r>
      <w:r>
        <w:rPr>
          <w:rFonts w:hint="eastAsia" w:ascii="宋体" w:hAnsi="宋体"/>
          <w:color w:val="auto"/>
          <w:sz w:val="24"/>
          <w:szCs w:val="24"/>
          <w:highlight w:val="none"/>
        </w:rPr>
        <w:t>乙方须在</w:t>
      </w:r>
      <w:r>
        <w:rPr>
          <w:rFonts w:hint="eastAsia" w:ascii="宋体" w:hAnsi="宋体"/>
          <w:color w:val="auto"/>
          <w:sz w:val="24"/>
          <w:szCs w:val="24"/>
          <w:highlight w:val="none"/>
          <w:u w:val="single"/>
        </w:rPr>
        <w:t>甲方</w:t>
      </w:r>
      <w:r>
        <w:rPr>
          <w:rFonts w:ascii="宋体" w:hAnsi="宋体"/>
          <w:color w:val="auto"/>
          <w:sz w:val="24"/>
          <w:szCs w:val="24"/>
          <w:highlight w:val="none"/>
          <w:u w:val="single"/>
        </w:rPr>
        <w:t>书面确认</w:t>
      </w:r>
      <w:r>
        <w:rPr>
          <w:rFonts w:hint="eastAsia" w:ascii="宋体" w:hAnsi="宋体"/>
          <w:color w:val="auto"/>
          <w:sz w:val="24"/>
          <w:szCs w:val="24"/>
          <w:highlight w:val="none"/>
        </w:rPr>
        <w:t>的开工令上载明的开工日期之日</w:t>
      </w:r>
      <w:r>
        <w:rPr>
          <w:rFonts w:ascii="宋体" w:hAnsi="宋体"/>
          <w:color w:val="auto"/>
          <w:sz w:val="24"/>
          <w:szCs w:val="24"/>
          <w:highlight w:val="none"/>
        </w:rPr>
        <w:t>起</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ascii="宋体" w:hAnsi="宋体" w:cs="宋体"/>
          <w:color w:val="auto"/>
          <w:sz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内</w:t>
      </w:r>
      <w:r>
        <w:rPr>
          <w:rFonts w:hint="eastAsia" w:ascii="宋体" w:hAnsi="宋体"/>
          <w:color w:val="auto"/>
          <w:sz w:val="24"/>
          <w:szCs w:val="24"/>
          <w:highlight w:val="none"/>
        </w:rPr>
        <w:t>进场开工</w:t>
      </w:r>
      <w:r>
        <w:rPr>
          <w:rFonts w:hint="eastAsia" w:ascii="宋体" w:hAnsi="宋体"/>
          <w:color w:val="auto"/>
          <w:sz w:val="24"/>
          <w:highlight w:val="none"/>
        </w:rPr>
        <w:t>，并提交施工组织设计、施工方案及办理施工许可证所需其他资料，经甲方书面核定后，严格执行</w:t>
      </w:r>
      <w:r>
        <w:rPr>
          <w:rFonts w:hint="eastAsia" w:ascii="宋体" w:hAnsi="宋体"/>
          <w:color w:val="auto"/>
          <w:sz w:val="24"/>
          <w:szCs w:val="24"/>
          <w:highlight w:val="none"/>
        </w:rPr>
        <w:t>。</w:t>
      </w:r>
    </w:p>
    <w:p w14:paraId="7003CFBD">
      <w:pPr>
        <w:autoSpaceDE w:val="0"/>
        <w:autoSpaceDN w:val="0"/>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3．除另有约定外，本工程工期仅在发生下列情形并经甲方书面确认后顺延：</w:t>
      </w:r>
    </w:p>
    <w:p w14:paraId="3A7A9DCE">
      <w:pPr>
        <w:tabs>
          <w:tab w:val="left" w:pos="945"/>
          <w:tab w:val="left" w:pos="105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甲方专函确认的非乙方责任造成的工期延误；</w:t>
      </w:r>
    </w:p>
    <w:p w14:paraId="03B13405">
      <w:pPr>
        <w:tabs>
          <w:tab w:val="left" w:pos="945"/>
          <w:tab w:val="left" w:pos="105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除招标文件及本合同披露风险因素外，因经甲方书面确认的不可抗力事件而影响工程进度。</w:t>
      </w:r>
    </w:p>
    <w:p w14:paraId="5B5CC1F5">
      <w:pPr>
        <w:tabs>
          <w:tab w:val="left" w:pos="2685"/>
          <w:tab w:val="left" w:pos="2940"/>
          <w:tab w:val="left" w:pos="3542"/>
          <w:tab w:val="left" w:pos="3780"/>
          <w:tab w:val="left" w:pos="432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4．甲方可根据工程需要顺延工期。</w:t>
      </w:r>
    </w:p>
    <w:p w14:paraId="4ED2CA6C">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第四条 工程质量标准及竣工验收</w:t>
      </w:r>
    </w:p>
    <w:p w14:paraId="2D7E602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bCs/>
          <w:color w:val="auto"/>
          <w:sz w:val="24"/>
          <w:szCs w:val="24"/>
          <w:highlight w:val="none"/>
        </w:rPr>
        <w:t>设计质量标</w:t>
      </w:r>
      <w:r>
        <w:rPr>
          <w:rFonts w:hint="eastAsia" w:ascii="宋体" w:hAnsi="宋体" w:eastAsia="宋体" w:cs="宋体"/>
          <w:bCs/>
          <w:color w:val="auto"/>
          <w:sz w:val="24"/>
          <w:szCs w:val="24"/>
          <w:highlight w:val="none"/>
          <w:u w:val="none"/>
        </w:rPr>
        <w:t>准：</w:t>
      </w:r>
      <w:r>
        <w:rPr>
          <w:rFonts w:hint="eastAsia" w:ascii="宋体" w:hAnsi="宋体" w:eastAsia="宋体" w:cs="宋体"/>
          <w:bCs/>
          <w:color w:val="auto"/>
          <w:sz w:val="24"/>
          <w:szCs w:val="24"/>
          <w:highlight w:val="none"/>
          <w:u w:val="single"/>
        </w:rPr>
        <w:t>符合国家、行业、地方相关强制性标准及</w:t>
      </w:r>
      <w:r>
        <w:rPr>
          <w:rFonts w:hint="eastAsia" w:ascii="宋体" w:hAnsi="宋体" w:eastAsia="宋体" w:cs="宋体"/>
          <w:bCs/>
          <w:color w:val="auto"/>
          <w:sz w:val="24"/>
          <w:szCs w:val="24"/>
          <w:highlight w:val="none"/>
          <w:u w:val="single"/>
          <w:lang w:val="en-US" w:eastAsia="zh-CN"/>
        </w:rPr>
        <w:t>合同</w:t>
      </w:r>
      <w:r>
        <w:rPr>
          <w:rFonts w:hint="eastAsia" w:ascii="宋体" w:hAnsi="宋体" w:eastAsia="宋体" w:cs="宋体"/>
          <w:bCs/>
          <w:color w:val="auto"/>
          <w:sz w:val="24"/>
          <w:szCs w:val="24"/>
          <w:highlight w:val="none"/>
          <w:u w:val="single"/>
        </w:rPr>
        <w:t>等的要</w:t>
      </w:r>
      <w:r>
        <w:rPr>
          <w:rFonts w:hint="eastAsia" w:ascii="宋体" w:hAnsi="宋体" w:eastAsia="宋体" w:cs="宋体"/>
          <w:bCs/>
          <w:color w:val="auto"/>
          <w:sz w:val="24"/>
          <w:szCs w:val="24"/>
          <w:highlight w:val="none"/>
          <w:u w:val="single"/>
          <w:lang w:eastAsia="zh-CN"/>
        </w:rPr>
        <w:t>求。</w:t>
      </w:r>
    </w:p>
    <w:p w14:paraId="04F046D4">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施工</w:t>
      </w:r>
      <w:r>
        <w:rPr>
          <w:rFonts w:hint="eastAsia" w:ascii="宋体" w:hAnsi="宋体" w:cs="宋体"/>
          <w:color w:val="auto"/>
          <w:sz w:val="24"/>
          <w:szCs w:val="24"/>
          <w:highlight w:val="none"/>
        </w:rPr>
        <w:t>质量要求：</w:t>
      </w:r>
      <w:r>
        <w:rPr>
          <w:rFonts w:hint="eastAsia" w:ascii="宋体" w:hAnsi="宋体" w:cs="宋体"/>
          <w:bCs/>
          <w:color w:val="auto"/>
          <w:sz w:val="24"/>
          <w:szCs w:val="24"/>
          <w:highlight w:val="none"/>
          <w:u w:val="single"/>
        </w:rPr>
        <w:t>符合设计图纸要求和国家、省、市相关法律法规规定要求及行业颁发的工程质量合格标准。</w:t>
      </w:r>
    </w:p>
    <w:p w14:paraId="37CF837D">
      <w:pPr>
        <w:spacing w:line="360" w:lineRule="auto"/>
        <w:ind w:firstLine="480" w:firstLineChars="200"/>
        <w:rPr>
          <w:rFonts w:hint="eastAsia" w:ascii="宋体" w:hAnsi="宋体" w:cs="宋体"/>
          <w:bCs/>
          <w:color w:val="auto"/>
          <w:sz w:val="24"/>
          <w:szCs w:val="24"/>
          <w:highlight w:val="none"/>
          <w:u w:val="single"/>
          <w:lang w:val="en-US" w:eastAsia="zh-CN"/>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w:t>
      </w:r>
      <w:r>
        <w:rPr>
          <w:rFonts w:hint="eastAsia" w:ascii="宋体" w:hAnsi="宋体" w:cs="宋体"/>
          <w:bCs/>
          <w:color w:val="auto"/>
          <w:sz w:val="24"/>
          <w:szCs w:val="24"/>
          <w:highlight w:val="none"/>
          <w:u w:val="none"/>
          <w:lang w:val="en-US" w:eastAsia="zh-CN"/>
        </w:rPr>
        <w:t>其他质量要求：</w:t>
      </w:r>
    </w:p>
    <w:p w14:paraId="3B4D735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eastAsia="zh-CN"/>
        </w:rPr>
        <w:t>高、低压配电柜电气元件品牌要求及技术要求详见《高压配电柜技术规范书》、《低压配电柜技术规范书》。</w:t>
      </w:r>
    </w:p>
    <w:p w14:paraId="0B8E86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lang w:val="en-US" w:eastAsia="zh-CN"/>
        </w:rPr>
        <w:t>高低压系统纳入动环监控系统，高低压设备选型时必须预留数据接口，详见《</w:t>
      </w:r>
      <w:r>
        <w:rPr>
          <w:rFonts w:hint="eastAsia" w:ascii="宋体" w:hAnsi="宋体" w:eastAsia="宋体" w:cs="宋体"/>
          <w:b w:val="0"/>
          <w:bCs/>
          <w:color w:val="auto"/>
          <w:sz w:val="24"/>
          <w:szCs w:val="24"/>
          <w:highlight w:val="none"/>
          <w:u w:val="single"/>
          <w:lang w:eastAsia="zh-CN"/>
        </w:rPr>
        <w:t>高压配电柜技术规范书</w:t>
      </w:r>
      <w:r>
        <w:rPr>
          <w:rFonts w:hint="eastAsia" w:ascii="宋体" w:hAnsi="宋体" w:eastAsia="宋体" w:cs="宋体"/>
          <w:b w:val="0"/>
          <w:bCs/>
          <w:color w:val="auto"/>
          <w:sz w:val="24"/>
          <w:szCs w:val="24"/>
          <w:highlight w:val="none"/>
          <w:u w:val="single"/>
          <w:lang w:val="en-US" w:eastAsia="zh-CN"/>
        </w:rPr>
        <w:t>》电力集中监控系统技要求。</w:t>
      </w:r>
    </w:p>
    <w:p w14:paraId="25D8326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cs="宋体"/>
          <w:b w:val="0"/>
          <w:bCs/>
          <w:color w:val="auto"/>
          <w:sz w:val="24"/>
          <w:szCs w:val="24"/>
          <w:highlight w:val="none"/>
          <w:u w:val="single"/>
          <w:lang w:eastAsia="zh-CN"/>
        </w:rPr>
        <w:t>增容供配电设计须同时通过建设单位及供电局审图通过，增容后给智算中心的高低压配电必须是独立供电，不得与其它供</w:t>
      </w:r>
      <w:r>
        <w:rPr>
          <w:rFonts w:hint="eastAsia" w:ascii="宋体" w:hAnsi="宋体" w:eastAsia="宋体" w:cs="宋体"/>
          <w:b w:val="0"/>
          <w:bCs/>
          <w:color w:val="auto"/>
          <w:sz w:val="24"/>
          <w:szCs w:val="24"/>
          <w:highlight w:val="none"/>
          <w:u w:val="single"/>
          <w:lang w:eastAsia="zh-CN"/>
        </w:rPr>
        <w:t>电设备合并使用。</w:t>
      </w:r>
    </w:p>
    <w:p w14:paraId="11716BCA">
      <w:pPr>
        <w:numPr>
          <w:ilvl w:val="0"/>
          <w:numId w:val="1"/>
        </w:numPr>
        <w:spacing w:line="360" w:lineRule="auto"/>
        <w:ind w:firstLine="480" w:firstLineChars="200"/>
        <w:rPr>
          <w:rFonts w:hint="default" w:eastAsia="宋体"/>
          <w:lang w:val="en-US" w:eastAsia="zh-CN"/>
        </w:rPr>
      </w:pPr>
      <w:r>
        <w:rPr>
          <w:rFonts w:hint="eastAsia" w:ascii="宋体" w:hAnsi="宋体" w:eastAsia="宋体" w:cs="宋体"/>
          <w:b w:val="0"/>
          <w:bCs/>
          <w:color w:val="auto"/>
          <w:sz w:val="24"/>
          <w:szCs w:val="24"/>
          <w:highlight w:val="none"/>
          <w:u w:val="single"/>
          <w:lang w:val="en-US" w:eastAsia="zh-CN"/>
        </w:rPr>
        <w:t>智算中心A/B回路高低压线路敷设必须物理隔离，不允许共用管廊或线槽桥架。</w:t>
      </w:r>
    </w:p>
    <w:p w14:paraId="44E8BA13">
      <w:pPr>
        <w:numPr>
          <w:ilvl w:val="0"/>
          <w:numId w:val="1"/>
        </w:numPr>
        <w:spacing w:line="360" w:lineRule="auto"/>
        <w:ind w:firstLine="480" w:firstLineChars="200"/>
        <w:rPr>
          <w:rFonts w:hint="default" w:eastAsia="宋体"/>
          <w:lang w:val="en-US" w:eastAsia="zh-CN"/>
        </w:rPr>
      </w:pPr>
      <w:r>
        <w:rPr>
          <w:rFonts w:hint="eastAsia" w:ascii="宋体" w:hAnsi="宋体" w:eastAsia="宋体" w:cs="宋体"/>
          <w:b w:val="0"/>
          <w:bCs/>
          <w:color w:val="auto"/>
          <w:sz w:val="24"/>
          <w:szCs w:val="24"/>
          <w:highlight w:val="none"/>
          <w:u w:val="single"/>
          <w:lang w:val="en-US" w:eastAsia="zh-CN"/>
        </w:rPr>
        <w:t>增容</w:t>
      </w:r>
      <w:r>
        <w:rPr>
          <w:rFonts w:hint="eastAsia" w:ascii="宋体" w:hAnsi="宋体" w:eastAsia="宋体" w:cs="宋体"/>
          <w:bCs/>
          <w:color w:val="auto"/>
          <w:sz w:val="24"/>
          <w:szCs w:val="24"/>
          <w:highlight w:val="none"/>
          <w:u w:val="single"/>
          <w:lang w:eastAsia="zh-CN"/>
        </w:rPr>
        <w:t>供配电设计须同时通过建设单位及供电局审图通过，增容后给智算中心的高低压配电必须是独立供电，不得与其它供电设备合并使用</w:t>
      </w:r>
      <w:r>
        <w:rPr>
          <w:rFonts w:hint="eastAsia" w:ascii="宋体" w:hAnsi="宋体" w:cs="宋体"/>
          <w:bCs/>
          <w:color w:val="auto"/>
          <w:sz w:val="24"/>
          <w:szCs w:val="24"/>
          <w:highlight w:val="none"/>
          <w:u w:val="single"/>
          <w:lang w:eastAsia="zh-CN"/>
        </w:rPr>
        <w:t>。</w:t>
      </w:r>
    </w:p>
    <w:p w14:paraId="679B315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．乙方应当完成竣工初验后编制验收计划、方案和措施，向相关电力职能部门提交工程竣工验收申请，由甲方及相关职能部门对工程进行验收，直至验收合格，取得送电许可并合法送电。</w:t>
      </w:r>
    </w:p>
    <w:p w14:paraId="6A2DA78A">
      <w:pPr>
        <w:spacing w:line="360" w:lineRule="auto"/>
        <w:rPr>
          <w:rFonts w:ascii="宋体" w:hAnsi="宋体" w:cs="宋体"/>
          <w:color w:val="auto"/>
          <w:sz w:val="24"/>
          <w:szCs w:val="24"/>
          <w:highlight w:val="none"/>
        </w:rPr>
      </w:pPr>
      <w:r>
        <w:rPr>
          <w:rFonts w:hint="eastAsia" w:ascii="宋体" w:hAnsi="宋体" w:cs="宋体"/>
          <w:color w:val="auto"/>
          <w:kern w:val="0"/>
          <w:sz w:val="24"/>
          <w:szCs w:val="24"/>
          <w:highlight w:val="none"/>
        </w:rPr>
        <w:t xml:space="preserve">    3</w:t>
      </w:r>
      <w:r>
        <w:rPr>
          <w:rFonts w:hint="eastAsia" w:ascii="宋体" w:hAnsi="宋体" w:cs="宋体"/>
          <w:color w:val="auto"/>
          <w:sz w:val="24"/>
          <w:szCs w:val="24"/>
          <w:highlight w:val="none"/>
        </w:rPr>
        <w:t>．各方以招标文件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投标文件</w:t>
      </w:r>
      <w:r>
        <w:rPr>
          <w:rFonts w:hint="eastAsia" w:ascii="宋体" w:hAnsi="宋体" w:cs="宋体"/>
          <w:color w:val="auto"/>
          <w:sz w:val="24"/>
          <w:szCs w:val="24"/>
          <w:highlight w:val="none"/>
        </w:rPr>
        <w:t>及本合同中有关工程技术要求、施工要求、</w:t>
      </w:r>
      <w:r>
        <w:rPr>
          <w:rFonts w:hint="eastAsia" w:ascii="宋体" w:hAnsi="宋体" w:cs="宋体"/>
          <w:color w:val="auto"/>
          <w:sz w:val="24"/>
          <w:szCs w:val="24"/>
          <w:highlight w:val="none"/>
          <w:u w:val="none"/>
        </w:rPr>
        <w:t>《建筑工程施工及验收规范》</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《数据中心设计规范》、</w:t>
      </w:r>
      <w:r>
        <w:rPr>
          <w:rFonts w:hint="eastAsia" w:ascii="宋体" w:hAnsi="宋体" w:cs="宋体"/>
          <w:color w:val="auto"/>
          <w:sz w:val="24"/>
          <w:szCs w:val="24"/>
          <w:highlight w:val="none"/>
        </w:rPr>
        <w:t>施工图纸及相应说明书、图纸会审纪录为依据进行施工和验收。施工过程出现质量问题的，乙方必须无条件采取相关补救措施，且工期不顺延，甲方有权要求乙方赔偿由此造成的一切损失。如因乙方原因导致质量问题的，相关费用及风险由乙方承担。</w:t>
      </w:r>
    </w:p>
    <w:p w14:paraId="5528C7DE">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4</w:t>
      </w:r>
      <w:r>
        <w:rPr>
          <w:rFonts w:hint="eastAsia" w:ascii="宋体" w:hAnsi="宋体" w:cs="宋体"/>
          <w:color w:val="auto"/>
          <w:kern w:val="0"/>
          <w:sz w:val="24"/>
          <w:szCs w:val="24"/>
          <w:highlight w:val="none"/>
        </w:rPr>
        <w:t>．工程完工后，乙方必须先自检合格并提供相关报验资料后方能书面通知甲方组织验收，乙方应于工程完工且自检合格后</w:t>
      </w:r>
      <w:r>
        <w:rPr>
          <w:rFonts w:hint="eastAsia" w:ascii="宋体" w:hAnsi="宋体" w:cs="宋体"/>
          <w:color w:val="auto"/>
          <w:kern w:val="0"/>
          <w:sz w:val="24"/>
          <w:szCs w:val="24"/>
          <w:highlight w:val="none"/>
          <w:lang w:eastAsia="zh-CN"/>
        </w:rPr>
        <w:t>七</w:t>
      </w:r>
      <w:r>
        <w:rPr>
          <w:rFonts w:hint="eastAsia" w:ascii="宋体" w:hAnsi="宋体" w:cs="宋体"/>
          <w:color w:val="auto"/>
          <w:kern w:val="0"/>
          <w:sz w:val="24"/>
          <w:szCs w:val="24"/>
          <w:highlight w:val="none"/>
        </w:rPr>
        <w:t>日内将完整竣工资料和竣工验收报告一式</w:t>
      </w:r>
      <w:r>
        <w:rPr>
          <w:rFonts w:hint="eastAsia" w:ascii="宋体" w:hAnsi="宋体" w:cs="宋体"/>
          <w:color w:val="auto"/>
          <w:kern w:val="0"/>
          <w:sz w:val="24"/>
          <w:szCs w:val="24"/>
          <w:highlight w:val="none"/>
          <w:lang w:eastAsia="zh-CN"/>
        </w:rPr>
        <w:t>四</w:t>
      </w:r>
      <w:r>
        <w:rPr>
          <w:rFonts w:hint="eastAsia" w:ascii="宋体" w:hAnsi="宋体" w:cs="宋体"/>
          <w:color w:val="auto"/>
          <w:kern w:val="0"/>
          <w:sz w:val="24"/>
          <w:szCs w:val="24"/>
          <w:highlight w:val="none"/>
        </w:rPr>
        <w:t>份交给甲方，甲方收到完整的竣工验收资料和竣工验收报告后，十天内安排组织有关单位进行验收，并在验收后给予认可或提出整改意见。工程内容及质量符合要求并通过甲方及</w:t>
      </w:r>
      <w:r>
        <w:rPr>
          <w:rFonts w:hint="eastAsia" w:ascii="宋体" w:hAnsi="宋体" w:cs="宋体"/>
          <w:color w:val="auto"/>
          <w:sz w:val="24"/>
          <w:szCs w:val="24"/>
          <w:highlight w:val="none"/>
        </w:rPr>
        <w:t>政府相关供电部门</w:t>
      </w:r>
      <w:r>
        <w:rPr>
          <w:rFonts w:hint="eastAsia" w:ascii="宋体" w:hAnsi="宋体" w:cs="宋体"/>
          <w:color w:val="auto"/>
          <w:kern w:val="0"/>
          <w:sz w:val="24"/>
          <w:szCs w:val="24"/>
          <w:highlight w:val="none"/>
        </w:rPr>
        <w:t>验收及办理完毕相关手续后，视为验收合格。如工程不合格或有任何瑕疵需要返工的，乙方必须按照甲方修改意见，在甲方要求的期限内完成整改后再进行验收，并自行承担返工的费用及工期的延误责任，</w:t>
      </w:r>
      <w:r>
        <w:rPr>
          <w:rFonts w:hint="eastAsia" w:ascii="宋体" w:hAnsi="宋体"/>
          <w:color w:val="auto"/>
          <w:sz w:val="24"/>
          <w:highlight w:val="none"/>
        </w:rPr>
        <w:t>以及赔偿因此给甲方造成的损失</w:t>
      </w:r>
      <w:r>
        <w:rPr>
          <w:rFonts w:hint="eastAsia" w:ascii="宋体" w:hAnsi="宋体" w:cs="宋体"/>
          <w:color w:val="auto"/>
          <w:kern w:val="0"/>
          <w:sz w:val="24"/>
          <w:szCs w:val="24"/>
          <w:highlight w:val="none"/>
        </w:rPr>
        <w:t>。最后验收合格的日期为竣工日期。</w:t>
      </w:r>
    </w:p>
    <w:p w14:paraId="2F0EA03B">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第五条 竣工资料移交</w:t>
      </w:r>
    </w:p>
    <w:p w14:paraId="0D354945">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olor w:val="auto"/>
          <w:sz w:val="24"/>
          <w:szCs w:val="24"/>
          <w:highlight w:val="none"/>
        </w:rPr>
        <w:t>本工程完工且经</w:t>
      </w:r>
      <w:r>
        <w:rPr>
          <w:rFonts w:hint="eastAsia" w:ascii="宋体" w:hAnsi="宋体"/>
          <w:color w:val="auto"/>
          <w:sz w:val="24"/>
          <w:szCs w:val="24"/>
          <w:highlight w:val="none"/>
          <w:lang w:eastAsia="zh-CN"/>
        </w:rPr>
        <w:t>供电部门和</w:t>
      </w:r>
      <w:r>
        <w:rPr>
          <w:rFonts w:hint="eastAsia" w:ascii="宋体" w:hAnsi="宋体"/>
          <w:color w:val="auto"/>
          <w:sz w:val="24"/>
          <w:szCs w:val="24"/>
          <w:highlight w:val="none"/>
        </w:rPr>
        <w:t>甲方验收合格后</w:t>
      </w:r>
      <w:r>
        <w:rPr>
          <w:rFonts w:ascii="宋体" w:hAnsi="宋体"/>
          <w:color w:val="auto"/>
          <w:sz w:val="24"/>
          <w:szCs w:val="24"/>
          <w:highlight w:val="none"/>
          <w:u w:val="single"/>
        </w:rPr>
        <w:t xml:space="preserve"> 7 </w:t>
      </w:r>
      <w:r>
        <w:rPr>
          <w:rFonts w:hint="eastAsia" w:ascii="宋体" w:hAnsi="宋体"/>
          <w:color w:val="auto"/>
          <w:sz w:val="24"/>
          <w:szCs w:val="24"/>
          <w:highlight w:val="none"/>
        </w:rPr>
        <w:t>日内，</w:t>
      </w:r>
      <w:r>
        <w:rPr>
          <w:rFonts w:hint="eastAsia" w:ascii="宋体" w:hAnsi="宋体" w:cs="宋体"/>
          <w:color w:val="auto"/>
          <w:sz w:val="24"/>
          <w:szCs w:val="24"/>
          <w:highlight w:val="none"/>
        </w:rPr>
        <w:t>乙方向甲方移交一式</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套完整且符合甲方及供电局要求的纸质档案及电子文件</w:t>
      </w:r>
      <w:r>
        <w:rPr>
          <w:rFonts w:ascii="宋体" w:hAnsi="宋体" w:cs="宋体"/>
          <w:color w:val="auto"/>
          <w:sz w:val="24"/>
          <w:szCs w:val="24"/>
          <w:highlight w:val="none"/>
        </w:rPr>
        <w:t>。</w:t>
      </w:r>
    </w:p>
    <w:p w14:paraId="056DF0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本项目保修期届满后</w:t>
      </w:r>
      <w:r>
        <w:rPr>
          <w:rFonts w:hint="eastAsia" w:ascii="宋体" w:hAnsi="宋体" w:cs="宋体"/>
          <w:color w:val="auto"/>
          <w:sz w:val="24"/>
          <w:szCs w:val="24"/>
          <w:highlight w:val="none"/>
          <w:u w:val="single"/>
        </w:rPr>
        <w:t>15</w:t>
      </w:r>
      <w:r>
        <w:rPr>
          <w:rFonts w:hint="eastAsia" w:ascii="宋体" w:hAnsi="宋体" w:cs="宋体"/>
          <w:color w:val="auto"/>
          <w:sz w:val="24"/>
          <w:szCs w:val="24"/>
          <w:highlight w:val="none"/>
        </w:rPr>
        <w:t>日内，乙方向甲方移交</w:t>
      </w:r>
      <w:r>
        <w:rPr>
          <w:rFonts w:hint="eastAsia"/>
          <w:color w:val="auto"/>
          <w:sz w:val="24"/>
          <w:szCs w:val="24"/>
          <w:highlight w:val="none"/>
        </w:rPr>
        <w:t>一式</w:t>
      </w:r>
      <w:r>
        <w:rPr>
          <w:rFonts w:hint="eastAsia"/>
          <w:color w:val="auto"/>
          <w:sz w:val="24"/>
          <w:szCs w:val="24"/>
          <w:highlight w:val="none"/>
          <w:lang w:eastAsia="zh-CN"/>
        </w:rPr>
        <w:t>四</w:t>
      </w:r>
      <w:r>
        <w:rPr>
          <w:rFonts w:hint="eastAsia" w:ascii="宋体" w:hAnsi="宋体" w:cs="宋体"/>
          <w:color w:val="auto"/>
          <w:sz w:val="24"/>
          <w:szCs w:val="24"/>
          <w:highlight w:val="none"/>
        </w:rPr>
        <w:t>套保修期质量文件和维修资料</w:t>
      </w:r>
      <w:r>
        <w:rPr>
          <w:rFonts w:ascii="宋体" w:hAnsi="宋体" w:cs="宋体"/>
          <w:color w:val="auto"/>
          <w:sz w:val="24"/>
          <w:szCs w:val="24"/>
          <w:highlight w:val="none"/>
        </w:rPr>
        <w:t>。</w:t>
      </w:r>
    </w:p>
    <w:p w14:paraId="5DF90F2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乙方须无条件配合甲方完成</w:t>
      </w:r>
      <w:r>
        <w:rPr>
          <w:rFonts w:hint="eastAsia"/>
          <w:color w:val="auto"/>
          <w:sz w:val="24"/>
          <w:szCs w:val="24"/>
          <w:highlight w:val="none"/>
        </w:rPr>
        <w:t>向供电局、使用单位移交本工程文件的工作</w:t>
      </w:r>
      <w:r>
        <w:rPr>
          <w:rFonts w:hint="eastAsia" w:ascii="宋体" w:hAnsi="宋体" w:cs="宋体"/>
          <w:color w:val="auto"/>
          <w:sz w:val="24"/>
          <w:szCs w:val="24"/>
          <w:highlight w:val="none"/>
        </w:rPr>
        <w:t>。若提交的资料不符合甲方</w:t>
      </w:r>
      <w:r>
        <w:rPr>
          <w:rFonts w:hint="eastAsia" w:ascii="宋体" w:hAnsi="宋体"/>
          <w:color w:val="auto"/>
          <w:sz w:val="24"/>
          <w:highlight w:val="none"/>
        </w:rPr>
        <w:t>、招标文件</w:t>
      </w:r>
      <w:r>
        <w:rPr>
          <w:rFonts w:hint="eastAsia" w:ascii="宋体" w:hAnsi="宋体"/>
          <w:color w:val="auto"/>
          <w:sz w:val="24"/>
          <w:szCs w:val="24"/>
          <w:highlight w:val="none"/>
        </w:rPr>
        <w:t>及</w:t>
      </w:r>
      <w:r>
        <w:rPr>
          <w:rFonts w:hint="eastAsia" w:ascii="宋体" w:hAnsi="宋体" w:cs="宋体"/>
          <w:color w:val="auto"/>
          <w:sz w:val="24"/>
          <w:szCs w:val="24"/>
          <w:highlight w:val="none"/>
        </w:rPr>
        <w:t>本合同约定要求的，乙方自甲方通知之日起7日内须无条件免费按前述要求补充完善。</w:t>
      </w:r>
    </w:p>
    <w:p w14:paraId="3EF9F98D">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第六条 合同价款</w:t>
      </w:r>
    </w:p>
    <w:p w14:paraId="2A73EB49">
      <w:pPr>
        <w:tabs>
          <w:tab w:val="left" w:pos="1080"/>
        </w:tabs>
        <w:snapToGrid w:val="0"/>
        <w:spacing w:line="360" w:lineRule="auto"/>
        <w:ind w:firstLine="480" w:firstLineChars="200"/>
        <w:rPr>
          <w:rFonts w:ascii="宋体" w:hAnsi="宋体" w:cs="宋体"/>
          <w:color w:val="auto"/>
          <w:sz w:val="24"/>
          <w:szCs w:val="24"/>
          <w:highlight w:val="none"/>
          <w:u w:val="single"/>
        </w:rPr>
      </w:pPr>
      <w:bookmarkStart w:id="17" w:name="_Toc166559808"/>
      <w:bookmarkStart w:id="18" w:name="_Toc163989688"/>
      <w:bookmarkStart w:id="19" w:name="_Toc175473411"/>
      <w:bookmarkStart w:id="20" w:name="_Toc164044179"/>
      <w:r>
        <w:rPr>
          <w:rFonts w:hint="eastAsia" w:ascii="宋体" w:hAnsi="宋体" w:cs="宋体"/>
          <w:color w:val="auto"/>
          <w:sz w:val="24"/>
          <w:szCs w:val="24"/>
          <w:highlight w:val="none"/>
        </w:rPr>
        <w:t>1．本合同含税暂定总价为：（大写）人民币</w:t>
      </w:r>
      <w:permStart w:id="10"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0"/>
      <w:r>
        <w:rPr>
          <w:rFonts w:hint="eastAsia" w:ascii="宋体" w:hAnsi="宋体" w:cs="宋体"/>
          <w:color w:val="auto"/>
          <w:sz w:val="24"/>
          <w:szCs w:val="24"/>
          <w:highlight w:val="none"/>
        </w:rPr>
        <w:t>（小写￥</w:t>
      </w:r>
      <w:permStart w:id="11"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1"/>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其中</w:t>
      </w:r>
      <w:r>
        <w:rPr>
          <w:rFonts w:hint="eastAsia" w:ascii="宋体" w:hAnsi="宋体" w:cs="宋体"/>
          <w:color w:val="auto"/>
          <w:sz w:val="24"/>
          <w:szCs w:val="24"/>
          <w:highlight w:val="none"/>
          <w:lang w:eastAsia="zh-CN"/>
        </w:rPr>
        <w:t>设计费含税金额为</w:t>
      </w:r>
      <w:r>
        <w:rPr>
          <w:rFonts w:hint="eastAsia" w:ascii="宋体" w:hAnsi="宋体" w:cs="宋体"/>
          <w:color w:val="auto"/>
          <w:sz w:val="24"/>
          <w:szCs w:val="24"/>
          <w:highlight w:val="none"/>
        </w:rPr>
        <w:t>￥</w:t>
      </w:r>
      <w:permStart w:id="12"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2"/>
      <w:r>
        <w:rPr>
          <w:rFonts w:hint="eastAsia" w:ascii="宋体" w:hAnsi="宋体" w:cs="宋体"/>
          <w:color w:val="auto"/>
          <w:sz w:val="24"/>
          <w:szCs w:val="24"/>
          <w:highlight w:val="none"/>
        </w:rPr>
        <w:t>，税率为</w:t>
      </w:r>
      <w:permStart w:id="13"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3"/>
      <w:r>
        <w:rPr>
          <w:rFonts w:hint="eastAsia" w:ascii="宋体" w:hAnsi="宋体" w:cs="宋体"/>
          <w:color w:val="auto"/>
          <w:sz w:val="24"/>
          <w:szCs w:val="24"/>
          <w:highlight w:val="none"/>
        </w:rPr>
        <w:t xml:space="preserve"> %，税额为</w:t>
      </w:r>
      <w:permStart w:id="14"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4"/>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；建安工程费</w:t>
      </w:r>
      <w:r>
        <w:rPr>
          <w:rFonts w:hint="eastAsia" w:ascii="宋体" w:hAnsi="宋体" w:cs="宋体"/>
          <w:color w:val="auto"/>
          <w:sz w:val="24"/>
          <w:szCs w:val="24"/>
          <w:highlight w:val="none"/>
        </w:rPr>
        <w:t>含税暂定总价为：￥</w:t>
      </w:r>
      <w:permStart w:id="15"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5"/>
      <w:r>
        <w:rPr>
          <w:rFonts w:hint="eastAsia" w:ascii="宋体" w:hAnsi="宋体" w:cs="宋体"/>
          <w:color w:val="auto"/>
          <w:sz w:val="24"/>
          <w:szCs w:val="24"/>
          <w:highlight w:val="none"/>
        </w:rPr>
        <w:t xml:space="preserve"> ，税率为</w:t>
      </w:r>
      <w:permStart w:id="16"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6"/>
      <w:r>
        <w:rPr>
          <w:rFonts w:hint="eastAsia" w:ascii="宋体" w:hAnsi="宋体" w:cs="宋体"/>
          <w:color w:val="auto"/>
          <w:sz w:val="24"/>
          <w:szCs w:val="24"/>
          <w:highlight w:val="none"/>
        </w:rPr>
        <w:t xml:space="preserve"> %，税额为</w:t>
      </w:r>
      <w:permStart w:id="17"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17"/>
      <w:r>
        <w:rPr>
          <w:rFonts w:hint="eastAsia" w:ascii="宋体" w:hAnsi="宋体" w:cs="宋体"/>
          <w:color w:val="auto"/>
          <w:sz w:val="24"/>
          <w:szCs w:val="24"/>
          <w:highlight w:val="none"/>
        </w:rPr>
        <w:t>元</w:t>
      </w:r>
      <w:r>
        <w:rPr>
          <w:rFonts w:hint="eastAsia" w:ascii="宋体" w:hAnsi="宋体"/>
          <w:color w:val="auto"/>
          <w:sz w:val="24"/>
          <w:szCs w:val="24"/>
          <w:highlight w:val="none"/>
        </w:rPr>
        <w:t>。</w:t>
      </w:r>
      <w:r>
        <w:rPr>
          <w:rFonts w:hint="eastAsia" w:ascii="宋体" w:hAnsi="宋体" w:cs="宋体"/>
          <w:color w:val="auto"/>
          <w:sz w:val="24"/>
          <w:szCs w:val="24"/>
          <w:highlight w:val="none"/>
        </w:rPr>
        <w:t>本合同涉及合同价款处无特别约定的均为含税价。</w:t>
      </w:r>
    </w:p>
    <w:p w14:paraId="4E8DD1E9">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olor w:val="auto"/>
          <w:sz w:val="24"/>
          <w:szCs w:val="24"/>
          <w:highlight w:val="none"/>
        </w:rPr>
        <w:t>结算方式：</w:t>
      </w:r>
      <w:r>
        <w:rPr>
          <w:rFonts w:hint="eastAsia" w:ascii="宋体" w:hAnsi="宋体"/>
          <w:color w:val="auto"/>
          <w:sz w:val="24"/>
          <w:szCs w:val="24"/>
          <w:highlight w:val="none"/>
          <w:lang w:val="en-US" w:eastAsia="zh-CN"/>
        </w:rPr>
        <w:t>设计费为固定金额价；工程费</w:t>
      </w:r>
      <w:r>
        <w:rPr>
          <w:rFonts w:hint="eastAsia" w:ascii="宋体" w:hAnsi="宋体"/>
          <w:color w:val="auto"/>
          <w:sz w:val="24"/>
          <w:szCs w:val="24"/>
          <w:highlight w:val="none"/>
        </w:rPr>
        <w:t>按实际工程量结算，由甲方委托的工程造价咨询公司审核后确认的工程结算价为本合同的最终结算价。</w:t>
      </w:r>
    </w:p>
    <w:p w14:paraId="04C7650F">
      <w:pP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3</w:t>
      </w:r>
      <w:r>
        <w:rPr>
          <w:rFonts w:hint="eastAsia" w:ascii="宋体" w:hAnsi="宋体" w:cs="宋体"/>
          <w:color w:val="auto"/>
          <w:sz w:val="24"/>
          <w:highlight w:val="none"/>
        </w:rPr>
        <w:t>.造价调整范围：</w:t>
      </w:r>
    </w:p>
    <w:p w14:paraId="6B161E16">
      <w:pP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可以调整造价的情形：</w:t>
      </w:r>
    </w:p>
    <w:p w14:paraId="6875083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（1）甲方书面确认的工程变更和签证。</w:t>
      </w:r>
    </w:p>
    <w:p w14:paraId="1B3E3A9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（2）甲方书面确认增加或减少的工程。</w:t>
      </w:r>
    </w:p>
    <w:p w14:paraId="01D509F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投</w:t>
      </w:r>
      <w:r>
        <w:rPr>
          <w:rFonts w:hint="eastAsia" w:ascii="宋体" w:hAnsi="宋体" w:cs="宋体"/>
          <w:color w:val="auto"/>
          <w:sz w:val="24"/>
          <w:highlight w:val="none"/>
        </w:rPr>
        <w:t>标工程量清单中分部分项工程量偏差、工程量清单缺项、项目特征不符。</w:t>
      </w:r>
    </w:p>
    <w:p w14:paraId="57EE0A4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）招标文件和合同约定可以调整造价的其他情况。</w:t>
      </w:r>
    </w:p>
    <w:p w14:paraId="77531F06">
      <w:pPr>
        <w:spacing w:line="360" w:lineRule="auto"/>
        <w:ind w:firstLine="480" w:firstLineChars="200"/>
        <w:rPr>
          <w:rFonts w:ascii="宋体" w:hAnsi="宋体"/>
          <w:color w:val="auto"/>
          <w:sz w:val="24"/>
          <w:szCs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.本工程设计图纸暂定工程（或者没有详图的工程）需补充变更程序，才能计量和办理结算。</w:t>
      </w:r>
    </w:p>
    <w:p w14:paraId="246A5275">
      <w:pPr>
        <w:pStyle w:val="40"/>
        <w:spacing w:before="0" w:beforeAutospacing="0" w:after="0" w:afterAutospacing="0" w:line="360" w:lineRule="auto"/>
        <w:ind w:firstLine="480" w:firstLineChars="200"/>
        <w:rPr>
          <w:rFonts w:cs="宋体"/>
          <w:color w:val="auto"/>
          <w:highlight w:val="none"/>
        </w:rPr>
      </w:pPr>
      <w:r>
        <w:rPr>
          <w:rFonts w:hint="eastAsia" w:cs="宋体"/>
          <w:color w:val="auto"/>
          <w:highlight w:val="none"/>
          <w:lang w:val="en-US" w:eastAsia="zh-CN"/>
        </w:rPr>
        <w:t>5</w:t>
      </w:r>
      <w:r>
        <w:rPr>
          <w:rFonts w:hint="eastAsia" w:cs="宋体"/>
          <w:color w:val="auto"/>
          <w:highlight w:val="none"/>
        </w:rPr>
        <w:t>.如工程发生增加或其他变更，乙方必须在工程增加或变更之日起</w:t>
      </w:r>
      <w:r>
        <w:rPr>
          <w:rFonts w:cs="宋体"/>
          <w:color w:val="auto"/>
          <w:highlight w:val="none"/>
        </w:rPr>
        <w:t>5</w:t>
      </w:r>
      <w:r>
        <w:rPr>
          <w:rFonts w:hint="eastAsia" w:cs="宋体"/>
          <w:color w:val="auto"/>
          <w:highlight w:val="none"/>
        </w:rPr>
        <w:t xml:space="preserve"> 日内向甲方就增加或变更的工程项目上报现场签证单，签证单后必须要附甲方签发的《工程联系单》或乙方上报并经甲方相关人员确认的《工程联系单》，否则甲方不予确认该份签证。逾期则视为乙方放弃该增加或变更的费用，乙方自行承担全部责任。</w:t>
      </w:r>
    </w:p>
    <w:p w14:paraId="2A5523F4">
      <w:pPr>
        <w:pStyle w:val="40"/>
        <w:spacing w:before="0" w:beforeAutospacing="0" w:after="0" w:afterAutospacing="0" w:line="360" w:lineRule="auto"/>
        <w:ind w:firstLine="480" w:firstLineChars="200"/>
        <w:rPr>
          <w:rFonts w:cs="宋体"/>
          <w:color w:val="auto"/>
          <w:highlight w:val="none"/>
        </w:rPr>
      </w:pPr>
      <w:r>
        <w:rPr>
          <w:rFonts w:hint="eastAsia" w:cs="宋体"/>
          <w:color w:val="auto"/>
          <w:highlight w:val="none"/>
          <w:lang w:val="en-US" w:eastAsia="zh-CN"/>
        </w:rPr>
        <w:t>6</w:t>
      </w:r>
      <w:r>
        <w:rPr>
          <w:rFonts w:cs="宋体"/>
          <w:color w:val="auto"/>
          <w:highlight w:val="none"/>
        </w:rPr>
        <w:t>.乙方超出图纸范围和因乙方原因造成返工的工程量，甲方不予计量。</w:t>
      </w:r>
    </w:p>
    <w:p w14:paraId="5521C0C3">
      <w:pPr>
        <w:pStyle w:val="40"/>
        <w:spacing w:before="0" w:beforeAutospacing="0" w:after="0" w:afterAutospacing="0" w:line="360" w:lineRule="auto"/>
        <w:ind w:firstLine="480" w:firstLineChars="200"/>
        <w:rPr>
          <w:rFonts w:cs="宋体"/>
          <w:color w:val="auto"/>
          <w:highlight w:val="none"/>
        </w:rPr>
      </w:pPr>
      <w:r>
        <w:rPr>
          <w:rFonts w:hint="eastAsia" w:cs="宋体"/>
          <w:color w:val="auto"/>
          <w:highlight w:val="none"/>
          <w:lang w:val="en-US" w:eastAsia="zh-CN"/>
        </w:rPr>
        <w:t>7</w:t>
      </w:r>
      <w:r>
        <w:rPr>
          <w:rFonts w:hint="eastAsia" w:cs="宋体"/>
          <w:color w:val="auto"/>
          <w:highlight w:val="none"/>
        </w:rPr>
        <w:t>.中标清单增值税税率应与施工预算编制期增值税税率一致；若中标清单税率与施工预算编制期增值税税率不一致时，以中标总价不变的原则，调整中标清单的增值税税率和增值税；合同实际履行中，财政部、税务总局发布的增值税税率与施工预算编制期增值税税率不一致时，按实际增值税税率办理进度款和调整结算造价。</w:t>
      </w:r>
    </w:p>
    <w:p w14:paraId="136EF452">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第七条 付款方式</w:t>
      </w:r>
      <w:bookmarkEnd w:id="17"/>
      <w:bookmarkEnd w:id="18"/>
      <w:bookmarkEnd w:id="19"/>
      <w:bookmarkEnd w:id="20"/>
      <w:r>
        <w:rPr>
          <w:rFonts w:hint="eastAsia" w:ascii="宋体" w:hAnsi="宋体" w:cs="宋体"/>
          <w:b/>
          <w:color w:val="auto"/>
          <w:sz w:val="24"/>
          <w:szCs w:val="24"/>
          <w:highlight w:val="none"/>
        </w:rPr>
        <w:t xml:space="preserve"> </w:t>
      </w:r>
    </w:p>
    <w:p w14:paraId="6495FF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1．支付进度如下：</w:t>
      </w:r>
    </w:p>
    <w:p w14:paraId="759DF4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（1）预付款</w:t>
      </w:r>
      <w:r>
        <w:rPr>
          <w:rFonts w:hint="eastAsia" w:ascii="宋体" w:hAnsi="宋体" w:cs="宋体"/>
          <w:color w:val="auto"/>
          <w:sz w:val="24"/>
          <w:highlight w:val="none"/>
          <w:lang w:eastAsia="zh-CN"/>
        </w:rPr>
        <w:t>：设计图纸经供电局图纸审查通过</w:t>
      </w:r>
      <w:r>
        <w:rPr>
          <w:rFonts w:hint="eastAsia" w:ascii="宋体" w:hAnsi="宋体" w:cs="宋体"/>
          <w:color w:val="auto"/>
          <w:sz w:val="24"/>
          <w:highlight w:val="none"/>
          <w:lang w:val="en-US" w:eastAsia="zh-CN"/>
        </w:rPr>
        <w:t>且乙方进场施工</w:t>
      </w:r>
      <w:r>
        <w:rPr>
          <w:rFonts w:hint="eastAsia" w:ascii="宋体" w:hAnsi="宋体" w:cs="宋体"/>
          <w:color w:val="auto"/>
          <w:sz w:val="24"/>
          <w:highlight w:val="none"/>
          <w:lang w:eastAsia="zh-CN"/>
        </w:rPr>
        <w:t>后支付</w:t>
      </w:r>
      <w:r>
        <w:rPr>
          <w:rFonts w:hint="eastAsia" w:ascii="宋体" w:hAnsi="宋体" w:cs="宋体"/>
          <w:color w:val="auto"/>
          <w:sz w:val="24"/>
          <w:highlight w:val="none"/>
          <w:lang w:val="en-US" w:eastAsia="zh-CN"/>
        </w:rPr>
        <w:t>全部设计费和</w:t>
      </w:r>
      <w:r>
        <w:rPr>
          <w:rFonts w:hint="eastAsia" w:ascii="宋体" w:hAnsi="宋体" w:cs="宋体"/>
          <w:color w:val="auto"/>
          <w:sz w:val="24"/>
          <w:highlight w:val="none"/>
          <w:lang w:eastAsia="zh-CN"/>
        </w:rPr>
        <w:t>30%</w:t>
      </w:r>
      <w:r>
        <w:rPr>
          <w:rFonts w:hint="eastAsia" w:ascii="宋体" w:hAnsi="宋体" w:cs="宋体"/>
          <w:color w:val="auto"/>
          <w:sz w:val="24"/>
          <w:highlight w:val="none"/>
          <w:lang w:val="en-US" w:eastAsia="zh-CN"/>
        </w:rPr>
        <w:t>建安工程费暂定</w:t>
      </w:r>
      <w:r>
        <w:rPr>
          <w:rFonts w:hint="eastAsia" w:ascii="宋体" w:hAnsi="宋体" w:cs="宋体"/>
          <w:color w:val="auto"/>
          <w:sz w:val="24"/>
          <w:highlight w:val="none"/>
          <w:lang w:eastAsia="zh-CN"/>
        </w:rPr>
        <w:t>价款总额，</w:t>
      </w:r>
      <w:r>
        <w:rPr>
          <w:rFonts w:hint="eastAsia" w:ascii="宋体" w:hAnsi="宋体" w:cs="宋体"/>
          <w:color w:val="auto"/>
          <w:sz w:val="24"/>
          <w:highlight w:val="none"/>
          <w:lang w:val="en-US" w:eastAsia="zh-CN"/>
        </w:rPr>
        <w:t>合计</w:t>
      </w:r>
      <w:r>
        <w:rPr>
          <w:rFonts w:hint="eastAsia" w:ascii="宋体" w:hAnsi="宋体" w:cs="宋体"/>
          <w:color w:val="auto"/>
          <w:sz w:val="24"/>
          <w:highlight w:val="none"/>
          <w:lang w:eastAsia="zh-CN"/>
        </w:rPr>
        <w:t>人民币</w:t>
      </w:r>
      <w:permStart w:id="18" w:edGrp="everyone"/>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ermEnd w:id="18"/>
      <w:r>
        <w:rPr>
          <w:rFonts w:hint="eastAsia" w:ascii="宋体" w:hAnsi="宋体" w:cs="宋体"/>
          <w:color w:val="auto"/>
          <w:sz w:val="24"/>
          <w:highlight w:val="none"/>
          <w:lang w:eastAsia="zh-CN"/>
        </w:rPr>
        <w:t>元(大写：</w:t>
      </w:r>
      <w:permStart w:id="19" w:edGrp="everyone"/>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ermEnd w:id="19"/>
      <w:r>
        <w:rPr>
          <w:rFonts w:hint="eastAsia" w:ascii="宋体" w:hAnsi="宋体" w:cs="宋体"/>
          <w:color w:val="auto"/>
          <w:sz w:val="24"/>
          <w:highlight w:val="none"/>
          <w:lang w:eastAsia="zh-CN"/>
        </w:rPr>
        <w:t>)作为预付款，其中设计费</w:t>
      </w:r>
      <w:permStart w:id="20"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20"/>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，建安工程费</w:t>
      </w:r>
      <w:permStart w:id="21"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21"/>
      <w:r>
        <w:rPr>
          <w:rFonts w:hint="eastAsia" w:ascii="宋体" w:hAnsi="宋体" w:cs="宋体"/>
          <w:color w:val="auto"/>
          <w:sz w:val="24"/>
          <w:szCs w:val="24"/>
          <w:highlight w:val="none"/>
        </w:rPr>
        <w:t>元</w:t>
      </w:r>
      <w:r>
        <w:rPr>
          <w:rFonts w:ascii="宋体" w:hAnsi="宋体" w:cs="宋体"/>
          <w:color w:val="auto"/>
          <w:sz w:val="24"/>
          <w:highlight w:val="none"/>
        </w:rPr>
        <w:t>。</w:t>
      </w:r>
    </w:p>
    <w:p w14:paraId="15BD776C">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（2）进度款：主设备</w:t>
      </w:r>
      <w:r>
        <w:rPr>
          <w:rFonts w:hint="eastAsia" w:ascii="宋体" w:hAnsi="宋体" w:cs="宋体"/>
          <w:color w:val="auto"/>
          <w:sz w:val="24"/>
          <w:highlight w:val="none"/>
          <w:lang w:eastAsia="zh-CN"/>
        </w:rPr>
        <w:t>（所有变压器、高低压配电柜）</w:t>
      </w:r>
      <w:r>
        <w:rPr>
          <w:rFonts w:hint="eastAsia" w:ascii="宋体" w:hAnsi="宋体" w:cs="宋体"/>
          <w:color w:val="auto"/>
          <w:sz w:val="24"/>
          <w:highlight w:val="none"/>
        </w:rPr>
        <w:t>进场后</w:t>
      </w:r>
      <w:r>
        <w:rPr>
          <w:rFonts w:hint="eastAsia" w:ascii="宋体" w:hAnsi="宋体" w:cs="宋体"/>
          <w:color w:val="auto"/>
          <w:kern w:val="0"/>
          <w:sz w:val="24"/>
          <w:szCs w:val="24"/>
          <w:highlight w:val="none"/>
        </w:rPr>
        <w:t>支付本</w:t>
      </w:r>
      <w:r>
        <w:rPr>
          <w:rFonts w:hint="eastAsia" w:ascii="宋体" w:hAnsi="宋体" w:cs="宋体"/>
          <w:color w:val="auto"/>
          <w:kern w:val="0"/>
          <w:sz w:val="24"/>
          <w:szCs w:val="24"/>
          <w:highlight w:val="none"/>
          <w:lang w:eastAsia="zh-CN"/>
        </w:rPr>
        <w:t>合同建安工程费</w:t>
      </w:r>
      <w:r>
        <w:rPr>
          <w:rFonts w:hint="eastAsia" w:ascii="宋体" w:hAnsi="宋体" w:cs="宋体"/>
          <w:color w:val="auto"/>
          <w:kern w:val="0"/>
          <w:sz w:val="24"/>
          <w:szCs w:val="24"/>
          <w:highlight w:val="none"/>
          <w:lang w:val="en-US" w:eastAsia="zh-CN"/>
        </w:rPr>
        <w:t>暂定</w:t>
      </w:r>
      <w:r>
        <w:rPr>
          <w:rFonts w:hint="eastAsia" w:ascii="宋体" w:hAnsi="宋体" w:cs="宋体"/>
          <w:color w:val="auto"/>
          <w:kern w:val="0"/>
          <w:sz w:val="24"/>
          <w:szCs w:val="24"/>
          <w:highlight w:val="none"/>
        </w:rPr>
        <w:t>价款总额的</w:t>
      </w:r>
      <w:r>
        <w:rPr>
          <w:rFonts w:hint="eastAsia" w:ascii="宋体" w:hAnsi="宋体" w:cs="宋体"/>
          <w:color w:val="auto"/>
          <w:kern w:val="0"/>
          <w:sz w:val="24"/>
          <w:szCs w:val="24"/>
          <w:highlight w:val="none"/>
          <w:lang w:val="en-US" w:eastAsia="zh-CN"/>
        </w:rPr>
        <w:t>20</w:t>
      </w:r>
      <w:r>
        <w:rPr>
          <w:rFonts w:hint="eastAsia" w:ascii="宋体" w:hAnsi="宋体" w:cs="宋体"/>
          <w:color w:val="auto"/>
          <w:sz w:val="24"/>
          <w:highlight w:val="none"/>
        </w:rPr>
        <w:t>%</w:t>
      </w:r>
      <w:r>
        <w:rPr>
          <w:rFonts w:hint="eastAsia" w:ascii="宋体" w:hAnsi="宋体" w:cs="宋体"/>
          <w:color w:val="auto"/>
          <w:sz w:val="24"/>
          <w:highlight w:val="none"/>
          <w:lang w:eastAsia="zh-CN"/>
        </w:rPr>
        <w:t>，即人民币</w:t>
      </w:r>
      <w:permStart w:id="22" w:edGrp="everyone"/>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ermEnd w:id="22"/>
      <w:r>
        <w:rPr>
          <w:rFonts w:hint="eastAsia" w:ascii="宋体" w:hAnsi="宋体" w:cs="宋体"/>
          <w:color w:val="auto"/>
          <w:sz w:val="24"/>
          <w:highlight w:val="none"/>
          <w:lang w:eastAsia="zh-CN"/>
        </w:rPr>
        <w:t>元(大写：</w:t>
      </w:r>
      <w:permStart w:id="23" w:edGrp="everyone"/>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ermEnd w:id="23"/>
      <w:r>
        <w:rPr>
          <w:rFonts w:hint="eastAsia" w:ascii="宋体" w:hAnsi="宋体" w:cs="宋体"/>
          <w:color w:val="auto"/>
          <w:sz w:val="24"/>
          <w:highlight w:val="none"/>
          <w:lang w:eastAsia="zh-CN"/>
        </w:rPr>
        <w:t>)。</w:t>
      </w:r>
    </w:p>
    <w:p w14:paraId="43A4208A">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所有设备安装完成，供电局验收通过且通电至低压柜后支付本合同</w:t>
      </w:r>
      <w:r>
        <w:rPr>
          <w:rFonts w:hint="eastAsia" w:ascii="宋体" w:hAnsi="宋体" w:cs="宋体"/>
          <w:color w:val="auto"/>
          <w:kern w:val="0"/>
          <w:sz w:val="24"/>
          <w:szCs w:val="24"/>
          <w:highlight w:val="none"/>
          <w:lang w:eastAsia="zh-CN"/>
        </w:rPr>
        <w:t>建安工程费</w:t>
      </w:r>
      <w:r>
        <w:rPr>
          <w:rFonts w:hint="eastAsia" w:ascii="宋体" w:hAnsi="宋体" w:cs="宋体"/>
          <w:color w:val="auto"/>
          <w:sz w:val="24"/>
          <w:highlight w:val="none"/>
          <w:lang w:val="en-US" w:eastAsia="zh-CN"/>
        </w:rPr>
        <w:t>暂定价款</w:t>
      </w:r>
      <w:r>
        <w:rPr>
          <w:rFonts w:hint="eastAsia" w:ascii="宋体" w:hAnsi="宋体" w:cs="宋体"/>
          <w:color w:val="auto"/>
          <w:kern w:val="0"/>
          <w:sz w:val="24"/>
          <w:szCs w:val="24"/>
          <w:highlight w:val="none"/>
        </w:rPr>
        <w:t>总额</w:t>
      </w:r>
      <w:r>
        <w:rPr>
          <w:rFonts w:hint="eastAsia" w:ascii="宋体" w:hAnsi="宋体" w:cs="宋体"/>
          <w:color w:val="auto"/>
          <w:sz w:val="24"/>
          <w:highlight w:val="none"/>
          <w:lang w:val="en-US" w:eastAsia="zh-CN"/>
        </w:rPr>
        <w:t>的30%，即</w:t>
      </w:r>
      <w:r>
        <w:rPr>
          <w:rFonts w:hint="eastAsia" w:ascii="宋体" w:hAnsi="宋体" w:cs="宋体"/>
          <w:color w:val="auto"/>
          <w:sz w:val="24"/>
          <w:highlight w:val="none"/>
          <w:lang w:eastAsia="zh-CN"/>
        </w:rPr>
        <w:t>人民币</w:t>
      </w:r>
      <w:permStart w:id="24" w:edGrp="everyone"/>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ermEnd w:id="24"/>
      <w:r>
        <w:rPr>
          <w:rFonts w:hint="eastAsia" w:ascii="宋体" w:hAnsi="宋体" w:cs="宋体"/>
          <w:color w:val="auto"/>
          <w:sz w:val="24"/>
          <w:highlight w:val="none"/>
          <w:lang w:eastAsia="zh-CN"/>
        </w:rPr>
        <w:t>元(大写：</w:t>
      </w:r>
      <w:permStart w:id="25" w:edGrp="everyone"/>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 xml:space="preserve"> </w:t>
      </w:r>
      <w:permEnd w:id="25"/>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p>
    <w:p w14:paraId="72EF4D80">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（3）结算款：</w:t>
      </w:r>
      <w:r>
        <w:rPr>
          <w:rFonts w:hint="eastAsia" w:ascii="宋体" w:hAnsi="宋体" w:cs="宋体"/>
          <w:color w:val="auto"/>
          <w:sz w:val="24"/>
          <w:highlight w:val="none"/>
        </w:rPr>
        <w:t>完成竣工验收</w:t>
      </w:r>
      <w:r>
        <w:rPr>
          <w:rFonts w:hint="eastAsia" w:ascii="宋体" w:hAnsi="宋体" w:cs="宋体"/>
          <w:color w:val="auto"/>
          <w:sz w:val="24"/>
          <w:highlight w:val="none"/>
          <w:lang w:val="en-US" w:eastAsia="zh-CN"/>
        </w:rPr>
        <w:t>并经甲方委托的造价咨询机构完成</w:t>
      </w:r>
      <w:r>
        <w:rPr>
          <w:rFonts w:hint="eastAsia" w:ascii="宋体" w:hAnsi="宋体" w:cs="宋体"/>
          <w:color w:val="auto"/>
          <w:sz w:val="24"/>
          <w:highlight w:val="none"/>
        </w:rPr>
        <w:t>结算</w:t>
      </w:r>
      <w:r>
        <w:rPr>
          <w:rFonts w:hint="eastAsia" w:ascii="宋体" w:hAnsi="宋体" w:cs="宋体"/>
          <w:color w:val="auto"/>
          <w:sz w:val="24"/>
          <w:highlight w:val="none"/>
          <w:lang w:val="en-US" w:eastAsia="zh-CN"/>
        </w:rPr>
        <w:t>审核</w:t>
      </w:r>
      <w:r>
        <w:rPr>
          <w:rFonts w:hint="eastAsia" w:ascii="宋体" w:hAnsi="宋体" w:cs="宋体"/>
          <w:color w:val="auto"/>
          <w:sz w:val="24"/>
          <w:highlight w:val="none"/>
        </w:rPr>
        <w:t>后15日内</w:t>
      </w:r>
      <w:r>
        <w:rPr>
          <w:rFonts w:hint="eastAsia" w:ascii="宋体" w:hAnsi="宋体" w:cs="宋体"/>
          <w:color w:val="auto"/>
          <w:kern w:val="0"/>
          <w:sz w:val="24"/>
          <w:szCs w:val="24"/>
          <w:highlight w:val="none"/>
        </w:rPr>
        <w:t>支付至本合同</w:t>
      </w:r>
      <w:r>
        <w:rPr>
          <w:rFonts w:hint="eastAsia" w:ascii="宋体" w:hAnsi="宋体" w:cs="宋体"/>
          <w:color w:val="auto"/>
          <w:kern w:val="0"/>
          <w:sz w:val="24"/>
          <w:szCs w:val="24"/>
          <w:highlight w:val="none"/>
          <w:lang w:eastAsia="zh-CN"/>
        </w:rPr>
        <w:t>建安工程费结算</w:t>
      </w:r>
      <w:r>
        <w:rPr>
          <w:rFonts w:hint="eastAsia" w:ascii="宋体" w:hAnsi="宋体" w:cs="宋体"/>
          <w:color w:val="auto"/>
          <w:kern w:val="0"/>
          <w:sz w:val="24"/>
          <w:szCs w:val="24"/>
          <w:highlight w:val="none"/>
        </w:rPr>
        <w:t>价款总额的97%。</w:t>
      </w:r>
    </w:p>
    <w:p w14:paraId="452D54CA">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质量保证金：本</w:t>
      </w:r>
      <w:r>
        <w:rPr>
          <w:rFonts w:hint="eastAsia" w:ascii="宋体" w:hAnsi="宋体" w:cs="宋体"/>
          <w:color w:val="auto"/>
          <w:kern w:val="0"/>
          <w:sz w:val="24"/>
          <w:szCs w:val="24"/>
          <w:highlight w:val="none"/>
          <w:lang w:eastAsia="zh-CN"/>
        </w:rPr>
        <w:t>合同建安工程费</w:t>
      </w:r>
      <w:r>
        <w:rPr>
          <w:rFonts w:hint="eastAsia" w:ascii="宋体" w:hAnsi="宋体" w:cs="宋体"/>
          <w:color w:val="auto"/>
          <w:kern w:val="0"/>
          <w:sz w:val="24"/>
          <w:szCs w:val="24"/>
          <w:highlight w:val="none"/>
        </w:rPr>
        <w:t>结算总额的3%作为质量保证金，自本工程缺陷责任期届满且乙方按照法律规定及合同约定全面妥善履行了该期间的保修义务后，由乙方提出申请并办理相关退保手续，经甲方书面确认后30个工作日内无息付清（有未决、索偿事项的除外）；若发生乙方迟延履行保修义务，或应承担因质量问题产生的对甲方及第三方的赔偿责任等情况，或存在其他未决（索偿）事项的，甲方从质量保证金中扣除相应的款项后，余额无息返还乙方（如有），质量保证金不足抵扣的，乙方应补足。</w:t>
      </w:r>
    </w:p>
    <w:p w14:paraId="1479586C">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付款条件：</w:t>
      </w:r>
      <w:r>
        <w:rPr>
          <w:rFonts w:hint="eastAsia" w:ascii="宋体" w:hAnsi="宋体" w:cs="Arial"/>
          <w:color w:val="auto"/>
          <w:kern w:val="0"/>
          <w:sz w:val="24"/>
          <w:highlight w:val="none"/>
        </w:rPr>
        <w:t>每次付款前，乙方应提交请款报告及</w:t>
      </w:r>
      <w:r>
        <w:rPr>
          <w:rFonts w:hint="eastAsia" w:ascii="宋体" w:hAnsi="宋体" w:cs="Arial"/>
          <w:color w:val="auto"/>
          <w:kern w:val="0"/>
          <w:sz w:val="24"/>
          <w:highlight w:val="none"/>
          <w:lang w:val="en-US" w:eastAsia="zh-CN"/>
        </w:rPr>
        <w:t>相应类别的</w:t>
      </w:r>
      <w:r>
        <w:rPr>
          <w:rFonts w:hint="eastAsia" w:ascii="宋体" w:hAnsi="宋体" w:cs="宋体"/>
          <w:color w:val="auto"/>
          <w:sz w:val="24"/>
          <w:szCs w:val="24"/>
          <w:highlight w:val="none"/>
        </w:rPr>
        <w:t>增值税</w:t>
      </w:r>
      <w:r>
        <w:rPr>
          <w:rFonts w:hint="eastAsia" w:ascii="宋体" w:hAnsi="宋体" w:cs="宋体"/>
          <w:color w:val="auto"/>
          <w:sz w:val="24"/>
          <w:szCs w:val="24"/>
          <w:highlight w:val="none"/>
          <w:lang w:eastAsia="zh-CN"/>
        </w:rPr>
        <w:t>专用</w:t>
      </w:r>
      <w:r>
        <w:rPr>
          <w:rFonts w:hint="eastAsia" w:ascii="宋体" w:hAnsi="宋体" w:cs="宋体"/>
          <w:color w:val="auto"/>
          <w:sz w:val="24"/>
          <w:szCs w:val="24"/>
          <w:highlight w:val="none"/>
        </w:rPr>
        <w:t>发票，</w:t>
      </w:r>
      <w:r>
        <w:rPr>
          <w:rFonts w:hint="eastAsia" w:ascii="宋体" w:hAnsi="宋体" w:cs="宋体"/>
          <w:color w:val="auto"/>
          <w:sz w:val="24"/>
          <w:szCs w:val="24"/>
          <w:highlight w:val="none"/>
          <w:lang w:val="en-US" w:eastAsia="zh-CN"/>
        </w:rPr>
        <w:t>设计费与建安工程费发票应分别开具，</w:t>
      </w:r>
      <w:r>
        <w:rPr>
          <w:rFonts w:hint="eastAsia" w:ascii="宋体" w:hAnsi="宋体" w:cs="宋体"/>
          <w:color w:val="auto"/>
          <w:sz w:val="24"/>
          <w:szCs w:val="24"/>
          <w:highlight w:val="none"/>
        </w:rPr>
        <w:t>支付结算款时一并提供质量保证金发票，否则</w:t>
      </w:r>
      <w:r>
        <w:rPr>
          <w:rFonts w:hint="eastAsia" w:ascii="宋体" w:hAnsi="宋体" w:cs="宋体"/>
          <w:color w:val="auto"/>
          <w:sz w:val="24"/>
          <w:szCs w:val="24"/>
          <w:highlight w:val="none"/>
          <w:lang w:eastAsia="zh-CN"/>
        </w:rPr>
        <w:t>甲方</w:t>
      </w:r>
      <w:r>
        <w:rPr>
          <w:rFonts w:hint="eastAsia" w:ascii="宋体" w:hAnsi="宋体" w:cs="宋体"/>
          <w:color w:val="auto"/>
          <w:sz w:val="24"/>
          <w:szCs w:val="24"/>
          <w:highlight w:val="none"/>
        </w:rPr>
        <w:t>有权拒绝付款并不承担任何责任</w:t>
      </w:r>
      <w:r>
        <w:rPr>
          <w:rFonts w:hint="eastAsia" w:ascii="宋体" w:hAnsi="宋体"/>
          <w:color w:val="auto"/>
          <w:sz w:val="24"/>
          <w:szCs w:val="24"/>
          <w:highlight w:val="none"/>
        </w:rPr>
        <w:t>。</w:t>
      </w:r>
    </w:p>
    <w:p w14:paraId="69DB455E">
      <w:pPr>
        <w:tabs>
          <w:tab w:val="left" w:pos="840"/>
          <w:tab w:val="left" w:pos="945"/>
          <w:tab w:val="left" w:pos="1050"/>
        </w:tabs>
        <w:autoSpaceDE/>
        <w:autoSpaceDN/>
        <w:adjustRightInd/>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3.工程价款支付方式</w:t>
      </w:r>
      <w:r>
        <w:rPr>
          <w:rFonts w:hint="eastAsia" w:ascii="宋体" w:hAnsi="宋体"/>
          <w:color w:val="auto"/>
          <w:sz w:val="24"/>
          <w:szCs w:val="24"/>
          <w:highlight w:val="none"/>
          <w:lang w:val="en-US" w:eastAsia="zh-CN"/>
        </w:rPr>
        <w:t>为银行转账</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rPr>
        <w:t>乙方</w:t>
      </w:r>
      <w:r>
        <w:rPr>
          <w:rFonts w:hint="eastAsia" w:ascii="宋体" w:hAnsi="宋体" w:cs="宋体"/>
          <w:color w:val="auto"/>
          <w:sz w:val="24"/>
          <w:szCs w:val="24"/>
          <w:highlight w:val="none"/>
          <w:lang w:val="en-US" w:eastAsia="zh-CN"/>
        </w:rPr>
        <w:t>收款</w:t>
      </w:r>
      <w:r>
        <w:rPr>
          <w:rFonts w:hint="eastAsia" w:ascii="宋体" w:hAnsi="宋体" w:cs="宋体"/>
          <w:color w:val="auto"/>
          <w:sz w:val="24"/>
          <w:szCs w:val="24"/>
          <w:highlight w:val="none"/>
        </w:rPr>
        <w:t>账户信息</w:t>
      </w:r>
      <w:r>
        <w:rPr>
          <w:rFonts w:hint="eastAsia" w:ascii="宋体" w:hAnsi="宋体" w:cs="宋体"/>
          <w:color w:val="auto"/>
          <w:sz w:val="24"/>
          <w:szCs w:val="24"/>
          <w:highlight w:val="none"/>
          <w:lang w:val="en-US" w:eastAsia="zh-CN"/>
        </w:rPr>
        <w:t>如下</w:t>
      </w:r>
      <w:r>
        <w:rPr>
          <w:rFonts w:hint="eastAsia" w:ascii="宋体" w:hAnsi="宋体" w:cs="宋体"/>
          <w:color w:val="auto"/>
          <w:sz w:val="24"/>
          <w:szCs w:val="24"/>
          <w:highlight w:val="none"/>
        </w:rPr>
        <w:t>：</w:t>
      </w:r>
    </w:p>
    <w:p w14:paraId="45012C81">
      <w:pPr>
        <w:autoSpaceDE w:val="0"/>
        <w:autoSpaceDN w:val="0"/>
        <w:adjustRightInd w:val="0"/>
        <w:spacing w:line="360" w:lineRule="auto"/>
        <w:ind w:firstLine="480" w:firstLineChars="200"/>
        <w:rPr>
          <w:rFonts w:ascii="宋体" w:hAnsi="宋体" w:cs="宋体"/>
          <w:color w:val="auto"/>
          <w:kern w:val="0"/>
          <w:sz w:val="24"/>
          <w:highlight w:val="none"/>
          <w:u w:val="single"/>
        </w:rPr>
      </w:pPr>
      <w:bookmarkStart w:id="21" w:name="_Toc166559810"/>
      <w:bookmarkStart w:id="22" w:name="_Toc164044181"/>
      <w:bookmarkStart w:id="23" w:name="_Toc175473413"/>
      <w:bookmarkStart w:id="24" w:name="_Toc163989690"/>
      <w:r>
        <w:rPr>
          <w:rFonts w:hint="eastAsia" w:ascii="宋体" w:hAnsi="宋体" w:cs="宋体"/>
          <w:color w:val="auto"/>
          <w:kern w:val="0"/>
          <w:sz w:val="24"/>
          <w:highlight w:val="none"/>
          <w:u w:val="none"/>
        </w:rPr>
        <w:t>账户名称：</w:t>
      </w:r>
      <w:permStart w:id="26"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26"/>
    </w:p>
    <w:p w14:paraId="6874FC0B">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rPr>
        <w:t>账    号：</w:t>
      </w:r>
      <w:permStart w:id="27"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27"/>
    </w:p>
    <w:p w14:paraId="58A3F5E2">
      <w:pPr>
        <w:autoSpaceDE w:val="0"/>
        <w:autoSpaceDN w:val="0"/>
        <w:adjustRightInd w:val="0"/>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kern w:val="0"/>
          <w:sz w:val="24"/>
          <w:highlight w:val="none"/>
          <w:u w:val="none"/>
        </w:rPr>
        <w:t>开 户 行：</w:t>
      </w:r>
      <w:permStart w:id="28"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28"/>
    </w:p>
    <w:p w14:paraId="3C230A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乙方如需更改以上账户</w:t>
      </w:r>
      <w:r>
        <w:rPr>
          <w:rFonts w:hint="eastAsia" w:ascii="宋体" w:hAnsi="宋体"/>
          <w:color w:val="auto"/>
          <w:sz w:val="24"/>
          <w:szCs w:val="24"/>
          <w:highlight w:val="none"/>
          <w:lang w:eastAsia="zh-CN"/>
        </w:rPr>
        <w:t>，</w:t>
      </w:r>
      <w:r>
        <w:rPr>
          <w:rFonts w:hint="eastAsia" w:ascii="宋体" w:hAnsi="宋体"/>
          <w:color w:val="auto"/>
          <w:sz w:val="24"/>
          <w:szCs w:val="24"/>
          <w:highlight w:val="none"/>
        </w:rPr>
        <w:t>必须</w:t>
      </w:r>
      <w:r>
        <w:rPr>
          <w:rFonts w:hint="eastAsia" w:ascii="宋体" w:hAnsi="宋体"/>
          <w:color w:val="auto"/>
          <w:sz w:val="24"/>
          <w:szCs w:val="24"/>
          <w:highlight w:val="none"/>
          <w:lang w:val="en-US" w:eastAsia="zh-CN"/>
        </w:rPr>
        <w:t>提前10个工作日书面通知甲方</w:t>
      </w:r>
      <w:r>
        <w:rPr>
          <w:rFonts w:hint="eastAsia" w:ascii="宋体" w:hAnsi="宋体"/>
          <w:color w:val="auto"/>
          <w:sz w:val="24"/>
          <w:szCs w:val="24"/>
          <w:highlight w:val="none"/>
        </w:rPr>
        <w:t>，否则，</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有权继续向上述账户付款，并视为</w:t>
      </w:r>
      <w:r>
        <w:rPr>
          <w:rFonts w:hint="eastAsia" w:ascii="宋体" w:hAnsi="宋体"/>
          <w:color w:val="auto"/>
          <w:sz w:val="24"/>
          <w:szCs w:val="24"/>
          <w:highlight w:val="none"/>
          <w:lang w:eastAsia="zh-CN"/>
        </w:rPr>
        <w:t>甲方</w:t>
      </w:r>
      <w:r>
        <w:rPr>
          <w:rFonts w:hint="eastAsia" w:ascii="宋体" w:hAnsi="宋体"/>
          <w:color w:val="auto"/>
          <w:sz w:val="24"/>
          <w:szCs w:val="24"/>
          <w:highlight w:val="none"/>
        </w:rPr>
        <w:t>已全面妥善向乙方履行了支付义务，由此产生的一切不利后果由乙方承担。</w:t>
      </w:r>
    </w:p>
    <w:bookmarkEnd w:id="21"/>
    <w:bookmarkEnd w:id="22"/>
    <w:bookmarkEnd w:id="23"/>
    <w:bookmarkEnd w:id="24"/>
    <w:p w14:paraId="362B5C6A">
      <w:pPr>
        <w:pStyle w:val="6"/>
        <w:spacing w:before="0" w:after="0" w:line="360" w:lineRule="auto"/>
        <w:ind w:firstLine="482" w:firstLineChars="200"/>
        <w:rPr>
          <w:rFonts w:ascii="宋体" w:hAnsi="宋体"/>
          <w:color w:val="auto"/>
          <w:sz w:val="24"/>
          <w:szCs w:val="24"/>
          <w:highlight w:val="none"/>
        </w:rPr>
      </w:pPr>
      <w:r>
        <w:rPr>
          <w:rFonts w:hint="eastAsia" w:ascii="宋体" w:hAnsi="宋体"/>
          <w:color w:val="auto"/>
          <w:sz w:val="24"/>
          <w:szCs w:val="24"/>
          <w:highlight w:val="none"/>
        </w:rPr>
        <w:t>第八条 质量保修条款</w:t>
      </w:r>
    </w:p>
    <w:p w14:paraId="5BFE4A78">
      <w:pPr>
        <w:adjustRightInd w:val="0"/>
        <w:snapToGrid w:val="0"/>
        <w:spacing w:line="360" w:lineRule="auto"/>
        <w:ind w:left="-360"/>
        <w:rPr>
          <w:rFonts w:ascii="宋体" w:hAnsi="宋体"/>
          <w:color w:val="auto"/>
          <w:sz w:val="24"/>
          <w:szCs w:val="24"/>
          <w:highlight w:val="none"/>
        </w:rPr>
      </w:pPr>
      <w:r>
        <w:rPr>
          <w:rFonts w:hint="eastAsia" w:ascii="宋体" w:hAnsi="宋体"/>
          <w:color w:val="auto"/>
          <w:sz w:val="24"/>
          <w:szCs w:val="24"/>
          <w:highlight w:val="none"/>
        </w:rPr>
        <w:t xml:space="preserve">       1.保修期限： </w:t>
      </w:r>
    </w:p>
    <w:p w14:paraId="75AB3768">
      <w:pPr>
        <w:adjustRightInd w:val="0"/>
        <w:snapToGrid w:val="0"/>
        <w:spacing w:line="360" w:lineRule="auto"/>
        <w:ind w:firstLine="480" w:firstLineChars="200"/>
        <w:rPr>
          <w:rFonts w:ascii="宋体" w:hAnsi="宋体" w:cs="仿宋_GB2312"/>
          <w:color w:val="auto"/>
          <w:kern w:val="0"/>
          <w:sz w:val="24"/>
          <w:szCs w:val="24"/>
          <w:highlight w:val="none"/>
        </w:rPr>
      </w:pPr>
      <w:r>
        <w:rPr>
          <w:rFonts w:hint="eastAsia" w:ascii="宋体" w:hAnsi="宋体" w:cs="仿宋_GB2312"/>
          <w:color w:val="auto"/>
          <w:kern w:val="0"/>
          <w:sz w:val="24"/>
          <w:szCs w:val="24"/>
          <w:highlight w:val="none"/>
        </w:rPr>
        <w:t>工程保修期、缺陷责任期均自工程竣工验收合格且合法送电并移交甲方之日起计算。</w:t>
      </w:r>
      <w:r>
        <w:rPr>
          <w:rFonts w:hint="eastAsia" w:ascii="宋体" w:hAnsi="宋体" w:cs="仿宋_GB2312"/>
          <w:color w:val="auto"/>
          <w:kern w:val="0"/>
          <w:sz w:val="24"/>
          <w:szCs w:val="24"/>
          <w:highlight w:val="none"/>
          <w:lang w:val="en-US" w:eastAsia="zh-CN"/>
        </w:rPr>
        <w:t>根据</w:t>
      </w:r>
      <w:r>
        <w:rPr>
          <w:rFonts w:hint="eastAsia" w:ascii="宋体" w:hAnsi="宋体" w:cs="仿宋_GB2312"/>
          <w:color w:val="auto"/>
          <w:kern w:val="0"/>
          <w:sz w:val="24"/>
          <w:szCs w:val="24"/>
          <w:highlight w:val="none"/>
        </w:rPr>
        <w:t>国务院《建设工程质量管理条例》第40条的规定，没有细列的项目按照国家有关规定执行，国家没有相关规定的按2年执行</w:t>
      </w:r>
      <w:r>
        <w:rPr>
          <w:rFonts w:hint="eastAsia" w:ascii="宋体" w:hAnsi="宋体" w:cs="仿宋_GB2312"/>
          <w:color w:val="auto"/>
          <w:kern w:val="0"/>
          <w:sz w:val="24"/>
          <w:szCs w:val="24"/>
          <w:highlight w:val="none"/>
          <w:lang w:eastAsia="zh-CN"/>
        </w:rPr>
        <w:t>，</w:t>
      </w:r>
      <w:r>
        <w:rPr>
          <w:rFonts w:hint="eastAsia" w:ascii="宋体" w:hAnsi="宋体" w:cs="仿宋_GB2312"/>
          <w:color w:val="auto"/>
          <w:kern w:val="0"/>
          <w:sz w:val="24"/>
          <w:szCs w:val="24"/>
          <w:highlight w:val="none"/>
          <w:lang w:val="en-US" w:eastAsia="zh-CN"/>
        </w:rPr>
        <w:t>即</w:t>
      </w:r>
      <w:r>
        <w:rPr>
          <w:rFonts w:hint="eastAsia" w:ascii="宋体" w:hAnsi="宋体" w:cs="仿宋_GB2312"/>
          <w:color w:val="auto"/>
          <w:kern w:val="0"/>
          <w:sz w:val="24"/>
          <w:szCs w:val="24"/>
          <w:highlight w:val="none"/>
        </w:rPr>
        <w:t>本工程缺陷责任期为2年。缺陷责任期满后，乙方仍应对本工程承担质量保证责任。</w:t>
      </w:r>
    </w:p>
    <w:p w14:paraId="53342B90">
      <w:pPr>
        <w:adjustRightInd w:val="0"/>
        <w:snapToGrid w:val="0"/>
        <w:spacing w:line="360" w:lineRule="auto"/>
        <w:ind w:firstLine="480" w:firstLineChars="200"/>
        <w:rPr>
          <w:color w:val="auto"/>
          <w:sz w:val="24"/>
          <w:szCs w:val="24"/>
          <w:highlight w:val="none"/>
        </w:rPr>
      </w:pPr>
      <w:r>
        <w:rPr>
          <w:rFonts w:hint="eastAsia" w:ascii="宋体"/>
          <w:color w:val="auto"/>
          <w:sz w:val="24"/>
          <w:szCs w:val="24"/>
          <w:highlight w:val="none"/>
        </w:rPr>
        <w:t>2.保修范围和内容：本合同约定的施工范围和内容。</w:t>
      </w:r>
    </w:p>
    <w:p w14:paraId="24C163B2">
      <w:pPr>
        <w:tabs>
          <w:tab w:val="left" w:pos="2940"/>
          <w:tab w:val="left" w:pos="3542"/>
          <w:tab w:val="left" w:pos="3780"/>
          <w:tab w:val="left" w:pos="4320"/>
        </w:tabs>
        <w:spacing w:line="360" w:lineRule="auto"/>
        <w:ind w:firstLine="480" w:firstLineChars="200"/>
        <w:rPr>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rPr>
        <w:t>保修责任：</w:t>
      </w:r>
    </w:p>
    <w:p w14:paraId="4BDE32F6">
      <w:pPr>
        <w:tabs>
          <w:tab w:val="left" w:pos="2685"/>
          <w:tab w:val="left" w:pos="2940"/>
          <w:tab w:val="left" w:pos="3542"/>
          <w:tab w:val="left" w:pos="3780"/>
          <w:tab w:val="left" w:pos="4320"/>
        </w:tabs>
        <w:spacing w:line="360" w:lineRule="auto"/>
        <w:ind w:firstLine="480" w:firstLineChars="200"/>
        <w:rPr>
          <w:color w:val="auto"/>
          <w:sz w:val="24"/>
          <w:szCs w:val="24"/>
          <w:highlight w:val="none"/>
        </w:rPr>
      </w:pPr>
      <w:r>
        <w:rPr>
          <w:rFonts w:hint="eastAsia" w:ascii="宋体" w:hAnsi="宋体"/>
          <w:color w:val="auto"/>
          <w:sz w:val="24"/>
          <w:highlight w:val="none"/>
        </w:rPr>
        <w:t>乙方须履行本合同项下的全部保修责任，</w:t>
      </w:r>
      <w:r>
        <w:rPr>
          <w:rFonts w:hint="eastAsia" w:ascii="宋体"/>
          <w:color w:val="auto"/>
          <w:sz w:val="24"/>
          <w:szCs w:val="24"/>
          <w:highlight w:val="none"/>
        </w:rPr>
        <w:t>属于保修范围和内容的事项，乙方应在接到甲方电话通知</w:t>
      </w:r>
      <w:r>
        <w:rPr>
          <w:rFonts w:hint="eastAsia" w:ascii="宋体"/>
          <w:color w:val="auto"/>
          <w:sz w:val="24"/>
          <w:szCs w:val="24"/>
          <w:highlight w:val="none"/>
          <w:u w:val="single"/>
        </w:rPr>
        <w:t>24</w:t>
      </w:r>
      <w:r>
        <w:rPr>
          <w:rFonts w:hint="eastAsia" w:ascii="宋体"/>
          <w:color w:val="auto"/>
          <w:sz w:val="24"/>
          <w:szCs w:val="24"/>
          <w:highlight w:val="none"/>
        </w:rPr>
        <w:t>小时内进场维修。紧急情况下，乙方应在</w:t>
      </w:r>
      <w:r>
        <w:rPr>
          <w:rFonts w:hint="eastAsia" w:ascii="宋体"/>
          <w:color w:val="auto"/>
          <w:sz w:val="24"/>
          <w:szCs w:val="24"/>
          <w:highlight w:val="none"/>
          <w:u w:val="single"/>
        </w:rPr>
        <w:t>2</w:t>
      </w:r>
      <w:r>
        <w:rPr>
          <w:rFonts w:hint="eastAsia" w:ascii="宋体"/>
          <w:color w:val="auto"/>
          <w:sz w:val="24"/>
          <w:szCs w:val="24"/>
          <w:highlight w:val="none"/>
        </w:rPr>
        <w:t>小时内进场维修，乙方不在约定时限内进场维修</w:t>
      </w:r>
      <w:r>
        <w:rPr>
          <w:rFonts w:hint="eastAsia" w:ascii="宋体" w:hAnsi="宋体"/>
          <w:color w:val="auto"/>
          <w:sz w:val="24"/>
          <w:highlight w:val="none"/>
        </w:rPr>
        <w:t>或维修质量不符合甲方要求的</w:t>
      </w:r>
      <w:r>
        <w:rPr>
          <w:rFonts w:hint="eastAsia" w:ascii="宋体"/>
          <w:color w:val="auto"/>
          <w:sz w:val="24"/>
          <w:szCs w:val="24"/>
          <w:highlight w:val="none"/>
        </w:rPr>
        <w:t>，甲方有权自行委托第三方修缮，维修费用从质量保证金内扣除。不足以扣除的，乙方应及时补足。同时乙方应对因延误造成的其他经济损失承担全部的赔偿责任。如乙方未能及时维修的情况累计发生达</w:t>
      </w:r>
      <w:r>
        <w:rPr>
          <w:rFonts w:hint="eastAsia" w:ascii="宋体"/>
          <w:color w:val="auto"/>
          <w:sz w:val="24"/>
          <w:szCs w:val="24"/>
          <w:highlight w:val="none"/>
          <w:u w:val="single"/>
        </w:rPr>
        <w:t>2</w:t>
      </w:r>
      <w:r>
        <w:rPr>
          <w:rFonts w:hint="eastAsia" w:ascii="宋体"/>
          <w:color w:val="auto"/>
          <w:sz w:val="24"/>
          <w:szCs w:val="24"/>
          <w:highlight w:val="none"/>
        </w:rPr>
        <w:t>次以上（含），甲方有权没收全部的质量保证金，</w:t>
      </w:r>
      <w:r>
        <w:rPr>
          <w:rFonts w:hint="eastAsia" w:ascii="宋体" w:hAnsi="宋体"/>
          <w:color w:val="auto"/>
          <w:sz w:val="24"/>
          <w:highlight w:val="none"/>
        </w:rPr>
        <w:t>但乙方于本合同项下的保修责任不因此减免</w:t>
      </w:r>
      <w:r>
        <w:rPr>
          <w:rFonts w:hint="eastAsia" w:ascii="宋体"/>
          <w:color w:val="auto"/>
          <w:sz w:val="24"/>
          <w:szCs w:val="24"/>
          <w:highlight w:val="none"/>
        </w:rPr>
        <w:t xml:space="preserve">。  </w:t>
      </w:r>
    </w:p>
    <w:p w14:paraId="45290602">
      <w:pPr>
        <w:tabs>
          <w:tab w:val="left" w:pos="2685"/>
          <w:tab w:val="left" w:pos="2940"/>
          <w:tab w:val="left" w:pos="3542"/>
          <w:tab w:val="left" w:pos="3780"/>
          <w:tab w:val="left" w:pos="4320"/>
        </w:tabs>
        <w:spacing w:line="360" w:lineRule="auto"/>
        <w:ind w:firstLine="480" w:firstLineChars="200"/>
        <w:rPr>
          <w:rFonts w:ascii="宋体"/>
          <w:color w:val="auto"/>
          <w:sz w:val="24"/>
          <w:szCs w:val="24"/>
          <w:highlight w:val="none"/>
        </w:rPr>
      </w:pPr>
      <w:r>
        <w:rPr>
          <w:rFonts w:hint="eastAsia" w:ascii="宋体"/>
          <w:color w:val="auto"/>
          <w:sz w:val="24"/>
          <w:szCs w:val="24"/>
          <w:highlight w:val="none"/>
        </w:rPr>
        <w:t>4</w:t>
      </w:r>
      <w:r>
        <w:rPr>
          <w:rFonts w:hint="eastAsia" w:ascii="宋体" w:hAnsi="宋体"/>
          <w:color w:val="auto"/>
          <w:sz w:val="24"/>
          <w:szCs w:val="24"/>
          <w:highlight w:val="none"/>
        </w:rPr>
        <w:t>.</w:t>
      </w:r>
      <w:r>
        <w:rPr>
          <w:rFonts w:hint="eastAsia" w:ascii="宋体"/>
          <w:color w:val="auto"/>
          <w:sz w:val="24"/>
          <w:szCs w:val="24"/>
          <w:highlight w:val="none"/>
        </w:rPr>
        <w:t>质量保证金的退还：</w:t>
      </w:r>
    </w:p>
    <w:p w14:paraId="70E9EBE0">
      <w:pPr>
        <w:tabs>
          <w:tab w:val="left" w:pos="2685"/>
          <w:tab w:val="left" w:pos="2940"/>
          <w:tab w:val="left" w:pos="3542"/>
          <w:tab w:val="left" w:pos="3780"/>
          <w:tab w:val="left" w:pos="4320"/>
        </w:tabs>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详见本合同第七条第1款第（4）项关于质量保证金的约定。</w:t>
      </w:r>
      <w:r>
        <w:rPr>
          <w:rFonts w:hint="eastAsia" w:ascii="宋体"/>
          <w:color w:val="auto"/>
          <w:sz w:val="24"/>
          <w:szCs w:val="24"/>
          <w:highlight w:val="none"/>
        </w:rPr>
        <w:t xml:space="preserve"> </w:t>
      </w:r>
    </w:p>
    <w:p w14:paraId="66A4334D">
      <w:pPr>
        <w:tabs>
          <w:tab w:val="left" w:pos="2685"/>
          <w:tab w:val="left" w:pos="2940"/>
          <w:tab w:val="left" w:pos="3542"/>
          <w:tab w:val="left" w:pos="3780"/>
          <w:tab w:val="left" w:pos="4320"/>
        </w:tabs>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第九条 材料、设备条款</w:t>
      </w:r>
    </w:p>
    <w:p w14:paraId="511A432D">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材料及设备须符合国家、广东省、</w:t>
      </w:r>
      <w:r>
        <w:rPr>
          <w:rFonts w:hint="eastAsia" w:ascii="宋体" w:hAnsi="宋体" w:cs="宋体"/>
          <w:color w:val="auto"/>
          <w:kern w:val="0"/>
          <w:sz w:val="24"/>
          <w:szCs w:val="24"/>
          <w:highlight w:val="none"/>
          <w:lang w:eastAsia="zh-CN"/>
        </w:rPr>
        <w:t>广州市</w:t>
      </w:r>
      <w:r>
        <w:rPr>
          <w:rFonts w:hint="eastAsia" w:ascii="宋体" w:hAnsi="宋体" w:cs="宋体"/>
          <w:color w:val="auto"/>
          <w:kern w:val="0"/>
          <w:sz w:val="24"/>
          <w:szCs w:val="24"/>
          <w:highlight w:val="none"/>
        </w:rPr>
        <w:t>现行规范和主管部门的相关规定与要求及甲方和设计的要求。</w:t>
      </w:r>
    </w:p>
    <w:p w14:paraId="1F472072">
      <w:pPr>
        <w:spacing w:line="360" w:lineRule="auto"/>
        <w:ind w:firstLine="480" w:firstLineChars="200"/>
        <w:rPr>
          <w:rFonts w:ascii="宋体" w:hAnsi="宋体"/>
          <w:color w:val="auto"/>
          <w:kern w:val="0"/>
          <w:sz w:val="24"/>
          <w:highlight w:val="none"/>
        </w:rPr>
      </w:pPr>
      <w:r>
        <w:rPr>
          <w:rFonts w:hint="eastAsia" w:ascii="宋体" w:hAnsi="宋体" w:cs="宋体"/>
          <w:color w:val="auto"/>
          <w:kern w:val="0"/>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主要材料及设备必须经具有检验资格的部门检验合格，</w:t>
      </w:r>
      <w:r>
        <w:rPr>
          <w:rFonts w:hint="eastAsia" w:ascii="宋体" w:hAnsi="宋体"/>
          <w:color w:val="auto"/>
          <w:kern w:val="0"/>
          <w:sz w:val="24"/>
          <w:highlight w:val="none"/>
        </w:rPr>
        <w:t>并经甲方书面确认</w:t>
      </w:r>
      <w:r>
        <w:rPr>
          <w:rFonts w:hint="eastAsia" w:ascii="宋体" w:hAnsi="宋体" w:cs="宋体"/>
          <w:color w:val="auto"/>
          <w:kern w:val="0"/>
          <w:sz w:val="24"/>
          <w:szCs w:val="24"/>
          <w:highlight w:val="none"/>
        </w:rPr>
        <w:t>之后方可使用。</w:t>
      </w:r>
      <w:r>
        <w:rPr>
          <w:rFonts w:hint="eastAsia" w:ascii="宋体" w:hAnsi="宋体"/>
          <w:color w:val="auto"/>
          <w:kern w:val="0"/>
          <w:sz w:val="24"/>
          <w:highlight w:val="none"/>
        </w:rPr>
        <w:t>涉及外观要求的材料乙方须先送样品、样板，经甲方书面确认，并充分考虑样品、样板确认时间，不得因此延误工期。甲方的确认并不意味着减轻或免除乙方的质量责任和其他法律责任。</w:t>
      </w:r>
    </w:p>
    <w:p w14:paraId="1BBC4051">
      <w:pPr>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highlight w:val="none"/>
        </w:rPr>
        <w:t>3．甲方对材料、设备有要求的，乙方应满足或不低于该要求。否则，甲方有权要求乙方采用国标中档以上的设备、材料品牌，差价等相关损失由乙方自行承担。中档以上的材料、设备解释见工程所在地的造价信息。</w:t>
      </w:r>
    </w:p>
    <w:p w14:paraId="2AF3B468">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4．乙方应向甲方提供其负责采购和提供的设备、材料的完整技术资料</w:t>
      </w:r>
      <w:r>
        <w:rPr>
          <w:rFonts w:hint="eastAsia" w:ascii="宋体" w:hAnsi="宋体"/>
          <w:color w:val="auto"/>
          <w:sz w:val="24"/>
          <w:highlight w:val="none"/>
        </w:rPr>
        <w:t>一套</w:t>
      </w:r>
      <w:r>
        <w:rPr>
          <w:rFonts w:hint="eastAsia" w:ascii="宋体" w:hAnsi="宋体"/>
          <w:color w:val="auto"/>
          <w:kern w:val="0"/>
          <w:sz w:val="24"/>
          <w:highlight w:val="none"/>
        </w:rPr>
        <w:t>原件和三套复印件(加盖乙方公章)，内容包括但不限于产品的名称、规格、数量、合格证、质量等级、产地、供货商名称及其他相关的技术资料。</w:t>
      </w:r>
    </w:p>
    <w:p w14:paraId="7C9A8B7B">
      <w:pPr>
        <w:spacing w:line="360" w:lineRule="auto"/>
        <w:ind w:firstLine="480" w:firstLineChars="200"/>
        <w:jc w:val="left"/>
        <w:rPr>
          <w:rFonts w:ascii="宋体" w:hAnsi="宋体"/>
          <w:color w:val="auto"/>
          <w:sz w:val="24"/>
          <w:highlight w:val="none"/>
        </w:rPr>
      </w:pPr>
      <w:r>
        <w:rPr>
          <w:rFonts w:hint="eastAsia" w:ascii="宋体" w:hAnsi="宋体"/>
          <w:color w:val="auto"/>
          <w:kern w:val="0"/>
          <w:sz w:val="24"/>
          <w:highlight w:val="none"/>
        </w:rPr>
        <w:t>5．乙方负责采购的材料、设备由乙方承担运输、装卸、仓管等一切相关费用。由于运输、装卸、保管不当或其它乙方原因造成材料、设备损坏或丢失的，由乙方承担一切损失。</w:t>
      </w:r>
    </w:p>
    <w:p w14:paraId="677DD730">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6．甲方有权根据使用要求和工程需要对设计、主要材料及设备进行变更，有权根据上述变更、招标文件及合同约定的造价调整方式对价格进行相应调整，乙方须予以执行。</w:t>
      </w:r>
    </w:p>
    <w:p w14:paraId="03972BDD">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7.若材料及设备存在缺货、停产等不可预见的情况，可书面提出替换。替换时按以下原则进行：</w:t>
      </w:r>
    </w:p>
    <w:p w14:paraId="2B26593A">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(1)材料及设备性能和质量高于原定标准；</w:t>
      </w:r>
    </w:p>
    <w:p w14:paraId="06C84E0B">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(2)须取得甲方书面同意；</w:t>
      </w:r>
    </w:p>
    <w:p w14:paraId="10B61CDA">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(3)不允许调增价格。</w:t>
      </w:r>
    </w:p>
    <w:p w14:paraId="541328D2">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8．乙方提供的材料及设备不符合要求的，甲方有权要求更换，并由乙方承担由此产生的各种费用，且工期不得顺延。</w:t>
      </w:r>
    </w:p>
    <w:p w14:paraId="30184F1A">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9.工程所涉及材料的其他特殊要求：</w:t>
      </w:r>
    </w:p>
    <w:p w14:paraId="52EB4754">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（1）电力施工材料的其他要求：本工程所有主材（南方电网规定的一类、二类材料与设备）的订购技术条件，须满足</w:t>
      </w:r>
      <w:r>
        <w:rPr>
          <w:rFonts w:hint="eastAsia" w:ascii="宋体" w:hAnsi="宋体"/>
          <w:color w:val="auto"/>
          <w:kern w:val="0"/>
          <w:sz w:val="24"/>
          <w:highlight w:val="none"/>
          <w:lang w:eastAsia="zh-CN"/>
        </w:rPr>
        <w:t>广州</w:t>
      </w:r>
      <w:r>
        <w:rPr>
          <w:rFonts w:hint="eastAsia" w:ascii="宋体" w:hAnsi="宋体"/>
          <w:color w:val="auto"/>
          <w:kern w:val="0"/>
          <w:sz w:val="24"/>
          <w:highlight w:val="none"/>
        </w:rPr>
        <w:t>供电局相关技术要求。</w:t>
      </w:r>
    </w:p>
    <w:p w14:paraId="7CE00B23">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（2）须提供乙方采购设备的结构和电气系统图及全套设备的平面、立面布置图，乙方应确保所交付的资料应是完整、清楚、正确的，并且能够满足设备的安装运行、操作和维修要求。</w:t>
      </w:r>
    </w:p>
    <w:p w14:paraId="65480B01">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第十条 成品及半成品保护</w:t>
      </w:r>
      <w:bookmarkStart w:id="25" w:name="_Toc164044180"/>
      <w:bookmarkStart w:id="26" w:name="_Toc163989689"/>
      <w:bookmarkStart w:id="27" w:name="_Toc166559809"/>
    </w:p>
    <w:p w14:paraId="00E5F28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1.工程成品及半成品保护工作，从进场施工至该项工程验收合格</w:t>
      </w:r>
      <w:r>
        <w:rPr>
          <w:rFonts w:hint="eastAsia" w:ascii="宋体" w:hAnsi="宋体" w:cs="宋体"/>
          <w:color w:val="auto"/>
          <w:sz w:val="24"/>
          <w:szCs w:val="24"/>
          <w:highlight w:val="none"/>
        </w:rPr>
        <w:t>且移交甲方使用</w:t>
      </w:r>
      <w:r>
        <w:rPr>
          <w:rFonts w:hint="eastAsia" w:ascii="宋体" w:hAnsi="宋体"/>
          <w:color w:val="auto"/>
          <w:sz w:val="24"/>
          <w:highlight w:val="none"/>
        </w:rPr>
        <w:t>为止应由乙方自行负责；乙方应制订出具体的措施做好成品、半成品保护工作，并承担毁损、火灾、丢失的风险，保护期间发生损坏、失窃，乙方自费予以修复，并承担损坏材料的相关费用。</w:t>
      </w:r>
    </w:p>
    <w:p w14:paraId="21235AAB">
      <w:pPr>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2.施工全过程须切实做好项目的成品、半成品保护措施，确保不得损坏项目现场已有的（不属于本合同工作内容）、已完成的工作面等，如有损坏的由乙方自行修复或作价赔偿。</w:t>
      </w:r>
    </w:p>
    <w:p w14:paraId="312AF9CD">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第十一条 双方现场代表</w:t>
      </w:r>
    </w:p>
    <w:p w14:paraId="0E6C648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1．甲方委派</w:t>
      </w:r>
      <w:permStart w:id="29"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4"/>
          <w:szCs w:val="24"/>
          <w:highlight w:val="none"/>
          <w:u w:val="single"/>
          <w:lang w:val="en-US" w:eastAsia="zh-CN"/>
        </w:rPr>
        <w:t>赵杰</w:t>
      </w:r>
      <w:r>
        <w:rPr>
          <w:rFonts w:hint="eastAsia" w:ascii="宋体" w:hAnsi="宋体" w:eastAsia="宋体"/>
          <w:color w:val="auto"/>
          <w:sz w:val="28"/>
          <w:szCs w:val="28"/>
          <w:highlight w:val="none"/>
          <w:u w:val="single"/>
        </w:rPr>
        <w:t xml:space="preserve"> </w:t>
      </w:r>
      <w:permEnd w:id="29"/>
      <w:r>
        <w:rPr>
          <w:rFonts w:hint="eastAsia" w:ascii="宋体" w:hAnsi="宋体" w:cs="宋体"/>
          <w:color w:val="auto"/>
          <w:sz w:val="24"/>
          <w:szCs w:val="24"/>
          <w:highlight w:val="none"/>
        </w:rPr>
        <w:t>为工地现场联络代表，负责施工期间的现场协调与管理工作。</w:t>
      </w:r>
    </w:p>
    <w:p w14:paraId="4AD44C30">
      <w:pPr>
        <w:tabs>
          <w:tab w:val="left" w:pos="108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2．乙方委派</w:t>
      </w:r>
      <w:permStart w:id="30"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30"/>
      <w:r>
        <w:rPr>
          <w:rFonts w:hint="eastAsia" w:ascii="宋体" w:hAnsi="宋体" w:cs="宋体"/>
          <w:color w:val="auto"/>
          <w:sz w:val="24"/>
          <w:szCs w:val="24"/>
          <w:highlight w:val="none"/>
          <w:u w:val="single"/>
        </w:rPr>
        <w:t>（电话</w:t>
      </w:r>
      <w:permStart w:id="31" w:edGrp="everyone"/>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r>
        <w:rPr>
          <w:rFonts w:hint="eastAsia" w:ascii="宋体" w:hAnsi="宋体" w:eastAsia="宋体"/>
          <w:color w:val="auto"/>
          <w:sz w:val="28"/>
          <w:szCs w:val="28"/>
          <w:highlight w:val="none"/>
          <w:u w:val="single"/>
        </w:rPr>
        <w:t xml:space="preserve"> </w:t>
      </w:r>
      <w:permEnd w:id="31"/>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为项目经理，是乙方现场工作的总负责人，代表乙方履行本合同义务。委派的项目经理须持有与工程项目招标文件及合同要求相适应的真实有效的资格证书。</w:t>
      </w:r>
    </w:p>
    <w:p w14:paraId="45FAA5BF">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第十二条 安全条款</w:t>
      </w:r>
    </w:p>
    <w:p w14:paraId="6955013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1.安全生产文明施工要求：合格。</w:t>
      </w:r>
    </w:p>
    <w:p w14:paraId="0137FC6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安全生产文明施工标准：执行国家、广东省、</w:t>
      </w:r>
      <w:r>
        <w:rPr>
          <w:rFonts w:hint="eastAsia" w:ascii="宋体" w:hAnsi="宋体" w:cs="宋体"/>
          <w:color w:val="auto"/>
          <w:sz w:val="24"/>
          <w:szCs w:val="24"/>
          <w:highlight w:val="none"/>
          <w:lang w:eastAsia="zh-CN"/>
        </w:rPr>
        <w:t>广州市</w:t>
      </w:r>
      <w:r>
        <w:rPr>
          <w:rFonts w:hint="eastAsia" w:ascii="宋体" w:hAnsi="宋体" w:cs="宋体"/>
          <w:color w:val="auto"/>
          <w:sz w:val="24"/>
          <w:szCs w:val="24"/>
          <w:highlight w:val="none"/>
        </w:rPr>
        <w:t>现行评审标准。</w:t>
      </w:r>
    </w:p>
    <w:p w14:paraId="48BD574D">
      <w:pPr>
        <w:wordWrap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安全生产文明施工目标：杜绝各等级生产安全事故，年轻伤率小于3‰；对于满足条件的工程，争创安全生产文明施工样板工地。</w:t>
      </w:r>
    </w:p>
    <w:p w14:paraId="726B71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2.乙方须遵守国家、地方及甲方关于安全生产文明施工管理的规定，建立健全安全管理组织机构，完善安全生产保证体系，严格按照安全规范标准操作施工，负责现场施工期间的安全防护工作。</w:t>
      </w:r>
    </w:p>
    <w:p w14:paraId="727E598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施工现场乙方必须有专人负责安全管理和监控工作，及时做好安全自检与整改工作。乙方工作人员进场必须做好安全教育工作，及时做好书面安全交底及安全措施工作。特殊工种施工人员必须持有效证件上岗，用电机器要专人管理专人操作。</w:t>
      </w:r>
    </w:p>
    <w:p w14:paraId="61EF5C5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工程施工前乙方应购买相应保险，并承担相应的保险费用，乙方应购买的保险具体包括：团体意外伤害保险（施工场地内所有人员）、建设项目工伤保险、安全生产责任保险、为施工场地内的自有或租赁的施工机具和设备等办理保险。承包人应办理保险的保险期均自工程开工之日起至工程竣工验收合格之日止，投保金额应足额，且应满足、业主和甲方的其他要求。如乙方未按时购买前述保险，甲方有权代为投保，并在乙方工程款中扣除代付的保险费用。由于乙方未按合同约定办理保险，导致甲方或其他受益人未能得到保险人的赔偿，则因此造成的一切损失应由乙方承担。</w:t>
      </w:r>
    </w:p>
    <w:p w14:paraId="20AA151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5.乙方对现场施工人员实施“用工实名管理”制度。对于乙方雇佣的工人的伤害或赔偿，应由乙方自行负责，乙方应保证甲方不受任何第三方的索赔或诉讼。</w:t>
      </w:r>
    </w:p>
    <w:p w14:paraId="482AEA75">
      <w:pPr>
        <w:tabs>
          <w:tab w:val="left" w:pos="851"/>
        </w:tabs>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6.施工现场发生重大伤亡事故及其他安全事故时，乙方须按国家有关法律、行政法规及时妥善处理，</w:t>
      </w:r>
      <w:r>
        <w:rPr>
          <w:rFonts w:ascii="宋体" w:hAnsi="宋体" w:cs="宋体"/>
          <w:color w:val="auto"/>
          <w:sz w:val="24"/>
          <w:szCs w:val="24"/>
          <w:highlight w:val="none"/>
        </w:rPr>
        <w:t>并</w:t>
      </w:r>
      <w:r>
        <w:rPr>
          <w:rFonts w:hint="eastAsia" w:ascii="宋体" w:hAnsi="宋体" w:cs="宋体"/>
          <w:color w:val="auto"/>
          <w:sz w:val="24"/>
          <w:szCs w:val="24"/>
          <w:highlight w:val="none"/>
        </w:rPr>
        <w:t>立即将事故报告甲方。</w:t>
      </w:r>
      <w:bookmarkEnd w:id="25"/>
      <w:bookmarkEnd w:id="26"/>
      <w:bookmarkEnd w:id="27"/>
    </w:p>
    <w:p w14:paraId="1A876D51">
      <w:pPr>
        <w:tabs>
          <w:tab w:val="left" w:pos="851"/>
        </w:tabs>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7.乙方应严格执行国家电网公司《国家电网公司电力建设健康安全与环境管理工作规定》和广东省电力有限公司《输变电工程安全文明施工管理实施细则》的有关规定。</w:t>
      </w:r>
    </w:p>
    <w:p w14:paraId="130F2204">
      <w:pPr>
        <w:spacing w:line="360" w:lineRule="auto"/>
        <w:ind w:firstLine="482" w:firstLineChars="200"/>
        <w:rPr>
          <w:rFonts w:ascii="宋体" w:hAnsi="宋体" w:cs="宋体"/>
          <w:b/>
          <w:bCs/>
          <w:color w:val="auto"/>
          <w:sz w:val="24"/>
          <w:szCs w:val="24"/>
          <w:highlight w:val="none"/>
        </w:rPr>
      </w:pPr>
      <w:bookmarkStart w:id="28" w:name="_Toc175473408"/>
      <w:bookmarkStart w:id="29" w:name="_Toc166559807"/>
      <w:bookmarkStart w:id="30" w:name="_Toc166559805"/>
      <w:bookmarkStart w:id="31" w:name="_Toc163989687"/>
      <w:bookmarkStart w:id="32" w:name="_Toc175473410"/>
      <w:bookmarkStart w:id="33" w:name="_Toc163989683"/>
      <w:bookmarkStart w:id="34" w:name="_Toc164044174"/>
      <w:bookmarkStart w:id="35" w:name="_Toc164246855"/>
      <w:bookmarkStart w:id="36" w:name="_Toc166559803"/>
      <w:bookmarkStart w:id="37" w:name="_Toc164044178"/>
      <w:r>
        <w:rPr>
          <w:rFonts w:hint="eastAsia" w:ascii="宋体" w:hAnsi="宋体" w:cs="宋体"/>
          <w:b/>
          <w:bCs/>
          <w:color w:val="auto"/>
          <w:sz w:val="24"/>
          <w:szCs w:val="24"/>
          <w:highlight w:val="none"/>
        </w:rPr>
        <w:t>第十三条 双方职责</w:t>
      </w:r>
    </w:p>
    <w:p w14:paraId="6BF94DF3">
      <w:pPr>
        <w:autoSpaceDE w:val="0"/>
        <w:autoSpaceDN w:val="0"/>
        <w:adjustRightInd w:val="0"/>
        <w:spacing w:line="360" w:lineRule="auto"/>
        <w:ind w:firstLine="482" w:firstLineChars="200"/>
        <w:jc w:val="left"/>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1.甲方职责</w:t>
      </w:r>
    </w:p>
    <w:p w14:paraId="7911798C">
      <w:pPr>
        <w:numPr>
          <w:ilvl w:val="0"/>
          <w:numId w:val="2"/>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对工程做好安全交底，明确安全要求并进行监督检查。</w:t>
      </w:r>
    </w:p>
    <w:p w14:paraId="589878A7">
      <w:pPr>
        <w:numPr>
          <w:ilvl w:val="0"/>
          <w:numId w:val="2"/>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认为乙方不能满足施工进度要求时，有权根据实际情况要求乙方免费采取赶工措施。</w:t>
      </w:r>
    </w:p>
    <w:p w14:paraId="5E9D11C5">
      <w:pPr>
        <w:numPr>
          <w:ilvl w:val="0"/>
          <w:numId w:val="2"/>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对履行本合同过程中不称职的乙方职员或雇佣人员，甲方有权要求乙方在3天内更换至符合甲方要求，并书面报告更换结果。</w:t>
      </w:r>
    </w:p>
    <w:p w14:paraId="45508F96">
      <w:pPr>
        <w:numPr>
          <w:ilvl w:val="0"/>
          <w:numId w:val="2"/>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负责提供水源、电源接驳点，乙方负责自行接驳。</w:t>
      </w:r>
    </w:p>
    <w:p w14:paraId="585D79B5">
      <w:pPr>
        <w:numPr>
          <w:ilvl w:val="0"/>
          <w:numId w:val="2"/>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及时组织图纸会审和施工技术交底，并发放相关资料，协调解决施工过程中出现的问题。</w:t>
      </w:r>
    </w:p>
    <w:p w14:paraId="0C459BC9">
      <w:pPr>
        <w:numPr>
          <w:ilvl w:val="0"/>
          <w:numId w:val="2"/>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参与乙方组织的施工验收，并组织竣工验收。</w:t>
      </w:r>
    </w:p>
    <w:p w14:paraId="68577481">
      <w:pPr>
        <w:autoSpaceDE w:val="0"/>
        <w:autoSpaceDN w:val="0"/>
        <w:adjustRightInd w:val="0"/>
        <w:spacing w:line="360" w:lineRule="auto"/>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2.乙方职责</w:t>
      </w:r>
    </w:p>
    <w:bookmarkEnd w:id="13"/>
    <w:bookmarkEnd w:id="14"/>
    <w:bookmarkEnd w:id="15"/>
    <w:bookmarkEnd w:id="16"/>
    <w:bookmarkEnd w:id="28"/>
    <w:bookmarkEnd w:id="29"/>
    <w:bookmarkEnd w:id="30"/>
    <w:bookmarkEnd w:id="31"/>
    <w:bookmarkEnd w:id="32"/>
    <w:bookmarkEnd w:id="33"/>
    <w:bookmarkEnd w:id="34"/>
    <w:bookmarkEnd w:id="35"/>
    <w:bookmarkEnd w:id="36"/>
    <w:bookmarkEnd w:id="37"/>
    <w:p w14:paraId="2201FA94">
      <w:pPr>
        <w:numPr>
          <w:ilvl w:val="0"/>
          <w:numId w:val="3"/>
        </w:numPr>
        <w:wordWrap w:val="0"/>
        <w:spacing w:line="360" w:lineRule="auto"/>
        <w:ind w:firstLine="215"/>
        <w:jc w:val="left"/>
        <w:rPr>
          <w:rFonts w:ascii="宋体" w:hAnsi="宋体"/>
          <w:color w:val="auto"/>
          <w:kern w:val="0"/>
          <w:sz w:val="24"/>
          <w:highlight w:val="none"/>
        </w:rPr>
      </w:pPr>
      <w:bookmarkStart w:id="38" w:name="_Toc166559812"/>
      <w:bookmarkStart w:id="39" w:name="_Toc175473415"/>
      <w:bookmarkStart w:id="40" w:name="_Toc163989692"/>
      <w:bookmarkStart w:id="41" w:name="_Toc164044183"/>
      <w:r>
        <w:rPr>
          <w:rFonts w:hint="eastAsia" w:ascii="宋体" w:hAnsi="宋体"/>
          <w:color w:val="auto"/>
          <w:kern w:val="0"/>
          <w:sz w:val="24"/>
          <w:highlight w:val="none"/>
          <w:lang w:eastAsia="zh-CN"/>
        </w:rPr>
        <w:t>乙方必须在合同签订五日内向甲方支付合同暂定价的</w:t>
      </w:r>
      <w:r>
        <w:rPr>
          <w:rFonts w:hint="eastAsia" w:ascii="宋体" w:hAnsi="宋体"/>
          <w:color w:val="auto"/>
          <w:kern w:val="0"/>
          <w:sz w:val="24"/>
          <w:highlight w:val="none"/>
          <w:lang w:val="en-US" w:eastAsia="zh-CN"/>
        </w:rPr>
        <w:t>10%，</w:t>
      </w:r>
      <w:r>
        <w:rPr>
          <w:rFonts w:hint="eastAsia" w:ascii="宋体" w:hAnsi="宋体"/>
          <w:color w:val="auto"/>
          <w:kern w:val="0"/>
          <w:sz w:val="24"/>
          <w:highlight w:val="none"/>
          <w:lang w:eastAsia="zh-CN"/>
        </w:rPr>
        <w:t>即人民币</w:t>
      </w:r>
      <w:permStart w:id="32" w:edGrp="everyone"/>
      <w:r>
        <w:rPr>
          <w:rFonts w:hint="eastAsia" w:ascii="宋体" w:hAnsi="宋体"/>
          <w:color w:val="auto"/>
          <w:kern w:val="0"/>
          <w:sz w:val="24"/>
          <w:highlight w:val="none"/>
          <w:lang w:eastAsia="zh-CN"/>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 xml:space="preserve"> </w:t>
      </w:r>
      <w:permEnd w:id="32"/>
      <w:r>
        <w:rPr>
          <w:rFonts w:hint="eastAsia" w:ascii="宋体" w:hAnsi="宋体"/>
          <w:color w:val="auto"/>
          <w:kern w:val="0"/>
          <w:sz w:val="24"/>
          <w:highlight w:val="none"/>
          <w:lang w:eastAsia="zh-CN"/>
        </w:rPr>
        <w:t>元(大写：</w:t>
      </w:r>
      <w:permStart w:id="33" w:edGrp="everyone"/>
      <w:r>
        <w:rPr>
          <w:rFonts w:hint="eastAsia" w:ascii="宋体" w:hAnsi="宋体"/>
          <w:color w:val="auto"/>
          <w:kern w:val="0"/>
          <w:sz w:val="24"/>
          <w:highlight w:val="none"/>
          <w:lang w:eastAsia="zh-CN"/>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 xml:space="preserve"> </w:t>
      </w:r>
      <w:permEnd w:id="33"/>
      <w:r>
        <w:rPr>
          <w:rFonts w:hint="eastAsia" w:ascii="宋体" w:hAnsi="宋体"/>
          <w:color w:val="auto"/>
          <w:kern w:val="0"/>
          <w:sz w:val="24"/>
          <w:highlight w:val="none"/>
          <w:lang w:eastAsia="zh-CN"/>
        </w:rPr>
        <w:t>)作为履约保证金。甲方在乙方完成</w:t>
      </w:r>
      <w:r>
        <w:rPr>
          <w:rFonts w:hint="eastAsia" w:ascii="宋体" w:hAnsi="宋体"/>
          <w:color w:val="auto"/>
          <w:kern w:val="0"/>
          <w:sz w:val="24"/>
          <w:highlight w:val="none"/>
          <w:lang w:val="en-US" w:eastAsia="zh-CN"/>
        </w:rPr>
        <w:t>施工</w:t>
      </w:r>
      <w:r>
        <w:rPr>
          <w:rFonts w:hint="eastAsia" w:ascii="宋体" w:hAnsi="宋体"/>
          <w:color w:val="auto"/>
          <w:kern w:val="0"/>
          <w:sz w:val="24"/>
          <w:highlight w:val="none"/>
          <w:lang w:eastAsia="zh-CN"/>
        </w:rPr>
        <w:t>且工程</w:t>
      </w:r>
      <w:r>
        <w:rPr>
          <w:rFonts w:hint="eastAsia" w:ascii="宋体" w:hAnsi="宋体"/>
          <w:color w:val="auto"/>
          <w:kern w:val="0"/>
          <w:sz w:val="24"/>
          <w:highlight w:val="none"/>
          <w:lang w:val="en-US" w:eastAsia="zh-CN"/>
        </w:rPr>
        <w:t>经供电局</w:t>
      </w:r>
      <w:r>
        <w:rPr>
          <w:rFonts w:hint="eastAsia" w:ascii="宋体" w:hAnsi="宋体"/>
          <w:color w:val="auto"/>
          <w:kern w:val="0"/>
          <w:sz w:val="24"/>
          <w:highlight w:val="none"/>
          <w:lang w:eastAsia="zh-CN"/>
        </w:rPr>
        <w:t>竣工验收</w:t>
      </w:r>
      <w:r>
        <w:rPr>
          <w:rFonts w:hint="eastAsia" w:ascii="宋体" w:hAnsi="宋体"/>
          <w:color w:val="auto"/>
          <w:kern w:val="0"/>
          <w:sz w:val="24"/>
          <w:highlight w:val="none"/>
          <w:lang w:val="en-US" w:eastAsia="zh-CN"/>
        </w:rPr>
        <w:t>合格</w:t>
      </w:r>
      <w:r>
        <w:rPr>
          <w:rFonts w:hint="eastAsia" w:ascii="宋体" w:hAnsi="宋体"/>
          <w:color w:val="auto"/>
          <w:kern w:val="0"/>
          <w:sz w:val="24"/>
          <w:highlight w:val="none"/>
          <w:lang w:eastAsia="zh-CN"/>
        </w:rPr>
        <w:t>后十日内</w:t>
      </w:r>
      <w:r>
        <w:rPr>
          <w:rFonts w:hint="eastAsia" w:ascii="宋体" w:hAnsi="宋体"/>
          <w:color w:val="auto"/>
          <w:kern w:val="0"/>
          <w:sz w:val="24"/>
          <w:highlight w:val="none"/>
          <w:lang w:val="en-US" w:eastAsia="zh-CN"/>
        </w:rPr>
        <w:t>无息</w:t>
      </w:r>
      <w:r>
        <w:rPr>
          <w:rFonts w:hint="eastAsia" w:ascii="宋体" w:hAnsi="宋体"/>
          <w:color w:val="auto"/>
          <w:kern w:val="0"/>
          <w:sz w:val="24"/>
          <w:highlight w:val="none"/>
          <w:lang w:eastAsia="zh-CN"/>
        </w:rPr>
        <w:t>退还至乙方。</w:t>
      </w:r>
    </w:p>
    <w:p w14:paraId="0877EAEB">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lang w:eastAsia="zh-CN"/>
        </w:rPr>
        <w:t>协</w:t>
      </w:r>
      <w:r>
        <w:rPr>
          <w:rFonts w:hint="eastAsia" w:ascii="宋体" w:hAnsi="宋体"/>
          <w:color w:val="auto"/>
          <w:kern w:val="0"/>
          <w:sz w:val="24"/>
          <w:highlight w:val="none"/>
        </w:rPr>
        <w:t>助甲方办理工程质量监督手续</w:t>
      </w:r>
      <w:r>
        <w:rPr>
          <w:rFonts w:hint="eastAsia" w:ascii="宋体" w:hAnsi="宋体"/>
          <w:color w:val="auto"/>
          <w:kern w:val="0"/>
          <w:sz w:val="24"/>
          <w:highlight w:val="none"/>
          <w:lang w:eastAsia="zh-CN"/>
        </w:rPr>
        <w:t>。</w:t>
      </w:r>
    </w:p>
    <w:p w14:paraId="38CA7F34">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按照甲方的要求，做好施工组织管理、维持现场整治，保持施工场地清洁，做好施工现场材料保管工作，禁止闲杂人等进入施工场地。</w:t>
      </w:r>
    </w:p>
    <w:p w14:paraId="077FA4D6">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 xml:space="preserve">做好各项质量检查记录，参加竣工验收，编制工程结算。 </w:t>
      </w:r>
    </w:p>
    <w:p w14:paraId="7218A99F">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负责施工道路的清洁，施工造成的污染须在当天清扫干净。</w:t>
      </w:r>
    </w:p>
    <w:p w14:paraId="346C47BC">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接受甲方对其施工文件的形成、积累和立卷归档工作的监督，并按照甲方的要求及时纠正。工程完工后，应及时将有关资料汇总报告给甲方。</w:t>
      </w:r>
    </w:p>
    <w:p w14:paraId="11BE92B1">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负责平整、修建供材料机具堆放以及搭设临时设施的场地（须报甲方批准）。</w:t>
      </w:r>
    </w:p>
    <w:p w14:paraId="77091AF8">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根据现场踏勘的情况，经甲方批准后，自行解决办公室设施、工人宿舍及施工用水、用电驳接、临时设施、施工道路（含施工场地内及施工场地外临时道路、便桥）的修建及使用维护等。</w:t>
      </w:r>
    </w:p>
    <w:p w14:paraId="00968A9B">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自甲方书面确认的开工令上载明的开工日期之日起</w:t>
      </w:r>
      <w:r>
        <w:rPr>
          <w:rFonts w:ascii="宋体" w:hAnsi="宋体"/>
          <w:color w:val="auto"/>
          <w:kern w:val="0"/>
          <w:sz w:val="24"/>
          <w:highlight w:val="none"/>
        </w:rPr>
        <w:t>2</w:t>
      </w:r>
      <w:r>
        <w:rPr>
          <w:rFonts w:hint="eastAsia" w:ascii="宋体" w:hAnsi="宋体"/>
          <w:color w:val="auto"/>
          <w:kern w:val="0"/>
          <w:sz w:val="24"/>
          <w:highlight w:val="none"/>
        </w:rPr>
        <w:t>日内，按安全文明要求设置现场办公场所，派驻现场管理人员。</w:t>
      </w:r>
    </w:p>
    <w:p w14:paraId="7ACF3B30">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在施工期间须妥善处理好</w:t>
      </w:r>
      <w:r>
        <w:rPr>
          <w:rFonts w:hint="eastAsia" w:ascii="宋体" w:hAnsi="宋体"/>
          <w:color w:val="auto"/>
          <w:kern w:val="0"/>
          <w:sz w:val="24"/>
          <w:highlight w:val="none"/>
          <w:lang w:eastAsia="zh-CN"/>
        </w:rPr>
        <w:t>同园区租户</w:t>
      </w:r>
      <w:r>
        <w:rPr>
          <w:rFonts w:hint="eastAsia" w:ascii="宋体" w:hAnsi="宋体"/>
          <w:color w:val="auto"/>
          <w:kern w:val="0"/>
          <w:sz w:val="24"/>
          <w:highlight w:val="none"/>
        </w:rPr>
        <w:t>、</w:t>
      </w:r>
      <w:r>
        <w:rPr>
          <w:rFonts w:hint="eastAsia" w:ascii="宋体" w:hAnsi="宋体"/>
          <w:color w:val="auto"/>
          <w:kern w:val="0"/>
          <w:sz w:val="24"/>
          <w:highlight w:val="none"/>
          <w:lang w:eastAsia="zh-CN"/>
        </w:rPr>
        <w:t>物业公司</w:t>
      </w:r>
      <w:r>
        <w:rPr>
          <w:rFonts w:hint="eastAsia" w:ascii="宋体" w:hAnsi="宋体"/>
          <w:color w:val="auto"/>
          <w:kern w:val="0"/>
          <w:sz w:val="24"/>
          <w:highlight w:val="none"/>
        </w:rPr>
        <w:t>等关系，并负责协调其他与施工有关的工作或事件。如出现纠纷，乙方应自行与有关责任方协商解决，确保工程</w:t>
      </w:r>
      <w:r>
        <w:rPr>
          <w:rFonts w:hint="eastAsia" w:ascii="宋体" w:hAnsi="宋体" w:cs="宋体"/>
          <w:color w:val="auto"/>
          <w:sz w:val="24"/>
          <w:szCs w:val="24"/>
          <w:highlight w:val="none"/>
        </w:rPr>
        <w:t>施工</w:t>
      </w:r>
      <w:r>
        <w:rPr>
          <w:rFonts w:hint="eastAsia" w:ascii="宋体" w:hAnsi="宋体"/>
          <w:color w:val="auto"/>
          <w:kern w:val="0"/>
          <w:sz w:val="24"/>
          <w:highlight w:val="none"/>
        </w:rPr>
        <w:t>正常进行。乙方不得以其他单位的干扰、阻挠施工为由向甲方提出费用或工期索赔。</w:t>
      </w:r>
    </w:p>
    <w:p w14:paraId="586CC9C2">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施工过程中，不得损坏施工范围内现有设施、设备及财产，不得破坏建筑承重结构或共用设备管线，并确保施工区域排水系统畅通。如施工过程中确实有需要改动原主体结构及共用设备管线的，必须经甲方书面同意方可施工。</w:t>
      </w:r>
    </w:p>
    <w:p w14:paraId="6E2652B3">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做好隐蔽工程记录。本工程达隐蔽条件的，乙方应提前3日书面通知甲方，经组织检验合格后方可隐蔽。否则，甲方有权随时要求开挖检验，无论检验是否合格，一切费用均由乙方自行承担。</w:t>
      </w:r>
    </w:p>
    <w:p w14:paraId="68C9D2FF">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负责在工程施工过程中与政府行业主管部门等进行联络与沟通，接受与配合</w:t>
      </w:r>
      <w:r>
        <w:rPr>
          <w:rFonts w:hint="eastAsia" w:ascii="宋体" w:hAnsi="宋体"/>
          <w:color w:val="auto"/>
          <w:kern w:val="0"/>
          <w:sz w:val="24"/>
          <w:highlight w:val="none"/>
          <w:lang w:eastAsia="zh-CN"/>
        </w:rPr>
        <w:t>甲方单位</w:t>
      </w:r>
      <w:r>
        <w:rPr>
          <w:rFonts w:hint="eastAsia" w:ascii="宋体" w:hAnsi="宋体"/>
          <w:color w:val="auto"/>
          <w:kern w:val="0"/>
          <w:sz w:val="24"/>
          <w:highlight w:val="none"/>
        </w:rPr>
        <w:t>的各项检查与监督，并负责办理相关手续与批文。</w:t>
      </w:r>
    </w:p>
    <w:p w14:paraId="3406088C">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本工程的施工全过程，乙方的人员配置（详见附件一《项目组织机构主要成员表》）须保证能全面妥善完成甲方要求、招标文件</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投标文件</w:t>
      </w:r>
      <w:r>
        <w:rPr>
          <w:rFonts w:hint="eastAsia" w:ascii="宋体" w:hAnsi="宋体"/>
          <w:color w:val="auto"/>
          <w:kern w:val="0"/>
          <w:sz w:val="24"/>
          <w:highlight w:val="none"/>
        </w:rPr>
        <w:t>及本合同约定的全部工作，甲方有权根据实际情况要求乙方增加或者调整相关人员，对此乙方无异议且在三日内更换至甲方满意，并且甲方不另支付费用，乙方若需变更项目经理或其他主要管理人员必须征得甲方书面同意，并办理变更手续。</w:t>
      </w:r>
    </w:p>
    <w:p w14:paraId="7CCCC745">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乙方项目经理、技术负责人、安全负责人</w:t>
      </w:r>
      <w:r>
        <w:rPr>
          <w:rFonts w:hint="eastAsia" w:ascii="宋体" w:hAnsi="宋体" w:cs="宋体"/>
          <w:color w:val="auto"/>
          <w:sz w:val="24"/>
          <w:szCs w:val="24"/>
          <w:highlight w:val="none"/>
        </w:rPr>
        <w:t>和质量负责人</w:t>
      </w:r>
      <w:r>
        <w:rPr>
          <w:rFonts w:hint="eastAsia" w:ascii="宋体" w:hAnsi="宋体"/>
          <w:color w:val="auto"/>
          <w:kern w:val="0"/>
          <w:sz w:val="24"/>
          <w:highlight w:val="none"/>
        </w:rPr>
        <w:t>必须常驻施工现场和参加每周工程例会及双方约定的其它重要会议。项目经理到现场管理时间每周不少于5天，每天不少于8小时。技术负责人、安全负责人</w:t>
      </w:r>
      <w:r>
        <w:rPr>
          <w:rFonts w:hint="eastAsia" w:ascii="宋体" w:hAnsi="宋体" w:cs="宋体"/>
          <w:color w:val="auto"/>
          <w:sz w:val="24"/>
          <w:szCs w:val="24"/>
          <w:highlight w:val="none"/>
        </w:rPr>
        <w:t>和质量负责人</w:t>
      </w:r>
      <w:r>
        <w:rPr>
          <w:rFonts w:hint="eastAsia" w:ascii="宋体" w:hAnsi="宋体"/>
          <w:color w:val="auto"/>
          <w:kern w:val="0"/>
          <w:sz w:val="24"/>
          <w:highlight w:val="none"/>
        </w:rPr>
        <w:t>到现场管理时间每周不少于5天，每天不少于8小时。施工现场必须有专人负责现场管理。如上述人员因故需临时离开施工现场或不能参加会议的须提前向甲方提出申请并获得甲方批准。</w:t>
      </w:r>
    </w:p>
    <w:p w14:paraId="5876C640">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在合同履行过程中必须严格执行甲方及其关联单位制定的各项工程建设管理制度。</w:t>
      </w:r>
    </w:p>
    <w:p w14:paraId="758F2C06">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在施工过程中，乙方的施工组织计划、施工方案、防台风、防暴雨、安全文明等施工措施及甲方委托的工作，经甲方审查后认为不能保证工程安全、工程质量及施工工期时，乙方应按照甲方的意见对方案和措施及时无条件进行完善和修改，且工期及合同价款不调整。</w:t>
      </w:r>
    </w:p>
    <w:p w14:paraId="15A41043">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如因强风、大雨等恶劣天气或其他自然灾害原因影响施工而造成费用增加的，该费用由乙方自行承担，乙方无权向甲方进行索赔。如达到不可抗力程度的，按不可抗力执行。</w:t>
      </w:r>
    </w:p>
    <w:p w14:paraId="302479D9">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施工中不得对原工程设计私自进行变更，所有的设计变更需经甲方签字盖章后方可执行。因乙方擅自变更设计发生的费用和由此导致甲方的损失，由乙方承担。</w:t>
      </w:r>
    </w:p>
    <w:p w14:paraId="28E25440">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不得因施工措施或防护措施不当而造成关联工程问题，不得损坏工程所在地建筑和周边建筑、不得因施工影响周边交通、不得损坏工程所在地的建筑，如发生影响或损坏的，乙方应免费维修、恢复原状并按损坏部位的价值对甲方进行赔偿，给甲方造成其他损失，乙方还应赔偿。</w:t>
      </w:r>
    </w:p>
    <w:p w14:paraId="038241A4">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在工程竣工前（如合同提前终止的，应在合同终止之日起5日内），对本工程场地进行清理（包括但不限于剩余土方、建筑垃圾等），做好施工现场卫生工作，负责将剩余不可利用土方、建筑垃圾等按政府规定运到政府指定丢弃地点，费用由乙方自行承担。否则，甲方有权自行或委托他人代为清理，费用由乙方承担，在结算时扣除相应款项。乙方在清理场地时违反地方环保要求的，由乙方承担相关责任。</w:t>
      </w:r>
    </w:p>
    <w:p w14:paraId="44502454">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未经甲方书面同意，乙方不得以任何名义作任何关于该项目的宣传报道，但乙方必须积极配合甲方的相关宣传报道、形象展示行为。</w:t>
      </w:r>
    </w:p>
    <w:p w14:paraId="7EB6D663">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甲方及设计师签字的材料样板仅代表其外观效果满足设计要求，乙方及供应商应确保最终实施材料的构造做法和技术参数符合设计要求、招标文件要求及相关规范、规程、规定要求。乙方的深化设计工作须由具备相应设计资质的单位完成并应报</w:t>
      </w:r>
      <w:r>
        <w:rPr>
          <w:rFonts w:hint="eastAsia" w:ascii="宋体" w:hAnsi="宋体"/>
          <w:color w:val="auto"/>
          <w:kern w:val="0"/>
          <w:sz w:val="24"/>
          <w:highlight w:val="none"/>
          <w:lang w:eastAsia="zh-CN"/>
        </w:rPr>
        <w:t>甲方</w:t>
      </w:r>
      <w:r>
        <w:rPr>
          <w:rFonts w:hint="eastAsia" w:ascii="宋体" w:hAnsi="宋体"/>
          <w:color w:val="auto"/>
          <w:kern w:val="0"/>
          <w:sz w:val="24"/>
          <w:highlight w:val="none"/>
        </w:rPr>
        <w:t>审批通过。乙方在完成深化设计图纸的同时，须提交相应满足深度要求的预算。乙方的深化设计工作还应包括但不限于完成施工过程中所发生的设计变更，每一份设计变更均须附上变更估算单（包括变更项、对应的变更量及估算总金额），变更（含估算）内容须与施工内容及标段（如有）相对应。</w:t>
      </w:r>
    </w:p>
    <w:p w14:paraId="5BB2A1A5">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甲方对施工图纸文件的盖章确认仅代表施工图纸文件由甲方经手发出，施工图纸文件内容及其合规性应由施工图纸文件绘制方负责。乙方在制作竣工图过程中，如需设计单位提出终版施工图，所产生的费用由乙方承担。</w:t>
      </w:r>
    </w:p>
    <w:p w14:paraId="2F05C29C">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属乙方的工作，乙方未在约定或指定的时间内按甲方要求完成的，甲方有权另请第三方完善，需完善部分的工作量不予计量，由此给甲方造成的损失由乙方承担。</w:t>
      </w:r>
    </w:p>
    <w:p w14:paraId="50A93B58">
      <w:pPr>
        <w:numPr>
          <w:ilvl w:val="0"/>
          <w:numId w:val="3"/>
        </w:numPr>
        <w:wordWrap w:val="0"/>
        <w:spacing w:line="360" w:lineRule="auto"/>
        <w:ind w:left="418" w:leftChars="199" w:firstLine="221"/>
        <w:jc w:val="left"/>
        <w:rPr>
          <w:rFonts w:ascii="宋体" w:hAnsi="宋体"/>
          <w:color w:val="auto"/>
          <w:kern w:val="0"/>
          <w:sz w:val="24"/>
          <w:highlight w:val="none"/>
        </w:rPr>
      </w:pPr>
      <w:r>
        <w:rPr>
          <w:rFonts w:hint="eastAsia" w:ascii="宋体" w:hAnsi="宋体"/>
          <w:color w:val="auto"/>
          <w:kern w:val="0"/>
          <w:sz w:val="24"/>
          <w:highlight w:val="none"/>
        </w:rPr>
        <w:t>乙方须根据甲方要求在本工程竣工验收后</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0日内提交结算资料办理工程结算手续，乙方未在上述时间内递交结算资料，经甲方催促后仍未递交的，甲方有权根据已有资料进行结算，作为办理竣工结算和支付结算款的依据，后果由乙方自负。</w:t>
      </w:r>
    </w:p>
    <w:p w14:paraId="12C0B318">
      <w:pPr>
        <w:numPr>
          <w:ilvl w:val="0"/>
          <w:numId w:val="3"/>
        </w:numPr>
        <w:wordWrap w:val="0"/>
        <w:spacing w:line="360" w:lineRule="auto"/>
        <w:ind w:left="418" w:leftChars="199" w:firstLine="221"/>
        <w:jc w:val="left"/>
        <w:rPr>
          <w:rFonts w:ascii="宋体" w:hAnsi="宋体"/>
          <w:color w:val="auto"/>
          <w:kern w:val="0"/>
          <w:sz w:val="24"/>
          <w:highlight w:val="none"/>
        </w:rPr>
      </w:pPr>
      <w:r>
        <w:rPr>
          <w:rFonts w:hint="eastAsia" w:ascii="宋体" w:hAnsi="宋体"/>
          <w:color w:val="auto"/>
          <w:kern w:val="0"/>
          <w:sz w:val="24"/>
          <w:highlight w:val="none"/>
        </w:rPr>
        <w:t>乙方必须严格执行施工工地扬尘防治“六个100%”要求（即施工现场100%围蔽、工地沙土不用时100%覆盖、工地路面100%硬底化、拆除工程100%洒水压尘、出工地车辆100%冲净车轮车身、施工现场长期裸土100%覆盖或绿化）</w:t>
      </w:r>
      <w:r>
        <w:rPr>
          <w:rFonts w:hint="eastAsia" w:ascii="宋体" w:hAnsi="宋体"/>
          <w:bCs/>
          <w:color w:val="auto"/>
          <w:sz w:val="24"/>
          <w:szCs w:val="24"/>
          <w:highlight w:val="none"/>
        </w:rPr>
        <w:t>，并安装视频监控系统和扬尘监测设施，具体详见《</w:t>
      </w:r>
      <w:r>
        <w:rPr>
          <w:rFonts w:hint="eastAsia" w:ascii="宋体" w:hAnsi="宋体"/>
          <w:bCs/>
          <w:color w:val="auto"/>
          <w:sz w:val="24"/>
          <w:szCs w:val="24"/>
          <w:highlight w:val="none"/>
          <w:lang w:eastAsia="zh-CN"/>
        </w:rPr>
        <w:t>广州市</w:t>
      </w:r>
      <w:r>
        <w:rPr>
          <w:rFonts w:hint="eastAsia" w:ascii="宋体" w:hAnsi="宋体"/>
          <w:bCs/>
          <w:color w:val="auto"/>
          <w:sz w:val="24"/>
          <w:szCs w:val="24"/>
          <w:highlight w:val="none"/>
        </w:rPr>
        <w:t>人民政府办公室关于印发开展施工扬尘集中整治行动防治大气污染工作方案的通知》</w:t>
      </w:r>
      <w:r>
        <w:rPr>
          <w:rFonts w:hint="eastAsia" w:ascii="宋体" w:hAnsi="宋体"/>
          <w:color w:val="auto"/>
          <w:kern w:val="0"/>
          <w:sz w:val="24"/>
          <w:highlight w:val="none"/>
        </w:rPr>
        <w:t>。乙方须考虑相关措施。施工时如遇政府部门下发最新政策要求，按最新政策要求执行。</w:t>
      </w:r>
    </w:p>
    <w:p w14:paraId="62BA2A2A">
      <w:pPr>
        <w:numPr>
          <w:ilvl w:val="0"/>
          <w:numId w:val="3"/>
        </w:numPr>
        <w:wordWrap w:val="0"/>
        <w:spacing w:line="360" w:lineRule="auto"/>
        <w:ind w:left="418" w:leftChars="199" w:firstLine="221"/>
        <w:jc w:val="left"/>
        <w:rPr>
          <w:rFonts w:ascii="宋体" w:hAnsi="宋体"/>
          <w:color w:val="auto"/>
          <w:kern w:val="0"/>
          <w:sz w:val="24"/>
          <w:highlight w:val="none"/>
        </w:rPr>
      </w:pPr>
      <w:r>
        <w:rPr>
          <w:rFonts w:hint="eastAsia" w:ascii="宋体" w:hAnsi="宋体"/>
          <w:color w:val="auto"/>
          <w:kern w:val="0"/>
          <w:sz w:val="24"/>
          <w:highlight w:val="none"/>
        </w:rPr>
        <w:t>乙方应保证其与所招用的工人依法订立劳动合同，按照劳动合同法及相关法律、法规、规章等规定与工人明确约定用工标准、工资标准、劳动时间、劳动保护、支付时间、支付方式等内容，并按约定严格执行。如因与工人未约定或约定不清等引发纠纷，甲方有权根据工人、班组诉求，结合工程现场门禁系统打卡记录和工程进度，直接审核认定欠付的工人工资或班组结算金额等，并有权协调从乙方工程款中扣除相应金额，直接向工人或班主支付，乙方对此无异议。</w:t>
      </w:r>
    </w:p>
    <w:p w14:paraId="45D01396">
      <w:pPr>
        <w:numPr>
          <w:ilvl w:val="0"/>
          <w:numId w:val="3"/>
        </w:numPr>
        <w:wordWrap w:val="0"/>
        <w:spacing w:line="360" w:lineRule="auto"/>
        <w:ind w:left="418" w:leftChars="199" w:firstLine="221"/>
        <w:jc w:val="left"/>
        <w:rPr>
          <w:rFonts w:ascii="宋体" w:hAnsi="宋体"/>
          <w:color w:val="auto"/>
          <w:kern w:val="0"/>
          <w:sz w:val="24"/>
          <w:highlight w:val="none"/>
        </w:rPr>
      </w:pPr>
      <w:r>
        <w:rPr>
          <w:rFonts w:hint="eastAsia" w:ascii="宋体" w:hAnsi="宋体"/>
          <w:color w:val="auto"/>
          <w:kern w:val="0"/>
          <w:sz w:val="24"/>
          <w:highlight w:val="none"/>
        </w:rPr>
        <w:t>乙方应当按照法律法规规定及政府政策要求落实工人工资管理的相关内容，具体包括但不限于：执行工人工资代发制度，编制工资支付台账，提供工人工资清单，建立用工管理台账并妥善保存相关资料，在施工现场醒目位置设立维权信息告示牌及按时足额存储工资保证金等。因乙方违反相关规定造成的一切不利后果由其自行承担。</w:t>
      </w:r>
    </w:p>
    <w:p w14:paraId="11A3483C">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确保配电房设备定位、安装以及线路铺设符合国家及地方有关规范及规定，否则由此造成的损害责任由乙方承担。</w:t>
      </w:r>
    </w:p>
    <w:p w14:paraId="36571C28">
      <w:pPr>
        <w:numPr>
          <w:ilvl w:val="0"/>
          <w:numId w:val="3"/>
        </w:numPr>
        <w:wordWrap w:val="0"/>
        <w:spacing w:line="360" w:lineRule="auto"/>
        <w:ind w:firstLine="215"/>
        <w:jc w:val="left"/>
        <w:rPr>
          <w:rFonts w:ascii="宋体" w:hAnsi="宋体"/>
          <w:color w:val="auto"/>
          <w:kern w:val="0"/>
          <w:sz w:val="24"/>
          <w:highlight w:val="none"/>
        </w:rPr>
      </w:pPr>
      <w:r>
        <w:rPr>
          <w:rFonts w:hint="eastAsia" w:ascii="宋体" w:hAnsi="宋体"/>
          <w:color w:val="auto"/>
          <w:kern w:val="0"/>
          <w:sz w:val="24"/>
          <w:highlight w:val="none"/>
        </w:rPr>
        <w:t>须在甲方要求的时间内到达现场核实施工情况，必须承担临时用电施工图及相关设备的设计，材料的采购报批，报建等相关服务业务，确保本工程项目得以顺利实施。</w:t>
      </w:r>
    </w:p>
    <w:p w14:paraId="7AA620F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（31）在甲方对乙方的现场履职情况（包括但不限于现场主要管理人员与乙方是否依法签订劳动合同并由乙方支付工资、缴纳社保等）进行核查时，乙方须积极配合并按要求及时全面提供相关资料。</w:t>
      </w:r>
    </w:p>
    <w:p w14:paraId="70FD3399">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（32）在甲方对乙方的合同履行、资金流水、“三包一挂”等情况进行检查时，乙方须积极配合提供相关资料。</w:t>
      </w:r>
    </w:p>
    <w:p w14:paraId="7B0C1C4C">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33）如本工程内容涉及重要“隐蔽工程”（具体指水泥土搅拌桩、塑料排水板、隧道锚杆、水下抛石、清淤疏浚等对建设工程项目的质量安全和使用功能可能造成重要影响的“隐蔽工程”），乙方须按照本工程所在地的管理要求执行，并配备视频监控设备，对隐蔽部位实施全过程视频监控，相关费用在本工程措施费中综合考虑。乙方须将所有视频监控资料等报甲方备案。</w:t>
      </w:r>
    </w:p>
    <w:p w14:paraId="0159E031">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34）甲方有权委托具备相应资质的第三方专业机构对重要的“隐蔽工程”进行全过程旁站平行监管和对比检测，乙方须积极配合。对于第三方专业机构提出的问题，经甲方确认后，乙方须配合整改并自行承担整改费用。</w:t>
      </w:r>
    </w:p>
    <w:p w14:paraId="1EDF727E">
      <w:pPr>
        <w:wordWrap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（35）招标文件规定的其他乙方责任。</w:t>
      </w:r>
    </w:p>
    <w:p w14:paraId="2C631816">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第十四条 违约责任</w:t>
      </w:r>
    </w:p>
    <w:bookmarkEnd w:id="38"/>
    <w:bookmarkEnd w:id="39"/>
    <w:bookmarkEnd w:id="40"/>
    <w:bookmarkEnd w:id="41"/>
    <w:p w14:paraId="6C76AAA1">
      <w:pPr>
        <w:pStyle w:val="43"/>
        <w:numPr>
          <w:ilvl w:val="0"/>
          <w:numId w:val="4"/>
        </w:numPr>
        <w:tabs>
          <w:tab w:val="left" w:pos="851"/>
        </w:tabs>
        <w:spacing w:line="360" w:lineRule="auto"/>
        <w:ind w:left="0" w:firstLine="567"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由于政策调整或甲方原因导致项目终止，按照乙方实际已完成且经甲方书面确认合格的工程量支付费用，由于项目终止导致乙方实际损失的，乙方有权要求按照项目终止造成的实际直接损失为限进行赔偿。</w:t>
      </w:r>
    </w:p>
    <w:p w14:paraId="4450721E">
      <w:pPr>
        <w:pStyle w:val="43"/>
        <w:numPr>
          <w:ilvl w:val="0"/>
          <w:numId w:val="4"/>
        </w:numPr>
        <w:tabs>
          <w:tab w:val="left" w:pos="851"/>
        </w:tabs>
        <w:spacing w:line="360" w:lineRule="auto"/>
        <w:ind w:left="0" w:firstLine="567"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由于政策调整或其他原因导致工程规模缩减，按照缩减之后的实际工程规模及乙方实际已完成且经甲方书面确认合格的工程量支付费用，由于工程规模缩减导致乙方实际损失的，乙方有权要求按照工程规模缩减造成的实际直接损失为限进行赔偿。</w:t>
      </w:r>
    </w:p>
    <w:p w14:paraId="342BB8A2">
      <w:pPr>
        <w:pStyle w:val="43"/>
        <w:numPr>
          <w:ilvl w:val="0"/>
          <w:numId w:val="4"/>
        </w:numPr>
        <w:tabs>
          <w:tab w:val="left" w:pos="851"/>
        </w:tabs>
        <w:spacing w:line="360" w:lineRule="auto"/>
        <w:ind w:left="0" w:firstLine="567"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甲方及乙方均确保各自在签订及履行本合同过程中具备相应的资质，并赔偿因其不具备相应资质而给对方造成的一切损失。否则对方有权解除合同。</w:t>
      </w:r>
    </w:p>
    <w:p w14:paraId="05024492">
      <w:pPr>
        <w:pStyle w:val="43"/>
        <w:numPr>
          <w:ilvl w:val="0"/>
          <w:numId w:val="4"/>
        </w:numPr>
        <w:tabs>
          <w:tab w:val="left" w:pos="851"/>
        </w:tabs>
        <w:spacing w:line="360" w:lineRule="auto"/>
        <w:ind w:left="0" w:firstLine="567" w:firstLineChars="0"/>
        <w:jc w:val="left"/>
        <w:rPr>
          <w:rFonts w:ascii="宋体" w:hAnsi="宋体" w:cs="宋体"/>
          <w:color w:val="auto"/>
          <w:sz w:val="24"/>
          <w:szCs w:val="24"/>
          <w:highlight w:val="none"/>
        </w:rPr>
      </w:pPr>
      <w:r>
        <w:rPr>
          <w:rFonts w:hint="eastAsia" w:ascii="宋体" w:hAnsi="宋体"/>
          <w:color w:val="auto"/>
          <w:kern w:val="0"/>
          <w:sz w:val="24"/>
          <w:highlight w:val="none"/>
        </w:rPr>
        <w:t>乙方未按招标文件及本合同要求</w:t>
      </w:r>
      <w:r>
        <w:rPr>
          <w:rFonts w:hint="eastAsia" w:ascii="宋体" w:hAnsi="宋体"/>
          <w:color w:val="auto"/>
          <w:sz w:val="24"/>
          <w:highlight w:val="none"/>
        </w:rPr>
        <w:t>提交施工组织计划或</w:t>
      </w:r>
      <w:r>
        <w:rPr>
          <w:rFonts w:hint="eastAsia" w:ascii="宋体" w:hAnsi="宋体"/>
          <w:color w:val="auto"/>
          <w:kern w:val="0"/>
          <w:sz w:val="24"/>
          <w:highlight w:val="none"/>
        </w:rPr>
        <w:t>进场开工的，每逾期一天，甲方有权要求乙方支付人民币5000元违约金。迟延超过10天的，甲方有权解除合同。</w:t>
      </w:r>
    </w:p>
    <w:p w14:paraId="4734C02D">
      <w:pPr>
        <w:numPr>
          <w:ilvl w:val="0"/>
          <w:numId w:val="4"/>
        </w:numPr>
        <w:spacing w:line="360" w:lineRule="auto"/>
        <w:ind w:left="0" w:firstLine="567"/>
        <w:jc w:val="left"/>
        <w:rPr>
          <w:rFonts w:ascii="宋体" w:hAnsi="宋体" w:cs="宋体"/>
          <w:color w:val="auto"/>
          <w:kern w:val="0"/>
          <w:sz w:val="24"/>
          <w:highlight w:val="none"/>
        </w:rPr>
      </w:pPr>
      <w:r>
        <w:rPr>
          <w:rFonts w:hint="eastAsia" w:ascii="宋体" w:hAnsi="宋体" w:cs="宋体"/>
          <w:color w:val="auto"/>
          <w:kern w:val="0"/>
          <w:sz w:val="24"/>
          <w:highlight w:val="none"/>
        </w:rPr>
        <w:t>非因法定或约定事由，乙方无故停工、工程进度滞后或工期延误（含节点工期）的，工期延误在10个日历天内（含10天）的，甲方有权按照人民币1万元/日历天的标准要求乙方支付违约金；工期延误在10至30个日历天范围内的，甲方有权按照人民币2万元/日历天的标准要求乙方支付违约金；工期延误超过30个日历天（含30天）的，甲方有权按照人民币3万元/日历天的标准要求乙方支付违约金。工期延误不分段计算违约金，按累计延误期间计算。延误工期超过60天的，甲方有权解除合同。乙方未能按计划工期节点完成相应工作，甲方可要求乙方采取赶工措施，并有权预扣违约金，预扣违约金可在月进度款中扣除。若在后一工期节点，按期完成施工进度，或通过赶工措施最终不影响总工期的，则预扣违约金在完成施工进度后的月进度款或工程结算款中予以返还。</w:t>
      </w:r>
    </w:p>
    <w:p w14:paraId="6CBC3991">
      <w:pPr>
        <w:pStyle w:val="43"/>
        <w:numPr>
          <w:ilvl w:val="0"/>
          <w:numId w:val="4"/>
        </w:numPr>
        <w:tabs>
          <w:tab w:val="left" w:pos="851"/>
        </w:tabs>
        <w:wordWrap w:val="0"/>
        <w:spacing w:line="360" w:lineRule="auto"/>
        <w:ind w:left="0" w:firstLine="567" w:firstLineChars="0"/>
        <w:jc w:val="left"/>
        <w:rPr>
          <w:rFonts w:ascii="宋体" w:hAnsi="宋体"/>
          <w:color w:val="auto"/>
          <w:sz w:val="24"/>
          <w:highlight w:val="none"/>
        </w:rPr>
      </w:pPr>
      <w:r>
        <w:rPr>
          <w:rFonts w:hint="eastAsia" w:ascii="宋体" w:hAnsi="宋体" w:cs="宋体"/>
          <w:color w:val="auto"/>
          <w:sz w:val="24"/>
          <w:szCs w:val="24"/>
          <w:highlight w:val="none"/>
        </w:rPr>
        <w:t>乙方擅自更换本工程项目经理的，每发生一次，甲方有权要求乙</w:t>
      </w:r>
      <w:r>
        <w:rPr>
          <w:rFonts w:hint="eastAsia" w:ascii="宋体" w:hAnsi="宋体"/>
          <w:color w:val="auto"/>
          <w:sz w:val="24"/>
          <w:highlight w:val="none"/>
        </w:rPr>
        <w:t>方承担违约金人民币10</w:t>
      </w:r>
      <w:r>
        <w:rPr>
          <w:rFonts w:ascii="宋体" w:hAnsi="宋体"/>
          <w:color w:val="auto"/>
          <w:sz w:val="24"/>
          <w:highlight w:val="none"/>
        </w:rPr>
        <w:t>000</w:t>
      </w:r>
      <w:r>
        <w:rPr>
          <w:rFonts w:hint="eastAsia" w:ascii="宋体" w:hAnsi="宋体"/>
          <w:color w:val="auto"/>
          <w:sz w:val="24"/>
          <w:highlight w:val="none"/>
        </w:rPr>
        <w:t>元或甲方有权解除合同。乙方擅自更换其他管理人员的，每发生一人次，甲方有权要求乙方按每人每次人民币5000元支付违约金，该情况累计达2次的，甲方有权解除合同。甲方书面同意更换后相关人员未按甲方要求的时间到岗的，甲方有权要求乙方每人每次承担违约金人民币</w:t>
      </w:r>
      <w:r>
        <w:rPr>
          <w:rFonts w:ascii="宋体" w:hAnsi="宋体"/>
          <w:color w:val="auto"/>
          <w:sz w:val="24"/>
          <w:highlight w:val="none"/>
        </w:rPr>
        <w:t>5</w:t>
      </w:r>
      <w:r>
        <w:rPr>
          <w:rFonts w:hint="eastAsia" w:ascii="宋体" w:hAnsi="宋体"/>
          <w:color w:val="auto"/>
          <w:sz w:val="24"/>
          <w:highlight w:val="none"/>
        </w:rPr>
        <w:t>000元，该情况累计达3次的，甲方有权解除合同。</w:t>
      </w:r>
    </w:p>
    <w:p w14:paraId="56AD34FB">
      <w:pPr>
        <w:pStyle w:val="43"/>
        <w:numPr>
          <w:ilvl w:val="0"/>
          <w:numId w:val="4"/>
        </w:numPr>
        <w:tabs>
          <w:tab w:val="left" w:pos="851"/>
        </w:tabs>
        <w:wordWrap w:val="0"/>
        <w:spacing w:line="360" w:lineRule="auto"/>
        <w:ind w:left="0" w:firstLine="567" w:firstLineChars="0"/>
        <w:jc w:val="left"/>
        <w:rPr>
          <w:rFonts w:ascii="宋体" w:hAnsi="宋体"/>
          <w:color w:val="auto"/>
          <w:sz w:val="24"/>
          <w:highlight w:val="none"/>
        </w:rPr>
      </w:pPr>
      <w:r>
        <w:rPr>
          <w:rFonts w:hint="eastAsia" w:ascii="宋体" w:hAnsi="宋体"/>
          <w:color w:val="auto"/>
          <w:sz w:val="24"/>
          <w:highlight w:val="none"/>
        </w:rPr>
        <w:t>若发现乙方投标时承诺的项目经理或</w:t>
      </w:r>
      <w:r>
        <w:rPr>
          <w:rFonts w:hint="eastAsia" w:ascii="宋体" w:hAnsi="宋体" w:cs="宋体"/>
          <w:color w:val="auto"/>
          <w:sz w:val="24"/>
          <w:highlight w:val="none"/>
        </w:rPr>
        <w:t>其他</w:t>
      </w:r>
      <w:r>
        <w:rPr>
          <w:rFonts w:hint="eastAsia" w:ascii="宋体" w:hAnsi="宋体"/>
          <w:color w:val="auto"/>
          <w:sz w:val="24"/>
          <w:highlight w:val="none"/>
        </w:rPr>
        <w:t>专业工程师与招标文件对人员资格条件要求不符时，每发现一人次，甲方有权要求乙方支付人民币5</w:t>
      </w:r>
      <w:r>
        <w:rPr>
          <w:rFonts w:ascii="宋体" w:hAnsi="宋体"/>
          <w:color w:val="auto"/>
          <w:sz w:val="24"/>
          <w:highlight w:val="none"/>
        </w:rPr>
        <w:t>000</w:t>
      </w:r>
      <w:r>
        <w:rPr>
          <w:rFonts w:hint="eastAsia" w:ascii="宋体" w:hAnsi="宋体"/>
          <w:color w:val="auto"/>
          <w:sz w:val="24"/>
          <w:highlight w:val="none"/>
        </w:rPr>
        <w:t>元违约金，并在 3 日内更换至符合甲方要求。乙方未按前述约定进行更换的，甲方有权解除合同。</w:t>
      </w:r>
    </w:p>
    <w:p w14:paraId="13E274E6">
      <w:pPr>
        <w:pStyle w:val="43"/>
        <w:numPr>
          <w:ilvl w:val="0"/>
          <w:numId w:val="4"/>
        </w:numPr>
        <w:tabs>
          <w:tab w:val="left" w:pos="851"/>
        </w:tabs>
        <w:wordWrap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若乙方提供服务于本工程的项目经理或其他人员的管理能力、技术水平等不能满足工程要求、不服从甲方管理或不履约或不完全履约或其行为有违职业操守的，甲方有权要求乙方在3日内更换至甲方满意及符合招标文件和本合同的要求，否则，甲方有权要求乙方按每人每次人民币</w:t>
      </w:r>
      <w:r>
        <w:rPr>
          <w:rFonts w:ascii="宋体" w:hAnsi="宋体"/>
          <w:color w:val="auto"/>
          <w:kern w:val="0"/>
          <w:sz w:val="24"/>
          <w:highlight w:val="none"/>
        </w:rPr>
        <w:t>5</w:t>
      </w:r>
      <w:r>
        <w:rPr>
          <w:rFonts w:hint="eastAsia" w:ascii="宋体" w:hAnsi="宋体"/>
          <w:color w:val="auto"/>
          <w:kern w:val="0"/>
          <w:sz w:val="24"/>
          <w:highlight w:val="none"/>
        </w:rPr>
        <w:t>000元的违约金。乙方</w:t>
      </w:r>
      <w:r>
        <w:rPr>
          <w:rFonts w:hint="eastAsia" w:ascii="宋体" w:hAnsi="宋体"/>
          <w:color w:val="auto"/>
          <w:sz w:val="24"/>
          <w:highlight w:val="none"/>
        </w:rPr>
        <w:t>未按前述约定进行</w:t>
      </w:r>
      <w:r>
        <w:rPr>
          <w:rFonts w:hint="eastAsia" w:ascii="宋体" w:hAnsi="宋体"/>
          <w:color w:val="auto"/>
          <w:kern w:val="0"/>
          <w:sz w:val="24"/>
          <w:highlight w:val="none"/>
        </w:rPr>
        <w:t>更换的，甲方有权解除合同。</w:t>
      </w:r>
    </w:p>
    <w:p w14:paraId="04D05EFE">
      <w:pPr>
        <w:pStyle w:val="43"/>
        <w:numPr>
          <w:ilvl w:val="0"/>
          <w:numId w:val="4"/>
        </w:numPr>
        <w:tabs>
          <w:tab w:val="left" w:pos="851"/>
        </w:tabs>
        <w:wordWrap w:val="0"/>
        <w:spacing w:line="360" w:lineRule="auto"/>
        <w:ind w:left="0" w:firstLine="480"/>
        <w:jc w:val="left"/>
        <w:rPr>
          <w:rFonts w:ascii="宋体" w:hAnsi="宋体" w:cs="宋体"/>
          <w:color w:val="auto"/>
          <w:sz w:val="24"/>
          <w:highlight w:val="none"/>
        </w:rPr>
      </w:pPr>
      <w:r>
        <w:rPr>
          <w:rFonts w:hint="eastAsia" w:ascii="宋体" w:hAnsi="宋体"/>
          <w:color w:val="auto"/>
          <w:sz w:val="24"/>
          <w:highlight w:val="none"/>
        </w:rPr>
        <w:t>在施工过程中，因乙方使用的材料、设备不符合招标文件和本合同约定、图纸要求及甲方标准的或乙方不按照施工工艺进行施工的，甲方发现以上任何一项，每次乙方须向甲方支付违约金人民币5</w:t>
      </w:r>
      <w:r>
        <w:rPr>
          <w:rFonts w:ascii="宋体" w:hAnsi="宋体"/>
          <w:color w:val="auto"/>
          <w:sz w:val="24"/>
          <w:highlight w:val="none"/>
        </w:rPr>
        <w:t>000</w:t>
      </w:r>
      <w:r>
        <w:rPr>
          <w:rFonts w:hint="eastAsia" w:ascii="宋体" w:hAnsi="宋体"/>
          <w:color w:val="auto"/>
          <w:sz w:val="24"/>
          <w:highlight w:val="none"/>
        </w:rPr>
        <w:t>元，并按甲方要求进行无条件、无偿整改，且工期不予顺延,此类情况达3次的，甲方有权解除合同。</w:t>
      </w:r>
    </w:p>
    <w:p w14:paraId="45C72A05">
      <w:pPr>
        <w:pStyle w:val="43"/>
        <w:numPr>
          <w:ilvl w:val="0"/>
          <w:numId w:val="4"/>
        </w:numPr>
        <w:tabs>
          <w:tab w:val="left" w:pos="851"/>
        </w:tabs>
        <w:wordWrap w:val="0"/>
        <w:spacing w:line="360" w:lineRule="auto"/>
        <w:ind w:left="0" w:firstLine="480"/>
        <w:jc w:val="left"/>
        <w:rPr>
          <w:rFonts w:ascii="宋体" w:hAnsi="宋体"/>
          <w:color w:val="auto"/>
          <w:sz w:val="24"/>
          <w:highlight w:val="none"/>
        </w:rPr>
      </w:pPr>
      <w:r>
        <w:rPr>
          <w:rFonts w:hint="eastAsia" w:ascii="宋体" w:hAnsi="宋体"/>
          <w:color w:val="auto"/>
          <w:sz w:val="24"/>
          <w:highlight w:val="none"/>
        </w:rPr>
        <w:t>如因施工造成市政道路污泥等违反</w:t>
      </w:r>
      <w:r>
        <w:rPr>
          <w:rFonts w:hint="eastAsia" w:ascii="宋体" w:hAnsi="宋体"/>
          <w:color w:val="auto"/>
          <w:sz w:val="24"/>
          <w:highlight w:val="none"/>
          <w:lang w:eastAsia="zh-CN"/>
        </w:rPr>
        <w:t>广州市</w:t>
      </w:r>
      <w:r>
        <w:rPr>
          <w:rFonts w:hint="eastAsia" w:ascii="宋体" w:hAnsi="宋体"/>
          <w:color w:val="auto"/>
          <w:sz w:val="24"/>
          <w:highlight w:val="none"/>
        </w:rPr>
        <w:t>文明施工和清洁卫生的有关规定的，乙方须承担清理现场等费用以及相关处罚，每发生一次，甲方有权要求乙方支付人民币1000</w:t>
      </w:r>
      <w:r>
        <w:rPr>
          <w:rFonts w:ascii="宋体" w:hAnsi="宋体"/>
          <w:color w:val="auto"/>
          <w:sz w:val="24"/>
          <w:highlight w:val="none"/>
        </w:rPr>
        <w:t>0</w:t>
      </w:r>
      <w:r>
        <w:rPr>
          <w:rFonts w:hint="eastAsia" w:ascii="宋体" w:hAnsi="宋体"/>
          <w:color w:val="auto"/>
          <w:sz w:val="24"/>
          <w:highlight w:val="none"/>
        </w:rPr>
        <w:t>元的违约金。</w:t>
      </w:r>
    </w:p>
    <w:p w14:paraId="3C3A673E">
      <w:pPr>
        <w:pStyle w:val="43"/>
        <w:numPr>
          <w:ilvl w:val="0"/>
          <w:numId w:val="4"/>
        </w:numPr>
        <w:tabs>
          <w:tab w:val="left" w:pos="851"/>
        </w:tabs>
        <w:wordWrap w:val="0"/>
        <w:spacing w:line="360" w:lineRule="auto"/>
        <w:ind w:left="0" w:firstLine="480"/>
        <w:jc w:val="left"/>
        <w:rPr>
          <w:rFonts w:ascii="宋体" w:hAnsi="宋体" w:cs="宋体"/>
          <w:color w:val="auto"/>
          <w:sz w:val="24"/>
          <w:highlight w:val="none"/>
        </w:rPr>
      </w:pPr>
      <w:r>
        <w:rPr>
          <w:rFonts w:hint="eastAsia" w:ascii="宋体" w:hAnsi="宋体"/>
          <w:color w:val="auto"/>
          <w:sz w:val="24"/>
          <w:highlight w:val="none"/>
        </w:rPr>
        <w:t>若乙方因安全等问题被书面通知整改仍不积极整改，甲方有权视情节轻重要求乙方支付人民币20000元以内的违约金，并记入甲方的施工单位诚信记录，作为乙方信誉考核依据。上述情况累计发生达3次的，甲方有权解除合同。</w:t>
      </w:r>
    </w:p>
    <w:p w14:paraId="1CA2402B">
      <w:pPr>
        <w:pStyle w:val="43"/>
        <w:numPr>
          <w:ilvl w:val="0"/>
          <w:numId w:val="4"/>
        </w:numPr>
        <w:tabs>
          <w:tab w:val="left" w:pos="851"/>
        </w:tabs>
        <w:wordWrap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工程质量达不到甲方要求、招标文件</w:t>
      </w: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投标文件</w:t>
      </w:r>
      <w:r>
        <w:rPr>
          <w:rFonts w:hint="eastAsia" w:ascii="宋体" w:hAnsi="宋体"/>
          <w:color w:val="auto"/>
          <w:kern w:val="0"/>
          <w:sz w:val="24"/>
          <w:highlight w:val="none"/>
        </w:rPr>
        <w:t>及合同约定的质量标准的，乙方应立即采取修复、重建等补救措施，所发生的全部费用由乙方承担，且工期不顺延。若乙方怠于履行补救义务或经三次（含三次）以上修复仍不能满足前述标准及要求的，</w:t>
      </w:r>
      <w:r>
        <w:rPr>
          <w:rFonts w:hint="eastAsia" w:ascii="宋体" w:hAnsi="宋体"/>
          <w:color w:val="auto"/>
          <w:sz w:val="24"/>
          <w:highlight w:val="none"/>
        </w:rPr>
        <w:t>甲方有权委托第三方负责相关工作，</w:t>
      </w:r>
      <w:r>
        <w:rPr>
          <w:rFonts w:hint="eastAsia" w:ascii="宋体" w:hAnsi="宋体"/>
          <w:color w:val="auto"/>
          <w:sz w:val="24"/>
          <w:szCs w:val="24"/>
          <w:highlight w:val="none"/>
        </w:rPr>
        <w:t>需完善部分的工作量不予计量，</w:t>
      </w:r>
      <w:r>
        <w:rPr>
          <w:rFonts w:hint="eastAsia" w:ascii="宋体" w:hAnsi="宋体"/>
          <w:color w:val="auto"/>
          <w:sz w:val="24"/>
          <w:highlight w:val="none"/>
        </w:rPr>
        <w:t>损失及风险由乙方承担，且甲方有权解除合同</w:t>
      </w:r>
      <w:r>
        <w:rPr>
          <w:rFonts w:hint="eastAsia" w:ascii="宋体" w:hAnsi="宋体"/>
          <w:color w:val="auto"/>
          <w:kern w:val="0"/>
          <w:sz w:val="24"/>
          <w:highlight w:val="none"/>
        </w:rPr>
        <w:t>。</w:t>
      </w:r>
    </w:p>
    <w:p w14:paraId="55EAAA1E">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由于乙方原因导致</w:t>
      </w:r>
      <w:r>
        <w:rPr>
          <w:rFonts w:hint="eastAsia" w:ascii="宋体" w:hAnsi="宋体"/>
          <w:color w:val="auto"/>
          <w:sz w:val="24"/>
          <w:highlight w:val="none"/>
        </w:rPr>
        <w:t>质量事故或安全事故</w:t>
      </w:r>
      <w:r>
        <w:rPr>
          <w:rFonts w:hint="eastAsia" w:ascii="宋体" w:hAnsi="宋体"/>
          <w:color w:val="auto"/>
          <w:kern w:val="0"/>
          <w:sz w:val="24"/>
          <w:highlight w:val="none"/>
        </w:rPr>
        <w:t>的，甲方有权依情节轻重要求乙方每次按照本合同暂定总价的</w:t>
      </w:r>
      <w:r>
        <w:rPr>
          <w:rFonts w:ascii="宋体" w:hAnsi="宋体"/>
          <w:color w:val="auto"/>
          <w:kern w:val="0"/>
          <w:sz w:val="24"/>
          <w:highlight w:val="none"/>
        </w:rPr>
        <w:t>0.5</w:t>
      </w:r>
      <w:r>
        <w:rPr>
          <w:rFonts w:hint="eastAsia" w:ascii="宋体" w:hAnsi="宋体"/>
          <w:color w:val="auto"/>
          <w:kern w:val="0"/>
          <w:sz w:val="24"/>
          <w:highlight w:val="none"/>
        </w:rPr>
        <w:t>%-5%支付违约金，或甲方有权解除本合同。</w:t>
      </w:r>
    </w:p>
    <w:p w14:paraId="26DE1D39">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由于乙方原因导致本工程被报纸、电视等媒体曝光或工程相关方受到政府有关主管部门的批评、处罚，从而给甲方社会形象造成不利影响的，每次甲方有权要求乙方支付人民币</w:t>
      </w:r>
      <w:r>
        <w:rPr>
          <w:rFonts w:ascii="宋体" w:hAnsi="宋体"/>
          <w:color w:val="auto"/>
          <w:kern w:val="0"/>
          <w:sz w:val="24"/>
          <w:highlight w:val="none"/>
        </w:rPr>
        <w:t>10</w:t>
      </w:r>
      <w:r>
        <w:rPr>
          <w:rFonts w:hint="eastAsia" w:ascii="宋体" w:hAnsi="宋体"/>
          <w:color w:val="auto"/>
          <w:kern w:val="0"/>
          <w:sz w:val="24"/>
          <w:highlight w:val="none"/>
        </w:rPr>
        <w:t>000元违约金。</w:t>
      </w:r>
    </w:p>
    <w:p w14:paraId="1D5C2AFB">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因乙方对施工人员劳资问题未处理好而</w:t>
      </w:r>
      <w:r>
        <w:rPr>
          <w:rFonts w:hint="eastAsia" w:ascii="宋体" w:hAnsi="宋体"/>
          <w:color w:val="auto"/>
          <w:sz w:val="24"/>
          <w:highlight w:val="none"/>
        </w:rPr>
        <w:t>发生工人集体罢工、聚众闹事或其他群体性事件，或因乙方拖欠工人工资受到报纸、电视等媒体的曝光或政府有关主管部门的批评、公布、处罚等对甲方不利的情况（包括但不限于对甲方其他工程造成不良影响）或造成其他不良社会影响的，</w:t>
      </w:r>
      <w:r>
        <w:rPr>
          <w:rFonts w:hint="eastAsia" w:ascii="宋体" w:hAnsi="宋体"/>
          <w:color w:val="auto"/>
          <w:kern w:val="0"/>
          <w:sz w:val="24"/>
          <w:highlight w:val="none"/>
        </w:rPr>
        <w:t>每发生一次，乙方须向甲方支付人民币</w:t>
      </w:r>
      <w:r>
        <w:rPr>
          <w:rFonts w:ascii="宋体" w:hAnsi="宋体"/>
          <w:color w:val="auto"/>
          <w:kern w:val="0"/>
          <w:sz w:val="24"/>
          <w:highlight w:val="none"/>
        </w:rPr>
        <w:t>20000</w:t>
      </w:r>
      <w:r>
        <w:rPr>
          <w:rFonts w:hint="eastAsia" w:ascii="宋体" w:hAnsi="宋体"/>
          <w:color w:val="auto"/>
          <w:kern w:val="0"/>
          <w:sz w:val="24"/>
          <w:highlight w:val="none"/>
        </w:rPr>
        <w:t>元</w:t>
      </w:r>
      <w:r>
        <w:rPr>
          <w:rFonts w:hint="eastAsia" w:ascii="宋体" w:hAnsi="宋体"/>
          <w:color w:val="auto"/>
          <w:sz w:val="24"/>
          <w:highlight w:val="none"/>
        </w:rPr>
        <w:t>的违约金</w:t>
      </w:r>
      <w:r>
        <w:rPr>
          <w:rFonts w:hint="eastAsia" w:ascii="宋体" w:hAnsi="宋体"/>
          <w:color w:val="auto"/>
          <w:kern w:val="0"/>
          <w:sz w:val="24"/>
          <w:highlight w:val="none"/>
        </w:rPr>
        <w:t>，同时，甲方可向相关政府部门申报乙方的不良诚信记录。</w:t>
      </w:r>
      <w:r>
        <w:rPr>
          <w:rFonts w:hint="eastAsia" w:ascii="宋体" w:hAnsi="宋体"/>
          <w:color w:val="auto"/>
          <w:sz w:val="24"/>
          <w:highlight w:val="none"/>
        </w:rPr>
        <w:t>如有乙方工人以工资纠纷、劳动或劳务争议、工伤事故等为由向投诉，或向劳动部门或人民法院对甲方提起仲裁或诉讼，导致或甲方支付相关款项的，甲方有权协调将所支付款项从乙方应付工程款中等额扣除，不足部分，甲方有权向乙方追偿</w:t>
      </w:r>
      <w:r>
        <w:rPr>
          <w:rFonts w:hint="eastAsia" w:ascii="宋体" w:hAnsi="宋体"/>
          <w:color w:val="auto"/>
          <w:kern w:val="0"/>
          <w:sz w:val="24"/>
          <w:highlight w:val="none"/>
        </w:rPr>
        <w:t>。</w:t>
      </w:r>
    </w:p>
    <w:p w14:paraId="3F27E793">
      <w:pPr>
        <w:pStyle w:val="43"/>
        <w:numPr>
          <w:ilvl w:val="0"/>
          <w:numId w:val="4"/>
        </w:numPr>
        <w:tabs>
          <w:tab w:val="left" w:pos="851"/>
        </w:tabs>
        <w:wordWrap w:val="0"/>
        <w:adjustRightInd w:val="0"/>
        <w:snapToGrid w:val="0"/>
        <w:spacing w:line="360" w:lineRule="auto"/>
        <w:ind w:left="-60" w:firstLine="480" w:firstLineChars="0"/>
        <w:jc w:val="left"/>
        <w:rPr>
          <w:rFonts w:ascii="宋体" w:hAnsi="宋体"/>
          <w:color w:val="auto"/>
          <w:kern w:val="0"/>
          <w:sz w:val="24"/>
          <w:highlight w:val="none"/>
        </w:rPr>
      </w:pPr>
      <w:r>
        <w:rPr>
          <w:rFonts w:hint="eastAsia" w:ascii="宋体" w:hAnsi="宋体"/>
          <w:color w:val="auto"/>
          <w:kern w:val="0"/>
          <w:sz w:val="24"/>
          <w:highlight w:val="none"/>
        </w:rPr>
        <w:t>如乙方未按法律法规规定及政府政策要求落实工人工资管理相关内容的，每发生一次，甲方有权要求乙方支付人民币1万元的违约金，且乙方应按甲方要求限期整改。如乙方逾期完成整改超过15日，或经2次以上（含）整改仍无法满足甲方要求，或拒绝整改的，甲方有权解除合同。</w:t>
      </w:r>
    </w:p>
    <w:p w14:paraId="2D829DCF">
      <w:pPr>
        <w:pStyle w:val="43"/>
        <w:numPr>
          <w:ilvl w:val="0"/>
          <w:numId w:val="4"/>
        </w:numPr>
        <w:tabs>
          <w:tab w:val="left" w:pos="851"/>
        </w:tabs>
        <w:wordWrap w:val="0"/>
        <w:adjustRightInd w:val="0"/>
        <w:snapToGrid w:val="0"/>
        <w:spacing w:line="360" w:lineRule="auto"/>
        <w:ind w:left="-60" w:firstLine="480" w:firstLineChars="0"/>
        <w:jc w:val="left"/>
        <w:rPr>
          <w:rFonts w:ascii="宋体" w:hAnsi="宋体"/>
          <w:color w:val="auto"/>
          <w:kern w:val="0"/>
          <w:sz w:val="24"/>
          <w:highlight w:val="none"/>
        </w:rPr>
      </w:pPr>
      <w:r>
        <w:rPr>
          <w:rFonts w:hint="eastAsia" w:ascii="宋体" w:hAnsi="宋体"/>
          <w:color w:val="auto"/>
          <w:kern w:val="0"/>
          <w:sz w:val="24"/>
          <w:highlight w:val="none"/>
        </w:rPr>
        <w:t>如乙方或其下游单位编造虚假事实或者采取非法手段讨要工人工资，或者以拖欠工人工资为名向甲方、业主或讨要工程款的，每发生一次，甲方有权要求乙方按本合同暂定总价的1%支付违约金，情节严重的，甲方有权解除合同。</w:t>
      </w:r>
    </w:p>
    <w:p w14:paraId="18B2D183">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如本工程发生实际施工人向甲方或政府主管部门主张支付工程款的情况，乙方应无条件同意甲方和政府主管部门在欠付工程款范围内直接向实际施工人支付。欠付乙方工程款不足支付的部分，乙方应积极向实际施工人支付。如乙方未积极向实际施工人支付导致甲方向实际施工人支付金额超出欠付乙方工程款数额的，甲方有权向乙方追偿，并有权要求乙方赔偿因此遭受的全部损失，将乙方纳入供应商黑名单，</w:t>
      </w:r>
      <w:r>
        <w:rPr>
          <w:rFonts w:hint="eastAsia" w:ascii="宋体" w:hAnsi="宋体"/>
          <w:color w:val="auto"/>
          <w:kern w:val="0"/>
          <w:sz w:val="24"/>
          <w:highlight w:val="none"/>
          <w:lang w:val="en-US" w:eastAsia="zh-CN"/>
        </w:rPr>
        <w:t>永久性</w:t>
      </w:r>
      <w:r>
        <w:rPr>
          <w:rFonts w:hint="eastAsia" w:ascii="宋体" w:hAnsi="宋体"/>
          <w:color w:val="auto"/>
          <w:kern w:val="0"/>
          <w:sz w:val="24"/>
          <w:highlight w:val="none"/>
        </w:rPr>
        <w:t>拒绝其承包甲方及其关联公司的工程项目。</w:t>
      </w:r>
    </w:p>
    <w:p w14:paraId="586AC7A7">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如发现乙方存在弄虚作假、偷工减料、虚报工程量等骗量骗取工程款行为的，甲方有权在请款复核时扣除虚报的工程量，如已按虚假工程量支付工程款的，甲方及有权在未付工程款中直接扣除或要求乙方退还，并有权按该部分金额的3‰收取利息，且甲方有权视情节轻重要求乙方每次支付人民币5万-10万元的违约金。情节严重影响工程质量或构成犯罪的，甲方有权提请相关单位追究乙方责任。</w:t>
      </w:r>
    </w:p>
    <w:p w14:paraId="6BD4461B">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若乙方存在转包、分包或允许第三方挂靠</w:t>
      </w:r>
      <w:r>
        <w:rPr>
          <w:rFonts w:hint="eastAsia" w:ascii="宋体" w:hAnsi="宋体"/>
          <w:color w:val="auto"/>
          <w:sz w:val="24"/>
          <w:highlight w:val="none"/>
        </w:rPr>
        <w:t>本工程等情形</w:t>
      </w:r>
      <w:r>
        <w:rPr>
          <w:rFonts w:hint="eastAsia" w:ascii="宋体" w:hAnsi="宋体"/>
          <w:color w:val="auto"/>
          <w:kern w:val="0"/>
          <w:sz w:val="24"/>
          <w:highlight w:val="none"/>
        </w:rPr>
        <w:t>的，甲方有权要求乙方按本合同暂定总价的20%支付违约金，</w:t>
      </w:r>
      <w:r>
        <w:rPr>
          <w:rFonts w:ascii="宋体" w:hAnsi="宋体"/>
          <w:color w:val="auto"/>
          <w:kern w:val="0"/>
          <w:sz w:val="24"/>
          <w:highlight w:val="none"/>
        </w:rPr>
        <w:t>或</w:t>
      </w:r>
      <w:r>
        <w:rPr>
          <w:rFonts w:hint="eastAsia" w:ascii="宋体" w:hAnsi="宋体"/>
          <w:color w:val="auto"/>
          <w:kern w:val="0"/>
          <w:sz w:val="24"/>
          <w:highlight w:val="none"/>
        </w:rPr>
        <w:t>甲方有权解除本合同。如甲方因乙方存在上述行为被行政主管部门处罚的，则甲方需承担的一切罚款由乙方支付。</w:t>
      </w:r>
    </w:p>
    <w:p w14:paraId="156272BE">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因乙方原因影响办理预验收和竣工验收备案进度的，或影响甲方向</w:t>
      </w:r>
      <w:r>
        <w:rPr>
          <w:rFonts w:hint="eastAsia" w:ascii="宋体" w:hAnsi="宋体"/>
          <w:color w:val="auto"/>
          <w:kern w:val="0"/>
          <w:sz w:val="24"/>
          <w:highlight w:val="none"/>
          <w:lang w:eastAsia="zh-CN"/>
        </w:rPr>
        <w:t>广州市</w:t>
      </w:r>
      <w:r>
        <w:rPr>
          <w:rFonts w:hint="eastAsia" w:ascii="宋体" w:hAnsi="宋体"/>
          <w:color w:val="auto"/>
          <w:kern w:val="0"/>
          <w:sz w:val="24"/>
          <w:highlight w:val="none"/>
        </w:rPr>
        <w:t>城建档案馆移交本项目施工文件工作进度的，甲方有权要求乙方按</w:t>
      </w:r>
      <w:r>
        <w:rPr>
          <w:rFonts w:ascii="宋体" w:hAnsi="宋体"/>
          <w:color w:val="auto"/>
          <w:kern w:val="0"/>
          <w:sz w:val="24"/>
          <w:highlight w:val="none"/>
        </w:rPr>
        <w:t>5</w:t>
      </w:r>
      <w:r>
        <w:rPr>
          <w:rFonts w:hint="eastAsia" w:ascii="宋体" w:hAnsi="宋体"/>
          <w:color w:val="auto"/>
          <w:kern w:val="0"/>
          <w:sz w:val="24"/>
          <w:highlight w:val="none"/>
        </w:rPr>
        <w:t>000元承担违约金，且乙方应按甲方要求及时整改。</w:t>
      </w:r>
    </w:p>
    <w:p w14:paraId="037F1AD9">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乙方收到甲方现场管理人员通知之日起3日内未配合与本工程相关的其他工程施工的，甲方有权要求乙方每次按合同暂定总价的 1 %向甲方支付违约金。乙方未按时完成甲方其他指令的，甲方有权每次向乙方收取违约金人民币</w:t>
      </w:r>
      <w:r>
        <w:rPr>
          <w:rFonts w:ascii="宋体" w:hAnsi="宋体"/>
          <w:color w:val="auto"/>
          <w:kern w:val="0"/>
          <w:sz w:val="24"/>
          <w:highlight w:val="none"/>
        </w:rPr>
        <w:t>5</w:t>
      </w:r>
      <w:r>
        <w:rPr>
          <w:rFonts w:hint="eastAsia" w:ascii="宋体" w:hAnsi="宋体"/>
          <w:color w:val="auto"/>
          <w:kern w:val="0"/>
          <w:sz w:val="24"/>
          <w:highlight w:val="none"/>
        </w:rPr>
        <w:t xml:space="preserve">000元；累计达 3 次的，甲方有权每次向乙方收取违约金人民币 </w:t>
      </w:r>
      <w:r>
        <w:rPr>
          <w:rFonts w:ascii="宋体" w:hAnsi="宋体"/>
          <w:color w:val="auto"/>
          <w:kern w:val="0"/>
          <w:sz w:val="24"/>
          <w:highlight w:val="none"/>
        </w:rPr>
        <w:t>10</w:t>
      </w:r>
      <w:r>
        <w:rPr>
          <w:rFonts w:hint="eastAsia" w:ascii="宋体" w:hAnsi="宋体"/>
          <w:color w:val="auto"/>
          <w:kern w:val="0"/>
          <w:sz w:val="24"/>
          <w:highlight w:val="none"/>
        </w:rPr>
        <w:t>000元。甲方有权选择其他单位完成该项指令，由乙方承担相关费用。</w:t>
      </w:r>
    </w:p>
    <w:p w14:paraId="0A0907D0">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s="宋体"/>
          <w:color w:val="auto"/>
          <w:kern w:val="0"/>
          <w:sz w:val="24"/>
          <w:highlight w:val="none"/>
        </w:rPr>
        <w:t>乙方项目经理、技术负责人、安全负责人或质量负责人未按招标文件或合同约定时间进行现场管理、擅自离开施工现场或缺席会议的，甲方有权要求乙方每人每次支付违约金人民币</w:t>
      </w:r>
      <w:r>
        <w:rPr>
          <w:rFonts w:ascii="宋体" w:hAnsi="宋体" w:cs="宋体"/>
          <w:color w:val="auto"/>
          <w:kern w:val="0"/>
          <w:sz w:val="24"/>
          <w:highlight w:val="none"/>
        </w:rPr>
        <w:t>5</w:t>
      </w:r>
      <w:r>
        <w:rPr>
          <w:rFonts w:hint="eastAsia" w:ascii="宋体" w:hAnsi="宋体" w:cs="宋体"/>
          <w:color w:val="auto"/>
          <w:kern w:val="0"/>
          <w:sz w:val="24"/>
          <w:highlight w:val="none"/>
        </w:rPr>
        <w:t>000元</w:t>
      </w:r>
      <w:r>
        <w:rPr>
          <w:rFonts w:hint="eastAsia" w:ascii="宋体" w:hAnsi="宋体"/>
          <w:color w:val="auto"/>
          <w:kern w:val="0"/>
          <w:sz w:val="24"/>
          <w:highlight w:val="none"/>
        </w:rPr>
        <w:t>。上述情况出现达3次的，甲方有权解除合同。</w:t>
      </w:r>
    </w:p>
    <w:p w14:paraId="55E56158">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乙方应</w:t>
      </w:r>
      <w:r>
        <w:rPr>
          <w:rFonts w:hint="eastAsia" w:ascii="宋体" w:hAnsi="宋体" w:cs="宋体"/>
          <w:color w:val="auto"/>
          <w:kern w:val="0"/>
          <w:sz w:val="24"/>
          <w:highlight w:val="none"/>
        </w:rPr>
        <w:t>按照本合同约定的时间内</w:t>
      </w:r>
      <w:r>
        <w:rPr>
          <w:rFonts w:hint="eastAsia" w:ascii="宋体" w:hAnsi="宋体"/>
          <w:color w:val="auto"/>
          <w:kern w:val="0"/>
          <w:sz w:val="24"/>
          <w:highlight w:val="none"/>
        </w:rPr>
        <w:t>退场，未按时退场的，甲方有权按照人民币</w:t>
      </w:r>
      <w:r>
        <w:rPr>
          <w:rFonts w:ascii="宋体" w:hAnsi="宋体"/>
          <w:color w:val="auto"/>
          <w:kern w:val="0"/>
          <w:sz w:val="24"/>
          <w:highlight w:val="none"/>
        </w:rPr>
        <w:t>5000</w:t>
      </w:r>
      <w:r>
        <w:rPr>
          <w:rFonts w:hint="eastAsia" w:ascii="宋体" w:hAnsi="宋体"/>
          <w:color w:val="auto"/>
          <w:kern w:val="0"/>
          <w:sz w:val="24"/>
          <w:highlight w:val="none"/>
        </w:rPr>
        <w:t>元/日的标准要求乙方支付违约金。</w:t>
      </w:r>
    </w:p>
    <w:p w14:paraId="335331F3">
      <w:pPr>
        <w:pStyle w:val="43"/>
        <w:numPr>
          <w:ilvl w:val="0"/>
          <w:numId w:val="4"/>
        </w:numPr>
        <w:tabs>
          <w:tab w:val="left" w:pos="851"/>
        </w:tabs>
        <w:wordWrap w:val="0"/>
        <w:adjustRightInd w:val="0"/>
        <w:snapToGrid w:val="0"/>
        <w:spacing w:line="360" w:lineRule="auto"/>
        <w:ind w:left="0" w:firstLine="480"/>
        <w:jc w:val="left"/>
        <w:rPr>
          <w:rFonts w:ascii="宋体" w:hAnsi="宋体" w:cs="宋体"/>
          <w:color w:val="auto"/>
          <w:kern w:val="0"/>
          <w:sz w:val="24"/>
          <w:highlight w:val="none"/>
        </w:rPr>
      </w:pPr>
      <w:r>
        <w:rPr>
          <w:rFonts w:hint="eastAsia" w:ascii="宋体" w:hAnsi="宋体" w:cs="宋体"/>
          <w:color w:val="auto"/>
          <w:kern w:val="0"/>
          <w:sz w:val="24"/>
          <w:highlight w:val="none"/>
        </w:rPr>
        <w:t>乙方使用不符合要求的设备或材料（包括但不限于基层水泥稳定碎石配比不符合设计要求），甲方有权要求乙方每次支付人民币5</w:t>
      </w:r>
      <w:r>
        <w:rPr>
          <w:rFonts w:hint="eastAsia" w:ascii="宋体" w:hAnsi="宋体" w:cs="宋体"/>
          <w:color w:val="auto"/>
          <w:kern w:val="0"/>
          <w:sz w:val="24"/>
          <w:highlight w:val="none"/>
          <w:lang w:val="en-US" w:eastAsia="zh-CN"/>
        </w:rPr>
        <w:t>0000</w:t>
      </w:r>
      <w:r>
        <w:rPr>
          <w:rFonts w:hint="eastAsia" w:ascii="宋体" w:hAnsi="宋体" w:cs="宋体"/>
          <w:color w:val="auto"/>
          <w:kern w:val="0"/>
          <w:sz w:val="24"/>
          <w:highlight w:val="none"/>
        </w:rPr>
        <w:t xml:space="preserve">元违约金。  </w:t>
      </w:r>
    </w:p>
    <w:p w14:paraId="6529BA0E">
      <w:pPr>
        <w:pStyle w:val="43"/>
        <w:numPr>
          <w:ilvl w:val="0"/>
          <w:numId w:val="4"/>
        </w:numPr>
        <w:tabs>
          <w:tab w:val="left" w:pos="851"/>
        </w:tabs>
        <w:wordWrap w:val="0"/>
        <w:adjustRightInd w:val="0"/>
        <w:snapToGrid w:val="0"/>
        <w:spacing w:line="360" w:lineRule="auto"/>
        <w:ind w:left="0" w:firstLine="420" w:firstLineChars="175"/>
        <w:jc w:val="left"/>
        <w:rPr>
          <w:rFonts w:ascii="宋体" w:hAnsi="宋体"/>
          <w:color w:val="auto"/>
          <w:kern w:val="0"/>
          <w:sz w:val="24"/>
          <w:highlight w:val="none"/>
        </w:rPr>
      </w:pPr>
      <w:r>
        <w:rPr>
          <w:rFonts w:hint="eastAsia" w:ascii="宋体" w:hAnsi="宋体" w:cs="宋体"/>
          <w:color w:val="auto"/>
          <w:kern w:val="0"/>
          <w:sz w:val="24"/>
          <w:highlight w:val="none"/>
        </w:rPr>
        <w:t>乙方施工过程中偷工减料，使用假冒伪劣材料的，每发现一次，甲方有权要求支付人民币2万元的违约金。</w:t>
      </w:r>
    </w:p>
    <w:p w14:paraId="0366A6F9">
      <w:pPr>
        <w:pStyle w:val="43"/>
        <w:numPr>
          <w:ilvl w:val="0"/>
          <w:numId w:val="4"/>
        </w:numPr>
        <w:tabs>
          <w:tab w:val="left" w:pos="851"/>
        </w:tabs>
        <w:wordWrap w:val="0"/>
        <w:adjustRightInd w:val="0"/>
        <w:snapToGrid w:val="0"/>
        <w:spacing w:line="360" w:lineRule="auto"/>
        <w:ind w:left="0" w:firstLine="480"/>
        <w:jc w:val="left"/>
        <w:rPr>
          <w:rFonts w:ascii="宋体" w:hAnsi="宋体" w:cs="宋体"/>
          <w:color w:val="auto"/>
          <w:kern w:val="0"/>
          <w:sz w:val="24"/>
          <w:highlight w:val="none"/>
        </w:rPr>
      </w:pPr>
      <w:r>
        <w:rPr>
          <w:rFonts w:hint="eastAsia" w:ascii="宋体" w:hAnsi="宋体" w:cs="宋体"/>
          <w:color w:val="auto"/>
          <w:kern w:val="0"/>
          <w:sz w:val="24"/>
          <w:highlight w:val="none"/>
        </w:rPr>
        <w:t>如本工程出现下游主体向甲方或政府主管部门追索工程款项（包括但不限于工人工资、材料费、设备费等）时，甲方有权视情况向乙方收取每次（项）人民币1万—20万元的违约金。情节严重或重复违约的，甲方有权解除合同。</w:t>
      </w:r>
    </w:p>
    <w:p w14:paraId="3D690A73">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除本合同另有约定外，如乙方不履行或不完全履行招标文件、本合同约定的乙方责任，甲方有权视情节轻重按每次（项）人民币</w:t>
      </w:r>
      <w:r>
        <w:rPr>
          <w:rFonts w:ascii="宋体" w:hAnsi="宋体"/>
          <w:color w:val="auto"/>
          <w:kern w:val="0"/>
          <w:sz w:val="24"/>
          <w:highlight w:val="none"/>
        </w:rPr>
        <w:t>5</w:t>
      </w:r>
      <w:r>
        <w:rPr>
          <w:rFonts w:hint="eastAsia" w:ascii="宋体" w:hAnsi="宋体"/>
          <w:color w:val="auto"/>
          <w:kern w:val="0"/>
          <w:sz w:val="24"/>
          <w:highlight w:val="none"/>
        </w:rPr>
        <w:t>000元—10000元向乙方收取违约金。情节严重或重复违约的，甲方有权解除合同。</w:t>
      </w:r>
    </w:p>
    <w:p w14:paraId="22325630">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乙方无法定或约定事由解除合同的，或甲方因乙方违约解除合同的，甲方按照乙方实际完成并经甲方书面确认的合格工程量结算，且甲方有权要求乙方支付本合同暂定总价20%的违约金。</w:t>
      </w:r>
    </w:p>
    <w:p w14:paraId="4DA8943E">
      <w:pPr>
        <w:pStyle w:val="43"/>
        <w:numPr>
          <w:ilvl w:val="0"/>
          <w:numId w:val="4"/>
        </w:numPr>
        <w:tabs>
          <w:tab w:val="left" w:pos="851"/>
        </w:tabs>
        <w:wordWrap w:val="0"/>
        <w:adjustRightInd w:val="0"/>
        <w:snapToGrid w:val="0"/>
        <w:spacing w:line="360" w:lineRule="auto"/>
        <w:ind w:left="-60" w:firstLine="480" w:firstLineChars="0"/>
        <w:jc w:val="left"/>
        <w:rPr>
          <w:rFonts w:ascii="宋体" w:hAnsi="宋体"/>
          <w:color w:val="auto"/>
          <w:kern w:val="0"/>
          <w:sz w:val="24"/>
          <w:highlight w:val="none"/>
        </w:rPr>
      </w:pPr>
      <w:r>
        <w:rPr>
          <w:rFonts w:hint="eastAsia" w:ascii="宋体" w:hAnsi="宋体"/>
          <w:color w:val="auto"/>
          <w:kern w:val="0"/>
          <w:sz w:val="24"/>
          <w:highlight w:val="none"/>
        </w:rPr>
        <w:t>如合同提前终止，甲方有权要求乙方退场并重新发包，乙方必须无条件配合。</w:t>
      </w:r>
    </w:p>
    <w:p w14:paraId="13C09AF7">
      <w:pPr>
        <w:pStyle w:val="43"/>
        <w:numPr>
          <w:ilvl w:val="0"/>
          <w:numId w:val="4"/>
        </w:numPr>
        <w:tabs>
          <w:tab w:val="left" w:pos="851"/>
        </w:tabs>
        <w:wordWrap w:val="0"/>
        <w:adjustRightInd w:val="0"/>
        <w:snapToGrid w:val="0"/>
        <w:spacing w:line="360" w:lineRule="auto"/>
        <w:ind w:left="-60" w:firstLine="480" w:firstLineChars="0"/>
        <w:jc w:val="left"/>
        <w:rPr>
          <w:rFonts w:ascii="宋体" w:hAnsi="宋体"/>
          <w:color w:val="auto"/>
          <w:kern w:val="0"/>
          <w:sz w:val="24"/>
          <w:highlight w:val="none"/>
        </w:rPr>
      </w:pPr>
      <w:r>
        <w:rPr>
          <w:rFonts w:hint="eastAsia" w:ascii="宋体" w:hAnsi="宋体" w:cs="宋体"/>
          <w:color w:val="auto"/>
          <w:sz w:val="24"/>
          <w:szCs w:val="24"/>
          <w:highlight w:val="none"/>
        </w:rPr>
        <w:t>乙方在合同履行过程中必须严格执行遵守甲方（含甲方关联单位）制定的各项工程建设管理制度，如乙方违反相关管理制度规定的，甲方有权按管理制度相关规定及合同约定要求乙方承担违约责任。</w:t>
      </w:r>
    </w:p>
    <w:p w14:paraId="6319FC69">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招标文件、本合同及和甲方相关管理制度规定中对违约金或管理要求等约定不一致的，甲方有权选择适用违约金中较高者或对乙方较严者。</w:t>
      </w:r>
    </w:p>
    <w:p w14:paraId="7F7CAFF1">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乙方所支付的违约金不足以弥补甲方损失的，甲方有权要求乙方赔偿。本合同所述乙方应承担的违约金和赔偿金，甲方有权协调从应付款项</w:t>
      </w:r>
      <w:r>
        <w:rPr>
          <w:rFonts w:hint="eastAsia" w:ascii="宋体" w:hAnsi="宋体"/>
          <w:color w:val="auto"/>
          <w:sz w:val="24"/>
          <w:highlight w:val="none"/>
        </w:rPr>
        <w:t>或从乙方提交的履约担保中扣除</w:t>
      </w:r>
      <w:r>
        <w:rPr>
          <w:rFonts w:hint="eastAsia" w:ascii="宋体" w:hAnsi="宋体"/>
          <w:color w:val="auto"/>
          <w:kern w:val="0"/>
          <w:sz w:val="24"/>
          <w:highlight w:val="none"/>
        </w:rPr>
        <w:t>。</w:t>
      </w:r>
    </w:p>
    <w:p w14:paraId="064AF5C2">
      <w:pPr>
        <w:pStyle w:val="43"/>
        <w:numPr>
          <w:ilvl w:val="0"/>
          <w:numId w:val="4"/>
        </w:numPr>
        <w:tabs>
          <w:tab w:val="left" w:pos="851"/>
        </w:tabs>
        <w:wordWrap w:val="0"/>
        <w:adjustRightInd w:val="0"/>
        <w:snapToGrid w:val="0"/>
        <w:spacing w:line="360" w:lineRule="auto"/>
        <w:ind w:left="0" w:firstLine="480"/>
        <w:jc w:val="left"/>
        <w:rPr>
          <w:rFonts w:ascii="宋体" w:hAnsi="宋体"/>
          <w:color w:val="auto"/>
          <w:kern w:val="0"/>
          <w:sz w:val="24"/>
          <w:highlight w:val="none"/>
        </w:rPr>
      </w:pPr>
      <w:r>
        <w:rPr>
          <w:rFonts w:hint="eastAsia" w:ascii="宋体" w:hAnsi="宋体"/>
          <w:color w:val="auto"/>
          <w:kern w:val="0"/>
          <w:sz w:val="24"/>
          <w:highlight w:val="none"/>
        </w:rPr>
        <w:t>本合同约定的赔偿责任包括但不限于合理的律师费、诉讼或仲裁费、差旅费、评估费、鉴定费、赔偿款、拍卖费</w:t>
      </w:r>
      <w:r>
        <w:rPr>
          <w:rFonts w:hint="eastAsia" w:ascii="宋体" w:hAnsi="宋体"/>
          <w:color w:val="auto"/>
          <w:sz w:val="24"/>
          <w:highlight w:val="none"/>
        </w:rPr>
        <w:t>、保全费、执行费、公证费</w:t>
      </w:r>
      <w:r>
        <w:rPr>
          <w:rFonts w:hint="eastAsia" w:ascii="宋体" w:hAnsi="宋体"/>
          <w:color w:val="auto"/>
          <w:kern w:val="0"/>
          <w:sz w:val="24"/>
          <w:highlight w:val="none"/>
        </w:rPr>
        <w:t>。</w:t>
      </w:r>
    </w:p>
    <w:p w14:paraId="398670AE">
      <w:pP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第十五条 保密</w:t>
      </w:r>
    </w:p>
    <w:p w14:paraId="7B384926">
      <w:pPr>
        <w:spacing w:line="360" w:lineRule="auto"/>
        <w:ind w:firstLine="480" w:firstLineChars="200"/>
        <w:rPr>
          <w:rFonts w:ascii="宋体" w:hAnsi="宋体"/>
          <w:color w:val="auto"/>
          <w:sz w:val="24"/>
          <w:szCs w:val="24"/>
          <w:highlight w:val="none"/>
        </w:rPr>
      </w:pPr>
      <w:r>
        <w:rPr>
          <w:rFonts w:hint="eastAsia" w:ascii="宋体" w:hAnsi="宋体"/>
          <w:color w:val="auto"/>
          <w:kern w:val="0"/>
          <w:sz w:val="24"/>
          <w:szCs w:val="24"/>
          <w:highlight w:val="none"/>
        </w:rPr>
        <w:t>1.</w:t>
      </w:r>
      <w:r>
        <w:rPr>
          <w:rFonts w:ascii="宋体" w:hAnsi="宋体"/>
          <w:color w:val="auto"/>
          <w:kern w:val="0"/>
          <w:sz w:val="24"/>
          <w:szCs w:val="24"/>
          <w:highlight w:val="none"/>
        </w:rPr>
        <w:t>对本合同</w:t>
      </w:r>
      <w:r>
        <w:rPr>
          <w:rFonts w:hint="eastAsia" w:ascii="宋体" w:hAnsi="宋体"/>
          <w:color w:val="auto"/>
          <w:kern w:val="0"/>
          <w:sz w:val="24"/>
          <w:szCs w:val="24"/>
          <w:highlight w:val="none"/>
        </w:rPr>
        <w:t>工作</w:t>
      </w:r>
      <w:r>
        <w:rPr>
          <w:rFonts w:ascii="宋体" w:hAnsi="宋体"/>
          <w:color w:val="auto"/>
          <w:kern w:val="0"/>
          <w:sz w:val="24"/>
          <w:szCs w:val="24"/>
          <w:highlight w:val="none"/>
        </w:rPr>
        <w:t>成果、</w:t>
      </w:r>
      <w:r>
        <w:rPr>
          <w:rFonts w:hint="eastAsia" w:ascii="宋体" w:hAnsi="宋体"/>
          <w:color w:val="auto"/>
          <w:sz w:val="24"/>
          <w:szCs w:val="24"/>
          <w:highlight w:val="none"/>
        </w:rPr>
        <w:t>甲方提供的技术资料、图纸以及其它在签订或履行合同过程中所获取的甲方非公开资料</w:t>
      </w:r>
      <w:r>
        <w:rPr>
          <w:rFonts w:ascii="宋体" w:hAnsi="宋体"/>
          <w:color w:val="auto"/>
          <w:kern w:val="0"/>
          <w:sz w:val="24"/>
          <w:szCs w:val="24"/>
          <w:highlight w:val="none"/>
        </w:rPr>
        <w:t>（包括本合同内容）</w:t>
      </w:r>
      <w:r>
        <w:rPr>
          <w:rFonts w:hint="eastAsia" w:ascii="宋体" w:hAnsi="宋体"/>
          <w:color w:val="auto"/>
          <w:sz w:val="24"/>
          <w:szCs w:val="24"/>
          <w:highlight w:val="none"/>
        </w:rPr>
        <w:t>，</w:t>
      </w:r>
      <w:r>
        <w:rPr>
          <w:rFonts w:ascii="宋体" w:hAnsi="宋体"/>
          <w:color w:val="auto"/>
          <w:kern w:val="0"/>
          <w:sz w:val="24"/>
          <w:szCs w:val="24"/>
          <w:highlight w:val="none"/>
        </w:rPr>
        <w:t>乙方</w:t>
      </w:r>
      <w:r>
        <w:rPr>
          <w:rFonts w:hint="eastAsia" w:ascii="宋体" w:hAnsi="宋体"/>
          <w:color w:val="auto"/>
          <w:sz w:val="24"/>
          <w:szCs w:val="24"/>
          <w:highlight w:val="none"/>
        </w:rPr>
        <w:t>负有保密义务。未经甲方书面同意，乙方及其工作人员不得将上述资料复制、泄露、公开、转让或使用于本合同之外的其它用途。否则，甲方有权要求乙方赔偿一切损失。</w:t>
      </w:r>
      <w:r>
        <w:rPr>
          <w:rFonts w:ascii="宋体" w:hAnsi="宋体"/>
          <w:color w:val="auto"/>
          <w:kern w:val="0"/>
          <w:sz w:val="24"/>
          <w:szCs w:val="24"/>
          <w:highlight w:val="none"/>
        </w:rPr>
        <w:t>但根据法律法规须提供的除外</w:t>
      </w:r>
      <w:r>
        <w:rPr>
          <w:rFonts w:hint="eastAsia" w:ascii="宋体" w:hAnsi="宋体"/>
          <w:color w:val="auto"/>
          <w:sz w:val="24"/>
          <w:szCs w:val="24"/>
          <w:highlight w:val="none"/>
        </w:rPr>
        <w:t xml:space="preserve">。  </w:t>
      </w:r>
    </w:p>
    <w:p w14:paraId="025FE37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甲方对在本合同履行过程中所掌握的乙方非公开的公司管理运营信息和财务状况负有保密义务。未经乙方书面同意，甲方及其工作人员不得将上述资料复制、泄露、公开、转让或使用于本合同之外的其它用途。否则，乙方有权要求甲方赔偿一切损失。</w:t>
      </w:r>
      <w:r>
        <w:rPr>
          <w:rFonts w:ascii="宋体" w:hAnsi="宋体"/>
          <w:color w:val="auto"/>
          <w:kern w:val="0"/>
          <w:sz w:val="24"/>
          <w:szCs w:val="24"/>
          <w:highlight w:val="none"/>
        </w:rPr>
        <w:t>但根据法律法规须提供的除外</w:t>
      </w:r>
      <w:r>
        <w:rPr>
          <w:rFonts w:hint="eastAsia" w:ascii="宋体" w:hAnsi="宋体"/>
          <w:color w:val="auto"/>
          <w:kern w:val="0"/>
          <w:sz w:val="24"/>
          <w:szCs w:val="24"/>
          <w:highlight w:val="none"/>
        </w:rPr>
        <w:t>。</w:t>
      </w:r>
    </w:p>
    <w:p w14:paraId="70C3A97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3.本条约定长期有效，不受本合同终止及效力约束。  </w:t>
      </w:r>
    </w:p>
    <w:p w14:paraId="555769F3">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第十六条 合同文件优先次序</w:t>
      </w:r>
    </w:p>
    <w:p w14:paraId="57D3E03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下列文件相互解释、相互补充，如出现相互矛盾的情况，以次序在先者为准：</w:t>
      </w:r>
    </w:p>
    <w:p w14:paraId="354785ED">
      <w:pPr>
        <w:wordWrap w:val="0"/>
        <w:spacing w:line="360" w:lineRule="auto"/>
        <w:ind w:firstLine="480" w:firstLineChars="200"/>
        <w:jc w:val="left"/>
        <w:rPr>
          <w:rFonts w:ascii="宋体" w:hAnsi="宋体"/>
          <w:b/>
          <w:color w:val="auto"/>
          <w:sz w:val="24"/>
          <w:highlight w:val="none"/>
        </w:rPr>
      </w:pPr>
      <w:r>
        <w:rPr>
          <w:rFonts w:hint="eastAsia" w:ascii="宋体" w:hAnsi="宋体"/>
          <w:color w:val="auto"/>
          <w:sz w:val="24"/>
          <w:highlight w:val="none"/>
        </w:rPr>
        <w:t>（1）本合同补充协议；（2）本合同及附件（不含附件中的招标答疑文件（如有））；（3）中标通知书；（4）招标文件（含招标答疑文件（如有））；（5）投标</w:t>
      </w:r>
      <w:r>
        <w:rPr>
          <w:rFonts w:hint="eastAsia" w:ascii="宋体" w:hAnsi="宋体"/>
          <w:color w:val="auto"/>
          <w:sz w:val="24"/>
          <w:highlight w:val="none"/>
          <w:lang w:val="en-US" w:eastAsia="zh-CN"/>
        </w:rPr>
        <w:t>文件</w:t>
      </w:r>
      <w:r>
        <w:rPr>
          <w:rFonts w:hint="eastAsia" w:ascii="宋体" w:hAnsi="宋体"/>
          <w:color w:val="auto"/>
          <w:sz w:val="24"/>
          <w:highlight w:val="none"/>
        </w:rPr>
        <w:t>；（6）标准、规范及有关技术文件；（7）图纸；（8）</w:t>
      </w:r>
      <w:r>
        <w:rPr>
          <w:rFonts w:hint="eastAsia" w:ascii="宋体" w:hAnsi="宋体"/>
          <w:color w:val="auto"/>
          <w:sz w:val="24"/>
          <w:highlight w:val="none"/>
          <w:lang w:eastAsia="zh-CN"/>
        </w:rPr>
        <w:t>投标</w:t>
      </w:r>
      <w:r>
        <w:rPr>
          <w:rFonts w:hint="eastAsia" w:ascii="宋体" w:hAnsi="宋体"/>
          <w:color w:val="auto"/>
          <w:sz w:val="24"/>
          <w:highlight w:val="none"/>
        </w:rPr>
        <w:t>工程量清单；（9）其他合同文件。</w:t>
      </w:r>
    </w:p>
    <w:p w14:paraId="46BD646B">
      <w:pPr>
        <w:wordWrap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第十七条  合法性</w:t>
      </w:r>
    </w:p>
    <w:p w14:paraId="178DAFAF">
      <w:pPr>
        <w:wordWrap w:val="0"/>
        <w:spacing w:line="360" w:lineRule="auto"/>
        <w:ind w:firstLine="480" w:firstLineChars="200"/>
        <w:jc w:val="left"/>
        <w:rPr>
          <w:rFonts w:ascii="宋体" w:hAnsi="宋体"/>
          <w:color w:val="auto"/>
          <w:sz w:val="24"/>
          <w:szCs w:val="24"/>
          <w:highlight w:val="none"/>
        </w:rPr>
      </w:pPr>
      <w:r>
        <w:rPr>
          <w:rFonts w:hint="eastAsia" w:ascii="宋体" w:hAnsi="宋体"/>
          <w:color w:val="auto"/>
          <w:kern w:val="0"/>
          <w:sz w:val="24"/>
          <w:highlight w:val="none"/>
        </w:rPr>
        <w:t>乙方应确保其履行本合同（包括但不限于提交的任何资料、文件、成果及所使用的技术、专利等）未侵犯第三方合法权益，并保证在履行合同过程中不因其侵犯第三方的合法权益而导致任何第三方向甲方索赔或诉讼。若乙方使用他人的专利、专有技术等，乙方应自行承担相关费用。因违反本条款产生的一切纠纷，由乙方负责解决，并保证甲方免于承担任何法律责任。</w:t>
      </w:r>
      <w:r>
        <w:rPr>
          <w:rFonts w:hint="eastAsia" w:ascii="宋体" w:hAnsi="宋体"/>
          <w:color w:val="auto"/>
          <w:sz w:val="24"/>
          <w:szCs w:val="24"/>
          <w:highlight w:val="none"/>
        </w:rPr>
        <w:t>本条约定长期有效，不受本合同终止及效力约束。</w:t>
      </w:r>
    </w:p>
    <w:p w14:paraId="74A62693">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第十八条 不可抗力</w:t>
      </w:r>
    </w:p>
    <w:p w14:paraId="3E5420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遇有不可抗力事件的，受到该事件影响的一方，应立即将事件情况通知对方，并在可对外联系之日起5日内提供对方认可的证明文件。按照事件对履行合同的影响程度，由双方协商决定是否延期履行合同，或部分免除履行合同义务，或解除本合同。</w:t>
      </w:r>
    </w:p>
    <w:p w14:paraId="4C4F2AC7">
      <w:pPr>
        <w:tabs>
          <w:tab w:val="left" w:pos="2685"/>
          <w:tab w:val="left" w:pos="2940"/>
          <w:tab w:val="left" w:pos="3542"/>
          <w:tab w:val="left" w:pos="3780"/>
          <w:tab w:val="left" w:pos="432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2．本合同所称的“不可抗力事件”是指：因战争、七级（含）以上地震、台风、火灾而导致一方不能履行合同或迟延履行合同的事件。</w:t>
      </w:r>
    </w:p>
    <w:p w14:paraId="34E53E05">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第十九条 争议解决方式</w:t>
      </w:r>
    </w:p>
    <w:p w14:paraId="7F99C6E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因本合同引起的或与本合同有关的任何争议，经双方协商无法解决的，任何一方均有权向</w:t>
      </w:r>
      <w:r>
        <w:rPr>
          <w:rFonts w:hint="eastAsia" w:ascii="宋体" w:hAnsi="宋体" w:cs="宋体"/>
          <w:color w:val="auto"/>
          <w:sz w:val="24"/>
          <w:szCs w:val="24"/>
          <w:highlight w:val="none"/>
          <w:lang w:eastAsia="zh-CN"/>
        </w:rPr>
        <w:t>广州</w:t>
      </w:r>
      <w:r>
        <w:rPr>
          <w:rFonts w:hint="eastAsia" w:ascii="宋体" w:hAnsi="宋体" w:cs="宋体"/>
          <w:color w:val="auto"/>
          <w:sz w:val="24"/>
          <w:szCs w:val="24"/>
          <w:highlight w:val="none"/>
          <w:lang w:val="en-US" w:eastAsia="zh-CN"/>
        </w:rPr>
        <w:t>市天河区人民法院</w:t>
      </w:r>
      <w:r>
        <w:rPr>
          <w:rFonts w:hint="eastAsia" w:ascii="宋体" w:hAnsi="宋体" w:cs="宋体"/>
          <w:color w:val="auto"/>
          <w:sz w:val="24"/>
          <w:szCs w:val="24"/>
          <w:highlight w:val="none"/>
        </w:rPr>
        <w:t>申请</w:t>
      </w:r>
      <w:r>
        <w:rPr>
          <w:rFonts w:hint="eastAsia" w:ascii="宋体" w:hAnsi="宋体" w:cs="宋体"/>
          <w:color w:val="auto"/>
          <w:sz w:val="24"/>
          <w:szCs w:val="24"/>
          <w:highlight w:val="none"/>
          <w:lang w:val="en-US" w:eastAsia="zh-CN"/>
        </w:rPr>
        <w:t>裁决</w:t>
      </w:r>
      <w:r>
        <w:rPr>
          <w:rFonts w:hint="eastAsia" w:ascii="宋体" w:hAnsi="宋体" w:cs="宋体"/>
          <w:color w:val="auto"/>
          <w:sz w:val="24"/>
          <w:szCs w:val="24"/>
          <w:highlight w:val="none"/>
        </w:rPr>
        <w:t>。</w:t>
      </w:r>
    </w:p>
    <w:p w14:paraId="57639647">
      <w:pPr>
        <w:spacing w:line="360" w:lineRule="auto"/>
        <w:ind w:firstLine="482" w:firstLineChars="200"/>
        <w:rPr>
          <w:rFonts w:ascii="宋体" w:hAnsi="宋体" w:cs="宋体"/>
          <w:color w:val="auto"/>
          <w:sz w:val="24"/>
          <w:szCs w:val="24"/>
          <w:highlight w:val="none"/>
        </w:rPr>
      </w:pPr>
      <w:r>
        <w:rPr>
          <w:rFonts w:hint="eastAsia" w:ascii="宋体"/>
          <w:b/>
          <w:color w:val="auto"/>
          <w:sz w:val="24"/>
          <w:highlight w:val="none"/>
        </w:rPr>
        <w:t>第二</w:t>
      </w:r>
      <w:r>
        <w:rPr>
          <w:rFonts w:ascii="宋体"/>
          <w:b/>
          <w:color w:val="auto"/>
          <w:sz w:val="24"/>
          <w:highlight w:val="none"/>
        </w:rPr>
        <w:t>十</w:t>
      </w:r>
      <w:r>
        <w:rPr>
          <w:rFonts w:hint="eastAsia" w:ascii="宋体"/>
          <w:b/>
          <w:color w:val="auto"/>
          <w:sz w:val="24"/>
          <w:highlight w:val="none"/>
        </w:rPr>
        <w:t xml:space="preserve">条 </w:t>
      </w:r>
      <w:r>
        <w:rPr>
          <w:rFonts w:hint="eastAsia" w:ascii="宋体" w:hAnsi="宋体" w:cs="宋体"/>
          <w:b/>
          <w:bCs/>
          <w:color w:val="auto"/>
          <w:sz w:val="24"/>
          <w:szCs w:val="24"/>
          <w:highlight w:val="none"/>
        </w:rPr>
        <w:t>附则</w:t>
      </w:r>
    </w:p>
    <w:p w14:paraId="71A398E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在本合同履行过程中相互发出或者提供的所有通知、文件、文书、资料等，均以本合同所列明的或一方向对方书面通知的地址送达。一方如果迁址或者变更联系方式的，应当书面通知对方。未履行通知义务的，另一方按原地址邮寄相关材料即视为已履行送达义务；当面交付上述材料的，在交付之时视为送达；以特快专递方式（指EMS）或顺丰速运方式交付的，寄出后三日即视为送达（签收日较早的，以签收日为准）。</w:t>
      </w:r>
    </w:p>
    <w:p w14:paraId="52C5D1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2．本合同自双方法定代表人或授权代表签字（或签章），并加盖公章或合同专用章之日起生效。</w:t>
      </w:r>
    </w:p>
    <w:p w14:paraId="21645BD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3．本合同壹式</w:t>
      </w:r>
      <w:r>
        <w:rPr>
          <w:rFonts w:hint="eastAsia" w:ascii="宋体" w:hAnsi="宋体" w:cs="宋体"/>
          <w:color w:val="auto"/>
          <w:sz w:val="24"/>
          <w:szCs w:val="24"/>
          <w:highlight w:val="none"/>
          <w:lang w:eastAsia="zh-CN"/>
        </w:rPr>
        <w:t>陆</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lang w:eastAsia="zh-CN"/>
        </w:rPr>
        <w:t>肆</w:t>
      </w:r>
      <w:r>
        <w:rPr>
          <w:rFonts w:hint="eastAsia" w:ascii="宋体" w:hAnsi="宋体" w:cs="宋体"/>
          <w:color w:val="auto"/>
          <w:sz w:val="24"/>
          <w:szCs w:val="24"/>
          <w:highlight w:val="none"/>
        </w:rPr>
        <w:t>份，乙方执贰份，均具有同等法律效力。</w:t>
      </w:r>
    </w:p>
    <w:p w14:paraId="163377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4．本合同于</w:t>
      </w:r>
      <w:permStart w:id="34" w:edGrp="everyone"/>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ermEnd w:id="34"/>
      <w:r>
        <w:rPr>
          <w:rFonts w:hint="eastAsia" w:ascii="宋体" w:hAnsi="宋体" w:cs="宋体"/>
          <w:color w:val="auto"/>
          <w:sz w:val="24"/>
          <w:szCs w:val="24"/>
          <w:highlight w:val="none"/>
        </w:rPr>
        <w:t>年</w:t>
      </w:r>
      <w:permStart w:id="35" w:edGrp="everyone"/>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ermEnd w:id="35"/>
      <w:r>
        <w:rPr>
          <w:rFonts w:hint="eastAsia" w:ascii="宋体" w:hAnsi="宋体" w:cs="宋体"/>
          <w:color w:val="auto"/>
          <w:sz w:val="24"/>
          <w:szCs w:val="24"/>
          <w:highlight w:val="none"/>
        </w:rPr>
        <w:t>月</w:t>
      </w:r>
      <w:permStart w:id="36" w:edGrp="everyone"/>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ermEnd w:id="36"/>
      <w:r>
        <w:rPr>
          <w:rFonts w:hint="eastAsia" w:ascii="宋体" w:hAnsi="宋体" w:cs="宋体"/>
          <w:color w:val="auto"/>
          <w:sz w:val="24"/>
          <w:szCs w:val="24"/>
          <w:highlight w:val="none"/>
        </w:rPr>
        <w:t>日签订于广东省</w:t>
      </w:r>
      <w:r>
        <w:rPr>
          <w:rFonts w:hint="eastAsia" w:ascii="宋体" w:hAnsi="宋体" w:cs="宋体"/>
          <w:color w:val="auto"/>
          <w:sz w:val="24"/>
          <w:szCs w:val="24"/>
          <w:highlight w:val="none"/>
          <w:lang w:eastAsia="zh-CN"/>
        </w:rPr>
        <w:t>广州市天河</w:t>
      </w:r>
      <w:r>
        <w:rPr>
          <w:rFonts w:hint="eastAsia" w:ascii="宋体" w:hAnsi="宋体" w:cs="宋体"/>
          <w:color w:val="auto"/>
          <w:sz w:val="24"/>
          <w:szCs w:val="24"/>
          <w:highlight w:val="none"/>
        </w:rPr>
        <w:t>区。</w:t>
      </w:r>
    </w:p>
    <w:p w14:paraId="551BB4F4">
      <w:pPr>
        <w:spacing w:line="360" w:lineRule="auto"/>
        <w:ind w:firstLine="480" w:firstLineChars="200"/>
        <w:rPr>
          <w:rFonts w:ascii="宋体" w:hAnsi="宋体"/>
          <w:color w:val="auto"/>
          <w:sz w:val="24"/>
          <w:highlight w:val="none"/>
        </w:rPr>
      </w:pPr>
      <w:r>
        <w:rPr>
          <w:rFonts w:hint="eastAsia" w:ascii="宋体" w:hAnsi="宋体" w:cs="宋体"/>
          <w:color w:val="auto"/>
          <w:sz w:val="24"/>
          <w:szCs w:val="24"/>
          <w:highlight w:val="none"/>
        </w:rPr>
        <w:t>5.</w:t>
      </w:r>
      <w:r>
        <w:rPr>
          <w:rFonts w:hint="eastAsia" w:ascii="宋体" w:hAnsi="宋体"/>
          <w:color w:val="auto"/>
          <w:sz w:val="24"/>
          <w:highlight w:val="none"/>
        </w:rPr>
        <w:t xml:space="preserve"> 本合同附件为本合同重要组成部分，与本合同正文具有同等法律效力。</w:t>
      </w:r>
    </w:p>
    <w:p w14:paraId="5E93052D">
      <w:pPr>
        <w:tabs>
          <w:tab w:val="left" w:pos="1800"/>
          <w:tab w:val="left" w:pos="1980"/>
          <w:tab w:val="left" w:pos="2160"/>
          <w:tab w:val="left" w:pos="2880"/>
        </w:tabs>
        <w:rPr>
          <w:rFonts w:ascii="宋体" w:hAnsi="宋体" w:cs="宋体"/>
          <w:color w:val="auto"/>
          <w:sz w:val="24"/>
          <w:szCs w:val="24"/>
          <w:highlight w:val="none"/>
        </w:rPr>
      </w:pPr>
      <w:r>
        <w:rPr>
          <w:rFonts w:ascii="宋体" w:hAnsi="宋体" w:cs="宋体"/>
          <w:color w:val="auto"/>
          <w:sz w:val="24"/>
          <w:szCs w:val="24"/>
          <w:highlight w:val="none"/>
        </w:rPr>
        <w:t xml:space="preserve">    附件一 工程质量保修书</w:t>
      </w:r>
    </w:p>
    <w:p w14:paraId="5A0095AB">
      <w:pPr>
        <w:tabs>
          <w:tab w:val="left" w:pos="1800"/>
          <w:tab w:val="left" w:pos="1980"/>
          <w:tab w:val="left" w:pos="2160"/>
          <w:tab w:val="left" w:pos="288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附件二</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廉政合同</w:t>
      </w:r>
    </w:p>
    <w:p w14:paraId="533EFA74">
      <w:pPr>
        <w:tabs>
          <w:tab w:val="left" w:pos="1800"/>
          <w:tab w:val="left" w:pos="1980"/>
          <w:tab w:val="left" w:pos="2160"/>
          <w:tab w:val="left" w:pos="288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附件三</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工程承包人联系方式一览表</w:t>
      </w:r>
    </w:p>
    <w:p w14:paraId="1FE6004C">
      <w:pPr>
        <w:tabs>
          <w:tab w:val="left" w:pos="1800"/>
          <w:tab w:val="left" w:pos="1980"/>
          <w:tab w:val="left" w:pos="2160"/>
          <w:tab w:val="left" w:pos="288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附件四</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项目主要管理人员列表</w:t>
      </w:r>
    </w:p>
    <w:p w14:paraId="53F7E0C8">
      <w:pPr>
        <w:tabs>
          <w:tab w:val="left" w:pos="1800"/>
          <w:tab w:val="left" w:pos="1980"/>
          <w:tab w:val="left" w:pos="2160"/>
          <w:tab w:val="left" w:pos="2880"/>
        </w:tabs>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附件五</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《安全生产文明施工协议》</w:t>
      </w:r>
    </w:p>
    <w:p w14:paraId="2C586E97">
      <w:pPr>
        <w:spacing w:line="360" w:lineRule="auto"/>
        <w:ind w:firstLine="354" w:firstLineChars="147"/>
        <w:rPr>
          <w:b/>
          <w:color w:val="auto"/>
          <w:kern w:val="0"/>
          <w:sz w:val="24"/>
          <w:szCs w:val="24"/>
          <w:highlight w:val="none"/>
        </w:rPr>
      </w:pPr>
      <w:r>
        <w:rPr>
          <w:rFonts w:hint="eastAsia" w:ascii="宋体" w:hAnsi="宋体" w:cs="宋体"/>
          <w:b/>
          <w:color w:val="auto"/>
          <w:sz w:val="24"/>
          <w:szCs w:val="24"/>
          <w:highlight w:val="none"/>
        </w:rPr>
        <w:t>（本页以下无正文</w:t>
      </w:r>
      <w:r>
        <w:rPr>
          <w:rFonts w:hint="eastAsia"/>
          <w:b/>
          <w:color w:val="auto"/>
          <w:kern w:val="0"/>
          <w:sz w:val="24"/>
          <w:szCs w:val="24"/>
          <w:highlight w:val="none"/>
        </w:rPr>
        <w:t>）</w:t>
      </w:r>
    </w:p>
    <w:p w14:paraId="537C11EF">
      <w:pPr>
        <w:autoSpaceDE w:val="0"/>
        <w:autoSpaceDN w:val="0"/>
        <w:adjustRightInd w:val="0"/>
        <w:spacing w:line="480" w:lineRule="auto"/>
        <w:ind w:right="-88" w:firstLine="482" w:firstLineChars="200"/>
        <w:jc w:val="left"/>
        <w:rPr>
          <w:rFonts w:ascii="宋体" w:hAnsi="宋体" w:cs="宋体"/>
          <w:color w:val="auto"/>
          <w:sz w:val="24"/>
          <w:szCs w:val="24"/>
          <w:highlight w:val="none"/>
        </w:rPr>
      </w:pPr>
      <w:r>
        <w:rPr>
          <w:rFonts w:hint="eastAsia"/>
          <w:b/>
          <w:color w:val="auto"/>
          <w:kern w:val="0"/>
          <w:sz w:val="24"/>
          <w:szCs w:val="24"/>
          <w:highlight w:val="none"/>
        </w:rPr>
        <w:t>甲方（盖章）：</w:t>
      </w:r>
      <w:r>
        <w:rPr>
          <w:b/>
          <w:color w:val="auto"/>
          <w:kern w:val="0"/>
          <w:sz w:val="24"/>
          <w:szCs w:val="24"/>
          <w:highlight w:val="none"/>
        </w:rPr>
        <w:t xml:space="preserve"> </w:t>
      </w:r>
      <w:r>
        <w:rPr>
          <w:rFonts w:hint="eastAsia"/>
          <w:b/>
          <w:color w:val="auto"/>
          <w:kern w:val="0"/>
          <w:sz w:val="24"/>
          <w:szCs w:val="24"/>
          <w:highlight w:val="none"/>
        </w:rPr>
        <w:t xml:space="preserve">                   </w:t>
      </w:r>
      <w:r>
        <w:rPr>
          <w:b/>
          <w:color w:val="auto"/>
          <w:kern w:val="0"/>
          <w:sz w:val="24"/>
          <w:szCs w:val="24"/>
          <w:highlight w:val="none"/>
        </w:rPr>
        <w:t xml:space="preserve"> </w:t>
      </w:r>
      <w:r>
        <w:rPr>
          <w:rFonts w:hint="eastAsia"/>
          <w:b/>
          <w:color w:val="auto"/>
          <w:kern w:val="0"/>
          <w:sz w:val="24"/>
          <w:szCs w:val="24"/>
          <w:highlight w:val="none"/>
        </w:rPr>
        <w:t xml:space="preserve">     乙方（盖章）：</w:t>
      </w:r>
    </w:p>
    <w:p w14:paraId="6EB29748">
      <w:pPr>
        <w:tabs>
          <w:tab w:val="left" w:pos="1080"/>
        </w:tabs>
        <w:snapToGrid w:val="0"/>
        <w:spacing w:line="480" w:lineRule="auto"/>
        <w:ind w:firstLine="482" w:firstLineChars="200"/>
        <w:rPr>
          <w:rFonts w:ascii="宋体" w:hAnsi="宋体"/>
          <w:b/>
          <w:bCs/>
          <w:color w:val="auto"/>
          <w:sz w:val="24"/>
          <w:szCs w:val="24"/>
          <w:highlight w:val="none"/>
        </w:rPr>
      </w:pPr>
    </w:p>
    <w:p w14:paraId="70488111">
      <w:pPr>
        <w:tabs>
          <w:tab w:val="left" w:pos="1080"/>
        </w:tabs>
        <w:snapToGrid w:val="0"/>
        <w:spacing w:line="480" w:lineRule="auto"/>
        <w:rPr>
          <w:rFonts w:ascii="宋体" w:hAnsi="宋体"/>
          <w:b/>
          <w:bCs/>
          <w:color w:val="auto"/>
          <w:sz w:val="24"/>
          <w:szCs w:val="24"/>
          <w:highlight w:val="none"/>
        </w:rPr>
      </w:pPr>
      <w:r>
        <w:rPr>
          <w:rFonts w:hint="eastAsia" w:ascii="宋体" w:hAnsi="宋体"/>
          <w:b/>
          <w:bCs/>
          <w:color w:val="auto"/>
          <w:sz w:val="24"/>
          <w:szCs w:val="24"/>
          <w:highlight w:val="none"/>
        </w:rPr>
        <w:t>法定代表人</w:t>
      </w:r>
      <w:r>
        <w:rPr>
          <w:rFonts w:hint="eastAsia" w:ascii="宋体" w:hAnsi="宋体"/>
          <w:b/>
          <w:bCs/>
          <w:color w:val="auto"/>
          <w:sz w:val="24"/>
          <w:szCs w:val="24"/>
          <w:highlight w:val="none"/>
          <w:lang w:val="en-US" w:eastAsia="zh-CN"/>
        </w:rPr>
        <w:t>或</w:t>
      </w:r>
      <w:r>
        <w:rPr>
          <w:rFonts w:hint="eastAsia" w:ascii="宋体" w:hAnsi="宋体"/>
          <w:b/>
          <w:bCs/>
          <w:color w:val="auto"/>
          <w:sz w:val="24"/>
          <w:szCs w:val="24"/>
          <w:highlight w:val="none"/>
        </w:rPr>
        <w:t>授权代表（签字或签章）：       法定代表人</w:t>
      </w:r>
      <w:r>
        <w:rPr>
          <w:rFonts w:hint="eastAsia" w:ascii="宋体" w:hAnsi="宋体"/>
          <w:b/>
          <w:bCs/>
          <w:color w:val="auto"/>
          <w:sz w:val="24"/>
          <w:szCs w:val="24"/>
          <w:highlight w:val="none"/>
          <w:lang w:val="en-US" w:eastAsia="zh-CN"/>
        </w:rPr>
        <w:t>或</w:t>
      </w:r>
      <w:r>
        <w:rPr>
          <w:rFonts w:hint="eastAsia" w:ascii="宋体" w:hAnsi="宋体"/>
          <w:b/>
          <w:bCs/>
          <w:color w:val="auto"/>
          <w:sz w:val="24"/>
          <w:szCs w:val="24"/>
          <w:highlight w:val="none"/>
        </w:rPr>
        <w:t>授权代表（签字或签章）：</w:t>
      </w:r>
    </w:p>
    <w:p w14:paraId="1633D26E">
      <w:pPr>
        <w:tabs>
          <w:tab w:val="left" w:pos="1080"/>
        </w:tabs>
        <w:snapToGrid w:val="0"/>
        <w:spacing w:line="480" w:lineRule="auto"/>
        <w:rPr>
          <w:rFonts w:ascii="宋体" w:hAnsi="宋体"/>
          <w:b/>
          <w:bCs/>
          <w:color w:val="auto"/>
          <w:sz w:val="24"/>
          <w:szCs w:val="24"/>
          <w:highlight w:val="none"/>
        </w:rPr>
      </w:pPr>
    </w:p>
    <w:p w14:paraId="33D2EEA2">
      <w:pPr>
        <w:tabs>
          <w:tab w:val="left" w:pos="1080"/>
        </w:tabs>
        <w:snapToGrid w:val="0"/>
        <w:spacing w:line="480" w:lineRule="auto"/>
        <w:rPr>
          <w:b/>
          <w:color w:val="auto"/>
          <w:kern w:val="0"/>
          <w:sz w:val="24"/>
          <w:szCs w:val="24"/>
          <w:highlight w:val="none"/>
        </w:rPr>
      </w:pPr>
      <w:r>
        <w:rPr>
          <w:rFonts w:hint="eastAsia" w:ascii="宋体" w:hAnsi="宋体"/>
          <w:b/>
          <w:bCs/>
          <w:color w:val="auto"/>
          <w:sz w:val="24"/>
          <w:szCs w:val="24"/>
          <w:highlight w:val="none"/>
          <w:u w:val="none"/>
        </w:rPr>
        <w:t xml:space="preserve">       </w:t>
      </w:r>
      <w:r>
        <w:rPr>
          <w:rFonts w:hint="eastAsia" w:ascii="宋体" w:hAnsi="宋体"/>
          <w:bCs/>
          <w:color w:val="auto"/>
          <w:sz w:val="24"/>
          <w:szCs w:val="24"/>
          <w:highlight w:val="none"/>
          <w:u w:val="none"/>
        </w:rPr>
        <w:t xml:space="preserve">                    </w:t>
      </w:r>
      <w:r>
        <w:rPr>
          <w:b/>
          <w:color w:val="auto"/>
          <w:kern w:val="0"/>
          <w:sz w:val="24"/>
          <w:szCs w:val="24"/>
          <w:highlight w:val="none"/>
          <w:u w:val="none"/>
        </w:rPr>
        <w:t xml:space="preserve">   </w:t>
      </w:r>
      <w:r>
        <w:rPr>
          <w:rFonts w:hint="eastAsia"/>
          <w:b/>
          <w:color w:val="auto"/>
          <w:kern w:val="0"/>
          <w:sz w:val="24"/>
          <w:szCs w:val="24"/>
          <w:highlight w:val="none"/>
          <w:u w:val="none"/>
        </w:rPr>
        <w:t xml:space="preserve">       </w:t>
      </w:r>
      <w:r>
        <w:rPr>
          <w:rFonts w:hint="eastAsia" w:ascii="宋体" w:hAnsi="宋体"/>
          <w:b/>
          <w:bCs/>
          <w:color w:val="auto"/>
          <w:sz w:val="24"/>
          <w:szCs w:val="24"/>
          <w:highlight w:val="none"/>
          <w:u w:val="none"/>
        </w:rPr>
        <w:t xml:space="preserve">          </w:t>
      </w:r>
      <w:r>
        <w:rPr>
          <w:rFonts w:hint="eastAsia" w:ascii="宋体" w:hAnsi="宋体"/>
          <w:bCs/>
          <w:color w:val="auto"/>
          <w:sz w:val="24"/>
          <w:szCs w:val="24"/>
          <w:highlight w:val="none"/>
          <w:u w:val="none"/>
        </w:rPr>
        <w:t xml:space="preserve">                   </w:t>
      </w:r>
    </w:p>
    <w:p w14:paraId="2CF3A1F3">
      <w:pPr>
        <w:tabs>
          <w:tab w:val="left" w:pos="180"/>
          <w:tab w:val="left" w:pos="540"/>
        </w:tabs>
        <w:spacing w:line="480" w:lineRule="auto"/>
        <w:rPr>
          <w:rFonts w:ascii="宋体" w:hAnsi="宋体"/>
          <w:color w:val="auto"/>
          <w:sz w:val="24"/>
          <w:szCs w:val="20"/>
          <w:highlight w:val="none"/>
        </w:rPr>
      </w:pPr>
    </w:p>
    <w:p w14:paraId="6120BEAF">
      <w:pPr>
        <w:tabs>
          <w:tab w:val="left" w:pos="180"/>
          <w:tab w:val="left" w:pos="540"/>
        </w:tabs>
        <w:spacing w:line="480" w:lineRule="auto"/>
        <w:rPr>
          <w:rFonts w:ascii="宋体" w:hAnsi="宋体"/>
          <w:color w:val="auto"/>
          <w:sz w:val="24"/>
          <w:szCs w:val="20"/>
          <w:highlight w:val="none"/>
        </w:rPr>
      </w:pPr>
    </w:p>
    <w:p w14:paraId="302906FE">
      <w:pPr>
        <w:tabs>
          <w:tab w:val="left" w:pos="180"/>
          <w:tab w:val="left" w:pos="540"/>
        </w:tabs>
        <w:spacing w:line="480" w:lineRule="auto"/>
        <w:rPr>
          <w:rFonts w:ascii="宋体" w:hAnsi="宋体"/>
          <w:color w:val="auto"/>
          <w:sz w:val="24"/>
          <w:szCs w:val="20"/>
          <w:highlight w:val="none"/>
        </w:rPr>
      </w:pPr>
    </w:p>
    <w:p w14:paraId="0F3998E8">
      <w:pPr>
        <w:tabs>
          <w:tab w:val="left" w:pos="180"/>
          <w:tab w:val="left" w:pos="540"/>
        </w:tabs>
        <w:spacing w:line="480" w:lineRule="auto"/>
        <w:rPr>
          <w:rFonts w:ascii="宋体" w:hAnsi="宋体"/>
          <w:color w:val="auto"/>
          <w:sz w:val="24"/>
          <w:szCs w:val="20"/>
          <w:highlight w:val="none"/>
        </w:rPr>
      </w:pPr>
    </w:p>
    <w:p w14:paraId="5C4E6232">
      <w:pPr>
        <w:tabs>
          <w:tab w:val="left" w:pos="180"/>
          <w:tab w:val="left" w:pos="540"/>
        </w:tabs>
        <w:spacing w:line="480" w:lineRule="auto"/>
        <w:rPr>
          <w:rFonts w:ascii="宋体" w:hAnsi="宋体"/>
          <w:color w:val="auto"/>
          <w:sz w:val="24"/>
          <w:szCs w:val="20"/>
          <w:highlight w:val="none"/>
        </w:rPr>
      </w:pPr>
    </w:p>
    <w:p w14:paraId="1CE851C4">
      <w:pPr>
        <w:tabs>
          <w:tab w:val="left" w:pos="180"/>
          <w:tab w:val="left" w:pos="540"/>
        </w:tabs>
        <w:spacing w:line="480" w:lineRule="auto"/>
        <w:rPr>
          <w:rFonts w:ascii="宋体" w:hAnsi="宋体"/>
          <w:color w:val="auto"/>
          <w:sz w:val="24"/>
          <w:szCs w:val="20"/>
          <w:highlight w:val="none"/>
        </w:rPr>
      </w:pPr>
    </w:p>
    <w:p w14:paraId="40F54354">
      <w:pPr>
        <w:tabs>
          <w:tab w:val="left" w:pos="1800"/>
          <w:tab w:val="left" w:pos="1980"/>
          <w:tab w:val="left" w:pos="2160"/>
          <w:tab w:val="left" w:pos="2880"/>
        </w:tabs>
        <w:spacing w:line="480" w:lineRule="exact"/>
        <w:jc w:val="left"/>
        <w:rPr>
          <w:rFonts w:ascii="宋体" w:hAnsi="宋体" w:cs="宋体"/>
          <w:bCs/>
          <w:color w:val="auto"/>
          <w:szCs w:val="21"/>
          <w:highlight w:val="none"/>
        </w:rPr>
      </w:pPr>
      <w:r>
        <w:rPr>
          <w:rFonts w:ascii="宋体" w:hAnsi="宋体"/>
          <w:color w:val="auto"/>
          <w:sz w:val="24"/>
          <w:szCs w:val="20"/>
          <w:highlight w:val="none"/>
        </w:rPr>
        <w:br w:type="page"/>
      </w:r>
      <w:bookmarkStart w:id="42" w:name="_Toc251756195"/>
      <w:r>
        <w:rPr>
          <w:rFonts w:hint="eastAsia" w:ascii="宋体" w:hAnsi="宋体" w:cs="宋体"/>
          <w:bCs/>
          <w:color w:val="auto"/>
          <w:szCs w:val="21"/>
          <w:highlight w:val="none"/>
        </w:rPr>
        <w:t>合同附件</w:t>
      </w:r>
      <w:bookmarkEnd w:id="42"/>
      <w:r>
        <w:rPr>
          <w:rFonts w:hint="eastAsia" w:ascii="宋体" w:hAnsi="宋体" w:cs="宋体"/>
          <w:bCs/>
          <w:color w:val="auto"/>
          <w:szCs w:val="21"/>
          <w:highlight w:val="none"/>
        </w:rPr>
        <w:t>一</w:t>
      </w:r>
    </w:p>
    <w:p w14:paraId="5DE0E938">
      <w:pPr>
        <w:tabs>
          <w:tab w:val="left" w:pos="1800"/>
          <w:tab w:val="left" w:pos="1980"/>
          <w:tab w:val="left" w:pos="2160"/>
          <w:tab w:val="left" w:pos="2880"/>
        </w:tabs>
        <w:spacing w:line="360" w:lineRule="auto"/>
        <w:jc w:val="center"/>
        <w:rPr>
          <w:rFonts w:ascii="方正小标宋简体" w:hAnsi="宋体" w:eastAsia="方正小标宋简体" w:cs="宋体"/>
          <w:color w:val="auto"/>
          <w:sz w:val="32"/>
          <w:szCs w:val="32"/>
          <w:highlight w:val="none"/>
        </w:rPr>
      </w:pPr>
      <w:r>
        <w:rPr>
          <w:rFonts w:hint="eastAsia" w:ascii="方正小标宋简体" w:hAnsi="宋体" w:eastAsia="方正小标宋简体" w:cs="宋体"/>
          <w:bCs/>
          <w:color w:val="auto"/>
          <w:kern w:val="44"/>
          <w:sz w:val="32"/>
          <w:szCs w:val="32"/>
          <w:highlight w:val="none"/>
        </w:rPr>
        <w:t>工程质量保修书</w:t>
      </w:r>
      <w:r>
        <w:rPr>
          <w:rFonts w:hint="eastAsia" w:ascii="方正小标宋简体" w:hAnsi="宋体" w:eastAsia="方正小标宋简体" w:cs="宋体"/>
          <w:color w:val="auto"/>
          <w:sz w:val="32"/>
          <w:szCs w:val="32"/>
          <w:highlight w:val="none"/>
        </w:rPr>
        <w:t xml:space="preserve"> </w:t>
      </w:r>
    </w:p>
    <w:p w14:paraId="017E4517">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发  包  人：</w:t>
      </w:r>
      <w:permStart w:id="37" w:edGrp="everyone"/>
      <w:r>
        <w:rPr>
          <w:rFonts w:hint="eastAsia" w:ascii="宋体" w:hAnsi="宋体" w:cs="宋体"/>
          <w:color w:val="auto"/>
          <w:szCs w:val="21"/>
          <w:highlight w:val="none"/>
        </w:rPr>
        <w:t>广州高新技术产业集团有限公司</w:t>
      </w:r>
      <w:permEnd w:id="37"/>
      <w:r>
        <w:rPr>
          <w:rFonts w:hint="eastAsia" w:ascii="宋体" w:hAnsi="宋体" w:cs="宋体"/>
          <w:color w:val="auto"/>
          <w:szCs w:val="21"/>
          <w:highlight w:val="none"/>
        </w:rPr>
        <w:t xml:space="preserve"> </w:t>
      </w:r>
    </w:p>
    <w:p w14:paraId="5AEC5EE8">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承  包  人：</w:t>
      </w:r>
      <w:permStart w:id="38" w:edGrp="everyone"/>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ermEnd w:id="38"/>
      <w:r>
        <w:rPr>
          <w:rFonts w:hint="eastAsia" w:ascii="宋体" w:hAnsi="宋体" w:cs="宋体"/>
          <w:color w:val="auto"/>
          <w:szCs w:val="21"/>
          <w:highlight w:val="none"/>
        </w:rPr>
        <w:t xml:space="preserve"> </w:t>
      </w:r>
    </w:p>
    <w:p w14:paraId="6845B753">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为保证</w:t>
      </w:r>
      <w:r>
        <w:rPr>
          <w:rFonts w:hint="eastAsia" w:ascii="宋体" w:hAnsi="宋体" w:cs="宋体"/>
          <w:color w:val="auto"/>
          <w:szCs w:val="21"/>
          <w:highlight w:val="none"/>
          <w:u w:val="single"/>
          <w:lang w:eastAsia="zh-CN"/>
        </w:rPr>
        <w:t>广州高新集团天蕴路2号物业（天河软件园软件产业集中孵化中心）配电增容项目设计施工总承包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在合理使用期限内正常使用，合同双方当事人根据《中华人民共和国建筑法》、《建设工程质量管理条例》和《房屋建筑工程质量保修办法》等规定，经协商一致，订立本质量保修书。</w:t>
      </w:r>
    </w:p>
    <w:p w14:paraId="78664928">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一． 质量保修范围</w:t>
      </w:r>
    </w:p>
    <w:p w14:paraId="4E893DA4">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质量保修范围为本工程施工范围。具体质量保修范围，合同双方当事人约定如下：本工程承包内容全部为质量保修范围,具体见</w:t>
      </w:r>
      <w:permStart w:id="39" w:edGrp="everyone"/>
      <w:r>
        <w:rPr>
          <w:rFonts w:hint="eastAsia" w:ascii="宋体" w:hAnsi="宋体" w:cs="宋体"/>
          <w:color w:val="auto"/>
          <w:szCs w:val="21"/>
          <w:highlight w:val="none"/>
          <w:u w:val="single"/>
          <w:lang w:eastAsia="zh-CN"/>
        </w:rPr>
        <w:t>广州高新集团天蕴路2号物业（天河软件园软件产业集中孵化中心）配电增容项目设计施工总承包</w:t>
      </w:r>
      <w:permEnd w:id="39"/>
      <w:r>
        <w:rPr>
          <w:rFonts w:hint="eastAsia" w:ascii="宋体" w:hAnsi="宋体" w:cs="宋体"/>
          <w:color w:val="auto"/>
          <w:szCs w:val="21"/>
          <w:highlight w:val="none"/>
        </w:rPr>
        <w:t>（以下简称“施工合同”）第一条的“工程内容”和第二条“工程承包范围”。</w:t>
      </w:r>
    </w:p>
    <w:p w14:paraId="028A5EA7">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二． 质量保修期</w:t>
      </w:r>
    </w:p>
    <w:p w14:paraId="5B7B84EA">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1、本工程各地块质量保修期均自本工程竣工验收合格之日起计算。</w:t>
      </w:r>
    </w:p>
    <w:p w14:paraId="39C6C770">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2、执行</w:t>
      </w:r>
      <w:r>
        <w:rPr>
          <w:rFonts w:hint="eastAsia"/>
          <w:color w:val="auto"/>
          <w:szCs w:val="21"/>
          <w:highlight w:val="none"/>
        </w:rPr>
        <w:t>国务院《建设工程质量管理条例》第40条的规定</w:t>
      </w:r>
      <w:r>
        <w:rPr>
          <w:rFonts w:hint="eastAsia" w:ascii="宋体" w:hAnsi="宋体" w:cs="宋体"/>
          <w:color w:val="auto"/>
          <w:szCs w:val="21"/>
          <w:highlight w:val="none"/>
        </w:rPr>
        <w:t>；没有细列的项目按照国家有关规定执行，国家没有规定的按照两年执行。</w:t>
      </w:r>
    </w:p>
    <w:p w14:paraId="5D8E5D25">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三． 质量保修责任</w:t>
      </w:r>
    </w:p>
    <w:p w14:paraId="718DE416">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1、属于保修范围和内容的项目，承包人应在接到发包人电话通知24小时内进场维修。紧急情况下，承包人应在2小时内进场维修，承包人不在约定时限内进场维修或维修质量不符合要求的，发包人有权自行委托第三方修缮，维修费用从质量保证金内扣除，不足部分承包人应在维修之日起15个工作日内支付给发包人。同时承包人应对因延误造成的其他经济损失承担全部的赔偿责任。如承包人未能及时维修的情况在累计发生达三次以上（含），发包人有权没收全部的质量保证金。但承包人于本合同项下的保修义务及责任不因此减免。    </w:t>
      </w:r>
    </w:p>
    <w:p w14:paraId="1ADB2741">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2、 承包人须派专门的维修事务代表至发包方，遇有维修事项时，应及时签收维修书面通知。当发生紧急情况或维修事务代表未到岗或未及时签收维修书面通知时，发包人可选择以下一项或者多项方式通知承包人，通知的具体联系方式详见施工合同附件三《工程承包人联系方式一览表》，如有变动，承包人应及时书面通知发包方并经发包人盖章确认，否则，造成发包人无法联系到承包人的责任由承包人承担：</w:t>
      </w:r>
    </w:p>
    <w:p w14:paraId="3A568FED">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a、发包人以其他形式通知维修事务代表，通知的形式包括但不限于电话、短信、传真、书面文件、电子邮件等一种或者多种；</w:t>
      </w:r>
    </w:p>
    <w:p w14:paraId="73A2AC3D">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b、通知承包人的项目经理、负责人或其指定的工程事务代表，通知的形式包括但不限于电话、短信、传真、书面文件、电子邮件等一种或者多种；</w:t>
      </w:r>
    </w:p>
    <w:p w14:paraId="0EF61D51">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c、按承包人预留的地址以快递方式送达，快递发出时间以邮戳为准，发出后三个日历日视为送达，无法送达、退回或者拒收均视为送达，承包人如更换地址需及时书面通知发包人；</w:t>
      </w:r>
    </w:p>
    <w:p w14:paraId="392279E4">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d、将维修通知发至承包人预留的电子邮箱即视为送达；</w:t>
      </w:r>
    </w:p>
    <w:p w14:paraId="46AE0C5C">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e、将维修通知传真至承包人预留的传真号码视为送达。</w:t>
      </w:r>
    </w:p>
    <w:p w14:paraId="6FE56D85">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3、承包人应按照发包人认可的保修方案和技术要求进行维修。否则，发包人可以先自行（或委托第三方）进行维修，维修费用由承包人承担，发包人可以直接从质量保证金中扣除，不足部分承包人应在维修之日起15个工作日内支付给发包人。双方同意由负责该项目的造价事务所在维修完毕后审定维修费用，任何一方如有异议，由双方进行核实，协商解决，协商不成时，可依照合同约定的争议解决方式解决。</w:t>
      </w:r>
    </w:p>
    <w:p w14:paraId="1DE1AAD7">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4、在国家规定的合理使用期限内，承包人应确保地基基础工程和主体结构的质量和安全。凡出现质量问题，应立即报告当地建设行政主管部门，经设计人提出保修方案后，承包人应立即实施保修，一切费用由承包人承担。因承包人原因致使工程在合理使用期内造成人身和财产损害的，承包人应承担损害赔偿责任。</w:t>
      </w:r>
    </w:p>
    <w:p w14:paraId="08C14410">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5、质量保修或维修工作完成后，承包人应及时通知发包人，由发包人组织验收并书面确认保修结果。</w:t>
      </w:r>
    </w:p>
    <w:p w14:paraId="708DC23A">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四．质量保修费用和质量保证金</w:t>
      </w:r>
    </w:p>
    <w:p w14:paraId="4FE83592">
      <w:pPr>
        <w:tabs>
          <w:tab w:val="left" w:pos="1800"/>
          <w:tab w:val="left" w:pos="1980"/>
          <w:tab w:val="left" w:pos="2160"/>
          <w:tab w:val="left" w:pos="2880"/>
        </w:tabs>
        <w:spacing w:line="300" w:lineRule="auto"/>
        <w:ind w:firstLine="480"/>
        <w:rPr>
          <w:rFonts w:ascii="宋体" w:hAnsi="宋体" w:cs="宋体"/>
          <w:color w:val="auto"/>
          <w:szCs w:val="21"/>
          <w:highlight w:val="none"/>
        </w:rPr>
      </w:pPr>
      <w:r>
        <w:rPr>
          <w:rFonts w:hint="eastAsia" w:ascii="宋体" w:hAnsi="宋体" w:cs="宋体"/>
          <w:color w:val="auto"/>
          <w:szCs w:val="21"/>
          <w:highlight w:val="none"/>
        </w:rPr>
        <w:t>1.质量保修费用由承包人承担。</w:t>
      </w:r>
    </w:p>
    <w:p w14:paraId="6147BA18">
      <w:pPr>
        <w:tabs>
          <w:tab w:val="left" w:pos="1800"/>
          <w:tab w:val="left" w:pos="1980"/>
          <w:tab w:val="left" w:pos="2160"/>
          <w:tab w:val="left" w:pos="2880"/>
        </w:tabs>
        <w:spacing w:line="300" w:lineRule="auto"/>
        <w:ind w:firstLine="480"/>
        <w:rPr>
          <w:rFonts w:ascii="宋体" w:hAnsi="宋体" w:cs="宋体"/>
          <w:color w:val="auto"/>
          <w:szCs w:val="21"/>
          <w:highlight w:val="none"/>
        </w:rPr>
      </w:pPr>
      <w:r>
        <w:rPr>
          <w:rFonts w:hint="eastAsia" w:ascii="宋体" w:hAnsi="宋体" w:cs="宋体"/>
          <w:color w:val="auto"/>
          <w:szCs w:val="21"/>
          <w:highlight w:val="none"/>
        </w:rPr>
        <w:t>2.质量保证金的约定、支付和使用与施工合同第三部分《专用条款》第19.4及59条的约定一致。</w:t>
      </w:r>
    </w:p>
    <w:p w14:paraId="269863CD">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五．其他</w:t>
      </w:r>
    </w:p>
    <w:p w14:paraId="62F26C4C">
      <w:pPr>
        <w:tabs>
          <w:tab w:val="left" w:pos="1800"/>
          <w:tab w:val="left" w:pos="1980"/>
          <w:tab w:val="left" w:pos="2160"/>
          <w:tab w:val="left" w:pos="2880"/>
        </w:tabs>
        <w:spacing w:line="300" w:lineRule="auto"/>
        <w:rPr>
          <w:rFonts w:ascii="宋体" w:hAnsi="宋体" w:cs="宋体"/>
          <w:color w:val="auto"/>
          <w:szCs w:val="21"/>
          <w:highlight w:val="none"/>
        </w:rPr>
      </w:pPr>
      <w:r>
        <w:rPr>
          <w:rFonts w:hint="eastAsia" w:ascii="宋体" w:hAnsi="宋体" w:cs="宋体"/>
          <w:color w:val="auto"/>
          <w:szCs w:val="21"/>
          <w:highlight w:val="none"/>
        </w:rPr>
        <w:t xml:space="preserve">    1、本工程质量保修书作为施工合同的附件，为施工合同重要组成部分。</w:t>
      </w:r>
    </w:p>
    <w:p w14:paraId="35DAF899">
      <w:pPr>
        <w:tabs>
          <w:tab w:val="left" w:pos="1800"/>
          <w:tab w:val="left" w:pos="1980"/>
          <w:tab w:val="left" w:pos="2160"/>
          <w:tab w:val="left" w:pos="2880"/>
        </w:tabs>
        <w:spacing w:line="30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2、本工程质量保修书自双方法定代表人或授权代表签字（或签章），并加盖公章或合同专用章之日起生效，</w:t>
      </w:r>
      <w:r>
        <w:rPr>
          <w:rFonts w:hint="eastAsia" w:ascii="宋体" w:hAnsi="宋体" w:cs="Arial Unicode MS"/>
          <w:color w:val="auto"/>
          <w:szCs w:val="21"/>
          <w:highlight w:val="none"/>
        </w:rPr>
        <w:t>至质量保修期满且承包人全面妥善履行完毕保修义务后失效</w:t>
      </w:r>
      <w:r>
        <w:rPr>
          <w:rFonts w:hint="eastAsia" w:ascii="宋体" w:hAnsi="宋体" w:cs="宋体"/>
          <w:color w:val="auto"/>
          <w:szCs w:val="21"/>
          <w:highlight w:val="none"/>
        </w:rPr>
        <w:t>。</w:t>
      </w:r>
    </w:p>
    <w:p w14:paraId="74230C48">
      <w:pPr>
        <w:tabs>
          <w:tab w:val="left" w:pos="1800"/>
          <w:tab w:val="left" w:pos="1980"/>
          <w:tab w:val="left" w:pos="2160"/>
          <w:tab w:val="left" w:pos="2880"/>
        </w:tabs>
        <w:spacing w:line="300" w:lineRule="auto"/>
        <w:ind w:firstLine="457" w:firstLineChars="218"/>
        <w:jc w:val="left"/>
        <w:rPr>
          <w:rFonts w:ascii="宋体" w:hAnsi="宋体" w:cs="宋体"/>
          <w:color w:val="auto"/>
          <w:szCs w:val="21"/>
          <w:highlight w:val="none"/>
        </w:rPr>
      </w:pPr>
      <w:r>
        <w:rPr>
          <w:rFonts w:hint="eastAsia" w:ascii="宋体" w:hAnsi="宋体" w:cs="宋体"/>
          <w:color w:val="auto"/>
          <w:szCs w:val="21"/>
          <w:highlight w:val="none"/>
        </w:rPr>
        <w:t>3.本工程质量保修书一式</w:t>
      </w:r>
      <w:r>
        <w:rPr>
          <w:rFonts w:hint="eastAsia" w:ascii="宋体" w:hAnsi="宋体" w:cs="宋体"/>
          <w:color w:val="auto"/>
          <w:szCs w:val="21"/>
          <w:highlight w:val="none"/>
          <w:lang w:eastAsia="zh-CN"/>
        </w:rPr>
        <w:t>陆</w:t>
      </w:r>
      <w:r>
        <w:rPr>
          <w:rFonts w:hint="eastAsia" w:ascii="宋体" w:hAnsi="宋体" w:cs="宋体"/>
          <w:color w:val="auto"/>
          <w:szCs w:val="21"/>
          <w:highlight w:val="none"/>
        </w:rPr>
        <w:t>份，具有同等法律效力,</w:t>
      </w:r>
      <w:r>
        <w:rPr>
          <w:rFonts w:hint="eastAsia" w:ascii="宋体" w:hAnsi="宋体" w:cs="宋体"/>
          <w:color w:val="auto"/>
          <w:szCs w:val="21"/>
          <w:highlight w:val="none"/>
          <w:lang w:eastAsia="zh-CN"/>
        </w:rPr>
        <w:t>发包人执肆份</w:t>
      </w:r>
      <w:r>
        <w:rPr>
          <w:rFonts w:hint="eastAsia" w:ascii="宋体" w:hAnsi="宋体" w:cs="宋体"/>
          <w:color w:val="auto"/>
          <w:szCs w:val="21"/>
          <w:highlight w:val="none"/>
        </w:rPr>
        <w:t>，</w:t>
      </w:r>
      <w:r>
        <w:rPr>
          <w:rFonts w:hint="eastAsia" w:ascii="宋体" w:hAnsi="宋体" w:cs="宋体"/>
          <w:color w:val="auto"/>
          <w:szCs w:val="21"/>
          <w:highlight w:val="none"/>
          <w:lang w:eastAsia="zh-CN"/>
        </w:rPr>
        <w:t>承包人执贰份</w:t>
      </w:r>
      <w:r>
        <w:rPr>
          <w:rFonts w:hint="eastAsia" w:ascii="宋体" w:hAnsi="宋体" w:cs="宋体"/>
          <w:color w:val="auto"/>
          <w:szCs w:val="21"/>
          <w:highlight w:val="none"/>
        </w:rPr>
        <w:t>。</w:t>
      </w:r>
    </w:p>
    <w:p w14:paraId="6491B782">
      <w:pPr>
        <w:tabs>
          <w:tab w:val="left" w:pos="1800"/>
          <w:tab w:val="left" w:pos="1980"/>
          <w:tab w:val="left" w:pos="2160"/>
          <w:tab w:val="left" w:pos="28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（正文完）</w:t>
      </w:r>
    </w:p>
    <w:p w14:paraId="035082EA">
      <w:pPr>
        <w:tabs>
          <w:tab w:val="left" w:pos="1800"/>
          <w:tab w:val="left" w:pos="1980"/>
          <w:tab w:val="left" w:pos="2160"/>
          <w:tab w:val="left" w:pos="2880"/>
        </w:tabs>
        <w:spacing w:line="360" w:lineRule="auto"/>
        <w:ind w:firstLine="420" w:firstLineChars="200"/>
        <w:rPr>
          <w:rFonts w:ascii="宋体" w:hAnsi="宋体" w:cs="宋体"/>
          <w:color w:val="auto"/>
          <w:szCs w:val="21"/>
          <w:highlight w:val="none"/>
        </w:rPr>
      </w:pPr>
    </w:p>
    <w:p w14:paraId="21306688">
      <w:pPr>
        <w:tabs>
          <w:tab w:val="left" w:pos="1800"/>
          <w:tab w:val="left" w:pos="1980"/>
          <w:tab w:val="left" w:pos="2160"/>
          <w:tab w:val="left" w:pos="2880"/>
        </w:tabs>
        <w:spacing w:line="360" w:lineRule="auto"/>
        <w:ind w:firstLine="420" w:firstLineChars="200"/>
        <w:rPr>
          <w:rFonts w:ascii="宋体" w:hAnsi="宋体" w:cs="宋体"/>
          <w:color w:val="auto"/>
          <w:szCs w:val="21"/>
          <w:highlight w:val="none"/>
        </w:rPr>
      </w:pPr>
    </w:p>
    <w:p w14:paraId="64A6799B">
      <w:pPr>
        <w:tabs>
          <w:tab w:val="left" w:pos="1800"/>
          <w:tab w:val="left" w:pos="1980"/>
          <w:tab w:val="left" w:pos="2160"/>
          <w:tab w:val="left" w:pos="2880"/>
        </w:tabs>
        <w:spacing w:line="360" w:lineRule="auto"/>
        <w:ind w:firstLine="420" w:firstLineChars="200"/>
        <w:rPr>
          <w:rFonts w:ascii="宋体" w:hAnsi="宋体" w:cs="宋体"/>
          <w:color w:val="auto"/>
          <w:szCs w:val="21"/>
          <w:highlight w:val="none"/>
        </w:rPr>
      </w:pPr>
    </w:p>
    <w:p w14:paraId="2294D77C">
      <w:pPr>
        <w:tabs>
          <w:tab w:val="left" w:pos="1800"/>
          <w:tab w:val="left" w:pos="1980"/>
          <w:tab w:val="left" w:pos="2160"/>
          <w:tab w:val="left" w:pos="28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发 包 人：（盖章）</w:t>
      </w:r>
      <w:r>
        <w:rPr>
          <w:rFonts w:hint="eastAsia" w:ascii="宋体" w:hAnsi="宋体" w:cs="宋体"/>
          <w:color w:val="auto"/>
          <w:szCs w:val="21"/>
          <w:highlight w:val="none"/>
        </w:rPr>
        <w:tab/>
      </w:r>
      <w:r>
        <w:rPr>
          <w:rFonts w:hint="eastAsia" w:ascii="宋体" w:hAnsi="宋体" w:cs="宋体"/>
          <w:color w:val="auto"/>
          <w:szCs w:val="21"/>
          <w:highlight w:val="none"/>
        </w:rPr>
        <w:tab/>
      </w:r>
      <w:r>
        <w:rPr>
          <w:rFonts w:hint="eastAsia" w:ascii="宋体" w:hAnsi="宋体" w:cs="宋体"/>
          <w:color w:val="auto"/>
          <w:szCs w:val="21"/>
          <w:highlight w:val="none"/>
        </w:rPr>
        <w:t xml:space="preserve">                     承 包 人 ：（盖章）            </w:t>
      </w:r>
    </w:p>
    <w:p w14:paraId="3A5E2B66">
      <w:pPr>
        <w:tabs>
          <w:tab w:val="left" w:pos="1800"/>
          <w:tab w:val="left" w:pos="1980"/>
          <w:tab w:val="left" w:pos="2160"/>
          <w:tab w:val="left" w:pos="2880"/>
        </w:tabs>
        <w:spacing w:line="360" w:lineRule="auto"/>
        <w:ind w:firstLine="315" w:firstLineChars="150"/>
        <w:rPr>
          <w:rFonts w:ascii="宋体" w:hAnsi="宋体" w:cs="宋体"/>
          <w:color w:val="auto"/>
          <w:szCs w:val="21"/>
          <w:highlight w:val="none"/>
        </w:rPr>
      </w:pPr>
    </w:p>
    <w:p w14:paraId="268BE226">
      <w:pPr>
        <w:tabs>
          <w:tab w:val="left" w:pos="1800"/>
          <w:tab w:val="left" w:pos="1980"/>
          <w:tab w:val="left" w:pos="2160"/>
          <w:tab w:val="left" w:pos="28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法定代表人或授权代表：                        法定代表人或授权代表： </w:t>
      </w:r>
    </w:p>
    <w:p w14:paraId="764606C1">
      <w:pPr>
        <w:tabs>
          <w:tab w:val="left" w:pos="1800"/>
          <w:tab w:val="left" w:pos="1980"/>
          <w:tab w:val="left" w:pos="2160"/>
          <w:tab w:val="left" w:pos="2880"/>
        </w:tabs>
        <w:spacing w:line="360" w:lineRule="auto"/>
        <w:ind w:firstLine="315" w:firstLineChars="150"/>
        <w:rPr>
          <w:rFonts w:ascii="宋体" w:hAnsi="宋体" w:cs="宋体"/>
          <w:color w:val="auto"/>
          <w:szCs w:val="21"/>
          <w:highlight w:val="none"/>
        </w:rPr>
      </w:pPr>
    </w:p>
    <w:p w14:paraId="787CFB64">
      <w:pPr>
        <w:tabs>
          <w:tab w:val="left" w:pos="1800"/>
          <w:tab w:val="left" w:pos="1980"/>
          <w:tab w:val="left" w:pos="2160"/>
          <w:tab w:val="left" w:pos="2880"/>
        </w:tabs>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 xml:space="preserve">  </w:t>
      </w:r>
    </w:p>
    <w:p w14:paraId="5F111608">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合同附件二</w:t>
      </w:r>
    </w:p>
    <w:p w14:paraId="19BF5E58">
      <w:pPr>
        <w:spacing w:before="145" w:beforeLines="50" w:after="145" w:afterLines="50" w:line="580" w:lineRule="exact"/>
        <w:jc w:val="center"/>
        <w:rPr>
          <w:rFonts w:hint="eastAsia" w:ascii="仿宋_GB2312" w:hAnsi="仿宋_GB2312" w:eastAsia="仿宋_GB2312"/>
          <w:b/>
          <w:color w:val="auto"/>
          <w:sz w:val="28"/>
          <w:highlight w:val="none"/>
        </w:rPr>
      </w:pPr>
      <w:r>
        <w:rPr>
          <w:rFonts w:hint="eastAsia" w:ascii="黑体" w:hAnsi="黑体" w:eastAsia="黑体"/>
          <w:b/>
          <w:color w:val="auto"/>
          <w:sz w:val="44"/>
          <w:szCs w:val="32"/>
          <w:highlight w:val="none"/>
        </w:rPr>
        <w:t>项目承发包廉洁协议</w:t>
      </w:r>
    </w:p>
    <w:p w14:paraId="741FC7C1">
      <w:pPr>
        <w:spacing w:before="145" w:beforeLines="50" w:after="145" w:afterLines="50" w:line="400" w:lineRule="exact"/>
        <w:ind w:left="2002" w:hanging="1968" w:hangingChars="700"/>
        <w:rPr>
          <w:rFonts w:hint="eastAsia" w:ascii="仿宋_GB2312" w:hAnsi="仿宋_GB2312" w:eastAsia="仿宋_GB2312"/>
          <w:b/>
          <w:color w:val="auto"/>
          <w:sz w:val="28"/>
          <w:szCs w:val="32"/>
          <w:highlight w:val="none"/>
        </w:rPr>
      </w:pPr>
    </w:p>
    <w:p w14:paraId="7DC151D6">
      <w:pPr>
        <w:keepNext w:val="0"/>
        <w:keepLines w:val="0"/>
        <w:pageBreakBefore w:val="0"/>
        <w:widowControl w:val="0"/>
        <w:kinsoku/>
        <w:wordWrap/>
        <w:overflowPunct/>
        <w:topLinePunct w:val="0"/>
        <w:autoSpaceDE/>
        <w:autoSpaceDN/>
        <w:bidi w:val="0"/>
        <w:adjustRightInd/>
        <w:snapToGrid/>
        <w:spacing w:line="460" w:lineRule="exact"/>
        <w:ind w:left="0" w:hanging="1968" w:hangingChars="700"/>
        <w:jc w:val="both"/>
        <w:textAlignment w:val="auto"/>
        <w:rPr>
          <w:rFonts w:hint="eastAsia" w:ascii="仿宋_GB2312" w:hAnsi="仿宋_GB2312" w:eastAsia="仿宋_GB2312"/>
          <w:color w:val="auto"/>
          <w:sz w:val="28"/>
          <w:szCs w:val="32"/>
          <w:highlight w:val="none"/>
        </w:rPr>
      </w:pPr>
      <w:r>
        <w:rPr>
          <w:rFonts w:hint="eastAsia" w:ascii="仿宋_GB2312" w:hAnsi="仿宋_GB2312" w:eastAsia="仿宋_GB2312"/>
          <w:b/>
          <w:color w:val="auto"/>
          <w:sz w:val="28"/>
          <w:szCs w:val="32"/>
          <w:highlight w:val="none"/>
        </w:rPr>
        <w:t>工程项目名称：</w:t>
      </w:r>
      <w:r>
        <w:rPr>
          <w:rFonts w:hint="eastAsia" w:ascii="仿宋_GB2312" w:hAnsi="仿宋_GB2312" w:eastAsia="仿宋_GB2312" w:cs="Times New Roman"/>
          <w:b w:val="0"/>
          <w:bCs/>
          <w:color w:val="auto"/>
          <w:sz w:val="28"/>
          <w:szCs w:val="32"/>
          <w:highlight w:val="none"/>
          <w:u w:val="none"/>
          <w:lang w:eastAsia="zh-CN"/>
        </w:rPr>
        <w:t>广州高新集团天蕴路2号物业（天河软件园软件产业集中孵化中心）配电增容项目设计施工总承包</w:t>
      </w:r>
    </w:p>
    <w:p w14:paraId="23F8514F">
      <w:pPr>
        <w:keepNext w:val="0"/>
        <w:keepLines w:val="0"/>
        <w:pageBreakBefore w:val="0"/>
        <w:widowControl w:val="0"/>
        <w:kinsoku/>
        <w:wordWrap/>
        <w:overflowPunct/>
        <w:topLinePunct w:val="0"/>
        <w:autoSpaceDE/>
        <w:autoSpaceDN/>
        <w:bidi w:val="0"/>
        <w:adjustRightInd/>
        <w:snapToGrid/>
        <w:spacing w:after="145" w:afterLines="50" w:line="460" w:lineRule="exact"/>
        <w:ind w:left="0" w:hanging="1968" w:hangingChars="700"/>
        <w:textAlignment w:val="auto"/>
        <w:rPr>
          <w:rFonts w:hint="default" w:ascii="仿宋_GB2312" w:hAnsi="仿宋_GB2312" w:eastAsia="仿宋_GB2312" w:cs="Times New Roman"/>
          <w:color w:val="auto"/>
          <w:sz w:val="28"/>
          <w:szCs w:val="32"/>
          <w:highlight w:val="none"/>
          <w:lang w:val="en-US" w:eastAsia="zh-CN"/>
        </w:rPr>
      </w:pPr>
      <w:r>
        <w:rPr>
          <w:rFonts w:hint="eastAsia" w:ascii="仿宋_GB2312" w:hAnsi="仿宋_GB2312" w:eastAsia="仿宋_GB2312"/>
          <w:b/>
          <w:color w:val="auto"/>
          <w:sz w:val="28"/>
          <w:szCs w:val="32"/>
          <w:highlight w:val="none"/>
        </w:rPr>
        <w:t>工程项目地址：</w:t>
      </w:r>
      <w:r>
        <w:rPr>
          <w:rFonts w:hint="eastAsia" w:ascii="仿宋_GB2312" w:hAnsi="仿宋_GB2312" w:eastAsia="仿宋_GB2312" w:cs="Times New Roman"/>
          <w:bCs/>
          <w:color w:val="auto"/>
          <w:sz w:val="28"/>
          <w:szCs w:val="32"/>
          <w:highlight w:val="none"/>
          <w:u w:val="none"/>
          <w:lang w:eastAsia="zh-CN"/>
        </w:rPr>
        <w:t>广州</w:t>
      </w:r>
      <w:r>
        <w:rPr>
          <w:rFonts w:hint="eastAsia" w:ascii="仿宋_GB2312" w:hAnsi="仿宋_GB2312" w:eastAsia="仿宋_GB2312" w:cs="Times New Roman"/>
          <w:bCs/>
          <w:color w:val="auto"/>
          <w:sz w:val="28"/>
          <w:szCs w:val="32"/>
          <w:highlight w:val="none"/>
          <w:u w:val="none"/>
        </w:rPr>
        <w:t>市</w:t>
      </w:r>
      <w:r>
        <w:rPr>
          <w:rFonts w:hint="eastAsia" w:ascii="仿宋_GB2312" w:hAnsi="仿宋_GB2312" w:eastAsia="仿宋_GB2312" w:cs="Times New Roman"/>
          <w:bCs/>
          <w:color w:val="auto"/>
          <w:sz w:val="28"/>
          <w:szCs w:val="32"/>
          <w:highlight w:val="none"/>
          <w:u w:val="none"/>
          <w:lang w:eastAsia="zh-CN"/>
        </w:rPr>
        <w:t>天河</w:t>
      </w:r>
      <w:r>
        <w:rPr>
          <w:rFonts w:hint="eastAsia" w:ascii="仿宋_GB2312" w:hAnsi="仿宋_GB2312" w:eastAsia="仿宋_GB2312" w:cs="Times New Roman"/>
          <w:bCs/>
          <w:color w:val="auto"/>
          <w:sz w:val="28"/>
          <w:szCs w:val="32"/>
          <w:highlight w:val="none"/>
          <w:u w:val="none"/>
        </w:rPr>
        <w:t>区</w:t>
      </w:r>
      <w:r>
        <w:rPr>
          <w:rFonts w:hint="eastAsia" w:ascii="仿宋_GB2312" w:hAnsi="仿宋_GB2312" w:eastAsia="仿宋_GB2312" w:cs="Times New Roman"/>
          <w:bCs/>
          <w:color w:val="auto"/>
          <w:sz w:val="28"/>
          <w:szCs w:val="32"/>
          <w:highlight w:val="none"/>
          <w:u w:val="none"/>
          <w:lang w:eastAsia="zh-CN"/>
        </w:rPr>
        <w:t>天蕴路</w:t>
      </w:r>
      <w:r>
        <w:rPr>
          <w:rFonts w:hint="eastAsia" w:ascii="仿宋_GB2312" w:hAnsi="仿宋_GB2312" w:eastAsia="仿宋_GB2312" w:cs="Times New Roman"/>
          <w:bCs/>
          <w:color w:val="auto"/>
          <w:sz w:val="28"/>
          <w:szCs w:val="32"/>
          <w:highlight w:val="none"/>
          <w:u w:val="none"/>
          <w:lang w:val="en-US" w:eastAsia="zh-CN"/>
        </w:rPr>
        <w:t>2号</w:t>
      </w:r>
    </w:p>
    <w:p w14:paraId="7F0551B8">
      <w:pPr>
        <w:keepNext w:val="0"/>
        <w:keepLines w:val="0"/>
        <w:pageBreakBefore w:val="0"/>
        <w:widowControl w:val="0"/>
        <w:kinsoku/>
        <w:wordWrap/>
        <w:overflowPunct/>
        <w:topLinePunct w:val="0"/>
        <w:autoSpaceDE/>
        <w:autoSpaceDN/>
        <w:bidi w:val="0"/>
        <w:adjustRightInd/>
        <w:snapToGrid/>
        <w:spacing w:after="145" w:afterLines="50" w:line="460" w:lineRule="exact"/>
        <w:textAlignment w:val="auto"/>
        <w:rPr>
          <w:rFonts w:hint="eastAsia" w:ascii="仿宋_GB2312" w:hAnsi="仿宋_GB2312" w:eastAsia="仿宋_GB2312"/>
          <w:color w:val="auto"/>
          <w:sz w:val="28"/>
          <w:szCs w:val="32"/>
          <w:highlight w:val="none"/>
        </w:rPr>
      </w:pPr>
      <w:r>
        <w:rPr>
          <w:rFonts w:hint="eastAsia" w:ascii="仿宋_GB2312" w:hAnsi="仿宋_GB2312" w:eastAsia="仿宋_GB2312"/>
          <w:b/>
          <w:color w:val="auto"/>
          <w:sz w:val="28"/>
          <w:szCs w:val="32"/>
          <w:highlight w:val="none"/>
        </w:rPr>
        <w:t>甲方：</w:t>
      </w:r>
      <w:r>
        <w:rPr>
          <w:rFonts w:hint="eastAsia" w:ascii="仿宋_GB2312" w:hAnsi="仿宋_GB2312" w:eastAsia="仿宋_GB2312"/>
          <w:color w:val="auto"/>
          <w:sz w:val="28"/>
          <w:szCs w:val="32"/>
          <w:highlight w:val="none"/>
        </w:rPr>
        <w:t>广州高新技术产业集团有限公司</w:t>
      </w:r>
    </w:p>
    <w:p w14:paraId="29D12AE5">
      <w:pPr>
        <w:keepNext w:val="0"/>
        <w:keepLines w:val="0"/>
        <w:pageBreakBefore w:val="0"/>
        <w:widowControl w:val="0"/>
        <w:kinsoku/>
        <w:wordWrap/>
        <w:overflowPunct/>
        <w:topLinePunct w:val="0"/>
        <w:autoSpaceDE/>
        <w:autoSpaceDN/>
        <w:bidi w:val="0"/>
        <w:adjustRightInd/>
        <w:snapToGrid/>
        <w:spacing w:after="145" w:afterLines="50" w:line="460" w:lineRule="exact"/>
        <w:textAlignment w:val="auto"/>
        <w:rPr>
          <w:rFonts w:hint="eastAsia" w:ascii="仿宋_GB2312" w:hAnsi="仿宋_GB2312" w:eastAsia="仿宋_GB2312"/>
          <w:color w:val="auto"/>
          <w:sz w:val="28"/>
          <w:highlight w:val="none"/>
        </w:rPr>
      </w:pPr>
      <w:r>
        <w:rPr>
          <w:rFonts w:hint="eastAsia" w:ascii="仿宋_GB2312" w:hAnsi="仿宋_GB2312" w:eastAsia="仿宋_GB2312"/>
          <w:b/>
          <w:color w:val="auto"/>
          <w:sz w:val="28"/>
          <w:szCs w:val="32"/>
          <w:highlight w:val="none"/>
        </w:rPr>
        <w:t>乙方：</w:t>
      </w:r>
      <w:permStart w:id="40" w:edGrp="everyone"/>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u w:val="single"/>
        </w:rPr>
        <w:t xml:space="preserve"> </w:t>
      </w:r>
      <w:permEnd w:id="40"/>
      <w:r>
        <w:rPr>
          <w:rFonts w:hint="eastAsia" w:ascii="宋体" w:hAnsi="宋体" w:cs="宋体"/>
          <w:color w:val="auto"/>
          <w:szCs w:val="21"/>
          <w:highlight w:val="none"/>
        </w:rPr>
        <w:t xml:space="preserve"> </w:t>
      </w:r>
      <w:r>
        <w:rPr>
          <w:rFonts w:hint="eastAsia" w:ascii="仿宋_GB2312" w:hAnsi="仿宋_GB2312" w:eastAsia="仿宋_GB2312" w:cs="Times New Roman"/>
          <w:color w:val="auto"/>
          <w:sz w:val="28"/>
          <w:szCs w:val="32"/>
          <w:highlight w:val="none"/>
          <w:lang w:val="en-US" w:eastAsia="zh-CN"/>
        </w:rPr>
        <w:t xml:space="preserve"> </w:t>
      </w:r>
    </w:p>
    <w:p w14:paraId="1B36685D">
      <w:pPr>
        <w:keepNext w:val="0"/>
        <w:keepLines w:val="0"/>
        <w:pageBreakBefore w:val="0"/>
        <w:widowControl w:val="0"/>
        <w:kinsoku/>
        <w:wordWrap/>
        <w:overflowPunct/>
        <w:topLinePunct w:val="0"/>
        <w:autoSpaceDE/>
        <w:autoSpaceDN/>
        <w:bidi w:val="0"/>
        <w:adjustRightInd/>
        <w:snapToGrid/>
        <w:spacing w:before="291" w:beforeLines="100" w:line="460" w:lineRule="exact"/>
        <w:ind w:firstLine="560" w:firstLineChars="200"/>
        <w:textAlignment w:val="auto"/>
        <w:rPr>
          <w:rFonts w:hint="eastAsia" w:ascii="仿宋_GB2312" w:hAnsi="仿宋_GB2312" w:eastAsia="仿宋_GB2312"/>
          <w:color w:val="auto"/>
          <w:sz w:val="28"/>
          <w:szCs w:val="32"/>
          <w:highlight w:val="none"/>
        </w:rPr>
      </w:pPr>
      <w:r>
        <w:rPr>
          <w:rFonts w:hint="eastAsia" w:ascii="仿宋_GB2312" w:hAnsi="仿宋_GB2312" w:eastAsia="仿宋_GB2312"/>
          <w:color w:val="auto"/>
          <w:sz w:val="28"/>
          <w:highlight w:val="none"/>
        </w:rPr>
        <w:t>为了</w:t>
      </w:r>
      <w:r>
        <w:rPr>
          <w:rFonts w:hint="eastAsia" w:ascii="仿宋_GB2312" w:hAnsi="仿宋_GB2312" w:eastAsia="仿宋_GB2312"/>
          <w:color w:val="auto"/>
          <w:sz w:val="28"/>
          <w:szCs w:val="32"/>
          <w:highlight w:val="none"/>
        </w:rPr>
        <w:t>规范承发包双方的活动，防止项目承发包过程中不正之风、腐败现</w:t>
      </w:r>
      <w:r>
        <w:rPr>
          <w:rFonts w:hint="eastAsia" w:ascii="仿宋_GB2312" w:hAnsi="仿宋_GB2312" w:eastAsia="仿宋_GB2312"/>
          <w:color w:val="auto"/>
          <w:sz w:val="28"/>
          <w:highlight w:val="none"/>
        </w:rPr>
        <w:t>象和商业贿赂行为的发生，根据</w:t>
      </w:r>
      <w:r>
        <w:rPr>
          <w:rFonts w:hint="eastAsia" w:ascii="仿宋_GB2312" w:hAnsi="仿宋_GB2312" w:eastAsia="仿宋_GB2312"/>
          <w:color w:val="auto"/>
          <w:sz w:val="28"/>
          <w:szCs w:val="32"/>
          <w:highlight w:val="none"/>
        </w:rPr>
        <w:t>有关法律、法规、廉政建设的规定，特订立本廉洁协议书。</w:t>
      </w:r>
    </w:p>
    <w:p w14:paraId="34101F7F">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一、甲乙双方应当自觉遵守有关法律和法规以及有关廉政建设的各项规定。</w:t>
      </w:r>
    </w:p>
    <w:p w14:paraId="05B0B6ED">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二、甲乙双方有责任对本单位工程项目人员进行廉政教育，并对相关人员执行协议的情况进行监督。</w:t>
      </w:r>
      <w:bookmarkStart w:id="43" w:name="#235301"/>
      <w:bookmarkEnd w:id="43"/>
    </w:p>
    <w:p w14:paraId="674E9142">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三、甲方及其工作人员不得以任何形式向乙方索要和收受回扣等好处费。</w:t>
      </w:r>
    </w:p>
    <w:p w14:paraId="3FF70F55">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四、甲方工作人员应保持与乙方的正常业务交往，不得接受乙方的礼金、有价证券和贵重物品，不得在乙方报销任何应由单位和个人支付的费用。</w:t>
      </w:r>
    </w:p>
    <w:p w14:paraId="691CEC98">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五、甲方工作人员不得参加可能对公正执行公务有影响的宴请和娱乐活动。</w:t>
      </w:r>
    </w:p>
    <w:p w14:paraId="3AFFA815">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六、甲方工作人员不得要求和接受乙方为其住房装修、婚丧嫁娶、家属和子女的工作安排以及出国、出境等提供方便。</w:t>
      </w:r>
    </w:p>
    <w:p w14:paraId="5DB58119">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七、甲方工作人员不得在乙方兼职以及向乙方介绍家属或者亲友从事与甲方工程有关的材料设备供应等经济活动。</w:t>
      </w:r>
    </w:p>
    <w:p w14:paraId="2CA5618A">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八、乙方及其工作人员不得利用向甲方单位及其工作人员行贿、提供回扣或者其它好处等不正当手段承揽工程。</w:t>
      </w:r>
    </w:p>
    <w:p w14:paraId="136F41CC">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九、乙方不得为谋取私利擅自与甲方工作人员就有关问题处理等进行私下商谈或者达成默契。</w:t>
      </w:r>
    </w:p>
    <w:p w14:paraId="5CC404FB">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十、乙方不得以洽谈业务、签订经济合同为借口，邀请甲方工作人员外出旅游和进入营业性娱乐场所活动。</w:t>
      </w:r>
    </w:p>
    <w:p w14:paraId="504FB151">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十一、乙方不得为甲方和个人购置或者无偿提供通讯工具、交通工具、家电、办公用品等物品。</w:t>
      </w:r>
    </w:p>
    <w:p w14:paraId="6B254EFF">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二、乙方如发现甲方工作人员有违反上述协议者，应向甲方领导、甲方上级单位或纪检监察、检察机关举报。甲方不得找任何借口对乙方进行报复。甲方对举报属实和严格遵守廉洁自律协议的乙方，在同等条件下给予承接后续工程投标优先权。甲方工作人员向乙方索贿，经乙方检举，被纪检监察、检察机关立案查处认定的，乙方有权从甲方获得被索贿款1-3倍作为奖励（此款由索贿人承担），由此产生的立案费由甲方索贿人承担。</w:t>
      </w:r>
    </w:p>
    <w:p w14:paraId="62042C6F">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三、甲方发现乙方有违反本协议或者采取不正当的手段行贿甲方工作人员，甲方根据具体情节和造成的后果追究乙方的违约责任。由此给甲方单位造成的损失均由乙方承担。乙方在项目中贿赂甲方工作人员，被纪检监察或司法机关立案查处的，甲方有权中止项目合同，由此导致甲方所造成的损失以及发生的一切费用均由乙方承担。</w:t>
      </w:r>
    </w:p>
    <w:p w14:paraId="77B6F684">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十四、甲方纪检监察部门有权对乙方在工程项目建设中保持廉洁的情况实行监督，定期或不定期检查甲乙双方履行本协议情况。</w:t>
      </w:r>
    </w:p>
    <w:p w14:paraId="23364AF1">
      <w:pPr>
        <w:keepNext w:val="0"/>
        <w:keepLines w:val="0"/>
        <w:pageBreakBefore w:val="0"/>
        <w:widowControl w:val="0"/>
        <w:kinsoku/>
        <w:wordWrap/>
        <w:overflowPunct/>
        <w:topLinePunct w:val="0"/>
        <w:autoSpaceDE/>
        <w:autoSpaceDN/>
        <w:bidi w:val="0"/>
        <w:adjustRightInd/>
        <w:snapToGrid/>
        <w:spacing w:line="460" w:lineRule="exact"/>
        <w:ind w:firstLine="645"/>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十五、</w:t>
      </w:r>
      <w:r>
        <w:rPr>
          <w:rFonts w:hint="eastAsia" w:ascii="仿宋_GB2312" w:hAnsi="仿宋_GB2312" w:eastAsia="仿宋_GB2312"/>
          <w:color w:val="auto"/>
          <w:sz w:val="28"/>
          <w:szCs w:val="32"/>
          <w:highlight w:val="none"/>
        </w:rPr>
        <w:t>甲乙双方愿意接受建设主管部门，纪检监察部门对本协议执行情况的监督检查。</w:t>
      </w:r>
    </w:p>
    <w:p w14:paraId="397A7B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十六、本协议一式四份，甲乙双方各执一份，主管部门一份，纪检监察部门一份。</w:t>
      </w:r>
    </w:p>
    <w:p w14:paraId="17267E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十七、本协议自双方签字之日起生效，在项目验收交付使用并经甲方纪检监察部门按本协议验收后终止。</w:t>
      </w:r>
    </w:p>
    <w:p w14:paraId="16D9531D">
      <w:pPr>
        <w:spacing w:line="460" w:lineRule="exact"/>
        <w:ind w:left="-22" w:leftChars="-85" w:hanging="156" w:hangingChars="56"/>
        <w:rPr>
          <w:rFonts w:hint="eastAsia" w:ascii="仿宋_GB2312" w:hAnsi="仿宋_GB2312" w:eastAsia="仿宋_GB2312"/>
          <w:color w:val="auto"/>
          <w:sz w:val="28"/>
          <w:highlight w:val="none"/>
        </w:rPr>
      </w:pPr>
    </w:p>
    <w:p w14:paraId="60DE29A3">
      <w:pPr>
        <w:keepNext w:val="0"/>
        <w:keepLines w:val="0"/>
        <w:pageBreakBefore w:val="0"/>
        <w:kinsoku/>
        <w:wordWrap/>
        <w:overflowPunct/>
        <w:topLinePunct w:val="0"/>
        <w:autoSpaceDE/>
        <w:autoSpaceDN/>
        <w:bidi w:val="0"/>
        <w:adjustRightInd/>
        <w:snapToGrid/>
        <w:spacing w:line="460" w:lineRule="exact"/>
        <w:ind w:left="-23" w:leftChars="-11" w:firstLine="22" w:firstLineChars="8"/>
        <w:jc w:val="left"/>
        <w:textAlignment w:val="auto"/>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 xml:space="preserve">    甲方（盖章）：               </w:t>
      </w:r>
      <w:r>
        <w:rPr>
          <w:rFonts w:hint="eastAsia" w:ascii="仿宋_GB2312" w:hAnsi="仿宋_GB2312" w:eastAsia="仿宋_GB2312"/>
          <w:color w:val="auto"/>
          <w:sz w:val="28"/>
          <w:highlight w:val="none"/>
          <w:lang w:val="en-US" w:eastAsia="zh-CN"/>
        </w:rPr>
        <w:t xml:space="preserve"> </w:t>
      </w:r>
      <w:r>
        <w:rPr>
          <w:rFonts w:hint="eastAsia" w:ascii="仿宋_GB2312" w:hAnsi="仿宋_GB2312" w:eastAsia="仿宋_GB2312"/>
          <w:color w:val="auto"/>
          <w:sz w:val="28"/>
          <w:highlight w:val="none"/>
        </w:rPr>
        <w:t>乙方（盖章）：</w:t>
      </w:r>
    </w:p>
    <w:p w14:paraId="3DECE7C7">
      <w:pPr>
        <w:keepNext w:val="0"/>
        <w:keepLines w:val="0"/>
        <w:pageBreakBefore w:val="0"/>
        <w:widowControl/>
        <w:tabs>
          <w:tab w:val="left" w:pos="-4560"/>
        </w:tabs>
        <w:kinsoku/>
        <w:wordWrap/>
        <w:overflowPunct/>
        <w:topLinePunct w:val="0"/>
        <w:autoSpaceDE/>
        <w:autoSpaceDN/>
        <w:bidi w:val="0"/>
        <w:adjustRightInd/>
        <w:snapToGrid/>
        <w:spacing w:line="460" w:lineRule="exact"/>
        <w:ind w:left="0" w:leftChars="0" w:right="-241" w:firstLine="0" w:firstLineChars="0"/>
        <w:jc w:val="left"/>
        <w:textAlignment w:val="auto"/>
        <w:outlineLvl w:val="0"/>
        <w:rPr>
          <w:rFonts w:hint="eastAsia" w:ascii="仿宋_GB2312" w:hAnsi="仿宋_GB2312" w:eastAsia="仿宋_GB2312"/>
          <w:bCs/>
          <w:color w:val="auto"/>
          <w:kern w:val="0"/>
          <w:sz w:val="28"/>
          <w:highlight w:val="none"/>
        </w:rPr>
      </w:pPr>
      <w:r>
        <w:rPr>
          <w:rFonts w:hint="eastAsia" w:ascii="仿宋_GB2312" w:hAnsi="仿宋_GB2312" w:eastAsia="仿宋_GB2312"/>
          <w:bCs/>
          <w:color w:val="auto"/>
          <w:kern w:val="0"/>
          <w:sz w:val="28"/>
          <w:highlight w:val="none"/>
        </w:rPr>
        <w:t xml:space="preserve">    签约代表（签名）：           </w:t>
      </w:r>
      <w:r>
        <w:rPr>
          <w:rFonts w:hint="eastAsia" w:ascii="仿宋_GB2312" w:hAnsi="仿宋_GB2312" w:eastAsia="仿宋_GB2312"/>
          <w:bCs/>
          <w:color w:val="auto"/>
          <w:kern w:val="0"/>
          <w:sz w:val="28"/>
          <w:highlight w:val="none"/>
          <w:lang w:val="en-US" w:eastAsia="zh-CN"/>
        </w:rPr>
        <w:t xml:space="preserve"> </w:t>
      </w:r>
      <w:r>
        <w:rPr>
          <w:rFonts w:hint="eastAsia" w:ascii="仿宋_GB2312" w:hAnsi="仿宋_GB2312" w:eastAsia="仿宋_GB2312"/>
          <w:bCs/>
          <w:color w:val="auto"/>
          <w:kern w:val="0"/>
          <w:sz w:val="28"/>
          <w:highlight w:val="none"/>
        </w:rPr>
        <w:t>签约代表（签名）：</w:t>
      </w:r>
    </w:p>
    <w:p w14:paraId="0E10D984">
      <w:pPr>
        <w:keepNext w:val="0"/>
        <w:keepLines w:val="0"/>
        <w:pageBreakBefore w:val="0"/>
        <w:kinsoku/>
        <w:wordWrap/>
        <w:overflowPunct/>
        <w:topLinePunct w:val="0"/>
        <w:autoSpaceDE/>
        <w:autoSpaceDN/>
        <w:bidi w:val="0"/>
        <w:adjustRightInd/>
        <w:snapToGrid/>
        <w:spacing w:line="460" w:lineRule="exact"/>
        <w:ind w:firstLine="560" w:firstLineChars="200"/>
        <w:jc w:val="left"/>
        <w:textAlignment w:val="auto"/>
        <w:rPr>
          <w:rFonts w:ascii="仿宋_GB2312" w:hAnsi="仿宋_GB2312" w:eastAsia="仿宋_GB2312"/>
          <w:color w:val="auto"/>
          <w:kern w:val="0"/>
          <w:sz w:val="28"/>
          <w:highlight w:val="none"/>
        </w:rPr>
      </w:pPr>
      <w:r>
        <w:rPr>
          <w:rFonts w:hint="eastAsia" w:ascii="仿宋_GB2312" w:hAnsi="仿宋_GB2312" w:eastAsia="仿宋_GB2312"/>
          <w:color w:val="auto"/>
          <w:kern w:val="0"/>
          <w:sz w:val="28"/>
          <w:highlight w:val="none"/>
        </w:rPr>
        <w:t>日期：202</w:t>
      </w:r>
      <w:r>
        <w:rPr>
          <w:rFonts w:hint="eastAsia" w:ascii="仿宋_GB2312" w:hAnsi="仿宋_GB2312" w:eastAsia="仿宋_GB2312"/>
          <w:color w:val="auto"/>
          <w:kern w:val="0"/>
          <w:sz w:val="28"/>
          <w:highlight w:val="none"/>
          <w:lang w:val="en-US" w:eastAsia="zh-CN"/>
        </w:rPr>
        <w:t>5</w:t>
      </w:r>
      <w:r>
        <w:rPr>
          <w:rFonts w:hint="eastAsia" w:ascii="仿宋_GB2312" w:hAnsi="仿宋_GB2312" w:eastAsia="仿宋_GB2312"/>
          <w:color w:val="auto"/>
          <w:kern w:val="0"/>
          <w:sz w:val="28"/>
          <w:highlight w:val="none"/>
        </w:rPr>
        <w:t>年</w:t>
      </w:r>
      <w:r>
        <w:rPr>
          <w:rFonts w:hint="eastAsia" w:ascii="仿宋_GB2312" w:hAnsi="仿宋_GB2312" w:eastAsia="仿宋_GB2312"/>
          <w:color w:val="auto"/>
          <w:kern w:val="0"/>
          <w:sz w:val="28"/>
          <w:highlight w:val="none"/>
          <w:lang w:val="en-US" w:eastAsia="zh-CN"/>
        </w:rPr>
        <w:t>5</w:t>
      </w:r>
      <w:r>
        <w:rPr>
          <w:rFonts w:hint="eastAsia" w:ascii="仿宋_GB2312" w:hAnsi="仿宋_GB2312" w:eastAsia="仿宋_GB2312"/>
          <w:color w:val="auto"/>
          <w:kern w:val="0"/>
          <w:sz w:val="28"/>
          <w:highlight w:val="none"/>
        </w:rPr>
        <w:t>月</w:t>
      </w:r>
      <w:r>
        <w:rPr>
          <w:rFonts w:hint="eastAsia" w:ascii="仿宋_GB2312" w:hAnsi="仿宋_GB2312" w:eastAsia="仿宋_GB2312"/>
          <w:color w:val="auto"/>
          <w:kern w:val="0"/>
          <w:sz w:val="28"/>
          <w:highlight w:val="none"/>
          <w:lang w:val="en-US" w:eastAsia="zh-CN"/>
        </w:rPr>
        <w:t>XX</w:t>
      </w:r>
      <w:r>
        <w:rPr>
          <w:rFonts w:hint="eastAsia" w:ascii="仿宋_GB2312" w:hAnsi="仿宋_GB2312" w:eastAsia="仿宋_GB2312"/>
          <w:color w:val="auto"/>
          <w:kern w:val="0"/>
          <w:sz w:val="28"/>
          <w:highlight w:val="none"/>
        </w:rPr>
        <w:t xml:space="preserve">日       </w:t>
      </w:r>
      <w:r>
        <w:rPr>
          <w:rFonts w:hint="eastAsia" w:ascii="仿宋_GB2312" w:hAnsi="仿宋_GB2312" w:eastAsia="仿宋_GB2312"/>
          <w:color w:val="auto"/>
          <w:kern w:val="0"/>
          <w:sz w:val="28"/>
          <w:highlight w:val="none"/>
          <w:lang w:val="en-US" w:eastAsia="zh-CN"/>
        </w:rPr>
        <w:t xml:space="preserve"> </w:t>
      </w:r>
      <w:r>
        <w:rPr>
          <w:rFonts w:hint="eastAsia" w:ascii="仿宋_GB2312" w:hAnsi="仿宋_GB2312" w:eastAsia="仿宋_GB2312"/>
          <w:color w:val="auto"/>
          <w:kern w:val="0"/>
          <w:sz w:val="28"/>
          <w:highlight w:val="none"/>
        </w:rPr>
        <w:t>日期：202</w:t>
      </w:r>
      <w:r>
        <w:rPr>
          <w:rFonts w:hint="eastAsia" w:ascii="仿宋_GB2312" w:hAnsi="仿宋_GB2312" w:eastAsia="仿宋_GB2312"/>
          <w:color w:val="auto"/>
          <w:kern w:val="0"/>
          <w:sz w:val="28"/>
          <w:highlight w:val="none"/>
          <w:lang w:val="en-US" w:eastAsia="zh-CN"/>
        </w:rPr>
        <w:t>5</w:t>
      </w:r>
      <w:r>
        <w:rPr>
          <w:rFonts w:hint="eastAsia" w:ascii="仿宋_GB2312" w:hAnsi="仿宋_GB2312" w:eastAsia="仿宋_GB2312"/>
          <w:color w:val="auto"/>
          <w:kern w:val="0"/>
          <w:sz w:val="28"/>
          <w:highlight w:val="none"/>
        </w:rPr>
        <w:t>年</w:t>
      </w:r>
      <w:r>
        <w:rPr>
          <w:rFonts w:hint="eastAsia" w:ascii="仿宋_GB2312" w:hAnsi="仿宋_GB2312" w:eastAsia="仿宋_GB2312"/>
          <w:color w:val="auto"/>
          <w:kern w:val="0"/>
          <w:sz w:val="28"/>
          <w:highlight w:val="none"/>
          <w:lang w:val="en-US" w:eastAsia="zh-CN"/>
        </w:rPr>
        <w:t>5</w:t>
      </w:r>
      <w:r>
        <w:rPr>
          <w:rFonts w:hint="eastAsia" w:ascii="仿宋_GB2312" w:hAnsi="仿宋_GB2312" w:eastAsia="仿宋_GB2312"/>
          <w:color w:val="auto"/>
          <w:kern w:val="0"/>
          <w:sz w:val="28"/>
          <w:highlight w:val="none"/>
        </w:rPr>
        <w:t>月</w:t>
      </w:r>
      <w:r>
        <w:rPr>
          <w:rFonts w:hint="eastAsia" w:ascii="仿宋_GB2312" w:hAnsi="仿宋_GB2312" w:eastAsia="仿宋_GB2312"/>
          <w:color w:val="auto"/>
          <w:kern w:val="0"/>
          <w:sz w:val="28"/>
          <w:highlight w:val="none"/>
          <w:lang w:val="en-US" w:eastAsia="zh-CN"/>
        </w:rPr>
        <w:t>XX</w:t>
      </w:r>
      <w:r>
        <w:rPr>
          <w:rFonts w:hint="eastAsia" w:ascii="仿宋_GB2312" w:hAnsi="仿宋_GB2312" w:eastAsia="仿宋_GB2312"/>
          <w:color w:val="auto"/>
          <w:kern w:val="0"/>
          <w:sz w:val="28"/>
          <w:highlight w:val="none"/>
        </w:rPr>
        <w:t xml:space="preserve">日 </w:t>
      </w:r>
    </w:p>
    <w:p w14:paraId="0FB299A6">
      <w:pPr>
        <w:spacing w:line="460" w:lineRule="exact"/>
        <w:rPr>
          <w:rFonts w:hint="eastAsia" w:ascii="仿宋_GB2312" w:hAnsi="仿宋_GB2312" w:eastAsia="仿宋_GB2312"/>
          <w:bCs/>
          <w:color w:val="auto"/>
          <w:sz w:val="28"/>
          <w:szCs w:val="36"/>
          <w:highlight w:val="none"/>
        </w:rPr>
      </w:pPr>
    </w:p>
    <w:p w14:paraId="3A671476">
      <w:pPr>
        <w:spacing w:line="460" w:lineRule="exact"/>
        <w:rPr>
          <w:rFonts w:hint="eastAsia" w:ascii="仿宋_GB2312" w:hAnsi="仿宋_GB2312" w:eastAsia="仿宋_GB2312"/>
          <w:bCs/>
          <w:color w:val="auto"/>
          <w:sz w:val="28"/>
          <w:szCs w:val="36"/>
          <w:highlight w:val="none"/>
        </w:rPr>
      </w:pPr>
    </w:p>
    <w:p w14:paraId="4CDA52F2">
      <w:pPr>
        <w:spacing w:line="460" w:lineRule="exact"/>
        <w:rPr>
          <w:rFonts w:hint="eastAsia" w:ascii="仿宋_GB2312" w:hAnsi="仿宋_GB2312" w:eastAsia="仿宋_GB2312"/>
          <w:bCs/>
          <w:color w:val="auto"/>
          <w:sz w:val="28"/>
          <w:szCs w:val="36"/>
          <w:highlight w:val="none"/>
        </w:rPr>
      </w:pPr>
    </w:p>
    <w:p w14:paraId="088EC2CD">
      <w:pPr>
        <w:spacing w:line="460" w:lineRule="exact"/>
        <w:rPr>
          <w:rFonts w:hint="eastAsia" w:ascii="仿宋_GB2312" w:hAnsi="仿宋_GB2312" w:eastAsia="仿宋_GB2312"/>
          <w:b/>
          <w:color w:val="auto"/>
          <w:sz w:val="28"/>
          <w:szCs w:val="36"/>
          <w:highlight w:val="none"/>
        </w:rPr>
      </w:pPr>
      <w:r>
        <w:rPr>
          <w:rFonts w:hint="eastAsia" w:ascii="仿宋_GB2312" w:hAnsi="仿宋_GB2312" w:eastAsia="仿宋_GB2312"/>
          <w:bCs/>
          <w:color w:val="auto"/>
          <w:sz w:val="28"/>
          <w:szCs w:val="36"/>
          <w:highlight w:val="none"/>
        </w:rPr>
        <w:t>附：《甲乙双方项目相关人员一览表》</w:t>
      </w:r>
    </w:p>
    <w:p w14:paraId="23C58A3C">
      <w:pPr>
        <w:spacing w:line="460" w:lineRule="exact"/>
        <w:rPr>
          <w:rFonts w:hint="eastAsia" w:ascii="仿宋_GB2312" w:hAnsi="仿宋_GB2312" w:eastAsia="仿宋_GB2312"/>
          <w:b/>
          <w:color w:val="auto"/>
          <w:sz w:val="28"/>
          <w:szCs w:val="36"/>
          <w:highlight w:val="none"/>
        </w:rPr>
      </w:pPr>
    </w:p>
    <w:p w14:paraId="6D47615C">
      <w:pPr>
        <w:spacing w:line="460" w:lineRule="exact"/>
        <w:jc w:val="center"/>
        <w:rPr>
          <w:rFonts w:hint="eastAsia" w:ascii="黑体" w:hAnsi="黑体" w:eastAsia="黑体"/>
          <w:b/>
          <w:color w:val="auto"/>
          <w:sz w:val="44"/>
          <w:szCs w:val="40"/>
          <w:highlight w:val="none"/>
        </w:rPr>
      </w:pPr>
      <w:r>
        <w:rPr>
          <w:rFonts w:hint="eastAsia" w:ascii="黑体" w:hAnsi="黑体" w:eastAsia="黑体"/>
          <w:b/>
          <w:color w:val="auto"/>
          <w:sz w:val="44"/>
          <w:szCs w:val="40"/>
          <w:highlight w:val="none"/>
        </w:rPr>
        <w:t>甲乙双方项目相关人员一览表</w:t>
      </w:r>
    </w:p>
    <w:p w14:paraId="51FBAE9D">
      <w:pPr>
        <w:spacing w:line="460" w:lineRule="exact"/>
        <w:jc w:val="center"/>
        <w:rPr>
          <w:rFonts w:hint="eastAsia" w:ascii="仿宋_GB2312" w:hAnsi="仿宋_GB2312" w:eastAsia="仿宋_GB2312"/>
          <w:b/>
          <w:color w:val="auto"/>
          <w:sz w:val="28"/>
          <w:szCs w:val="36"/>
          <w:highlight w:val="none"/>
        </w:rPr>
      </w:pPr>
    </w:p>
    <w:tbl>
      <w:tblPr>
        <w:tblStyle w:val="22"/>
        <w:tblW w:w="9679" w:type="dxa"/>
        <w:tblInd w:w="-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080"/>
        <w:gridCol w:w="3020"/>
        <w:gridCol w:w="1574"/>
        <w:gridCol w:w="1933"/>
      </w:tblGrid>
      <w:tr w14:paraId="5E23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072" w:type="dxa"/>
            <w:noWrap w:val="0"/>
            <w:vAlign w:val="center"/>
          </w:tcPr>
          <w:p w14:paraId="62D5B6F3">
            <w:pPr>
              <w:spacing w:line="460" w:lineRule="exact"/>
              <w:jc w:val="center"/>
              <w:rPr>
                <w:rFonts w:hint="eastAsia" w:ascii="仿宋_GB2312" w:hAnsi="仿宋_GB2312" w:eastAsia="仿宋_GB2312"/>
                <w:b/>
                <w:color w:val="auto"/>
                <w:sz w:val="28"/>
                <w:highlight w:val="none"/>
              </w:rPr>
            </w:pPr>
            <w:r>
              <w:rPr>
                <w:rFonts w:hint="eastAsia" w:ascii="仿宋_GB2312" w:hAnsi="仿宋_GB2312" w:eastAsia="仿宋_GB2312"/>
                <w:b/>
                <w:color w:val="auto"/>
                <w:sz w:val="28"/>
                <w:highlight w:val="none"/>
              </w:rPr>
              <w:t>项目人员</w:t>
            </w:r>
          </w:p>
        </w:tc>
        <w:tc>
          <w:tcPr>
            <w:tcW w:w="1080" w:type="dxa"/>
            <w:noWrap w:val="0"/>
            <w:vAlign w:val="center"/>
          </w:tcPr>
          <w:p w14:paraId="4B84BEAE">
            <w:pPr>
              <w:spacing w:line="460" w:lineRule="exact"/>
              <w:jc w:val="center"/>
              <w:rPr>
                <w:rFonts w:hint="eastAsia" w:ascii="仿宋_GB2312" w:hAnsi="仿宋_GB2312" w:eastAsia="仿宋_GB2312"/>
                <w:b/>
                <w:color w:val="auto"/>
                <w:sz w:val="28"/>
                <w:highlight w:val="none"/>
              </w:rPr>
            </w:pPr>
            <w:r>
              <w:rPr>
                <w:rFonts w:hint="eastAsia" w:ascii="仿宋_GB2312" w:hAnsi="仿宋_GB2312" w:eastAsia="仿宋_GB2312"/>
                <w:b/>
                <w:color w:val="auto"/>
                <w:sz w:val="28"/>
                <w:highlight w:val="none"/>
              </w:rPr>
              <w:t>姓名</w:t>
            </w:r>
          </w:p>
        </w:tc>
        <w:tc>
          <w:tcPr>
            <w:tcW w:w="3020" w:type="dxa"/>
            <w:noWrap w:val="0"/>
            <w:vAlign w:val="center"/>
          </w:tcPr>
          <w:p w14:paraId="72CB3703">
            <w:pPr>
              <w:spacing w:line="460" w:lineRule="exact"/>
              <w:jc w:val="center"/>
              <w:rPr>
                <w:rFonts w:hint="eastAsia" w:ascii="仿宋_GB2312" w:hAnsi="仿宋_GB2312" w:eastAsia="仿宋_GB2312"/>
                <w:b/>
                <w:color w:val="auto"/>
                <w:sz w:val="28"/>
                <w:highlight w:val="none"/>
              </w:rPr>
            </w:pPr>
            <w:r>
              <w:rPr>
                <w:rFonts w:hint="eastAsia" w:ascii="仿宋_GB2312" w:hAnsi="仿宋_GB2312" w:eastAsia="仿宋_GB2312"/>
                <w:b/>
                <w:color w:val="auto"/>
                <w:sz w:val="28"/>
                <w:highlight w:val="none"/>
              </w:rPr>
              <w:t>身份证</w:t>
            </w:r>
          </w:p>
        </w:tc>
        <w:tc>
          <w:tcPr>
            <w:tcW w:w="1574" w:type="dxa"/>
            <w:noWrap w:val="0"/>
            <w:vAlign w:val="center"/>
          </w:tcPr>
          <w:p w14:paraId="0B2B4E1D">
            <w:pPr>
              <w:spacing w:line="460" w:lineRule="exact"/>
              <w:jc w:val="center"/>
              <w:rPr>
                <w:rFonts w:hint="eastAsia" w:ascii="仿宋_GB2312" w:hAnsi="仿宋_GB2312" w:eastAsia="仿宋_GB2312"/>
                <w:b/>
                <w:color w:val="auto"/>
                <w:sz w:val="28"/>
                <w:highlight w:val="none"/>
              </w:rPr>
            </w:pPr>
            <w:r>
              <w:rPr>
                <w:rFonts w:hint="eastAsia" w:ascii="仿宋_GB2312" w:hAnsi="仿宋_GB2312" w:eastAsia="仿宋_GB2312"/>
                <w:b/>
                <w:color w:val="auto"/>
                <w:sz w:val="28"/>
                <w:highlight w:val="none"/>
              </w:rPr>
              <w:t>签名</w:t>
            </w:r>
          </w:p>
        </w:tc>
        <w:tc>
          <w:tcPr>
            <w:tcW w:w="1933" w:type="dxa"/>
            <w:noWrap w:val="0"/>
            <w:vAlign w:val="center"/>
          </w:tcPr>
          <w:p w14:paraId="06CC87F3">
            <w:pPr>
              <w:spacing w:line="460" w:lineRule="exact"/>
              <w:jc w:val="center"/>
              <w:rPr>
                <w:rFonts w:hint="eastAsia" w:ascii="仿宋_GB2312" w:hAnsi="仿宋_GB2312" w:eastAsia="仿宋_GB2312"/>
                <w:b/>
                <w:color w:val="auto"/>
                <w:sz w:val="28"/>
                <w:highlight w:val="none"/>
              </w:rPr>
            </w:pPr>
            <w:r>
              <w:rPr>
                <w:rFonts w:hint="eastAsia" w:ascii="仿宋_GB2312" w:hAnsi="仿宋_GB2312" w:eastAsia="仿宋_GB2312"/>
                <w:b/>
                <w:color w:val="auto"/>
                <w:sz w:val="28"/>
                <w:highlight w:val="none"/>
              </w:rPr>
              <w:t>联系电话</w:t>
            </w:r>
          </w:p>
        </w:tc>
      </w:tr>
      <w:tr w14:paraId="3241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072" w:type="dxa"/>
            <w:noWrap w:val="0"/>
            <w:vAlign w:val="top"/>
          </w:tcPr>
          <w:p w14:paraId="17A12AD2">
            <w:pPr>
              <w:spacing w:line="460" w:lineRule="exact"/>
              <w:rPr>
                <w:rFonts w:hint="eastAsia" w:ascii="仿宋_GB2312" w:hAnsi="仿宋_GB2312" w:eastAsia="仿宋_GB2312"/>
                <w:color w:val="auto"/>
                <w:kern w:val="2"/>
                <w:sz w:val="28"/>
                <w:highlight w:val="none"/>
                <w:lang w:val="en-US" w:eastAsia="zh-CN" w:bidi="ar-SA"/>
              </w:rPr>
            </w:pPr>
          </w:p>
        </w:tc>
        <w:tc>
          <w:tcPr>
            <w:tcW w:w="1080" w:type="dxa"/>
            <w:noWrap w:val="0"/>
            <w:vAlign w:val="top"/>
          </w:tcPr>
          <w:p w14:paraId="096F8A85">
            <w:pPr>
              <w:spacing w:line="460" w:lineRule="exact"/>
              <w:jc w:val="center"/>
              <w:rPr>
                <w:rFonts w:ascii="仿宋_GB2312" w:hAnsi="仿宋_GB2312" w:eastAsia="仿宋_GB2312"/>
                <w:color w:val="auto"/>
                <w:kern w:val="2"/>
                <w:sz w:val="28"/>
                <w:highlight w:val="none"/>
                <w:lang w:val="en-US" w:eastAsia="zh-CN" w:bidi="ar-SA"/>
              </w:rPr>
            </w:pPr>
          </w:p>
        </w:tc>
        <w:tc>
          <w:tcPr>
            <w:tcW w:w="3020" w:type="dxa"/>
            <w:noWrap w:val="0"/>
            <w:vAlign w:val="top"/>
          </w:tcPr>
          <w:p w14:paraId="3F381AD6">
            <w:pPr>
              <w:spacing w:line="460" w:lineRule="exact"/>
              <w:rPr>
                <w:rFonts w:ascii="仿宋_GB2312" w:hAnsi="仿宋_GB2312" w:eastAsia="仿宋_GB2312"/>
                <w:color w:val="auto"/>
                <w:kern w:val="2"/>
                <w:sz w:val="28"/>
                <w:highlight w:val="none"/>
                <w:lang w:val="en-US" w:eastAsia="zh-CN" w:bidi="ar-SA"/>
              </w:rPr>
            </w:pPr>
          </w:p>
        </w:tc>
        <w:tc>
          <w:tcPr>
            <w:tcW w:w="1574" w:type="dxa"/>
            <w:noWrap w:val="0"/>
            <w:vAlign w:val="top"/>
          </w:tcPr>
          <w:p w14:paraId="007FAB9C">
            <w:pPr>
              <w:spacing w:line="460" w:lineRule="exact"/>
              <w:rPr>
                <w:rFonts w:hint="eastAsia" w:ascii="仿宋_GB2312" w:hAnsi="仿宋_GB2312" w:eastAsia="仿宋_GB2312"/>
                <w:color w:val="auto"/>
                <w:kern w:val="2"/>
                <w:sz w:val="28"/>
                <w:highlight w:val="none"/>
                <w:lang w:val="en-US" w:eastAsia="zh-CN" w:bidi="ar-SA"/>
              </w:rPr>
            </w:pPr>
          </w:p>
        </w:tc>
        <w:tc>
          <w:tcPr>
            <w:tcW w:w="1933" w:type="dxa"/>
            <w:noWrap w:val="0"/>
            <w:vAlign w:val="top"/>
          </w:tcPr>
          <w:p w14:paraId="0A314A13">
            <w:pPr>
              <w:spacing w:line="460" w:lineRule="exact"/>
              <w:rPr>
                <w:rFonts w:ascii="仿宋_GB2312" w:hAnsi="仿宋_GB2312" w:eastAsia="仿宋_GB2312"/>
                <w:color w:val="auto"/>
                <w:kern w:val="2"/>
                <w:sz w:val="28"/>
                <w:highlight w:val="none"/>
                <w:lang w:val="en-US" w:eastAsia="zh-CN" w:bidi="ar-SA"/>
              </w:rPr>
            </w:pPr>
          </w:p>
        </w:tc>
      </w:tr>
      <w:tr w14:paraId="6E86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6F6F8190">
            <w:pPr>
              <w:spacing w:line="460" w:lineRule="exact"/>
              <w:rPr>
                <w:rFonts w:hint="eastAsia" w:ascii="仿宋_GB2312" w:hAnsi="仿宋_GB2312" w:eastAsia="仿宋_GB2312"/>
                <w:color w:val="auto"/>
                <w:spacing w:val="-20"/>
                <w:kern w:val="2"/>
                <w:sz w:val="28"/>
                <w:highlight w:val="none"/>
                <w:lang w:val="en-US" w:eastAsia="zh-CN" w:bidi="ar-SA"/>
              </w:rPr>
            </w:pPr>
          </w:p>
        </w:tc>
        <w:tc>
          <w:tcPr>
            <w:tcW w:w="1080" w:type="dxa"/>
            <w:noWrap w:val="0"/>
            <w:vAlign w:val="top"/>
          </w:tcPr>
          <w:p w14:paraId="6B405506">
            <w:pPr>
              <w:spacing w:line="460" w:lineRule="exact"/>
              <w:jc w:val="center"/>
              <w:rPr>
                <w:rFonts w:ascii="仿宋_GB2312" w:hAnsi="仿宋_GB2312" w:eastAsia="仿宋_GB2312"/>
                <w:color w:val="auto"/>
                <w:kern w:val="2"/>
                <w:sz w:val="28"/>
                <w:highlight w:val="none"/>
                <w:lang w:val="en-US" w:eastAsia="zh-CN" w:bidi="ar-SA"/>
              </w:rPr>
            </w:pPr>
          </w:p>
        </w:tc>
        <w:tc>
          <w:tcPr>
            <w:tcW w:w="3020" w:type="dxa"/>
            <w:noWrap w:val="0"/>
            <w:vAlign w:val="top"/>
          </w:tcPr>
          <w:p w14:paraId="20F010A3">
            <w:pPr>
              <w:spacing w:line="460" w:lineRule="exact"/>
              <w:rPr>
                <w:rFonts w:hint="eastAsia" w:ascii="仿宋_GB2312" w:hAnsi="仿宋_GB2312" w:eastAsia="仿宋_GB2312"/>
                <w:color w:val="auto"/>
                <w:kern w:val="2"/>
                <w:sz w:val="28"/>
                <w:highlight w:val="none"/>
                <w:lang w:val="en-US" w:eastAsia="zh-CN" w:bidi="ar-SA"/>
              </w:rPr>
            </w:pPr>
          </w:p>
        </w:tc>
        <w:tc>
          <w:tcPr>
            <w:tcW w:w="1574" w:type="dxa"/>
            <w:noWrap w:val="0"/>
            <w:vAlign w:val="top"/>
          </w:tcPr>
          <w:p w14:paraId="010000D7">
            <w:pPr>
              <w:spacing w:line="460" w:lineRule="exact"/>
              <w:jc w:val="left"/>
              <w:rPr>
                <w:rFonts w:hint="eastAsia" w:ascii="仿宋_GB2312" w:hAnsi="仿宋_GB2312" w:eastAsia="仿宋_GB2312"/>
                <w:color w:val="auto"/>
                <w:kern w:val="2"/>
                <w:sz w:val="28"/>
                <w:highlight w:val="none"/>
                <w:lang w:val="en-US" w:eastAsia="zh-CN" w:bidi="ar-SA"/>
              </w:rPr>
            </w:pPr>
          </w:p>
        </w:tc>
        <w:tc>
          <w:tcPr>
            <w:tcW w:w="1933" w:type="dxa"/>
            <w:noWrap w:val="0"/>
            <w:vAlign w:val="top"/>
          </w:tcPr>
          <w:p w14:paraId="0E095D9F">
            <w:pPr>
              <w:spacing w:line="460" w:lineRule="exact"/>
              <w:rPr>
                <w:rFonts w:ascii="仿宋_GB2312" w:hAnsi="仿宋_GB2312" w:eastAsia="仿宋_GB2312"/>
                <w:color w:val="auto"/>
                <w:kern w:val="2"/>
                <w:sz w:val="28"/>
                <w:highlight w:val="none"/>
                <w:lang w:val="en-US" w:eastAsia="zh-CN" w:bidi="ar-SA"/>
              </w:rPr>
            </w:pPr>
          </w:p>
        </w:tc>
      </w:tr>
      <w:tr w14:paraId="3D3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5C31749B">
            <w:pPr>
              <w:spacing w:line="460" w:lineRule="exact"/>
              <w:rPr>
                <w:rFonts w:hint="eastAsia" w:ascii="仿宋_GB2312" w:hAnsi="仿宋_GB2312" w:eastAsia="仿宋_GB2312"/>
                <w:color w:val="auto"/>
                <w:spacing w:val="-20"/>
                <w:sz w:val="28"/>
                <w:highlight w:val="none"/>
              </w:rPr>
            </w:pPr>
          </w:p>
        </w:tc>
        <w:tc>
          <w:tcPr>
            <w:tcW w:w="1080" w:type="dxa"/>
            <w:noWrap w:val="0"/>
            <w:vAlign w:val="top"/>
          </w:tcPr>
          <w:p w14:paraId="5C8E24D9">
            <w:pPr>
              <w:spacing w:line="460" w:lineRule="exact"/>
              <w:rPr>
                <w:rFonts w:ascii="仿宋_GB2312" w:hAnsi="仿宋_GB2312" w:eastAsia="仿宋_GB2312"/>
                <w:color w:val="auto"/>
                <w:sz w:val="28"/>
                <w:highlight w:val="none"/>
              </w:rPr>
            </w:pPr>
          </w:p>
        </w:tc>
        <w:tc>
          <w:tcPr>
            <w:tcW w:w="3020" w:type="dxa"/>
            <w:noWrap w:val="0"/>
            <w:vAlign w:val="top"/>
          </w:tcPr>
          <w:p w14:paraId="39954BC4">
            <w:pPr>
              <w:spacing w:line="460" w:lineRule="exact"/>
              <w:rPr>
                <w:rFonts w:hint="eastAsia" w:ascii="仿宋_GB2312" w:hAnsi="仿宋_GB2312" w:eastAsia="仿宋_GB2312"/>
                <w:color w:val="auto"/>
                <w:sz w:val="28"/>
                <w:highlight w:val="none"/>
              </w:rPr>
            </w:pPr>
          </w:p>
        </w:tc>
        <w:tc>
          <w:tcPr>
            <w:tcW w:w="1574" w:type="dxa"/>
            <w:noWrap w:val="0"/>
            <w:vAlign w:val="top"/>
          </w:tcPr>
          <w:p w14:paraId="522E0FED">
            <w:pPr>
              <w:spacing w:line="460" w:lineRule="exact"/>
              <w:jc w:val="left"/>
              <w:rPr>
                <w:rFonts w:ascii="仿宋_GB2312" w:hAnsi="仿宋_GB2312" w:eastAsia="仿宋_GB2312"/>
                <w:color w:val="auto"/>
                <w:sz w:val="28"/>
                <w:highlight w:val="none"/>
              </w:rPr>
            </w:pPr>
          </w:p>
        </w:tc>
        <w:tc>
          <w:tcPr>
            <w:tcW w:w="1933" w:type="dxa"/>
            <w:noWrap w:val="0"/>
            <w:vAlign w:val="top"/>
          </w:tcPr>
          <w:p w14:paraId="1D592421">
            <w:pPr>
              <w:spacing w:line="460" w:lineRule="exact"/>
              <w:rPr>
                <w:rFonts w:ascii="仿宋_GB2312" w:hAnsi="仿宋_GB2312" w:eastAsia="仿宋_GB2312"/>
                <w:color w:val="auto"/>
                <w:sz w:val="28"/>
                <w:highlight w:val="none"/>
              </w:rPr>
            </w:pPr>
          </w:p>
        </w:tc>
      </w:tr>
      <w:tr w14:paraId="74C4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05F90F8F">
            <w:pPr>
              <w:spacing w:line="460" w:lineRule="exact"/>
              <w:rPr>
                <w:rFonts w:hint="eastAsia" w:ascii="仿宋_GB2312" w:hAnsi="仿宋_GB2312" w:eastAsia="仿宋_GB2312"/>
                <w:color w:val="auto"/>
                <w:spacing w:val="-20"/>
                <w:sz w:val="28"/>
                <w:highlight w:val="none"/>
              </w:rPr>
            </w:pPr>
          </w:p>
        </w:tc>
        <w:tc>
          <w:tcPr>
            <w:tcW w:w="1080" w:type="dxa"/>
            <w:noWrap w:val="0"/>
            <w:vAlign w:val="top"/>
          </w:tcPr>
          <w:p w14:paraId="505744D4">
            <w:pPr>
              <w:spacing w:line="460" w:lineRule="exact"/>
              <w:jc w:val="center"/>
              <w:rPr>
                <w:rFonts w:ascii="仿宋_GB2312" w:hAnsi="仿宋_GB2312" w:eastAsia="仿宋_GB2312"/>
                <w:color w:val="auto"/>
                <w:sz w:val="28"/>
                <w:szCs w:val="22"/>
                <w:highlight w:val="none"/>
              </w:rPr>
            </w:pPr>
          </w:p>
        </w:tc>
        <w:tc>
          <w:tcPr>
            <w:tcW w:w="3020" w:type="dxa"/>
            <w:noWrap w:val="0"/>
            <w:vAlign w:val="top"/>
          </w:tcPr>
          <w:p w14:paraId="00B7C2F4">
            <w:pPr>
              <w:spacing w:line="460" w:lineRule="exact"/>
              <w:rPr>
                <w:rFonts w:ascii="仿宋_GB2312" w:hAnsi="仿宋_GB2312" w:eastAsia="仿宋_GB2312"/>
                <w:color w:val="auto"/>
                <w:sz w:val="28"/>
                <w:highlight w:val="none"/>
              </w:rPr>
            </w:pPr>
          </w:p>
        </w:tc>
        <w:tc>
          <w:tcPr>
            <w:tcW w:w="1574" w:type="dxa"/>
            <w:noWrap w:val="0"/>
            <w:vAlign w:val="top"/>
          </w:tcPr>
          <w:p w14:paraId="14E876EE">
            <w:pPr>
              <w:spacing w:line="460" w:lineRule="exact"/>
              <w:jc w:val="center"/>
              <w:rPr>
                <w:rFonts w:hint="eastAsia" w:ascii="仿宋_GB2312" w:hAnsi="仿宋_GB2312" w:eastAsia="仿宋_GB2312"/>
                <w:color w:val="auto"/>
                <w:sz w:val="24"/>
                <w:szCs w:val="24"/>
                <w:highlight w:val="none"/>
              </w:rPr>
            </w:pPr>
          </w:p>
        </w:tc>
        <w:tc>
          <w:tcPr>
            <w:tcW w:w="1933" w:type="dxa"/>
            <w:noWrap w:val="0"/>
            <w:vAlign w:val="top"/>
          </w:tcPr>
          <w:p w14:paraId="1CEBC155">
            <w:pPr>
              <w:spacing w:line="460" w:lineRule="exact"/>
              <w:rPr>
                <w:rFonts w:ascii="仿宋_GB2312" w:hAnsi="仿宋_GB2312" w:eastAsia="仿宋_GB2312"/>
                <w:color w:val="auto"/>
                <w:sz w:val="28"/>
                <w:highlight w:val="none"/>
              </w:rPr>
            </w:pPr>
          </w:p>
        </w:tc>
      </w:tr>
      <w:tr w14:paraId="406D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18B0AFDE">
            <w:pPr>
              <w:spacing w:line="460" w:lineRule="exact"/>
              <w:rPr>
                <w:rFonts w:hint="eastAsia" w:ascii="仿宋_GB2312" w:hAnsi="仿宋_GB2312" w:eastAsia="仿宋_GB2312"/>
                <w:color w:val="auto"/>
                <w:spacing w:val="-20"/>
                <w:sz w:val="28"/>
                <w:highlight w:val="none"/>
              </w:rPr>
            </w:pPr>
          </w:p>
        </w:tc>
        <w:tc>
          <w:tcPr>
            <w:tcW w:w="1080" w:type="dxa"/>
            <w:noWrap w:val="0"/>
            <w:vAlign w:val="top"/>
          </w:tcPr>
          <w:p w14:paraId="17B7A074">
            <w:pPr>
              <w:spacing w:line="460" w:lineRule="exact"/>
              <w:rPr>
                <w:rFonts w:hint="eastAsia" w:ascii="仿宋_GB2312" w:hAnsi="仿宋_GB2312" w:eastAsia="仿宋_GB2312"/>
                <w:color w:val="auto"/>
                <w:sz w:val="28"/>
                <w:highlight w:val="none"/>
              </w:rPr>
            </w:pPr>
          </w:p>
        </w:tc>
        <w:tc>
          <w:tcPr>
            <w:tcW w:w="3020" w:type="dxa"/>
            <w:noWrap w:val="0"/>
            <w:vAlign w:val="top"/>
          </w:tcPr>
          <w:p w14:paraId="05E0B88D">
            <w:pPr>
              <w:spacing w:line="460" w:lineRule="exact"/>
              <w:rPr>
                <w:rFonts w:hint="eastAsia" w:ascii="仿宋_GB2312" w:hAnsi="仿宋_GB2312" w:eastAsia="仿宋_GB2312"/>
                <w:color w:val="auto"/>
                <w:sz w:val="28"/>
                <w:highlight w:val="none"/>
              </w:rPr>
            </w:pPr>
          </w:p>
        </w:tc>
        <w:tc>
          <w:tcPr>
            <w:tcW w:w="1574" w:type="dxa"/>
            <w:noWrap w:val="0"/>
            <w:vAlign w:val="top"/>
          </w:tcPr>
          <w:p w14:paraId="3E80BA1A">
            <w:pPr>
              <w:spacing w:line="460" w:lineRule="exact"/>
              <w:rPr>
                <w:rFonts w:hint="eastAsia" w:ascii="仿宋_GB2312" w:hAnsi="仿宋_GB2312" w:eastAsia="仿宋_GB2312"/>
                <w:color w:val="auto"/>
                <w:sz w:val="28"/>
                <w:highlight w:val="none"/>
              </w:rPr>
            </w:pPr>
          </w:p>
        </w:tc>
        <w:tc>
          <w:tcPr>
            <w:tcW w:w="1933" w:type="dxa"/>
            <w:noWrap w:val="0"/>
            <w:vAlign w:val="top"/>
          </w:tcPr>
          <w:p w14:paraId="23E5C30A">
            <w:pPr>
              <w:spacing w:line="460" w:lineRule="exact"/>
              <w:rPr>
                <w:rFonts w:hint="eastAsia" w:ascii="仿宋_GB2312" w:hAnsi="仿宋_GB2312" w:eastAsia="仿宋_GB2312"/>
                <w:color w:val="auto"/>
                <w:sz w:val="28"/>
                <w:highlight w:val="none"/>
              </w:rPr>
            </w:pPr>
          </w:p>
        </w:tc>
      </w:tr>
      <w:tr w14:paraId="2A2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7E0F4555">
            <w:pPr>
              <w:spacing w:line="460" w:lineRule="exact"/>
              <w:rPr>
                <w:rFonts w:hint="eastAsia" w:ascii="仿宋_GB2312" w:hAnsi="仿宋_GB2312" w:eastAsia="仿宋_GB2312"/>
                <w:color w:val="auto"/>
                <w:sz w:val="28"/>
                <w:highlight w:val="none"/>
              </w:rPr>
            </w:pPr>
          </w:p>
        </w:tc>
        <w:tc>
          <w:tcPr>
            <w:tcW w:w="1080" w:type="dxa"/>
            <w:noWrap w:val="0"/>
            <w:vAlign w:val="top"/>
          </w:tcPr>
          <w:p w14:paraId="1B888EE4">
            <w:pPr>
              <w:spacing w:line="460" w:lineRule="exact"/>
              <w:rPr>
                <w:rFonts w:hint="eastAsia" w:ascii="仿宋_GB2312" w:hAnsi="仿宋_GB2312" w:eastAsia="仿宋_GB2312"/>
                <w:color w:val="auto"/>
                <w:sz w:val="28"/>
                <w:highlight w:val="none"/>
              </w:rPr>
            </w:pPr>
          </w:p>
        </w:tc>
        <w:tc>
          <w:tcPr>
            <w:tcW w:w="3020" w:type="dxa"/>
            <w:noWrap w:val="0"/>
            <w:vAlign w:val="top"/>
          </w:tcPr>
          <w:p w14:paraId="3DDA7742">
            <w:pPr>
              <w:spacing w:line="460" w:lineRule="exact"/>
              <w:rPr>
                <w:rFonts w:hint="eastAsia" w:ascii="仿宋_GB2312" w:hAnsi="仿宋_GB2312" w:eastAsia="仿宋_GB2312"/>
                <w:color w:val="auto"/>
                <w:sz w:val="28"/>
                <w:highlight w:val="none"/>
              </w:rPr>
            </w:pPr>
          </w:p>
        </w:tc>
        <w:tc>
          <w:tcPr>
            <w:tcW w:w="1574" w:type="dxa"/>
            <w:noWrap w:val="0"/>
            <w:vAlign w:val="top"/>
          </w:tcPr>
          <w:p w14:paraId="47F80DC4">
            <w:pPr>
              <w:spacing w:line="460" w:lineRule="exact"/>
              <w:rPr>
                <w:rFonts w:hint="eastAsia" w:ascii="仿宋_GB2312" w:hAnsi="仿宋_GB2312" w:eastAsia="仿宋_GB2312"/>
                <w:color w:val="auto"/>
                <w:sz w:val="28"/>
                <w:highlight w:val="none"/>
              </w:rPr>
            </w:pPr>
          </w:p>
        </w:tc>
        <w:tc>
          <w:tcPr>
            <w:tcW w:w="1933" w:type="dxa"/>
            <w:noWrap w:val="0"/>
            <w:vAlign w:val="top"/>
          </w:tcPr>
          <w:p w14:paraId="33E1DEDC">
            <w:pPr>
              <w:spacing w:line="460" w:lineRule="exact"/>
              <w:rPr>
                <w:rFonts w:hint="eastAsia" w:ascii="仿宋_GB2312" w:hAnsi="仿宋_GB2312" w:eastAsia="仿宋_GB2312"/>
                <w:color w:val="auto"/>
                <w:sz w:val="28"/>
                <w:highlight w:val="none"/>
              </w:rPr>
            </w:pPr>
          </w:p>
        </w:tc>
      </w:tr>
      <w:tr w14:paraId="427D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16D3B9D4">
            <w:pPr>
              <w:spacing w:line="460" w:lineRule="exact"/>
              <w:rPr>
                <w:rFonts w:hint="eastAsia" w:ascii="仿宋_GB2312" w:hAnsi="仿宋_GB2312" w:eastAsia="仿宋_GB2312"/>
                <w:color w:val="auto"/>
                <w:spacing w:val="-20"/>
                <w:sz w:val="28"/>
                <w:highlight w:val="none"/>
              </w:rPr>
            </w:pPr>
          </w:p>
        </w:tc>
        <w:tc>
          <w:tcPr>
            <w:tcW w:w="1080" w:type="dxa"/>
            <w:noWrap w:val="0"/>
            <w:vAlign w:val="top"/>
          </w:tcPr>
          <w:p w14:paraId="5D27067C">
            <w:pPr>
              <w:spacing w:line="460" w:lineRule="exact"/>
              <w:rPr>
                <w:rFonts w:hint="eastAsia" w:ascii="仿宋_GB2312" w:hAnsi="仿宋_GB2312" w:eastAsia="仿宋_GB2312"/>
                <w:color w:val="auto"/>
                <w:sz w:val="28"/>
                <w:highlight w:val="none"/>
              </w:rPr>
            </w:pPr>
          </w:p>
        </w:tc>
        <w:tc>
          <w:tcPr>
            <w:tcW w:w="3020" w:type="dxa"/>
            <w:noWrap w:val="0"/>
            <w:vAlign w:val="top"/>
          </w:tcPr>
          <w:p w14:paraId="0C6A6C4F">
            <w:pPr>
              <w:spacing w:line="460" w:lineRule="exact"/>
              <w:rPr>
                <w:rFonts w:hint="eastAsia" w:ascii="仿宋_GB2312" w:hAnsi="仿宋_GB2312" w:eastAsia="仿宋_GB2312"/>
                <w:color w:val="auto"/>
                <w:sz w:val="28"/>
                <w:highlight w:val="none"/>
              </w:rPr>
            </w:pPr>
          </w:p>
        </w:tc>
        <w:tc>
          <w:tcPr>
            <w:tcW w:w="1574" w:type="dxa"/>
            <w:noWrap w:val="0"/>
            <w:vAlign w:val="top"/>
          </w:tcPr>
          <w:p w14:paraId="540DC04F">
            <w:pPr>
              <w:spacing w:line="460" w:lineRule="exact"/>
              <w:rPr>
                <w:rFonts w:hint="eastAsia" w:ascii="仿宋_GB2312" w:hAnsi="仿宋_GB2312" w:eastAsia="仿宋_GB2312"/>
                <w:color w:val="auto"/>
                <w:sz w:val="28"/>
                <w:highlight w:val="none"/>
              </w:rPr>
            </w:pPr>
          </w:p>
        </w:tc>
        <w:tc>
          <w:tcPr>
            <w:tcW w:w="1933" w:type="dxa"/>
            <w:noWrap w:val="0"/>
            <w:vAlign w:val="top"/>
          </w:tcPr>
          <w:p w14:paraId="05D779D6">
            <w:pPr>
              <w:spacing w:line="460" w:lineRule="exact"/>
              <w:rPr>
                <w:rFonts w:hint="eastAsia" w:ascii="仿宋_GB2312" w:hAnsi="仿宋_GB2312" w:eastAsia="仿宋_GB2312"/>
                <w:color w:val="auto"/>
                <w:sz w:val="28"/>
                <w:highlight w:val="none"/>
              </w:rPr>
            </w:pPr>
          </w:p>
        </w:tc>
      </w:tr>
      <w:tr w14:paraId="39E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noWrap w:val="0"/>
            <w:vAlign w:val="top"/>
          </w:tcPr>
          <w:p w14:paraId="4567513F">
            <w:pPr>
              <w:spacing w:line="460" w:lineRule="exact"/>
              <w:rPr>
                <w:rFonts w:hint="eastAsia" w:ascii="仿宋_GB2312" w:hAnsi="仿宋_GB2312" w:eastAsia="仿宋_GB2312"/>
                <w:color w:val="auto"/>
                <w:spacing w:val="-20"/>
                <w:sz w:val="28"/>
                <w:highlight w:val="none"/>
              </w:rPr>
            </w:pPr>
          </w:p>
        </w:tc>
        <w:tc>
          <w:tcPr>
            <w:tcW w:w="1080" w:type="dxa"/>
            <w:noWrap w:val="0"/>
            <w:vAlign w:val="top"/>
          </w:tcPr>
          <w:p w14:paraId="21537D42">
            <w:pPr>
              <w:spacing w:line="460" w:lineRule="exact"/>
              <w:rPr>
                <w:rFonts w:hint="eastAsia" w:ascii="仿宋_GB2312" w:hAnsi="仿宋_GB2312" w:eastAsia="仿宋_GB2312"/>
                <w:color w:val="auto"/>
                <w:sz w:val="28"/>
                <w:highlight w:val="none"/>
              </w:rPr>
            </w:pPr>
          </w:p>
        </w:tc>
        <w:tc>
          <w:tcPr>
            <w:tcW w:w="3020" w:type="dxa"/>
            <w:noWrap w:val="0"/>
            <w:vAlign w:val="top"/>
          </w:tcPr>
          <w:p w14:paraId="37DA06A5">
            <w:pPr>
              <w:spacing w:line="460" w:lineRule="exact"/>
              <w:rPr>
                <w:rFonts w:hint="eastAsia" w:ascii="仿宋_GB2312" w:hAnsi="仿宋_GB2312" w:eastAsia="仿宋_GB2312"/>
                <w:color w:val="auto"/>
                <w:sz w:val="28"/>
                <w:highlight w:val="none"/>
              </w:rPr>
            </w:pPr>
          </w:p>
        </w:tc>
        <w:tc>
          <w:tcPr>
            <w:tcW w:w="1574" w:type="dxa"/>
            <w:noWrap w:val="0"/>
            <w:vAlign w:val="top"/>
          </w:tcPr>
          <w:p w14:paraId="1ED7AC72">
            <w:pPr>
              <w:spacing w:line="460" w:lineRule="exact"/>
              <w:rPr>
                <w:rFonts w:hint="eastAsia" w:ascii="仿宋_GB2312" w:hAnsi="仿宋_GB2312" w:eastAsia="仿宋_GB2312"/>
                <w:color w:val="auto"/>
                <w:sz w:val="28"/>
                <w:highlight w:val="none"/>
              </w:rPr>
            </w:pPr>
          </w:p>
        </w:tc>
        <w:tc>
          <w:tcPr>
            <w:tcW w:w="1933" w:type="dxa"/>
            <w:noWrap w:val="0"/>
            <w:vAlign w:val="top"/>
          </w:tcPr>
          <w:p w14:paraId="7A9F24CD">
            <w:pPr>
              <w:spacing w:line="460" w:lineRule="exact"/>
              <w:rPr>
                <w:rFonts w:hint="eastAsia" w:ascii="仿宋_GB2312" w:hAnsi="仿宋_GB2312" w:eastAsia="仿宋_GB2312"/>
                <w:color w:val="auto"/>
                <w:sz w:val="28"/>
                <w:highlight w:val="none"/>
              </w:rPr>
            </w:pPr>
          </w:p>
        </w:tc>
      </w:tr>
    </w:tbl>
    <w:p w14:paraId="5525B8D4">
      <w:pPr>
        <w:spacing w:line="460" w:lineRule="exact"/>
        <w:ind w:left="-22" w:leftChars="-85" w:hanging="156" w:hangingChars="56"/>
        <w:rPr>
          <w:rFonts w:hint="eastAsia" w:ascii="仿宋_GB2312" w:hAnsi="仿宋_GB2312" w:eastAsia="仿宋_GB2312"/>
          <w:color w:val="auto"/>
          <w:sz w:val="28"/>
          <w:highlight w:val="none"/>
        </w:rPr>
      </w:pPr>
      <w:r>
        <w:rPr>
          <w:rFonts w:hint="eastAsia" w:ascii="仿宋_GB2312" w:hAnsi="仿宋_GB2312" w:eastAsia="仿宋_GB2312"/>
          <w:color w:val="auto"/>
          <w:sz w:val="28"/>
          <w:highlight w:val="none"/>
        </w:rPr>
        <w:t>注：不同项目可按此格式扩充。</w:t>
      </w:r>
    </w:p>
    <w:p w14:paraId="44683A1F">
      <w:pPr>
        <w:widowControl/>
        <w:tabs>
          <w:tab w:val="left" w:pos="-4560"/>
        </w:tabs>
        <w:spacing w:line="460" w:lineRule="exact"/>
        <w:ind w:left="-584" w:leftChars="-278" w:right="-241" w:firstLine="560" w:firstLineChars="200"/>
        <w:outlineLvl w:val="0"/>
        <w:rPr>
          <w:rFonts w:hint="eastAsia" w:ascii="仿宋_GB2312" w:hAnsi="仿宋_GB2312" w:eastAsia="仿宋_GB2312"/>
          <w:bCs/>
          <w:color w:val="auto"/>
          <w:kern w:val="0"/>
          <w:sz w:val="28"/>
          <w:highlight w:val="none"/>
        </w:rPr>
      </w:pPr>
    </w:p>
    <w:p w14:paraId="47F3FFD6">
      <w:pPr>
        <w:widowControl/>
        <w:tabs>
          <w:tab w:val="left" w:pos="-4560"/>
        </w:tabs>
        <w:spacing w:line="460" w:lineRule="exact"/>
        <w:ind w:left="-584" w:leftChars="-278" w:right="-241" w:firstLine="560" w:firstLineChars="200"/>
        <w:outlineLvl w:val="0"/>
        <w:rPr>
          <w:rFonts w:hint="eastAsia" w:ascii="仿宋_GB2312" w:hAnsi="仿宋_GB2312" w:eastAsia="仿宋_GB2312"/>
          <w:bCs/>
          <w:color w:val="auto"/>
          <w:kern w:val="0"/>
          <w:sz w:val="28"/>
          <w:highlight w:val="none"/>
        </w:rPr>
      </w:pPr>
    </w:p>
    <w:p w14:paraId="50ABEA4E">
      <w:pPr>
        <w:widowControl/>
        <w:tabs>
          <w:tab w:val="left" w:pos="-4560"/>
        </w:tabs>
        <w:spacing w:line="460" w:lineRule="exact"/>
        <w:ind w:right="-241"/>
        <w:outlineLvl w:val="0"/>
        <w:rPr>
          <w:rFonts w:hint="eastAsia" w:ascii="仿宋_GB2312" w:hAnsi="仿宋_GB2312" w:eastAsia="仿宋_GB2312"/>
          <w:bCs/>
          <w:color w:val="auto"/>
          <w:kern w:val="0"/>
          <w:sz w:val="28"/>
          <w:highlight w:val="none"/>
        </w:rPr>
      </w:pPr>
      <w:r>
        <w:rPr>
          <w:rFonts w:hint="eastAsia" w:ascii="仿宋_GB2312" w:hAnsi="仿宋_GB2312" w:eastAsia="仿宋_GB2312"/>
          <w:bCs/>
          <w:color w:val="auto"/>
          <w:kern w:val="0"/>
          <w:sz w:val="28"/>
          <w:highlight w:val="none"/>
        </w:rPr>
        <w:t xml:space="preserve">甲方（盖章）：                </w:t>
      </w:r>
      <w:r>
        <w:rPr>
          <w:rFonts w:hint="eastAsia" w:ascii="仿宋_GB2312" w:hAnsi="仿宋_GB2312" w:eastAsia="仿宋_GB2312"/>
          <w:color w:val="auto"/>
          <w:sz w:val="28"/>
          <w:highlight w:val="none"/>
        </w:rPr>
        <w:t>乙方（盖章）：</w:t>
      </w:r>
    </w:p>
    <w:p w14:paraId="19A9A9F9">
      <w:pPr>
        <w:widowControl/>
        <w:tabs>
          <w:tab w:val="left" w:pos="-4560"/>
        </w:tabs>
        <w:spacing w:line="460" w:lineRule="exact"/>
        <w:ind w:right="-241"/>
        <w:outlineLvl w:val="0"/>
        <w:rPr>
          <w:rFonts w:hint="eastAsia" w:ascii="仿宋_GB2312" w:hAnsi="仿宋_GB2312" w:eastAsia="仿宋_GB2312"/>
          <w:bCs/>
          <w:color w:val="auto"/>
          <w:kern w:val="0"/>
          <w:sz w:val="28"/>
          <w:highlight w:val="none"/>
        </w:rPr>
      </w:pPr>
    </w:p>
    <w:p w14:paraId="657B5531">
      <w:pPr>
        <w:widowControl/>
        <w:tabs>
          <w:tab w:val="left" w:pos="-4560"/>
        </w:tabs>
        <w:spacing w:line="460" w:lineRule="exact"/>
        <w:ind w:right="-241"/>
        <w:outlineLvl w:val="0"/>
        <w:rPr>
          <w:rFonts w:hint="eastAsia" w:ascii="仿宋_GB2312" w:hAnsi="仿宋_GB2312" w:eastAsia="仿宋_GB2312"/>
          <w:bCs/>
          <w:color w:val="auto"/>
          <w:kern w:val="0"/>
          <w:sz w:val="28"/>
          <w:highlight w:val="none"/>
        </w:rPr>
      </w:pPr>
      <w:r>
        <w:rPr>
          <w:rFonts w:hint="eastAsia" w:ascii="仿宋_GB2312" w:hAnsi="仿宋_GB2312" w:eastAsia="仿宋_GB2312"/>
          <w:bCs/>
          <w:color w:val="auto"/>
          <w:kern w:val="0"/>
          <w:sz w:val="28"/>
          <w:highlight w:val="none"/>
        </w:rPr>
        <w:t>签约代表（签名）：            签约代表（签名）：</w:t>
      </w:r>
    </w:p>
    <w:p w14:paraId="5918317A">
      <w:pPr>
        <w:widowControl/>
        <w:tabs>
          <w:tab w:val="left" w:pos="-4560"/>
        </w:tabs>
        <w:spacing w:line="460" w:lineRule="exact"/>
        <w:ind w:left="-600" w:right="-241"/>
        <w:outlineLvl w:val="0"/>
        <w:rPr>
          <w:rFonts w:hint="eastAsia" w:ascii="仿宋_GB2312" w:hAnsi="仿宋_GB2312" w:eastAsia="仿宋_GB2312"/>
          <w:b/>
          <w:color w:val="auto"/>
          <w:kern w:val="0"/>
          <w:sz w:val="28"/>
          <w:highlight w:val="none"/>
        </w:rPr>
      </w:pPr>
      <w:r>
        <w:rPr>
          <w:rFonts w:hint="eastAsia" w:ascii="仿宋_GB2312" w:hAnsi="仿宋_GB2312" w:eastAsia="仿宋_GB2312"/>
          <w:b/>
          <w:color w:val="auto"/>
          <w:kern w:val="0"/>
          <w:sz w:val="28"/>
          <w:highlight w:val="none"/>
        </w:rPr>
        <w:t xml:space="preserve">    </w:t>
      </w:r>
    </w:p>
    <w:p w14:paraId="66B08510">
      <w:pPr>
        <w:spacing w:line="460" w:lineRule="exact"/>
        <w:rPr>
          <w:rFonts w:hint="eastAsia" w:ascii="仿宋_GB2312" w:hAnsi="仿宋_GB2312" w:eastAsia="仿宋_GB2312"/>
          <w:color w:val="auto"/>
          <w:kern w:val="0"/>
          <w:sz w:val="28"/>
          <w:highlight w:val="none"/>
        </w:rPr>
      </w:pPr>
      <w:r>
        <w:rPr>
          <w:rFonts w:hint="eastAsia" w:ascii="仿宋_GB2312" w:hAnsi="仿宋_GB2312" w:eastAsia="仿宋_GB2312"/>
          <w:color w:val="auto"/>
          <w:kern w:val="0"/>
          <w:sz w:val="28"/>
          <w:highlight w:val="none"/>
        </w:rPr>
        <w:t>202</w:t>
      </w:r>
      <w:r>
        <w:rPr>
          <w:rFonts w:hint="eastAsia" w:ascii="仿宋_GB2312" w:hAnsi="仿宋_GB2312" w:eastAsia="仿宋_GB2312"/>
          <w:color w:val="auto"/>
          <w:kern w:val="0"/>
          <w:sz w:val="28"/>
          <w:highlight w:val="none"/>
          <w:lang w:val="en-US" w:eastAsia="zh-CN"/>
        </w:rPr>
        <w:t>5</w:t>
      </w:r>
      <w:r>
        <w:rPr>
          <w:rFonts w:hint="eastAsia" w:ascii="仿宋_GB2312" w:hAnsi="仿宋_GB2312" w:eastAsia="仿宋_GB2312"/>
          <w:color w:val="auto"/>
          <w:kern w:val="0"/>
          <w:sz w:val="28"/>
          <w:highlight w:val="none"/>
        </w:rPr>
        <w:t>年</w:t>
      </w:r>
      <w:r>
        <w:rPr>
          <w:rFonts w:hint="eastAsia" w:ascii="仿宋_GB2312" w:hAnsi="仿宋_GB2312" w:eastAsia="仿宋_GB2312"/>
          <w:color w:val="auto"/>
          <w:kern w:val="0"/>
          <w:sz w:val="28"/>
          <w:highlight w:val="none"/>
          <w:lang w:val="en-US" w:eastAsia="zh-CN"/>
        </w:rPr>
        <w:t>XX</w:t>
      </w:r>
      <w:r>
        <w:rPr>
          <w:rFonts w:hint="eastAsia" w:ascii="仿宋_GB2312" w:hAnsi="仿宋_GB2312" w:eastAsia="仿宋_GB2312"/>
          <w:color w:val="auto"/>
          <w:kern w:val="0"/>
          <w:sz w:val="28"/>
          <w:highlight w:val="none"/>
        </w:rPr>
        <w:t>月</w:t>
      </w:r>
      <w:r>
        <w:rPr>
          <w:rFonts w:hint="eastAsia" w:ascii="仿宋_GB2312" w:hAnsi="仿宋_GB2312" w:eastAsia="仿宋_GB2312"/>
          <w:color w:val="auto"/>
          <w:kern w:val="0"/>
          <w:sz w:val="28"/>
          <w:highlight w:val="none"/>
          <w:lang w:val="en-US" w:eastAsia="zh-CN"/>
        </w:rPr>
        <w:t>XX</w:t>
      </w:r>
      <w:r>
        <w:rPr>
          <w:rFonts w:hint="eastAsia" w:ascii="仿宋_GB2312" w:hAnsi="仿宋_GB2312" w:eastAsia="仿宋_GB2312"/>
          <w:color w:val="auto"/>
          <w:kern w:val="0"/>
          <w:sz w:val="28"/>
          <w:highlight w:val="none"/>
        </w:rPr>
        <w:t>日               202</w:t>
      </w:r>
      <w:r>
        <w:rPr>
          <w:rFonts w:hint="eastAsia" w:ascii="仿宋_GB2312" w:hAnsi="仿宋_GB2312" w:eastAsia="仿宋_GB2312"/>
          <w:color w:val="auto"/>
          <w:kern w:val="0"/>
          <w:sz w:val="28"/>
          <w:highlight w:val="none"/>
          <w:lang w:val="en-US" w:eastAsia="zh-CN"/>
        </w:rPr>
        <w:t>5</w:t>
      </w:r>
      <w:r>
        <w:rPr>
          <w:rFonts w:hint="eastAsia" w:ascii="仿宋_GB2312" w:hAnsi="仿宋_GB2312" w:eastAsia="仿宋_GB2312"/>
          <w:color w:val="auto"/>
          <w:kern w:val="0"/>
          <w:sz w:val="28"/>
          <w:highlight w:val="none"/>
        </w:rPr>
        <w:t>年</w:t>
      </w:r>
      <w:r>
        <w:rPr>
          <w:rFonts w:hint="eastAsia" w:ascii="仿宋_GB2312" w:hAnsi="仿宋_GB2312" w:eastAsia="仿宋_GB2312"/>
          <w:color w:val="auto"/>
          <w:kern w:val="0"/>
          <w:sz w:val="28"/>
          <w:highlight w:val="none"/>
          <w:lang w:val="en-US" w:eastAsia="zh-CN"/>
        </w:rPr>
        <w:t>XX</w:t>
      </w:r>
      <w:r>
        <w:rPr>
          <w:rFonts w:hint="eastAsia" w:ascii="仿宋_GB2312" w:hAnsi="仿宋_GB2312" w:eastAsia="仿宋_GB2312"/>
          <w:color w:val="auto"/>
          <w:kern w:val="0"/>
          <w:sz w:val="28"/>
          <w:highlight w:val="none"/>
        </w:rPr>
        <w:t>月</w:t>
      </w:r>
      <w:r>
        <w:rPr>
          <w:rFonts w:hint="eastAsia" w:ascii="仿宋_GB2312" w:hAnsi="仿宋_GB2312" w:eastAsia="仿宋_GB2312"/>
          <w:color w:val="auto"/>
          <w:kern w:val="0"/>
          <w:sz w:val="28"/>
          <w:highlight w:val="none"/>
          <w:lang w:val="en-US" w:eastAsia="zh-CN"/>
        </w:rPr>
        <w:t>XX</w:t>
      </w:r>
      <w:r>
        <w:rPr>
          <w:rFonts w:hint="eastAsia" w:ascii="仿宋_GB2312" w:hAnsi="仿宋_GB2312" w:eastAsia="仿宋_GB2312"/>
          <w:color w:val="auto"/>
          <w:kern w:val="0"/>
          <w:sz w:val="28"/>
          <w:highlight w:val="none"/>
        </w:rPr>
        <w:t xml:space="preserve">日 </w:t>
      </w:r>
    </w:p>
    <w:p w14:paraId="2F1EC52F">
      <w:pPr>
        <w:pStyle w:val="6"/>
        <w:snapToGrid w:val="0"/>
        <w:spacing w:before="40" w:after="40" w:line="460" w:lineRule="exact"/>
        <w:rPr>
          <w:rFonts w:ascii="宋体" w:hAnsi="宋体" w:cs="宋体"/>
          <w:b w:val="0"/>
          <w:color w:val="auto"/>
          <w:sz w:val="21"/>
          <w:szCs w:val="21"/>
          <w:highlight w:val="none"/>
        </w:rPr>
      </w:pPr>
      <w:r>
        <w:rPr>
          <w:rFonts w:ascii="宋体" w:hAnsi="宋体" w:cs="宋体"/>
          <w:b w:val="0"/>
          <w:color w:val="auto"/>
          <w:szCs w:val="21"/>
          <w:highlight w:val="none"/>
        </w:rPr>
        <w:br w:type="page"/>
      </w:r>
      <w:r>
        <w:rPr>
          <w:rFonts w:hint="eastAsia" w:ascii="宋体" w:hAnsi="宋体" w:cs="宋体"/>
          <w:b w:val="0"/>
          <w:bCs w:val="0"/>
          <w:color w:val="auto"/>
          <w:sz w:val="21"/>
          <w:szCs w:val="21"/>
          <w:highlight w:val="none"/>
        </w:rPr>
        <w:t xml:space="preserve">合同附件三： </w:t>
      </w:r>
    </w:p>
    <w:p w14:paraId="5F664A22">
      <w:pPr>
        <w:pStyle w:val="6"/>
        <w:snapToGrid w:val="0"/>
        <w:spacing w:before="40" w:after="40" w:line="46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工程承包人联系方式一览表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46"/>
        <w:gridCol w:w="965"/>
        <w:gridCol w:w="2109"/>
        <w:gridCol w:w="1800"/>
        <w:gridCol w:w="2520"/>
      </w:tblGrid>
      <w:tr w14:paraId="605F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6E428CAB">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p>
        </w:tc>
        <w:tc>
          <w:tcPr>
            <w:tcW w:w="7394" w:type="dxa"/>
            <w:gridSpan w:val="4"/>
            <w:vAlign w:val="center"/>
          </w:tcPr>
          <w:p w14:paraId="73C42C3E">
            <w:pPr>
              <w:tabs>
                <w:tab w:val="left" w:pos="1800"/>
                <w:tab w:val="left" w:pos="1980"/>
                <w:tab w:val="left" w:pos="2160"/>
                <w:tab w:val="left" w:pos="2880"/>
              </w:tabs>
              <w:spacing w:line="360" w:lineRule="auto"/>
              <w:rPr>
                <w:rFonts w:ascii="宋体" w:hAnsi="宋体" w:cs="宋体"/>
                <w:color w:val="auto"/>
                <w:szCs w:val="21"/>
                <w:highlight w:val="none"/>
              </w:rPr>
            </w:pPr>
          </w:p>
        </w:tc>
      </w:tr>
      <w:tr w14:paraId="0932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0080F00B">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承包人</w:t>
            </w:r>
          </w:p>
        </w:tc>
        <w:tc>
          <w:tcPr>
            <w:tcW w:w="7394" w:type="dxa"/>
            <w:gridSpan w:val="4"/>
            <w:vAlign w:val="center"/>
          </w:tcPr>
          <w:p w14:paraId="2C5DCDA2">
            <w:pPr>
              <w:tabs>
                <w:tab w:val="left" w:pos="1800"/>
                <w:tab w:val="left" w:pos="1980"/>
                <w:tab w:val="left" w:pos="2160"/>
                <w:tab w:val="left" w:pos="2880"/>
              </w:tabs>
              <w:spacing w:line="360" w:lineRule="auto"/>
              <w:rPr>
                <w:rFonts w:ascii="宋体" w:hAnsi="宋体" w:cs="宋体"/>
                <w:color w:val="auto"/>
                <w:szCs w:val="21"/>
                <w:highlight w:val="none"/>
              </w:rPr>
            </w:pPr>
          </w:p>
        </w:tc>
      </w:tr>
      <w:tr w14:paraId="4D1B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0A51E808">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7394" w:type="dxa"/>
            <w:gridSpan w:val="4"/>
            <w:vAlign w:val="center"/>
          </w:tcPr>
          <w:p w14:paraId="169190E8">
            <w:pPr>
              <w:tabs>
                <w:tab w:val="left" w:pos="1800"/>
                <w:tab w:val="left" w:pos="1980"/>
                <w:tab w:val="left" w:pos="2160"/>
                <w:tab w:val="left" w:pos="2880"/>
              </w:tabs>
              <w:spacing w:line="360" w:lineRule="auto"/>
              <w:rPr>
                <w:rFonts w:ascii="宋体" w:hAnsi="宋体" w:cs="宋体"/>
                <w:color w:val="auto"/>
                <w:szCs w:val="21"/>
                <w:highlight w:val="none"/>
              </w:rPr>
            </w:pPr>
          </w:p>
        </w:tc>
      </w:tr>
      <w:tr w14:paraId="4E72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47BD2927">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通信地址</w:t>
            </w:r>
          </w:p>
        </w:tc>
        <w:tc>
          <w:tcPr>
            <w:tcW w:w="7394" w:type="dxa"/>
            <w:gridSpan w:val="4"/>
            <w:vAlign w:val="center"/>
          </w:tcPr>
          <w:p w14:paraId="25E41483">
            <w:pPr>
              <w:tabs>
                <w:tab w:val="left" w:pos="1800"/>
                <w:tab w:val="left" w:pos="1980"/>
                <w:tab w:val="left" w:pos="2160"/>
                <w:tab w:val="left" w:pos="2880"/>
              </w:tabs>
              <w:spacing w:line="360" w:lineRule="auto"/>
              <w:rPr>
                <w:rFonts w:ascii="宋体" w:hAnsi="宋体" w:cs="宋体"/>
                <w:color w:val="auto"/>
                <w:szCs w:val="21"/>
                <w:highlight w:val="none"/>
              </w:rPr>
            </w:pPr>
          </w:p>
        </w:tc>
      </w:tr>
      <w:tr w14:paraId="5EC1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74EC5245">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7394" w:type="dxa"/>
            <w:gridSpan w:val="4"/>
            <w:vAlign w:val="center"/>
          </w:tcPr>
          <w:p w14:paraId="03F47E5A">
            <w:pPr>
              <w:tabs>
                <w:tab w:val="left" w:pos="1800"/>
                <w:tab w:val="left" w:pos="1980"/>
                <w:tab w:val="left" w:pos="2160"/>
                <w:tab w:val="left" w:pos="2880"/>
              </w:tabs>
              <w:spacing w:line="360" w:lineRule="auto"/>
              <w:rPr>
                <w:rFonts w:ascii="宋体" w:hAnsi="宋体" w:cs="宋体"/>
                <w:color w:val="auto"/>
                <w:szCs w:val="21"/>
                <w:highlight w:val="none"/>
              </w:rPr>
            </w:pPr>
          </w:p>
        </w:tc>
      </w:tr>
      <w:tr w14:paraId="74A3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0CE6E719">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传真</w:t>
            </w:r>
          </w:p>
        </w:tc>
        <w:tc>
          <w:tcPr>
            <w:tcW w:w="7394" w:type="dxa"/>
            <w:gridSpan w:val="4"/>
            <w:vAlign w:val="center"/>
          </w:tcPr>
          <w:p w14:paraId="77A76C97">
            <w:pPr>
              <w:tabs>
                <w:tab w:val="left" w:pos="1800"/>
                <w:tab w:val="left" w:pos="1980"/>
                <w:tab w:val="left" w:pos="2160"/>
                <w:tab w:val="left" w:pos="2880"/>
              </w:tabs>
              <w:spacing w:line="360" w:lineRule="auto"/>
              <w:rPr>
                <w:rFonts w:ascii="宋体" w:hAnsi="宋体" w:cs="宋体"/>
                <w:color w:val="auto"/>
                <w:szCs w:val="21"/>
                <w:highlight w:val="none"/>
              </w:rPr>
            </w:pPr>
          </w:p>
        </w:tc>
      </w:tr>
      <w:tr w14:paraId="4D8D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62" w:type="dxa"/>
            <w:gridSpan w:val="2"/>
            <w:vAlign w:val="center"/>
          </w:tcPr>
          <w:p w14:paraId="461C0D8F">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E-mail</w:t>
            </w:r>
          </w:p>
        </w:tc>
        <w:tc>
          <w:tcPr>
            <w:tcW w:w="7394" w:type="dxa"/>
            <w:gridSpan w:val="4"/>
            <w:vAlign w:val="center"/>
          </w:tcPr>
          <w:p w14:paraId="62EC6A03">
            <w:pPr>
              <w:rPr>
                <w:rFonts w:ascii="宋体" w:hAnsi="宋体" w:cs="宋体"/>
                <w:color w:val="auto"/>
                <w:szCs w:val="21"/>
                <w:highlight w:val="none"/>
              </w:rPr>
            </w:pPr>
          </w:p>
        </w:tc>
      </w:tr>
      <w:tr w14:paraId="4AD7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56" w:type="dxa"/>
            <w:gridSpan w:val="6"/>
            <w:vAlign w:val="center"/>
          </w:tcPr>
          <w:p w14:paraId="399B8E19">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承包人项目相关负责人及其联系方式</w:t>
            </w:r>
          </w:p>
        </w:tc>
      </w:tr>
      <w:tr w14:paraId="1BA9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6" w:type="dxa"/>
            <w:vAlign w:val="center"/>
          </w:tcPr>
          <w:p w14:paraId="6BFE0F4F">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职务</w:t>
            </w:r>
          </w:p>
        </w:tc>
        <w:tc>
          <w:tcPr>
            <w:tcW w:w="1311" w:type="dxa"/>
            <w:gridSpan w:val="2"/>
            <w:tcBorders>
              <w:bottom w:val="single" w:color="auto" w:sz="6" w:space="0"/>
              <w:right w:val="single" w:color="auto" w:sz="6" w:space="0"/>
            </w:tcBorders>
            <w:vAlign w:val="center"/>
          </w:tcPr>
          <w:p w14:paraId="3C87F2FA">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姓名</w:t>
            </w:r>
          </w:p>
        </w:tc>
        <w:tc>
          <w:tcPr>
            <w:tcW w:w="2109" w:type="dxa"/>
            <w:tcBorders>
              <w:left w:val="single" w:color="auto" w:sz="6" w:space="0"/>
              <w:bottom w:val="single" w:color="auto" w:sz="6" w:space="0"/>
              <w:right w:val="single" w:color="auto" w:sz="6" w:space="0"/>
            </w:tcBorders>
            <w:vAlign w:val="center"/>
          </w:tcPr>
          <w:p w14:paraId="461FB6B2">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手机</w:t>
            </w:r>
          </w:p>
        </w:tc>
        <w:tc>
          <w:tcPr>
            <w:tcW w:w="1800" w:type="dxa"/>
            <w:tcBorders>
              <w:left w:val="single" w:color="auto" w:sz="6" w:space="0"/>
              <w:bottom w:val="single" w:color="auto" w:sz="6" w:space="0"/>
              <w:right w:val="single" w:color="auto" w:sz="6" w:space="0"/>
            </w:tcBorders>
            <w:vAlign w:val="center"/>
          </w:tcPr>
          <w:p w14:paraId="311ABA30">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固定电话</w:t>
            </w:r>
          </w:p>
        </w:tc>
        <w:tc>
          <w:tcPr>
            <w:tcW w:w="2520" w:type="dxa"/>
            <w:tcBorders>
              <w:left w:val="single" w:color="auto" w:sz="6" w:space="0"/>
              <w:bottom w:val="single" w:color="auto" w:sz="6" w:space="0"/>
            </w:tcBorders>
            <w:vAlign w:val="center"/>
          </w:tcPr>
          <w:p w14:paraId="49A62E64">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其他联系方式</w:t>
            </w:r>
          </w:p>
        </w:tc>
      </w:tr>
      <w:tr w14:paraId="7125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6" w:type="dxa"/>
            <w:vAlign w:val="center"/>
          </w:tcPr>
          <w:p w14:paraId="43C8C7D5">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项目经理</w:t>
            </w:r>
          </w:p>
        </w:tc>
        <w:tc>
          <w:tcPr>
            <w:tcW w:w="1311" w:type="dxa"/>
            <w:gridSpan w:val="2"/>
            <w:tcBorders>
              <w:top w:val="single" w:color="auto" w:sz="6" w:space="0"/>
              <w:right w:val="single" w:color="auto" w:sz="6" w:space="0"/>
            </w:tcBorders>
            <w:vAlign w:val="center"/>
          </w:tcPr>
          <w:p w14:paraId="21F0A194">
            <w:pPr>
              <w:tabs>
                <w:tab w:val="left" w:pos="1800"/>
                <w:tab w:val="left" w:pos="1980"/>
                <w:tab w:val="left" w:pos="2160"/>
                <w:tab w:val="left" w:pos="2880"/>
              </w:tabs>
              <w:spacing w:line="360" w:lineRule="auto"/>
              <w:rPr>
                <w:rFonts w:ascii="宋体" w:hAnsi="宋体" w:cs="宋体"/>
                <w:color w:val="auto"/>
                <w:szCs w:val="21"/>
                <w:highlight w:val="none"/>
              </w:rPr>
            </w:pPr>
          </w:p>
        </w:tc>
        <w:tc>
          <w:tcPr>
            <w:tcW w:w="2109" w:type="dxa"/>
            <w:tcBorders>
              <w:top w:val="single" w:color="auto" w:sz="6" w:space="0"/>
              <w:left w:val="single" w:color="auto" w:sz="6" w:space="0"/>
              <w:right w:val="single" w:color="auto" w:sz="6" w:space="0"/>
            </w:tcBorders>
            <w:vAlign w:val="center"/>
          </w:tcPr>
          <w:p w14:paraId="225F8B6B">
            <w:pPr>
              <w:tabs>
                <w:tab w:val="left" w:pos="1800"/>
                <w:tab w:val="left" w:pos="1980"/>
                <w:tab w:val="left" w:pos="2160"/>
                <w:tab w:val="left" w:pos="2880"/>
              </w:tabs>
              <w:spacing w:line="360" w:lineRule="auto"/>
              <w:rPr>
                <w:rFonts w:ascii="宋体" w:hAnsi="宋体" w:cs="宋体"/>
                <w:color w:val="auto"/>
                <w:szCs w:val="21"/>
                <w:highlight w:val="none"/>
              </w:rPr>
            </w:pPr>
          </w:p>
        </w:tc>
        <w:tc>
          <w:tcPr>
            <w:tcW w:w="1800" w:type="dxa"/>
            <w:tcBorders>
              <w:top w:val="single" w:color="auto" w:sz="6" w:space="0"/>
              <w:left w:val="single" w:color="auto" w:sz="6" w:space="0"/>
              <w:right w:val="single" w:color="auto" w:sz="6" w:space="0"/>
            </w:tcBorders>
            <w:vAlign w:val="center"/>
          </w:tcPr>
          <w:p w14:paraId="39551318">
            <w:pPr>
              <w:tabs>
                <w:tab w:val="left" w:pos="1800"/>
                <w:tab w:val="left" w:pos="1980"/>
                <w:tab w:val="left" w:pos="2160"/>
                <w:tab w:val="left" w:pos="2880"/>
              </w:tabs>
              <w:spacing w:line="360" w:lineRule="auto"/>
              <w:rPr>
                <w:rFonts w:ascii="宋体" w:hAnsi="宋体" w:cs="宋体"/>
                <w:color w:val="auto"/>
                <w:szCs w:val="21"/>
                <w:highlight w:val="none"/>
              </w:rPr>
            </w:pPr>
          </w:p>
        </w:tc>
        <w:tc>
          <w:tcPr>
            <w:tcW w:w="2520" w:type="dxa"/>
            <w:tcBorders>
              <w:top w:val="single" w:color="auto" w:sz="6" w:space="0"/>
              <w:left w:val="single" w:color="auto" w:sz="6" w:space="0"/>
            </w:tcBorders>
            <w:vAlign w:val="center"/>
          </w:tcPr>
          <w:p w14:paraId="508ECB8F">
            <w:pPr>
              <w:tabs>
                <w:tab w:val="left" w:pos="1800"/>
                <w:tab w:val="left" w:pos="1980"/>
                <w:tab w:val="left" w:pos="2160"/>
                <w:tab w:val="left" w:pos="2880"/>
              </w:tabs>
              <w:spacing w:line="360" w:lineRule="auto"/>
              <w:rPr>
                <w:rFonts w:ascii="宋体" w:hAnsi="宋体" w:cs="宋体"/>
                <w:color w:val="auto"/>
                <w:szCs w:val="21"/>
                <w:highlight w:val="none"/>
              </w:rPr>
            </w:pPr>
          </w:p>
        </w:tc>
      </w:tr>
      <w:tr w14:paraId="666F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6" w:type="dxa"/>
            <w:vAlign w:val="center"/>
          </w:tcPr>
          <w:p w14:paraId="28A90727">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维修事务代表（必填）</w:t>
            </w:r>
          </w:p>
        </w:tc>
        <w:tc>
          <w:tcPr>
            <w:tcW w:w="1311" w:type="dxa"/>
            <w:gridSpan w:val="2"/>
            <w:vAlign w:val="center"/>
          </w:tcPr>
          <w:p w14:paraId="146D85C6">
            <w:pPr>
              <w:tabs>
                <w:tab w:val="left" w:pos="1800"/>
                <w:tab w:val="left" w:pos="1980"/>
                <w:tab w:val="left" w:pos="2160"/>
                <w:tab w:val="left" w:pos="2880"/>
              </w:tabs>
              <w:spacing w:line="360" w:lineRule="auto"/>
              <w:rPr>
                <w:rFonts w:ascii="宋体" w:hAnsi="宋体" w:cs="宋体"/>
                <w:color w:val="auto"/>
                <w:szCs w:val="21"/>
                <w:highlight w:val="none"/>
              </w:rPr>
            </w:pPr>
          </w:p>
        </w:tc>
        <w:tc>
          <w:tcPr>
            <w:tcW w:w="2109" w:type="dxa"/>
            <w:vAlign w:val="center"/>
          </w:tcPr>
          <w:p w14:paraId="78129650">
            <w:pPr>
              <w:tabs>
                <w:tab w:val="left" w:pos="1800"/>
                <w:tab w:val="left" w:pos="1980"/>
                <w:tab w:val="left" w:pos="2160"/>
                <w:tab w:val="left" w:pos="2880"/>
              </w:tabs>
              <w:spacing w:line="360" w:lineRule="auto"/>
              <w:rPr>
                <w:rFonts w:ascii="宋体" w:hAnsi="宋体" w:cs="宋体"/>
                <w:color w:val="auto"/>
                <w:szCs w:val="21"/>
                <w:highlight w:val="none"/>
              </w:rPr>
            </w:pPr>
          </w:p>
        </w:tc>
        <w:tc>
          <w:tcPr>
            <w:tcW w:w="1800" w:type="dxa"/>
            <w:vAlign w:val="center"/>
          </w:tcPr>
          <w:p w14:paraId="79C55C1A">
            <w:pPr>
              <w:tabs>
                <w:tab w:val="left" w:pos="1800"/>
                <w:tab w:val="left" w:pos="1980"/>
                <w:tab w:val="left" w:pos="2160"/>
                <w:tab w:val="left" w:pos="2880"/>
              </w:tabs>
              <w:spacing w:line="360" w:lineRule="auto"/>
              <w:rPr>
                <w:rFonts w:ascii="宋体" w:hAnsi="宋体" w:cs="宋体"/>
                <w:color w:val="auto"/>
                <w:szCs w:val="21"/>
                <w:highlight w:val="none"/>
              </w:rPr>
            </w:pPr>
          </w:p>
        </w:tc>
        <w:tc>
          <w:tcPr>
            <w:tcW w:w="2520" w:type="dxa"/>
            <w:vAlign w:val="center"/>
          </w:tcPr>
          <w:p w14:paraId="1E4ED455">
            <w:pPr>
              <w:tabs>
                <w:tab w:val="left" w:pos="1800"/>
                <w:tab w:val="left" w:pos="1980"/>
                <w:tab w:val="left" w:pos="2160"/>
                <w:tab w:val="left" w:pos="2880"/>
              </w:tabs>
              <w:spacing w:line="360" w:lineRule="auto"/>
              <w:rPr>
                <w:rFonts w:ascii="宋体" w:hAnsi="宋体" w:cs="宋体"/>
                <w:color w:val="auto"/>
                <w:szCs w:val="21"/>
                <w:highlight w:val="none"/>
              </w:rPr>
            </w:pPr>
          </w:p>
        </w:tc>
      </w:tr>
      <w:tr w14:paraId="05C6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6" w:type="dxa"/>
            <w:vAlign w:val="center"/>
          </w:tcPr>
          <w:p w14:paraId="6411FFB0">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其它联系人</w:t>
            </w:r>
          </w:p>
        </w:tc>
        <w:tc>
          <w:tcPr>
            <w:tcW w:w="1311" w:type="dxa"/>
            <w:gridSpan w:val="2"/>
            <w:vAlign w:val="center"/>
          </w:tcPr>
          <w:p w14:paraId="3B427A3B">
            <w:pPr>
              <w:tabs>
                <w:tab w:val="left" w:pos="1800"/>
                <w:tab w:val="left" w:pos="1980"/>
                <w:tab w:val="left" w:pos="2160"/>
                <w:tab w:val="left" w:pos="2880"/>
              </w:tabs>
              <w:spacing w:line="360" w:lineRule="auto"/>
              <w:rPr>
                <w:rFonts w:ascii="宋体" w:hAnsi="宋体" w:cs="宋体"/>
                <w:color w:val="auto"/>
                <w:szCs w:val="21"/>
                <w:highlight w:val="none"/>
              </w:rPr>
            </w:pPr>
          </w:p>
        </w:tc>
        <w:tc>
          <w:tcPr>
            <w:tcW w:w="2109" w:type="dxa"/>
            <w:vAlign w:val="center"/>
          </w:tcPr>
          <w:p w14:paraId="1E5F3E36">
            <w:pPr>
              <w:tabs>
                <w:tab w:val="left" w:pos="1800"/>
                <w:tab w:val="left" w:pos="1980"/>
                <w:tab w:val="left" w:pos="2160"/>
                <w:tab w:val="left" w:pos="2880"/>
              </w:tabs>
              <w:spacing w:line="360" w:lineRule="auto"/>
              <w:rPr>
                <w:rFonts w:ascii="宋体" w:hAnsi="宋体" w:cs="宋体"/>
                <w:color w:val="auto"/>
                <w:szCs w:val="21"/>
                <w:highlight w:val="none"/>
              </w:rPr>
            </w:pPr>
          </w:p>
        </w:tc>
        <w:tc>
          <w:tcPr>
            <w:tcW w:w="1800" w:type="dxa"/>
            <w:vAlign w:val="center"/>
          </w:tcPr>
          <w:p w14:paraId="33615892">
            <w:pPr>
              <w:tabs>
                <w:tab w:val="left" w:pos="1800"/>
                <w:tab w:val="left" w:pos="1980"/>
                <w:tab w:val="left" w:pos="2160"/>
                <w:tab w:val="left" w:pos="2880"/>
              </w:tabs>
              <w:spacing w:line="360" w:lineRule="auto"/>
              <w:rPr>
                <w:rFonts w:ascii="宋体" w:hAnsi="宋体" w:cs="宋体"/>
                <w:color w:val="auto"/>
                <w:szCs w:val="21"/>
                <w:highlight w:val="none"/>
              </w:rPr>
            </w:pPr>
          </w:p>
        </w:tc>
        <w:tc>
          <w:tcPr>
            <w:tcW w:w="2520" w:type="dxa"/>
            <w:vAlign w:val="center"/>
          </w:tcPr>
          <w:p w14:paraId="5C0A7AF4">
            <w:pPr>
              <w:tabs>
                <w:tab w:val="left" w:pos="1800"/>
                <w:tab w:val="left" w:pos="1980"/>
                <w:tab w:val="left" w:pos="2160"/>
                <w:tab w:val="left" w:pos="2880"/>
              </w:tabs>
              <w:spacing w:line="360" w:lineRule="auto"/>
              <w:rPr>
                <w:rFonts w:ascii="宋体" w:hAnsi="宋体" w:cs="宋体"/>
                <w:color w:val="auto"/>
                <w:szCs w:val="21"/>
                <w:highlight w:val="none"/>
              </w:rPr>
            </w:pPr>
          </w:p>
        </w:tc>
      </w:tr>
      <w:tr w14:paraId="56EB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6" w:type="dxa"/>
            <w:vAlign w:val="center"/>
          </w:tcPr>
          <w:p w14:paraId="70B8CB4D">
            <w:pPr>
              <w:tabs>
                <w:tab w:val="left" w:pos="1800"/>
                <w:tab w:val="left" w:pos="1980"/>
                <w:tab w:val="left" w:pos="2160"/>
                <w:tab w:val="left" w:pos="2880"/>
              </w:tabs>
              <w:spacing w:line="360" w:lineRule="auto"/>
              <w:rPr>
                <w:rFonts w:ascii="宋体" w:hAnsi="宋体" w:cs="宋体"/>
                <w:color w:val="auto"/>
                <w:szCs w:val="21"/>
                <w:highlight w:val="none"/>
              </w:rPr>
            </w:pPr>
          </w:p>
        </w:tc>
        <w:tc>
          <w:tcPr>
            <w:tcW w:w="1311" w:type="dxa"/>
            <w:gridSpan w:val="2"/>
            <w:vAlign w:val="center"/>
          </w:tcPr>
          <w:p w14:paraId="2DD80035">
            <w:pPr>
              <w:tabs>
                <w:tab w:val="left" w:pos="1800"/>
                <w:tab w:val="left" w:pos="1980"/>
                <w:tab w:val="left" w:pos="2160"/>
                <w:tab w:val="left" w:pos="2880"/>
              </w:tabs>
              <w:spacing w:line="360" w:lineRule="auto"/>
              <w:rPr>
                <w:rFonts w:ascii="宋体" w:hAnsi="宋体" w:cs="宋体"/>
                <w:color w:val="auto"/>
                <w:szCs w:val="21"/>
                <w:highlight w:val="none"/>
              </w:rPr>
            </w:pPr>
          </w:p>
        </w:tc>
        <w:tc>
          <w:tcPr>
            <w:tcW w:w="2109" w:type="dxa"/>
            <w:vAlign w:val="center"/>
          </w:tcPr>
          <w:p w14:paraId="7F6E7EBF">
            <w:pPr>
              <w:tabs>
                <w:tab w:val="left" w:pos="1800"/>
                <w:tab w:val="left" w:pos="1980"/>
                <w:tab w:val="left" w:pos="2160"/>
                <w:tab w:val="left" w:pos="2880"/>
              </w:tabs>
              <w:spacing w:line="360" w:lineRule="auto"/>
              <w:rPr>
                <w:rFonts w:ascii="宋体" w:hAnsi="宋体" w:cs="宋体"/>
                <w:color w:val="auto"/>
                <w:szCs w:val="21"/>
                <w:highlight w:val="none"/>
              </w:rPr>
            </w:pPr>
          </w:p>
        </w:tc>
        <w:tc>
          <w:tcPr>
            <w:tcW w:w="1800" w:type="dxa"/>
            <w:vAlign w:val="center"/>
          </w:tcPr>
          <w:p w14:paraId="14AA99E2">
            <w:pPr>
              <w:tabs>
                <w:tab w:val="left" w:pos="1800"/>
                <w:tab w:val="left" w:pos="1980"/>
                <w:tab w:val="left" w:pos="2160"/>
                <w:tab w:val="left" w:pos="2880"/>
              </w:tabs>
              <w:spacing w:line="360" w:lineRule="auto"/>
              <w:rPr>
                <w:rFonts w:ascii="宋体" w:hAnsi="宋体" w:cs="宋体"/>
                <w:color w:val="auto"/>
                <w:szCs w:val="21"/>
                <w:highlight w:val="none"/>
              </w:rPr>
            </w:pPr>
          </w:p>
        </w:tc>
        <w:tc>
          <w:tcPr>
            <w:tcW w:w="2520" w:type="dxa"/>
            <w:vAlign w:val="center"/>
          </w:tcPr>
          <w:p w14:paraId="27BC0CE3">
            <w:pPr>
              <w:tabs>
                <w:tab w:val="left" w:pos="1800"/>
                <w:tab w:val="left" w:pos="1980"/>
                <w:tab w:val="left" w:pos="2160"/>
                <w:tab w:val="left" w:pos="2880"/>
              </w:tabs>
              <w:spacing w:line="360" w:lineRule="auto"/>
              <w:rPr>
                <w:rFonts w:ascii="宋体" w:hAnsi="宋体" w:cs="宋体"/>
                <w:color w:val="auto"/>
                <w:szCs w:val="21"/>
                <w:highlight w:val="none"/>
              </w:rPr>
            </w:pPr>
          </w:p>
        </w:tc>
      </w:tr>
      <w:tr w14:paraId="69F2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16" w:type="dxa"/>
            <w:vAlign w:val="center"/>
          </w:tcPr>
          <w:p w14:paraId="33C6EC72">
            <w:pPr>
              <w:tabs>
                <w:tab w:val="left" w:pos="1800"/>
                <w:tab w:val="left" w:pos="1980"/>
                <w:tab w:val="left" w:pos="2160"/>
                <w:tab w:val="left" w:pos="2880"/>
              </w:tabs>
              <w:spacing w:line="360" w:lineRule="auto"/>
              <w:rPr>
                <w:rFonts w:ascii="宋体" w:hAnsi="宋体" w:cs="宋体"/>
                <w:color w:val="auto"/>
                <w:szCs w:val="21"/>
                <w:highlight w:val="none"/>
              </w:rPr>
            </w:pPr>
          </w:p>
        </w:tc>
        <w:tc>
          <w:tcPr>
            <w:tcW w:w="1311" w:type="dxa"/>
            <w:gridSpan w:val="2"/>
            <w:vAlign w:val="center"/>
          </w:tcPr>
          <w:p w14:paraId="795BC2F1">
            <w:pPr>
              <w:tabs>
                <w:tab w:val="left" w:pos="1800"/>
                <w:tab w:val="left" w:pos="1980"/>
                <w:tab w:val="left" w:pos="2160"/>
                <w:tab w:val="left" w:pos="2880"/>
              </w:tabs>
              <w:spacing w:line="360" w:lineRule="auto"/>
              <w:rPr>
                <w:rFonts w:ascii="宋体" w:hAnsi="宋体" w:cs="宋体"/>
                <w:color w:val="auto"/>
                <w:szCs w:val="21"/>
                <w:highlight w:val="none"/>
              </w:rPr>
            </w:pPr>
          </w:p>
        </w:tc>
        <w:tc>
          <w:tcPr>
            <w:tcW w:w="2109" w:type="dxa"/>
            <w:vAlign w:val="center"/>
          </w:tcPr>
          <w:p w14:paraId="6C6709DD">
            <w:pPr>
              <w:tabs>
                <w:tab w:val="left" w:pos="1800"/>
                <w:tab w:val="left" w:pos="1980"/>
                <w:tab w:val="left" w:pos="2160"/>
                <w:tab w:val="left" w:pos="2880"/>
              </w:tabs>
              <w:spacing w:line="360" w:lineRule="auto"/>
              <w:rPr>
                <w:rFonts w:ascii="宋体" w:hAnsi="宋体" w:cs="宋体"/>
                <w:color w:val="auto"/>
                <w:szCs w:val="21"/>
                <w:highlight w:val="none"/>
              </w:rPr>
            </w:pPr>
          </w:p>
        </w:tc>
        <w:tc>
          <w:tcPr>
            <w:tcW w:w="1800" w:type="dxa"/>
            <w:vAlign w:val="center"/>
          </w:tcPr>
          <w:p w14:paraId="24F56B15">
            <w:pPr>
              <w:tabs>
                <w:tab w:val="left" w:pos="1800"/>
                <w:tab w:val="left" w:pos="1980"/>
                <w:tab w:val="left" w:pos="2160"/>
                <w:tab w:val="left" w:pos="2880"/>
              </w:tabs>
              <w:spacing w:line="360" w:lineRule="auto"/>
              <w:rPr>
                <w:rFonts w:ascii="宋体" w:hAnsi="宋体" w:cs="宋体"/>
                <w:color w:val="auto"/>
                <w:szCs w:val="21"/>
                <w:highlight w:val="none"/>
              </w:rPr>
            </w:pPr>
          </w:p>
        </w:tc>
        <w:tc>
          <w:tcPr>
            <w:tcW w:w="2520" w:type="dxa"/>
            <w:vAlign w:val="center"/>
          </w:tcPr>
          <w:p w14:paraId="08C3D028">
            <w:pPr>
              <w:tabs>
                <w:tab w:val="left" w:pos="1800"/>
                <w:tab w:val="left" w:pos="1980"/>
                <w:tab w:val="left" w:pos="2160"/>
                <w:tab w:val="left" w:pos="2880"/>
              </w:tabs>
              <w:spacing w:line="360" w:lineRule="auto"/>
              <w:rPr>
                <w:rFonts w:ascii="宋体" w:hAnsi="宋体" w:cs="宋体"/>
                <w:color w:val="auto"/>
                <w:szCs w:val="21"/>
                <w:highlight w:val="none"/>
              </w:rPr>
            </w:pPr>
          </w:p>
        </w:tc>
      </w:tr>
      <w:tr w14:paraId="5E7A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36" w:type="dxa"/>
            <w:gridSpan w:val="4"/>
          </w:tcPr>
          <w:p w14:paraId="112CA074">
            <w:pPr>
              <w:tabs>
                <w:tab w:val="left" w:pos="1800"/>
                <w:tab w:val="left" w:pos="1980"/>
                <w:tab w:val="left" w:pos="2160"/>
                <w:tab w:val="left" w:pos="2880"/>
              </w:tabs>
              <w:spacing w:line="360" w:lineRule="auto"/>
              <w:rPr>
                <w:rFonts w:ascii="宋体" w:hAnsi="宋体" w:cs="宋体"/>
                <w:color w:val="auto"/>
                <w:szCs w:val="21"/>
                <w:highlight w:val="none"/>
              </w:rPr>
            </w:pPr>
          </w:p>
          <w:p w14:paraId="029334C4">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发包人（盖章）：</w:t>
            </w:r>
          </w:p>
          <w:p w14:paraId="785E8923">
            <w:pPr>
              <w:tabs>
                <w:tab w:val="left" w:pos="1800"/>
                <w:tab w:val="left" w:pos="1980"/>
                <w:tab w:val="left" w:pos="2160"/>
                <w:tab w:val="left" w:pos="2880"/>
              </w:tabs>
              <w:spacing w:line="360" w:lineRule="auto"/>
              <w:rPr>
                <w:rFonts w:ascii="宋体" w:hAnsi="宋体" w:cs="宋体"/>
                <w:color w:val="auto"/>
                <w:szCs w:val="21"/>
                <w:highlight w:val="none"/>
              </w:rPr>
            </w:pPr>
          </w:p>
          <w:p w14:paraId="1234DD62">
            <w:pPr>
              <w:tabs>
                <w:tab w:val="left" w:pos="1800"/>
                <w:tab w:val="left" w:pos="1980"/>
                <w:tab w:val="left" w:pos="2160"/>
                <w:tab w:val="left" w:pos="2880"/>
              </w:tabs>
              <w:spacing w:line="360" w:lineRule="auto"/>
              <w:rPr>
                <w:rFonts w:ascii="宋体" w:hAnsi="宋体" w:cs="宋体"/>
                <w:color w:val="auto"/>
                <w:szCs w:val="21"/>
                <w:highlight w:val="none"/>
              </w:rPr>
            </w:pPr>
          </w:p>
          <w:p w14:paraId="2FB6BA52">
            <w:pPr>
              <w:tabs>
                <w:tab w:val="left" w:pos="1800"/>
                <w:tab w:val="left" w:pos="1980"/>
                <w:tab w:val="left" w:pos="2160"/>
                <w:tab w:val="left" w:pos="2880"/>
              </w:tabs>
              <w:spacing w:line="360" w:lineRule="auto"/>
              <w:rPr>
                <w:rFonts w:ascii="宋体" w:hAnsi="宋体" w:cs="宋体"/>
                <w:color w:val="auto"/>
                <w:szCs w:val="21"/>
                <w:highlight w:val="none"/>
              </w:rPr>
            </w:pPr>
          </w:p>
        </w:tc>
        <w:tc>
          <w:tcPr>
            <w:tcW w:w="4320" w:type="dxa"/>
            <w:gridSpan w:val="2"/>
          </w:tcPr>
          <w:p w14:paraId="15B6D211">
            <w:pPr>
              <w:tabs>
                <w:tab w:val="left" w:pos="1800"/>
                <w:tab w:val="left" w:pos="1980"/>
                <w:tab w:val="left" w:pos="2160"/>
                <w:tab w:val="left" w:pos="2880"/>
              </w:tabs>
              <w:spacing w:line="360" w:lineRule="auto"/>
              <w:rPr>
                <w:rFonts w:ascii="宋体" w:hAnsi="宋体" w:cs="宋体"/>
                <w:color w:val="auto"/>
                <w:szCs w:val="21"/>
                <w:highlight w:val="none"/>
              </w:rPr>
            </w:pPr>
          </w:p>
          <w:p w14:paraId="04B5F4EE">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承包人（盖章）：</w:t>
            </w:r>
          </w:p>
          <w:p w14:paraId="2772AA8A">
            <w:pPr>
              <w:tabs>
                <w:tab w:val="left" w:pos="1800"/>
                <w:tab w:val="left" w:pos="1980"/>
                <w:tab w:val="left" w:pos="2160"/>
                <w:tab w:val="left" w:pos="2880"/>
              </w:tabs>
              <w:spacing w:line="360" w:lineRule="auto"/>
              <w:rPr>
                <w:rFonts w:ascii="宋体" w:hAnsi="宋体" w:cs="宋体"/>
                <w:color w:val="auto"/>
                <w:szCs w:val="21"/>
                <w:highlight w:val="none"/>
              </w:rPr>
            </w:pPr>
          </w:p>
          <w:p w14:paraId="5B00F7F9">
            <w:pPr>
              <w:tabs>
                <w:tab w:val="left" w:pos="1800"/>
                <w:tab w:val="left" w:pos="1980"/>
                <w:tab w:val="left" w:pos="2160"/>
                <w:tab w:val="left" w:pos="2880"/>
              </w:tabs>
              <w:spacing w:line="360" w:lineRule="auto"/>
              <w:rPr>
                <w:rFonts w:ascii="宋体" w:hAnsi="宋体" w:cs="宋体"/>
                <w:color w:val="auto"/>
                <w:szCs w:val="21"/>
                <w:highlight w:val="none"/>
              </w:rPr>
            </w:pPr>
          </w:p>
          <w:p w14:paraId="4EE394DD">
            <w:pPr>
              <w:tabs>
                <w:tab w:val="left" w:pos="1800"/>
                <w:tab w:val="left" w:pos="1980"/>
                <w:tab w:val="left" w:pos="2160"/>
                <w:tab w:val="left" w:pos="288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tc>
      </w:tr>
    </w:tbl>
    <w:p w14:paraId="52CC26E7">
      <w:pPr>
        <w:jc w:val="left"/>
        <w:rPr>
          <w:rFonts w:ascii="宋体" w:hAnsi="宋体" w:cs="宋体"/>
          <w:color w:val="auto"/>
          <w:szCs w:val="21"/>
          <w:highlight w:val="none"/>
        </w:rPr>
      </w:pPr>
      <w:r>
        <w:rPr>
          <w:rFonts w:hint="eastAsia" w:ascii="宋体" w:hAnsi="宋体" w:cs="宋体"/>
          <w:color w:val="auto"/>
          <w:szCs w:val="21"/>
          <w:highlight w:val="none"/>
        </w:rPr>
        <w:t>（附件三完）</w:t>
      </w:r>
    </w:p>
    <w:p w14:paraId="4526C2BD">
      <w:pPr>
        <w:autoSpaceDE w:val="0"/>
        <w:autoSpaceDN w:val="0"/>
        <w:adjustRightInd w:val="0"/>
        <w:rPr>
          <w:rFonts w:ascii="宋体" w:hAnsi="宋体" w:cs="宋体"/>
          <w:bCs/>
          <w:color w:val="auto"/>
          <w:szCs w:val="21"/>
          <w:highlight w:val="none"/>
        </w:rPr>
      </w:pPr>
      <w:r>
        <w:rPr>
          <w:rFonts w:ascii="宋体" w:hAnsi="宋体" w:cs="宋体"/>
          <w:color w:val="auto"/>
          <w:szCs w:val="21"/>
          <w:highlight w:val="none"/>
        </w:rPr>
        <w:br w:type="page"/>
      </w:r>
      <w:r>
        <w:rPr>
          <w:rFonts w:hint="eastAsia" w:ascii="宋体" w:hAnsi="宋体" w:cs="宋体"/>
          <w:bCs/>
          <w:color w:val="auto"/>
          <w:szCs w:val="21"/>
          <w:highlight w:val="none"/>
        </w:rPr>
        <w:t xml:space="preserve">合同附件四：                 </w:t>
      </w:r>
    </w:p>
    <w:p w14:paraId="71EA53CF">
      <w:pPr>
        <w:autoSpaceDE w:val="0"/>
        <w:autoSpaceDN w:val="0"/>
        <w:adjustRightInd w:val="0"/>
        <w:jc w:val="center"/>
        <w:rPr>
          <w:rStyle w:val="25"/>
          <w:rFonts w:ascii="宋体" w:hAnsi="宋体" w:cs="宋体"/>
          <w:color w:val="auto"/>
          <w:sz w:val="32"/>
          <w:szCs w:val="32"/>
          <w:highlight w:val="none"/>
        </w:rPr>
      </w:pPr>
      <w:r>
        <w:rPr>
          <w:rStyle w:val="25"/>
          <w:rFonts w:hint="eastAsia" w:ascii="宋体" w:hAnsi="宋体" w:cs="宋体"/>
          <w:bCs w:val="0"/>
          <w:color w:val="auto"/>
          <w:sz w:val="32"/>
          <w:szCs w:val="32"/>
          <w:highlight w:val="none"/>
        </w:rPr>
        <w:t>项目主要管理人员列表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004"/>
        <w:gridCol w:w="1230"/>
        <w:gridCol w:w="1050"/>
        <w:gridCol w:w="1575"/>
        <w:gridCol w:w="2205"/>
        <w:gridCol w:w="775"/>
        <w:gridCol w:w="1814"/>
      </w:tblGrid>
      <w:tr w14:paraId="555D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522" w:type="dxa"/>
            <w:vMerge w:val="restart"/>
            <w:tcBorders>
              <w:left w:val="single" w:color="auto" w:sz="18" w:space="0"/>
            </w:tcBorders>
            <w:vAlign w:val="center"/>
          </w:tcPr>
          <w:p w14:paraId="4E08B7C7">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1004" w:type="dxa"/>
            <w:vMerge w:val="restart"/>
            <w:vAlign w:val="center"/>
          </w:tcPr>
          <w:p w14:paraId="4E7E2B56">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230" w:type="dxa"/>
            <w:vMerge w:val="restart"/>
            <w:vAlign w:val="center"/>
          </w:tcPr>
          <w:p w14:paraId="14F45FAA">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050" w:type="dxa"/>
            <w:vMerge w:val="restart"/>
            <w:vAlign w:val="center"/>
          </w:tcPr>
          <w:p w14:paraId="1317944D">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4555" w:type="dxa"/>
            <w:gridSpan w:val="3"/>
            <w:vAlign w:val="center"/>
          </w:tcPr>
          <w:p w14:paraId="0F822040">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1814" w:type="dxa"/>
            <w:vMerge w:val="restart"/>
            <w:tcBorders>
              <w:right w:val="single" w:color="auto" w:sz="18" w:space="0"/>
            </w:tcBorders>
            <w:vAlign w:val="center"/>
          </w:tcPr>
          <w:p w14:paraId="72D4C83D">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拟担任本</w:t>
            </w:r>
          </w:p>
          <w:p w14:paraId="5B106562">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项目职务</w:t>
            </w:r>
          </w:p>
        </w:tc>
      </w:tr>
      <w:tr w14:paraId="3F65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22" w:type="dxa"/>
            <w:vMerge w:val="continue"/>
            <w:tcBorders>
              <w:left w:val="single" w:color="auto" w:sz="18" w:space="0"/>
            </w:tcBorders>
            <w:vAlign w:val="center"/>
          </w:tcPr>
          <w:p w14:paraId="3BB2A372">
            <w:pPr>
              <w:widowControl/>
              <w:adjustRightInd w:val="0"/>
              <w:jc w:val="center"/>
              <w:rPr>
                <w:rFonts w:ascii="宋体" w:hAnsi="宋体" w:cs="宋体"/>
                <w:color w:val="auto"/>
                <w:szCs w:val="21"/>
                <w:highlight w:val="none"/>
              </w:rPr>
            </w:pPr>
          </w:p>
        </w:tc>
        <w:tc>
          <w:tcPr>
            <w:tcW w:w="1004" w:type="dxa"/>
            <w:vMerge w:val="continue"/>
            <w:vAlign w:val="center"/>
          </w:tcPr>
          <w:p w14:paraId="214ABB68">
            <w:pPr>
              <w:widowControl/>
              <w:adjustRightInd w:val="0"/>
              <w:jc w:val="center"/>
              <w:rPr>
                <w:rFonts w:ascii="宋体" w:hAnsi="宋体" w:cs="宋体"/>
                <w:color w:val="auto"/>
                <w:szCs w:val="21"/>
                <w:highlight w:val="none"/>
              </w:rPr>
            </w:pPr>
          </w:p>
        </w:tc>
        <w:tc>
          <w:tcPr>
            <w:tcW w:w="1230" w:type="dxa"/>
            <w:vMerge w:val="continue"/>
            <w:vAlign w:val="center"/>
          </w:tcPr>
          <w:p w14:paraId="60E4CA7D">
            <w:pPr>
              <w:widowControl/>
              <w:adjustRightInd w:val="0"/>
              <w:jc w:val="center"/>
              <w:rPr>
                <w:rFonts w:ascii="宋体" w:hAnsi="宋体" w:cs="宋体"/>
                <w:color w:val="auto"/>
                <w:szCs w:val="21"/>
                <w:highlight w:val="none"/>
              </w:rPr>
            </w:pPr>
          </w:p>
        </w:tc>
        <w:tc>
          <w:tcPr>
            <w:tcW w:w="1050" w:type="dxa"/>
            <w:vMerge w:val="continue"/>
            <w:vAlign w:val="center"/>
          </w:tcPr>
          <w:p w14:paraId="0BCC2C87">
            <w:pPr>
              <w:widowControl/>
              <w:adjustRightInd w:val="0"/>
              <w:jc w:val="center"/>
              <w:rPr>
                <w:rFonts w:ascii="宋体" w:hAnsi="宋体" w:cs="宋体"/>
                <w:color w:val="auto"/>
                <w:szCs w:val="21"/>
                <w:highlight w:val="none"/>
              </w:rPr>
            </w:pPr>
          </w:p>
        </w:tc>
        <w:tc>
          <w:tcPr>
            <w:tcW w:w="1575" w:type="dxa"/>
            <w:vAlign w:val="center"/>
          </w:tcPr>
          <w:p w14:paraId="27A11F29">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2205" w:type="dxa"/>
            <w:vAlign w:val="center"/>
          </w:tcPr>
          <w:p w14:paraId="08A72CDA">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证书编号</w:t>
            </w:r>
          </w:p>
        </w:tc>
        <w:tc>
          <w:tcPr>
            <w:tcW w:w="775" w:type="dxa"/>
            <w:vAlign w:val="center"/>
          </w:tcPr>
          <w:p w14:paraId="513457F8">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级 别</w:t>
            </w:r>
          </w:p>
        </w:tc>
        <w:tc>
          <w:tcPr>
            <w:tcW w:w="1814" w:type="dxa"/>
            <w:vMerge w:val="continue"/>
            <w:tcBorders>
              <w:right w:val="single" w:color="auto" w:sz="18" w:space="0"/>
            </w:tcBorders>
            <w:vAlign w:val="center"/>
          </w:tcPr>
          <w:p w14:paraId="620A1C17">
            <w:pPr>
              <w:widowControl/>
              <w:adjustRightInd w:val="0"/>
              <w:jc w:val="center"/>
              <w:rPr>
                <w:rFonts w:ascii="宋体" w:hAnsi="宋体" w:cs="宋体"/>
                <w:color w:val="auto"/>
                <w:szCs w:val="21"/>
                <w:highlight w:val="none"/>
              </w:rPr>
            </w:pPr>
          </w:p>
        </w:tc>
      </w:tr>
      <w:tr w14:paraId="1FA2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373668C5">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004" w:type="dxa"/>
            <w:vAlign w:val="center"/>
          </w:tcPr>
          <w:p w14:paraId="329FC92E">
            <w:pPr>
              <w:autoSpaceDN w:val="0"/>
              <w:jc w:val="center"/>
              <w:textAlignment w:val="center"/>
              <w:rPr>
                <w:rFonts w:ascii="宋体" w:hAnsi="宋体" w:cs="宋体"/>
                <w:color w:val="auto"/>
                <w:szCs w:val="21"/>
                <w:highlight w:val="none"/>
              </w:rPr>
            </w:pPr>
          </w:p>
        </w:tc>
        <w:tc>
          <w:tcPr>
            <w:tcW w:w="1230" w:type="dxa"/>
            <w:vAlign w:val="center"/>
          </w:tcPr>
          <w:p w14:paraId="747773F4">
            <w:pPr>
              <w:autoSpaceDN w:val="0"/>
              <w:jc w:val="center"/>
              <w:textAlignment w:val="center"/>
              <w:rPr>
                <w:rFonts w:ascii="宋体" w:hAnsi="宋体" w:cs="宋体"/>
                <w:color w:val="auto"/>
                <w:szCs w:val="21"/>
                <w:highlight w:val="none"/>
              </w:rPr>
            </w:pPr>
          </w:p>
        </w:tc>
        <w:tc>
          <w:tcPr>
            <w:tcW w:w="1050" w:type="dxa"/>
            <w:vAlign w:val="center"/>
          </w:tcPr>
          <w:p w14:paraId="01E9B2EE">
            <w:pPr>
              <w:autoSpaceDN w:val="0"/>
              <w:jc w:val="center"/>
              <w:textAlignment w:val="center"/>
              <w:rPr>
                <w:rFonts w:ascii="宋体" w:hAnsi="宋体" w:cs="宋体"/>
                <w:color w:val="auto"/>
                <w:szCs w:val="21"/>
                <w:highlight w:val="none"/>
              </w:rPr>
            </w:pPr>
          </w:p>
        </w:tc>
        <w:tc>
          <w:tcPr>
            <w:tcW w:w="1575" w:type="dxa"/>
            <w:vAlign w:val="center"/>
          </w:tcPr>
          <w:p w14:paraId="218FFDDE">
            <w:pPr>
              <w:widowControl/>
              <w:adjustRightInd w:val="0"/>
              <w:jc w:val="center"/>
              <w:rPr>
                <w:rFonts w:ascii="宋体" w:hAnsi="宋体" w:cs="宋体"/>
                <w:color w:val="auto"/>
                <w:szCs w:val="21"/>
                <w:highlight w:val="none"/>
              </w:rPr>
            </w:pPr>
          </w:p>
        </w:tc>
        <w:tc>
          <w:tcPr>
            <w:tcW w:w="2205" w:type="dxa"/>
            <w:vAlign w:val="center"/>
          </w:tcPr>
          <w:p w14:paraId="059FB35A">
            <w:pPr>
              <w:widowControl/>
              <w:adjustRightInd w:val="0"/>
              <w:jc w:val="center"/>
              <w:rPr>
                <w:rFonts w:ascii="宋体" w:hAnsi="宋体" w:cs="宋体"/>
                <w:color w:val="auto"/>
                <w:szCs w:val="21"/>
                <w:highlight w:val="none"/>
              </w:rPr>
            </w:pPr>
          </w:p>
        </w:tc>
        <w:tc>
          <w:tcPr>
            <w:tcW w:w="775" w:type="dxa"/>
            <w:vAlign w:val="center"/>
          </w:tcPr>
          <w:p w14:paraId="0F7CB1C8">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0E7E8EBF">
            <w:pPr>
              <w:autoSpaceDN w:val="0"/>
              <w:jc w:val="center"/>
              <w:textAlignment w:val="center"/>
              <w:rPr>
                <w:rFonts w:ascii="宋体" w:hAnsi="宋体" w:cs="宋体"/>
                <w:color w:val="auto"/>
                <w:szCs w:val="21"/>
                <w:highlight w:val="none"/>
              </w:rPr>
            </w:pPr>
          </w:p>
        </w:tc>
      </w:tr>
      <w:tr w14:paraId="5BD0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61CCBE7F">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2</w:t>
            </w:r>
          </w:p>
        </w:tc>
        <w:tc>
          <w:tcPr>
            <w:tcW w:w="1004" w:type="dxa"/>
            <w:vAlign w:val="center"/>
          </w:tcPr>
          <w:p w14:paraId="779CD6A6">
            <w:pPr>
              <w:autoSpaceDN w:val="0"/>
              <w:jc w:val="center"/>
              <w:textAlignment w:val="center"/>
              <w:rPr>
                <w:rFonts w:ascii="宋体" w:hAnsi="宋体" w:cs="宋体"/>
                <w:color w:val="auto"/>
                <w:szCs w:val="21"/>
                <w:highlight w:val="none"/>
              </w:rPr>
            </w:pPr>
          </w:p>
        </w:tc>
        <w:tc>
          <w:tcPr>
            <w:tcW w:w="1230" w:type="dxa"/>
            <w:vAlign w:val="center"/>
          </w:tcPr>
          <w:p w14:paraId="6340E450">
            <w:pPr>
              <w:autoSpaceDN w:val="0"/>
              <w:jc w:val="center"/>
              <w:textAlignment w:val="center"/>
              <w:rPr>
                <w:rFonts w:ascii="宋体" w:hAnsi="宋体" w:cs="宋体"/>
                <w:color w:val="auto"/>
                <w:szCs w:val="21"/>
                <w:highlight w:val="none"/>
              </w:rPr>
            </w:pPr>
          </w:p>
        </w:tc>
        <w:tc>
          <w:tcPr>
            <w:tcW w:w="1050" w:type="dxa"/>
          </w:tcPr>
          <w:p w14:paraId="0E7B1C11">
            <w:pPr>
              <w:autoSpaceDN w:val="0"/>
              <w:textAlignment w:val="center"/>
              <w:rPr>
                <w:rFonts w:ascii="宋体" w:hAnsi="宋体" w:cs="宋体"/>
                <w:color w:val="auto"/>
                <w:szCs w:val="21"/>
                <w:highlight w:val="none"/>
              </w:rPr>
            </w:pPr>
          </w:p>
        </w:tc>
        <w:tc>
          <w:tcPr>
            <w:tcW w:w="1575" w:type="dxa"/>
            <w:vAlign w:val="center"/>
          </w:tcPr>
          <w:p w14:paraId="162C1996">
            <w:pPr>
              <w:widowControl/>
              <w:adjustRightInd w:val="0"/>
              <w:jc w:val="center"/>
              <w:rPr>
                <w:rFonts w:ascii="宋体" w:hAnsi="宋体" w:cs="宋体"/>
                <w:color w:val="auto"/>
                <w:szCs w:val="21"/>
                <w:highlight w:val="none"/>
              </w:rPr>
            </w:pPr>
          </w:p>
        </w:tc>
        <w:tc>
          <w:tcPr>
            <w:tcW w:w="2205" w:type="dxa"/>
            <w:vAlign w:val="center"/>
          </w:tcPr>
          <w:p w14:paraId="0AD9E5B9">
            <w:pPr>
              <w:widowControl/>
              <w:adjustRightInd w:val="0"/>
              <w:jc w:val="center"/>
              <w:rPr>
                <w:rFonts w:ascii="宋体" w:hAnsi="宋体" w:cs="宋体"/>
                <w:color w:val="auto"/>
                <w:szCs w:val="21"/>
                <w:highlight w:val="none"/>
              </w:rPr>
            </w:pPr>
          </w:p>
        </w:tc>
        <w:tc>
          <w:tcPr>
            <w:tcW w:w="775" w:type="dxa"/>
            <w:vAlign w:val="center"/>
          </w:tcPr>
          <w:p w14:paraId="39AA5CD9">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78F19950">
            <w:pPr>
              <w:autoSpaceDN w:val="0"/>
              <w:jc w:val="center"/>
              <w:textAlignment w:val="center"/>
              <w:rPr>
                <w:rFonts w:ascii="宋体" w:hAnsi="宋体" w:cs="宋体"/>
                <w:color w:val="auto"/>
                <w:szCs w:val="21"/>
                <w:highlight w:val="none"/>
              </w:rPr>
            </w:pPr>
          </w:p>
        </w:tc>
      </w:tr>
      <w:tr w14:paraId="4079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674056FF">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004" w:type="dxa"/>
            <w:vAlign w:val="center"/>
          </w:tcPr>
          <w:p w14:paraId="7A9BA17A">
            <w:pPr>
              <w:autoSpaceDN w:val="0"/>
              <w:jc w:val="center"/>
              <w:textAlignment w:val="center"/>
              <w:rPr>
                <w:rFonts w:ascii="宋体" w:hAnsi="宋体" w:cs="宋体"/>
                <w:color w:val="auto"/>
                <w:szCs w:val="21"/>
                <w:highlight w:val="none"/>
              </w:rPr>
            </w:pPr>
          </w:p>
        </w:tc>
        <w:tc>
          <w:tcPr>
            <w:tcW w:w="1230" w:type="dxa"/>
            <w:vAlign w:val="center"/>
          </w:tcPr>
          <w:p w14:paraId="5BF816B8">
            <w:pPr>
              <w:autoSpaceDN w:val="0"/>
              <w:jc w:val="center"/>
              <w:textAlignment w:val="center"/>
              <w:rPr>
                <w:rFonts w:ascii="宋体" w:hAnsi="宋体" w:cs="宋体"/>
                <w:color w:val="auto"/>
                <w:szCs w:val="21"/>
                <w:highlight w:val="none"/>
              </w:rPr>
            </w:pPr>
          </w:p>
        </w:tc>
        <w:tc>
          <w:tcPr>
            <w:tcW w:w="1050" w:type="dxa"/>
          </w:tcPr>
          <w:p w14:paraId="44545059">
            <w:pPr>
              <w:autoSpaceDN w:val="0"/>
              <w:jc w:val="center"/>
              <w:textAlignment w:val="center"/>
              <w:rPr>
                <w:rFonts w:ascii="宋体" w:hAnsi="宋体" w:cs="宋体"/>
                <w:color w:val="auto"/>
                <w:szCs w:val="21"/>
                <w:highlight w:val="none"/>
              </w:rPr>
            </w:pPr>
          </w:p>
        </w:tc>
        <w:tc>
          <w:tcPr>
            <w:tcW w:w="1575" w:type="dxa"/>
            <w:vAlign w:val="center"/>
          </w:tcPr>
          <w:p w14:paraId="53621019">
            <w:pPr>
              <w:widowControl/>
              <w:adjustRightInd w:val="0"/>
              <w:jc w:val="center"/>
              <w:rPr>
                <w:rFonts w:ascii="宋体" w:hAnsi="宋体" w:cs="宋体"/>
                <w:color w:val="auto"/>
                <w:szCs w:val="21"/>
                <w:highlight w:val="none"/>
              </w:rPr>
            </w:pPr>
          </w:p>
        </w:tc>
        <w:tc>
          <w:tcPr>
            <w:tcW w:w="2205" w:type="dxa"/>
            <w:vAlign w:val="center"/>
          </w:tcPr>
          <w:p w14:paraId="7D6EFA03">
            <w:pPr>
              <w:widowControl/>
              <w:adjustRightInd w:val="0"/>
              <w:jc w:val="center"/>
              <w:rPr>
                <w:rFonts w:ascii="宋体" w:hAnsi="宋体" w:cs="宋体"/>
                <w:color w:val="auto"/>
                <w:szCs w:val="21"/>
                <w:highlight w:val="none"/>
              </w:rPr>
            </w:pPr>
          </w:p>
        </w:tc>
        <w:tc>
          <w:tcPr>
            <w:tcW w:w="775" w:type="dxa"/>
            <w:vAlign w:val="center"/>
          </w:tcPr>
          <w:p w14:paraId="393991E5">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41CFEB57">
            <w:pPr>
              <w:autoSpaceDN w:val="0"/>
              <w:jc w:val="center"/>
              <w:textAlignment w:val="center"/>
              <w:rPr>
                <w:rFonts w:ascii="宋体" w:hAnsi="宋体" w:cs="宋体"/>
                <w:color w:val="auto"/>
                <w:szCs w:val="21"/>
                <w:highlight w:val="none"/>
              </w:rPr>
            </w:pPr>
          </w:p>
        </w:tc>
      </w:tr>
      <w:tr w14:paraId="5237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69C346E7">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1004" w:type="dxa"/>
            <w:vAlign w:val="center"/>
          </w:tcPr>
          <w:p w14:paraId="0F95362F">
            <w:pPr>
              <w:autoSpaceDN w:val="0"/>
              <w:jc w:val="center"/>
              <w:textAlignment w:val="center"/>
              <w:rPr>
                <w:rFonts w:ascii="宋体" w:hAnsi="宋体" w:cs="宋体"/>
                <w:color w:val="auto"/>
                <w:szCs w:val="21"/>
                <w:highlight w:val="none"/>
              </w:rPr>
            </w:pPr>
          </w:p>
        </w:tc>
        <w:tc>
          <w:tcPr>
            <w:tcW w:w="1230" w:type="dxa"/>
            <w:vAlign w:val="center"/>
          </w:tcPr>
          <w:p w14:paraId="513D8DDD">
            <w:pPr>
              <w:autoSpaceDN w:val="0"/>
              <w:jc w:val="center"/>
              <w:textAlignment w:val="center"/>
              <w:rPr>
                <w:rFonts w:ascii="宋体" w:hAnsi="宋体" w:cs="宋体"/>
                <w:color w:val="auto"/>
                <w:szCs w:val="21"/>
                <w:highlight w:val="none"/>
              </w:rPr>
            </w:pPr>
          </w:p>
        </w:tc>
        <w:tc>
          <w:tcPr>
            <w:tcW w:w="1050" w:type="dxa"/>
            <w:vAlign w:val="center"/>
          </w:tcPr>
          <w:p w14:paraId="0947E185">
            <w:pPr>
              <w:autoSpaceDN w:val="0"/>
              <w:jc w:val="center"/>
              <w:textAlignment w:val="center"/>
              <w:rPr>
                <w:rFonts w:ascii="宋体" w:hAnsi="宋体" w:cs="宋体"/>
                <w:color w:val="auto"/>
                <w:szCs w:val="21"/>
                <w:highlight w:val="none"/>
              </w:rPr>
            </w:pPr>
          </w:p>
        </w:tc>
        <w:tc>
          <w:tcPr>
            <w:tcW w:w="1575" w:type="dxa"/>
            <w:vAlign w:val="center"/>
          </w:tcPr>
          <w:p w14:paraId="2C5347CC">
            <w:pPr>
              <w:widowControl/>
              <w:adjustRightInd w:val="0"/>
              <w:jc w:val="center"/>
              <w:rPr>
                <w:rFonts w:ascii="宋体" w:hAnsi="宋体" w:cs="宋体"/>
                <w:color w:val="auto"/>
                <w:szCs w:val="21"/>
                <w:highlight w:val="none"/>
              </w:rPr>
            </w:pPr>
          </w:p>
        </w:tc>
        <w:tc>
          <w:tcPr>
            <w:tcW w:w="2205" w:type="dxa"/>
            <w:vAlign w:val="center"/>
          </w:tcPr>
          <w:p w14:paraId="58536E2D">
            <w:pPr>
              <w:widowControl/>
              <w:adjustRightInd w:val="0"/>
              <w:jc w:val="center"/>
              <w:rPr>
                <w:rFonts w:ascii="宋体" w:hAnsi="宋体" w:cs="宋体"/>
                <w:color w:val="auto"/>
                <w:szCs w:val="21"/>
                <w:highlight w:val="none"/>
              </w:rPr>
            </w:pPr>
          </w:p>
        </w:tc>
        <w:tc>
          <w:tcPr>
            <w:tcW w:w="775" w:type="dxa"/>
            <w:vAlign w:val="center"/>
          </w:tcPr>
          <w:p w14:paraId="25774031">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30742CA5">
            <w:pPr>
              <w:autoSpaceDN w:val="0"/>
              <w:jc w:val="center"/>
              <w:textAlignment w:val="center"/>
              <w:rPr>
                <w:rFonts w:ascii="宋体" w:hAnsi="宋体" w:cs="宋体"/>
                <w:color w:val="auto"/>
                <w:szCs w:val="21"/>
                <w:highlight w:val="none"/>
              </w:rPr>
            </w:pPr>
          </w:p>
        </w:tc>
      </w:tr>
      <w:tr w14:paraId="579D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4B4392D9">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1004" w:type="dxa"/>
            <w:vAlign w:val="center"/>
          </w:tcPr>
          <w:p w14:paraId="5044A8AE">
            <w:pPr>
              <w:autoSpaceDN w:val="0"/>
              <w:jc w:val="center"/>
              <w:textAlignment w:val="center"/>
              <w:rPr>
                <w:rFonts w:ascii="宋体" w:hAnsi="宋体" w:cs="宋体"/>
                <w:color w:val="auto"/>
                <w:szCs w:val="21"/>
                <w:highlight w:val="none"/>
              </w:rPr>
            </w:pPr>
          </w:p>
        </w:tc>
        <w:tc>
          <w:tcPr>
            <w:tcW w:w="1230" w:type="dxa"/>
            <w:vAlign w:val="center"/>
          </w:tcPr>
          <w:p w14:paraId="5BC85563">
            <w:pPr>
              <w:autoSpaceDN w:val="0"/>
              <w:jc w:val="center"/>
              <w:textAlignment w:val="center"/>
              <w:rPr>
                <w:rFonts w:ascii="宋体" w:hAnsi="宋体" w:cs="宋体"/>
                <w:color w:val="auto"/>
                <w:szCs w:val="21"/>
                <w:highlight w:val="none"/>
              </w:rPr>
            </w:pPr>
          </w:p>
        </w:tc>
        <w:tc>
          <w:tcPr>
            <w:tcW w:w="1050" w:type="dxa"/>
            <w:vAlign w:val="center"/>
          </w:tcPr>
          <w:p w14:paraId="090253C9">
            <w:pPr>
              <w:autoSpaceDN w:val="0"/>
              <w:jc w:val="center"/>
              <w:textAlignment w:val="center"/>
              <w:rPr>
                <w:rFonts w:ascii="宋体" w:hAnsi="宋体" w:cs="宋体"/>
                <w:color w:val="auto"/>
                <w:szCs w:val="21"/>
                <w:highlight w:val="none"/>
              </w:rPr>
            </w:pPr>
          </w:p>
        </w:tc>
        <w:tc>
          <w:tcPr>
            <w:tcW w:w="1575" w:type="dxa"/>
          </w:tcPr>
          <w:p w14:paraId="33AD8997">
            <w:pPr>
              <w:widowControl/>
              <w:adjustRightInd w:val="0"/>
              <w:jc w:val="center"/>
              <w:rPr>
                <w:rFonts w:ascii="宋体" w:hAnsi="宋体" w:cs="宋体"/>
                <w:color w:val="auto"/>
                <w:szCs w:val="21"/>
                <w:highlight w:val="none"/>
              </w:rPr>
            </w:pPr>
          </w:p>
        </w:tc>
        <w:tc>
          <w:tcPr>
            <w:tcW w:w="2205" w:type="dxa"/>
            <w:vAlign w:val="center"/>
          </w:tcPr>
          <w:p w14:paraId="12D70908">
            <w:pPr>
              <w:widowControl/>
              <w:adjustRightInd w:val="0"/>
              <w:jc w:val="center"/>
              <w:rPr>
                <w:rFonts w:ascii="宋体" w:hAnsi="宋体" w:cs="宋体"/>
                <w:color w:val="auto"/>
                <w:szCs w:val="21"/>
                <w:highlight w:val="none"/>
              </w:rPr>
            </w:pPr>
          </w:p>
        </w:tc>
        <w:tc>
          <w:tcPr>
            <w:tcW w:w="775" w:type="dxa"/>
            <w:vAlign w:val="center"/>
          </w:tcPr>
          <w:p w14:paraId="4A4F4F35">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6A9AAED0">
            <w:pPr>
              <w:autoSpaceDN w:val="0"/>
              <w:jc w:val="center"/>
              <w:textAlignment w:val="center"/>
              <w:rPr>
                <w:rFonts w:ascii="宋体" w:hAnsi="宋体" w:cs="宋体"/>
                <w:color w:val="auto"/>
                <w:szCs w:val="21"/>
                <w:highlight w:val="none"/>
              </w:rPr>
            </w:pPr>
          </w:p>
        </w:tc>
      </w:tr>
      <w:tr w14:paraId="20F4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2B8096F4">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1004" w:type="dxa"/>
            <w:vAlign w:val="center"/>
          </w:tcPr>
          <w:p w14:paraId="1207557F">
            <w:pPr>
              <w:autoSpaceDN w:val="0"/>
              <w:jc w:val="center"/>
              <w:textAlignment w:val="center"/>
              <w:rPr>
                <w:rFonts w:ascii="宋体" w:hAnsi="宋体" w:cs="宋体"/>
                <w:color w:val="auto"/>
                <w:szCs w:val="21"/>
                <w:highlight w:val="none"/>
              </w:rPr>
            </w:pPr>
          </w:p>
        </w:tc>
        <w:tc>
          <w:tcPr>
            <w:tcW w:w="1230" w:type="dxa"/>
            <w:vAlign w:val="center"/>
          </w:tcPr>
          <w:p w14:paraId="5381B550">
            <w:pPr>
              <w:autoSpaceDN w:val="0"/>
              <w:jc w:val="center"/>
              <w:textAlignment w:val="center"/>
              <w:rPr>
                <w:rFonts w:ascii="宋体" w:hAnsi="宋体" w:cs="宋体"/>
                <w:color w:val="auto"/>
                <w:szCs w:val="21"/>
                <w:highlight w:val="none"/>
              </w:rPr>
            </w:pPr>
          </w:p>
        </w:tc>
        <w:tc>
          <w:tcPr>
            <w:tcW w:w="1050" w:type="dxa"/>
            <w:vAlign w:val="center"/>
          </w:tcPr>
          <w:p w14:paraId="3A26927B">
            <w:pPr>
              <w:autoSpaceDN w:val="0"/>
              <w:jc w:val="center"/>
              <w:textAlignment w:val="center"/>
              <w:rPr>
                <w:rFonts w:ascii="宋体" w:hAnsi="宋体" w:cs="宋体"/>
                <w:color w:val="auto"/>
                <w:szCs w:val="21"/>
                <w:highlight w:val="none"/>
              </w:rPr>
            </w:pPr>
          </w:p>
        </w:tc>
        <w:tc>
          <w:tcPr>
            <w:tcW w:w="1575" w:type="dxa"/>
          </w:tcPr>
          <w:p w14:paraId="2A01F077">
            <w:pPr>
              <w:widowControl/>
              <w:adjustRightInd w:val="0"/>
              <w:jc w:val="center"/>
              <w:rPr>
                <w:rFonts w:ascii="宋体" w:hAnsi="宋体" w:cs="宋体"/>
                <w:color w:val="auto"/>
                <w:szCs w:val="21"/>
                <w:highlight w:val="none"/>
              </w:rPr>
            </w:pPr>
          </w:p>
        </w:tc>
        <w:tc>
          <w:tcPr>
            <w:tcW w:w="2205" w:type="dxa"/>
            <w:vAlign w:val="center"/>
          </w:tcPr>
          <w:p w14:paraId="3FBE5BE7">
            <w:pPr>
              <w:widowControl/>
              <w:adjustRightInd w:val="0"/>
              <w:jc w:val="center"/>
              <w:rPr>
                <w:rFonts w:ascii="宋体" w:hAnsi="宋体" w:cs="宋体"/>
                <w:color w:val="auto"/>
                <w:szCs w:val="21"/>
                <w:highlight w:val="none"/>
              </w:rPr>
            </w:pPr>
          </w:p>
        </w:tc>
        <w:tc>
          <w:tcPr>
            <w:tcW w:w="775" w:type="dxa"/>
            <w:vAlign w:val="center"/>
          </w:tcPr>
          <w:p w14:paraId="7C64043E">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047FEC86">
            <w:pPr>
              <w:autoSpaceDN w:val="0"/>
              <w:jc w:val="center"/>
              <w:textAlignment w:val="center"/>
              <w:rPr>
                <w:rFonts w:ascii="宋体" w:hAnsi="宋体" w:cs="宋体"/>
                <w:color w:val="auto"/>
                <w:szCs w:val="21"/>
                <w:highlight w:val="none"/>
              </w:rPr>
            </w:pPr>
          </w:p>
        </w:tc>
      </w:tr>
      <w:tr w14:paraId="4F0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1B4235C3">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1004" w:type="dxa"/>
            <w:vAlign w:val="center"/>
          </w:tcPr>
          <w:p w14:paraId="69A7A551">
            <w:pPr>
              <w:autoSpaceDN w:val="0"/>
              <w:jc w:val="center"/>
              <w:textAlignment w:val="center"/>
              <w:rPr>
                <w:rFonts w:ascii="宋体" w:hAnsi="宋体" w:cs="宋体"/>
                <w:color w:val="auto"/>
                <w:szCs w:val="21"/>
                <w:highlight w:val="none"/>
              </w:rPr>
            </w:pPr>
          </w:p>
        </w:tc>
        <w:tc>
          <w:tcPr>
            <w:tcW w:w="1230" w:type="dxa"/>
            <w:vAlign w:val="center"/>
          </w:tcPr>
          <w:p w14:paraId="0B41E448">
            <w:pPr>
              <w:autoSpaceDN w:val="0"/>
              <w:jc w:val="center"/>
              <w:textAlignment w:val="center"/>
              <w:rPr>
                <w:rFonts w:ascii="宋体" w:hAnsi="宋体" w:cs="宋体"/>
                <w:color w:val="auto"/>
                <w:szCs w:val="21"/>
                <w:highlight w:val="none"/>
              </w:rPr>
            </w:pPr>
          </w:p>
        </w:tc>
        <w:tc>
          <w:tcPr>
            <w:tcW w:w="1050" w:type="dxa"/>
            <w:vAlign w:val="center"/>
          </w:tcPr>
          <w:p w14:paraId="4950749E">
            <w:pPr>
              <w:autoSpaceDN w:val="0"/>
              <w:jc w:val="center"/>
              <w:textAlignment w:val="center"/>
              <w:rPr>
                <w:rFonts w:ascii="宋体" w:hAnsi="宋体" w:cs="宋体"/>
                <w:color w:val="auto"/>
                <w:szCs w:val="21"/>
                <w:highlight w:val="none"/>
              </w:rPr>
            </w:pPr>
          </w:p>
        </w:tc>
        <w:tc>
          <w:tcPr>
            <w:tcW w:w="1575" w:type="dxa"/>
          </w:tcPr>
          <w:p w14:paraId="6267A1DA">
            <w:pPr>
              <w:widowControl/>
              <w:adjustRightInd w:val="0"/>
              <w:jc w:val="center"/>
              <w:rPr>
                <w:rFonts w:ascii="宋体" w:hAnsi="宋体" w:cs="宋体"/>
                <w:color w:val="auto"/>
                <w:szCs w:val="21"/>
                <w:highlight w:val="none"/>
              </w:rPr>
            </w:pPr>
          </w:p>
        </w:tc>
        <w:tc>
          <w:tcPr>
            <w:tcW w:w="2205" w:type="dxa"/>
            <w:vAlign w:val="center"/>
          </w:tcPr>
          <w:p w14:paraId="6F2D328D">
            <w:pPr>
              <w:widowControl/>
              <w:adjustRightInd w:val="0"/>
              <w:jc w:val="center"/>
              <w:rPr>
                <w:rFonts w:ascii="宋体" w:hAnsi="宋体" w:cs="宋体"/>
                <w:color w:val="auto"/>
                <w:szCs w:val="21"/>
                <w:highlight w:val="none"/>
              </w:rPr>
            </w:pPr>
          </w:p>
        </w:tc>
        <w:tc>
          <w:tcPr>
            <w:tcW w:w="775" w:type="dxa"/>
            <w:vAlign w:val="center"/>
          </w:tcPr>
          <w:p w14:paraId="69A024B6">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2536777B">
            <w:pPr>
              <w:autoSpaceDN w:val="0"/>
              <w:jc w:val="center"/>
              <w:textAlignment w:val="center"/>
              <w:rPr>
                <w:rFonts w:ascii="宋体" w:hAnsi="宋体" w:cs="宋体"/>
                <w:color w:val="auto"/>
                <w:szCs w:val="21"/>
                <w:highlight w:val="none"/>
              </w:rPr>
            </w:pPr>
          </w:p>
        </w:tc>
      </w:tr>
      <w:tr w14:paraId="5F38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33F7B5D0">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1004" w:type="dxa"/>
            <w:vAlign w:val="center"/>
          </w:tcPr>
          <w:p w14:paraId="2910324E">
            <w:pPr>
              <w:autoSpaceDN w:val="0"/>
              <w:jc w:val="center"/>
              <w:textAlignment w:val="center"/>
              <w:rPr>
                <w:rFonts w:ascii="宋体" w:hAnsi="宋体" w:cs="宋体"/>
                <w:color w:val="auto"/>
                <w:szCs w:val="21"/>
                <w:highlight w:val="none"/>
              </w:rPr>
            </w:pPr>
          </w:p>
        </w:tc>
        <w:tc>
          <w:tcPr>
            <w:tcW w:w="1230" w:type="dxa"/>
            <w:vAlign w:val="center"/>
          </w:tcPr>
          <w:p w14:paraId="1D908E5F">
            <w:pPr>
              <w:autoSpaceDN w:val="0"/>
              <w:jc w:val="center"/>
              <w:textAlignment w:val="center"/>
              <w:rPr>
                <w:rFonts w:ascii="宋体" w:hAnsi="宋体" w:cs="宋体"/>
                <w:color w:val="auto"/>
                <w:szCs w:val="21"/>
                <w:highlight w:val="none"/>
              </w:rPr>
            </w:pPr>
          </w:p>
        </w:tc>
        <w:tc>
          <w:tcPr>
            <w:tcW w:w="1050" w:type="dxa"/>
            <w:vAlign w:val="center"/>
          </w:tcPr>
          <w:p w14:paraId="7AFBF7FA">
            <w:pPr>
              <w:widowControl/>
              <w:adjustRightInd w:val="0"/>
              <w:jc w:val="center"/>
              <w:rPr>
                <w:rFonts w:ascii="宋体" w:hAnsi="宋体" w:cs="宋体"/>
                <w:color w:val="auto"/>
                <w:szCs w:val="21"/>
                <w:highlight w:val="none"/>
              </w:rPr>
            </w:pPr>
          </w:p>
        </w:tc>
        <w:tc>
          <w:tcPr>
            <w:tcW w:w="1575" w:type="dxa"/>
          </w:tcPr>
          <w:p w14:paraId="70868CCA">
            <w:pPr>
              <w:widowControl/>
              <w:adjustRightInd w:val="0"/>
              <w:jc w:val="center"/>
              <w:rPr>
                <w:rFonts w:ascii="宋体" w:hAnsi="宋体" w:cs="宋体"/>
                <w:color w:val="auto"/>
                <w:szCs w:val="21"/>
                <w:highlight w:val="none"/>
              </w:rPr>
            </w:pPr>
          </w:p>
        </w:tc>
        <w:tc>
          <w:tcPr>
            <w:tcW w:w="2205" w:type="dxa"/>
            <w:vAlign w:val="center"/>
          </w:tcPr>
          <w:p w14:paraId="707EA004">
            <w:pPr>
              <w:widowControl/>
              <w:adjustRightInd w:val="0"/>
              <w:jc w:val="center"/>
              <w:rPr>
                <w:rFonts w:ascii="宋体" w:hAnsi="宋体" w:cs="宋体"/>
                <w:color w:val="auto"/>
                <w:szCs w:val="21"/>
                <w:highlight w:val="none"/>
              </w:rPr>
            </w:pPr>
          </w:p>
        </w:tc>
        <w:tc>
          <w:tcPr>
            <w:tcW w:w="775" w:type="dxa"/>
            <w:vAlign w:val="center"/>
          </w:tcPr>
          <w:p w14:paraId="10BD5264">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69A0C842">
            <w:pPr>
              <w:autoSpaceDN w:val="0"/>
              <w:jc w:val="center"/>
              <w:textAlignment w:val="center"/>
              <w:rPr>
                <w:rFonts w:ascii="宋体" w:hAnsi="宋体" w:cs="宋体"/>
                <w:color w:val="auto"/>
                <w:szCs w:val="21"/>
                <w:highlight w:val="none"/>
              </w:rPr>
            </w:pPr>
          </w:p>
        </w:tc>
      </w:tr>
      <w:tr w14:paraId="5BD4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35946344">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9</w:t>
            </w:r>
          </w:p>
        </w:tc>
        <w:tc>
          <w:tcPr>
            <w:tcW w:w="1004" w:type="dxa"/>
            <w:vAlign w:val="center"/>
          </w:tcPr>
          <w:p w14:paraId="1DE7B1DE">
            <w:pPr>
              <w:autoSpaceDN w:val="0"/>
              <w:jc w:val="center"/>
              <w:textAlignment w:val="center"/>
              <w:rPr>
                <w:rFonts w:ascii="宋体" w:hAnsi="宋体" w:cs="宋体"/>
                <w:color w:val="auto"/>
                <w:szCs w:val="21"/>
                <w:highlight w:val="none"/>
              </w:rPr>
            </w:pPr>
          </w:p>
        </w:tc>
        <w:tc>
          <w:tcPr>
            <w:tcW w:w="1230" w:type="dxa"/>
            <w:vAlign w:val="center"/>
          </w:tcPr>
          <w:p w14:paraId="1E1D43DC">
            <w:pPr>
              <w:autoSpaceDN w:val="0"/>
              <w:jc w:val="center"/>
              <w:textAlignment w:val="center"/>
              <w:rPr>
                <w:rFonts w:ascii="宋体" w:hAnsi="宋体" w:cs="宋体"/>
                <w:color w:val="auto"/>
                <w:szCs w:val="21"/>
                <w:highlight w:val="none"/>
              </w:rPr>
            </w:pPr>
          </w:p>
        </w:tc>
        <w:tc>
          <w:tcPr>
            <w:tcW w:w="1050" w:type="dxa"/>
            <w:vAlign w:val="center"/>
          </w:tcPr>
          <w:p w14:paraId="383C3C3E">
            <w:pPr>
              <w:widowControl/>
              <w:adjustRightInd w:val="0"/>
              <w:jc w:val="center"/>
              <w:rPr>
                <w:rFonts w:ascii="宋体" w:hAnsi="宋体" w:cs="宋体"/>
                <w:color w:val="auto"/>
                <w:szCs w:val="21"/>
                <w:highlight w:val="none"/>
              </w:rPr>
            </w:pPr>
          </w:p>
        </w:tc>
        <w:tc>
          <w:tcPr>
            <w:tcW w:w="1575" w:type="dxa"/>
          </w:tcPr>
          <w:p w14:paraId="6983CC0A">
            <w:pPr>
              <w:widowControl/>
              <w:adjustRightInd w:val="0"/>
              <w:jc w:val="center"/>
              <w:rPr>
                <w:rFonts w:ascii="宋体" w:hAnsi="宋体" w:cs="宋体"/>
                <w:color w:val="auto"/>
                <w:szCs w:val="21"/>
                <w:highlight w:val="none"/>
              </w:rPr>
            </w:pPr>
          </w:p>
        </w:tc>
        <w:tc>
          <w:tcPr>
            <w:tcW w:w="2205" w:type="dxa"/>
            <w:vAlign w:val="center"/>
          </w:tcPr>
          <w:p w14:paraId="520CAFE1">
            <w:pPr>
              <w:widowControl/>
              <w:adjustRightInd w:val="0"/>
              <w:jc w:val="center"/>
              <w:rPr>
                <w:rFonts w:ascii="宋体" w:hAnsi="宋体" w:cs="宋体"/>
                <w:color w:val="auto"/>
                <w:kern w:val="0"/>
                <w:szCs w:val="21"/>
                <w:highlight w:val="none"/>
              </w:rPr>
            </w:pPr>
          </w:p>
        </w:tc>
        <w:tc>
          <w:tcPr>
            <w:tcW w:w="775" w:type="dxa"/>
            <w:vAlign w:val="center"/>
          </w:tcPr>
          <w:p w14:paraId="045A375C">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74099180">
            <w:pPr>
              <w:autoSpaceDN w:val="0"/>
              <w:jc w:val="center"/>
              <w:textAlignment w:val="center"/>
              <w:rPr>
                <w:rFonts w:ascii="宋体" w:hAnsi="宋体" w:cs="宋体"/>
                <w:color w:val="auto"/>
                <w:szCs w:val="21"/>
                <w:highlight w:val="none"/>
              </w:rPr>
            </w:pPr>
          </w:p>
        </w:tc>
      </w:tr>
      <w:tr w14:paraId="4F9E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75D4270D">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04" w:type="dxa"/>
            <w:vAlign w:val="center"/>
          </w:tcPr>
          <w:p w14:paraId="452F84D3">
            <w:pPr>
              <w:autoSpaceDN w:val="0"/>
              <w:jc w:val="center"/>
              <w:textAlignment w:val="center"/>
              <w:rPr>
                <w:rFonts w:ascii="宋体" w:hAnsi="宋体" w:cs="宋体"/>
                <w:color w:val="auto"/>
                <w:szCs w:val="21"/>
                <w:highlight w:val="none"/>
              </w:rPr>
            </w:pPr>
          </w:p>
        </w:tc>
        <w:tc>
          <w:tcPr>
            <w:tcW w:w="1230" w:type="dxa"/>
            <w:vAlign w:val="center"/>
          </w:tcPr>
          <w:p w14:paraId="2546746E">
            <w:pPr>
              <w:autoSpaceDN w:val="0"/>
              <w:jc w:val="center"/>
              <w:textAlignment w:val="center"/>
              <w:rPr>
                <w:rFonts w:ascii="宋体" w:hAnsi="宋体" w:cs="宋体"/>
                <w:color w:val="auto"/>
                <w:szCs w:val="21"/>
                <w:highlight w:val="none"/>
              </w:rPr>
            </w:pPr>
          </w:p>
        </w:tc>
        <w:tc>
          <w:tcPr>
            <w:tcW w:w="1050" w:type="dxa"/>
            <w:vAlign w:val="center"/>
          </w:tcPr>
          <w:p w14:paraId="3FB5330E">
            <w:pPr>
              <w:widowControl/>
              <w:adjustRightInd w:val="0"/>
              <w:jc w:val="center"/>
              <w:rPr>
                <w:rFonts w:ascii="宋体" w:hAnsi="宋体" w:cs="宋体"/>
                <w:color w:val="auto"/>
                <w:szCs w:val="21"/>
                <w:highlight w:val="none"/>
              </w:rPr>
            </w:pPr>
          </w:p>
        </w:tc>
        <w:tc>
          <w:tcPr>
            <w:tcW w:w="1575" w:type="dxa"/>
          </w:tcPr>
          <w:p w14:paraId="771E5DAC">
            <w:pPr>
              <w:widowControl/>
              <w:adjustRightInd w:val="0"/>
              <w:jc w:val="center"/>
              <w:rPr>
                <w:rFonts w:ascii="宋体" w:hAnsi="宋体" w:cs="宋体"/>
                <w:color w:val="auto"/>
                <w:szCs w:val="21"/>
                <w:highlight w:val="none"/>
              </w:rPr>
            </w:pPr>
          </w:p>
        </w:tc>
        <w:tc>
          <w:tcPr>
            <w:tcW w:w="2205" w:type="dxa"/>
            <w:vAlign w:val="center"/>
          </w:tcPr>
          <w:p w14:paraId="7614CAA3">
            <w:pPr>
              <w:widowControl/>
              <w:adjustRightInd w:val="0"/>
              <w:jc w:val="center"/>
              <w:rPr>
                <w:rFonts w:ascii="宋体" w:hAnsi="宋体" w:cs="宋体"/>
                <w:color w:val="auto"/>
                <w:szCs w:val="21"/>
                <w:highlight w:val="none"/>
              </w:rPr>
            </w:pPr>
          </w:p>
        </w:tc>
        <w:tc>
          <w:tcPr>
            <w:tcW w:w="775" w:type="dxa"/>
            <w:vAlign w:val="center"/>
          </w:tcPr>
          <w:p w14:paraId="4063F3B6">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0FF37D9D">
            <w:pPr>
              <w:autoSpaceDN w:val="0"/>
              <w:jc w:val="center"/>
              <w:textAlignment w:val="center"/>
              <w:rPr>
                <w:rFonts w:ascii="宋体" w:hAnsi="宋体" w:cs="宋体"/>
                <w:color w:val="auto"/>
                <w:szCs w:val="21"/>
                <w:highlight w:val="none"/>
              </w:rPr>
            </w:pPr>
          </w:p>
        </w:tc>
      </w:tr>
      <w:tr w14:paraId="653A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2C805BA1">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04" w:type="dxa"/>
            <w:vAlign w:val="center"/>
          </w:tcPr>
          <w:p w14:paraId="7ECC8DDC">
            <w:pPr>
              <w:autoSpaceDN w:val="0"/>
              <w:jc w:val="center"/>
              <w:textAlignment w:val="center"/>
              <w:rPr>
                <w:rFonts w:ascii="宋体" w:hAnsi="宋体" w:cs="宋体"/>
                <w:color w:val="auto"/>
                <w:szCs w:val="21"/>
                <w:highlight w:val="none"/>
              </w:rPr>
            </w:pPr>
          </w:p>
        </w:tc>
        <w:tc>
          <w:tcPr>
            <w:tcW w:w="1230" w:type="dxa"/>
            <w:vAlign w:val="center"/>
          </w:tcPr>
          <w:p w14:paraId="5F8A0EA2">
            <w:pPr>
              <w:autoSpaceDN w:val="0"/>
              <w:jc w:val="center"/>
              <w:textAlignment w:val="center"/>
              <w:rPr>
                <w:rFonts w:ascii="宋体" w:hAnsi="宋体" w:cs="宋体"/>
                <w:color w:val="auto"/>
                <w:szCs w:val="21"/>
                <w:highlight w:val="none"/>
              </w:rPr>
            </w:pPr>
          </w:p>
        </w:tc>
        <w:tc>
          <w:tcPr>
            <w:tcW w:w="1050" w:type="dxa"/>
            <w:vAlign w:val="center"/>
          </w:tcPr>
          <w:p w14:paraId="59B78CAB">
            <w:pPr>
              <w:widowControl/>
              <w:adjustRightInd w:val="0"/>
              <w:jc w:val="center"/>
              <w:rPr>
                <w:rFonts w:ascii="宋体" w:hAnsi="宋体" w:cs="宋体"/>
                <w:color w:val="auto"/>
                <w:szCs w:val="21"/>
                <w:highlight w:val="none"/>
              </w:rPr>
            </w:pPr>
          </w:p>
        </w:tc>
        <w:tc>
          <w:tcPr>
            <w:tcW w:w="1575" w:type="dxa"/>
          </w:tcPr>
          <w:p w14:paraId="6106B19C">
            <w:pPr>
              <w:widowControl/>
              <w:adjustRightInd w:val="0"/>
              <w:jc w:val="center"/>
              <w:rPr>
                <w:rFonts w:ascii="宋体" w:hAnsi="宋体" w:cs="宋体"/>
                <w:color w:val="auto"/>
                <w:szCs w:val="21"/>
                <w:highlight w:val="none"/>
              </w:rPr>
            </w:pPr>
          </w:p>
        </w:tc>
        <w:tc>
          <w:tcPr>
            <w:tcW w:w="2205" w:type="dxa"/>
            <w:vAlign w:val="center"/>
          </w:tcPr>
          <w:p w14:paraId="13D8C68C">
            <w:pPr>
              <w:widowControl/>
              <w:adjustRightInd w:val="0"/>
              <w:jc w:val="center"/>
              <w:rPr>
                <w:rFonts w:ascii="宋体" w:hAnsi="宋体" w:cs="宋体"/>
                <w:color w:val="auto"/>
                <w:szCs w:val="21"/>
                <w:highlight w:val="none"/>
              </w:rPr>
            </w:pPr>
          </w:p>
        </w:tc>
        <w:tc>
          <w:tcPr>
            <w:tcW w:w="775" w:type="dxa"/>
            <w:vAlign w:val="center"/>
          </w:tcPr>
          <w:p w14:paraId="181E49FC">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04EBB52C">
            <w:pPr>
              <w:autoSpaceDN w:val="0"/>
              <w:jc w:val="center"/>
              <w:textAlignment w:val="center"/>
              <w:rPr>
                <w:rFonts w:ascii="宋体" w:hAnsi="宋体" w:cs="宋体"/>
                <w:color w:val="auto"/>
                <w:szCs w:val="21"/>
                <w:highlight w:val="none"/>
              </w:rPr>
            </w:pPr>
          </w:p>
        </w:tc>
      </w:tr>
      <w:tr w14:paraId="49B8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2A83AE88">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04" w:type="dxa"/>
            <w:vAlign w:val="center"/>
          </w:tcPr>
          <w:p w14:paraId="460C0C9E">
            <w:pPr>
              <w:autoSpaceDN w:val="0"/>
              <w:jc w:val="center"/>
              <w:textAlignment w:val="center"/>
              <w:rPr>
                <w:rFonts w:ascii="宋体" w:hAnsi="宋体" w:cs="宋体"/>
                <w:color w:val="auto"/>
                <w:szCs w:val="21"/>
                <w:highlight w:val="none"/>
              </w:rPr>
            </w:pPr>
          </w:p>
        </w:tc>
        <w:tc>
          <w:tcPr>
            <w:tcW w:w="1230" w:type="dxa"/>
            <w:vAlign w:val="center"/>
          </w:tcPr>
          <w:p w14:paraId="5ADB693D">
            <w:pPr>
              <w:autoSpaceDN w:val="0"/>
              <w:jc w:val="center"/>
              <w:textAlignment w:val="center"/>
              <w:rPr>
                <w:rFonts w:ascii="宋体" w:hAnsi="宋体" w:cs="宋体"/>
                <w:color w:val="auto"/>
                <w:szCs w:val="21"/>
                <w:highlight w:val="none"/>
              </w:rPr>
            </w:pPr>
          </w:p>
        </w:tc>
        <w:tc>
          <w:tcPr>
            <w:tcW w:w="1050" w:type="dxa"/>
            <w:vAlign w:val="center"/>
          </w:tcPr>
          <w:p w14:paraId="267949F2">
            <w:pPr>
              <w:widowControl/>
              <w:adjustRightInd w:val="0"/>
              <w:jc w:val="center"/>
              <w:rPr>
                <w:rFonts w:ascii="宋体" w:hAnsi="宋体" w:cs="宋体"/>
                <w:color w:val="auto"/>
                <w:szCs w:val="21"/>
                <w:highlight w:val="none"/>
              </w:rPr>
            </w:pPr>
          </w:p>
        </w:tc>
        <w:tc>
          <w:tcPr>
            <w:tcW w:w="1575" w:type="dxa"/>
          </w:tcPr>
          <w:p w14:paraId="650AF4B2">
            <w:pPr>
              <w:widowControl/>
              <w:adjustRightInd w:val="0"/>
              <w:jc w:val="center"/>
              <w:rPr>
                <w:rFonts w:ascii="宋体" w:hAnsi="宋体" w:cs="宋体"/>
                <w:color w:val="auto"/>
                <w:szCs w:val="21"/>
                <w:highlight w:val="none"/>
              </w:rPr>
            </w:pPr>
          </w:p>
        </w:tc>
        <w:tc>
          <w:tcPr>
            <w:tcW w:w="2205" w:type="dxa"/>
            <w:vAlign w:val="center"/>
          </w:tcPr>
          <w:p w14:paraId="0D8BE768">
            <w:pPr>
              <w:widowControl/>
              <w:adjustRightInd w:val="0"/>
              <w:jc w:val="center"/>
              <w:rPr>
                <w:rFonts w:ascii="宋体" w:hAnsi="宋体" w:cs="宋体"/>
                <w:color w:val="auto"/>
                <w:szCs w:val="21"/>
                <w:highlight w:val="none"/>
              </w:rPr>
            </w:pPr>
          </w:p>
        </w:tc>
        <w:tc>
          <w:tcPr>
            <w:tcW w:w="775" w:type="dxa"/>
            <w:vAlign w:val="center"/>
          </w:tcPr>
          <w:p w14:paraId="54473FF3">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387AB054">
            <w:pPr>
              <w:autoSpaceDN w:val="0"/>
              <w:jc w:val="center"/>
              <w:textAlignment w:val="center"/>
              <w:rPr>
                <w:rFonts w:ascii="宋体" w:hAnsi="宋体" w:cs="宋体"/>
                <w:color w:val="auto"/>
                <w:szCs w:val="21"/>
                <w:highlight w:val="none"/>
              </w:rPr>
            </w:pPr>
          </w:p>
        </w:tc>
      </w:tr>
      <w:tr w14:paraId="5676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115C1E0D">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04" w:type="dxa"/>
            <w:vAlign w:val="center"/>
          </w:tcPr>
          <w:p w14:paraId="4717BB7D">
            <w:pPr>
              <w:autoSpaceDN w:val="0"/>
              <w:jc w:val="center"/>
              <w:textAlignment w:val="center"/>
              <w:rPr>
                <w:rFonts w:ascii="宋体" w:hAnsi="宋体" w:cs="宋体"/>
                <w:color w:val="auto"/>
                <w:szCs w:val="21"/>
                <w:highlight w:val="none"/>
              </w:rPr>
            </w:pPr>
          </w:p>
        </w:tc>
        <w:tc>
          <w:tcPr>
            <w:tcW w:w="1230" w:type="dxa"/>
            <w:vAlign w:val="center"/>
          </w:tcPr>
          <w:p w14:paraId="5DA43379">
            <w:pPr>
              <w:autoSpaceDN w:val="0"/>
              <w:jc w:val="center"/>
              <w:textAlignment w:val="center"/>
              <w:rPr>
                <w:rFonts w:ascii="宋体" w:hAnsi="宋体" w:cs="宋体"/>
                <w:color w:val="auto"/>
                <w:szCs w:val="21"/>
                <w:highlight w:val="none"/>
              </w:rPr>
            </w:pPr>
          </w:p>
        </w:tc>
        <w:tc>
          <w:tcPr>
            <w:tcW w:w="1050" w:type="dxa"/>
            <w:vAlign w:val="center"/>
          </w:tcPr>
          <w:p w14:paraId="2E1A8FA4">
            <w:pPr>
              <w:widowControl/>
              <w:adjustRightInd w:val="0"/>
              <w:jc w:val="center"/>
              <w:rPr>
                <w:rFonts w:ascii="宋体" w:hAnsi="宋体" w:cs="宋体"/>
                <w:color w:val="auto"/>
                <w:szCs w:val="21"/>
                <w:highlight w:val="none"/>
              </w:rPr>
            </w:pPr>
          </w:p>
        </w:tc>
        <w:tc>
          <w:tcPr>
            <w:tcW w:w="1575" w:type="dxa"/>
          </w:tcPr>
          <w:p w14:paraId="04DF013E">
            <w:pPr>
              <w:widowControl/>
              <w:adjustRightInd w:val="0"/>
              <w:jc w:val="center"/>
              <w:rPr>
                <w:rFonts w:ascii="宋体" w:hAnsi="宋体" w:cs="宋体"/>
                <w:color w:val="auto"/>
                <w:szCs w:val="21"/>
                <w:highlight w:val="none"/>
              </w:rPr>
            </w:pPr>
          </w:p>
        </w:tc>
        <w:tc>
          <w:tcPr>
            <w:tcW w:w="2205" w:type="dxa"/>
            <w:vAlign w:val="center"/>
          </w:tcPr>
          <w:p w14:paraId="32B9E3B4">
            <w:pPr>
              <w:widowControl/>
              <w:adjustRightInd w:val="0"/>
              <w:jc w:val="center"/>
              <w:rPr>
                <w:rFonts w:ascii="宋体" w:hAnsi="宋体" w:cs="宋体"/>
                <w:color w:val="auto"/>
                <w:szCs w:val="21"/>
                <w:highlight w:val="none"/>
              </w:rPr>
            </w:pPr>
          </w:p>
        </w:tc>
        <w:tc>
          <w:tcPr>
            <w:tcW w:w="775" w:type="dxa"/>
            <w:vAlign w:val="center"/>
          </w:tcPr>
          <w:p w14:paraId="02F3D3FA">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0105E559">
            <w:pPr>
              <w:autoSpaceDN w:val="0"/>
              <w:jc w:val="center"/>
              <w:textAlignment w:val="center"/>
              <w:rPr>
                <w:rFonts w:ascii="宋体" w:hAnsi="宋体" w:cs="宋体"/>
                <w:color w:val="auto"/>
                <w:szCs w:val="21"/>
                <w:highlight w:val="none"/>
              </w:rPr>
            </w:pPr>
          </w:p>
        </w:tc>
      </w:tr>
      <w:tr w14:paraId="4DC3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1E44AD92">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04" w:type="dxa"/>
            <w:vAlign w:val="center"/>
          </w:tcPr>
          <w:p w14:paraId="159A856E">
            <w:pPr>
              <w:autoSpaceDN w:val="0"/>
              <w:jc w:val="center"/>
              <w:textAlignment w:val="center"/>
              <w:rPr>
                <w:rFonts w:ascii="宋体" w:hAnsi="宋体" w:cs="宋体"/>
                <w:color w:val="auto"/>
                <w:szCs w:val="21"/>
                <w:highlight w:val="none"/>
              </w:rPr>
            </w:pPr>
          </w:p>
        </w:tc>
        <w:tc>
          <w:tcPr>
            <w:tcW w:w="1230" w:type="dxa"/>
            <w:vAlign w:val="center"/>
          </w:tcPr>
          <w:p w14:paraId="6DAE07EF">
            <w:pPr>
              <w:autoSpaceDN w:val="0"/>
              <w:jc w:val="center"/>
              <w:textAlignment w:val="center"/>
              <w:rPr>
                <w:rFonts w:ascii="宋体" w:hAnsi="宋体" w:cs="宋体"/>
                <w:color w:val="auto"/>
                <w:szCs w:val="21"/>
                <w:highlight w:val="none"/>
              </w:rPr>
            </w:pPr>
          </w:p>
        </w:tc>
        <w:tc>
          <w:tcPr>
            <w:tcW w:w="1050" w:type="dxa"/>
            <w:vAlign w:val="center"/>
          </w:tcPr>
          <w:p w14:paraId="6AE592F9">
            <w:pPr>
              <w:widowControl/>
              <w:adjustRightInd w:val="0"/>
              <w:jc w:val="center"/>
              <w:rPr>
                <w:rFonts w:ascii="宋体" w:hAnsi="宋体" w:cs="宋体"/>
                <w:color w:val="auto"/>
                <w:szCs w:val="21"/>
                <w:highlight w:val="none"/>
              </w:rPr>
            </w:pPr>
          </w:p>
        </w:tc>
        <w:tc>
          <w:tcPr>
            <w:tcW w:w="1575" w:type="dxa"/>
          </w:tcPr>
          <w:p w14:paraId="1462E8AC">
            <w:pPr>
              <w:widowControl/>
              <w:adjustRightInd w:val="0"/>
              <w:jc w:val="center"/>
              <w:rPr>
                <w:rFonts w:ascii="宋体" w:hAnsi="宋体" w:cs="宋体"/>
                <w:color w:val="auto"/>
                <w:szCs w:val="21"/>
                <w:highlight w:val="none"/>
              </w:rPr>
            </w:pPr>
          </w:p>
        </w:tc>
        <w:tc>
          <w:tcPr>
            <w:tcW w:w="2205" w:type="dxa"/>
            <w:vAlign w:val="center"/>
          </w:tcPr>
          <w:p w14:paraId="0D76F36D">
            <w:pPr>
              <w:widowControl/>
              <w:adjustRightInd w:val="0"/>
              <w:jc w:val="center"/>
              <w:rPr>
                <w:rFonts w:ascii="宋体" w:hAnsi="宋体" w:cs="宋体"/>
                <w:color w:val="auto"/>
                <w:szCs w:val="21"/>
                <w:highlight w:val="none"/>
              </w:rPr>
            </w:pPr>
          </w:p>
        </w:tc>
        <w:tc>
          <w:tcPr>
            <w:tcW w:w="775" w:type="dxa"/>
            <w:vAlign w:val="center"/>
          </w:tcPr>
          <w:p w14:paraId="228983EF">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6A4AFD0B">
            <w:pPr>
              <w:autoSpaceDN w:val="0"/>
              <w:jc w:val="center"/>
              <w:textAlignment w:val="center"/>
              <w:rPr>
                <w:rFonts w:ascii="宋体" w:hAnsi="宋体" w:cs="宋体"/>
                <w:color w:val="auto"/>
                <w:szCs w:val="21"/>
                <w:highlight w:val="none"/>
              </w:rPr>
            </w:pPr>
          </w:p>
        </w:tc>
      </w:tr>
      <w:tr w14:paraId="5E4E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7D4516A4">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1004" w:type="dxa"/>
            <w:vAlign w:val="center"/>
          </w:tcPr>
          <w:p w14:paraId="2A9893C6">
            <w:pPr>
              <w:autoSpaceDN w:val="0"/>
              <w:jc w:val="center"/>
              <w:textAlignment w:val="center"/>
              <w:rPr>
                <w:rFonts w:ascii="宋体" w:hAnsi="宋体" w:cs="宋体"/>
                <w:color w:val="auto"/>
                <w:szCs w:val="21"/>
                <w:highlight w:val="none"/>
              </w:rPr>
            </w:pPr>
          </w:p>
        </w:tc>
        <w:tc>
          <w:tcPr>
            <w:tcW w:w="1230" w:type="dxa"/>
            <w:vAlign w:val="center"/>
          </w:tcPr>
          <w:p w14:paraId="1BBAE140">
            <w:pPr>
              <w:autoSpaceDN w:val="0"/>
              <w:jc w:val="center"/>
              <w:textAlignment w:val="center"/>
              <w:rPr>
                <w:rFonts w:ascii="宋体" w:hAnsi="宋体" w:cs="宋体"/>
                <w:color w:val="auto"/>
                <w:szCs w:val="21"/>
                <w:highlight w:val="none"/>
              </w:rPr>
            </w:pPr>
          </w:p>
        </w:tc>
        <w:tc>
          <w:tcPr>
            <w:tcW w:w="1050" w:type="dxa"/>
            <w:vAlign w:val="center"/>
          </w:tcPr>
          <w:p w14:paraId="1E06291A">
            <w:pPr>
              <w:widowControl/>
              <w:adjustRightInd w:val="0"/>
              <w:jc w:val="center"/>
              <w:rPr>
                <w:rFonts w:ascii="宋体" w:hAnsi="宋体" w:cs="宋体"/>
                <w:color w:val="auto"/>
                <w:szCs w:val="21"/>
                <w:highlight w:val="none"/>
              </w:rPr>
            </w:pPr>
          </w:p>
        </w:tc>
        <w:tc>
          <w:tcPr>
            <w:tcW w:w="1575" w:type="dxa"/>
          </w:tcPr>
          <w:p w14:paraId="350A1511">
            <w:pPr>
              <w:widowControl/>
              <w:adjustRightInd w:val="0"/>
              <w:jc w:val="center"/>
              <w:rPr>
                <w:rFonts w:ascii="宋体" w:hAnsi="宋体" w:cs="宋体"/>
                <w:color w:val="auto"/>
                <w:szCs w:val="21"/>
                <w:highlight w:val="none"/>
              </w:rPr>
            </w:pPr>
          </w:p>
        </w:tc>
        <w:tc>
          <w:tcPr>
            <w:tcW w:w="2205" w:type="dxa"/>
            <w:vAlign w:val="center"/>
          </w:tcPr>
          <w:p w14:paraId="7BC190C3">
            <w:pPr>
              <w:widowControl/>
              <w:tabs>
                <w:tab w:val="center" w:pos="1054"/>
                <w:tab w:val="right" w:pos="1989"/>
              </w:tabs>
              <w:adjustRightInd w:val="0"/>
              <w:jc w:val="left"/>
              <w:rPr>
                <w:rFonts w:ascii="宋体" w:hAnsi="宋体" w:cs="宋体"/>
                <w:color w:val="auto"/>
                <w:szCs w:val="21"/>
                <w:highlight w:val="none"/>
              </w:rPr>
            </w:pPr>
            <w:r>
              <w:rPr>
                <w:rFonts w:hint="eastAsia"/>
                <w:color w:val="auto"/>
                <w:highlight w:val="none"/>
              </w:rPr>
              <w:tab/>
            </w:r>
          </w:p>
        </w:tc>
        <w:tc>
          <w:tcPr>
            <w:tcW w:w="775" w:type="dxa"/>
            <w:vAlign w:val="center"/>
          </w:tcPr>
          <w:p w14:paraId="3D85A1BC">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3D8DF6AA">
            <w:pPr>
              <w:autoSpaceDN w:val="0"/>
              <w:jc w:val="center"/>
              <w:textAlignment w:val="center"/>
              <w:rPr>
                <w:rFonts w:ascii="宋体" w:hAnsi="宋体" w:cs="宋体"/>
                <w:color w:val="auto"/>
                <w:szCs w:val="21"/>
                <w:highlight w:val="none"/>
              </w:rPr>
            </w:pPr>
          </w:p>
        </w:tc>
      </w:tr>
      <w:tr w14:paraId="6299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2D49D903">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16</w:t>
            </w:r>
          </w:p>
        </w:tc>
        <w:tc>
          <w:tcPr>
            <w:tcW w:w="1004" w:type="dxa"/>
            <w:vAlign w:val="center"/>
          </w:tcPr>
          <w:p w14:paraId="6759CC8B">
            <w:pPr>
              <w:autoSpaceDN w:val="0"/>
              <w:jc w:val="center"/>
              <w:textAlignment w:val="center"/>
              <w:rPr>
                <w:rFonts w:ascii="宋体" w:hAnsi="宋体" w:cs="宋体"/>
                <w:color w:val="auto"/>
                <w:szCs w:val="21"/>
                <w:highlight w:val="none"/>
              </w:rPr>
            </w:pPr>
          </w:p>
        </w:tc>
        <w:tc>
          <w:tcPr>
            <w:tcW w:w="1230" w:type="dxa"/>
            <w:vAlign w:val="center"/>
          </w:tcPr>
          <w:p w14:paraId="6864DC15">
            <w:pPr>
              <w:autoSpaceDN w:val="0"/>
              <w:jc w:val="center"/>
              <w:textAlignment w:val="center"/>
              <w:rPr>
                <w:rFonts w:ascii="宋体" w:hAnsi="宋体" w:cs="宋体"/>
                <w:color w:val="auto"/>
                <w:szCs w:val="21"/>
                <w:highlight w:val="none"/>
              </w:rPr>
            </w:pPr>
          </w:p>
        </w:tc>
        <w:tc>
          <w:tcPr>
            <w:tcW w:w="1050" w:type="dxa"/>
            <w:vAlign w:val="center"/>
          </w:tcPr>
          <w:p w14:paraId="40EAB8E6">
            <w:pPr>
              <w:widowControl/>
              <w:adjustRightInd w:val="0"/>
              <w:jc w:val="center"/>
              <w:rPr>
                <w:rFonts w:ascii="宋体" w:hAnsi="宋体" w:cs="宋体"/>
                <w:color w:val="auto"/>
                <w:szCs w:val="21"/>
                <w:highlight w:val="none"/>
              </w:rPr>
            </w:pPr>
          </w:p>
        </w:tc>
        <w:tc>
          <w:tcPr>
            <w:tcW w:w="1575" w:type="dxa"/>
          </w:tcPr>
          <w:p w14:paraId="4BD79B81">
            <w:pPr>
              <w:widowControl/>
              <w:adjustRightInd w:val="0"/>
              <w:jc w:val="center"/>
              <w:rPr>
                <w:rFonts w:ascii="宋体" w:hAnsi="宋体" w:cs="宋体"/>
                <w:color w:val="auto"/>
                <w:szCs w:val="21"/>
                <w:highlight w:val="none"/>
              </w:rPr>
            </w:pPr>
          </w:p>
        </w:tc>
        <w:tc>
          <w:tcPr>
            <w:tcW w:w="2205" w:type="dxa"/>
            <w:vAlign w:val="center"/>
          </w:tcPr>
          <w:p w14:paraId="31C588E6">
            <w:pPr>
              <w:widowControl/>
              <w:adjustRightInd w:val="0"/>
              <w:jc w:val="center"/>
              <w:rPr>
                <w:rFonts w:ascii="宋体" w:hAnsi="宋体" w:cs="宋体"/>
                <w:color w:val="auto"/>
                <w:szCs w:val="21"/>
                <w:highlight w:val="none"/>
              </w:rPr>
            </w:pPr>
          </w:p>
        </w:tc>
        <w:tc>
          <w:tcPr>
            <w:tcW w:w="775" w:type="dxa"/>
            <w:vAlign w:val="center"/>
          </w:tcPr>
          <w:p w14:paraId="5FE38801">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7BF7E2F7">
            <w:pPr>
              <w:autoSpaceDN w:val="0"/>
              <w:jc w:val="center"/>
              <w:textAlignment w:val="center"/>
              <w:rPr>
                <w:rFonts w:ascii="宋体" w:hAnsi="宋体" w:cs="宋体"/>
                <w:color w:val="auto"/>
                <w:szCs w:val="21"/>
                <w:highlight w:val="none"/>
              </w:rPr>
            </w:pPr>
          </w:p>
        </w:tc>
      </w:tr>
      <w:tr w14:paraId="53BEA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22" w:type="dxa"/>
            <w:tcBorders>
              <w:left w:val="single" w:color="auto" w:sz="18" w:space="0"/>
            </w:tcBorders>
            <w:vAlign w:val="center"/>
          </w:tcPr>
          <w:p w14:paraId="495FDA1A">
            <w:pPr>
              <w:widowControl/>
              <w:adjustRightInd w:val="0"/>
              <w:jc w:val="center"/>
              <w:rPr>
                <w:rFonts w:ascii="宋体" w:hAnsi="宋体" w:cs="宋体"/>
                <w:color w:val="auto"/>
                <w:szCs w:val="21"/>
                <w:highlight w:val="none"/>
              </w:rPr>
            </w:pPr>
            <w:r>
              <w:rPr>
                <w:rFonts w:hint="eastAsia" w:ascii="宋体" w:hAnsi="宋体" w:cs="宋体"/>
                <w:color w:val="auto"/>
                <w:szCs w:val="21"/>
                <w:highlight w:val="none"/>
              </w:rPr>
              <w:t>17</w:t>
            </w:r>
          </w:p>
        </w:tc>
        <w:tc>
          <w:tcPr>
            <w:tcW w:w="1004" w:type="dxa"/>
            <w:vAlign w:val="center"/>
          </w:tcPr>
          <w:p w14:paraId="09005C50">
            <w:pPr>
              <w:autoSpaceDN w:val="0"/>
              <w:jc w:val="center"/>
              <w:textAlignment w:val="center"/>
              <w:rPr>
                <w:rFonts w:ascii="宋体" w:hAnsi="宋体" w:cs="宋体"/>
                <w:color w:val="auto"/>
                <w:szCs w:val="21"/>
                <w:highlight w:val="none"/>
              </w:rPr>
            </w:pPr>
          </w:p>
        </w:tc>
        <w:tc>
          <w:tcPr>
            <w:tcW w:w="1230" w:type="dxa"/>
            <w:vAlign w:val="center"/>
          </w:tcPr>
          <w:p w14:paraId="7B85BCCF">
            <w:pPr>
              <w:autoSpaceDN w:val="0"/>
              <w:jc w:val="center"/>
              <w:textAlignment w:val="center"/>
              <w:rPr>
                <w:rFonts w:ascii="宋体" w:hAnsi="宋体" w:cs="宋体"/>
                <w:color w:val="auto"/>
                <w:szCs w:val="21"/>
                <w:highlight w:val="none"/>
              </w:rPr>
            </w:pPr>
          </w:p>
        </w:tc>
        <w:tc>
          <w:tcPr>
            <w:tcW w:w="1050" w:type="dxa"/>
            <w:vAlign w:val="center"/>
          </w:tcPr>
          <w:p w14:paraId="5B8CD347">
            <w:pPr>
              <w:widowControl/>
              <w:adjustRightInd w:val="0"/>
              <w:jc w:val="center"/>
              <w:rPr>
                <w:rFonts w:ascii="宋体" w:hAnsi="宋体" w:cs="宋体"/>
                <w:color w:val="auto"/>
                <w:szCs w:val="21"/>
                <w:highlight w:val="none"/>
              </w:rPr>
            </w:pPr>
          </w:p>
        </w:tc>
        <w:tc>
          <w:tcPr>
            <w:tcW w:w="1575" w:type="dxa"/>
          </w:tcPr>
          <w:p w14:paraId="75E428BE">
            <w:pPr>
              <w:widowControl/>
              <w:adjustRightInd w:val="0"/>
              <w:jc w:val="center"/>
              <w:rPr>
                <w:rFonts w:ascii="宋体" w:hAnsi="宋体" w:cs="宋体"/>
                <w:color w:val="auto"/>
                <w:szCs w:val="21"/>
                <w:highlight w:val="none"/>
              </w:rPr>
            </w:pPr>
          </w:p>
        </w:tc>
        <w:tc>
          <w:tcPr>
            <w:tcW w:w="2205" w:type="dxa"/>
            <w:vAlign w:val="center"/>
          </w:tcPr>
          <w:p w14:paraId="33627D06">
            <w:pPr>
              <w:widowControl/>
              <w:adjustRightInd w:val="0"/>
              <w:jc w:val="center"/>
              <w:rPr>
                <w:rFonts w:ascii="宋体" w:hAnsi="宋体" w:cs="宋体"/>
                <w:color w:val="auto"/>
                <w:szCs w:val="21"/>
                <w:highlight w:val="none"/>
              </w:rPr>
            </w:pPr>
          </w:p>
        </w:tc>
        <w:tc>
          <w:tcPr>
            <w:tcW w:w="775" w:type="dxa"/>
            <w:vAlign w:val="center"/>
          </w:tcPr>
          <w:p w14:paraId="29122836">
            <w:pPr>
              <w:widowControl/>
              <w:adjustRightInd w:val="0"/>
              <w:jc w:val="center"/>
              <w:rPr>
                <w:rFonts w:ascii="宋体" w:hAnsi="宋体" w:cs="宋体"/>
                <w:color w:val="auto"/>
                <w:szCs w:val="21"/>
                <w:highlight w:val="none"/>
              </w:rPr>
            </w:pPr>
          </w:p>
        </w:tc>
        <w:tc>
          <w:tcPr>
            <w:tcW w:w="1814" w:type="dxa"/>
            <w:tcBorders>
              <w:right w:val="single" w:color="auto" w:sz="18" w:space="0"/>
            </w:tcBorders>
            <w:vAlign w:val="center"/>
          </w:tcPr>
          <w:p w14:paraId="6F6EE4F9">
            <w:pPr>
              <w:autoSpaceDN w:val="0"/>
              <w:jc w:val="center"/>
              <w:textAlignment w:val="center"/>
              <w:rPr>
                <w:rFonts w:ascii="宋体" w:hAnsi="宋体" w:cs="宋体"/>
                <w:color w:val="auto"/>
                <w:szCs w:val="21"/>
                <w:highlight w:val="none"/>
              </w:rPr>
            </w:pPr>
          </w:p>
        </w:tc>
      </w:tr>
    </w:tbl>
    <w:p w14:paraId="140FFACF">
      <w:pPr>
        <w:autoSpaceDE w:val="0"/>
        <w:autoSpaceDN w:val="0"/>
        <w:adjustRightInd w:val="0"/>
        <w:rPr>
          <w:rFonts w:ascii="宋体" w:hAnsi="宋体" w:cs="宋体"/>
          <w:color w:val="auto"/>
          <w:szCs w:val="21"/>
          <w:highlight w:val="none"/>
          <w:lang w:val="zh-CN"/>
        </w:rPr>
      </w:pPr>
      <w:r>
        <w:rPr>
          <w:rFonts w:hint="eastAsia" w:ascii="宋体" w:hAnsi="宋体" w:cs="宋体"/>
          <w:color w:val="auto"/>
          <w:szCs w:val="21"/>
          <w:highlight w:val="none"/>
          <w:lang w:val="zh-CN"/>
        </w:rPr>
        <w:t>（附件四完）</w:t>
      </w:r>
    </w:p>
    <w:p w14:paraId="1276CCE7">
      <w:pPr>
        <w:tabs>
          <w:tab w:val="left" w:pos="1800"/>
          <w:tab w:val="left" w:pos="1980"/>
          <w:tab w:val="left" w:pos="2160"/>
          <w:tab w:val="left" w:pos="2880"/>
        </w:tabs>
        <w:spacing w:line="480" w:lineRule="exact"/>
        <w:jc w:val="left"/>
        <w:rPr>
          <w:rFonts w:ascii="宋体" w:hAnsi="宋体" w:cs="宋体"/>
          <w:color w:val="auto"/>
          <w:szCs w:val="21"/>
          <w:highlight w:val="none"/>
        </w:rPr>
      </w:pPr>
      <w:r>
        <w:rPr>
          <w:rFonts w:ascii="宋体" w:hAnsi="宋体" w:cs="宋体"/>
          <w:color w:val="auto"/>
          <w:szCs w:val="21"/>
          <w:highlight w:val="none"/>
        </w:rPr>
        <w:br w:type="page"/>
      </w:r>
      <w:r>
        <w:rPr>
          <w:rFonts w:hint="eastAsia" w:ascii="宋体" w:hAnsi="宋体" w:cs="宋体"/>
          <w:color w:val="auto"/>
          <w:szCs w:val="21"/>
          <w:highlight w:val="none"/>
        </w:rPr>
        <w:t xml:space="preserve">合同附件五   </w:t>
      </w:r>
    </w:p>
    <w:p w14:paraId="740D4A3F">
      <w:pPr>
        <w:spacing w:line="360" w:lineRule="auto"/>
        <w:jc w:val="center"/>
        <w:rPr>
          <w:rFonts w:ascii="方正小标宋简体" w:hAnsi="宋体" w:eastAsia="方正小标宋简体" w:cs="宋体"/>
          <w:color w:val="auto"/>
          <w:sz w:val="32"/>
          <w:szCs w:val="32"/>
          <w:highlight w:val="none"/>
        </w:rPr>
      </w:pPr>
      <w:r>
        <w:rPr>
          <w:rFonts w:hint="eastAsia" w:ascii="方正小标宋简体" w:hAnsi="宋体" w:eastAsia="方正小标宋简体" w:cs="宋体"/>
          <w:color w:val="auto"/>
          <w:sz w:val="32"/>
          <w:szCs w:val="32"/>
          <w:highlight w:val="none"/>
        </w:rPr>
        <w:t>安全生产</w:t>
      </w:r>
      <w:r>
        <w:rPr>
          <w:rFonts w:ascii="方正小标宋简体" w:hAnsi="宋体" w:eastAsia="方正小标宋简体" w:cs="宋体"/>
          <w:color w:val="auto"/>
          <w:sz w:val="32"/>
          <w:szCs w:val="32"/>
          <w:highlight w:val="none"/>
        </w:rPr>
        <w:t>文明</w:t>
      </w:r>
      <w:r>
        <w:rPr>
          <w:rFonts w:hint="eastAsia" w:ascii="方正小标宋简体" w:hAnsi="宋体" w:eastAsia="方正小标宋简体" w:cs="宋体"/>
          <w:color w:val="auto"/>
          <w:sz w:val="32"/>
          <w:szCs w:val="32"/>
          <w:highlight w:val="none"/>
        </w:rPr>
        <w:t>施工协议</w:t>
      </w:r>
    </w:p>
    <w:p w14:paraId="02F1F306">
      <w:pPr>
        <w:spacing w:line="360" w:lineRule="auto"/>
        <w:jc w:val="center"/>
        <w:rPr>
          <w:rFonts w:ascii="方正小标宋简体" w:hAnsi="宋体" w:eastAsia="方正小标宋简体" w:cs="宋体"/>
          <w:color w:val="auto"/>
          <w:sz w:val="36"/>
          <w:szCs w:val="36"/>
          <w:highlight w:val="none"/>
        </w:rPr>
      </w:pPr>
    </w:p>
    <w:p w14:paraId="6235CA97">
      <w:pPr>
        <w:pStyle w:val="20"/>
        <w:widowControl w:val="0"/>
        <w:spacing w:before="0" w:beforeAutospacing="0" w:after="0" w:afterAutospacing="0" w:line="360" w:lineRule="auto"/>
        <w:rPr>
          <w:rFonts w:cs="仿宋_GB2312"/>
          <w:b/>
          <w:color w:val="auto"/>
          <w:sz w:val="21"/>
          <w:szCs w:val="21"/>
          <w:highlight w:val="none"/>
        </w:rPr>
      </w:pPr>
      <w:r>
        <w:rPr>
          <w:rFonts w:hint="eastAsia" w:cs="仿宋_GB2312"/>
          <w:b/>
          <w:color w:val="auto"/>
          <w:sz w:val="21"/>
          <w:szCs w:val="21"/>
          <w:highlight w:val="none"/>
        </w:rPr>
        <w:t>发包人：</w:t>
      </w:r>
      <w:r>
        <w:rPr>
          <w:rFonts w:cs="仿宋_GB2312"/>
          <w:b/>
          <w:color w:val="auto"/>
          <w:sz w:val="21"/>
          <w:szCs w:val="21"/>
          <w:highlight w:val="none"/>
        </w:rPr>
        <w:t xml:space="preserve"> </w:t>
      </w:r>
    </w:p>
    <w:p w14:paraId="1974CD16">
      <w:pPr>
        <w:pStyle w:val="20"/>
        <w:widowControl w:val="0"/>
        <w:spacing w:before="0" w:beforeAutospacing="0" w:after="0" w:afterAutospacing="0" w:line="360" w:lineRule="auto"/>
        <w:rPr>
          <w:rFonts w:cs="仿宋_GB2312"/>
          <w:b/>
          <w:bCs/>
          <w:color w:val="auto"/>
          <w:sz w:val="21"/>
          <w:szCs w:val="21"/>
          <w:highlight w:val="none"/>
        </w:rPr>
      </w:pPr>
      <w:r>
        <w:rPr>
          <w:rFonts w:hint="eastAsia" w:cs="仿宋_GB2312"/>
          <w:b/>
          <w:color w:val="auto"/>
          <w:sz w:val="21"/>
          <w:szCs w:val="21"/>
          <w:highlight w:val="none"/>
        </w:rPr>
        <w:t xml:space="preserve">承包人： </w:t>
      </w:r>
    </w:p>
    <w:p w14:paraId="442EDEB0">
      <w:pPr>
        <w:adjustRightInd w:val="0"/>
        <w:snapToGrid w:val="0"/>
        <w:spacing w:line="360" w:lineRule="auto"/>
        <w:rPr>
          <w:color w:val="auto"/>
          <w:highlight w:val="none"/>
        </w:rPr>
      </w:pPr>
    </w:p>
    <w:p w14:paraId="5F56B1AA">
      <w:pPr>
        <w:pStyle w:val="20"/>
        <w:widowControl w:val="0"/>
        <w:adjustRightInd w:val="0"/>
        <w:snapToGrid w:val="0"/>
        <w:spacing w:before="0" w:beforeAutospacing="0" w:after="0" w:afterAutospacing="0" w:line="360" w:lineRule="auto"/>
        <w:ind w:firstLine="420" w:firstLineChars="200"/>
        <w:rPr>
          <w:rFonts w:cs="仿宋_GB2312"/>
          <w:color w:val="auto"/>
          <w:sz w:val="21"/>
          <w:szCs w:val="21"/>
          <w:highlight w:val="none"/>
        </w:rPr>
      </w:pPr>
      <w:r>
        <w:rPr>
          <w:rFonts w:hint="eastAsia" w:cs="仿宋_GB2312"/>
          <w:color w:val="auto"/>
          <w:sz w:val="21"/>
          <w:szCs w:val="21"/>
          <w:highlight w:val="none"/>
        </w:rPr>
        <w:t>为贯彻执行安全生产法律法规，确保</w:t>
      </w:r>
      <w:permStart w:id="41" w:edGrp="everyone"/>
      <w:r>
        <w:rPr>
          <w:rFonts w:hint="eastAsia" w:ascii="宋体" w:hAnsi="宋体" w:eastAsia="宋体"/>
          <w:color w:val="auto"/>
          <w:sz w:val="24"/>
          <w:highlight w:val="none"/>
          <w:u w:val="single"/>
        </w:rPr>
        <w:t xml:space="preserve"> </w:t>
      </w:r>
      <w:r>
        <w:rPr>
          <w:rFonts w:hint="eastAsia" w:cs="仿宋_GB2312"/>
          <w:color w:val="auto"/>
          <w:sz w:val="21"/>
          <w:szCs w:val="21"/>
          <w:highlight w:val="none"/>
          <w:u w:val="single"/>
          <w:lang w:eastAsia="zh-CN"/>
        </w:rPr>
        <w:t>广州高新集团天蕴路2号物业（天河软件园软件产业集中孵化中心）配电增容项目设计施工总承包</w:t>
      </w:r>
      <w:r>
        <w:rPr>
          <w:rFonts w:hint="eastAsia" w:ascii="宋体" w:hAnsi="宋体" w:eastAsia="宋体"/>
          <w:color w:val="auto"/>
          <w:sz w:val="24"/>
          <w:highlight w:val="none"/>
          <w:u w:val="single"/>
        </w:rPr>
        <w:t xml:space="preserve"> </w:t>
      </w:r>
      <w:permEnd w:id="41"/>
      <w:r>
        <w:rPr>
          <w:rFonts w:hint="eastAsia" w:cs="仿宋_GB2312"/>
          <w:bCs/>
          <w:color w:val="auto"/>
          <w:sz w:val="21"/>
          <w:szCs w:val="21"/>
          <w:highlight w:val="none"/>
        </w:rPr>
        <w:t>（以下简称“工程”）施工</w:t>
      </w:r>
      <w:r>
        <w:rPr>
          <w:rFonts w:hint="eastAsia" w:cs="仿宋_GB2312"/>
          <w:color w:val="auto"/>
          <w:sz w:val="21"/>
          <w:szCs w:val="21"/>
          <w:highlight w:val="none"/>
        </w:rPr>
        <w:t>质量和安全生产，保持良好的工作秩序和施工环境，保障施工人员的安全与健康，实施安全质量标准化工地建设，根据《中华人民共和国安全生产法》、《建设工程安全生产管理条例》、《建筑施工安全检查标准》（JGJ59）等相关法律法规，经发包人、承包人协商一致，</w:t>
      </w:r>
      <w:r>
        <w:rPr>
          <w:rFonts w:hint="eastAsia" w:cs="仿宋"/>
          <w:color w:val="auto"/>
          <w:sz w:val="21"/>
          <w:szCs w:val="21"/>
          <w:highlight w:val="none"/>
        </w:rPr>
        <w:t>签订本协议</w:t>
      </w:r>
      <w:r>
        <w:rPr>
          <w:rFonts w:hint="eastAsia" w:cs="仿宋_GB2312"/>
          <w:color w:val="auto"/>
          <w:sz w:val="21"/>
          <w:szCs w:val="21"/>
          <w:highlight w:val="none"/>
        </w:rPr>
        <w:t>。</w:t>
      </w:r>
    </w:p>
    <w:p w14:paraId="470B391E">
      <w:pPr>
        <w:pStyle w:val="20"/>
        <w:widowControl w:val="0"/>
        <w:adjustRightInd w:val="0"/>
        <w:snapToGrid w:val="0"/>
        <w:spacing w:before="0" w:beforeAutospacing="0" w:after="0" w:afterAutospacing="0" w:line="360" w:lineRule="auto"/>
        <w:rPr>
          <w:rFonts w:cs="仿宋_GB2312"/>
          <w:i/>
          <w:iCs/>
          <w:color w:val="auto"/>
          <w:sz w:val="21"/>
          <w:szCs w:val="21"/>
          <w:highlight w:val="none"/>
        </w:rPr>
      </w:pPr>
      <w:r>
        <w:rPr>
          <w:rFonts w:hint="eastAsia" w:cs="仿宋_GB2312"/>
          <w:b/>
          <w:bCs/>
          <w:color w:val="auto"/>
          <w:sz w:val="21"/>
          <w:szCs w:val="21"/>
          <w:highlight w:val="none"/>
        </w:rPr>
        <w:t xml:space="preserve">   一、安全生产</w:t>
      </w:r>
      <w:r>
        <w:rPr>
          <w:rFonts w:cs="仿宋_GB2312"/>
          <w:b/>
          <w:bCs/>
          <w:color w:val="auto"/>
          <w:sz w:val="21"/>
          <w:szCs w:val="21"/>
          <w:highlight w:val="none"/>
        </w:rPr>
        <w:t>文明</w:t>
      </w:r>
      <w:r>
        <w:rPr>
          <w:rFonts w:hint="eastAsia" w:cs="仿宋_GB2312"/>
          <w:b/>
          <w:bCs/>
          <w:color w:val="auto"/>
          <w:sz w:val="21"/>
          <w:szCs w:val="21"/>
          <w:highlight w:val="none"/>
        </w:rPr>
        <w:t>施工要求及目标</w:t>
      </w:r>
    </w:p>
    <w:p w14:paraId="0DA74CF6">
      <w:pPr>
        <w:adjustRightInd w:val="0"/>
        <w:snapToGrid w:val="0"/>
        <w:spacing w:line="360" w:lineRule="auto"/>
        <w:ind w:firstLine="56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1.要求：合格。</w:t>
      </w:r>
    </w:p>
    <w:p w14:paraId="65497F06">
      <w:pPr>
        <w:adjustRightInd w:val="0"/>
        <w:snapToGrid w:val="0"/>
        <w:spacing w:line="360" w:lineRule="auto"/>
        <w:ind w:firstLine="56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2.标准：执行国家、广东省、</w:t>
      </w:r>
      <w:r>
        <w:rPr>
          <w:rFonts w:hint="eastAsia" w:ascii="宋体" w:hAnsi="宋体" w:cs="仿宋_GB2312"/>
          <w:color w:val="auto"/>
          <w:kern w:val="0"/>
          <w:szCs w:val="21"/>
          <w:highlight w:val="none"/>
          <w:lang w:eastAsia="zh-CN"/>
        </w:rPr>
        <w:t>广州市</w:t>
      </w:r>
      <w:r>
        <w:rPr>
          <w:rFonts w:hint="eastAsia" w:ascii="宋体" w:hAnsi="宋体" w:cs="仿宋_GB2312"/>
          <w:color w:val="auto"/>
          <w:kern w:val="0"/>
          <w:szCs w:val="21"/>
          <w:highlight w:val="none"/>
        </w:rPr>
        <w:t>现行评审标准，如各标准存在不一致之处，以最高标准为准。</w:t>
      </w:r>
    </w:p>
    <w:p w14:paraId="7B44D187">
      <w:pPr>
        <w:adjustRightInd w:val="0"/>
        <w:snapToGrid w:val="0"/>
        <w:spacing w:line="360" w:lineRule="auto"/>
        <w:ind w:firstLine="464" w:firstLineChars="221"/>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3.目标：杜绝各等级生产安全事故，轻伤率小于3‰</w:t>
      </w:r>
      <w:r>
        <w:rPr>
          <w:rFonts w:hint="eastAsia" w:ascii="宋体" w:hAnsi="宋体"/>
          <w:color w:val="auto"/>
          <w:szCs w:val="21"/>
          <w:highlight w:val="none"/>
        </w:rPr>
        <w:t>。</w:t>
      </w:r>
      <w:r>
        <w:rPr>
          <w:rFonts w:hint="eastAsia" w:ascii="宋体" w:hAnsi="宋体" w:cs="仿宋_GB2312"/>
          <w:color w:val="auto"/>
          <w:kern w:val="0"/>
          <w:szCs w:val="21"/>
          <w:highlight w:val="none"/>
        </w:rPr>
        <w:t xml:space="preserve"> </w:t>
      </w:r>
    </w:p>
    <w:p w14:paraId="2BEE0433">
      <w:pPr>
        <w:adjustRightInd w:val="0"/>
        <w:snapToGrid w:val="0"/>
        <w:spacing w:line="360" w:lineRule="auto"/>
        <w:ind w:firstLine="466" w:firstLineChars="221"/>
        <w:jc w:val="left"/>
        <w:rPr>
          <w:rFonts w:cs="仿宋_GB2312"/>
          <w:b/>
          <w:bCs/>
          <w:color w:val="auto"/>
          <w:szCs w:val="21"/>
          <w:highlight w:val="none"/>
        </w:rPr>
      </w:pPr>
      <w:r>
        <w:rPr>
          <w:rFonts w:hint="eastAsia" w:ascii="宋体" w:hAnsi="宋体" w:cs="仿宋_GB2312"/>
          <w:b/>
          <w:bCs/>
          <w:color w:val="auto"/>
          <w:kern w:val="0"/>
          <w:szCs w:val="21"/>
          <w:highlight w:val="none"/>
        </w:rPr>
        <w:t>二、</w:t>
      </w:r>
      <w:r>
        <w:rPr>
          <w:rFonts w:hint="eastAsia" w:cs="仿宋_GB2312"/>
          <w:b/>
          <w:bCs/>
          <w:color w:val="auto"/>
          <w:szCs w:val="21"/>
          <w:highlight w:val="none"/>
        </w:rPr>
        <w:t>安全生产文明施工制度及标准化建设要求</w:t>
      </w:r>
    </w:p>
    <w:p w14:paraId="31C8AB17">
      <w:pPr>
        <w:adjustRightInd w:val="0"/>
        <w:snapToGrid w:val="0"/>
        <w:spacing w:line="360" w:lineRule="auto"/>
        <w:ind w:firstLine="420" w:firstLineChars="200"/>
        <w:rPr>
          <w:rFonts w:ascii="宋体" w:hAnsi="宋体" w:cs="仿宋_GB2312"/>
          <w:color w:val="auto"/>
          <w:kern w:val="0"/>
          <w:szCs w:val="21"/>
          <w:highlight w:val="none"/>
        </w:rPr>
      </w:pPr>
      <w:r>
        <w:rPr>
          <w:rFonts w:ascii="宋体" w:hAnsi="宋体" w:cs="仿宋_GB2312"/>
          <w:color w:val="auto"/>
          <w:kern w:val="0"/>
          <w:szCs w:val="21"/>
          <w:highlight w:val="none"/>
        </w:rPr>
        <w:t>1</w:t>
      </w:r>
      <w:r>
        <w:rPr>
          <w:rFonts w:hint="eastAsia" w:ascii="宋体" w:hAnsi="宋体" w:cs="仿宋_GB2312"/>
          <w:color w:val="auto"/>
          <w:kern w:val="0"/>
          <w:szCs w:val="21"/>
          <w:highlight w:val="none"/>
        </w:rPr>
        <w:t>.承包人须按“三管三必须原则”建立健全全员安全生产责任制和安全管理组织机构，完善安全生产保证体系，建立健全安全生产规章制度和安全生产教育培训制度，制定安全生产操作规程。</w:t>
      </w:r>
    </w:p>
    <w:p w14:paraId="4C6A9EE5">
      <w:pPr>
        <w:adjustRightInd w:val="0"/>
        <w:snapToGrid w:val="0"/>
        <w:spacing w:line="360" w:lineRule="auto"/>
        <w:ind w:firstLine="420" w:firstLineChars="200"/>
        <w:rPr>
          <w:rFonts w:ascii="宋体" w:hAnsi="宋体" w:cs="仿宋_GB2312"/>
          <w:color w:val="auto"/>
          <w:kern w:val="0"/>
          <w:szCs w:val="21"/>
          <w:highlight w:val="none"/>
        </w:rPr>
      </w:pPr>
      <w:r>
        <w:rPr>
          <w:rFonts w:hint="eastAsia" w:ascii="宋体" w:hAnsi="宋体" w:cs="仿宋_GB2312"/>
          <w:color w:val="auto"/>
          <w:kern w:val="0"/>
          <w:szCs w:val="21"/>
          <w:highlight w:val="none"/>
        </w:rPr>
        <w:t>2. 承包人须落实安全生产“一线三排”工作机制，每周工地例会由承包人项目经理汇报安全隐患整改措施、工作成果，并提交经审核签认的书面材料，同时作为例会事项列入会议纪要中。</w:t>
      </w:r>
    </w:p>
    <w:p w14:paraId="74453839">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承包人必须制定并执行《安全生产教育培训制度》《安全技术交底制度》《特种作业人员持证上岗制度》《起重机械、提升脚手架、模板等自升式架设设施由有资质单位装拆及检测、验收登记制度》《安全检查制度》《危险岗位的操作规程和书面告知制度》《办理工伤保险制度》《安全生产应急预案制度》及相关法律法规要求施工单位应当制定和执行的其他制度，并落实跟踪检查管理工作。</w:t>
      </w:r>
    </w:p>
    <w:p w14:paraId="2436932F">
      <w:pPr>
        <w:adjustRightInd w:val="0"/>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承包人应组织建立并落实安全风险分级管控和隐患排查治理双重预防工作机制，督促、检查本单位的安全生产工作，及时消除生产安全事故隐患。对施工现场定期进行风险点、危险源辨识，确定重大危险源清单，制定相应的安全防控措施及方案，并做好重点管控。</w:t>
      </w:r>
    </w:p>
    <w:p w14:paraId="53F3FF60">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5</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承包人应当建立健全并落实生产安全事故隐患排查治理制度，采取技术、管理措施，及时发现并消除事故隐患。事故隐患排查治理情况应当如实记录，并通过安全教育培训、技术交底会、信息公示栏等方式向等方式向本工程施工相关主体告知。其中，重大事故隐患排查治理情况应当及时向负有安全生产监督管理职责的部门和职工大会或者职工代表大会报告。</w:t>
      </w:r>
    </w:p>
    <w:p w14:paraId="01BF4CBB">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6</w:t>
      </w:r>
      <w:r>
        <w:rPr>
          <w:rFonts w:ascii="宋体" w:hAnsi="宋体" w:cs="仿宋_GB2312"/>
          <w:color w:val="auto"/>
          <w:kern w:val="0"/>
          <w:szCs w:val="21"/>
          <w:highlight w:val="none"/>
        </w:rPr>
        <w:t xml:space="preserve">. </w:t>
      </w:r>
      <w:r>
        <w:rPr>
          <w:rFonts w:hint="eastAsia" w:ascii="宋体" w:hAnsi="宋体"/>
          <w:color w:val="auto"/>
          <w:szCs w:val="21"/>
          <w:highlight w:val="none"/>
        </w:rPr>
        <w:t>承包人应</w:t>
      </w:r>
      <w:r>
        <w:rPr>
          <w:rFonts w:hint="eastAsia" w:ascii="宋体" w:hAnsi="宋体" w:cs="仿宋_GB2312"/>
          <w:color w:val="auto"/>
          <w:kern w:val="0"/>
          <w:szCs w:val="21"/>
          <w:highlight w:val="none"/>
        </w:rPr>
        <w:t>加大对安全生产资金、物资、技术、人员的投入保障力度，改善安全生产条件，加强安全生产标准化、信息化建设，保障工程安全及质量，提高安全管理水平，降低安全生产风险。</w:t>
      </w:r>
    </w:p>
    <w:p w14:paraId="4EF8837E">
      <w:pPr>
        <w:adjustRightInd w:val="0"/>
        <w:snapToGrid w:val="0"/>
        <w:spacing w:line="360" w:lineRule="auto"/>
        <w:ind w:left="567"/>
        <w:rPr>
          <w:rFonts w:ascii="宋体" w:hAnsi="宋体" w:cs="仿宋_GB2312"/>
          <w:b/>
          <w:bCs/>
          <w:color w:val="auto"/>
          <w:kern w:val="0"/>
          <w:szCs w:val="21"/>
          <w:highlight w:val="none"/>
        </w:rPr>
      </w:pPr>
      <w:r>
        <w:rPr>
          <w:rFonts w:hint="eastAsia" w:ascii="宋体" w:hAnsi="宋体" w:cs="仿宋_GB2312"/>
          <w:b/>
          <w:bCs/>
          <w:color w:val="auto"/>
          <w:kern w:val="0"/>
          <w:szCs w:val="21"/>
          <w:highlight w:val="none"/>
        </w:rPr>
        <w:t xml:space="preserve">三、安全生产管理组织机构 </w:t>
      </w:r>
      <w:r>
        <w:rPr>
          <w:rFonts w:ascii="宋体" w:hAnsi="宋体" w:cs="仿宋_GB2312"/>
          <w:b/>
          <w:bCs/>
          <w:color w:val="auto"/>
          <w:kern w:val="0"/>
          <w:szCs w:val="21"/>
          <w:highlight w:val="none"/>
        </w:rPr>
        <w:t xml:space="preserve">  </w:t>
      </w:r>
    </w:p>
    <w:p w14:paraId="0F898DB3">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（一）全员安全生产责任制</w:t>
      </w:r>
    </w:p>
    <w:p w14:paraId="2419F06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w:t>
      </w:r>
      <w:r>
        <w:rPr>
          <w:rFonts w:ascii="宋体" w:hAnsi="宋体"/>
          <w:color w:val="auto"/>
          <w:szCs w:val="21"/>
          <w:highlight w:val="none"/>
        </w:rPr>
        <w:t>严格</w:t>
      </w:r>
      <w:r>
        <w:rPr>
          <w:rFonts w:hint="eastAsia" w:ascii="宋体" w:hAnsi="宋体"/>
          <w:color w:val="auto"/>
          <w:szCs w:val="21"/>
          <w:highlight w:val="none"/>
        </w:rPr>
        <w:t>实行</w:t>
      </w:r>
      <w:r>
        <w:rPr>
          <w:rFonts w:ascii="宋体" w:hAnsi="宋体"/>
          <w:bCs/>
          <w:color w:val="auto"/>
          <w:szCs w:val="21"/>
          <w:highlight w:val="none"/>
        </w:rPr>
        <w:t>全员安全生产责任</w:t>
      </w:r>
      <w:r>
        <w:rPr>
          <w:rFonts w:hint="eastAsia" w:ascii="宋体" w:hAnsi="宋体"/>
          <w:bCs/>
          <w:color w:val="auto"/>
          <w:szCs w:val="21"/>
          <w:highlight w:val="none"/>
        </w:rPr>
        <w:t>制</w:t>
      </w:r>
      <w:r>
        <w:rPr>
          <w:rFonts w:ascii="宋体" w:hAnsi="宋体"/>
          <w:color w:val="auto"/>
          <w:szCs w:val="21"/>
          <w:highlight w:val="none"/>
        </w:rPr>
        <w:t>，</w:t>
      </w:r>
      <w:r>
        <w:rPr>
          <w:rFonts w:hint="eastAsia" w:ascii="宋体" w:hAnsi="宋体"/>
          <w:color w:val="auto"/>
          <w:szCs w:val="21"/>
          <w:highlight w:val="none"/>
        </w:rPr>
        <w:t>明确各岗位的责任人员、责任范围和考核标准等内容。承包人应建立相应的机制，加强对全员安全生产责任制落实情况的监督考核，保证全员安全生产责任制的落实。</w:t>
      </w:r>
    </w:p>
    <w:p w14:paraId="105C5B9B">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（二）安全生产管理机构及人员</w:t>
      </w:r>
    </w:p>
    <w:p w14:paraId="699C6E40">
      <w:pPr>
        <w:pStyle w:val="20"/>
        <w:widowControl w:val="0"/>
        <w:adjustRightInd w:val="0"/>
        <w:snapToGrid w:val="0"/>
        <w:spacing w:before="0" w:beforeAutospacing="0" w:after="0" w:afterAutospacing="0" w:line="360" w:lineRule="auto"/>
        <w:ind w:firstLine="420" w:firstLineChars="200"/>
        <w:rPr>
          <w:rFonts w:cs="仿宋_GB2312"/>
          <w:i/>
          <w:iCs/>
          <w:color w:val="auto"/>
          <w:sz w:val="21"/>
          <w:szCs w:val="21"/>
          <w:highlight w:val="none"/>
        </w:rPr>
      </w:pPr>
      <w:r>
        <w:rPr>
          <w:rFonts w:hint="eastAsia"/>
          <w:color w:val="auto"/>
          <w:sz w:val="21"/>
          <w:szCs w:val="21"/>
          <w:highlight w:val="none"/>
        </w:rPr>
        <w:t>1. 承包人对本工程安全生产负全面责任，严格履行安全生产法定及约定责任。承包人的主要负责人及各级安全生产管理责任人员应依法落实安全生产职责，确保本工程施工安全。</w:t>
      </w:r>
      <w:r>
        <w:rPr>
          <w:color w:val="auto"/>
          <w:sz w:val="21"/>
          <w:szCs w:val="21"/>
          <w:highlight w:val="none"/>
        </w:rPr>
        <w:t xml:space="preserve">  </w:t>
      </w:r>
    </w:p>
    <w:p w14:paraId="3D5DE90B">
      <w:pPr>
        <w:adjustRightInd w:val="0"/>
        <w:snapToGrid w:val="0"/>
        <w:spacing w:line="360" w:lineRule="auto"/>
        <w:rPr>
          <w:rFonts w:ascii="宋体" w:hAnsi="宋体"/>
          <w:color w:val="auto"/>
          <w:szCs w:val="21"/>
          <w:highlight w:val="none"/>
        </w:rPr>
      </w:pPr>
      <w:r>
        <w:rPr>
          <w:rFonts w:hint="eastAsia" w:ascii="宋体" w:hAnsi="宋体"/>
          <w:b/>
          <w:bCs/>
          <w:color w:val="auto"/>
          <w:szCs w:val="21"/>
          <w:highlight w:val="none"/>
        </w:rPr>
        <w:t xml:space="preserve">    2.</w:t>
      </w:r>
      <w:r>
        <w:rPr>
          <w:rFonts w:hint="eastAsia" w:ascii="宋体" w:hAnsi="宋体"/>
          <w:color w:val="auto"/>
          <w:szCs w:val="21"/>
          <w:highlight w:val="none"/>
        </w:rPr>
        <w:t>承包人安全生产管理机构</w:t>
      </w:r>
    </w:p>
    <w:p w14:paraId="4109A7F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承包人应保证</w:t>
      </w:r>
      <w:r>
        <w:rPr>
          <w:rFonts w:ascii="宋体" w:hAnsi="宋体"/>
          <w:color w:val="auto"/>
          <w:szCs w:val="21"/>
          <w:highlight w:val="none"/>
        </w:rPr>
        <w:t>设置的</w:t>
      </w:r>
      <w:r>
        <w:rPr>
          <w:rFonts w:hint="eastAsia" w:ascii="宋体" w:hAnsi="宋体"/>
          <w:bCs/>
          <w:color w:val="auto"/>
          <w:szCs w:val="21"/>
          <w:highlight w:val="none"/>
        </w:rPr>
        <w:t>安全生产管理机构人员</w:t>
      </w:r>
      <w:r>
        <w:rPr>
          <w:rFonts w:ascii="宋体" w:hAnsi="宋体"/>
          <w:color w:val="auto"/>
          <w:szCs w:val="21"/>
          <w:highlight w:val="none"/>
        </w:rPr>
        <w:t>符合</w:t>
      </w:r>
      <w:r>
        <w:rPr>
          <w:rFonts w:hint="eastAsia" w:ascii="宋体" w:hAnsi="宋体"/>
          <w:color w:val="auto"/>
          <w:szCs w:val="21"/>
          <w:highlight w:val="none"/>
        </w:rPr>
        <w:t>相关</w:t>
      </w:r>
      <w:r>
        <w:rPr>
          <w:rFonts w:ascii="宋体" w:hAnsi="宋体"/>
          <w:color w:val="auto"/>
          <w:szCs w:val="21"/>
          <w:highlight w:val="none"/>
        </w:rPr>
        <w:t>规定，</w:t>
      </w:r>
      <w:r>
        <w:rPr>
          <w:rFonts w:hint="eastAsia" w:ascii="宋体" w:hAnsi="宋体"/>
          <w:color w:val="auto"/>
          <w:szCs w:val="21"/>
          <w:highlight w:val="none"/>
        </w:rPr>
        <w:t>具体人员</w:t>
      </w:r>
      <w:r>
        <w:rPr>
          <w:rFonts w:ascii="宋体" w:hAnsi="宋体"/>
          <w:color w:val="auto"/>
          <w:szCs w:val="21"/>
          <w:highlight w:val="none"/>
        </w:rPr>
        <w:t>详见本协议附件A</w:t>
      </w:r>
      <w:r>
        <w:rPr>
          <w:rFonts w:hint="eastAsia" w:ascii="宋体" w:hAnsi="宋体"/>
          <w:color w:val="auto"/>
          <w:szCs w:val="21"/>
          <w:highlight w:val="none"/>
        </w:rPr>
        <w:t>：承包人</w:t>
      </w:r>
      <w:r>
        <w:rPr>
          <w:rFonts w:ascii="宋体" w:hAnsi="宋体"/>
          <w:color w:val="auto"/>
          <w:szCs w:val="21"/>
          <w:highlight w:val="none"/>
        </w:rPr>
        <w:t>安全生产管理机构</w:t>
      </w:r>
      <w:r>
        <w:rPr>
          <w:rFonts w:hint="eastAsia" w:ascii="宋体" w:hAnsi="宋体"/>
          <w:color w:val="auto"/>
          <w:szCs w:val="21"/>
          <w:highlight w:val="none"/>
        </w:rPr>
        <w:t>，</w:t>
      </w:r>
      <w:r>
        <w:rPr>
          <w:rFonts w:ascii="宋体" w:hAnsi="宋体"/>
          <w:color w:val="auto"/>
          <w:szCs w:val="21"/>
          <w:highlight w:val="none"/>
        </w:rPr>
        <w:t>其中</w:t>
      </w:r>
      <w:r>
        <w:rPr>
          <w:rFonts w:hint="eastAsia" w:ascii="宋体" w:hAnsi="宋体"/>
          <w:color w:val="auto"/>
          <w:szCs w:val="21"/>
          <w:highlight w:val="none"/>
        </w:rPr>
        <w:t>专职</w:t>
      </w:r>
      <w:r>
        <w:rPr>
          <w:rFonts w:ascii="宋体" w:hAnsi="宋体"/>
          <w:color w:val="auto"/>
          <w:szCs w:val="21"/>
          <w:highlight w:val="none"/>
        </w:rPr>
        <w:t>安全生产管理人员</w:t>
      </w:r>
      <w:r>
        <w:rPr>
          <w:rFonts w:hint="eastAsia" w:ascii="宋体" w:hAnsi="宋体"/>
          <w:color w:val="auto"/>
          <w:szCs w:val="21"/>
          <w:highlight w:val="none"/>
        </w:rPr>
        <w:t>必须取</w:t>
      </w:r>
      <w:r>
        <w:rPr>
          <w:rFonts w:ascii="宋体" w:hAnsi="宋体"/>
          <w:color w:val="auto"/>
          <w:szCs w:val="21"/>
          <w:highlight w:val="none"/>
        </w:rPr>
        <w:t>得</w:t>
      </w:r>
      <w:r>
        <w:rPr>
          <w:rFonts w:hint="eastAsia" w:ascii="宋体" w:hAnsi="宋体"/>
          <w:color w:val="auto"/>
          <w:szCs w:val="21"/>
          <w:highlight w:val="none"/>
        </w:rPr>
        <w:t>有关部门颁发的安全生产考核合格证书，</w:t>
      </w:r>
      <w:r>
        <w:rPr>
          <w:rFonts w:ascii="宋体" w:hAnsi="宋体"/>
          <w:color w:val="auto"/>
          <w:szCs w:val="21"/>
          <w:highlight w:val="none"/>
        </w:rPr>
        <w:t>且配备人数</w:t>
      </w:r>
      <w:r>
        <w:rPr>
          <w:rFonts w:hint="eastAsia" w:ascii="宋体" w:hAnsi="宋体"/>
          <w:color w:val="auto"/>
          <w:szCs w:val="21"/>
          <w:highlight w:val="none"/>
        </w:rPr>
        <w:t>须</w:t>
      </w:r>
      <w:r>
        <w:rPr>
          <w:rFonts w:ascii="宋体" w:hAnsi="宋体"/>
          <w:color w:val="auto"/>
          <w:szCs w:val="21"/>
          <w:highlight w:val="none"/>
        </w:rPr>
        <w:t>满足</w:t>
      </w:r>
      <w:r>
        <w:rPr>
          <w:rFonts w:hint="eastAsia" w:ascii="宋体" w:hAnsi="宋体"/>
          <w:color w:val="auto"/>
          <w:szCs w:val="21"/>
          <w:highlight w:val="none"/>
        </w:rPr>
        <w:t>法律法规及</w:t>
      </w:r>
      <w:r>
        <w:rPr>
          <w:rFonts w:ascii="宋体" w:hAnsi="宋体"/>
          <w:color w:val="auto"/>
          <w:szCs w:val="21"/>
          <w:highlight w:val="none"/>
        </w:rPr>
        <w:t>政府相关</w:t>
      </w:r>
      <w:r>
        <w:rPr>
          <w:rFonts w:hint="eastAsia" w:ascii="宋体" w:hAnsi="宋体"/>
          <w:color w:val="auto"/>
          <w:szCs w:val="21"/>
          <w:highlight w:val="none"/>
        </w:rPr>
        <w:t>文件</w:t>
      </w:r>
      <w:r>
        <w:rPr>
          <w:rFonts w:ascii="宋体" w:hAnsi="宋体"/>
          <w:color w:val="auto"/>
          <w:szCs w:val="21"/>
          <w:highlight w:val="none"/>
        </w:rPr>
        <w:t>要求</w:t>
      </w:r>
      <w:r>
        <w:rPr>
          <w:rFonts w:hint="eastAsia" w:ascii="宋体" w:hAnsi="宋体"/>
          <w:color w:val="auto"/>
          <w:szCs w:val="21"/>
          <w:highlight w:val="none"/>
        </w:rPr>
        <w:t>，如人员名单有更新的，承包人应该自更新之日起</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个工作日向发包人报备。</w:t>
      </w:r>
    </w:p>
    <w:p w14:paraId="2D395B90">
      <w:pPr>
        <w:adjustRightInd w:val="0"/>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3.本工程安全生产领导小组</w:t>
      </w:r>
    </w:p>
    <w:p w14:paraId="4ACCD7A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承包人应按法律法规为本工程组建安全生产领导小组，承包人组建的本工程</w:t>
      </w:r>
      <w:r>
        <w:rPr>
          <w:rFonts w:hint="eastAsia" w:ascii="宋体" w:hAnsi="宋体"/>
          <w:bCs/>
          <w:color w:val="auto"/>
          <w:szCs w:val="21"/>
          <w:highlight w:val="none"/>
        </w:rPr>
        <w:t>安全生产领导小组</w:t>
      </w:r>
      <w:r>
        <w:rPr>
          <w:rFonts w:hint="eastAsia" w:ascii="宋体" w:hAnsi="宋体"/>
          <w:color w:val="auto"/>
          <w:szCs w:val="21"/>
          <w:highlight w:val="none"/>
        </w:rPr>
        <w:t>成员应包括承包人的项目经理、技术负责人和专职安全生产管理人员等。本工程安全生产领导小组人员具体详见本协议附件</w:t>
      </w:r>
      <w:r>
        <w:rPr>
          <w:rFonts w:ascii="宋体" w:hAnsi="宋体"/>
          <w:color w:val="auto"/>
          <w:szCs w:val="21"/>
          <w:highlight w:val="none"/>
        </w:rPr>
        <w:t>B</w:t>
      </w:r>
      <w:r>
        <w:rPr>
          <w:rFonts w:hint="eastAsia" w:ascii="宋体" w:hAnsi="宋体"/>
          <w:color w:val="auto"/>
          <w:szCs w:val="21"/>
          <w:highlight w:val="none"/>
        </w:rPr>
        <w:t>：本工程安全生产领导小组人员，人员名单有更新的，承包人须报</w:t>
      </w:r>
      <w:r>
        <w:rPr>
          <w:rFonts w:hint="eastAsia" w:ascii="宋体" w:hAnsi="宋体"/>
          <w:color w:val="auto"/>
          <w:szCs w:val="21"/>
          <w:highlight w:val="none"/>
          <w:lang w:eastAsia="zh-CN"/>
        </w:rPr>
        <w:t>甲方</w:t>
      </w:r>
      <w:r>
        <w:rPr>
          <w:rFonts w:hint="eastAsia" w:ascii="宋体" w:hAnsi="宋体"/>
          <w:color w:val="auto"/>
          <w:szCs w:val="21"/>
          <w:highlight w:val="none"/>
        </w:rPr>
        <w:t>审核，经</w:t>
      </w:r>
      <w:r>
        <w:rPr>
          <w:rFonts w:hint="eastAsia" w:ascii="宋体" w:hAnsi="宋体"/>
          <w:color w:val="auto"/>
          <w:szCs w:val="21"/>
          <w:highlight w:val="none"/>
          <w:lang w:eastAsia="zh-CN"/>
        </w:rPr>
        <w:t>甲方</w:t>
      </w:r>
      <w:r>
        <w:rPr>
          <w:rFonts w:hint="eastAsia" w:ascii="宋体" w:hAnsi="宋体"/>
          <w:color w:val="auto"/>
          <w:szCs w:val="21"/>
          <w:highlight w:val="none"/>
        </w:rPr>
        <w:t>审核合格后，自更新之日起</w:t>
      </w:r>
      <w:r>
        <w:rPr>
          <w:rFonts w:hint="eastAsia" w:ascii="宋体" w:hAnsi="宋体"/>
          <w:color w:val="auto"/>
          <w:szCs w:val="21"/>
          <w:highlight w:val="none"/>
          <w:u w:val="single"/>
        </w:rPr>
        <w:t xml:space="preserve"> </w:t>
      </w:r>
      <w:r>
        <w:rPr>
          <w:rFonts w:ascii="宋体" w:hAnsi="宋体"/>
          <w:color w:val="auto"/>
          <w:szCs w:val="21"/>
          <w:highlight w:val="none"/>
          <w:u w:val="single"/>
        </w:rPr>
        <w:t>3</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个工作日向发包人报备。本工程安全生产领导小组的主要职责为：</w:t>
      </w:r>
    </w:p>
    <w:p w14:paraId="05DEAF6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（1）贯彻落实国家有关安全生产法律法规和标准；</w:t>
      </w:r>
    </w:p>
    <w:p w14:paraId="65122E4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（2）组织制定本工程安全生产管理制度并监督实施；</w:t>
      </w:r>
    </w:p>
    <w:p w14:paraId="1DF874B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（3）编制本工程生产安全事故应急救援预案并组织演练；</w:t>
      </w:r>
    </w:p>
    <w:p w14:paraId="4447258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（4）保证本工程安全生产费用的有效使用；</w:t>
      </w:r>
    </w:p>
    <w:p w14:paraId="7802B543">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（5）组织编制危险性较大工程安全专项施工方案；</w:t>
      </w:r>
    </w:p>
    <w:p w14:paraId="604BD10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（6）组织开展本工程危险源辨识和评估；</w:t>
      </w:r>
    </w:p>
    <w:p w14:paraId="0975AAA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（7）开展本工程安全教育培训；</w:t>
      </w:r>
    </w:p>
    <w:p w14:paraId="6F6A1BA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（8）组织实施本工程安全检查和隐患排查、提出改进建议；</w:t>
      </w:r>
    </w:p>
    <w:p w14:paraId="7F1F595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（9）建立本工程安全生产管理档案；</w:t>
      </w:r>
    </w:p>
    <w:p w14:paraId="7BE66C4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（10）及时、如实报告安全生产事故；</w:t>
      </w:r>
    </w:p>
    <w:p w14:paraId="5C96E2E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（11）建立本工程全员安全生产责任制的各岗位责任人员、责任范围和考核标准等内容；</w:t>
      </w:r>
    </w:p>
    <w:p w14:paraId="3378D43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（12）应由承包人负责履行的其他安全生产职责。</w:t>
      </w:r>
    </w:p>
    <w:p w14:paraId="6E86FCFF">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4. 本工程专职安全生产管理人员</w:t>
      </w:r>
    </w:p>
    <w:p w14:paraId="3EAF4722">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w:t>
      </w:r>
      <w:r>
        <w:rPr>
          <w:rFonts w:ascii="宋体" w:hAnsi="宋体"/>
          <w:color w:val="auto"/>
          <w:szCs w:val="21"/>
          <w:highlight w:val="none"/>
        </w:rPr>
        <w:t>按照建筑面积</w:t>
      </w:r>
      <w:r>
        <w:rPr>
          <w:rFonts w:hint="eastAsia" w:ascii="宋体" w:hAnsi="宋体"/>
          <w:color w:val="auto"/>
          <w:szCs w:val="21"/>
          <w:highlight w:val="none"/>
        </w:rPr>
        <w:t>及</w:t>
      </w:r>
      <w:r>
        <w:rPr>
          <w:rFonts w:ascii="宋体" w:hAnsi="宋体"/>
          <w:color w:val="auto"/>
          <w:szCs w:val="21"/>
          <w:highlight w:val="none"/>
        </w:rPr>
        <w:t>施工技术、工艺、材料、致害因</w:t>
      </w:r>
      <w:r>
        <w:rPr>
          <w:rFonts w:hint="eastAsia" w:ascii="宋体" w:hAnsi="宋体"/>
          <w:color w:val="auto"/>
          <w:szCs w:val="21"/>
          <w:highlight w:val="none"/>
        </w:rPr>
        <w:t>素</w:t>
      </w:r>
      <w:r>
        <w:rPr>
          <w:rFonts w:ascii="宋体" w:hAnsi="宋体"/>
          <w:color w:val="auto"/>
          <w:szCs w:val="21"/>
          <w:highlight w:val="none"/>
        </w:rPr>
        <w:t>、施工作业难度</w:t>
      </w:r>
      <w:r>
        <w:rPr>
          <w:rFonts w:hint="eastAsia" w:ascii="宋体" w:hAnsi="宋体"/>
          <w:color w:val="auto"/>
          <w:szCs w:val="21"/>
          <w:highlight w:val="none"/>
        </w:rPr>
        <w:t>、法律法规及本工程施工合同的相关约定足额</w:t>
      </w:r>
      <w:r>
        <w:rPr>
          <w:rFonts w:ascii="宋体" w:hAnsi="宋体"/>
          <w:color w:val="auto"/>
          <w:szCs w:val="21"/>
          <w:highlight w:val="none"/>
        </w:rPr>
        <w:t>配备相应</w:t>
      </w:r>
      <w:r>
        <w:rPr>
          <w:rFonts w:hint="eastAsia" w:ascii="宋体" w:hAnsi="宋体"/>
          <w:color w:val="auto"/>
          <w:szCs w:val="21"/>
          <w:highlight w:val="none"/>
        </w:rPr>
        <w:t>的专职安全生产管理人员，所配备的专职安全管理人员必须取得相应资质和证书。本工程专职安全生产管理人员应当每</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日向承包人安全生产管理机构报告一次本工程安全生产管理情况，特殊情况应立即电话报告。专职安全生产管理人员负责对安全生产进行现场监督检查，发现安全事故隐患时应当立即向项目经理和本工程安全生产管理机构报告，对违章指挥、违章操作的行为应当立即制止。</w:t>
      </w:r>
    </w:p>
    <w:p w14:paraId="6CE95CC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承包人</w:t>
      </w:r>
      <w:r>
        <w:rPr>
          <w:rFonts w:hint="eastAsia" w:ascii="宋体" w:hAnsi="宋体"/>
          <w:color w:val="auto"/>
          <w:szCs w:val="21"/>
          <w:highlight w:val="none"/>
        </w:rPr>
        <w:t>应</w:t>
      </w:r>
      <w:r>
        <w:rPr>
          <w:rFonts w:ascii="宋体" w:hAnsi="宋体"/>
          <w:color w:val="auto"/>
          <w:szCs w:val="21"/>
          <w:highlight w:val="none"/>
        </w:rPr>
        <w:t>保证</w:t>
      </w:r>
      <w:r>
        <w:rPr>
          <w:rFonts w:hint="eastAsia" w:ascii="宋体" w:hAnsi="宋体"/>
          <w:color w:val="auto"/>
          <w:szCs w:val="21"/>
          <w:highlight w:val="none"/>
        </w:rPr>
        <w:t>按法律法规的相关规定足额配备符合资质要求的持证</w:t>
      </w:r>
      <w:r>
        <w:rPr>
          <w:rFonts w:ascii="宋体" w:hAnsi="宋体"/>
          <w:color w:val="auto"/>
          <w:szCs w:val="21"/>
          <w:highlight w:val="none"/>
        </w:rPr>
        <w:t>专职安全生产管理人员</w:t>
      </w:r>
      <w:r>
        <w:rPr>
          <w:rFonts w:hint="eastAsia" w:ascii="宋体" w:hAnsi="宋体"/>
          <w:color w:val="auto"/>
          <w:szCs w:val="21"/>
          <w:highlight w:val="none"/>
        </w:rPr>
        <w:t>，并明确本工程相应安全生产职责，确保工程施工安全。</w:t>
      </w:r>
    </w:p>
    <w:p w14:paraId="144A60D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5．本工程消防安全责任人</w:t>
      </w:r>
    </w:p>
    <w:p w14:paraId="2ACB44D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承包人应组织建立健全本工程</w:t>
      </w:r>
      <w:r>
        <w:rPr>
          <w:rFonts w:hint="eastAsia" w:ascii="宋体" w:hAnsi="宋体"/>
          <w:bCs/>
          <w:color w:val="auto"/>
          <w:szCs w:val="21"/>
          <w:highlight w:val="none"/>
        </w:rPr>
        <w:t>消防安全责任制度</w:t>
      </w:r>
      <w:r>
        <w:rPr>
          <w:rFonts w:hint="eastAsia" w:ascii="宋体" w:hAnsi="宋体"/>
          <w:color w:val="auto"/>
          <w:szCs w:val="21"/>
          <w:highlight w:val="none"/>
        </w:rPr>
        <w:t>，并确定消防安全责任人为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（联系方式：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），建立健全各项消防安全管理制度和操作规程。承包人应按规范要求在施工现场及生产临建区域设置消防通道、临时消防水源，配备齐全有效的消防设施及器材，并在施工现场入口处设置明显标志。</w:t>
      </w:r>
    </w:p>
    <w:p w14:paraId="1E319187">
      <w:pPr>
        <w:adjustRightInd w:val="0"/>
        <w:snapToGrid w:val="0"/>
        <w:spacing w:line="360" w:lineRule="auto"/>
        <w:ind w:left="420"/>
        <w:rPr>
          <w:rFonts w:ascii="宋体" w:hAnsi="宋体"/>
          <w:color w:val="auto"/>
          <w:szCs w:val="21"/>
          <w:highlight w:val="none"/>
        </w:rPr>
      </w:pPr>
      <w:r>
        <w:rPr>
          <w:rFonts w:hint="eastAsia" w:ascii="宋体" w:hAnsi="宋体"/>
          <w:color w:val="auto"/>
          <w:szCs w:val="21"/>
          <w:highlight w:val="none"/>
        </w:rPr>
        <w:t>6. 施工作业班组兼职安全巡查员</w:t>
      </w:r>
    </w:p>
    <w:p w14:paraId="6B72F1D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承包人应要求施工作业班组设置兼职安全巡查员，对本班组的作业场所进行安全监督检查，及时掌握施工作业场所的安全生产情况。</w:t>
      </w:r>
    </w:p>
    <w:p w14:paraId="6178CDC7">
      <w:pPr>
        <w:adjustRightInd w:val="0"/>
        <w:snapToGrid w:val="0"/>
        <w:spacing w:line="360" w:lineRule="auto"/>
        <w:ind w:firstLine="422" w:firstLineChars="200"/>
        <w:rPr>
          <w:rFonts w:ascii="宋体" w:hAnsi="宋体" w:cs="仿宋_GB2312"/>
          <w:color w:val="auto"/>
          <w:kern w:val="0"/>
          <w:szCs w:val="21"/>
          <w:highlight w:val="none"/>
        </w:rPr>
      </w:pPr>
      <w:r>
        <w:rPr>
          <w:rFonts w:hint="eastAsia" w:cs="仿宋_GB2312"/>
          <w:b/>
          <w:bCs/>
          <w:color w:val="auto"/>
          <w:szCs w:val="21"/>
          <w:highlight w:val="none"/>
          <w:lang w:eastAsia="zh-CN"/>
        </w:rPr>
        <w:t>四</w:t>
      </w:r>
      <w:r>
        <w:rPr>
          <w:rFonts w:hint="eastAsia" w:cs="仿宋_GB2312"/>
          <w:b/>
          <w:bCs/>
          <w:color w:val="auto"/>
          <w:szCs w:val="21"/>
          <w:highlight w:val="none"/>
        </w:rPr>
        <w:t>、安全生产</w:t>
      </w:r>
      <w:r>
        <w:rPr>
          <w:rFonts w:cs="仿宋_GB2312"/>
          <w:b/>
          <w:bCs/>
          <w:color w:val="auto"/>
          <w:szCs w:val="21"/>
          <w:highlight w:val="none"/>
        </w:rPr>
        <w:t>文明</w:t>
      </w:r>
      <w:r>
        <w:rPr>
          <w:rFonts w:hint="eastAsia" w:cs="仿宋_GB2312"/>
          <w:b/>
          <w:bCs/>
          <w:color w:val="auto"/>
          <w:szCs w:val="21"/>
          <w:highlight w:val="none"/>
        </w:rPr>
        <w:t>施工内容</w:t>
      </w:r>
    </w:p>
    <w:p w14:paraId="69954015">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1.承包人应遵守《中华人民共和国安全生产法》《建设工程安全生产管理条例》《建筑施工安全检查标准》《广东省住房和城乡建设厅关于房屋市政工程危险性较大的分部分项工程安全管理的实施细则》等国家、广东省、</w:t>
      </w:r>
      <w:r>
        <w:rPr>
          <w:rFonts w:hint="eastAsia" w:ascii="宋体" w:hAnsi="宋体" w:cs="仿宋_GB2312"/>
          <w:color w:val="auto"/>
          <w:kern w:val="0"/>
          <w:szCs w:val="21"/>
          <w:highlight w:val="none"/>
          <w:lang w:eastAsia="zh-CN"/>
        </w:rPr>
        <w:t>广州市</w:t>
      </w:r>
      <w:r>
        <w:rPr>
          <w:rFonts w:hint="eastAsia" w:ascii="宋体" w:hAnsi="宋体" w:cs="仿宋_GB2312"/>
          <w:color w:val="auto"/>
          <w:kern w:val="0"/>
          <w:szCs w:val="21"/>
          <w:highlight w:val="none"/>
        </w:rPr>
        <w:t>及行业颁布实施的相关规定以及</w:t>
      </w:r>
      <w:r>
        <w:rPr>
          <w:rFonts w:hint="eastAsia" w:ascii="宋体" w:hAnsi="宋体"/>
          <w:color w:val="auto"/>
          <w:szCs w:val="21"/>
          <w:highlight w:val="none"/>
        </w:rPr>
        <w:t>招标文件、施工合同、</w:t>
      </w:r>
      <w:r>
        <w:rPr>
          <w:rFonts w:hint="eastAsia" w:ascii="宋体" w:hAnsi="宋体" w:cs="仿宋_GB2312"/>
          <w:color w:val="auto"/>
          <w:kern w:val="0"/>
          <w:szCs w:val="21"/>
          <w:highlight w:val="none"/>
        </w:rPr>
        <w:t>发包人相关管理制度中的其他要求。</w:t>
      </w:r>
    </w:p>
    <w:p w14:paraId="7C4F8BB2">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2.本工程安全生产管理应贯彻“安全第一，预防为主，综合治理”的方针，并根据本工程的规模、性质、特点予以实施。</w:t>
      </w:r>
    </w:p>
    <w:p w14:paraId="1BF0491F">
      <w:pPr>
        <w:adjustRightInd w:val="0"/>
        <w:snapToGrid w:val="0"/>
        <w:spacing w:line="360" w:lineRule="auto"/>
        <w:ind w:firstLine="42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3.承包人须具备承建本工程的安全生产许可证书并确保在施工全过程中具备承建本工程的相关资质。承包人的资质、施工现场及本工程人员配备等情况应满足发包人申领施工许可证所需的安全前提审查条件。</w:t>
      </w:r>
    </w:p>
    <w:p w14:paraId="763F921E">
      <w:pPr>
        <w:adjustRightInd w:val="0"/>
        <w:snapToGrid w:val="0"/>
        <w:spacing w:line="360" w:lineRule="auto"/>
        <w:ind w:firstLine="420"/>
        <w:jc w:val="left"/>
        <w:rPr>
          <w:rFonts w:ascii="宋体" w:hAnsi="宋体" w:cs="仿宋_GB2312"/>
          <w:color w:val="auto"/>
          <w:kern w:val="0"/>
          <w:szCs w:val="21"/>
          <w:highlight w:val="none"/>
        </w:rPr>
      </w:pPr>
      <w:r>
        <w:rPr>
          <w:rFonts w:ascii="宋体" w:hAnsi="宋体" w:cs="仿宋_GB2312"/>
          <w:color w:val="auto"/>
          <w:kern w:val="0"/>
          <w:szCs w:val="21"/>
          <w:highlight w:val="none"/>
        </w:rPr>
        <w:t>4.</w:t>
      </w:r>
      <w:r>
        <w:rPr>
          <w:rFonts w:hint="eastAsia" w:ascii="宋体" w:hAnsi="宋体" w:cs="仿宋_GB2312"/>
          <w:color w:val="auto"/>
          <w:kern w:val="0"/>
          <w:szCs w:val="21"/>
          <w:highlight w:val="none"/>
        </w:rPr>
        <w:t>承包人的项目经理必须在岗带班作业。承包人要全面落实岗前安全技术交底，作业人员上岗前必须完善交底人与被交底人签字手续后方可上岗作业。</w:t>
      </w:r>
    </w:p>
    <w:p w14:paraId="23A2CADF">
      <w:pPr>
        <w:adjustRightInd w:val="0"/>
        <w:snapToGrid w:val="0"/>
        <w:spacing w:line="360" w:lineRule="auto"/>
        <w:ind w:firstLine="420"/>
        <w:jc w:val="left"/>
        <w:rPr>
          <w:rFonts w:ascii="宋体" w:hAnsi="宋体" w:cs="仿宋_GB2312"/>
          <w:color w:val="auto"/>
          <w:kern w:val="0"/>
          <w:szCs w:val="21"/>
          <w:highlight w:val="none"/>
        </w:rPr>
      </w:pPr>
      <w:r>
        <w:rPr>
          <w:rFonts w:ascii="宋体" w:hAnsi="宋体" w:cs="仿宋_GB2312"/>
          <w:color w:val="auto"/>
          <w:kern w:val="0"/>
          <w:szCs w:val="21"/>
          <w:highlight w:val="none"/>
        </w:rPr>
        <w:t>5.</w:t>
      </w:r>
      <w:r>
        <w:rPr>
          <w:rFonts w:hint="eastAsia" w:ascii="宋体" w:hAnsi="宋体" w:cs="仿宋_GB2312"/>
          <w:color w:val="auto"/>
          <w:kern w:val="0"/>
          <w:szCs w:val="21"/>
          <w:highlight w:val="none"/>
        </w:rPr>
        <w:t>承包人应对现场施工人员实施“用工实名管理”制度，</w:t>
      </w:r>
      <w:r>
        <w:rPr>
          <w:rFonts w:hint="eastAsia"/>
          <w:color w:val="auto"/>
          <w:highlight w:val="none"/>
        </w:rPr>
        <w:t>不得雇用在逃或有犯罪嫌疑人员，并须</w:t>
      </w:r>
      <w:r>
        <w:rPr>
          <w:rFonts w:hint="eastAsia" w:ascii="宋体" w:hAnsi="宋体" w:cs="仿宋_GB2312"/>
          <w:color w:val="auto"/>
          <w:kern w:val="0"/>
          <w:szCs w:val="21"/>
          <w:highlight w:val="none"/>
        </w:rPr>
        <w:t>按规定为施工人员统一购买意外伤害保险，保险期限自本工程开工之日起至竣工验收合格之日止，费用由承包人承担。</w:t>
      </w:r>
    </w:p>
    <w:p w14:paraId="41C27970">
      <w:pPr>
        <w:adjustRightInd w:val="0"/>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承包人须根据法律法规规定及政府政策要求及时为本工程足额购买安全生产责任保险。保险期限自本工程开工之日起至</w:t>
      </w:r>
      <w:r>
        <w:rPr>
          <w:rFonts w:hint="eastAsia" w:ascii="宋体" w:hAnsi="宋体" w:cs="仿宋_GB2312"/>
          <w:color w:val="auto"/>
          <w:kern w:val="0"/>
          <w:szCs w:val="21"/>
          <w:highlight w:val="none"/>
        </w:rPr>
        <w:t>竣工验收合格</w:t>
      </w:r>
      <w:r>
        <w:rPr>
          <w:rFonts w:hint="eastAsia" w:ascii="宋体" w:hAnsi="宋体"/>
          <w:color w:val="auto"/>
          <w:szCs w:val="21"/>
          <w:highlight w:val="none"/>
        </w:rPr>
        <w:t>之日止，费用由承包人承担。</w:t>
      </w:r>
    </w:p>
    <w:p w14:paraId="04B6E38A">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承包人应制定完整的施工组织设计，承包人的项目管理人员要认真吃透施工组织设计，在施工组织设计审核完成、批准实施后，与</w:t>
      </w:r>
      <w:r>
        <w:rPr>
          <w:rFonts w:hint="eastAsia" w:ascii="宋体" w:hAnsi="宋体"/>
          <w:color w:val="auto"/>
          <w:szCs w:val="21"/>
          <w:highlight w:val="none"/>
          <w:lang w:eastAsia="zh-CN"/>
        </w:rPr>
        <w:t>甲方</w:t>
      </w:r>
      <w:r>
        <w:rPr>
          <w:rFonts w:hint="eastAsia" w:ascii="宋体" w:hAnsi="宋体"/>
          <w:color w:val="auto"/>
          <w:szCs w:val="21"/>
          <w:highlight w:val="none"/>
        </w:rPr>
        <w:t>等各方进行交底，将其作为日常管理依据，严格按照计划强化现场管理，监督施工实施。</w:t>
      </w:r>
    </w:p>
    <w:p w14:paraId="10BEE4B5">
      <w:pPr>
        <w:adjustRightInd w:val="0"/>
        <w:snapToGrid w:val="0"/>
        <w:spacing w:line="360" w:lineRule="auto"/>
        <w:ind w:firstLine="420" w:firstLineChars="200"/>
        <w:jc w:val="left"/>
        <w:rPr>
          <w:rFonts w:ascii="宋体" w:hAnsi="宋体" w:cs="仿宋_GB2312"/>
          <w:color w:val="auto"/>
          <w:kern w:val="0"/>
          <w:szCs w:val="21"/>
          <w:highlight w:val="none"/>
        </w:rPr>
      </w:pPr>
      <w:r>
        <w:rPr>
          <w:rFonts w:ascii="宋体" w:hAnsi="宋体" w:cs="仿宋_GB2312"/>
          <w:color w:val="auto"/>
          <w:kern w:val="0"/>
          <w:szCs w:val="21"/>
          <w:highlight w:val="none"/>
        </w:rPr>
        <w:t>8.</w:t>
      </w:r>
      <w:r>
        <w:rPr>
          <w:rFonts w:hint="eastAsia" w:ascii="宋体" w:hAnsi="宋体" w:cs="仿宋_GB2312"/>
          <w:color w:val="auto"/>
          <w:kern w:val="0"/>
          <w:szCs w:val="21"/>
          <w:highlight w:val="none"/>
        </w:rPr>
        <w:t>承包人应当在施工组织设计中编制安全技术措施和施工现场临时用电方案，对危险性较大的分部分项工程按规定编制专项施工方案，并附具安全验算结果，经承包人技术负责人（须加盖承包人公章）、</w:t>
      </w:r>
      <w:r>
        <w:rPr>
          <w:rFonts w:hint="eastAsia" w:ascii="宋体" w:hAnsi="宋体" w:cs="仿宋_GB2312"/>
          <w:color w:val="auto"/>
          <w:kern w:val="0"/>
          <w:szCs w:val="21"/>
          <w:highlight w:val="none"/>
          <w:lang w:eastAsia="zh-CN"/>
        </w:rPr>
        <w:t>甲方</w:t>
      </w:r>
      <w:r>
        <w:rPr>
          <w:rFonts w:hint="eastAsia" w:ascii="宋体" w:hAnsi="宋体" w:cs="仿宋_GB2312"/>
          <w:color w:val="auto"/>
          <w:kern w:val="0"/>
          <w:szCs w:val="21"/>
          <w:highlight w:val="none"/>
        </w:rPr>
        <w:t xml:space="preserve">审核签字（须加盖执业印章）后实施，由专职安全生产管理人员进行现场监督。 </w:t>
      </w:r>
    </w:p>
    <w:p w14:paraId="49A384C4">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对超过一定规模的危险性较大的分部分项工程的专项施工方案，承包人还应按规定组织专家论证会对方案进行论证。专家论证前专项施工方案应当通过承包人审核和</w:t>
      </w:r>
      <w:r>
        <w:rPr>
          <w:rFonts w:hint="eastAsia" w:ascii="宋体" w:hAnsi="宋体" w:cs="仿宋_GB2312"/>
          <w:color w:val="auto"/>
          <w:kern w:val="0"/>
          <w:szCs w:val="21"/>
          <w:highlight w:val="none"/>
          <w:lang w:eastAsia="zh-CN"/>
        </w:rPr>
        <w:t>甲方</w:t>
      </w:r>
      <w:r>
        <w:rPr>
          <w:rFonts w:hint="eastAsia" w:ascii="宋体" w:hAnsi="宋体" w:cs="仿宋_GB2312"/>
          <w:color w:val="auto"/>
          <w:kern w:val="0"/>
          <w:szCs w:val="21"/>
          <w:highlight w:val="none"/>
        </w:rPr>
        <w:t>审查。如深基坑工程、模板工程及支撑体系、起重吊装及安装拆卸工程、脚手架工程、拆除、暗挖工程等。</w:t>
      </w:r>
    </w:p>
    <w:p w14:paraId="6E033C3A">
      <w:pPr>
        <w:adjustRightInd w:val="0"/>
        <w:snapToGrid w:val="0"/>
        <w:spacing w:line="360" w:lineRule="auto"/>
        <w:ind w:firstLine="420" w:firstLineChars="200"/>
        <w:jc w:val="left"/>
        <w:rPr>
          <w:rFonts w:ascii="宋体" w:hAnsi="宋体" w:cs="仿宋_GB2312"/>
          <w:color w:val="auto"/>
          <w:kern w:val="0"/>
          <w:szCs w:val="21"/>
          <w:highlight w:val="none"/>
        </w:rPr>
      </w:pPr>
      <w:r>
        <w:rPr>
          <w:rFonts w:ascii="宋体" w:hAnsi="宋体" w:cs="仿宋_GB2312"/>
          <w:color w:val="auto"/>
          <w:kern w:val="0"/>
          <w:szCs w:val="21"/>
          <w:highlight w:val="none"/>
        </w:rPr>
        <w:t>9.</w:t>
      </w:r>
      <w:r>
        <w:rPr>
          <w:rFonts w:hint="eastAsia" w:ascii="宋体" w:hAnsi="宋体" w:cs="仿宋_GB2312"/>
          <w:color w:val="auto"/>
          <w:kern w:val="0"/>
          <w:szCs w:val="21"/>
          <w:highlight w:val="none"/>
        </w:rPr>
        <w:t>承包人施工前必须进行安全风险评估。未探明水文地质情况的不得施工；未编制并执行危大工程专项方案的不得施工；未对涉水在建地下工程开展超前钻地质钻探的不得施工；未监控施工过程深土变形、地下水等关键指标的不得施工；未在隧道联络通道设置应急防淹门的不得施工；未制定防透水防坍塌专项应急预案并开展演练的不得施工。</w:t>
      </w:r>
    </w:p>
    <w:p w14:paraId="0FC8F092">
      <w:pPr>
        <w:adjustRightInd w:val="0"/>
        <w:snapToGrid w:val="0"/>
        <w:spacing w:line="360" w:lineRule="auto"/>
        <w:ind w:firstLine="420" w:firstLineChars="200"/>
        <w:jc w:val="left"/>
        <w:rPr>
          <w:rFonts w:ascii="宋体" w:hAnsi="宋体" w:cs="仿宋_GB2312"/>
          <w:color w:val="auto"/>
          <w:kern w:val="0"/>
          <w:szCs w:val="21"/>
          <w:highlight w:val="none"/>
        </w:rPr>
      </w:pPr>
      <w:r>
        <w:rPr>
          <w:rFonts w:ascii="宋体" w:hAnsi="宋体" w:cs="仿宋_GB2312"/>
          <w:color w:val="auto"/>
          <w:kern w:val="0"/>
          <w:szCs w:val="21"/>
          <w:highlight w:val="none"/>
        </w:rPr>
        <w:t>10</w:t>
      </w:r>
      <w:r>
        <w:rPr>
          <w:rFonts w:hint="eastAsia" w:ascii="宋体" w:hAnsi="宋体" w:cs="仿宋_GB2312"/>
          <w:color w:val="auto"/>
          <w:kern w:val="0"/>
          <w:szCs w:val="21"/>
          <w:highlight w:val="none"/>
        </w:rPr>
        <w:t>.施工过程中发包人及其委托人有权随时进行检查、制止违章作业、对违反安全规定的行为进行处罚或责令施工队伍停工整顿，承包人应予以配合。</w:t>
      </w:r>
    </w:p>
    <w:p w14:paraId="0ED9B5CC">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.承包人未按要求落实安全文明施工措施的，应</w:t>
      </w:r>
      <w:r>
        <w:rPr>
          <w:rFonts w:ascii="宋体" w:hAnsi="宋体"/>
          <w:color w:val="auto"/>
          <w:szCs w:val="21"/>
          <w:highlight w:val="none"/>
        </w:rPr>
        <w:t>按</w:t>
      </w:r>
      <w:r>
        <w:rPr>
          <w:rFonts w:hint="eastAsia" w:ascii="宋体" w:hAnsi="宋体"/>
          <w:color w:val="auto"/>
          <w:szCs w:val="21"/>
          <w:highlight w:val="none"/>
        </w:rPr>
        <w:t>发包</w:t>
      </w:r>
      <w:r>
        <w:rPr>
          <w:rFonts w:ascii="宋体" w:hAnsi="宋体"/>
          <w:color w:val="auto"/>
          <w:szCs w:val="21"/>
          <w:highlight w:val="none"/>
        </w:rPr>
        <w:t>人或</w:t>
      </w:r>
      <w:r>
        <w:rPr>
          <w:rFonts w:hint="eastAsia" w:ascii="宋体" w:hAnsi="宋体"/>
          <w:color w:val="auto"/>
          <w:szCs w:val="21"/>
          <w:highlight w:val="none"/>
          <w:lang w:eastAsia="zh-CN"/>
        </w:rPr>
        <w:t>甲方</w:t>
      </w:r>
      <w:r>
        <w:rPr>
          <w:rFonts w:hint="eastAsia" w:ascii="宋体" w:hAnsi="宋体"/>
          <w:color w:val="auto"/>
          <w:szCs w:val="21"/>
          <w:highlight w:val="none"/>
        </w:rPr>
        <w:t>要求的</w:t>
      </w:r>
      <w:r>
        <w:rPr>
          <w:rFonts w:ascii="宋体" w:hAnsi="宋体"/>
          <w:color w:val="auto"/>
          <w:szCs w:val="21"/>
          <w:highlight w:val="none"/>
        </w:rPr>
        <w:t>期限进行</w:t>
      </w:r>
      <w:r>
        <w:rPr>
          <w:rFonts w:hint="eastAsia" w:ascii="宋体" w:hAnsi="宋体"/>
          <w:color w:val="auto"/>
          <w:szCs w:val="21"/>
          <w:highlight w:val="none"/>
        </w:rPr>
        <w:t>整改。承包人在要求期限内未完成整改的，发包人</w:t>
      </w:r>
      <w:r>
        <w:rPr>
          <w:rFonts w:ascii="宋体" w:hAnsi="宋体"/>
          <w:color w:val="auto"/>
          <w:szCs w:val="21"/>
          <w:highlight w:val="none"/>
        </w:rPr>
        <w:t>或</w:t>
      </w:r>
      <w:r>
        <w:rPr>
          <w:rFonts w:hint="eastAsia" w:ascii="宋体" w:hAnsi="宋体"/>
          <w:color w:val="auto"/>
          <w:szCs w:val="21"/>
          <w:highlight w:val="none"/>
          <w:lang w:eastAsia="zh-CN"/>
        </w:rPr>
        <w:t>甲方</w:t>
      </w:r>
      <w:r>
        <w:rPr>
          <w:rFonts w:hint="eastAsia" w:ascii="宋体" w:hAnsi="宋体"/>
          <w:color w:val="auto"/>
          <w:szCs w:val="21"/>
          <w:highlight w:val="none"/>
        </w:rPr>
        <w:t>有权责令停工整改，</w:t>
      </w:r>
      <w:r>
        <w:rPr>
          <w:rFonts w:ascii="宋体" w:hAnsi="宋体"/>
          <w:color w:val="auto"/>
          <w:szCs w:val="21"/>
          <w:highlight w:val="none"/>
        </w:rPr>
        <w:t>由此造成的一切损失由承包人承担</w:t>
      </w:r>
      <w:r>
        <w:rPr>
          <w:rFonts w:hint="eastAsia" w:ascii="宋体" w:hAnsi="宋体"/>
          <w:color w:val="auto"/>
          <w:szCs w:val="21"/>
          <w:highlight w:val="none"/>
        </w:rPr>
        <w:t>。</w:t>
      </w:r>
    </w:p>
    <w:p w14:paraId="3837CC26">
      <w:pPr>
        <w:adjustRightInd w:val="0"/>
        <w:snapToGrid w:val="0"/>
        <w:spacing w:line="360" w:lineRule="auto"/>
        <w:ind w:firstLine="420"/>
        <w:rPr>
          <w:rFonts w:ascii="宋体" w:hAnsi="宋体" w:cs="仿宋_GB2312"/>
          <w:color w:val="auto"/>
          <w:kern w:val="0"/>
          <w:szCs w:val="21"/>
          <w:highlight w:val="none"/>
        </w:rPr>
      </w:pPr>
      <w:r>
        <w:rPr>
          <w:rFonts w:ascii="宋体" w:hAnsi="宋体" w:cs="仿宋_GB2312"/>
          <w:color w:val="auto"/>
          <w:kern w:val="0"/>
          <w:szCs w:val="21"/>
          <w:highlight w:val="none"/>
        </w:rPr>
        <w:t>12.</w:t>
      </w:r>
      <w:r>
        <w:rPr>
          <w:rFonts w:hint="eastAsia" w:ascii="宋体" w:hAnsi="宋体" w:cs="仿宋_GB2312"/>
          <w:color w:val="auto"/>
          <w:kern w:val="0"/>
          <w:szCs w:val="21"/>
          <w:highlight w:val="none"/>
        </w:rPr>
        <w:t>承包人应在工程现场安装摄像头、建立监控室，并要求摄像头随着工程的进展进行增设、调整位置，要做到2</w:t>
      </w:r>
      <w:r>
        <w:rPr>
          <w:rFonts w:ascii="宋体" w:hAnsi="宋体" w:cs="仿宋_GB2312"/>
          <w:color w:val="auto"/>
          <w:kern w:val="0"/>
          <w:szCs w:val="21"/>
          <w:highlight w:val="none"/>
        </w:rPr>
        <w:t>4</w:t>
      </w:r>
      <w:r>
        <w:rPr>
          <w:rFonts w:hint="eastAsia" w:ascii="宋体" w:hAnsi="宋体" w:cs="仿宋_GB2312"/>
          <w:color w:val="auto"/>
          <w:kern w:val="0"/>
          <w:szCs w:val="21"/>
          <w:highlight w:val="none"/>
        </w:rPr>
        <w:t>小时、3</w:t>
      </w:r>
      <w:r>
        <w:rPr>
          <w:rFonts w:ascii="宋体" w:hAnsi="宋体" w:cs="仿宋_GB2312"/>
          <w:color w:val="auto"/>
          <w:kern w:val="0"/>
          <w:szCs w:val="21"/>
          <w:highlight w:val="none"/>
        </w:rPr>
        <w:t>60</w:t>
      </w:r>
      <w:r>
        <w:rPr>
          <w:rFonts w:hint="eastAsia" w:ascii="宋体" w:hAnsi="宋体" w:cs="仿宋_GB2312"/>
          <w:color w:val="auto"/>
          <w:kern w:val="0"/>
          <w:szCs w:val="21"/>
          <w:highlight w:val="none"/>
        </w:rPr>
        <w:t>度监控全覆盖，以便发包人通过手机对接实现对工程建设的监控。若涉及重点监控危大工程作业面现场施工情况，视频监控录像现场存储时间不少于90天（若为EPC项目，视频应保存至项目竣工验收完成），</w:t>
      </w:r>
      <w:r>
        <w:rPr>
          <w:rFonts w:ascii="宋体" w:hAnsi="宋体" w:cs="仿宋_GB2312"/>
          <w:color w:val="auto"/>
          <w:szCs w:val="21"/>
          <w:highlight w:val="none"/>
        </w:rPr>
        <w:t>尤其是隧道工程项目须按照挖掘进度同步设置视频监控设备，确保洞内作业情况实时监控到位；高支模部位、深基坑部位必须设置监控设备，确保实时监控到位</w:t>
      </w:r>
      <w:r>
        <w:rPr>
          <w:rFonts w:hint="eastAsia" w:ascii="宋体" w:hAnsi="宋体" w:cs="仿宋_GB2312"/>
          <w:color w:val="auto"/>
          <w:szCs w:val="21"/>
          <w:highlight w:val="none"/>
        </w:rPr>
        <w:t>，</w:t>
      </w:r>
      <w:r>
        <w:rPr>
          <w:rFonts w:ascii="宋体" w:hAnsi="宋体" w:cs="仿宋_GB2312"/>
          <w:color w:val="auto"/>
          <w:szCs w:val="21"/>
          <w:highlight w:val="none"/>
        </w:rPr>
        <w:t>具体</w:t>
      </w:r>
      <w:r>
        <w:rPr>
          <w:rFonts w:hint="eastAsia" w:ascii="宋体" w:hAnsi="宋体" w:cs="仿宋_GB2312"/>
          <w:color w:val="auto"/>
          <w:szCs w:val="21"/>
          <w:highlight w:val="none"/>
        </w:rPr>
        <w:t>须</w:t>
      </w:r>
      <w:r>
        <w:rPr>
          <w:rFonts w:ascii="宋体" w:hAnsi="宋体" w:cs="仿宋_GB2312"/>
          <w:color w:val="auto"/>
          <w:szCs w:val="21"/>
          <w:highlight w:val="none"/>
        </w:rPr>
        <w:t>满足</w:t>
      </w:r>
      <w:r>
        <w:rPr>
          <w:rFonts w:hint="eastAsia" w:ascii="宋体" w:hAnsi="宋体" w:cs="仿宋_GB2312"/>
          <w:color w:val="auto"/>
          <w:szCs w:val="21"/>
          <w:highlight w:val="none"/>
        </w:rPr>
        <w:t>发包人的</w:t>
      </w:r>
      <w:r>
        <w:rPr>
          <w:rFonts w:hint="eastAsia"/>
          <w:color w:val="auto"/>
          <w:highlight w:val="none"/>
        </w:rPr>
        <w:t>管理制度要求</w:t>
      </w:r>
      <w:r>
        <w:rPr>
          <w:rFonts w:ascii="宋体" w:hAnsi="宋体" w:cs="仿宋_GB2312"/>
          <w:color w:val="auto"/>
          <w:szCs w:val="21"/>
          <w:highlight w:val="none"/>
        </w:rPr>
        <w:t>。</w:t>
      </w:r>
    </w:p>
    <w:p w14:paraId="2D1ECAEC">
      <w:pPr>
        <w:adjustRightInd w:val="0"/>
        <w:snapToGrid w:val="0"/>
        <w:spacing w:line="360" w:lineRule="auto"/>
        <w:ind w:firstLine="420"/>
        <w:jc w:val="left"/>
        <w:rPr>
          <w:rFonts w:ascii="宋体" w:hAnsi="宋体" w:cs="仿宋_GB2312"/>
          <w:color w:val="auto"/>
          <w:kern w:val="0"/>
          <w:szCs w:val="21"/>
          <w:highlight w:val="none"/>
        </w:rPr>
      </w:pPr>
      <w:r>
        <w:rPr>
          <w:rFonts w:ascii="宋体" w:hAnsi="宋体" w:cs="仿宋_GB2312"/>
          <w:color w:val="auto"/>
          <w:kern w:val="0"/>
          <w:szCs w:val="21"/>
          <w:highlight w:val="none"/>
        </w:rPr>
        <w:t>13.</w:t>
      </w:r>
      <w:r>
        <w:rPr>
          <w:rFonts w:hint="eastAsia" w:ascii="宋体" w:hAnsi="宋体" w:cs="仿宋_GB2312"/>
          <w:color w:val="auto"/>
          <w:kern w:val="0"/>
          <w:szCs w:val="21"/>
          <w:highlight w:val="none"/>
        </w:rPr>
        <w:t>施工机器进出场或在场内作业以及施工人员场内作业或场外活动应注意交通安全；车辆进场应降低车速，应不大于15km/h；需要断路施工时，应设隔离措施，并须有专人引导，施工用料和施工机具应按规定地点摆放整齐，不得随意乱堆乱放。</w:t>
      </w:r>
    </w:p>
    <w:p w14:paraId="71984F4D">
      <w:pPr>
        <w:adjustRightInd w:val="0"/>
        <w:snapToGrid w:val="0"/>
        <w:spacing w:line="360" w:lineRule="auto"/>
        <w:ind w:firstLine="420"/>
        <w:jc w:val="left"/>
        <w:rPr>
          <w:rFonts w:ascii="宋体" w:hAnsi="宋体" w:cs="仿宋_GB2312"/>
          <w:color w:val="auto"/>
          <w:kern w:val="0"/>
          <w:szCs w:val="21"/>
          <w:highlight w:val="none"/>
        </w:rPr>
      </w:pPr>
      <w:r>
        <w:rPr>
          <w:rFonts w:ascii="宋体" w:hAnsi="宋体" w:cs="仿宋_GB2312"/>
          <w:color w:val="auto"/>
          <w:kern w:val="0"/>
          <w:szCs w:val="21"/>
          <w:highlight w:val="none"/>
        </w:rPr>
        <w:t>14.</w:t>
      </w:r>
      <w:r>
        <w:rPr>
          <w:rFonts w:hint="eastAsia" w:ascii="宋体" w:hAnsi="宋体" w:cs="仿宋_GB2312"/>
          <w:color w:val="auto"/>
          <w:kern w:val="0"/>
          <w:szCs w:val="21"/>
          <w:highlight w:val="none"/>
        </w:rPr>
        <w:t>承包人应在施工现场（包含但不限于施工现场入口处、施工起重机械、临时用电设施、脚手架、出入通道口、楼梯口、电梯井口、孔洞口、桥梁口、隧道口、基坑边沿、爆破物及有害危险气体和液体存放处等危险部位）设置符合国家标准的明显的安全防护、警示的标识、标志；对于时间较长的集中性施工项目应设围挡做封闭处理，围挡上挂设照明灯，引导夜间车辆行人出行；不得允许施工无关人员随意进入施工区域。</w:t>
      </w:r>
    </w:p>
    <w:p w14:paraId="74DA1FD0">
      <w:pPr>
        <w:adjustRightInd w:val="0"/>
        <w:snapToGrid w:val="0"/>
        <w:spacing w:line="360" w:lineRule="auto"/>
        <w:ind w:firstLine="42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1</w:t>
      </w:r>
      <w:r>
        <w:rPr>
          <w:rFonts w:ascii="宋体" w:hAnsi="宋体" w:cs="仿宋_GB2312"/>
          <w:color w:val="auto"/>
          <w:kern w:val="0"/>
          <w:szCs w:val="21"/>
          <w:highlight w:val="none"/>
        </w:rPr>
        <w:t>5.</w:t>
      </w:r>
      <w:r>
        <w:rPr>
          <w:rFonts w:hint="eastAsia" w:ascii="宋体" w:hAnsi="宋体" w:cs="仿宋_GB2312"/>
          <w:color w:val="auto"/>
          <w:kern w:val="0"/>
          <w:szCs w:val="21"/>
          <w:highlight w:val="none"/>
        </w:rPr>
        <w:t>在使用施工起重机械和整体提升脚手架、模板等自升式架设设施前，应当组织有关单位进行验收，也可委托具有相应资质的检验检测机构进行验收，验收合格后方可使用。《特种设备安全监察条例》中规定的施工起重机械安装及拆除必须由有资质的单位进行安装及拆除，在使用前应经有资质的检验检测机构检测合格。承包人应在自升式架设设施验收合格后3</w:t>
      </w:r>
      <w:r>
        <w:rPr>
          <w:rFonts w:ascii="宋体" w:hAnsi="宋体" w:cs="仿宋_GB2312"/>
          <w:color w:val="auto"/>
          <w:kern w:val="0"/>
          <w:szCs w:val="21"/>
          <w:highlight w:val="none"/>
        </w:rPr>
        <w:t>0</w:t>
      </w:r>
      <w:r>
        <w:rPr>
          <w:rFonts w:hint="eastAsia" w:ascii="宋体" w:hAnsi="宋体" w:cs="仿宋_GB2312"/>
          <w:color w:val="auto"/>
          <w:kern w:val="0"/>
          <w:szCs w:val="21"/>
          <w:highlight w:val="none"/>
        </w:rPr>
        <w:t>日内向登记。登记标志应当置于或附于该设备的显著位置。</w:t>
      </w:r>
    </w:p>
    <w:p w14:paraId="26CE04F8">
      <w:pPr>
        <w:adjustRightInd w:val="0"/>
        <w:snapToGrid w:val="0"/>
        <w:spacing w:line="360" w:lineRule="auto"/>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16.</w:t>
      </w:r>
      <w:r>
        <w:rPr>
          <w:rFonts w:hint="eastAsia" w:ascii="宋体" w:hAnsi="宋体" w:cs="仿宋_GB2312"/>
          <w:color w:val="auto"/>
          <w:kern w:val="0"/>
          <w:szCs w:val="21"/>
          <w:highlight w:val="none"/>
        </w:rPr>
        <w:t>施工现场禁止流动吸烟、随地吐痰、乱丢烟头及其他杂物，保持施工现场的整洁；认真学习和遵守卫生防疫相关法律法规等知识，做好预防传染病工作，保证饮食卫生，防止食物中毒。</w:t>
      </w:r>
    </w:p>
    <w:p w14:paraId="2FFC8A82">
      <w:pPr>
        <w:adjustRightInd w:val="0"/>
        <w:snapToGrid w:val="0"/>
        <w:spacing w:line="360" w:lineRule="auto"/>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17.</w:t>
      </w:r>
      <w:r>
        <w:rPr>
          <w:rFonts w:hint="eastAsia" w:ascii="宋体" w:hAnsi="宋体" w:cs="仿宋_GB2312"/>
          <w:color w:val="auto"/>
          <w:kern w:val="0"/>
          <w:szCs w:val="21"/>
          <w:highlight w:val="none"/>
        </w:rPr>
        <w:t>根据不同施工阶段和周围环境及季节、气候的变化，应在施工现场采取相应的安全施工措施，雨季做好防汛工作，夏季做好防暑降温，有台风预警时做好防台风措施，施工暂停期间做好现场防护。</w:t>
      </w:r>
    </w:p>
    <w:p w14:paraId="25FAD58F">
      <w:pPr>
        <w:adjustRightInd w:val="0"/>
        <w:snapToGrid w:val="0"/>
        <w:spacing w:line="360" w:lineRule="auto"/>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18.</w:t>
      </w:r>
      <w:r>
        <w:rPr>
          <w:rFonts w:hint="eastAsia" w:ascii="宋体" w:hAnsi="宋体" w:cs="仿宋_GB2312"/>
          <w:color w:val="auto"/>
          <w:kern w:val="0"/>
          <w:szCs w:val="21"/>
          <w:highlight w:val="none"/>
        </w:rPr>
        <w:t>施工现场临时搭建的建筑物应当符合安全使用要求。施工现场使用的装配式活动房屋应当具有产品合格证。 </w:t>
      </w:r>
    </w:p>
    <w:p w14:paraId="32352361">
      <w:pPr>
        <w:adjustRightInd w:val="0"/>
        <w:snapToGrid w:val="0"/>
        <w:spacing w:line="360" w:lineRule="auto"/>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1</w:t>
      </w:r>
      <w:r>
        <w:rPr>
          <w:rFonts w:ascii="宋体" w:hAnsi="宋体" w:cs="仿宋_GB2312"/>
          <w:color w:val="auto"/>
          <w:kern w:val="0"/>
          <w:szCs w:val="21"/>
          <w:highlight w:val="none"/>
        </w:rPr>
        <w:t>9.</w:t>
      </w:r>
      <w:r>
        <w:rPr>
          <w:rFonts w:hint="eastAsia" w:ascii="宋体" w:hAnsi="宋体" w:cs="仿宋_GB2312"/>
          <w:color w:val="auto"/>
          <w:kern w:val="0"/>
          <w:szCs w:val="21"/>
          <w:highlight w:val="none"/>
        </w:rPr>
        <w:t>对施工可能造成损害的毗邻建筑物、构筑物和地下管线等，应采取专项防护措施。 </w:t>
      </w:r>
    </w:p>
    <w:p w14:paraId="33C49215">
      <w:pPr>
        <w:adjustRightInd w:val="0"/>
        <w:snapToGrid w:val="0"/>
        <w:spacing w:line="360" w:lineRule="auto"/>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20.</w:t>
      </w:r>
      <w:r>
        <w:rPr>
          <w:rFonts w:hint="eastAsia" w:ascii="宋体" w:hAnsi="宋体" w:cs="仿宋_GB2312"/>
          <w:color w:val="auto"/>
          <w:kern w:val="0"/>
          <w:szCs w:val="21"/>
          <w:highlight w:val="none"/>
        </w:rPr>
        <w:t>认真贯彻落实</w:t>
      </w:r>
      <w:r>
        <w:rPr>
          <w:rFonts w:hint="eastAsia" w:ascii="宋体" w:hAnsi="宋体" w:cs="仿宋_GB2312"/>
          <w:color w:val="auto"/>
          <w:kern w:val="0"/>
          <w:szCs w:val="21"/>
          <w:highlight w:val="none"/>
          <w:lang w:eastAsia="zh-CN"/>
        </w:rPr>
        <w:t>广州市</w:t>
      </w:r>
      <w:r>
        <w:rPr>
          <w:rFonts w:hint="eastAsia" w:ascii="宋体" w:hAnsi="宋体" w:cs="仿宋_GB2312"/>
          <w:color w:val="auto"/>
          <w:kern w:val="0"/>
          <w:szCs w:val="21"/>
          <w:highlight w:val="none"/>
        </w:rPr>
        <w:t xml:space="preserve">关于加强建筑工地文明施工、切实落实建筑工地扬尘控制“六个100%”的工作部署，切实加强建筑工地扬尘控制和文明施工管理。应对施工现场实行封闭围挡，并采取措施防止或者减少粉尘、废气、废水、固体废物、噪声、振动和施工照明对人和环境的危害和污染。 </w:t>
      </w:r>
    </w:p>
    <w:p w14:paraId="0E059DF2">
      <w:pPr>
        <w:adjustRightInd w:val="0"/>
        <w:snapToGrid w:val="0"/>
        <w:spacing w:line="360" w:lineRule="auto"/>
        <w:ind w:firstLine="420" w:firstLineChars="200"/>
        <w:jc w:val="left"/>
        <w:rPr>
          <w:rFonts w:ascii="宋体" w:hAnsi="宋体" w:cs="仿宋_GB2312"/>
          <w:color w:val="auto"/>
          <w:kern w:val="0"/>
          <w:szCs w:val="21"/>
          <w:highlight w:val="none"/>
        </w:rPr>
      </w:pPr>
      <w:r>
        <w:rPr>
          <w:rFonts w:ascii="宋体" w:hAnsi="宋体" w:cs="仿宋_GB2312"/>
          <w:color w:val="auto"/>
          <w:kern w:val="0"/>
          <w:szCs w:val="21"/>
          <w:highlight w:val="none"/>
        </w:rPr>
        <w:t>21.</w:t>
      </w:r>
      <w:r>
        <w:rPr>
          <w:rFonts w:hint="eastAsia" w:ascii="宋体" w:hAnsi="宋体" w:cs="仿宋_GB2312"/>
          <w:color w:val="auto"/>
          <w:kern w:val="0"/>
          <w:szCs w:val="21"/>
          <w:highlight w:val="none"/>
        </w:rPr>
        <w:t>每台吊篮须单独验收，避免吊篮验收流于形式。</w:t>
      </w:r>
    </w:p>
    <w:p w14:paraId="679EF3F9">
      <w:pPr>
        <w:adjustRightInd w:val="0"/>
        <w:snapToGrid w:val="0"/>
        <w:spacing w:line="360" w:lineRule="auto"/>
        <w:ind w:firstLine="420" w:firstLineChars="200"/>
        <w:jc w:val="left"/>
        <w:rPr>
          <w:rFonts w:ascii="宋体" w:hAnsi="宋体" w:cs="仿宋_GB2312"/>
          <w:color w:val="auto"/>
          <w:kern w:val="0"/>
          <w:szCs w:val="21"/>
          <w:highlight w:val="none"/>
        </w:rPr>
      </w:pPr>
      <w:r>
        <w:rPr>
          <w:rFonts w:ascii="宋体" w:hAnsi="宋体" w:cs="仿宋_GB2312"/>
          <w:color w:val="auto"/>
          <w:kern w:val="0"/>
          <w:szCs w:val="21"/>
          <w:highlight w:val="none"/>
        </w:rPr>
        <w:t>22.</w:t>
      </w:r>
      <w:r>
        <w:rPr>
          <w:rFonts w:hint="eastAsia" w:ascii="宋体" w:hAnsi="宋体" w:cs="仿宋_GB2312"/>
          <w:color w:val="auto"/>
          <w:kern w:val="0"/>
          <w:szCs w:val="21"/>
          <w:highlight w:val="none"/>
        </w:rPr>
        <w:t>在隧道工程施工时，应加强隧道施工安全管控，凡采取矿山法施工的，掌子面当班现场作业人数不得超过9人。</w:t>
      </w:r>
    </w:p>
    <w:p w14:paraId="120E23C3">
      <w:pPr>
        <w:adjustRightInd w:val="0"/>
        <w:snapToGrid w:val="0"/>
        <w:spacing w:line="360" w:lineRule="auto"/>
        <w:ind w:firstLine="420" w:firstLineChars="200"/>
        <w:jc w:val="left"/>
        <w:rPr>
          <w:rFonts w:ascii="宋体" w:hAnsi="宋体" w:cs="仿宋_GB2312"/>
          <w:color w:val="auto"/>
          <w:kern w:val="0"/>
          <w:szCs w:val="21"/>
          <w:highlight w:val="none"/>
        </w:rPr>
      </w:pPr>
      <w:r>
        <w:rPr>
          <w:rFonts w:ascii="宋体" w:hAnsi="宋体" w:cs="仿宋_GB2312"/>
          <w:color w:val="auto"/>
          <w:kern w:val="0"/>
          <w:szCs w:val="21"/>
          <w:highlight w:val="none"/>
        </w:rPr>
        <w:t>23.</w:t>
      </w:r>
      <w:r>
        <w:rPr>
          <w:rFonts w:hint="eastAsia" w:ascii="宋体" w:hAnsi="宋体" w:cs="仿宋_GB2312"/>
          <w:color w:val="auto"/>
          <w:kern w:val="0"/>
          <w:szCs w:val="21"/>
          <w:highlight w:val="none"/>
        </w:rPr>
        <w:t>承包人应按、发包人等管理要求，做好本工程的新冠疫情防控工作。</w:t>
      </w:r>
    </w:p>
    <w:p w14:paraId="5D41F4F1">
      <w:pPr>
        <w:adjustRightInd w:val="0"/>
        <w:snapToGrid w:val="0"/>
        <w:spacing w:line="360" w:lineRule="auto"/>
        <w:rPr>
          <w:rFonts w:ascii="宋体" w:hAnsi="宋体" w:cs="仿宋_GB2312"/>
          <w:b/>
          <w:bCs/>
          <w:color w:val="auto"/>
          <w:kern w:val="0"/>
          <w:szCs w:val="21"/>
          <w:highlight w:val="none"/>
        </w:rPr>
      </w:pPr>
      <w:r>
        <w:rPr>
          <w:rFonts w:hint="eastAsia" w:ascii="宋体" w:hAnsi="宋体" w:cs="仿宋_GB2312"/>
          <w:b/>
          <w:bCs/>
          <w:color w:val="auto"/>
          <w:kern w:val="0"/>
          <w:szCs w:val="21"/>
          <w:highlight w:val="none"/>
        </w:rPr>
        <w:t xml:space="preserve"> </w:t>
      </w:r>
      <w:r>
        <w:rPr>
          <w:rFonts w:ascii="宋体" w:hAnsi="宋体" w:cs="仿宋_GB2312"/>
          <w:b/>
          <w:bCs/>
          <w:color w:val="auto"/>
          <w:kern w:val="0"/>
          <w:szCs w:val="21"/>
          <w:highlight w:val="none"/>
        </w:rPr>
        <w:t xml:space="preserve">   </w:t>
      </w:r>
      <w:r>
        <w:rPr>
          <w:rFonts w:hint="eastAsia" w:ascii="宋体" w:hAnsi="宋体" w:cs="仿宋_GB2312"/>
          <w:b/>
          <w:bCs/>
          <w:color w:val="auto"/>
          <w:kern w:val="0"/>
          <w:szCs w:val="21"/>
          <w:highlight w:val="none"/>
          <w:lang w:eastAsia="zh-CN"/>
        </w:rPr>
        <w:t>五</w:t>
      </w:r>
      <w:r>
        <w:rPr>
          <w:rFonts w:hint="eastAsia" w:ascii="宋体" w:hAnsi="宋体" w:cs="仿宋_GB2312"/>
          <w:b/>
          <w:bCs/>
          <w:color w:val="auto"/>
          <w:kern w:val="0"/>
          <w:szCs w:val="21"/>
          <w:highlight w:val="none"/>
        </w:rPr>
        <w:t>、安全生产教育培训及职业健康</w:t>
      </w:r>
    </w:p>
    <w:p w14:paraId="5046057D">
      <w:pPr>
        <w:adjustRightInd w:val="0"/>
        <w:snapToGrid w:val="0"/>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（一） 安全生产教育培训</w:t>
      </w:r>
    </w:p>
    <w:p w14:paraId="72E7CFE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承包人须制定并实施安全生产教育和培训计划，并应当定期对其参与本工程的相关人员（包括但不限于承包人的从业人员及其他有必要参加的人员）进行安全生产教育和培训。</w:t>
      </w:r>
    </w:p>
    <w:p w14:paraId="0CEF8DA6">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承包人应当对其管理人员和作业人员（包括下游施工单位的安全管理人员和作业人员）每年至少进行</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4  </w:t>
      </w:r>
      <w:r>
        <w:rPr>
          <w:rFonts w:hint="eastAsia" w:ascii="宋体" w:hAnsi="宋体"/>
          <w:color w:val="auto"/>
          <w:szCs w:val="21"/>
          <w:highlight w:val="none"/>
        </w:rPr>
        <w:t>次安全生产教育培训，其教育培训情况记入个人工作档案。</w:t>
      </w:r>
    </w:p>
    <w:p w14:paraId="75E1F628">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安全生产教育培训考核不合格的人员，不得上岗。进场施工前，承包人应对其所有工作人员进行三级安全教育，每季度至少对管理人员和施工人员进行</w:t>
      </w:r>
      <w:r>
        <w:rPr>
          <w:rFonts w:ascii="宋体" w:hAnsi="宋体"/>
          <w:color w:val="auto"/>
          <w:szCs w:val="21"/>
          <w:highlight w:val="none"/>
          <w:u w:val="single"/>
        </w:rPr>
        <w:t xml:space="preserve"> 1 </w:t>
      </w:r>
      <w:r>
        <w:rPr>
          <w:rFonts w:hint="eastAsia" w:ascii="宋体" w:hAnsi="宋体"/>
          <w:color w:val="auto"/>
          <w:szCs w:val="21"/>
          <w:highlight w:val="none"/>
        </w:rPr>
        <w:t>次综合安全生产教育培训，经考试合格后方可上岗，所有人员持证上岗；垂直运输机械作业人员、安装拆卸工、爆破作业人员、起重信号工、登高架设作业人员等特种作业人员，必须按照国家有关规定经过专门的安全作业培训，并取得特种作业操作资格证书后方可上岗作业。</w:t>
      </w:r>
    </w:p>
    <w:p w14:paraId="3E1F6D41">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承包人安全生产培训的内容应包括但不限于：掌握安全生产知识，熟悉有关的安全生产规章制度和安全操作规程，掌握本岗位的安全操作技能，了解作业场所和工作岗位存在的危险因素和防范措施，了解事故应急处理措施，知悉自身在安全生产方面的权利和义务，</w:t>
      </w:r>
      <w:r>
        <w:rPr>
          <w:rFonts w:ascii="宋体" w:hAnsi="宋体"/>
          <w:color w:val="auto"/>
          <w:szCs w:val="21"/>
          <w:highlight w:val="none"/>
        </w:rPr>
        <w:t>了解</w:t>
      </w:r>
      <w:r>
        <w:rPr>
          <w:rFonts w:hint="eastAsia" w:ascii="宋体" w:hAnsi="宋体"/>
          <w:color w:val="auto"/>
          <w:szCs w:val="21"/>
          <w:highlight w:val="none"/>
        </w:rPr>
        <w:t>和</w:t>
      </w:r>
      <w:r>
        <w:rPr>
          <w:rFonts w:ascii="宋体" w:hAnsi="宋体"/>
          <w:color w:val="auto"/>
          <w:szCs w:val="21"/>
          <w:highlight w:val="none"/>
        </w:rPr>
        <w:t>掌握新工艺、新技术、新材料</w:t>
      </w:r>
      <w:r>
        <w:rPr>
          <w:rFonts w:hint="eastAsia" w:ascii="宋体" w:hAnsi="宋体"/>
          <w:color w:val="auto"/>
          <w:szCs w:val="21"/>
          <w:highlight w:val="none"/>
        </w:rPr>
        <w:t>和</w:t>
      </w:r>
      <w:r>
        <w:rPr>
          <w:rFonts w:ascii="宋体" w:hAnsi="宋体"/>
          <w:color w:val="auto"/>
          <w:szCs w:val="21"/>
          <w:highlight w:val="none"/>
        </w:rPr>
        <w:t>新设备</w:t>
      </w:r>
      <w:r>
        <w:rPr>
          <w:rFonts w:hint="eastAsia" w:ascii="宋体" w:hAnsi="宋体"/>
          <w:color w:val="auto"/>
          <w:szCs w:val="21"/>
          <w:highlight w:val="none"/>
        </w:rPr>
        <w:t>的</w:t>
      </w:r>
      <w:r>
        <w:rPr>
          <w:rFonts w:ascii="宋体" w:hAnsi="宋体"/>
          <w:color w:val="auto"/>
          <w:szCs w:val="21"/>
          <w:highlight w:val="none"/>
        </w:rPr>
        <w:t>安全技术特性，</w:t>
      </w:r>
      <w:r>
        <w:rPr>
          <w:rFonts w:hint="eastAsia" w:ascii="宋体" w:hAnsi="宋体"/>
          <w:color w:val="auto"/>
          <w:szCs w:val="21"/>
          <w:highlight w:val="none"/>
        </w:rPr>
        <w:t>掌握</w:t>
      </w:r>
      <w:r>
        <w:rPr>
          <w:rFonts w:ascii="宋体" w:hAnsi="宋体"/>
          <w:color w:val="auto"/>
          <w:szCs w:val="21"/>
          <w:highlight w:val="none"/>
        </w:rPr>
        <w:t>有效的安全防护措施</w:t>
      </w:r>
      <w:r>
        <w:rPr>
          <w:rFonts w:hint="eastAsia" w:ascii="宋体" w:hAnsi="宋体"/>
          <w:color w:val="auto"/>
          <w:szCs w:val="21"/>
          <w:highlight w:val="none"/>
        </w:rPr>
        <w:t>等。</w:t>
      </w:r>
    </w:p>
    <w:p w14:paraId="0831E768">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承包人开展安全生产教育和培训时需通知发包人，发包人有权对承包人开展的安全教育和培训情况进行监督检查，对于检查不合格的，承包人须无条件配合整改直至符合相关法律法规规定及发包人要求。</w:t>
      </w:r>
    </w:p>
    <w:p w14:paraId="53384D8D">
      <w:pPr>
        <w:adjustRightInd w:val="0"/>
        <w:snapToGrid w:val="0"/>
        <w:spacing w:line="360" w:lineRule="auto"/>
        <w:rPr>
          <w:rFonts w:ascii="宋体" w:hAnsi="宋体"/>
          <w:b/>
          <w:bCs/>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b/>
          <w:bCs/>
          <w:color w:val="auto"/>
          <w:szCs w:val="21"/>
          <w:highlight w:val="none"/>
        </w:rPr>
        <w:t xml:space="preserve"> </w:t>
      </w:r>
      <w:r>
        <w:rPr>
          <w:rFonts w:hint="eastAsia" w:ascii="宋体" w:hAnsi="宋体"/>
          <w:b/>
          <w:bCs/>
          <w:color w:val="auto"/>
          <w:szCs w:val="21"/>
          <w:highlight w:val="none"/>
        </w:rPr>
        <w:t>（二）安全生产人员的职业健康</w:t>
      </w:r>
    </w:p>
    <w:p w14:paraId="78A27AE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承包人须关注本工程相关管理人员及施工人员的身体、心理状况和行为习惯，加强对其的心理疏导、精神慰藉，严格落实岗位安全生产责任，防范本工程相关管理人员及施工人员行为异常导致事故发生。</w:t>
      </w:r>
    </w:p>
    <w:p w14:paraId="6E2084E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承包人</w:t>
      </w:r>
      <w:r>
        <w:rPr>
          <w:rFonts w:ascii="宋体" w:hAnsi="宋体"/>
          <w:color w:val="auto"/>
          <w:szCs w:val="21"/>
          <w:highlight w:val="none"/>
        </w:rPr>
        <w:t>必须为</w:t>
      </w:r>
      <w:r>
        <w:rPr>
          <w:rFonts w:hint="eastAsia" w:ascii="宋体" w:hAnsi="宋体"/>
          <w:color w:val="auto"/>
          <w:szCs w:val="21"/>
          <w:highlight w:val="none"/>
        </w:rPr>
        <w:t>参与本工程的相关</w:t>
      </w:r>
      <w:r>
        <w:rPr>
          <w:rFonts w:ascii="宋体" w:hAnsi="宋体"/>
          <w:color w:val="auto"/>
          <w:szCs w:val="21"/>
          <w:highlight w:val="none"/>
        </w:rPr>
        <w:t>人员提供符合国家标准或者行业标准的劳动防护用品，并监督、教育</w:t>
      </w:r>
      <w:r>
        <w:rPr>
          <w:rFonts w:hint="eastAsia" w:ascii="宋体" w:hAnsi="宋体"/>
          <w:color w:val="auto"/>
          <w:szCs w:val="21"/>
          <w:highlight w:val="none"/>
        </w:rPr>
        <w:t>本工程的相关</w:t>
      </w:r>
      <w:r>
        <w:rPr>
          <w:rFonts w:ascii="宋体" w:hAnsi="宋体"/>
          <w:color w:val="auto"/>
          <w:szCs w:val="21"/>
          <w:highlight w:val="none"/>
        </w:rPr>
        <w:t>人员</w:t>
      </w:r>
      <w:r>
        <w:rPr>
          <w:rFonts w:hint="eastAsia" w:ascii="宋体" w:hAnsi="宋体"/>
          <w:color w:val="auto"/>
          <w:szCs w:val="21"/>
          <w:highlight w:val="none"/>
        </w:rPr>
        <w:t>正确</w:t>
      </w:r>
      <w:r>
        <w:rPr>
          <w:rFonts w:ascii="宋体" w:hAnsi="宋体"/>
          <w:color w:val="auto"/>
          <w:szCs w:val="21"/>
          <w:highlight w:val="none"/>
        </w:rPr>
        <w:t>佩戴</w:t>
      </w:r>
      <w:r>
        <w:rPr>
          <w:rFonts w:hint="eastAsia" w:ascii="宋体" w:hAnsi="宋体"/>
          <w:color w:val="auto"/>
          <w:szCs w:val="21"/>
          <w:highlight w:val="none"/>
        </w:rPr>
        <w:t>和</w:t>
      </w:r>
      <w:r>
        <w:rPr>
          <w:rFonts w:ascii="宋体" w:hAnsi="宋体"/>
          <w:color w:val="auto"/>
          <w:szCs w:val="21"/>
          <w:highlight w:val="none"/>
        </w:rPr>
        <w:t>使用</w:t>
      </w:r>
      <w:r>
        <w:rPr>
          <w:rFonts w:hint="eastAsia" w:ascii="宋体" w:hAnsi="宋体"/>
          <w:color w:val="auto"/>
          <w:szCs w:val="21"/>
          <w:highlight w:val="none"/>
        </w:rPr>
        <w:t>。</w:t>
      </w:r>
    </w:p>
    <w:p w14:paraId="1D373E0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施工现场办公区、生活区的选址应当符合安全性要求，办公区、生活区与作业区分开设置，并保持安全距离。职工的膳食、饮水、休息场所等应当符合卫生标准。尚未竣工的建筑物内不得设置员工集体宿舍。 </w:t>
      </w:r>
    </w:p>
    <w:p w14:paraId="6FBD8630">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lang w:eastAsia="zh-CN"/>
        </w:rPr>
        <w:t>六</w:t>
      </w:r>
      <w:r>
        <w:rPr>
          <w:rFonts w:hint="eastAsia" w:ascii="宋体" w:hAnsi="宋体"/>
          <w:b/>
          <w:bCs/>
          <w:color w:val="auto"/>
          <w:szCs w:val="21"/>
          <w:highlight w:val="none"/>
        </w:rPr>
        <w:t>、安全生产事故的应急管理</w:t>
      </w:r>
    </w:p>
    <w:p w14:paraId="3CFEEB00">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承包人应组织建立和健全本工程生产安全事故应急救援预案体系及应急救援组织体系，并与工程所在地县级以上地方人民政府组织制定的生产安全事故应急救援预案相衔接，定期组织演练。</w:t>
      </w:r>
    </w:p>
    <w:p w14:paraId="16F30D4E">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承包人应组织制定本工程的应急预案演练计划，根据本工程的事故风险特点，每年至少组织一次综合应急预案演练或者专项应急预案演练，每半年至少组织一次现场处置方案演练，切实提升承包人的应急处置能力。</w:t>
      </w:r>
    </w:p>
    <w:p w14:paraId="0AC9E7B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承包人应按预案做好安全检查，配置必要的应急救援物资及器材，进一步提高防范应对处置能力。应急组织机构及应急救援队伍人员必须保证手机2</w:t>
      </w:r>
      <w:r>
        <w:rPr>
          <w:rFonts w:ascii="宋体" w:hAnsi="宋体"/>
          <w:color w:val="auto"/>
          <w:szCs w:val="21"/>
          <w:highlight w:val="none"/>
        </w:rPr>
        <w:t>4</w:t>
      </w:r>
      <w:r>
        <w:rPr>
          <w:rFonts w:hint="eastAsia" w:ascii="宋体" w:hAnsi="宋体"/>
          <w:color w:val="auto"/>
          <w:szCs w:val="21"/>
          <w:highlight w:val="none"/>
        </w:rPr>
        <w:t>小时畅通，确保有紧急情况能够第一时间进行应急响应。</w:t>
      </w:r>
    </w:p>
    <w:p w14:paraId="0BE2BB90">
      <w:pPr>
        <w:adjustRightInd w:val="0"/>
        <w:snapToGrid w:val="0"/>
        <w:spacing w:line="360" w:lineRule="auto"/>
        <w:rPr>
          <w:rFonts w:ascii="宋体" w:hAnsi="宋体"/>
          <w:color w:val="auto"/>
          <w:szCs w:val="21"/>
          <w:highlight w:val="none"/>
        </w:rPr>
      </w:pPr>
      <w:r>
        <w:rPr>
          <w:rFonts w:hint="eastAsia" w:ascii="宋体" w:hAnsi="宋体"/>
          <w:b/>
          <w:bCs/>
          <w:color w:val="auto"/>
          <w:szCs w:val="21"/>
          <w:highlight w:val="none"/>
        </w:rPr>
        <w:t xml:space="preserve"> </w:t>
      </w:r>
      <w:r>
        <w:rPr>
          <w:rFonts w:ascii="宋体" w:hAnsi="宋体"/>
          <w:b/>
          <w:bCs/>
          <w:color w:val="auto"/>
          <w:szCs w:val="21"/>
          <w:highlight w:val="none"/>
        </w:rPr>
        <w:t xml:space="preserve">   </w:t>
      </w:r>
      <w:r>
        <w:rPr>
          <w:rFonts w:ascii="宋体" w:hAnsi="宋体"/>
          <w:color w:val="auto"/>
          <w:szCs w:val="21"/>
          <w:highlight w:val="none"/>
        </w:rPr>
        <w:t>4.</w:t>
      </w:r>
      <w:r>
        <w:rPr>
          <w:rFonts w:hint="eastAsia" w:ascii="宋体" w:hAnsi="宋体"/>
          <w:color w:val="auto"/>
          <w:szCs w:val="21"/>
          <w:highlight w:val="none"/>
        </w:rPr>
        <w:t>如本工程</w:t>
      </w:r>
      <w:r>
        <w:rPr>
          <w:rFonts w:ascii="宋体" w:hAnsi="宋体"/>
          <w:color w:val="auto"/>
          <w:szCs w:val="21"/>
          <w:highlight w:val="none"/>
        </w:rPr>
        <w:t>发生生产安全事故，</w:t>
      </w:r>
      <w:r>
        <w:rPr>
          <w:rFonts w:hint="eastAsia" w:ascii="宋体" w:hAnsi="宋体"/>
          <w:color w:val="auto"/>
          <w:szCs w:val="21"/>
          <w:highlight w:val="none"/>
        </w:rPr>
        <w:t>承包人事故现场有关人员应当立即报告其单位负责人、发包人。承包人的</w:t>
      </w:r>
      <w:r>
        <w:rPr>
          <w:rFonts w:ascii="宋体" w:hAnsi="宋体"/>
          <w:color w:val="auto"/>
          <w:szCs w:val="21"/>
          <w:highlight w:val="none"/>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特种设备发生事故的，还应当同时向特种设备安全监督管理部门报告。</w:t>
      </w:r>
    </w:p>
    <w:p w14:paraId="3586C31F">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如本工程</w:t>
      </w:r>
      <w:r>
        <w:rPr>
          <w:rFonts w:ascii="宋体" w:hAnsi="宋体"/>
          <w:color w:val="auto"/>
          <w:szCs w:val="21"/>
          <w:highlight w:val="none"/>
        </w:rPr>
        <w:t>发生生产安全事故，</w:t>
      </w:r>
      <w:r>
        <w:rPr>
          <w:rFonts w:hint="eastAsia" w:ascii="宋体" w:hAnsi="宋体"/>
          <w:color w:val="auto"/>
          <w:szCs w:val="21"/>
          <w:highlight w:val="none"/>
        </w:rPr>
        <w:t>承包人</w:t>
      </w:r>
      <w:r>
        <w:rPr>
          <w:rFonts w:ascii="宋体" w:hAnsi="宋体"/>
          <w:color w:val="auto"/>
          <w:szCs w:val="21"/>
          <w:highlight w:val="none"/>
        </w:rPr>
        <w:t>应当保护事故现场。需要移动现场物品时，应当做出标记和书面记录，妥善保管有关证物。</w:t>
      </w:r>
      <w:r>
        <w:rPr>
          <w:rFonts w:hint="eastAsia" w:ascii="宋体" w:hAnsi="宋体"/>
          <w:color w:val="auto"/>
          <w:szCs w:val="21"/>
          <w:highlight w:val="none"/>
        </w:rPr>
        <w:t>同时，承包人还应接受发包人及相关单位、部门调查，就事故现场保护、保险报案、事故及理赔资料、证据的收集、整理和提交等承担被保险人的责任。</w:t>
      </w:r>
    </w:p>
    <w:p w14:paraId="18BBC05D">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 xml:space="preserve"> 如本工程</w:t>
      </w:r>
      <w:r>
        <w:rPr>
          <w:rFonts w:ascii="宋体" w:hAnsi="宋体"/>
          <w:color w:val="auto"/>
          <w:szCs w:val="21"/>
          <w:highlight w:val="none"/>
        </w:rPr>
        <w:t>发生生产安全事故，</w:t>
      </w:r>
      <w:r>
        <w:rPr>
          <w:rFonts w:hint="eastAsia" w:ascii="宋体" w:hAnsi="宋体"/>
          <w:color w:val="auto"/>
          <w:szCs w:val="21"/>
          <w:highlight w:val="none"/>
        </w:rPr>
        <w:t>承包人及其人员不得阻挠和干涉对事故的依法调查处理。</w:t>
      </w:r>
    </w:p>
    <w:p w14:paraId="0956117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承包人应切实做好三防工作，及时掌握气象、水文部门的预报预警信息，充分利用企业网站、手机短信、微博、微信等多种载体手段，持续滚动密集发布灾害预警信息和防范避险提示，及时启动应急响应。在雷雨大风期间立即停止塔吊、龙门吊、脚手架等高空作业，划定危险区域，防止人员滞留。深基坑、地下管网等在建工程在强降雨期间加强安全管控，及时采取停工措施。山边、水边的施工人员及时撤离。加强应急值守，严格执行汛期、台风期间全天候2</w:t>
      </w:r>
      <w:r>
        <w:rPr>
          <w:rFonts w:ascii="宋体" w:hAnsi="宋体"/>
          <w:color w:val="auto"/>
          <w:szCs w:val="21"/>
          <w:highlight w:val="none"/>
        </w:rPr>
        <w:t>4</w:t>
      </w:r>
      <w:r>
        <w:rPr>
          <w:rFonts w:hint="eastAsia" w:ascii="宋体" w:hAnsi="宋体"/>
          <w:color w:val="auto"/>
          <w:szCs w:val="21"/>
          <w:highlight w:val="none"/>
        </w:rPr>
        <w:t>小时值班和领导带班制度。加强信息报送，绝不允许出现瞒报、迟报、漏报现象。</w:t>
      </w:r>
    </w:p>
    <w:p w14:paraId="2BAB5BD2">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lang w:eastAsia="zh-CN"/>
        </w:rPr>
        <w:t>七</w:t>
      </w:r>
      <w:r>
        <w:rPr>
          <w:rFonts w:hint="eastAsia" w:ascii="宋体" w:hAnsi="宋体"/>
          <w:b/>
          <w:bCs/>
          <w:color w:val="auto"/>
          <w:szCs w:val="21"/>
          <w:highlight w:val="none"/>
        </w:rPr>
        <w:t>、安全生产档案</w:t>
      </w:r>
    </w:p>
    <w:p w14:paraId="7DC89A7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承包人</w:t>
      </w:r>
      <w:r>
        <w:rPr>
          <w:rFonts w:ascii="宋体" w:hAnsi="宋体"/>
          <w:color w:val="auto"/>
          <w:szCs w:val="21"/>
          <w:highlight w:val="none"/>
        </w:rPr>
        <w:t>应当建立安全生产档案</w:t>
      </w:r>
      <w:r>
        <w:rPr>
          <w:rFonts w:hint="eastAsia" w:ascii="宋体" w:hAnsi="宋体"/>
          <w:color w:val="auto"/>
          <w:szCs w:val="21"/>
          <w:highlight w:val="none"/>
        </w:rPr>
        <w:t>，</w:t>
      </w:r>
      <w:r>
        <w:rPr>
          <w:rFonts w:ascii="宋体" w:hAnsi="宋体"/>
          <w:color w:val="auto"/>
          <w:szCs w:val="21"/>
          <w:highlight w:val="none"/>
        </w:rPr>
        <w:t>包括但不限于安全生产教育</w:t>
      </w:r>
      <w:r>
        <w:rPr>
          <w:rFonts w:hint="eastAsia" w:ascii="宋体" w:hAnsi="宋体"/>
          <w:color w:val="auto"/>
          <w:szCs w:val="21"/>
          <w:highlight w:val="none"/>
        </w:rPr>
        <w:t>、</w:t>
      </w:r>
      <w:r>
        <w:rPr>
          <w:rFonts w:ascii="宋体" w:hAnsi="宋体"/>
          <w:color w:val="auto"/>
          <w:szCs w:val="21"/>
          <w:highlight w:val="none"/>
        </w:rPr>
        <w:t>培训</w:t>
      </w:r>
      <w:r>
        <w:rPr>
          <w:rFonts w:hint="eastAsia" w:ascii="宋体" w:hAnsi="宋体"/>
          <w:color w:val="auto"/>
          <w:szCs w:val="21"/>
          <w:highlight w:val="none"/>
        </w:rPr>
        <w:t>和应急演练</w:t>
      </w:r>
      <w:r>
        <w:rPr>
          <w:rFonts w:ascii="宋体" w:hAnsi="宋体"/>
          <w:color w:val="auto"/>
          <w:szCs w:val="21"/>
          <w:highlight w:val="none"/>
        </w:rPr>
        <w:t>档案</w:t>
      </w:r>
      <w:r>
        <w:rPr>
          <w:rFonts w:hint="eastAsia" w:ascii="宋体" w:hAnsi="宋体"/>
          <w:color w:val="auto"/>
          <w:szCs w:val="21"/>
          <w:highlight w:val="none"/>
        </w:rPr>
        <w:t>、施工安全管理台账、安全会议纪要、安全检查记录、机械设备进场报验记录、绿色施工安全防护措施费使用清单、特种设备安装及拆除相关记录、安全防护用具及施工机具等的检查、维修和保养记录、安全设施竣工资料等与工程安全文明施工有关的一切资料。</w:t>
      </w:r>
    </w:p>
    <w:p w14:paraId="399A14B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.安全生产教育</w:t>
      </w:r>
      <w:r>
        <w:rPr>
          <w:rFonts w:hint="eastAsia" w:ascii="宋体" w:hAnsi="宋体"/>
          <w:color w:val="auto"/>
          <w:szCs w:val="21"/>
          <w:highlight w:val="none"/>
        </w:rPr>
        <w:t>、</w:t>
      </w:r>
      <w:r>
        <w:rPr>
          <w:rFonts w:ascii="宋体" w:hAnsi="宋体"/>
          <w:color w:val="auto"/>
          <w:szCs w:val="21"/>
          <w:highlight w:val="none"/>
        </w:rPr>
        <w:t>培训</w:t>
      </w:r>
      <w:r>
        <w:rPr>
          <w:rFonts w:hint="eastAsia" w:ascii="宋体" w:hAnsi="宋体"/>
          <w:color w:val="auto"/>
          <w:szCs w:val="21"/>
          <w:highlight w:val="none"/>
        </w:rPr>
        <w:t>和应急演练</w:t>
      </w:r>
      <w:r>
        <w:rPr>
          <w:rFonts w:ascii="宋体" w:hAnsi="宋体"/>
          <w:color w:val="auto"/>
          <w:szCs w:val="21"/>
          <w:highlight w:val="none"/>
        </w:rPr>
        <w:t>档案中应如实记录安全生产教育</w:t>
      </w:r>
      <w:r>
        <w:rPr>
          <w:rFonts w:hint="eastAsia" w:ascii="宋体" w:hAnsi="宋体"/>
          <w:color w:val="auto"/>
          <w:szCs w:val="21"/>
          <w:highlight w:val="none"/>
        </w:rPr>
        <w:t>、</w:t>
      </w:r>
      <w:r>
        <w:rPr>
          <w:rFonts w:ascii="宋体" w:hAnsi="宋体"/>
          <w:color w:val="auto"/>
          <w:szCs w:val="21"/>
          <w:highlight w:val="none"/>
        </w:rPr>
        <w:t>培训</w:t>
      </w:r>
      <w:r>
        <w:rPr>
          <w:rFonts w:hint="eastAsia" w:ascii="宋体" w:hAnsi="宋体"/>
          <w:color w:val="auto"/>
          <w:szCs w:val="21"/>
          <w:highlight w:val="none"/>
        </w:rPr>
        <w:t>和应急演练</w:t>
      </w:r>
      <w:r>
        <w:rPr>
          <w:rFonts w:ascii="宋体" w:hAnsi="宋体"/>
          <w:color w:val="auto"/>
          <w:szCs w:val="21"/>
          <w:highlight w:val="none"/>
        </w:rPr>
        <w:t>的时间、内容、参加人员以及考核结果等情况</w:t>
      </w:r>
      <w:r>
        <w:rPr>
          <w:rFonts w:hint="eastAsia" w:ascii="宋体" w:hAnsi="宋体"/>
          <w:color w:val="auto"/>
          <w:szCs w:val="21"/>
          <w:highlight w:val="none"/>
        </w:rPr>
        <w:t>，不得弄虚作假，切实保证落实安全生产责任制度</w:t>
      </w:r>
      <w:r>
        <w:rPr>
          <w:rFonts w:ascii="宋体" w:hAnsi="宋体"/>
          <w:color w:val="auto"/>
          <w:szCs w:val="21"/>
          <w:highlight w:val="none"/>
        </w:rPr>
        <w:t>。</w:t>
      </w:r>
    </w:p>
    <w:p w14:paraId="23B7A56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施工安全管理台账应按定期安全检查和专项安全检查分别建立，台账中应</w:t>
      </w:r>
      <w:r>
        <w:rPr>
          <w:rFonts w:ascii="宋体" w:hAnsi="宋体"/>
          <w:color w:val="auto"/>
          <w:szCs w:val="21"/>
          <w:highlight w:val="none"/>
        </w:rPr>
        <w:t>如实记录</w:t>
      </w:r>
      <w:r>
        <w:rPr>
          <w:rFonts w:hint="eastAsia" w:ascii="宋体" w:hAnsi="宋体"/>
          <w:color w:val="auto"/>
          <w:szCs w:val="21"/>
          <w:highlight w:val="none"/>
        </w:rPr>
        <w:t>安全检查时间、内容、</w:t>
      </w:r>
      <w:r>
        <w:rPr>
          <w:rFonts w:ascii="宋体" w:hAnsi="宋体"/>
          <w:color w:val="auto"/>
          <w:szCs w:val="21"/>
          <w:highlight w:val="none"/>
        </w:rPr>
        <w:t>参加</w:t>
      </w:r>
      <w:r>
        <w:rPr>
          <w:rFonts w:hint="eastAsia" w:ascii="宋体" w:hAnsi="宋体"/>
          <w:color w:val="auto"/>
          <w:szCs w:val="21"/>
          <w:highlight w:val="none"/>
        </w:rPr>
        <w:t>人员、检查结果以及整改</w:t>
      </w:r>
      <w:r>
        <w:rPr>
          <w:rFonts w:ascii="宋体" w:hAnsi="宋体"/>
          <w:color w:val="auto"/>
          <w:szCs w:val="21"/>
          <w:highlight w:val="none"/>
        </w:rPr>
        <w:t>情况等</w:t>
      </w:r>
      <w:r>
        <w:rPr>
          <w:rFonts w:hint="eastAsia" w:ascii="宋体" w:hAnsi="宋体"/>
          <w:color w:val="auto"/>
          <w:szCs w:val="21"/>
          <w:highlight w:val="none"/>
        </w:rPr>
        <w:t>。</w:t>
      </w:r>
    </w:p>
    <w:p w14:paraId="14A014D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承包人应根据工程推进情况及时召开项目安全、质量、进度会议，研究工程建设需解决的问题，做好相关会议记录纪要。</w:t>
      </w:r>
    </w:p>
    <w:p w14:paraId="7221B0ED">
      <w:pPr>
        <w:adjustRightInd w:val="0"/>
        <w:snapToGrid w:val="0"/>
        <w:spacing w:line="360" w:lineRule="auto"/>
        <w:ind w:firstLine="420"/>
        <w:rPr>
          <w:rFonts w:ascii="宋体" w:hAnsi="宋体"/>
          <w:color w:val="auto"/>
          <w:szCs w:val="21"/>
          <w:highlight w:val="none"/>
        </w:rPr>
      </w:pPr>
      <w:r>
        <w:rPr>
          <w:rFonts w:hint="eastAsia" w:ascii="宋体" w:hAnsi="宋体"/>
          <w:color w:val="auto"/>
          <w:szCs w:val="21"/>
          <w:highlight w:val="none"/>
        </w:rPr>
        <w:t>5.施工现场的安全防护用具、机械设备、施工机具及配件必须定期进行检查、维修和保养，建立相应的资料档案。</w:t>
      </w:r>
    </w:p>
    <w:p w14:paraId="45A0B92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承包人应按《建设项目安全设施“三同时”监督管理办法》的有关规定，在工程施工中同步完成安全设施施工，并对安全设施施工的施工记录和竣工资料等设置单独档案，与其他安全生产档案等一并向发包人归档。</w:t>
      </w:r>
    </w:p>
    <w:p w14:paraId="321766BD">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lang w:eastAsia="zh-CN"/>
        </w:rPr>
        <w:t>八</w:t>
      </w:r>
      <w:r>
        <w:rPr>
          <w:rFonts w:hint="eastAsia" w:ascii="宋体" w:hAnsi="宋体"/>
          <w:b/>
          <w:bCs/>
          <w:color w:val="auto"/>
          <w:szCs w:val="21"/>
          <w:highlight w:val="none"/>
        </w:rPr>
        <w:t>、安全生产检查及考核</w:t>
      </w:r>
    </w:p>
    <w:p w14:paraId="3A1C4BF1">
      <w:pPr>
        <w:adjustRightInd w:val="0"/>
        <w:snapToGrid w:val="0"/>
        <w:spacing w:line="360" w:lineRule="auto"/>
        <w:rPr>
          <w:rFonts w:ascii="宋体" w:hAnsi="宋体"/>
          <w:b/>
          <w:bCs/>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
          <w:bCs/>
          <w:color w:val="auto"/>
          <w:szCs w:val="21"/>
          <w:highlight w:val="none"/>
        </w:rPr>
        <w:t>（一）承包人组织的安全生产检查</w:t>
      </w:r>
    </w:p>
    <w:p w14:paraId="2F184A7E">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应严格按照招标文件、施工合同、本协议以及承包人、发包人相关管理制度的要求开展安全生产检查，并遵守《中华人民共和国安全生产法》《建设工程安全生产管理条例》《建筑施工安全检查标准》等国家、广东省、</w:t>
      </w:r>
      <w:r>
        <w:rPr>
          <w:rFonts w:hint="eastAsia" w:ascii="宋体" w:hAnsi="宋体"/>
          <w:color w:val="auto"/>
          <w:szCs w:val="21"/>
          <w:highlight w:val="none"/>
          <w:lang w:eastAsia="zh-CN"/>
        </w:rPr>
        <w:t>广州市</w:t>
      </w:r>
      <w:r>
        <w:rPr>
          <w:rFonts w:hint="eastAsia" w:ascii="宋体" w:hAnsi="宋体"/>
          <w:color w:val="auto"/>
          <w:szCs w:val="21"/>
          <w:highlight w:val="none"/>
        </w:rPr>
        <w:t>及行业颁布实施的有关安全生产检查的规定。承包人的安全</w:t>
      </w:r>
      <w:r>
        <w:rPr>
          <w:rFonts w:hint="eastAsia" w:ascii="宋体" w:hAnsi="宋体"/>
          <w:bCs/>
          <w:color w:val="auto"/>
          <w:szCs w:val="21"/>
          <w:highlight w:val="none"/>
        </w:rPr>
        <w:t>生产第一责任人、领导班子成员及安全生产管理机构人员等应对本工程进行常态化、制度化的安全检查。</w:t>
      </w:r>
    </w:p>
    <w:p w14:paraId="7A3BD0A8">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承包人的安全生产管理人员应当每</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7 </w:t>
      </w:r>
      <w:r>
        <w:rPr>
          <w:rFonts w:hint="eastAsia" w:ascii="宋体" w:hAnsi="宋体"/>
          <w:color w:val="auto"/>
          <w:szCs w:val="21"/>
          <w:highlight w:val="none"/>
        </w:rPr>
        <w:t>日对本工程安全生产状况及安全隐患进行一次经常性检查，及时排查生产安全事故隐患，提出改进安全生产管理的建议。对检查中发现的任何安全问题，应当立即处理；不能处理的，应当及时报告承包人有关负责人、发包人，承包人有关负责人应当及时处理。检查及处理情况应当如实记录在案。对于检查中发现的任何安全问题承包人有关负责人不及时妥善处理的，发包人可立即采取处理措施，发生的一切费用由承包人承担。</w:t>
      </w:r>
    </w:p>
    <w:p w14:paraId="0E3E67EF">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.专职安全生产管理人员应严格履行安全生产检查职责。专职安全生产管理人员在施工现场应主要检查以下内容：</w:t>
      </w:r>
    </w:p>
    <w:p w14:paraId="7CE01446">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（1）核实安全生产有关资料的有关情况；</w:t>
      </w:r>
    </w:p>
    <w:p w14:paraId="58BAAB8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（2）检查危险性较大工程安全专项施工方案落实情况；</w:t>
      </w:r>
    </w:p>
    <w:p w14:paraId="0CFD0B70">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（3）检查及监督其他专职安全生产管理人员履责情况；</w:t>
      </w:r>
    </w:p>
    <w:p w14:paraId="755B6EE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（4）检查及监督作业人员安全防护用品的配备及使用情况；</w:t>
      </w:r>
    </w:p>
    <w:p w14:paraId="5ABC210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（5）检查是否存在安全生产违章违规行为或安全隐患，对施工现场存在的重大安全隐患应当场予以纠正或作出处理决定，并有权越级报告或直接向建设主管部门报告；</w:t>
      </w:r>
    </w:p>
    <w:p w14:paraId="5225F4A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（6）检查设施、设备、器材等是否符合安全生产条件，有权当场对不符合卫生条件的设施设备及器材等作出查封的处理决定；</w:t>
      </w:r>
    </w:p>
    <w:p w14:paraId="40E1E9E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（7）根据法律法规、招标文件、施工合同、本协议以及承包人、发包人相关管理制度，应检查的安全生产的其他内容。</w:t>
      </w:r>
    </w:p>
    <w:p w14:paraId="435673A9">
      <w:pPr>
        <w:adjustRightInd w:val="0"/>
        <w:snapToGrid w:val="0"/>
        <w:spacing w:line="360" w:lineRule="auto"/>
        <w:rPr>
          <w:rFonts w:ascii="宋体" w:hAnsi="宋体"/>
          <w:color w:val="auto"/>
          <w:szCs w:val="21"/>
          <w:highlight w:val="none"/>
        </w:rPr>
      </w:pPr>
      <w:r>
        <w:rPr>
          <w:rFonts w:ascii="宋体" w:hAnsi="宋体"/>
          <w:color w:val="auto"/>
          <w:szCs w:val="21"/>
          <w:highlight w:val="none"/>
        </w:rPr>
        <w:t xml:space="preserve">    4</w:t>
      </w:r>
      <w:r>
        <w:rPr>
          <w:rFonts w:hint="eastAsia" w:ascii="宋体" w:hAnsi="宋体"/>
          <w:color w:val="auto"/>
          <w:szCs w:val="21"/>
          <w:highlight w:val="none"/>
        </w:rPr>
        <w:t>.承包人应进行定期和专项安全检查，建立完备的施工安全管理台账，及时整改、消除生产安全事故隐患。</w:t>
      </w:r>
    </w:p>
    <w:p w14:paraId="50D6AC67">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.承包人应积极配合有关部门对于安全生产状况、安全生产法律法规执行情况、安全生产国家标准或行业标准执行情况等的监督检查。</w:t>
      </w:r>
    </w:p>
    <w:p w14:paraId="2D21E5B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6.如承包人为工程施工总承包单位的，由承包人对施工现场的安全生产文明施工负总责。承包人须依据安全生产文明施工要求及目标，定期进行安全检查，发现安全问题的，应当及时督促整改。</w:t>
      </w:r>
    </w:p>
    <w:p w14:paraId="79BA42CF">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如同一作业区域内有两个及两个以上工程项目的施工单位进行施工，可能危及对方生产安全的，应当由总包单位或先进场的施工单位牵头，签订安全生产管理协议，明确各自的安全生产管理职责和应当采取的安全措施，并指定专职安全生产管理人员进行安全检查与协调。</w:t>
      </w:r>
    </w:p>
    <w:p w14:paraId="2024C18B">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（二）发包人对承包人的安全生产检查</w:t>
      </w:r>
    </w:p>
    <w:p w14:paraId="7E4E690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发包人定期及不定期对施工现场进行安全检查，检查发现问题时，发包人将及时</w:t>
      </w:r>
      <w:r>
        <w:rPr>
          <w:rFonts w:hint="eastAsia"/>
          <w:color w:val="auto"/>
          <w:highlight w:val="none"/>
        </w:rPr>
        <w:t>采取召开</w:t>
      </w:r>
      <w:r>
        <w:rPr>
          <w:rFonts w:hint="eastAsia" w:ascii="宋体" w:hAnsi="宋体"/>
          <w:color w:val="auto"/>
          <w:szCs w:val="21"/>
          <w:highlight w:val="none"/>
        </w:rPr>
        <w:t>会议或下发整改通知单、业务联系单等方式向承包人明确提出问题、需整改事项以及有关要求，并形成会议记录纪要或相应书面资料，后续对承包人落实整改情况进行复查复检，承包人应配合发包人做好复查过程记录。</w:t>
      </w:r>
    </w:p>
    <w:p w14:paraId="5D6F717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发包人严格按政府相关规定及发包人的管理要求对承包人的防疫工作进行监督检查，督促承包人落实施工现场、工棚的防疫举措，发包人有权要求落实不到位的承包人承担违约责任。</w:t>
      </w:r>
    </w:p>
    <w:p w14:paraId="052E2EE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按发包人的管理规定，本工程将实施交叉安全检查，除发包人外，集团内其他单位也会对工程实施检查，承包人应积极配合并提供相关资料，不得因检查单位不是发包人而拒绝配合。</w:t>
      </w:r>
    </w:p>
    <w:p w14:paraId="537FA3A9">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对隧道工程、地下工程、危大工程、防风防汛防疫等事项发包人将组织开展专题安全检查活动，检查承包人是否根据实际分析安全风险、是否制定针对性风险管控方案、风险管控方案是否落实等事项。</w:t>
      </w:r>
    </w:p>
    <w:p w14:paraId="709DFC9A">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（三）安全生产考核</w:t>
      </w:r>
    </w:p>
    <w:p w14:paraId="7BEA5DB4">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1.承包人应当建立相应的机制，加强对全员安全生产责任制落实情况的监督考核，保证全员安全生产责任制的落实。</w:t>
      </w:r>
    </w:p>
    <w:p w14:paraId="4EE90D2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2.承包人应积极参加有关部门组织的安全生产知识和管理能力考核。</w:t>
      </w:r>
    </w:p>
    <w:p w14:paraId="3C34F24D">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3.发包人有权定期对承包人的安全生产情况进行监督和评价，要求承包人按招标文件、施工合同、本协议以及发包人、承包人相关管理制度中有关安全生产的要求完成本工程安全生产相关的各项工作。如承包人未按前述规定完成本工程安全生产相关职责的，发包人有权要求承包人整改并承担相应的违约责任。</w:t>
      </w:r>
    </w:p>
    <w:p w14:paraId="1CAFDB2C">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lang w:eastAsia="zh-CN"/>
        </w:rPr>
        <w:t>九</w:t>
      </w:r>
      <w:r>
        <w:rPr>
          <w:rFonts w:hint="eastAsia" w:ascii="宋体" w:hAnsi="宋体"/>
          <w:b/>
          <w:bCs/>
          <w:color w:val="auto"/>
          <w:szCs w:val="21"/>
          <w:highlight w:val="none"/>
        </w:rPr>
        <w:t>、奖惩措施</w:t>
      </w:r>
    </w:p>
    <w:p w14:paraId="0AA69140">
      <w:pPr>
        <w:adjustRightInd w:val="0"/>
        <w:snapToGrid w:val="0"/>
        <w:spacing w:line="360" w:lineRule="auto"/>
        <w:rPr>
          <w:rFonts w:ascii="宋体" w:hAnsi="宋体"/>
          <w:b/>
          <w:bCs/>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
          <w:bCs/>
          <w:color w:val="auto"/>
          <w:szCs w:val="21"/>
          <w:highlight w:val="none"/>
        </w:rPr>
        <w:t>（一）奖励措施</w:t>
      </w:r>
    </w:p>
    <w:p w14:paraId="5D91B19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承包人按本协议全面妥善履行安全生产文明施工职责，完成安全生产文明施工目标的，发包人将对承包人进行表彰，并在发包人的供应商评价库中对承包人进行加分。</w:t>
      </w:r>
    </w:p>
    <w:p w14:paraId="2FE5EBC0">
      <w:pPr>
        <w:adjustRightInd w:val="0"/>
        <w:snapToGrid w:val="0"/>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（二）惩罚措施</w:t>
      </w:r>
    </w:p>
    <w:p w14:paraId="4B33AF83">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1.承包人未按规定提取和使用绿色施工安全防护措施费、安全投入不到位或挪用绿色施工安全防护措施费的，发包人有权视情节轻重要求承包人每次支付人民币2000-20000元的违约金。 </w:t>
      </w:r>
    </w:p>
    <w:p w14:paraId="19B5ED3C">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2.除双方另有约定外，承包人因安全问题被书面通知整改仍不积极整改的，发包人有权视情节轻重要求承包人支付人民币</w:t>
      </w:r>
      <w:r>
        <w:rPr>
          <w:rFonts w:ascii="宋体" w:hAnsi="宋体"/>
          <w:color w:val="auto"/>
          <w:szCs w:val="21"/>
          <w:highlight w:val="none"/>
        </w:rPr>
        <w:t>20000</w:t>
      </w:r>
      <w:r>
        <w:rPr>
          <w:rFonts w:hint="eastAsia" w:ascii="宋体" w:hAnsi="宋体"/>
          <w:color w:val="auto"/>
          <w:szCs w:val="21"/>
          <w:highlight w:val="none"/>
        </w:rPr>
        <w:t>元以内的违约金，并对诚信情况作记录，作为承包人信誉考核依据。上述情况累计发生达3次的，发包人有权解除本协议及本工程施工合同。</w:t>
      </w:r>
    </w:p>
    <w:p w14:paraId="1C3E3165">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3.承包人未全面妥善履行本协议约定内容，视同承包人违约，除本协议另有约定外，发包人有权向承包人收取每次（项）人民币</w:t>
      </w:r>
      <w:r>
        <w:rPr>
          <w:rFonts w:ascii="宋体" w:hAnsi="宋体"/>
          <w:color w:val="auto"/>
          <w:szCs w:val="21"/>
          <w:highlight w:val="none"/>
        </w:rPr>
        <w:t>5000</w:t>
      </w:r>
      <w:r>
        <w:rPr>
          <w:rFonts w:hint="eastAsia" w:ascii="宋体" w:hAnsi="宋体"/>
          <w:color w:val="auto"/>
          <w:szCs w:val="21"/>
          <w:highlight w:val="none"/>
        </w:rPr>
        <w:t>元—</w:t>
      </w:r>
      <w:r>
        <w:rPr>
          <w:rFonts w:ascii="宋体" w:hAnsi="宋体"/>
          <w:color w:val="auto"/>
          <w:szCs w:val="21"/>
          <w:highlight w:val="none"/>
        </w:rPr>
        <w:t>5</w:t>
      </w:r>
      <w:r>
        <w:rPr>
          <w:rFonts w:hint="eastAsia" w:ascii="宋体" w:hAnsi="宋体"/>
          <w:color w:val="auto"/>
          <w:szCs w:val="21"/>
          <w:highlight w:val="none"/>
        </w:rPr>
        <w:t>0</w:t>
      </w:r>
      <w:r>
        <w:rPr>
          <w:rFonts w:ascii="宋体" w:hAnsi="宋体"/>
          <w:color w:val="auto"/>
          <w:szCs w:val="21"/>
          <w:highlight w:val="none"/>
        </w:rPr>
        <w:t>000</w:t>
      </w:r>
      <w:r>
        <w:rPr>
          <w:rFonts w:hint="eastAsia" w:ascii="宋体" w:hAnsi="宋体"/>
          <w:color w:val="auto"/>
          <w:szCs w:val="21"/>
          <w:highlight w:val="none"/>
        </w:rPr>
        <w:t>元的违约金。情节严重或重复违约的，发包人有权解除本协议及本工程施工合同。</w:t>
      </w:r>
    </w:p>
    <w:p w14:paraId="7783A888">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4.承包人存在其他违反安全生产文明施工的行为的，发包人有权依据本工程施工合同的约定追究承包人的违约责任。</w:t>
      </w:r>
    </w:p>
    <w:p w14:paraId="681711C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如承包人支付的违约金不足弥补发包人损失的，发包人还有权要求承包人赔偿。</w:t>
      </w:r>
    </w:p>
    <w:p w14:paraId="5382A07B">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承包人未按本工程施工合同、招标文件、发包人及承包人的相关管理制度及本协议约定全面妥善履行安全生产文明施工职责，完成安全生产文明施工目标的，发包人有权在其供应商评价库中对承包人进行减分、降级或出库等处理，并有权限制承包人参与发包人组织的招标活动。</w:t>
      </w:r>
    </w:p>
    <w:p w14:paraId="5B6158AB">
      <w:pPr>
        <w:adjustRightInd w:val="0"/>
        <w:snapToGrid w:val="0"/>
        <w:spacing w:line="360" w:lineRule="auto"/>
        <w:ind w:firstLine="555"/>
        <w:jc w:val="left"/>
        <w:rPr>
          <w:color w:val="auto"/>
          <w:highlight w:val="none"/>
          <w:shd w:val="clear" w:color="auto" w:fill="FFFFFF"/>
        </w:rPr>
      </w:pPr>
      <w:r>
        <w:rPr>
          <w:rFonts w:hint="eastAsia" w:ascii="宋体" w:hAnsi="宋体"/>
          <w:b/>
          <w:bCs/>
          <w:color w:val="auto"/>
          <w:szCs w:val="21"/>
          <w:highlight w:val="none"/>
        </w:rPr>
        <w:t>十、附则</w:t>
      </w:r>
    </w:p>
    <w:p w14:paraId="6D1BE4A6">
      <w:pPr>
        <w:adjustRightInd w:val="0"/>
        <w:snapToGrid w:val="0"/>
        <w:spacing w:line="360" w:lineRule="auto"/>
        <w:ind w:firstLine="555"/>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本协议为《</w:t>
      </w:r>
      <w:permStart w:id="42" w:edGrp="everyone"/>
      <w:r>
        <w:rPr>
          <w:rFonts w:hint="eastAsia" w:ascii="宋体" w:hAnsi="宋体" w:cs="宋体"/>
          <w:color w:val="auto"/>
          <w:sz w:val="24"/>
          <w:szCs w:val="24"/>
          <w:highlight w:val="none"/>
          <w:lang w:eastAsia="zh-CN"/>
        </w:rPr>
        <w:t>广州高新集团天蕴路2号物业（天河软件园软件产业集中孵化中心）配电增容项目设计施工总承包</w:t>
      </w:r>
      <w:r>
        <w:rPr>
          <w:rFonts w:hint="eastAsia" w:ascii="宋体" w:hAnsi="宋体"/>
          <w:color w:val="auto"/>
          <w:szCs w:val="21"/>
          <w:highlight w:val="none"/>
          <w:lang w:val="en-US" w:eastAsia="zh-CN"/>
        </w:rPr>
        <w:t>合同</w:t>
      </w:r>
      <w:permEnd w:id="42"/>
      <w:r>
        <w:rPr>
          <w:rFonts w:hint="eastAsia" w:ascii="宋体" w:hAnsi="宋体"/>
          <w:color w:val="auto"/>
          <w:szCs w:val="21"/>
          <w:highlight w:val="none"/>
        </w:rPr>
        <w:t>》的附件，与本工程施工合同具有相同法律效力。</w:t>
      </w:r>
    </w:p>
    <w:p w14:paraId="34C9ED1B">
      <w:pPr>
        <w:adjustRightInd w:val="0"/>
        <w:snapToGrid w:val="0"/>
        <w:spacing w:line="360" w:lineRule="auto"/>
        <w:ind w:firstLine="555"/>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color w:val="auto"/>
          <w:highlight w:val="none"/>
          <w:shd w:val="clear" w:color="auto" w:fill="FFFFFF"/>
        </w:rPr>
        <w:t xml:space="preserve"> 因本协议引起的或与本协议有关的任何争议，双方友好协商解决。协商不成时，按本工程施工合同约定的争议解决方式处理。</w:t>
      </w:r>
    </w:p>
    <w:p w14:paraId="6F9578AB">
      <w:pPr>
        <w:adjustRightInd w:val="0"/>
        <w:snapToGrid w:val="0"/>
        <w:spacing w:line="360" w:lineRule="auto"/>
        <w:ind w:firstLine="555"/>
        <w:jc w:val="left"/>
        <w:rPr>
          <w:rFonts w:ascii="宋体" w:hAnsi="宋体" w:cs="仿宋_GB2312"/>
          <w:color w:val="auto"/>
          <w:kern w:val="0"/>
          <w:szCs w:val="21"/>
          <w:highlight w:val="none"/>
        </w:rPr>
      </w:pPr>
      <w:r>
        <w:rPr>
          <w:rFonts w:ascii="宋体" w:hAnsi="宋体"/>
          <w:color w:val="auto"/>
          <w:szCs w:val="21"/>
          <w:highlight w:val="none"/>
        </w:rPr>
        <w:t>3.</w:t>
      </w:r>
      <w:r>
        <w:rPr>
          <w:rFonts w:hint="eastAsia" w:ascii="宋体" w:hAnsi="宋体" w:cs="仿宋_GB2312"/>
          <w:color w:val="auto"/>
          <w:kern w:val="0"/>
          <w:szCs w:val="21"/>
          <w:highlight w:val="none"/>
        </w:rPr>
        <w:t>本协议自双方法定代表人或授权代表签字（或签章），并加盖公章或合同专用章之日起生效。</w:t>
      </w:r>
    </w:p>
    <w:p w14:paraId="4A9A77BE">
      <w:pPr>
        <w:adjustRightInd w:val="0"/>
        <w:snapToGrid w:val="0"/>
        <w:spacing w:line="360" w:lineRule="auto"/>
        <w:ind w:firstLine="555"/>
        <w:jc w:val="left"/>
        <w:rPr>
          <w:rFonts w:ascii="宋体" w:hAnsi="宋体" w:cs="仿宋_GB2312"/>
          <w:color w:val="auto"/>
          <w:kern w:val="0"/>
          <w:szCs w:val="21"/>
          <w:highlight w:val="none"/>
        </w:rPr>
      </w:pPr>
      <w:r>
        <w:rPr>
          <w:rFonts w:ascii="宋体" w:hAnsi="宋体" w:cs="仿宋_GB2312"/>
          <w:color w:val="auto"/>
          <w:kern w:val="0"/>
          <w:szCs w:val="21"/>
          <w:highlight w:val="none"/>
        </w:rPr>
        <w:t>4.</w:t>
      </w:r>
      <w:r>
        <w:rPr>
          <w:rFonts w:hint="eastAsia" w:ascii="宋体" w:hAnsi="宋体" w:cs="仿宋_GB2312"/>
          <w:color w:val="auto"/>
          <w:kern w:val="0"/>
          <w:szCs w:val="21"/>
          <w:highlight w:val="none"/>
        </w:rPr>
        <w:t>本协议一式</w:t>
      </w:r>
      <w:r>
        <w:rPr>
          <w:rFonts w:hint="eastAsia" w:ascii="宋体" w:hAnsi="宋体" w:cs="仿宋_GB2312"/>
          <w:color w:val="auto"/>
          <w:kern w:val="0"/>
          <w:szCs w:val="21"/>
          <w:highlight w:val="none"/>
          <w:lang w:eastAsia="zh-CN"/>
        </w:rPr>
        <w:t>陆</w:t>
      </w:r>
      <w:r>
        <w:rPr>
          <w:rFonts w:hint="eastAsia" w:ascii="宋体" w:hAnsi="宋体" w:cs="仿宋_GB2312"/>
          <w:color w:val="auto"/>
          <w:kern w:val="0"/>
          <w:szCs w:val="21"/>
          <w:highlight w:val="none"/>
        </w:rPr>
        <w:t>份，发包人执</w:t>
      </w:r>
      <w:r>
        <w:rPr>
          <w:rFonts w:hint="eastAsia" w:ascii="宋体" w:hAnsi="宋体" w:cs="仿宋_GB2312"/>
          <w:color w:val="auto"/>
          <w:kern w:val="0"/>
          <w:szCs w:val="21"/>
          <w:highlight w:val="none"/>
          <w:lang w:eastAsia="zh-CN"/>
        </w:rPr>
        <w:t>肆</w:t>
      </w:r>
      <w:r>
        <w:rPr>
          <w:rFonts w:hint="eastAsia" w:ascii="宋体" w:hAnsi="宋体" w:cs="仿宋_GB2312"/>
          <w:color w:val="auto"/>
          <w:kern w:val="0"/>
          <w:szCs w:val="21"/>
          <w:highlight w:val="none"/>
        </w:rPr>
        <w:t>份，承包人执</w:t>
      </w:r>
      <w:r>
        <w:rPr>
          <w:rFonts w:hint="eastAsia" w:ascii="宋体" w:hAnsi="宋体" w:cs="仿宋_GB2312"/>
          <w:color w:val="auto"/>
          <w:kern w:val="0"/>
          <w:szCs w:val="21"/>
          <w:highlight w:val="none"/>
          <w:lang w:eastAsia="zh-CN"/>
        </w:rPr>
        <w:t>贰</w:t>
      </w:r>
      <w:r>
        <w:rPr>
          <w:rFonts w:hint="eastAsia" w:ascii="宋体" w:hAnsi="宋体" w:cs="仿宋_GB2312"/>
          <w:color w:val="auto"/>
          <w:kern w:val="0"/>
          <w:szCs w:val="21"/>
          <w:highlight w:val="none"/>
        </w:rPr>
        <w:t>份，具有相同法律效力。</w:t>
      </w:r>
    </w:p>
    <w:p w14:paraId="4B17176D">
      <w:pPr>
        <w:adjustRightInd w:val="0"/>
        <w:snapToGrid w:val="0"/>
        <w:spacing w:line="360" w:lineRule="auto"/>
        <w:ind w:firstLine="555"/>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5.本协议签订于广东省</w:t>
      </w:r>
      <w:r>
        <w:rPr>
          <w:rFonts w:hint="eastAsia" w:ascii="宋体" w:hAnsi="宋体" w:cs="仿宋_GB2312"/>
          <w:color w:val="auto"/>
          <w:kern w:val="0"/>
          <w:szCs w:val="21"/>
          <w:highlight w:val="none"/>
          <w:lang w:eastAsia="zh-CN"/>
        </w:rPr>
        <w:t>广州市天河</w:t>
      </w:r>
      <w:r>
        <w:rPr>
          <w:rFonts w:hint="eastAsia" w:ascii="宋体" w:hAnsi="宋体" w:cs="仿宋_GB2312"/>
          <w:color w:val="auto"/>
          <w:kern w:val="0"/>
          <w:szCs w:val="21"/>
          <w:highlight w:val="none"/>
        </w:rPr>
        <w:t>区。</w:t>
      </w:r>
    </w:p>
    <w:p w14:paraId="2DABC302">
      <w:pPr>
        <w:adjustRightInd w:val="0"/>
        <w:snapToGrid w:val="0"/>
        <w:spacing w:line="360" w:lineRule="auto"/>
        <w:ind w:firstLine="555"/>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6</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本协议附件为本协议重要组成部分，与协议正文具有相同法律效力。</w:t>
      </w:r>
    </w:p>
    <w:p w14:paraId="523647D8">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A</w:t>
      </w:r>
      <w:r>
        <w:rPr>
          <w:rFonts w:hint="eastAsia" w:ascii="宋体" w:hAnsi="宋体"/>
          <w:color w:val="auto"/>
          <w:szCs w:val="21"/>
          <w:highlight w:val="none"/>
        </w:rPr>
        <w:t>：承包人安全生产管理机构</w:t>
      </w:r>
    </w:p>
    <w:p w14:paraId="3268C52B">
      <w:pPr>
        <w:adjustRightInd w:val="0"/>
        <w:snapToGrid w:val="0"/>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B</w:t>
      </w:r>
      <w:r>
        <w:rPr>
          <w:rFonts w:hint="eastAsia" w:ascii="宋体" w:hAnsi="宋体"/>
          <w:color w:val="auto"/>
          <w:szCs w:val="21"/>
          <w:highlight w:val="none"/>
        </w:rPr>
        <w:t>：本工程安全生产领导小组人员</w:t>
      </w:r>
    </w:p>
    <w:p w14:paraId="6CE5846D">
      <w:pPr>
        <w:adjustRightInd w:val="0"/>
        <w:snapToGrid w:val="0"/>
        <w:spacing w:line="360" w:lineRule="auto"/>
        <w:ind w:firstLine="420" w:firstLine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（正文完）</w:t>
      </w:r>
    </w:p>
    <w:p w14:paraId="2A525E77">
      <w:pPr>
        <w:adjustRightInd w:val="0"/>
        <w:snapToGrid w:val="0"/>
        <w:spacing w:line="360" w:lineRule="auto"/>
        <w:ind w:firstLine="420" w:firstLineChars="200"/>
        <w:jc w:val="left"/>
        <w:rPr>
          <w:rFonts w:ascii="宋体" w:hAnsi="宋体" w:cs="仿宋_GB2312"/>
          <w:color w:val="auto"/>
          <w:kern w:val="0"/>
          <w:szCs w:val="21"/>
          <w:highlight w:val="none"/>
        </w:rPr>
      </w:pPr>
    </w:p>
    <w:p w14:paraId="05A438C9">
      <w:pPr>
        <w:adjustRightInd w:val="0"/>
        <w:snapToGrid w:val="0"/>
        <w:spacing w:line="360" w:lineRule="auto"/>
        <w:ind w:firstLine="420" w:firstLineChars="200"/>
        <w:jc w:val="left"/>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 xml:space="preserve"> </w:t>
      </w:r>
    </w:p>
    <w:p w14:paraId="7AB83238">
      <w:pPr>
        <w:adjustRightInd w:val="0"/>
        <w:snapToGrid w:val="0"/>
        <w:spacing w:line="360" w:lineRule="auto"/>
        <w:ind w:firstLine="420" w:firstLineChars="200"/>
        <w:jc w:val="left"/>
        <w:rPr>
          <w:rFonts w:ascii="宋体" w:hAnsi="宋体" w:cs="仿宋_GB2312"/>
          <w:color w:val="auto"/>
          <w:kern w:val="0"/>
          <w:szCs w:val="21"/>
          <w:highlight w:val="none"/>
        </w:rPr>
      </w:pPr>
    </w:p>
    <w:p w14:paraId="3442F5CD">
      <w:pPr>
        <w:spacing w:line="360" w:lineRule="auto"/>
        <w:ind w:left="420" w:leftChars="200"/>
        <w:jc w:val="left"/>
        <w:rPr>
          <w:rFonts w:ascii="宋体" w:hAnsi="宋体" w:cs="仿宋_GB2312"/>
          <w:color w:val="auto"/>
          <w:kern w:val="0"/>
          <w:szCs w:val="21"/>
          <w:highlight w:val="none"/>
        </w:rPr>
      </w:pPr>
      <w:r>
        <w:rPr>
          <w:rFonts w:hint="eastAsia" w:ascii="宋体" w:hAnsi="宋体" w:cs="仿宋_GB2312"/>
          <w:color w:val="auto"/>
          <w:kern w:val="0"/>
          <w:szCs w:val="21"/>
          <w:highlight w:val="none"/>
        </w:rPr>
        <w:t>发包人（盖章）：                       承包人（盖章）:</w:t>
      </w:r>
    </w:p>
    <w:p w14:paraId="2A493F1C">
      <w:pPr>
        <w:spacing w:line="360" w:lineRule="auto"/>
        <w:ind w:left="420" w:leftChars="200"/>
        <w:jc w:val="left"/>
        <w:rPr>
          <w:rFonts w:ascii="宋体" w:hAnsi="宋体" w:cs="仿宋_GB2312"/>
          <w:color w:val="auto"/>
          <w:kern w:val="0"/>
          <w:szCs w:val="21"/>
          <w:highlight w:val="none"/>
        </w:rPr>
      </w:pPr>
    </w:p>
    <w:p w14:paraId="1DDFCA5A">
      <w:pPr>
        <w:spacing w:line="360" w:lineRule="auto"/>
        <w:ind w:left="420" w:leftChars="200"/>
        <w:jc w:val="left"/>
        <w:rPr>
          <w:rFonts w:ascii="宋体" w:hAnsi="宋体"/>
          <w:color w:val="auto"/>
          <w:szCs w:val="21"/>
          <w:highlight w:val="none"/>
        </w:rPr>
      </w:pPr>
      <w:r>
        <w:rPr>
          <w:rFonts w:hint="eastAsia" w:ascii="宋体" w:hAnsi="宋体" w:cs="仿宋_GB2312"/>
          <w:color w:val="auto"/>
          <w:kern w:val="0"/>
          <w:szCs w:val="21"/>
          <w:highlight w:val="none"/>
        </w:rPr>
        <w:t>法定代表人/授权代表：                   法定代表人/授权代表：</w:t>
      </w:r>
    </w:p>
    <w:p w14:paraId="2A901D85">
      <w:pPr>
        <w:rPr>
          <w:rFonts w:ascii="宋体" w:hAnsi="宋体"/>
          <w:color w:val="auto"/>
          <w:szCs w:val="21"/>
          <w:highlight w:val="none"/>
        </w:rPr>
      </w:pPr>
      <w:r>
        <w:rPr>
          <w:rFonts w:ascii="宋体" w:hAnsi="宋体"/>
          <w:color w:val="auto"/>
          <w:szCs w:val="21"/>
          <w:highlight w:val="none"/>
        </w:rPr>
        <w:br w:type="page"/>
      </w:r>
    </w:p>
    <w:p w14:paraId="6A8A9E3D">
      <w:pPr>
        <w:spacing w:line="360" w:lineRule="auto"/>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A</w:t>
      </w:r>
      <w:r>
        <w:rPr>
          <w:rFonts w:hint="eastAsia" w:ascii="宋体" w:hAnsi="宋体"/>
          <w:color w:val="auto"/>
          <w:szCs w:val="21"/>
          <w:highlight w:val="none"/>
        </w:rPr>
        <w:t>：承包人安全生产管理机构</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10"/>
        <w:gridCol w:w="2126"/>
        <w:gridCol w:w="1922"/>
        <w:gridCol w:w="1935"/>
        <w:gridCol w:w="1058"/>
      </w:tblGrid>
      <w:tr w14:paraId="592F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46" w:type="dxa"/>
            <w:vAlign w:val="center"/>
          </w:tcPr>
          <w:p w14:paraId="70E5C1E5">
            <w:pPr>
              <w:jc w:val="center"/>
              <w:rPr>
                <w:b/>
                <w:color w:val="auto"/>
                <w:szCs w:val="21"/>
                <w:highlight w:val="none"/>
              </w:rPr>
            </w:pPr>
            <w:r>
              <w:rPr>
                <w:rFonts w:hint="eastAsia"/>
                <w:b/>
                <w:color w:val="auto"/>
                <w:szCs w:val="21"/>
                <w:highlight w:val="none"/>
              </w:rPr>
              <w:t>序号</w:t>
            </w:r>
          </w:p>
        </w:tc>
        <w:tc>
          <w:tcPr>
            <w:tcW w:w="1010" w:type="dxa"/>
            <w:vAlign w:val="center"/>
          </w:tcPr>
          <w:p w14:paraId="1618E3C0">
            <w:pPr>
              <w:jc w:val="center"/>
              <w:rPr>
                <w:b/>
                <w:color w:val="auto"/>
                <w:szCs w:val="21"/>
                <w:highlight w:val="none"/>
              </w:rPr>
            </w:pPr>
            <w:r>
              <w:rPr>
                <w:rFonts w:hint="eastAsia"/>
                <w:b/>
                <w:color w:val="auto"/>
                <w:szCs w:val="21"/>
                <w:highlight w:val="none"/>
              </w:rPr>
              <w:t>姓 名</w:t>
            </w:r>
          </w:p>
        </w:tc>
        <w:tc>
          <w:tcPr>
            <w:tcW w:w="2126" w:type="dxa"/>
            <w:vAlign w:val="center"/>
          </w:tcPr>
          <w:p w14:paraId="35EAB3E2">
            <w:pPr>
              <w:jc w:val="center"/>
              <w:rPr>
                <w:b/>
                <w:color w:val="auto"/>
                <w:szCs w:val="21"/>
                <w:highlight w:val="none"/>
              </w:rPr>
            </w:pPr>
            <w:r>
              <w:rPr>
                <w:rFonts w:hint="eastAsia"/>
                <w:b/>
                <w:color w:val="auto"/>
                <w:szCs w:val="21"/>
                <w:highlight w:val="none"/>
              </w:rPr>
              <w:t>职　务</w:t>
            </w:r>
          </w:p>
        </w:tc>
        <w:tc>
          <w:tcPr>
            <w:tcW w:w="1922" w:type="dxa"/>
            <w:vAlign w:val="center"/>
          </w:tcPr>
          <w:p w14:paraId="10BB4514">
            <w:pPr>
              <w:jc w:val="center"/>
              <w:rPr>
                <w:b/>
                <w:color w:val="auto"/>
                <w:szCs w:val="21"/>
                <w:highlight w:val="none"/>
              </w:rPr>
            </w:pPr>
            <w:r>
              <w:rPr>
                <w:b/>
                <w:color w:val="auto"/>
                <w:szCs w:val="21"/>
                <w:highlight w:val="none"/>
              </w:rPr>
              <w:t>安全</w:t>
            </w:r>
            <w:r>
              <w:rPr>
                <w:rFonts w:hint="eastAsia"/>
                <w:b/>
                <w:color w:val="auto"/>
                <w:szCs w:val="21"/>
                <w:highlight w:val="none"/>
              </w:rPr>
              <w:t>证书</w:t>
            </w:r>
            <w:r>
              <w:rPr>
                <w:b/>
                <w:color w:val="auto"/>
                <w:szCs w:val="21"/>
                <w:highlight w:val="none"/>
              </w:rPr>
              <w:t>编号</w:t>
            </w:r>
          </w:p>
        </w:tc>
        <w:tc>
          <w:tcPr>
            <w:tcW w:w="1935" w:type="dxa"/>
            <w:vAlign w:val="center"/>
          </w:tcPr>
          <w:p w14:paraId="046703CF">
            <w:pPr>
              <w:jc w:val="center"/>
              <w:rPr>
                <w:b/>
                <w:color w:val="auto"/>
                <w:szCs w:val="21"/>
                <w:highlight w:val="none"/>
              </w:rPr>
            </w:pPr>
            <w:r>
              <w:rPr>
                <w:b/>
                <w:color w:val="auto"/>
                <w:szCs w:val="21"/>
                <w:highlight w:val="none"/>
              </w:rPr>
              <w:t>联系方式</w:t>
            </w:r>
          </w:p>
        </w:tc>
        <w:tc>
          <w:tcPr>
            <w:tcW w:w="1058" w:type="dxa"/>
            <w:vAlign w:val="center"/>
          </w:tcPr>
          <w:p w14:paraId="3D09B43F">
            <w:pPr>
              <w:jc w:val="center"/>
              <w:rPr>
                <w:b/>
                <w:color w:val="auto"/>
                <w:szCs w:val="21"/>
                <w:highlight w:val="none"/>
              </w:rPr>
            </w:pPr>
            <w:r>
              <w:rPr>
                <w:b/>
                <w:color w:val="auto"/>
                <w:szCs w:val="21"/>
                <w:highlight w:val="none"/>
              </w:rPr>
              <w:t>备注</w:t>
            </w:r>
          </w:p>
        </w:tc>
      </w:tr>
      <w:tr w14:paraId="3635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6" w:type="dxa"/>
            <w:vAlign w:val="center"/>
          </w:tcPr>
          <w:p w14:paraId="130BD6D6">
            <w:pPr>
              <w:ind w:right="-108" w:firstLine="210" w:firstLineChars="100"/>
              <w:rPr>
                <w:color w:val="auto"/>
                <w:szCs w:val="21"/>
                <w:highlight w:val="none"/>
              </w:rPr>
            </w:pPr>
            <w:r>
              <w:rPr>
                <w:rFonts w:hint="eastAsia"/>
                <w:color w:val="auto"/>
                <w:szCs w:val="21"/>
                <w:highlight w:val="none"/>
              </w:rPr>
              <w:t>1</w:t>
            </w:r>
          </w:p>
        </w:tc>
        <w:tc>
          <w:tcPr>
            <w:tcW w:w="1010" w:type="dxa"/>
            <w:vAlign w:val="center"/>
          </w:tcPr>
          <w:p w14:paraId="44D58F9F">
            <w:pPr>
              <w:ind w:right="-108"/>
              <w:jc w:val="center"/>
              <w:rPr>
                <w:color w:val="auto"/>
                <w:szCs w:val="21"/>
                <w:highlight w:val="none"/>
              </w:rPr>
            </w:pPr>
          </w:p>
        </w:tc>
        <w:tc>
          <w:tcPr>
            <w:tcW w:w="2126" w:type="dxa"/>
            <w:vAlign w:val="center"/>
          </w:tcPr>
          <w:p w14:paraId="697F8D8E">
            <w:pPr>
              <w:jc w:val="center"/>
              <w:rPr>
                <w:color w:val="auto"/>
                <w:szCs w:val="21"/>
                <w:highlight w:val="none"/>
              </w:rPr>
            </w:pPr>
          </w:p>
        </w:tc>
        <w:tc>
          <w:tcPr>
            <w:tcW w:w="1922" w:type="dxa"/>
            <w:vAlign w:val="center"/>
          </w:tcPr>
          <w:p w14:paraId="35C799C7">
            <w:pPr>
              <w:jc w:val="center"/>
              <w:rPr>
                <w:color w:val="auto"/>
                <w:szCs w:val="21"/>
                <w:highlight w:val="none"/>
              </w:rPr>
            </w:pPr>
          </w:p>
        </w:tc>
        <w:tc>
          <w:tcPr>
            <w:tcW w:w="1935" w:type="dxa"/>
            <w:vAlign w:val="center"/>
          </w:tcPr>
          <w:p w14:paraId="3C7A393C">
            <w:pPr>
              <w:rPr>
                <w:color w:val="auto"/>
                <w:szCs w:val="21"/>
                <w:highlight w:val="none"/>
              </w:rPr>
            </w:pPr>
          </w:p>
        </w:tc>
        <w:tc>
          <w:tcPr>
            <w:tcW w:w="1058" w:type="dxa"/>
            <w:vAlign w:val="center"/>
          </w:tcPr>
          <w:p w14:paraId="1AC2438E">
            <w:pPr>
              <w:rPr>
                <w:color w:val="auto"/>
                <w:szCs w:val="21"/>
                <w:highlight w:val="none"/>
              </w:rPr>
            </w:pPr>
          </w:p>
        </w:tc>
      </w:tr>
      <w:tr w14:paraId="18B34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46" w:type="dxa"/>
            <w:vAlign w:val="center"/>
          </w:tcPr>
          <w:p w14:paraId="0F09FD2E">
            <w:pPr>
              <w:jc w:val="center"/>
              <w:rPr>
                <w:color w:val="auto"/>
                <w:szCs w:val="21"/>
                <w:highlight w:val="none"/>
              </w:rPr>
            </w:pPr>
            <w:r>
              <w:rPr>
                <w:rFonts w:hint="eastAsia"/>
                <w:color w:val="auto"/>
                <w:szCs w:val="21"/>
                <w:highlight w:val="none"/>
              </w:rPr>
              <w:t>2</w:t>
            </w:r>
          </w:p>
        </w:tc>
        <w:tc>
          <w:tcPr>
            <w:tcW w:w="1010" w:type="dxa"/>
            <w:vAlign w:val="center"/>
          </w:tcPr>
          <w:p w14:paraId="65E72E46">
            <w:pPr>
              <w:jc w:val="center"/>
              <w:rPr>
                <w:color w:val="auto"/>
                <w:szCs w:val="21"/>
                <w:highlight w:val="none"/>
              </w:rPr>
            </w:pPr>
          </w:p>
        </w:tc>
        <w:tc>
          <w:tcPr>
            <w:tcW w:w="2126" w:type="dxa"/>
            <w:vAlign w:val="center"/>
          </w:tcPr>
          <w:p w14:paraId="1B456772">
            <w:pPr>
              <w:jc w:val="center"/>
              <w:rPr>
                <w:color w:val="auto"/>
                <w:szCs w:val="21"/>
                <w:highlight w:val="none"/>
              </w:rPr>
            </w:pPr>
          </w:p>
        </w:tc>
        <w:tc>
          <w:tcPr>
            <w:tcW w:w="1922" w:type="dxa"/>
            <w:vAlign w:val="center"/>
          </w:tcPr>
          <w:p w14:paraId="3D487EEC">
            <w:pPr>
              <w:jc w:val="center"/>
              <w:rPr>
                <w:color w:val="auto"/>
                <w:szCs w:val="21"/>
                <w:highlight w:val="none"/>
              </w:rPr>
            </w:pPr>
          </w:p>
        </w:tc>
        <w:tc>
          <w:tcPr>
            <w:tcW w:w="1935" w:type="dxa"/>
            <w:vAlign w:val="center"/>
          </w:tcPr>
          <w:p w14:paraId="54A1E106">
            <w:pPr>
              <w:rPr>
                <w:color w:val="auto"/>
                <w:szCs w:val="21"/>
                <w:highlight w:val="none"/>
              </w:rPr>
            </w:pPr>
          </w:p>
        </w:tc>
        <w:tc>
          <w:tcPr>
            <w:tcW w:w="1058" w:type="dxa"/>
            <w:vAlign w:val="center"/>
          </w:tcPr>
          <w:p w14:paraId="619C9D05">
            <w:pPr>
              <w:rPr>
                <w:color w:val="auto"/>
                <w:szCs w:val="21"/>
                <w:highlight w:val="none"/>
              </w:rPr>
            </w:pPr>
          </w:p>
        </w:tc>
      </w:tr>
      <w:tr w14:paraId="4B3B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46" w:type="dxa"/>
            <w:vAlign w:val="center"/>
          </w:tcPr>
          <w:p w14:paraId="11F6A893">
            <w:pPr>
              <w:jc w:val="center"/>
              <w:rPr>
                <w:color w:val="auto"/>
                <w:szCs w:val="21"/>
                <w:highlight w:val="none"/>
              </w:rPr>
            </w:pPr>
            <w:r>
              <w:rPr>
                <w:rFonts w:hint="eastAsia"/>
                <w:color w:val="auto"/>
                <w:szCs w:val="21"/>
                <w:highlight w:val="none"/>
              </w:rPr>
              <w:t>3</w:t>
            </w:r>
          </w:p>
        </w:tc>
        <w:tc>
          <w:tcPr>
            <w:tcW w:w="1010" w:type="dxa"/>
            <w:vAlign w:val="center"/>
          </w:tcPr>
          <w:p w14:paraId="56399CDE">
            <w:pPr>
              <w:jc w:val="center"/>
              <w:rPr>
                <w:color w:val="auto"/>
                <w:szCs w:val="21"/>
                <w:highlight w:val="none"/>
              </w:rPr>
            </w:pPr>
          </w:p>
        </w:tc>
        <w:tc>
          <w:tcPr>
            <w:tcW w:w="2126" w:type="dxa"/>
            <w:vAlign w:val="center"/>
          </w:tcPr>
          <w:p w14:paraId="3091F193">
            <w:pPr>
              <w:jc w:val="center"/>
              <w:rPr>
                <w:color w:val="auto"/>
                <w:szCs w:val="21"/>
                <w:highlight w:val="none"/>
              </w:rPr>
            </w:pPr>
          </w:p>
        </w:tc>
        <w:tc>
          <w:tcPr>
            <w:tcW w:w="1922" w:type="dxa"/>
            <w:vAlign w:val="center"/>
          </w:tcPr>
          <w:p w14:paraId="24136BB1">
            <w:pPr>
              <w:jc w:val="center"/>
              <w:rPr>
                <w:color w:val="auto"/>
                <w:szCs w:val="21"/>
                <w:highlight w:val="none"/>
              </w:rPr>
            </w:pPr>
          </w:p>
        </w:tc>
        <w:tc>
          <w:tcPr>
            <w:tcW w:w="1935" w:type="dxa"/>
            <w:vAlign w:val="center"/>
          </w:tcPr>
          <w:p w14:paraId="21FE939E">
            <w:pPr>
              <w:rPr>
                <w:color w:val="auto"/>
                <w:szCs w:val="21"/>
                <w:highlight w:val="none"/>
              </w:rPr>
            </w:pPr>
          </w:p>
        </w:tc>
        <w:tc>
          <w:tcPr>
            <w:tcW w:w="1058" w:type="dxa"/>
            <w:vAlign w:val="center"/>
          </w:tcPr>
          <w:p w14:paraId="6A393466">
            <w:pPr>
              <w:rPr>
                <w:color w:val="auto"/>
                <w:szCs w:val="21"/>
                <w:highlight w:val="none"/>
              </w:rPr>
            </w:pPr>
          </w:p>
        </w:tc>
      </w:tr>
      <w:tr w14:paraId="45D2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46" w:type="dxa"/>
            <w:vAlign w:val="center"/>
          </w:tcPr>
          <w:p w14:paraId="7AACF887">
            <w:pPr>
              <w:jc w:val="center"/>
              <w:rPr>
                <w:color w:val="auto"/>
                <w:szCs w:val="21"/>
                <w:highlight w:val="none"/>
              </w:rPr>
            </w:pPr>
            <w:r>
              <w:rPr>
                <w:rFonts w:hint="eastAsia"/>
                <w:color w:val="auto"/>
                <w:szCs w:val="21"/>
                <w:highlight w:val="none"/>
              </w:rPr>
              <w:t>4</w:t>
            </w:r>
          </w:p>
        </w:tc>
        <w:tc>
          <w:tcPr>
            <w:tcW w:w="1010" w:type="dxa"/>
            <w:vAlign w:val="center"/>
          </w:tcPr>
          <w:p w14:paraId="3E04785A">
            <w:pPr>
              <w:jc w:val="center"/>
              <w:rPr>
                <w:color w:val="auto"/>
                <w:szCs w:val="21"/>
                <w:highlight w:val="none"/>
              </w:rPr>
            </w:pPr>
          </w:p>
        </w:tc>
        <w:tc>
          <w:tcPr>
            <w:tcW w:w="2126" w:type="dxa"/>
            <w:vAlign w:val="center"/>
          </w:tcPr>
          <w:p w14:paraId="39CB2F2B">
            <w:pPr>
              <w:jc w:val="center"/>
              <w:rPr>
                <w:color w:val="auto"/>
                <w:szCs w:val="21"/>
                <w:highlight w:val="none"/>
              </w:rPr>
            </w:pPr>
          </w:p>
        </w:tc>
        <w:tc>
          <w:tcPr>
            <w:tcW w:w="1922" w:type="dxa"/>
            <w:vAlign w:val="center"/>
          </w:tcPr>
          <w:p w14:paraId="1FF64212">
            <w:pPr>
              <w:jc w:val="center"/>
              <w:rPr>
                <w:color w:val="auto"/>
                <w:szCs w:val="21"/>
                <w:highlight w:val="none"/>
              </w:rPr>
            </w:pPr>
          </w:p>
        </w:tc>
        <w:tc>
          <w:tcPr>
            <w:tcW w:w="1935" w:type="dxa"/>
            <w:vAlign w:val="center"/>
          </w:tcPr>
          <w:p w14:paraId="0F88B1AD">
            <w:pPr>
              <w:rPr>
                <w:color w:val="auto"/>
                <w:szCs w:val="21"/>
                <w:highlight w:val="none"/>
              </w:rPr>
            </w:pPr>
          </w:p>
        </w:tc>
        <w:tc>
          <w:tcPr>
            <w:tcW w:w="1058" w:type="dxa"/>
            <w:vAlign w:val="center"/>
          </w:tcPr>
          <w:p w14:paraId="314FD74A">
            <w:pPr>
              <w:rPr>
                <w:color w:val="auto"/>
                <w:szCs w:val="21"/>
                <w:highlight w:val="none"/>
              </w:rPr>
            </w:pPr>
          </w:p>
        </w:tc>
      </w:tr>
    </w:tbl>
    <w:p w14:paraId="22F078FF">
      <w:pPr>
        <w:spacing w:line="360" w:lineRule="auto"/>
        <w:jc w:val="left"/>
        <w:rPr>
          <w:rFonts w:ascii="宋体" w:hAnsi="宋体"/>
          <w:color w:val="auto"/>
          <w:szCs w:val="21"/>
          <w:highlight w:val="none"/>
        </w:rPr>
      </w:pPr>
    </w:p>
    <w:p w14:paraId="560985AA">
      <w:pPr>
        <w:spacing w:line="360" w:lineRule="auto"/>
        <w:jc w:val="left"/>
        <w:rPr>
          <w:rFonts w:ascii="宋体" w:hAnsi="宋体"/>
          <w:color w:val="auto"/>
          <w:szCs w:val="21"/>
          <w:highlight w:val="none"/>
        </w:rPr>
      </w:pPr>
    </w:p>
    <w:p w14:paraId="3B9BFB09">
      <w:pPr>
        <w:spacing w:line="360" w:lineRule="auto"/>
        <w:jc w:val="left"/>
        <w:rPr>
          <w:rFonts w:ascii="宋体" w:hAnsi="宋体"/>
          <w:color w:val="auto"/>
          <w:szCs w:val="21"/>
          <w:highlight w:val="none"/>
        </w:rPr>
      </w:pPr>
      <w:r>
        <w:rPr>
          <w:rFonts w:hint="eastAsia" w:ascii="宋体" w:hAnsi="宋体"/>
          <w:color w:val="auto"/>
          <w:szCs w:val="21"/>
          <w:highlight w:val="none"/>
        </w:rPr>
        <w:t>附件</w:t>
      </w:r>
      <w:r>
        <w:rPr>
          <w:rFonts w:ascii="宋体" w:hAnsi="宋体"/>
          <w:color w:val="auto"/>
          <w:szCs w:val="21"/>
          <w:highlight w:val="none"/>
        </w:rPr>
        <w:t>B</w:t>
      </w:r>
      <w:r>
        <w:rPr>
          <w:rFonts w:hint="eastAsia" w:ascii="宋体" w:hAnsi="宋体"/>
          <w:color w:val="auto"/>
          <w:szCs w:val="21"/>
          <w:highlight w:val="none"/>
        </w:rPr>
        <w:t>：本工程安全生产领导小组人员</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77"/>
        <w:gridCol w:w="1993"/>
        <w:gridCol w:w="1997"/>
        <w:gridCol w:w="1700"/>
        <w:gridCol w:w="1447"/>
      </w:tblGrid>
      <w:tr w14:paraId="3C6C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87" w:type="dxa"/>
            <w:vAlign w:val="center"/>
          </w:tcPr>
          <w:p w14:paraId="622B6880">
            <w:pPr>
              <w:jc w:val="center"/>
              <w:rPr>
                <w:b/>
                <w:color w:val="auto"/>
                <w:szCs w:val="21"/>
                <w:highlight w:val="none"/>
              </w:rPr>
            </w:pPr>
            <w:r>
              <w:rPr>
                <w:rFonts w:hint="eastAsia"/>
                <w:b/>
                <w:color w:val="auto"/>
                <w:szCs w:val="21"/>
                <w:highlight w:val="none"/>
              </w:rPr>
              <w:t>序号</w:t>
            </w:r>
          </w:p>
        </w:tc>
        <w:tc>
          <w:tcPr>
            <w:tcW w:w="1077" w:type="dxa"/>
            <w:vAlign w:val="center"/>
          </w:tcPr>
          <w:p w14:paraId="2E570A58">
            <w:pPr>
              <w:jc w:val="center"/>
              <w:rPr>
                <w:b/>
                <w:color w:val="auto"/>
                <w:szCs w:val="21"/>
                <w:highlight w:val="none"/>
              </w:rPr>
            </w:pPr>
            <w:r>
              <w:rPr>
                <w:rFonts w:hint="eastAsia"/>
                <w:b/>
                <w:color w:val="auto"/>
                <w:szCs w:val="21"/>
                <w:highlight w:val="none"/>
              </w:rPr>
              <w:t>姓 名</w:t>
            </w:r>
          </w:p>
        </w:tc>
        <w:tc>
          <w:tcPr>
            <w:tcW w:w="1993" w:type="dxa"/>
            <w:vAlign w:val="center"/>
          </w:tcPr>
          <w:p w14:paraId="039D4D0A">
            <w:pPr>
              <w:jc w:val="center"/>
              <w:rPr>
                <w:b/>
                <w:color w:val="auto"/>
                <w:szCs w:val="21"/>
                <w:highlight w:val="none"/>
              </w:rPr>
            </w:pPr>
            <w:r>
              <w:rPr>
                <w:rFonts w:hint="eastAsia"/>
                <w:b/>
                <w:color w:val="auto"/>
                <w:szCs w:val="21"/>
                <w:highlight w:val="none"/>
              </w:rPr>
              <w:t>职　务</w:t>
            </w:r>
          </w:p>
        </w:tc>
        <w:tc>
          <w:tcPr>
            <w:tcW w:w="1997" w:type="dxa"/>
            <w:vAlign w:val="center"/>
          </w:tcPr>
          <w:p w14:paraId="2F8778A1">
            <w:pPr>
              <w:jc w:val="center"/>
              <w:rPr>
                <w:b/>
                <w:color w:val="auto"/>
                <w:szCs w:val="21"/>
                <w:highlight w:val="none"/>
              </w:rPr>
            </w:pPr>
            <w:r>
              <w:rPr>
                <w:b/>
                <w:color w:val="auto"/>
                <w:szCs w:val="21"/>
                <w:highlight w:val="none"/>
              </w:rPr>
              <w:t>安全</w:t>
            </w:r>
            <w:r>
              <w:rPr>
                <w:rFonts w:hint="eastAsia"/>
                <w:b/>
                <w:color w:val="auto"/>
                <w:szCs w:val="21"/>
                <w:highlight w:val="none"/>
              </w:rPr>
              <w:t>证书</w:t>
            </w:r>
            <w:r>
              <w:rPr>
                <w:b/>
                <w:color w:val="auto"/>
                <w:szCs w:val="21"/>
                <w:highlight w:val="none"/>
              </w:rPr>
              <w:t>编号</w:t>
            </w:r>
          </w:p>
        </w:tc>
        <w:tc>
          <w:tcPr>
            <w:tcW w:w="1700" w:type="dxa"/>
            <w:vAlign w:val="center"/>
          </w:tcPr>
          <w:p w14:paraId="3721EA7D">
            <w:pPr>
              <w:jc w:val="center"/>
              <w:rPr>
                <w:b/>
                <w:color w:val="auto"/>
                <w:szCs w:val="21"/>
                <w:highlight w:val="none"/>
              </w:rPr>
            </w:pPr>
            <w:r>
              <w:rPr>
                <w:b/>
                <w:color w:val="auto"/>
                <w:szCs w:val="21"/>
                <w:highlight w:val="none"/>
              </w:rPr>
              <w:t>联系方式</w:t>
            </w:r>
          </w:p>
        </w:tc>
        <w:tc>
          <w:tcPr>
            <w:tcW w:w="1447" w:type="dxa"/>
            <w:vAlign w:val="center"/>
          </w:tcPr>
          <w:p w14:paraId="36B886BC">
            <w:pPr>
              <w:jc w:val="center"/>
              <w:rPr>
                <w:b/>
                <w:color w:val="auto"/>
                <w:szCs w:val="21"/>
                <w:highlight w:val="none"/>
              </w:rPr>
            </w:pPr>
            <w:r>
              <w:rPr>
                <w:b/>
                <w:color w:val="auto"/>
                <w:szCs w:val="21"/>
                <w:highlight w:val="none"/>
              </w:rPr>
              <w:t>备注</w:t>
            </w:r>
          </w:p>
        </w:tc>
      </w:tr>
      <w:tr w14:paraId="1E1F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87" w:type="dxa"/>
            <w:vAlign w:val="center"/>
          </w:tcPr>
          <w:p w14:paraId="7F536460">
            <w:pPr>
              <w:ind w:right="-108"/>
              <w:jc w:val="center"/>
              <w:rPr>
                <w:color w:val="auto"/>
                <w:szCs w:val="21"/>
                <w:highlight w:val="none"/>
              </w:rPr>
            </w:pPr>
            <w:r>
              <w:rPr>
                <w:rFonts w:hint="eastAsia"/>
                <w:color w:val="auto"/>
                <w:szCs w:val="21"/>
                <w:highlight w:val="none"/>
              </w:rPr>
              <w:t>1</w:t>
            </w:r>
          </w:p>
        </w:tc>
        <w:tc>
          <w:tcPr>
            <w:tcW w:w="1077" w:type="dxa"/>
            <w:vAlign w:val="center"/>
          </w:tcPr>
          <w:p w14:paraId="0DEA6730">
            <w:pPr>
              <w:ind w:right="-108"/>
              <w:jc w:val="center"/>
              <w:rPr>
                <w:color w:val="auto"/>
                <w:szCs w:val="21"/>
                <w:highlight w:val="none"/>
              </w:rPr>
            </w:pPr>
          </w:p>
        </w:tc>
        <w:tc>
          <w:tcPr>
            <w:tcW w:w="1993" w:type="dxa"/>
            <w:vAlign w:val="center"/>
          </w:tcPr>
          <w:p w14:paraId="4231C4B3">
            <w:pPr>
              <w:jc w:val="center"/>
              <w:rPr>
                <w:color w:val="auto"/>
                <w:szCs w:val="21"/>
                <w:highlight w:val="none"/>
              </w:rPr>
            </w:pPr>
          </w:p>
        </w:tc>
        <w:tc>
          <w:tcPr>
            <w:tcW w:w="1997" w:type="dxa"/>
            <w:vAlign w:val="center"/>
          </w:tcPr>
          <w:p w14:paraId="28286745">
            <w:pPr>
              <w:jc w:val="center"/>
              <w:rPr>
                <w:color w:val="auto"/>
                <w:szCs w:val="21"/>
                <w:highlight w:val="none"/>
              </w:rPr>
            </w:pPr>
          </w:p>
        </w:tc>
        <w:tc>
          <w:tcPr>
            <w:tcW w:w="1700" w:type="dxa"/>
            <w:vAlign w:val="center"/>
          </w:tcPr>
          <w:p w14:paraId="20AC0994">
            <w:pPr>
              <w:rPr>
                <w:color w:val="auto"/>
                <w:szCs w:val="21"/>
                <w:highlight w:val="none"/>
              </w:rPr>
            </w:pPr>
          </w:p>
        </w:tc>
        <w:tc>
          <w:tcPr>
            <w:tcW w:w="1447" w:type="dxa"/>
            <w:vAlign w:val="center"/>
          </w:tcPr>
          <w:p w14:paraId="5AA9F99B">
            <w:pPr>
              <w:rPr>
                <w:color w:val="auto"/>
                <w:szCs w:val="21"/>
                <w:highlight w:val="none"/>
              </w:rPr>
            </w:pPr>
          </w:p>
        </w:tc>
      </w:tr>
      <w:tr w14:paraId="21D5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87" w:type="dxa"/>
            <w:vAlign w:val="center"/>
          </w:tcPr>
          <w:p w14:paraId="21893470">
            <w:pPr>
              <w:ind w:right="-108"/>
              <w:jc w:val="center"/>
              <w:rPr>
                <w:color w:val="auto"/>
                <w:szCs w:val="21"/>
                <w:highlight w:val="none"/>
              </w:rPr>
            </w:pPr>
            <w:r>
              <w:rPr>
                <w:rFonts w:hint="eastAsia"/>
                <w:color w:val="auto"/>
                <w:szCs w:val="21"/>
                <w:highlight w:val="none"/>
              </w:rPr>
              <w:t>2</w:t>
            </w:r>
          </w:p>
        </w:tc>
        <w:tc>
          <w:tcPr>
            <w:tcW w:w="1077" w:type="dxa"/>
            <w:vAlign w:val="center"/>
          </w:tcPr>
          <w:p w14:paraId="4271A00B">
            <w:pPr>
              <w:ind w:right="-108"/>
              <w:jc w:val="center"/>
              <w:rPr>
                <w:color w:val="auto"/>
                <w:szCs w:val="21"/>
                <w:highlight w:val="none"/>
              </w:rPr>
            </w:pPr>
          </w:p>
        </w:tc>
        <w:tc>
          <w:tcPr>
            <w:tcW w:w="1993" w:type="dxa"/>
            <w:vAlign w:val="center"/>
          </w:tcPr>
          <w:p w14:paraId="3B4D1C71">
            <w:pPr>
              <w:jc w:val="center"/>
              <w:rPr>
                <w:color w:val="auto"/>
                <w:szCs w:val="21"/>
                <w:highlight w:val="none"/>
              </w:rPr>
            </w:pPr>
          </w:p>
        </w:tc>
        <w:tc>
          <w:tcPr>
            <w:tcW w:w="1997" w:type="dxa"/>
            <w:vAlign w:val="center"/>
          </w:tcPr>
          <w:p w14:paraId="3B1A3E6A">
            <w:pPr>
              <w:jc w:val="center"/>
              <w:rPr>
                <w:color w:val="auto"/>
                <w:szCs w:val="21"/>
                <w:highlight w:val="none"/>
              </w:rPr>
            </w:pPr>
          </w:p>
        </w:tc>
        <w:tc>
          <w:tcPr>
            <w:tcW w:w="1700" w:type="dxa"/>
            <w:vAlign w:val="center"/>
          </w:tcPr>
          <w:p w14:paraId="41011947">
            <w:pPr>
              <w:rPr>
                <w:color w:val="auto"/>
                <w:szCs w:val="21"/>
                <w:highlight w:val="none"/>
              </w:rPr>
            </w:pPr>
          </w:p>
        </w:tc>
        <w:tc>
          <w:tcPr>
            <w:tcW w:w="1447" w:type="dxa"/>
            <w:vAlign w:val="center"/>
          </w:tcPr>
          <w:p w14:paraId="6D83ADB0">
            <w:pPr>
              <w:rPr>
                <w:color w:val="auto"/>
                <w:szCs w:val="21"/>
                <w:highlight w:val="none"/>
              </w:rPr>
            </w:pPr>
          </w:p>
        </w:tc>
      </w:tr>
      <w:tr w14:paraId="0930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87" w:type="dxa"/>
            <w:vAlign w:val="center"/>
          </w:tcPr>
          <w:p w14:paraId="3A69D96C">
            <w:pPr>
              <w:ind w:right="-108"/>
              <w:jc w:val="center"/>
              <w:rPr>
                <w:color w:val="auto"/>
                <w:szCs w:val="21"/>
                <w:highlight w:val="none"/>
              </w:rPr>
            </w:pPr>
            <w:r>
              <w:rPr>
                <w:rFonts w:hint="eastAsia"/>
                <w:color w:val="auto"/>
                <w:szCs w:val="21"/>
                <w:highlight w:val="none"/>
              </w:rPr>
              <w:t>3</w:t>
            </w:r>
          </w:p>
        </w:tc>
        <w:tc>
          <w:tcPr>
            <w:tcW w:w="1077" w:type="dxa"/>
            <w:vAlign w:val="center"/>
          </w:tcPr>
          <w:p w14:paraId="131BF41B">
            <w:pPr>
              <w:ind w:right="-108"/>
              <w:jc w:val="center"/>
              <w:rPr>
                <w:color w:val="auto"/>
                <w:szCs w:val="21"/>
                <w:highlight w:val="none"/>
              </w:rPr>
            </w:pPr>
          </w:p>
        </w:tc>
        <w:tc>
          <w:tcPr>
            <w:tcW w:w="1993" w:type="dxa"/>
            <w:vAlign w:val="center"/>
          </w:tcPr>
          <w:p w14:paraId="61AF81DC">
            <w:pPr>
              <w:jc w:val="center"/>
              <w:rPr>
                <w:color w:val="auto"/>
                <w:szCs w:val="21"/>
                <w:highlight w:val="none"/>
              </w:rPr>
            </w:pPr>
          </w:p>
        </w:tc>
        <w:tc>
          <w:tcPr>
            <w:tcW w:w="1997" w:type="dxa"/>
            <w:vAlign w:val="center"/>
          </w:tcPr>
          <w:p w14:paraId="0B681A1E">
            <w:pPr>
              <w:jc w:val="center"/>
              <w:rPr>
                <w:color w:val="auto"/>
                <w:szCs w:val="21"/>
                <w:highlight w:val="none"/>
              </w:rPr>
            </w:pPr>
          </w:p>
        </w:tc>
        <w:tc>
          <w:tcPr>
            <w:tcW w:w="1700" w:type="dxa"/>
            <w:vAlign w:val="center"/>
          </w:tcPr>
          <w:p w14:paraId="5B6819F4">
            <w:pPr>
              <w:rPr>
                <w:color w:val="auto"/>
                <w:szCs w:val="21"/>
                <w:highlight w:val="none"/>
              </w:rPr>
            </w:pPr>
          </w:p>
        </w:tc>
        <w:tc>
          <w:tcPr>
            <w:tcW w:w="1447" w:type="dxa"/>
            <w:vAlign w:val="center"/>
          </w:tcPr>
          <w:p w14:paraId="473D7865">
            <w:pPr>
              <w:rPr>
                <w:color w:val="auto"/>
                <w:szCs w:val="21"/>
                <w:highlight w:val="none"/>
              </w:rPr>
            </w:pPr>
          </w:p>
        </w:tc>
      </w:tr>
      <w:tr w14:paraId="59EC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87" w:type="dxa"/>
            <w:vAlign w:val="center"/>
          </w:tcPr>
          <w:p w14:paraId="79343D79">
            <w:pPr>
              <w:ind w:right="-108"/>
              <w:jc w:val="center"/>
              <w:rPr>
                <w:color w:val="auto"/>
                <w:szCs w:val="21"/>
                <w:highlight w:val="none"/>
              </w:rPr>
            </w:pPr>
            <w:r>
              <w:rPr>
                <w:rFonts w:hint="eastAsia"/>
                <w:color w:val="auto"/>
                <w:szCs w:val="21"/>
                <w:highlight w:val="none"/>
              </w:rPr>
              <w:t>4</w:t>
            </w:r>
          </w:p>
        </w:tc>
        <w:tc>
          <w:tcPr>
            <w:tcW w:w="1077" w:type="dxa"/>
            <w:vAlign w:val="center"/>
          </w:tcPr>
          <w:p w14:paraId="16872875">
            <w:pPr>
              <w:ind w:right="-108"/>
              <w:jc w:val="center"/>
              <w:rPr>
                <w:color w:val="auto"/>
                <w:szCs w:val="21"/>
                <w:highlight w:val="none"/>
              </w:rPr>
            </w:pPr>
          </w:p>
        </w:tc>
        <w:tc>
          <w:tcPr>
            <w:tcW w:w="1993" w:type="dxa"/>
            <w:vAlign w:val="center"/>
          </w:tcPr>
          <w:p w14:paraId="21E5C8A5">
            <w:pPr>
              <w:jc w:val="center"/>
              <w:rPr>
                <w:color w:val="auto"/>
                <w:szCs w:val="21"/>
                <w:highlight w:val="none"/>
              </w:rPr>
            </w:pPr>
          </w:p>
        </w:tc>
        <w:tc>
          <w:tcPr>
            <w:tcW w:w="1997" w:type="dxa"/>
            <w:vAlign w:val="center"/>
          </w:tcPr>
          <w:p w14:paraId="6CDE55AE">
            <w:pPr>
              <w:jc w:val="center"/>
              <w:rPr>
                <w:color w:val="auto"/>
                <w:szCs w:val="21"/>
                <w:highlight w:val="none"/>
              </w:rPr>
            </w:pPr>
          </w:p>
        </w:tc>
        <w:tc>
          <w:tcPr>
            <w:tcW w:w="1700" w:type="dxa"/>
            <w:vAlign w:val="center"/>
          </w:tcPr>
          <w:p w14:paraId="73A0C790">
            <w:pPr>
              <w:rPr>
                <w:color w:val="auto"/>
                <w:szCs w:val="21"/>
                <w:highlight w:val="none"/>
              </w:rPr>
            </w:pPr>
          </w:p>
        </w:tc>
        <w:tc>
          <w:tcPr>
            <w:tcW w:w="1447" w:type="dxa"/>
            <w:vAlign w:val="center"/>
          </w:tcPr>
          <w:p w14:paraId="714268D7">
            <w:pPr>
              <w:rPr>
                <w:color w:val="auto"/>
                <w:szCs w:val="21"/>
                <w:highlight w:val="none"/>
              </w:rPr>
            </w:pPr>
          </w:p>
        </w:tc>
      </w:tr>
    </w:tbl>
    <w:p w14:paraId="6FA2DCAD">
      <w:pPr>
        <w:tabs>
          <w:tab w:val="left" w:pos="1800"/>
          <w:tab w:val="left" w:pos="1980"/>
          <w:tab w:val="left" w:pos="2160"/>
          <w:tab w:val="left" w:pos="2880"/>
        </w:tabs>
        <w:spacing w:line="480" w:lineRule="exact"/>
        <w:rPr>
          <w:rFonts w:ascii="宋体" w:hAnsi="宋体" w:cs="宋体"/>
          <w:color w:val="auto"/>
          <w:szCs w:val="21"/>
          <w:highlight w:val="none"/>
        </w:rPr>
      </w:pPr>
      <w:r>
        <w:rPr>
          <w:rFonts w:hint="eastAsia" w:ascii="宋体" w:hAnsi="宋体" w:cs="宋体"/>
          <w:color w:val="auto"/>
          <w:szCs w:val="21"/>
          <w:highlight w:val="none"/>
        </w:rPr>
        <w:t>（附件五完）</w:t>
      </w:r>
    </w:p>
    <w:p w14:paraId="685F151C">
      <w:pPr>
        <w:tabs>
          <w:tab w:val="left" w:pos="1800"/>
          <w:tab w:val="left" w:pos="1980"/>
          <w:tab w:val="left" w:pos="2160"/>
          <w:tab w:val="left" w:pos="2880"/>
        </w:tabs>
        <w:spacing w:line="480" w:lineRule="exact"/>
        <w:rPr>
          <w:rFonts w:ascii="宋体" w:hAnsi="宋体" w:cs="宋体"/>
          <w:color w:val="auto"/>
          <w:szCs w:val="21"/>
          <w:highlight w:val="none"/>
        </w:rPr>
      </w:pPr>
    </w:p>
    <w:p w14:paraId="5F2FED54">
      <w:pPr>
        <w:tabs>
          <w:tab w:val="left" w:pos="1800"/>
          <w:tab w:val="left" w:pos="1980"/>
          <w:tab w:val="left" w:pos="2160"/>
          <w:tab w:val="left" w:pos="2880"/>
        </w:tabs>
        <w:spacing w:line="480" w:lineRule="exact"/>
        <w:rPr>
          <w:bCs/>
          <w:color w:val="auto"/>
          <w:sz w:val="18"/>
          <w:szCs w:val="18"/>
          <w:highlight w:val="none"/>
        </w:rPr>
      </w:pPr>
    </w:p>
    <w:sectPr>
      <w:headerReference r:id="rId4" w:type="first"/>
      <w:headerReference r:id="rId3" w:type="default"/>
      <w:footerReference r:id="rId5" w:type="default"/>
      <w:pgSz w:w="11906" w:h="16838"/>
      <w:pgMar w:top="1332" w:right="1332" w:bottom="1332" w:left="1332"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7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557D">
    <w:pPr>
      <w:pStyle w:val="1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C71E4">
    <w:pPr>
      <w:pBdr>
        <w:bottom w:val="single" w:color="auto" w:sz="6" w:space="1"/>
      </w:pBdr>
      <w:tabs>
        <w:tab w:val="center" w:pos="4153"/>
        <w:tab w:val="right" w:pos="8306"/>
      </w:tabs>
      <w:wordWrap w:val="0"/>
      <w:snapToGrid w:val="0"/>
      <w:ind w:right="360"/>
      <w:jc w:val="right"/>
      <w:rPr>
        <w:rFonts w:hint="default" w:eastAsia="宋体"/>
        <w:sz w:val="18"/>
        <w:szCs w:val="18"/>
        <w:lang w:val="en-US" w:eastAsia="zh-CN"/>
      </w:rPr>
    </w:pPr>
    <w:r>
      <w:rPr>
        <w:rFonts w:hint="eastAsia"/>
        <w:sz w:val="18"/>
        <w:szCs w:val="18"/>
      </w:rPr>
      <w:t>合同编号：</w:t>
    </w:r>
    <w:r>
      <w:rPr>
        <w:rFonts w:hint="eastAsia"/>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5E998">
    <w:pPr>
      <w:pBdr>
        <w:bottom w:val="single" w:color="auto" w:sz="6" w:space="1"/>
      </w:pBdr>
      <w:tabs>
        <w:tab w:val="center" w:pos="4153"/>
        <w:tab w:val="right" w:pos="8306"/>
      </w:tabs>
      <w:wordWrap w:val="0"/>
      <w:snapToGrid w:val="0"/>
      <w:ind w:right="360"/>
      <w:jc w:val="right"/>
      <w:rPr>
        <w:rFonts w:hint="default" w:eastAsia="宋体"/>
        <w:sz w:val="18"/>
        <w:szCs w:val="18"/>
        <w:lang w:val="en-US" w:eastAsia="zh-CN"/>
      </w:rPr>
    </w:pPr>
    <w:r>
      <w:rPr>
        <w:rFonts w:hint="eastAsia"/>
      </w:rPr>
      <w:t xml:space="preserve">                     </w:t>
    </w:r>
    <w:r>
      <w:rPr>
        <w:rFonts w:hint="eastAsia"/>
        <w:lang w:val="en-US" w:eastAsia="zh-CN"/>
      </w:rPr>
      <w:t xml:space="preserve">                                   </w:t>
    </w:r>
    <w:r>
      <w:rPr>
        <w:rFonts w:hint="eastAsia"/>
      </w:rPr>
      <w:t>合同编号：</w:t>
    </w:r>
    <w:r>
      <w:rPr>
        <w:rFonts w:hint="eastAsia"/>
        <w:sz w:val="18"/>
        <w:szCs w:val="18"/>
        <w:lang w:val="en-US" w:eastAsia="zh-CN"/>
      </w:rPr>
      <w:t xml:space="preserve">                 </w:t>
    </w:r>
  </w:p>
  <w:p w14:paraId="4A9604BE">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39D61"/>
    <w:multiLevelType w:val="singleLevel"/>
    <w:tmpl w:val="CE539D61"/>
    <w:lvl w:ilvl="0" w:tentative="0">
      <w:start w:val="1"/>
      <w:numFmt w:val="decimal"/>
      <w:lvlText w:val="(%1)"/>
      <w:lvlJc w:val="left"/>
      <w:pPr>
        <w:ind w:left="425" w:hanging="425"/>
      </w:pPr>
      <w:rPr>
        <w:rFonts w:hint="default"/>
      </w:rPr>
    </w:lvl>
  </w:abstractNum>
  <w:abstractNum w:abstractNumId="1">
    <w:nsid w:val="1BC03610"/>
    <w:multiLevelType w:val="singleLevel"/>
    <w:tmpl w:val="1BC03610"/>
    <w:lvl w:ilvl="0" w:tentative="0">
      <w:start w:val="1"/>
      <w:numFmt w:val="decimal"/>
      <w:lvlText w:val="(%1)"/>
      <w:lvlJc w:val="left"/>
      <w:pPr>
        <w:ind w:left="425" w:hanging="425"/>
      </w:pPr>
      <w:rPr>
        <w:rFonts w:hint="default"/>
      </w:rPr>
    </w:lvl>
  </w:abstractNum>
  <w:abstractNum w:abstractNumId="2">
    <w:nsid w:val="2C8E7EC5"/>
    <w:multiLevelType w:val="multilevel"/>
    <w:tmpl w:val="2C8E7EC5"/>
    <w:lvl w:ilvl="0" w:tentative="0">
      <w:start w:val="1"/>
      <w:numFmt w:val="decimal"/>
      <w:lvlText w:val="%1."/>
      <w:lvlJc w:val="left"/>
      <w:pPr>
        <w:ind w:left="1555"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FE54067"/>
    <w:multiLevelType w:val="singleLevel"/>
    <w:tmpl w:val="3FE54067"/>
    <w:lvl w:ilvl="0" w:tentative="0">
      <w:start w:val="1"/>
      <w:numFmt w:val="decimalEnclosedCircleChinese"/>
      <w:suff w:val="nothing"/>
      <w:lvlText w:val="%1　"/>
      <w:lvlJc w:val="left"/>
      <w:pPr>
        <w:ind w:left="0" w:firstLine="400"/>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1NGZhNDQ3MzQ3ODFhZTYzNmEwZWUyYzdkYjE4NTkifQ=="/>
  </w:docVars>
  <w:rsids>
    <w:rsidRoot w:val="00172A27"/>
    <w:rsid w:val="00005625"/>
    <w:rsid w:val="00006DCD"/>
    <w:rsid w:val="00020B72"/>
    <w:rsid w:val="00031A7F"/>
    <w:rsid w:val="0004083C"/>
    <w:rsid w:val="000415DD"/>
    <w:rsid w:val="00053BEC"/>
    <w:rsid w:val="00064641"/>
    <w:rsid w:val="0007378A"/>
    <w:rsid w:val="00076A39"/>
    <w:rsid w:val="00077E7D"/>
    <w:rsid w:val="000935B3"/>
    <w:rsid w:val="00094DD6"/>
    <w:rsid w:val="000959CB"/>
    <w:rsid w:val="000A5C58"/>
    <w:rsid w:val="000B29C3"/>
    <w:rsid w:val="000B32A2"/>
    <w:rsid w:val="000B4866"/>
    <w:rsid w:val="000B67B0"/>
    <w:rsid w:val="000B6831"/>
    <w:rsid w:val="000B6FFA"/>
    <w:rsid w:val="000C367C"/>
    <w:rsid w:val="000D40B2"/>
    <w:rsid w:val="000F2FEC"/>
    <w:rsid w:val="000F4B5C"/>
    <w:rsid w:val="000F56B6"/>
    <w:rsid w:val="000F79D2"/>
    <w:rsid w:val="00102C1C"/>
    <w:rsid w:val="0010706D"/>
    <w:rsid w:val="0011206F"/>
    <w:rsid w:val="001272F3"/>
    <w:rsid w:val="001321CF"/>
    <w:rsid w:val="00135E6B"/>
    <w:rsid w:val="00141A76"/>
    <w:rsid w:val="001456FA"/>
    <w:rsid w:val="001464AF"/>
    <w:rsid w:val="00151B19"/>
    <w:rsid w:val="00156928"/>
    <w:rsid w:val="001601DD"/>
    <w:rsid w:val="0016325A"/>
    <w:rsid w:val="0016453E"/>
    <w:rsid w:val="001659FB"/>
    <w:rsid w:val="0016631E"/>
    <w:rsid w:val="0017167D"/>
    <w:rsid w:val="00172A27"/>
    <w:rsid w:val="0018398D"/>
    <w:rsid w:val="0018699F"/>
    <w:rsid w:val="0019052D"/>
    <w:rsid w:val="00190D1D"/>
    <w:rsid w:val="00191605"/>
    <w:rsid w:val="00192179"/>
    <w:rsid w:val="00192B7F"/>
    <w:rsid w:val="00196846"/>
    <w:rsid w:val="00196EF3"/>
    <w:rsid w:val="001A1134"/>
    <w:rsid w:val="001A3EC6"/>
    <w:rsid w:val="001B1F81"/>
    <w:rsid w:val="001B517F"/>
    <w:rsid w:val="001B5A69"/>
    <w:rsid w:val="001B622B"/>
    <w:rsid w:val="001C0B58"/>
    <w:rsid w:val="001C4BC9"/>
    <w:rsid w:val="001C5906"/>
    <w:rsid w:val="001C6FA5"/>
    <w:rsid w:val="001C74DC"/>
    <w:rsid w:val="001D3578"/>
    <w:rsid w:val="001D4728"/>
    <w:rsid w:val="001D4CF7"/>
    <w:rsid w:val="001D524C"/>
    <w:rsid w:val="001D5986"/>
    <w:rsid w:val="001D7EF4"/>
    <w:rsid w:val="001F0AFF"/>
    <w:rsid w:val="001F0CE3"/>
    <w:rsid w:val="001F0DBB"/>
    <w:rsid w:val="001F2277"/>
    <w:rsid w:val="00203605"/>
    <w:rsid w:val="00203DFF"/>
    <w:rsid w:val="00205C49"/>
    <w:rsid w:val="00206606"/>
    <w:rsid w:val="002100E8"/>
    <w:rsid w:val="00210AED"/>
    <w:rsid w:val="00211743"/>
    <w:rsid w:val="00211AD2"/>
    <w:rsid w:val="00213964"/>
    <w:rsid w:val="00214910"/>
    <w:rsid w:val="00220941"/>
    <w:rsid w:val="00221CD2"/>
    <w:rsid w:val="002221F5"/>
    <w:rsid w:val="0023142A"/>
    <w:rsid w:val="002322EF"/>
    <w:rsid w:val="00235CE2"/>
    <w:rsid w:val="002376D2"/>
    <w:rsid w:val="00244F98"/>
    <w:rsid w:val="00250587"/>
    <w:rsid w:val="002525B8"/>
    <w:rsid w:val="00260445"/>
    <w:rsid w:val="00284339"/>
    <w:rsid w:val="002A168F"/>
    <w:rsid w:val="002A7DDF"/>
    <w:rsid w:val="002B6ADB"/>
    <w:rsid w:val="002B7944"/>
    <w:rsid w:val="002C3C26"/>
    <w:rsid w:val="002D0160"/>
    <w:rsid w:val="002E1EEB"/>
    <w:rsid w:val="002E2CA5"/>
    <w:rsid w:val="002E7B7A"/>
    <w:rsid w:val="002F1ABC"/>
    <w:rsid w:val="002F69DA"/>
    <w:rsid w:val="00300682"/>
    <w:rsid w:val="00334AEC"/>
    <w:rsid w:val="00335887"/>
    <w:rsid w:val="00341796"/>
    <w:rsid w:val="00344899"/>
    <w:rsid w:val="003468AD"/>
    <w:rsid w:val="003472EF"/>
    <w:rsid w:val="003531E5"/>
    <w:rsid w:val="00354E47"/>
    <w:rsid w:val="003601A5"/>
    <w:rsid w:val="00360AC1"/>
    <w:rsid w:val="0036129D"/>
    <w:rsid w:val="0036568F"/>
    <w:rsid w:val="00365E31"/>
    <w:rsid w:val="00365F7D"/>
    <w:rsid w:val="00366DFF"/>
    <w:rsid w:val="0036717A"/>
    <w:rsid w:val="00374890"/>
    <w:rsid w:val="003957C0"/>
    <w:rsid w:val="003A0A98"/>
    <w:rsid w:val="003A345C"/>
    <w:rsid w:val="003A6350"/>
    <w:rsid w:val="003B2EEE"/>
    <w:rsid w:val="003B5808"/>
    <w:rsid w:val="003B6A3C"/>
    <w:rsid w:val="003C14DC"/>
    <w:rsid w:val="003D578F"/>
    <w:rsid w:val="003E08B8"/>
    <w:rsid w:val="003E1EF8"/>
    <w:rsid w:val="003E4AB3"/>
    <w:rsid w:val="003F0B4D"/>
    <w:rsid w:val="003F0E91"/>
    <w:rsid w:val="00403720"/>
    <w:rsid w:val="00407D2B"/>
    <w:rsid w:val="00430179"/>
    <w:rsid w:val="00435EF1"/>
    <w:rsid w:val="004406C4"/>
    <w:rsid w:val="00442963"/>
    <w:rsid w:val="0044653B"/>
    <w:rsid w:val="004466CB"/>
    <w:rsid w:val="00455277"/>
    <w:rsid w:val="00462592"/>
    <w:rsid w:val="0047617F"/>
    <w:rsid w:val="00476A37"/>
    <w:rsid w:val="004776B7"/>
    <w:rsid w:val="0048359D"/>
    <w:rsid w:val="00497FE0"/>
    <w:rsid w:val="004A118D"/>
    <w:rsid w:val="004A1877"/>
    <w:rsid w:val="004A386C"/>
    <w:rsid w:val="004A4080"/>
    <w:rsid w:val="004B2B99"/>
    <w:rsid w:val="004D10D3"/>
    <w:rsid w:val="004E014E"/>
    <w:rsid w:val="004E5B6A"/>
    <w:rsid w:val="004F1EA2"/>
    <w:rsid w:val="004F400B"/>
    <w:rsid w:val="004F6532"/>
    <w:rsid w:val="004F67FF"/>
    <w:rsid w:val="005027E7"/>
    <w:rsid w:val="00504987"/>
    <w:rsid w:val="005105C4"/>
    <w:rsid w:val="00510F77"/>
    <w:rsid w:val="00517B62"/>
    <w:rsid w:val="00520DFC"/>
    <w:rsid w:val="00523D02"/>
    <w:rsid w:val="00527CC0"/>
    <w:rsid w:val="00527E11"/>
    <w:rsid w:val="00531BB8"/>
    <w:rsid w:val="005522FF"/>
    <w:rsid w:val="00561A46"/>
    <w:rsid w:val="0056278B"/>
    <w:rsid w:val="005665D8"/>
    <w:rsid w:val="005732F5"/>
    <w:rsid w:val="00577558"/>
    <w:rsid w:val="00577B0B"/>
    <w:rsid w:val="005876CC"/>
    <w:rsid w:val="00597436"/>
    <w:rsid w:val="00597DA8"/>
    <w:rsid w:val="005A3C9B"/>
    <w:rsid w:val="005B4676"/>
    <w:rsid w:val="005C6C6E"/>
    <w:rsid w:val="005C7EA8"/>
    <w:rsid w:val="005E060B"/>
    <w:rsid w:val="005E5240"/>
    <w:rsid w:val="005E7AD2"/>
    <w:rsid w:val="005F3C0E"/>
    <w:rsid w:val="005F7AC8"/>
    <w:rsid w:val="0060129E"/>
    <w:rsid w:val="00603A9B"/>
    <w:rsid w:val="00604928"/>
    <w:rsid w:val="00606C1E"/>
    <w:rsid w:val="006112FF"/>
    <w:rsid w:val="0062078A"/>
    <w:rsid w:val="00627B5D"/>
    <w:rsid w:val="006304CD"/>
    <w:rsid w:val="006463FE"/>
    <w:rsid w:val="00646F74"/>
    <w:rsid w:val="00660686"/>
    <w:rsid w:val="00661472"/>
    <w:rsid w:val="0068340D"/>
    <w:rsid w:val="00683BEF"/>
    <w:rsid w:val="006876FA"/>
    <w:rsid w:val="0069540A"/>
    <w:rsid w:val="006A0844"/>
    <w:rsid w:val="006A2303"/>
    <w:rsid w:val="006A41E9"/>
    <w:rsid w:val="006A5D36"/>
    <w:rsid w:val="006B4D34"/>
    <w:rsid w:val="006B7097"/>
    <w:rsid w:val="006C34D7"/>
    <w:rsid w:val="006C6215"/>
    <w:rsid w:val="006C74AD"/>
    <w:rsid w:val="006D21A4"/>
    <w:rsid w:val="006D769C"/>
    <w:rsid w:val="006E0913"/>
    <w:rsid w:val="006E336F"/>
    <w:rsid w:val="006E46FF"/>
    <w:rsid w:val="006E4950"/>
    <w:rsid w:val="006E54B5"/>
    <w:rsid w:val="006E6360"/>
    <w:rsid w:val="006F2797"/>
    <w:rsid w:val="006F4376"/>
    <w:rsid w:val="006F6B8E"/>
    <w:rsid w:val="00703B3D"/>
    <w:rsid w:val="00704DDA"/>
    <w:rsid w:val="0071526F"/>
    <w:rsid w:val="00716407"/>
    <w:rsid w:val="00720C9E"/>
    <w:rsid w:val="00733C02"/>
    <w:rsid w:val="00740764"/>
    <w:rsid w:val="00741214"/>
    <w:rsid w:val="00742106"/>
    <w:rsid w:val="00746CA9"/>
    <w:rsid w:val="00747854"/>
    <w:rsid w:val="00770BE0"/>
    <w:rsid w:val="00771683"/>
    <w:rsid w:val="00776AF3"/>
    <w:rsid w:val="00792D5A"/>
    <w:rsid w:val="0079703B"/>
    <w:rsid w:val="007A284F"/>
    <w:rsid w:val="007B2930"/>
    <w:rsid w:val="007C020D"/>
    <w:rsid w:val="007C3F03"/>
    <w:rsid w:val="007C46D7"/>
    <w:rsid w:val="007C7BDF"/>
    <w:rsid w:val="007F2ED4"/>
    <w:rsid w:val="007F3E43"/>
    <w:rsid w:val="007F5F5E"/>
    <w:rsid w:val="0080634C"/>
    <w:rsid w:val="00811126"/>
    <w:rsid w:val="00812AB0"/>
    <w:rsid w:val="00812D22"/>
    <w:rsid w:val="008164EC"/>
    <w:rsid w:val="0082379E"/>
    <w:rsid w:val="0083056A"/>
    <w:rsid w:val="00840AB6"/>
    <w:rsid w:val="00842932"/>
    <w:rsid w:val="0084402E"/>
    <w:rsid w:val="0084462D"/>
    <w:rsid w:val="00844659"/>
    <w:rsid w:val="0085514E"/>
    <w:rsid w:val="00862673"/>
    <w:rsid w:val="00864C5F"/>
    <w:rsid w:val="00866A13"/>
    <w:rsid w:val="008757C2"/>
    <w:rsid w:val="00877C11"/>
    <w:rsid w:val="008861A6"/>
    <w:rsid w:val="00892B58"/>
    <w:rsid w:val="00895A5B"/>
    <w:rsid w:val="008A2F35"/>
    <w:rsid w:val="008A55BC"/>
    <w:rsid w:val="008C158E"/>
    <w:rsid w:val="008C2DD8"/>
    <w:rsid w:val="008C336E"/>
    <w:rsid w:val="008C43DC"/>
    <w:rsid w:val="008D5202"/>
    <w:rsid w:val="008E7270"/>
    <w:rsid w:val="008E7A8F"/>
    <w:rsid w:val="008F395B"/>
    <w:rsid w:val="008F72E4"/>
    <w:rsid w:val="00902C4C"/>
    <w:rsid w:val="00907EE1"/>
    <w:rsid w:val="00912559"/>
    <w:rsid w:val="00913296"/>
    <w:rsid w:val="0091361A"/>
    <w:rsid w:val="00924E95"/>
    <w:rsid w:val="009303F0"/>
    <w:rsid w:val="00933C82"/>
    <w:rsid w:val="00946A1E"/>
    <w:rsid w:val="00947176"/>
    <w:rsid w:val="009501F2"/>
    <w:rsid w:val="0096316D"/>
    <w:rsid w:val="00963B36"/>
    <w:rsid w:val="00964B01"/>
    <w:rsid w:val="00967EE4"/>
    <w:rsid w:val="00974FFF"/>
    <w:rsid w:val="009A138A"/>
    <w:rsid w:val="009A1576"/>
    <w:rsid w:val="009B0181"/>
    <w:rsid w:val="009B58AA"/>
    <w:rsid w:val="009B699A"/>
    <w:rsid w:val="009C00E8"/>
    <w:rsid w:val="009C08B2"/>
    <w:rsid w:val="009C2661"/>
    <w:rsid w:val="009C6C52"/>
    <w:rsid w:val="009D3E64"/>
    <w:rsid w:val="009D4DCA"/>
    <w:rsid w:val="009D4EF5"/>
    <w:rsid w:val="009D7F2E"/>
    <w:rsid w:val="009E5805"/>
    <w:rsid w:val="009F4129"/>
    <w:rsid w:val="00A10282"/>
    <w:rsid w:val="00A12CCA"/>
    <w:rsid w:val="00A2047D"/>
    <w:rsid w:val="00A37FCB"/>
    <w:rsid w:val="00A53280"/>
    <w:rsid w:val="00A54660"/>
    <w:rsid w:val="00A54CEF"/>
    <w:rsid w:val="00A56452"/>
    <w:rsid w:val="00A6280E"/>
    <w:rsid w:val="00A668FC"/>
    <w:rsid w:val="00A6740B"/>
    <w:rsid w:val="00A775B8"/>
    <w:rsid w:val="00A77A83"/>
    <w:rsid w:val="00AA1249"/>
    <w:rsid w:val="00AB23D8"/>
    <w:rsid w:val="00AB6916"/>
    <w:rsid w:val="00AB7797"/>
    <w:rsid w:val="00AC7FE3"/>
    <w:rsid w:val="00AD3ACC"/>
    <w:rsid w:val="00AE3B20"/>
    <w:rsid w:val="00AE5B68"/>
    <w:rsid w:val="00AF066F"/>
    <w:rsid w:val="00AF237D"/>
    <w:rsid w:val="00AF2EBE"/>
    <w:rsid w:val="00AF31DC"/>
    <w:rsid w:val="00AF568B"/>
    <w:rsid w:val="00AF790D"/>
    <w:rsid w:val="00B0164C"/>
    <w:rsid w:val="00B12889"/>
    <w:rsid w:val="00B13562"/>
    <w:rsid w:val="00B1515E"/>
    <w:rsid w:val="00B176F6"/>
    <w:rsid w:val="00B20268"/>
    <w:rsid w:val="00B25556"/>
    <w:rsid w:val="00B27981"/>
    <w:rsid w:val="00B31247"/>
    <w:rsid w:val="00B44DD8"/>
    <w:rsid w:val="00B62F97"/>
    <w:rsid w:val="00B64222"/>
    <w:rsid w:val="00B70468"/>
    <w:rsid w:val="00B7226A"/>
    <w:rsid w:val="00B754A1"/>
    <w:rsid w:val="00B85C85"/>
    <w:rsid w:val="00B85CE3"/>
    <w:rsid w:val="00B86748"/>
    <w:rsid w:val="00BA13AA"/>
    <w:rsid w:val="00BB0D25"/>
    <w:rsid w:val="00BD4EF5"/>
    <w:rsid w:val="00BD5792"/>
    <w:rsid w:val="00BD650B"/>
    <w:rsid w:val="00BE061D"/>
    <w:rsid w:val="00BF78FA"/>
    <w:rsid w:val="00C013DC"/>
    <w:rsid w:val="00C1357A"/>
    <w:rsid w:val="00C17702"/>
    <w:rsid w:val="00C2058A"/>
    <w:rsid w:val="00C20644"/>
    <w:rsid w:val="00C217DA"/>
    <w:rsid w:val="00C2204B"/>
    <w:rsid w:val="00C222B7"/>
    <w:rsid w:val="00C2341A"/>
    <w:rsid w:val="00C30966"/>
    <w:rsid w:val="00C33D9C"/>
    <w:rsid w:val="00C465F0"/>
    <w:rsid w:val="00C622AB"/>
    <w:rsid w:val="00C62436"/>
    <w:rsid w:val="00C73144"/>
    <w:rsid w:val="00C74781"/>
    <w:rsid w:val="00C803EA"/>
    <w:rsid w:val="00C8565F"/>
    <w:rsid w:val="00C86209"/>
    <w:rsid w:val="00C93CA5"/>
    <w:rsid w:val="00CA309C"/>
    <w:rsid w:val="00CA4B99"/>
    <w:rsid w:val="00CA553A"/>
    <w:rsid w:val="00CA57D9"/>
    <w:rsid w:val="00CA5BB5"/>
    <w:rsid w:val="00CB7DD6"/>
    <w:rsid w:val="00CC006F"/>
    <w:rsid w:val="00CC6B86"/>
    <w:rsid w:val="00CD080A"/>
    <w:rsid w:val="00CD28AC"/>
    <w:rsid w:val="00CD3917"/>
    <w:rsid w:val="00CD3B81"/>
    <w:rsid w:val="00CE12C9"/>
    <w:rsid w:val="00CE300A"/>
    <w:rsid w:val="00D035CD"/>
    <w:rsid w:val="00D04E37"/>
    <w:rsid w:val="00D14421"/>
    <w:rsid w:val="00D2254C"/>
    <w:rsid w:val="00D27DCA"/>
    <w:rsid w:val="00D47236"/>
    <w:rsid w:val="00D52BCC"/>
    <w:rsid w:val="00D53AF1"/>
    <w:rsid w:val="00D55F91"/>
    <w:rsid w:val="00D57FCD"/>
    <w:rsid w:val="00D62D7D"/>
    <w:rsid w:val="00D71E0F"/>
    <w:rsid w:val="00D8348E"/>
    <w:rsid w:val="00D92D25"/>
    <w:rsid w:val="00D95CA8"/>
    <w:rsid w:val="00DA37C8"/>
    <w:rsid w:val="00DA5EFA"/>
    <w:rsid w:val="00DB68F9"/>
    <w:rsid w:val="00DB7DA0"/>
    <w:rsid w:val="00DC3061"/>
    <w:rsid w:val="00DC38CD"/>
    <w:rsid w:val="00DC4938"/>
    <w:rsid w:val="00DE264F"/>
    <w:rsid w:val="00DF6830"/>
    <w:rsid w:val="00E00EEA"/>
    <w:rsid w:val="00E112F3"/>
    <w:rsid w:val="00E12496"/>
    <w:rsid w:val="00E16384"/>
    <w:rsid w:val="00E16A42"/>
    <w:rsid w:val="00E1709B"/>
    <w:rsid w:val="00E259AD"/>
    <w:rsid w:val="00E2702C"/>
    <w:rsid w:val="00E308D8"/>
    <w:rsid w:val="00E4010F"/>
    <w:rsid w:val="00E40A05"/>
    <w:rsid w:val="00E426A3"/>
    <w:rsid w:val="00E4285A"/>
    <w:rsid w:val="00E50818"/>
    <w:rsid w:val="00E51601"/>
    <w:rsid w:val="00E53352"/>
    <w:rsid w:val="00E574F1"/>
    <w:rsid w:val="00E608C6"/>
    <w:rsid w:val="00E622FD"/>
    <w:rsid w:val="00E63B38"/>
    <w:rsid w:val="00E6510F"/>
    <w:rsid w:val="00E93819"/>
    <w:rsid w:val="00E96BB6"/>
    <w:rsid w:val="00EA28F1"/>
    <w:rsid w:val="00EA709A"/>
    <w:rsid w:val="00EA7780"/>
    <w:rsid w:val="00EC430D"/>
    <w:rsid w:val="00ED50A1"/>
    <w:rsid w:val="00EE23B9"/>
    <w:rsid w:val="00EE2E9E"/>
    <w:rsid w:val="00EF07E7"/>
    <w:rsid w:val="00EF55E8"/>
    <w:rsid w:val="00EF7E32"/>
    <w:rsid w:val="00F05A68"/>
    <w:rsid w:val="00F108FA"/>
    <w:rsid w:val="00F1795D"/>
    <w:rsid w:val="00F22A4F"/>
    <w:rsid w:val="00F30AD9"/>
    <w:rsid w:val="00F43590"/>
    <w:rsid w:val="00F4694D"/>
    <w:rsid w:val="00F55109"/>
    <w:rsid w:val="00F55918"/>
    <w:rsid w:val="00F55953"/>
    <w:rsid w:val="00F57A59"/>
    <w:rsid w:val="00F62F53"/>
    <w:rsid w:val="00F643CB"/>
    <w:rsid w:val="00F67A86"/>
    <w:rsid w:val="00F72E0F"/>
    <w:rsid w:val="00F83B90"/>
    <w:rsid w:val="00F92244"/>
    <w:rsid w:val="00F950B6"/>
    <w:rsid w:val="00F95A0D"/>
    <w:rsid w:val="00FA01DC"/>
    <w:rsid w:val="00FA5236"/>
    <w:rsid w:val="00FB282C"/>
    <w:rsid w:val="00FB52B5"/>
    <w:rsid w:val="00FB64B7"/>
    <w:rsid w:val="00FC34DC"/>
    <w:rsid w:val="00FD253C"/>
    <w:rsid w:val="00FD2A83"/>
    <w:rsid w:val="00FD70DA"/>
    <w:rsid w:val="00FE06FA"/>
    <w:rsid w:val="00FE2BD6"/>
    <w:rsid w:val="00FE735E"/>
    <w:rsid w:val="00FF4211"/>
    <w:rsid w:val="011D307D"/>
    <w:rsid w:val="015754F6"/>
    <w:rsid w:val="01706EDD"/>
    <w:rsid w:val="01A249C3"/>
    <w:rsid w:val="01A71FD9"/>
    <w:rsid w:val="01D815E2"/>
    <w:rsid w:val="025B142F"/>
    <w:rsid w:val="02B86C41"/>
    <w:rsid w:val="03273EDD"/>
    <w:rsid w:val="03840BFC"/>
    <w:rsid w:val="03843986"/>
    <w:rsid w:val="03A74512"/>
    <w:rsid w:val="03C359CE"/>
    <w:rsid w:val="04371D68"/>
    <w:rsid w:val="045F303F"/>
    <w:rsid w:val="04B0389B"/>
    <w:rsid w:val="04BE5578"/>
    <w:rsid w:val="04DD5A8D"/>
    <w:rsid w:val="05CA44E8"/>
    <w:rsid w:val="06304C93"/>
    <w:rsid w:val="068261F7"/>
    <w:rsid w:val="06F061D0"/>
    <w:rsid w:val="072A7E0E"/>
    <w:rsid w:val="072E6CF9"/>
    <w:rsid w:val="07585B24"/>
    <w:rsid w:val="08471EE7"/>
    <w:rsid w:val="08AB6853"/>
    <w:rsid w:val="09122488"/>
    <w:rsid w:val="0A0F696E"/>
    <w:rsid w:val="0A2763AD"/>
    <w:rsid w:val="0A4133DB"/>
    <w:rsid w:val="0A6D7B38"/>
    <w:rsid w:val="0AFB5649"/>
    <w:rsid w:val="0B2C0D3A"/>
    <w:rsid w:val="0BA04D77"/>
    <w:rsid w:val="0C2A0BF5"/>
    <w:rsid w:val="0C4704C8"/>
    <w:rsid w:val="0CA05FA3"/>
    <w:rsid w:val="0CBF22A5"/>
    <w:rsid w:val="0E317A68"/>
    <w:rsid w:val="0E4558E5"/>
    <w:rsid w:val="0F0942D3"/>
    <w:rsid w:val="0F714916"/>
    <w:rsid w:val="0FAE1906"/>
    <w:rsid w:val="0FF00FEF"/>
    <w:rsid w:val="1023528A"/>
    <w:rsid w:val="1057106E"/>
    <w:rsid w:val="10A65B52"/>
    <w:rsid w:val="10AF4A06"/>
    <w:rsid w:val="10BF41C1"/>
    <w:rsid w:val="10DB02A5"/>
    <w:rsid w:val="110765F0"/>
    <w:rsid w:val="114844F4"/>
    <w:rsid w:val="11D24E50"/>
    <w:rsid w:val="12040D82"/>
    <w:rsid w:val="121E0096"/>
    <w:rsid w:val="135710DE"/>
    <w:rsid w:val="13763F01"/>
    <w:rsid w:val="138E6D1B"/>
    <w:rsid w:val="14820A8D"/>
    <w:rsid w:val="14C64F82"/>
    <w:rsid w:val="14D94748"/>
    <w:rsid w:val="15127C5A"/>
    <w:rsid w:val="15545B7C"/>
    <w:rsid w:val="15CE063D"/>
    <w:rsid w:val="16140CAA"/>
    <w:rsid w:val="16480B2D"/>
    <w:rsid w:val="16491459"/>
    <w:rsid w:val="16897AA8"/>
    <w:rsid w:val="16D74CB7"/>
    <w:rsid w:val="16F72363"/>
    <w:rsid w:val="16F737CF"/>
    <w:rsid w:val="17047E69"/>
    <w:rsid w:val="17722C4A"/>
    <w:rsid w:val="18B057C0"/>
    <w:rsid w:val="197E766C"/>
    <w:rsid w:val="19F83E30"/>
    <w:rsid w:val="1A203211"/>
    <w:rsid w:val="1A5F3F8D"/>
    <w:rsid w:val="1AD35795"/>
    <w:rsid w:val="1AE37DAC"/>
    <w:rsid w:val="1B610FF3"/>
    <w:rsid w:val="1BB966C2"/>
    <w:rsid w:val="1BF63E31"/>
    <w:rsid w:val="1C0B5BED"/>
    <w:rsid w:val="1C36422E"/>
    <w:rsid w:val="1C580648"/>
    <w:rsid w:val="1CAC44F0"/>
    <w:rsid w:val="1CE913FB"/>
    <w:rsid w:val="1D33076D"/>
    <w:rsid w:val="1D81597C"/>
    <w:rsid w:val="1D880FF1"/>
    <w:rsid w:val="1E0B6C1B"/>
    <w:rsid w:val="1E8A0B5C"/>
    <w:rsid w:val="1EB51D82"/>
    <w:rsid w:val="1F2B5263"/>
    <w:rsid w:val="1F3E5A41"/>
    <w:rsid w:val="1F5D1D2B"/>
    <w:rsid w:val="1F6A7D92"/>
    <w:rsid w:val="1F835BC6"/>
    <w:rsid w:val="1F861095"/>
    <w:rsid w:val="1FF97A4C"/>
    <w:rsid w:val="21252037"/>
    <w:rsid w:val="21EB7868"/>
    <w:rsid w:val="21EC01C9"/>
    <w:rsid w:val="22B42881"/>
    <w:rsid w:val="22EF2C55"/>
    <w:rsid w:val="23694EE9"/>
    <w:rsid w:val="24BC41ED"/>
    <w:rsid w:val="25057388"/>
    <w:rsid w:val="251635B1"/>
    <w:rsid w:val="26A34BB6"/>
    <w:rsid w:val="27AA04AD"/>
    <w:rsid w:val="27EA7B3E"/>
    <w:rsid w:val="290D27BA"/>
    <w:rsid w:val="29D84E28"/>
    <w:rsid w:val="2A297180"/>
    <w:rsid w:val="2A4F34AE"/>
    <w:rsid w:val="2A7228D5"/>
    <w:rsid w:val="2A931EF2"/>
    <w:rsid w:val="2B373B1E"/>
    <w:rsid w:val="2BA81B0F"/>
    <w:rsid w:val="2BE27F2E"/>
    <w:rsid w:val="2BF439E4"/>
    <w:rsid w:val="2C3A48DD"/>
    <w:rsid w:val="2CD535EF"/>
    <w:rsid w:val="2D4367AA"/>
    <w:rsid w:val="2D8F7C42"/>
    <w:rsid w:val="2DBC4F2C"/>
    <w:rsid w:val="2E112405"/>
    <w:rsid w:val="2E532A1D"/>
    <w:rsid w:val="2E894691"/>
    <w:rsid w:val="2F076314"/>
    <w:rsid w:val="2F340C6F"/>
    <w:rsid w:val="2F996FA3"/>
    <w:rsid w:val="2FC516F9"/>
    <w:rsid w:val="2FDF23AD"/>
    <w:rsid w:val="30326658"/>
    <w:rsid w:val="309D60F1"/>
    <w:rsid w:val="30C46B8E"/>
    <w:rsid w:val="30DA5678"/>
    <w:rsid w:val="30E738F1"/>
    <w:rsid w:val="317F10F1"/>
    <w:rsid w:val="3185151F"/>
    <w:rsid w:val="318B7467"/>
    <w:rsid w:val="318D566C"/>
    <w:rsid w:val="3212499D"/>
    <w:rsid w:val="32193F7E"/>
    <w:rsid w:val="324C7EAF"/>
    <w:rsid w:val="33474073"/>
    <w:rsid w:val="33910008"/>
    <w:rsid w:val="339C441B"/>
    <w:rsid w:val="33CD4D7C"/>
    <w:rsid w:val="33E2149B"/>
    <w:rsid w:val="342015F4"/>
    <w:rsid w:val="34580D8D"/>
    <w:rsid w:val="34713BFD"/>
    <w:rsid w:val="34EA39B0"/>
    <w:rsid w:val="365722C5"/>
    <w:rsid w:val="36794FEB"/>
    <w:rsid w:val="377D0B0B"/>
    <w:rsid w:val="383733B0"/>
    <w:rsid w:val="384A4E91"/>
    <w:rsid w:val="384D4E1B"/>
    <w:rsid w:val="389C3213"/>
    <w:rsid w:val="38BB18EB"/>
    <w:rsid w:val="38BB45E8"/>
    <w:rsid w:val="39830155"/>
    <w:rsid w:val="39B64005"/>
    <w:rsid w:val="39CE564E"/>
    <w:rsid w:val="3B702E61"/>
    <w:rsid w:val="3B781D15"/>
    <w:rsid w:val="3B8A37F6"/>
    <w:rsid w:val="3B8B6D53"/>
    <w:rsid w:val="3BDD283B"/>
    <w:rsid w:val="3BFF2436"/>
    <w:rsid w:val="3C017F5D"/>
    <w:rsid w:val="3C027831"/>
    <w:rsid w:val="3C326368"/>
    <w:rsid w:val="3C700C3E"/>
    <w:rsid w:val="3D151B96"/>
    <w:rsid w:val="3D533A17"/>
    <w:rsid w:val="3D8E5820"/>
    <w:rsid w:val="3D9E148D"/>
    <w:rsid w:val="3E026086"/>
    <w:rsid w:val="3E460990"/>
    <w:rsid w:val="3EB471D1"/>
    <w:rsid w:val="3EB968CD"/>
    <w:rsid w:val="3F3441A5"/>
    <w:rsid w:val="40460634"/>
    <w:rsid w:val="40861B8B"/>
    <w:rsid w:val="40C3192E"/>
    <w:rsid w:val="40D23C76"/>
    <w:rsid w:val="40DD6B05"/>
    <w:rsid w:val="4114603C"/>
    <w:rsid w:val="41256FC0"/>
    <w:rsid w:val="423F009A"/>
    <w:rsid w:val="42A930FC"/>
    <w:rsid w:val="42BF0BFF"/>
    <w:rsid w:val="432A10FA"/>
    <w:rsid w:val="43AB09DB"/>
    <w:rsid w:val="440305EA"/>
    <w:rsid w:val="440A1978"/>
    <w:rsid w:val="444F7C3D"/>
    <w:rsid w:val="44623562"/>
    <w:rsid w:val="446D6FFB"/>
    <w:rsid w:val="448B40A2"/>
    <w:rsid w:val="44906321"/>
    <w:rsid w:val="44D30135"/>
    <w:rsid w:val="455C6204"/>
    <w:rsid w:val="457658C6"/>
    <w:rsid w:val="45D66F35"/>
    <w:rsid w:val="46146BDA"/>
    <w:rsid w:val="46D36999"/>
    <w:rsid w:val="47B524B5"/>
    <w:rsid w:val="47D62416"/>
    <w:rsid w:val="480A1F47"/>
    <w:rsid w:val="484A6CC6"/>
    <w:rsid w:val="48D01A38"/>
    <w:rsid w:val="492E0B7A"/>
    <w:rsid w:val="4942181A"/>
    <w:rsid w:val="49553696"/>
    <w:rsid w:val="496658A3"/>
    <w:rsid w:val="496A0282"/>
    <w:rsid w:val="498D2E30"/>
    <w:rsid w:val="49926698"/>
    <w:rsid w:val="4A7E3685"/>
    <w:rsid w:val="4B1A06F3"/>
    <w:rsid w:val="4B54629A"/>
    <w:rsid w:val="4B864E0B"/>
    <w:rsid w:val="4B9D3314"/>
    <w:rsid w:val="4CC11B80"/>
    <w:rsid w:val="4CC50B32"/>
    <w:rsid w:val="4D1A7977"/>
    <w:rsid w:val="4D2E0486"/>
    <w:rsid w:val="4D7C725D"/>
    <w:rsid w:val="4DAE274D"/>
    <w:rsid w:val="4DD74FC1"/>
    <w:rsid w:val="4DF63713"/>
    <w:rsid w:val="4E0B6BEC"/>
    <w:rsid w:val="4E524648"/>
    <w:rsid w:val="4E6E0007"/>
    <w:rsid w:val="4E740A62"/>
    <w:rsid w:val="4EEF086A"/>
    <w:rsid w:val="4F056A31"/>
    <w:rsid w:val="4F1D7053"/>
    <w:rsid w:val="4F8A641B"/>
    <w:rsid w:val="4FCD042A"/>
    <w:rsid w:val="4FE92D8A"/>
    <w:rsid w:val="50262FA1"/>
    <w:rsid w:val="508106CA"/>
    <w:rsid w:val="50C61CB9"/>
    <w:rsid w:val="50F32112"/>
    <w:rsid w:val="510E79F3"/>
    <w:rsid w:val="51200031"/>
    <w:rsid w:val="5139389D"/>
    <w:rsid w:val="51BC69A8"/>
    <w:rsid w:val="52195BA8"/>
    <w:rsid w:val="52750905"/>
    <w:rsid w:val="52B70F1D"/>
    <w:rsid w:val="52B809DA"/>
    <w:rsid w:val="52D740D0"/>
    <w:rsid w:val="53080F5A"/>
    <w:rsid w:val="533A45D6"/>
    <w:rsid w:val="53456529"/>
    <w:rsid w:val="53910DC3"/>
    <w:rsid w:val="53E2646E"/>
    <w:rsid w:val="545033D7"/>
    <w:rsid w:val="546926F0"/>
    <w:rsid w:val="54D02715"/>
    <w:rsid w:val="55A7171D"/>
    <w:rsid w:val="55DD5482"/>
    <w:rsid w:val="55E55DA1"/>
    <w:rsid w:val="563A433F"/>
    <w:rsid w:val="56682C5A"/>
    <w:rsid w:val="567333AD"/>
    <w:rsid w:val="56835CE6"/>
    <w:rsid w:val="57594E85"/>
    <w:rsid w:val="58DC1260"/>
    <w:rsid w:val="59154BEF"/>
    <w:rsid w:val="594352B9"/>
    <w:rsid w:val="59F85148"/>
    <w:rsid w:val="5A005B3D"/>
    <w:rsid w:val="5A376AA4"/>
    <w:rsid w:val="5A3A4F0C"/>
    <w:rsid w:val="5A8879CA"/>
    <w:rsid w:val="5AAC50E0"/>
    <w:rsid w:val="5B6F6839"/>
    <w:rsid w:val="5B921FCF"/>
    <w:rsid w:val="5BB375DD"/>
    <w:rsid w:val="5BFA7367"/>
    <w:rsid w:val="5C2617A2"/>
    <w:rsid w:val="5D92680F"/>
    <w:rsid w:val="5E270C49"/>
    <w:rsid w:val="5E3E0EDA"/>
    <w:rsid w:val="5EB34C8F"/>
    <w:rsid w:val="5EC02D37"/>
    <w:rsid w:val="5EF40131"/>
    <w:rsid w:val="5F755E99"/>
    <w:rsid w:val="5FE24921"/>
    <w:rsid w:val="60193217"/>
    <w:rsid w:val="60890F6F"/>
    <w:rsid w:val="60C2740B"/>
    <w:rsid w:val="61565DA5"/>
    <w:rsid w:val="61F92748"/>
    <w:rsid w:val="61FC06FB"/>
    <w:rsid w:val="626E224E"/>
    <w:rsid w:val="63660521"/>
    <w:rsid w:val="636760C4"/>
    <w:rsid w:val="63B15515"/>
    <w:rsid w:val="63D95197"/>
    <w:rsid w:val="64414AEB"/>
    <w:rsid w:val="648D7D30"/>
    <w:rsid w:val="64FE4FCB"/>
    <w:rsid w:val="65297A59"/>
    <w:rsid w:val="65D976D1"/>
    <w:rsid w:val="667F18FA"/>
    <w:rsid w:val="66D71736"/>
    <w:rsid w:val="66D73102"/>
    <w:rsid w:val="672C5AD3"/>
    <w:rsid w:val="67462EB7"/>
    <w:rsid w:val="67D87514"/>
    <w:rsid w:val="67DE61E5"/>
    <w:rsid w:val="67E4235D"/>
    <w:rsid w:val="683010FE"/>
    <w:rsid w:val="686F45DB"/>
    <w:rsid w:val="69B4059B"/>
    <w:rsid w:val="69F12B0F"/>
    <w:rsid w:val="69FA49F0"/>
    <w:rsid w:val="6A281088"/>
    <w:rsid w:val="6ADF6E0B"/>
    <w:rsid w:val="6B326F84"/>
    <w:rsid w:val="6B4A5888"/>
    <w:rsid w:val="6B824366"/>
    <w:rsid w:val="6C77554D"/>
    <w:rsid w:val="6CCE6B51"/>
    <w:rsid w:val="6D1E3C1B"/>
    <w:rsid w:val="6D874658"/>
    <w:rsid w:val="6E3B6A4F"/>
    <w:rsid w:val="6F850F1F"/>
    <w:rsid w:val="701C50DD"/>
    <w:rsid w:val="70270F1C"/>
    <w:rsid w:val="70291255"/>
    <w:rsid w:val="70657AF7"/>
    <w:rsid w:val="706622EA"/>
    <w:rsid w:val="71983DDB"/>
    <w:rsid w:val="71AB1E37"/>
    <w:rsid w:val="72404DB1"/>
    <w:rsid w:val="72BC63B0"/>
    <w:rsid w:val="72CE60E3"/>
    <w:rsid w:val="72FB2D0F"/>
    <w:rsid w:val="73801F1C"/>
    <w:rsid w:val="7452064E"/>
    <w:rsid w:val="74911176"/>
    <w:rsid w:val="74D53759"/>
    <w:rsid w:val="74F87447"/>
    <w:rsid w:val="750162FC"/>
    <w:rsid w:val="75077FDE"/>
    <w:rsid w:val="750D17DB"/>
    <w:rsid w:val="75842A89"/>
    <w:rsid w:val="75994786"/>
    <w:rsid w:val="759C6AC7"/>
    <w:rsid w:val="75B4121E"/>
    <w:rsid w:val="7712004B"/>
    <w:rsid w:val="77132317"/>
    <w:rsid w:val="775366D4"/>
    <w:rsid w:val="779C1AC2"/>
    <w:rsid w:val="77EB2DA0"/>
    <w:rsid w:val="781B7179"/>
    <w:rsid w:val="781D17ED"/>
    <w:rsid w:val="78317630"/>
    <w:rsid w:val="78AE7AE9"/>
    <w:rsid w:val="78CF27FF"/>
    <w:rsid w:val="795E3079"/>
    <w:rsid w:val="798B6DBB"/>
    <w:rsid w:val="79C55BC7"/>
    <w:rsid w:val="7A8B699F"/>
    <w:rsid w:val="7A904D2F"/>
    <w:rsid w:val="7A94551C"/>
    <w:rsid w:val="7ADF0872"/>
    <w:rsid w:val="7B11793F"/>
    <w:rsid w:val="7BCB656D"/>
    <w:rsid w:val="7BD53926"/>
    <w:rsid w:val="7BDE278F"/>
    <w:rsid w:val="7C635AEE"/>
    <w:rsid w:val="7C6A041E"/>
    <w:rsid w:val="7D893333"/>
    <w:rsid w:val="7DD50326"/>
    <w:rsid w:val="7DD556F1"/>
    <w:rsid w:val="7ED06D3F"/>
    <w:rsid w:val="7EFD0012"/>
    <w:rsid w:val="7F332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paragraph" w:styleId="6">
    <w:name w:val="heading 4"/>
    <w:basedOn w:val="1"/>
    <w:next w:val="1"/>
    <w:link w:val="31"/>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7">
    <w:name w:val="Document Map"/>
    <w:basedOn w:val="1"/>
    <w:link w:val="50"/>
    <w:qFormat/>
    <w:uiPriority w:val="0"/>
    <w:pPr>
      <w:shd w:val="clear" w:color="auto" w:fill="000080"/>
    </w:pPr>
    <w:rPr>
      <w:rFonts w:ascii="Times New Roman" w:hAnsi="Times New Roman"/>
      <w:szCs w:val="24"/>
    </w:rPr>
  </w:style>
  <w:style w:type="paragraph" w:styleId="8">
    <w:name w:val="annotation text"/>
    <w:basedOn w:val="1"/>
    <w:link w:val="32"/>
    <w:qFormat/>
    <w:uiPriority w:val="99"/>
    <w:pPr>
      <w:jc w:val="left"/>
    </w:pPr>
  </w:style>
  <w:style w:type="paragraph" w:styleId="9">
    <w:name w:val="Salutation"/>
    <w:basedOn w:val="1"/>
    <w:next w:val="1"/>
    <w:link w:val="52"/>
    <w:qFormat/>
    <w:uiPriority w:val="0"/>
    <w:rPr>
      <w:rFonts w:ascii="Times New Roman" w:hAnsi="Times New Roman"/>
      <w:szCs w:val="24"/>
    </w:rPr>
  </w:style>
  <w:style w:type="paragraph" w:styleId="10">
    <w:name w:val="Body Text"/>
    <w:basedOn w:val="1"/>
    <w:link w:val="33"/>
    <w:qFormat/>
    <w:uiPriority w:val="0"/>
    <w:pPr>
      <w:spacing w:line="480" w:lineRule="exact"/>
      <w:jc w:val="left"/>
    </w:pPr>
    <w:rPr>
      <w:rFonts w:ascii="宋体" w:hAnsi="宋体"/>
      <w:szCs w:val="24"/>
    </w:rPr>
  </w:style>
  <w:style w:type="paragraph" w:styleId="11">
    <w:name w:val="Plain Text"/>
    <w:basedOn w:val="1"/>
    <w:link w:val="55"/>
    <w:qFormat/>
    <w:uiPriority w:val="0"/>
    <w:rPr>
      <w:rFonts w:ascii="宋体" w:hAnsi="Courier New"/>
      <w:szCs w:val="20"/>
    </w:rPr>
  </w:style>
  <w:style w:type="paragraph" w:styleId="12">
    <w:name w:val="Body Text Indent 2"/>
    <w:basedOn w:val="1"/>
    <w:link w:val="56"/>
    <w:qFormat/>
    <w:uiPriority w:val="0"/>
    <w:pPr>
      <w:spacing w:after="120" w:line="480" w:lineRule="auto"/>
      <w:ind w:left="420" w:leftChars="200"/>
    </w:pPr>
    <w:rPr>
      <w:rFonts w:ascii="Times New Roman" w:hAnsi="Times New Roman"/>
      <w:szCs w:val="24"/>
    </w:rPr>
  </w:style>
  <w:style w:type="paragraph" w:styleId="13">
    <w:name w:val="Balloon Text"/>
    <w:basedOn w:val="1"/>
    <w:link w:val="34"/>
    <w:qFormat/>
    <w:uiPriority w:val="0"/>
    <w:rPr>
      <w:sz w:val="18"/>
      <w:szCs w:val="18"/>
    </w:rPr>
  </w:style>
  <w:style w:type="paragraph" w:styleId="14">
    <w:name w:val="footer"/>
    <w:basedOn w:val="1"/>
    <w:link w:val="35"/>
    <w:qFormat/>
    <w:uiPriority w:val="0"/>
    <w:pPr>
      <w:tabs>
        <w:tab w:val="center" w:pos="4153"/>
        <w:tab w:val="right" w:pos="8306"/>
      </w:tabs>
      <w:snapToGrid w:val="0"/>
      <w:jc w:val="left"/>
    </w:pPr>
    <w:rPr>
      <w:rFonts w:ascii="Times New Roman" w:hAnsi="Times New Roman"/>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footnote text"/>
    <w:basedOn w:val="1"/>
    <w:link w:val="57"/>
    <w:qFormat/>
    <w:uiPriority w:val="0"/>
    <w:pPr>
      <w:snapToGrid w:val="0"/>
      <w:jc w:val="left"/>
    </w:pPr>
    <w:rPr>
      <w:rFonts w:ascii="Times New Roman" w:hAnsi="Times New Roman"/>
      <w:sz w:val="18"/>
      <w:szCs w:val="24"/>
    </w:rPr>
  </w:style>
  <w:style w:type="paragraph" w:styleId="17">
    <w:name w:val="Body Text Indent 3"/>
    <w:basedOn w:val="1"/>
    <w:link w:val="58"/>
    <w:qFormat/>
    <w:uiPriority w:val="0"/>
    <w:pPr>
      <w:spacing w:line="360" w:lineRule="auto"/>
      <w:ind w:left="1978" w:leftChars="942"/>
    </w:pPr>
    <w:rPr>
      <w:rFonts w:ascii="Times New Roman" w:hAnsi="宋体"/>
      <w:sz w:val="24"/>
      <w:szCs w:val="24"/>
    </w:rPr>
  </w:style>
  <w:style w:type="paragraph" w:styleId="18">
    <w:name w:val="Body Text 2"/>
    <w:basedOn w:val="1"/>
    <w:link w:val="59"/>
    <w:qFormat/>
    <w:uiPriority w:val="0"/>
    <w:rPr>
      <w:rFonts w:ascii="Times New Roman" w:hAnsi="Times New Roman" w:eastAsia="楷体_GB2312"/>
      <w:b/>
      <w:bCs/>
      <w:szCs w:val="24"/>
    </w:rPr>
  </w:style>
  <w:style w:type="paragraph" w:styleId="19">
    <w:name w:val="HTML Preformatted"/>
    <w:basedOn w:val="1"/>
    <w:link w:val="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38"/>
    <w:qFormat/>
    <w:uiPriority w:val="0"/>
    <w:rPr>
      <w:b/>
      <w:bCs/>
    </w:rPr>
  </w:style>
  <w:style w:type="table" w:styleId="23">
    <w:name w:val="Table Grid"/>
    <w:basedOn w:val="22"/>
    <w:unhideWhenUsed/>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qFormat/>
    <w:uiPriority w:val="99"/>
    <w:rPr>
      <w:sz w:val="21"/>
      <w:szCs w:val="21"/>
    </w:rPr>
  </w:style>
  <w:style w:type="character" w:customStyle="1" w:styleId="29">
    <w:name w:val="标题 2 字符"/>
    <w:link w:val="4"/>
    <w:qFormat/>
    <w:uiPriority w:val="0"/>
    <w:rPr>
      <w:rFonts w:ascii="Cambria" w:hAnsi="Cambria" w:eastAsia="宋体" w:cs="Times New Roman"/>
      <w:b/>
      <w:bCs/>
      <w:kern w:val="2"/>
      <w:sz w:val="32"/>
      <w:szCs w:val="32"/>
    </w:rPr>
  </w:style>
  <w:style w:type="character" w:customStyle="1" w:styleId="30">
    <w:name w:val="标题 3 字符"/>
    <w:link w:val="5"/>
    <w:qFormat/>
    <w:uiPriority w:val="0"/>
    <w:rPr>
      <w:b/>
      <w:bCs/>
      <w:kern w:val="2"/>
      <w:sz w:val="32"/>
      <w:szCs w:val="32"/>
    </w:rPr>
  </w:style>
  <w:style w:type="character" w:customStyle="1" w:styleId="31">
    <w:name w:val="标题 4 字符"/>
    <w:link w:val="6"/>
    <w:qFormat/>
    <w:uiPriority w:val="0"/>
    <w:rPr>
      <w:rFonts w:ascii="Cambria" w:hAnsi="Cambria" w:eastAsia="宋体" w:cs="Times New Roman"/>
      <w:b/>
      <w:bCs/>
      <w:kern w:val="2"/>
      <w:sz w:val="28"/>
      <w:szCs w:val="28"/>
    </w:rPr>
  </w:style>
  <w:style w:type="character" w:customStyle="1" w:styleId="32">
    <w:name w:val="批注文字 字符"/>
    <w:link w:val="8"/>
    <w:qFormat/>
    <w:uiPriority w:val="0"/>
    <w:rPr>
      <w:kern w:val="2"/>
      <w:sz w:val="21"/>
      <w:szCs w:val="22"/>
    </w:rPr>
  </w:style>
  <w:style w:type="character" w:customStyle="1" w:styleId="33">
    <w:name w:val="正文文本 字符"/>
    <w:link w:val="10"/>
    <w:qFormat/>
    <w:uiPriority w:val="0"/>
    <w:rPr>
      <w:rFonts w:ascii="宋体" w:hAnsi="宋体"/>
      <w:kern w:val="2"/>
      <w:sz w:val="21"/>
      <w:szCs w:val="24"/>
    </w:rPr>
  </w:style>
  <w:style w:type="character" w:customStyle="1" w:styleId="34">
    <w:name w:val="批注框文本 字符"/>
    <w:link w:val="13"/>
    <w:qFormat/>
    <w:uiPriority w:val="0"/>
    <w:rPr>
      <w:kern w:val="2"/>
      <w:sz w:val="18"/>
      <w:szCs w:val="18"/>
    </w:rPr>
  </w:style>
  <w:style w:type="character" w:customStyle="1" w:styleId="35">
    <w:name w:val="页脚 字符"/>
    <w:link w:val="14"/>
    <w:qFormat/>
    <w:uiPriority w:val="0"/>
    <w:rPr>
      <w:rFonts w:ascii="Times New Roman" w:hAnsi="Times New Roman"/>
      <w:kern w:val="2"/>
      <w:sz w:val="18"/>
      <w:szCs w:val="18"/>
    </w:rPr>
  </w:style>
  <w:style w:type="character" w:customStyle="1" w:styleId="36">
    <w:name w:val="页眉 字符"/>
    <w:link w:val="15"/>
    <w:qFormat/>
    <w:uiPriority w:val="0"/>
    <w:rPr>
      <w:rFonts w:ascii="Times New Roman" w:hAnsi="Times New Roman"/>
      <w:kern w:val="2"/>
      <w:sz w:val="18"/>
      <w:szCs w:val="18"/>
    </w:rPr>
  </w:style>
  <w:style w:type="character" w:customStyle="1" w:styleId="37">
    <w:name w:val="HTML 预设格式 字符"/>
    <w:link w:val="19"/>
    <w:qFormat/>
    <w:uiPriority w:val="0"/>
    <w:rPr>
      <w:rFonts w:ascii="Arial" w:hAnsi="Arial" w:cs="Arial"/>
      <w:sz w:val="28"/>
      <w:szCs w:val="28"/>
    </w:rPr>
  </w:style>
  <w:style w:type="character" w:customStyle="1" w:styleId="38">
    <w:name w:val="批注主题 字符"/>
    <w:link w:val="21"/>
    <w:qFormat/>
    <w:uiPriority w:val="0"/>
    <w:rPr>
      <w:b/>
      <w:bCs/>
      <w:kern w:val="2"/>
      <w:sz w:val="21"/>
      <w:szCs w:val="22"/>
    </w:rPr>
  </w:style>
  <w:style w:type="character" w:customStyle="1" w:styleId="39">
    <w:name w:val="普通 (Web) Char Char"/>
    <w:link w:val="40"/>
    <w:qFormat/>
    <w:uiPriority w:val="0"/>
    <w:rPr>
      <w:rFonts w:ascii="宋体" w:hAnsi="宋体"/>
      <w:sz w:val="24"/>
      <w:szCs w:val="24"/>
    </w:rPr>
  </w:style>
  <w:style w:type="paragraph" w:customStyle="1" w:styleId="40">
    <w:name w:val="普通 (Web)"/>
    <w:basedOn w:val="1"/>
    <w:link w:val="39"/>
    <w:qFormat/>
    <w:uiPriority w:val="0"/>
    <w:pPr>
      <w:widowControl/>
      <w:spacing w:before="100" w:beforeAutospacing="1" w:after="100" w:afterAutospacing="1"/>
      <w:jc w:val="left"/>
    </w:pPr>
    <w:rPr>
      <w:rFonts w:ascii="宋体" w:hAnsi="宋体"/>
      <w:kern w:val="0"/>
      <w:sz w:val="24"/>
      <w:szCs w:val="24"/>
    </w:rPr>
  </w:style>
  <w:style w:type="paragraph" w:customStyle="1" w:styleId="41">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2">
    <w:name w:val="p0"/>
    <w:basedOn w:val="1"/>
    <w:qFormat/>
    <w:uiPriority w:val="0"/>
    <w:pPr>
      <w:widowControl/>
    </w:pPr>
    <w:rPr>
      <w:kern w:val="0"/>
      <w:szCs w:val="21"/>
    </w:rPr>
  </w:style>
  <w:style w:type="paragraph" w:customStyle="1" w:styleId="43">
    <w:name w:val="列出段落1"/>
    <w:basedOn w:val="1"/>
    <w:qFormat/>
    <w:uiPriority w:val="0"/>
    <w:pPr>
      <w:ind w:firstLine="420" w:firstLineChars="200"/>
    </w:pPr>
    <w:rPr>
      <w:rFonts w:ascii="Times New Roman" w:hAnsi="Times New Roman"/>
      <w:szCs w:val="20"/>
    </w:rPr>
  </w:style>
  <w:style w:type="paragraph" w:customStyle="1" w:styleId="44">
    <w:name w:val="Revision"/>
    <w:unhideWhenUsed/>
    <w:qFormat/>
    <w:uiPriority w:val="99"/>
    <w:rPr>
      <w:rFonts w:ascii="Calibri" w:hAnsi="Calibri" w:eastAsia="宋体" w:cs="Times New Roman"/>
      <w:kern w:val="2"/>
      <w:sz w:val="21"/>
      <w:szCs w:val="22"/>
      <w:lang w:val="en-US" w:eastAsia="zh-CN" w:bidi="ar-SA"/>
    </w:rPr>
  </w:style>
  <w:style w:type="character" w:customStyle="1" w:styleId="45">
    <w:name w:val="标题 1 字符"/>
    <w:qFormat/>
    <w:uiPriority w:val="0"/>
    <w:rPr>
      <w:b/>
      <w:bCs/>
      <w:kern w:val="44"/>
      <w:sz w:val="44"/>
      <w:szCs w:val="44"/>
    </w:rPr>
  </w:style>
  <w:style w:type="character" w:customStyle="1" w:styleId="46">
    <w:name w:val="标题 1 字符1"/>
    <w:link w:val="3"/>
    <w:qFormat/>
    <w:uiPriority w:val="0"/>
    <w:rPr>
      <w:rFonts w:ascii="Times New Roman" w:hAnsi="Times New Roman"/>
      <w:b/>
      <w:bCs/>
      <w:kern w:val="44"/>
      <w:sz w:val="44"/>
      <w:szCs w:val="44"/>
    </w:rPr>
  </w:style>
  <w:style w:type="character" w:customStyle="1" w:styleId="47">
    <w:name w:val="标题 3 Char"/>
    <w:qFormat/>
    <w:uiPriority w:val="0"/>
    <w:rPr>
      <w:rFonts w:eastAsia="宋体"/>
      <w:b/>
      <w:bCs/>
      <w:kern w:val="2"/>
      <w:sz w:val="32"/>
      <w:szCs w:val="32"/>
      <w:lang w:val="en-US" w:eastAsia="zh-CN"/>
    </w:rPr>
  </w:style>
  <w:style w:type="paragraph" w:customStyle="1" w:styleId="48">
    <w:name w:val="_Style 37"/>
    <w:basedOn w:val="1"/>
    <w:next w:val="49"/>
    <w:qFormat/>
    <w:uiPriority w:val="0"/>
    <w:pPr>
      <w:ind w:firstLine="420" w:firstLineChars="200"/>
    </w:pPr>
  </w:style>
  <w:style w:type="paragraph" w:styleId="49">
    <w:name w:val="List Paragraph"/>
    <w:basedOn w:val="1"/>
    <w:qFormat/>
    <w:uiPriority w:val="99"/>
    <w:pPr>
      <w:ind w:firstLine="420" w:firstLineChars="200"/>
    </w:pPr>
  </w:style>
  <w:style w:type="character" w:customStyle="1" w:styleId="50">
    <w:name w:val="文档结构图 字符"/>
    <w:link w:val="7"/>
    <w:qFormat/>
    <w:uiPriority w:val="0"/>
    <w:rPr>
      <w:rFonts w:ascii="Times New Roman" w:hAnsi="Times New Roman"/>
      <w:kern w:val="2"/>
      <w:sz w:val="21"/>
      <w:szCs w:val="24"/>
      <w:shd w:val="clear" w:color="auto" w:fill="000080"/>
    </w:rPr>
  </w:style>
  <w:style w:type="character" w:customStyle="1" w:styleId="51">
    <w:name w:val="批注文字 Char"/>
    <w:qFormat/>
    <w:uiPriority w:val="99"/>
    <w:rPr>
      <w:kern w:val="2"/>
      <w:sz w:val="21"/>
      <w:szCs w:val="24"/>
    </w:rPr>
  </w:style>
  <w:style w:type="character" w:customStyle="1" w:styleId="52">
    <w:name w:val="称呼 字符"/>
    <w:link w:val="9"/>
    <w:qFormat/>
    <w:uiPriority w:val="0"/>
    <w:rPr>
      <w:rFonts w:ascii="Times New Roman" w:hAnsi="Times New Roman"/>
      <w:kern w:val="2"/>
      <w:sz w:val="21"/>
      <w:szCs w:val="24"/>
    </w:rPr>
  </w:style>
  <w:style w:type="character" w:customStyle="1" w:styleId="53">
    <w:name w:val="正文文本 Char"/>
    <w:qFormat/>
    <w:uiPriority w:val="0"/>
    <w:rPr>
      <w:rFonts w:ascii="宋体" w:hAnsi="宋体" w:eastAsia="宋体"/>
      <w:kern w:val="2"/>
      <w:sz w:val="21"/>
      <w:szCs w:val="24"/>
      <w:lang w:val="en-US" w:eastAsia="zh-CN" w:bidi="ar-SA"/>
    </w:rPr>
  </w:style>
  <w:style w:type="character" w:customStyle="1" w:styleId="54">
    <w:name w:val="纯文本 字符"/>
    <w:qFormat/>
    <w:uiPriority w:val="0"/>
    <w:rPr>
      <w:rFonts w:ascii="宋体" w:hAnsi="Courier New" w:cs="Courier New"/>
      <w:kern w:val="2"/>
      <w:sz w:val="22"/>
      <w:szCs w:val="22"/>
    </w:rPr>
  </w:style>
  <w:style w:type="character" w:customStyle="1" w:styleId="55">
    <w:name w:val="纯文本 字符1"/>
    <w:link w:val="11"/>
    <w:qFormat/>
    <w:uiPriority w:val="0"/>
    <w:rPr>
      <w:rFonts w:ascii="宋体" w:hAnsi="Courier New"/>
      <w:kern w:val="2"/>
      <w:sz w:val="21"/>
    </w:rPr>
  </w:style>
  <w:style w:type="character" w:customStyle="1" w:styleId="56">
    <w:name w:val="正文文本缩进 2 字符"/>
    <w:link w:val="12"/>
    <w:qFormat/>
    <w:uiPriority w:val="0"/>
    <w:rPr>
      <w:rFonts w:ascii="Times New Roman" w:hAnsi="Times New Roman"/>
      <w:kern w:val="2"/>
      <w:sz w:val="21"/>
      <w:szCs w:val="24"/>
    </w:rPr>
  </w:style>
  <w:style w:type="character" w:customStyle="1" w:styleId="57">
    <w:name w:val="脚注文本 字符"/>
    <w:link w:val="16"/>
    <w:qFormat/>
    <w:uiPriority w:val="0"/>
    <w:rPr>
      <w:rFonts w:ascii="Times New Roman" w:hAnsi="Times New Roman"/>
      <w:kern w:val="2"/>
      <w:sz w:val="18"/>
      <w:szCs w:val="24"/>
    </w:rPr>
  </w:style>
  <w:style w:type="character" w:customStyle="1" w:styleId="58">
    <w:name w:val="正文文本缩进 3 字符"/>
    <w:link w:val="17"/>
    <w:qFormat/>
    <w:uiPriority w:val="0"/>
    <w:rPr>
      <w:rFonts w:ascii="Times New Roman" w:hAnsi="宋体"/>
      <w:kern w:val="2"/>
      <w:sz w:val="24"/>
      <w:szCs w:val="24"/>
    </w:rPr>
  </w:style>
  <w:style w:type="character" w:customStyle="1" w:styleId="59">
    <w:name w:val="正文文本 2 字符"/>
    <w:link w:val="18"/>
    <w:qFormat/>
    <w:uiPriority w:val="0"/>
    <w:rPr>
      <w:rFonts w:ascii="Times New Roman" w:hAnsi="Times New Roman" w:eastAsia="楷体_GB2312"/>
      <w:b/>
      <w:bCs/>
      <w:kern w:val="2"/>
      <w:sz w:val="21"/>
      <w:szCs w:val="24"/>
    </w:rPr>
  </w:style>
  <w:style w:type="character" w:customStyle="1" w:styleId="60">
    <w:name w:val="页码1"/>
    <w:qFormat/>
    <w:uiPriority w:val="0"/>
  </w:style>
  <w:style w:type="character" w:customStyle="1" w:styleId="61">
    <w:name w:val="页码2"/>
    <w:qFormat/>
    <w:uiPriority w:val="0"/>
  </w:style>
  <w:style w:type="character" w:customStyle="1" w:styleId="62">
    <w:name w:val="样式 标题 3 + 宋体 小四 非加粗 黑色 Char Char"/>
    <w:link w:val="63"/>
    <w:qFormat/>
    <w:uiPriority w:val="0"/>
    <w:rPr>
      <w:rFonts w:ascii="宋体" w:hAnsi="宋体" w:cs="宋体"/>
      <w:b/>
      <w:bCs/>
      <w:color w:val="000000"/>
      <w:kern w:val="2"/>
      <w:sz w:val="32"/>
      <w:szCs w:val="32"/>
    </w:rPr>
  </w:style>
  <w:style w:type="paragraph" w:customStyle="1" w:styleId="63">
    <w:name w:val="样式 标题 3 + 宋体 小四 非加粗 黑色"/>
    <w:basedOn w:val="5"/>
    <w:link w:val="62"/>
    <w:qFormat/>
    <w:uiPriority w:val="0"/>
    <w:pPr>
      <w:widowControl/>
      <w:tabs>
        <w:tab w:val="left" w:pos="720"/>
      </w:tabs>
      <w:ind w:left="720" w:hanging="720"/>
      <w:jc w:val="left"/>
    </w:pPr>
    <w:rPr>
      <w:rFonts w:ascii="宋体" w:hAnsi="宋体" w:cs="宋体"/>
      <w:color w:val="000000"/>
    </w:rPr>
  </w:style>
  <w:style w:type="character" w:customStyle="1" w:styleId="64">
    <w:name w:val="pointer"/>
    <w:link w:val="65"/>
    <w:qFormat/>
    <w:uiPriority w:val="0"/>
  </w:style>
  <w:style w:type="paragraph" w:customStyle="1" w:styleId="65">
    <w:name w:val="正文1"/>
    <w:link w:val="64"/>
    <w:qFormat/>
    <w:uiPriority w:val="0"/>
    <w:pPr>
      <w:widowControl w:val="0"/>
      <w:jc w:val="both"/>
    </w:pPr>
    <w:rPr>
      <w:rFonts w:ascii="Calibri" w:hAnsi="Calibri" w:eastAsia="宋体" w:cs="Times New Roman"/>
      <w:lang w:val="en-US" w:eastAsia="zh-CN" w:bidi="ar-SA"/>
    </w:rPr>
  </w:style>
  <w:style w:type="character" w:customStyle="1" w:styleId="66">
    <w:name w:val="Char Char Char"/>
    <w:qFormat/>
    <w:uiPriority w:val="0"/>
    <w:rPr>
      <w:rFonts w:eastAsia="宋体"/>
      <w:b/>
      <w:bCs/>
      <w:sz w:val="32"/>
      <w:szCs w:val="32"/>
      <w:lang w:val="en-US" w:eastAsia="zh-CN" w:bidi="ar-SA"/>
    </w:rPr>
  </w:style>
  <w:style w:type="character" w:customStyle="1" w:styleId="67">
    <w:name w:val="Char Char4"/>
    <w:qFormat/>
    <w:uiPriority w:val="0"/>
    <w:rPr>
      <w:rFonts w:ascii="Times New Roman" w:hAnsi="Times New Roman"/>
      <w:b/>
      <w:bCs/>
      <w:kern w:val="2"/>
      <w:sz w:val="32"/>
      <w:szCs w:val="32"/>
    </w:rPr>
  </w:style>
  <w:style w:type="paragraph" w:customStyle="1" w:styleId="68">
    <w:name w:val="正文4"/>
    <w:basedOn w:val="1"/>
    <w:qFormat/>
    <w:uiPriority w:val="0"/>
    <w:pPr>
      <w:ind w:firstLine="630"/>
    </w:pPr>
    <w:rPr>
      <w:rFonts w:ascii="Times New Roman" w:hAnsi="Times New Roman"/>
      <w:sz w:val="28"/>
      <w:szCs w:val="20"/>
    </w:rPr>
  </w:style>
  <w:style w:type="paragraph" w:customStyle="1" w:styleId="69">
    <w:name w:val="列表段落1"/>
    <w:basedOn w:val="1"/>
    <w:qFormat/>
    <w:uiPriority w:val="0"/>
    <w:pPr>
      <w:ind w:firstLine="420" w:firstLineChars="200"/>
    </w:pPr>
    <w:rPr>
      <w:rFonts w:ascii="Times New Roman" w:hAnsi="Times New Roman"/>
      <w:szCs w:val="24"/>
    </w:rPr>
  </w:style>
  <w:style w:type="paragraph" w:customStyle="1" w:styleId="70">
    <w:name w:val="Char"/>
    <w:basedOn w:val="1"/>
    <w:qFormat/>
    <w:uiPriority w:val="0"/>
    <w:pPr>
      <w:adjustRightInd w:val="0"/>
      <w:snapToGrid w:val="0"/>
      <w:spacing w:line="360" w:lineRule="auto"/>
      <w:ind w:firstLine="200"/>
      <w:jc w:val="left"/>
    </w:pPr>
    <w:rPr>
      <w:rFonts w:ascii="Times New Roman" w:hAnsi="Times New Roman"/>
      <w:szCs w:val="24"/>
    </w:rPr>
  </w:style>
  <w:style w:type="character" w:customStyle="1" w:styleId="71">
    <w:name w:val="font11"/>
    <w:qFormat/>
    <w:uiPriority w:val="0"/>
    <w:rPr>
      <w:rFonts w:hint="eastAsia" w:ascii="宋体" w:hAnsi="宋体" w:eastAsia="宋体" w:cs="宋体"/>
      <w:b/>
      <w:color w:val="000000"/>
      <w:sz w:val="20"/>
      <w:szCs w:val="20"/>
      <w:u w:val="none"/>
    </w:rPr>
  </w:style>
  <w:style w:type="character" w:customStyle="1" w:styleId="72">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37</Pages>
  <Words>29512</Words>
  <Characters>29912</Characters>
  <Lines>341</Lines>
  <Paragraphs>96</Paragraphs>
  <TotalTime>1</TotalTime>
  <ScaleCrop>false</ScaleCrop>
  <LinksUpToDate>false</LinksUpToDate>
  <CharactersWithSpaces>30948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2024-08-29T03:54:00Z</dcterms:created>
  <dc:creator>法律部mali</dc:creator>
  <cp:lastModifiedBy>赵杰</cp:lastModifiedBy>
  <cp:lastPrinted>2018-09-07T03:17:00Z</cp:lastPrinted>
  <dcterms:modified xsi:type="dcterms:W3CDTF">2025-07-21T10:22:26Z</dcterms:modified>
  <dc:title>合同类型：FL-建设工程施工模板合同简易版——围墙施工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1EEA29F9DAEF4461A47287F9DA3F96CA_13</vt:lpwstr>
  </property>
  <property fmtid="{D5CDD505-2E9C-101B-9397-08002B2CF9AE}" pid="4" name="KSOTemplateDocerSaveRecord">
    <vt:lpwstr>eyJoZGlkIjoiYzBjZDgyYTEyY2ZlZGU2ZDEyMzI5NGMxZjM2ODM5MTkiLCJ1c2VySWQiOiI0MTUxNDEyNDkifQ==</vt:lpwstr>
  </property>
</Properties>
</file>