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9E514">
      <w:pPr>
        <w:wordWrap w:val="0"/>
        <w:spacing w:line="360" w:lineRule="auto"/>
        <w:jc w:val="center"/>
        <w:rPr>
          <w:rFonts w:ascii="宋体" w:hAnsi="宋体" w:eastAsia="宋体" w:cs="宋体"/>
          <w:b/>
          <w:color w:val="auto"/>
          <w:sz w:val="48"/>
          <w:szCs w:val="48"/>
          <w:highlight w:val="none"/>
          <w:lang w:bidi="ar"/>
        </w:rPr>
      </w:pPr>
    </w:p>
    <w:p w14:paraId="29B8EDB9">
      <w:pPr>
        <w:wordWrap w:val="0"/>
        <w:spacing w:line="360" w:lineRule="auto"/>
        <w:jc w:val="center"/>
        <w:rPr>
          <w:rFonts w:hint="eastAsia" w:ascii="宋体" w:hAnsi="宋体" w:eastAsia="宋体" w:cs="宋体"/>
          <w:b/>
          <w:color w:val="auto"/>
          <w:sz w:val="48"/>
          <w:szCs w:val="48"/>
          <w:highlight w:val="none"/>
          <w:lang w:val="en-US" w:eastAsia="zh-CN" w:bidi="ar"/>
        </w:rPr>
      </w:pPr>
    </w:p>
    <w:p w14:paraId="7E079E2B">
      <w:pPr>
        <w:wordWrap w:val="0"/>
        <w:spacing w:line="360" w:lineRule="auto"/>
        <w:jc w:val="center"/>
        <w:rPr>
          <w:rFonts w:ascii="宋体" w:hAnsi="宋体" w:eastAsia="宋体" w:cs="宋体"/>
          <w:b/>
          <w:color w:val="auto"/>
          <w:sz w:val="48"/>
          <w:szCs w:val="48"/>
          <w:highlight w:val="none"/>
          <w:lang w:bidi="ar"/>
        </w:rPr>
      </w:pPr>
    </w:p>
    <w:p w14:paraId="21122E80">
      <w:pPr>
        <w:wordWrap w:val="0"/>
        <w:spacing w:line="360" w:lineRule="auto"/>
        <w:jc w:val="center"/>
        <w:rPr>
          <w:rFonts w:hint="eastAsia" w:ascii="宋体" w:hAnsi="宋体" w:eastAsia="宋体" w:cs="宋体"/>
          <w:b/>
          <w:color w:val="auto"/>
          <w:spacing w:val="40"/>
          <w:sz w:val="44"/>
          <w:szCs w:val="44"/>
          <w:highlight w:val="none"/>
          <w:lang w:eastAsia="zh-CN"/>
        </w:rPr>
      </w:pPr>
      <w:r>
        <w:rPr>
          <w:rFonts w:hint="eastAsia" w:ascii="宋体" w:hAnsi="宋体" w:eastAsia="宋体" w:cs="宋体"/>
          <w:b/>
          <w:color w:val="auto"/>
          <w:sz w:val="48"/>
          <w:szCs w:val="48"/>
          <w:highlight w:val="none"/>
          <w:lang w:eastAsia="zh-CN" w:bidi="ar"/>
        </w:rPr>
        <w:t>广州市花都区新华街田美区域排水管网更新改造工程勘察初步设计（</w:t>
      </w:r>
      <w:r>
        <w:rPr>
          <w:rFonts w:hint="eastAsia" w:ascii="宋体" w:hAnsi="宋体" w:eastAsia="宋体" w:cs="宋体"/>
          <w:b/>
          <w:color w:val="auto"/>
          <w:sz w:val="48"/>
          <w:szCs w:val="48"/>
          <w:highlight w:val="none"/>
          <w:lang w:val="en-US" w:eastAsia="zh-CN" w:bidi="ar"/>
        </w:rPr>
        <w:t>第二次</w:t>
      </w:r>
      <w:r>
        <w:rPr>
          <w:rFonts w:hint="eastAsia" w:ascii="宋体" w:hAnsi="宋体" w:eastAsia="宋体" w:cs="宋体"/>
          <w:b/>
          <w:color w:val="auto"/>
          <w:sz w:val="48"/>
          <w:szCs w:val="48"/>
          <w:highlight w:val="none"/>
          <w:lang w:eastAsia="zh-CN" w:bidi="ar"/>
        </w:rPr>
        <w:t>）</w:t>
      </w:r>
    </w:p>
    <w:p w14:paraId="518EAFE1">
      <w:pPr>
        <w:wordWrap w:val="0"/>
        <w:spacing w:line="360" w:lineRule="auto"/>
        <w:jc w:val="left"/>
        <w:rPr>
          <w:rFonts w:ascii="宋体" w:hAnsi="宋体" w:eastAsia="宋体" w:cs="宋体"/>
          <w:color w:val="auto"/>
          <w:sz w:val="36"/>
          <w:szCs w:val="36"/>
          <w:highlight w:val="none"/>
          <w:u w:val="single"/>
          <w:lang w:bidi="ar"/>
        </w:rPr>
      </w:pPr>
    </w:p>
    <w:p w14:paraId="6BD7742A">
      <w:pPr>
        <w:wordWrap w:val="0"/>
        <w:spacing w:line="360" w:lineRule="auto"/>
        <w:jc w:val="left"/>
        <w:rPr>
          <w:rFonts w:ascii="宋体" w:hAnsi="宋体" w:eastAsia="宋体" w:cs="宋体"/>
          <w:color w:val="auto"/>
          <w:sz w:val="36"/>
          <w:szCs w:val="36"/>
          <w:highlight w:val="none"/>
          <w:u w:val="single"/>
        </w:rPr>
      </w:pPr>
    </w:p>
    <w:p w14:paraId="2EB6875B">
      <w:pPr>
        <w:wordWrap w:val="0"/>
        <w:spacing w:line="360" w:lineRule="auto"/>
        <w:jc w:val="left"/>
        <w:rPr>
          <w:rFonts w:ascii="宋体" w:hAnsi="宋体" w:eastAsia="宋体" w:cs="宋体"/>
          <w:color w:val="auto"/>
          <w:sz w:val="36"/>
          <w:szCs w:val="36"/>
          <w:highlight w:val="none"/>
          <w:u w:val="single"/>
        </w:rPr>
      </w:pPr>
    </w:p>
    <w:p w14:paraId="43905682">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招标文件</w:t>
      </w:r>
    </w:p>
    <w:p w14:paraId="13539EC2">
      <w:pPr>
        <w:wordWrap w:val="0"/>
        <w:spacing w:line="360" w:lineRule="auto"/>
        <w:rPr>
          <w:rFonts w:ascii="宋体" w:hAnsi="宋体" w:eastAsia="宋体" w:cs="宋体"/>
          <w:color w:val="auto"/>
          <w:sz w:val="32"/>
          <w:szCs w:val="32"/>
          <w:highlight w:val="none"/>
        </w:rPr>
      </w:pPr>
    </w:p>
    <w:p w14:paraId="1A19858E">
      <w:pPr>
        <w:wordWrap w:val="0"/>
        <w:spacing w:line="360" w:lineRule="auto"/>
        <w:rPr>
          <w:rFonts w:ascii="宋体" w:hAnsi="宋体" w:eastAsia="宋体" w:cs="宋体"/>
          <w:color w:val="auto"/>
          <w:sz w:val="32"/>
          <w:szCs w:val="32"/>
          <w:highlight w:val="none"/>
        </w:rPr>
      </w:pPr>
    </w:p>
    <w:p w14:paraId="09FE30AD">
      <w:pPr>
        <w:wordWrap w:val="0"/>
        <w:spacing w:line="360" w:lineRule="auto"/>
        <w:rPr>
          <w:rFonts w:ascii="宋体" w:hAnsi="宋体" w:eastAsia="宋体" w:cs="宋体"/>
          <w:color w:val="auto"/>
          <w:sz w:val="52"/>
          <w:szCs w:val="52"/>
          <w:highlight w:val="none"/>
        </w:rPr>
      </w:pPr>
    </w:p>
    <w:p w14:paraId="17A2F0CF">
      <w:pPr>
        <w:wordWrap w:val="0"/>
        <w:spacing w:line="360" w:lineRule="auto"/>
        <w:ind w:left="0" w:leftChars="0" w:firstLine="638" w:firstLineChars="120"/>
        <w:jc w:val="left"/>
        <w:rPr>
          <w:rFonts w:hint="eastAsia" w:ascii="宋体" w:hAnsi="宋体" w:eastAsia="宋体" w:cs="宋体"/>
          <w:color w:val="auto"/>
          <w:sz w:val="32"/>
          <w:szCs w:val="32"/>
          <w:highlight w:val="none"/>
          <w:u w:val="single"/>
          <w:lang w:eastAsia="zh-CN" w:bidi="ar"/>
        </w:rPr>
      </w:pPr>
      <w:r>
        <w:rPr>
          <w:rFonts w:hint="eastAsia" w:ascii="宋体" w:hAnsi="宋体" w:eastAsia="宋体" w:cs="宋体"/>
          <w:color w:val="auto"/>
          <w:spacing w:val="106"/>
          <w:kern w:val="0"/>
          <w:sz w:val="32"/>
          <w:szCs w:val="32"/>
          <w:highlight w:val="none"/>
          <w:fitText w:val="1920" w:id="1858947120"/>
          <w:lang w:bidi="ar"/>
        </w:rPr>
        <w:t>招标单</w:t>
      </w:r>
      <w:r>
        <w:rPr>
          <w:rFonts w:hint="eastAsia" w:ascii="宋体" w:hAnsi="宋体" w:eastAsia="宋体" w:cs="宋体"/>
          <w:color w:val="auto"/>
          <w:spacing w:val="2"/>
          <w:kern w:val="0"/>
          <w:sz w:val="32"/>
          <w:szCs w:val="32"/>
          <w:highlight w:val="none"/>
          <w:fitText w:val="1920" w:id="1858947120"/>
          <w:lang w:bidi="ar"/>
        </w:rPr>
        <w:t>位</w:t>
      </w:r>
      <w:r>
        <w:rPr>
          <w:rFonts w:hint="eastAsia" w:ascii="宋体" w:hAnsi="宋体" w:eastAsia="宋体" w:cs="宋体"/>
          <w:color w:val="auto"/>
          <w:sz w:val="32"/>
          <w:szCs w:val="32"/>
          <w:highlight w:val="none"/>
          <w:lang w:bidi="ar"/>
        </w:rPr>
        <w:t>：</w:t>
      </w:r>
      <w:r>
        <w:rPr>
          <w:rFonts w:hint="eastAsia" w:ascii="宋体" w:hAnsi="宋体" w:eastAsia="宋体" w:cs="宋体"/>
          <w:color w:val="auto"/>
          <w:sz w:val="32"/>
          <w:szCs w:val="32"/>
          <w:highlight w:val="none"/>
          <w:u w:val="none"/>
          <w:lang w:eastAsia="zh-CN" w:bidi="ar"/>
        </w:rPr>
        <w:t>广州市花都区人民政府新华街道办事处</w:t>
      </w:r>
    </w:p>
    <w:p w14:paraId="6AF44D00">
      <w:pPr>
        <w:wordWrap w:val="0"/>
        <w:spacing w:line="360" w:lineRule="auto"/>
        <w:ind w:firstLine="640" w:firstLineChars="200"/>
        <w:jc w:val="left"/>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sz w:val="32"/>
          <w:szCs w:val="32"/>
          <w:highlight w:val="none"/>
          <w:u w:val="none"/>
          <w:lang w:eastAsia="zh-CN" w:bidi="ar"/>
        </w:rPr>
        <w:t>广东省国际工程咨询有限公司</w:t>
      </w:r>
    </w:p>
    <w:p w14:paraId="393ADCCE">
      <w:pPr>
        <w:wordWrap w:val="0"/>
        <w:spacing w:line="360" w:lineRule="auto"/>
        <w:ind w:left="0" w:leftChars="0" w:firstLine="640" w:firstLineChars="40"/>
        <w:jc w:val="left"/>
        <w:rPr>
          <w:rFonts w:hint="eastAsia" w:ascii="宋体" w:hAnsi="宋体" w:eastAsia="宋体" w:cs="宋体"/>
          <w:color w:val="auto"/>
          <w:sz w:val="32"/>
          <w:szCs w:val="32"/>
          <w:highlight w:val="none"/>
          <w:lang w:bidi="ar"/>
        </w:rPr>
      </w:pPr>
      <w:r>
        <w:rPr>
          <w:rFonts w:hint="eastAsia" w:ascii="宋体" w:hAnsi="宋体" w:eastAsia="宋体" w:cs="宋体"/>
          <w:color w:val="auto"/>
          <w:spacing w:val="640"/>
          <w:kern w:val="0"/>
          <w:sz w:val="32"/>
          <w:szCs w:val="32"/>
          <w:highlight w:val="none"/>
          <w:fitText w:val="1920" w:id="1858947120"/>
          <w:lang w:bidi="ar"/>
        </w:rPr>
        <w:t>日</w:t>
      </w:r>
      <w:r>
        <w:rPr>
          <w:rFonts w:hint="eastAsia" w:ascii="宋体" w:hAnsi="宋体" w:eastAsia="宋体" w:cs="宋体"/>
          <w:color w:val="auto"/>
          <w:spacing w:val="0"/>
          <w:kern w:val="0"/>
          <w:sz w:val="32"/>
          <w:szCs w:val="32"/>
          <w:highlight w:val="none"/>
          <w:fitText w:val="1920" w:id="1858947120"/>
          <w:lang w:bidi="ar"/>
        </w:rPr>
        <w:t>期</w:t>
      </w:r>
      <w:r>
        <w:rPr>
          <w:rFonts w:hint="eastAsia" w:ascii="宋体" w:hAnsi="宋体" w:eastAsia="宋体" w:cs="宋体"/>
          <w:color w:val="auto"/>
          <w:sz w:val="32"/>
          <w:szCs w:val="32"/>
          <w:highlight w:val="none"/>
          <w:lang w:bidi="ar"/>
        </w:rPr>
        <w:t>：2025年</w:t>
      </w:r>
      <w:r>
        <w:rPr>
          <w:rFonts w:hint="eastAsia" w:ascii="宋体" w:hAnsi="宋体" w:eastAsia="宋体" w:cs="宋体"/>
          <w:color w:val="auto"/>
          <w:sz w:val="32"/>
          <w:szCs w:val="32"/>
          <w:highlight w:val="none"/>
          <w:lang w:val="en-US" w:eastAsia="zh-CN" w:bidi="ar"/>
        </w:rPr>
        <w:t>7</w:t>
      </w:r>
      <w:r>
        <w:rPr>
          <w:rFonts w:hint="eastAsia" w:ascii="宋体" w:hAnsi="宋体" w:eastAsia="宋体" w:cs="宋体"/>
          <w:color w:val="auto"/>
          <w:sz w:val="32"/>
          <w:szCs w:val="32"/>
          <w:highlight w:val="none"/>
          <w:lang w:bidi="ar"/>
        </w:rPr>
        <w:t>月</w:t>
      </w:r>
    </w:p>
    <w:p w14:paraId="0DECAC8E">
      <w:pPr>
        <w:widowControl/>
        <w:wordWrap w:val="0"/>
        <w:jc w:val="left"/>
        <w:rPr>
          <w:rFonts w:ascii="宋体" w:hAnsi="宋体" w:eastAsia="宋体" w:cs="Times New Roman"/>
          <w:color w:val="auto"/>
          <w:kern w:val="0"/>
          <w:sz w:val="20"/>
          <w:szCs w:val="20"/>
          <w:highlight w:val="none"/>
        </w:rPr>
      </w:pPr>
      <w:r>
        <w:rPr>
          <w:rFonts w:ascii="宋体" w:hAnsi="宋体" w:eastAsia="宋体" w:cs="Times New Roman"/>
          <w:color w:val="auto"/>
          <w:kern w:val="0"/>
          <w:sz w:val="20"/>
          <w:szCs w:val="20"/>
          <w:highlight w:val="none"/>
        </w:rPr>
        <w:br w:type="page"/>
      </w:r>
    </w:p>
    <w:p w14:paraId="7E0B62E8">
      <w:pPr>
        <w:keepNext/>
        <w:keepLines/>
        <w:widowControl/>
        <w:wordWrap w:val="0"/>
        <w:spacing w:before="480" w:line="276" w:lineRule="auto"/>
        <w:jc w:val="center"/>
        <w:rPr>
          <w:rFonts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lang w:val="zh-CN"/>
        </w:rPr>
        <w:t>目</w:t>
      </w:r>
      <w:r>
        <w:rPr>
          <w:rFonts w:ascii="宋体" w:hAnsi="宋体" w:eastAsia="宋体" w:cs="宋体"/>
          <w:b/>
          <w:bCs/>
          <w:color w:val="auto"/>
          <w:kern w:val="0"/>
          <w:sz w:val="36"/>
          <w:szCs w:val="36"/>
          <w:highlight w:val="none"/>
          <w:lang w:val="zh-CN"/>
        </w:rPr>
        <w:t xml:space="preserve"> </w:t>
      </w:r>
      <w:r>
        <w:rPr>
          <w:rFonts w:hint="eastAsia" w:ascii="宋体" w:hAnsi="宋体" w:eastAsia="宋体" w:cs="宋体"/>
          <w:b/>
          <w:bCs/>
          <w:color w:val="auto"/>
          <w:kern w:val="0"/>
          <w:sz w:val="36"/>
          <w:szCs w:val="36"/>
          <w:highlight w:val="none"/>
          <w:lang w:val="en-US" w:eastAsia="zh-CN"/>
        </w:rPr>
        <w:t xml:space="preserve"> </w:t>
      </w:r>
      <w:r>
        <w:rPr>
          <w:rFonts w:hint="eastAsia" w:ascii="宋体" w:hAnsi="宋体" w:eastAsia="宋体" w:cs="宋体"/>
          <w:b/>
          <w:bCs/>
          <w:color w:val="auto"/>
          <w:kern w:val="0"/>
          <w:sz w:val="36"/>
          <w:szCs w:val="36"/>
          <w:highlight w:val="none"/>
          <w:lang w:val="zh-CN"/>
        </w:rPr>
        <w:t>录</w:t>
      </w:r>
    </w:p>
    <w:p w14:paraId="4A925ADC">
      <w:pPr>
        <w:pStyle w:val="32"/>
        <w:tabs>
          <w:tab w:val="right" w:leader="dot" w:pos="8299"/>
        </w:tabs>
        <w:spacing w:line="360" w:lineRule="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\u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_Toc25878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_Toc25878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CDC4CB2">
      <w:pPr>
        <w:pStyle w:val="32"/>
        <w:tabs>
          <w:tab w:val="right" w:leader="dot" w:pos="8299"/>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fldChar w:fldCharType="begin"/>
      </w:r>
      <w:r>
        <w:rPr>
          <w:rFonts w:hint="eastAsia" w:ascii="宋体" w:hAnsi="宋体" w:eastAsia="宋体" w:cs="宋体"/>
          <w:b w:val="0"/>
          <w:bCs w:val="0"/>
          <w:color w:val="auto"/>
          <w:sz w:val="21"/>
          <w:szCs w:val="21"/>
          <w:highlight w:val="none"/>
          <w:lang w:val="zh-CN"/>
        </w:rPr>
        <w:instrText xml:space="preserve"> HYPERLINK \l _Toc15375 </w:instrText>
      </w:r>
      <w:r>
        <w:rPr>
          <w:rFonts w:hint="eastAsia" w:ascii="宋体" w:hAnsi="宋体" w:eastAsia="宋体" w:cs="宋体"/>
          <w:b w:val="0"/>
          <w:bCs w:val="0"/>
          <w:color w:val="auto"/>
          <w:sz w:val="21"/>
          <w:szCs w:val="21"/>
          <w:highlight w:val="none"/>
          <w:lang w:val="zh-CN"/>
        </w:rPr>
        <w:fldChar w:fldCharType="separate"/>
      </w:r>
      <w:r>
        <w:rPr>
          <w:rFonts w:hint="eastAsia" w:ascii="宋体" w:hAnsi="宋体" w:eastAsia="宋体" w:cs="宋体"/>
          <w:b w:val="0"/>
          <w:bCs w:val="0"/>
          <w:color w:val="auto"/>
          <w:sz w:val="21"/>
          <w:szCs w:val="21"/>
          <w:highlight w:val="none"/>
          <w:lang w:bidi="ar"/>
        </w:rPr>
        <w:t>第一章  招标公告</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_Toc15375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zh-CN"/>
        </w:rPr>
        <w:fldChar w:fldCharType="end"/>
      </w:r>
    </w:p>
    <w:p w14:paraId="2F3BA0C0">
      <w:pPr>
        <w:pStyle w:val="32"/>
        <w:tabs>
          <w:tab w:val="right" w:leader="dot" w:pos="8299"/>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fldChar w:fldCharType="begin"/>
      </w:r>
      <w:r>
        <w:rPr>
          <w:rFonts w:hint="eastAsia" w:ascii="宋体" w:hAnsi="宋体" w:eastAsia="宋体" w:cs="宋体"/>
          <w:b w:val="0"/>
          <w:bCs w:val="0"/>
          <w:color w:val="auto"/>
          <w:sz w:val="21"/>
          <w:szCs w:val="21"/>
          <w:highlight w:val="none"/>
          <w:lang w:val="zh-CN"/>
        </w:rPr>
        <w:instrText xml:space="preserve"> HYPERLINK \l _Toc17402 </w:instrText>
      </w:r>
      <w:r>
        <w:rPr>
          <w:rFonts w:hint="eastAsia" w:ascii="宋体" w:hAnsi="宋体" w:eastAsia="宋体" w:cs="宋体"/>
          <w:b w:val="0"/>
          <w:bCs w:val="0"/>
          <w:color w:val="auto"/>
          <w:sz w:val="21"/>
          <w:szCs w:val="21"/>
          <w:highlight w:val="none"/>
          <w:lang w:val="zh-CN"/>
        </w:rPr>
        <w:fldChar w:fldCharType="separate"/>
      </w:r>
      <w:r>
        <w:rPr>
          <w:rFonts w:hint="eastAsia" w:ascii="宋体" w:hAnsi="宋体" w:eastAsia="宋体" w:cs="宋体"/>
          <w:b w:val="0"/>
          <w:bCs w:val="0"/>
          <w:color w:val="auto"/>
          <w:sz w:val="21"/>
          <w:szCs w:val="21"/>
          <w:highlight w:val="none"/>
          <w:lang w:bidi="ar"/>
        </w:rPr>
        <w:t>第二章  投标人须知</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_Toc17402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zh-CN"/>
        </w:rPr>
        <w:fldChar w:fldCharType="end"/>
      </w:r>
    </w:p>
    <w:p w14:paraId="1E238987">
      <w:pPr>
        <w:pStyle w:val="32"/>
        <w:tabs>
          <w:tab w:val="right" w:leader="dot" w:pos="8299"/>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fldChar w:fldCharType="begin"/>
      </w:r>
      <w:r>
        <w:rPr>
          <w:rFonts w:hint="eastAsia" w:ascii="宋体" w:hAnsi="宋体" w:eastAsia="宋体" w:cs="宋体"/>
          <w:b w:val="0"/>
          <w:bCs w:val="0"/>
          <w:color w:val="auto"/>
          <w:sz w:val="21"/>
          <w:szCs w:val="21"/>
          <w:highlight w:val="none"/>
          <w:lang w:val="zh-CN"/>
        </w:rPr>
        <w:instrText xml:space="preserve"> HYPERLINK \l _Toc1238 </w:instrText>
      </w:r>
      <w:r>
        <w:rPr>
          <w:rFonts w:hint="eastAsia" w:ascii="宋体" w:hAnsi="宋体" w:eastAsia="宋体" w:cs="宋体"/>
          <w:b w:val="0"/>
          <w:bCs w:val="0"/>
          <w:color w:val="auto"/>
          <w:sz w:val="21"/>
          <w:szCs w:val="21"/>
          <w:highlight w:val="none"/>
          <w:lang w:val="zh-CN"/>
        </w:rPr>
        <w:fldChar w:fldCharType="separate"/>
      </w:r>
      <w:r>
        <w:rPr>
          <w:rFonts w:hint="eastAsia" w:ascii="宋体" w:hAnsi="宋体" w:eastAsia="宋体" w:cs="宋体"/>
          <w:b w:val="0"/>
          <w:bCs w:val="0"/>
          <w:color w:val="auto"/>
          <w:sz w:val="21"/>
          <w:szCs w:val="21"/>
          <w:highlight w:val="none"/>
        </w:rPr>
        <w:t>第三章  评标办法（综合评估法）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_Toc1238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zh-CN"/>
        </w:rPr>
        <w:fldChar w:fldCharType="end"/>
      </w:r>
    </w:p>
    <w:p w14:paraId="7366760B">
      <w:pPr>
        <w:pStyle w:val="32"/>
        <w:tabs>
          <w:tab w:val="right" w:leader="dot" w:pos="8299"/>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fldChar w:fldCharType="begin"/>
      </w:r>
      <w:r>
        <w:rPr>
          <w:rFonts w:hint="eastAsia" w:ascii="宋体" w:hAnsi="宋体" w:eastAsia="宋体" w:cs="宋体"/>
          <w:b w:val="0"/>
          <w:bCs w:val="0"/>
          <w:color w:val="auto"/>
          <w:sz w:val="21"/>
          <w:szCs w:val="21"/>
          <w:highlight w:val="none"/>
          <w:lang w:val="zh-CN"/>
        </w:rPr>
        <w:instrText xml:space="preserve"> HYPERLINK \l _Toc31999 </w:instrText>
      </w:r>
      <w:r>
        <w:rPr>
          <w:rFonts w:hint="eastAsia" w:ascii="宋体" w:hAnsi="宋体" w:eastAsia="宋体" w:cs="宋体"/>
          <w:b w:val="0"/>
          <w:bCs w:val="0"/>
          <w:color w:val="auto"/>
          <w:sz w:val="21"/>
          <w:szCs w:val="21"/>
          <w:highlight w:val="none"/>
          <w:lang w:val="zh-CN"/>
        </w:rPr>
        <w:fldChar w:fldCharType="separate"/>
      </w:r>
      <w:r>
        <w:rPr>
          <w:rFonts w:hint="eastAsia" w:ascii="宋体" w:hAnsi="宋体" w:eastAsia="宋体" w:cs="宋体"/>
          <w:b w:val="0"/>
          <w:bCs w:val="0"/>
          <w:color w:val="auto"/>
          <w:sz w:val="21"/>
          <w:szCs w:val="21"/>
          <w:highlight w:val="none"/>
        </w:rPr>
        <w:t>第四章  合同条款及格式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_Toc31999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zh-CN"/>
        </w:rPr>
        <w:fldChar w:fldCharType="end"/>
      </w:r>
    </w:p>
    <w:p w14:paraId="38679710">
      <w:pPr>
        <w:pStyle w:val="32"/>
        <w:tabs>
          <w:tab w:val="right" w:leader="dot" w:pos="8299"/>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color w:val="auto"/>
          <w:sz w:val="21"/>
          <w:szCs w:val="21"/>
          <w:highlight w:val="none"/>
          <w:lang w:val="zh-CN"/>
        </w:rPr>
        <w:instrText xml:space="preserve"> HYPERLINK \l _Toc22883 </w:instrText>
      </w:r>
      <w:r>
        <w:rPr>
          <w:rFonts w:hint="eastAsia" w:ascii="宋体" w:hAnsi="宋体" w:eastAsia="宋体" w:cs="宋体"/>
          <w:bCs/>
          <w:color w:val="auto"/>
          <w:sz w:val="21"/>
          <w:szCs w:val="21"/>
          <w:highlight w:val="none"/>
          <w:lang w:val="zh-CN"/>
        </w:rPr>
        <w:fldChar w:fldCharType="separate"/>
      </w:r>
      <w:r>
        <w:rPr>
          <w:rFonts w:hint="eastAsia" w:ascii="宋体" w:hAnsi="宋体" w:eastAsia="宋体" w:cs="宋体"/>
          <w:color w:val="auto"/>
          <w:sz w:val="21"/>
          <w:szCs w:val="21"/>
          <w:highlight w:val="none"/>
        </w:rPr>
        <w:t>第二卷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lang w:val="zh-CN"/>
        </w:rPr>
        <w:fldChar w:fldCharType="end"/>
      </w:r>
    </w:p>
    <w:p w14:paraId="00B5A18F">
      <w:pPr>
        <w:pStyle w:val="32"/>
        <w:tabs>
          <w:tab w:val="right" w:leader="dot" w:pos="8299"/>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fldChar w:fldCharType="begin"/>
      </w:r>
      <w:r>
        <w:rPr>
          <w:rFonts w:hint="eastAsia" w:ascii="宋体" w:hAnsi="宋体" w:eastAsia="宋体" w:cs="宋体"/>
          <w:b w:val="0"/>
          <w:bCs w:val="0"/>
          <w:color w:val="auto"/>
          <w:sz w:val="21"/>
          <w:szCs w:val="21"/>
          <w:highlight w:val="none"/>
          <w:lang w:val="zh-CN"/>
        </w:rPr>
        <w:instrText xml:space="preserve"> HYPERLINK \l _Toc32622 </w:instrText>
      </w:r>
      <w:r>
        <w:rPr>
          <w:rFonts w:hint="eastAsia" w:ascii="宋体" w:hAnsi="宋体" w:eastAsia="宋体" w:cs="宋体"/>
          <w:b w:val="0"/>
          <w:bCs w:val="0"/>
          <w:color w:val="auto"/>
          <w:sz w:val="21"/>
          <w:szCs w:val="21"/>
          <w:highlight w:val="none"/>
          <w:lang w:val="zh-CN"/>
        </w:rPr>
        <w:fldChar w:fldCharType="separate"/>
      </w:r>
      <w:r>
        <w:rPr>
          <w:rFonts w:hint="eastAsia" w:ascii="宋体" w:hAnsi="宋体" w:eastAsia="宋体" w:cs="宋体"/>
          <w:b w:val="0"/>
          <w:bCs w:val="0"/>
          <w:color w:val="auto"/>
          <w:sz w:val="21"/>
          <w:szCs w:val="21"/>
          <w:highlight w:val="none"/>
        </w:rPr>
        <w:t>第五章  发包人要求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_Toc32622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zh-CN"/>
        </w:rPr>
        <w:fldChar w:fldCharType="end"/>
      </w:r>
    </w:p>
    <w:p w14:paraId="3F2FC214">
      <w:pPr>
        <w:pStyle w:val="32"/>
        <w:tabs>
          <w:tab w:val="right" w:leader="dot" w:pos="8299"/>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color w:val="auto"/>
          <w:sz w:val="21"/>
          <w:szCs w:val="21"/>
          <w:highlight w:val="none"/>
          <w:lang w:val="zh-CN"/>
        </w:rPr>
        <w:instrText xml:space="preserve"> HYPERLINK \l _Toc3867 </w:instrText>
      </w:r>
      <w:r>
        <w:rPr>
          <w:rFonts w:hint="eastAsia" w:ascii="宋体" w:hAnsi="宋体" w:eastAsia="宋体" w:cs="宋体"/>
          <w:bCs/>
          <w:color w:val="auto"/>
          <w:sz w:val="21"/>
          <w:szCs w:val="21"/>
          <w:highlight w:val="none"/>
          <w:lang w:val="zh-CN"/>
        </w:rPr>
        <w:fldChar w:fldCharType="separate"/>
      </w:r>
      <w:r>
        <w:rPr>
          <w:rFonts w:hint="eastAsia" w:ascii="宋体" w:hAnsi="宋体" w:eastAsia="宋体" w:cs="宋体"/>
          <w:color w:val="auto"/>
          <w:sz w:val="21"/>
          <w:szCs w:val="21"/>
          <w:highlight w:val="none"/>
        </w:rPr>
        <w:t>第三卷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lang w:val="zh-CN"/>
        </w:rPr>
        <w:fldChar w:fldCharType="end"/>
      </w:r>
    </w:p>
    <w:p w14:paraId="75067FA8">
      <w:pPr>
        <w:pStyle w:val="32"/>
        <w:tabs>
          <w:tab w:val="right" w:leader="dot" w:pos="8299"/>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fldChar w:fldCharType="begin"/>
      </w:r>
      <w:r>
        <w:rPr>
          <w:rFonts w:hint="eastAsia" w:ascii="宋体" w:hAnsi="宋体" w:eastAsia="宋体" w:cs="宋体"/>
          <w:b w:val="0"/>
          <w:bCs w:val="0"/>
          <w:color w:val="auto"/>
          <w:sz w:val="21"/>
          <w:szCs w:val="21"/>
          <w:highlight w:val="none"/>
          <w:lang w:val="zh-CN"/>
        </w:rPr>
        <w:instrText xml:space="preserve"> HYPERLINK \l _Toc91 </w:instrText>
      </w:r>
      <w:r>
        <w:rPr>
          <w:rFonts w:hint="eastAsia" w:ascii="宋体" w:hAnsi="宋体" w:eastAsia="宋体" w:cs="宋体"/>
          <w:b w:val="0"/>
          <w:bCs w:val="0"/>
          <w:color w:val="auto"/>
          <w:sz w:val="21"/>
          <w:szCs w:val="21"/>
          <w:highlight w:val="none"/>
          <w:lang w:val="zh-CN"/>
        </w:rPr>
        <w:fldChar w:fldCharType="separate"/>
      </w:r>
      <w:r>
        <w:rPr>
          <w:rFonts w:hint="eastAsia" w:ascii="宋体" w:hAnsi="宋体" w:eastAsia="宋体" w:cs="宋体"/>
          <w:b w:val="0"/>
          <w:bCs w:val="0"/>
          <w:color w:val="auto"/>
          <w:sz w:val="21"/>
          <w:szCs w:val="21"/>
          <w:highlight w:val="none"/>
        </w:rPr>
        <w:t>第六章  投标文件格式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zh-CN"/>
        </w:rPr>
        <w:fldChar w:fldCharType="end"/>
      </w:r>
    </w:p>
    <w:p w14:paraId="5B1EDF88">
      <w:pPr>
        <w:pStyle w:val="32"/>
        <w:tabs>
          <w:tab w:val="right" w:leader="dot" w:pos="8299"/>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fldChar w:fldCharType="begin"/>
      </w:r>
      <w:r>
        <w:rPr>
          <w:rFonts w:hint="eastAsia" w:ascii="宋体" w:hAnsi="宋体" w:eastAsia="宋体" w:cs="宋体"/>
          <w:b w:val="0"/>
          <w:bCs w:val="0"/>
          <w:color w:val="auto"/>
          <w:sz w:val="21"/>
          <w:szCs w:val="21"/>
          <w:highlight w:val="none"/>
          <w:lang w:val="zh-CN"/>
        </w:rPr>
        <w:instrText xml:space="preserve"> HYPERLINK \l _Toc21233 </w:instrText>
      </w:r>
      <w:r>
        <w:rPr>
          <w:rFonts w:hint="eastAsia" w:ascii="宋体" w:hAnsi="宋体" w:eastAsia="宋体" w:cs="宋体"/>
          <w:b w:val="0"/>
          <w:bCs w:val="0"/>
          <w:color w:val="auto"/>
          <w:sz w:val="21"/>
          <w:szCs w:val="21"/>
          <w:highlight w:val="none"/>
          <w:lang w:val="zh-CN"/>
        </w:rPr>
        <w:fldChar w:fldCharType="separate"/>
      </w:r>
      <w:r>
        <w:rPr>
          <w:rFonts w:hint="eastAsia" w:ascii="宋体" w:hAnsi="宋体" w:eastAsia="宋体" w:cs="宋体"/>
          <w:b w:val="0"/>
          <w:bCs w:val="0"/>
          <w:color w:val="auto"/>
          <w:sz w:val="21"/>
          <w:szCs w:val="21"/>
          <w:highlight w:val="none"/>
        </w:rPr>
        <w:t>第七章  否决性条款汇总</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_Toc21233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zh-CN"/>
        </w:rPr>
        <w:fldChar w:fldCharType="end"/>
      </w:r>
    </w:p>
    <w:p w14:paraId="2393ECF8">
      <w:pPr>
        <w:wordWrap w:val="0"/>
        <w:spacing w:line="360" w:lineRule="auto"/>
        <w:rPr>
          <w:rFonts w:ascii="宋体" w:hAnsi="宋体" w:eastAsia="宋体" w:cs="宋体"/>
          <w:color w:val="auto"/>
          <w:kern w:val="0"/>
          <w:sz w:val="24"/>
          <w:szCs w:val="24"/>
          <w:highlight w:val="none"/>
        </w:rPr>
      </w:pPr>
      <w:r>
        <w:rPr>
          <w:rFonts w:hint="eastAsia" w:ascii="宋体" w:hAnsi="宋体" w:eastAsia="宋体" w:cs="宋体"/>
          <w:bCs/>
          <w:color w:val="auto"/>
          <w:sz w:val="21"/>
          <w:szCs w:val="21"/>
          <w:highlight w:val="none"/>
          <w:lang w:val="zh-CN"/>
        </w:rPr>
        <w:fldChar w:fldCharType="end"/>
      </w:r>
    </w:p>
    <w:p w14:paraId="7CF6A27C">
      <w:pPr>
        <w:wordWrap w:val="0"/>
        <w:autoSpaceDE w:val="0"/>
        <w:autoSpaceDN w:val="0"/>
        <w:spacing w:line="200" w:lineRule="exac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br w:type="page"/>
      </w:r>
    </w:p>
    <w:p w14:paraId="1CC45853">
      <w:pPr>
        <w:pStyle w:val="2"/>
        <w:rPr>
          <w:rFonts w:ascii="宋体" w:hAnsi="宋体"/>
          <w:color w:val="auto"/>
          <w:highlight w:val="none"/>
        </w:rPr>
      </w:pPr>
      <w:bookmarkStart w:id="0" w:name="_Toc25878"/>
      <w:bookmarkStart w:id="1" w:name="_Toc111186720"/>
      <w:r>
        <w:rPr>
          <w:rFonts w:hint="eastAsia" w:ascii="宋体" w:hAnsi="宋体"/>
          <w:color w:val="auto"/>
          <w:highlight w:val="none"/>
        </w:rPr>
        <w:t>第一卷</w:t>
      </w:r>
      <w:bookmarkEnd w:id="0"/>
      <w:bookmarkEnd w:id="1"/>
    </w:p>
    <w:p w14:paraId="337D2392">
      <w:pPr>
        <w:widowControl/>
        <w:wordWrap w:val="0"/>
        <w:jc w:val="left"/>
        <w:rPr>
          <w:rFonts w:ascii="宋体" w:hAnsi="宋体" w:eastAsia="宋体" w:cs="宋体"/>
          <w:color w:val="auto"/>
          <w:spacing w:val="2"/>
          <w:kern w:val="0"/>
          <w:sz w:val="44"/>
          <w:szCs w:val="44"/>
          <w:highlight w:val="none"/>
        </w:rPr>
        <w:sectPr>
          <w:footerReference r:id="rId3" w:type="default"/>
          <w:type w:val="continuous"/>
          <w:pgSz w:w="11905" w:h="16838"/>
          <w:pgMar w:top="1440" w:right="1803" w:bottom="1440" w:left="1803" w:header="720" w:footer="720" w:gutter="0"/>
          <w:pgNumType w:start="0"/>
          <w:cols w:space="720" w:num="1"/>
          <w:titlePg/>
          <w:docGrid w:linePitch="286" w:charSpace="0"/>
        </w:sectPr>
      </w:pPr>
    </w:p>
    <w:p w14:paraId="62CA7373">
      <w:pPr>
        <w:pStyle w:val="2"/>
        <w:rPr>
          <w:rFonts w:ascii="宋体" w:hAnsi="宋体"/>
          <w:color w:val="auto"/>
          <w:highlight w:val="none"/>
          <w:lang w:bidi="ar"/>
        </w:rPr>
      </w:pPr>
      <w:bookmarkStart w:id="2" w:name="_Toc111186721"/>
      <w:bookmarkStart w:id="3" w:name="_Toc15375"/>
      <w:r>
        <w:rPr>
          <w:rFonts w:hint="eastAsia" w:ascii="宋体" w:hAnsi="宋体"/>
          <w:color w:val="auto"/>
          <w:highlight w:val="none"/>
          <w:lang w:bidi="ar"/>
        </w:rPr>
        <w:t>第一章  招标公告</w:t>
      </w:r>
      <w:bookmarkEnd w:id="2"/>
      <w:bookmarkEnd w:id="3"/>
    </w:p>
    <w:p w14:paraId="0BBBF3B3">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4480C33D">
      <w:pPr>
        <w:widowControl/>
        <w:wordWrap w:val="0"/>
        <w:jc w:val="left"/>
        <w:rPr>
          <w:rFonts w:ascii="宋体" w:hAnsi="宋体" w:eastAsia="宋体" w:cs="宋体"/>
          <w:color w:val="auto"/>
          <w:spacing w:val="2"/>
          <w:kern w:val="0"/>
          <w:sz w:val="44"/>
          <w:szCs w:val="44"/>
          <w:highlight w:val="none"/>
        </w:rPr>
      </w:pPr>
      <w:r>
        <w:rPr>
          <w:rFonts w:ascii="宋体" w:hAnsi="宋体" w:eastAsia="宋体" w:cs="宋体"/>
          <w:color w:val="auto"/>
          <w:spacing w:val="2"/>
          <w:kern w:val="0"/>
          <w:sz w:val="44"/>
          <w:szCs w:val="44"/>
          <w:highlight w:val="none"/>
        </w:rPr>
        <w:br w:type="page"/>
      </w:r>
    </w:p>
    <w:p w14:paraId="1ACED141">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0B3E7924">
      <w:pPr>
        <w:pStyle w:val="2"/>
        <w:rPr>
          <w:rFonts w:ascii="宋体" w:hAnsi="宋体"/>
          <w:color w:val="auto"/>
          <w:highlight w:val="none"/>
          <w:lang w:bidi="ar"/>
        </w:rPr>
      </w:pPr>
      <w:bookmarkStart w:id="4" w:name="_Toc111186722"/>
      <w:bookmarkStart w:id="5" w:name="_Toc17402"/>
      <w:r>
        <w:rPr>
          <w:rFonts w:hint="eastAsia" w:ascii="宋体" w:hAnsi="宋体"/>
          <w:color w:val="auto"/>
          <w:highlight w:val="none"/>
          <w:lang w:bidi="ar"/>
        </w:rPr>
        <w:t>第二章  投标人须知</w:t>
      </w:r>
      <w:bookmarkEnd w:id="4"/>
      <w:bookmarkEnd w:id="5"/>
    </w:p>
    <w:p w14:paraId="76BA1B56">
      <w:pPr>
        <w:pStyle w:val="3"/>
        <w:wordWrap w:val="0"/>
        <w:rPr>
          <w:rFonts w:ascii="宋体" w:hAnsi="宋体"/>
          <w:color w:val="auto"/>
          <w:highlight w:val="none"/>
          <w:lang w:bidi="ar"/>
        </w:rPr>
      </w:pPr>
      <w:bookmarkStart w:id="6" w:name="_Toc26350"/>
      <w:bookmarkStart w:id="7" w:name="_Toc193357938"/>
      <w:bookmarkStart w:id="8" w:name="_Toc17318"/>
      <w:bookmarkStart w:id="9" w:name="_Toc111186723"/>
      <w:r>
        <w:rPr>
          <w:rFonts w:hint="eastAsia" w:ascii="宋体" w:hAnsi="宋体"/>
          <w:color w:val="auto"/>
          <w:highlight w:val="none"/>
          <w:lang w:bidi="ar"/>
        </w:rPr>
        <w:t>投标人须知前附表</w:t>
      </w:r>
      <w:bookmarkEnd w:id="6"/>
      <w:bookmarkEnd w:id="7"/>
      <w:bookmarkEnd w:id="8"/>
      <w:bookmarkEnd w:id="9"/>
    </w:p>
    <w:tbl>
      <w:tblPr>
        <w:tblStyle w:val="45"/>
        <w:tblW w:w="49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07"/>
        <w:gridCol w:w="5925"/>
      </w:tblGrid>
      <w:tr w14:paraId="5295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440" w:type="pct"/>
            <w:vAlign w:val="center"/>
          </w:tcPr>
          <w:p w14:paraId="5CB7BA76">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066" w:type="pct"/>
            <w:vAlign w:val="center"/>
          </w:tcPr>
          <w:p w14:paraId="0F792367">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条款名称</w:t>
            </w:r>
          </w:p>
        </w:tc>
        <w:tc>
          <w:tcPr>
            <w:tcW w:w="3494" w:type="pct"/>
            <w:vAlign w:val="center"/>
          </w:tcPr>
          <w:p w14:paraId="354FD46D">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编列内容</w:t>
            </w:r>
          </w:p>
        </w:tc>
      </w:tr>
      <w:tr w14:paraId="5E3B7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E2B80A8">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1.1.2</w:t>
            </w:r>
          </w:p>
        </w:tc>
        <w:tc>
          <w:tcPr>
            <w:tcW w:w="1066" w:type="pct"/>
            <w:vAlign w:val="center"/>
          </w:tcPr>
          <w:p w14:paraId="25F3864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3494" w:type="pct"/>
            <w:vAlign w:val="center"/>
          </w:tcPr>
          <w:p w14:paraId="0A72EBB9">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广州市花都区人民政府新华街道办事处</w:t>
            </w:r>
          </w:p>
          <w:p w14:paraId="75C9C5D6">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广州市花都区新华街建设路1号</w:t>
            </w:r>
          </w:p>
          <w:p w14:paraId="58B79455">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联系人：徐工</w:t>
            </w:r>
          </w:p>
          <w:p w14:paraId="15C268C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020-86807633</w:t>
            </w:r>
          </w:p>
        </w:tc>
      </w:tr>
      <w:tr w14:paraId="534E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B6562CA">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1.1.3</w:t>
            </w:r>
          </w:p>
        </w:tc>
        <w:tc>
          <w:tcPr>
            <w:tcW w:w="1066" w:type="pct"/>
            <w:vAlign w:val="center"/>
          </w:tcPr>
          <w:p w14:paraId="6B8BA75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3494" w:type="pct"/>
            <w:vAlign w:val="center"/>
          </w:tcPr>
          <w:p w14:paraId="679E9049">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广东省国际工程咨询有限公司</w:t>
            </w:r>
          </w:p>
          <w:p w14:paraId="491233D5">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地址：广州市越秀区环市中路316号金鹰大厦10-11、13楼</w:t>
            </w:r>
          </w:p>
          <w:p w14:paraId="5A5B611F">
            <w:pPr>
              <w:wordWrap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黄工</w:t>
            </w:r>
          </w:p>
          <w:p w14:paraId="7EA9CDE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电话：020-33971613</w:t>
            </w:r>
          </w:p>
        </w:tc>
      </w:tr>
      <w:tr w14:paraId="0966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7D4E143">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1.1.4</w:t>
            </w:r>
          </w:p>
        </w:tc>
        <w:tc>
          <w:tcPr>
            <w:tcW w:w="1066" w:type="pct"/>
            <w:vAlign w:val="center"/>
          </w:tcPr>
          <w:p w14:paraId="3CD2C85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3494" w:type="pct"/>
            <w:vAlign w:val="center"/>
          </w:tcPr>
          <w:p w14:paraId="7D5D8FE4">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广州市花都区新华街田美区域排水管网更新改造工程勘察初步设计（</w:t>
            </w:r>
            <w:r>
              <w:rPr>
                <w:rFonts w:hint="eastAsia" w:ascii="宋体" w:hAnsi="宋体" w:eastAsia="宋体" w:cs="宋体"/>
                <w:color w:val="auto"/>
                <w:szCs w:val="21"/>
                <w:highlight w:val="none"/>
                <w:u w:val="single"/>
                <w:lang w:val="en-US" w:eastAsia="zh-CN"/>
              </w:rPr>
              <w:t>第二次</w:t>
            </w:r>
            <w:r>
              <w:rPr>
                <w:rFonts w:hint="eastAsia" w:ascii="宋体" w:hAnsi="宋体" w:eastAsia="宋体" w:cs="宋体"/>
                <w:color w:val="auto"/>
                <w:szCs w:val="21"/>
                <w:highlight w:val="none"/>
                <w:u w:val="single"/>
                <w:lang w:eastAsia="zh-CN"/>
              </w:rPr>
              <w:t>）</w:t>
            </w:r>
          </w:p>
        </w:tc>
      </w:tr>
      <w:tr w14:paraId="2F09D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E94FF7A">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1.1.5</w:t>
            </w:r>
          </w:p>
        </w:tc>
        <w:tc>
          <w:tcPr>
            <w:tcW w:w="1066" w:type="pct"/>
            <w:vAlign w:val="center"/>
          </w:tcPr>
          <w:p w14:paraId="2519C56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3494" w:type="pct"/>
            <w:vAlign w:val="center"/>
          </w:tcPr>
          <w:p w14:paraId="68B6272D">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4713D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660E03">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1.1.6</w:t>
            </w:r>
          </w:p>
        </w:tc>
        <w:tc>
          <w:tcPr>
            <w:tcW w:w="1066" w:type="pct"/>
            <w:vAlign w:val="center"/>
          </w:tcPr>
          <w:p w14:paraId="6E344A4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3494" w:type="pct"/>
            <w:vAlign w:val="center"/>
          </w:tcPr>
          <w:p w14:paraId="671260A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65ED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F96E768">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1.1.7</w:t>
            </w:r>
          </w:p>
        </w:tc>
        <w:tc>
          <w:tcPr>
            <w:tcW w:w="1066" w:type="pct"/>
            <w:vAlign w:val="center"/>
          </w:tcPr>
          <w:p w14:paraId="3B38767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项目投资估算</w:t>
            </w:r>
          </w:p>
        </w:tc>
        <w:tc>
          <w:tcPr>
            <w:tcW w:w="3494" w:type="pct"/>
            <w:vAlign w:val="center"/>
          </w:tcPr>
          <w:p w14:paraId="0026A754">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1589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504C422">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1.2.1</w:t>
            </w:r>
          </w:p>
        </w:tc>
        <w:tc>
          <w:tcPr>
            <w:tcW w:w="1066" w:type="pct"/>
            <w:vAlign w:val="center"/>
          </w:tcPr>
          <w:p w14:paraId="52E5472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3494" w:type="pct"/>
            <w:vAlign w:val="center"/>
          </w:tcPr>
          <w:p w14:paraId="40E7BEA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2AC11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A5085AA">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1.2.2</w:t>
            </w:r>
          </w:p>
        </w:tc>
        <w:tc>
          <w:tcPr>
            <w:tcW w:w="1066" w:type="pct"/>
            <w:vAlign w:val="center"/>
          </w:tcPr>
          <w:p w14:paraId="5E24AE4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3494" w:type="pct"/>
            <w:vAlign w:val="center"/>
          </w:tcPr>
          <w:p w14:paraId="403E229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14:paraId="18153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D0B64BF">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1.3.1</w:t>
            </w:r>
          </w:p>
        </w:tc>
        <w:tc>
          <w:tcPr>
            <w:tcW w:w="1066" w:type="pct"/>
            <w:vAlign w:val="center"/>
          </w:tcPr>
          <w:p w14:paraId="4924C53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494" w:type="pct"/>
            <w:vAlign w:val="center"/>
          </w:tcPr>
          <w:p w14:paraId="22AE699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1C9F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223080B">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1.3.2</w:t>
            </w:r>
          </w:p>
        </w:tc>
        <w:tc>
          <w:tcPr>
            <w:tcW w:w="1066" w:type="pct"/>
            <w:vAlign w:val="center"/>
          </w:tcPr>
          <w:p w14:paraId="14F82C9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勘察设计服务期限</w:t>
            </w:r>
          </w:p>
        </w:tc>
        <w:tc>
          <w:tcPr>
            <w:tcW w:w="3494" w:type="pct"/>
            <w:vAlign w:val="center"/>
          </w:tcPr>
          <w:p w14:paraId="0FD294B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0C1F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02F1AB0">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1.3.3</w:t>
            </w:r>
          </w:p>
        </w:tc>
        <w:tc>
          <w:tcPr>
            <w:tcW w:w="1066" w:type="pct"/>
            <w:vAlign w:val="center"/>
          </w:tcPr>
          <w:p w14:paraId="6A1FB5F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494" w:type="pct"/>
            <w:vAlign w:val="center"/>
          </w:tcPr>
          <w:p w14:paraId="5D94B160">
            <w:pPr>
              <w:wordWrap w:val="0"/>
              <w:spacing w:line="276" w:lineRule="auto"/>
              <w:rPr>
                <w:rFonts w:ascii="宋体" w:hAnsi="宋体" w:eastAsia="宋体" w:cs="宋体"/>
                <w:color w:val="auto"/>
                <w:szCs w:val="21"/>
                <w:highlight w:val="none"/>
                <w:u w:val="single"/>
              </w:rPr>
            </w:pPr>
            <w:r>
              <w:rPr>
                <w:rFonts w:ascii="宋体" w:hAnsi="宋体" w:eastAsia="宋体" w:cs="宋体"/>
                <w:color w:val="auto"/>
                <w:szCs w:val="21"/>
                <w:highlight w:val="none"/>
                <w:u w:val="single"/>
              </w:rPr>
              <w:t>1、勘察质量标准：</w:t>
            </w:r>
            <w:r>
              <w:rPr>
                <w:rFonts w:hint="eastAsia" w:ascii="宋体" w:hAnsi="宋体" w:eastAsia="宋体" w:cs="宋体"/>
                <w:color w:val="auto"/>
                <w:szCs w:val="21"/>
                <w:highlight w:val="none"/>
                <w:u w:val="single"/>
              </w:rPr>
              <w:t>符合国家、省、市及行业现行相关规定、规范、标准和本项目勘察设计要求。</w:t>
            </w:r>
          </w:p>
          <w:p w14:paraId="2C659840">
            <w:pPr>
              <w:wordWrap w:val="0"/>
              <w:spacing w:line="276" w:lineRule="auto"/>
              <w:rPr>
                <w:rFonts w:ascii="宋体" w:hAnsi="宋体" w:eastAsia="宋体" w:cs="宋体"/>
                <w:color w:val="auto"/>
                <w:szCs w:val="21"/>
                <w:highlight w:val="none"/>
                <w:u w:val="single"/>
              </w:rPr>
            </w:pPr>
            <w:r>
              <w:rPr>
                <w:rFonts w:ascii="宋体" w:hAnsi="宋体" w:eastAsia="宋体" w:cs="宋体"/>
                <w:color w:val="auto"/>
                <w:szCs w:val="21"/>
                <w:highlight w:val="none"/>
                <w:u w:val="single"/>
              </w:rPr>
              <w:t>2、设计质量标准：</w:t>
            </w:r>
            <w:r>
              <w:rPr>
                <w:rFonts w:hint="eastAsia" w:ascii="宋体" w:hAnsi="宋体" w:eastAsia="宋体" w:cs="宋体"/>
                <w:color w:val="auto"/>
                <w:szCs w:val="21"/>
                <w:highlight w:val="none"/>
                <w:u w:val="single"/>
              </w:rPr>
              <w:t>符合国家、省、市及行业现行相关规定、规范、标准和本项目设计任务要求。</w:t>
            </w:r>
          </w:p>
          <w:p w14:paraId="508EAA1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注：具体以合同约定为准。</w:t>
            </w:r>
          </w:p>
        </w:tc>
      </w:tr>
      <w:tr w14:paraId="59F4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D69AB83">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1.4.1</w:t>
            </w:r>
          </w:p>
        </w:tc>
        <w:tc>
          <w:tcPr>
            <w:tcW w:w="1066" w:type="pct"/>
            <w:vAlign w:val="center"/>
          </w:tcPr>
          <w:p w14:paraId="79E593A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3494" w:type="pct"/>
            <w:vAlign w:val="center"/>
          </w:tcPr>
          <w:p w14:paraId="0BB92CB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14:paraId="5FB76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B86E53">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1.4.2</w:t>
            </w:r>
          </w:p>
        </w:tc>
        <w:tc>
          <w:tcPr>
            <w:tcW w:w="1066" w:type="pct"/>
            <w:vAlign w:val="center"/>
          </w:tcPr>
          <w:p w14:paraId="756D3E7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3494" w:type="pct"/>
            <w:vAlign w:val="center"/>
          </w:tcPr>
          <w:p w14:paraId="7B03478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47DC0BA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详见招标公告</w:t>
            </w:r>
          </w:p>
        </w:tc>
      </w:tr>
      <w:tr w14:paraId="19D9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A039F57">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1.4.3</w:t>
            </w:r>
          </w:p>
        </w:tc>
        <w:tc>
          <w:tcPr>
            <w:tcW w:w="1066" w:type="pct"/>
            <w:vAlign w:val="center"/>
          </w:tcPr>
          <w:p w14:paraId="18048B5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3494" w:type="pct"/>
            <w:vAlign w:val="center"/>
          </w:tcPr>
          <w:p w14:paraId="30D5F27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1）被工商行政管理机关在全国企业信用信息公示系统中列入严重违法失信企业名单；</w:t>
            </w:r>
          </w:p>
          <w:p w14:paraId="1AC41A8C">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2）被最高人民法院在“信用中国”网站（www.creditchina.gov.cn）或各级信用信息共享平台中列入失信被执行人名单；</w:t>
            </w:r>
          </w:p>
          <w:p w14:paraId="0161A3E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3）被“信用广州”网站纳入失信被执行人名单（黑名单）；</w:t>
            </w:r>
          </w:p>
        </w:tc>
      </w:tr>
      <w:tr w14:paraId="2CFC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E5A226D">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1.9.1</w:t>
            </w:r>
          </w:p>
        </w:tc>
        <w:tc>
          <w:tcPr>
            <w:tcW w:w="1066" w:type="pct"/>
            <w:vAlign w:val="center"/>
          </w:tcPr>
          <w:p w14:paraId="72E78FB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494" w:type="pct"/>
            <w:vAlign w:val="center"/>
          </w:tcPr>
          <w:p w14:paraId="3880649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■不组织，投标人自行考察。</w:t>
            </w:r>
          </w:p>
          <w:p w14:paraId="30A01F9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补充说明如下：</w:t>
            </w:r>
          </w:p>
          <w:p w14:paraId="09E9C8A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w:t>
            </w:r>
            <w:r>
              <w:rPr>
                <w:rFonts w:hint="eastAsia" w:ascii="宋体" w:hAnsi="宋体" w:eastAsia="宋体" w:cs="宋体"/>
                <w:color w:val="auto"/>
                <w:szCs w:val="21"/>
                <w:highlight w:val="none"/>
                <w:u w:val="single"/>
              </w:rPr>
              <w:t>场考察活动。</w:t>
            </w:r>
          </w:p>
          <w:p w14:paraId="68C3FA8C">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416FB011">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3）由招标人提供的资料和数据，只是为了使投标人能够利用招标人现有的资料。招标人对投标人由此而</w:t>
            </w:r>
            <w:r>
              <w:rPr>
                <w:rFonts w:hint="eastAsia" w:ascii="宋体" w:hAnsi="宋体" w:eastAsia="宋体" w:cs="宋体"/>
                <w:color w:val="auto"/>
                <w:szCs w:val="21"/>
                <w:highlight w:val="none"/>
                <w:u w:val="single"/>
              </w:rPr>
              <w:t>作出的推论、解释和结论概不负责。</w:t>
            </w:r>
          </w:p>
          <w:p w14:paraId="74C2428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4）不论投标结果如何，投标人应承担其投标文件编制与递交所涉及的一切费用，发包人对上述费用不负任何责任。</w:t>
            </w:r>
          </w:p>
          <w:p w14:paraId="5B7F4AC0">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组织，踏勘时间：</w:t>
            </w:r>
            <w:r>
              <w:rPr>
                <w:rFonts w:ascii="宋体" w:hAnsi="宋体" w:eastAsia="宋体" w:cs="宋体"/>
                <w:color w:val="auto"/>
                <w:szCs w:val="21"/>
                <w:highlight w:val="none"/>
                <w:u w:val="single"/>
              </w:rPr>
              <w:t>/。</w:t>
            </w:r>
          </w:p>
          <w:p w14:paraId="3D637E9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ascii="宋体" w:hAnsi="宋体" w:eastAsia="宋体" w:cs="宋体"/>
                <w:color w:val="auto"/>
                <w:szCs w:val="21"/>
                <w:highlight w:val="none"/>
                <w:u w:val="single"/>
              </w:rPr>
              <w:t>/。</w:t>
            </w:r>
          </w:p>
        </w:tc>
      </w:tr>
      <w:tr w14:paraId="5824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74A3BCE">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1.10.1</w:t>
            </w:r>
          </w:p>
        </w:tc>
        <w:tc>
          <w:tcPr>
            <w:tcW w:w="1066" w:type="pct"/>
            <w:vAlign w:val="center"/>
          </w:tcPr>
          <w:p w14:paraId="25E5337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3494" w:type="pct"/>
            <w:vAlign w:val="center"/>
          </w:tcPr>
          <w:p w14:paraId="64F3353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■不召开</w:t>
            </w:r>
          </w:p>
          <w:p w14:paraId="614D5D8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ascii="宋体" w:hAnsi="宋体" w:eastAsia="宋体" w:cs="宋体"/>
                <w:color w:val="auto"/>
                <w:szCs w:val="21"/>
                <w:highlight w:val="none"/>
                <w:u w:val="single"/>
              </w:rPr>
              <w:t>/。</w:t>
            </w:r>
          </w:p>
          <w:p w14:paraId="700A59D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ascii="宋体" w:hAnsi="宋体" w:eastAsia="宋体" w:cs="宋体"/>
                <w:color w:val="auto"/>
                <w:szCs w:val="21"/>
                <w:highlight w:val="none"/>
                <w:u w:val="single"/>
              </w:rPr>
              <w:t>/。</w:t>
            </w:r>
          </w:p>
        </w:tc>
      </w:tr>
      <w:tr w14:paraId="4BC0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restart"/>
            <w:vAlign w:val="center"/>
          </w:tcPr>
          <w:p w14:paraId="06F1C47B">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1.10.2</w:t>
            </w:r>
          </w:p>
        </w:tc>
        <w:tc>
          <w:tcPr>
            <w:tcW w:w="1066" w:type="pct"/>
            <w:vMerge w:val="restart"/>
            <w:vAlign w:val="center"/>
          </w:tcPr>
          <w:p w14:paraId="040B506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3494" w:type="pct"/>
            <w:vAlign w:val="center"/>
          </w:tcPr>
          <w:p w14:paraId="4117DE8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ascii="宋体" w:hAnsi="宋体" w:eastAsia="宋体" w:cs="宋体"/>
                <w:color w:val="auto"/>
                <w:szCs w:val="21"/>
                <w:highlight w:val="none"/>
                <w:u w:val="single"/>
                <w:lang w:bidi="ar"/>
              </w:rPr>
              <w:t xml:space="preserve"> / （本项目不召开投标预备会）。</w:t>
            </w:r>
          </w:p>
        </w:tc>
      </w:tr>
      <w:tr w14:paraId="30FE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continue"/>
            <w:vAlign w:val="center"/>
          </w:tcPr>
          <w:p w14:paraId="378CD2CA">
            <w:pPr>
              <w:widowControl/>
              <w:wordWrap w:val="0"/>
              <w:spacing w:line="276" w:lineRule="auto"/>
              <w:jc w:val="center"/>
              <w:rPr>
                <w:rFonts w:ascii="宋体" w:hAnsi="宋体" w:eastAsia="宋体" w:cs="宋体"/>
                <w:color w:val="auto"/>
                <w:kern w:val="0"/>
                <w:szCs w:val="21"/>
                <w:highlight w:val="none"/>
              </w:rPr>
            </w:pPr>
          </w:p>
        </w:tc>
        <w:tc>
          <w:tcPr>
            <w:tcW w:w="1066" w:type="pct"/>
            <w:vMerge w:val="continue"/>
            <w:vAlign w:val="center"/>
          </w:tcPr>
          <w:p w14:paraId="307F5DC2">
            <w:pPr>
              <w:wordWrap w:val="0"/>
              <w:spacing w:line="276" w:lineRule="auto"/>
              <w:jc w:val="center"/>
              <w:rPr>
                <w:rFonts w:ascii="宋体" w:hAnsi="宋体" w:eastAsia="宋体" w:cs="宋体"/>
                <w:color w:val="auto"/>
                <w:szCs w:val="21"/>
                <w:highlight w:val="none"/>
              </w:rPr>
            </w:pPr>
          </w:p>
        </w:tc>
        <w:tc>
          <w:tcPr>
            <w:tcW w:w="3494" w:type="pct"/>
            <w:vAlign w:val="center"/>
          </w:tcPr>
          <w:p w14:paraId="213CB52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形式：</w:t>
            </w:r>
            <w:r>
              <w:rPr>
                <w:rFonts w:ascii="宋体" w:hAnsi="宋体" w:eastAsia="宋体" w:cs="宋体"/>
                <w:color w:val="auto"/>
                <w:szCs w:val="21"/>
                <w:highlight w:val="none"/>
                <w:u w:val="single"/>
                <w:lang w:bidi="ar"/>
              </w:rPr>
              <w:t xml:space="preserve"> / （本项目不召开投标预备会）。</w:t>
            </w:r>
          </w:p>
        </w:tc>
      </w:tr>
      <w:tr w14:paraId="74F8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03DE2B1">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1.10.3</w:t>
            </w:r>
          </w:p>
        </w:tc>
        <w:tc>
          <w:tcPr>
            <w:tcW w:w="1066" w:type="pct"/>
            <w:vAlign w:val="center"/>
          </w:tcPr>
          <w:p w14:paraId="212E6DC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3494" w:type="pct"/>
            <w:vAlign w:val="center"/>
          </w:tcPr>
          <w:p w14:paraId="0D363E18">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u w:val="single"/>
                <w:lang w:bidi="ar"/>
              </w:rPr>
              <w:t xml:space="preserve">  /  （不召开投标预备会，此为投标预备会的答疑澄清）。</w:t>
            </w:r>
          </w:p>
        </w:tc>
      </w:tr>
      <w:tr w14:paraId="049C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6FE0CDA">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ascii="宋体" w:hAnsi="宋体" w:eastAsia="宋体" w:cs="宋体"/>
                <w:color w:val="auto"/>
                <w:spacing w:val="-7"/>
                <w:kern w:val="0"/>
                <w:szCs w:val="21"/>
                <w:highlight w:val="none"/>
              </w:rPr>
              <w:t>1</w:t>
            </w:r>
            <w:r>
              <w:rPr>
                <w:rFonts w:ascii="宋体" w:hAnsi="宋体" w:eastAsia="宋体" w:cs="宋体"/>
                <w:color w:val="auto"/>
                <w:kern w:val="0"/>
                <w:szCs w:val="21"/>
                <w:highlight w:val="none"/>
              </w:rPr>
              <w:t>1.1</w:t>
            </w:r>
          </w:p>
        </w:tc>
        <w:tc>
          <w:tcPr>
            <w:tcW w:w="1066" w:type="pct"/>
            <w:vAlign w:val="center"/>
          </w:tcPr>
          <w:p w14:paraId="5B3FB24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494" w:type="pct"/>
            <w:vAlign w:val="center"/>
          </w:tcPr>
          <w:p w14:paraId="35A738A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6B34C62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■允许，分包内容要求：</w:t>
            </w:r>
            <w:r>
              <w:rPr>
                <w:rFonts w:hint="eastAsia" w:ascii="宋体" w:hAnsi="宋体" w:eastAsia="宋体" w:cs="宋体"/>
                <w:color w:val="auto"/>
                <w:szCs w:val="21"/>
                <w:highlight w:val="none"/>
                <w:u w:val="single"/>
              </w:rPr>
              <w:t>按有关规定。</w:t>
            </w:r>
          </w:p>
          <w:p w14:paraId="62A32A3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分包金额要求：</w:t>
            </w:r>
            <w:r>
              <w:rPr>
                <w:rFonts w:ascii="宋体" w:hAnsi="宋体" w:eastAsia="宋体" w:cs="宋体"/>
                <w:color w:val="auto"/>
                <w:szCs w:val="21"/>
                <w:highlight w:val="none"/>
              </w:rPr>
              <w:t>/</w:t>
            </w:r>
          </w:p>
          <w:p w14:paraId="2898AFC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对分包人的资质要求：</w:t>
            </w:r>
            <w:r>
              <w:rPr>
                <w:rFonts w:hint="eastAsia" w:ascii="宋体" w:hAnsi="宋体" w:eastAsia="宋体" w:cs="宋体"/>
                <w:color w:val="auto"/>
                <w:szCs w:val="21"/>
                <w:highlight w:val="none"/>
                <w:u w:val="single"/>
              </w:rPr>
              <w:t>按国家规定。</w:t>
            </w:r>
          </w:p>
        </w:tc>
      </w:tr>
      <w:tr w14:paraId="354D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EFFF1BF">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1.12.1</w:t>
            </w:r>
          </w:p>
        </w:tc>
        <w:tc>
          <w:tcPr>
            <w:tcW w:w="1066" w:type="pct"/>
            <w:vAlign w:val="center"/>
          </w:tcPr>
          <w:p w14:paraId="0BE9EA2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3494" w:type="pct"/>
            <w:vAlign w:val="center"/>
          </w:tcPr>
          <w:p w14:paraId="27C7C13E">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u w:val="single"/>
              </w:rPr>
              <w:t>/。</w:t>
            </w:r>
          </w:p>
        </w:tc>
      </w:tr>
      <w:tr w14:paraId="618F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BA12EB1">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1.12.3</w:t>
            </w:r>
          </w:p>
        </w:tc>
        <w:tc>
          <w:tcPr>
            <w:tcW w:w="1066" w:type="pct"/>
            <w:vAlign w:val="center"/>
          </w:tcPr>
          <w:p w14:paraId="21893EA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3494" w:type="pct"/>
            <w:vAlign w:val="center"/>
          </w:tcPr>
          <w:p w14:paraId="29364EC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37949F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□允许，偏差范围：</w:t>
            </w:r>
            <w:r>
              <w:rPr>
                <w:rFonts w:ascii="宋体" w:hAnsi="宋体" w:eastAsia="宋体" w:cs="宋体"/>
                <w:color w:val="auto"/>
                <w:szCs w:val="21"/>
                <w:highlight w:val="none"/>
                <w:u w:val="single"/>
              </w:rPr>
              <w:t>/。</w:t>
            </w:r>
          </w:p>
          <w:p w14:paraId="7F1847F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偏差幅度：</w:t>
            </w:r>
            <w:r>
              <w:rPr>
                <w:rFonts w:ascii="宋体" w:hAnsi="宋体" w:eastAsia="宋体" w:cs="宋体"/>
                <w:color w:val="auto"/>
                <w:szCs w:val="21"/>
                <w:highlight w:val="none"/>
                <w:u w:val="single"/>
              </w:rPr>
              <w:t>/。</w:t>
            </w:r>
          </w:p>
        </w:tc>
      </w:tr>
      <w:tr w14:paraId="3AC5B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61B48B8">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2.1</w:t>
            </w:r>
          </w:p>
        </w:tc>
        <w:tc>
          <w:tcPr>
            <w:tcW w:w="1066" w:type="pct"/>
            <w:vAlign w:val="center"/>
          </w:tcPr>
          <w:p w14:paraId="1FC1855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3494" w:type="pct"/>
            <w:vAlign w:val="center"/>
          </w:tcPr>
          <w:p w14:paraId="5E2489C2">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u w:val="single"/>
              </w:rPr>
              <w:t>/。</w:t>
            </w:r>
          </w:p>
        </w:tc>
      </w:tr>
      <w:tr w14:paraId="31D5D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D3EA173">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2.2</w:t>
            </w:r>
          </w:p>
        </w:tc>
        <w:tc>
          <w:tcPr>
            <w:tcW w:w="1066" w:type="pct"/>
            <w:vAlign w:val="center"/>
          </w:tcPr>
          <w:p w14:paraId="76C4A3E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招标文件的答疑</w:t>
            </w:r>
          </w:p>
        </w:tc>
        <w:tc>
          <w:tcPr>
            <w:tcW w:w="3494" w:type="pct"/>
            <w:vAlign w:val="center"/>
          </w:tcPr>
          <w:p w14:paraId="205BF39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年   月   日   时前。</w:t>
            </w:r>
          </w:p>
          <w:p w14:paraId="252EE824">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投标人的疑问通过广州交易集团有限公司（广州公共资源交易中心）网站提交。</w:t>
            </w:r>
          </w:p>
          <w:p w14:paraId="70D18B3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u w:val="single"/>
              </w:rPr>
              <w:t>按照广州交易集团有限公司（广州公共资源交易中心）网站关于全流程电子化项目的相关指南进行操作，提问一律不得署名。</w:t>
            </w:r>
          </w:p>
        </w:tc>
      </w:tr>
      <w:tr w14:paraId="39771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440" w:type="pct"/>
            <w:vAlign w:val="center"/>
          </w:tcPr>
          <w:p w14:paraId="57EE5A3D">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2.3</w:t>
            </w:r>
          </w:p>
        </w:tc>
        <w:tc>
          <w:tcPr>
            <w:tcW w:w="1066" w:type="pct"/>
            <w:vAlign w:val="center"/>
          </w:tcPr>
          <w:p w14:paraId="6E08B1D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招标文件的澄清和修改</w:t>
            </w:r>
          </w:p>
        </w:tc>
        <w:tc>
          <w:tcPr>
            <w:tcW w:w="3494" w:type="pct"/>
            <w:vAlign w:val="center"/>
          </w:tcPr>
          <w:p w14:paraId="5E9C9E7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招标文件的修改期限：</w:t>
            </w:r>
            <w:r>
              <w:rPr>
                <w:rFonts w:hint="eastAsia" w:ascii="宋体" w:hAnsi="宋体" w:eastAsia="宋体" w:cs="宋体"/>
                <w:color w:val="auto"/>
                <w:szCs w:val="21"/>
                <w:highlight w:val="none"/>
                <w:u w:val="single"/>
              </w:rPr>
              <w:t>在投标截止时间</w:t>
            </w:r>
            <w:r>
              <w:rPr>
                <w:rFonts w:ascii="宋体" w:hAnsi="宋体" w:eastAsia="宋体" w:cs="宋体"/>
                <w:color w:val="auto"/>
                <w:szCs w:val="21"/>
                <w:highlight w:val="none"/>
                <w:u w:val="single"/>
              </w:rPr>
              <w:t xml:space="preserve"> 15 </w:t>
            </w:r>
            <w:r>
              <w:rPr>
                <w:rFonts w:hint="eastAsia" w:ascii="宋体" w:hAnsi="宋体" w:eastAsia="宋体" w:cs="宋体"/>
                <w:color w:val="auto"/>
                <w:szCs w:val="21"/>
                <w:highlight w:val="none"/>
                <w:u w:val="single"/>
              </w:rPr>
              <w:t>天前。</w:t>
            </w:r>
          </w:p>
        </w:tc>
      </w:tr>
      <w:tr w14:paraId="21F9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ECF3408">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3.1.1</w:t>
            </w:r>
          </w:p>
        </w:tc>
        <w:tc>
          <w:tcPr>
            <w:tcW w:w="1066" w:type="pct"/>
            <w:vAlign w:val="center"/>
          </w:tcPr>
          <w:p w14:paraId="6E0C073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3494" w:type="pct"/>
            <w:vAlign w:val="center"/>
          </w:tcPr>
          <w:p w14:paraId="5E7DFA5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投标人认为有必要提供的其他资料，格式自定。</w:t>
            </w:r>
          </w:p>
        </w:tc>
      </w:tr>
      <w:tr w14:paraId="712EE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DA26DEB">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3.2.1</w:t>
            </w:r>
          </w:p>
        </w:tc>
        <w:tc>
          <w:tcPr>
            <w:tcW w:w="1066" w:type="pct"/>
            <w:vAlign w:val="center"/>
          </w:tcPr>
          <w:p w14:paraId="5B5FD06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3494" w:type="pct"/>
            <w:vAlign w:val="center"/>
          </w:tcPr>
          <w:p w14:paraId="05CBA96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投标人的报价为含税报价。</w:t>
            </w:r>
          </w:p>
        </w:tc>
      </w:tr>
      <w:tr w14:paraId="2E5A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ED5EFF5">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3.2.3</w:t>
            </w:r>
          </w:p>
        </w:tc>
        <w:tc>
          <w:tcPr>
            <w:tcW w:w="1066" w:type="pct"/>
            <w:vAlign w:val="center"/>
          </w:tcPr>
          <w:p w14:paraId="60635D3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3494" w:type="pct"/>
            <w:vAlign w:val="center"/>
          </w:tcPr>
          <w:p w14:paraId="5EFD3285">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rPr>
              <w:t>1、勘察费报价：</w:t>
            </w:r>
            <w:r>
              <w:rPr>
                <w:rFonts w:ascii="宋体" w:hAnsi="宋体" w:eastAsia="宋体" w:cs="宋体"/>
                <w:color w:val="auto"/>
                <w:szCs w:val="21"/>
                <w:highlight w:val="none"/>
                <w:u w:val="single"/>
              </w:rPr>
              <w:t>投标人自行报价。勘察费报价为投标人完成本工</w:t>
            </w:r>
            <w:r>
              <w:rPr>
                <w:rFonts w:hint="eastAsia" w:ascii="宋体" w:hAnsi="宋体" w:eastAsia="宋体" w:cs="宋体"/>
                <w:color w:val="auto"/>
                <w:szCs w:val="21"/>
                <w:highlight w:val="none"/>
                <w:u w:val="single"/>
              </w:rPr>
              <w:t>程所需的所有勘察工作，包括但不限于岩土勘察、物探等的实物工作收费、进出场费、技术工作收费等全部成本、利润、税金以及风险等。</w:t>
            </w:r>
          </w:p>
          <w:p w14:paraId="32880317">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rPr>
              <w:t>2、设计费报价：</w:t>
            </w:r>
            <w:r>
              <w:rPr>
                <w:rFonts w:ascii="宋体" w:hAnsi="宋体" w:eastAsia="宋体" w:cs="宋体"/>
                <w:color w:val="auto"/>
                <w:szCs w:val="21"/>
                <w:highlight w:val="none"/>
                <w:u w:val="single"/>
              </w:rPr>
              <w:t>投标人自行报价。设计费报价为投标人完成本工程所有专业方案设计、初步设计等工作及履行合同的成本、利润、税金及风险等。</w:t>
            </w:r>
          </w:p>
          <w:p w14:paraId="26EB5CFA">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rPr>
              <w:t>3、勘察设计费的结算方式按合同约定执行。</w:t>
            </w:r>
          </w:p>
        </w:tc>
      </w:tr>
      <w:tr w14:paraId="73C6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85B0434">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3.2.4</w:t>
            </w:r>
          </w:p>
        </w:tc>
        <w:tc>
          <w:tcPr>
            <w:tcW w:w="1066" w:type="pct"/>
            <w:vAlign w:val="center"/>
          </w:tcPr>
          <w:p w14:paraId="06BD3AC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494" w:type="pct"/>
            <w:vAlign w:val="center"/>
          </w:tcPr>
          <w:p w14:paraId="248394E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32A80B4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■有，</w:t>
            </w:r>
            <w:r>
              <w:rPr>
                <w:rFonts w:ascii="宋体" w:hAnsi="宋体" w:eastAsia="宋体" w:cs="宋体"/>
                <w:color w:val="auto"/>
                <w:szCs w:val="21"/>
                <w:highlight w:val="none"/>
              </w:rPr>
              <w:t>最高投标限价：</w:t>
            </w:r>
            <w:r>
              <w:rPr>
                <w:rFonts w:hint="eastAsia" w:ascii="宋体" w:hAnsi="宋体" w:eastAsia="宋体" w:cs="宋体"/>
                <w:color w:val="auto"/>
                <w:szCs w:val="21"/>
                <w:highlight w:val="none"/>
              </w:rPr>
              <w:t>1047.28万元（具体详见招标公告）。</w:t>
            </w:r>
          </w:p>
        </w:tc>
      </w:tr>
      <w:tr w14:paraId="2A97A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09D5A7">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3.2.5</w:t>
            </w:r>
          </w:p>
        </w:tc>
        <w:tc>
          <w:tcPr>
            <w:tcW w:w="1066" w:type="pct"/>
            <w:vAlign w:val="center"/>
          </w:tcPr>
          <w:p w14:paraId="1C5628A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3494" w:type="pct"/>
            <w:vAlign w:val="center"/>
          </w:tcPr>
          <w:p w14:paraId="78DD0BC8">
            <w:pPr>
              <w:wordWrap w:val="0"/>
              <w:spacing w:line="276" w:lineRule="auto"/>
              <w:rPr>
                <w:rFonts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rPr>
              <w:t>投标人必须详细审阅全部招标文件，充分考虑职责和义务，全面地理解招标文件对投标报价的要求，并按招标人提出的条件及内容进行报价。</w:t>
            </w:r>
            <w:r>
              <w:rPr>
                <w:rFonts w:hint="eastAsia" w:ascii="宋体" w:hAnsi="宋体" w:eastAsia="宋体" w:cs="宋体"/>
                <w:color w:val="auto"/>
                <w:szCs w:val="21"/>
                <w:highlight w:val="none"/>
                <w:u w:val="none"/>
                <w:lang w:bidi="ar"/>
              </w:rPr>
              <w:t>所有报价均以人民币表示，以元为单位，保留小数点后两位小数，第三位小数四舍五入。投标报价由投标人根据招标文件要求以及企业自身情况填报。投标人未按要求报价或投标报价（含投标总报价、勘察费报价、设计费报价、勘察设计费报价）超过上述相应最高投标限价的为无效标。</w:t>
            </w:r>
          </w:p>
          <w:p w14:paraId="306194D6">
            <w:pPr>
              <w:wordWrap w:val="0"/>
              <w:spacing w:line="276" w:lineRule="auto"/>
              <w:rPr>
                <w:rFonts w:ascii="宋体" w:hAnsi="宋体" w:eastAsia="宋体" w:cs="宋体"/>
                <w:b/>
                <w:color w:val="auto"/>
                <w:szCs w:val="21"/>
                <w:highlight w:val="none"/>
              </w:rPr>
            </w:pPr>
            <w:r>
              <w:rPr>
                <w:rFonts w:hint="eastAsia" w:ascii="宋体" w:hAnsi="宋体" w:eastAsia="宋体" w:cs="宋体"/>
                <w:b/>
                <w:color w:val="auto"/>
                <w:szCs w:val="21"/>
                <w:highlight w:val="none"/>
                <w:u w:val="none"/>
                <w:lang w:bidi="ar"/>
              </w:rPr>
              <w:t>本项目成本警示价为942.552</w:t>
            </w:r>
            <w:r>
              <w:rPr>
                <w:rFonts w:ascii="宋体" w:hAnsi="宋体" w:eastAsia="宋体" w:cs="宋体"/>
                <w:b/>
                <w:color w:val="auto"/>
                <w:szCs w:val="21"/>
                <w:highlight w:val="none"/>
                <w:u w:val="none"/>
                <w:lang w:bidi="ar"/>
              </w:rPr>
              <w:t>万元</w:t>
            </w:r>
            <w:r>
              <w:rPr>
                <w:rFonts w:hint="eastAsia" w:ascii="宋体" w:hAnsi="宋体" w:eastAsia="宋体" w:cs="宋体"/>
                <w:b/>
                <w:color w:val="auto"/>
                <w:szCs w:val="21"/>
                <w:highlight w:val="none"/>
                <w:u w:val="none"/>
                <w:lang w:bidi="ar"/>
              </w:rPr>
              <w:t>，对低于该警示价的投标报价，投标人须提供详细的成本分析供评标委员会评审，由评标委员会判定其是否低于企业自身成本。</w:t>
            </w:r>
          </w:p>
        </w:tc>
      </w:tr>
      <w:tr w14:paraId="0719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6380FD3">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3.3.1</w:t>
            </w:r>
          </w:p>
        </w:tc>
        <w:tc>
          <w:tcPr>
            <w:tcW w:w="1066" w:type="pct"/>
            <w:vAlign w:val="center"/>
          </w:tcPr>
          <w:p w14:paraId="7FC3C95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494" w:type="pct"/>
            <w:vAlign w:val="center"/>
          </w:tcPr>
          <w:p w14:paraId="150F4D6C">
            <w:pPr>
              <w:wordWrap w:val="0"/>
              <w:spacing w:line="276" w:lineRule="auto"/>
              <w:rPr>
                <w:rFonts w:ascii="宋体" w:hAnsi="宋体" w:eastAsia="宋体" w:cs="宋体"/>
                <w:color w:val="auto"/>
                <w:szCs w:val="21"/>
                <w:highlight w:val="none"/>
              </w:rPr>
            </w:pPr>
            <w:r>
              <w:rPr>
                <w:rFonts w:ascii="宋体" w:hAnsi="宋体" w:eastAsia="宋体" w:cs="宋体"/>
                <w:b/>
                <w:bCs/>
                <w:color w:val="auto"/>
                <w:szCs w:val="21"/>
                <w:highlight w:val="none"/>
                <w:u w:val="single"/>
              </w:rPr>
              <w:t>90</w:t>
            </w:r>
            <w:r>
              <w:rPr>
                <w:rFonts w:hint="eastAsia" w:ascii="宋体" w:hAnsi="宋体" w:eastAsia="宋体" w:cs="宋体"/>
                <w:color w:val="auto"/>
                <w:szCs w:val="21"/>
                <w:highlight w:val="none"/>
              </w:rPr>
              <w:t>日历天（从投标截止之日计起）</w:t>
            </w:r>
          </w:p>
        </w:tc>
      </w:tr>
      <w:tr w14:paraId="6620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5EC2858">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3.4.1</w:t>
            </w:r>
          </w:p>
        </w:tc>
        <w:tc>
          <w:tcPr>
            <w:tcW w:w="1066" w:type="pct"/>
            <w:vAlign w:val="center"/>
          </w:tcPr>
          <w:p w14:paraId="4FD4761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94" w:type="pct"/>
            <w:vAlign w:val="center"/>
          </w:tcPr>
          <w:p w14:paraId="24C2F3B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60CCFD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w:t>
            </w:r>
          </w:p>
          <w:p w14:paraId="148EE19F">
            <w:pPr>
              <w:widowControl/>
              <w:wordWrap w:val="0"/>
              <w:topLinePunct/>
              <w:spacing w:after="120"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缴纳金额：</w:t>
            </w:r>
            <w:r>
              <w:rPr>
                <w:rFonts w:ascii="宋体" w:hAnsi="宋体" w:eastAsia="宋体" w:cs="宋体"/>
                <w:color w:val="auto"/>
                <w:kern w:val="0"/>
                <w:szCs w:val="21"/>
                <w:highlight w:val="none"/>
                <w:u w:val="single"/>
                <w:lang w:val="zh-CN"/>
              </w:rPr>
              <w:t>/。</w:t>
            </w:r>
          </w:p>
          <w:p w14:paraId="48725B2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7B09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178C540">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3.5</w:t>
            </w:r>
          </w:p>
        </w:tc>
        <w:tc>
          <w:tcPr>
            <w:tcW w:w="1066" w:type="pct"/>
            <w:vAlign w:val="center"/>
          </w:tcPr>
          <w:p w14:paraId="3133EC4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3494" w:type="pct"/>
            <w:vAlign w:val="center"/>
          </w:tcPr>
          <w:p w14:paraId="2FFC83A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0553CDC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□有，具体要求：</w:t>
            </w:r>
          </w:p>
        </w:tc>
      </w:tr>
      <w:tr w14:paraId="5787E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62C7419">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3.5.2</w:t>
            </w:r>
          </w:p>
        </w:tc>
        <w:tc>
          <w:tcPr>
            <w:tcW w:w="1066" w:type="pct"/>
            <w:vAlign w:val="center"/>
          </w:tcPr>
          <w:p w14:paraId="126EBA8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3494" w:type="pct"/>
            <w:vAlign w:val="center"/>
          </w:tcPr>
          <w:p w14:paraId="3CF67F8C">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u w:val="single"/>
              </w:rPr>
              <w:t>/。</w:t>
            </w:r>
          </w:p>
        </w:tc>
      </w:tr>
      <w:tr w14:paraId="7D12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E18BB4F">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3.6.1</w:t>
            </w:r>
          </w:p>
        </w:tc>
        <w:tc>
          <w:tcPr>
            <w:tcW w:w="1066" w:type="pct"/>
            <w:vAlign w:val="center"/>
          </w:tcPr>
          <w:p w14:paraId="55D6947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3494" w:type="pct"/>
            <w:vAlign w:val="center"/>
          </w:tcPr>
          <w:p w14:paraId="2409ECF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BD3F2B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4294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730BCDC">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3.7.3</w:t>
            </w:r>
          </w:p>
        </w:tc>
        <w:tc>
          <w:tcPr>
            <w:tcW w:w="1066" w:type="pct"/>
            <w:vAlign w:val="center"/>
          </w:tcPr>
          <w:p w14:paraId="53CA3CB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3494" w:type="pct"/>
            <w:vAlign w:val="center"/>
          </w:tcPr>
          <w:p w14:paraId="1087BE1A">
            <w:pPr>
              <w:wordWrap w:val="0"/>
              <w:spacing w:line="276" w:lineRule="auto"/>
              <w:rPr>
                <w:rFonts w:ascii="宋体" w:hAnsi="宋体" w:eastAsia="宋体"/>
                <w:color w:val="auto"/>
                <w:szCs w:val="24"/>
                <w:highlight w:val="none"/>
                <w:u w:val="single"/>
              </w:rPr>
            </w:pPr>
            <w:r>
              <w:rPr>
                <w:rFonts w:ascii="宋体" w:hAnsi="宋体" w:eastAsia="宋体"/>
                <w:color w:val="auto"/>
                <w:szCs w:val="24"/>
                <w:highlight w:val="none"/>
                <w:u w:val="single"/>
              </w:rPr>
              <w:t>投标文件格式规定需个人签字的，应签字或签章后扫描上传</w:t>
            </w:r>
            <w:r>
              <w:rPr>
                <w:rFonts w:hint="eastAsia" w:ascii="宋体" w:hAnsi="宋体" w:eastAsia="宋体"/>
                <w:color w:val="auto"/>
                <w:szCs w:val="21"/>
                <w:highlight w:val="none"/>
                <w:u w:val="single"/>
              </w:rPr>
              <w:t>（</w:t>
            </w:r>
            <w:r>
              <w:rPr>
                <w:rFonts w:hint="eastAsia" w:ascii="宋体" w:hAnsi="宋体" w:eastAsia="宋体" w:cs="Times New Roman"/>
                <w:color w:val="auto"/>
                <w:szCs w:val="24"/>
                <w:highlight w:val="none"/>
                <w:u w:val="single"/>
              </w:rPr>
              <w:t>可靠的电子签名与手写签名或者盖章具有同等的法律效力</w:t>
            </w:r>
            <w:r>
              <w:rPr>
                <w:rFonts w:hint="eastAsia" w:ascii="宋体" w:hAnsi="宋体" w:eastAsia="宋体"/>
                <w:color w:val="auto"/>
                <w:szCs w:val="21"/>
                <w:highlight w:val="none"/>
                <w:u w:val="single"/>
              </w:rPr>
              <w:t>）</w:t>
            </w:r>
            <w:r>
              <w:rPr>
                <w:rFonts w:ascii="宋体" w:hAnsi="宋体" w:eastAsia="宋体"/>
                <w:color w:val="auto"/>
                <w:szCs w:val="24"/>
                <w:highlight w:val="none"/>
                <w:u w:val="single"/>
              </w:rPr>
              <w:t>。投标文件格式规定盖单位公章的页面必须盖单位公章</w:t>
            </w:r>
            <w:r>
              <w:rPr>
                <w:rFonts w:hint="eastAsia" w:ascii="宋体" w:hAnsi="宋体" w:eastAsia="宋体"/>
                <w:color w:val="auto"/>
                <w:szCs w:val="24"/>
                <w:highlight w:val="none"/>
                <w:u w:val="single"/>
              </w:rPr>
              <w:t>或电子公章</w:t>
            </w:r>
            <w:r>
              <w:rPr>
                <w:rFonts w:ascii="宋体" w:hAnsi="宋体" w:eastAsia="宋体"/>
                <w:color w:val="auto"/>
                <w:szCs w:val="24"/>
                <w:highlight w:val="none"/>
                <w:u w:val="single"/>
              </w:rPr>
              <w:t>（公章与电子公章具有相同法律效力）</w:t>
            </w:r>
            <w:r>
              <w:rPr>
                <w:rFonts w:hint="eastAsia" w:ascii="宋体" w:hAnsi="宋体" w:eastAsia="宋体"/>
                <w:color w:val="auto"/>
                <w:szCs w:val="24"/>
                <w:highlight w:val="none"/>
                <w:u w:val="single"/>
              </w:rPr>
              <w:t>。</w:t>
            </w:r>
          </w:p>
        </w:tc>
      </w:tr>
      <w:tr w14:paraId="0F88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5A9003E">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4.2.1</w:t>
            </w:r>
          </w:p>
        </w:tc>
        <w:tc>
          <w:tcPr>
            <w:tcW w:w="1066" w:type="pct"/>
            <w:vAlign w:val="center"/>
          </w:tcPr>
          <w:p w14:paraId="0F7B0BC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494" w:type="pct"/>
            <w:vAlign w:val="center"/>
          </w:tcPr>
          <w:p w14:paraId="7E7FFFDF">
            <w:pPr>
              <w:wordWrap w:val="0"/>
              <w:spacing w:line="276" w:lineRule="auto"/>
              <w:rPr>
                <w:rFonts w:ascii="宋体" w:hAnsi="宋体" w:eastAsia="宋体" w:cs="宋体"/>
                <w:color w:val="auto"/>
                <w:szCs w:val="21"/>
                <w:highlight w:val="none"/>
              </w:rPr>
            </w:pPr>
            <w:r>
              <w:rPr>
                <w:rFonts w:hint="eastAsia" w:ascii="宋体" w:hAnsi="宋体" w:eastAsia="宋体"/>
                <w:color w:val="auto"/>
                <w:szCs w:val="24"/>
                <w:highlight w:val="none"/>
              </w:rPr>
              <w:t>投标截止时间：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分（北京时间），以广州交易集团有限公司（广州公共资源交易中心）网站发布信息为准。</w:t>
            </w:r>
          </w:p>
        </w:tc>
      </w:tr>
      <w:tr w14:paraId="4137D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DCD7802">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5.1</w:t>
            </w:r>
          </w:p>
        </w:tc>
        <w:tc>
          <w:tcPr>
            <w:tcW w:w="1066" w:type="pct"/>
            <w:vAlign w:val="center"/>
          </w:tcPr>
          <w:p w14:paraId="1E819C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3494" w:type="pct"/>
            <w:vAlign w:val="center"/>
          </w:tcPr>
          <w:p w14:paraId="0CDA879A">
            <w:pPr>
              <w:wordWrap w:val="0"/>
              <w:spacing w:line="276" w:lineRule="auto"/>
              <w:rPr>
                <w:rFonts w:ascii="宋体" w:hAnsi="宋体" w:eastAsia="宋体" w:cs="宋体"/>
                <w:color w:val="auto"/>
                <w:szCs w:val="21"/>
                <w:highlight w:val="none"/>
                <w:lang w:bidi="ar"/>
              </w:rPr>
            </w:pPr>
            <w:r>
              <w:rPr>
                <w:rFonts w:ascii="宋体" w:hAnsi="宋体" w:eastAsia="宋体" w:cs="宋体"/>
                <w:color w:val="auto"/>
                <w:szCs w:val="21"/>
                <w:highlight w:val="none"/>
                <w:lang w:bidi="ar"/>
              </w:rPr>
              <w:t>1.开标时间：</w:t>
            </w:r>
            <w:r>
              <w:rPr>
                <w:rFonts w:hint="eastAsia" w:ascii="宋体" w:hAnsi="宋体" w:eastAsia="宋体" w:cs="宋体"/>
                <w:color w:val="auto"/>
                <w:szCs w:val="21"/>
                <w:highlight w:val="none"/>
                <w:u w:val="single"/>
                <w:lang w:bidi="ar"/>
              </w:rPr>
              <w:t>同投标截止时间</w:t>
            </w:r>
          </w:p>
          <w:p w14:paraId="6B97D9E8">
            <w:pPr>
              <w:wordWrap w:val="0"/>
              <w:spacing w:line="276" w:lineRule="auto"/>
              <w:rPr>
                <w:rFonts w:ascii="宋体" w:hAnsi="宋体" w:eastAsia="宋体" w:cs="宋体"/>
                <w:color w:val="auto"/>
                <w:szCs w:val="21"/>
                <w:highlight w:val="none"/>
                <w:u w:val="single"/>
                <w:lang w:bidi="ar"/>
              </w:rPr>
            </w:pPr>
            <w:r>
              <w:rPr>
                <w:rFonts w:ascii="宋体" w:hAnsi="宋体" w:eastAsia="宋体" w:cs="宋体"/>
                <w:color w:val="auto"/>
                <w:szCs w:val="21"/>
                <w:highlight w:val="none"/>
                <w:lang w:bidi="ar"/>
              </w:rPr>
              <w:t>2.开标地点：</w:t>
            </w:r>
            <w:r>
              <w:rPr>
                <w:rFonts w:hint="eastAsia" w:ascii="宋体" w:hAnsi="宋体" w:eastAsia="宋体" w:cs="宋体"/>
                <w:color w:val="auto"/>
                <w:szCs w:val="21"/>
                <w:highlight w:val="none"/>
                <w:u w:val="single"/>
                <w:lang w:bidi="ar"/>
              </w:rPr>
              <w:t>广州交易集团有限公司（广州公共资源交易中心）指定开标室。</w:t>
            </w:r>
          </w:p>
          <w:p w14:paraId="3B8F845B">
            <w:pPr>
              <w:wordWrap w:val="0"/>
              <w:spacing w:line="276" w:lineRule="auto"/>
              <w:rPr>
                <w:rFonts w:ascii="宋体" w:hAnsi="宋体" w:eastAsia="宋体" w:cs="宋体"/>
                <w:color w:val="auto"/>
                <w:szCs w:val="21"/>
                <w:highlight w:val="none"/>
                <w:lang w:bidi="ar"/>
              </w:rPr>
            </w:pPr>
            <w:r>
              <w:rPr>
                <w:rFonts w:ascii="宋体" w:hAnsi="宋体" w:eastAsia="宋体" w:cs="宋体"/>
                <w:color w:val="auto"/>
                <w:szCs w:val="21"/>
                <w:highlight w:val="none"/>
                <w:lang w:bidi="ar"/>
              </w:rPr>
              <w:t>3.递交投标文件备用光盘时间：____年____月____日____时____分至____年____月____日____时____分；递交地点：</w:t>
            </w:r>
            <w:r>
              <w:rPr>
                <w:rFonts w:hint="eastAsia" w:ascii="宋体" w:hAnsi="宋体" w:eastAsia="宋体" w:cs="宋体"/>
                <w:color w:val="auto"/>
                <w:szCs w:val="21"/>
                <w:highlight w:val="none"/>
                <w:u w:val="single"/>
                <w:lang w:bidi="ar"/>
              </w:rPr>
              <w:t>广州交易集团有限公司（广州公共资源交易中心）指定开标室</w:t>
            </w: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 xml:space="preserve">(建议安排在投标文件截止时间前 15 </w:t>
            </w:r>
            <w:r>
              <w:rPr>
                <w:rFonts w:hint="eastAsia" w:ascii="宋体" w:hAnsi="宋体" w:eastAsia="宋体" w:cs="宋体"/>
                <w:color w:val="auto"/>
                <w:szCs w:val="21"/>
                <w:highlight w:val="none"/>
                <w:lang w:bidi="ar"/>
              </w:rPr>
              <w:t>分钟至投标文件截止时间）</w:t>
            </w:r>
          </w:p>
          <w:p w14:paraId="0BD56044">
            <w:pPr>
              <w:wordWrap w:val="0"/>
              <w:spacing w:line="276" w:lineRule="auto"/>
              <w:rPr>
                <w:rFonts w:ascii="宋体" w:hAnsi="宋体" w:eastAsia="宋体" w:cs="宋体"/>
                <w:color w:val="auto"/>
                <w:szCs w:val="21"/>
                <w:highlight w:val="none"/>
                <w:lang w:bidi="ar"/>
              </w:rPr>
            </w:pPr>
            <w:r>
              <w:rPr>
                <w:rFonts w:ascii="宋体" w:hAnsi="宋体" w:eastAsia="宋体" w:cs="宋体"/>
                <w:color w:val="auto"/>
                <w:szCs w:val="21"/>
                <w:highlight w:val="none"/>
                <w:lang w:bidi="ar"/>
              </w:rPr>
              <w:t>4.提交投标文件光盘备用</w:t>
            </w:r>
          </w:p>
          <w:p w14:paraId="13DAD5F1">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投标人可制作非加密的电子投标文件（</w:t>
            </w:r>
            <w:r>
              <w:rPr>
                <w:rFonts w:ascii="宋体" w:hAnsi="宋体" w:eastAsia="宋体" w:cs="宋体"/>
                <w:color w:val="auto"/>
                <w:szCs w:val="21"/>
                <w:highlight w:val="none"/>
                <w:lang w:bidi="ar"/>
              </w:rPr>
              <w:t xml:space="preserve">PDF </w:t>
            </w:r>
            <w:r>
              <w:rPr>
                <w:rFonts w:hint="eastAsia" w:ascii="宋体" w:hAnsi="宋体" w:eastAsia="宋体" w:cs="宋体"/>
                <w:color w:val="auto"/>
                <w:szCs w:val="21"/>
                <w:highlight w:val="none"/>
                <w:lang w:bidi="ar"/>
              </w:rPr>
              <w:t>格式）刻入光盘（</w:t>
            </w:r>
            <w:r>
              <w:rPr>
                <w:rFonts w:ascii="宋体" w:hAnsi="宋体" w:eastAsia="宋体" w:cs="宋体"/>
                <w:color w:val="auto"/>
                <w:szCs w:val="21"/>
                <w:highlight w:val="none"/>
                <w:lang w:bidi="ar"/>
              </w:rPr>
              <w:t>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D4E2BBB">
            <w:pPr>
              <w:wordWrap w:val="0"/>
              <w:spacing w:line="276" w:lineRule="auto"/>
              <w:rPr>
                <w:rFonts w:ascii="宋体" w:hAnsi="宋体" w:eastAsia="宋体" w:cs="宋体"/>
                <w:color w:val="auto"/>
                <w:szCs w:val="21"/>
                <w:highlight w:val="none"/>
                <w:lang w:bidi="ar"/>
              </w:rPr>
            </w:pPr>
            <w:r>
              <w:rPr>
                <w:rFonts w:ascii="宋体" w:hAnsi="宋体" w:eastAsia="宋体" w:cs="宋体"/>
                <w:color w:val="auto"/>
                <w:szCs w:val="21"/>
                <w:highlight w:val="none"/>
                <w:lang w:bidi="ar"/>
              </w:rPr>
              <w:t>5.补救方案</w:t>
            </w:r>
          </w:p>
          <w:p w14:paraId="4AF09314">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A47408F">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2）评标时突发情况的补救方案：若遇不可抗力发生（指网络瘫痪、服务器损坏、交易系统故障短期无法恢复等因素），由评标委员会开启投标人递交的全部投标文件光盘，并按光盘内容进行评审。</w:t>
            </w:r>
          </w:p>
          <w:p w14:paraId="6A845CB4">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3）除发生上述情况外，开标评标均以投标人通过交易平台网上递交的电子投标文件为准。</w:t>
            </w:r>
          </w:p>
          <w:p w14:paraId="72E54C6A">
            <w:pPr>
              <w:wordWrap w:val="0"/>
              <w:spacing w:line="276" w:lineRule="auto"/>
              <w:rPr>
                <w:rFonts w:ascii="宋体" w:hAnsi="宋体" w:eastAsia="宋体" w:cs="宋体"/>
                <w:color w:val="auto"/>
                <w:szCs w:val="21"/>
                <w:highlight w:val="none"/>
                <w:lang w:bidi="ar"/>
              </w:rPr>
            </w:pPr>
            <w:r>
              <w:rPr>
                <w:rFonts w:ascii="宋体" w:hAnsi="宋体" w:eastAsia="宋体" w:cs="宋体"/>
                <w:color w:val="auto"/>
                <w:szCs w:val="21"/>
                <w:highlight w:val="none"/>
                <w:lang w:bidi="ar"/>
              </w:rPr>
              <w:t>6.开标时，投标人代表有权参加现场开标或在线开标，也可以自主决定不参加开标，投标人选择参加在线开标的，具体按照交易平台相关指南进行操作。</w:t>
            </w:r>
          </w:p>
          <w:p w14:paraId="1E085880">
            <w:pPr>
              <w:wordWrap w:val="0"/>
              <w:spacing w:line="276" w:lineRule="auto"/>
              <w:rPr>
                <w:rFonts w:ascii="宋体" w:hAnsi="宋体" w:eastAsia="宋体" w:cs="宋体"/>
                <w:color w:val="auto"/>
                <w:szCs w:val="21"/>
                <w:highlight w:val="none"/>
              </w:rPr>
            </w:pPr>
            <w:r>
              <w:rPr>
                <w:rFonts w:ascii="宋体" w:hAnsi="宋体" w:eastAsia="宋体" w:cs="宋体"/>
                <w:color w:val="auto"/>
                <w:szCs w:val="21"/>
                <w:highlight w:val="none"/>
                <w:lang w:bidi="ar"/>
              </w:rPr>
              <w:t>7.上述时间及地点是否有改变，请密切留意补充公告或招标答疑纪要的相关信息。</w:t>
            </w:r>
          </w:p>
        </w:tc>
      </w:tr>
      <w:tr w14:paraId="62336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641B447">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6.1.1</w:t>
            </w:r>
          </w:p>
        </w:tc>
        <w:tc>
          <w:tcPr>
            <w:tcW w:w="1066" w:type="pct"/>
            <w:vAlign w:val="center"/>
          </w:tcPr>
          <w:p w14:paraId="31ADDFD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3494" w:type="pct"/>
            <w:vAlign w:val="center"/>
          </w:tcPr>
          <w:p w14:paraId="7670D8A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评标委员会构成：</w:t>
            </w:r>
            <w:r>
              <w:rPr>
                <w:rFonts w:ascii="宋体" w:hAnsi="宋体" w:eastAsia="宋体" w:cs="宋体"/>
                <w:color w:val="auto"/>
                <w:szCs w:val="21"/>
                <w:highlight w:val="none"/>
                <w:u w:val="single"/>
                <w:lang w:bidi="ar"/>
              </w:rPr>
              <w:t xml:space="preserve"> 7 </w:t>
            </w:r>
            <w:r>
              <w:rPr>
                <w:rFonts w:ascii="宋体" w:hAnsi="宋体" w:eastAsia="宋体" w:cs="宋体"/>
                <w:color w:val="auto"/>
                <w:szCs w:val="21"/>
                <w:highlight w:val="none"/>
                <w:lang w:bidi="ar"/>
              </w:rPr>
              <w:t>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其中</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招标人代表</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2</w:t>
            </w:r>
            <w:r>
              <w:rPr>
                <w:rFonts w:ascii="宋体" w:hAnsi="宋体" w:eastAsia="宋体" w:cs="宋体"/>
                <w:color w:val="auto"/>
                <w:szCs w:val="21"/>
                <w:highlight w:val="none"/>
                <w:u w:val="single"/>
                <w:lang w:bidi="ar"/>
              </w:rPr>
              <w:t xml:space="preserve"> </w:t>
            </w:r>
            <w:r>
              <w:rPr>
                <w:rFonts w:ascii="宋体" w:hAnsi="宋体" w:eastAsia="宋体" w:cs="宋体"/>
                <w:color w:val="auto"/>
                <w:szCs w:val="21"/>
                <w:highlight w:val="none"/>
                <w:lang w:bidi="ar"/>
              </w:rPr>
              <w:t>人，专家</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5</w:t>
            </w:r>
            <w:r>
              <w:rPr>
                <w:rFonts w:ascii="宋体" w:hAnsi="宋体" w:eastAsia="宋体" w:cs="宋体"/>
                <w:color w:val="auto"/>
                <w:szCs w:val="21"/>
                <w:highlight w:val="none"/>
                <w:u w:val="single"/>
                <w:lang w:bidi="ar"/>
              </w:rPr>
              <w:t xml:space="preserve"> </w:t>
            </w:r>
            <w:r>
              <w:rPr>
                <w:rFonts w:ascii="宋体" w:hAnsi="宋体" w:eastAsia="宋体" w:cs="宋体"/>
                <w:color w:val="auto"/>
                <w:szCs w:val="21"/>
                <w:highlight w:val="none"/>
                <w:lang w:bidi="ar"/>
              </w:rPr>
              <w:t>人；</w:t>
            </w:r>
            <w:r>
              <w:rPr>
                <w:rFonts w:hint="eastAsia" w:ascii="宋体" w:hAnsi="宋体" w:eastAsia="宋体" w:cs="宋体"/>
                <w:color w:val="auto"/>
                <w:szCs w:val="21"/>
                <w:highlight w:val="none"/>
                <w:lang w:bidi="ar"/>
              </w:rPr>
              <w:t>评标专家确定方式：</w:t>
            </w:r>
            <w:r>
              <w:rPr>
                <w:rFonts w:ascii="宋体" w:hAnsi="宋体" w:eastAsia="宋体" w:cs="宋体"/>
                <w:color w:val="auto"/>
                <w:szCs w:val="21"/>
                <w:highlight w:val="none"/>
                <w:u w:val="single"/>
                <w:lang w:bidi="ar"/>
              </w:rPr>
              <w:t>专家</w:t>
            </w:r>
            <w:r>
              <w:rPr>
                <w:rFonts w:hint="eastAsia" w:ascii="宋体" w:hAnsi="宋体" w:eastAsia="宋体" w:cs="宋体"/>
                <w:color w:val="auto"/>
                <w:szCs w:val="21"/>
                <w:highlight w:val="none"/>
                <w:u w:val="single"/>
                <w:lang w:bidi="ar"/>
              </w:rPr>
              <w:t>从广东省综合评标评审专家库中抽取。</w:t>
            </w:r>
          </w:p>
        </w:tc>
      </w:tr>
      <w:tr w14:paraId="17A5F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837AEF8">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6.3.2</w:t>
            </w:r>
          </w:p>
        </w:tc>
        <w:tc>
          <w:tcPr>
            <w:tcW w:w="1066" w:type="pct"/>
            <w:vAlign w:val="center"/>
          </w:tcPr>
          <w:p w14:paraId="3B4060F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3494" w:type="pct"/>
            <w:vAlign w:val="center"/>
          </w:tcPr>
          <w:p w14:paraId="2FD4F41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推荐</w:t>
            </w:r>
            <w:r>
              <w:rPr>
                <w:rFonts w:ascii="宋体" w:hAnsi="宋体" w:eastAsia="宋体" w:cs="宋体"/>
                <w:color w:val="auto"/>
                <w:szCs w:val="21"/>
                <w:highlight w:val="none"/>
              </w:rPr>
              <w:t>3名中标候选人</w:t>
            </w:r>
          </w:p>
        </w:tc>
      </w:tr>
      <w:tr w14:paraId="7ABD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5FD4EE9">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7.1</w:t>
            </w:r>
          </w:p>
        </w:tc>
        <w:tc>
          <w:tcPr>
            <w:tcW w:w="1066" w:type="pct"/>
            <w:vAlign w:val="center"/>
          </w:tcPr>
          <w:p w14:paraId="71C9131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3494" w:type="pct"/>
            <w:vAlign w:val="center"/>
          </w:tcPr>
          <w:p w14:paraId="49ED458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lang w:bidi="ar"/>
              </w:rPr>
              <w:t>广州交易集团有限公司（广州公共资源交易中心）网、广东省招标投标监管网、中国招标投标公共服务平台</w:t>
            </w:r>
          </w:p>
          <w:p w14:paraId="097F7BD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日（不少于</w:t>
            </w:r>
            <w:r>
              <w:rPr>
                <w:rFonts w:ascii="宋体" w:hAnsi="宋体" w:eastAsia="宋体" w:cs="宋体"/>
                <w:color w:val="auto"/>
                <w:szCs w:val="21"/>
                <w:highlight w:val="none"/>
                <w:lang w:bidi="ar"/>
              </w:rPr>
              <w:t>3日，最后一天应为工作日）</w:t>
            </w:r>
          </w:p>
        </w:tc>
      </w:tr>
      <w:tr w14:paraId="2E6D7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404FA44">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7.4</w:t>
            </w:r>
          </w:p>
        </w:tc>
        <w:tc>
          <w:tcPr>
            <w:tcW w:w="1066" w:type="pct"/>
            <w:vAlign w:val="center"/>
          </w:tcPr>
          <w:p w14:paraId="2E01E66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3494" w:type="pct"/>
            <w:vAlign w:val="center"/>
          </w:tcPr>
          <w:p w14:paraId="19F2011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p w14:paraId="7420EE93">
            <w:pPr>
              <w:wordWrap w:val="0"/>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■否</w:t>
            </w:r>
          </w:p>
        </w:tc>
      </w:tr>
      <w:tr w14:paraId="0085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96455E3">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7.6</w:t>
            </w:r>
          </w:p>
        </w:tc>
        <w:tc>
          <w:tcPr>
            <w:tcW w:w="1066" w:type="pct"/>
            <w:vAlign w:val="center"/>
          </w:tcPr>
          <w:p w14:paraId="593FB55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技术成果经济补偿</w:t>
            </w:r>
          </w:p>
        </w:tc>
        <w:tc>
          <w:tcPr>
            <w:tcW w:w="3494" w:type="pct"/>
            <w:vAlign w:val="center"/>
          </w:tcPr>
          <w:p w14:paraId="7C1C963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6FBB53A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□补偿，补偿标准：</w:t>
            </w:r>
            <w:r>
              <w:rPr>
                <w:rFonts w:ascii="宋体" w:hAnsi="宋体" w:eastAsia="宋体" w:cs="宋体"/>
                <w:color w:val="auto"/>
                <w:szCs w:val="21"/>
                <w:highlight w:val="none"/>
              </w:rPr>
              <w:t xml:space="preserve"> </w:t>
            </w:r>
          </w:p>
        </w:tc>
      </w:tr>
      <w:tr w14:paraId="3265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287FB61">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7.7.1</w:t>
            </w:r>
          </w:p>
        </w:tc>
        <w:tc>
          <w:tcPr>
            <w:tcW w:w="1066" w:type="pct"/>
            <w:vAlign w:val="center"/>
          </w:tcPr>
          <w:p w14:paraId="05C3758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3494" w:type="pct"/>
            <w:vAlign w:val="center"/>
          </w:tcPr>
          <w:p w14:paraId="3680B7B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0314A66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□要求，履约保证金的形式：</w:t>
            </w:r>
            <w:r>
              <w:rPr>
                <w:rFonts w:ascii="宋体" w:hAnsi="宋体" w:eastAsia="宋体" w:cs="宋体"/>
                <w:color w:val="auto"/>
                <w:szCs w:val="21"/>
                <w:highlight w:val="none"/>
                <w:u w:val="single"/>
              </w:rPr>
              <w:t>/。</w:t>
            </w:r>
          </w:p>
          <w:p w14:paraId="4A3FD6E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履约保证金的金额：</w:t>
            </w:r>
            <w:r>
              <w:rPr>
                <w:rFonts w:ascii="宋体" w:hAnsi="宋体" w:eastAsia="宋体" w:cs="宋体"/>
                <w:color w:val="auto"/>
                <w:szCs w:val="21"/>
                <w:highlight w:val="none"/>
                <w:u w:val="single"/>
              </w:rPr>
              <w:t>/。</w:t>
            </w:r>
          </w:p>
          <w:p w14:paraId="0E24BCA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6D0C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43BFFAF">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9</w:t>
            </w:r>
          </w:p>
        </w:tc>
        <w:tc>
          <w:tcPr>
            <w:tcW w:w="1066" w:type="pct"/>
            <w:vAlign w:val="center"/>
          </w:tcPr>
          <w:p w14:paraId="3CCCC1C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3494" w:type="pct"/>
            <w:vAlign w:val="center"/>
          </w:tcPr>
          <w:p w14:paraId="1633BE9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□否</w:t>
            </w:r>
          </w:p>
          <w:p w14:paraId="1630E6A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r w14:paraId="757C3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F2B5936">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w:t>
            </w:r>
          </w:p>
        </w:tc>
        <w:tc>
          <w:tcPr>
            <w:tcW w:w="4560" w:type="pct"/>
            <w:gridSpan w:val="2"/>
            <w:vAlign w:val="center"/>
          </w:tcPr>
          <w:p w14:paraId="696F7F8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0EB3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944ED1A">
            <w:pPr>
              <w:wordWrap w:val="0"/>
              <w:autoSpaceDE w:val="0"/>
              <w:autoSpaceDN w:val="0"/>
              <w:spacing w:line="276" w:lineRule="auto"/>
              <w:jc w:val="center"/>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11.1</w:t>
            </w:r>
          </w:p>
        </w:tc>
        <w:tc>
          <w:tcPr>
            <w:tcW w:w="1066" w:type="pct"/>
            <w:vAlign w:val="center"/>
          </w:tcPr>
          <w:p w14:paraId="2448D54A">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特别提示</w:t>
            </w:r>
          </w:p>
        </w:tc>
        <w:tc>
          <w:tcPr>
            <w:tcW w:w="3494" w:type="pct"/>
            <w:vAlign w:val="center"/>
          </w:tcPr>
          <w:p w14:paraId="192B3F5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投标人在本项目招标人的工程项目中存在下列行为的，将被拒绝一年内参与我单位后续工程投标。（注：拒绝投标时限自招标人发出通知之日起计）：</w:t>
            </w:r>
          </w:p>
          <w:p w14:paraId="2B2AB791">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1）将中标工程转包或者违法分包的；</w:t>
            </w:r>
          </w:p>
          <w:p w14:paraId="20D0F4E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2）在中标工程中不执行质量、安全生产相关规定的，造成质量或安全事故的；</w:t>
            </w:r>
          </w:p>
          <w:p w14:paraId="0B509A8A">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3）出让投标资格的；</w:t>
            </w:r>
          </w:p>
          <w:p w14:paraId="2E45585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4）存在围标或串标情形的；</w:t>
            </w:r>
          </w:p>
          <w:p w14:paraId="355A713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5）在投标文件中提供虚假材料的；</w:t>
            </w:r>
          </w:p>
          <w:p w14:paraId="69B56D7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6）存在少放、不放业绩、奖项等客观评审资料，减少自身竞争力情形的；</w:t>
            </w:r>
          </w:p>
          <w:p w14:paraId="70357A6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7）存在行贿情形的；</w:t>
            </w:r>
          </w:p>
          <w:p w14:paraId="4EA6554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8）拖欠农民工工资的；</w:t>
            </w:r>
          </w:p>
          <w:p w14:paraId="5E2363A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9）未按照国家、省、市有关建筑施工实名制管理和工人工资支付分账管理的规定执行，被行政监管部门处罚的。</w:t>
            </w:r>
          </w:p>
        </w:tc>
      </w:tr>
      <w:tr w14:paraId="4B2A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AC3F603">
            <w:pPr>
              <w:wordWrap w:val="0"/>
              <w:autoSpaceDE w:val="0"/>
              <w:autoSpaceDN w:val="0"/>
              <w:spacing w:line="276" w:lineRule="auto"/>
              <w:jc w:val="center"/>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11.2</w:t>
            </w:r>
          </w:p>
        </w:tc>
        <w:tc>
          <w:tcPr>
            <w:tcW w:w="1066" w:type="pct"/>
            <w:vAlign w:val="center"/>
          </w:tcPr>
          <w:p w14:paraId="5AC1C0A8">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3494" w:type="pct"/>
            <w:vAlign w:val="center"/>
          </w:tcPr>
          <w:p w14:paraId="5608D8A1">
            <w:pPr>
              <w:wordWrap w:val="0"/>
              <w:spacing w:line="276" w:lineRule="auto"/>
              <w:rPr>
                <w:rFonts w:ascii="宋体" w:hAnsi="宋体" w:eastAsia="宋体" w:cs="宋体"/>
                <w:color w:val="auto"/>
                <w:szCs w:val="21"/>
                <w:highlight w:val="none"/>
                <w:u w:val="single"/>
              </w:rPr>
            </w:pPr>
            <w:r>
              <w:rPr>
                <w:rFonts w:ascii="宋体" w:hAnsi="宋体" w:eastAsia="宋体" w:cs="宋体"/>
                <w:color w:val="auto"/>
                <w:szCs w:val="21"/>
                <w:highlight w:val="none"/>
                <w:u w:val="single"/>
                <w:lang w:bidi="ar"/>
              </w:rPr>
              <w:t>1、招标公告、招标文件、答疑纪要等招标资料全部发布在广州交易集团有限公司（广州公共资源交易中心）网站，由投标人自行下载查阅。</w:t>
            </w:r>
          </w:p>
          <w:p w14:paraId="2C6B6C09">
            <w:pPr>
              <w:wordWrap w:val="0"/>
              <w:spacing w:line="276" w:lineRule="auto"/>
              <w:rPr>
                <w:rFonts w:ascii="宋体" w:hAnsi="宋体" w:eastAsia="宋体" w:cs="宋体"/>
                <w:color w:val="auto"/>
                <w:szCs w:val="21"/>
                <w:highlight w:val="none"/>
                <w:u w:val="single"/>
              </w:rPr>
            </w:pPr>
            <w:r>
              <w:rPr>
                <w:rFonts w:ascii="宋体" w:hAnsi="宋体" w:eastAsia="宋体" w:cs="宋体"/>
                <w:color w:val="auto"/>
                <w:szCs w:val="21"/>
                <w:highlight w:val="none"/>
                <w:u w:val="single"/>
                <w:lang w:bidi="ar"/>
              </w:rPr>
              <w:t>2、投标截止时间、开标时间和地点：发布在广州交易集团有限公司（广州公共资源交易中心）网站（具体在网站主页“建设工程”中“项目查询”输入“项目名称”或“项目编号”进行查询）。</w:t>
            </w:r>
          </w:p>
          <w:p w14:paraId="301C5D0D">
            <w:pPr>
              <w:wordWrap w:val="0"/>
              <w:spacing w:line="276" w:lineRule="auto"/>
              <w:rPr>
                <w:rFonts w:ascii="宋体" w:hAnsi="宋体" w:eastAsia="宋体" w:cs="宋体"/>
                <w:color w:val="auto"/>
                <w:szCs w:val="21"/>
                <w:highlight w:val="none"/>
                <w:u w:val="single"/>
                <w:lang w:bidi="ar"/>
              </w:rPr>
            </w:pPr>
            <w:r>
              <w:rPr>
                <w:rFonts w:ascii="宋体" w:hAnsi="宋体" w:eastAsia="宋体" w:cs="宋体"/>
                <w:color w:val="auto"/>
                <w:szCs w:val="21"/>
                <w:highlight w:val="none"/>
                <w:u w:val="single"/>
                <w:lang w:bidi="ar"/>
              </w:rPr>
              <w:t>3、中标后，中标单位须提交与网上</w:t>
            </w:r>
            <w:r>
              <w:rPr>
                <w:rFonts w:hint="eastAsia" w:ascii="宋体" w:hAnsi="宋体" w:eastAsia="宋体" w:cs="宋体"/>
                <w:color w:val="auto"/>
                <w:szCs w:val="21"/>
                <w:highlight w:val="none"/>
                <w:u w:val="single"/>
                <w:lang w:bidi="ar"/>
              </w:rPr>
              <w:t>上传电子投标文件完全一致的纸质投标文件（一式四份，加盖公章）至招标人。</w:t>
            </w:r>
          </w:p>
        </w:tc>
      </w:tr>
      <w:tr w14:paraId="23E3B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BC9C635">
            <w:pPr>
              <w:wordWrap w:val="0"/>
              <w:autoSpaceDE w:val="0"/>
              <w:autoSpaceDN w:val="0"/>
              <w:spacing w:line="276" w:lineRule="auto"/>
              <w:jc w:val="center"/>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11.3</w:t>
            </w:r>
          </w:p>
        </w:tc>
        <w:tc>
          <w:tcPr>
            <w:tcW w:w="1066" w:type="pct"/>
            <w:vAlign w:val="center"/>
          </w:tcPr>
          <w:p w14:paraId="46C5C648">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其他费用</w:t>
            </w:r>
          </w:p>
        </w:tc>
        <w:tc>
          <w:tcPr>
            <w:tcW w:w="3494" w:type="pct"/>
            <w:vAlign w:val="center"/>
          </w:tcPr>
          <w:p w14:paraId="2C5488A1">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交易服务费：</w:t>
            </w:r>
            <w:r>
              <w:rPr>
                <w:rFonts w:hint="eastAsia" w:ascii="宋体" w:hAnsi="宋体" w:eastAsia="宋体" w:cs="宋体"/>
                <w:color w:val="auto"/>
                <w:kern w:val="0"/>
                <w:szCs w:val="21"/>
                <w:highlight w:val="none"/>
                <w:u w:val="single"/>
              </w:rPr>
              <w:t>由中标单位支付。</w:t>
            </w:r>
          </w:p>
          <w:p w14:paraId="420A6579">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招标代理费：</w:t>
            </w:r>
            <w:r>
              <w:rPr>
                <w:rFonts w:hint="eastAsia" w:ascii="宋体" w:hAnsi="宋体" w:eastAsia="宋体" w:cs="宋体"/>
                <w:color w:val="auto"/>
                <w:kern w:val="0"/>
                <w:szCs w:val="21"/>
                <w:highlight w:val="none"/>
                <w:u w:val="single"/>
              </w:rPr>
              <w:t>由中标人支付，金额以招标人与招标代理机构签订的招标代理合同为准。</w:t>
            </w:r>
          </w:p>
        </w:tc>
      </w:tr>
    </w:tbl>
    <w:p w14:paraId="06D6A314">
      <w:pPr>
        <w:wordWrap w:val="0"/>
        <w:ind w:left="420" w:leftChars="200"/>
        <w:rPr>
          <w:rFonts w:ascii="宋体" w:hAnsi="宋体" w:eastAsia="宋体" w:cs="宋体"/>
          <w:color w:val="auto"/>
          <w:szCs w:val="24"/>
          <w:highlight w:val="none"/>
        </w:rPr>
      </w:pPr>
    </w:p>
    <w:p w14:paraId="373FA306">
      <w:pPr>
        <w:widowControl/>
        <w:jc w:val="left"/>
        <w:rPr>
          <w:rFonts w:ascii="宋体" w:hAnsi="宋体" w:eastAsia="宋体" w:cs="宋体"/>
          <w:color w:val="auto"/>
          <w:szCs w:val="24"/>
          <w:highlight w:val="none"/>
        </w:rPr>
      </w:pPr>
      <w:r>
        <w:rPr>
          <w:rFonts w:ascii="宋体" w:hAnsi="宋体" w:eastAsia="宋体" w:cs="宋体"/>
          <w:color w:val="auto"/>
          <w:szCs w:val="24"/>
          <w:highlight w:val="none"/>
        </w:rPr>
        <w:br w:type="page"/>
      </w:r>
    </w:p>
    <w:p w14:paraId="1F5DE257">
      <w:pPr>
        <w:pStyle w:val="3"/>
        <w:rPr>
          <w:rFonts w:ascii="宋体" w:hAnsi="宋体"/>
          <w:color w:val="auto"/>
          <w:highlight w:val="none"/>
        </w:rPr>
      </w:pPr>
      <w:bookmarkStart w:id="10" w:name="_Toc1165"/>
      <w:r>
        <w:rPr>
          <w:rFonts w:hint="eastAsia" w:ascii="宋体" w:hAnsi="宋体"/>
          <w:color w:val="auto"/>
          <w:highlight w:val="none"/>
        </w:rPr>
        <w:t>投标须知修改表</w:t>
      </w:r>
      <w:bookmarkEnd w:id="10"/>
    </w:p>
    <w:p w14:paraId="6FC0F02E">
      <w:pPr>
        <w:pStyle w:val="43"/>
        <w:pBdr>
          <w:bottom w:val="single" w:color="auto" w:sz="6" w:space="1"/>
        </w:pBdr>
        <w:spacing w:after="0" w:line="360" w:lineRule="auto"/>
        <w:ind w:firstLine="0" w:firstLineChars="0"/>
        <w:rPr>
          <w:rFonts w:ascii="宋体" w:hAnsi="宋体"/>
          <w:bCs/>
          <w:color w:val="auto"/>
          <w:sz w:val="24"/>
          <w:szCs w:val="24"/>
          <w:highlight w:val="none"/>
        </w:rPr>
      </w:pPr>
      <w:r>
        <w:rPr>
          <w:rFonts w:hint="eastAsia" w:ascii="宋体" w:hAnsi="宋体"/>
          <w:b/>
          <w:color w:val="auto"/>
          <w:sz w:val="24"/>
          <w:szCs w:val="24"/>
          <w:highlight w:val="none"/>
        </w:rPr>
        <w:t>声明：</w:t>
      </w:r>
      <w:r>
        <w:rPr>
          <w:rFonts w:ascii="宋体" w:hAnsi="宋体"/>
          <w:b/>
          <w:color w:val="auto"/>
          <w:sz w:val="24"/>
          <w:szCs w:val="24"/>
          <w:highlight w:val="none"/>
        </w:rPr>
        <w:t>本投标须知使用SWZB2024-11招标文件范本的投标须知通用条款，与该通用条款不同之处，均在本表中列明，并以现文为准，原文不再有效。</w:t>
      </w:r>
    </w:p>
    <w:p w14:paraId="4CDF1D9D">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条款号：1.1.1            修改类型：修改</w:t>
      </w:r>
    </w:p>
    <w:p w14:paraId="105241A0">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ascii="宋体" w:hAnsi="宋体" w:eastAsia="宋体"/>
          <w:color w:val="auto"/>
          <w:sz w:val="24"/>
          <w:szCs w:val="24"/>
          <w:highlight w:val="none"/>
        </w:rPr>
        <w:t xml:space="preserve">1.1.1 </w:t>
      </w:r>
      <w:r>
        <w:rPr>
          <w:rFonts w:hint="eastAsia" w:ascii="宋体" w:hAnsi="宋体" w:eastAsia="宋体"/>
          <w:color w:val="auto"/>
          <w:sz w:val="24"/>
          <w:szCs w:val="24"/>
          <w:highlight w:val="none"/>
        </w:rPr>
        <w:t>根据《中华人民共和国招标投标法》、《中华人民共和国招标投标法实施条例》等有关</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法律、法规和规章的规定，本招标项目已具备招标条件，现对设计进行招标。</w:t>
      </w:r>
    </w:p>
    <w:p w14:paraId="3EAC41E9">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ascii="宋体" w:hAnsi="宋体" w:eastAsia="宋体"/>
          <w:color w:val="auto"/>
          <w:sz w:val="24"/>
          <w:szCs w:val="24"/>
          <w:highlight w:val="none"/>
        </w:rPr>
        <w:t xml:space="preserve">1.1.1 </w:t>
      </w:r>
      <w:r>
        <w:rPr>
          <w:rFonts w:hint="eastAsia" w:ascii="宋体" w:hAnsi="宋体" w:eastAsia="宋体"/>
          <w:color w:val="auto"/>
          <w:sz w:val="24"/>
          <w:szCs w:val="24"/>
          <w:highlight w:val="none"/>
        </w:rPr>
        <w:t>根据《中华人民共和国招标投标法》、《中华人民共和国招标投标法实施条例》等有关法律、法规和规章的规定，本招标项目已具备招标条件，现对</w:t>
      </w:r>
      <w:r>
        <w:rPr>
          <w:rFonts w:hint="eastAsia" w:ascii="宋体" w:hAnsi="宋体" w:eastAsia="宋体"/>
          <w:color w:val="auto"/>
          <w:sz w:val="24"/>
          <w:szCs w:val="24"/>
          <w:highlight w:val="none"/>
          <w:u w:val="single"/>
          <w:lang w:eastAsia="zh-CN"/>
        </w:rPr>
        <w:t>勘察初步设计</w:t>
      </w:r>
      <w:r>
        <w:rPr>
          <w:rFonts w:hint="eastAsia" w:ascii="宋体" w:hAnsi="宋体" w:eastAsia="宋体"/>
          <w:color w:val="auto"/>
          <w:sz w:val="24"/>
          <w:szCs w:val="24"/>
          <w:highlight w:val="none"/>
        </w:rPr>
        <w:t>进行招标。</w:t>
      </w:r>
    </w:p>
    <w:p w14:paraId="23F3D8B1">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条款号：1.9.4            修改类型：</w:t>
      </w:r>
      <w:r>
        <w:rPr>
          <w:rFonts w:hint="eastAsia" w:ascii="宋体" w:hAnsi="宋体" w:eastAsia="宋体"/>
          <w:b/>
          <w:bCs/>
          <w:color w:val="auto"/>
          <w:sz w:val="24"/>
          <w:szCs w:val="24"/>
          <w:highlight w:val="none"/>
        </w:rPr>
        <w:t>删除</w:t>
      </w:r>
    </w:p>
    <w:p w14:paraId="5CCCCBB3">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ascii="宋体" w:hAnsi="宋体" w:eastAsia="宋体"/>
          <w:color w:val="auto"/>
          <w:sz w:val="24"/>
          <w:szCs w:val="24"/>
          <w:highlight w:val="none"/>
        </w:rPr>
        <w:t xml:space="preserve">1.9.4 </w:t>
      </w:r>
      <w:r>
        <w:rPr>
          <w:rFonts w:hint="eastAsia" w:ascii="宋体" w:hAnsi="宋体" w:eastAsia="宋体"/>
          <w:color w:val="auto"/>
          <w:sz w:val="24"/>
          <w:szCs w:val="24"/>
          <w:highlight w:val="none"/>
        </w:rPr>
        <w:t>招标人在踏勘现场中介绍的工程场地和相关的周边环境情况，供投标人在编制投标文件时参考，招标人不对投标人据此作出的判断和决策负责。</w:t>
      </w:r>
    </w:p>
    <w:p w14:paraId="1B7C7D40">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条款号：1.10             修改类型：</w:t>
      </w:r>
      <w:r>
        <w:rPr>
          <w:rFonts w:hint="eastAsia" w:ascii="宋体" w:hAnsi="宋体" w:eastAsia="宋体"/>
          <w:b/>
          <w:bCs/>
          <w:color w:val="auto"/>
          <w:sz w:val="24"/>
          <w:szCs w:val="24"/>
          <w:highlight w:val="none"/>
        </w:rPr>
        <w:t>修改</w:t>
      </w:r>
    </w:p>
    <w:p w14:paraId="0F5E46AF">
      <w:pPr>
        <w:pBdr>
          <w:bottom w:val="single" w:color="auto" w:sz="6" w:space="1"/>
        </w:pBd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 xml:space="preserve">原文：1.10 </w:t>
      </w:r>
      <w:r>
        <w:rPr>
          <w:rFonts w:hint="eastAsia" w:ascii="宋体" w:hAnsi="宋体" w:eastAsia="宋体"/>
          <w:b/>
          <w:bCs/>
          <w:color w:val="auto"/>
          <w:sz w:val="24"/>
          <w:szCs w:val="24"/>
          <w:highlight w:val="none"/>
        </w:rPr>
        <w:t>投标预备会</w:t>
      </w:r>
    </w:p>
    <w:p w14:paraId="2ECA56DB">
      <w:pPr>
        <w:pBdr>
          <w:bottom w:val="single" w:color="auto" w:sz="6" w:space="1"/>
        </w:pBd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 xml:space="preserve">1.10.1 </w:t>
      </w:r>
      <w:r>
        <w:rPr>
          <w:rFonts w:hint="eastAsia" w:ascii="宋体" w:hAnsi="宋体" w:eastAsia="宋体"/>
          <w:color w:val="auto"/>
          <w:sz w:val="24"/>
          <w:szCs w:val="24"/>
          <w:highlight w:val="none"/>
        </w:rPr>
        <w:t>投标人须知前附表规定召开投标预备会的，招标人按投标人须知前附表规定的时间和地点召开投标预备会，澄清投标人提出的问题。</w:t>
      </w:r>
    </w:p>
    <w:p w14:paraId="2372DAA4">
      <w:pPr>
        <w:pBdr>
          <w:bottom w:val="single" w:color="auto" w:sz="6" w:space="1"/>
        </w:pBd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 xml:space="preserve">1.10.2 </w:t>
      </w:r>
      <w:r>
        <w:rPr>
          <w:rFonts w:hint="eastAsia" w:ascii="宋体" w:hAnsi="宋体" w:eastAsia="宋体"/>
          <w:color w:val="auto"/>
          <w:sz w:val="24"/>
          <w:szCs w:val="24"/>
          <w:highlight w:val="none"/>
        </w:rPr>
        <w:t>投标人应按投标人须知前附表规定的时间和形式将提出的问题送达招标人，以便招标人在会议期间澄清。</w:t>
      </w:r>
    </w:p>
    <w:p w14:paraId="11DDCCE8">
      <w:pPr>
        <w:pBdr>
          <w:bottom w:val="single" w:color="auto" w:sz="6" w:space="1"/>
        </w:pBd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 xml:space="preserve">1.10.3 </w:t>
      </w:r>
      <w:r>
        <w:rPr>
          <w:rFonts w:hint="eastAsia" w:ascii="宋体" w:hAnsi="宋体" w:eastAsia="宋体"/>
          <w:color w:val="auto"/>
          <w:sz w:val="24"/>
          <w:szCs w:val="24"/>
          <w:highlight w:val="none"/>
        </w:rPr>
        <w:t>投标预备会后，招标人将对投标人所提问题的澄清，以投标人须知前附表规定的形式通知所有潜在投标人。该澄清内容为招标文件的组成部分。</w:t>
      </w:r>
    </w:p>
    <w:p w14:paraId="47B5A4DE">
      <w:pPr>
        <w:pBdr>
          <w:bottom w:val="single" w:color="auto" w:sz="6" w:space="1"/>
        </w:pBdr>
        <w:spacing w:line="360" w:lineRule="auto"/>
        <w:ind w:firstLine="426" w:firstLineChars="177"/>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现文：</w:t>
      </w:r>
      <w:r>
        <w:rPr>
          <w:rFonts w:ascii="宋体" w:hAnsi="宋体" w:eastAsia="宋体"/>
          <w:b/>
          <w:bCs/>
          <w:color w:val="auto"/>
          <w:sz w:val="24"/>
          <w:szCs w:val="24"/>
          <w:highlight w:val="none"/>
        </w:rPr>
        <w:t xml:space="preserve">1.10 </w:t>
      </w:r>
      <w:r>
        <w:rPr>
          <w:rFonts w:hint="eastAsia" w:ascii="宋体" w:hAnsi="宋体" w:eastAsia="宋体"/>
          <w:b/>
          <w:bCs/>
          <w:color w:val="auto"/>
          <w:sz w:val="24"/>
          <w:szCs w:val="24"/>
          <w:highlight w:val="none"/>
        </w:rPr>
        <w:t>投标预备会</w:t>
      </w:r>
    </w:p>
    <w:p w14:paraId="04EA00DD">
      <w:pPr>
        <w:pBdr>
          <w:bottom w:val="single" w:color="auto" w:sz="6" w:space="1"/>
        </w:pBdr>
        <w:spacing w:line="360" w:lineRule="auto"/>
        <w:ind w:firstLine="424" w:firstLineChars="177"/>
        <w:rPr>
          <w:rFonts w:ascii="宋体" w:hAnsi="宋体" w:eastAsia="宋体"/>
          <w:b/>
          <w:bCs/>
          <w:color w:val="auto"/>
          <w:sz w:val="24"/>
          <w:szCs w:val="24"/>
          <w:highlight w:val="none"/>
          <w:u w:val="single"/>
        </w:rPr>
      </w:pPr>
      <w:r>
        <w:rPr>
          <w:rFonts w:ascii="宋体" w:hAnsi="宋体" w:eastAsia="宋体"/>
          <w:color w:val="auto"/>
          <w:sz w:val="24"/>
          <w:szCs w:val="24"/>
          <w:highlight w:val="none"/>
        </w:rPr>
        <w:t xml:space="preserve">1.10.1 </w:t>
      </w:r>
      <w:r>
        <w:rPr>
          <w:rFonts w:hint="eastAsia" w:ascii="宋体" w:hAnsi="宋体" w:eastAsia="宋体"/>
          <w:color w:val="auto"/>
          <w:sz w:val="24"/>
          <w:szCs w:val="24"/>
          <w:highlight w:val="none"/>
          <w:u w:val="single"/>
        </w:rPr>
        <w:t>本项目不召开投标预备会。</w:t>
      </w:r>
    </w:p>
    <w:p w14:paraId="6E2B5F8E">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条款号：3.2.4            修改类型：</w:t>
      </w:r>
      <w:r>
        <w:rPr>
          <w:rFonts w:hint="eastAsia" w:ascii="宋体" w:hAnsi="宋体" w:eastAsia="宋体"/>
          <w:b/>
          <w:bCs/>
          <w:color w:val="auto"/>
          <w:sz w:val="24"/>
          <w:szCs w:val="24"/>
          <w:highlight w:val="none"/>
        </w:rPr>
        <w:t>修改</w:t>
      </w:r>
    </w:p>
    <w:p w14:paraId="10FDCB51">
      <w:pPr>
        <w:pBdr>
          <w:bottom w:val="single" w:color="auto" w:sz="6" w:space="1"/>
        </w:pBd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ascii="宋体" w:hAnsi="宋体" w:eastAsia="宋体"/>
          <w:color w:val="auto"/>
          <w:sz w:val="24"/>
          <w:szCs w:val="24"/>
          <w:highlight w:val="none"/>
        </w:rPr>
        <w:t xml:space="preserve">3.2.4 </w:t>
      </w:r>
      <w:r>
        <w:rPr>
          <w:rFonts w:hint="eastAsia" w:ascii="宋体" w:hAnsi="宋体" w:eastAsia="宋体"/>
          <w:color w:val="auto"/>
          <w:sz w:val="24"/>
          <w:szCs w:val="24"/>
          <w:highlight w:val="none"/>
        </w:rPr>
        <w:t>投标报价不符合国家颁布的勘察设计取费标准，或者低于成本，设有最高投标限价的，投标人的投标报价不得超过最高投标限价，最高投标限价在投标人须知前附表中载明。</w:t>
      </w:r>
    </w:p>
    <w:p w14:paraId="53D2F3BB">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ascii="宋体" w:hAnsi="宋体" w:eastAsia="宋体"/>
          <w:color w:val="auto"/>
          <w:sz w:val="24"/>
          <w:szCs w:val="24"/>
          <w:highlight w:val="none"/>
        </w:rPr>
        <w:t xml:space="preserve">3.2.4 </w:t>
      </w:r>
      <w:r>
        <w:rPr>
          <w:rFonts w:hint="eastAsia" w:ascii="宋体" w:hAnsi="宋体" w:eastAsia="宋体"/>
          <w:color w:val="auto"/>
          <w:sz w:val="24"/>
          <w:szCs w:val="24"/>
          <w:highlight w:val="none"/>
          <w:u w:val="single"/>
        </w:rPr>
        <w:t>设有最高投标限价的，投标人的投标报价不得超过最高投标限价，最高投标限价在投标人须知前附表中载明。</w:t>
      </w:r>
    </w:p>
    <w:p w14:paraId="373A5D4F">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条款号：3.5.1至3.5.4         修改类型：修改</w:t>
      </w:r>
    </w:p>
    <w:p w14:paraId="27E624F3">
      <w:pP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ascii="宋体" w:hAnsi="宋体" w:eastAsia="宋体"/>
          <w:color w:val="auto"/>
          <w:sz w:val="24"/>
          <w:szCs w:val="24"/>
          <w:highlight w:val="none"/>
        </w:rPr>
        <w:t xml:space="preserve">3.5.1 </w:t>
      </w:r>
      <w:r>
        <w:rPr>
          <w:rFonts w:hint="eastAsia" w:ascii="宋体" w:hAnsi="宋体" w:eastAsia="宋体"/>
          <w:color w:val="auto"/>
          <w:sz w:val="24"/>
          <w:szCs w:val="24"/>
          <w:highlight w:val="none"/>
        </w:rPr>
        <w:t>“投标人基本情况表”应附投标人营业执照、投标人勘察、设计资质证书副本等材料的扫描件。</w:t>
      </w:r>
    </w:p>
    <w:p w14:paraId="432444A3">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 xml:space="preserve">3.5.2 </w:t>
      </w:r>
      <w:r>
        <w:rPr>
          <w:rFonts w:hint="eastAsia" w:ascii="宋体" w:hAnsi="宋体" w:eastAsia="宋体"/>
          <w:color w:val="auto"/>
          <w:sz w:val="24"/>
          <w:szCs w:val="24"/>
          <w:highlight w:val="none"/>
        </w:rPr>
        <w:t>“近年完成的类似设计或勘察设计项目情况表”应附中标通知书和</w:t>
      </w:r>
      <w:r>
        <w:rPr>
          <w:rFonts w:ascii="宋体" w:hAnsi="宋体" w:eastAsia="宋体"/>
          <w:color w:val="auto"/>
          <w:sz w:val="24"/>
          <w:szCs w:val="24"/>
          <w:highlight w:val="none"/>
        </w:rPr>
        <w:t>(或)合同协议书、发包人出具的证明文件；具体时间要求见投标人须知前附表，每张表格只填写一个项目，并标明序号。</w:t>
      </w:r>
    </w:p>
    <w:p w14:paraId="6169EA31">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 xml:space="preserve">3.5.3 </w:t>
      </w:r>
      <w:r>
        <w:rPr>
          <w:rFonts w:hint="eastAsia" w:ascii="宋体" w:hAnsi="宋体" w:eastAsia="宋体"/>
          <w:color w:val="auto"/>
          <w:sz w:val="24"/>
          <w:szCs w:val="24"/>
          <w:highlight w:val="none"/>
        </w:rPr>
        <w:t>“拟委任的主要人员汇总表”应填报满足本章第</w:t>
      </w:r>
      <w:r>
        <w:rPr>
          <w:rFonts w:ascii="宋体" w:hAnsi="宋体" w:eastAsia="宋体"/>
          <w:color w:val="auto"/>
          <w:sz w:val="24"/>
          <w:szCs w:val="24"/>
          <w:highlight w:val="none"/>
        </w:rPr>
        <w:t xml:space="preserve">1.4.1项规定的项目负责人和其他主要 </w:t>
      </w:r>
      <w:r>
        <w:rPr>
          <w:rFonts w:hint="eastAsia" w:ascii="宋体" w:hAnsi="宋体" w:eastAsia="宋体"/>
          <w:color w:val="auto"/>
          <w:sz w:val="24"/>
          <w:szCs w:val="24"/>
          <w:highlight w:val="none"/>
        </w:rPr>
        <w:t>人员的相关信息。“主要人员简历表”中项目负责人应附身份证、学历证、职称证、执业资格证书和社保缴费证明，管理过的项目业绩须附合同协议书（若有）；其他主要人员应附身份证、学历证、职称证、有关证书和社保缴费证明（若有）。（注：以上人员社保要求：具有离投标截止时间最近的至少</w:t>
      </w:r>
      <w:r>
        <w:rPr>
          <w:rFonts w:ascii="宋体" w:hAnsi="宋体" w:eastAsia="宋体"/>
          <w:color w:val="auto"/>
          <w:sz w:val="24"/>
          <w:szCs w:val="24"/>
          <w:highlight w:val="none"/>
        </w:rPr>
        <w:t>1个月在本单位缴纳的</w:t>
      </w:r>
      <w:r>
        <w:rPr>
          <w:rFonts w:hint="eastAsia" w:ascii="宋体" w:hAnsi="宋体" w:eastAsia="宋体"/>
          <w:color w:val="auto"/>
          <w:sz w:val="24"/>
          <w:szCs w:val="24"/>
          <w:highlight w:val="none"/>
        </w:rPr>
        <w:t>社保证明文件。）</w:t>
      </w:r>
    </w:p>
    <w:p w14:paraId="35F6B9A4">
      <w:pPr>
        <w:spacing w:line="360" w:lineRule="auto"/>
        <w:ind w:firstLine="424" w:firstLineChars="177"/>
        <w:rPr>
          <w:rFonts w:ascii="宋体" w:hAnsi="宋体" w:eastAsia="宋体"/>
          <w:b/>
          <w:bCs/>
          <w:color w:val="auto"/>
          <w:sz w:val="24"/>
          <w:szCs w:val="24"/>
          <w:highlight w:val="none"/>
          <w:u w:val="single"/>
        </w:rPr>
      </w:pPr>
      <w:r>
        <w:rPr>
          <w:rFonts w:ascii="宋体" w:hAnsi="宋体" w:eastAsia="宋体"/>
          <w:color w:val="auto"/>
          <w:sz w:val="24"/>
          <w:szCs w:val="24"/>
          <w:highlight w:val="none"/>
        </w:rPr>
        <w:t xml:space="preserve">3.5.4 </w:t>
      </w:r>
      <w:r>
        <w:rPr>
          <w:rFonts w:hint="eastAsia" w:ascii="宋体" w:hAnsi="宋体" w:eastAsia="宋体"/>
          <w:color w:val="auto"/>
          <w:sz w:val="24"/>
          <w:szCs w:val="24"/>
          <w:highlight w:val="none"/>
        </w:rPr>
        <w:t>投标人须知前附表规定接受联合体投标的，本章第</w:t>
      </w:r>
      <w:r>
        <w:rPr>
          <w:rFonts w:ascii="宋体" w:hAnsi="宋体" w:eastAsia="宋体"/>
          <w:color w:val="auto"/>
          <w:sz w:val="24"/>
          <w:szCs w:val="24"/>
          <w:highlight w:val="none"/>
        </w:rPr>
        <w:t>3.5.1项至第3.5.3项规定的表格和资料应包括联合体各方相关情况。</w:t>
      </w:r>
    </w:p>
    <w:p w14:paraId="30035D42">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ascii="宋体" w:hAnsi="宋体" w:eastAsia="宋体"/>
          <w:color w:val="auto"/>
          <w:sz w:val="24"/>
          <w:szCs w:val="24"/>
          <w:highlight w:val="none"/>
        </w:rPr>
        <w:t xml:space="preserve">3.5.1 </w:t>
      </w:r>
      <w:r>
        <w:rPr>
          <w:rFonts w:hint="eastAsia" w:ascii="宋体" w:hAnsi="宋体" w:eastAsia="宋体"/>
          <w:b/>
          <w:bCs/>
          <w:color w:val="auto"/>
          <w:sz w:val="24"/>
          <w:szCs w:val="24"/>
          <w:highlight w:val="none"/>
          <w:u w:val="single"/>
        </w:rPr>
        <w:t>资格审查资料详见第六章“投标文件格式”。</w:t>
      </w:r>
    </w:p>
    <w:p w14:paraId="54160A83">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5.2.1</w:t>
      </w:r>
      <w:r>
        <w:rPr>
          <w:rFonts w:ascii="宋体" w:hAnsi="宋体" w:eastAsia="宋体"/>
          <w:b/>
          <w:bCs/>
          <w:color w:val="auto"/>
          <w:sz w:val="24"/>
          <w:szCs w:val="24"/>
          <w:highlight w:val="none"/>
        </w:rPr>
        <w:t xml:space="preserve">            修改类型：修改</w:t>
      </w:r>
    </w:p>
    <w:p w14:paraId="6C9E1A34">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5.2.1 在投标截止时间后半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08603C33">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5.2.1 在投标截止时间后</w:t>
      </w:r>
      <w:r>
        <w:rPr>
          <w:rFonts w:hint="eastAsia" w:ascii="宋体" w:hAnsi="宋体" w:eastAsia="宋体"/>
          <w:b/>
          <w:bCs/>
          <w:color w:val="auto"/>
          <w:sz w:val="24"/>
          <w:szCs w:val="24"/>
          <w:highlight w:val="none"/>
          <w:u w:val="single"/>
        </w:rPr>
        <w:t>1小时</w:t>
      </w:r>
      <w:r>
        <w:rPr>
          <w:rFonts w:hint="eastAsia" w:ascii="宋体" w:hAnsi="宋体" w:eastAsia="宋体"/>
          <w:color w:val="auto"/>
          <w:sz w:val="24"/>
          <w:szCs w:val="24"/>
          <w:highlight w:val="none"/>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5746E996">
      <w:pPr>
        <w:spacing w:line="360" w:lineRule="auto"/>
        <w:ind w:firstLine="426" w:firstLineChars="177"/>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条款号：6.1.4               类型：增加</w:t>
      </w:r>
    </w:p>
    <w:p w14:paraId="2F808BF9">
      <w:pPr>
        <w:pBdr>
          <w:bottom w:val="single" w:color="auto" w:sz="4" w:space="0"/>
        </w:pBdr>
        <w:wordWrap/>
        <w:topLinePunct w:val="0"/>
        <w:bidi w:val="0"/>
        <w:spacing w:beforeAutospacing="0" w:afterAutospacing="0" w:line="360" w:lineRule="auto"/>
        <w:ind w:left="9" w:right="41" w:firstLine="411"/>
        <w:rPr>
          <w:rFonts w:hint="default" w:ascii="宋体" w:hAnsi="宋体" w:eastAsia="宋体" w:cs="宋体"/>
          <w:b/>
          <w:bCs/>
          <w:color w:val="auto"/>
          <w:spacing w:val="-2"/>
          <w:sz w:val="24"/>
          <w:szCs w:val="24"/>
          <w:highlight w:val="none"/>
          <w:lang w:val="en-US" w:eastAsia="zh-CN"/>
        </w:rPr>
      </w:pPr>
      <w:r>
        <w:rPr>
          <w:rFonts w:hint="eastAsia" w:ascii="宋体" w:hAnsi="宋体" w:eastAsia="宋体"/>
          <w:b/>
          <w:bCs/>
          <w:color w:val="auto"/>
          <w:sz w:val="24"/>
          <w:szCs w:val="24"/>
          <w:highlight w:val="none"/>
          <w:lang w:val="en-US" w:eastAsia="zh-CN"/>
        </w:rPr>
        <w:t>现文：</w:t>
      </w:r>
      <w:r>
        <w:rPr>
          <w:rFonts w:hint="eastAsia" w:ascii="宋体" w:hAnsi="宋体" w:eastAsia="宋体" w:cs="宋体"/>
          <w:color w:val="auto"/>
          <w:spacing w:val="-2"/>
          <w:sz w:val="24"/>
          <w:szCs w:val="24"/>
          <w:highlight w:val="none"/>
          <w:u w:val="single"/>
          <w:lang w:val="en-US" w:eastAsia="zh-CN"/>
        </w:rPr>
        <w:t>6.1.4评标委员会在开始评标前，应了解评标专家的职责及守则，认真阅读附件一《评标委员会成员声明》的内容并签名，签字后方可进行评标。</w:t>
      </w:r>
    </w:p>
    <w:p w14:paraId="224F4C1F">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条款号：7.1.2            修改类型：修改</w:t>
      </w:r>
    </w:p>
    <w:p w14:paraId="572809A4">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ascii="宋体" w:hAnsi="宋体" w:eastAsia="宋体"/>
          <w:color w:val="auto"/>
          <w:sz w:val="24"/>
          <w:szCs w:val="24"/>
          <w:highlight w:val="none"/>
        </w:rPr>
        <w:t xml:space="preserve">7.1.2 </w:t>
      </w:r>
      <w:r>
        <w:rPr>
          <w:rFonts w:hint="eastAsia" w:ascii="宋体" w:hAnsi="宋体" w:eastAsia="宋体"/>
          <w:color w:val="auto"/>
          <w:sz w:val="24"/>
          <w:szCs w:val="24"/>
          <w:highlight w:val="none"/>
        </w:rPr>
        <w:t>在产生中标候选人后，招标人将中标候选人的投标文件商务部分（包括报价清单、人员、业绩、奖项等资料）在广州交易集团有限公司（广州公共资源交易中心）网站和广东省招标投标监管网公开。</w:t>
      </w:r>
    </w:p>
    <w:p w14:paraId="691EC37A">
      <w:pPr>
        <w:pBdr>
          <w:bottom w:val="single" w:color="auto" w:sz="6" w:space="1"/>
        </w:pBdr>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rPr>
        <w:t>现文：</w:t>
      </w:r>
      <w:r>
        <w:rPr>
          <w:rFonts w:ascii="宋体" w:hAnsi="宋体" w:eastAsia="宋体"/>
          <w:color w:val="auto"/>
          <w:sz w:val="24"/>
          <w:szCs w:val="24"/>
          <w:highlight w:val="none"/>
        </w:rPr>
        <w:t xml:space="preserve">7.1.2 </w:t>
      </w:r>
      <w:r>
        <w:rPr>
          <w:rFonts w:hint="eastAsia" w:ascii="宋体" w:hAnsi="宋体" w:eastAsia="宋体"/>
          <w:color w:val="auto"/>
          <w:sz w:val="24"/>
          <w:szCs w:val="24"/>
          <w:highlight w:val="none"/>
        </w:rPr>
        <w:t>在产生中标候选人后，招标人将中标候选人的投标文件商务部分（包括</w:t>
      </w:r>
      <w:r>
        <w:rPr>
          <w:rFonts w:hint="eastAsia" w:ascii="宋体" w:hAnsi="宋体" w:eastAsia="宋体"/>
          <w:color w:val="auto"/>
          <w:sz w:val="24"/>
          <w:szCs w:val="24"/>
          <w:highlight w:val="none"/>
          <w:u w:val="single"/>
        </w:rPr>
        <w:t>人员、业绩、奖项</w:t>
      </w:r>
      <w:r>
        <w:rPr>
          <w:rFonts w:hint="eastAsia" w:ascii="宋体" w:hAnsi="宋体" w:eastAsia="宋体"/>
          <w:color w:val="auto"/>
          <w:sz w:val="24"/>
          <w:szCs w:val="24"/>
          <w:highlight w:val="none"/>
        </w:rPr>
        <w:t>等资料）在广州交易集团有限公司（广州公共资源交易中心）网站和广东省招标投标监管网公开。</w:t>
      </w:r>
    </w:p>
    <w:p w14:paraId="1754CC89">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10.（一）</w:t>
      </w:r>
      <w:r>
        <w:rPr>
          <w:rFonts w:ascii="宋体" w:hAnsi="宋体" w:eastAsia="宋体"/>
          <w:b/>
          <w:bCs/>
          <w:color w:val="auto"/>
          <w:sz w:val="24"/>
          <w:szCs w:val="24"/>
          <w:highlight w:val="none"/>
        </w:rPr>
        <w:t xml:space="preserve">            修改类型：修改</w:t>
      </w:r>
    </w:p>
    <w:p w14:paraId="2B376EA0">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（一）资格预审合格的潜在投标人不足三个的；</w:t>
      </w:r>
    </w:p>
    <w:p w14:paraId="089BB536">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（一）资格</w:t>
      </w:r>
      <w:r>
        <w:rPr>
          <w:rFonts w:hint="eastAsia" w:ascii="宋体" w:hAnsi="宋体" w:eastAsia="宋体"/>
          <w:b/>
          <w:bCs/>
          <w:color w:val="auto"/>
          <w:sz w:val="24"/>
          <w:szCs w:val="24"/>
          <w:highlight w:val="none"/>
          <w:u w:val="single"/>
        </w:rPr>
        <w:t>审查</w:t>
      </w:r>
      <w:r>
        <w:rPr>
          <w:rFonts w:hint="eastAsia" w:ascii="宋体" w:hAnsi="宋体" w:eastAsia="宋体"/>
          <w:color w:val="auto"/>
          <w:sz w:val="24"/>
          <w:szCs w:val="24"/>
          <w:highlight w:val="none"/>
        </w:rPr>
        <w:t>合格的潜在投标人不足三个的；</w:t>
      </w:r>
    </w:p>
    <w:p w14:paraId="764B0AD6">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37EBB299">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（以下无正文）</w:t>
      </w:r>
    </w:p>
    <w:p w14:paraId="42F3EFC2">
      <w:pPr>
        <w:wordWrap w:val="0"/>
        <w:spacing w:line="360" w:lineRule="auto"/>
        <w:ind w:left="420" w:leftChars="200"/>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341B6ED">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1" w:name="_Toc193357939"/>
      <w:bookmarkStart w:id="12" w:name="_Toc3060"/>
      <w:bookmarkStart w:id="13" w:name="_Toc12162"/>
      <w:bookmarkStart w:id="14" w:name="_Toc111186724"/>
      <w:r>
        <w:rPr>
          <w:rFonts w:ascii="宋体" w:hAnsi="宋体" w:eastAsia="宋体" w:cs="宋体"/>
          <w:b/>
          <w:bCs/>
          <w:color w:val="auto"/>
          <w:kern w:val="0"/>
          <w:sz w:val="30"/>
          <w:szCs w:val="30"/>
          <w:highlight w:val="none"/>
          <w:lang w:val="zh-CN"/>
        </w:rPr>
        <w:t xml:space="preserve">1. </w:t>
      </w:r>
      <w:r>
        <w:rPr>
          <w:rFonts w:hint="eastAsia" w:ascii="宋体" w:hAnsi="宋体" w:eastAsia="宋体" w:cs="宋体"/>
          <w:b/>
          <w:bCs/>
          <w:color w:val="auto"/>
          <w:kern w:val="0"/>
          <w:sz w:val="30"/>
          <w:szCs w:val="30"/>
          <w:highlight w:val="none"/>
          <w:lang w:val="zh-CN"/>
        </w:rPr>
        <w:t>总则</w:t>
      </w:r>
      <w:bookmarkEnd w:id="11"/>
      <w:bookmarkEnd w:id="12"/>
      <w:bookmarkEnd w:id="13"/>
      <w:bookmarkEnd w:id="14"/>
    </w:p>
    <w:p w14:paraId="2B136695">
      <w:pPr>
        <w:keepNext/>
        <w:keepLines/>
        <w:wordWrap w:val="0"/>
        <w:spacing w:before="260" w:line="416" w:lineRule="auto"/>
        <w:outlineLvl w:val="2"/>
        <w:rPr>
          <w:rFonts w:ascii="宋体" w:hAnsi="宋体" w:eastAsia="宋体" w:cs="宋体"/>
          <w:b/>
          <w:bCs/>
          <w:color w:val="auto"/>
          <w:spacing w:val="-2"/>
          <w:kern w:val="0"/>
          <w:sz w:val="24"/>
          <w:szCs w:val="24"/>
          <w:highlight w:val="none"/>
          <w:lang w:val="zh-CN"/>
        </w:rPr>
      </w:pPr>
      <w:bookmarkStart w:id="15" w:name="_Toc7733"/>
      <w:bookmarkStart w:id="16" w:name="_Toc7509"/>
      <w:bookmarkStart w:id="17" w:name="_Toc193357940"/>
      <w:bookmarkStart w:id="18" w:name="_Toc111186725"/>
      <w:r>
        <w:rPr>
          <w:rFonts w:ascii="宋体" w:hAnsi="宋体" w:eastAsia="宋体" w:cs="宋体"/>
          <w:b/>
          <w:bCs/>
          <w:color w:val="auto"/>
          <w:spacing w:val="1"/>
          <w:sz w:val="28"/>
          <w:szCs w:val="32"/>
          <w:highlight w:val="none"/>
          <w:lang w:val="zh-CN"/>
        </w:rPr>
        <w:t xml:space="preserve">1.1 </w:t>
      </w:r>
      <w:r>
        <w:rPr>
          <w:rFonts w:hint="eastAsia" w:ascii="宋体" w:hAnsi="宋体" w:eastAsia="宋体" w:cs="宋体"/>
          <w:b/>
          <w:bCs/>
          <w:color w:val="auto"/>
          <w:spacing w:val="1"/>
          <w:sz w:val="28"/>
          <w:szCs w:val="32"/>
          <w:highlight w:val="none"/>
          <w:lang w:val="zh-CN"/>
        </w:rPr>
        <w:t>招标项目概况</w:t>
      </w:r>
      <w:bookmarkEnd w:id="15"/>
      <w:bookmarkEnd w:id="16"/>
      <w:bookmarkEnd w:id="17"/>
      <w:bookmarkEnd w:id="18"/>
    </w:p>
    <w:p w14:paraId="22533CB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1.1.1 </w:t>
      </w:r>
      <w:r>
        <w:rPr>
          <w:rFonts w:hint="eastAsia" w:ascii="宋体" w:hAnsi="宋体" w:eastAsia="宋体" w:cs="宋体"/>
          <w:color w:val="auto"/>
          <w:spacing w:val="-2"/>
          <w:kern w:val="0"/>
          <w:sz w:val="24"/>
          <w:szCs w:val="24"/>
          <w:highlight w:val="none"/>
        </w:rPr>
        <w:t>根据《中华人民共和国招标投标法》、《中华人民共和国招标投标法实施条例》等有关</w:t>
      </w:r>
      <w:r>
        <w:rPr>
          <w:rFonts w:ascii="宋体" w:hAnsi="宋体" w:eastAsia="宋体" w:cs="宋体"/>
          <w:color w:val="auto"/>
          <w:spacing w:val="-2"/>
          <w:kern w:val="0"/>
          <w:sz w:val="24"/>
          <w:szCs w:val="24"/>
          <w:highlight w:val="none"/>
        </w:rPr>
        <w:t xml:space="preserve"> 法律、法规和规章的规定，本招标项目已具备招标条件，现对设计进行招标。</w:t>
      </w:r>
    </w:p>
    <w:p w14:paraId="5F9F6B4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1.1.2 </w:t>
      </w:r>
      <w:r>
        <w:rPr>
          <w:rFonts w:hint="eastAsia" w:ascii="宋体" w:hAnsi="宋体" w:eastAsia="宋体" w:cs="宋体"/>
          <w:color w:val="auto"/>
          <w:spacing w:val="-2"/>
          <w:kern w:val="0"/>
          <w:sz w:val="24"/>
          <w:szCs w:val="24"/>
          <w:highlight w:val="none"/>
        </w:rPr>
        <w:t>招标人：见投标人须知前附表。</w:t>
      </w:r>
    </w:p>
    <w:p w14:paraId="01E2CD6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1.1.3 </w:t>
      </w:r>
      <w:r>
        <w:rPr>
          <w:rFonts w:hint="eastAsia" w:ascii="宋体" w:hAnsi="宋体" w:eastAsia="宋体" w:cs="宋体"/>
          <w:color w:val="auto"/>
          <w:spacing w:val="-2"/>
          <w:kern w:val="0"/>
          <w:sz w:val="24"/>
          <w:szCs w:val="24"/>
          <w:highlight w:val="none"/>
        </w:rPr>
        <w:t>招标代理机构：见投标人须知前附表。</w:t>
      </w:r>
    </w:p>
    <w:p w14:paraId="74ED7BC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1.1.4 </w:t>
      </w:r>
      <w:r>
        <w:rPr>
          <w:rFonts w:hint="eastAsia" w:ascii="宋体" w:hAnsi="宋体" w:eastAsia="宋体" w:cs="宋体"/>
          <w:color w:val="auto"/>
          <w:spacing w:val="-2"/>
          <w:kern w:val="0"/>
          <w:sz w:val="24"/>
          <w:szCs w:val="24"/>
          <w:highlight w:val="none"/>
        </w:rPr>
        <w:t>招标项目名称：见投标人须知前附表。</w:t>
      </w:r>
    </w:p>
    <w:p w14:paraId="55B3031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1.1.5 </w:t>
      </w:r>
      <w:r>
        <w:rPr>
          <w:rFonts w:hint="eastAsia" w:ascii="宋体" w:hAnsi="宋体" w:eastAsia="宋体" w:cs="宋体"/>
          <w:color w:val="auto"/>
          <w:spacing w:val="-2"/>
          <w:kern w:val="0"/>
          <w:sz w:val="24"/>
          <w:szCs w:val="24"/>
          <w:highlight w:val="none"/>
        </w:rPr>
        <w:t>项目建设地点：见投标人须知前附表。</w:t>
      </w:r>
    </w:p>
    <w:p w14:paraId="4F8BAE1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1.1.6 </w:t>
      </w:r>
      <w:r>
        <w:rPr>
          <w:rFonts w:hint="eastAsia" w:ascii="宋体" w:hAnsi="宋体" w:eastAsia="宋体" w:cs="宋体"/>
          <w:color w:val="auto"/>
          <w:spacing w:val="-2"/>
          <w:kern w:val="0"/>
          <w:sz w:val="24"/>
          <w:szCs w:val="24"/>
          <w:highlight w:val="none"/>
        </w:rPr>
        <w:t>项目建设规模：见投标人须知前附表。</w:t>
      </w:r>
    </w:p>
    <w:p w14:paraId="40A1353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1.1.7 </w:t>
      </w:r>
      <w:r>
        <w:rPr>
          <w:rFonts w:hint="eastAsia" w:ascii="宋体" w:hAnsi="宋体" w:eastAsia="宋体" w:cs="宋体"/>
          <w:color w:val="auto"/>
          <w:spacing w:val="-2"/>
          <w:kern w:val="0"/>
          <w:sz w:val="24"/>
          <w:szCs w:val="24"/>
          <w:highlight w:val="none"/>
        </w:rPr>
        <w:t>项目投资估算：见投标人须知前附表。</w:t>
      </w:r>
    </w:p>
    <w:p w14:paraId="0383395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C3BF84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 w:name="_Toc193357941"/>
      <w:bookmarkStart w:id="20" w:name="_Toc111186726"/>
      <w:bookmarkStart w:id="21" w:name="_Toc14504"/>
      <w:bookmarkStart w:id="22" w:name="_Toc8374"/>
      <w:r>
        <w:rPr>
          <w:rFonts w:ascii="宋体" w:hAnsi="宋体" w:eastAsia="宋体" w:cs="宋体"/>
          <w:b/>
          <w:bCs/>
          <w:color w:val="auto"/>
          <w:spacing w:val="1"/>
          <w:sz w:val="28"/>
          <w:szCs w:val="32"/>
          <w:highlight w:val="none"/>
          <w:lang w:val="zh-CN"/>
        </w:rPr>
        <w:t>1.2</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招标项目</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资</w:t>
      </w:r>
      <w:r>
        <w:rPr>
          <w:rFonts w:hint="eastAsia" w:ascii="宋体" w:hAnsi="宋体" w:eastAsia="宋体" w:cs="宋体"/>
          <w:b/>
          <w:bCs/>
          <w:color w:val="auto"/>
          <w:spacing w:val="-3"/>
          <w:sz w:val="28"/>
          <w:szCs w:val="32"/>
          <w:highlight w:val="none"/>
          <w:lang w:val="zh-CN"/>
        </w:rPr>
        <w:t>金</w:t>
      </w:r>
      <w:r>
        <w:rPr>
          <w:rFonts w:hint="eastAsia" w:ascii="宋体" w:hAnsi="宋体" w:eastAsia="宋体" w:cs="宋体"/>
          <w:b/>
          <w:bCs/>
          <w:color w:val="auto"/>
          <w:spacing w:val="1"/>
          <w:sz w:val="28"/>
          <w:szCs w:val="32"/>
          <w:highlight w:val="none"/>
          <w:lang w:val="zh-CN"/>
        </w:rPr>
        <w:t>来源和</w:t>
      </w:r>
      <w:r>
        <w:rPr>
          <w:rFonts w:hint="eastAsia" w:ascii="宋体" w:hAnsi="宋体" w:eastAsia="宋体" w:cs="宋体"/>
          <w:b/>
          <w:bCs/>
          <w:color w:val="auto"/>
          <w:spacing w:val="-3"/>
          <w:sz w:val="28"/>
          <w:szCs w:val="32"/>
          <w:highlight w:val="none"/>
          <w:lang w:val="zh-CN"/>
        </w:rPr>
        <w:t>落</w:t>
      </w:r>
      <w:r>
        <w:rPr>
          <w:rFonts w:hint="eastAsia" w:ascii="宋体" w:hAnsi="宋体" w:eastAsia="宋体" w:cs="宋体"/>
          <w:b/>
          <w:bCs/>
          <w:color w:val="auto"/>
          <w:spacing w:val="1"/>
          <w:sz w:val="28"/>
          <w:szCs w:val="32"/>
          <w:highlight w:val="none"/>
          <w:lang w:val="zh-CN"/>
        </w:rPr>
        <w:t>实情况</w:t>
      </w:r>
      <w:bookmarkEnd w:id="19"/>
      <w:bookmarkEnd w:id="20"/>
      <w:bookmarkEnd w:id="21"/>
      <w:bookmarkEnd w:id="22"/>
    </w:p>
    <w:p w14:paraId="03B099A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1.2.1 </w:t>
      </w:r>
      <w:r>
        <w:rPr>
          <w:rFonts w:hint="eastAsia" w:ascii="宋体" w:hAnsi="宋体" w:eastAsia="宋体" w:cs="宋体"/>
          <w:color w:val="auto"/>
          <w:spacing w:val="-2"/>
          <w:kern w:val="0"/>
          <w:sz w:val="24"/>
          <w:szCs w:val="24"/>
          <w:highlight w:val="none"/>
        </w:rPr>
        <w:t>资金来源及比例：见投标人须知前附表。</w:t>
      </w:r>
    </w:p>
    <w:p w14:paraId="2904728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1.2.2 </w:t>
      </w:r>
      <w:r>
        <w:rPr>
          <w:rFonts w:hint="eastAsia" w:ascii="宋体" w:hAnsi="宋体" w:eastAsia="宋体" w:cs="宋体"/>
          <w:color w:val="auto"/>
          <w:spacing w:val="-2"/>
          <w:kern w:val="0"/>
          <w:sz w:val="24"/>
          <w:szCs w:val="24"/>
          <w:highlight w:val="none"/>
        </w:rPr>
        <w:t>资金落实情况：见投标人须知前附表。</w:t>
      </w:r>
    </w:p>
    <w:p w14:paraId="2AAAF92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C25A2B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3" w:name="_Toc111186727"/>
      <w:bookmarkStart w:id="24" w:name="_Toc9521"/>
      <w:bookmarkStart w:id="25" w:name="_Toc13854"/>
      <w:bookmarkStart w:id="26" w:name="_Toc193357942"/>
      <w:r>
        <w:rPr>
          <w:rFonts w:ascii="宋体" w:hAnsi="宋体" w:eastAsia="宋体" w:cs="宋体"/>
          <w:b/>
          <w:bCs/>
          <w:color w:val="auto"/>
          <w:spacing w:val="1"/>
          <w:sz w:val="28"/>
          <w:szCs w:val="32"/>
          <w:highlight w:val="none"/>
          <w:lang w:val="zh-CN"/>
        </w:rPr>
        <w:t>1.3</w:t>
      </w:r>
      <w:r>
        <w:rPr>
          <w:rFonts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招标范</w:t>
      </w:r>
      <w:r>
        <w:rPr>
          <w:rFonts w:hint="eastAsia" w:ascii="宋体" w:hAnsi="宋体" w:eastAsia="宋体" w:cs="宋体"/>
          <w:b/>
          <w:bCs/>
          <w:color w:val="auto"/>
          <w:spacing w:val="-3"/>
          <w:sz w:val="28"/>
          <w:szCs w:val="32"/>
          <w:highlight w:val="none"/>
          <w:lang w:val="zh-CN"/>
        </w:rPr>
        <w:t>围</w:t>
      </w:r>
      <w:r>
        <w:rPr>
          <w:rFonts w:hint="eastAsia" w:ascii="宋体" w:hAnsi="宋体" w:eastAsia="宋体" w:cs="宋体"/>
          <w:b/>
          <w:bCs/>
          <w:color w:val="auto"/>
          <w:spacing w:val="1"/>
          <w:sz w:val="28"/>
          <w:szCs w:val="32"/>
          <w:highlight w:val="none"/>
          <w:lang w:val="zh-CN"/>
        </w:rPr>
        <w:t>、设</w:t>
      </w:r>
      <w:r>
        <w:rPr>
          <w:rFonts w:hint="eastAsia" w:ascii="宋体" w:hAnsi="宋体" w:eastAsia="宋体" w:cs="宋体"/>
          <w:b/>
          <w:bCs/>
          <w:color w:val="auto"/>
          <w:spacing w:val="-2"/>
          <w:sz w:val="28"/>
          <w:szCs w:val="32"/>
          <w:highlight w:val="none"/>
          <w:lang w:val="zh-CN"/>
        </w:rPr>
        <w:t>计</w:t>
      </w:r>
      <w:r>
        <w:rPr>
          <w:rFonts w:hint="eastAsia" w:ascii="宋体" w:hAnsi="宋体" w:eastAsia="宋体" w:cs="宋体"/>
          <w:b/>
          <w:bCs/>
          <w:color w:val="auto"/>
          <w:spacing w:val="1"/>
          <w:sz w:val="28"/>
          <w:szCs w:val="32"/>
          <w:highlight w:val="none"/>
          <w:lang w:val="zh-CN"/>
        </w:rPr>
        <w:t>服务期</w:t>
      </w:r>
      <w:r>
        <w:rPr>
          <w:rFonts w:hint="eastAsia" w:ascii="宋体" w:hAnsi="宋体" w:eastAsia="宋体" w:cs="宋体"/>
          <w:b/>
          <w:bCs/>
          <w:color w:val="auto"/>
          <w:spacing w:val="-3"/>
          <w:sz w:val="28"/>
          <w:szCs w:val="32"/>
          <w:highlight w:val="none"/>
          <w:lang w:val="zh-CN"/>
        </w:rPr>
        <w:t>限</w:t>
      </w:r>
      <w:r>
        <w:rPr>
          <w:rFonts w:hint="eastAsia" w:ascii="宋体" w:hAnsi="宋体" w:eastAsia="宋体" w:cs="宋体"/>
          <w:b/>
          <w:bCs/>
          <w:color w:val="auto"/>
          <w:spacing w:val="1"/>
          <w:sz w:val="28"/>
          <w:szCs w:val="32"/>
          <w:highlight w:val="none"/>
          <w:lang w:val="zh-CN"/>
        </w:rPr>
        <w:t>和质</w:t>
      </w:r>
      <w:r>
        <w:rPr>
          <w:rFonts w:hint="eastAsia" w:ascii="宋体" w:hAnsi="宋体" w:eastAsia="宋体" w:cs="宋体"/>
          <w:b/>
          <w:bCs/>
          <w:color w:val="auto"/>
          <w:spacing w:val="-3"/>
          <w:sz w:val="28"/>
          <w:szCs w:val="32"/>
          <w:highlight w:val="none"/>
          <w:lang w:val="zh-CN"/>
        </w:rPr>
        <w:t>量标</w:t>
      </w:r>
      <w:r>
        <w:rPr>
          <w:rFonts w:hint="eastAsia" w:ascii="宋体" w:hAnsi="宋体" w:eastAsia="宋体" w:cs="宋体"/>
          <w:b/>
          <w:bCs/>
          <w:color w:val="auto"/>
          <w:spacing w:val="1"/>
          <w:sz w:val="28"/>
          <w:szCs w:val="32"/>
          <w:highlight w:val="none"/>
          <w:lang w:val="zh-CN"/>
        </w:rPr>
        <w:t>准</w:t>
      </w:r>
      <w:bookmarkEnd w:id="23"/>
      <w:bookmarkEnd w:id="24"/>
      <w:bookmarkEnd w:id="25"/>
      <w:bookmarkEnd w:id="26"/>
    </w:p>
    <w:p w14:paraId="4AE013E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1.3.1 </w:t>
      </w:r>
      <w:r>
        <w:rPr>
          <w:rFonts w:hint="eastAsia" w:ascii="宋体" w:hAnsi="宋体" w:eastAsia="宋体" w:cs="宋体"/>
          <w:color w:val="auto"/>
          <w:spacing w:val="-2"/>
          <w:kern w:val="0"/>
          <w:sz w:val="24"/>
          <w:szCs w:val="24"/>
          <w:highlight w:val="none"/>
        </w:rPr>
        <w:t>招标范围：见投标人须知前附表。</w:t>
      </w:r>
    </w:p>
    <w:p w14:paraId="1167910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1.3.2 </w:t>
      </w:r>
      <w:r>
        <w:rPr>
          <w:rFonts w:hint="eastAsia" w:ascii="宋体" w:hAnsi="宋体" w:eastAsia="宋体" w:cs="宋体"/>
          <w:color w:val="auto"/>
          <w:spacing w:val="-2"/>
          <w:kern w:val="0"/>
          <w:sz w:val="24"/>
          <w:szCs w:val="24"/>
          <w:highlight w:val="none"/>
        </w:rPr>
        <w:t>勘察设计服务期限：见投标人须知前附表。</w:t>
      </w:r>
    </w:p>
    <w:p w14:paraId="4D32AD4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1.3.3 </w:t>
      </w:r>
      <w:r>
        <w:rPr>
          <w:rFonts w:hint="eastAsia" w:ascii="宋体" w:hAnsi="宋体" w:eastAsia="宋体" w:cs="宋体"/>
          <w:color w:val="auto"/>
          <w:spacing w:val="-2"/>
          <w:kern w:val="0"/>
          <w:sz w:val="24"/>
          <w:szCs w:val="24"/>
          <w:highlight w:val="none"/>
        </w:rPr>
        <w:t>质量标准：见投标人须知前附表。</w:t>
      </w:r>
    </w:p>
    <w:p w14:paraId="2C2E556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890589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7" w:name="_Toc111186728"/>
      <w:bookmarkStart w:id="28" w:name="_Toc19545"/>
      <w:bookmarkStart w:id="29" w:name="_Toc193357943"/>
      <w:bookmarkStart w:id="30" w:name="_Toc22012"/>
      <w:r>
        <w:rPr>
          <w:rFonts w:ascii="宋体" w:hAnsi="宋体" w:eastAsia="宋体" w:cs="宋体"/>
          <w:b/>
          <w:bCs/>
          <w:color w:val="auto"/>
          <w:spacing w:val="1"/>
          <w:sz w:val="28"/>
          <w:szCs w:val="32"/>
          <w:highlight w:val="none"/>
          <w:lang w:val="zh-CN"/>
        </w:rPr>
        <w:t>1.4</w:t>
      </w:r>
      <w:r>
        <w:rPr>
          <w:rFonts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投标人</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格要求</w:t>
      </w:r>
      <w:bookmarkEnd w:id="27"/>
      <w:bookmarkEnd w:id="28"/>
      <w:bookmarkEnd w:id="29"/>
      <w:bookmarkEnd w:id="30"/>
    </w:p>
    <w:p w14:paraId="3F2466A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1.4.1 </w:t>
      </w:r>
      <w:r>
        <w:rPr>
          <w:rFonts w:hint="eastAsia" w:ascii="宋体" w:hAnsi="宋体" w:eastAsia="宋体" w:cs="宋体"/>
          <w:color w:val="auto"/>
          <w:spacing w:val="-2"/>
          <w:kern w:val="0"/>
          <w:sz w:val="24"/>
          <w:szCs w:val="24"/>
          <w:highlight w:val="none"/>
        </w:rPr>
        <w:t>投标人应具备承担本招标项目资质条件、能力和信誉：</w:t>
      </w:r>
    </w:p>
    <w:p w14:paraId="085A521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1）资质要求：见投标人须知前附表；</w:t>
      </w:r>
    </w:p>
    <w:p w14:paraId="0C0C169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2）财务要求：见投标人须知前附表；</w:t>
      </w:r>
    </w:p>
    <w:p w14:paraId="46CAAD3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3）业绩要求：见投标人须知前附表；</w:t>
      </w:r>
    </w:p>
    <w:p w14:paraId="6862F59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4）信誉要求：见投标人须知前附表；</w:t>
      </w:r>
    </w:p>
    <w:p w14:paraId="37744B9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5）项目负责人的资格要求：应当具备工程设计类注册执业资格(如有)，具体要求见投标人须知前附表；</w:t>
      </w:r>
    </w:p>
    <w:p w14:paraId="16D487D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6）其他主要人员要求：见投标人须知前附表。</w:t>
      </w:r>
    </w:p>
    <w:p w14:paraId="3FBCBAD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7）其他要求：见投标人须知前附表。</w:t>
      </w:r>
    </w:p>
    <w:p w14:paraId="465974E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需要提交的相关证明材料见本章第</w:t>
      </w:r>
      <w:r>
        <w:rPr>
          <w:rFonts w:ascii="宋体" w:hAnsi="宋体" w:eastAsia="宋体" w:cs="宋体"/>
          <w:color w:val="auto"/>
          <w:spacing w:val="-2"/>
          <w:kern w:val="0"/>
          <w:sz w:val="24"/>
          <w:szCs w:val="24"/>
          <w:highlight w:val="none"/>
        </w:rPr>
        <w:t>3.5款的规定。</w:t>
      </w:r>
    </w:p>
    <w:p w14:paraId="70E743E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1.4.2 </w:t>
      </w:r>
      <w:r>
        <w:rPr>
          <w:rFonts w:hint="eastAsia" w:ascii="宋体" w:hAnsi="宋体" w:eastAsia="宋体" w:cs="宋体"/>
          <w:color w:val="auto"/>
          <w:spacing w:val="-2"/>
          <w:kern w:val="0"/>
          <w:sz w:val="24"/>
          <w:szCs w:val="24"/>
          <w:highlight w:val="none"/>
        </w:rPr>
        <w:t>投标人须知前附表规定接受联合体投标的，联合体除应符合本章第</w:t>
      </w:r>
      <w:r>
        <w:rPr>
          <w:rFonts w:ascii="宋体" w:hAnsi="宋体" w:eastAsia="宋体" w:cs="宋体"/>
          <w:color w:val="auto"/>
          <w:spacing w:val="-2"/>
          <w:kern w:val="0"/>
          <w:sz w:val="24"/>
          <w:szCs w:val="24"/>
          <w:highlight w:val="none"/>
        </w:rPr>
        <w:t>1.4.1项和投标人须知前附表的要求外，还应遵守以下规定：</w:t>
      </w:r>
    </w:p>
    <w:p w14:paraId="732490F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1）联合体各方应按招标文件提供的格式签订联合体协议书，</w:t>
      </w:r>
      <w:r>
        <w:rPr>
          <w:rFonts w:hint="eastAsia" w:ascii="宋体" w:hAnsi="宋体" w:eastAsia="宋体" w:cs="宋体"/>
          <w:color w:val="auto"/>
          <w:spacing w:val="-2"/>
          <w:kern w:val="0"/>
          <w:sz w:val="24"/>
          <w:szCs w:val="24"/>
          <w:highlight w:val="none"/>
        </w:rPr>
        <w:t>明确联合体主办方和各方权</w:t>
      </w:r>
      <w:r>
        <w:rPr>
          <w:rFonts w:ascii="宋体" w:hAnsi="宋体" w:eastAsia="宋体" w:cs="宋体"/>
          <w:color w:val="auto"/>
          <w:spacing w:val="-2"/>
          <w:kern w:val="0"/>
          <w:sz w:val="24"/>
          <w:szCs w:val="24"/>
          <w:highlight w:val="none"/>
        </w:rPr>
        <w:t>利义务</w:t>
      </w:r>
      <w:r>
        <w:rPr>
          <w:rFonts w:hint="eastAsia" w:ascii="宋体" w:hAnsi="宋体" w:eastAsia="宋体" w:cs="宋体"/>
          <w:color w:val="auto"/>
          <w:spacing w:val="-2"/>
          <w:kern w:val="0"/>
          <w:sz w:val="24"/>
          <w:szCs w:val="24"/>
          <w:highlight w:val="none"/>
        </w:rPr>
        <w:t>，并承诺就中标项目向招标人承担连带责任；</w:t>
      </w:r>
    </w:p>
    <w:p w14:paraId="5CD944F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2）由同一专业的单位组成的联合体，按照资质等级较低的单位确定资质等级；</w:t>
      </w:r>
    </w:p>
    <w:p w14:paraId="58D1EC9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3）联合体各方不得再以自己名义单独或参加其他联合体在本招标项目中投标，</w:t>
      </w:r>
      <w:r>
        <w:rPr>
          <w:rFonts w:hint="eastAsia" w:ascii="宋体" w:hAnsi="宋体" w:eastAsia="宋体" w:cs="宋体"/>
          <w:color w:val="auto"/>
          <w:spacing w:val="-2"/>
          <w:kern w:val="0"/>
          <w:sz w:val="24"/>
          <w:szCs w:val="24"/>
          <w:highlight w:val="none"/>
        </w:rPr>
        <w:t>否则各相关投标均无效。</w:t>
      </w:r>
    </w:p>
    <w:p w14:paraId="65444E3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1.4.3 </w:t>
      </w:r>
      <w:r>
        <w:rPr>
          <w:rFonts w:hint="eastAsia" w:ascii="宋体" w:hAnsi="宋体" w:eastAsia="宋体" w:cs="宋体"/>
          <w:color w:val="auto"/>
          <w:spacing w:val="-2"/>
          <w:kern w:val="0"/>
          <w:sz w:val="24"/>
          <w:szCs w:val="24"/>
          <w:highlight w:val="none"/>
        </w:rPr>
        <w:t>投标人不得存在下列情形之一：</w:t>
      </w:r>
    </w:p>
    <w:p w14:paraId="087915C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1）为招标人不具有独立法人资格的附属机构（单位）；</w:t>
      </w:r>
    </w:p>
    <w:p w14:paraId="28455AE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2）与招标人存在利害关系且可能影响招标公正性；</w:t>
      </w:r>
    </w:p>
    <w:p w14:paraId="07BDCB3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3）与本招标项目的其他投标人为同一个单位负责人；</w:t>
      </w:r>
    </w:p>
    <w:p w14:paraId="172A527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4）与本招标项目的其他投标人存在控股、管理关系；</w:t>
      </w:r>
    </w:p>
    <w:p w14:paraId="4DA9F29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5）为本招标项目的代建人；</w:t>
      </w:r>
    </w:p>
    <w:p w14:paraId="0BCBC15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6）为本招标项目的招标代理机构；</w:t>
      </w:r>
    </w:p>
    <w:p w14:paraId="22C56C4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7）与本招标项目的代建人或招标代理机构同为一个法定代表人；</w:t>
      </w:r>
    </w:p>
    <w:p w14:paraId="0AD74CF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8）与本招标项目的代建人或招标代理机构存在控股或参股关系；</w:t>
      </w:r>
    </w:p>
    <w:p w14:paraId="00B1490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9</w:t>
      </w:r>
      <w:r>
        <w:rPr>
          <w:rFonts w:hint="eastAsia" w:ascii="宋体" w:hAnsi="宋体" w:eastAsia="宋体" w:cs="宋体"/>
          <w:color w:val="auto"/>
          <w:spacing w:val="-2"/>
          <w:kern w:val="0"/>
          <w:sz w:val="24"/>
          <w:szCs w:val="24"/>
          <w:highlight w:val="none"/>
        </w:rPr>
        <w:t>）被依法暂停或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C4C219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10）被责令停产停业、暂扣或者吊销许可证、暂扣或者吊销执照</w:t>
      </w: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本项事实应当以根据《中华人民共和国行政处罚法》依法作出并已经生效的行政处罚决定为认定依据</w:t>
      </w:r>
      <w:r>
        <w:rPr>
          <w:rFonts w:hint="eastAsia" w:ascii="宋体" w:hAnsi="宋体" w:eastAsia="宋体" w:cs="宋体"/>
          <w:color w:val="auto"/>
          <w:spacing w:val="-2"/>
          <w:kern w:val="0"/>
          <w:sz w:val="24"/>
          <w:szCs w:val="24"/>
          <w:highlight w:val="none"/>
        </w:rPr>
        <w:t>）；</w:t>
      </w:r>
    </w:p>
    <w:p w14:paraId="7FB225C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11）进入清算程序，或被</w:t>
      </w:r>
      <w:r>
        <w:rPr>
          <w:rFonts w:hint="eastAsia" w:ascii="宋体" w:hAnsi="宋体" w:eastAsia="宋体" w:cs="宋体"/>
          <w:color w:val="auto"/>
          <w:spacing w:val="-2"/>
          <w:kern w:val="0"/>
          <w:sz w:val="24"/>
          <w:szCs w:val="24"/>
          <w:highlight w:val="none"/>
        </w:rPr>
        <w:t>宣布破产，或其他丧失履约能力的情形；</w:t>
      </w:r>
    </w:p>
    <w:p w14:paraId="705F386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12）</w:t>
      </w:r>
      <w:r>
        <w:rPr>
          <w:rFonts w:hint="eastAsia" w:ascii="宋体" w:hAnsi="宋体" w:eastAsia="宋体" w:cs="宋体"/>
          <w:color w:val="auto"/>
          <w:spacing w:val="-2"/>
          <w:kern w:val="0"/>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3F261E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13</w:t>
      </w:r>
      <w:r>
        <w:rPr>
          <w:rFonts w:hint="eastAsia" w:ascii="宋体" w:hAnsi="宋体" w:eastAsia="宋体" w:cs="宋体"/>
          <w:color w:val="auto"/>
          <w:spacing w:val="-2"/>
          <w:kern w:val="0"/>
          <w:sz w:val="24"/>
          <w:szCs w:val="24"/>
          <w:highlight w:val="none"/>
        </w:rPr>
        <w:t>）在投标文件有关技术方案和要求中不得指定与工程建设项目有关的重要设备、材料的生产供应者，或者含有倾向或者排斥特定生产供应者的内容；</w:t>
      </w:r>
    </w:p>
    <w:p w14:paraId="48A3901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u w:val="singl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14</w:t>
      </w:r>
      <w:r>
        <w:rPr>
          <w:rFonts w:hint="eastAsia" w:ascii="宋体" w:hAnsi="宋体" w:eastAsia="宋体" w:cs="宋体"/>
          <w:color w:val="auto"/>
          <w:spacing w:val="-2"/>
          <w:kern w:val="0"/>
          <w:sz w:val="24"/>
          <w:szCs w:val="24"/>
          <w:highlight w:val="none"/>
        </w:rPr>
        <w:t>）法律法规或投标人须知前附表规定的其他情形。</w:t>
      </w:r>
    </w:p>
    <w:p w14:paraId="45DCA59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CC971C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1" w:name="_Toc22473"/>
      <w:bookmarkStart w:id="32" w:name="_Toc111186729"/>
      <w:bookmarkStart w:id="33" w:name="_Toc29074"/>
      <w:bookmarkStart w:id="34" w:name="_Toc193357944"/>
      <w:r>
        <w:rPr>
          <w:rFonts w:ascii="宋体" w:hAnsi="宋体" w:eastAsia="宋体" w:cs="宋体"/>
          <w:b/>
          <w:bCs/>
          <w:color w:val="auto"/>
          <w:spacing w:val="1"/>
          <w:sz w:val="28"/>
          <w:szCs w:val="32"/>
          <w:highlight w:val="none"/>
          <w:lang w:val="zh-CN"/>
        </w:rPr>
        <w:t>1.5</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费用承担</w:t>
      </w:r>
      <w:bookmarkEnd w:id="31"/>
      <w:bookmarkEnd w:id="32"/>
      <w:bookmarkEnd w:id="33"/>
      <w:bookmarkEnd w:id="34"/>
    </w:p>
    <w:p w14:paraId="171E32D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投标人准备和参加投标活动发生的费用自理。</w:t>
      </w:r>
    </w:p>
    <w:p w14:paraId="7C9206C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91AC68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5" w:name="_Toc8560"/>
      <w:bookmarkStart w:id="36" w:name="_Toc193357945"/>
      <w:bookmarkStart w:id="37" w:name="_Toc5810"/>
      <w:bookmarkStart w:id="38" w:name="_Toc111186730"/>
      <w:r>
        <w:rPr>
          <w:rFonts w:ascii="宋体" w:hAnsi="宋体" w:eastAsia="宋体" w:cs="宋体"/>
          <w:b/>
          <w:bCs/>
          <w:color w:val="auto"/>
          <w:spacing w:val="1"/>
          <w:sz w:val="28"/>
          <w:szCs w:val="32"/>
          <w:highlight w:val="none"/>
          <w:lang w:val="zh-CN"/>
        </w:rPr>
        <w:t>1.6</w:t>
      </w:r>
      <w:r>
        <w:rPr>
          <w:rFonts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保密</w:t>
      </w:r>
      <w:bookmarkEnd w:id="35"/>
      <w:bookmarkEnd w:id="36"/>
      <w:bookmarkEnd w:id="37"/>
      <w:bookmarkEnd w:id="38"/>
    </w:p>
    <w:p w14:paraId="633DFDF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参与招标投标活动的各方应对招标文件和投标文件中的商业和技术等秘密保密，否则应承担相应的法律责任。</w:t>
      </w:r>
    </w:p>
    <w:p w14:paraId="5C456C1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E50630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9" w:name="_Toc193357946"/>
      <w:bookmarkStart w:id="40" w:name="_Toc111186731"/>
      <w:bookmarkStart w:id="41" w:name="_Toc28000"/>
      <w:bookmarkStart w:id="42" w:name="_Toc19073"/>
      <w:r>
        <w:rPr>
          <w:rFonts w:ascii="宋体" w:hAnsi="宋体" w:eastAsia="宋体" w:cs="宋体"/>
          <w:b/>
          <w:bCs/>
          <w:color w:val="auto"/>
          <w:spacing w:val="1"/>
          <w:sz w:val="28"/>
          <w:szCs w:val="32"/>
          <w:highlight w:val="none"/>
          <w:lang w:val="zh-CN"/>
        </w:rPr>
        <w:t>1</w:t>
      </w:r>
      <w:r>
        <w:rPr>
          <w:rFonts w:ascii="宋体" w:hAnsi="宋体" w:eastAsia="宋体" w:cs="宋体"/>
          <w:b/>
          <w:bCs/>
          <w:color w:val="auto"/>
          <w:spacing w:val="-1"/>
          <w:sz w:val="28"/>
          <w:szCs w:val="32"/>
          <w:highlight w:val="none"/>
          <w:lang w:val="zh-CN"/>
        </w:rPr>
        <w:t>.</w:t>
      </w:r>
      <w:r>
        <w:rPr>
          <w:rFonts w:ascii="宋体" w:hAnsi="宋体" w:eastAsia="宋体" w:cs="宋体"/>
          <w:b/>
          <w:bCs/>
          <w:color w:val="auto"/>
          <w:spacing w:val="1"/>
          <w:sz w:val="28"/>
          <w:szCs w:val="32"/>
          <w:highlight w:val="none"/>
          <w:lang w:val="zh-CN"/>
        </w:rPr>
        <w:t>7</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语言文字</w:t>
      </w:r>
      <w:bookmarkEnd w:id="39"/>
      <w:bookmarkEnd w:id="40"/>
      <w:bookmarkEnd w:id="41"/>
      <w:bookmarkEnd w:id="42"/>
    </w:p>
    <w:p w14:paraId="1CF3F7F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招标投标文件使用的语言文字为中文。专用术语使用外文的，应附有中文注释。</w:t>
      </w:r>
    </w:p>
    <w:p w14:paraId="567D3C8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1D874FC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3" w:name="_Toc193357947"/>
      <w:bookmarkStart w:id="44" w:name="_Toc3237"/>
      <w:bookmarkStart w:id="45" w:name="_Toc24805"/>
      <w:bookmarkStart w:id="46" w:name="_Toc111186732"/>
      <w:r>
        <w:rPr>
          <w:rFonts w:ascii="宋体" w:hAnsi="宋体" w:eastAsia="宋体" w:cs="宋体"/>
          <w:b/>
          <w:bCs/>
          <w:color w:val="auto"/>
          <w:spacing w:val="1"/>
          <w:sz w:val="28"/>
          <w:szCs w:val="32"/>
          <w:highlight w:val="none"/>
          <w:lang w:val="zh-CN"/>
        </w:rPr>
        <w:t>1</w:t>
      </w:r>
      <w:r>
        <w:rPr>
          <w:rFonts w:ascii="宋体" w:hAnsi="宋体" w:eastAsia="宋体" w:cs="宋体"/>
          <w:b/>
          <w:bCs/>
          <w:color w:val="auto"/>
          <w:spacing w:val="-1"/>
          <w:sz w:val="28"/>
          <w:szCs w:val="32"/>
          <w:highlight w:val="none"/>
          <w:lang w:val="zh-CN"/>
        </w:rPr>
        <w:t>.</w:t>
      </w:r>
      <w:r>
        <w:rPr>
          <w:rFonts w:ascii="宋体" w:hAnsi="宋体" w:eastAsia="宋体" w:cs="宋体"/>
          <w:b/>
          <w:bCs/>
          <w:color w:val="auto"/>
          <w:spacing w:val="1"/>
          <w:sz w:val="28"/>
          <w:szCs w:val="32"/>
          <w:highlight w:val="none"/>
          <w:lang w:val="zh-CN"/>
        </w:rPr>
        <w:t>8</w:t>
      </w:r>
      <w:r>
        <w:rPr>
          <w:rFonts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计量单位</w:t>
      </w:r>
      <w:bookmarkEnd w:id="43"/>
      <w:bookmarkEnd w:id="44"/>
      <w:bookmarkEnd w:id="45"/>
      <w:bookmarkEnd w:id="46"/>
    </w:p>
    <w:p w14:paraId="6B0B2A4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所有计量均采用中华人民共和国法定计量单位。</w:t>
      </w:r>
    </w:p>
    <w:p w14:paraId="2661C21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F60574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7" w:name="_Toc111186733"/>
      <w:bookmarkStart w:id="48" w:name="_Toc193357948"/>
      <w:bookmarkStart w:id="49" w:name="_Toc15859"/>
      <w:bookmarkStart w:id="50" w:name="_Toc9357"/>
      <w:r>
        <w:rPr>
          <w:rFonts w:ascii="宋体" w:hAnsi="宋体" w:eastAsia="宋体" w:cs="宋体"/>
          <w:b/>
          <w:bCs/>
          <w:color w:val="auto"/>
          <w:spacing w:val="1"/>
          <w:sz w:val="28"/>
          <w:szCs w:val="32"/>
          <w:highlight w:val="none"/>
          <w:lang w:val="zh-CN"/>
        </w:rPr>
        <w:t>1.9</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踏勘现场</w:t>
      </w:r>
      <w:bookmarkEnd w:id="47"/>
      <w:bookmarkEnd w:id="48"/>
      <w:bookmarkEnd w:id="49"/>
      <w:bookmarkEnd w:id="50"/>
    </w:p>
    <w:p w14:paraId="262FD3F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1.9.1 </w:t>
      </w:r>
      <w:r>
        <w:rPr>
          <w:rFonts w:hint="eastAsia" w:ascii="宋体" w:hAnsi="宋体" w:eastAsia="宋体" w:cs="宋体"/>
          <w:color w:val="auto"/>
          <w:spacing w:val="-2"/>
          <w:kern w:val="0"/>
          <w:sz w:val="24"/>
          <w:szCs w:val="24"/>
          <w:highlight w:val="none"/>
        </w:rPr>
        <w:t>投标人须知前附表规定组织踏勘现场的，招标人按投标人须知前附表规定的时间、地点组织投标人踏勘项目现场。部分投标人未按时参加踏勘现场的，不影响踏勘现场的正常进行。</w:t>
      </w:r>
    </w:p>
    <w:p w14:paraId="13E494C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1.9.2 </w:t>
      </w:r>
      <w:r>
        <w:rPr>
          <w:rFonts w:hint="eastAsia" w:ascii="宋体" w:hAnsi="宋体" w:eastAsia="宋体" w:cs="宋体"/>
          <w:color w:val="auto"/>
          <w:spacing w:val="-2"/>
          <w:kern w:val="0"/>
          <w:sz w:val="24"/>
          <w:szCs w:val="24"/>
          <w:highlight w:val="none"/>
        </w:rPr>
        <w:t>投标人踏勘现场发生的费用自理。</w:t>
      </w:r>
    </w:p>
    <w:p w14:paraId="432CB0D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1.9.3 </w:t>
      </w:r>
      <w:r>
        <w:rPr>
          <w:rFonts w:hint="eastAsia" w:ascii="宋体" w:hAnsi="宋体" w:eastAsia="宋体" w:cs="宋体"/>
          <w:color w:val="auto"/>
          <w:spacing w:val="-2"/>
          <w:kern w:val="0"/>
          <w:sz w:val="24"/>
          <w:szCs w:val="24"/>
          <w:highlight w:val="none"/>
        </w:rPr>
        <w:t>除招标人的原因外，投标人自行负责在踏勘现场中所发生的人员伤亡和财产损失。</w:t>
      </w:r>
    </w:p>
    <w:p w14:paraId="65E2D5D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1.9.4 </w:t>
      </w:r>
      <w:r>
        <w:rPr>
          <w:rFonts w:hint="eastAsia" w:ascii="宋体" w:hAnsi="宋体" w:eastAsia="宋体" w:cs="宋体"/>
          <w:color w:val="auto"/>
          <w:spacing w:val="-2"/>
          <w:kern w:val="0"/>
          <w:sz w:val="24"/>
          <w:szCs w:val="24"/>
          <w:highlight w:val="none"/>
        </w:rPr>
        <w:t>招标人在踏勘现场中介绍的工程场地和相关的周边环境情况，供投标人在编制投标文</w:t>
      </w:r>
      <w:r>
        <w:rPr>
          <w:rFonts w:ascii="宋体" w:hAnsi="宋体" w:eastAsia="宋体" w:cs="宋体"/>
          <w:color w:val="auto"/>
          <w:spacing w:val="-2"/>
          <w:kern w:val="0"/>
          <w:sz w:val="24"/>
          <w:szCs w:val="24"/>
          <w:highlight w:val="none"/>
        </w:rPr>
        <w:t>件时参考，招标人不对投标人据此作出的判断和决策负责。</w:t>
      </w:r>
    </w:p>
    <w:p w14:paraId="4A326DE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BAFE84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1" w:name="_Toc193357949"/>
      <w:bookmarkStart w:id="52" w:name="_Toc25865"/>
      <w:bookmarkStart w:id="53" w:name="_Toc111186734"/>
      <w:bookmarkStart w:id="54" w:name="_Toc16096"/>
      <w:r>
        <w:rPr>
          <w:rFonts w:ascii="宋体" w:hAnsi="宋体" w:eastAsia="宋体" w:cs="宋体"/>
          <w:b/>
          <w:bCs/>
          <w:color w:val="auto"/>
          <w:spacing w:val="1"/>
          <w:sz w:val="28"/>
          <w:szCs w:val="32"/>
          <w:highlight w:val="none"/>
          <w:lang w:val="zh-CN"/>
        </w:rPr>
        <w:t>1</w:t>
      </w:r>
      <w:r>
        <w:rPr>
          <w:rFonts w:ascii="宋体" w:hAnsi="宋体" w:eastAsia="宋体" w:cs="宋体"/>
          <w:b/>
          <w:bCs/>
          <w:color w:val="auto"/>
          <w:spacing w:val="-1"/>
          <w:sz w:val="28"/>
          <w:szCs w:val="32"/>
          <w:highlight w:val="none"/>
          <w:lang w:val="zh-CN"/>
        </w:rPr>
        <w:t>.1</w:t>
      </w:r>
      <w:r>
        <w:rPr>
          <w:rFonts w:ascii="宋体" w:hAnsi="宋体" w:eastAsia="宋体" w:cs="宋体"/>
          <w:b/>
          <w:bCs/>
          <w:color w:val="auto"/>
          <w:spacing w:val="1"/>
          <w:sz w:val="28"/>
          <w:szCs w:val="32"/>
          <w:highlight w:val="none"/>
          <w:lang w:val="zh-CN"/>
        </w:rPr>
        <w:t>0</w:t>
      </w:r>
      <w:r>
        <w:rPr>
          <w:rFonts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投标预备会</w:t>
      </w:r>
      <w:bookmarkEnd w:id="51"/>
      <w:bookmarkEnd w:id="52"/>
      <w:bookmarkEnd w:id="53"/>
      <w:bookmarkEnd w:id="54"/>
    </w:p>
    <w:p w14:paraId="0451BF9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1.10.1 </w:t>
      </w:r>
      <w:r>
        <w:rPr>
          <w:rFonts w:hint="eastAsia" w:ascii="宋体" w:hAnsi="宋体" w:eastAsia="宋体" w:cs="宋体"/>
          <w:color w:val="auto"/>
          <w:spacing w:val="-2"/>
          <w:kern w:val="0"/>
          <w:sz w:val="24"/>
          <w:szCs w:val="24"/>
          <w:highlight w:val="none"/>
        </w:rPr>
        <w:t>投标人须知前附表规定召开投标预备会的，招标人按投标人须知前附表规定的时间和地点召开投标预备会，澄清投标人提出的问题。</w:t>
      </w:r>
    </w:p>
    <w:p w14:paraId="4F308EA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1.10.2 </w:t>
      </w:r>
      <w:r>
        <w:rPr>
          <w:rFonts w:hint="eastAsia" w:ascii="宋体" w:hAnsi="宋体" w:eastAsia="宋体" w:cs="宋体"/>
          <w:color w:val="auto"/>
          <w:spacing w:val="-2"/>
          <w:kern w:val="0"/>
          <w:sz w:val="24"/>
          <w:szCs w:val="24"/>
          <w:highlight w:val="none"/>
        </w:rPr>
        <w:t>投标人应按投标人须知前附表规定的时间和形式将提出的问题送达招标人，以便招标人在会议期间澄清。</w:t>
      </w:r>
    </w:p>
    <w:p w14:paraId="4AEB269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1.10.3 </w:t>
      </w:r>
      <w:r>
        <w:rPr>
          <w:rFonts w:hint="eastAsia" w:ascii="宋体" w:hAnsi="宋体" w:eastAsia="宋体" w:cs="宋体"/>
          <w:color w:val="auto"/>
          <w:spacing w:val="-2"/>
          <w:kern w:val="0"/>
          <w:sz w:val="24"/>
          <w:szCs w:val="24"/>
          <w:highlight w:val="none"/>
        </w:rPr>
        <w:t>投标预备会后，招标人将对投标人所提问题的澄清，以投标人须知前附表规定的形</w:t>
      </w:r>
      <w:r>
        <w:rPr>
          <w:rFonts w:ascii="宋体" w:hAnsi="宋体" w:eastAsia="宋体" w:cs="宋体"/>
          <w:color w:val="auto"/>
          <w:spacing w:val="-2"/>
          <w:kern w:val="0"/>
          <w:sz w:val="24"/>
          <w:szCs w:val="24"/>
          <w:highlight w:val="none"/>
        </w:rPr>
        <w:t>式通知所有潜在投标人。该澄清内容为招标文件的组成部分。</w:t>
      </w:r>
    </w:p>
    <w:p w14:paraId="3A35744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FB9E14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5" w:name="_Toc6201"/>
      <w:bookmarkStart w:id="56" w:name="_Toc16438"/>
      <w:bookmarkStart w:id="57" w:name="_Toc193357950"/>
      <w:bookmarkStart w:id="58" w:name="_Toc111186735"/>
      <w:r>
        <w:rPr>
          <w:rFonts w:ascii="宋体" w:hAnsi="宋体" w:eastAsia="宋体" w:cs="宋体"/>
          <w:b/>
          <w:bCs/>
          <w:color w:val="auto"/>
          <w:spacing w:val="1"/>
          <w:sz w:val="28"/>
          <w:szCs w:val="32"/>
          <w:highlight w:val="none"/>
          <w:lang w:val="zh-CN"/>
        </w:rPr>
        <w:t>1.</w:t>
      </w:r>
      <w:r>
        <w:rPr>
          <w:rFonts w:ascii="宋体" w:hAnsi="宋体" w:eastAsia="宋体" w:cs="宋体"/>
          <w:b/>
          <w:bCs/>
          <w:color w:val="auto"/>
          <w:spacing w:val="-12"/>
          <w:sz w:val="28"/>
          <w:szCs w:val="32"/>
          <w:highlight w:val="none"/>
          <w:lang w:val="zh-CN"/>
        </w:rPr>
        <w:t>1</w:t>
      </w:r>
      <w:r>
        <w:rPr>
          <w:rFonts w:ascii="宋体" w:hAnsi="宋体" w:eastAsia="宋体" w:cs="宋体"/>
          <w:b/>
          <w:bCs/>
          <w:color w:val="auto"/>
          <w:spacing w:val="1"/>
          <w:sz w:val="28"/>
          <w:szCs w:val="32"/>
          <w:highlight w:val="none"/>
          <w:lang w:val="zh-CN"/>
        </w:rPr>
        <w:t>1</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分包</w:t>
      </w:r>
      <w:bookmarkEnd w:id="55"/>
      <w:bookmarkEnd w:id="56"/>
      <w:bookmarkEnd w:id="57"/>
      <w:bookmarkEnd w:id="58"/>
    </w:p>
    <w:p w14:paraId="7D38724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1.11.1 </w:t>
      </w:r>
      <w:r>
        <w:rPr>
          <w:rFonts w:hint="eastAsia" w:ascii="宋体" w:hAnsi="宋体" w:eastAsia="宋体" w:cs="宋体"/>
          <w:color w:val="auto"/>
          <w:spacing w:val="-2"/>
          <w:kern w:val="0"/>
          <w:sz w:val="24"/>
          <w:szCs w:val="24"/>
          <w:highlight w:val="none"/>
        </w:rPr>
        <w:t>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168041B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1.11.2 </w:t>
      </w:r>
      <w:r>
        <w:rPr>
          <w:rFonts w:hint="eastAsia" w:ascii="宋体" w:hAnsi="宋体" w:eastAsia="宋体" w:cs="宋体"/>
          <w:color w:val="auto"/>
          <w:spacing w:val="-2"/>
          <w:kern w:val="0"/>
          <w:sz w:val="24"/>
          <w:szCs w:val="24"/>
          <w:highlight w:val="none"/>
        </w:rPr>
        <w:t>中标人不得向他人转让中标项目，接受分包的人不得再次分包。中标人应当就分包项目向招标人负责，接受分包的人就分包项目承担连带责任。</w:t>
      </w:r>
    </w:p>
    <w:p w14:paraId="5166BB4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D2ADDB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9" w:name="_Toc111186736"/>
      <w:bookmarkStart w:id="60" w:name="_Toc10229"/>
      <w:bookmarkStart w:id="61" w:name="_Toc193357951"/>
      <w:bookmarkStart w:id="62" w:name="_Toc7105"/>
      <w:r>
        <w:rPr>
          <w:rFonts w:ascii="宋体" w:hAnsi="宋体" w:eastAsia="宋体" w:cs="宋体"/>
          <w:b/>
          <w:bCs/>
          <w:color w:val="auto"/>
          <w:spacing w:val="1"/>
          <w:sz w:val="28"/>
          <w:szCs w:val="32"/>
          <w:highlight w:val="none"/>
          <w:lang w:val="zh-CN"/>
        </w:rPr>
        <w:t>1.</w:t>
      </w:r>
      <w:r>
        <w:rPr>
          <w:rFonts w:ascii="宋体" w:hAnsi="宋体" w:eastAsia="宋体" w:cs="宋体"/>
          <w:b/>
          <w:bCs/>
          <w:color w:val="auto"/>
          <w:spacing w:val="-2"/>
          <w:sz w:val="28"/>
          <w:szCs w:val="32"/>
          <w:highlight w:val="none"/>
          <w:lang w:val="zh-CN"/>
        </w:rPr>
        <w:t>1</w:t>
      </w:r>
      <w:r>
        <w:rPr>
          <w:rFonts w:ascii="宋体" w:hAnsi="宋体" w:eastAsia="宋体" w:cs="宋体"/>
          <w:b/>
          <w:bCs/>
          <w:color w:val="auto"/>
          <w:spacing w:val="1"/>
          <w:sz w:val="28"/>
          <w:szCs w:val="32"/>
          <w:highlight w:val="none"/>
          <w:lang w:val="zh-CN"/>
        </w:rPr>
        <w:t>2</w:t>
      </w:r>
      <w:r>
        <w:rPr>
          <w:rFonts w:ascii="宋体" w:hAnsi="宋体" w:eastAsia="宋体" w:cs="宋体"/>
          <w:b/>
          <w:bCs/>
          <w:color w:val="auto"/>
          <w:spacing w:val="-1"/>
          <w:sz w:val="28"/>
          <w:szCs w:val="32"/>
          <w:highlight w:val="none"/>
          <w:lang w:val="zh-CN"/>
        </w:rPr>
        <w:t xml:space="preserve"> </w:t>
      </w:r>
      <w:r>
        <w:rPr>
          <w:rFonts w:hint="eastAsia" w:ascii="宋体" w:hAnsi="宋体" w:eastAsia="宋体" w:cs="宋体"/>
          <w:b/>
          <w:bCs/>
          <w:color w:val="auto"/>
          <w:spacing w:val="1"/>
          <w:sz w:val="28"/>
          <w:szCs w:val="32"/>
          <w:highlight w:val="none"/>
          <w:lang w:val="zh-CN"/>
        </w:rPr>
        <w:t>响应和偏差</w:t>
      </w:r>
      <w:bookmarkEnd w:id="59"/>
      <w:bookmarkEnd w:id="60"/>
      <w:bookmarkEnd w:id="61"/>
      <w:bookmarkEnd w:id="62"/>
    </w:p>
    <w:p w14:paraId="5518853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1.12.1 </w:t>
      </w:r>
      <w:r>
        <w:rPr>
          <w:rFonts w:hint="eastAsia" w:ascii="宋体" w:hAnsi="宋体" w:eastAsia="宋体" w:cs="宋体"/>
          <w:color w:val="auto"/>
          <w:spacing w:val="-2"/>
          <w:kern w:val="0"/>
          <w:sz w:val="24"/>
          <w:szCs w:val="24"/>
          <w:highlight w:val="none"/>
        </w:rPr>
        <w:t>投标文件应当对招标文件的实质性要求和条件作出满足性或更有利于招标人的响应，否则，投标人的投标将被否决。实质性要求和条件见投标人须知前附表。</w:t>
      </w:r>
    </w:p>
    <w:p w14:paraId="28BB7D3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1.12.2 </w:t>
      </w:r>
      <w:r>
        <w:rPr>
          <w:rFonts w:hint="eastAsia" w:ascii="宋体" w:hAnsi="宋体" w:eastAsia="宋体" w:cs="宋体"/>
          <w:color w:val="auto"/>
          <w:spacing w:val="-2"/>
          <w:kern w:val="0"/>
          <w:sz w:val="24"/>
          <w:szCs w:val="24"/>
          <w:highlight w:val="none"/>
        </w:rPr>
        <w:t>投标人应根据招标文件的要求提供投标勘察设计方案等内容以对招标文件作出响应。</w:t>
      </w:r>
    </w:p>
    <w:p w14:paraId="74F457F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1.12.3 </w:t>
      </w:r>
      <w:r>
        <w:rPr>
          <w:rFonts w:hint="eastAsia" w:ascii="宋体" w:hAnsi="宋体" w:eastAsia="宋体" w:cs="宋体"/>
          <w:color w:val="auto"/>
          <w:spacing w:val="-2"/>
          <w:kern w:val="0"/>
          <w:sz w:val="24"/>
          <w:szCs w:val="24"/>
          <w:highlight w:val="none"/>
        </w:rPr>
        <w:t>投标人须知前附表允许投标文件偏离招标文件某些要求的，偏差应当符合招标文件规定的偏差范围和幅度。</w:t>
      </w:r>
    </w:p>
    <w:p w14:paraId="5CDF422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BFA68AC">
      <w:pPr>
        <w:keepNext/>
        <w:keepLines/>
        <w:wordWrap w:val="0"/>
        <w:spacing w:line="360" w:lineRule="auto"/>
        <w:outlineLvl w:val="1"/>
        <w:rPr>
          <w:rFonts w:ascii="宋体" w:hAnsi="宋体" w:eastAsia="宋体" w:cs="宋体"/>
          <w:b/>
          <w:bCs/>
          <w:color w:val="auto"/>
          <w:kern w:val="0"/>
          <w:sz w:val="24"/>
          <w:szCs w:val="30"/>
          <w:highlight w:val="none"/>
          <w:lang w:val="zh-CN"/>
        </w:rPr>
      </w:pPr>
      <w:bookmarkStart w:id="63" w:name="_Toc111186737"/>
      <w:bookmarkStart w:id="64" w:name="_Toc22370"/>
      <w:bookmarkStart w:id="65" w:name="_Toc193357952"/>
      <w:bookmarkStart w:id="66" w:name="_Toc13970"/>
      <w:r>
        <w:rPr>
          <w:rFonts w:ascii="宋体" w:hAnsi="宋体" w:eastAsia="宋体" w:cs="宋体"/>
          <w:b/>
          <w:bCs/>
          <w:color w:val="auto"/>
          <w:kern w:val="0"/>
          <w:sz w:val="30"/>
          <w:szCs w:val="30"/>
          <w:highlight w:val="none"/>
          <w:lang w:val="zh-CN"/>
        </w:rPr>
        <w:t>2.</w:t>
      </w:r>
      <w:r>
        <w:rPr>
          <w:rFonts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招标文件</w:t>
      </w:r>
      <w:bookmarkEnd w:id="63"/>
      <w:bookmarkEnd w:id="64"/>
      <w:bookmarkEnd w:id="65"/>
      <w:bookmarkEnd w:id="66"/>
    </w:p>
    <w:p w14:paraId="508E94C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7" w:name="_Toc193357953"/>
      <w:bookmarkStart w:id="68" w:name="_Toc111186738"/>
      <w:bookmarkStart w:id="69" w:name="_Toc16339"/>
      <w:bookmarkStart w:id="70" w:name="_Toc22346"/>
      <w:r>
        <w:rPr>
          <w:rFonts w:ascii="宋体" w:hAnsi="宋体" w:eastAsia="宋体" w:cs="宋体"/>
          <w:b/>
          <w:bCs/>
          <w:color w:val="auto"/>
          <w:spacing w:val="1"/>
          <w:sz w:val="28"/>
          <w:szCs w:val="32"/>
          <w:highlight w:val="none"/>
          <w:lang w:val="zh-CN"/>
        </w:rPr>
        <w:t>2.1</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67"/>
      <w:bookmarkEnd w:id="68"/>
      <w:bookmarkEnd w:id="69"/>
      <w:bookmarkEnd w:id="70"/>
    </w:p>
    <w:p w14:paraId="08ED9D2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本招标文件包括：</w:t>
      </w:r>
    </w:p>
    <w:p w14:paraId="1EB2063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1）招标公告；</w:t>
      </w:r>
    </w:p>
    <w:p w14:paraId="2EA4E57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2）投标人须知；</w:t>
      </w:r>
    </w:p>
    <w:p w14:paraId="0703C14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3）评标办法；</w:t>
      </w:r>
    </w:p>
    <w:p w14:paraId="361A795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4）合同条款及格式；</w:t>
      </w:r>
    </w:p>
    <w:p w14:paraId="30AEC3F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5）</w:t>
      </w:r>
      <w:r>
        <w:rPr>
          <w:rFonts w:hint="eastAsia" w:ascii="宋体" w:hAnsi="宋体" w:eastAsia="宋体" w:cs="宋体"/>
          <w:color w:val="auto"/>
          <w:spacing w:val="-2"/>
          <w:kern w:val="0"/>
          <w:sz w:val="24"/>
          <w:szCs w:val="24"/>
          <w:highlight w:val="none"/>
        </w:rPr>
        <w:t>发包人要求；</w:t>
      </w:r>
    </w:p>
    <w:p w14:paraId="3B9FE89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6）投标文件格式；</w:t>
      </w:r>
    </w:p>
    <w:p w14:paraId="00ABB6B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ascii="宋体" w:hAnsi="宋体" w:eastAsia="宋体" w:cs="宋体"/>
          <w:color w:val="auto"/>
          <w:spacing w:val="-2"/>
          <w:kern w:val="0"/>
          <w:sz w:val="24"/>
          <w:szCs w:val="24"/>
          <w:highlight w:val="none"/>
        </w:rPr>
        <w:t>7）投标人须知前附表规定的其他资料。</w:t>
      </w:r>
    </w:p>
    <w:p w14:paraId="568E331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根据本章第</w:t>
      </w:r>
      <w:r>
        <w:rPr>
          <w:rFonts w:ascii="宋体" w:hAnsi="宋体" w:eastAsia="宋体" w:cs="宋体"/>
          <w:color w:val="auto"/>
          <w:spacing w:val="-2"/>
          <w:kern w:val="0"/>
          <w:sz w:val="24"/>
          <w:szCs w:val="24"/>
          <w:highlight w:val="none"/>
        </w:rPr>
        <w:t>1.10款、第2.2款和第2.3款对招标文件所作的澄清、修改，构成招标文件的组成部分。</w:t>
      </w:r>
    </w:p>
    <w:p w14:paraId="284C0A8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83C88F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1" w:name="_Toc193357954"/>
      <w:bookmarkStart w:id="72" w:name="_Toc9843"/>
      <w:bookmarkStart w:id="73" w:name="_Toc111186739"/>
      <w:bookmarkStart w:id="74" w:name="_Toc31014"/>
      <w:r>
        <w:rPr>
          <w:rFonts w:ascii="宋体" w:hAnsi="宋体" w:eastAsia="宋体" w:cs="宋体"/>
          <w:b/>
          <w:bCs/>
          <w:color w:val="auto"/>
          <w:spacing w:val="1"/>
          <w:sz w:val="28"/>
          <w:szCs w:val="32"/>
          <w:highlight w:val="none"/>
          <w:lang w:val="zh-CN"/>
        </w:rPr>
        <w:t>2.2</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bookmarkEnd w:id="71"/>
      <w:bookmarkEnd w:id="72"/>
      <w:bookmarkEnd w:id="73"/>
      <w:r>
        <w:rPr>
          <w:rFonts w:hint="eastAsia" w:ascii="宋体" w:hAnsi="宋体" w:eastAsia="宋体" w:cs="宋体"/>
          <w:b/>
          <w:bCs/>
          <w:color w:val="auto"/>
          <w:spacing w:val="1"/>
          <w:sz w:val="28"/>
          <w:szCs w:val="32"/>
          <w:highlight w:val="none"/>
          <w:lang w:val="zh-CN"/>
        </w:rPr>
        <w:t>答疑</w:t>
      </w:r>
      <w:bookmarkEnd w:id="74"/>
    </w:p>
    <w:p w14:paraId="3290C5C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2.2.1 </w:t>
      </w:r>
      <w:r>
        <w:rPr>
          <w:rFonts w:hint="eastAsia" w:ascii="宋体" w:hAnsi="宋体" w:eastAsia="宋体" w:cs="宋体"/>
          <w:color w:val="auto"/>
          <w:spacing w:val="-2"/>
          <w:kern w:val="0"/>
          <w:sz w:val="24"/>
          <w:szCs w:val="24"/>
          <w:highlight w:val="none"/>
        </w:rPr>
        <w:t>投标人应仔细阅读和检查招标文件的全部内容。如有疑问，应按投标人须知前附表规定的时间和形式将提出的问题送达招标人，要求招标人对招标文件予以澄清。</w:t>
      </w:r>
    </w:p>
    <w:p w14:paraId="76FFD62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2.2.2 </w:t>
      </w:r>
      <w:r>
        <w:rPr>
          <w:rFonts w:hint="eastAsia" w:ascii="宋体" w:hAnsi="宋体" w:eastAsia="宋体" w:cs="宋体"/>
          <w:color w:val="auto"/>
          <w:spacing w:val="-2"/>
          <w:kern w:val="0"/>
          <w:sz w:val="24"/>
          <w:szCs w:val="24"/>
          <w:highlight w:val="none"/>
        </w:rPr>
        <w:t>招标答疑采用网上答疑方式进行。投标人若对招标文件有疑问的，通过</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网站提交，应按照</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网站关于全流程电子化项目的相关指南进行操作。提问一律不得署名。</w:t>
      </w:r>
    </w:p>
    <w:p w14:paraId="7B24627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2.2.3 </w:t>
      </w:r>
      <w:r>
        <w:rPr>
          <w:rFonts w:hint="eastAsia" w:ascii="宋体" w:hAnsi="宋体" w:eastAsia="宋体" w:cs="宋体"/>
          <w:color w:val="auto"/>
          <w:spacing w:val="-2"/>
          <w:kern w:val="0"/>
          <w:sz w:val="24"/>
          <w:szCs w:val="24"/>
          <w:highlight w:val="none"/>
        </w:rPr>
        <w:t>招标答疑会会议纪要将在提交投标文件截止时间</w:t>
      </w:r>
      <w:r>
        <w:rPr>
          <w:rFonts w:ascii="宋体" w:hAnsi="宋体" w:eastAsia="宋体" w:cs="宋体"/>
          <w:color w:val="auto"/>
          <w:spacing w:val="-2"/>
          <w:kern w:val="0"/>
          <w:sz w:val="24"/>
          <w:szCs w:val="24"/>
          <w:highlight w:val="none"/>
        </w:rPr>
        <w:t xml:space="preserve"> 15 日前在</w:t>
      </w:r>
      <w:r>
        <w:rPr>
          <w:rFonts w:ascii="宋体" w:hAnsi="宋体" w:eastAsia="宋体" w:cs="宋体"/>
          <w:color w:val="auto"/>
          <w:spacing w:val="-2"/>
          <w:kern w:val="0"/>
          <w:sz w:val="24"/>
          <w:szCs w:val="24"/>
          <w:highlight w:val="none"/>
          <w:u w:val="single"/>
        </w:rPr>
        <w:t>广州交易集团有限公司（广州公共资源交易中心）</w:t>
      </w:r>
      <w:r>
        <w:rPr>
          <w:rFonts w:ascii="宋体" w:hAnsi="宋体" w:eastAsia="宋体" w:cs="宋体"/>
          <w:color w:val="auto"/>
          <w:spacing w:val="-2"/>
          <w:kern w:val="0"/>
          <w:sz w:val="24"/>
          <w:szCs w:val="24"/>
          <w:highlight w:val="none"/>
        </w:rPr>
        <w:t>网站“项目答疑纪要”专区公开发布。答疑纪要一经在</w:t>
      </w:r>
      <w:r>
        <w:rPr>
          <w:rFonts w:ascii="宋体" w:hAnsi="宋体" w:eastAsia="宋体" w:cs="宋体"/>
          <w:color w:val="auto"/>
          <w:spacing w:val="-2"/>
          <w:kern w:val="0"/>
          <w:sz w:val="24"/>
          <w:szCs w:val="24"/>
          <w:highlight w:val="none"/>
          <w:u w:val="single"/>
        </w:rPr>
        <w:t>广州交易集团有限公司（广州公共资源交易中心）</w:t>
      </w:r>
      <w:r>
        <w:rPr>
          <w:rFonts w:ascii="宋体" w:hAnsi="宋体" w:eastAsia="宋体" w:cs="宋体"/>
          <w:color w:val="auto"/>
          <w:spacing w:val="-2"/>
          <w:kern w:val="0"/>
          <w:sz w:val="24"/>
          <w:szCs w:val="24"/>
          <w:highlight w:val="none"/>
        </w:rPr>
        <w:t>网站发布，视作已发放给所有投标人。</w:t>
      </w:r>
    </w:p>
    <w:p w14:paraId="382B92F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2.2.4 </w:t>
      </w:r>
      <w:r>
        <w:rPr>
          <w:rFonts w:hint="eastAsia" w:ascii="宋体" w:hAnsi="宋体" w:eastAsia="宋体" w:cs="宋体"/>
          <w:color w:val="auto"/>
          <w:spacing w:val="-2"/>
          <w:kern w:val="0"/>
          <w:sz w:val="24"/>
          <w:szCs w:val="24"/>
          <w:highlight w:val="none"/>
        </w:rPr>
        <w:t>招标答疑会会议纪要是招标文件的组成部分，对投标人起约束作用。</w:t>
      </w:r>
    </w:p>
    <w:p w14:paraId="5A9850C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2.2.5 </w:t>
      </w:r>
      <w:r>
        <w:rPr>
          <w:rFonts w:hint="eastAsia" w:ascii="宋体" w:hAnsi="宋体" w:eastAsia="宋体" w:cs="宋体"/>
          <w:color w:val="auto"/>
          <w:spacing w:val="-2"/>
          <w:kern w:val="0"/>
          <w:sz w:val="24"/>
          <w:szCs w:val="24"/>
          <w:highlight w:val="none"/>
        </w:rPr>
        <w:t>若招标答疑会会议纪要与招标文件有矛盾时，以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14:paraId="669FE67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1F58CF87">
      <w:pPr>
        <w:keepNext/>
        <w:keepLines/>
        <w:wordWrap w:val="0"/>
        <w:spacing w:before="260" w:line="416" w:lineRule="auto"/>
        <w:outlineLvl w:val="2"/>
        <w:rPr>
          <w:rFonts w:ascii="宋体" w:hAnsi="宋体" w:eastAsia="宋体" w:cs="宋体"/>
          <w:b/>
          <w:bCs/>
          <w:color w:val="auto"/>
          <w:spacing w:val="1"/>
          <w:kern w:val="0"/>
          <w:sz w:val="28"/>
          <w:szCs w:val="28"/>
          <w:highlight w:val="none"/>
          <w:lang w:val="zh-CN"/>
        </w:rPr>
      </w:pPr>
      <w:bookmarkStart w:id="75" w:name="_Toc26456"/>
      <w:bookmarkStart w:id="76" w:name="_Toc8197"/>
      <w:bookmarkStart w:id="77" w:name="_Toc193357955"/>
      <w:bookmarkStart w:id="78" w:name="_Toc111186740"/>
      <w:r>
        <w:rPr>
          <w:rFonts w:ascii="宋体" w:hAnsi="宋体" w:eastAsia="宋体" w:cs="宋体"/>
          <w:b/>
          <w:bCs/>
          <w:color w:val="auto"/>
          <w:spacing w:val="1"/>
          <w:sz w:val="28"/>
          <w:szCs w:val="32"/>
          <w:highlight w:val="none"/>
          <w:lang w:val="zh-CN"/>
        </w:rPr>
        <w:t xml:space="preserve">2.3 </w:t>
      </w:r>
      <w:r>
        <w:rPr>
          <w:rFonts w:hint="eastAsia" w:ascii="宋体" w:hAnsi="宋体" w:eastAsia="宋体" w:cs="宋体"/>
          <w:b/>
          <w:bCs/>
          <w:color w:val="auto"/>
          <w:spacing w:val="1"/>
          <w:sz w:val="28"/>
          <w:szCs w:val="32"/>
          <w:highlight w:val="none"/>
          <w:lang w:val="zh-CN"/>
        </w:rPr>
        <w:t>招标文件的澄清与修改</w:t>
      </w:r>
      <w:bookmarkEnd w:id="75"/>
      <w:bookmarkEnd w:id="76"/>
      <w:bookmarkEnd w:id="77"/>
      <w:bookmarkEnd w:id="78"/>
    </w:p>
    <w:p w14:paraId="7730747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2.3.1 </w:t>
      </w:r>
      <w:r>
        <w:rPr>
          <w:rFonts w:hint="eastAsia" w:ascii="宋体" w:hAnsi="宋体" w:eastAsia="宋体" w:cs="宋体"/>
          <w:color w:val="auto"/>
          <w:spacing w:val="-2"/>
          <w:kern w:val="0"/>
          <w:sz w:val="24"/>
          <w:szCs w:val="24"/>
          <w:highlight w:val="none"/>
        </w:rPr>
        <w:t>招标文件发出后，在提交投标文件截止时间</w:t>
      </w:r>
      <w:r>
        <w:rPr>
          <w:rFonts w:ascii="宋体" w:hAnsi="宋体" w:eastAsia="宋体" w:cs="宋体"/>
          <w:color w:val="auto"/>
          <w:spacing w:val="-2"/>
          <w:kern w:val="0"/>
          <w:sz w:val="24"/>
          <w:szCs w:val="24"/>
          <w:highlight w:val="none"/>
        </w:rPr>
        <w:t>15日前，招标人可对招标文件进行必要的澄清或修改。</w:t>
      </w:r>
    </w:p>
    <w:p w14:paraId="18F1E4D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2.3.2 </w:t>
      </w:r>
      <w:r>
        <w:rPr>
          <w:rFonts w:hint="eastAsia" w:ascii="宋体" w:hAnsi="宋体" w:eastAsia="宋体" w:cs="宋体"/>
          <w:color w:val="auto"/>
          <w:spacing w:val="-2"/>
          <w:kern w:val="0"/>
          <w:sz w:val="24"/>
          <w:szCs w:val="24"/>
          <w:highlight w:val="none"/>
        </w:rPr>
        <w:t>招标文件的澄清或修改将在广州交易集团有限公司（广州公共资源交易中心）网站“项目答疑纪要”专区公开发布。招标文件的澄清或修改一经在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网站发布时间作为送达时间。</w:t>
      </w:r>
    </w:p>
    <w:p w14:paraId="12E592B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2.3.3 </w:t>
      </w:r>
      <w:r>
        <w:rPr>
          <w:rFonts w:hint="eastAsia" w:ascii="宋体" w:hAnsi="宋体" w:eastAsia="宋体" w:cs="宋体"/>
          <w:color w:val="auto"/>
          <w:spacing w:val="-2"/>
          <w:kern w:val="0"/>
          <w:sz w:val="24"/>
          <w:szCs w:val="24"/>
          <w:highlight w:val="none"/>
        </w:rPr>
        <w:t>招标文件的澄清或修改是招标文件的组成部分，对投标人起约束作用。</w:t>
      </w:r>
    </w:p>
    <w:p w14:paraId="0C3ADC5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2.3.4 </w:t>
      </w:r>
      <w:r>
        <w:rPr>
          <w:rFonts w:hint="eastAsia" w:ascii="宋体" w:hAnsi="宋体" w:eastAsia="宋体" w:cs="宋体"/>
          <w:color w:val="auto"/>
          <w:spacing w:val="-2"/>
          <w:kern w:val="0"/>
          <w:sz w:val="24"/>
          <w:szCs w:val="24"/>
          <w:highlight w:val="none"/>
        </w:rPr>
        <w:t>招标文件的澄清或修改均以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网站发布的内容为准。当招标文件的澄清、修改、补充等在同一内容的表述不一致时，以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网站最后发布的内容为准。</w:t>
      </w:r>
    </w:p>
    <w:p w14:paraId="79490DD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ascii="宋体" w:hAnsi="宋体" w:eastAsia="宋体" w:cs="宋体"/>
          <w:color w:val="auto"/>
          <w:spacing w:val="-2"/>
          <w:kern w:val="0"/>
          <w:sz w:val="24"/>
          <w:szCs w:val="24"/>
          <w:highlight w:val="none"/>
        </w:rPr>
        <w:t xml:space="preserve">2.3.5 </w:t>
      </w:r>
      <w:r>
        <w:rPr>
          <w:rFonts w:hint="eastAsia" w:ascii="宋体" w:hAnsi="宋体" w:eastAsia="宋体" w:cs="宋体"/>
          <w:color w:val="auto"/>
          <w:spacing w:val="-2"/>
          <w:kern w:val="0"/>
          <w:sz w:val="24"/>
          <w:szCs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2A5748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073731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9" w:name="_Toc16885"/>
      <w:bookmarkStart w:id="80" w:name="_Toc193357956"/>
      <w:bookmarkStart w:id="81" w:name="_Toc111186741"/>
      <w:bookmarkStart w:id="82" w:name="_Toc17179"/>
      <w:r>
        <w:rPr>
          <w:rFonts w:ascii="宋体" w:hAnsi="宋体" w:eastAsia="宋体" w:cs="宋体"/>
          <w:b/>
          <w:bCs/>
          <w:color w:val="auto"/>
          <w:spacing w:val="1"/>
          <w:sz w:val="28"/>
          <w:szCs w:val="32"/>
          <w:highlight w:val="none"/>
          <w:lang w:val="zh-CN"/>
        </w:rPr>
        <w:t>2.4</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异议</w:t>
      </w:r>
      <w:bookmarkEnd w:id="79"/>
      <w:bookmarkEnd w:id="80"/>
      <w:bookmarkEnd w:id="81"/>
      <w:bookmarkEnd w:id="82"/>
    </w:p>
    <w:p w14:paraId="08125D3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投标人或者其他利害关系人对招标文件有异议的，应当在投标截止时间</w:t>
      </w:r>
      <w:r>
        <w:rPr>
          <w:rFonts w:ascii="宋体" w:hAnsi="宋体" w:eastAsia="宋体" w:cs="宋体"/>
          <w:color w:val="auto"/>
          <w:spacing w:val="-2"/>
          <w:kern w:val="0"/>
          <w:sz w:val="24"/>
          <w:szCs w:val="24"/>
          <w:highlight w:val="none"/>
        </w:rPr>
        <w:t>10日前以书面形式提出。招标人将在收到异议之日起3日内</w:t>
      </w:r>
      <w:r>
        <w:rPr>
          <w:rFonts w:hint="eastAsia" w:ascii="宋体" w:hAnsi="宋体" w:eastAsia="宋体" w:cs="宋体"/>
          <w:color w:val="auto"/>
          <w:spacing w:val="-2"/>
          <w:kern w:val="0"/>
          <w:sz w:val="24"/>
          <w:szCs w:val="24"/>
          <w:highlight w:val="none"/>
        </w:rPr>
        <w:t>作出答复；作出答复前，将暂停招标投标活动。</w:t>
      </w:r>
    </w:p>
    <w:p w14:paraId="438E27F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FA04902">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83" w:name="_Toc193357957"/>
      <w:bookmarkStart w:id="84" w:name="_Toc7081"/>
      <w:bookmarkStart w:id="85" w:name="_Toc111186742"/>
      <w:bookmarkStart w:id="86" w:name="_Toc10096"/>
      <w:r>
        <w:rPr>
          <w:rFonts w:ascii="宋体" w:hAnsi="宋体" w:eastAsia="宋体" w:cs="宋体"/>
          <w:b/>
          <w:bCs/>
          <w:color w:val="auto"/>
          <w:kern w:val="0"/>
          <w:sz w:val="30"/>
          <w:szCs w:val="30"/>
          <w:highlight w:val="none"/>
          <w:lang w:val="zh-CN"/>
        </w:rPr>
        <w:t>3.</w:t>
      </w:r>
      <w:r>
        <w:rPr>
          <w:rFonts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投标文件</w:t>
      </w:r>
      <w:bookmarkEnd w:id="83"/>
      <w:bookmarkEnd w:id="84"/>
      <w:bookmarkEnd w:id="85"/>
      <w:bookmarkEnd w:id="86"/>
    </w:p>
    <w:p w14:paraId="031DAB7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7" w:name="_Toc193357958"/>
      <w:bookmarkStart w:id="88" w:name="_Toc14590"/>
      <w:bookmarkStart w:id="89" w:name="_Toc111186743"/>
      <w:bookmarkStart w:id="90" w:name="_Toc10296"/>
      <w:r>
        <w:rPr>
          <w:rFonts w:ascii="宋体" w:hAnsi="宋体" w:eastAsia="宋体" w:cs="宋体"/>
          <w:b/>
          <w:bCs/>
          <w:color w:val="auto"/>
          <w:spacing w:val="1"/>
          <w:sz w:val="28"/>
          <w:szCs w:val="32"/>
          <w:highlight w:val="none"/>
          <w:lang w:val="zh-CN"/>
        </w:rPr>
        <w:t>3.1</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87"/>
      <w:bookmarkEnd w:id="88"/>
      <w:bookmarkEnd w:id="89"/>
      <w:r>
        <w:rPr>
          <w:rFonts w:hint="eastAsia" w:ascii="宋体" w:hAnsi="宋体" w:eastAsia="宋体" w:cs="宋体"/>
          <w:b/>
          <w:bCs/>
          <w:color w:val="auto"/>
          <w:spacing w:val="1"/>
          <w:sz w:val="28"/>
          <w:szCs w:val="32"/>
          <w:highlight w:val="none"/>
          <w:lang w:val="zh-CN"/>
        </w:rPr>
        <w:t>（适用于暗标形式）</w:t>
      </w:r>
      <w:bookmarkEnd w:id="90"/>
    </w:p>
    <w:p w14:paraId="1D20C97B">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3.1.1 </w:t>
      </w:r>
      <w:r>
        <w:rPr>
          <w:rFonts w:hint="eastAsia" w:ascii="宋体" w:hAnsi="宋体" w:eastAsia="宋体" w:cs="宋体"/>
          <w:color w:val="auto"/>
          <w:sz w:val="24"/>
          <w:szCs w:val="24"/>
          <w:highlight w:val="none"/>
        </w:rPr>
        <w:t>商务文件（含资格审查文件）由下列资料组成：</w:t>
      </w:r>
    </w:p>
    <w:p w14:paraId="2A00C75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1）投标函及投标函附录；</w:t>
      </w:r>
    </w:p>
    <w:p w14:paraId="7AED638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2）法定代表人身份证明或附有法定代表人身份证明的授权委托书；</w:t>
      </w:r>
    </w:p>
    <w:p w14:paraId="000FE79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3）联合体协议书；</w:t>
      </w:r>
    </w:p>
    <w:p w14:paraId="7D356D7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4）投标保证金；</w:t>
      </w:r>
    </w:p>
    <w:p w14:paraId="05B4681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5）勘察设计费报价表；</w:t>
      </w:r>
    </w:p>
    <w:p w14:paraId="750ADC8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6）资格审查资料</w:t>
      </w:r>
      <w:r>
        <w:rPr>
          <w:rFonts w:hint="eastAsia" w:ascii="宋体" w:hAnsi="宋体" w:eastAsia="宋体" w:cs="宋体"/>
          <w:color w:val="auto"/>
          <w:sz w:val="24"/>
          <w:szCs w:val="24"/>
          <w:highlight w:val="none"/>
        </w:rPr>
        <w:t>；</w:t>
      </w:r>
    </w:p>
    <w:p w14:paraId="7782DC0B">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7）投标人须知前附表规定的其他资料。</w:t>
      </w:r>
    </w:p>
    <w:p w14:paraId="407F6501">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3.1.2 </w:t>
      </w:r>
      <w:r>
        <w:rPr>
          <w:rFonts w:hint="eastAsia" w:ascii="宋体" w:hAnsi="宋体" w:eastAsia="宋体" w:cs="宋体"/>
          <w:color w:val="auto"/>
          <w:sz w:val="24"/>
          <w:szCs w:val="24"/>
          <w:highlight w:val="none"/>
        </w:rPr>
        <w:t>技术文件：</w:t>
      </w:r>
    </w:p>
    <w:p w14:paraId="7252A7A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073E67B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3.1.3 </w:t>
      </w:r>
      <w:r>
        <w:rPr>
          <w:rFonts w:hint="eastAsia" w:ascii="宋体" w:hAnsi="宋体" w:eastAsia="宋体" w:cs="宋体"/>
          <w:color w:val="auto"/>
          <w:sz w:val="24"/>
          <w:szCs w:val="24"/>
          <w:highlight w:val="none"/>
        </w:rPr>
        <w:t>保密要求</w:t>
      </w:r>
    </w:p>
    <w:p w14:paraId="6D6AFFC5">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3CE3078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CA398B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1" w:name="_Toc111186744"/>
      <w:bookmarkStart w:id="92" w:name="_Toc26290"/>
      <w:bookmarkStart w:id="93" w:name="_Toc193357959"/>
      <w:bookmarkStart w:id="94" w:name="_Toc7847"/>
      <w:r>
        <w:rPr>
          <w:rFonts w:ascii="宋体" w:hAnsi="宋体" w:eastAsia="宋体" w:cs="宋体"/>
          <w:b/>
          <w:bCs/>
          <w:color w:val="auto"/>
          <w:spacing w:val="1"/>
          <w:sz w:val="28"/>
          <w:szCs w:val="32"/>
          <w:highlight w:val="none"/>
          <w:lang w:val="zh-CN"/>
        </w:rPr>
        <w:t>3.2</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投标报价</w:t>
      </w:r>
      <w:bookmarkEnd w:id="91"/>
      <w:bookmarkEnd w:id="92"/>
      <w:bookmarkEnd w:id="93"/>
      <w:bookmarkEnd w:id="94"/>
    </w:p>
    <w:p w14:paraId="585B8D1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3.2.1 </w:t>
      </w:r>
      <w:r>
        <w:rPr>
          <w:rFonts w:hint="eastAsia" w:ascii="宋体" w:hAnsi="宋体" w:eastAsia="宋体"/>
          <w:color w:val="auto"/>
          <w:sz w:val="24"/>
          <w:szCs w:val="24"/>
          <w:highlight w:val="none"/>
        </w:rPr>
        <w:t>投标报价应包括国家规定的增值税税金，除投标人须知前附表另有规定外，增值税税金按一般计税方法计算。投标人应按第六章“投标文件格式”的要求在投标函中进行报价并填写设计费用清单。</w:t>
      </w:r>
    </w:p>
    <w:p w14:paraId="4B3F844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3.2.2 </w:t>
      </w:r>
      <w:r>
        <w:rPr>
          <w:rFonts w:hint="eastAsia" w:ascii="宋体" w:hAnsi="宋体" w:eastAsia="宋体"/>
          <w:color w:val="auto"/>
          <w:sz w:val="24"/>
          <w:szCs w:val="24"/>
          <w:highlight w:val="none"/>
        </w:rPr>
        <w:t>投标人应充分了解该项目的总体情况以及影响投标报价的其他要素。</w:t>
      </w:r>
    </w:p>
    <w:p w14:paraId="5EC1FC4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3.2.3 </w:t>
      </w:r>
      <w:r>
        <w:rPr>
          <w:rFonts w:hint="eastAsia" w:ascii="宋体" w:hAnsi="宋体" w:eastAsia="宋体"/>
          <w:color w:val="auto"/>
          <w:sz w:val="24"/>
          <w:szCs w:val="24"/>
          <w:highlight w:val="none"/>
        </w:rPr>
        <w:t>本项目的报价方式见投标人须知前附表。投标人在投标截止时间前修改投标函中的投标报价总额，应同时修改投标文件“勘察设计费报价表”中的相应报价。此修改须符合本章第</w:t>
      </w:r>
      <w:r>
        <w:rPr>
          <w:rFonts w:ascii="宋体" w:hAnsi="宋体" w:eastAsia="宋体"/>
          <w:color w:val="auto"/>
          <w:sz w:val="24"/>
          <w:szCs w:val="24"/>
          <w:highlight w:val="none"/>
        </w:rPr>
        <w:t>4.3款的有关要求。</w:t>
      </w:r>
    </w:p>
    <w:p w14:paraId="52F8B00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3.2.4 </w:t>
      </w:r>
      <w:r>
        <w:rPr>
          <w:rFonts w:hint="eastAsia" w:ascii="宋体" w:hAnsi="宋体" w:eastAsia="宋体"/>
          <w:color w:val="auto"/>
          <w:sz w:val="24"/>
          <w:szCs w:val="24"/>
          <w:highlight w:val="none"/>
        </w:rPr>
        <w:t>投标报价不符合国家颁布的勘察设计取费标准，或者低于成本，设有最高投标限价的，投标人的投标报价不得超过最高投标限价，最高投标限价在投标人须知前附表中载明。</w:t>
      </w:r>
    </w:p>
    <w:p w14:paraId="307CB238">
      <w:pPr>
        <w:spacing w:line="360" w:lineRule="auto"/>
        <w:ind w:firstLine="480" w:firstLineChars="200"/>
        <w:rPr>
          <w:rFonts w:ascii="宋体" w:hAnsi="宋体" w:eastAsia="宋体" w:cs="宋体"/>
          <w:color w:val="auto"/>
          <w:kern w:val="0"/>
          <w:sz w:val="24"/>
          <w:szCs w:val="24"/>
          <w:highlight w:val="none"/>
        </w:rPr>
      </w:pPr>
      <w:r>
        <w:rPr>
          <w:rFonts w:ascii="宋体" w:hAnsi="宋体" w:eastAsia="宋体"/>
          <w:color w:val="auto"/>
          <w:sz w:val="24"/>
          <w:szCs w:val="24"/>
          <w:highlight w:val="none"/>
        </w:rPr>
        <w:t xml:space="preserve">3.2.5 </w:t>
      </w:r>
      <w:r>
        <w:rPr>
          <w:rFonts w:hint="eastAsia" w:ascii="宋体" w:hAnsi="宋体" w:eastAsia="宋体"/>
          <w:color w:val="auto"/>
          <w:sz w:val="24"/>
          <w:szCs w:val="24"/>
          <w:highlight w:val="none"/>
        </w:rPr>
        <w:t>投标报价的其他要求见投标人须知前附表。</w:t>
      </w:r>
    </w:p>
    <w:p w14:paraId="3ACDD59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58844D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5" w:name="_Toc111186745"/>
      <w:bookmarkStart w:id="96" w:name="_Toc193357960"/>
      <w:bookmarkStart w:id="97" w:name="_Toc27572"/>
      <w:bookmarkStart w:id="98" w:name="_Toc7276"/>
      <w:r>
        <w:rPr>
          <w:rFonts w:ascii="宋体" w:hAnsi="宋体" w:eastAsia="宋体" w:cs="宋体"/>
          <w:b/>
          <w:bCs/>
          <w:color w:val="auto"/>
          <w:spacing w:val="1"/>
          <w:sz w:val="28"/>
          <w:szCs w:val="32"/>
          <w:highlight w:val="none"/>
          <w:lang w:val="zh-CN"/>
        </w:rPr>
        <w:t>3.3</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投标有效期</w:t>
      </w:r>
      <w:bookmarkEnd w:id="95"/>
      <w:bookmarkEnd w:id="96"/>
      <w:bookmarkEnd w:id="97"/>
      <w:bookmarkEnd w:id="98"/>
    </w:p>
    <w:p w14:paraId="63CFDD9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3.3.1 </w:t>
      </w:r>
      <w:r>
        <w:rPr>
          <w:rFonts w:hint="eastAsia" w:ascii="宋体" w:hAnsi="宋体" w:eastAsia="宋体" w:cs="宋体"/>
          <w:color w:val="auto"/>
          <w:kern w:val="0"/>
          <w:sz w:val="24"/>
          <w:szCs w:val="24"/>
          <w:highlight w:val="none"/>
        </w:rPr>
        <w:t>除投标人须知前附表另有规定外，投标有效期为</w:t>
      </w:r>
      <w:r>
        <w:rPr>
          <w:rFonts w:ascii="宋体" w:hAnsi="宋体" w:eastAsia="宋体" w:cs="宋体"/>
          <w:color w:val="auto"/>
          <w:kern w:val="0"/>
          <w:sz w:val="24"/>
          <w:szCs w:val="24"/>
          <w:highlight w:val="none"/>
        </w:rPr>
        <w:t>90天。</w:t>
      </w:r>
    </w:p>
    <w:p w14:paraId="3875C14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3.3.2 </w:t>
      </w:r>
      <w:r>
        <w:rPr>
          <w:rFonts w:hint="eastAsia" w:ascii="宋体" w:hAnsi="宋体" w:eastAsia="宋体" w:cs="宋体"/>
          <w:color w:val="auto"/>
          <w:kern w:val="0"/>
          <w:sz w:val="24"/>
          <w:szCs w:val="24"/>
          <w:highlight w:val="none"/>
        </w:rPr>
        <w:t>在投标有效期内，投标人撤销投标文件的，应承担招标文件和法律规定的责任。</w:t>
      </w:r>
    </w:p>
    <w:p w14:paraId="1469229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3.3.3 </w:t>
      </w:r>
      <w:r>
        <w:rPr>
          <w:rFonts w:hint="eastAsia" w:ascii="宋体" w:hAnsi="宋体" w:eastAsia="宋体" w:cs="宋体"/>
          <w:color w:val="auto"/>
          <w:kern w:val="0"/>
          <w:sz w:val="24"/>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05F9BB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EE5BE8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9" w:name="_Toc193357961"/>
      <w:bookmarkStart w:id="100" w:name="_Toc3821"/>
      <w:bookmarkStart w:id="101" w:name="_Toc111186746"/>
      <w:bookmarkStart w:id="102" w:name="_Toc25452"/>
      <w:r>
        <w:rPr>
          <w:rFonts w:ascii="宋体" w:hAnsi="宋体" w:eastAsia="宋体" w:cs="宋体"/>
          <w:b/>
          <w:bCs/>
          <w:color w:val="auto"/>
          <w:spacing w:val="1"/>
          <w:sz w:val="28"/>
          <w:szCs w:val="32"/>
          <w:highlight w:val="none"/>
          <w:lang w:val="zh-CN"/>
        </w:rPr>
        <w:t xml:space="preserve">3.4 </w:t>
      </w:r>
      <w:r>
        <w:rPr>
          <w:rFonts w:hint="eastAsia" w:ascii="宋体" w:hAnsi="宋体" w:eastAsia="宋体" w:cs="宋体"/>
          <w:b/>
          <w:bCs/>
          <w:color w:val="auto"/>
          <w:spacing w:val="1"/>
          <w:sz w:val="28"/>
          <w:szCs w:val="32"/>
          <w:highlight w:val="none"/>
          <w:lang w:val="zh-CN"/>
        </w:rPr>
        <w:t>投标保证金</w:t>
      </w:r>
      <w:bookmarkEnd w:id="99"/>
      <w:bookmarkEnd w:id="100"/>
      <w:bookmarkEnd w:id="101"/>
      <w:bookmarkEnd w:id="102"/>
    </w:p>
    <w:p w14:paraId="03B0B51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3.4.1 </w:t>
      </w:r>
      <w:r>
        <w:rPr>
          <w:rFonts w:hint="eastAsia" w:ascii="宋体" w:hAnsi="宋体" w:eastAsia="宋体" w:cs="宋体"/>
          <w:color w:val="auto"/>
          <w:kern w:val="0"/>
          <w:sz w:val="24"/>
          <w:szCs w:val="24"/>
          <w:highlight w:val="none"/>
        </w:rPr>
        <w:t>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2D20BA3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3.4.2 </w:t>
      </w:r>
      <w:r>
        <w:rPr>
          <w:rFonts w:hint="eastAsia" w:ascii="宋体" w:hAnsi="宋体" w:eastAsia="宋体" w:cs="宋体"/>
          <w:color w:val="auto"/>
          <w:kern w:val="0"/>
          <w:sz w:val="24"/>
          <w:szCs w:val="24"/>
          <w:highlight w:val="none"/>
        </w:rPr>
        <w:t>开标时投标人没有按要求提交投标保证金的，其投标文件将被否决。</w:t>
      </w:r>
    </w:p>
    <w:p w14:paraId="5B943E3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3.4.3 </w:t>
      </w:r>
      <w:r>
        <w:rPr>
          <w:rFonts w:hint="eastAsia" w:ascii="宋体" w:hAnsi="宋体" w:eastAsia="宋体" w:cs="宋体"/>
          <w:color w:val="auto"/>
          <w:kern w:val="0"/>
          <w:sz w:val="24"/>
          <w:szCs w:val="24"/>
          <w:highlight w:val="none"/>
        </w:rPr>
        <w:t>中标候选人以外的投标人的投标保证金将尽快退还，最迟不超过中标通知书发出之日起五日内；中标人和其他中标候选人的投标保证金，在书面合同订立之日起五日内予以退还。</w:t>
      </w:r>
    </w:p>
    <w:p w14:paraId="39A1F1C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3.4.4 </w:t>
      </w:r>
      <w:r>
        <w:rPr>
          <w:rFonts w:hint="eastAsia" w:ascii="宋体" w:hAnsi="宋体" w:eastAsia="宋体" w:cs="宋体"/>
          <w:color w:val="auto"/>
          <w:kern w:val="0"/>
          <w:sz w:val="24"/>
          <w:szCs w:val="24"/>
          <w:highlight w:val="none"/>
        </w:rPr>
        <w:t>有下列情形之一的，投标保证金将不予退还：</w:t>
      </w:r>
    </w:p>
    <w:p w14:paraId="7C6BED3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1）投标人在规定的投标有效期内撤销其投标文件；</w:t>
      </w:r>
    </w:p>
    <w:p w14:paraId="73D016C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2）中标人在收到中标通知书后，无正当理由不与招标人订立合同，在签订合同时向招标人提出附加条件，或者不按照招标文件要求提交履约保证金。</w:t>
      </w:r>
    </w:p>
    <w:p w14:paraId="5CAEE9E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3.4.5 </w:t>
      </w:r>
      <w:r>
        <w:rPr>
          <w:rFonts w:hint="eastAsia" w:ascii="宋体" w:hAnsi="宋体" w:eastAsia="宋体" w:cs="宋体"/>
          <w:color w:val="auto"/>
          <w:kern w:val="0"/>
          <w:sz w:val="24"/>
          <w:szCs w:val="24"/>
          <w:highlight w:val="none"/>
        </w:rPr>
        <w:t>在提交投标文件截止时间后到招标文件规定的投标有效期终止之前，投标人不得撤销其投标文件，否则招标人可以不退还投标保证金。</w:t>
      </w:r>
    </w:p>
    <w:p w14:paraId="421090B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A99358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3" w:name="_Toc20441"/>
      <w:bookmarkStart w:id="104" w:name="_Toc193357963"/>
      <w:bookmarkStart w:id="105" w:name="_Toc111186747"/>
      <w:bookmarkStart w:id="106" w:name="_Toc19411"/>
      <w:r>
        <w:rPr>
          <w:rFonts w:ascii="宋体" w:hAnsi="宋体" w:eastAsia="宋体" w:cs="宋体"/>
          <w:b/>
          <w:bCs/>
          <w:color w:val="auto"/>
          <w:spacing w:val="1"/>
          <w:sz w:val="28"/>
          <w:szCs w:val="32"/>
          <w:highlight w:val="none"/>
          <w:lang w:val="zh-CN"/>
        </w:rPr>
        <w:t>3.5</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资格审查</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料</w:t>
      </w:r>
      <w:bookmarkEnd w:id="103"/>
      <w:bookmarkEnd w:id="104"/>
      <w:bookmarkEnd w:id="105"/>
      <w:bookmarkEnd w:id="106"/>
    </w:p>
    <w:p w14:paraId="0BCE8274">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除投标人须知前附表另有规定外，投标人应按下列规定提供资格审查资料，</w:t>
      </w:r>
      <w:r>
        <w:rPr>
          <w:rFonts w:ascii="宋体" w:hAnsi="宋体" w:eastAsia="宋体" w:cs="宋体"/>
          <w:color w:val="auto"/>
          <w:kern w:val="0"/>
          <w:sz w:val="24"/>
          <w:szCs w:val="24"/>
          <w:highlight w:val="none"/>
        </w:rPr>
        <w:t xml:space="preserve"> 以证明其满足本章第 1.4 款规定的资质、财务、业绩、信誉等要求。</w:t>
      </w:r>
    </w:p>
    <w:p w14:paraId="0C6F4821">
      <w:pPr>
        <w:wordWrap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3.5.1 </w:t>
      </w:r>
      <w:r>
        <w:rPr>
          <w:rFonts w:hint="eastAsia" w:ascii="宋体" w:hAnsi="宋体" w:eastAsia="宋体" w:cs="宋体"/>
          <w:color w:val="auto"/>
          <w:kern w:val="0"/>
          <w:sz w:val="24"/>
          <w:szCs w:val="24"/>
          <w:highlight w:val="none"/>
        </w:rPr>
        <w:t>“投标人基本情况表”应附投标人营业执照、投标人勘察、设计资质证书副本等材料的扫描件。</w:t>
      </w:r>
    </w:p>
    <w:p w14:paraId="242EBF01">
      <w:pPr>
        <w:wordWrap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3.5.2 </w:t>
      </w:r>
      <w:r>
        <w:rPr>
          <w:rFonts w:hint="eastAsia" w:ascii="宋体" w:hAnsi="宋体" w:eastAsia="宋体" w:cs="宋体"/>
          <w:color w:val="auto"/>
          <w:kern w:val="0"/>
          <w:sz w:val="24"/>
          <w:szCs w:val="24"/>
          <w:highlight w:val="none"/>
        </w:rPr>
        <w:t>“近年完成的类似设计或勘察设计项目情况表”应附中标通知书和</w:t>
      </w:r>
      <w:r>
        <w:rPr>
          <w:rFonts w:ascii="宋体" w:hAnsi="宋体" w:eastAsia="宋体" w:cs="宋体"/>
          <w:color w:val="auto"/>
          <w:kern w:val="0"/>
          <w:sz w:val="24"/>
          <w:szCs w:val="24"/>
          <w:highlight w:val="none"/>
        </w:rPr>
        <w:t>(或)合同协议书、发包人出具的证明文件；具体时间要求见投标人须知前附表，每张表格只填写一个项目，并标明序号。</w:t>
      </w:r>
    </w:p>
    <w:p w14:paraId="306258DD">
      <w:pPr>
        <w:wordWrap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3.5.3 </w:t>
      </w:r>
      <w:r>
        <w:rPr>
          <w:rFonts w:hint="eastAsia" w:ascii="宋体" w:hAnsi="宋体" w:eastAsia="宋体" w:cs="宋体"/>
          <w:color w:val="auto"/>
          <w:kern w:val="0"/>
          <w:sz w:val="24"/>
          <w:szCs w:val="24"/>
          <w:highlight w:val="none"/>
        </w:rPr>
        <w:t>“拟委任的主要人员汇总表”应填报满足本章第</w:t>
      </w:r>
      <w:r>
        <w:rPr>
          <w:rFonts w:ascii="宋体" w:hAnsi="宋体" w:eastAsia="宋体" w:cs="宋体"/>
          <w:color w:val="auto"/>
          <w:kern w:val="0"/>
          <w:sz w:val="24"/>
          <w:szCs w:val="24"/>
          <w:highlight w:val="none"/>
        </w:rPr>
        <w:t>1.4.1项规定的项目负责人和其他主要 人员的相关信息。“主要人员简历表”中项目负责人应附身份证、学历证、职称证、执业资格证书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14:paraId="6B5F70B3">
      <w:pPr>
        <w:wordWrap w:val="0"/>
        <w:spacing w:line="360"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kern w:val="0"/>
          <w:sz w:val="24"/>
          <w:szCs w:val="24"/>
          <w:highlight w:val="none"/>
        </w:rPr>
        <w:t xml:space="preserve">3.5.4 </w:t>
      </w:r>
      <w:r>
        <w:rPr>
          <w:rFonts w:hint="eastAsia" w:ascii="宋体" w:hAnsi="宋体" w:eastAsia="宋体" w:cs="宋体"/>
          <w:color w:val="auto"/>
          <w:kern w:val="0"/>
          <w:sz w:val="24"/>
          <w:szCs w:val="24"/>
          <w:highlight w:val="none"/>
        </w:rPr>
        <w:t>投标人须知前附表规定接受联合体投标的，本章第</w:t>
      </w:r>
      <w:r>
        <w:rPr>
          <w:rFonts w:ascii="宋体" w:hAnsi="宋体" w:eastAsia="宋体" w:cs="宋体"/>
          <w:color w:val="auto"/>
          <w:kern w:val="0"/>
          <w:sz w:val="24"/>
          <w:szCs w:val="24"/>
          <w:highlight w:val="none"/>
        </w:rPr>
        <w:t>3.5.1项至第3.5.3项规定的表格和资料应包括联合体各方相关情况。</w:t>
      </w:r>
    </w:p>
    <w:p w14:paraId="47736A35">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1BE424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7" w:name="_Toc32581"/>
      <w:bookmarkStart w:id="108" w:name="_Toc111186748"/>
      <w:bookmarkStart w:id="109" w:name="_Toc10646"/>
      <w:bookmarkStart w:id="110" w:name="_Toc193357964"/>
      <w:r>
        <w:rPr>
          <w:rFonts w:ascii="宋体" w:hAnsi="宋体" w:eastAsia="宋体" w:cs="宋体"/>
          <w:b/>
          <w:bCs/>
          <w:color w:val="auto"/>
          <w:spacing w:val="1"/>
          <w:sz w:val="28"/>
          <w:szCs w:val="32"/>
          <w:highlight w:val="none"/>
          <w:lang w:val="zh-CN"/>
        </w:rPr>
        <w:t xml:space="preserve">3.6 </w:t>
      </w:r>
      <w:r>
        <w:rPr>
          <w:rFonts w:hint="eastAsia" w:ascii="宋体" w:hAnsi="宋体" w:eastAsia="宋体" w:cs="宋体"/>
          <w:b/>
          <w:bCs/>
          <w:color w:val="auto"/>
          <w:spacing w:val="1"/>
          <w:sz w:val="28"/>
          <w:szCs w:val="32"/>
          <w:highlight w:val="none"/>
          <w:lang w:val="zh-CN"/>
        </w:rPr>
        <w:t>备选投标方案</w:t>
      </w:r>
      <w:bookmarkEnd w:id="107"/>
      <w:bookmarkEnd w:id="108"/>
      <w:bookmarkEnd w:id="109"/>
      <w:bookmarkEnd w:id="110"/>
    </w:p>
    <w:p w14:paraId="17DED06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3.6.1 </w:t>
      </w:r>
      <w:r>
        <w:rPr>
          <w:rFonts w:hint="eastAsia" w:ascii="宋体" w:hAnsi="宋体" w:eastAsia="宋体" w:cs="宋体"/>
          <w:color w:val="auto"/>
          <w:kern w:val="0"/>
          <w:sz w:val="24"/>
          <w:szCs w:val="24"/>
          <w:highlight w:val="none"/>
        </w:rPr>
        <w:t>除投标人须知前附表规定允许外，投标人不得递交备选投标方案，否则其投标将被否决。</w:t>
      </w:r>
    </w:p>
    <w:p w14:paraId="59EE395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3.6.2 </w:t>
      </w:r>
      <w:r>
        <w:rPr>
          <w:rFonts w:hint="eastAsia" w:ascii="宋体" w:hAnsi="宋体" w:eastAsia="宋体" w:cs="宋体"/>
          <w:color w:val="auto"/>
          <w:kern w:val="0"/>
          <w:sz w:val="24"/>
          <w:szCs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AFA5FF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3.6.3 </w:t>
      </w:r>
      <w:r>
        <w:rPr>
          <w:rFonts w:hint="eastAsia" w:ascii="宋体" w:hAnsi="宋体" w:eastAsia="宋体" w:cs="宋体"/>
          <w:color w:val="auto"/>
          <w:kern w:val="0"/>
          <w:sz w:val="24"/>
          <w:szCs w:val="24"/>
          <w:highlight w:val="none"/>
        </w:rPr>
        <w:t>投标人提供两个或两个以上投标报价，或者在投标文件中提供一个报价，但同时提供两个或两个以上勘察设计方案的，视为提供备选方案。</w:t>
      </w:r>
    </w:p>
    <w:p w14:paraId="023FA20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E37BB9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1" w:name="_Toc193357965"/>
      <w:bookmarkStart w:id="112" w:name="_Toc7643"/>
      <w:bookmarkStart w:id="113" w:name="_Toc111186749"/>
      <w:bookmarkStart w:id="114" w:name="_Toc1183"/>
      <w:r>
        <w:rPr>
          <w:rFonts w:ascii="宋体" w:hAnsi="宋体" w:eastAsia="宋体" w:cs="宋体"/>
          <w:b/>
          <w:bCs/>
          <w:color w:val="auto"/>
          <w:spacing w:val="1"/>
          <w:sz w:val="28"/>
          <w:szCs w:val="32"/>
          <w:highlight w:val="none"/>
          <w:lang w:val="zh-CN"/>
        </w:rPr>
        <w:t>3.7</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编制</w:t>
      </w:r>
      <w:bookmarkEnd w:id="111"/>
      <w:bookmarkEnd w:id="112"/>
      <w:bookmarkEnd w:id="113"/>
      <w:bookmarkEnd w:id="114"/>
    </w:p>
    <w:p w14:paraId="4F326C8B">
      <w:pPr>
        <w:wordWrap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3.7.1 </w:t>
      </w:r>
      <w:r>
        <w:rPr>
          <w:rFonts w:hint="eastAsia" w:ascii="宋体" w:hAnsi="宋体" w:eastAsia="宋体" w:cs="宋体"/>
          <w:color w:val="auto"/>
          <w:kern w:val="0"/>
          <w:sz w:val="24"/>
          <w:szCs w:val="24"/>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5C7AEAB5">
      <w:pPr>
        <w:wordWrap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3.7.2 </w:t>
      </w:r>
      <w:r>
        <w:rPr>
          <w:rFonts w:hint="eastAsia" w:ascii="宋体" w:hAnsi="宋体" w:eastAsia="宋体" w:cs="宋体"/>
          <w:color w:val="auto"/>
          <w:kern w:val="0"/>
          <w:sz w:val="24"/>
          <w:szCs w:val="24"/>
          <w:highlight w:val="none"/>
        </w:rPr>
        <w:t>投标文件应当对招标文件有关勘察设计服务期限、投标有效期、发包人要求、招标范围等实质性内容作出响应。</w:t>
      </w:r>
    </w:p>
    <w:p w14:paraId="1D361252">
      <w:pPr>
        <w:wordWrap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3.7.3 </w:t>
      </w:r>
      <w:r>
        <w:rPr>
          <w:rFonts w:hint="eastAsia" w:ascii="宋体" w:hAnsi="宋体" w:eastAsia="宋体" w:cs="宋体"/>
          <w:color w:val="auto"/>
          <w:kern w:val="0"/>
          <w:sz w:val="24"/>
          <w:szCs w:val="24"/>
          <w:highlight w:val="none"/>
        </w:rPr>
        <w:t>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0CAAFA9B">
      <w:pPr>
        <w:wordWrap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3.7.4 </w:t>
      </w:r>
      <w:r>
        <w:rPr>
          <w:rFonts w:hint="eastAsia" w:ascii="宋体" w:hAnsi="宋体" w:eastAsia="宋体" w:cs="宋体"/>
          <w:color w:val="auto"/>
          <w:kern w:val="0"/>
          <w:sz w:val="24"/>
          <w:szCs w:val="24"/>
          <w:highlight w:val="none"/>
        </w:rPr>
        <w:t>联合体投标时，投标人封面及其他内容落款中的“投标人”应填写联合体各方的单位全称【格式为：（主）</w:t>
      </w:r>
      <w:r>
        <w:rPr>
          <w:rFonts w:ascii="宋体" w:hAnsi="宋体" w:eastAsia="宋体" w:cs="宋体"/>
          <w:color w:val="auto"/>
          <w:kern w:val="0"/>
          <w:sz w:val="24"/>
          <w:szCs w:val="24"/>
          <w:highlight w:val="none"/>
        </w:rPr>
        <w:t>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3A9B1484">
      <w:pPr>
        <w:wordWrap w:val="0"/>
        <w:spacing w:line="360" w:lineRule="auto"/>
        <w:ind w:firstLine="480" w:firstLineChars="200"/>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 xml:space="preserve">3.7.5 </w:t>
      </w:r>
      <w:r>
        <w:rPr>
          <w:rFonts w:hint="eastAsia" w:ascii="宋体" w:hAnsi="宋体" w:eastAsia="宋体" w:cs="宋体"/>
          <w:color w:val="auto"/>
          <w:kern w:val="0"/>
          <w:sz w:val="24"/>
          <w:szCs w:val="24"/>
          <w:highlight w:val="none"/>
        </w:rPr>
        <w:t>投标文件应按照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网站关于全流程电子化项目的相关指南进行编制。如因不按上述编排要求编制而所引起系统无法检索、读取相关信息时，其后果将由投标人自行承担。</w:t>
      </w:r>
    </w:p>
    <w:p w14:paraId="6A6ED84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96D05B3">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15" w:name="_Toc30610"/>
      <w:bookmarkStart w:id="116" w:name="_Toc9382"/>
      <w:bookmarkStart w:id="117" w:name="_Toc193357966"/>
      <w:bookmarkStart w:id="118" w:name="_Toc111186750"/>
      <w:r>
        <w:rPr>
          <w:rFonts w:ascii="宋体" w:hAnsi="宋体" w:eastAsia="宋体" w:cs="宋体"/>
          <w:b/>
          <w:bCs/>
          <w:color w:val="auto"/>
          <w:spacing w:val="1"/>
          <w:kern w:val="0"/>
          <w:sz w:val="30"/>
          <w:szCs w:val="30"/>
          <w:highlight w:val="none"/>
          <w:lang w:val="zh-CN"/>
        </w:rPr>
        <w:t>4</w:t>
      </w:r>
      <w:r>
        <w:rPr>
          <w:rFonts w:ascii="宋体" w:hAnsi="宋体" w:eastAsia="宋体" w:cs="宋体"/>
          <w:b/>
          <w:bCs/>
          <w:color w:val="auto"/>
          <w:kern w:val="0"/>
          <w:sz w:val="30"/>
          <w:szCs w:val="30"/>
          <w:highlight w:val="none"/>
          <w:lang w:val="zh-CN"/>
        </w:rPr>
        <w:t>.</w:t>
      </w:r>
      <w:r>
        <w:rPr>
          <w:rFonts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w:t>
      </w:r>
      <w:bookmarkEnd w:id="115"/>
      <w:bookmarkEnd w:id="116"/>
      <w:bookmarkEnd w:id="117"/>
      <w:bookmarkEnd w:id="118"/>
    </w:p>
    <w:p w14:paraId="268063F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9" w:name="_Toc26954"/>
      <w:bookmarkStart w:id="120" w:name="_Toc13181"/>
      <w:bookmarkStart w:id="121" w:name="_Toc111186751"/>
      <w:bookmarkStart w:id="122" w:name="_Toc193357967"/>
      <w:r>
        <w:rPr>
          <w:rFonts w:ascii="宋体" w:hAnsi="宋体" w:eastAsia="宋体" w:cs="宋体"/>
          <w:b/>
          <w:bCs/>
          <w:color w:val="auto"/>
          <w:spacing w:val="1"/>
          <w:sz w:val="28"/>
          <w:szCs w:val="32"/>
          <w:highlight w:val="none"/>
          <w:lang w:val="zh-CN"/>
        </w:rPr>
        <w:t>4.1</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密</w:t>
      </w:r>
      <w:r>
        <w:rPr>
          <w:rFonts w:hint="eastAsia" w:ascii="宋体" w:hAnsi="宋体" w:eastAsia="宋体" w:cs="宋体"/>
          <w:b/>
          <w:bCs/>
          <w:color w:val="auto"/>
          <w:spacing w:val="-3"/>
          <w:sz w:val="28"/>
          <w:szCs w:val="32"/>
          <w:highlight w:val="none"/>
          <w:lang w:val="zh-CN"/>
        </w:rPr>
        <w:t>封</w:t>
      </w:r>
      <w:r>
        <w:rPr>
          <w:rFonts w:hint="eastAsia" w:ascii="宋体" w:hAnsi="宋体" w:eastAsia="宋体" w:cs="宋体"/>
          <w:b/>
          <w:bCs/>
          <w:color w:val="auto"/>
          <w:spacing w:val="1"/>
          <w:sz w:val="28"/>
          <w:szCs w:val="32"/>
          <w:highlight w:val="none"/>
          <w:lang w:val="zh-CN"/>
        </w:rPr>
        <w:t>和标记</w:t>
      </w:r>
      <w:bookmarkEnd w:id="119"/>
      <w:bookmarkEnd w:id="120"/>
      <w:bookmarkEnd w:id="121"/>
      <w:bookmarkEnd w:id="122"/>
    </w:p>
    <w:p w14:paraId="5380CAF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4.1.1 递交的电子投标文件（不含备用光盘）必须进行加密。按照</w:t>
      </w:r>
      <w:r>
        <w:rPr>
          <w:rFonts w:ascii="宋体" w:hAnsi="宋体" w:eastAsia="宋体" w:cs="宋体"/>
          <w:color w:val="auto"/>
          <w:kern w:val="0"/>
          <w:sz w:val="24"/>
          <w:szCs w:val="24"/>
          <w:highlight w:val="none"/>
          <w:u w:val="single"/>
        </w:rPr>
        <w:t>广州交易集团有限公司（广州公共资源交易中心）</w:t>
      </w:r>
      <w:r>
        <w:rPr>
          <w:rFonts w:ascii="宋体" w:hAnsi="宋体" w:eastAsia="宋体" w:cs="宋体"/>
          <w:color w:val="auto"/>
          <w:kern w:val="0"/>
          <w:sz w:val="24"/>
          <w:szCs w:val="24"/>
          <w:highlight w:val="none"/>
        </w:rPr>
        <w:t>网站关于全流程电子化项目的相关指南进行操作。</w:t>
      </w:r>
    </w:p>
    <w:p w14:paraId="473C4D4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4.1.2 未按要求加密的投标文件，</w:t>
      </w:r>
      <w:r>
        <w:rPr>
          <w:rFonts w:ascii="宋体" w:hAnsi="宋体" w:eastAsia="宋体" w:cs="宋体"/>
          <w:color w:val="auto"/>
          <w:kern w:val="0"/>
          <w:sz w:val="24"/>
          <w:szCs w:val="24"/>
          <w:highlight w:val="none"/>
          <w:u w:val="single"/>
        </w:rPr>
        <w:t>广州交易集团有限公司（广州公共资源交易中心）</w:t>
      </w:r>
      <w:r>
        <w:rPr>
          <w:rFonts w:ascii="宋体" w:hAnsi="宋体" w:eastAsia="宋体" w:cs="宋体"/>
          <w:color w:val="auto"/>
          <w:kern w:val="0"/>
          <w:sz w:val="24"/>
          <w:szCs w:val="24"/>
          <w:highlight w:val="none"/>
        </w:rPr>
        <w:t>网站交易平台将予以拒收。</w:t>
      </w:r>
    </w:p>
    <w:p w14:paraId="6F6D15E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6EDFD7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3" w:name="_Toc193357968"/>
      <w:bookmarkStart w:id="124" w:name="_Toc28727"/>
      <w:bookmarkStart w:id="125" w:name="_Toc31904"/>
      <w:bookmarkStart w:id="126" w:name="_Toc111186752"/>
      <w:r>
        <w:rPr>
          <w:rFonts w:ascii="宋体" w:hAnsi="宋体" w:eastAsia="宋体" w:cs="宋体"/>
          <w:b/>
          <w:bCs/>
          <w:color w:val="auto"/>
          <w:spacing w:val="1"/>
          <w:sz w:val="28"/>
          <w:szCs w:val="32"/>
          <w:highlight w:val="none"/>
          <w:lang w:val="zh-CN"/>
        </w:rPr>
        <w:t>4.2</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递交</w:t>
      </w:r>
      <w:bookmarkEnd w:id="123"/>
      <w:bookmarkEnd w:id="124"/>
      <w:bookmarkEnd w:id="125"/>
      <w:bookmarkEnd w:id="126"/>
    </w:p>
    <w:p w14:paraId="463173D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4.2.1 </w:t>
      </w:r>
      <w:r>
        <w:rPr>
          <w:rFonts w:hint="eastAsia" w:ascii="宋体" w:hAnsi="宋体" w:eastAsia="宋体" w:cs="宋体"/>
          <w:color w:val="auto"/>
          <w:kern w:val="0"/>
          <w:sz w:val="24"/>
          <w:szCs w:val="24"/>
          <w:highlight w:val="none"/>
        </w:rPr>
        <w:t>投标人应在投标人须知前附表规定的投标截止时间前，通过</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网站交易平台递交电子投标文件。</w:t>
      </w:r>
    </w:p>
    <w:p w14:paraId="7234D25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4.2.2 投标人完成电子投标文件上传后，</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网站交易平台即时向投标人发出递交回执通知。递交时间以递交回执通知载明的传输完成时间为准</w:t>
      </w:r>
      <w:r>
        <w:rPr>
          <w:rFonts w:ascii="宋体" w:hAnsi="宋体" w:eastAsia="宋体" w:cs="宋体"/>
          <w:color w:val="auto"/>
          <w:kern w:val="0"/>
          <w:sz w:val="24"/>
          <w:szCs w:val="24"/>
          <w:highlight w:val="none"/>
        </w:rPr>
        <w:t>。</w:t>
      </w:r>
    </w:p>
    <w:p w14:paraId="6F7572D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4.2.3 </w:t>
      </w:r>
      <w:r>
        <w:rPr>
          <w:rFonts w:hint="eastAsia" w:ascii="宋体" w:hAnsi="宋体" w:eastAsia="宋体" w:cs="宋体"/>
          <w:color w:val="auto"/>
          <w:kern w:val="0"/>
          <w:sz w:val="24"/>
          <w:szCs w:val="24"/>
          <w:highlight w:val="none"/>
        </w:rPr>
        <w:t>逾期送达的电子投标文件，</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网站交易平台将予以拒收。</w:t>
      </w:r>
    </w:p>
    <w:p w14:paraId="2F16F4F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4.2.4 </w:t>
      </w:r>
      <w:r>
        <w:rPr>
          <w:rFonts w:hint="eastAsia" w:ascii="宋体" w:hAnsi="宋体" w:eastAsia="宋体" w:cs="宋体"/>
          <w:color w:val="auto"/>
          <w:kern w:val="0"/>
          <w:sz w:val="24"/>
          <w:szCs w:val="24"/>
          <w:highlight w:val="none"/>
        </w:rPr>
        <w:t>投标截止前，招标人拒绝接收符合条件的投标文件，投标人可向招标监督机构投诉</w:t>
      </w:r>
      <w:r>
        <w:rPr>
          <w:rFonts w:ascii="宋体" w:hAnsi="宋体" w:eastAsia="宋体" w:cs="宋体"/>
          <w:color w:val="auto"/>
          <w:kern w:val="0"/>
          <w:sz w:val="24"/>
          <w:szCs w:val="24"/>
          <w:highlight w:val="none"/>
        </w:rPr>
        <w:t>。</w:t>
      </w:r>
    </w:p>
    <w:p w14:paraId="1EBFC42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DD4D6A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7" w:name="_Toc32035"/>
      <w:bookmarkStart w:id="128" w:name="_Toc111186753"/>
      <w:bookmarkStart w:id="129" w:name="_Toc14580"/>
      <w:bookmarkStart w:id="130" w:name="_Toc193357969"/>
      <w:r>
        <w:rPr>
          <w:rFonts w:ascii="宋体" w:hAnsi="宋体" w:eastAsia="宋体" w:cs="宋体"/>
          <w:b/>
          <w:bCs/>
          <w:color w:val="auto"/>
          <w:spacing w:val="1"/>
          <w:sz w:val="28"/>
          <w:szCs w:val="32"/>
          <w:highlight w:val="none"/>
          <w:lang w:val="zh-CN"/>
        </w:rPr>
        <w:t>4.3</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修</w:t>
      </w:r>
      <w:r>
        <w:rPr>
          <w:rFonts w:hint="eastAsia" w:ascii="宋体" w:hAnsi="宋体" w:eastAsia="宋体" w:cs="宋体"/>
          <w:b/>
          <w:bCs/>
          <w:color w:val="auto"/>
          <w:spacing w:val="-3"/>
          <w:sz w:val="28"/>
          <w:szCs w:val="32"/>
          <w:highlight w:val="none"/>
          <w:lang w:val="zh-CN"/>
        </w:rPr>
        <w:t>改</w:t>
      </w:r>
      <w:r>
        <w:rPr>
          <w:rFonts w:hint="eastAsia" w:ascii="宋体" w:hAnsi="宋体" w:eastAsia="宋体" w:cs="宋体"/>
          <w:b/>
          <w:bCs/>
          <w:color w:val="auto"/>
          <w:spacing w:val="1"/>
          <w:sz w:val="28"/>
          <w:szCs w:val="32"/>
          <w:highlight w:val="none"/>
          <w:lang w:val="zh-CN"/>
        </w:rPr>
        <w:t>与撤回</w:t>
      </w:r>
      <w:bookmarkEnd w:id="127"/>
      <w:bookmarkEnd w:id="128"/>
      <w:bookmarkEnd w:id="129"/>
      <w:bookmarkEnd w:id="130"/>
    </w:p>
    <w:p w14:paraId="6591DFB2">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4.3.1 </w:t>
      </w:r>
      <w:r>
        <w:rPr>
          <w:rFonts w:hint="eastAsia" w:ascii="宋体" w:hAnsi="宋体" w:eastAsia="宋体" w:cs="宋体"/>
          <w:color w:val="auto"/>
          <w:sz w:val="24"/>
          <w:szCs w:val="24"/>
          <w:highlight w:val="none"/>
        </w:rPr>
        <w:t>在规定的投标截止时间前，投标人可以修改或撤回已递交的投标文件，但应以书面形式通知招标人。</w:t>
      </w:r>
    </w:p>
    <w:p w14:paraId="283F915F">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4.3.2 </w:t>
      </w:r>
      <w:r>
        <w:rPr>
          <w:rFonts w:hint="eastAsia" w:ascii="宋体" w:hAnsi="宋体" w:eastAsia="宋体" w:cs="宋体"/>
          <w:color w:val="auto"/>
          <w:sz w:val="24"/>
          <w:szCs w:val="24"/>
          <w:highlight w:val="none"/>
        </w:rPr>
        <w:t>投标人修改或撤回已递交投标文件，需在交易平台发出修改或撤回通知，并按要求加盖电子印章。电子招标投标交易平台收到通知后，即时向投标人发出确认回执通知。</w:t>
      </w:r>
    </w:p>
    <w:p w14:paraId="29B8BDF5">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4.3.3 </w:t>
      </w:r>
      <w:r>
        <w:rPr>
          <w:rFonts w:hint="eastAsia" w:ascii="宋体" w:hAnsi="宋体" w:eastAsia="宋体" w:cs="宋体"/>
          <w:color w:val="auto"/>
          <w:sz w:val="24"/>
          <w:szCs w:val="24"/>
          <w:highlight w:val="none"/>
        </w:rPr>
        <w:t>修改后再次递交的，按第</w:t>
      </w:r>
      <w:r>
        <w:rPr>
          <w:rFonts w:ascii="宋体" w:hAnsi="宋体" w:eastAsia="宋体" w:cs="宋体"/>
          <w:color w:val="auto"/>
          <w:sz w:val="24"/>
          <w:szCs w:val="24"/>
          <w:highlight w:val="none"/>
        </w:rPr>
        <w:t>4.2项的规定执行。</w:t>
      </w:r>
    </w:p>
    <w:p w14:paraId="2F5C2EAE">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4.3.4 </w:t>
      </w:r>
      <w:r>
        <w:rPr>
          <w:rFonts w:hint="eastAsia" w:ascii="宋体" w:hAnsi="宋体" w:eastAsia="宋体" w:cs="宋体"/>
          <w:color w:val="auto"/>
          <w:sz w:val="24"/>
          <w:szCs w:val="24"/>
          <w:highlight w:val="none"/>
        </w:rPr>
        <w:t>在投标截止时间之后，投标人不得补充、修改和更换投标文件。</w:t>
      </w:r>
    </w:p>
    <w:p w14:paraId="37EB3EC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6D43055">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31" w:name="_Toc3959"/>
      <w:bookmarkStart w:id="132" w:name="_Toc4786"/>
      <w:bookmarkStart w:id="133" w:name="_Toc193357970"/>
      <w:bookmarkStart w:id="134" w:name="_Toc111186754"/>
      <w:r>
        <w:rPr>
          <w:rFonts w:ascii="宋体" w:hAnsi="宋体" w:eastAsia="宋体" w:cs="宋体"/>
          <w:b/>
          <w:bCs/>
          <w:color w:val="auto"/>
          <w:spacing w:val="1"/>
          <w:kern w:val="0"/>
          <w:sz w:val="30"/>
          <w:szCs w:val="30"/>
          <w:highlight w:val="none"/>
          <w:lang w:val="zh-CN"/>
        </w:rPr>
        <w:t>5</w:t>
      </w:r>
      <w:r>
        <w:rPr>
          <w:rFonts w:ascii="宋体" w:hAnsi="宋体" w:eastAsia="宋体" w:cs="宋体"/>
          <w:b/>
          <w:bCs/>
          <w:color w:val="auto"/>
          <w:kern w:val="0"/>
          <w:sz w:val="30"/>
          <w:szCs w:val="30"/>
          <w:highlight w:val="none"/>
          <w:lang w:val="zh-CN"/>
        </w:rPr>
        <w:t>.</w:t>
      </w:r>
      <w:r>
        <w:rPr>
          <w:rFonts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开标</w:t>
      </w:r>
      <w:bookmarkEnd w:id="131"/>
      <w:bookmarkEnd w:id="132"/>
      <w:bookmarkEnd w:id="133"/>
      <w:bookmarkEnd w:id="134"/>
    </w:p>
    <w:p w14:paraId="49E8B99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5" w:name="_Toc111186756"/>
      <w:bookmarkStart w:id="136" w:name="_Toc25072089"/>
      <w:bookmarkStart w:id="137" w:name="_Toc6010"/>
      <w:bookmarkStart w:id="138" w:name="_Toc27261"/>
      <w:bookmarkStart w:id="139" w:name="_Toc193357972"/>
      <w:r>
        <w:rPr>
          <w:rFonts w:ascii="宋体" w:hAnsi="宋体" w:eastAsia="宋体" w:cs="宋体"/>
          <w:b/>
          <w:bCs/>
          <w:color w:val="auto"/>
          <w:spacing w:val="1"/>
          <w:sz w:val="28"/>
          <w:szCs w:val="32"/>
          <w:highlight w:val="none"/>
          <w:lang w:val="zh-CN"/>
        </w:rPr>
        <w:t xml:space="preserve">5.1 </w:t>
      </w:r>
      <w:r>
        <w:rPr>
          <w:rFonts w:hint="eastAsia" w:ascii="宋体" w:hAnsi="宋体" w:eastAsia="宋体" w:cs="宋体"/>
          <w:b/>
          <w:bCs/>
          <w:color w:val="auto"/>
          <w:spacing w:val="1"/>
          <w:sz w:val="28"/>
          <w:szCs w:val="32"/>
          <w:highlight w:val="none"/>
          <w:lang w:val="zh-CN"/>
        </w:rPr>
        <w:t>开标时间和地点</w:t>
      </w:r>
      <w:bookmarkEnd w:id="135"/>
      <w:bookmarkEnd w:id="136"/>
      <w:bookmarkEnd w:id="137"/>
      <w:bookmarkEnd w:id="138"/>
      <w:bookmarkEnd w:id="139"/>
    </w:p>
    <w:p w14:paraId="415CB1B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5.1.1 </w:t>
      </w:r>
      <w:r>
        <w:rPr>
          <w:rFonts w:hint="eastAsia" w:ascii="宋体" w:hAnsi="宋体" w:eastAsia="宋体" w:cs="宋体"/>
          <w:color w:val="auto"/>
          <w:kern w:val="0"/>
          <w:sz w:val="24"/>
          <w:szCs w:val="24"/>
          <w:highlight w:val="none"/>
        </w:rPr>
        <w:t>招标人按投标须知前附表规定的时间和地点公开开标。截标后，开标开始时间因故推迟的，相关评标信息仍以原定的开标开始时间的信息为准。</w:t>
      </w:r>
    </w:p>
    <w:p w14:paraId="002510B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5.1.2 </w:t>
      </w:r>
      <w:r>
        <w:rPr>
          <w:rFonts w:hint="eastAsia" w:ascii="宋体" w:hAnsi="宋体" w:eastAsia="宋体" w:cs="宋体"/>
          <w:color w:val="auto"/>
          <w:kern w:val="0"/>
          <w:sz w:val="24"/>
          <w:szCs w:val="24"/>
          <w:highlight w:val="none"/>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8FF89D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E58920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0" w:name="_Toc193357973"/>
      <w:bookmarkStart w:id="141" w:name="_Toc20443"/>
      <w:bookmarkStart w:id="142" w:name="_Toc22665"/>
      <w:bookmarkStart w:id="143" w:name="_Toc111186757"/>
      <w:r>
        <w:rPr>
          <w:rFonts w:ascii="宋体" w:hAnsi="宋体" w:eastAsia="宋体" w:cs="宋体"/>
          <w:b/>
          <w:bCs/>
          <w:color w:val="auto"/>
          <w:spacing w:val="1"/>
          <w:sz w:val="28"/>
          <w:szCs w:val="32"/>
          <w:highlight w:val="none"/>
          <w:lang w:val="zh-CN"/>
        </w:rPr>
        <w:t xml:space="preserve">5.2 </w:t>
      </w:r>
      <w:r>
        <w:rPr>
          <w:rFonts w:hint="eastAsia" w:ascii="宋体" w:hAnsi="宋体" w:eastAsia="宋体" w:cs="宋体"/>
          <w:b/>
          <w:bCs/>
          <w:color w:val="auto"/>
          <w:spacing w:val="1"/>
          <w:sz w:val="28"/>
          <w:szCs w:val="32"/>
          <w:highlight w:val="none"/>
          <w:lang w:val="zh-CN"/>
        </w:rPr>
        <w:t>开标程序</w:t>
      </w:r>
      <w:bookmarkEnd w:id="140"/>
      <w:bookmarkEnd w:id="141"/>
      <w:bookmarkEnd w:id="142"/>
      <w:bookmarkEnd w:id="143"/>
    </w:p>
    <w:p w14:paraId="6F610961">
      <w:pPr>
        <w:wordWrap w:val="0"/>
        <w:autoSpaceDE w:val="0"/>
        <w:autoSpaceDN w:val="0"/>
        <w:spacing w:line="360" w:lineRule="auto"/>
        <w:ind w:firstLine="480" w:firstLineChars="200"/>
        <w:rPr>
          <w:rFonts w:ascii="宋体" w:hAnsi="宋体" w:eastAsia="宋体" w:cs="宋体"/>
          <w:color w:val="auto"/>
          <w:kern w:val="0"/>
          <w:sz w:val="24"/>
          <w:szCs w:val="24"/>
          <w:highlight w:val="none"/>
        </w:rPr>
      </w:pPr>
      <w:bookmarkStart w:id="144" w:name="_Hlk196249625"/>
      <w:r>
        <w:rPr>
          <w:rFonts w:ascii="宋体" w:hAnsi="宋体" w:eastAsia="宋体" w:cs="宋体"/>
          <w:color w:val="auto"/>
          <w:kern w:val="0"/>
          <w:sz w:val="24"/>
          <w:szCs w:val="24"/>
          <w:highlight w:val="none"/>
        </w:rPr>
        <w:t xml:space="preserve">5.2.1 </w:t>
      </w:r>
      <w:r>
        <w:rPr>
          <w:rFonts w:hint="eastAsia" w:ascii="宋体" w:hAnsi="宋体" w:eastAsia="宋体" w:cs="宋体"/>
          <w:color w:val="auto"/>
          <w:kern w:val="0"/>
          <w:sz w:val="24"/>
          <w:szCs w:val="24"/>
          <w:highlight w:val="none"/>
        </w:rPr>
        <w:t>在投标截止时间后半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bookmarkEnd w:id="144"/>
    </w:p>
    <w:p w14:paraId="78B1CC4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5.2.2 </w:t>
      </w:r>
      <w:r>
        <w:rPr>
          <w:rFonts w:hint="eastAsia" w:ascii="宋体" w:hAnsi="宋体" w:eastAsia="宋体" w:cs="宋体"/>
          <w:color w:val="auto"/>
          <w:kern w:val="0"/>
          <w:sz w:val="24"/>
          <w:szCs w:val="24"/>
          <w:highlight w:val="none"/>
        </w:rPr>
        <w:t>按开标记录表规定的内容进行唱标。</w:t>
      </w:r>
    </w:p>
    <w:p w14:paraId="57F63A9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5.2.3 </w:t>
      </w:r>
      <w:r>
        <w:rPr>
          <w:rFonts w:hint="eastAsia" w:ascii="宋体" w:hAnsi="宋体" w:eastAsia="宋体" w:cs="宋体"/>
          <w:color w:val="auto"/>
          <w:kern w:val="0"/>
          <w:sz w:val="24"/>
          <w:szCs w:val="24"/>
          <w:highlight w:val="none"/>
        </w:rPr>
        <w:t>投标人代表、招标人代表、监标人、记录人等有关人员在开标记录上签字确认；若有关人员不签字的，不影响开标程序。</w:t>
      </w:r>
    </w:p>
    <w:p w14:paraId="1C33D19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5.2.4 </w:t>
      </w:r>
      <w:r>
        <w:rPr>
          <w:rFonts w:hint="eastAsia" w:ascii="宋体" w:hAnsi="宋体" w:eastAsia="宋体" w:cs="宋体"/>
          <w:color w:val="auto"/>
          <w:kern w:val="0"/>
          <w:sz w:val="24"/>
          <w:szCs w:val="24"/>
          <w:highlight w:val="none"/>
        </w:rPr>
        <w:t>开标结束。</w:t>
      </w:r>
    </w:p>
    <w:p w14:paraId="0AFC299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5.2.5 </w:t>
      </w:r>
      <w:r>
        <w:rPr>
          <w:rFonts w:hint="eastAsia" w:ascii="宋体" w:hAnsi="宋体" w:eastAsia="宋体" w:cs="宋体"/>
          <w:color w:val="auto"/>
          <w:kern w:val="0"/>
          <w:sz w:val="24"/>
          <w:szCs w:val="24"/>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FEC0C1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5.2.6 </w:t>
      </w:r>
      <w:r>
        <w:rPr>
          <w:rFonts w:hint="eastAsia" w:ascii="宋体" w:hAnsi="宋体" w:eastAsia="宋体" w:cs="宋体"/>
          <w:color w:val="auto"/>
          <w:kern w:val="0"/>
          <w:sz w:val="24"/>
          <w:szCs w:val="24"/>
          <w:highlight w:val="none"/>
        </w:rPr>
        <w:t>开标时，两个（含两个）以上的投标人加密打包投标文件电脑机器特征码一致的，不参与下一程序，并由评标委员会否决其投标。</w:t>
      </w:r>
    </w:p>
    <w:p w14:paraId="4D9838A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3C1388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5" w:name="_Toc22229"/>
      <w:bookmarkStart w:id="146" w:name="_Toc111186758"/>
      <w:bookmarkStart w:id="147" w:name="_Toc26094"/>
      <w:bookmarkStart w:id="148" w:name="_Toc193357974"/>
      <w:r>
        <w:rPr>
          <w:rFonts w:ascii="宋体" w:hAnsi="宋体" w:eastAsia="宋体" w:cs="宋体"/>
          <w:b/>
          <w:bCs/>
          <w:color w:val="auto"/>
          <w:spacing w:val="1"/>
          <w:sz w:val="28"/>
          <w:szCs w:val="32"/>
          <w:highlight w:val="none"/>
          <w:lang w:val="zh-CN"/>
        </w:rPr>
        <w:t xml:space="preserve">5.3 </w:t>
      </w:r>
      <w:r>
        <w:rPr>
          <w:rFonts w:hint="eastAsia" w:ascii="宋体" w:hAnsi="宋体" w:eastAsia="宋体" w:cs="宋体"/>
          <w:b/>
          <w:bCs/>
          <w:color w:val="auto"/>
          <w:spacing w:val="1"/>
          <w:sz w:val="28"/>
          <w:szCs w:val="32"/>
          <w:highlight w:val="none"/>
          <w:lang w:val="zh-CN"/>
        </w:rPr>
        <w:t>开标异议</w:t>
      </w:r>
      <w:bookmarkEnd w:id="145"/>
      <w:bookmarkEnd w:id="146"/>
      <w:bookmarkEnd w:id="147"/>
      <w:bookmarkEnd w:id="148"/>
    </w:p>
    <w:p w14:paraId="77175BD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5.3.1 </w:t>
      </w:r>
      <w:r>
        <w:rPr>
          <w:rFonts w:hint="eastAsia" w:ascii="宋体" w:hAnsi="宋体" w:eastAsia="宋体" w:cs="宋体"/>
          <w:color w:val="auto"/>
          <w:kern w:val="0"/>
          <w:sz w:val="24"/>
          <w:szCs w:val="24"/>
          <w:highlight w:val="none"/>
        </w:rPr>
        <w:t>参加现场开标的投标人对开标结果有异议的，应当在开标现场提出，招标人应当当场作出答复，并制作记录。</w:t>
      </w:r>
    </w:p>
    <w:p w14:paraId="562B2EA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5.3.2 </w:t>
      </w:r>
      <w:r>
        <w:rPr>
          <w:rFonts w:hint="eastAsia" w:ascii="宋体" w:hAnsi="宋体" w:eastAsia="宋体" w:cs="宋体"/>
          <w:color w:val="auto"/>
          <w:kern w:val="0"/>
          <w:sz w:val="24"/>
          <w:szCs w:val="24"/>
          <w:highlight w:val="non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w:t>
      </w:r>
      <w:r>
        <w:rPr>
          <w:rFonts w:ascii="宋体" w:hAnsi="宋体" w:eastAsia="宋体" w:cs="宋体"/>
          <w:color w:val="auto"/>
          <w:kern w:val="0"/>
          <w:sz w:val="24"/>
          <w:szCs w:val="24"/>
          <w:highlight w:val="none"/>
        </w:rPr>
        <w:t xml:space="preserve"> 答复是招标人真实意思表示。未答复的，开标程序不得结束。</w:t>
      </w:r>
    </w:p>
    <w:p w14:paraId="2DF5B17E">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 xml:space="preserve">5.3.3 </w:t>
      </w:r>
      <w:r>
        <w:rPr>
          <w:rFonts w:hint="eastAsia" w:ascii="宋体" w:hAnsi="宋体" w:eastAsia="宋体" w:cs="宋体"/>
          <w:color w:val="auto"/>
          <w:kern w:val="0"/>
          <w:sz w:val="24"/>
          <w:szCs w:val="24"/>
          <w:highlight w:val="none"/>
        </w:rPr>
        <w:t>投标人未参加开标或在规定的时间内未提出异议的，视为对开标无异议。</w:t>
      </w:r>
    </w:p>
    <w:p w14:paraId="45A6EA5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F78F4F5">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49" w:name="_Toc111186759"/>
      <w:bookmarkStart w:id="150" w:name="_Toc193357975"/>
      <w:bookmarkStart w:id="151" w:name="_Toc18555"/>
      <w:bookmarkStart w:id="152" w:name="_Toc27043"/>
      <w:r>
        <w:rPr>
          <w:rFonts w:ascii="宋体" w:hAnsi="宋体" w:eastAsia="宋体" w:cs="宋体"/>
          <w:b/>
          <w:bCs/>
          <w:color w:val="auto"/>
          <w:spacing w:val="1"/>
          <w:kern w:val="0"/>
          <w:sz w:val="30"/>
          <w:szCs w:val="30"/>
          <w:highlight w:val="none"/>
          <w:lang w:val="zh-CN"/>
        </w:rPr>
        <w:t>6</w:t>
      </w:r>
      <w:r>
        <w:rPr>
          <w:rFonts w:ascii="宋体" w:hAnsi="宋体" w:eastAsia="宋体" w:cs="宋体"/>
          <w:b/>
          <w:bCs/>
          <w:color w:val="auto"/>
          <w:kern w:val="0"/>
          <w:sz w:val="30"/>
          <w:szCs w:val="30"/>
          <w:highlight w:val="none"/>
          <w:lang w:val="zh-CN"/>
        </w:rPr>
        <w:t>.</w:t>
      </w:r>
      <w:r>
        <w:rPr>
          <w:rFonts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评标</w:t>
      </w:r>
      <w:bookmarkEnd w:id="149"/>
      <w:bookmarkEnd w:id="150"/>
      <w:bookmarkEnd w:id="151"/>
      <w:bookmarkEnd w:id="152"/>
    </w:p>
    <w:p w14:paraId="4E5A1D5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3" w:name="_Toc874"/>
      <w:bookmarkStart w:id="154" w:name="_Toc23323"/>
      <w:bookmarkStart w:id="155" w:name="_Toc193357976"/>
      <w:bookmarkStart w:id="156" w:name="_Toc111186760"/>
      <w:r>
        <w:rPr>
          <w:rFonts w:ascii="宋体" w:hAnsi="宋体" w:eastAsia="宋体" w:cs="宋体"/>
          <w:b/>
          <w:bCs/>
          <w:color w:val="auto"/>
          <w:spacing w:val="1"/>
          <w:sz w:val="28"/>
          <w:szCs w:val="32"/>
          <w:highlight w:val="none"/>
          <w:lang w:val="zh-CN"/>
        </w:rPr>
        <w:t xml:space="preserve">6.1 </w:t>
      </w:r>
      <w:r>
        <w:rPr>
          <w:rFonts w:hint="eastAsia" w:ascii="宋体" w:hAnsi="宋体" w:eastAsia="宋体" w:cs="宋体"/>
          <w:b/>
          <w:bCs/>
          <w:color w:val="auto"/>
          <w:spacing w:val="1"/>
          <w:sz w:val="28"/>
          <w:szCs w:val="32"/>
          <w:highlight w:val="none"/>
          <w:lang w:val="zh-CN"/>
        </w:rPr>
        <w:t>评标委员会</w:t>
      </w:r>
      <w:bookmarkEnd w:id="153"/>
      <w:bookmarkEnd w:id="154"/>
      <w:bookmarkEnd w:id="155"/>
      <w:bookmarkEnd w:id="156"/>
    </w:p>
    <w:p w14:paraId="3393E3F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6.1.1 </w:t>
      </w:r>
      <w:r>
        <w:rPr>
          <w:rFonts w:hint="eastAsia" w:ascii="宋体" w:hAnsi="宋体" w:eastAsia="宋体" w:cs="宋体"/>
          <w:color w:val="auto"/>
          <w:kern w:val="0"/>
          <w:sz w:val="24"/>
          <w:szCs w:val="24"/>
          <w:highlight w:val="none"/>
        </w:rPr>
        <w:t>评标由招标人依法组建的评标委员会负责。评标委员会由有关技术、经济等方面的专家和招标人代表组成，专家从</w:t>
      </w:r>
      <w:r>
        <w:rPr>
          <w:rFonts w:hint="eastAsia" w:ascii="宋体" w:hAnsi="宋体" w:eastAsia="宋体" w:cs="宋体"/>
          <w:color w:val="auto"/>
          <w:kern w:val="0"/>
          <w:sz w:val="24"/>
          <w:szCs w:val="24"/>
          <w:highlight w:val="none"/>
          <w:u w:val="single"/>
        </w:rPr>
        <w:t>广东省综合评标评审专家库</w:t>
      </w:r>
      <w:r>
        <w:rPr>
          <w:rFonts w:hint="eastAsia" w:ascii="宋体" w:hAnsi="宋体" w:eastAsia="宋体" w:cs="宋体"/>
          <w:color w:val="auto"/>
          <w:kern w:val="0"/>
          <w:sz w:val="24"/>
          <w:szCs w:val="24"/>
          <w:highlight w:val="none"/>
        </w:rPr>
        <w:t>中抽取。评标委员会成员人数以及技术、经济等方面专家的确定方式见投标人须知前附表。</w:t>
      </w:r>
    </w:p>
    <w:p w14:paraId="4B9E8D5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6.1.2 评标委员会成员有下列情形之一的，应当回避：</w:t>
      </w:r>
    </w:p>
    <w:p w14:paraId="1CA05AE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(1)投标人或投标人主要负责人的近亲属；</w:t>
      </w:r>
    </w:p>
    <w:p w14:paraId="4ECC412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(2)项目主管部门或者行政监督部门的人员；</w:t>
      </w:r>
    </w:p>
    <w:p w14:paraId="0CEBA0C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招标人或投标人的工作人员、退休或离职未满</w:t>
      </w:r>
      <w:r>
        <w:rPr>
          <w:rFonts w:ascii="宋体" w:hAnsi="宋体" w:eastAsia="宋体" w:cs="宋体"/>
          <w:color w:val="auto"/>
          <w:kern w:val="0"/>
          <w:sz w:val="24"/>
          <w:szCs w:val="24"/>
          <w:highlight w:val="none"/>
        </w:rPr>
        <w:t>3年的人员；</w:t>
      </w:r>
    </w:p>
    <w:p w14:paraId="46849E1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(4)与投标人有经济利益关系，可能影响对投标公正评审的；</w:t>
      </w:r>
    </w:p>
    <w:p w14:paraId="68B15BA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(5)曾因在招标、评标以及其他与招标投标有关活动中从事违法行为而受过行政处罚或刑事处罚的；</w:t>
      </w:r>
    </w:p>
    <w:p w14:paraId="7715EF3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(6)与投标人有其他利害关系。</w:t>
      </w:r>
    </w:p>
    <w:p w14:paraId="4581471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B9003C3">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EED063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7" w:name="_Toc193357977"/>
      <w:bookmarkStart w:id="158" w:name="_Toc9043"/>
      <w:bookmarkStart w:id="159" w:name="_Toc111186761"/>
      <w:bookmarkStart w:id="160" w:name="_Toc9459"/>
      <w:r>
        <w:rPr>
          <w:rFonts w:ascii="宋体" w:hAnsi="宋体" w:eastAsia="宋体" w:cs="宋体"/>
          <w:b/>
          <w:bCs/>
          <w:color w:val="auto"/>
          <w:spacing w:val="1"/>
          <w:sz w:val="28"/>
          <w:szCs w:val="32"/>
          <w:highlight w:val="none"/>
          <w:lang w:val="zh-CN"/>
        </w:rPr>
        <w:t>6.2</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评标原则</w:t>
      </w:r>
      <w:bookmarkEnd w:id="157"/>
      <w:bookmarkEnd w:id="158"/>
      <w:bookmarkEnd w:id="159"/>
      <w:bookmarkEnd w:id="160"/>
    </w:p>
    <w:p w14:paraId="5615270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14:paraId="0488163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3C8CC1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1" w:name="_Toc193357978"/>
      <w:bookmarkStart w:id="162" w:name="_Toc10255"/>
      <w:bookmarkStart w:id="163" w:name="_Toc22776"/>
      <w:bookmarkStart w:id="164" w:name="_Toc111186762"/>
      <w:r>
        <w:rPr>
          <w:rFonts w:ascii="宋体" w:hAnsi="宋体" w:eastAsia="宋体" w:cs="宋体"/>
          <w:b/>
          <w:bCs/>
          <w:color w:val="auto"/>
          <w:spacing w:val="1"/>
          <w:sz w:val="28"/>
          <w:szCs w:val="32"/>
          <w:highlight w:val="none"/>
          <w:lang w:val="zh-CN"/>
        </w:rPr>
        <w:t>6.3</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w:t>
      </w:r>
      <w:bookmarkEnd w:id="161"/>
      <w:bookmarkEnd w:id="162"/>
      <w:bookmarkEnd w:id="163"/>
      <w:bookmarkEnd w:id="164"/>
    </w:p>
    <w:p w14:paraId="3DEE9A7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6.3.1 评标委员会按照第三章“评标办法”规定的方法、评审因素、标准和程序对投标文件进行评审。第三章“评标办法”没有规定的方法、评审因素和标准，不作为评标依据。</w:t>
      </w:r>
    </w:p>
    <w:p w14:paraId="36D9B47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6.3.2 评标完成后，评标委员会应当向招标人提交书面评标报告和中标候选人名单。评标委员会推荐中标候选人的人数见投标人须知前附表。</w:t>
      </w:r>
    </w:p>
    <w:p w14:paraId="58EE30FF">
      <w:pPr>
        <w:wordWrap w:val="0"/>
        <w:spacing w:line="360" w:lineRule="auto"/>
        <w:ind w:firstLine="480" w:firstLineChars="200"/>
        <w:rPr>
          <w:rFonts w:ascii="宋体" w:hAnsi="宋体" w:eastAsia="宋体" w:cs="宋体"/>
          <w:color w:val="auto"/>
          <w:sz w:val="24"/>
          <w:szCs w:val="24"/>
          <w:highlight w:val="none"/>
        </w:rPr>
      </w:pPr>
    </w:p>
    <w:p w14:paraId="44DA7DB4">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65" w:name="_Toc193357979"/>
      <w:bookmarkStart w:id="166" w:name="_Toc1069"/>
      <w:bookmarkStart w:id="167" w:name="_Toc10209"/>
      <w:bookmarkStart w:id="168" w:name="_Toc111186763"/>
      <w:r>
        <w:rPr>
          <w:rFonts w:ascii="宋体" w:hAnsi="宋体" w:eastAsia="宋体" w:cs="宋体"/>
          <w:b/>
          <w:bCs/>
          <w:color w:val="auto"/>
          <w:spacing w:val="1"/>
          <w:kern w:val="0"/>
          <w:sz w:val="30"/>
          <w:szCs w:val="30"/>
          <w:highlight w:val="none"/>
          <w:lang w:val="zh-CN"/>
        </w:rPr>
        <w:t>7</w:t>
      </w:r>
      <w:r>
        <w:rPr>
          <w:rFonts w:ascii="宋体" w:hAnsi="宋体" w:eastAsia="宋体" w:cs="宋体"/>
          <w:b/>
          <w:bCs/>
          <w:color w:val="auto"/>
          <w:kern w:val="0"/>
          <w:sz w:val="30"/>
          <w:szCs w:val="30"/>
          <w:highlight w:val="none"/>
          <w:lang w:val="zh-CN"/>
        </w:rPr>
        <w:t>.</w:t>
      </w:r>
      <w:r>
        <w:rPr>
          <w:rFonts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合同授予</w:t>
      </w:r>
      <w:bookmarkEnd w:id="165"/>
      <w:bookmarkEnd w:id="166"/>
      <w:bookmarkEnd w:id="167"/>
      <w:bookmarkEnd w:id="168"/>
    </w:p>
    <w:p w14:paraId="0D153EC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9" w:name="_Toc111186764"/>
      <w:bookmarkStart w:id="170" w:name="_Toc3077"/>
      <w:bookmarkStart w:id="171" w:name="_Toc193357980"/>
      <w:bookmarkStart w:id="172" w:name="_Toc30959"/>
      <w:r>
        <w:rPr>
          <w:rFonts w:ascii="宋体" w:hAnsi="宋体" w:eastAsia="宋体" w:cs="宋体"/>
          <w:b/>
          <w:bCs/>
          <w:color w:val="auto"/>
          <w:spacing w:val="1"/>
          <w:sz w:val="28"/>
          <w:szCs w:val="32"/>
          <w:highlight w:val="none"/>
          <w:lang w:val="zh-CN"/>
        </w:rPr>
        <w:t>7.1</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公示</w:t>
      </w:r>
      <w:bookmarkEnd w:id="169"/>
      <w:bookmarkEnd w:id="170"/>
      <w:bookmarkEnd w:id="171"/>
      <w:bookmarkEnd w:id="172"/>
    </w:p>
    <w:p w14:paraId="1818B48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7.1.1 </w:t>
      </w:r>
      <w:r>
        <w:rPr>
          <w:rFonts w:hint="eastAsia" w:ascii="宋体" w:hAnsi="宋体" w:eastAsia="宋体" w:cs="宋体"/>
          <w:color w:val="auto"/>
          <w:kern w:val="0"/>
          <w:sz w:val="24"/>
          <w:szCs w:val="24"/>
          <w:highlight w:val="none"/>
        </w:rPr>
        <w:t>招标人在收到评标报告之日起</w:t>
      </w:r>
      <w:r>
        <w:rPr>
          <w:rFonts w:ascii="宋体" w:hAnsi="宋体" w:eastAsia="宋体" w:cs="宋体"/>
          <w:color w:val="auto"/>
          <w:kern w:val="0"/>
          <w:sz w:val="24"/>
          <w:szCs w:val="24"/>
          <w:highlight w:val="none"/>
        </w:rPr>
        <w:t>3日内，按照投标人须知前附表规定的公示媒介和期限公示中标候选人，公示期不得少于3天，最后一天应为工作日。</w:t>
      </w:r>
    </w:p>
    <w:p w14:paraId="06D2F61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7.1.2 </w:t>
      </w:r>
      <w:r>
        <w:rPr>
          <w:rFonts w:hint="eastAsia" w:ascii="宋体" w:hAnsi="宋体" w:eastAsia="宋体" w:cs="宋体"/>
          <w:color w:val="auto"/>
          <w:kern w:val="0"/>
          <w:sz w:val="24"/>
          <w:szCs w:val="24"/>
          <w:highlight w:val="none"/>
        </w:rPr>
        <w:t>在产生中标候选人后，招标人将中标候选人的投标文件商务部分（包括报价清单、人员、业绩、奖项等资料）在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14:paraId="0557767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76927A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73" w:name="_Toc4855"/>
      <w:bookmarkStart w:id="174" w:name="_Toc19391"/>
      <w:bookmarkStart w:id="175" w:name="_Toc193357981"/>
      <w:bookmarkStart w:id="176" w:name="_Toc111186765"/>
      <w:r>
        <w:rPr>
          <w:rFonts w:ascii="宋体" w:hAnsi="宋体" w:eastAsia="宋体" w:cs="宋体"/>
          <w:b/>
          <w:bCs/>
          <w:color w:val="auto"/>
          <w:spacing w:val="1"/>
          <w:sz w:val="28"/>
          <w:szCs w:val="32"/>
          <w:highlight w:val="none"/>
          <w:lang w:val="zh-CN"/>
        </w:rPr>
        <w:t>7.2</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评标结果</w:t>
      </w:r>
      <w:r>
        <w:rPr>
          <w:rFonts w:hint="eastAsia" w:ascii="宋体" w:hAnsi="宋体" w:eastAsia="宋体" w:cs="宋体"/>
          <w:b/>
          <w:bCs/>
          <w:color w:val="auto"/>
          <w:spacing w:val="-3"/>
          <w:sz w:val="28"/>
          <w:szCs w:val="32"/>
          <w:highlight w:val="none"/>
          <w:lang w:val="zh-CN"/>
        </w:rPr>
        <w:t>异</w:t>
      </w:r>
      <w:r>
        <w:rPr>
          <w:rFonts w:hint="eastAsia" w:ascii="宋体" w:hAnsi="宋体" w:eastAsia="宋体" w:cs="宋体"/>
          <w:b/>
          <w:bCs/>
          <w:color w:val="auto"/>
          <w:spacing w:val="1"/>
          <w:sz w:val="28"/>
          <w:szCs w:val="32"/>
          <w:highlight w:val="none"/>
          <w:lang w:val="zh-CN"/>
        </w:rPr>
        <w:t>议</w:t>
      </w:r>
      <w:bookmarkEnd w:id="173"/>
      <w:bookmarkEnd w:id="174"/>
      <w:bookmarkEnd w:id="175"/>
      <w:bookmarkEnd w:id="176"/>
    </w:p>
    <w:p w14:paraId="6822E96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投标人或者其他利害关系人对评标结果有异议的，应当在中标候选人公示期间提出。招标</w:t>
      </w:r>
      <w:r>
        <w:rPr>
          <w:rFonts w:ascii="宋体" w:hAnsi="宋体" w:eastAsia="宋体" w:cs="宋体"/>
          <w:color w:val="auto"/>
          <w:kern w:val="0"/>
          <w:sz w:val="24"/>
          <w:szCs w:val="24"/>
          <w:highlight w:val="none"/>
        </w:rPr>
        <w:t xml:space="preserve"> 人将在收到异议之日起 3 日内作出答复；作出答复前，将暂停招标投标活动。</w:t>
      </w:r>
    </w:p>
    <w:p w14:paraId="1E610AC3">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BE68E7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77" w:name="_Toc193357982"/>
      <w:bookmarkStart w:id="178" w:name="_Toc111186766"/>
      <w:bookmarkStart w:id="179" w:name="_Toc2465"/>
      <w:bookmarkStart w:id="180" w:name="_Toc17235"/>
      <w:r>
        <w:rPr>
          <w:rFonts w:ascii="宋体" w:hAnsi="宋体" w:eastAsia="宋体" w:cs="宋体"/>
          <w:b/>
          <w:bCs/>
          <w:color w:val="auto"/>
          <w:spacing w:val="1"/>
          <w:sz w:val="28"/>
          <w:szCs w:val="32"/>
          <w:highlight w:val="none"/>
          <w:lang w:val="zh-CN"/>
        </w:rPr>
        <w:t>7.3</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履</w:t>
      </w:r>
      <w:r>
        <w:rPr>
          <w:rFonts w:hint="eastAsia" w:ascii="宋体" w:hAnsi="宋体" w:eastAsia="宋体" w:cs="宋体"/>
          <w:b/>
          <w:bCs/>
          <w:color w:val="auto"/>
          <w:spacing w:val="-3"/>
          <w:sz w:val="28"/>
          <w:szCs w:val="32"/>
          <w:highlight w:val="none"/>
          <w:lang w:val="zh-CN"/>
        </w:rPr>
        <w:t>约</w:t>
      </w:r>
      <w:r>
        <w:rPr>
          <w:rFonts w:hint="eastAsia" w:ascii="宋体" w:hAnsi="宋体" w:eastAsia="宋体" w:cs="宋体"/>
          <w:b/>
          <w:bCs/>
          <w:color w:val="auto"/>
          <w:spacing w:val="1"/>
          <w:sz w:val="28"/>
          <w:szCs w:val="32"/>
          <w:highlight w:val="none"/>
          <w:lang w:val="zh-CN"/>
        </w:rPr>
        <w:t>能力审查</w:t>
      </w:r>
      <w:bookmarkEnd w:id="177"/>
      <w:bookmarkEnd w:id="178"/>
      <w:bookmarkEnd w:id="179"/>
      <w:bookmarkEnd w:id="180"/>
    </w:p>
    <w:p w14:paraId="26F44AD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4E7EB42">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038EB9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81" w:name="_Toc193357983"/>
      <w:bookmarkStart w:id="182" w:name="_Toc111186767"/>
      <w:bookmarkStart w:id="183" w:name="_Toc3666"/>
      <w:bookmarkStart w:id="184" w:name="_Toc1732"/>
      <w:r>
        <w:rPr>
          <w:rFonts w:ascii="宋体" w:hAnsi="宋体" w:eastAsia="宋体" w:cs="宋体"/>
          <w:b/>
          <w:bCs/>
          <w:color w:val="auto"/>
          <w:spacing w:val="1"/>
          <w:sz w:val="28"/>
          <w:szCs w:val="32"/>
          <w:highlight w:val="none"/>
          <w:lang w:val="zh-CN"/>
        </w:rPr>
        <w:t>7.4</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定标</w:t>
      </w:r>
      <w:bookmarkEnd w:id="181"/>
      <w:bookmarkEnd w:id="182"/>
      <w:bookmarkEnd w:id="183"/>
      <w:bookmarkEnd w:id="184"/>
    </w:p>
    <w:p w14:paraId="32B2C49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按照投标人须知前附表的规定，招标人或招标人授权的评标委员会依法确定中标人。</w:t>
      </w:r>
    </w:p>
    <w:p w14:paraId="0F2BB7CF">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B373E7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85" w:name="_Toc24935"/>
      <w:bookmarkStart w:id="186" w:name="_Toc193357984"/>
      <w:bookmarkStart w:id="187" w:name="_Toc4759"/>
      <w:bookmarkStart w:id="188" w:name="_Toc111186768"/>
      <w:r>
        <w:rPr>
          <w:rFonts w:ascii="宋体" w:hAnsi="宋体" w:eastAsia="宋体" w:cs="宋体"/>
          <w:b/>
          <w:bCs/>
          <w:color w:val="auto"/>
          <w:spacing w:val="1"/>
          <w:sz w:val="28"/>
          <w:szCs w:val="32"/>
          <w:highlight w:val="none"/>
          <w:lang w:val="zh-CN"/>
        </w:rPr>
        <w:t>7.5</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中标通知</w:t>
      </w:r>
      <w:bookmarkEnd w:id="185"/>
      <w:bookmarkEnd w:id="186"/>
      <w:bookmarkEnd w:id="187"/>
      <w:bookmarkEnd w:id="188"/>
    </w:p>
    <w:p w14:paraId="54BE6D2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7.5.1 </w:t>
      </w:r>
      <w:r>
        <w:rPr>
          <w:rFonts w:hint="eastAsia" w:ascii="宋体" w:hAnsi="宋体" w:eastAsia="宋体" w:cs="宋体"/>
          <w:color w:val="auto"/>
          <w:kern w:val="0"/>
          <w:sz w:val="24"/>
          <w:szCs w:val="24"/>
          <w:highlight w:val="none"/>
        </w:rPr>
        <w:t>在法规规定的时间内，招标人以书面形式向中标人发出中标通知书。在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网和广东省招标投标监管网发布中标信息，视同将中标结果通知未中标的投标人。</w:t>
      </w:r>
    </w:p>
    <w:p w14:paraId="6C0168F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7.5.2 </w:t>
      </w:r>
      <w:r>
        <w:rPr>
          <w:rFonts w:hint="eastAsia" w:ascii="宋体" w:hAnsi="宋体" w:eastAsia="宋体" w:cs="宋体"/>
          <w:color w:val="auto"/>
          <w:kern w:val="0"/>
          <w:sz w:val="24"/>
          <w:szCs w:val="24"/>
          <w:highlight w:val="none"/>
        </w:rPr>
        <w:t>中标通知书发出前，中标人应未被纳入失信联合惩戒名单，否则招标人将取消其中标资格。失信联合惩戒名单以“信用广州”网站公布的“黑名单”为准。</w:t>
      </w:r>
    </w:p>
    <w:p w14:paraId="2C3648B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D24832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89" w:name="_Toc11927"/>
      <w:bookmarkStart w:id="190" w:name="_Toc193357985"/>
      <w:bookmarkStart w:id="191" w:name="_Toc111186769"/>
      <w:bookmarkStart w:id="192" w:name="_Toc13084"/>
      <w:r>
        <w:rPr>
          <w:rFonts w:ascii="宋体" w:hAnsi="宋体" w:eastAsia="宋体" w:cs="宋体"/>
          <w:b/>
          <w:bCs/>
          <w:color w:val="auto"/>
          <w:spacing w:val="1"/>
          <w:sz w:val="28"/>
          <w:szCs w:val="32"/>
          <w:highlight w:val="none"/>
          <w:lang w:val="zh-CN"/>
        </w:rPr>
        <w:t>7.6</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技术成果</w:t>
      </w:r>
      <w:r>
        <w:rPr>
          <w:rFonts w:hint="eastAsia" w:ascii="宋体" w:hAnsi="宋体" w:eastAsia="宋体" w:cs="宋体"/>
          <w:b/>
          <w:bCs/>
          <w:color w:val="auto"/>
          <w:spacing w:val="-3"/>
          <w:sz w:val="28"/>
          <w:szCs w:val="32"/>
          <w:highlight w:val="none"/>
          <w:lang w:val="zh-CN"/>
        </w:rPr>
        <w:t>经</w:t>
      </w:r>
      <w:r>
        <w:rPr>
          <w:rFonts w:hint="eastAsia" w:ascii="宋体" w:hAnsi="宋体" w:eastAsia="宋体" w:cs="宋体"/>
          <w:b/>
          <w:bCs/>
          <w:color w:val="auto"/>
          <w:spacing w:val="1"/>
          <w:sz w:val="28"/>
          <w:szCs w:val="32"/>
          <w:highlight w:val="none"/>
          <w:lang w:val="zh-CN"/>
        </w:rPr>
        <w:t>济</w:t>
      </w:r>
      <w:r>
        <w:rPr>
          <w:rFonts w:hint="eastAsia" w:ascii="宋体" w:hAnsi="宋体" w:eastAsia="宋体" w:cs="宋体"/>
          <w:b/>
          <w:bCs/>
          <w:color w:val="auto"/>
          <w:spacing w:val="-3"/>
          <w:sz w:val="28"/>
          <w:szCs w:val="32"/>
          <w:highlight w:val="none"/>
          <w:lang w:val="zh-CN"/>
        </w:rPr>
        <w:t>补</w:t>
      </w:r>
      <w:r>
        <w:rPr>
          <w:rFonts w:hint="eastAsia" w:ascii="宋体" w:hAnsi="宋体" w:eastAsia="宋体" w:cs="宋体"/>
          <w:b/>
          <w:bCs/>
          <w:color w:val="auto"/>
          <w:spacing w:val="1"/>
          <w:sz w:val="28"/>
          <w:szCs w:val="32"/>
          <w:highlight w:val="none"/>
          <w:lang w:val="zh-CN"/>
        </w:rPr>
        <w:t>偿</w:t>
      </w:r>
      <w:bookmarkEnd w:id="189"/>
      <w:bookmarkEnd w:id="190"/>
      <w:bookmarkEnd w:id="191"/>
      <w:bookmarkEnd w:id="192"/>
    </w:p>
    <w:p w14:paraId="4CC93F1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招标人对符合招标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定的未中标人的技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进行补偿的，招标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按</w:t>
      </w:r>
      <w:r>
        <w:rPr>
          <w:rFonts w:hint="eastAsia" w:ascii="宋体" w:hAnsi="宋体" w:eastAsia="宋体" w:cs="宋体"/>
          <w:color w:val="auto"/>
          <w:kern w:val="0"/>
          <w:sz w:val="24"/>
          <w:szCs w:val="24"/>
          <w:highlight w:val="none"/>
        </w:rPr>
        <w:t>投标人须知前附表规定的标准</w:t>
      </w:r>
      <w:r>
        <w:rPr>
          <w:rFonts w:hint="eastAsia" w:ascii="宋体" w:hAnsi="宋体" w:eastAsia="宋体" w:cs="宋体"/>
          <w:color w:val="auto"/>
          <w:spacing w:val="-2"/>
          <w:kern w:val="0"/>
          <w:sz w:val="24"/>
          <w:szCs w:val="24"/>
          <w:highlight w:val="none"/>
        </w:rPr>
        <w:t>给</w:t>
      </w:r>
      <w:r>
        <w:rPr>
          <w:rFonts w:hint="eastAsia" w:ascii="宋体" w:hAnsi="宋体" w:eastAsia="宋体" w:cs="宋体"/>
          <w:color w:val="auto"/>
          <w:kern w:val="0"/>
          <w:sz w:val="24"/>
          <w:szCs w:val="24"/>
          <w:highlight w:val="none"/>
        </w:rPr>
        <w:t>予经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补偿，未中标人</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件中声明放弃技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成果</w:t>
      </w:r>
      <w:r>
        <w:rPr>
          <w:rFonts w:hint="eastAsia" w:ascii="宋体" w:hAnsi="宋体" w:eastAsia="宋体" w:cs="宋体"/>
          <w:color w:val="auto"/>
          <w:spacing w:val="-2"/>
          <w:kern w:val="0"/>
          <w:sz w:val="24"/>
          <w:szCs w:val="24"/>
          <w:highlight w:val="none"/>
        </w:rPr>
        <w:t>经</w:t>
      </w:r>
      <w:r>
        <w:rPr>
          <w:rFonts w:hint="eastAsia" w:ascii="宋体" w:hAnsi="宋体" w:eastAsia="宋体" w:cs="宋体"/>
          <w:color w:val="auto"/>
          <w:kern w:val="0"/>
          <w:sz w:val="24"/>
          <w:szCs w:val="24"/>
          <w:highlight w:val="none"/>
        </w:rPr>
        <w:t>济补偿费</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除</w:t>
      </w:r>
      <w:r>
        <w:rPr>
          <w:rFonts w:hint="eastAsia" w:ascii="宋体" w:hAnsi="宋体" w:eastAsia="宋体" w:cs="宋体"/>
          <w:color w:val="auto"/>
          <w:spacing w:val="-2"/>
          <w:kern w:val="0"/>
          <w:sz w:val="24"/>
          <w:szCs w:val="24"/>
          <w:highlight w:val="none"/>
        </w:rPr>
        <w:t>外</w:t>
      </w: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于</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通</w:t>
      </w:r>
      <w:r>
        <w:rPr>
          <w:rFonts w:hint="eastAsia" w:ascii="宋体" w:hAnsi="宋体" w:eastAsia="宋体" w:cs="宋体"/>
          <w:color w:val="auto"/>
          <w:spacing w:val="-2"/>
          <w:kern w:val="0"/>
          <w:sz w:val="24"/>
          <w:szCs w:val="24"/>
          <w:highlight w:val="none"/>
        </w:rPr>
        <w:t>知</w:t>
      </w:r>
      <w:r>
        <w:rPr>
          <w:rFonts w:hint="eastAsia" w:ascii="宋体" w:hAnsi="宋体" w:eastAsia="宋体" w:cs="宋体"/>
          <w:color w:val="auto"/>
          <w:kern w:val="0"/>
          <w:sz w:val="24"/>
          <w:szCs w:val="24"/>
          <w:highlight w:val="none"/>
        </w:rPr>
        <w:t>书</w:t>
      </w:r>
      <w:r>
        <w:rPr>
          <w:rFonts w:hint="eastAsia" w:ascii="宋体" w:hAnsi="宋体" w:eastAsia="宋体" w:cs="宋体"/>
          <w:color w:val="auto"/>
          <w:spacing w:val="-2"/>
          <w:kern w:val="0"/>
          <w:sz w:val="24"/>
          <w:szCs w:val="24"/>
          <w:highlight w:val="none"/>
        </w:rPr>
        <w:t>发</w:t>
      </w:r>
      <w:r>
        <w:rPr>
          <w:rFonts w:hint="eastAsia" w:ascii="宋体" w:hAnsi="宋体" w:eastAsia="宋体" w:cs="宋体"/>
          <w:color w:val="auto"/>
          <w:kern w:val="0"/>
          <w:sz w:val="24"/>
          <w:szCs w:val="24"/>
          <w:highlight w:val="none"/>
        </w:rPr>
        <w:t>出后</w:t>
      </w:r>
      <w:r>
        <w:rPr>
          <w:rFonts w:ascii="宋体" w:hAnsi="宋体" w:eastAsia="宋体" w:cs="宋体"/>
          <w:color w:val="auto"/>
          <w:spacing w:val="-2"/>
          <w:kern w:val="0"/>
          <w:sz w:val="24"/>
          <w:szCs w:val="24"/>
          <w:highlight w:val="none"/>
        </w:rPr>
        <w:t>3</w:t>
      </w:r>
      <w:r>
        <w:rPr>
          <w:rFonts w:ascii="宋体" w:hAnsi="宋体" w:eastAsia="宋体" w:cs="宋体"/>
          <w:color w:val="auto"/>
          <w:kern w:val="0"/>
          <w:sz w:val="24"/>
          <w:szCs w:val="24"/>
          <w:highlight w:val="none"/>
        </w:rPr>
        <w:t>0</w:t>
      </w:r>
      <w:r>
        <w:rPr>
          <w:rFonts w:hint="eastAsia" w:ascii="宋体" w:hAnsi="宋体" w:eastAsia="宋体" w:cs="宋体"/>
          <w:color w:val="auto"/>
          <w:spacing w:val="-2"/>
          <w:kern w:val="0"/>
          <w:sz w:val="24"/>
          <w:szCs w:val="24"/>
          <w:highlight w:val="none"/>
        </w:rPr>
        <w:t>日</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向</w:t>
      </w:r>
      <w:r>
        <w:rPr>
          <w:rFonts w:hint="eastAsia" w:ascii="宋体" w:hAnsi="宋体" w:eastAsia="宋体" w:cs="宋体"/>
          <w:color w:val="auto"/>
          <w:kern w:val="0"/>
          <w:sz w:val="24"/>
          <w:szCs w:val="24"/>
          <w:highlight w:val="none"/>
        </w:rPr>
        <w:t>未</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人支</w:t>
      </w:r>
      <w:r>
        <w:rPr>
          <w:rFonts w:hint="eastAsia" w:ascii="宋体" w:hAnsi="宋体" w:eastAsia="宋体" w:cs="宋体"/>
          <w:color w:val="auto"/>
          <w:kern w:val="0"/>
          <w:sz w:val="24"/>
          <w:szCs w:val="24"/>
          <w:highlight w:val="none"/>
        </w:rPr>
        <w:t>付技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w:t>
      </w:r>
      <w:r>
        <w:rPr>
          <w:rFonts w:hint="eastAsia" w:ascii="宋体" w:hAnsi="宋体" w:eastAsia="宋体" w:cs="宋体"/>
          <w:color w:val="auto"/>
          <w:spacing w:val="-2"/>
          <w:kern w:val="0"/>
          <w:sz w:val="24"/>
          <w:szCs w:val="24"/>
          <w:highlight w:val="none"/>
        </w:rPr>
        <w:t>偿</w:t>
      </w:r>
      <w:r>
        <w:rPr>
          <w:rFonts w:hint="eastAsia" w:ascii="宋体" w:hAnsi="宋体" w:eastAsia="宋体" w:cs="宋体"/>
          <w:color w:val="auto"/>
          <w:kern w:val="0"/>
          <w:sz w:val="24"/>
          <w:szCs w:val="24"/>
          <w:highlight w:val="none"/>
        </w:rPr>
        <w:t>费。</w:t>
      </w:r>
    </w:p>
    <w:p w14:paraId="5F857AB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EC0BA6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3" w:name="_Toc20941"/>
      <w:bookmarkStart w:id="194" w:name="_Toc5726"/>
      <w:bookmarkStart w:id="195" w:name="_Toc193357986"/>
      <w:bookmarkStart w:id="196" w:name="_Toc111186770"/>
      <w:r>
        <w:rPr>
          <w:rFonts w:ascii="宋体" w:hAnsi="宋体" w:eastAsia="宋体" w:cs="宋体"/>
          <w:b/>
          <w:bCs/>
          <w:color w:val="auto"/>
          <w:spacing w:val="1"/>
          <w:sz w:val="28"/>
          <w:szCs w:val="32"/>
          <w:highlight w:val="none"/>
          <w:lang w:val="zh-CN"/>
        </w:rPr>
        <w:t>7</w:t>
      </w:r>
      <w:r>
        <w:rPr>
          <w:rFonts w:ascii="宋体" w:hAnsi="宋体" w:eastAsia="宋体" w:cs="宋体"/>
          <w:b/>
          <w:bCs/>
          <w:color w:val="auto"/>
          <w:spacing w:val="-1"/>
          <w:sz w:val="28"/>
          <w:szCs w:val="32"/>
          <w:highlight w:val="none"/>
          <w:lang w:val="zh-CN"/>
        </w:rPr>
        <w:t>.</w:t>
      </w:r>
      <w:r>
        <w:rPr>
          <w:rFonts w:ascii="宋体" w:hAnsi="宋体" w:eastAsia="宋体" w:cs="宋体"/>
          <w:b/>
          <w:bCs/>
          <w:color w:val="auto"/>
          <w:spacing w:val="1"/>
          <w:sz w:val="28"/>
          <w:szCs w:val="32"/>
          <w:highlight w:val="none"/>
          <w:lang w:val="zh-CN"/>
        </w:rPr>
        <w:t>7</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履约保证金</w:t>
      </w:r>
      <w:bookmarkEnd w:id="193"/>
      <w:bookmarkEnd w:id="194"/>
      <w:bookmarkEnd w:id="195"/>
      <w:bookmarkEnd w:id="196"/>
    </w:p>
    <w:p w14:paraId="6B284B0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7.7.1 </w:t>
      </w:r>
      <w:r>
        <w:rPr>
          <w:rFonts w:hint="eastAsia" w:ascii="宋体" w:hAnsi="宋体" w:eastAsia="宋体" w:cs="宋体"/>
          <w:color w:val="auto"/>
          <w:kern w:val="0"/>
          <w:sz w:val="24"/>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eastAsia="宋体" w:cs="宋体"/>
          <w:color w:val="auto"/>
          <w:kern w:val="0"/>
          <w:sz w:val="24"/>
          <w:szCs w:val="24"/>
          <w:highlight w:val="none"/>
        </w:rPr>
        <w:t>10%。联合体中标的，其履约保证金以联合体各方或者联合体</w:t>
      </w:r>
      <w:r>
        <w:rPr>
          <w:rFonts w:hint="eastAsia" w:ascii="宋体" w:hAnsi="宋体" w:eastAsia="宋体" w:cs="宋体"/>
          <w:color w:val="auto"/>
          <w:kern w:val="0"/>
          <w:sz w:val="24"/>
          <w:szCs w:val="24"/>
          <w:highlight w:val="none"/>
        </w:rPr>
        <w:t>中主办方的名义提交。</w:t>
      </w:r>
    </w:p>
    <w:p w14:paraId="3DC27F1D">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ascii="宋体" w:hAnsi="宋体" w:eastAsia="宋体" w:cs="宋体"/>
          <w:color w:val="auto"/>
          <w:kern w:val="0"/>
          <w:sz w:val="24"/>
          <w:szCs w:val="24"/>
          <w:highlight w:val="none"/>
        </w:rPr>
        <w:t xml:space="preserve">7.7.2 </w:t>
      </w:r>
      <w:r>
        <w:rPr>
          <w:rFonts w:hint="eastAsia" w:ascii="宋体" w:hAnsi="宋体" w:eastAsia="宋体" w:cs="宋体"/>
          <w:color w:val="auto"/>
          <w:kern w:val="0"/>
          <w:sz w:val="24"/>
          <w:szCs w:val="24"/>
          <w:highlight w:val="none"/>
        </w:rPr>
        <w:t>中标人不能按本章第</w:t>
      </w:r>
      <w:r>
        <w:rPr>
          <w:rFonts w:ascii="宋体" w:hAnsi="宋体" w:eastAsia="宋体" w:cs="宋体"/>
          <w:color w:val="auto"/>
          <w:kern w:val="0"/>
          <w:sz w:val="24"/>
          <w:szCs w:val="24"/>
          <w:highlight w:val="none"/>
        </w:rPr>
        <w:t>7.7.1项要求提交履约保证金的，视为放弃中标，其投标保证金不予退还，给招标人造成的损失超过投标保证金数额的，中标人还应当对超过部分予以赔偿。</w:t>
      </w:r>
    </w:p>
    <w:p w14:paraId="69934C9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2EEC4A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7" w:name="_Toc111186771"/>
      <w:bookmarkStart w:id="198" w:name="_Toc32040"/>
      <w:bookmarkStart w:id="199" w:name="_Toc7227"/>
      <w:bookmarkStart w:id="200" w:name="_Toc193357987"/>
      <w:r>
        <w:rPr>
          <w:rFonts w:ascii="宋体" w:hAnsi="宋体" w:eastAsia="宋体" w:cs="宋体"/>
          <w:b/>
          <w:bCs/>
          <w:color w:val="auto"/>
          <w:spacing w:val="1"/>
          <w:sz w:val="28"/>
          <w:szCs w:val="32"/>
          <w:highlight w:val="none"/>
          <w:lang w:val="zh-CN"/>
        </w:rPr>
        <w:t>7</w:t>
      </w:r>
      <w:r>
        <w:rPr>
          <w:rFonts w:ascii="宋体" w:hAnsi="宋体" w:eastAsia="宋体" w:cs="宋体"/>
          <w:b/>
          <w:bCs/>
          <w:color w:val="auto"/>
          <w:spacing w:val="-1"/>
          <w:sz w:val="28"/>
          <w:szCs w:val="32"/>
          <w:highlight w:val="none"/>
          <w:lang w:val="zh-CN"/>
        </w:rPr>
        <w:t>.</w:t>
      </w:r>
      <w:r>
        <w:rPr>
          <w:rFonts w:ascii="宋体" w:hAnsi="宋体" w:eastAsia="宋体" w:cs="宋体"/>
          <w:b/>
          <w:bCs/>
          <w:color w:val="auto"/>
          <w:spacing w:val="1"/>
          <w:sz w:val="28"/>
          <w:szCs w:val="32"/>
          <w:highlight w:val="none"/>
          <w:lang w:val="zh-CN"/>
        </w:rPr>
        <w:t>8</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签订合同</w:t>
      </w:r>
      <w:bookmarkEnd w:id="197"/>
      <w:bookmarkEnd w:id="198"/>
      <w:bookmarkEnd w:id="199"/>
      <w:bookmarkEnd w:id="200"/>
    </w:p>
    <w:p w14:paraId="6929425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7.8.1 </w:t>
      </w:r>
      <w:r>
        <w:rPr>
          <w:rFonts w:hint="eastAsia" w:ascii="宋体" w:hAnsi="宋体" w:eastAsia="宋体" w:cs="宋体"/>
          <w:color w:val="auto"/>
          <w:kern w:val="0"/>
          <w:sz w:val="24"/>
          <w:szCs w:val="24"/>
          <w:highlight w:val="none"/>
        </w:rPr>
        <w:t>招标人和中标人应当在中标通知书发出之日起</w:t>
      </w:r>
      <w:r>
        <w:rPr>
          <w:rFonts w:ascii="宋体" w:hAnsi="宋体" w:eastAsia="宋体" w:cs="宋体"/>
          <w:color w:val="auto"/>
          <w:kern w:val="0"/>
          <w:sz w:val="24"/>
          <w:szCs w:val="24"/>
          <w:highlight w:val="none"/>
        </w:rPr>
        <w:t>30日内，根据招标文件和中标人</w:t>
      </w:r>
      <w:r>
        <w:rPr>
          <w:rFonts w:hint="eastAsia" w:ascii="宋体" w:hAnsi="宋体" w:eastAsia="宋体" w:cs="宋体"/>
          <w:color w:val="auto"/>
          <w:kern w:val="0"/>
          <w:sz w:val="24"/>
          <w:szCs w:val="24"/>
          <w:highlight w:val="none"/>
        </w:rPr>
        <w:t>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EE307C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7.8.2 </w:t>
      </w:r>
      <w:r>
        <w:rPr>
          <w:rFonts w:hint="eastAsia" w:ascii="宋体" w:hAnsi="宋体" w:eastAsia="宋体" w:cs="宋体"/>
          <w:color w:val="auto"/>
          <w:kern w:val="0"/>
          <w:sz w:val="24"/>
          <w:szCs w:val="24"/>
          <w:highlight w:val="none"/>
        </w:rPr>
        <w:t>发出中标通知书后，招标人无正当理由拒签合同，或者在签订合同时向中标人提出附加条件的，招标人向中标人退还投标保证金；给中标人造成损失的，还应当赔偿损失。</w:t>
      </w:r>
    </w:p>
    <w:p w14:paraId="6D7433E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7.8.3 </w:t>
      </w:r>
      <w:r>
        <w:rPr>
          <w:rFonts w:hint="eastAsia" w:ascii="宋体" w:hAnsi="宋体" w:eastAsia="宋体" w:cs="宋体"/>
          <w:color w:val="auto"/>
          <w:kern w:val="0"/>
          <w:sz w:val="24"/>
          <w:szCs w:val="24"/>
          <w:highlight w:val="none"/>
        </w:rPr>
        <w:t>联合体中标的，联合体各方应当共同与招标人签订合同，就中标项目向招标人承担连带责任。</w:t>
      </w:r>
    </w:p>
    <w:p w14:paraId="1DF7EAD4">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AF88CA0">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201" w:name="_Toc25504"/>
      <w:bookmarkStart w:id="202" w:name="_Toc111186772"/>
      <w:bookmarkStart w:id="203" w:name="_Toc193357988"/>
      <w:bookmarkStart w:id="204" w:name="_Toc14874"/>
      <w:r>
        <w:rPr>
          <w:rFonts w:ascii="宋体" w:hAnsi="宋体" w:eastAsia="宋体" w:cs="宋体"/>
          <w:b/>
          <w:bCs/>
          <w:color w:val="auto"/>
          <w:spacing w:val="1"/>
          <w:kern w:val="0"/>
          <w:sz w:val="30"/>
          <w:szCs w:val="30"/>
          <w:highlight w:val="none"/>
          <w:lang w:val="zh-CN"/>
        </w:rPr>
        <w:t>8</w:t>
      </w:r>
      <w:r>
        <w:rPr>
          <w:rFonts w:ascii="宋体" w:hAnsi="宋体" w:eastAsia="宋体" w:cs="宋体"/>
          <w:b/>
          <w:bCs/>
          <w:color w:val="auto"/>
          <w:spacing w:val="-1"/>
          <w:kern w:val="0"/>
          <w:sz w:val="30"/>
          <w:szCs w:val="30"/>
          <w:highlight w:val="none"/>
          <w:lang w:val="zh-CN"/>
        </w:rPr>
        <w:t>.</w:t>
      </w:r>
      <w:r>
        <w:rPr>
          <w:rFonts w:hint="eastAsia" w:ascii="宋体" w:hAnsi="宋体" w:eastAsia="宋体" w:cs="宋体"/>
          <w:b/>
          <w:bCs/>
          <w:color w:val="auto"/>
          <w:kern w:val="0"/>
          <w:sz w:val="30"/>
          <w:szCs w:val="30"/>
          <w:highlight w:val="none"/>
          <w:lang w:val="zh-CN"/>
        </w:rPr>
        <w:t>纪律和监督</w:t>
      </w:r>
      <w:bookmarkEnd w:id="201"/>
      <w:bookmarkEnd w:id="202"/>
      <w:bookmarkEnd w:id="203"/>
      <w:bookmarkEnd w:id="204"/>
    </w:p>
    <w:p w14:paraId="3C37A62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05" w:name="_Toc193357989"/>
      <w:bookmarkStart w:id="206" w:name="_Toc2774"/>
      <w:bookmarkStart w:id="207" w:name="_Toc3133"/>
      <w:bookmarkStart w:id="208" w:name="_Toc111186773"/>
      <w:r>
        <w:rPr>
          <w:rFonts w:ascii="宋体" w:hAnsi="宋体" w:eastAsia="宋体" w:cs="宋体"/>
          <w:b/>
          <w:bCs/>
          <w:color w:val="auto"/>
          <w:spacing w:val="1"/>
          <w:sz w:val="28"/>
          <w:szCs w:val="32"/>
          <w:highlight w:val="none"/>
          <w:lang w:val="zh-CN"/>
        </w:rPr>
        <w:t>8.1</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对招标人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205"/>
      <w:bookmarkEnd w:id="206"/>
      <w:bookmarkEnd w:id="207"/>
      <w:bookmarkEnd w:id="208"/>
    </w:p>
    <w:p w14:paraId="3DEDD95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招标人不得泄露招标投标活动中应当保密的情况和资料，不得与投标人串通损害国家利益、社会公共利益或者他人合法权益。</w:t>
      </w:r>
    </w:p>
    <w:p w14:paraId="714498D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09" w:name="_Toc193357990"/>
      <w:bookmarkStart w:id="210" w:name="_Toc111186774"/>
      <w:bookmarkStart w:id="211" w:name="_Toc2224"/>
      <w:bookmarkStart w:id="212" w:name="_Toc9243"/>
      <w:r>
        <w:rPr>
          <w:rFonts w:ascii="宋体" w:hAnsi="宋体" w:eastAsia="宋体" w:cs="宋体"/>
          <w:b/>
          <w:bCs/>
          <w:color w:val="auto"/>
          <w:spacing w:val="1"/>
          <w:sz w:val="28"/>
          <w:szCs w:val="32"/>
          <w:highlight w:val="none"/>
          <w:lang w:val="zh-CN"/>
        </w:rPr>
        <w:t>8.2</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对投标人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209"/>
      <w:bookmarkEnd w:id="210"/>
      <w:bookmarkEnd w:id="211"/>
      <w:bookmarkEnd w:id="212"/>
    </w:p>
    <w:p w14:paraId="6FA9230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FF0933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13" w:name="_Toc12705"/>
      <w:bookmarkStart w:id="214" w:name="_Toc111186775"/>
      <w:bookmarkStart w:id="215" w:name="_Toc193357991"/>
      <w:bookmarkStart w:id="216" w:name="_Toc30238"/>
      <w:r>
        <w:rPr>
          <w:rFonts w:ascii="宋体" w:hAnsi="宋体" w:eastAsia="宋体" w:cs="宋体"/>
          <w:b/>
          <w:bCs/>
          <w:color w:val="auto"/>
          <w:spacing w:val="1"/>
          <w:sz w:val="28"/>
          <w:szCs w:val="32"/>
          <w:highlight w:val="none"/>
          <w:lang w:val="zh-CN"/>
        </w:rPr>
        <w:t>8.3</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对评标委</w:t>
      </w:r>
      <w:r>
        <w:rPr>
          <w:rFonts w:hint="eastAsia" w:ascii="宋体" w:hAnsi="宋体" w:eastAsia="宋体" w:cs="宋体"/>
          <w:b/>
          <w:bCs/>
          <w:color w:val="auto"/>
          <w:spacing w:val="-3"/>
          <w:sz w:val="28"/>
          <w:szCs w:val="32"/>
          <w:highlight w:val="none"/>
          <w:lang w:val="zh-CN"/>
        </w:rPr>
        <w:t>员</w:t>
      </w:r>
      <w:r>
        <w:rPr>
          <w:rFonts w:hint="eastAsia" w:ascii="宋体" w:hAnsi="宋体" w:eastAsia="宋体" w:cs="宋体"/>
          <w:b/>
          <w:bCs/>
          <w:color w:val="auto"/>
          <w:spacing w:val="1"/>
          <w:sz w:val="28"/>
          <w:szCs w:val="32"/>
          <w:highlight w:val="none"/>
          <w:lang w:val="zh-CN"/>
        </w:rPr>
        <w:t>会</w:t>
      </w:r>
      <w:r>
        <w:rPr>
          <w:rFonts w:hint="eastAsia" w:ascii="宋体" w:hAnsi="宋体" w:eastAsia="宋体" w:cs="宋体"/>
          <w:b/>
          <w:bCs/>
          <w:color w:val="auto"/>
          <w:spacing w:val="-3"/>
          <w:sz w:val="28"/>
          <w:szCs w:val="32"/>
          <w:highlight w:val="none"/>
          <w:lang w:val="zh-CN"/>
        </w:rPr>
        <w:t>成</w:t>
      </w:r>
      <w:r>
        <w:rPr>
          <w:rFonts w:hint="eastAsia" w:ascii="宋体" w:hAnsi="宋体" w:eastAsia="宋体" w:cs="宋体"/>
          <w:b/>
          <w:bCs/>
          <w:color w:val="auto"/>
          <w:spacing w:val="1"/>
          <w:sz w:val="28"/>
          <w:szCs w:val="32"/>
          <w:highlight w:val="none"/>
          <w:lang w:val="zh-CN"/>
        </w:rPr>
        <w:t>员的纪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213"/>
      <w:bookmarkEnd w:id="214"/>
      <w:bookmarkEnd w:id="215"/>
      <w:bookmarkEnd w:id="216"/>
    </w:p>
    <w:p w14:paraId="5624A92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评标委员会成员不得收受他人的财物或者其他好处，不得向他人透露对投标文件的评审和</w:t>
      </w:r>
      <w:r>
        <w:rPr>
          <w:rFonts w:ascii="宋体" w:hAnsi="宋体" w:eastAsia="宋体" w:cs="宋体"/>
          <w:color w:val="auto"/>
          <w:kern w:val="0"/>
          <w:sz w:val="24"/>
          <w:szCs w:val="24"/>
          <w:highlight w:val="none"/>
        </w:rPr>
        <w:t>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779963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17" w:name="_Toc193357992"/>
      <w:bookmarkStart w:id="218" w:name="_Toc9711"/>
      <w:bookmarkStart w:id="219" w:name="_Toc6270"/>
      <w:bookmarkStart w:id="220" w:name="_Toc111186776"/>
      <w:r>
        <w:rPr>
          <w:rFonts w:ascii="宋体" w:hAnsi="宋体" w:eastAsia="宋体" w:cs="宋体"/>
          <w:b/>
          <w:bCs/>
          <w:color w:val="auto"/>
          <w:spacing w:val="1"/>
          <w:sz w:val="28"/>
          <w:szCs w:val="32"/>
          <w:highlight w:val="none"/>
          <w:lang w:val="zh-CN"/>
        </w:rPr>
        <w:t>8.4</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对与评标</w:t>
      </w:r>
      <w:r>
        <w:rPr>
          <w:rFonts w:hint="eastAsia" w:ascii="宋体" w:hAnsi="宋体" w:eastAsia="宋体" w:cs="宋体"/>
          <w:b/>
          <w:bCs/>
          <w:color w:val="auto"/>
          <w:spacing w:val="-3"/>
          <w:sz w:val="28"/>
          <w:szCs w:val="32"/>
          <w:highlight w:val="none"/>
          <w:lang w:val="zh-CN"/>
        </w:rPr>
        <w:t>活</w:t>
      </w:r>
      <w:r>
        <w:rPr>
          <w:rFonts w:hint="eastAsia" w:ascii="宋体" w:hAnsi="宋体" w:eastAsia="宋体" w:cs="宋体"/>
          <w:b/>
          <w:bCs/>
          <w:color w:val="auto"/>
          <w:spacing w:val="1"/>
          <w:sz w:val="28"/>
          <w:szCs w:val="32"/>
          <w:highlight w:val="none"/>
          <w:lang w:val="zh-CN"/>
        </w:rPr>
        <w:t>动</w:t>
      </w:r>
      <w:r>
        <w:rPr>
          <w:rFonts w:hint="eastAsia" w:ascii="宋体" w:hAnsi="宋体" w:eastAsia="宋体" w:cs="宋体"/>
          <w:b/>
          <w:bCs/>
          <w:color w:val="auto"/>
          <w:spacing w:val="-3"/>
          <w:sz w:val="28"/>
          <w:szCs w:val="32"/>
          <w:highlight w:val="none"/>
          <w:lang w:val="zh-CN"/>
        </w:rPr>
        <w:t>有</w:t>
      </w:r>
      <w:r>
        <w:rPr>
          <w:rFonts w:hint="eastAsia" w:ascii="宋体" w:hAnsi="宋体" w:eastAsia="宋体" w:cs="宋体"/>
          <w:b/>
          <w:bCs/>
          <w:color w:val="auto"/>
          <w:spacing w:val="1"/>
          <w:sz w:val="28"/>
          <w:szCs w:val="32"/>
          <w:highlight w:val="none"/>
          <w:lang w:val="zh-CN"/>
        </w:rPr>
        <w:t>关的工</w:t>
      </w:r>
      <w:r>
        <w:rPr>
          <w:rFonts w:hint="eastAsia" w:ascii="宋体" w:hAnsi="宋体" w:eastAsia="宋体" w:cs="宋体"/>
          <w:b/>
          <w:bCs/>
          <w:color w:val="auto"/>
          <w:spacing w:val="-3"/>
          <w:sz w:val="28"/>
          <w:szCs w:val="32"/>
          <w:highlight w:val="none"/>
          <w:lang w:val="zh-CN"/>
        </w:rPr>
        <w:t>作</w:t>
      </w:r>
      <w:r>
        <w:rPr>
          <w:rFonts w:hint="eastAsia" w:ascii="宋体" w:hAnsi="宋体" w:eastAsia="宋体" w:cs="宋体"/>
          <w:b/>
          <w:bCs/>
          <w:color w:val="auto"/>
          <w:spacing w:val="1"/>
          <w:sz w:val="28"/>
          <w:szCs w:val="32"/>
          <w:highlight w:val="none"/>
          <w:lang w:val="zh-CN"/>
        </w:rPr>
        <w:t>人员</w:t>
      </w:r>
      <w:r>
        <w:rPr>
          <w:rFonts w:hint="eastAsia" w:ascii="宋体" w:hAnsi="宋体" w:eastAsia="宋体" w:cs="宋体"/>
          <w:b/>
          <w:bCs/>
          <w:color w:val="auto"/>
          <w:spacing w:val="-3"/>
          <w:sz w:val="28"/>
          <w:szCs w:val="32"/>
          <w:highlight w:val="none"/>
          <w:lang w:val="zh-CN"/>
        </w:rPr>
        <w:t>的纪</w:t>
      </w:r>
      <w:r>
        <w:rPr>
          <w:rFonts w:hint="eastAsia" w:ascii="宋体" w:hAnsi="宋体" w:eastAsia="宋体" w:cs="宋体"/>
          <w:b/>
          <w:bCs/>
          <w:color w:val="auto"/>
          <w:spacing w:val="1"/>
          <w:sz w:val="28"/>
          <w:szCs w:val="32"/>
          <w:highlight w:val="none"/>
          <w:lang w:val="zh-CN"/>
        </w:rPr>
        <w:t>律要求</w:t>
      </w:r>
      <w:bookmarkEnd w:id="217"/>
      <w:bookmarkEnd w:id="218"/>
      <w:bookmarkEnd w:id="219"/>
      <w:bookmarkEnd w:id="220"/>
    </w:p>
    <w:p w14:paraId="615A0D6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1F904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6C0B23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21" w:name="_Toc3297"/>
      <w:bookmarkStart w:id="222" w:name="_Toc9036"/>
      <w:bookmarkStart w:id="223" w:name="_Toc193357993"/>
      <w:bookmarkStart w:id="224" w:name="_Toc111186777"/>
      <w:r>
        <w:rPr>
          <w:rFonts w:ascii="宋体" w:hAnsi="宋体" w:eastAsia="宋体" w:cs="宋体"/>
          <w:b/>
          <w:bCs/>
          <w:color w:val="auto"/>
          <w:spacing w:val="1"/>
          <w:sz w:val="28"/>
          <w:szCs w:val="32"/>
          <w:highlight w:val="none"/>
          <w:lang w:val="zh-CN"/>
        </w:rPr>
        <w:t>8.5</w:t>
      </w:r>
      <w:r>
        <w:rPr>
          <w:rFonts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投诉</w:t>
      </w:r>
      <w:bookmarkEnd w:id="221"/>
      <w:bookmarkEnd w:id="222"/>
      <w:bookmarkEnd w:id="223"/>
      <w:bookmarkEnd w:id="224"/>
    </w:p>
    <w:p w14:paraId="0F9DBC8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8.5.1 </w:t>
      </w:r>
      <w:r>
        <w:rPr>
          <w:rFonts w:hint="eastAsia" w:ascii="宋体" w:hAnsi="宋体" w:eastAsia="宋体" w:cs="宋体"/>
          <w:color w:val="auto"/>
          <w:kern w:val="0"/>
          <w:sz w:val="24"/>
          <w:szCs w:val="24"/>
          <w:highlight w:val="none"/>
        </w:rPr>
        <w:t>投标人或者其他利害关系人认为招标投标活动不符合法律、行政法规规定的，可以自知道或者应当知道之日起</w:t>
      </w:r>
      <w:r>
        <w:rPr>
          <w:rFonts w:ascii="宋体" w:hAnsi="宋体" w:eastAsia="宋体" w:cs="宋体"/>
          <w:color w:val="auto"/>
          <w:kern w:val="0"/>
          <w:sz w:val="24"/>
          <w:szCs w:val="24"/>
          <w:highlight w:val="none"/>
        </w:rPr>
        <w:t>10日内向有关行政监督部门投诉。投诉应当有明确的请求和必要的证明材料。</w:t>
      </w:r>
    </w:p>
    <w:p w14:paraId="5D86497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8.5.2 </w:t>
      </w:r>
      <w:r>
        <w:rPr>
          <w:rFonts w:hint="eastAsia" w:ascii="宋体" w:hAnsi="宋体" w:eastAsia="宋体" w:cs="宋体"/>
          <w:color w:val="auto"/>
          <w:kern w:val="0"/>
          <w:sz w:val="24"/>
          <w:szCs w:val="24"/>
          <w:highlight w:val="none"/>
        </w:rPr>
        <w:t>投标人或者其他利害关系人对招标文件、开标和评标结果提出投诉的，</w:t>
      </w:r>
      <w:r>
        <w:rPr>
          <w:rFonts w:ascii="宋体" w:hAnsi="宋体" w:eastAsia="宋体" w:cs="宋体"/>
          <w:color w:val="auto"/>
          <w:kern w:val="0"/>
          <w:sz w:val="24"/>
          <w:szCs w:val="24"/>
          <w:highlight w:val="none"/>
        </w:rPr>
        <w:t>应当按照投标人须知第2.4款、第5.3款和第7.2款的规定先向招标人提出异议。异议答复期间不计算在第8.5.1项规定的期限内。</w:t>
      </w:r>
    </w:p>
    <w:p w14:paraId="03BD3E5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E0D367F">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225" w:name="_Toc111186778"/>
      <w:bookmarkStart w:id="226" w:name="_Toc32014"/>
      <w:bookmarkStart w:id="227" w:name="_Toc17804"/>
      <w:bookmarkStart w:id="228" w:name="_Toc193357994"/>
      <w:r>
        <w:rPr>
          <w:rFonts w:ascii="宋体" w:hAnsi="宋体" w:eastAsia="宋体" w:cs="宋体"/>
          <w:b/>
          <w:bCs/>
          <w:color w:val="auto"/>
          <w:spacing w:val="1"/>
          <w:kern w:val="0"/>
          <w:sz w:val="30"/>
          <w:szCs w:val="30"/>
          <w:highlight w:val="none"/>
          <w:lang w:val="zh-CN"/>
        </w:rPr>
        <w:t>9</w:t>
      </w:r>
      <w:r>
        <w:rPr>
          <w:rFonts w:ascii="宋体" w:hAnsi="宋体" w:eastAsia="宋体" w:cs="宋体"/>
          <w:b/>
          <w:bCs/>
          <w:color w:val="auto"/>
          <w:kern w:val="0"/>
          <w:sz w:val="30"/>
          <w:szCs w:val="30"/>
          <w:highlight w:val="none"/>
          <w:lang w:val="zh-CN"/>
        </w:rPr>
        <w:t>.</w:t>
      </w:r>
      <w:r>
        <w:rPr>
          <w:rFonts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是否采用电子招标投标</w:t>
      </w:r>
      <w:bookmarkEnd w:id="225"/>
      <w:bookmarkEnd w:id="226"/>
      <w:bookmarkEnd w:id="227"/>
      <w:bookmarkEnd w:id="228"/>
    </w:p>
    <w:p w14:paraId="2BF0640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本招标项目采用电子招标投标方式，按照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403A3BB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51250F3">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229" w:name="_Toc193357995"/>
      <w:bookmarkStart w:id="230" w:name="_Toc25836"/>
      <w:bookmarkStart w:id="231" w:name="_Toc111186779"/>
      <w:bookmarkStart w:id="232" w:name="_Toc1018"/>
      <w:r>
        <w:rPr>
          <w:rFonts w:ascii="宋体" w:hAnsi="宋体" w:eastAsia="宋体" w:cs="宋体"/>
          <w:b/>
          <w:bCs/>
          <w:color w:val="auto"/>
          <w:spacing w:val="1"/>
          <w:kern w:val="0"/>
          <w:sz w:val="30"/>
          <w:szCs w:val="30"/>
          <w:highlight w:val="none"/>
          <w:lang w:val="zh-CN"/>
        </w:rPr>
        <w:t>10</w:t>
      </w:r>
      <w:r>
        <w:rPr>
          <w:rFonts w:ascii="宋体" w:hAnsi="宋体" w:eastAsia="宋体" w:cs="宋体"/>
          <w:b/>
          <w:bCs/>
          <w:color w:val="auto"/>
          <w:kern w:val="0"/>
          <w:sz w:val="30"/>
          <w:szCs w:val="30"/>
          <w:highlight w:val="none"/>
          <w:lang w:val="zh-CN"/>
        </w:rPr>
        <w:t>.</w:t>
      </w:r>
      <w:r>
        <w:rPr>
          <w:rFonts w:ascii="宋体" w:hAnsi="宋体" w:eastAsia="宋体" w:cs="宋体"/>
          <w:b/>
          <w:bCs/>
          <w:color w:val="auto"/>
          <w:spacing w:val="74"/>
          <w:kern w:val="0"/>
          <w:sz w:val="30"/>
          <w:szCs w:val="30"/>
          <w:highlight w:val="none"/>
          <w:lang w:val="zh-CN"/>
        </w:rPr>
        <w:t xml:space="preserve"> </w:t>
      </w:r>
      <w:bookmarkEnd w:id="229"/>
      <w:bookmarkEnd w:id="230"/>
      <w:bookmarkEnd w:id="231"/>
      <w:r>
        <w:rPr>
          <w:rFonts w:hint="eastAsia" w:ascii="宋体" w:hAnsi="宋体" w:eastAsia="宋体" w:cs="宋体"/>
          <w:b/>
          <w:bCs/>
          <w:color w:val="auto"/>
          <w:kern w:val="0"/>
          <w:sz w:val="30"/>
          <w:szCs w:val="30"/>
          <w:highlight w:val="none"/>
          <w:lang w:val="zh-CN"/>
        </w:rPr>
        <w:t>重新招标情形</w:t>
      </w:r>
      <w:bookmarkEnd w:id="232"/>
    </w:p>
    <w:p w14:paraId="2D62413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在下列情况下，依法必须招标项目的招标人在分析招标失败的原因并采取相应措施后，应当依照本办法重新招标：</w:t>
      </w:r>
    </w:p>
    <w:p w14:paraId="2D6D364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（一）资格预审合格的潜在投标人不足三个的；</w:t>
      </w:r>
    </w:p>
    <w:p w14:paraId="51C8CE7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（二）在投标截止时间前提交投标文件的投标人少于三个的；</w:t>
      </w:r>
    </w:p>
    <w:p w14:paraId="1FA652D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（三）所有投标均被否决的；</w:t>
      </w:r>
    </w:p>
    <w:p w14:paraId="4AC4321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（四）评标委员会否决不合格投标后，因有效投标不足三个使得投标明显缺乏竞争，评标委员会决定否决全部投标的；</w:t>
      </w:r>
    </w:p>
    <w:p w14:paraId="63C229C4">
      <w:pPr>
        <w:wordWrap w:val="0"/>
        <w:autoSpaceDE w:val="0"/>
        <w:autoSpaceDN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（五）根据《工程建设项目勘察设计招标投标办法》第四十六条规定，同意延长投标有效期的投标人少于三个的</w:t>
      </w:r>
      <w:r>
        <w:rPr>
          <w:rFonts w:hint="eastAsia" w:ascii="宋体" w:hAnsi="宋体" w:eastAsia="宋体" w:cs="宋体"/>
          <w:color w:val="auto"/>
          <w:kern w:val="0"/>
          <w:sz w:val="24"/>
          <w:szCs w:val="24"/>
          <w:highlight w:val="none"/>
          <w:lang w:eastAsia="zh-CN"/>
        </w:rPr>
        <w:t>。</w:t>
      </w:r>
    </w:p>
    <w:p w14:paraId="6E83AAB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3EE0FB0">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233" w:name="_Toc30046"/>
      <w:r>
        <w:rPr>
          <w:rFonts w:ascii="宋体" w:hAnsi="宋体" w:eastAsia="宋体" w:cs="宋体"/>
          <w:b/>
          <w:bCs/>
          <w:color w:val="auto"/>
          <w:spacing w:val="1"/>
          <w:kern w:val="0"/>
          <w:sz w:val="30"/>
          <w:szCs w:val="30"/>
          <w:highlight w:val="none"/>
          <w:lang w:val="zh-CN"/>
        </w:rPr>
        <w:t>11</w:t>
      </w:r>
      <w:r>
        <w:rPr>
          <w:rFonts w:ascii="宋体" w:hAnsi="宋体" w:eastAsia="宋体" w:cs="宋体"/>
          <w:b/>
          <w:bCs/>
          <w:color w:val="auto"/>
          <w:kern w:val="0"/>
          <w:sz w:val="30"/>
          <w:szCs w:val="30"/>
          <w:highlight w:val="none"/>
          <w:lang w:val="zh-CN"/>
        </w:rPr>
        <w:t>.</w:t>
      </w:r>
      <w:r>
        <w:rPr>
          <w:rFonts w:ascii="宋体" w:hAnsi="宋体" w:eastAsia="宋体" w:cs="宋体"/>
          <w:b/>
          <w:bCs/>
          <w:color w:val="auto"/>
          <w:spacing w:val="74"/>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需要补充的其他内容</w:t>
      </w:r>
      <w:bookmarkEnd w:id="233"/>
    </w:p>
    <w:p w14:paraId="54770BC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需要补充的其他内容：见投标人须知前附表。</w:t>
      </w:r>
    </w:p>
    <w:p w14:paraId="2FF2208C">
      <w:pPr>
        <w:rPr>
          <w:rFonts w:ascii="宋体" w:hAnsi="宋体" w:eastAsia="宋体" w:cs="宋体"/>
          <w:b/>
          <w:bCs/>
          <w:color w:val="auto"/>
          <w:spacing w:val="1"/>
          <w:kern w:val="0"/>
          <w:sz w:val="28"/>
          <w:szCs w:val="32"/>
          <w:highlight w:val="none"/>
          <w:lang w:val="zh-CN"/>
        </w:rPr>
      </w:pPr>
      <w:r>
        <w:rPr>
          <w:rFonts w:ascii="宋体" w:hAnsi="宋体" w:eastAsia="宋体" w:cs="宋体"/>
          <w:b/>
          <w:bCs/>
          <w:color w:val="auto"/>
          <w:spacing w:val="1"/>
          <w:kern w:val="0"/>
          <w:sz w:val="28"/>
          <w:szCs w:val="32"/>
          <w:highlight w:val="none"/>
          <w:lang w:val="zh-CN"/>
        </w:rPr>
        <w:br w:type="page"/>
      </w:r>
    </w:p>
    <w:p w14:paraId="69634997">
      <w:pPr>
        <w:pStyle w:val="4"/>
        <w:wordWrap/>
        <w:topLinePunct w:val="0"/>
        <w:bidi w:val="0"/>
        <w:spacing w:before="0" w:beforeLines="0" w:beforeAutospacing="0" w:after="0" w:afterLines="0" w:afterAutospacing="0" w:line="360" w:lineRule="auto"/>
        <w:rPr>
          <w:rFonts w:hint="eastAsia" w:ascii="宋体" w:hAnsi="宋体" w:eastAsia="宋体" w:cs="宋体"/>
          <w:color w:val="auto"/>
          <w:spacing w:val="7"/>
          <w:sz w:val="27"/>
          <w:szCs w:val="27"/>
          <w:highlight w:val="none"/>
        </w:rPr>
      </w:pPr>
      <w:bookmarkStart w:id="234" w:name="_Toc18752"/>
      <w:r>
        <w:rPr>
          <w:rFonts w:hint="eastAsia" w:ascii="宋体" w:hAnsi="宋体" w:eastAsia="宋体" w:cs="宋体"/>
          <w:color w:val="auto"/>
          <w:spacing w:val="10"/>
          <w:sz w:val="27"/>
          <w:szCs w:val="27"/>
          <w:highlight w:val="none"/>
        </w:rPr>
        <w:t>附</w:t>
      </w:r>
      <w:r>
        <w:rPr>
          <w:rFonts w:hint="eastAsia" w:ascii="宋体" w:hAnsi="宋体" w:eastAsia="宋体" w:cs="宋体"/>
          <w:color w:val="auto"/>
          <w:spacing w:val="7"/>
          <w:sz w:val="27"/>
          <w:szCs w:val="27"/>
          <w:highlight w:val="none"/>
        </w:rPr>
        <w:t>件</w:t>
      </w:r>
      <w:r>
        <w:rPr>
          <w:rFonts w:hint="eastAsia" w:cs="宋体"/>
          <w:color w:val="auto"/>
          <w:spacing w:val="7"/>
          <w:sz w:val="27"/>
          <w:szCs w:val="27"/>
          <w:highlight w:val="none"/>
          <w:lang w:val="en-US" w:eastAsia="zh-CN"/>
        </w:rPr>
        <w:t>一</w:t>
      </w:r>
      <w:r>
        <w:rPr>
          <w:rFonts w:hint="eastAsia" w:ascii="宋体" w:hAnsi="宋体" w:eastAsia="宋体" w:cs="宋体"/>
          <w:color w:val="auto"/>
          <w:spacing w:val="7"/>
          <w:sz w:val="27"/>
          <w:szCs w:val="27"/>
          <w:highlight w:val="none"/>
        </w:rPr>
        <w:t>：评标委员会成员声明</w:t>
      </w:r>
      <w:bookmarkEnd w:id="234"/>
    </w:p>
    <w:p w14:paraId="5D25789F">
      <w:pPr>
        <w:shd w:val="clear" w:color="auto" w:fill="auto"/>
        <w:ind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2491F551">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6EA295B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3DB5287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58F17C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54BBBB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948E72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22A527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9442C0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0710932B">
      <w:pPr>
        <w:shd w:val="clear" w:color="auto" w:fill="auto"/>
        <w:spacing w:line="360" w:lineRule="auto"/>
        <w:ind w:firstLine="480" w:firstLineChars="200"/>
        <w:rPr>
          <w:rFonts w:ascii="宋体" w:hAnsi="宋体" w:eastAsia="宋体" w:cs="宋体"/>
          <w:b/>
          <w:bCs/>
          <w:color w:val="auto"/>
          <w:spacing w:val="1"/>
          <w:sz w:val="28"/>
          <w:szCs w:val="32"/>
          <w:highlight w:val="none"/>
          <w:lang w:val="zh-CN"/>
        </w:rPr>
      </w:pPr>
      <w:r>
        <w:rPr>
          <w:rFonts w:hint="eastAsia" w:ascii="宋体" w:hAnsi="宋体" w:eastAsia="宋体" w:cs="宋体"/>
          <w:color w:val="auto"/>
          <w:sz w:val="24"/>
          <w:szCs w:val="24"/>
          <w:highlight w:val="none"/>
        </w:rPr>
        <w:t>声明人：</w:t>
      </w:r>
      <w:r>
        <w:rPr>
          <w:rFonts w:hint="eastAsia" w:ascii="宋体" w:hAnsi="宋体" w:eastAsia="宋体" w:cs="宋体"/>
          <w:color w:val="auto"/>
          <w:sz w:val="24"/>
          <w:szCs w:val="24"/>
          <w:highlight w:val="none"/>
          <w:u w:val="single"/>
        </w:rPr>
        <w:t xml:space="preserve">（签名）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日期：</w:t>
      </w:r>
      <w:r>
        <w:rPr>
          <w:rFonts w:ascii="宋体" w:hAnsi="宋体" w:eastAsia="宋体" w:cs="宋体"/>
          <w:b/>
          <w:bCs/>
          <w:color w:val="auto"/>
          <w:spacing w:val="1"/>
          <w:kern w:val="0"/>
          <w:sz w:val="28"/>
          <w:szCs w:val="32"/>
          <w:highlight w:val="none"/>
          <w:lang w:val="zh-CN"/>
        </w:rPr>
        <w:br w:type="page"/>
      </w:r>
      <w:bookmarkStart w:id="235" w:name="_Toc193357997"/>
      <w:bookmarkStart w:id="236" w:name="_Toc111186781"/>
      <w:bookmarkStart w:id="237" w:name="_Toc5282"/>
    </w:p>
    <w:bookmarkEnd w:id="235"/>
    <w:bookmarkEnd w:id="236"/>
    <w:bookmarkEnd w:id="237"/>
    <w:p w14:paraId="355F4419">
      <w:pPr>
        <w:pStyle w:val="2"/>
        <w:rPr>
          <w:rFonts w:ascii="宋体" w:hAnsi="宋体"/>
          <w:color w:val="auto"/>
          <w:highlight w:val="none"/>
        </w:rPr>
      </w:pPr>
      <w:bookmarkStart w:id="238" w:name="_Toc1238"/>
      <w:bookmarkStart w:id="239" w:name="_Toc111186786"/>
      <w:r>
        <w:rPr>
          <w:rFonts w:hint="eastAsia" w:ascii="宋体" w:hAnsi="宋体"/>
          <w:color w:val="auto"/>
          <w:highlight w:val="none"/>
        </w:rPr>
        <w:t>第三章  评标办法（综合评估法）</w:t>
      </w:r>
      <w:bookmarkEnd w:id="238"/>
      <w:bookmarkEnd w:id="239"/>
    </w:p>
    <w:p w14:paraId="6CF62AF8">
      <w:pPr>
        <w:wordWrap w:val="0"/>
        <w:jc w:val="center"/>
        <w:outlineLvl w:val="9"/>
        <w:rPr>
          <w:rFonts w:hint="eastAsia" w:ascii="宋体" w:hAnsi="宋体" w:eastAsia="宋体" w:cs="宋体"/>
          <w:color w:val="auto"/>
          <w:sz w:val="32"/>
          <w:szCs w:val="32"/>
          <w:highlight w:val="none"/>
        </w:rPr>
      </w:pPr>
      <w:bookmarkStart w:id="240" w:name="_Toc32538"/>
      <w:bookmarkStart w:id="241" w:name="_Toc111186787"/>
      <w:bookmarkStart w:id="242" w:name="_Toc193358003"/>
      <w:r>
        <w:rPr>
          <w:rFonts w:hint="eastAsia" w:ascii="宋体" w:hAnsi="宋体" w:eastAsia="宋体" w:cs="宋体"/>
          <w:color w:val="auto"/>
          <w:sz w:val="32"/>
          <w:szCs w:val="32"/>
          <w:highlight w:val="none"/>
        </w:rPr>
        <w:t>（适用于技术文件为暗标形式）</w:t>
      </w:r>
    </w:p>
    <w:p w14:paraId="22C43F49">
      <w:pPr>
        <w:wordWrap w:val="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评标办法前附表</w:t>
      </w:r>
      <w:bookmarkEnd w:id="240"/>
      <w:bookmarkEnd w:id="241"/>
      <w:bookmarkEnd w:id="242"/>
    </w:p>
    <w:tbl>
      <w:tblPr>
        <w:tblStyle w:val="45"/>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50"/>
        <w:gridCol w:w="1643"/>
        <w:gridCol w:w="5976"/>
      </w:tblGrid>
      <w:tr w14:paraId="7AB0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5DBCA2F1">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43" w:type="dxa"/>
            <w:vAlign w:val="center"/>
          </w:tcPr>
          <w:p w14:paraId="28C3E612">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5976" w:type="dxa"/>
            <w:vAlign w:val="center"/>
          </w:tcPr>
          <w:p w14:paraId="7E5E174D">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481C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Align w:val="center"/>
          </w:tcPr>
          <w:p w14:paraId="7148EA97">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850" w:type="dxa"/>
            <w:vAlign w:val="center"/>
          </w:tcPr>
          <w:p w14:paraId="155C8F2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1643" w:type="dxa"/>
            <w:vAlign w:val="center"/>
          </w:tcPr>
          <w:p w14:paraId="1AEBAA9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5976" w:type="dxa"/>
            <w:vAlign w:val="center"/>
          </w:tcPr>
          <w:p w14:paraId="3AB836D9">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综合评分（即总得分）相等时中标候选人顺序：</w:t>
            </w:r>
            <w:r>
              <w:rPr>
                <w:rFonts w:hint="eastAsia" w:ascii="宋体" w:hAnsi="宋体" w:eastAsia="宋体" w:cs="宋体"/>
                <w:color w:val="auto"/>
                <w:szCs w:val="21"/>
                <w:highlight w:val="none"/>
                <w:u w:val="single"/>
              </w:rPr>
              <w:t>以技术文件得分高的排前；技术文件得分也相同的，以商务文件得分高的排前；若商务文件得分仍相同的，以投标报价较低的排前；如仍存在相同情况，则对具有相同情况的投标人，由评标委员会采用记名投票方式，确定投标人最终名次的排序。</w:t>
            </w:r>
          </w:p>
        </w:tc>
      </w:tr>
      <w:tr w14:paraId="669C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14:paraId="4053DF2C">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2.1.1</w:t>
            </w:r>
          </w:p>
        </w:tc>
        <w:tc>
          <w:tcPr>
            <w:tcW w:w="850" w:type="dxa"/>
            <w:vMerge w:val="restart"/>
            <w:vAlign w:val="center"/>
          </w:tcPr>
          <w:p w14:paraId="6CA574D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1643" w:type="dxa"/>
            <w:vAlign w:val="center"/>
          </w:tcPr>
          <w:p w14:paraId="227F9454">
            <w:pPr>
              <w:wordWrap w:val="0"/>
              <w:spacing w:line="276" w:lineRule="auto"/>
              <w:jc w:val="center"/>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营业执照</w:t>
            </w:r>
          </w:p>
        </w:tc>
        <w:tc>
          <w:tcPr>
            <w:tcW w:w="5976" w:type="dxa"/>
            <w:vAlign w:val="center"/>
          </w:tcPr>
          <w:p w14:paraId="136A0DB2">
            <w:pPr>
              <w:wordWrap w:val="0"/>
              <w:spacing w:line="276" w:lineRule="auto"/>
              <w:rPr>
                <w:rFonts w:ascii="宋体" w:hAnsi="宋体" w:eastAsia="宋体" w:cs="宋体"/>
                <w:b/>
                <w:bCs/>
                <w:color w:val="auto"/>
                <w:szCs w:val="21"/>
                <w:highlight w:val="none"/>
              </w:rPr>
            </w:pPr>
            <w:r>
              <w:rPr>
                <w:rFonts w:hint="eastAsia" w:ascii="宋体" w:hAnsi="宋体" w:eastAsia="宋体" w:cs="宋体"/>
                <w:color w:val="auto"/>
                <w:kern w:val="0"/>
                <w:szCs w:val="21"/>
                <w:highlight w:val="none"/>
              </w:rPr>
              <w:t>符合第二章“投标人须知”第</w:t>
            </w:r>
            <w:r>
              <w:rPr>
                <w:rFonts w:ascii="宋体" w:hAnsi="宋体" w:eastAsia="宋体" w:cs="宋体"/>
                <w:color w:val="auto"/>
                <w:kern w:val="0"/>
                <w:szCs w:val="21"/>
                <w:highlight w:val="none"/>
              </w:rPr>
              <w:t>3.5.1项规定，具备有</w:t>
            </w:r>
            <w:r>
              <w:rPr>
                <w:rFonts w:hint="eastAsia" w:ascii="宋体" w:hAnsi="宋体" w:eastAsia="宋体" w:cs="宋体"/>
                <w:color w:val="auto"/>
                <w:kern w:val="0"/>
                <w:szCs w:val="21"/>
                <w:highlight w:val="none"/>
              </w:rPr>
              <w:t>效的营业执照</w:t>
            </w:r>
          </w:p>
        </w:tc>
      </w:tr>
      <w:tr w14:paraId="50E5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73BAE448">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63D490B8">
            <w:pPr>
              <w:wordWrap w:val="0"/>
              <w:spacing w:line="276" w:lineRule="auto"/>
              <w:jc w:val="center"/>
              <w:rPr>
                <w:rFonts w:ascii="宋体" w:hAnsi="宋体" w:eastAsia="宋体" w:cs="宋体"/>
                <w:color w:val="auto"/>
                <w:szCs w:val="21"/>
                <w:highlight w:val="none"/>
              </w:rPr>
            </w:pPr>
          </w:p>
        </w:tc>
        <w:tc>
          <w:tcPr>
            <w:tcW w:w="1643" w:type="dxa"/>
            <w:vAlign w:val="center"/>
          </w:tcPr>
          <w:p w14:paraId="6CC0D8B4">
            <w:pPr>
              <w:wordWrap w:val="0"/>
              <w:spacing w:line="276" w:lineRule="auto"/>
              <w:jc w:val="center"/>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资质要求</w:t>
            </w:r>
          </w:p>
        </w:tc>
        <w:tc>
          <w:tcPr>
            <w:tcW w:w="5976" w:type="dxa"/>
            <w:vAlign w:val="center"/>
          </w:tcPr>
          <w:p w14:paraId="3D4666E1">
            <w:pPr>
              <w:wordWrap w:val="0"/>
              <w:spacing w:line="276" w:lineRule="auto"/>
              <w:rPr>
                <w:rFonts w:ascii="宋体" w:hAnsi="宋体" w:eastAsia="宋体" w:cs="宋体"/>
                <w:b/>
                <w:bCs/>
                <w:color w:val="auto"/>
                <w:szCs w:val="21"/>
                <w:highlight w:val="none"/>
              </w:rPr>
            </w:pPr>
            <w:r>
              <w:rPr>
                <w:rFonts w:hint="eastAsia" w:ascii="宋体" w:hAnsi="宋体" w:eastAsia="宋体" w:cs="宋体"/>
                <w:color w:val="auto"/>
                <w:kern w:val="0"/>
                <w:szCs w:val="21"/>
                <w:highlight w:val="none"/>
              </w:rPr>
              <w:t>符合第二章“投标人须知”第</w:t>
            </w:r>
            <w:r>
              <w:rPr>
                <w:rFonts w:ascii="宋体" w:hAnsi="宋体" w:eastAsia="宋体" w:cs="宋体"/>
                <w:color w:val="auto"/>
                <w:kern w:val="0"/>
                <w:szCs w:val="21"/>
                <w:highlight w:val="none"/>
              </w:rPr>
              <w:t>1.4.1项规定</w:t>
            </w:r>
          </w:p>
        </w:tc>
      </w:tr>
      <w:tr w14:paraId="2F01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543500B5">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1068FD7E">
            <w:pPr>
              <w:wordWrap w:val="0"/>
              <w:spacing w:line="276" w:lineRule="auto"/>
              <w:jc w:val="center"/>
              <w:rPr>
                <w:rFonts w:ascii="宋体" w:hAnsi="宋体" w:eastAsia="宋体" w:cs="宋体"/>
                <w:color w:val="auto"/>
                <w:szCs w:val="21"/>
                <w:highlight w:val="none"/>
              </w:rPr>
            </w:pPr>
          </w:p>
        </w:tc>
        <w:tc>
          <w:tcPr>
            <w:tcW w:w="1643" w:type="dxa"/>
            <w:vAlign w:val="center"/>
          </w:tcPr>
          <w:p w14:paraId="26D1872B">
            <w:pPr>
              <w:wordWrap w:val="0"/>
              <w:spacing w:line="276" w:lineRule="auto"/>
              <w:jc w:val="center"/>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项目负责人</w:t>
            </w:r>
          </w:p>
        </w:tc>
        <w:tc>
          <w:tcPr>
            <w:tcW w:w="5976" w:type="dxa"/>
            <w:vAlign w:val="center"/>
          </w:tcPr>
          <w:p w14:paraId="4F3B3F88">
            <w:pPr>
              <w:wordWrap w:val="0"/>
              <w:spacing w:line="276" w:lineRule="auto"/>
              <w:rPr>
                <w:rFonts w:ascii="宋体" w:hAnsi="宋体" w:eastAsia="宋体" w:cs="宋体"/>
                <w:b/>
                <w:bCs/>
                <w:color w:val="auto"/>
                <w:szCs w:val="21"/>
                <w:highlight w:val="none"/>
              </w:rPr>
            </w:pPr>
            <w:r>
              <w:rPr>
                <w:rFonts w:hint="eastAsia" w:ascii="宋体" w:hAnsi="宋体" w:eastAsia="宋体" w:cs="宋体"/>
                <w:color w:val="auto"/>
                <w:kern w:val="0"/>
                <w:szCs w:val="21"/>
                <w:highlight w:val="none"/>
              </w:rPr>
              <w:t>符合第二章“投标人须知”第</w:t>
            </w:r>
            <w:r>
              <w:rPr>
                <w:rFonts w:ascii="宋体" w:hAnsi="宋体" w:eastAsia="宋体" w:cs="宋体"/>
                <w:color w:val="auto"/>
                <w:kern w:val="0"/>
                <w:szCs w:val="21"/>
                <w:highlight w:val="none"/>
              </w:rPr>
              <w:t>1.4.1项规定</w:t>
            </w:r>
          </w:p>
        </w:tc>
      </w:tr>
      <w:tr w14:paraId="62A9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75E7056">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4D08363C">
            <w:pPr>
              <w:wordWrap w:val="0"/>
              <w:spacing w:line="276" w:lineRule="auto"/>
              <w:jc w:val="center"/>
              <w:rPr>
                <w:rFonts w:ascii="宋体" w:hAnsi="宋体" w:eastAsia="宋体" w:cs="宋体"/>
                <w:color w:val="auto"/>
                <w:szCs w:val="21"/>
                <w:highlight w:val="none"/>
              </w:rPr>
            </w:pPr>
          </w:p>
        </w:tc>
        <w:tc>
          <w:tcPr>
            <w:tcW w:w="1643" w:type="dxa"/>
            <w:vAlign w:val="center"/>
          </w:tcPr>
          <w:p w14:paraId="4F156EF7">
            <w:pPr>
              <w:wordWrap w:val="0"/>
              <w:spacing w:line="276" w:lineRule="auto"/>
              <w:jc w:val="center"/>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联合体投标人</w:t>
            </w:r>
          </w:p>
        </w:tc>
        <w:tc>
          <w:tcPr>
            <w:tcW w:w="5976" w:type="dxa"/>
            <w:vAlign w:val="center"/>
          </w:tcPr>
          <w:p w14:paraId="044EEB67">
            <w:pPr>
              <w:wordWrap w:val="0"/>
              <w:spacing w:line="276" w:lineRule="auto"/>
              <w:rPr>
                <w:rFonts w:ascii="宋体" w:hAnsi="宋体" w:eastAsia="宋体" w:cs="宋体"/>
                <w:b/>
                <w:bCs/>
                <w:color w:val="auto"/>
                <w:szCs w:val="21"/>
                <w:highlight w:val="none"/>
              </w:rPr>
            </w:pPr>
            <w:r>
              <w:rPr>
                <w:rFonts w:hint="eastAsia" w:ascii="宋体" w:hAnsi="宋体" w:eastAsia="宋体" w:cs="宋体"/>
                <w:color w:val="auto"/>
                <w:kern w:val="0"/>
                <w:szCs w:val="21"/>
                <w:highlight w:val="none"/>
              </w:rPr>
              <w:t>符合第二章“投标人须知”第</w:t>
            </w:r>
            <w:r>
              <w:rPr>
                <w:rFonts w:ascii="宋体" w:hAnsi="宋体" w:eastAsia="宋体" w:cs="宋体"/>
                <w:color w:val="auto"/>
                <w:kern w:val="0"/>
                <w:szCs w:val="21"/>
                <w:highlight w:val="none"/>
              </w:rPr>
              <w:t>1.4.2项规定</w:t>
            </w:r>
          </w:p>
        </w:tc>
      </w:tr>
      <w:tr w14:paraId="5710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BDE2F3A">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65C68269">
            <w:pPr>
              <w:wordWrap w:val="0"/>
              <w:spacing w:line="276" w:lineRule="auto"/>
              <w:jc w:val="center"/>
              <w:rPr>
                <w:rFonts w:ascii="宋体" w:hAnsi="宋体" w:eastAsia="宋体" w:cs="宋体"/>
                <w:color w:val="auto"/>
                <w:szCs w:val="21"/>
                <w:highlight w:val="none"/>
              </w:rPr>
            </w:pPr>
          </w:p>
        </w:tc>
        <w:tc>
          <w:tcPr>
            <w:tcW w:w="1643" w:type="dxa"/>
            <w:vAlign w:val="center"/>
          </w:tcPr>
          <w:p w14:paraId="0B85D4C8">
            <w:pPr>
              <w:wordWrap w:val="0"/>
              <w:spacing w:line="276" w:lineRule="auto"/>
              <w:jc w:val="center"/>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投标人（含联合体各方）未被列入“在一定期限内依法取消参加依法必须进行招标的项目的投标资格”</w:t>
            </w:r>
          </w:p>
        </w:tc>
        <w:tc>
          <w:tcPr>
            <w:tcW w:w="5976" w:type="dxa"/>
            <w:vAlign w:val="center"/>
          </w:tcPr>
          <w:p w14:paraId="2840BFF2">
            <w:pPr>
              <w:wordWrap w:val="0"/>
              <w:spacing w:line="276" w:lineRule="auto"/>
              <w:rPr>
                <w:rFonts w:ascii="宋体" w:hAnsi="宋体" w:eastAsia="宋体" w:cs="宋体"/>
                <w:b/>
                <w:bCs/>
                <w:color w:val="auto"/>
                <w:szCs w:val="21"/>
                <w:highlight w:val="none"/>
              </w:rPr>
            </w:pPr>
            <w:bookmarkStart w:id="243" w:name="_Hlk194404757"/>
            <w:r>
              <w:rPr>
                <w:rFonts w:hint="eastAsia" w:ascii="宋体" w:hAnsi="宋体" w:eastAsia="宋体" w:cs="宋体"/>
                <w:color w:val="auto"/>
                <w:kern w:val="0"/>
                <w:szCs w:val="21"/>
                <w:highlight w:val="none"/>
              </w:rPr>
              <w:t>具体名单以递交投标文件截止时间“信用广州”网站公布的“黑名单”为准。</w:t>
            </w:r>
            <w:bookmarkEnd w:id="243"/>
            <w:r>
              <w:rPr>
                <w:rFonts w:hint="eastAsia" w:ascii="宋体" w:hAnsi="宋体" w:eastAsia="宋体" w:cs="宋体"/>
                <w:color w:val="auto"/>
                <w:kern w:val="0"/>
                <w:szCs w:val="21"/>
                <w:highlight w:val="none"/>
              </w:rPr>
              <w:t>（提供查询结果网页截图，并加盖公章。）</w:t>
            </w:r>
          </w:p>
        </w:tc>
      </w:tr>
      <w:tr w14:paraId="2ECC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3C80F658">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3A7768B5">
            <w:pPr>
              <w:wordWrap w:val="0"/>
              <w:spacing w:line="276" w:lineRule="auto"/>
              <w:jc w:val="center"/>
              <w:rPr>
                <w:rFonts w:ascii="宋体" w:hAnsi="宋体" w:eastAsia="宋体" w:cs="宋体"/>
                <w:color w:val="auto"/>
                <w:szCs w:val="21"/>
                <w:highlight w:val="none"/>
              </w:rPr>
            </w:pPr>
          </w:p>
        </w:tc>
        <w:tc>
          <w:tcPr>
            <w:tcW w:w="1643" w:type="dxa"/>
            <w:vAlign w:val="center"/>
          </w:tcPr>
          <w:p w14:paraId="11F8C05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pacing w:val="-1"/>
                <w:kern w:val="0"/>
                <w:szCs w:val="21"/>
                <w:highlight w:val="none"/>
              </w:rPr>
              <w:t>不存在禁止投标的情形</w:t>
            </w:r>
          </w:p>
        </w:tc>
        <w:tc>
          <w:tcPr>
            <w:tcW w:w="5976" w:type="dxa"/>
            <w:vAlign w:val="center"/>
          </w:tcPr>
          <w:p w14:paraId="0EF6D818">
            <w:pPr>
              <w:wordWrap w:val="0"/>
              <w:spacing w:line="276" w:lineRule="auto"/>
              <w:rPr>
                <w:rFonts w:ascii="宋体" w:hAnsi="宋体" w:eastAsia="宋体" w:cs="宋体"/>
                <w:b/>
                <w:bCs/>
                <w:color w:val="auto"/>
                <w:szCs w:val="21"/>
                <w:highlight w:val="none"/>
              </w:rPr>
            </w:pPr>
            <w:r>
              <w:rPr>
                <w:rFonts w:hint="eastAsia" w:ascii="宋体" w:hAnsi="宋体" w:eastAsia="宋体" w:cs="宋体"/>
                <w:color w:val="auto"/>
                <w:kern w:val="0"/>
                <w:szCs w:val="21"/>
                <w:highlight w:val="none"/>
              </w:rPr>
              <w:t>不存在第二章“投标人须知”第</w:t>
            </w:r>
            <w:r>
              <w:rPr>
                <w:rFonts w:ascii="宋体" w:hAnsi="宋体" w:eastAsia="宋体" w:cs="宋体"/>
                <w:color w:val="auto"/>
                <w:kern w:val="0"/>
                <w:szCs w:val="21"/>
                <w:highlight w:val="none"/>
              </w:rPr>
              <w:t>1.4.3项规定的任何一种情形（按投标人提供的《投标人声明》内容进行评审）</w:t>
            </w:r>
          </w:p>
        </w:tc>
      </w:tr>
      <w:tr w14:paraId="78B6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419DC99D">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5D4C6C9E">
            <w:pPr>
              <w:wordWrap w:val="0"/>
              <w:spacing w:line="276" w:lineRule="auto"/>
              <w:jc w:val="center"/>
              <w:rPr>
                <w:rFonts w:ascii="宋体" w:hAnsi="宋体" w:eastAsia="宋体" w:cs="宋体"/>
                <w:color w:val="auto"/>
                <w:szCs w:val="21"/>
                <w:highlight w:val="none"/>
              </w:rPr>
            </w:pPr>
          </w:p>
        </w:tc>
        <w:tc>
          <w:tcPr>
            <w:tcW w:w="1643" w:type="dxa"/>
            <w:vAlign w:val="center"/>
          </w:tcPr>
          <w:p w14:paraId="57EFC86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pacing w:val="-1"/>
                <w:kern w:val="0"/>
                <w:szCs w:val="21"/>
                <w:highlight w:val="none"/>
              </w:rPr>
              <w:t>其他要求</w:t>
            </w:r>
          </w:p>
        </w:tc>
        <w:tc>
          <w:tcPr>
            <w:tcW w:w="5976" w:type="dxa"/>
            <w:vAlign w:val="center"/>
          </w:tcPr>
          <w:p w14:paraId="24E823E9">
            <w:pPr>
              <w:wordWrap w:val="0"/>
              <w:spacing w:line="276" w:lineRule="auto"/>
              <w:rPr>
                <w:rFonts w:ascii="宋体" w:hAnsi="宋体" w:eastAsia="宋体" w:cs="宋体"/>
                <w:b/>
                <w:bCs/>
                <w:color w:val="auto"/>
                <w:szCs w:val="21"/>
                <w:highlight w:val="none"/>
              </w:rPr>
            </w:pPr>
            <w:r>
              <w:rPr>
                <w:rFonts w:hint="eastAsia" w:ascii="宋体" w:hAnsi="宋体" w:eastAsia="宋体" w:cs="宋体"/>
                <w:color w:val="auto"/>
                <w:kern w:val="0"/>
                <w:szCs w:val="21"/>
                <w:highlight w:val="none"/>
              </w:rPr>
              <w:t>符合第二章“投标人须知”第</w:t>
            </w:r>
            <w:r>
              <w:rPr>
                <w:rFonts w:ascii="宋体" w:hAnsi="宋体" w:eastAsia="宋体" w:cs="宋体"/>
                <w:color w:val="auto"/>
                <w:kern w:val="0"/>
                <w:szCs w:val="21"/>
                <w:highlight w:val="none"/>
              </w:rPr>
              <w:t>1.4.1项规定</w:t>
            </w:r>
          </w:p>
        </w:tc>
      </w:tr>
      <w:tr w14:paraId="170A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87" w:type="dxa"/>
            <w:vMerge w:val="restart"/>
            <w:vAlign w:val="center"/>
          </w:tcPr>
          <w:p w14:paraId="1B6F4026">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2.1.2</w:t>
            </w:r>
          </w:p>
        </w:tc>
        <w:tc>
          <w:tcPr>
            <w:tcW w:w="850" w:type="dxa"/>
            <w:vMerge w:val="restart"/>
            <w:vAlign w:val="center"/>
          </w:tcPr>
          <w:p w14:paraId="15FCBE8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商务文件形式评审标准</w:t>
            </w:r>
          </w:p>
        </w:tc>
        <w:tc>
          <w:tcPr>
            <w:tcW w:w="1643" w:type="dxa"/>
            <w:vAlign w:val="center"/>
          </w:tcPr>
          <w:p w14:paraId="1C26413F">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投标人（含联合体各方）名称</w:t>
            </w:r>
          </w:p>
        </w:tc>
        <w:tc>
          <w:tcPr>
            <w:tcW w:w="5976" w:type="dxa"/>
            <w:vAlign w:val="center"/>
          </w:tcPr>
          <w:p w14:paraId="02A1DF9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与营业执照、资质证书一致</w:t>
            </w:r>
          </w:p>
        </w:tc>
      </w:tr>
      <w:tr w14:paraId="23F3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0D2B9D6">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2F300323">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5FF518A0">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5976" w:type="dxa"/>
            <w:vAlign w:val="center"/>
          </w:tcPr>
          <w:p w14:paraId="58BE9F55">
            <w:pPr>
              <w:wordWrap w:val="0"/>
              <w:spacing w:line="276"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投标人声明、廉洁承诺书、法定代表人身份证明；委托投标的还应提供法人授权委托证明书。</w:t>
            </w:r>
          </w:p>
        </w:tc>
      </w:tr>
      <w:tr w14:paraId="3697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11535C84">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4610E6D4">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117439A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投标函及投标函附录盖章</w:t>
            </w:r>
          </w:p>
        </w:tc>
        <w:tc>
          <w:tcPr>
            <w:tcW w:w="5976" w:type="dxa"/>
            <w:vAlign w:val="center"/>
          </w:tcPr>
          <w:p w14:paraId="32D5291E">
            <w:pPr>
              <w:wordWrap w:val="0"/>
              <w:spacing w:line="276" w:lineRule="auto"/>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rPr>
              <w:t>投标函及投标函附录</w:t>
            </w:r>
            <w:r>
              <w:rPr>
                <w:rFonts w:hint="eastAsia" w:ascii="宋体" w:hAnsi="宋体" w:eastAsia="宋体" w:cs="宋体"/>
                <w:color w:val="auto"/>
                <w:szCs w:val="21"/>
                <w:highlight w:val="none"/>
                <w:u w:val="single"/>
                <w:lang w:bidi="ar"/>
              </w:rPr>
              <w:t>加盖单位章。</w:t>
            </w:r>
          </w:p>
        </w:tc>
      </w:tr>
      <w:tr w14:paraId="57BB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vMerge w:val="continue"/>
            <w:vAlign w:val="center"/>
          </w:tcPr>
          <w:p w14:paraId="4B27499C">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D3FB6E5">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5058452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5976" w:type="dxa"/>
            <w:vAlign w:val="center"/>
          </w:tcPr>
          <w:p w14:paraId="6561104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投标函及投标函附录</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bidi="ar"/>
              </w:rPr>
              <w:t>投标人声明</w:t>
            </w:r>
            <w:r>
              <w:rPr>
                <w:rFonts w:hint="eastAsia" w:ascii="宋体" w:hAnsi="宋体" w:eastAsia="宋体" w:cs="Times New Roman"/>
                <w:color w:val="auto"/>
                <w:szCs w:val="21"/>
                <w:highlight w:val="none"/>
              </w:rPr>
              <w:t>符合第六章“投标文件格式”的规定。</w:t>
            </w:r>
          </w:p>
        </w:tc>
      </w:tr>
      <w:tr w14:paraId="3C88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470C9E36">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4A1E670A">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0B63DA4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联合体投标人</w:t>
            </w:r>
          </w:p>
        </w:tc>
        <w:tc>
          <w:tcPr>
            <w:tcW w:w="5976" w:type="dxa"/>
            <w:vAlign w:val="center"/>
          </w:tcPr>
          <w:p w14:paraId="10B9A200">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提交符合招标文件要求的联合体协议书，明确各方职责分工、权利义务，并承诺就中标项目向招标人承担连带责任。</w:t>
            </w:r>
          </w:p>
        </w:tc>
      </w:tr>
      <w:tr w14:paraId="0312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5C18C4F8">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D4934DC">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3C7DC2C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备选投标方案</w:t>
            </w:r>
          </w:p>
        </w:tc>
        <w:tc>
          <w:tcPr>
            <w:tcW w:w="5976" w:type="dxa"/>
            <w:vAlign w:val="center"/>
          </w:tcPr>
          <w:p w14:paraId="3FA6F502">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除招标文件明确允许提交备选投标方案外，投标人不得提交备选投标方案。</w:t>
            </w:r>
          </w:p>
        </w:tc>
      </w:tr>
      <w:tr w14:paraId="7AF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6C39A3B0">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7A498A1A">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7243FF41">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olor w:val="auto"/>
                <w:highlight w:val="none"/>
              </w:rPr>
              <w:t>投标人机器码</w:t>
            </w:r>
          </w:p>
        </w:tc>
        <w:tc>
          <w:tcPr>
            <w:tcW w:w="5976" w:type="dxa"/>
            <w:vAlign w:val="center"/>
          </w:tcPr>
          <w:p w14:paraId="35A44B89">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olor w:val="auto"/>
                <w:highlight w:val="none"/>
              </w:rPr>
              <w:t>投标人与本项目其他投标人加密打包投标文件电脑机器特征码不一致的</w:t>
            </w:r>
            <w:r>
              <w:rPr>
                <w:rFonts w:ascii="宋体" w:hAnsi="宋体" w:eastAsia="宋体"/>
                <w:color w:val="auto"/>
                <w:highlight w:val="none"/>
              </w:rPr>
              <w:t>(以广州交易集团有限公司（广州公共资源交易中心）交易平台开标系统的检索信息为准)</w:t>
            </w:r>
          </w:p>
        </w:tc>
      </w:tr>
      <w:tr w14:paraId="669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14:paraId="0B680BFA">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2.1.3</w:t>
            </w:r>
          </w:p>
        </w:tc>
        <w:tc>
          <w:tcPr>
            <w:tcW w:w="850" w:type="dxa"/>
            <w:vMerge w:val="restart"/>
            <w:vAlign w:val="center"/>
          </w:tcPr>
          <w:p w14:paraId="31A025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商务文件响应性评审标准</w:t>
            </w:r>
          </w:p>
        </w:tc>
        <w:tc>
          <w:tcPr>
            <w:tcW w:w="1643" w:type="dxa"/>
            <w:vAlign w:val="center"/>
          </w:tcPr>
          <w:p w14:paraId="67D0409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976" w:type="dxa"/>
            <w:vAlign w:val="center"/>
          </w:tcPr>
          <w:p w14:paraId="3B4BD0E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ascii="宋体" w:hAnsi="宋体" w:eastAsia="宋体" w:cs="宋体"/>
                <w:color w:val="auto"/>
                <w:szCs w:val="21"/>
                <w:highlight w:val="none"/>
              </w:rPr>
              <w:t>3.2款规定</w:t>
            </w:r>
          </w:p>
        </w:tc>
      </w:tr>
      <w:tr w14:paraId="2C40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3F6A60AA">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6F0B31F2">
            <w:pPr>
              <w:wordWrap w:val="0"/>
              <w:spacing w:line="276" w:lineRule="auto"/>
              <w:jc w:val="center"/>
              <w:rPr>
                <w:rFonts w:ascii="宋体" w:hAnsi="宋体" w:eastAsia="宋体" w:cs="宋体"/>
                <w:color w:val="auto"/>
                <w:szCs w:val="21"/>
                <w:highlight w:val="none"/>
              </w:rPr>
            </w:pPr>
          </w:p>
        </w:tc>
        <w:tc>
          <w:tcPr>
            <w:tcW w:w="1643" w:type="dxa"/>
            <w:vAlign w:val="center"/>
          </w:tcPr>
          <w:p w14:paraId="1B88091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5976" w:type="dxa"/>
            <w:vAlign w:val="center"/>
          </w:tcPr>
          <w:p w14:paraId="4CD1EB6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ascii="宋体" w:hAnsi="宋体" w:eastAsia="宋体" w:cs="宋体"/>
                <w:color w:val="auto"/>
                <w:szCs w:val="21"/>
                <w:highlight w:val="none"/>
              </w:rPr>
              <w:t>1.3.1项规定</w:t>
            </w:r>
          </w:p>
        </w:tc>
      </w:tr>
      <w:tr w14:paraId="16D4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50097B7D">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16D355B6">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448BDEC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勘察设计服务期限</w:t>
            </w:r>
          </w:p>
        </w:tc>
        <w:tc>
          <w:tcPr>
            <w:tcW w:w="5976" w:type="dxa"/>
            <w:vAlign w:val="center"/>
          </w:tcPr>
          <w:p w14:paraId="44EEC3A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ascii="宋体" w:hAnsi="宋体" w:eastAsia="宋体" w:cs="宋体"/>
                <w:color w:val="auto"/>
                <w:szCs w:val="21"/>
                <w:highlight w:val="none"/>
              </w:rPr>
              <w:t>1.3.2项规定</w:t>
            </w:r>
          </w:p>
        </w:tc>
      </w:tr>
      <w:tr w14:paraId="1F92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73A8CBEC">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2DA40975">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090B969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976" w:type="dxa"/>
            <w:vAlign w:val="center"/>
          </w:tcPr>
          <w:p w14:paraId="1C9BC99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ascii="宋体" w:hAnsi="宋体" w:eastAsia="宋体" w:cs="宋体"/>
                <w:color w:val="auto"/>
                <w:szCs w:val="21"/>
                <w:highlight w:val="none"/>
              </w:rPr>
              <w:t>1.3.3项规定</w:t>
            </w:r>
          </w:p>
        </w:tc>
      </w:tr>
      <w:tr w14:paraId="46D1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48E612E6">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D6FE2E3">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085FF66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976" w:type="dxa"/>
            <w:vAlign w:val="center"/>
          </w:tcPr>
          <w:p w14:paraId="647DBD3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ascii="宋体" w:hAnsi="宋体" w:eastAsia="宋体" w:cs="宋体"/>
                <w:color w:val="auto"/>
                <w:szCs w:val="21"/>
                <w:highlight w:val="none"/>
              </w:rPr>
              <w:t>3.3.1项规定</w:t>
            </w:r>
          </w:p>
        </w:tc>
      </w:tr>
      <w:tr w14:paraId="5477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77E0300D">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6EA06026">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199594B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5976" w:type="dxa"/>
            <w:vAlign w:val="center"/>
          </w:tcPr>
          <w:p w14:paraId="1A76A3D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不存在串通投标情形（串通投标情形以《广东省实施〈中华人民共和国招标投标法〉办法》第十六条规定的为准）。</w:t>
            </w:r>
          </w:p>
        </w:tc>
      </w:tr>
      <w:tr w14:paraId="3C6B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4D256D5">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1459E9D2">
            <w:pPr>
              <w:widowControl/>
              <w:wordWrap w:val="0"/>
              <w:spacing w:line="276" w:lineRule="auto"/>
              <w:jc w:val="left"/>
              <w:rPr>
                <w:rFonts w:ascii="宋体" w:hAnsi="宋体" w:eastAsia="宋体" w:cs="宋体"/>
                <w:color w:val="auto"/>
                <w:szCs w:val="21"/>
                <w:highlight w:val="none"/>
              </w:rPr>
            </w:pPr>
          </w:p>
        </w:tc>
        <w:tc>
          <w:tcPr>
            <w:tcW w:w="7619" w:type="dxa"/>
            <w:gridSpan w:val="2"/>
            <w:vAlign w:val="center"/>
          </w:tcPr>
          <w:p w14:paraId="586BD8D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商务文件响应性评审标准中“投标内容”、“勘察设计服务期限”、“质量标准”、“投标有效期”，以投标人在投标书中的承诺为准。</w:t>
            </w:r>
          </w:p>
        </w:tc>
      </w:tr>
      <w:tr w14:paraId="1AD8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7" w:type="dxa"/>
            <w:vMerge w:val="restart"/>
            <w:vAlign w:val="center"/>
          </w:tcPr>
          <w:p w14:paraId="778CD6F4">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2.1.4</w:t>
            </w:r>
          </w:p>
        </w:tc>
        <w:tc>
          <w:tcPr>
            <w:tcW w:w="850" w:type="dxa"/>
            <w:vMerge w:val="restart"/>
            <w:vAlign w:val="center"/>
          </w:tcPr>
          <w:p w14:paraId="711F455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勘察设计方案响应性评审标准</w:t>
            </w:r>
          </w:p>
        </w:tc>
        <w:tc>
          <w:tcPr>
            <w:tcW w:w="1643" w:type="dxa"/>
            <w:vAlign w:val="center"/>
          </w:tcPr>
          <w:p w14:paraId="57B37690">
            <w:pPr>
              <w:spacing w:line="276" w:lineRule="auto"/>
              <w:jc w:val="center"/>
              <w:rPr>
                <w:rFonts w:ascii="宋体" w:hAnsi="宋体" w:eastAsia="宋体" w:cs="宋体"/>
                <w:color w:val="auto"/>
                <w:szCs w:val="21"/>
                <w:highlight w:val="none"/>
                <w:u w:val="single"/>
              </w:rPr>
            </w:pPr>
            <w:r>
              <w:rPr>
                <w:rFonts w:hint="eastAsia" w:ascii="宋体" w:hAnsi="宋体" w:eastAsia="宋体" w:cs="Times New Roman"/>
                <w:color w:val="auto"/>
                <w:szCs w:val="20"/>
                <w:highlight w:val="none"/>
              </w:rPr>
              <w:t>编制要求</w:t>
            </w:r>
          </w:p>
        </w:tc>
        <w:tc>
          <w:tcPr>
            <w:tcW w:w="5976" w:type="dxa"/>
            <w:vAlign w:val="center"/>
          </w:tcPr>
          <w:p w14:paraId="75A5C233">
            <w:pPr>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未发现投标人在勘察设计方案内标注名称、印章、商标、图形等记认符号，使人辨认出投标人或其专业技术人员的身份。</w:t>
            </w:r>
          </w:p>
        </w:tc>
      </w:tr>
      <w:tr w14:paraId="3581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7" w:type="dxa"/>
            <w:vMerge w:val="continue"/>
            <w:vAlign w:val="center"/>
          </w:tcPr>
          <w:p w14:paraId="7A919BEF">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F182712">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1C9FB22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未发现互相雷同和串通投标</w:t>
            </w:r>
          </w:p>
        </w:tc>
        <w:tc>
          <w:tcPr>
            <w:tcW w:w="5976" w:type="dxa"/>
            <w:vAlign w:val="center"/>
          </w:tcPr>
          <w:p w14:paraId="7763394C">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4C94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7" w:type="dxa"/>
            <w:vMerge w:val="continue"/>
            <w:vAlign w:val="center"/>
          </w:tcPr>
          <w:p w14:paraId="47906C95">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0AA260AE">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1263B0C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未发现明显抄袭行为</w:t>
            </w:r>
          </w:p>
        </w:tc>
        <w:tc>
          <w:tcPr>
            <w:tcW w:w="5976" w:type="dxa"/>
            <w:vAlign w:val="center"/>
          </w:tcPr>
          <w:p w14:paraId="15828E27">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2E56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87" w:type="dxa"/>
            <w:vMerge w:val="continue"/>
            <w:vAlign w:val="center"/>
          </w:tcPr>
          <w:p w14:paraId="50EFBBD2">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180555BC">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1FB6DD1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未发现侵犯他人著作权和特许权</w:t>
            </w:r>
          </w:p>
        </w:tc>
        <w:tc>
          <w:tcPr>
            <w:tcW w:w="5976" w:type="dxa"/>
            <w:vAlign w:val="center"/>
          </w:tcPr>
          <w:p w14:paraId="454CCCB7">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386E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262615C7">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43" w:type="dxa"/>
            <w:vAlign w:val="center"/>
          </w:tcPr>
          <w:p w14:paraId="1E1E48A4">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5976" w:type="dxa"/>
            <w:vAlign w:val="center"/>
          </w:tcPr>
          <w:p w14:paraId="0AD56AC9">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2CD5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7E2A8118">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2.2.1</w:t>
            </w:r>
          </w:p>
        </w:tc>
        <w:tc>
          <w:tcPr>
            <w:tcW w:w="1643" w:type="dxa"/>
            <w:vAlign w:val="center"/>
          </w:tcPr>
          <w:p w14:paraId="3FA77B5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tc>
        <w:tc>
          <w:tcPr>
            <w:tcW w:w="5976" w:type="dxa"/>
            <w:vAlign w:val="center"/>
          </w:tcPr>
          <w:p w14:paraId="0D44072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资信业绩部分</w:t>
            </w:r>
            <w:r>
              <w:rPr>
                <w:rFonts w:ascii="宋体" w:hAnsi="宋体" w:eastAsia="宋体" w:cs="宋体"/>
                <w:color w:val="auto"/>
                <w:szCs w:val="21"/>
                <w:highlight w:val="none"/>
              </w:rPr>
              <w:t>A：</w:t>
            </w:r>
            <w:r>
              <w:rPr>
                <w:rFonts w:ascii="宋体" w:hAnsi="宋体" w:eastAsia="宋体" w:cs="宋体"/>
                <w:color w:val="auto"/>
                <w:szCs w:val="21"/>
                <w:highlight w:val="none"/>
                <w:u w:val="single"/>
              </w:rPr>
              <w:t>100</w:t>
            </w:r>
            <w:r>
              <w:rPr>
                <w:rFonts w:hint="eastAsia" w:ascii="宋体" w:hAnsi="宋体" w:eastAsia="宋体" w:cs="宋体"/>
                <w:color w:val="auto"/>
                <w:szCs w:val="21"/>
                <w:highlight w:val="none"/>
              </w:rPr>
              <w:t>分（权重40%）</w:t>
            </w:r>
          </w:p>
          <w:p w14:paraId="05D3E1B4">
            <w:pPr>
              <w:wordWrap w:val="0"/>
              <w:spacing w:line="276" w:lineRule="auto"/>
              <w:rPr>
                <w:rFonts w:ascii="宋体" w:hAnsi="宋体" w:eastAsia="宋体" w:cs="宋体"/>
                <w:color w:val="auto"/>
                <w:szCs w:val="21"/>
                <w:highlight w:val="none"/>
              </w:rPr>
            </w:pPr>
            <w:r>
              <w:rPr>
                <w:rFonts w:hint="eastAsia" w:ascii="宋体" w:hAnsi="宋体" w:eastAsia="宋体" w:cs="宋体"/>
                <w:color w:val="auto"/>
                <w:spacing w:val="-2"/>
                <w:szCs w:val="21"/>
                <w:highlight w:val="none"/>
              </w:rPr>
              <w:t>勘察设计方案</w:t>
            </w:r>
            <w:r>
              <w:rPr>
                <w:rFonts w:hint="eastAsia" w:ascii="宋体" w:hAnsi="宋体" w:eastAsia="宋体" w:cs="宋体"/>
                <w:color w:val="auto"/>
                <w:szCs w:val="21"/>
                <w:highlight w:val="none"/>
              </w:rPr>
              <w:t>部分</w:t>
            </w:r>
            <w:r>
              <w:rPr>
                <w:rFonts w:ascii="宋体" w:hAnsi="宋体" w:eastAsia="宋体" w:cs="宋体"/>
                <w:color w:val="auto"/>
                <w:szCs w:val="21"/>
                <w:highlight w:val="none"/>
              </w:rPr>
              <w:t>B：</w:t>
            </w:r>
            <w:r>
              <w:rPr>
                <w:rFonts w:ascii="宋体" w:hAnsi="宋体" w:eastAsia="宋体" w:cs="宋体"/>
                <w:color w:val="auto"/>
                <w:szCs w:val="21"/>
                <w:highlight w:val="none"/>
                <w:u w:val="single"/>
              </w:rPr>
              <w:t>100</w:t>
            </w:r>
            <w:r>
              <w:rPr>
                <w:rFonts w:hint="eastAsia" w:ascii="宋体" w:hAnsi="宋体" w:eastAsia="宋体" w:cs="宋体"/>
                <w:color w:val="auto"/>
                <w:szCs w:val="21"/>
                <w:highlight w:val="none"/>
              </w:rPr>
              <w:t>分（权重</w:t>
            </w:r>
            <w:r>
              <w:rPr>
                <w:rFonts w:ascii="宋体" w:hAnsi="宋体" w:eastAsia="宋体" w:cs="宋体"/>
                <w:color w:val="auto"/>
                <w:szCs w:val="21"/>
                <w:highlight w:val="none"/>
              </w:rPr>
              <w:t>50%</w:t>
            </w:r>
            <w:r>
              <w:rPr>
                <w:rFonts w:hint="eastAsia" w:ascii="宋体" w:hAnsi="宋体" w:eastAsia="宋体" w:cs="宋体"/>
                <w:color w:val="auto"/>
                <w:szCs w:val="21"/>
                <w:highlight w:val="none"/>
              </w:rPr>
              <w:t>）</w:t>
            </w:r>
          </w:p>
          <w:p w14:paraId="1AE5449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ascii="宋体" w:hAnsi="宋体" w:eastAsia="宋体" w:cs="宋体"/>
                <w:color w:val="auto"/>
                <w:szCs w:val="21"/>
                <w:highlight w:val="none"/>
              </w:rPr>
              <w:t>C：</w:t>
            </w:r>
            <w:r>
              <w:rPr>
                <w:rFonts w:ascii="宋体" w:hAnsi="宋体" w:eastAsia="宋体" w:cs="宋体"/>
                <w:color w:val="auto"/>
                <w:szCs w:val="21"/>
                <w:highlight w:val="none"/>
                <w:u w:val="single"/>
              </w:rPr>
              <w:t>100</w:t>
            </w:r>
            <w:r>
              <w:rPr>
                <w:rFonts w:hint="eastAsia" w:ascii="宋体" w:hAnsi="宋体" w:eastAsia="宋体" w:cs="宋体"/>
                <w:color w:val="auto"/>
                <w:szCs w:val="21"/>
                <w:highlight w:val="none"/>
              </w:rPr>
              <w:t>分（权重</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0%</w:t>
            </w:r>
            <w:r>
              <w:rPr>
                <w:rFonts w:hint="eastAsia" w:ascii="宋体" w:hAnsi="宋体" w:eastAsia="宋体" w:cs="宋体"/>
                <w:color w:val="auto"/>
                <w:szCs w:val="21"/>
                <w:highlight w:val="none"/>
              </w:rPr>
              <w:t>）</w:t>
            </w:r>
          </w:p>
          <w:p w14:paraId="554784F9">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Cs/>
                <w:color w:val="auto"/>
                <w:szCs w:val="21"/>
                <w:highlight w:val="none"/>
              </w:rPr>
              <w:t>其他评分因素（信用评价得分）</w:t>
            </w:r>
            <w:r>
              <w:rPr>
                <w:rFonts w:ascii="宋体" w:hAnsi="宋体" w:eastAsia="宋体" w:cs="Times New Roman"/>
                <w:bCs/>
                <w:color w:val="auto"/>
                <w:szCs w:val="21"/>
                <w:highlight w:val="none"/>
              </w:rPr>
              <w:t>D：</w:t>
            </w:r>
            <w:r>
              <w:rPr>
                <w:rFonts w:ascii="宋体" w:hAnsi="宋体" w:eastAsia="宋体" w:cs="Times New Roman"/>
                <w:bCs/>
                <w:color w:val="auto"/>
                <w:szCs w:val="21"/>
                <w:highlight w:val="none"/>
                <w:u w:val="single"/>
              </w:rPr>
              <w:t>/</w:t>
            </w:r>
          </w:p>
          <w:p w14:paraId="3BC9191F">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投标人总得分</w:t>
            </w:r>
            <w:r>
              <w:rPr>
                <w:rFonts w:ascii="宋体" w:hAnsi="宋体" w:eastAsia="宋体" w:cs="Times New Roman"/>
                <w:b/>
                <w:color w:val="auto"/>
                <w:szCs w:val="21"/>
                <w:highlight w:val="none"/>
                <w:u w:val="single"/>
              </w:rPr>
              <w:t>=A×40%+B×50%+C×10%。</w:t>
            </w:r>
          </w:p>
        </w:tc>
      </w:tr>
      <w:tr w14:paraId="4FAE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198E1063">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2.2.2</w:t>
            </w:r>
          </w:p>
        </w:tc>
        <w:tc>
          <w:tcPr>
            <w:tcW w:w="1643" w:type="dxa"/>
            <w:vAlign w:val="center"/>
          </w:tcPr>
          <w:p w14:paraId="7A175C3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5976" w:type="dxa"/>
            <w:vAlign w:val="center"/>
          </w:tcPr>
          <w:p w14:paraId="6D3970EF">
            <w:pPr>
              <w:spacing w:line="276" w:lineRule="auto"/>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当</w:t>
            </w:r>
            <w:r>
              <w:rPr>
                <w:rFonts w:ascii="宋体" w:hAnsi="宋体" w:eastAsia="宋体" w:cs="宋体"/>
                <w:b/>
                <w:color w:val="auto"/>
                <w:szCs w:val="21"/>
                <w:highlight w:val="none"/>
                <w:u w:val="single"/>
              </w:rPr>
              <w:t>有效投标人大于或等于5名时，去掉一个最高价和一个最低价，取余下投标价的算数平均值作为评标基准价。当有效投标人小于5名时，取所有的有效投标价的算术平均值作为评标基准价；（有效投标人为通过本章第2.1款初步评审的投标人）</w:t>
            </w:r>
          </w:p>
        </w:tc>
      </w:tr>
      <w:tr w14:paraId="0100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74AFBA41">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2.2.3</w:t>
            </w:r>
          </w:p>
        </w:tc>
        <w:tc>
          <w:tcPr>
            <w:tcW w:w="1643" w:type="dxa"/>
            <w:vAlign w:val="center"/>
          </w:tcPr>
          <w:p w14:paraId="6ED1246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投标报价的偏差率计算公式</w:t>
            </w:r>
          </w:p>
        </w:tc>
        <w:tc>
          <w:tcPr>
            <w:tcW w:w="5976" w:type="dxa"/>
            <w:vAlign w:val="center"/>
          </w:tcPr>
          <w:p w14:paraId="68CC4F09">
            <w:pPr>
              <w:spacing w:line="276"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投标报价偏差率=（投标报价-评标基准价）/评标基准价×100%。</w:t>
            </w:r>
          </w:p>
        </w:tc>
      </w:tr>
      <w:tr w14:paraId="52F3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1CF2960B">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2.2.4（1）</w:t>
            </w:r>
          </w:p>
        </w:tc>
        <w:tc>
          <w:tcPr>
            <w:tcW w:w="1643" w:type="dxa"/>
            <w:vAlign w:val="center"/>
          </w:tcPr>
          <w:p w14:paraId="2172D35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资信业绩评分标准</w:t>
            </w:r>
          </w:p>
        </w:tc>
        <w:tc>
          <w:tcPr>
            <w:tcW w:w="5976" w:type="dxa"/>
            <w:vAlign w:val="center"/>
          </w:tcPr>
          <w:p w14:paraId="4D23013E">
            <w:pPr>
              <w:spacing w:line="276"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详见附件一</w:t>
            </w:r>
          </w:p>
        </w:tc>
      </w:tr>
      <w:tr w14:paraId="532F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64503BFD">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2.2.4（2）</w:t>
            </w:r>
          </w:p>
        </w:tc>
        <w:tc>
          <w:tcPr>
            <w:tcW w:w="1643" w:type="dxa"/>
            <w:vAlign w:val="center"/>
          </w:tcPr>
          <w:p w14:paraId="751A496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勘察设计方案</w:t>
            </w:r>
            <w:r>
              <w:rPr>
                <w:rFonts w:hint="eastAsia" w:ascii="宋体" w:hAnsi="宋体" w:eastAsia="宋体" w:cs="宋体"/>
                <w:color w:val="auto"/>
                <w:szCs w:val="21"/>
                <w:highlight w:val="none"/>
              </w:rPr>
              <w:t>评分标准</w:t>
            </w:r>
          </w:p>
        </w:tc>
        <w:tc>
          <w:tcPr>
            <w:tcW w:w="5976" w:type="dxa"/>
            <w:vAlign w:val="center"/>
          </w:tcPr>
          <w:p w14:paraId="0C7DDA5E">
            <w:pPr>
              <w:spacing w:line="276"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详见附件二</w:t>
            </w:r>
          </w:p>
        </w:tc>
      </w:tr>
      <w:tr w14:paraId="74D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4F9CD696">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2.2.4（3）</w:t>
            </w:r>
          </w:p>
        </w:tc>
        <w:tc>
          <w:tcPr>
            <w:tcW w:w="1643" w:type="dxa"/>
            <w:vAlign w:val="center"/>
          </w:tcPr>
          <w:p w14:paraId="4EE10EE2">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投标报价评分标准</w:t>
            </w:r>
          </w:p>
        </w:tc>
        <w:tc>
          <w:tcPr>
            <w:tcW w:w="5976" w:type="dxa"/>
            <w:vAlign w:val="center"/>
          </w:tcPr>
          <w:p w14:paraId="2B04DE80">
            <w:pPr>
              <w:spacing w:line="276"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以评标基准价作为计算各有效投标人报价得分的基础，当投标报价等于评标基准价时得100分，投标报价与评标基准价之差，每上偏1%扣0.5分，下偏1%扣0.3分，扣至0分为止。</w:t>
            </w:r>
          </w:p>
        </w:tc>
      </w:tr>
      <w:tr w14:paraId="70F9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62DD6B4C">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2.2.4（4）</w:t>
            </w:r>
          </w:p>
        </w:tc>
        <w:tc>
          <w:tcPr>
            <w:tcW w:w="1643" w:type="dxa"/>
            <w:vAlign w:val="center"/>
          </w:tcPr>
          <w:p w14:paraId="636A1D4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其他因素评分标准</w:t>
            </w:r>
          </w:p>
        </w:tc>
        <w:tc>
          <w:tcPr>
            <w:tcW w:w="5976" w:type="dxa"/>
            <w:vAlign w:val="center"/>
          </w:tcPr>
          <w:p w14:paraId="78F1D806">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w:t>
            </w:r>
          </w:p>
        </w:tc>
      </w:tr>
    </w:tbl>
    <w:p w14:paraId="373D95EF">
      <w:pPr>
        <w:wordWrap w:val="0"/>
        <w:rPr>
          <w:rFonts w:ascii="宋体" w:hAnsi="宋体" w:eastAsia="宋体" w:cs="宋体"/>
          <w:color w:val="auto"/>
          <w:szCs w:val="24"/>
          <w:highlight w:val="none"/>
        </w:rPr>
      </w:pPr>
      <w:r>
        <w:rPr>
          <w:rFonts w:ascii="宋体" w:hAnsi="宋体" w:eastAsia="宋体" w:cs="宋体"/>
          <w:color w:val="auto"/>
          <w:szCs w:val="24"/>
          <w:highlight w:val="none"/>
        </w:rPr>
        <w:t xml:space="preserve"> </w:t>
      </w:r>
    </w:p>
    <w:p w14:paraId="50ADC645">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cols w:space="720" w:num="1"/>
        </w:sectPr>
      </w:pPr>
    </w:p>
    <w:p w14:paraId="359C13BE">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附件一：</w:t>
      </w:r>
    </w:p>
    <w:p w14:paraId="28B361AE">
      <w:pPr>
        <w:wordWrap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资信业绩评分表</w:t>
      </w:r>
    </w:p>
    <w:tbl>
      <w:tblPr>
        <w:tblStyle w:val="45"/>
        <w:tblW w:w="146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57"/>
        <w:gridCol w:w="1122"/>
        <w:gridCol w:w="536"/>
        <w:gridCol w:w="11340"/>
      </w:tblGrid>
      <w:tr w14:paraId="704E9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tblHeader/>
        </w:trPr>
        <w:tc>
          <w:tcPr>
            <w:tcW w:w="704" w:type="dxa"/>
            <w:tcBorders>
              <w:tl2br w:val="nil"/>
              <w:tr2bl w:val="nil"/>
            </w:tcBorders>
            <w:noWrap/>
            <w:vAlign w:val="center"/>
          </w:tcPr>
          <w:p w14:paraId="4FEC71F2">
            <w:pPr>
              <w:snapToGrid w:val="0"/>
              <w:ind w:left="-2" w:leftChars="-1"/>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2079" w:type="dxa"/>
            <w:gridSpan w:val="2"/>
            <w:tcBorders>
              <w:tl2br w:val="nil"/>
              <w:tr2bl w:val="nil"/>
            </w:tcBorders>
            <w:noWrap/>
            <w:vAlign w:val="center"/>
          </w:tcPr>
          <w:p w14:paraId="74166C8B">
            <w:pPr>
              <w:snapToGrid w:val="0"/>
              <w:ind w:left="-2" w:leftChars="-1"/>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536" w:type="dxa"/>
            <w:tcBorders>
              <w:tl2br w:val="nil"/>
              <w:tr2bl w:val="nil"/>
            </w:tcBorders>
            <w:noWrap/>
            <w:vAlign w:val="center"/>
          </w:tcPr>
          <w:p w14:paraId="0B2442C1">
            <w:pPr>
              <w:snapToGrid w:val="0"/>
              <w:ind w:left="-2" w:leftChars="-1"/>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分数</w:t>
            </w:r>
          </w:p>
        </w:tc>
        <w:tc>
          <w:tcPr>
            <w:tcW w:w="11340" w:type="dxa"/>
            <w:tcBorders>
              <w:tl2br w:val="nil"/>
              <w:tr2bl w:val="nil"/>
            </w:tcBorders>
            <w:noWrap/>
            <w:vAlign w:val="center"/>
          </w:tcPr>
          <w:p w14:paraId="395E6E05">
            <w:pPr>
              <w:snapToGrid w:val="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评审标准</w:t>
            </w:r>
          </w:p>
        </w:tc>
      </w:tr>
      <w:tr w14:paraId="1CF57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4" w:type="dxa"/>
            <w:vMerge w:val="restart"/>
            <w:tcBorders>
              <w:tl2br w:val="nil"/>
              <w:tr2bl w:val="nil"/>
            </w:tcBorders>
            <w:noWrap/>
            <w:vAlign w:val="center"/>
          </w:tcPr>
          <w:p w14:paraId="211DB50B">
            <w:pPr>
              <w:snapToGrid w:val="0"/>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一</w:t>
            </w:r>
          </w:p>
        </w:tc>
        <w:tc>
          <w:tcPr>
            <w:tcW w:w="957" w:type="dxa"/>
            <w:vMerge w:val="restart"/>
            <w:tcBorders>
              <w:tl2br w:val="nil"/>
              <w:tr2bl w:val="nil"/>
            </w:tcBorders>
            <w:noWrap/>
            <w:vAlign w:val="center"/>
          </w:tcPr>
          <w:p w14:paraId="30E22DE6">
            <w:pPr>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企业类似业绩</w:t>
            </w:r>
          </w:p>
        </w:tc>
        <w:tc>
          <w:tcPr>
            <w:tcW w:w="1122" w:type="dxa"/>
            <w:tcBorders>
              <w:tl2br w:val="nil"/>
              <w:tr2bl w:val="nil"/>
            </w:tcBorders>
            <w:noWrap/>
            <w:vAlign w:val="center"/>
          </w:tcPr>
          <w:p w14:paraId="79A8C538">
            <w:pPr>
              <w:jc w:val="center"/>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设计业绩</w:t>
            </w:r>
          </w:p>
        </w:tc>
        <w:tc>
          <w:tcPr>
            <w:tcW w:w="536" w:type="dxa"/>
            <w:tcBorders>
              <w:tl2br w:val="nil"/>
              <w:tr2bl w:val="nil"/>
            </w:tcBorders>
            <w:noWrap/>
            <w:vAlign w:val="center"/>
          </w:tcPr>
          <w:p w14:paraId="47C1AC3B">
            <w:pPr>
              <w:jc w:val="center"/>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12</w:t>
            </w:r>
          </w:p>
        </w:tc>
        <w:tc>
          <w:tcPr>
            <w:tcW w:w="11340" w:type="dxa"/>
            <w:tcBorders>
              <w:tl2br w:val="nil"/>
              <w:tr2bl w:val="nil"/>
            </w:tcBorders>
            <w:noWrap/>
            <w:vAlign w:val="center"/>
          </w:tcPr>
          <w:p w14:paraId="03E6D41E">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zh-CN"/>
              </w:rPr>
              <w:t>2020年1月1日至今，投标人（若为联合体，以承担设计方提供的为准）承接过市政工程设计业绩的，每项得</w:t>
            </w:r>
            <w:r>
              <w:rPr>
                <w:rFonts w:hint="eastAsia" w:ascii="宋体" w:hAnsi="宋体" w:eastAsia="宋体" w:cs="Times New Roman"/>
                <w:b/>
                <w:bCs/>
                <w:color w:val="auto"/>
                <w:szCs w:val="21"/>
                <w:highlight w:val="none"/>
                <w:u w:val="none"/>
                <w:lang w:val="en-US" w:eastAsia="zh-CN"/>
              </w:rPr>
              <w:t>4</w:t>
            </w:r>
            <w:r>
              <w:rPr>
                <w:rFonts w:hint="eastAsia" w:ascii="宋体" w:hAnsi="宋体" w:eastAsia="宋体" w:cs="Times New Roman"/>
                <w:color w:val="auto"/>
                <w:szCs w:val="21"/>
                <w:highlight w:val="none"/>
                <w:u w:val="none"/>
                <w:lang w:val="zh-CN"/>
              </w:rPr>
              <w:t>分，最多得</w:t>
            </w:r>
            <w:r>
              <w:rPr>
                <w:rFonts w:hint="eastAsia" w:ascii="宋体" w:hAnsi="宋体" w:eastAsia="宋体" w:cs="Times New Roman"/>
                <w:b/>
                <w:bCs/>
                <w:color w:val="auto"/>
                <w:szCs w:val="21"/>
                <w:highlight w:val="none"/>
                <w:u w:val="none"/>
                <w:lang w:val="en-US" w:eastAsia="zh-CN"/>
              </w:rPr>
              <w:t>12</w:t>
            </w:r>
            <w:r>
              <w:rPr>
                <w:rFonts w:hint="eastAsia" w:ascii="宋体" w:hAnsi="宋体" w:eastAsia="宋体" w:cs="Times New Roman"/>
                <w:color w:val="auto"/>
                <w:szCs w:val="21"/>
                <w:highlight w:val="none"/>
                <w:u w:val="none"/>
                <w:lang w:val="zh-CN"/>
              </w:rPr>
              <w:t>分。</w:t>
            </w:r>
          </w:p>
        </w:tc>
      </w:tr>
      <w:tr w14:paraId="2D34D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4" w:type="dxa"/>
            <w:vMerge w:val="continue"/>
            <w:tcBorders>
              <w:tl2br w:val="nil"/>
              <w:tr2bl w:val="nil"/>
            </w:tcBorders>
            <w:noWrap/>
            <w:vAlign w:val="center"/>
          </w:tcPr>
          <w:p w14:paraId="65D04EE6">
            <w:pPr>
              <w:jc w:val="center"/>
              <w:rPr>
                <w:color w:val="auto"/>
                <w:highlight w:val="none"/>
                <w:u w:val="none"/>
              </w:rPr>
            </w:pPr>
          </w:p>
        </w:tc>
        <w:tc>
          <w:tcPr>
            <w:tcW w:w="957" w:type="dxa"/>
            <w:vMerge w:val="continue"/>
            <w:tcBorders>
              <w:tl2br w:val="nil"/>
              <w:tr2bl w:val="nil"/>
            </w:tcBorders>
            <w:noWrap/>
            <w:vAlign w:val="center"/>
          </w:tcPr>
          <w:p w14:paraId="66067861">
            <w:pPr>
              <w:jc w:val="center"/>
              <w:rPr>
                <w:color w:val="auto"/>
                <w:highlight w:val="none"/>
                <w:u w:val="none"/>
              </w:rPr>
            </w:pPr>
          </w:p>
        </w:tc>
        <w:tc>
          <w:tcPr>
            <w:tcW w:w="1122" w:type="dxa"/>
            <w:tcBorders>
              <w:tl2br w:val="nil"/>
              <w:tr2bl w:val="nil"/>
            </w:tcBorders>
            <w:noWrap/>
            <w:vAlign w:val="center"/>
          </w:tcPr>
          <w:p w14:paraId="70D76AFC">
            <w:pPr>
              <w:jc w:val="center"/>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勘察业绩</w:t>
            </w:r>
          </w:p>
        </w:tc>
        <w:tc>
          <w:tcPr>
            <w:tcW w:w="536" w:type="dxa"/>
            <w:tcBorders>
              <w:tl2br w:val="nil"/>
              <w:tr2bl w:val="nil"/>
            </w:tcBorders>
            <w:noWrap/>
            <w:vAlign w:val="center"/>
          </w:tcPr>
          <w:p w14:paraId="612913AC">
            <w:pPr>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8</w:t>
            </w:r>
          </w:p>
        </w:tc>
        <w:tc>
          <w:tcPr>
            <w:tcW w:w="11340" w:type="dxa"/>
            <w:tcBorders>
              <w:tl2br w:val="nil"/>
              <w:tr2bl w:val="nil"/>
            </w:tcBorders>
            <w:noWrap/>
            <w:vAlign w:val="center"/>
          </w:tcPr>
          <w:p w14:paraId="00E5DFBE">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zh-CN"/>
              </w:rPr>
              <w:t>2020年1月1日至今，投标人（若为联合体，以承担</w:t>
            </w:r>
            <w:r>
              <w:rPr>
                <w:rFonts w:hint="eastAsia" w:ascii="宋体" w:hAnsi="宋体" w:eastAsia="宋体" w:cs="Times New Roman"/>
                <w:color w:val="auto"/>
                <w:szCs w:val="21"/>
                <w:highlight w:val="none"/>
                <w:u w:val="none"/>
                <w:lang w:val="en-US" w:eastAsia="zh-CN"/>
              </w:rPr>
              <w:t>勘察</w:t>
            </w:r>
            <w:r>
              <w:rPr>
                <w:rFonts w:hint="eastAsia" w:ascii="宋体" w:hAnsi="宋体" w:eastAsia="宋体" w:cs="Times New Roman"/>
                <w:color w:val="auto"/>
                <w:szCs w:val="21"/>
                <w:highlight w:val="none"/>
                <w:u w:val="none"/>
                <w:lang w:val="zh-CN"/>
              </w:rPr>
              <w:t>方提供的为准）承接过</w:t>
            </w:r>
            <w:r>
              <w:rPr>
                <w:rFonts w:hint="eastAsia" w:ascii="宋体" w:hAnsi="宋体" w:eastAsia="宋体" w:cs="Times New Roman"/>
                <w:color w:val="auto"/>
                <w:szCs w:val="21"/>
                <w:highlight w:val="none"/>
                <w:u w:val="none"/>
                <w:lang w:val="en-US" w:eastAsia="zh-CN"/>
              </w:rPr>
              <w:t>市政</w:t>
            </w:r>
            <w:r>
              <w:rPr>
                <w:rFonts w:hint="eastAsia" w:ascii="宋体" w:hAnsi="宋体" w:eastAsia="宋体" w:cs="Times New Roman"/>
                <w:color w:val="auto"/>
                <w:szCs w:val="21"/>
                <w:highlight w:val="none"/>
                <w:u w:val="none"/>
                <w:lang w:val="zh-CN"/>
              </w:rPr>
              <w:t>工程勘察业绩的，每项得</w:t>
            </w:r>
            <w:r>
              <w:rPr>
                <w:rFonts w:hint="eastAsia" w:ascii="宋体" w:hAnsi="宋体" w:eastAsia="宋体" w:cs="Times New Roman"/>
                <w:b/>
                <w:bCs/>
                <w:color w:val="auto"/>
                <w:szCs w:val="21"/>
                <w:highlight w:val="none"/>
                <w:u w:val="none"/>
                <w:lang w:val="en-US" w:eastAsia="zh-CN"/>
              </w:rPr>
              <w:t>4</w:t>
            </w:r>
            <w:r>
              <w:rPr>
                <w:rFonts w:hint="eastAsia" w:ascii="宋体" w:hAnsi="宋体" w:eastAsia="宋体" w:cs="Times New Roman"/>
                <w:color w:val="auto"/>
                <w:szCs w:val="21"/>
                <w:highlight w:val="none"/>
                <w:u w:val="none"/>
                <w:lang w:val="zh-CN"/>
              </w:rPr>
              <w:t>分，最多得</w:t>
            </w:r>
            <w:r>
              <w:rPr>
                <w:rFonts w:hint="eastAsia" w:ascii="宋体" w:hAnsi="宋体" w:eastAsia="宋体" w:cs="Times New Roman"/>
                <w:b/>
                <w:bCs/>
                <w:color w:val="auto"/>
                <w:szCs w:val="21"/>
                <w:highlight w:val="none"/>
                <w:u w:val="none"/>
                <w:lang w:val="en-US" w:eastAsia="zh-CN"/>
              </w:rPr>
              <w:t>8</w:t>
            </w:r>
            <w:r>
              <w:rPr>
                <w:rFonts w:hint="eastAsia" w:ascii="宋体" w:hAnsi="宋体" w:eastAsia="宋体" w:cs="Times New Roman"/>
                <w:color w:val="auto"/>
                <w:szCs w:val="21"/>
                <w:highlight w:val="none"/>
                <w:u w:val="none"/>
                <w:lang w:val="zh-CN"/>
              </w:rPr>
              <w:t>分。</w:t>
            </w:r>
          </w:p>
        </w:tc>
      </w:tr>
      <w:tr w14:paraId="72900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04" w:type="dxa"/>
            <w:tcBorders>
              <w:tl2br w:val="nil"/>
              <w:tr2bl w:val="nil"/>
            </w:tcBorders>
            <w:noWrap/>
            <w:vAlign w:val="center"/>
          </w:tcPr>
          <w:p w14:paraId="3DAEE611">
            <w:pPr>
              <w:snapToGrid w:val="0"/>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二</w:t>
            </w:r>
          </w:p>
        </w:tc>
        <w:tc>
          <w:tcPr>
            <w:tcW w:w="2079" w:type="dxa"/>
            <w:gridSpan w:val="2"/>
            <w:tcBorders>
              <w:tl2br w:val="nil"/>
              <w:tr2bl w:val="nil"/>
            </w:tcBorders>
            <w:noWrap/>
            <w:vAlign w:val="center"/>
          </w:tcPr>
          <w:p w14:paraId="388AF902">
            <w:pPr>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企业业绩获奖</w:t>
            </w:r>
          </w:p>
        </w:tc>
        <w:tc>
          <w:tcPr>
            <w:tcW w:w="536" w:type="dxa"/>
            <w:tcBorders>
              <w:tl2br w:val="nil"/>
              <w:tr2bl w:val="nil"/>
            </w:tcBorders>
            <w:noWrap/>
            <w:vAlign w:val="center"/>
          </w:tcPr>
          <w:p w14:paraId="57D68072">
            <w:pPr>
              <w:jc w:val="center"/>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35</w:t>
            </w:r>
          </w:p>
        </w:tc>
        <w:tc>
          <w:tcPr>
            <w:tcW w:w="11340" w:type="dxa"/>
            <w:tcBorders>
              <w:tl2br w:val="nil"/>
              <w:tr2bl w:val="nil"/>
            </w:tcBorders>
            <w:noWrap/>
            <w:vAlign w:val="top"/>
          </w:tcPr>
          <w:p w14:paraId="2217E837">
            <w:pPr>
              <w:spacing w:line="240" w:lineRule="auto"/>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2020年1月1日至今，投标人承接的市政工程勘察或设计项目获得过以下奖项的：</w:t>
            </w:r>
          </w:p>
          <w:p w14:paraId="7B0C021D">
            <w:pPr>
              <w:spacing w:line="240" w:lineRule="auto"/>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（1）获得国家级奖项，每项得7分；</w:t>
            </w:r>
          </w:p>
          <w:p w14:paraId="105563D5">
            <w:pPr>
              <w:spacing w:line="240" w:lineRule="auto"/>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（2）获得省级奖项，每项得3.5分；</w:t>
            </w:r>
          </w:p>
          <w:p w14:paraId="17582643">
            <w:pPr>
              <w:spacing w:line="240" w:lineRule="auto"/>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（3）获得市级（含副省级）奖项，每项得1.5分。</w:t>
            </w:r>
          </w:p>
          <w:p w14:paraId="2670FFDC">
            <w:pPr>
              <w:spacing w:line="240" w:lineRule="auto"/>
              <w:rPr>
                <w:rFonts w:hint="default"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本项最多的35分。</w:t>
            </w:r>
          </w:p>
        </w:tc>
      </w:tr>
      <w:tr w14:paraId="2B6C8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704" w:type="dxa"/>
            <w:vMerge w:val="restart"/>
            <w:tcBorders>
              <w:tl2br w:val="nil"/>
              <w:tr2bl w:val="nil"/>
            </w:tcBorders>
            <w:noWrap/>
            <w:vAlign w:val="center"/>
          </w:tcPr>
          <w:p w14:paraId="30F54E3E">
            <w:pPr>
              <w:snapToGrid w:val="0"/>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三</w:t>
            </w:r>
          </w:p>
        </w:tc>
        <w:tc>
          <w:tcPr>
            <w:tcW w:w="957" w:type="dxa"/>
            <w:vMerge w:val="restart"/>
            <w:tcBorders>
              <w:tl2br w:val="nil"/>
              <w:tr2bl w:val="nil"/>
            </w:tcBorders>
            <w:noWrap/>
            <w:vAlign w:val="center"/>
          </w:tcPr>
          <w:p w14:paraId="719467A4">
            <w:pPr>
              <w:snapToGrid w:val="0"/>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人员配备及技术水平</w:t>
            </w:r>
          </w:p>
        </w:tc>
        <w:tc>
          <w:tcPr>
            <w:tcW w:w="1122" w:type="dxa"/>
            <w:tcBorders>
              <w:tl2br w:val="nil"/>
              <w:tr2bl w:val="nil"/>
            </w:tcBorders>
            <w:noWrap/>
            <w:vAlign w:val="center"/>
          </w:tcPr>
          <w:p w14:paraId="7908ACD9">
            <w:pPr>
              <w:snapToGrid w:val="0"/>
              <w:jc w:val="center"/>
              <w:rPr>
                <w:rFonts w:hint="eastAsia" w:ascii="宋体" w:hAnsi="宋体" w:eastAsia="宋体" w:cs="宋体"/>
                <w:color w:val="auto"/>
                <w:szCs w:val="21"/>
                <w:highlight w:val="none"/>
                <w:u w:val="none"/>
              </w:rPr>
            </w:pPr>
            <w:r>
              <w:rPr>
                <w:rFonts w:hint="eastAsia" w:ascii="宋体" w:hAnsi="宋体" w:eastAsia="宋体" w:cs="Times New Roman"/>
                <w:color w:val="auto"/>
                <w:szCs w:val="21"/>
                <w:highlight w:val="none"/>
                <w:u w:val="none"/>
                <w:lang w:val="zh-CN"/>
              </w:rPr>
              <w:t>项目负责人</w:t>
            </w:r>
          </w:p>
        </w:tc>
        <w:tc>
          <w:tcPr>
            <w:tcW w:w="536" w:type="dxa"/>
            <w:tcBorders>
              <w:tl2br w:val="nil"/>
              <w:tr2bl w:val="nil"/>
            </w:tcBorders>
            <w:noWrap/>
            <w:vAlign w:val="center"/>
          </w:tcPr>
          <w:p w14:paraId="3508C5E2">
            <w:pPr>
              <w:jc w:val="center"/>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20</w:t>
            </w:r>
          </w:p>
        </w:tc>
        <w:tc>
          <w:tcPr>
            <w:tcW w:w="11340" w:type="dxa"/>
            <w:tcBorders>
              <w:tl2br w:val="nil"/>
              <w:tr2bl w:val="nil"/>
            </w:tcBorders>
            <w:noWrap/>
            <w:vAlign w:val="center"/>
          </w:tcPr>
          <w:p w14:paraId="4C737A31">
            <w:pPr>
              <w:numPr>
                <w:ilvl w:val="0"/>
                <w:numId w:val="0"/>
              </w:numPr>
              <w:spacing w:line="240" w:lineRule="auto"/>
              <w:rPr>
                <w:rFonts w:hint="eastAsia" w:ascii="宋体" w:hAnsi="宋体" w:eastAsia="宋体" w:cs="宋体"/>
                <w:color w:val="auto"/>
                <w:szCs w:val="21"/>
                <w:highlight w:val="none"/>
                <w:u w:val="none"/>
                <w:lang w:val="zh-CN"/>
              </w:rPr>
            </w:pP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szCs w:val="21"/>
                <w:highlight w:val="none"/>
                <w:u w:val="none"/>
                <w:lang w:val="zh-CN"/>
              </w:rPr>
              <w:t>具有给排水相关专业高级</w:t>
            </w:r>
            <w:r>
              <w:rPr>
                <w:rFonts w:hint="eastAsia" w:ascii="宋体" w:hAnsi="宋体" w:eastAsia="宋体" w:cs="Times New Roman"/>
                <w:color w:val="auto"/>
                <w:szCs w:val="21"/>
                <w:highlight w:val="none"/>
                <w:u w:val="none"/>
                <w:lang w:val="zh-CN"/>
              </w:rPr>
              <w:t>（或以上）</w:t>
            </w:r>
            <w:r>
              <w:rPr>
                <w:rFonts w:hint="eastAsia" w:ascii="宋体" w:hAnsi="宋体" w:eastAsia="宋体" w:cs="宋体"/>
                <w:color w:val="auto"/>
                <w:szCs w:val="21"/>
                <w:highlight w:val="none"/>
                <w:u w:val="none"/>
                <w:lang w:val="zh-CN"/>
              </w:rPr>
              <w:t>技术职称，得</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lang w:val="zh-CN"/>
              </w:rPr>
              <w:t>分；具有给排水相关专业</w:t>
            </w:r>
            <w:r>
              <w:rPr>
                <w:rFonts w:hint="eastAsia" w:ascii="宋体" w:hAnsi="宋体" w:eastAsia="宋体" w:cs="宋体"/>
                <w:color w:val="auto"/>
                <w:szCs w:val="21"/>
                <w:highlight w:val="none"/>
                <w:u w:val="none"/>
                <w:lang w:val="en-US" w:eastAsia="zh-CN"/>
              </w:rPr>
              <w:t>中</w:t>
            </w:r>
            <w:r>
              <w:rPr>
                <w:rFonts w:hint="eastAsia" w:ascii="宋体" w:hAnsi="宋体" w:eastAsia="宋体" w:cs="宋体"/>
                <w:color w:val="auto"/>
                <w:szCs w:val="21"/>
                <w:highlight w:val="none"/>
                <w:u w:val="none"/>
                <w:lang w:val="zh-CN"/>
              </w:rPr>
              <w:t>级技术职称，得</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lang w:val="zh-CN"/>
              </w:rPr>
              <w:t>分；</w:t>
            </w:r>
          </w:p>
          <w:p w14:paraId="7D9A0278">
            <w:pPr>
              <w:numPr>
                <w:ilvl w:val="0"/>
                <w:numId w:val="0"/>
              </w:numPr>
              <w:spacing w:line="240" w:lineRule="auto"/>
              <w:rPr>
                <w:rFonts w:hint="eastAsia" w:ascii="宋体" w:hAnsi="宋体" w:eastAsia="宋体" w:cs="宋体"/>
                <w:color w:val="auto"/>
                <w:szCs w:val="21"/>
                <w:highlight w:val="none"/>
                <w:u w:val="none"/>
                <w:lang w:val="zh-CN"/>
              </w:rPr>
            </w:pP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kern w:val="2"/>
                <w:sz w:val="21"/>
                <w:szCs w:val="21"/>
                <w:highlight w:val="none"/>
                <w:u w:val="none"/>
                <w:lang w:val="en-US" w:eastAsia="zh-CN" w:bidi="ar-SA"/>
              </w:rPr>
              <w:t>2</w:t>
            </w: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szCs w:val="21"/>
                <w:highlight w:val="none"/>
                <w:u w:val="none"/>
                <w:lang w:val="zh-CN"/>
              </w:rPr>
              <w:t>具有注册公用设备工程师（给水排水）</w:t>
            </w:r>
            <w:r>
              <w:rPr>
                <w:rFonts w:hint="eastAsia" w:ascii="宋体" w:hAnsi="宋体" w:eastAsia="宋体" w:cs="宋体"/>
                <w:color w:val="auto"/>
                <w:szCs w:val="21"/>
                <w:highlight w:val="none"/>
                <w:u w:val="none"/>
                <w:lang w:val="en-US" w:eastAsia="zh-CN"/>
              </w:rPr>
              <w:t>证书</w:t>
            </w:r>
            <w:r>
              <w:rPr>
                <w:rFonts w:hint="eastAsia" w:ascii="宋体" w:hAnsi="宋体" w:eastAsia="宋体" w:cs="宋体"/>
                <w:color w:val="auto"/>
                <w:szCs w:val="21"/>
                <w:highlight w:val="none"/>
                <w:u w:val="none"/>
                <w:lang w:val="zh-CN"/>
              </w:rPr>
              <w:t>，得</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lang w:val="zh-CN"/>
              </w:rPr>
              <w:t>分；</w:t>
            </w:r>
          </w:p>
          <w:p w14:paraId="042A4C96">
            <w:pPr>
              <w:numPr>
                <w:ilvl w:val="0"/>
                <w:numId w:val="0"/>
              </w:numPr>
              <w:spacing w:line="240" w:lineRule="auto"/>
              <w:rPr>
                <w:rFonts w:hint="eastAsia" w:ascii="宋体" w:hAnsi="宋体" w:eastAsia="宋体" w:cs="宋体"/>
                <w:color w:val="auto"/>
                <w:szCs w:val="21"/>
                <w:highlight w:val="none"/>
                <w:u w:val="none"/>
                <w:lang w:val="zh-CN"/>
              </w:rPr>
            </w:pP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kern w:val="2"/>
                <w:sz w:val="21"/>
                <w:szCs w:val="21"/>
                <w:highlight w:val="none"/>
                <w:u w:val="none"/>
                <w:lang w:val="en-US" w:eastAsia="zh-CN" w:bidi="ar-SA"/>
              </w:rPr>
              <w:t>3</w:t>
            </w: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szCs w:val="21"/>
                <w:highlight w:val="none"/>
                <w:u w:val="none"/>
                <w:lang w:val="zh-CN"/>
              </w:rPr>
              <w:t>作为项目负责人（或设计负责人）主持过市政工程设计业绩，每项得</w:t>
            </w:r>
            <w:r>
              <w:rPr>
                <w:rFonts w:hint="eastAsia" w:ascii="宋体" w:hAnsi="宋体" w:eastAsia="宋体" w:cs="宋体"/>
                <w:b/>
                <w:bCs/>
                <w:color w:val="auto"/>
                <w:szCs w:val="21"/>
                <w:highlight w:val="none"/>
                <w:u w:val="none"/>
                <w:lang w:val="en-US" w:eastAsia="zh-CN"/>
              </w:rPr>
              <w:t>2</w:t>
            </w:r>
            <w:r>
              <w:rPr>
                <w:rFonts w:hint="eastAsia" w:ascii="宋体" w:hAnsi="宋体" w:eastAsia="宋体" w:cs="宋体"/>
                <w:color w:val="auto"/>
                <w:szCs w:val="21"/>
                <w:highlight w:val="none"/>
                <w:u w:val="none"/>
                <w:lang w:val="zh-CN"/>
              </w:rPr>
              <w:t>分，本小项最多得</w:t>
            </w:r>
            <w:r>
              <w:rPr>
                <w:rFonts w:hint="eastAsia" w:ascii="宋体" w:hAnsi="宋体" w:eastAsia="宋体" w:cs="宋体"/>
                <w:b/>
                <w:bCs/>
                <w:color w:val="auto"/>
                <w:szCs w:val="21"/>
                <w:highlight w:val="none"/>
                <w:u w:val="none"/>
                <w:lang w:val="en-US" w:eastAsia="zh-CN"/>
              </w:rPr>
              <w:t>4</w:t>
            </w:r>
            <w:r>
              <w:rPr>
                <w:rFonts w:hint="eastAsia" w:ascii="宋体" w:hAnsi="宋体" w:eastAsia="宋体" w:cs="宋体"/>
                <w:color w:val="auto"/>
                <w:szCs w:val="21"/>
                <w:highlight w:val="none"/>
                <w:u w:val="none"/>
                <w:lang w:val="zh-CN"/>
              </w:rPr>
              <w:t>分。</w:t>
            </w:r>
          </w:p>
          <w:p w14:paraId="58F67C45">
            <w:pPr>
              <w:numPr>
                <w:ilvl w:val="0"/>
                <w:numId w:val="0"/>
              </w:numPr>
              <w:spacing w:line="240" w:lineRule="auto"/>
              <w:rPr>
                <w:rFonts w:hint="eastAsia" w:ascii="宋体" w:hAnsi="宋体" w:eastAsia="宋体" w:cs="宋体"/>
                <w:color w:val="auto"/>
                <w:szCs w:val="21"/>
                <w:highlight w:val="none"/>
                <w:u w:val="none"/>
                <w:lang w:val="zh-CN"/>
              </w:rPr>
            </w:pP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kern w:val="2"/>
                <w:sz w:val="21"/>
                <w:szCs w:val="21"/>
                <w:highlight w:val="none"/>
                <w:u w:val="none"/>
                <w:lang w:val="en-US" w:eastAsia="zh-CN" w:bidi="ar-SA"/>
              </w:rPr>
              <w:t>4</w:t>
            </w: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szCs w:val="21"/>
                <w:highlight w:val="none"/>
                <w:u w:val="none"/>
                <w:lang w:val="zh-CN"/>
              </w:rPr>
              <w:t>参与设计的市政</w:t>
            </w:r>
            <w:r>
              <w:rPr>
                <w:rFonts w:hint="eastAsia" w:ascii="宋体" w:hAnsi="宋体" w:eastAsia="宋体" w:cs="Times New Roman"/>
                <w:color w:val="auto"/>
                <w:szCs w:val="21"/>
                <w:highlight w:val="none"/>
                <w:u w:val="none"/>
                <w:lang w:val="zh-CN"/>
              </w:rPr>
              <w:t>公用</w:t>
            </w:r>
            <w:r>
              <w:rPr>
                <w:rFonts w:hint="eastAsia" w:ascii="宋体" w:hAnsi="宋体" w:eastAsia="宋体" w:cs="宋体"/>
                <w:color w:val="auto"/>
                <w:szCs w:val="21"/>
                <w:highlight w:val="none"/>
                <w:u w:val="none"/>
                <w:lang w:val="zh-CN"/>
              </w:rPr>
              <w:t>工程项目，获国家级</w:t>
            </w:r>
            <w:r>
              <w:rPr>
                <w:rFonts w:hint="eastAsia" w:ascii="宋体" w:hAnsi="宋体" w:eastAsia="宋体" w:cs="Times New Roman"/>
                <w:color w:val="auto"/>
                <w:szCs w:val="21"/>
                <w:highlight w:val="none"/>
                <w:u w:val="none"/>
                <w:lang w:val="zh-CN"/>
              </w:rPr>
              <w:t>工程</w:t>
            </w:r>
            <w:r>
              <w:rPr>
                <w:rFonts w:hint="eastAsia" w:ascii="宋体" w:hAnsi="宋体" w:eastAsia="宋体" w:cs="宋体"/>
                <w:color w:val="auto"/>
                <w:szCs w:val="21"/>
                <w:highlight w:val="none"/>
                <w:u w:val="none"/>
                <w:lang w:val="zh-CN"/>
              </w:rPr>
              <w:t>设计类奖项的，每项得</w:t>
            </w:r>
            <w:r>
              <w:rPr>
                <w:rFonts w:hint="eastAsia" w:ascii="宋体" w:hAnsi="宋体" w:eastAsia="宋体" w:cs="宋体"/>
                <w:b/>
                <w:bCs/>
                <w:color w:val="auto"/>
                <w:szCs w:val="21"/>
                <w:highlight w:val="none"/>
                <w:u w:val="none"/>
                <w:lang w:val="en-US" w:eastAsia="zh-CN"/>
              </w:rPr>
              <w:t>3</w:t>
            </w:r>
            <w:r>
              <w:rPr>
                <w:rFonts w:hint="eastAsia" w:ascii="宋体" w:hAnsi="宋体" w:eastAsia="宋体" w:cs="宋体"/>
                <w:color w:val="auto"/>
                <w:szCs w:val="21"/>
                <w:highlight w:val="none"/>
                <w:u w:val="none"/>
                <w:lang w:val="zh-CN"/>
              </w:rPr>
              <w:t>分，获省级</w:t>
            </w:r>
            <w:r>
              <w:rPr>
                <w:rFonts w:hint="eastAsia" w:ascii="宋体" w:hAnsi="宋体" w:eastAsia="宋体" w:cs="Times New Roman"/>
                <w:color w:val="auto"/>
                <w:szCs w:val="21"/>
                <w:highlight w:val="none"/>
                <w:u w:val="none"/>
                <w:lang w:val="zh-CN"/>
              </w:rPr>
              <w:t>工程</w:t>
            </w:r>
            <w:r>
              <w:rPr>
                <w:rFonts w:hint="eastAsia" w:ascii="宋体" w:hAnsi="宋体" w:eastAsia="宋体" w:cs="宋体"/>
                <w:color w:val="auto"/>
                <w:szCs w:val="21"/>
                <w:highlight w:val="none"/>
                <w:u w:val="none"/>
                <w:lang w:val="zh-CN"/>
              </w:rPr>
              <w:t>设计类奖项的，每项得</w:t>
            </w:r>
            <w:r>
              <w:rPr>
                <w:rFonts w:hint="eastAsia" w:ascii="宋体" w:hAnsi="宋体" w:eastAsia="宋体" w:cs="宋体"/>
                <w:b/>
                <w:bCs/>
                <w:color w:val="auto"/>
                <w:szCs w:val="21"/>
                <w:highlight w:val="none"/>
                <w:u w:val="none"/>
                <w:lang w:val="en-US" w:eastAsia="zh-CN"/>
              </w:rPr>
              <w:t>2</w:t>
            </w:r>
            <w:r>
              <w:rPr>
                <w:rFonts w:hint="eastAsia" w:ascii="宋体" w:hAnsi="宋体" w:eastAsia="宋体" w:cs="宋体"/>
                <w:color w:val="auto"/>
                <w:szCs w:val="21"/>
                <w:highlight w:val="none"/>
                <w:u w:val="none"/>
                <w:lang w:val="zh-CN"/>
              </w:rPr>
              <w:t>分，获市级（含副省级）</w:t>
            </w:r>
            <w:r>
              <w:rPr>
                <w:rFonts w:hint="eastAsia" w:ascii="宋体" w:hAnsi="宋体" w:eastAsia="宋体" w:cs="Times New Roman"/>
                <w:color w:val="auto"/>
                <w:szCs w:val="21"/>
                <w:highlight w:val="none"/>
                <w:u w:val="none"/>
                <w:lang w:val="zh-CN"/>
              </w:rPr>
              <w:t>工程</w:t>
            </w:r>
            <w:r>
              <w:rPr>
                <w:rFonts w:hint="eastAsia" w:ascii="宋体" w:hAnsi="宋体" w:eastAsia="宋体" w:cs="宋体"/>
                <w:color w:val="auto"/>
                <w:szCs w:val="21"/>
                <w:highlight w:val="none"/>
                <w:u w:val="none"/>
                <w:lang w:val="zh-CN"/>
              </w:rPr>
              <w:t>设计类奖项的，每项得</w:t>
            </w:r>
            <w:r>
              <w:rPr>
                <w:rFonts w:hint="eastAsia" w:ascii="宋体" w:hAnsi="宋体" w:eastAsia="宋体" w:cs="宋体"/>
                <w:b/>
                <w:bCs/>
                <w:color w:val="auto"/>
                <w:szCs w:val="21"/>
                <w:highlight w:val="none"/>
                <w:u w:val="none"/>
                <w:lang w:val="en-US" w:eastAsia="zh-CN"/>
              </w:rPr>
              <w:t>1</w:t>
            </w:r>
            <w:r>
              <w:rPr>
                <w:rFonts w:hint="eastAsia" w:ascii="宋体" w:hAnsi="宋体" w:eastAsia="宋体" w:cs="宋体"/>
                <w:color w:val="auto"/>
                <w:szCs w:val="21"/>
                <w:highlight w:val="none"/>
                <w:u w:val="none"/>
                <w:lang w:val="zh-CN"/>
              </w:rPr>
              <w:t>分；本小项最多得</w:t>
            </w:r>
            <w:r>
              <w:rPr>
                <w:rFonts w:hint="eastAsia" w:ascii="宋体" w:hAnsi="宋体" w:eastAsia="宋体" w:cs="宋体"/>
                <w:b/>
                <w:bCs/>
                <w:color w:val="auto"/>
                <w:szCs w:val="21"/>
                <w:highlight w:val="none"/>
                <w:u w:val="none"/>
                <w:lang w:val="en-US" w:eastAsia="zh-CN"/>
              </w:rPr>
              <w:t>6</w:t>
            </w:r>
            <w:r>
              <w:rPr>
                <w:rFonts w:hint="eastAsia" w:ascii="宋体" w:hAnsi="宋体" w:eastAsia="宋体" w:cs="宋体"/>
                <w:color w:val="auto"/>
                <w:szCs w:val="21"/>
                <w:highlight w:val="none"/>
                <w:u w:val="none"/>
                <w:lang w:val="zh-CN"/>
              </w:rPr>
              <w:t>分。</w:t>
            </w:r>
          </w:p>
          <w:p w14:paraId="715089E6">
            <w:pPr>
              <w:numPr>
                <w:ilvl w:val="0"/>
                <w:numId w:val="0"/>
              </w:num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kern w:val="2"/>
                <w:sz w:val="21"/>
                <w:szCs w:val="21"/>
                <w:highlight w:val="none"/>
                <w:u w:val="none"/>
                <w:lang w:val="zh-CN" w:eastAsia="zh-CN" w:bidi="ar-SA"/>
              </w:rPr>
              <w:t>（</w:t>
            </w:r>
            <w:r>
              <w:rPr>
                <w:rFonts w:hint="eastAsia" w:ascii="宋体" w:hAnsi="宋体" w:eastAsia="宋体" w:cs="Times New Roman"/>
                <w:color w:val="auto"/>
                <w:kern w:val="2"/>
                <w:sz w:val="21"/>
                <w:szCs w:val="21"/>
                <w:highlight w:val="none"/>
                <w:u w:val="none"/>
                <w:lang w:val="en-US" w:eastAsia="zh-CN" w:bidi="ar-SA"/>
              </w:rPr>
              <w:t>5</w:t>
            </w:r>
            <w:r>
              <w:rPr>
                <w:rFonts w:hint="eastAsia" w:ascii="宋体" w:hAnsi="宋体" w:eastAsia="宋体" w:cs="Times New Roman"/>
                <w:color w:val="auto"/>
                <w:kern w:val="2"/>
                <w:sz w:val="21"/>
                <w:szCs w:val="21"/>
                <w:highlight w:val="none"/>
                <w:u w:val="none"/>
                <w:lang w:val="zh-CN" w:eastAsia="zh-CN" w:bidi="ar-SA"/>
              </w:rPr>
              <w:t>）</w:t>
            </w:r>
            <w:r>
              <w:rPr>
                <w:rFonts w:hint="eastAsia" w:ascii="宋体" w:hAnsi="宋体" w:eastAsia="宋体" w:cs="宋体"/>
                <w:color w:val="auto"/>
                <w:szCs w:val="21"/>
                <w:highlight w:val="none"/>
                <w:u w:val="none"/>
                <w:lang w:val="en-US" w:eastAsia="zh-CN"/>
              </w:rPr>
              <w:t>获得过省级或以上市政类科学技术类奖项，得</w:t>
            </w:r>
            <w:r>
              <w:rPr>
                <w:rFonts w:hint="eastAsia" w:ascii="宋体" w:hAnsi="宋体" w:eastAsia="宋体" w:cs="宋体"/>
                <w:b/>
                <w:bCs/>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分；获得市级（含副省级）市政类科学技术类奖项，得</w:t>
            </w:r>
            <w:r>
              <w:rPr>
                <w:rFonts w:hint="eastAsia" w:ascii="宋体" w:hAnsi="宋体" w:eastAsia="宋体" w:cs="宋体"/>
                <w:b/>
                <w:bCs/>
                <w:color w:val="auto"/>
                <w:szCs w:val="21"/>
                <w:highlight w:val="none"/>
                <w:u w:val="none"/>
                <w:lang w:val="en-US" w:eastAsia="zh-CN"/>
              </w:rPr>
              <w:t>3</w:t>
            </w:r>
            <w:r>
              <w:rPr>
                <w:rFonts w:hint="eastAsia" w:ascii="宋体" w:hAnsi="宋体" w:eastAsia="宋体" w:cs="宋体"/>
                <w:color w:val="auto"/>
                <w:szCs w:val="21"/>
                <w:highlight w:val="none"/>
                <w:u w:val="none"/>
                <w:lang w:val="en-US" w:eastAsia="zh-CN"/>
              </w:rPr>
              <w:t>分</w:t>
            </w:r>
            <w:r>
              <w:rPr>
                <w:rFonts w:hint="eastAsia" w:ascii="宋体" w:hAnsi="宋体" w:eastAsia="宋体" w:cs="宋体"/>
                <w:color w:val="auto"/>
                <w:szCs w:val="21"/>
                <w:highlight w:val="none"/>
                <w:u w:val="none"/>
                <w:lang w:val="zh-CN"/>
              </w:rPr>
              <w:t>；本小项最多得</w:t>
            </w:r>
            <w:r>
              <w:rPr>
                <w:rFonts w:hint="eastAsia" w:ascii="宋体" w:hAnsi="宋体" w:eastAsia="宋体" w:cs="宋体"/>
                <w:b/>
                <w:bCs/>
                <w:color w:val="auto"/>
                <w:szCs w:val="21"/>
                <w:highlight w:val="none"/>
                <w:u w:val="none"/>
                <w:lang w:val="en-US" w:eastAsia="zh-CN"/>
              </w:rPr>
              <w:t>5</w:t>
            </w:r>
            <w:r>
              <w:rPr>
                <w:rFonts w:hint="eastAsia" w:ascii="宋体" w:hAnsi="宋体" w:eastAsia="宋体" w:cs="宋体"/>
                <w:color w:val="auto"/>
                <w:szCs w:val="21"/>
                <w:highlight w:val="none"/>
                <w:u w:val="none"/>
                <w:lang w:val="zh-CN"/>
              </w:rPr>
              <w:t>分</w:t>
            </w:r>
            <w:r>
              <w:rPr>
                <w:rFonts w:hint="eastAsia" w:ascii="宋体" w:hAnsi="宋体" w:eastAsia="宋体" w:cs="宋体"/>
                <w:color w:val="auto"/>
                <w:szCs w:val="21"/>
                <w:highlight w:val="none"/>
                <w:u w:val="none"/>
                <w:lang w:val="en-US" w:eastAsia="zh-CN"/>
              </w:rPr>
              <w:t>。</w:t>
            </w:r>
          </w:p>
        </w:tc>
      </w:tr>
      <w:tr w14:paraId="36CA5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4" w:type="dxa"/>
            <w:vMerge w:val="continue"/>
            <w:tcBorders>
              <w:tl2br w:val="nil"/>
              <w:tr2bl w:val="nil"/>
            </w:tcBorders>
            <w:noWrap/>
            <w:vAlign w:val="center"/>
          </w:tcPr>
          <w:p w14:paraId="2796A8BF">
            <w:pPr>
              <w:snapToGrid w:val="0"/>
              <w:jc w:val="center"/>
              <w:rPr>
                <w:color w:val="auto"/>
                <w:highlight w:val="none"/>
                <w:u w:val="none"/>
              </w:rPr>
            </w:pPr>
          </w:p>
        </w:tc>
        <w:tc>
          <w:tcPr>
            <w:tcW w:w="957" w:type="dxa"/>
            <w:vMerge w:val="continue"/>
            <w:tcBorders>
              <w:tl2br w:val="nil"/>
              <w:tr2bl w:val="nil"/>
            </w:tcBorders>
            <w:noWrap/>
            <w:vAlign w:val="center"/>
          </w:tcPr>
          <w:p w14:paraId="2304C0EB">
            <w:pPr>
              <w:snapToGrid w:val="0"/>
              <w:jc w:val="center"/>
              <w:rPr>
                <w:color w:val="auto"/>
                <w:highlight w:val="none"/>
                <w:u w:val="none"/>
              </w:rPr>
            </w:pPr>
          </w:p>
        </w:tc>
        <w:tc>
          <w:tcPr>
            <w:tcW w:w="1122" w:type="dxa"/>
            <w:tcBorders>
              <w:tl2br w:val="nil"/>
              <w:tr2bl w:val="nil"/>
            </w:tcBorders>
            <w:noWrap/>
            <w:vAlign w:val="center"/>
          </w:tcPr>
          <w:p w14:paraId="2F79C13A">
            <w:pPr>
              <w:snapToGrid w:val="0"/>
              <w:jc w:val="center"/>
              <w:rPr>
                <w:rFonts w:hint="eastAsia" w:ascii="宋体" w:hAnsi="宋体" w:eastAsia="宋体" w:cs="宋体"/>
                <w:color w:val="auto"/>
                <w:szCs w:val="21"/>
                <w:highlight w:val="none"/>
                <w:u w:val="none"/>
              </w:rPr>
            </w:pPr>
            <w:r>
              <w:rPr>
                <w:rFonts w:hint="eastAsia" w:ascii="宋体" w:hAnsi="宋体" w:eastAsia="宋体" w:cs="Times New Roman"/>
                <w:color w:val="auto"/>
                <w:szCs w:val="21"/>
                <w:highlight w:val="none"/>
                <w:u w:val="none"/>
                <w:lang w:val="zh-CN"/>
              </w:rPr>
              <w:t>专业负责人</w:t>
            </w:r>
          </w:p>
        </w:tc>
        <w:tc>
          <w:tcPr>
            <w:tcW w:w="536" w:type="dxa"/>
            <w:tcBorders>
              <w:tl2br w:val="nil"/>
              <w:tr2bl w:val="nil"/>
            </w:tcBorders>
            <w:noWrap/>
            <w:vAlign w:val="center"/>
          </w:tcPr>
          <w:p w14:paraId="2B7670D9">
            <w:pPr>
              <w:snapToGrid w:val="0"/>
              <w:jc w:val="center"/>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lang w:val="en-US" w:eastAsia="zh-CN"/>
              </w:rPr>
              <w:t>0</w:t>
            </w:r>
          </w:p>
        </w:tc>
        <w:tc>
          <w:tcPr>
            <w:tcW w:w="11340" w:type="dxa"/>
            <w:tcBorders>
              <w:tl2br w:val="nil"/>
              <w:tr2bl w:val="nil"/>
            </w:tcBorders>
            <w:noWrap/>
            <w:vAlign w:val="center"/>
          </w:tcPr>
          <w:p w14:paraId="4B1B6236">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zh-CN"/>
              </w:rPr>
              <w:t>（1）造价专业负责人（若为联合体，以承担设计方提供的为准）：</w:t>
            </w:r>
          </w:p>
          <w:p w14:paraId="4B68C19F">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en-US" w:eastAsia="zh-CN"/>
              </w:rPr>
              <w:t>①</w:t>
            </w:r>
            <w:r>
              <w:rPr>
                <w:rFonts w:hint="eastAsia" w:ascii="宋体" w:hAnsi="宋体" w:eastAsia="宋体" w:cs="Times New Roman"/>
                <w:color w:val="auto"/>
                <w:szCs w:val="21"/>
                <w:highlight w:val="none"/>
                <w:u w:val="none"/>
                <w:lang w:val="zh-CN"/>
              </w:rPr>
              <w:t>具有工程相关专业高级（或以上）技术职称，得2分；具有工程相关专业</w:t>
            </w:r>
            <w:r>
              <w:rPr>
                <w:rFonts w:hint="eastAsia" w:ascii="宋体" w:hAnsi="宋体" w:eastAsia="宋体" w:cs="Times New Roman"/>
                <w:color w:val="auto"/>
                <w:szCs w:val="21"/>
                <w:highlight w:val="none"/>
                <w:u w:val="none"/>
                <w:lang w:val="en-US" w:eastAsia="zh-CN"/>
              </w:rPr>
              <w:t>中</w:t>
            </w:r>
            <w:r>
              <w:rPr>
                <w:rFonts w:hint="eastAsia" w:ascii="宋体" w:hAnsi="宋体" w:eastAsia="宋体" w:cs="Times New Roman"/>
                <w:color w:val="auto"/>
                <w:szCs w:val="21"/>
                <w:highlight w:val="none"/>
                <w:u w:val="none"/>
                <w:lang w:val="zh-CN"/>
              </w:rPr>
              <w:t>级技术职称，得</w:t>
            </w:r>
            <w:r>
              <w:rPr>
                <w:rFonts w:hint="eastAsia" w:ascii="宋体" w:hAnsi="宋体" w:eastAsia="宋体" w:cs="Times New Roman"/>
                <w:color w:val="auto"/>
                <w:szCs w:val="21"/>
                <w:highlight w:val="none"/>
                <w:u w:val="none"/>
                <w:lang w:val="en-US" w:eastAsia="zh-CN"/>
              </w:rPr>
              <w:t>1</w:t>
            </w:r>
            <w:r>
              <w:rPr>
                <w:rFonts w:hint="eastAsia" w:ascii="宋体" w:hAnsi="宋体" w:eastAsia="宋体" w:cs="Times New Roman"/>
                <w:color w:val="auto"/>
                <w:szCs w:val="21"/>
                <w:highlight w:val="none"/>
                <w:u w:val="none"/>
                <w:lang w:val="zh-CN"/>
              </w:rPr>
              <w:t>分；</w:t>
            </w:r>
          </w:p>
          <w:p w14:paraId="6F5D76A2">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en-US" w:eastAsia="zh-CN"/>
              </w:rPr>
              <w:t>②</w:t>
            </w:r>
            <w:r>
              <w:rPr>
                <w:rFonts w:hint="eastAsia" w:ascii="宋体" w:hAnsi="宋体" w:eastAsia="宋体" w:cs="Times New Roman"/>
                <w:color w:val="auto"/>
                <w:szCs w:val="21"/>
                <w:highlight w:val="none"/>
                <w:u w:val="none"/>
                <w:lang w:val="zh-CN"/>
              </w:rPr>
              <w:t>具有一级注册造价工程师</w:t>
            </w:r>
            <w:r>
              <w:rPr>
                <w:rFonts w:hint="eastAsia" w:ascii="宋体" w:hAnsi="宋体" w:eastAsia="宋体" w:cs="Times New Roman"/>
                <w:color w:val="auto"/>
                <w:szCs w:val="21"/>
                <w:highlight w:val="none"/>
                <w:u w:val="none"/>
                <w:lang w:val="en-US" w:eastAsia="zh-CN"/>
              </w:rPr>
              <w:t>证书</w:t>
            </w:r>
            <w:r>
              <w:rPr>
                <w:rFonts w:hint="eastAsia" w:ascii="宋体" w:hAnsi="宋体" w:eastAsia="宋体" w:cs="Times New Roman"/>
                <w:color w:val="auto"/>
                <w:szCs w:val="21"/>
                <w:highlight w:val="none"/>
                <w:u w:val="none"/>
                <w:lang w:val="zh-CN"/>
              </w:rPr>
              <w:t>，得3分。</w:t>
            </w:r>
          </w:p>
          <w:p w14:paraId="4F3C8F50">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zh-CN"/>
              </w:rPr>
              <w:t>（2）给排水专业负责人（若为联合体，以承担设计方提供的为准）：</w:t>
            </w:r>
          </w:p>
          <w:p w14:paraId="1D3C3C5F">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en-US" w:eastAsia="zh-CN"/>
              </w:rPr>
              <w:t>①</w:t>
            </w:r>
            <w:r>
              <w:rPr>
                <w:rFonts w:hint="eastAsia" w:ascii="宋体" w:hAnsi="宋体" w:eastAsia="宋体" w:cs="Times New Roman"/>
                <w:color w:val="auto"/>
                <w:szCs w:val="21"/>
                <w:highlight w:val="none"/>
                <w:u w:val="none"/>
                <w:lang w:val="zh-CN"/>
              </w:rPr>
              <w:t>具有给排水相关专业高级（或以上）技术职称，得2分；具有给排水相关专业</w:t>
            </w:r>
            <w:r>
              <w:rPr>
                <w:rFonts w:hint="eastAsia" w:ascii="宋体" w:hAnsi="宋体" w:eastAsia="宋体" w:cs="Times New Roman"/>
                <w:color w:val="auto"/>
                <w:szCs w:val="21"/>
                <w:highlight w:val="none"/>
                <w:u w:val="none"/>
                <w:lang w:val="en-US" w:eastAsia="zh-CN"/>
              </w:rPr>
              <w:t>中</w:t>
            </w:r>
            <w:r>
              <w:rPr>
                <w:rFonts w:hint="eastAsia" w:ascii="宋体" w:hAnsi="宋体" w:eastAsia="宋体" w:cs="Times New Roman"/>
                <w:color w:val="auto"/>
                <w:szCs w:val="21"/>
                <w:highlight w:val="none"/>
                <w:u w:val="none"/>
                <w:lang w:val="zh-CN"/>
              </w:rPr>
              <w:t>级技术职称，得</w:t>
            </w:r>
            <w:r>
              <w:rPr>
                <w:rFonts w:hint="eastAsia" w:ascii="宋体" w:hAnsi="宋体" w:eastAsia="宋体" w:cs="Times New Roman"/>
                <w:color w:val="auto"/>
                <w:szCs w:val="21"/>
                <w:highlight w:val="none"/>
                <w:u w:val="none"/>
                <w:lang w:val="en-US" w:eastAsia="zh-CN"/>
              </w:rPr>
              <w:t>1</w:t>
            </w:r>
            <w:r>
              <w:rPr>
                <w:rFonts w:hint="eastAsia" w:ascii="宋体" w:hAnsi="宋体" w:eastAsia="宋体" w:cs="Times New Roman"/>
                <w:color w:val="auto"/>
                <w:szCs w:val="21"/>
                <w:highlight w:val="none"/>
                <w:u w:val="none"/>
                <w:lang w:val="zh-CN"/>
              </w:rPr>
              <w:t>分；</w:t>
            </w:r>
          </w:p>
          <w:p w14:paraId="663AD272">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en-US" w:eastAsia="zh-CN"/>
              </w:rPr>
              <w:t>②</w:t>
            </w:r>
            <w:r>
              <w:rPr>
                <w:rFonts w:hint="eastAsia" w:ascii="宋体" w:hAnsi="宋体" w:eastAsia="宋体" w:cs="Times New Roman"/>
                <w:color w:val="auto"/>
                <w:szCs w:val="21"/>
                <w:highlight w:val="none"/>
                <w:u w:val="none"/>
                <w:lang w:val="zh-CN"/>
              </w:rPr>
              <w:t>具有注册公用设备工程师（给水排水）</w:t>
            </w:r>
            <w:r>
              <w:rPr>
                <w:rFonts w:hint="eastAsia" w:ascii="宋体" w:hAnsi="宋体" w:eastAsia="宋体" w:cs="Times New Roman"/>
                <w:color w:val="auto"/>
                <w:szCs w:val="21"/>
                <w:highlight w:val="none"/>
                <w:u w:val="none"/>
                <w:lang w:val="en-US" w:eastAsia="zh-CN"/>
              </w:rPr>
              <w:t>证书</w:t>
            </w:r>
            <w:r>
              <w:rPr>
                <w:rFonts w:hint="eastAsia" w:ascii="宋体" w:hAnsi="宋体" w:eastAsia="宋体" w:cs="Times New Roman"/>
                <w:color w:val="auto"/>
                <w:szCs w:val="21"/>
                <w:highlight w:val="none"/>
                <w:u w:val="none"/>
                <w:lang w:val="zh-CN"/>
              </w:rPr>
              <w:t>，得3分。</w:t>
            </w:r>
          </w:p>
          <w:p w14:paraId="67912D5B">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zh-CN"/>
              </w:rPr>
              <w:t>（3）勘察专业负责人（若为联合体，以承担</w:t>
            </w:r>
            <w:r>
              <w:rPr>
                <w:rFonts w:hint="eastAsia" w:ascii="宋体" w:hAnsi="宋体" w:eastAsia="宋体" w:cs="Times New Roman"/>
                <w:color w:val="auto"/>
                <w:szCs w:val="21"/>
                <w:highlight w:val="none"/>
                <w:u w:val="none"/>
                <w:lang w:val="en-US" w:eastAsia="zh-CN"/>
              </w:rPr>
              <w:t>勘察</w:t>
            </w:r>
            <w:r>
              <w:rPr>
                <w:rFonts w:hint="eastAsia" w:ascii="宋体" w:hAnsi="宋体" w:eastAsia="宋体" w:cs="Times New Roman"/>
                <w:color w:val="auto"/>
                <w:szCs w:val="21"/>
                <w:highlight w:val="none"/>
                <w:u w:val="none"/>
                <w:lang w:val="zh-CN"/>
              </w:rPr>
              <w:t>方提供的为准）：</w:t>
            </w:r>
          </w:p>
          <w:p w14:paraId="6471BFD3">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en-US" w:eastAsia="zh-CN"/>
              </w:rPr>
              <w:t>①</w:t>
            </w:r>
            <w:r>
              <w:rPr>
                <w:rFonts w:hint="eastAsia" w:ascii="宋体" w:hAnsi="宋体" w:eastAsia="宋体" w:cs="Times New Roman"/>
                <w:color w:val="auto"/>
                <w:szCs w:val="21"/>
                <w:highlight w:val="none"/>
                <w:u w:val="none"/>
                <w:lang w:val="zh-CN"/>
              </w:rPr>
              <w:t>具有地质相关专业高级（或以上）工程师技术职称，得2分；具有地质相关专业</w:t>
            </w:r>
            <w:r>
              <w:rPr>
                <w:rFonts w:hint="eastAsia" w:ascii="宋体" w:hAnsi="宋体" w:eastAsia="宋体" w:cs="Times New Roman"/>
                <w:color w:val="auto"/>
                <w:szCs w:val="21"/>
                <w:highlight w:val="none"/>
                <w:u w:val="none"/>
                <w:lang w:val="en-US" w:eastAsia="zh-CN"/>
              </w:rPr>
              <w:t>中</w:t>
            </w:r>
            <w:r>
              <w:rPr>
                <w:rFonts w:hint="eastAsia" w:ascii="宋体" w:hAnsi="宋体" w:eastAsia="宋体" w:cs="Times New Roman"/>
                <w:color w:val="auto"/>
                <w:szCs w:val="21"/>
                <w:highlight w:val="none"/>
                <w:u w:val="none"/>
                <w:lang w:val="zh-CN"/>
              </w:rPr>
              <w:t>级技术职称，得</w:t>
            </w:r>
            <w:r>
              <w:rPr>
                <w:rFonts w:hint="eastAsia" w:ascii="宋体" w:hAnsi="宋体" w:eastAsia="宋体" w:cs="Times New Roman"/>
                <w:color w:val="auto"/>
                <w:szCs w:val="21"/>
                <w:highlight w:val="none"/>
                <w:u w:val="none"/>
                <w:lang w:val="en-US" w:eastAsia="zh-CN"/>
              </w:rPr>
              <w:t>1</w:t>
            </w:r>
            <w:r>
              <w:rPr>
                <w:rFonts w:hint="eastAsia" w:ascii="宋体" w:hAnsi="宋体" w:eastAsia="宋体" w:cs="Times New Roman"/>
                <w:color w:val="auto"/>
                <w:szCs w:val="21"/>
                <w:highlight w:val="none"/>
                <w:u w:val="none"/>
                <w:lang w:val="zh-CN"/>
              </w:rPr>
              <w:t>分；</w:t>
            </w:r>
          </w:p>
          <w:p w14:paraId="264ED906">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en-US" w:eastAsia="zh-CN"/>
              </w:rPr>
              <w:t>②</w:t>
            </w:r>
            <w:r>
              <w:rPr>
                <w:rFonts w:hint="eastAsia" w:ascii="宋体" w:hAnsi="宋体" w:eastAsia="宋体" w:cs="Times New Roman"/>
                <w:color w:val="auto"/>
                <w:szCs w:val="21"/>
                <w:highlight w:val="none"/>
                <w:u w:val="none"/>
                <w:lang w:val="zh-CN"/>
              </w:rPr>
              <w:t>具有注册土木工程师（岩土）资格，得3分。</w:t>
            </w:r>
          </w:p>
          <w:p w14:paraId="1FEC96B1">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zh-CN"/>
              </w:rPr>
              <w:t>（4）上述专业人员中，参与设计的市政公用工程项目，获国家级工程设计类奖项的，每人每项得2</w:t>
            </w:r>
            <w:r>
              <w:rPr>
                <w:rFonts w:hint="eastAsia" w:ascii="宋体" w:hAnsi="宋体" w:eastAsia="宋体" w:cs="Times New Roman"/>
                <w:color w:val="auto"/>
                <w:szCs w:val="21"/>
                <w:highlight w:val="none"/>
                <w:u w:val="none"/>
                <w:lang w:val="en-US" w:eastAsia="zh-CN"/>
              </w:rPr>
              <w:t>.5</w:t>
            </w:r>
            <w:r>
              <w:rPr>
                <w:rFonts w:hint="eastAsia" w:ascii="宋体" w:hAnsi="宋体" w:eastAsia="宋体" w:cs="Times New Roman"/>
                <w:color w:val="auto"/>
                <w:szCs w:val="21"/>
                <w:highlight w:val="none"/>
                <w:u w:val="none"/>
                <w:lang w:val="zh-CN"/>
              </w:rPr>
              <w:t>分；获省级工程设计类奖项的，每人每项得1分；获市(含副省级)工程设计类奖项的，每人每项得0.5分。本小项最多得5分。</w:t>
            </w:r>
          </w:p>
        </w:tc>
      </w:tr>
      <w:tr w14:paraId="76194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tcBorders>
              <w:tl2br w:val="nil"/>
              <w:tr2bl w:val="nil"/>
            </w:tcBorders>
            <w:noWrap/>
            <w:vAlign w:val="center"/>
          </w:tcPr>
          <w:p w14:paraId="5A1DAD7E">
            <w:pPr>
              <w:snapToGrid w:val="0"/>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四</w:t>
            </w:r>
          </w:p>
        </w:tc>
        <w:tc>
          <w:tcPr>
            <w:tcW w:w="957" w:type="dxa"/>
            <w:tcBorders>
              <w:tl2br w:val="nil"/>
              <w:tr2bl w:val="nil"/>
            </w:tcBorders>
            <w:noWrap/>
            <w:vAlign w:val="center"/>
          </w:tcPr>
          <w:p w14:paraId="4E670BB0">
            <w:pPr>
              <w:snapToGrid w:val="0"/>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企业技术实力</w:t>
            </w:r>
          </w:p>
        </w:tc>
        <w:tc>
          <w:tcPr>
            <w:tcW w:w="1122" w:type="dxa"/>
            <w:tcBorders>
              <w:tl2br w:val="nil"/>
              <w:tr2bl w:val="nil"/>
            </w:tcBorders>
            <w:noWrap/>
            <w:vAlign w:val="center"/>
          </w:tcPr>
          <w:p w14:paraId="4157D724">
            <w:pPr>
              <w:snapToGrid w:val="0"/>
              <w:jc w:val="center"/>
              <w:rPr>
                <w:rFonts w:hint="eastAsia" w:ascii="宋体" w:hAnsi="宋体" w:eastAsia="宋体" w:cs="宋体"/>
                <w:color w:val="auto"/>
                <w:szCs w:val="21"/>
                <w:highlight w:val="none"/>
                <w:u w:val="none"/>
              </w:rPr>
            </w:pPr>
            <w:r>
              <w:rPr>
                <w:rFonts w:hint="eastAsia" w:ascii="宋体" w:hAnsi="宋体" w:eastAsia="宋体" w:cs="Times New Roman"/>
                <w:color w:val="auto"/>
                <w:szCs w:val="21"/>
                <w:highlight w:val="none"/>
                <w:u w:val="none"/>
                <w:lang w:val="zh-CN"/>
              </w:rPr>
              <w:t>AAA级</w:t>
            </w:r>
            <w:r>
              <w:rPr>
                <w:rFonts w:hint="eastAsia" w:ascii="宋体" w:hAnsi="宋体" w:eastAsia="宋体" w:cs="宋体"/>
                <w:color w:val="auto"/>
                <w:szCs w:val="21"/>
                <w:highlight w:val="none"/>
                <w:u w:val="none"/>
              </w:rPr>
              <w:t>信用等级</w:t>
            </w:r>
          </w:p>
        </w:tc>
        <w:tc>
          <w:tcPr>
            <w:tcW w:w="536" w:type="dxa"/>
            <w:tcBorders>
              <w:tl2br w:val="nil"/>
              <w:tr2bl w:val="nil"/>
            </w:tcBorders>
            <w:noWrap/>
            <w:vAlign w:val="center"/>
          </w:tcPr>
          <w:p w14:paraId="070AC3E4">
            <w:pPr>
              <w:jc w:val="center"/>
              <w:rPr>
                <w:rFonts w:hint="eastAsia" w:ascii="宋体" w:hAnsi="宋体" w:eastAsia="宋体" w:cs="宋体"/>
                <w:color w:val="auto"/>
                <w:szCs w:val="21"/>
                <w:highlight w:val="none"/>
                <w:u w:val="none"/>
                <w:lang w:eastAsia="zh-CN"/>
              </w:rPr>
            </w:pPr>
            <w:bookmarkStart w:id="304" w:name="_GoBack"/>
            <w:r>
              <w:rPr>
                <w:rFonts w:hint="eastAsia" w:ascii="宋体" w:hAnsi="宋体" w:eastAsia="宋体" w:cs="宋体"/>
                <w:color w:val="auto"/>
                <w:szCs w:val="21"/>
                <w:highlight w:val="none"/>
                <w:u w:val="none"/>
                <w:lang w:val="en-US" w:eastAsia="zh-CN"/>
              </w:rPr>
              <w:t>5</w:t>
            </w:r>
            <w:bookmarkEnd w:id="304"/>
          </w:p>
        </w:tc>
        <w:tc>
          <w:tcPr>
            <w:tcW w:w="11340" w:type="dxa"/>
            <w:tcBorders>
              <w:tl2br w:val="nil"/>
              <w:tr2bl w:val="nil"/>
            </w:tcBorders>
            <w:noWrap/>
            <w:vAlign w:val="center"/>
          </w:tcPr>
          <w:p w14:paraId="0B9478E5">
            <w:pPr>
              <w:spacing w:line="240" w:lineRule="auto"/>
              <w:rPr>
                <w:rFonts w:hint="eastAsia" w:ascii="宋体" w:hAnsi="宋体" w:eastAsia="宋体" w:cs="Times New Roman"/>
                <w:color w:val="auto"/>
                <w:szCs w:val="21"/>
                <w:highlight w:val="none"/>
                <w:u w:val="none"/>
                <w:lang w:val="zh-CN"/>
              </w:rPr>
            </w:pPr>
            <w:r>
              <w:rPr>
                <w:rFonts w:hint="eastAsia" w:ascii="宋体" w:hAnsi="宋体" w:eastAsia="宋体" w:cs="Times New Roman"/>
                <w:color w:val="auto"/>
                <w:szCs w:val="21"/>
                <w:highlight w:val="none"/>
                <w:u w:val="none"/>
                <w:lang w:val="zh-CN"/>
              </w:rPr>
              <w:t>投标人（若为联合体，以承担设计方提供的为准）获得过国家级市政行业协会颁发的有效期内的AAA级信用等级证书</w:t>
            </w:r>
            <w:r>
              <w:rPr>
                <w:rFonts w:hint="eastAsia" w:ascii="宋体" w:hAnsi="宋体" w:eastAsia="宋体" w:cs="Times New Roman"/>
                <w:color w:val="auto"/>
                <w:szCs w:val="21"/>
                <w:highlight w:val="none"/>
                <w:u w:val="none"/>
                <w:lang w:val="en-US" w:eastAsia="zh-CN"/>
              </w:rPr>
              <w:t>5</w:t>
            </w:r>
            <w:r>
              <w:rPr>
                <w:rFonts w:hint="eastAsia" w:ascii="宋体" w:hAnsi="宋体" w:eastAsia="宋体" w:cs="Times New Roman"/>
                <w:color w:val="auto"/>
                <w:szCs w:val="21"/>
                <w:highlight w:val="none"/>
                <w:u w:val="none"/>
                <w:lang w:val="zh-CN"/>
              </w:rPr>
              <w:t>分；获得省级市政行业协会颁发的有效期内的AAA级信用等级证书得</w:t>
            </w:r>
            <w:r>
              <w:rPr>
                <w:rFonts w:hint="eastAsia" w:ascii="宋体" w:hAnsi="宋体" w:eastAsia="宋体" w:cs="Times New Roman"/>
                <w:color w:val="auto"/>
                <w:szCs w:val="21"/>
                <w:highlight w:val="none"/>
                <w:u w:val="none"/>
                <w:lang w:val="en-US" w:eastAsia="zh-CN"/>
              </w:rPr>
              <w:t>3</w:t>
            </w:r>
            <w:r>
              <w:rPr>
                <w:rFonts w:hint="eastAsia" w:ascii="宋体" w:hAnsi="宋体" w:eastAsia="宋体" w:cs="Times New Roman"/>
                <w:color w:val="auto"/>
                <w:szCs w:val="21"/>
                <w:highlight w:val="none"/>
                <w:u w:val="none"/>
                <w:lang w:val="zh-CN"/>
              </w:rPr>
              <w:t>分；获得市级</w:t>
            </w:r>
            <w:r>
              <w:rPr>
                <w:rFonts w:hint="eastAsia" w:ascii="宋体" w:hAnsi="宋体" w:eastAsia="宋体" w:cs="宋体"/>
                <w:color w:val="auto"/>
                <w:szCs w:val="21"/>
                <w:highlight w:val="none"/>
                <w:u w:val="none"/>
                <w:lang w:val="en-US" w:eastAsia="zh-CN"/>
              </w:rPr>
              <w:t>（含副省级）</w:t>
            </w:r>
            <w:r>
              <w:rPr>
                <w:rFonts w:hint="eastAsia" w:ascii="宋体" w:hAnsi="宋体" w:eastAsia="宋体" w:cs="Times New Roman"/>
                <w:color w:val="auto"/>
                <w:szCs w:val="21"/>
                <w:highlight w:val="none"/>
                <w:u w:val="none"/>
                <w:lang w:val="zh-CN"/>
              </w:rPr>
              <w:t>市政行业协会颁发的有效期内的AAA级信用等级证书得1分；</w:t>
            </w:r>
            <w:r>
              <w:rPr>
                <w:rFonts w:hint="eastAsia" w:ascii="宋体" w:hAnsi="宋体" w:eastAsia="宋体" w:cs="Times New Roman"/>
                <w:color w:val="auto"/>
                <w:szCs w:val="21"/>
                <w:highlight w:val="none"/>
                <w:u w:val="none"/>
                <w:lang w:val="en-US" w:eastAsia="zh-CN"/>
              </w:rPr>
              <w:t>不</w:t>
            </w:r>
            <w:r>
              <w:rPr>
                <w:rFonts w:hint="eastAsia" w:ascii="宋体" w:hAnsi="宋体" w:eastAsia="宋体" w:cs="Times New Roman"/>
                <w:color w:val="auto"/>
                <w:szCs w:val="21"/>
                <w:highlight w:val="none"/>
                <w:u w:val="none"/>
                <w:lang w:val="zh-CN"/>
              </w:rPr>
              <w:t>提供的不得分。</w:t>
            </w:r>
          </w:p>
        </w:tc>
      </w:tr>
      <w:tr w14:paraId="15594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661" w:type="dxa"/>
            <w:gridSpan w:val="2"/>
            <w:tcBorders>
              <w:tl2br w:val="nil"/>
              <w:tr2bl w:val="nil"/>
            </w:tcBorders>
            <w:noWrap/>
            <w:vAlign w:val="center"/>
          </w:tcPr>
          <w:p w14:paraId="179BDBD8">
            <w:pPr>
              <w:snapToGrid w:val="0"/>
              <w:jc w:val="center"/>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总计</w:t>
            </w:r>
          </w:p>
        </w:tc>
        <w:tc>
          <w:tcPr>
            <w:tcW w:w="1122" w:type="dxa"/>
            <w:tcBorders>
              <w:tl2br w:val="nil"/>
              <w:tr2bl w:val="nil"/>
            </w:tcBorders>
            <w:noWrap/>
            <w:vAlign w:val="center"/>
          </w:tcPr>
          <w:p w14:paraId="0DA3F048">
            <w:pPr>
              <w:snapToGrid w:val="0"/>
              <w:jc w:val="center"/>
              <w:rPr>
                <w:rFonts w:hint="eastAsia" w:ascii="宋体" w:hAnsi="宋体" w:eastAsia="宋体" w:cs="宋体"/>
                <w:color w:val="auto"/>
                <w:szCs w:val="21"/>
                <w:highlight w:val="none"/>
                <w:u w:val="none"/>
              </w:rPr>
            </w:pPr>
          </w:p>
        </w:tc>
        <w:tc>
          <w:tcPr>
            <w:tcW w:w="536" w:type="dxa"/>
            <w:tcBorders>
              <w:tl2br w:val="nil"/>
              <w:tr2bl w:val="nil"/>
            </w:tcBorders>
            <w:noWrap/>
            <w:vAlign w:val="center"/>
          </w:tcPr>
          <w:p w14:paraId="1C5EE009">
            <w:pPr>
              <w:snapToGrid w:val="0"/>
              <w:jc w:val="center"/>
              <w:rPr>
                <w:rFonts w:ascii="宋体" w:hAnsi="宋体" w:eastAsia="宋体" w:cs="宋体"/>
                <w:color w:val="auto"/>
                <w:szCs w:val="21"/>
                <w:highlight w:val="none"/>
                <w:u w:val="none"/>
              </w:rPr>
            </w:pPr>
            <w:r>
              <w:rPr>
                <w:rFonts w:ascii="宋体" w:hAnsi="宋体" w:eastAsia="宋体" w:cs="宋体"/>
                <w:color w:val="auto"/>
                <w:szCs w:val="21"/>
                <w:highlight w:val="none"/>
                <w:u w:val="none"/>
              </w:rPr>
              <w:t>100</w:t>
            </w:r>
          </w:p>
        </w:tc>
        <w:tc>
          <w:tcPr>
            <w:tcW w:w="11340" w:type="dxa"/>
            <w:tcBorders>
              <w:tl2br w:val="nil"/>
              <w:tr2bl w:val="nil"/>
            </w:tcBorders>
            <w:noWrap/>
            <w:vAlign w:val="center"/>
          </w:tcPr>
          <w:p w14:paraId="4D984340">
            <w:pPr>
              <w:snapToGrid w:val="0"/>
              <w:jc w:val="center"/>
              <w:rPr>
                <w:rFonts w:ascii="宋体" w:hAnsi="宋体" w:eastAsia="宋体" w:cs="宋体"/>
                <w:color w:val="auto"/>
                <w:szCs w:val="21"/>
                <w:highlight w:val="none"/>
                <w:u w:val="none"/>
              </w:rPr>
            </w:pPr>
          </w:p>
        </w:tc>
      </w:tr>
    </w:tbl>
    <w:p w14:paraId="52091A21">
      <w:pPr>
        <w:wordWrap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14:paraId="5E50F09B">
      <w:pPr>
        <w:numPr>
          <w:ilvl w:val="0"/>
          <w:numId w:val="1"/>
        </w:numPr>
        <w:wordWrap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企业类似业绩</w:t>
      </w:r>
      <w:r>
        <w:rPr>
          <w:rFonts w:hint="eastAsia" w:ascii="宋体" w:hAnsi="宋体" w:eastAsia="宋体" w:cs="宋体"/>
          <w:color w:val="auto"/>
          <w:szCs w:val="21"/>
          <w:highlight w:val="none"/>
          <w:lang w:val="en-US" w:eastAsia="zh-CN"/>
        </w:rPr>
        <w:t>：需同时提供中标通知书（或免招标的相关证明）、合同关键页扫描件。时间以合同签订时间为准，如合同无法体现时间则以中标通知书为准。同一个合同中同时包含勘察设计业绩的，且满足评审要求，可以各计算一次设计业绩和勘察业绩得分。</w:t>
      </w:r>
    </w:p>
    <w:p w14:paraId="742F7B63">
      <w:pPr>
        <w:numPr>
          <w:ilvl w:val="0"/>
          <w:numId w:val="1"/>
        </w:numPr>
        <w:wordWrap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企业业绩获奖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①如联合体投标的，勘察项目获奖以承担勘察方提供的为准；设计项目获奖以承担设计方提供的为准。②国家级工程设计获奖包括但不限于由住建部颁发的全国优秀工程勘察设计奖、中国勘察设计协会颁发的全国优秀工程勘察设计奖；省级工程设计奖包括但不限于省级建设</w:t>
      </w:r>
      <w:r>
        <w:rPr>
          <w:rFonts w:hint="eastAsia" w:ascii="宋体" w:hAnsi="宋体" w:eastAsia="宋体" w:cs="宋体"/>
          <w:color w:val="auto"/>
          <w:szCs w:val="21"/>
          <w:highlight w:val="none"/>
          <w:lang w:eastAsia="zh-CN"/>
        </w:rPr>
        <w:t>行政主管部门认可或批准的行业协会颁发的优秀勘察设计奖；市级</w:t>
      </w:r>
      <w:r>
        <w:rPr>
          <w:rFonts w:hint="eastAsia" w:ascii="宋体" w:hAnsi="宋体" w:eastAsia="宋体" w:cs="Times New Roman"/>
          <w:color w:val="auto"/>
          <w:szCs w:val="21"/>
          <w:highlight w:val="none"/>
          <w:lang w:val="zh-CN"/>
        </w:rPr>
        <w:t>（含副省级）</w:t>
      </w:r>
      <w:r>
        <w:rPr>
          <w:rFonts w:hint="eastAsia" w:ascii="宋体" w:hAnsi="宋体" w:eastAsia="宋体" w:cs="宋体"/>
          <w:color w:val="auto"/>
          <w:szCs w:val="21"/>
          <w:highlight w:val="none"/>
          <w:lang w:eastAsia="zh-CN"/>
        </w:rPr>
        <w:t>工程设计奖包括但不限于市级建设行政主管部门认可或批准的行业协会颁发的优秀勘察设计奖。</w:t>
      </w:r>
      <w:r>
        <w:rPr>
          <w:rFonts w:hint="eastAsia" w:ascii="宋体" w:hAnsi="宋体" w:eastAsia="宋体" w:cs="宋体"/>
          <w:color w:val="auto"/>
          <w:szCs w:val="21"/>
          <w:highlight w:val="none"/>
          <w:lang w:val="en-US" w:eastAsia="zh-CN"/>
        </w:rPr>
        <w:t>需提供获奖证书扫描件，同一项目奖项只计算一次；获奖业绩时间以获奖证书所署时间或奖项颁发机构公告为准。若发证机构为学会或协会的，需提供发证机构在“中国社会组织政务服务平台”登记备案的网页查询截图（网址：https://chinanpo.mca.gov.cn/），否则不得分。</w:t>
      </w:r>
    </w:p>
    <w:p w14:paraId="4472A83A">
      <w:pPr>
        <w:numPr>
          <w:ilvl w:val="0"/>
          <w:numId w:val="1"/>
        </w:numPr>
        <w:wordWrap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zh-CN" w:eastAsia="zh-CN"/>
        </w:rPr>
        <w:t>人员配备及技术水平：</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lang w:val="zh-CN" w:eastAsia="zh-CN"/>
        </w:rPr>
        <w:t>提供</w:t>
      </w:r>
      <w:r>
        <w:rPr>
          <w:rFonts w:hint="eastAsia" w:ascii="宋体" w:hAnsi="宋体" w:eastAsia="宋体" w:cs="宋体"/>
          <w:color w:val="auto"/>
          <w:szCs w:val="21"/>
          <w:highlight w:val="none"/>
          <w:lang w:val="en-US" w:eastAsia="zh-CN"/>
        </w:rPr>
        <w:t>拟投入人员的身份证、</w:t>
      </w:r>
      <w:r>
        <w:rPr>
          <w:rFonts w:hint="eastAsia" w:ascii="宋体" w:hAnsi="宋体" w:eastAsia="宋体" w:cs="宋体"/>
          <w:color w:val="auto"/>
          <w:szCs w:val="21"/>
          <w:highlight w:val="none"/>
          <w:lang w:val="zh-CN" w:eastAsia="zh-CN"/>
        </w:rPr>
        <w:t>职称证、注册证、业绩</w:t>
      </w:r>
      <w:r>
        <w:rPr>
          <w:rFonts w:hint="eastAsia" w:ascii="宋体" w:hAnsi="宋体" w:eastAsia="宋体" w:cs="宋体"/>
          <w:color w:val="auto"/>
          <w:szCs w:val="21"/>
          <w:highlight w:val="none"/>
          <w:lang w:val="en-US" w:eastAsia="zh-CN"/>
        </w:rPr>
        <w:t>及获奖证明等证明</w:t>
      </w:r>
      <w:r>
        <w:rPr>
          <w:rFonts w:hint="eastAsia" w:ascii="宋体" w:hAnsi="宋体" w:eastAsia="宋体" w:cs="宋体"/>
          <w:color w:val="auto"/>
          <w:szCs w:val="21"/>
          <w:highlight w:val="none"/>
          <w:lang w:val="zh-CN" w:eastAsia="zh-CN"/>
        </w:rPr>
        <w:t>材料</w:t>
      </w:r>
      <w:r>
        <w:rPr>
          <w:rFonts w:hint="eastAsia" w:ascii="宋体" w:hAnsi="宋体" w:eastAsia="宋体" w:cs="宋体"/>
          <w:color w:val="auto"/>
          <w:szCs w:val="21"/>
          <w:highlight w:val="none"/>
          <w:lang w:val="en-US" w:eastAsia="zh-CN"/>
        </w:rPr>
        <w:t>，并提供2025年6月在本单位缴纳的社保证明材料扫描件</w:t>
      </w:r>
      <w:r>
        <w:rPr>
          <w:rFonts w:hint="eastAsia" w:ascii="宋体" w:hAnsi="宋体" w:eastAsia="宋体" w:cs="宋体"/>
          <w:color w:val="auto"/>
          <w:szCs w:val="21"/>
          <w:highlight w:val="none"/>
          <w:lang w:val="zh-CN" w:eastAsia="zh-CN"/>
        </w:rPr>
        <w:t>。业绩证明须提供中标通知书或合同关键页</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lang w:val="zh-CN" w:eastAsia="zh-CN"/>
        </w:rPr>
        <w:t>作为证明材料，材料中须能体现该人员的姓名；获奖证明须提供获奖证书或证明文件作为证明材料，材料中须能体现该人员的姓名，奖项级别以颁发单位的区域级别为准，同一项目获奖，只按最高级别计算一次得分；科学技术类奖项以政府或政府相关机构或协会</w:t>
      </w:r>
      <w:r>
        <w:rPr>
          <w:rFonts w:hint="eastAsia" w:ascii="宋体" w:hAnsi="宋体" w:eastAsia="宋体" w:cs="宋体"/>
          <w:color w:val="auto"/>
          <w:szCs w:val="21"/>
          <w:highlight w:val="none"/>
          <w:lang w:val="en-US" w:eastAsia="zh-CN"/>
        </w:rPr>
        <w:t>颁发的为准</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若发证机构为协会的，须提供该协会在“全国社会组织信用信息公示平台（试运行)”网站（https://xxgs.chinanpo.mca.gov.cn/gsxt/newList）查询结果的网页打印页。</w:t>
      </w:r>
      <w:r>
        <w:rPr>
          <w:rFonts w:hint="eastAsia" w:ascii="宋体" w:hAnsi="宋体" w:eastAsia="宋体" w:cs="宋体"/>
          <w:color w:val="auto"/>
          <w:szCs w:val="21"/>
          <w:highlight w:val="none"/>
          <w:lang w:val="zh-CN" w:eastAsia="zh-CN"/>
        </w:rPr>
        <w:t>根据原人事部、原建设部发布的《造价工程师执业资格制度暂行规定》（人发[1996]77号)取得的造价工程师执业资格，并经注册且在有效期内的，等同于一级注册造价工程师。</w:t>
      </w:r>
    </w:p>
    <w:p w14:paraId="2532C117">
      <w:pPr>
        <w:numPr>
          <w:ilvl w:val="0"/>
          <w:numId w:val="1"/>
        </w:numPr>
        <w:wordWrap w:val="0"/>
        <w:spacing w:line="360" w:lineRule="auto"/>
        <w:rPr>
          <w:rFonts w:hint="default" w:ascii="Calibri" w:hAnsi="Calibri" w:eastAsia="宋体" w:cs="Times New Roman"/>
          <w:color w:val="auto"/>
          <w:sz w:val="22"/>
          <w:szCs w:val="22"/>
          <w:highlight w:val="none"/>
          <w:u w:val="none"/>
        </w:rPr>
      </w:pPr>
      <w:r>
        <w:rPr>
          <w:rFonts w:hint="eastAsia" w:ascii="宋体" w:hAnsi="宋体" w:eastAsia="宋体" w:cs="宋体"/>
          <w:b/>
          <w:bCs/>
          <w:color w:val="auto"/>
          <w:szCs w:val="21"/>
          <w:highlight w:val="none"/>
          <w:lang w:val="en-US" w:eastAsia="zh-CN"/>
        </w:rPr>
        <w:t>企业技术实力：AAA级信用等级证书：</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lang w:val="zh-CN" w:eastAsia="zh-CN"/>
        </w:rPr>
        <w:t>提供有效期内的证书及证书颁发协会在中国社会组织政务服务平台(网址:https://chinanpo.mca.gov.cn/)“全国社会组织信用信息公示平台”栏查询结果截图，查询结果“状态”栏必须为“正常”。企业获评等级级别判定以评价证书颁发协会相关评价办法为准，须提供评价证书颁发协会官方网站发布评价办法的网页链接或评价办法官方红头文件。只按最高级别计算一次得分，</w:t>
      </w:r>
      <w:r>
        <w:rPr>
          <w:rFonts w:hint="eastAsia" w:ascii="宋体" w:hAnsi="宋体" w:eastAsia="宋体" w:cs="宋体"/>
          <w:color w:val="auto"/>
          <w:szCs w:val="21"/>
          <w:highlight w:val="none"/>
          <w:lang w:val="en-US" w:eastAsia="zh-CN"/>
        </w:rPr>
        <w:t>不提供、提供不全或不符合要求不得分。</w:t>
      </w:r>
    </w:p>
    <w:p w14:paraId="1A2854E5">
      <w:pPr>
        <w:widowControl w:val="0"/>
        <w:numPr>
          <w:ilvl w:val="0"/>
          <w:numId w:val="0"/>
        </w:numPr>
        <w:wordWrap w:val="0"/>
        <w:spacing w:line="360" w:lineRule="auto"/>
        <w:jc w:val="both"/>
        <w:rPr>
          <w:rFonts w:hint="default" w:ascii="宋体" w:hAnsi="宋体" w:eastAsia="宋体" w:cs="宋体"/>
          <w:color w:val="auto"/>
          <w:szCs w:val="21"/>
          <w:highlight w:val="none"/>
          <w:u w:val="single"/>
          <w:lang w:val="en-US" w:eastAsia="zh-CN"/>
        </w:rPr>
        <w:sectPr>
          <w:pgSz w:w="16838" w:h="11905" w:orient="landscape"/>
          <w:pgMar w:top="1701" w:right="1474" w:bottom="1701" w:left="1474" w:header="720" w:footer="720" w:gutter="0"/>
          <w:cols w:space="720" w:num="1"/>
        </w:sectPr>
      </w:pPr>
    </w:p>
    <w:p w14:paraId="1E0DC7FE">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附件二：</w:t>
      </w:r>
    </w:p>
    <w:p w14:paraId="11BE1EC9">
      <w:pPr>
        <w:wordWrap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勘察设计方案评分表</w:t>
      </w:r>
    </w:p>
    <w:tbl>
      <w:tblPr>
        <w:tblStyle w:val="45"/>
        <w:tblW w:w="1390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754"/>
        <w:gridCol w:w="1303"/>
        <w:gridCol w:w="9045"/>
        <w:gridCol w:w="1080"/>
      </w:tblGrid>
      <w:tr w14:paraId="6BB1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Align w:val="center"/>
          </w:tcPr>
          <w:p w14:paraId="54CAE6F7">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序号</w:t>
            </w:r>
          </w:p>
        </w:tc>
        <w:tc>
          <w:tcPr>
            <w:tcW w:w="1754" w:type="dxa"/>
            <w:vAlign w:val="center"/>
          </w:tcPr>
          <w:p w14:paraId="070B7457">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项目</w:t>
            </w:r>
          </w:p>
        </w:tc>
        <w:tc>
          <w:tcPr>
            <w:tcW w:w="1303" w:type="dxa"/>
            <w:vAlign w:val="center"/>
          </w:tcPr>
          <w:p w14:paraId="5D7AE294">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分值分配</w:t>
            </w:r>
          </w:p>
        </w:tc>
        <w:tc>
          <w:tcPr>
            <w:tcW w:w="9045" w:type="dxa"/>
            <w:vAlign w:val="center"/>
          </w:tcPr>
          <w:p w14:paraId="4E5331B7">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内容</w:t>
            </w:r>
          </w:p>
        </w:tc>
        <w:tc>
          <w:tcPr>
            <w:tcW w:w="1080" w:type="dxa"/>
            <w:vAlign w:val="center"/>
          </w:tcPr>
          <w:p w14:paraId="68A70D2C">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得分</w:t>
            </w:r>
          </w:p>
        </w:tc>
      </w:tr>
      <w:tr w14:paraId="45D82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Align w:val="center"/>
          </w:tcPr>
          <w:p w14:paraId="0BE6573A">
            <w:pPr>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w:t>
            </w:r>
          </w:p>
        </w:tc>
        <w:tc>
          <w:tcPr>
            <w:tcW w:w="1754" w:type="dxa"/>
            <w:vAlign w:val="center"/>
          </w:tcPr>
          <w:p w14:paraId="1EACFBA7">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对项目的总体认识</w:t>
            </w:r>
          </w:p>
        </w:tc>
        <w:tc>
          <w:tcPr>
            <w:tcW w:w="1303" w:type="dxa"/>
            <w:vAlign w:val="center"/>
          </w:tcPr>
          <w:p w14:paraId="6D3EF641">
            <w:pPr>
              <w:autoSpaceDE w:val="0"/>
              <w:autoSpaceDN w:val="0"/>
              <w:adjustRightInd w:val="0"/>
              <w:jc w:val="center"/>
              <w:rPr>
                <w:rFonts w:ascii="宋体" w:hAnsi="宋体" w:eastAsia="宋体" w:cs="宋体"/>
                <w:color w:val="auto"/>
                <w:szCs w:val="21"/>
                <w:highlight w:val="none"/>
                <w:lang w:val="zh-CN"/>
              </w:rPr>
            </w:pPr>
            <w:r>
              <w:rPr>
                <w:rFonts w:ascii="宋体" w:hAnsi="宋体" w:eastAsia="宋体" w:cs="宋体"/>
                <w:color w:val="auto"/>
                <w:szCs w:val="21"/>
                <w:highlight w:val="none"/>
                <w:lang w:val="zh-CN"/>
              </w:rPr>
              <w:t>5</w:t>
            </w:r>
          </w:p>
        </w:tc>
        <w:tc>
          <w:tcPr>
            <w:tcW w:w="9045" w:type="dxa"/>
            <w:vAlign w:val="center"/>
          </w:tcPr>
          <w:p w14:paraId="25737AA8">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对本项目背景及现状特点认识透彻、全面，总体设计思路清晰，体系完整。</w:t>
            </w:r>
          </w:p>
          <w:p w14:paraId="1C174EDE">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优：5分；良：4分；差：3分，未提供相关内容得0分。</w:t>
            </w:r>
          </w:p>
        </w:tc>
        <w:tc>
          <w:tcPr>
            <w:tcW w:w="1080" w:type="dxa"/>
            <w:vAlign w:val="center"/>
          </w:tcPr>
          <w:p w14:paraId="453964AD">
            <w:pPr>
              <w:autoSpaceDE w:val="0"/>
              <w:autoSpaceDN w:val="0"/>
              <w:adjustRightInd w:val="0"/>
              <w:jc w:val="center"/>
              <w:rPr>
                <w:rFonts w:ascii="宋体" w:hAnsi="宋体" w:eastAsia="宋体" w:cs="宋体"/>
                <w:color w:val="auto"/>
                <w:szCs w:val="21"/>
                <w:highlight w:val="none"/>
              </w:rPr>
            </w:pPr>
          </w:p>
        </w:tc>
      </w:tr>
      <w:tr w14:paraId="7F5A1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Align w:val="center"/>
          </w:tcPr>
          <w:p w14:paraId="112B0517">
            <w:pPr>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w:t>
            </w:r>
          </w:p>
        </w:tc>
        <w:tc>
          <w:tcPr>
            <w:tcW w:w="1754" w:type="dxa"/>
            <w:vAlign w:val="center"/>
          </w:tcPr>
          <w:p w14:paraId="3A6F0F42">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勘察设计工作大纲</w:t>
            </w:r>
          </w:p>
        </w:tc>
        <w:tc>
          <w:tcPr>
            <w:tcW w:w="1303" w:type="dxa"/>
            <w:vAlign w:val="center"/>
          </w:tcPr>
          <w:p w14:paraId="51A930E4">
            <w:pPr>
              <w:autoSpaceDE w:val="0"/>
              <w:autoSpaceDN w:val="0"/>
              <w:adjustRightInd w:val="0"/>
              <w:jc w:val="center"/>
              <w:rPr>
                <w:rFonts w:ascii="宋体" w:hAnsi="宋体" w:eastAsia="宋体" w:cs="宋体"/>
                <w:color w:val="auto"/>
                <w:szCs w:val="21"/>
                <w:highlight w:val="none"/>
                <w:lang w:val="zh-CN"/>
              </w:rPr>
            </w:pPr>
            <w:r>
              <w:rPr>
                <w:rFonts w:ascii="宋体" w:hAnsi="宋体" w:eastAsia="宋体" w:cs="宋体"/>
                <w:color w:val="auto"/>
                <w:szCs w:val="21"/>
                <w:highlight w:val="none"/>
                <w:lang w:val="zh-CN"/>
              </w:rPr>
              <w:t>15</w:t>
            </w:r>
          </w:p>
        </w:tc>
        <w:tc>
          <w:tcPr>
            <w:tcW w:w="9045" w:type="dxa"/>
            <w:vAlign w:val="center"/>
          </w:tcPr>
          <w:p w14:paraId="4BBEB389">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勘察设计成果完整、全面、有针对性，符合国家相关规范要求，能熟悉掌握项目所在地岩土地质勘察情况。</w:t>
            </w:r>
          </w:p>
          <w:p w14:paraId="4BEB97DD">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优：15-13分；良：12-10分；差：9-7分，未提供相关内容得0分。</w:t>
            </w:r>
          </w:p>
        </w:tc>
        <w:tc>
          <w:tcPr>
            <w:tcW w:w="1080" w:type="dxa"/>
            <w:vAlign w:val="center"/>
          </w:tcPr>
          <w:p w14:paraId="282DC7E3">
            <w:pPr>
              <w:autoSpaceDE w:val="0"/>
              <w:autoSpaceDN w:val="0"/>
              <w:adjustRightInd w:val="0"/>
              <w:jc w:val="center"/>
              <w:rPr>
                <w:rFonts w:ascii="宋体" w:hAnsi="宋体" w:eastAsia="宋体" w:cs="宋体"/>
                <w:color w:val="auto"/>
                <w:szCs w:val="21"/>
                <w:highlight w:val="none"/>
              </w:rPr>
            </w:pPr>
          </w:p>
        </w:tc>
      </w:tr>
      <w:tr w14:paraId="69B9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Merge w:val="restart"/>
            <w:vAlign w:val="center"/>
          </w:tcPr>
          <w:p w14:paraId="3E4BE566">
            <w:pPr>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w:t>
            </w:r>
          </w:p>
        </w:tc>
        <w:tc>
          <w:tcPr>
            <w:tcW w:w="1754" w:type="dxa"/>
            <w:vMerge w:val="restart"/>
            <w:vAlign w:val="center"/>
          </w:tcPr>
          <w:p w14:paraId="00AC5CE4">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总体设计方案</w:t>
            </w:r>
          </w:p>
        </w:tc>
        <w:tc>
          <w:tcPr>
            <w:tcW w:w="1303" w:type="dxa"/>
            <w:vMerge w:val="restart"/>
            <w:vAlign w:val="center"/>
          </w:tcPr>
          <w:p w14:paraId="6F743A57">
            <w:pPr>
              <w:autoSpaceDE w:val="0"/>
              <w:autoSpaceDN w:val="0"/>
              <w:adjustRightInd w:val="0"/>
              <w:jc w:val="center"/>
              <w:rPr>
                <w:rFonts w:ascii="宋体" w:hAnsi="宋体" w:eastAsia="宋体" w:cs="宋体"/>
                <w:color w:val="auto"/>
                <w:szCs w:val="21"/>
                <w:highlight w:val="none"/>
                <w:lang w:val="zh-CN"/>
              </w:rPr>
            </w:pPr>
            <w:r>
              <w:rPr>
                <w:rFonts w:ascii="宋体" w:hAnsi="宋体" w:eastAsia="宋体" w:cs="宋体"/>
                <w:color w:val="auto"/>
                <w:szCs w:val="21"/>
                <w:highlight w:val="none"/>
                <w:lang w:val="zh-CN"/>
              </w:rPr>
              <w:t>55</w:t>
            </w:r>
          </w:p>
        </w:tc>
        <w:tc>
          <w:tcPr>
            <w:tcW w:w="9045" w:type="dxa"/>
            <w:vAlign w:val="center"/>
          </w:tcPr>
          <w:p w14:paraId="2F2B2851">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1、对项目的政策文件理解正确，对项目的实施意义分析透彻，熟悉国家及地方的相关规范标准，绿色、节能设计科学合理、切合实际。</w:t>
            </w:r>
          </w:p>
          <w:p w14:paraId="689A6B04">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优：5分；良：4分；差：3分，未提供相关内容得0分。</w:t>
            </w:r>
          </w:p>
        </w:tc>
        <w:tc>
          <w:tcPr>
            <w:tcW w:w="1080" w:type="dxa"/>
            <w:vAlign w:val="center"/>
          </w:tcPr>
          <w:p w14:paraId="07086FE5">
            <w:pPr>
              <w:autoSpaceDE w:val="0"/>
              <w:autoSpaceDN w:val="0"/>
              <w:adjustRightInd w:val="0"/>
              <w:jc w:val="center"/>
              <w:rPr>
                <w:rFonts w:ascii="宋体" w:hAnsi="宋体" w:eastAsia="宋体" w:cs="宋体"/>
                <w:color w:val="auto"/>
                <w:szCs w:val="21"/>
                <w:highlight w:val="none"/>
              </w:rPr>
            </w:pPr>
          </w:p>
        </w:tc>
      </w:tr>
      <w:tr w14:paraId="281F5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Merge w:val="continue"/>
            <w:vAlign w:val="center"/>
          </w:tcPr>
          <w:p w14:paraId="03B8EB94">
            <w:pPr>
              <w:autoSpaceDE w:val="0"/>
              <w:autoSpaceDN w:val="0"/>
              <w:adjustRightInd w:val="0"/>
              <w:rPr>
                <w:rFonts w:ascii="宋体" w:hAnsi="宋体" w:eastAsia="宋体" w:cs="宋体"/>
                <w:color w:val="auto"/>
                <w:szCs w:val="21"/>
                <w:highlight w:val="none"/>
                <w:lang w:val="zh-CN"/>
              </w:rPr>
            </w:pPr>
          </w:p>
        </w:tc>
        <w:tc>
          <w:tcPr>
            <w:tcW w:w="1754" w:type="dxa"/>
            <w:vMerge w:val="continue"/>
            <w:vAlign w:val="center"/>
          </w:tcPr>
          <w:p w14:paraId="68322F28">
            <w:pPr>
              <w:autoSpaceDE w:val="0"/>
              <w:autoSpaceDN w:val="0"/>
              <w:adjustRightInd w:val="0"/>
              <w:jc w:val="center"/>
              <w:rPr>
                <w:rFonts w:ascii="宋体" w:hAnsi="宋体" w:eastAsia="宋体" w:cs="宋体"/>
                <w:color w:val="auto"/>
                <w:szCs w:val="21"/>
                <w:highlight w:val="none"/>
                <w:lang w:val="zh-CN"/>
              </w:rPr>
            </w:pPr>
          </w:p>
        </w:tc>
        <w:tc>
          <w:tcPr>
            <w:tcW w:w="1303" w:type="dxa"/>
            <w:vMerge w:val="continue"/>
            <w:vAlign w:val="center"/>
          </w:tcPr>
          <w:p w14:paraId="6847F9AE">
            <w:pPr>
              <w:autoSpaceDE w:val="0"/>
              <w:autoSpaceDN w:val="0"/>
              <w:adjustRightInd w:val="0"/>
              <w:jc w:val="center"/>
              <w:rPr>
                <w:rFonts w:ascii="宋体" w:hAnsi="宋体" w:eastAsia="宋体" w:cs="宋体"/>
                <w:color w:val="auto"/>
                <w:szCs w:val="21"/>
                <w:highlight w:val="none"/>
                <w:lang w:val="zh-CN"/>
              </w:rPr>
            </w:pPr>
          </w:p>
        </w:tc>
        <w:tc>
          <w:tcPr>
            <w:tcW w:w="9045" w:type="dxa"/>
            <w:vAlign w:val="center"/>
          </w:tcPr>
          <w:p w14:paraId="505A1CAB">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2、现状排水系统信息掌握情况。</w:t>
            </w:r>
          </w:p>
          <w:p w14:paraId="2C0AB94B">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能够熟悉项目所在地的管网情况，包括管网布置、走向、现状设施运行情况等。</w:t>
            </w:r>
          </w:p>
          <w:p w14:paraId="0C7B7E95">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优：10分；良：8分；差：6分，未提供相关内容得0分。</w:t>
            </w:r>
          </w:p>
        </w:tc>
        <w:tc>
          <w:tcPr>
            <w:tcW w:w="1080" w:type="dxa"/>
            <w:vAlign w:val="center"/>
          </w:tcPr>
          <w:p w14:paraId="78B3E32E">
            <w:pPr>
              <w:autoSpaceDE w:val="0"/>
              <w:autoSpaceDN w:val="0"/>
              <w:adjustRightInd w:val="0"/>
              <w:jc w:val="center"/>
              <w:rPr>
                <w:rFonts w:ascii="宋体" w:hAnsi="宋体" w:eastAsia="宋体" w:cs="宋体"/>
                <w:color w:val="auto"/>
                <w:szCs w:val="21"/>
                <w:highlight w:val="none"/>
              </w:rPr>
            </w:pPr>
          </w:p>
        </w:tc>
      </w:tr>
      <w:tr w14:paraId="2B28E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Merge w:val="continue"/>
            <w:vAlign w:val="center"/>
          </w:tcPr>
          <w:p w14:paraId="56A88B3C">
            <w:pPr>
              <w:autoSpaceDE w:val="0"/>
              <w:autoSpaceDN w:val="0"/>
              <w:adjustRightInd w:val="0"/>
              <w:rPr>
                <w:rFonts w:ascii="宋体" w:hAnsi="宋体" w:eastAsia="宋体" w:cs="宋体"/>
                <w:color w:val="auto"/>
                <w:szCs w:val="21"/>
                <w:highlight w:val="none"/>
                <w:lang w:val="zh-CN"/>
              </w:rPr>
            </w:pPr>
          </w:p>
        </w:tc>
        <w:tc>
          <w:tcPr>
            <w:tcW w:w="1754" w:type="dxa"/>
            <w:vMerge w:val="continue"/>
            <w:vAlign w:val="center"/>
          </w:tcPr>
          <w:p w14:paraId="1AF251C5">
            <w:pPr>
              <w:autoSpaceDE w:val="0"/>
              <w:autoSpaceDN w:val="0"/>
              <w:adjustRightInd w:val="0"/>
              <w:jc w:val="center"/>
              <w:rPr>
                <w:rFonts w:ascii="宋体" w:hAnsi="宋体" w:eastAsia="宋体" w:cs="宋体"/>
                <w:color w:val="auto"/>
                <w:szCs w:val="21"/>
                <w:highlight w:val="none"/>
                <w:lang w:val="zh-CN"/>
              </w:rPr>
            </w:pPr>
          </w:p>
        </w:tc>
        <w:tc>
          <w:tcPr>
            <w:tcW w:w="1303" w:type="dxa"/>
            <w:vMerge w:val="continue"/>
            <w:vAlign w:val="center"/>
          </w:tcPr>
          <w:p w14:paraId="5D37A54B">
            <w:pPr>
              <w:autoSpaceDE w:val="0"/>
              <w:autoSpaceDN w:val="0"/>
              <w:adjustRightInd w:val="0"/>
              <w:jc w:val="center"/>
              <w:rPr>
                <w:rFonts w:ascii="宋体" w:hAnsi="宋体" w:eastAsia="宋体" w:cs="宋体"/>
                <w:color w:val="auto"/>
                <w:szCs w:val="21"/>
                <w:highlight w:val="none"/>
                <w:lang w:val="zh-CN"/>
              </w:rPr>
            </w:pPr>
          </w:p>
        </w:tc>
        <w:tc>
          <w:tcPr>
            <w:tcW w:w="9045" w:type="dxa"/>
            <w:vAlign w:val="center"/>
          </w:tcPr>
          <w:p w14:paraId="67EE82E9">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3、方案比选论证充分，设计方案分析清晰，可行性强，符合国家技术规范要求。</w:t>
            </w:r>
          </w:p>
          <w:p w14:paraId="6690E79A">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优：10分；良：8分；差：6分，未提供相关内容得0分。</w:t>
            </w:r>
          </w:p>
        </w:tc>
        <w:tc>
          <w:tcPr>
            <w:tcW w:w="1080" w:type="dxa"/>
            <w:vAlign w:val="center"/>
          </w:tcPr>
          <w:p w14:paraId="6011EFC9">
            <w:pPr>
              <w:autoSpaceDE w:val="0"/>
              <w:autoSpaceDN w:val="0"/>
              <w:adjustRightInd w:val="0"/>
              <w:jc w:val="center"/>
              <w:rPr>
                <w:rFonts w:ascii="宋体" w:hAnsi="宋体" w:eastAsia="宋体" w:cs="宋体"/>
                <w:color w:val="auto"/>
                <w:szCs w:val="21"/>
                <w:highlight w:val="none"/>
              </w:rPr>
            </w:pPr>
          </w:p>
        </w:tc>
      </w:tr>
      <w:tr w14:paraId="5D48B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Merge w:val="continue"/>
            <w:vAlign w:val="center"/>
          </w:tcPr>
          <w:p w14:paraId="30F23DDB">
            <w:pPr>
              <w:autoSpaceDE w:val="0"/>
              <w:autoSpaceDN w:val="0"/>
              <w:adjustRightInd w:val="0"/>
              <w:rPr>
                <w:rFonts w:ascii="宋体" w:hAnsi="宋体" w:eastAsia="宋体" w:cs="宋体"/>
                <w:color w:val="auto"/>
                <w:szCs w:val="21"/>
                <w:highlight w:val="none"/>
                <w:lang w:val="zh-CN"/>
              </w:rPr>
            </w:pPr>
          </w:p>
        </w:tc>
        <w:tc>
          <w:tcPr>
            <w:tcW w:w="1754" w:type="dxa"/>
            <w:vMerge w:val="continue"/>
            <w:vAlign w:val="center"/>
          </w:tcPr>
          <w:p w14:paraId="583BC111">
            <w:pPr>
              <w:autoSpaceDE w:val="0"/>
              <w:autoSpaceDN w:val="0"/>
              <w:adjustRightInd w:val="0"/>
              <w:jc w:val="center"/>
              <w:rPr>
                <w:rFonts w:ascii="宋体" w:hAnsi="宋体" w:eastAsia="宋体" w:cs="宋体"/>
                <w:color w:val="auto"/>
                <w:szCs w:val="21"/>
                <w:highlight w:val="none"/>
                <w:lang w:val="zh-CN"/>
              </w:rPr>
            </w:pPr>
          </w:p>
        </w:tc>
        <w:tc>
          <w:tcPr>
            <w:tcW w:w="1303" w:type="dxa"/>
            <w:vMerge w:val="continue"/>
            <w:vAlign w:val="center"/>
          </w:tcPr>
          <w:p w14:paraId="076A8019">
            <w:pPr>
              <w:autoSpaceDE w:val="0"/>
              <w:autoSpaceDN w:val="0"/>
              <w:adjustRightInd w:val="0"/>
              <w:jc w:val="center"/>
              <w:rPr>
                <w:rFonts w:ascii="宋体" w:hAnsi="宋体" w:eastAsia="宋体" w:cs="宋体"/>
                <w:color w:val="auto"/>
                <w:szCs w:val="21"/>
                <w:highlight w:val="none"/>
                <w:lang w:val="zh-CN"/>
              </w:rPr>
            </w:pPr>
          </w:p>
        </w:tc>
        <w:tc>
          <w:tcPr>
            <w:tcW w:w="9045" w:type="dxa"/>
            <w:vAlign w:val="center"/>
          </w:tcPr>
          <w:p w14:paraId="44EE9D42">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4、设计方案合理，能展现因地制宜的治理理念；在现状资料清晰的基础上，有详细平面设计方案。</w:t>
            </w:r>
          </w:p>
          <w:p w14:paraId="1BC0E72C">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优：15-13分；良：12-10分；差：9-7分，未提供相关内容得0分。</w:t>
            </w:r>
          </w:p>
        </w:tc>
        <w:tc>
          <w:tcPr>
            <w:tcW w:w="1080" w:type="dxa"/>
            <w:vAlign w:val="center"/>
          </w:tcPr>
          <w:p w14:paraId="52713D47">
            <w:pPr>
              <w:autoSpaceDE w:val="0"/>
              <w:autoSpaceDN w:val="0"/>
              <w:adjustRightInd w:val="0"/>
              <w:jc w:val="center"/>
              <w:rPr>
                <w:rFonts w:ascii="宋体" w:hAnsi="宋体" w:eastAsia="宋体" w:cs="宋体"/>
                <w:color w:val="auto"/>
                <w:szCs w:val="21"/>
                <w:highlight w:val="none"/>
              </w:rPr>
            </w:pPr>
          </w:p>
        </w:tc>
      </w:tr>
      <w:tr w14:paraId="54764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Merge w:val="continue"/>
            <w:vAlign w:val="center"/>
          </w:tcPr>
          <w:p w14:paraId="5A4C241F">
            <w:pPr>
              <w:autoSpaceDE w:val="0"/>
              <w:autoSpaceDN w:val="0"/>
              <w:adjustRightInd w:val="0"/>
              <w:rPr>
                <w:rFonts w:ascii="宋体" w:hAnsi="宋体" w:eastAsia="宋体" w:cs="宋体"/>
                <w:color w:val="auto"/>
                <w:szCs w:val="21"/>
                <w:highlight w:val="none"/>
              </w:rPr>
            </w:pPr>
          </w:p>
        </w:tc>
        <w:tc>
          <w:tcPr>
            <w:tcW w:w="1754" w:type="dxa"/>
            <w:vMerge w:val="continue"/>
            <w:vAlign w:val="center"/>
          </w:tcPr>
          <w:p w14:paraId="3612ADC7">
            <w:pPr>
              <w:autoSpaceDE w:val="0"/>
              <w:autoSpaceDN w:val="0"/>
              <w:adjustRightInd w:val="0"/>
              <w:jc w:val="center"/>
              <w:rPr>
                <w:rFonts w:ascii="宋体" w:hAnsi="宋体" w:eastAsia="宋体" w:cs="宋体"/>
                <w:color w:val="auto"/>
                <w:szCs w:val="21"/>
                <w:highlight w:val="none"/>
              </w:rPr>
            </w:pPr>
          </w:p>
        </w:tc>
        <w:tc>
          <w:tcPr>
            <w:tcW w:w="1303" w:type="dxa"/>
            <w:vMerge w:val="continue"/>
            <w:vAlign w:val="center"/>
          </w:tcPr>
          <w:p w14:paraId="05A17015">
            <w:pPr>
              <w:autoSpaceDE w:val="0"/>
              <w:autoSpaceDN w:val="0"/>
              <w:adjustRightInd w:val="0"/>
              <w:jc w:val="center"/>
              <w:rPr>
                <w:rFonts w:ascii="宋体" w:hAnsi="宋体" w:eastAsia="宋体" w:cs="宋体"/>
                <w:color w:val="auto"/>
                <w:szCs w:val="21"/>
                <w:highlight w:val="none"/>
              </w:rPr>
            </w:pPr>
          </w:p>
        </w:tc>
        <w:tc>
          <w:tcPr>
            <w:tcW w:w="9045" w:type="dxa"/>
            <w:vAlign w:val="center"/>
          </w:tcPr>
          <w:p w14:paraId="42B27D88">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5、设计方案埋设深度合理，通过纵断面设计合理设置管道埋深，节约投资；结合岩土地质勘察资料，合理选择管道基础处理方式。</w:t>
            </w:r>
          </w:p>
          <w:p w14:paraId="7403F34A">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优：15-13分；良：12-10分；差：9-7分，未提供相关内容得0分。</w:t>
            </w:r>
          </w:p>
        </w:tc>
        <w:tc>
          <w:tcPr>
            <w:tcW w:w="1080" w:type="dxa"/>
            <w:vAlign w:val="center"/>
          </w:tcPr>
          <w:p w14:paraId="56995C49">
            <w:pPr>
              <w:autoSpaceDE w:val="0"/>
              <w:autoSpaceDN w:val="0"/>
              <w:adjustRightInd w:val="0"/>
              <w:jc w:val="center"/>
              <w:rPr>
                <w:rFonts w:ascii="宋体" w:hAnsi="宋体" w:eastAsia="宋体" w:cs="宋体"/>
                <w:color w:val="auto"/>
                <w:szCs w:val="21"/>
                <w:highlight w:val="none"/>
              </w:rPr>
            </w:pPr>
          </w:p>
        </w:tc>
      </w:tr>
      <w:tr w14:paraId="2DE76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Align w:val="center"/>
          </w:tcPr>
          <w:p w14:paraId="58889CA4">
            <w:pPr>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w:t>
            </w:r>
          </w:p>
        </w:tc>
        <w:tc>
          <w:tcPr>
            <w:tcW w:w="1754" w:type="dxa"/>
            <w:vAlign w:val="center"/>
          </w:tcPr>
          <w:p w14:paraId="0BEE270F">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组织协调</w:t>
            </w:r>
          </w:p>
        </w:tc>
        <w:tc>
          <w:tcPr>
            <w:tcW w:w="1303" w:type="dxa"/>
            <w:vAlign w:val="center"/>
          </w:tcPr>
          <w:p w14:paraId="4A5D1801">
            <w:pPr>
              <w:autoSpaceDE w:val="0"/>
              <w:autoSpaceDN w:val="0"/>
              <w:adjustRightInd w:val="0"/>
              <w:jc w:val="center"/>
              <w:rPr>
                <w:rFonts w:ascii="宋体" w:hAnsi="宋体" w:eastAsia="宋体" w:cs="宋体"/>
                <w:color w:val="auto"/>
                <w:szCs w:val="21"/>
                <w:highlight w:val="none"/>
                <w:lang w:val="zh-CN"/>
              </w:rPr>
            </w:pPr>
            <w:r>
              <w:rPr>
                <w:rFonts w:ascii="宋体" w:hAnsi="宋体" w:eastAsia="宋体" w:cs="宋体"/>
                <w:color w:val="auto"/>
                <w:szCs w:val="21"/>
                <w:highlight w:val="none"/>
                <w:lang w:val="zh-CN"/>
              </w:rPr>
              <w:t>5</w:t>
            </w:r>
          </w:p>
        </w:tc>
        <w:tc>
          <w:tcPr>
            <w:tcW w:w="9045" w:type="dxa"/>
            <w:vAlign w:val="center"/>
          </w:tcPr>
          <w:p w14:paraId="706EC8FC">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有合理可行的组织协调工作方案，协调措施针对性强，人员组织计划详细。</w:t>
            </w:r>
          </w:p>
          <w:p w14:paraId="65215797">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优：5分；良：4分；差：3分，未提供相关内容得0分。</w:t>
            </w:r>
          </w:p>
        </w:tc>
        <w:tc>
          <w:tcPr>
            <w:tcW w:w="1080" w:type="dxa"/>
            <w:vAlign w:val="center"/>
          </w:tcPr>
          <w:p w14:paraId="4B2A395C">
            <w:pPr>
              <w:autoSpaceDE w:val="0"/>
              <w:autoSpaceDN w:val="0"/>
              <w:adjustRightInd w:val="0"/>
              <w:jc w:val="center"/>
              <w:rPr>
                <w:rFonts w:ascii="宋体" w:hAnsi="宋体" w:eastAsia="宋体" w:cs="宋体"/>
                <w:color w:val="auto"/>
                <w:szCs w:val="21"/>
                <w:highlight w:val="none"/>
              </w:rPr>
            </w:pPr>
          </w:p>
        </w:tc>
      </w:tr>
      <w:tr w14:paraId="77FAB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Align w:val="center"/>
          </w:tcPr>
          <w:p w14:paraId="209EE397">
            <w:pPr>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w:t>
            </w:r>
          </w:p>
        </w:tc>
        <w:tc>
          <w:tcPr>
            <w:tcW w:w="1754" w:type="dxa"/>
            <w:vAlign w:val="center"/>
          </w:tcPr>
          <w:p w14:paraId="0A8DD899">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质量保证和进度保证措施</w:t>
            </w:r>
          </w:p>
        </w:tc>
        <w:tc>
          <w:tcPr>
            <w:tcW w:w="1303" w:type="dxa"/>
            <w:vAlign w:val="center"/>
          </w:tcPr>
          <w:p w14:paraId="7EBB16A8">
            <w:pPr>
              <w:autoSpaceDE w:val="0"/>
              <w:autoSpaceDN w:val="0"/>
              <w:adjustRightInd w:val="0"/>
              <w:jc w:val="center"/>
              <w:rPr>
                <w:rFonts w:ascii="宋体" w:hAnsi="宋体" w:eastAsia="宋体" w:cs="宋体"/>
                <w:color w:val="auto"/>
                <w:szCs w:val="21"/>
                <w:highlight w:val="none"/>
                <w:lang w:val="zh-CN"/>
              </w:rPr>
            </w:pPr>
            <w:r>
              <w:rPr>
                <w:rFonts w:ascii="宋体" w:hAnsi="宋体" w:eastAsia="宋体" w:cs="宋体"/>
                <w:color w:val="auto"/>
                <w:szCs w:val="21"/>
                <w:highlight w:val="none"/>
                <w:lang w:val="zh-CN"/>
              </w:rPr>
              <w:t>5</w:t>
            </w:r>
          </w:p>
        </w:tc>
        <w:tc>
          <w:tcPr>
            <w:tcW w:w="9045" w:type="dxa"/>
            <w:vAlign w:val="center"/>
          </w:tcPr>
          <w:p w14:paraId="6A612A42">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质量保证和进度保证措施安排合理。</w:t>
            </w:r>
          </w:p>
          <w:p w14:paraId="2C9F104D">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优：5分；良：4分；差：3分，未提供相关内容得0分。</w:t>
            </w:r>
          </w:p>
        </w:tc>
        <w:tc>
          <w:tcPr>
            <w:tcW w:w="1080" w:type="dxa"/>
            <w:vAlign w:val="center"/>
          </w:tcPr>
          <w:p w14:paraId="6D412A25">
            <w:pPr>
              <w:autoSpaceDE w:val="0"/>
              <w:autoSpaceDN w:val="0"/>
              <w:adjustRightInd w:val="0"/>
              <w:jc w:val="center"/>
              <w:rPr>
                <w:rFonts w:ascii="宋体" w:hAnsi="宋体" w:eastAsia="宋体" w:cs="宋体"/>
                <w:color w:val="auto"/>
                <w:szCs w:val="21"/>
                <w:highlight w:val="none"/>
              </w:rPr>
            </w:pPr>
          </w:p>
        </w:tc>
      </w:tr>
      <w:tr w14:paraId="57BF1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Align w:val="center"/>
          </w:tcPr>
          <w:p w14:paraId="67FB6F5D">
            <w:pPr>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w:t>
            </w:r>
          </w:p>
        </w:tc>
        <w:tc>
          <w:tcPr>
            <w:tcW w:w="1754" w:type="dxa"/>
            <w:vAlign w:val="center"/>
          </w:tcPr>
          <w:p w14:paraId="33EC3474">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重点和难点的分析及其应对措施</w:t>
            </w:r>
          </w:p>
        </w:tc>
        <w:tc>
          <w:tcPr>
            <w:tcW w:w="1303" w:type="dxa"/>
            <w:vAlign w:val="center"/>
          </w:tcPr>
          <w:p w14:paraId="07A50EAD">
            <w:pPr>
              <w:autoSpaceDE w:val="0"/>
              <w:autoSpaceDN w:val="0"/>
              <w:adjustRightInd w:val="0"/>
              <w:jc w:val="center"/>
              <w:rPr>
                <w:rFonts w:ascii="宋体" w:hAnsi="宋体" w:eastAsia="宋体" w:cs="宋体"/>
                <w:color w:val="auto"/>
                <w:szCs w:val="21"/>
                <w:highlight w:val="none"/>
              </w:rPr>
            </w:pPr>
            <w:r>
              <w:rPr>
                <w:rFonts w:ascii="宋体" w:hAnsi="宋体" w:eastAsia="宋体" w:cs="宋体"/>
                <w:color w:val="auto"/>
                <w:szCs w:val="21"/>
                <w:highlight w:val="none"/>
              </w:rPr>
              <w:t>10</w:t>
            </w:r>
          </w:p>
        </w:tc>
        <w:tc>
          <w:tcPr>
            <w:tcW w:w="9045" w:type="dxa"/>
            <w:vAlign w:val="center"/>
          </w:tcPr>
          <w:p w14:paraId="6230AFBA">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对项目重点和难点的分析准确，应对措施合理可行。</w:t>
            </w:r>
          </w:p>
          <w:p w14:paraId="00D26B36">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优：10分；良：8分；差：6分，未提供相关内容得0分。</w:t>
            </w:r>
          </w:p>
        </w:tc>
        <w:tc>
          <w:tcPr>
            <w:tcW w:w="1080" w:type="dxa"/>
            <w:vAlign w:val="center"/>
          </w:tcPr>
          <w:p w14:paraId="236794AA">
            <w:pPr>
              <w:autoSpaceDE w:val="0"/>
              <w:autoSpaceDN w:val="0"/>
              <w:adjustRightInd w:val="0"/>
              <w:jc w:val="center"/>
              <w:rPr>
                <w:rFonts w:ascii="宋体" w:hAnsi="宋体" w:eastAsia="宋体" w:cs="宋体"/>
                <w:color w:val="auto"/>
                <w:szCs w:val="21"/>
                <w:highlight w:val="none"/>
              </w:rPr>
            </w:pPr>
          </w:p>
        </w:tc>
      </w:tr>
      <w:tr w14:paraId="6D749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0" w:type="dxa"/>
            <w:vAlign w:val="center"/>
          </w:tcPr>
          <w:p w14:paraId="580A907D">
            <w:pPr>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w:t>
            </w:r>
          </w:p>
        </w:tc>
        <w:tc>
          <w:tcPr>
            <w:tcW w:w="1754" w:type="dxa"/>
            <w:vAlign w:val="center"/>
          </w:tcPr>
          <w:p w14:paraId="2855F044">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Times New Roman"/>
                <w:color w:val="auto"/>
                <w:szCs w:val="21"/>
                <w:highlight w:val="none"/>
              </w:rPr>
              <w:t>投资控制</w:t>
            </w:r>
          </w:p>
        </w:tc>
        <w:tc>
          <w:tcPr>
            <w:tcW w:w="1303" w:type="dxa"/>
            <w:vAlign w:val="center"/>
          </w:tcPr>
          <w:p w14:paraId="03EF26EA">
            <w:pPr>
              <w:autoSpaceDE w:val="0"/>
              <w:autoSpaceDN w:val="0"/>
              <w:adjustRightInd w:val="0"/>
              <w:jc w:val="center"/>
              <w:rPr>
                <w:rFonts w:ascii="宋体" w:hAnsi="宋体" w:eastAsia="宋体" w:cs="宋体"/>
                <w:color w:val="auto"/>
                <w:szCs w:val="21"/>
                <w:highlight w:val="none"/>
              </w:rPr>
            </w:pPr>
            <w:r>
              <w:rPr>
                <w:rFonts w:ascii="宋体" w:hAnsi="宋体" w:eastAsia="宋体" w:cs="Times New Roman"/>
                <w:color w:val="auto"/>
                <w:szCs w:val="21"/>
                <w:highlight w:val="none"/>
              </w:rPr>
              <w:t>5</w:t>
            </w:r>
          </w:p>
        </w:tc>
        <w:tc>
          <w:tcPr>
            <w:tcW w:w="9045" w:type="dxa"/>
            <w:vAlign w:val="center"/>
          </w:tcPr>
          <w:p w14:paraId="08B49A0E">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对项目前期估算认识准确，技术经济指标分析合理，投资控制措施合理可行。 </w:t>
            </w:r>
          </w:p>
          <w:p w14:paraId="1386C3A9">
            <w:pPr>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优得：5分；良：4分；差：3分，未提供相关内容得0分。</w:t>
            </w:r>
          </w:p>
        </w:tc>
        <w:tc>
          <w:tcPr>
            <w:tcW w:w="1080" w:type="dxa"/>
            <w:vAlign w:val="center"/>
          </w:tcPr>
          <w:p w14:paraId="340CE331">
            <w:pPr>
              <w:autoSpaceDE w:val="0"/>
              <w:autoSpaceDN w:val="0"/>
              <w:adjustRightInd w:val="0"/>
              <w:jc w:val="center"/>
              <w:rPr>
                <w:rFonts w:ascii="宋体" w:hAnsi="宋体" w:eastAsia="宋体" w:cs="宋体"/>
                <w:color w:val="auto"/>
                <w:szCs w:val="21"/>
                <w:highlight w:val="none"/>
              </w:rPr>
            </w:pPr>
          </w:p>
        </w:tc>
      </w:tr>
      <w:tr w14:paraId="50F62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474" w:type="dxa"/>
            <w:gridSpan w:val="2"/>
            <w:vAlign w:val="center"/>
          </w:tcPr>
          <w:p w14:paraId="2DA4C234">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总计</w:t>
            </w:r>
          </w:p>
        </w:tc>
        <w:tc>
          <w:tcPr>
            <w:tcW w:w="1303" w:type="dxa"/>
            <w:vAlign w:val="center"/>
          </w:tcPr>
          <w:p w14:paraId="24BB075B">
            <w:pPr>
              <w:autoSpaceDE w:val="0"/>
              <w:autoSpaceDN w:val="0"/>
              <w:adjustRightInd w:val="0"/>
              <w:jc w:val="center"/>
              <w:rPr>
                <w:rFonts w:ascii="宋体" w:hAnsi="宋体" w:eastAsia="宋体" w:cs="宋体"/>
                <w:color w:val="auto"/>
                <w:szCs w:val="21"/>
                <w:highlight w:val="none"/>
              </w:rPr>
            </w:pPr>
            <w:r>
              <w:rPr>
                <w:rFonts w:ascii="宋体" w:hAnsi="宋体" w:eastAsia="宋体" w:cs="宋体"/>
                <w:color w:val="auto"/>
                <w:szCs w:val="21"/>
                <w:highlight w:val="none"/>
              </w:rPr>
              <w:t>100</w:t>
            </w:r>
          </w:p>
        </w:tc>
        <w:tc>
          <w:tcPr>
            <w:tcW w:w="9045" w:type="dxa"/>
            <w:vAlign w:val="center"/>
          </w:tcPr>
          <w:p w14:paraId="3615E5F5">
            <w:pPr>
              <w:autoSpaceDE w:val="0"/>
              <w:autoSpaceDN w:val="0"/>
              <w:adjustRightInd w:val="0"/>
              <w:jc w:val="center"/>
              <w:rPr>
                <w:rFonts w:ascii="宋体" w:hAnsi="宋体" w:eastAsia="宋体" w:cs="宋体"/>
                <w:color w:val="auto"/>
                <w:szCs w:val="21"/>
                <w:highlight w:val="none"/>
              </w:rPr>
            </w:pPr>
          </w:p>
        </w:tc>
        <w:tc>
          <w:tcPr>
            <w:tcW w:w="1080" w:type="dxa"/>
            <w:vAlign w:val="center"/>
          </w:tcPr>
          <w:p w14:paraId="0123AED1">
            <w:pPr>
              <w:autoSpaceDE w:val="0"/>
              <w:autoSpaceDN w:val="0"/>
              <w:adjustRightInd w:val="0"/>
              <w:jc w:val="center"/>
              <w:rPr>
                <w:rFonts w:ascii="宋体" w:hAnsi="宋体" w:eastAsia="宋体" w:cs="宋体"/>
                <w:color w:val="auto"/>
                <w:szCs w:val="21"/>
                <w:highlight w:val="none"/>
              </w:rPr>
            </w:pPr>
            <w:r>
              <w:rPr>
                <w:rFonts w:ascii="宋体" w:hAnsi="宋体" w:eastAsia="宋体" w:cs="宋体"/>
                <w:color w:val="auto"/>
                <w:szCs w:val="21"/>
                <w:highlight w:val="none"/>
              </w:rPr>
              <w:t>100</w:t>
            </w:r>
          </w:p>
        </w:tc>
      </w:tr>
    </w:tbl>
    <w:p w14:paraId="16F126E7">
      <w:pPr>
        <w:widowControl/>
        <w:wordWrap w:val="0"/>
        <w:jc w:val="left"/>
        <w:rPr>
          <w:rFonts w:ascii="宋体" w:hAnsi="宋体" w:eastAsia="宋体" w:cs="宋体"/>
          <w:color w:val="auto"/>
          <w:szCs w:val="24"/>
          <w:highlight w:val="none"/>
        </w:rPr>
      </w:pPr>
    </w:p>
    <w:p w14:paraId="7AB1078B">
      <w:pPr>
        <w:widowControl/>
        <w:jc w:val="left"/>
        <w:rPr>
          <w:rFonts w:ascii="宋体" w:hAnsi="宋体" w:eastAsia="宋体" w:cs="宋体"/>
          <w:color w:val="auto"/>
          <w:szCs w:val="24"/>
          <w:highlight w:val="none"/>
        </w:rPr>
        <w:sectPr>
          <w:pgSz w:w="16838" w:h="11905" w:orient="landscape"/>
          <w:pgMar w:top="1281" w:right="1474" w:bottom="1701" w:left="1474" w:header="720" w:footer="720" w:gutter="0"/>
          <w:cols w:space="720" w:num="1"/>
        </w:sectPr>
      </w:pPr>
    </w:p>
    <w:p w14:paraId="19DD96BC">
      <w:pPr>
        <w:pStyle w:val="3"/>
        <w:rPr>
          <w:rFonts w:ascii="宋体" w:hAnsi="宋体"/>
          <w:color w:val="auto"/>
          <w:sz w:val="32"/>
          <w:szCs w:val="24"/>
          <w:highlight w:val="none"/>
        </w:rPr>
      </w:pPr>
      <w:bookmarkStart w:id="244" w:name="_Toc11892"/>
      <w:bookmarkStart w:id="245" w:name="_Toc26447"/>
      <w:r>
        <w:rPr>
          <w:rFonts w:hint="eastAsia" w:ascii="宋体" w:hAnsi="宋体"/>
          <w:color w:val="auto"/>
          <w:highlight w:val="none"/>
        </w:rPr>
        <w:t>评标办法修改表</w:t>
      </w:r>
      <w:bookmarkEnd w:id="244"/>
      <w:bookmarkEnd w:id="245"/>
    </w:p>
    <w:p w14:paraId="64EC6377">
      <w:pPr>
        <w:pStyle w:val="43"/>
        <w:pBdr>
          <w:bottom w:val="single" w:color="auto" w:sz="6" w:space="1"/>
        </w:pBdr>
        <w:wordWrap w:val="0"/>
        <w:spacing w:after="0" w:line="360" w:lineRule="auto"/>
        <w:ind w:firstLine="0" w:firstLineChars="0"/>
        <w:rPr>
          <w:rFonts w:ascii="宋体" w:hAnsi="宋体"/>
          <w:b/>
          <w:color w:val="auto"/>
          <w:sz w:val="24"/>
          <w:szCs w:val="24"/>
          <w:highlight w:val="none"/>
        </w:rPr>
      </w:pPr>
      <w:r>
        <w:rPr>
          <w:rFonts w:hint="eastAsia" w:ascii="宋体" w:hAnsi="宋体"/>
          <w:b/>
          <w:color w:val="auto"/>
          <w:sz w:val="24"/>
          <w:szCs w:val="24"/>
          <w:highlight w:val="none"/>
        </w:rPr>
        <w:t>声明：本评标办法使用</w:t>
      </w:r>
      <w:r>
        <w:rPr>
          <w:rFonts w:ascii="宋体" w:hAnsi="宋体"/>
          <w:b/>
          <w:color w:val="auto"/>
          <w:sz w:val="24"/>
          <w:szCs w:val="24"/>
          <w:highlight w:val="none"/>
        </w:rPr>
        <w:t>SWZB2024-11招标文件范本的评标办法条款，与该条款不同之处，均在本表中列明，并以现文为准，原文不再有效。</w:t>
      </w:r>
    </w:p>
    <w:p w14:paraId="61FC0A32">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条款号：3.2.1(2)      修改类型：修改</w:t>
      </w:r>
    </w:p>
    <w:p w14:paraId="5FBE6BC2">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w:t>
      </w:r>
      <w:r>
        <w:rPr>
          <w:rFonts w:ascii="宋体" w:hAnsi="宋体" w:eastAsia="宋体"/>
          <w:color w:val="auto"/>
          <w:sz w:val="24"/>
          <w:szCs w:val="24"/>
          <w:highlight w:val="none"/>
        </w:rPr>
        <w:t>2）按本章第2.2.4（2）目规定的评审因素和分值对勘察设计方案部分计算出得分B，①勘察设计方案部分评审得分B为从各评标专家打分中去掉一个最高分和去掉一个最低分后的剩余评标专家打分的算术平均值或②勘察设计方案部分评审得分B为各评标专家打分的算术平均值（二选</w:t>
      </w:r>
      <w:r>
        <w:rPr>
          <w:rFonts w:hint="eastAsia" w:ascii="宋体" w:hAnsi="宋体" w:eastAsia="宋体"/>
          <w:color w:val="auto"/>
          <w:sz w:val="24"/>
          <w:szCs w:val="24"/>
          <w:highlight w:val="none"/>
        </w:rPr>
        <w:t>一，招标人自行选择）；</w:t>
      </w:r>
    </w:p>
    <w:p w14:paraId="76AF1BA5">
      <w:pPr>
        <w:pBdr>
          <w:bottom w:val="single" w:color="auto" w:sz="6" w:space="1"/>
        </w:pBd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olor w:val="auto"/>
          <w:sz w:val="24"/>
          <w:szCs w:val="24"/>
          <w:highlight w:val="none"/>
        </w:rPr>
        <w:t>（</w:t>
      </w:r>
      <w:r>
        <w:rPr>
          <w:rFonts w:ascii="宋体" w:hAnsi="宋体" w:eastAsia="宋体"/>
          <w:color w:val="auto"/>
          <w:sz w:val="24"/>
          <w:szCs w:val="24"/>
          <w:highlight w:val="none"/>
        </w:rPr>
        <w:t>2）按本章第2.2.4（2）目规定的评审因素和分值对勘察设计方案部分计算出得分B，</w:t>
      </w:r>
      <w:r>
        <w:rPr>
          <w:rFonts w:hint="eastAsia" w:ascii="宋体" w:hAnsi="宋体" w:eastAsia="宋体"/>
          <w:strike/>
          <w:color w:val="auto"/>
          <w:sz w:val="24"/>
          <w:szCs w:val="24"/>
          <w:highlight w:val="none"/>
        </w:rPr>
        <w:t>①勘察设计方案部分评审得分</w:t>
      </w:r>
      <w:r>
        <w:rPr>
          <w:rFonts w:ascii="宋体" w:hAnsi="宋体" w:eastAsia="宋体"/>
          <w:strike/>
          <w:color w:val="auto"/>
          <w:sz w:val="24"/>
          <w:szCs w:val="24"/>
          <w:highlight w:val="none"/>
        </w:rPr>
        <w:t>B为从各评标专家打分中去掉一个最高分和去掉一个最低分后的剩余评标专家打分的算术平均值或②</w:t>
      </w:r>
      <w:r>
        <w:rPr>
          <w:rFonts w:hint="eastAsia" w:ascii="宋体" w:hAnsi="宋体" w:eastAsia="宋体"/>
          <w:color w:val="auto"/>
          <w:sz w:val="24"/>
          <w:szCs w:val="24"/>
          <w:highlight w:val="none"/>
        </w:rPr>
        <w:t>勘察设计方案部分评审得分</w:t>
      </w:r>
      <w:r>
        <w:rPr>
          <w:rFonts w:ascii="宋体" w:hAnsi="宋体" w:eastAsia="宋体"/>
          <w:color w:val="auto"/>
          <w:sz w:val="24"/>
          <w:szCs w:val="24"/>
          <w:highlight w:val="none"/>
        </w:rPr>
        <w:t>B为各评标专家打分的算术平均值</w:t>
      </w:r>
      <w:r>
        <w:rPr>
          <w:rFonts w:hint="eastAsia" w:ascii="宋体" w:hAnsi="宋体" w:eastAsia="宋体"/>
          <w:strike/>
          <w:color w:val="auto"/>
          <w:sz w:val="24"/>
          <w:szCs w:val="24"/>
          <w:highlight w:val="none"/>
        </w:rPr>
        <w:t>（二选一，招标人自行选择）</w:t>
      </w:r>
      <w:r>
        <w:rPr>
          <w:rFonts w:hint="eastAsia" w:ascii="宋体" w:hAnsi="宋体" w:eastAsia="宋体"/>
          <w:color w:val="auto"/>
          <w:sz w:val="24"/>
          <w:szCs w:val="24"/>
          <w:highlight w:val="none"/>
        </w:rPr>
        <w:t>；</w:t>
      </w:r>
    </w:p>
    <w:p w14:paraId="1AF392B5">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条款号：3.2.3        修改类型：修改</w:t>
      </w:r>
    </w:p>
    <w:p w14:paraId="0D4FEC4B">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ascii="宋体" w:hAnsi="宋体" w:eastAsia="宋体" w:cs="宋体"/>
          <w:color w:val="auto"/>
          <w:sz w:val="24"/>
          <w:szCs w:val="24"/>
          <w:highlight w:val="none"/>
        </w:rPr>
        <w:t xml:space="preserve">3.2.3 </w:t>
      </w:r>
      <w:r>
        <w:rPr>
          <w:rFonts w:hint="eastAsia" w:ascii="宋体" w:hAnsi="宋体" w:eastAsia="宋体" w:cs="宋体"/>
          <w:color w:val="auto"/>
          <w:sz w:val="24"/>
          <w:szCs w:val="24"/>
          <w:highlight w:val="none"/>
        </w:rPr>
        <w:t>投标人得分</w:t>
      </w:r>
      <w:r>
        <w:rPr>
          <w:rFonts w:ascii="宋体" w:hAnsi="宋体" w:eastAsia="宋体" w:cs="宋体"/>
          <w:color w:val="auto"/>
          <w:sz w:val="24"/>
          <w:szCs w:val="24"/>
          <w:highlight w:val="none"/>
        </w:rPr>
        <w:t>=A+B+C+D。</w:t>
      </w:r>
    </w:p>
    <w:p w14:paraId="4E28B81C">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ascii="宋体" w:hAnsi="宋体" w:eastAsia="宋体" w:cs="宋体"/>
          <w:color w:val="auto"/>
          <w:sz w:val="24"/>
          <w:szCs w:val="24"/>
          <w:highlight w:val="none"/>
        </w:rPr>
        <w:t xml:space="preserve">3.2.3 </w:t>
      </w:r>
      <w:r>
        <w:rPr>
          <w:rFonts w:hint="eastAsia" w:ascii="宋体" w:hAnsi="宋体" w:eastAsia="宋体" w:cs="宋体"/>
          <w:b/>
          <w:bCs/>
          <w:color w:val="auto"/>
          <w:sz w:val="24"/>
          <w:szCs w:val="24"/>
          <w:highlight w:val="none"/>
          <w:u w:val="single"/>
        </w:rPr>
        <w:t>评标委员会按评标办法前附表第</w:t>
      </w:r>
      <w:r>
        <w:rPr>
          <w:rFonts w:ascii="宋体" w:hAnsi="宋体" w:eastAsia="宋体" w:cs="宋体"/>
          <w:b/>
          <w:bCs/>
          <w:color w:val="auto"/>
          <w:sz w:val="24"/>
          <w:szCs w:val="24"/>
          <w:highlight w:val="none"/>
          <w:u w:val="single"/>
        </w:rPr>
        <w:t>2.2.1款的公式计算各投标人的总得分。</w:t>
      </w:r>
    </w:p>
    <w:p w14:paraId="253B0696">
      <w:pPr>
        <w:wordWrap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20E2C921">
      <w:pPr>
        <w:widowControl/>
        <w:wordWrap w:val="0"/>
        <w:spacing w:line="360" w:lineRule="auto"/>
        <w:jc w:val="left"/>
        <w:rPr>
          <w:rFonts w:ascii="宋体" w:hAnsi="宋体" w:eastAsia="宋体" w:cs="宋体"/>
          <w:color w:val="auto"/>
          <w:szCs w:val="24"/>
          <w:highlight w:val="none"/>
        </w:rPr>
      </w:pPr>
      <w:r>
        <w:rPr>
          <w:rFonts w:ascii="宋体" w:hAnsi="宋体" w:eastAsia="宋体"/>
          <w:color w:val="auto"/>
          <w:sz w:val="24"/>
          <w:szCs w:val="24"/>
          <w:highlight w:val="none"/>
        </w:rPr>
        <w:t>（以下无正文）</w:t>
      </w:r>
      <w:r>
        <w:rPr>
          <w:rFonts w:ascii="宋体" w:hAnsi="宋体" w:eastAsia="宋体" w:cs="宋体"/>
          <w:color w:val="auto"/>
          <w:szCs w:val="24"/>
          <w:highlight w:val="none"/>
        </w:rPr>
        <w:br w:type="page"/>
      </w:r>
    </w:p>
    <w:p w14:paraId="374AA8D1">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pgSz w:w="11905" w:h="16838"/>
          <w:pgMar w:top="1474" w:right="1701" w:bottom="1474" w:left="1701" w:header="720" w:footer="720" w:gutter="0"/>
          <w:cols w:space="720" w:num="1"/>
        </w:sectPr>
      </w:pPr>
    </w:p>
    <w:p w14:paraId="463B2BBF">
      <w:pPr>
        <w:keepNext/>
        <w:keepLines/>
        <w:wordWrap w:val="0"/>
        <w:spacing w:line="360" w:lineRule="auto"/>
        <w:jc w:val="left"/>
        <w:outlineLvl w:val="1"/>
        <w:rPr>
          <w:rFonts w:ascii="宋体" w:hAnsi="宋体" w:eastAsia="宋体" w:cs="宋体"/>
          <w:b/>
          <w:bCs/>
          <w:color w:val="auto"/>
          <w:kern w:val="0"/>
          <w:sz w:val="30"/>
          <w:szCs w:val="30"/>
          <w:highlight w:val="none"/>
          <w:lang w:val="zh-CN"/>
        </w:rPr>
      </w:pPr>
      <w:bookmarkStart w:id="246" w:name="_Toc111186788"/>
      <w:bookmarkStart w:id="247" w:name="_Toc193358004"/>
      <w:bookmarkStart w:id="248" w:name="_Toc2009"/>
      <w:bookmarkStart w:id="249" w:name="_Toc24765"/>
      <w:r>
        <w:rPr>
          <w:rFonts w:ascii="宋体" w:hAnsi="宋体" w:eastAsia="宋体" w:cs="宋体"/>
          <w:b/>
          <w:bCs/>
          <w:color w:val="auto"/>
          <w:kern w:val="0"/>
          <w:sz w:val="30"/>
          <w:szCs w:val="30"/>
          <w:highlight w:val="none"/>
          <w:lang w:val="zh-CN"/>
        </w:rPr>
        <w:t xml:space="preserve">1. </w:t>
      </w:r>
      <w:r>
        <w:rPr>
          <w:rFonts w:hint="eastAsia" w:ascii="宋体" w:hAnsi="宋体" w:eastAsia="宋体" w:cs="宋体"/>
          <w:b/>
          <w:bCs/>
          <w:color w:val="auto"/>
          <w:kern w:val="0"/>
          <w:sz w:val="30"/>
          <w:szCs w:val="30"/>
          <w:highlight w:val="none"/>
          <w:lang w:val="zh-CN"/>
        </w:rPr>
        <w:t>评标方法</w:t>
      </w:r>
      <w:bookmarkEnd w:id="246"/>
      <w:bookmarkEnd w:id="247"/>
      <w:bookmarkEnd w:id="248"/>
      <w:bookmarkEnd w:id="249"/>
    </w:p>
    <w:p w14:paraId="670A25B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w:t>
      </w:r>
      <w:r>
        <w:rPr>
          <w:rFonts w:ascii="宋体" w:hAnsi="宋体" w:eastAsia="宋体" w:cs="宋体"/>
          <w:color w:val="auto"/>
          <w:sz w:val="24"/>
          <w:szCs w:val="24"/>
          <w:highlight w:val="none"/>
        </w:rPr>
        <w:t>第2.2款规定的评分标准进行打分， 并按得分由高到低顺序推荐中标候选人，或根据招标人授 权直接确定中标人，但投标报价低于其成本的除外。综合评分相等时， 以投标报价低的优先； 投标报价也相等的，以勘察设计方案得分高的优先；如果勘察设计方案得分也相等，按照评标办法前附表的规定确定中标候选人顺序。</w:t>
      </w:r>
    </w:p>
    <w:p w14:paraId="0B55A378">
      <w:pPr>
        <w:wordWrap w:val="0"/>
        <w:spacing w:line="360" w:lineRule="auto"/>
        <w:ind w:firstLine="480" w:firstLineChars="200"/>
        <w:rPr>
          <w:rFonts w:ascii="宋体" w:hAnsi="宋体" w:eastAsia="宋体" w:cs="宋体"/>
          <w:color w:val="auto"/>
          <w:sz w:val="24"/>
          <w:szCs w:val="24"/>
          <w:highlight w:val="none"/>
        </w:rPr>
      </w:pPr>
    </w:p>
    <w:p w14:paraId="6F6CD8BB">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250" w:name="_Toc16715"/>
      <w:bookmarkStart w:id="251" w:name="_Toc193358005"/>
      <w:bookmarkStart w:id="252" w:name="_Toc22247"/>
      <w:bookmarkStart w:id="253" w:name="_Toc111186789"/>
      <w:r>
        <w:rPr>
          <w:rFonts w:ascii="宋体" w:hAnsi="宋体" w:eastAsia="宋体" w:cs="宋体"/>
          <w:b/>
          <w:bCs/>
          <w:color w:val="auto"/>
          <w:spacing w:val="1"/>
          <w:kern w:val="0"/>
          <w:sz w:val="30"/>
          <w:szCs w:val="30"/>
          <w:highlight w:val="none"/>
          <w:lang w:val="zh-CN"/>
        </w:rPr>
        <w:t xml:space="preserve">2. </w:t>
      </w:r>
      <w:r>
        <w:rPr>
          <w:rFonts w:hint="eastAsia" w:ascii="宋体" w:hAnsi="宋体" w:eastAsia="宋体" w:cs="宋体"/>
          <w:b/>
          <w:bCs/>
          <w:color w:val="auto"/>
          <w:spacing w:val="1"/>
          <w:kern w:val="0"/>
          <w:sz w:val="30"/>
          <w:szCs w:val="30"/>
          <w:highlight w:val="none"/>
          <w:lang w:val="zh-CN"/>
        </w:rPr>
        <w:t>评审标准</w:t>
      </w:r>
      <w:bookmarkEnd w:id="250"/>
      <w:bookmarkEnd w:id="251"/>
      <w:bookmarkEnd w:id="252"/>
      <w:bookmarkEnd w:id="253"/>
    </w:p>
    <w:p w14:paraId="3DC3693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54" w:name="_Toc193358006"/>
      <w:bookmarkStart w:id="255" w:name="_Toc15883"/>
      <w:r>
        <w:rPr>
          <w:rFonts w:ascii="宋体" w:hAnsi="宋体" w:eastAsia="宋体" w:cs="宋体"/>
          <w:b/>
          <w:bCs/>
          <w:color w:val="auto"/>
          <w:spacing w:val="1"/>
          <w:sz w:val="28"/>
          <w:szCs w:val="32"/>
          <w:highlight w:val="none"/>
          <w:lang w:val="zh-CN"/>
        </w:rPr>
        <w:t xml:space="preserve">2.1 </w:t>
      </w:r>
      <w:r>
        <w:rPr>
          <w:rFonts w:hint="eastAsia" w:ascii="宋体" w:hAnsi="宋体" w:eastAsia="宋体" w:cs="宋体"/>
          <w:b/>
          <w:bCs/>
          <w:color w:val="auto"/>
          <w:spacing w:val="1"/>
          <w:sz w:val="28"/>
          <w:szCs w:val="32"/>
          <w:highlight w:val="none"/>
          <w:lang w:val="zh-CN"/>
        </w:rPr>
        <w:t>初步评审标准</w:t>
      </w:r>
      <w:bookmarkEnd w:id="254"/>
      <w:bookmarkEnd w:id="255"/>
    </w:p>
    <w:p w14:paraId="1B250BFB">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2.1.1 资格评审标准：见评标办法前附表。</w:t>
      </w:r>
    </w:p>
    <w:p w14:paraId="77496636">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2.1.2 商务文件形式评审标准：见评标办法前附表。</w:t>
      </w:r>
    </w:p>
    <w:p w14:paraId="55E31123">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2.1.3 商务文件响应性评审标准：见评标办法前附表。</w:t>
      </w:r>
    </w:p>
    <w:p w14:paraId="1943A653">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2.1.4 勘察设计方案响应性评审标准：见评标办法前附表。</w:t>
      </w:r>
    </w:p>
    <w:p w14:paraId="53508482">
      <w:pPr>
        <w:wordWrap w:val="0"/>
        <w:spacing w:line="360" w:lineRule="auto"/>
        <w:ind w:firstLine="480" w:firstLineChars="200"/>
        <w:rPr>
          <w:rFonts w:ascii="宋体" w:hAnsi="宋体" w:eastAsia="宋体" w:cs="宋体"/>
          <w:color w:val="auto"/>
          <w:sz w:val="24"/>
          <w:szCs w:val="24"/>
          <w:highlight w:val="none"/>
        </w:rPr>
      </w:pPr>
    </w:p>
    <w:p w14:paraId="52F85E9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56" w:name="_Toc193358007"/>
      <w:bookmarkStart w:id="257" w:name="_Toc6566"/>
      <w:r>
        <w:rPr>
          <w:rFonts w:ascii="宋体" w:hAnsi="宋体" w:eastAsia="宋体" w:cs="宋体"/>
          <w:b/>
          <w:bCs/>
          <w:color w:val="auto"/>
          <w:spacing w:val="1"/>
          <w:sz w:val="28"/>
          <w:szCs w:val="32"/>
          <w:highlight w:val="none"/>
          <w:lang w:val="zh-CN"/>
        </w:rPr>
        <w:t xml:space="preserve">2.2 </w:t>
      </w:r>
      <w:r>
        <w:rPr>
          <w:rFonts w:hint="eastAsia" w:ascii="宋体" w:hAnsi="宋体" w:eastAsia="宋体" w:cs="宋体"/>
          <w:b/>
          <w:bCs/>
          <w:color w:val="auto"/>
          <w:spacing w:val="1"/>
          <w:sz w:val="28"/>
          <w:szCs w:val="32"/>
          <w:highlight w:val="none"/>
          <w:lang w:val="zh-CN"/>
        </w:rPr>
        <w:t>分值构成与评分标准</w:t>
      </w:r>
      <w:bookmarkEnd w:id="256"/>
      <w:bookmarkEnd w:id="257"/>
    </w:p>
    <w:p w14:paraId="6DEB6CE5">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2.2.1  分值构成</w:t>
      </w:r>
    </w:p>
    <w:p w14:paraId="7BBD859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1）资信业绩部分：见评标办法前附表；</w:t>
      </w:r>
    </w:p>
    <w:p w14:paraId="30BB3AE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2）勘察设计方案部分：见评标办法前附表；</w:t>
      </w:r>
    </w:p>
    <w:p w14:paraId="19CEFD7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3）投标报价：见评标办法前附表；</w:t>
      </w:r>
    </w:p>
    <w:p w14:paraId="34DF9B3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4）其他评分因素：见评标办法前附表。</w:t>
      </w:r>
    </w:p>
    <w:p w14:paraId="01539CE0">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2.2.2  评标基准价计算</w:t>
      </w:r>
    </w:p>
    <w:p w14:paraId="7FB600C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0449F153">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2.2.3  投标报价的偏差率计算</w:t>
      </w:r>
    </w:p>
    <w:p w14:paraId="23BBC05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74CF8700">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2.2.4  评分标准</w:t>
      </w:r>
    </w:p>
    <w:p w14:paraId="587AF55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1）资信业绩评分标准：见评标办法前附表；</w:t>
      </w:r>
    </w:p>
    <w:p w14:paraId="0022416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2）勘察设计方案评分标准：见评标办法前附表；</w:t>
      </w:r>
    </w:p>
    <w:p w14:paraId="3D33D48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3）投标报价评分标准：见评标办法前附表；</w:t>
      </w:r>
    </w:p>
    <w:p w14:paraId="25B4CB6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4）其他因素评分标准：见评标办法前附表。</w:t>
      </w:r>
    </w:p>
    <w:p w14:paraId="528B056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58" w:name="_Toc18925"/>
      <w:r>
        <w:rPr>
          <w:rFonts w:ascii="宋体" w:hAnsi="宋体" w:eastAsia="宋体" w:cs="宋体"/>
          <w:b/>
          <w:bCs/>
          <w:color w:val="auto"/>
          <w:spacing w:val="1"/>
          <w:sz w:val="28"/>
          <w:szCs w:val="32"/>
          <w:highlight w:val="none"/>
          <w:lang w:val="zh-CN"/>
        </w:rPr>
        <w:t>2.3 揭晓技术文件评审结果</w:t>
      </w:r>
      <w:bookmarkEnd w:id="258"/>
    </w:p>
    <w:p w14:paraId="0E368130">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2.3.1 由评标委员会在中心系统揭晓，系统自动形成暗标编码表显示各投标单位对应的编码，并由评标委员会确认投标人技术文件的评审得分。</w:t>
      </w:r>
    </w:p>
    <w:p w14:paraId="3DE0659D">
      <w:pPr>
        <w:wordWrap w:val="0"/>
        <w:spacing w:line="360" w:lineRule="auto"/>
        <w:ind w:firstLine="480" w:firstLineChars="200"/>
        <w:rPr>
          <w:rFonts w:ascii="宋体" w:hAnsi="宋体" w:eastAsia="宋体" w:cs="宋体"/>
          <w:strike/>
          <w:color w:val="auto"/>
          <w:sz w:val="24"/>
          <w:szCs w:val="24"/>
          <w:highlight w:val="none"/>
        </w:rPr>
      </w:pPr>
    </w:p>
    <w:p w14:paraId="35162ED5">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259" w:name="_Toc24342"/>
      <w:bookmarkStart w:id="260" w:name="_Toc111186790"/>
      <w:bookmarkStart w:id="261" w:name="_Toc193358008"/>
      <w:bookmarkStart w:id="262" w:name="_Toc19775"/>
      <w:r>
        <w:rPr>
          <w:rFonts w:ascii="宋体" w:hAnsi="宋体" w:eastAsia="宋体" w:cs="宋体"/>
          <w:b/>
          <w:bCs/>
          <w:color w:val="auto"/>
          <w:spacing w:val="1"/>
          <w:kern w:val="0"/>
          <w:sz w:val="30"/>
          <w:szCs w:val="30"/>
          <w:highlight w:val="none"/>
          <w:lang w:val="zh-CN"/>
        </w:rPr>
        <w:t xml:space="preserve">3. </w:t>
      </w:r>
      <w:r>
        <w:rPr>
          <w:rFonts w:hint="eastAsia" w:ascii="宋体" w:hAnsi="宋体" w:eastAsia="宋体" w:cs="宋体"/>
          <w:b/>
          <w:bCs/>
          <w:color w:val="auto"/>
          <w:spacing w:val="1"/>
          <w:kern w:val="0"/>
          <w:sz w:val="30"/>
          <w:szCs w:val="30"/>
          <w:highlight w:val="none"/>
          <w:lang w:val="zh-CN"/>
        </w:rPr>
        <w:t>评标程序</w:t>
      </w:r>
      <w:bookmarkEnd w:id="259"/>
      <w:bookmarkEnd w:id="260"/>
      <w:bookmarkEnd w:id="261"/>
      <w:bookmarkEnd w:id="262"/>
    </w:p>
    <w:p w14:paraId="000F8BE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63" w:name="_Toc193358010"/>
      <w:bookmarkStart w:id="264" w:name="_Toc11910"/>
      <w:bookmarkStart w:id="265" w:name="_Toc6080"/>
      <w:bookmarkStart w:id="266" w:name="_Toc111186791"/>
      <w:r>
        <w:rPr>
          <w:rFonts w:ascii="宋体" w:hAnsi="宋体" w:eastAsia="宋体" w:cs="宋体"/>
          <w:b/>
          <w:bCs/>
          <w:color w:val="auto"/>
          <w:spacing w:val="1"/>
          <w:sz w:val="28"/>
          <w:szCs w:val="32"/>
          <w:highlight w:val="none"/>
          <w:lang w:val="zh-CN"/>
        </w:rPr>
        <w:t xml:space="preserve">3.1 </w:t>
      </w:r>
      <w:bookmarkEnd w:id="263"/>
      <w:r>
        <w:rPr>
          <w:rFonts w:hint="eastAsia" w:ascii="宋体" w:hAnsi="宋体" w:eastAsia="宋体" w:cs="宋体"/>
          <w:b/>
          <w:bCs/>
          <w:color w:val="auto"/>
          <w:spacing w:val="1"/>
          <w:sz w:val="28"/>
          <w:szCs w:val="32"/>
          <w:highlight w:val="none"/>
          <w:lang w:val="zh-CN"/>
        </w:rPr>
        <w:t>初步评审</w:t>
      </w:r>
      <w:bookmarkEnd w:id="264"/>
    </w:p>
    <w:p w14:paraId="438B24AF">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C0B23AB">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3.1.2 投标人有以下情形之一的，评标委员会应当否决其投标：</w:t>
      </w:r>
    </w:p>
    <w:p w14:paraId="626425A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3705129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2）有以他人名义投标、串通投标、弄虚作假、行贿等违法行为。</w:t>
      </w:r>
    </w:p>
    <w:p w14:paraId="58A6268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3）以向招标人或者评标委员会成员行贿的手段谋取中标。</w:t>
      </w:r>
    </w:p>
    <w:p w14:paraId="792111C9">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04B438D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1）投标文件中的大写金额与小写金额不一致的，以大写金额为准；</w:t>
      </w:r>
    </w:p>
    <w:p w14:paraId="0A3A069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2）总价金额与单价金额不一致的，以单价金额为准，但单价金额小数点有明显错误的除外。</w:t>
      </w:r>
    </w:p>
    <w:p w14:paraId="6F1BFE8F">
      <w:pPr>
        <w:wordWrap w:val="0"/>
        <w:spacing w:line="360" w:lineRule="auto"/>
        <w:ind w:firstLine="480" w:firstLineChars="200"/>
        <w:rPr>
          <w:rFonts w:ascii="宋体" w:hAnsi="宋体" w:eastAsia="宋体" w:cs="宋体"/>
          <w:color w:val="auto"/>
          <w:sz w:val="24"/>
          <w:szCs w:val="24"/>
          <w:highlight w:val="none"/>
        </w:rPr>
      </w:pPr>
    </w:p>
    <w:p w14:paraId="2001B22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67" w:name="_Toc193358011"/>
      <w:bookmarkStart w:id="268" w:name="_Toc4586"/>
      <w:r>
        <w:rPr>
          <w:rFonts w:ascii="宋体" w:hAnsi="宋体" w:eastAsia="宋体" w:cs="宋体"/>
          <w:b/>
          <w:bCs/>
          <w:color w:val="auto"/>
          <w:spacing w:val="1"/>
          <w:sz w:val="28"/>
          <w:szCs w:val="32"/>
          <w:highlight w:val="none"/>
          <w:lang w:val="zh-CN"/>
        </w:rPr>
        <w:t xml:space="preserve">3.2 </w:t>
      </w:r>
      <w:bookmarkEnd w:id="267"/>
      <w:r>
        <w:rPr>
          <w:rFonts w:hint="eastAsia" w:ascii="宋体" w:hAnsi="宋体" w:eastAsia="宋体" w:cs="宋体"/>
          <w:b/>
          <w:bCs/>
          <w:color w:val="auto"/>
          <w:spacing w:val="1"/>
          <w:sz w:val="28"/>
          <w:szCs w:val="32"/>
          <w:highlight w:val="none"/>
          <w:lang w:val="zh-CN"/>
        </w:rPr>
        <w:t>详细评审</w:t>
      </w:r>
      <w:bookmarkEnd w:id="268"/>
    </w:p>
    <w:p w14:paraId="730E51ED">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3.2.1 评标委员会按本章第2.2款规定的量化因素和分值进行打分，并计算出综合评估得分。</w:t>
      </w:r>
    </w:p>
    <w:p w14:paraId="0769EEE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1）按本章第2.2.4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1）目规定的评审因素和分值对资信业绩部分计算出得分A，资信业绩部分评审得分A为各评标专家打分的算术平均值；</w:t>
      </w:r>
    </w:p>
    <w:p w14:paraId="05FEECD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2）按本章第2.2.4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目规定的评审因素和分值对勘察设计方案部分计算出得分B，①勘察设计方案部分评审得分B为从各评标专家打分中去掉一个最高分和去掉一个最低分后的剩余评标专家打分的算术平均值或②勘察设计方案部分评审得分B为各评标专家打分的算术平均值（二选一，招标人自行选择）；</w:t>
      </w:r>
    </w:p>
    <w:p w14:paraId="1FD17EB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3）揭晓技术文件评审结果：由评标委员会在中心系统揭晓，系统自动形成暗标编码表显示各投标单位对应的编码，并由评标委员会确认投标人技术文件的评审得分。</w:t>
      </w:r>
    </w:p>
    <w:p w14:paraId="05AC1CF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4）按本章第2.2.4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3）目规定的评审因素和分值对投标报价计算出得分C；</w:t>
      </w:r>
    </w:p>
    <w:p w14:paraId="0539ADF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5）按本章第2.2.4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4）目规定的评审因素和分值对其他部分计算出得分D。</w:t>
      </w:r>
    </w:p>
    <w:p w14:paraId="10D35FA8">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3.2.2 评分分值计算保留小数点后两位，小数点后第三位“四舍五入”。</w:t>
      </w:r>
    </w:p>
    <w:p w14:paraId="180966BB">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3.2.3 投标人得分=A+B+C+D。</w:t>
      </w:r>
    </w:p>
    <w:p w14:paraId="43D79F72">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20CC30A">
      <w:pPr>
        <w:wordWrap w:val="0"/>
        <w:spacing w:line="360" w:lineRule="auto"/>
        <w:ind w:firstLine="480" w:firstLineChars="200"/>
        <w:rPr>
          <w:rFonts w:ascii="宋体" w:hAnsi="宋体" w:eastAsia="宋体" w:cs="宋体"/>
          <w:color w:val="auto"/>
          <w:sz w:val="24"/>
          <w:szCs w:val="24"/>
          <w:highlight w:val="none"/>
          <w:u w:val="single"/>
        </w:rPr>
      </w:pPr>
    </w:p>
    <w:p w14:paraId="7EA31C5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69" w:name="_Toc193358012"/>
      <w:bookmarkStart w:id="270" w:name="_Toc14151"/>
      <w:r>
        <w:rPr>
          <w:rFonts w:ascii="宋体" w:hAnsi="宋体" w:eastAsia="宋体" w:cs="宋体"/>
          <w:b/>
          <w:bCs/>
          <w:color w:val="auto"/>
          <w:spacing w:val="1"/>
          <w:sz w:val="28"/>
          <w:szCs w:val="32"/>
          <w:highlight w:val="none"/>
        </w:rPr>
        <w:t xml:space="preserve">3.3 </w:t>
      </w:r>
      <w:bookmarkEnd w:id="269"/>
      <w:r>
        <w:rPr>
          <w:rFonts w:hint="eastAsia" w:ascii="宋体" w:hAnsi="宋体" w:eastAsia="宋体" w:cs="宋体"/>
          <w:b/>
          <w:bCs/>
          <w:color w:val="auto"/>
          <w:spacing w:val="1"/>
          <w:sz w:val="28"/>
          <w:szCs w:val="32"/>
          <w:highlight w:val="none"/>
          <w:lang w:val="zh-CN"/>
        </w:rPr>
        <w:t>投标文件的澄清</w:t>
      </w:r>
      <w:bookmarkEnd w:id="270"/>
    </w:p>
    <w:p w14:paraId="76D38C93">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3.3.1 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CC4E1CF">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3.3.2 澄清、说明或补正不得超出投标文件的范围且不得改变投标文件的实质性内容，并构成投标文件的组成部分。</w:t>
      </w:r>
    </w:p>
    <w:p w14:paraId="5282266B">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3.3.3 评标委员会对投标人提交的澄清、说明或补正有疑问的，可以要求投标人进一步澄清、说明或补正，直至满足评标委员会的要求。</w:t>
      </w:r>
    </w:p>
    <w:p w14:paraId="6608AC5D">
      <w:pPr>
        <w:wordWrap w:val="0"/>
        <w:spacing w:line="360" w:lineRule="auto"/>
        <w:ind w:firstLine="480" w:firstLineChars="200"/>
        <w:rPr>
          <w:rFonts w:ascii="宋体" w:hAnsi="宋体" w:eastAsia="宋体" w:cs="宋体"/>
          <w:color w:val="auto"/>
          <w:sz w:val="24"/>
          <w:szCs w:val="24"/>
          <w:highlight w:val="none"/>
          <w:u w:val="single"/>
        </w:rPr>
      </w:pPr>
    </w:p>
    <w:p w14:paraId="75C94F49">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71" w:name="_Toc193358013"/>
      <w:bookmarkStart w:id="272" w:name="_Toc26885"/>
      <w:r>
        <w:rPr>
          <w:rFonts w:ascii="宋体" w:hAnsi="宋体" w:eastAsia="宋体" w:cs="宋体"/>
          <w:b/>
          <w:bCs/>
          <w:color w:val="auto"/>
          <w:spacing w:val="1"/>
          <w:sz w:val="28"/>
          <w:szCs w:val="32"/>
          <w:highlight w:val="none"/>
        </w:rPr>
        <w:t xml:space="preserve">3.4 </w:t>
      </w:r>
      <w:bookmarkEnd w:id="271"/>
      <w:r>
        <w:rPr>
          <w:rFonts w:hint="eastAsia" w:ascii="宋体" w:hAnsi="宋体" w:eastAsia="宋体" w:cs="宋体"/>
          <w:b/>
          <w:bCs/>
          <w:color w:val="auto"/>
          <w:spacing w:val="1"/>
          <w:sz w:val="28"/>
          <w:szCs w:val="32"/>
          <w:highlight w:val="none"/>
        </w:rPr>
        <w:t>评标结果</w:t>
      </w:r>
      <w:bookmarkEnd w:id="272"/>
    </w:p>
    <w:p w14:paraId="72E4B3E9">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3.4.1 除第二章“投标人须知”前附表授权直接确定中标人外，评标委员会按照得分由高到低的顺序推荐中标候选人，并标明排序。</w:t>
      </w:r>
    </w:p>
    <w:p w14:paraId="7B4F148A">
      <w:pPr>
        <w:wordWrap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3.4.2 评标委员会完成评标后，应当向招标人提交书面评标报告和中标候选人名单。</w:t>
      </w:r>
    </w:p>
    <w:bookmarkEnd w:id="265"/>
    <w:bookmarkEnd w:id="266"/>
    <w:p w14:paraId="23D3F868">
      <w:pPr>
        <w:widowControl/>
        <w:wordWrap w:val="0"/>
        <w:jc w:val="left"/>
        <w:rPr>
          <w:rFonts w:ascii="宋体" w:hAnsi="宋体" w:eastAsia="宋体" w:cs="宋体"/>
          <w:b/>
          <w:bCs/>
          <w:color w:val="auto"/>
          <w:kern w:val="0"/>
          <w:sz w:val="24"/>
          <w:szCs w:val="24"/>
          <w:highlight w:val="none"/>
          <w:lang w:val="zh-CN"/>
        </w:rPr>
      </w:pPr>
      <w:r>
        <w:rPr>
          <w:rFonts w:ascii="宋体" w:hAnsi="宋体" w:eastAsia="宋体" w:cs="宋体"/>
          <w:b/>
          <w:bCs/>
          <w:color w:val="auto"/>
          <w:kern w:val="0"/>
          <w:sz w:val="24"/>
          <w:szCs w:val="24"/>
          <w:highlight w:val="none"/>
          <w:lang w:val="zh-CN"/>
        </w:rPr>
        <w:br w:type="page"/>
      </w:r>
    </w:p>
    <w:p w14:paraId="15ED7471">
      <w:pPr>
        <w:keepNext/>
        <w:keepLines/>
        <w:wordWrap w:val="0"/>
        <w:spacing w:line="360" w:lineRule="auto"/>
        <w:ind w:firstLine="482" w:firstLineChars="200"/>
        <w:jc w:val="center"/>
        <w:outlineLvl w:val="1"/>
        <w:rPr>
          <w:rFonts w:ascii="宋体" w:hAnsi="宋体" w:eastAsia="宋体" w:cs="宋体"/>
          <w:b/>
          <w:bCs/>
          <w:color w:val="auto"/>
          <w:kern w:val="0"/>
          <w:sz w:val="24"/>
          <w:szCs w:val="24"/>
          <w:highlight w:val="none"/>
          <w:lang w:val="zh-CN"/>
        </w:rPr>
        <w:sectPr>
          <w:type w:val="continuous"/>
          <w:pgSz w:w="11905" w:h="16838"/>
          <w:pgMar w:top="1474" w:right="1701" w:bottom="1474" w:left="1701" w:header="720" w:footer="720" w:gutter="0"/>
          <w:cols w:space="720" w:num="1"/>
        </w:sectPr>
      </w:pPr>
    </w:p>
    <w:p w14:paraId="5198D18A">
      <w:pPr>
        <w:pStyle w:val="2"/>
        <w:rPr>
          <w:rFonts w:ascii="宋体" w:hAnsi="宋体"/>
          <w:color w:val="auto"/>
          <w:highlight w:val="none"/>
        </w:rPr>
      </w:pPr>
      <w:bookmarkStart w:id="273" w:name="_Toc111186799"/>
      <w:bookmarkStart w:id="274" w:name="_Toc31999"/>
      <w:r>
        <w:rPr>
          <w:rFonts w:hint="eastAsia" w:ascii="宋体" w:hAnsi="宋体"/>
          <w:color w:val="auto"/>
          <w:highlight w:val="none"/>
        </w:rPr>
        <w:t>第四章  合同条款及格式</w:t>
      </w:r>
      <w:bookmarkEnd w:id="273"/>
      <w:bookmarkEnd w:id="274"/>
    </w:p>
    <w:p w14:paraId="6EAB87B4">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4581E5CC">
      <w:pPr>
        <w:widowControl/>
        <w:wordWrap w:val="0"/>
        <w:jc w:val="left"/>
        <w:rPr>
          <w:rFonts w:ascii="宋体" w:hAnsi="宋体" w:eastAsia="宋体" w:cs="宋体"/>
          <w:color w:val="auto"/>
          <w:szCs w:val="24"/>
          <w:highlight w:val="none"/>
        </w:rPr>
      </w:pPr>
      <w:r>
        <w:rPr>
          <w:rFonts w:ascii="宋体" w:hAnsi="宋体" w:eastAsia="宋体" w:cs="宋体"/>
          <w:color w:val="auto"/>
          <w:szCs w:val="24"/>
          <w:highlight w:val="none"/>
        </w:rPr>
        <w:br w:type="page"/>
      </w:r>
    </w:p>
    <w:p w14:paraId="2359A20C">
      <w:pPr>
        <w:wordWrap w:val="0"/>
        <w:autoSpaceDE w:val="0"/>
        <w:autoSpaceDN w:val="0"/>
        <w:spacing w:line="200" w:lineRule="exact"/>
        <w:jc w:val="left"/>
        <w:rPr>
          <w:rFonts w:ascii="宋体" w:hAnsi="宋体" w:eastAsia="宋体" w:cs="宋体"/>
          <w:color w:val="auto"/>
          <w:kern w:val="0"/>
          <w:sz w:val="20"/>
          <w:szCs w:val="20"/>
          <w:highlight w:val="none"/>
        </w:rPr>
        <w:sectPr>
          <w:type w:val="continuous"/>
          <w:pgSz w:w="11905" w:h="16838"/>
          <w:pgMar w:top="1474" w:right="1701" w:bottom="1474" w:left="1701" w:header="720" w:footer="720" w:gutter="0"/>
          <w:cols w:space="720" w:num="1"/>
          <w:docGrid w:linePitch="286" w:charSpace="0"/>
        </w:sectPr>
      </w:pPr>
    </w:p>
    <w:p w14:paraId="40AA5F28">
      <w:pPr>
        <w:pStyle w:val="2"/>
        <w:rPr>
          <w:rFonts w:ascii="宋体" w:hAnsi="宋体"/>
          <w:color w:val="auto"/>
          <w:highlight w:val="none"/>
        </w:rPr>
      </w:pPr>
      <w:bookmarkStart w:id="275" w:name="_Toc22883"/>
      <w:bookmarkStart w:id="276" w:name="_Toc82786981"/>
      <w:bookmarkStart w:id="277" w:name="_Toc111186800"/>
      <w:r>
        <w:rPr>
          <w:rFonts w:hint="eastAsia" w:ascii="宋体" w:hAnsi="宋体"/>
          <w:color w:val="auto"/>
          <w:highlight w:val="none"/>
        </w:rPr>
        <w:t>第二卷</w:t>
      </w:r>
      <w:bookmarkEnd w:id="275"/>
      <w:bookmarkEnd w:id="276"/>
      <w:bookmarkEnd w:id="277"/>
    </w:p>
    <w:p w14:paraId="63114F3B">
      <w:pPr>
        <w:widowControl/>
        <w:wordWrap w:val="0"/>
        <w:jc w:val="left"/>
        <w:rPr>
          <w:rFonts w:ascii="宋体" w:hAnsi="宋体" w:eastAsia="宋体" w:cs="宋体"/>
          <w:color w:val="auto"/>
          <w:kern w:val="0"/>
          <w:sz w:val="14"/>
          <w:szCs w:val="14"/>
          <w:highlight w:val="none"/>
        </w:rPr>
        <w:sectPr>
          <w:type w:val="continuous"/>
          <w:pgSz w:w="11905" w:h="16838"/>
          <w:pgMar w:top="1474" w:right="1701" w:bottom="1474" w:left="1701" w:header="720" w:footer="720" w:gutter="0"/>
          <w:cols w:space="720" w:num="1"/>
        </w:sectPr>
      </w:pPr>
    </w:p>
    <w:p w14:paraId="2A197223">
      <w:pPr>
        <w:pStyle w:val="2"/>
        <w:rPr>
          <w:rFonts w:ascii="宋体" w:hAnsi="宋体"/>
          <w:color w:val="auto"/>
          <w:highlight w:val="none"/>
        </w:rPr>
      </w:pPr>
      <w:bookmarkStart w:id="278" w:name="_Toc32622"/>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发包人要求</w:t>
      </w:r>
      <w:bookmarkEnd w:id="278"/>
    </w:p>
    <w:p w14:paraId="2D3C6B2D">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详见设计任务书（可行性研究报告）。</w:t>
      </w:r>
    </w:p>
    <w:p w14:paraId="01E87B9D">
      <w:pPr>
        <w:wordWrap w:val="0"/>
        <w:rPr>
          <w:rFonts w:ascii="宋体" w:hAnsi="宋体" w:eastAsia="宋体" w:cs="宋体"/>
          <w:b/>
          <w:bCs/>
          <w:color w:val="auto"/>
          <w:sz w:val="30"/>
          <w:szCs w:val="30"/>
          <w:highlight w:val="none"/>
        </w:rPr>
      </w:pPr>
    </w:p>
    <w:p w14:paraId="4EDAD67B">
      <w:pPr>
        <w:wordWrap w:val="0"/>
        <w:rPr>
          <w:rFonts w:ascii="宋体" w:hAnsi="宋体" w:eastAsia="宋体" w:cs="宋体"/>
          <w:color w:val="auto"/>
          <w:szCs w:val="24"/>
          <w:highlight w:val="none"/>
        </w:rPr>
      </w:pPr>
      <w:bookmarkStart w:id="279" w:name="_Toc111186802"/>
      <w:bookmarkStart w:id="280" w:name="_Toc82786986"/>
      <w:r>
        <w:rPr>
          <w:rFonts w:ascii="宋体" w:hAnsi="宋体" w:eastAsia="宋体" w:cs="宋体"/>
          <w:color w:val="auto"/>
          <w:szCs w:val="24"/>
          <w:highlight w:val="none"/>
        </w:rPr>
        <w:br w:type="page"/>
      </w:r>
    </w:p>
    <w:p w14:paraId="3C62F91D">
      <w:pPr>
        <w:pStyle w:val="2"/>
        <w:rPr>
          <w:rFonts w:ascii="宋体" w:hAnsi="宋体"/>
          <w:color w:val="auto"/>
          <w:highlight w:val="none"/>
        </w:rPr>
      </w:pPr>
      <w:bookmarkStart w:id="281" w:name="_Toc3867"/>
      <w:r>
        <w:rPr>
          <w:rFonts w:hint="eastAsia" w:ascii="宋体" w:hAnsi="宋体"/>
          <w:color w:val="auto"/>
          <w:highlight w:val="none"/>
        </w:rPr>
        <w:t>第三卷</w:t>
      </w:r>
      <w:bookmarkEnd w:id="279"/>
      <w:bookmarkEnd w:id="280"/>
      <w:bookmarkEnd w:id="281"/>
    </w:p>
    <w:p w14:paraId="3BFBA281">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3F9607F4">
      <w:pPr>
        <w:pStyle w:val="2"/>
        <w:rPr>
          <w:rFonts w:ascii="宋体" w:hAnsi="宋体"/>
          <w:color w:val="auto"/>
          <w:highlight w:val="none"/>
        </w:rPr>
        <w:sectPr>
          <w:type w:val="continuous"/>
          <w:pgSz w:w="11905" w:h="16838"/>
          <w:pgMar w:top="1474" w:right="1701" w:bottom="1474" w:left="1701" w:header="720" w:footer="720" w:gutter="0"/>
          <w:cols w:space="720" w:num="1"/>
        </w:sectPr>
      </w:pPr>
      <w:bookmarkStart w:id="282" w:name="_Toc91"/>
      <w:bookmarkStart w:id="283" w:name="_Toc111186803"/>
      <w:r>
        <w:rPr>
          <w:rFonts w:hint="eastAsia" w:ascii="宋体" w:hAnsi="宋体"/>
          <w:color w:val="auto"/>
          <w:highlight w:val="none"/>
        </w:rPr>
        <w:t>第六章  投标文件格式</w:t>
      </w:r>
      <w:bookmarkEnd w:id="282"/>
      <w:bookmarkEnd w:id="283"/>
    </w:p>
    <w:p w14:paraId="79BBF45A">
      <w:pPr>
        <w:pStyle w:val="4"/>
        <w:wordWrap w:val="0"/>
        <w:rPr>
          <w:color w:val="auto"/>
          <w:highlight w:val="none"/>
        </w:rPr>
      </w:pPr>
      <w:bookmarkStart w:id="284" w:name="_Toc111186804"/>
      <w:bookmarkStart w:id="285" w:name="_Toc18166"/>
      <w:bookmarkStart w:id="286" w:name="_Toc193358024"/>
      <w:bookmarkStart w:id="287" w:name="_Toc6838"/>
      <w:r>
        <w:rPr>
          <w:color w:val="auto"/>
          <w:highlight w:val="none"/>
        </w:rPr>
        <w:t>1.</w:t>
      </w:r>
      <w:bookmarkEnd w:id="284"/>
      <w:bookmarkEnd w:id="285"/>
      <w:bookmarkEnd w:id="286"/>
      <w:r>
        <w:rPr>
          <w:color w:val="auto"/>
          <w:highlight w:val="none"/>
        </w:rPr>
        <w:t xml:space="preserve"> </w:t>
      </w:r>
      <w:r>
        <w:rPr>
          <w:rFonts w:hint="eastAsia"/>
          <w:color w:val="auto"/>
          <w:highlight w:val="none"/>
        </w:rPr>
        <w:t>商务文件（含资格审查文件）包括以下资料：</w:t>
      </w:r>
      <w:bookmarkEnd w:id="287"/>
    </w:p>
    <w:p w14:paraId="796A172F">
      <w:pPr>
        <w:wordWrap w:val="0"/>
        <w:rPr>
          <w:rFonts w:ascii="宋体" w:hAnsi="宋体" w:eastAsia="宋体" w:cs="宋体"/>
          <w:color w:val="auto"/>
          <w:szCs w:val="24"/>
          <w:highlight w:val="none"/>
        </w:rPr>
        <w:sectPr>
          <w:type w:val="continuous"/>
          <w:pgSz w:w="11905" w:h="16838"/>
          <w:pgMar w:top="1474" w:right="1701" w:bottom="1474" w:left="1701" w:header="720" w:footer="720" w:gutter="0"/>
          <w:cols w:space="720" w:num="1"/>
        </w:sectPr>
      </w:pPr>
    </w:p>
    <w:p w14:paraId="61BDFEC0">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1）投标函及投标函附录；</w:t>
      </w:r>
    </w:p>
    <w:p w14:paraId="50E2F77F">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2）法定代表人身份证明或附有法定代表人身份证明的授权委托书；</w:t>
      </w:r>
    </w:p>
    <w:p w14:paraId="2E3DA49F">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3）联合体协议书</w:t>
      </w:r>
      <w:r>
        <w:rPr>
          <w:rFonts w:hint="eastAsia" w:ascii="宋体" w:hAnsi="宋体" w:eastAsia="宋体" w:cs="宋体"/>
          <w:color w:val="auto"/>
          <w:sz w:val="24"/>
          <w:szCs w:val="24"/>
          <w:highlight w:val="none"/>
        </w:rPr>
        <w:t>（如有）；</w:t>
      </w:r>
    </w:p>
    <w:p w14:paraId="0DE1274E">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4）投标保证金（如有）；</w:t>
      </w:r>
    </w:p>
    <w:p w14:paraId="11AD9004">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5）勘察设计费报价表；</w:t>
      </w:r>
    </w:p>
    <w:p w14:paraId="4A7A912A">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6）资格审查资料；</w:t>
      </w:r>
    </w:p>
    <w:p w14:paraId="5B1FDC70">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7）投标人须知前附表规定的其他资料。</w:t>
      </w:r>
    </w:p>
    <w:p w14:paraId="76085963">
      <w:pPr>
        <w:widowControl/>
        <w:wordWrap w:val="0"/>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14:paraId="395A19C9">
      <w:pPr>
        <w:wordWrap w:val="0"/>
        <w:rPr>
          <w:rFonts w:ascii="宋体" w:hAnsi="宋体" w:eastAsia="宋体" w:cs="宋体"/>
          <w:b/>
          <w:bCs/>
          <w:color w:val="auto"/>
          <w:szCs w:val="21"/>
          <w:highlight w:val="none"/>
        </w:rPr>
        <w:sectPr>
          <w:type w:val="continuous"/>
          <w:pgSz w:w="11905" w:h="16838"/>
          <w:pgMar w:top="1474" w:right="1701" w:bottom="1474" w:left="1701" w:header="720" w:footer="720" w:gutter="0"/>
          <w:cols w:space="720" w:num="1"/>
        </w:sectPr>
      </w:pPr>
    </w:p>
    <w:p w14:paraId="3D1AF77A">
      <w:pPr>
        <w:pStyle w:val="5"/>
        <w:wordWrap w:val="0"/>
        <w:rPr>
          <w:color w:val="auto"/>
          <w:highlight w:val="none"/>
        </w:rPr>
      </w:pPr>
      <w:bookmarkStart w:id="288" w:name="_Toc20296"/>
      <w:bookmarkStart w:id="289" w:name="_Toc111186813"/>
      <w:bookmarkStart w:id="290" w:name="_Toc16936"/>
      <w:bookmarkStart w:id="291" w:name="_Toc111186812"/>
      <w:r>
        <w:rPr>
          <w:rFonts w:hint="eastAsia"/>
          <w:color w:val="auto"/>
          <w:highlight w:val="none"/>
        </w:rPr>
        <w:t>一</w:t>
      </w:r>
      <w:bookmarkEnd w:id="288"/>
      <w:bookmarkEnd w:id="289"/>
      <w:r>
        <w:rPr>
          <w:rFonts w:hint="eastAsia"/>
          <w:color w:val="auto"/>
          <w:highlight w:val="none"/>
        </w:rPr>
        <w:t>、投标函及投标函附录</w:t>
      </w:r>
    </w:p>
    <w:p w14:paraId="3DEFD6D8">
      <w:pPr>
        <w:spacing w:line="36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投标函</w:t>
      </w:r>
    </w:p>
    <w:p w14:paraId="29D86AC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14:paraId="06AF3260">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1.我方已仔细研究了</w:t>
      </w: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招标项目招标文件全部内容及其补充文件和技术规范等文件，愿意以人民币（大写）</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u w:val="single"/>
        </w:rPr>
        <w:tab/>
      </w:r>
      <w:r>
        <w:rPr>
          <w:rFonts w:ascii="宋体" w:hAnsi="宋体" w:eastAsia="宋体" w:cs="宋体"/>
          <w:color w:val="auto"/>
          <w:sz w:val="24"/>
          <w:szCs w:val="24"/>
          <w:highlight w:val="none"/>
          <w:u w:val="single"/>
        </w:rPr>
        <w:tab/>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）的投标总报价，按合同约定完成勘察设计工作。我方项目负责人是</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2C3C02">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2.我方的投标文件包括下列内容：</w:t>
      </w:r>
    </w:p>
    <w:p w14:paraId="5E06D5D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1）投标函及投标函附录；</w:t>
      </w:r>
    </w:p>
    <w:p w14:paraId="474787E1">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2）法定代表人身份证明或附有法定代表人身份证明的授权委托书；</w:t>
      </w:r>
    </w:p>
    <w:p w14:paraId="1E34A19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3）联合体协议书(如有)；</w:t>
      </w:r>
    </w:p>
    <w:p w14:paraId="642842C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4）投标人声明</w:t>
      </w:r>
    </w:p>
    <w:p w14:paraId="779677C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5）投标保证金(如有)；</w:t>
      </w:r>
    </w:p>
    <w:p w14:paraId="627CE813">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6）勘察设计费报价表；</w:t>
      </w:r>
    </w:p>
    <w:p w14:paraId="6CE00D5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7）资格审查资料；</w:t>
      </w:r>
    </w:p>
    <w:p w14:paraId="6A6BFC9F">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8）资信业绩；</w:t>
      </w:r>
    </w:p>
    <w:p w14:paraId="4BC7471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9）勘察设计方案；</w:t>
      </w:r>
    </w:p>
    <w:p w14:paraId="36FF035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10）投标文件光盘（备用）。注：投标人也可不提交投标文件光盘（备用）</w:t>
      </w:r>
    </w:p>
    <w:p w14:paraId="3F7EB9D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14:paraId="7BAC6BCE">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3.我方承诺在招标文件规定的投标有效期内不撤销投标文件。</w:t>
      </w:r>
    </w:p>
    <w:p w14:paraId="20B0C3F6">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4.如我方中标，我方承诺：</w:t>
      </w:r>
    </w:p>
    <w:p w14:paraId="385A6D3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1）在收到中标通知书后，在法律法规规定的期限内与你方签订合同；</w:t>
      </w:r>
    </w:p>
    <w:p w14:paraId="001D91D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2）在签订合同时不向你方提出附加条件；</w:t>
      </w:r>
    </w:p>
    <w:p w14:paraId="09705599">
      <w:pPr>
        <w:wordWrap w:val="0"/>
        <w:spacing w:line="360" w:lineRule="auto"/>
        <w:ind w:firstLine="566" w:firstLineChars="236"/>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3）按照招标文件要求提交履约保证金；</w:t>
      </w:r>
    </w:p>
    <w:p w14:paraId="3590916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4）在合同约定的期限内完成合同规定的全部义务；</w:t>
      </w:r>
    </w:p>
    <w:p w14:paraId="06279EF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5）承诺本项目拟投入的人员为本单位人员，并已按规定购买社保。</w:t>
      </w:r>
    </w:p>
    <w:p w14:paraId="791A4147">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5.如我方成为本项目的中标候选人，我方同意并授权招标人将我司投标文件商务部分的人员、业绩、奖项等资料进行公示。</w:t>
      </w:r>
    </w:p>
    <w:p w14:paraId="7F4731C8">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6.我方遵守本投标书直至投标有效期满，在投标有效期满前，本投标书对我方一直具有约束力，随时可接受中标。我方承认所附投标文件资料为本投标书的一</w:t>
      </w:r>
      <w:r>
        <w:rPr>
          <w:rFonts w:hint="eastAsia" w:ascii="宋体" w:hAnsi="宋体" w:eastAsia="宋体" w:cs="宋体"/>
          <w:color w:val="auto"/>
          <w:sz w:val="24"/>
          <w:szCs w:val="24"/>
          <w:highlight w:val="none"/>
        </w:rPr>
        <w:t>部分。如果我方投标书含有不符合招标文件规定的内容，我方同意按招标文件规定予以修正。</w:t>
      </w:r>
    </w:p>
    <w:p w14:paraId="694DC28F">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7.我方认同招标文件规定的评审规则，遵守评标委员会的裁决结果，并且不会采取妨碍项目进展的行为。我方理解你方没有必须接受你方可能收到的最低标或任何投标的义务。</w:t>
      </w:r>
    </w:p>
    <w:p w14:paraId="672DE05B">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8.如果我方中标，我方将提供规定的履约担保，将在合同规定的日期开工，并在竣工时间内，按照上述文件完成项目。</w:t>
      </w:r>
    </w:p>
    <w:p w14:paraId="6604FF4A">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9.除非制定正式合同协议书并生效，本投标书以及你方中标通知书，应构成你我双方间具有约束力的合同。</w:t>
      </w:r>
    </w:p>
    <w:p w14:paraId="68C299DD">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14:paraId="0C95A747">
      <w:pPr>
        <w:wordWrap w:val="0"/>
        <w:spacing w:line="360" w:lineRule="auto"/>
        <w:ind w:firstLine="566" w:firstLineChars="236"/>
        <w:rPr>
          <w:rFonts w:ascii="宋体" w:hAnsi="宋体" w:eastAsia="宋体" w:cs="宋体"/>
          <w:color w:val="auto"/>
          <w:sz w:val="24"/>
          <w:szCs w:val="24"/>
          <w:highlight w:val="none"/>
        </w:rPr>
      </w:pPr>
      <w:r>
        <w:rPr>
          <w:rFonts w:ascii="宋体" w:hAnsi="宋体" w:eastAsia="宋体" w:cs="宋体"/>
          <w:color w:val="auto"/>
          <w:sz w:val="24"/>
          <w:szCs w:val="24"/>
          <w:highlight w:val="none"/>
        </w:rPr>
        <w:t>11.（其他补充说明）。</w:t>
      </w:r>
    </w:p>
    <w:p w14:paraId="3BC353FE">
      <w:pPr>
        <w:wordWrap w:val="0"/>
        <w:spacing w:line="360" w:lineRule="auto"/>
        <w:rPr>
          <w:rFonts w:ascii="宋体" w:hAnsi="宋体" w:eastAsia="宋体" w:cs="宋体"/>
          <w:color w:val="auto"/>
          <w:sz w:val="24"/>
          <w:szCs w:val="24"/>
          <w:highlight w:val="none"/>
        </w:rPr>
      </w:pPr>
    </w:p>
    <w:p w14:paraId="4F7A019A">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2DF0CCFE">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ascii="宋体" w:hAnsi="宋体" w:eastAsia="宋体" w:cs="宋体"/>
          <w:color w:val="auto"/>
          <w:sz w:val="24"/>
          <w:szCs w:val="24"/>
          <w:highlight w:val="none"/>
          <w:u w:val="single"/>
        </w:rPr>
        <w:t xml:space="preserve">                          </w:t>
      </w:r>
    </w:p>
    <w:p w14:paraId="16EFE41C">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ascii="宋体" w:hAnsi="宋体" w:eastAsia="宋体" w:cs="宋体"/>
          <w:color w:val="auto"/>
          <w:sz w:val="24"/>
          <w:szCs w:val="24"/>
          <w:highlight w:val="none"/>
          <w:u w:val="single"/>
        </w:rPr>
        <w:t xml:space="preserve">                          </w:t>
      </w:r>
    </w:p>
    <w:p w14:paraId="2B372F83">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ascii="宋体" w:hAnsi="宋体" w:eastAsia="宋体" w:cs="宋体"/>
          <w:color w:val="auto"/>
          <w:sz w:val="24"/>
          <w:szCs w:val="24"/>
          <w:highlight w:val="none"/>
          <w:u w:val="single"/>
        </w:rPr>
        <w:t xml:space="preserve">                          </w:t>
      </w:r>
    </w:p>
    <w:p w14:paraId="05A5DE77">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ascii="宋体" w:hAnsi="宋体" w:eastAsia="宋体" w:cs="宋体"/>
          <w:color w:val="auto"/>
          <w:sz w:val="24"/>
          <w:szCs w:val="24"/>
          <w:highlight w:val="none"/>
          <w:u w:val="single"/>
        </w:rPr>
        <w:t xml:space="preserve">                          </w:t>
      </w:r>
    </w:p>
    <w:p w14:paraId="01D03B9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ascii="宋体" w:hAnsi="宋体" w:eastAsia="宋体" w:cs="宋体"/>
          <w:color w:val="auto"/>
          <w:sz w:val="24"/>
          <w:szCs w:val="24"/>
          <w:highlight w:val="none"/>
          <w:u w:val="single"/>
        </w:rPr>
        <w:t xml:space="preserve">                        </w:t>
      </w:r>
    </w:p>
    <w:p w14:paraId="59F61CE8">
      <w:pPr>
        <w:wordWrap w:val="0"/>
        <w:spacing w:line="360" w:lineRule="auto"/>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3685C070">
      <w:pPr>
        <w:wordWrap w:val="0"/>
        <w:spacing w:line="360" w:lineRule="auto"/>
        <w:ind w:right="120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u w:val="single"/>
        </w:rPr>
        <w:t>（注：如联合体投标人，由投标主办方盖章即可。）</w:t>
      </w:r>
    </w:p>
    <w:p w14:paraId="44344B00">
      <w:pPr>
        <w:wordWrap w:val="0"/>
        <w:jc w:val="center"/>
        <w:rPr>
          <w:rFonts w:ascii="宋体" w:hAnsi="宋体" w:eastAsia="宋体" w:cs="宋体"/>
          <w:b/>
          <w:color w:val="auto"/>
          <w:sz w:val="28"/>
          <w:szCs w:val="28"/>
          <w:highlight w:val="none"/>
        </w:rPr>
      </w:pPr>
      <w:r>
        <w:rPr>
          <w:rFonts w:ascii="宋体" w:hAnsi="宋体" w:eastAsia="宋体" w:cs="宋体"/>
          <w:b/>
          <w:bCs/>
          <w:color w:val="auto"/>
          <w:sz w:val="32"/>
          <w:szCs w:val="32"/>
          <w:highlight w:val="none"/>
        </w:rPr>
        <w:br w:type="page"/>
      </w:r>
      <w:r>
        <w:rPr>
          <w:rFonts w:hint="eastAsia" w:ascii="宋体" w:hAnsi="宋体" w:eastAsia="宋体" w:cs="宋体"/>
          <w:b/>
          <w:color w:val="auto"/>
          <w:sz w:val="28"/>
          <w:szCs w:val="28"/>
          <w:highlight w:val="none"/>
        </w:rPr>
        <w:t>投标函附录</w:t>
      </w:r>
    </w:p>
    <w:p w14:paraId="252E0F53">
      <w:pPr>
        <w:wordWrap w:val="0"/>
        <w:jc w:val="center"/>
        <w:rPr>
          <w:rFonts w:ascii="宋体" w:hAnsi="宋体" w:eastAsia="宋体" w:cs="宋体"/>
          <w:b/>
          <w:bCs/>
          <w:color w:val="auto"/>
          <w:sz w:val="32"/>
          <w:szCs w:val="32"/>
          <w:highlight w:val="none"/>
        </w:rPr>
      </w:pPr>
    </w:p>
    <w:tbl>
      <w:tblPr>
        <w:tblStyle w:val="4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0"/>
        <w:gridCol w:w="2785"/>
        <w:gridCol w:w="2698"/>
        <w:gridCol w:w="1798"/>
      </w:tblGrid>
      <w:tr w14:paraId="0E3A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23" w:type="pct"/>
            <w:vAlign w:val="center"/>
          </w:tcPr>
          <w:p w14:paraId="730EB233">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36" w:type="pct"/>
            <w:vAlign w:val="center"/>
          </w:tcPr>
          <w:p w14:paraId="15D74092">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585" w:type="pct"/>
            <w:vAlign w:val="center"/>
          </w:tcPr>
          <w:p w14:paraId="7DD4E632">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约定内容</w:t>
            </w:r>
          </w:p>
        </w:tc>
        <w:tc>
          <w:tcPr>
            <w:tcW w:w="1056" w:type="pct"/>
            <w:vAlign w:val="center"/>
          </w:tcPr>
          <w:p w14:paraId="6B8FFF1A">
            <w:pPr>
              <w:wordWrap w:val="0"/>
              <w:autoSpaceDE w:val="0"/>
              <w:autoSpaceDN w:val="0"/>
              <w:spacing w:line="276" w:lineRule="auto"/>
              <w:ind w:right="3"/>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6667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748831D8">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1636" w:type="pct"/>
            <w:vAlign w:val="center"/>
          </w:tcPr>
          <w:p w14:paraId="27ED2933">
            <w:pPr>
              <w:wordWrap w:val="0"/>
              <w:autoSpaceDE w:val="0"/>
              <w:autoSpaceDN w:val="0"/>
              <w:spacing w:line="276" w:lineRule="auto"/>
              <w:ind w:left="-4" w:leftChars="-2"/>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项目负责人</w:t>
            </w:r>
          </w:p>
        </w:tc>
        <w:tc>
          <w:tcPr>
            <w:tcW w:w="1585" w:type="pct"/>
            <w:vAlign w:val="center"/>
          </w:tcPr>
          <w:p w14:paraId="50525B93">
            <w:pPr>
              <w:wordWrap w:val="0"/>
              <w:autoSpaceDE w:val="0"/>
              <w:autoSpaceDN w:val="0"/>
              <w:spacing w:line="276" w:lineRule="auto"/>
              <w:ind w:left="102"/>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ascii="宋体" w:hAnsi="宋体" w:eastAsia="宋体" w:cs="宋体"/>
                <w:color w:val="auto"/>
                <w:kern w:val="0"/>
                <w:szCs w:val="21"/>
                <w:highlight w:val="none"/>
                <w:u w:val="single"/>
              </w:rPr>
              <w:t xml:space="preserve">        </w:t>
            </w:r>
          </w:p>
        </w:tc>
        <w:tc>
          <w:tcPr>
            <w:tcW w:w="1056" w:type="pct"/>
            <w:vAlign w:val="center"/>
          </w:tcPr>
          <w:p w14:paraId="028FEC46">
            <w:pPr>
              <w:wordWrap w:val="0"/>
              <w:spacing w:line="276" w:lineRule="auto"/>
              <w:jc w:val="center"/>
              <w:rPr>
                <w:rFonts w:ascii="宋体" w:hAnsi="宋体" w:eastAsia="宋体" w:cs="宋体"/>
                <w:color w:val="auto"/>
                <w:szCs w:val="21"/>
                <w:highlight w:val="none"/>
              </w:rPr>
            </w:pPr>
          </w:p>
        </w:tc>
      </w:tr>
      <w:tr w14:paraId="16B2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0A62B5C4">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1636" w:type="pct"/>
            <w:vAlign w:val="center"/>
          </w:tcPr>
          <w:p w14:paraId="07E3DC4D">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勘察设计服务期限</w:t>
            </w:r>
          </w:p>
        </w:tc>
        <w:tc>
          <w:tcPr>
            <w:tcW w:w="1585" w:type="pct"/>
            <w:vAlign w:val="center"/>
          </w:tcPr>
          <w:p w14:paraId="4B871D03">
            <w:pPr>
              <w:wordWrap w:val="0"/>
              <w:autoSpaceDE w:val="0"/>
              <w:autoSpaceDN w:val="0"/>
              <w:spacing w:line="276" w:lineRule="auto"/>
              <w:ind w:left="102"/>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1970C7EC">
            <w:pPr>
              <w:wordWrap w:val="0"/>
              <w:spacing w:line="276" w:lineRule="auto"/>
              <w:jc w:val="center"/>
              <w:rPr>
                <w:rFonts w:ascii="宋体" w:hAnsi="宋体" w:eastAsia="宋体" w:cs="宋体"/>
                <w:color w:val="auto"/>
                <w:szCs w:val="21"/>
                <w:highlight w:val="none"/>
              </w:rPr>
            </w:pPr>
          </w:p>
        </w:tc>
      </w:tr>
      <w:tr w14:paraId="1082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3CE4075A">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p>
        </w:tc>
        <w:tc>
          <w:tcPr>
            <w:tcW w:w="1636" w:type="pct"/>
            <w:vAlign w:val="center"/>
          </w:tcPr>
          <w:p w14:paraId="12FAD912">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pacing w:val="-3"/>
                <w:szCs w:val="21"/>
                <w:highlight w:val="none"/>
              </w:rPr>
              <w:t>价</w:t>
            </w:r>
            <w:r>
              <w:rPr>
                <w:rFonts w:hint="eastAsia" w:ascii="宋体" w:hAnsi="宋体" w:eastAsia="宋体" w:cs="宋体"/>
                <w:color w:val="auto"/>
                <w:szCs w:val="21"/>
                <w:highlight w:val="none"/>
              </w:rPr>
              <w:t>款</w:t>
            </w:r>
            <w:r>
              <w:rPr>
                <w:rFonts w:hint="eastAsia" w:ascii="宋体" w:hAnsi="宋体" w:eastAsia="宋体" w:cs="宋体"/>
                <w:color w:val="auto"/>
                <w:spacing w:val="-3"/>
                <w:szCs w:val="21"/>
                <w:highlight w:val="none"/>
              </w:rPr>
              <w:t>确</w:t>
            </w:r>
            <w:r>
              <w:rPr>
                <w:rFonts w:hint="eastAsia" w:ascii="宋体" w:hAnsi="宋体" w:eastAsia="宋体" w:cs="宋体"/>
                <w:color w:val="auto"/>
                <w:szCs w:val="21"/>
                <w:highlight w:val="none"/>
              </w:rPr>
              <w:t>定</w:t>
            </w:r>
            <w:r>
              <w:rPr>
                <w:rFonts w:hint="eastAsia" w:ascii="宋体" w:hAnsi="宋体" w:eastAsia="宋体" w:cs="宋体"/>
                <w:color w:val="auto"/>
                <w:spacing w:val="-3"/>
                <w:szCs w:val="21"/>
                <w:highlight w:val="none"/>
              </w:rPr>
              <w:t>方式</w:t>
            </w:r>
          </w:p>
        </w:tc>
        <w:tc>
          <w:tcPr>
            <w:tcW w:w="1585" w:type="pct"/>
            <w:vAlign w:val="center"/>
          </w:tcPr>
          <w:p w14:paraId="3C66450E">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3A7408CC">
            <w:pPr>
              <w:wordWrap w:val="0"/>
              <w:spacing w:line="276" w:lineRule="auto"/>
              <w:jc w:val="center"/>
              <w:rPr>
                <w:rFonts w:ascii="宋体" w:hAnsi="宋体" w:eastAsia="宋体" w:cs="宋体"/>
                <w:color w:val="auto"/>
                <w:szCs w:val="21"/>
                <w:highlight w:val="none"/>
              </w:rPr>
            </w:pPr>
          </w:p>
        </w:tc>
      </w:tr>
      <w:tr w14:paraId="3904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70857DD9">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p>
        </w:tc>
        <w:tc>
          <w:tcPr>
            <w:tcW w:w="1636" w:type="pct"/>
            <w:vAlign w:val="center"/>
          </w:tcPr>
          <w:p w14:paraId="4C39D469">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投标内容</w:t>
            </w:r>
          </w:p>
        </w:tc>
        <w:tc>
          <w:tcPr>
            <w:tcW w:w="1585" w:type="pct"/>
            <w:vAlign w:val="center"/>
          </w:tcPr>
          <w:p w14:paraId="61968D3E">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67B58034">
            <w:pPr>
              <w:wordWrap w:val="0"/>
              <w:spacing w:line="276" w:lineRule="auto"/>
              <w:jc w:val="center"/>
              <w:rPr>
                <w:rFonts w:ascii="宋体" w:hAnsi="宋体" w:eastAsia="宋体" w:cs="宋体"/>
                <w:color w:val="auto"/>
                <w:szCs w:val="21"/>
                <w:highlight w:val="none"/>
              </w:rPr>
            </w:pPr>
          </w:p>
        </w:tc>
      </w:tr>
      <w:tr w14:paraId="44AD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7071DB0D">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p>
        </w:tc>
        <w:tc>
          <w:tcPr>
            <w:tcW w:w="1636" w:type="pct"/>
            <w:vAlign w:val="center"/>
          </w:tcPr>
          <w:p w14:paraId="5AED64B4">
            <w:pPr>
              <w:wordWrap w:val="0"/>
              <w:autoSpaceDE w:val="0"/>
              <w:autoSpaceDN w:val="0"/>
              <w:spacing w:line="276" w:lineRule="auto"/>
              <w:ind w:left="-4" w:leftChars="-3" w:hanging="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质量标准</w:t>
            </w:r>
          </w:p>
        </w:tc>
        <w:tc>
          <w:tcPr>
            <w:tcW w:w="1585" w:type="pct"/>
            <w:vAlign w:val="center"/>
          </w:tcPr>
          <w:p w14:paraId="603D2548">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24CC1778">
            <w:pPr>
              <w:wordWrap w:val="0"/>
              <w:spacing w:line="276" w:lineRule="auto"/>
              <w:jc w:val="center"/>
              <w:rPr>
                <w:rFonts w:ascii="宋体" w:hAnsi="宋体" w:eastAsia="宋体" w:cs="宋体"/>
                <w:color w:val="auto"/>
                <w:szCs w:val="21"/>
                <w:highlight w:val="none"/>
              </w:rPr>
            </w:pPr>
          </w:p>
        </w:tc>
      </w:tr>
      <w:tr w14:paraId="0EF80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41E5F27B">
            <w:pPr>
              <w:wordWrap w:val="0"/>
              <w:autoSpaceDE w:val="0"/>
              <w:autoSpaceDN w:val="0"/>
              <w:spacing w:line="276"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6</w:t>
            </w:r>
          </w:p>
        </w:tc>
        <w:tc>
          <w:tcPr>
            <w:tcW w:w="1636" w:type="pct"/>
            <w:vAlign w:val="center"/>
          </w:tcPr>
          <w:p w14:paraId="2D943346">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投标有效期</w:t>
            </w:r>
          </w:p>
        </w:tc>
        <w:tc>
          <w:tcPr>
            <w:tcW w:w="1585" w:type="pct"/>
            <w:vAlign w:val="center"/>
          </w:tcPr>
          <w:p w14:paraId="297FCF0F">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273748FE">
            <w:pPr>
              <w:wordWrap w:val="0"/>
              <w:spacing w:line="276" w:lineRule="auto"/>
              <w:jc w:val="center"/>
              <w:rPr>
                <w:rFonts w:ascii="宋体" w:hAnsi="宋体" w:eastAsia="宋体" w:cs="宋体"/>
                <w:color w:val="auto"/>
                <w:szCs w:val="21"/>
                <w:highlight w:val="none"/>
              </w:rPr>
            </w:pPr>
          </w:p>
        </w:tc>
      </w:tr>
    </w:tbl>
    <w:p w14:paraId="5CADE1C9">
      <w:pPr>
        <w:pBdr>
          <w:top w:val="single" w:color="auto" w:sz="4" w:space="1"/>
        </w:pBdr>
        <w:wordWrap w:val="0"/>
        <w:spacing w:line="360" w:lineRule="auto"/>
        <w:rPr>
          <w:rFonts w:ascii="宋体" w:hAnsi="宋体" w:eastAsia="宋体" w:cs="宋体"/>
          <w:bCs/>
          <w:color w:val="auto"/>
          <w:sz w:val="24"/>
          <w:szCs w:val="24"/>
          <w:highlight w:val="none"/>
        </w:rPr>
      </w:pPr>
    </w:p>
    <w:p w14:paraId="15BBC020">
      <w:pPr>
        <w:pBdr>
          <w:top w:val="single" w:color="auto" w:sz="4" w:space="1"/>
        </w:pBdr>
        <w:wordWrap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pacing w:val="-2"/>
          <w:sz w:val="24"/>
          <w:szCs w:val="24"/>
          <w:highlight w:val="none"/>
        </w:rPr>
        <w:t>人：</w:t>
      </w:r>
      <w:r>
        <w:rPr>
          <w:rFonts w:ascii="宋体" w:hAnsi="宋体" w:eastAsia="宋体" w:cs="宋体"/>
          <w:bCs/>
          <w:color w:val="auto"/>
          <w:spacing w:val="-2"/>
          <w:sz w:val="24"/>
          <w:szCs w:val="24"/>
          <w:highlight w:val="none"/>
          <w:u w:val="single"/>
        </w:rPr>
        <w:t xml:space="preserve">    </w:t>
      </w:r>
      <w:r>
        <w:rPr>
          <w:rFonts w:hint="eastAsia" w:ascii="宋体" w:hAnsi="宋体" w:eastAsia="宋体" w:cs="宋体"/>
          <w:bCs/>
          <w:color w:val="auto"/>
          <w:spacing w:val="-1"/>
          <w:sz w:val="24"/>
          <w:szCs w:val="24"/>
          <w:highlight w:val="none"/>
        </w:rPr>
        <w:t>（盖章）</w:t>
      </w:r>
    </w:p>
    <w:p w14:paraId="5EC658E0">
      <w:pPr>
        <w:wordWrap w:val="0"/>
        <w:spacing w:line="360" w:lineRule="auto"/>
        <w:rPr>
          <w:rFonts w:ascii="宋体" w:hAnsi="宋体" w:eastAsia="宋体" w:cs="宋体"/>
          <w:bCs/>
          <w:color w:val="auto"/>
          <w:sz w:val="24"/>
          <w:szCs w:val="24"/>
          <w:highlight w:val="none"/>
        </w:rPr>
      </w:pPr>
      <w:r>
        <w:rPr>
          <w:rFonts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7A4C6DA0">
      <w:pPr>
        <w:wordWrap w:val="0"/>
        <w:spacing w:line="360" w:lineRule="auto"/>
        <w:ind w:firstLine="240" w:firstLineChars="100"/>
        <w:rPr>
          <w:rFonts w:ascii="宋体" w:hAnsi="宋体" w:eastAsia="宋体" w:cs="宋体"/>
          <w:color w:val="auto"/>
          <w:sz w:val="24"/>
          <w:szCs w:val="24"/>
          <w:highlight w:val="none"/>
        </w:rPr>
      </w:pPr>
    </w:p>
    <w:p w14:paraId="611694AD">
      <w:pPr>
        <w:wordWrap w:val="0"/>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5DCA923C">
      <w:pPr>
        <w:pStyle w:val="5"/>
        <w:wordWrap w:val="0"/>
        <w:rPr>
          <w:color w:val="auto"/>
          <w:highlight w:val="none"/>
        </w:rPr>
      </w:pPr>
      <w:r>
        <w:rPr>
          <w:color w:val="auto"/>
          <w:highlight w:val="none"/>
        </w:rPr>
        <w:br w:type="page"/>
      </w:r>
      <w:r>
        <w:rPr>
          <w:rFonts w:hint="eastAsia"/>
          <w:color w:val="auto"/>
          <w:highlight w:val="none"/>
        </w:rPr>
        <w:t>二、法定代表人身份证明及授权委托书</w:t>
      </w:r>
      <w:bookmarkEnd w:id="290"/>
      <w:bookmarkEnd w:id="291"/>
    </w:p>
    <w:p w14:paraId="3F58EA41">
      <w:pPr>
        <w:wordWrap w:val="0"/>
        <w:jc w:val="center"/>
        <w:rPr>
          <w:rFonts w:ascii="宋体" w:hAnsi="宋体" w:eastAsia="宋体" w:cs="宋体"/>
          <w:b/>
          <w:color w:val="auto"/>
          <w:sz w:val="28"/>
          <w:szCs w:val="28"/>
          <w:highlight w:val="none"/>
        </w:rPr>
      </w:pPr>
      <w:bookmarkStart w:id="292" w:name="_Toc35513540"/>
      <w:bookmarkStart w:id="293" w:name="_Toc82786997"/>
      <w:r>
        <w:rPr>
          <w:rFonts w:hint="eastAsia" w:ascii="宋体" w:hAnsi="宋体" w:eastAsia="宋体" w:cs="宋体"/>
          <w:b/>
          <w:color w:val="auto"/>
          <w:sz w:val="28"/>
          <w:szCs w:val="28"/>
          <w:highlight w:val="none"/>
        </w:rPr>
        <w:t>法定代表人身份证明</w:t>
      </w:r>
      <w:bookmarkEnd w:id="292"/>
      <w:bookmarkEnd w:id="293"/>
    </w:p>
    <w:p w14:paraId="511F8D03">
      <w:pPr>
        <w:wordWrap w:val="0"/>
        <w:spacing w:line="360" w:lineRule="auto"/>
        <w:ind w:firstLine="480"/>
        <w:rPr>
          <w:rFonts w:ascii="宋体" w:hAnsi="宋体" w:eastAsia="宋体" w:cs="宋体"/>
          <w:color w:val="auto"/>
          <w:sz w:val="24"/>
          <w:szCs w:val="24"/>
          <w:highlight w:val="none"/>
        </w:rPr>
      </w:pPr>
    </w:p>
    <w:p w14:paraId="42719E48">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p>
    <w:p w14:paraId="1BD2031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ascii="宋体" w:hAnsi="宋体" w:eastAsia="宋体" w:cs="宋体"/>
          <w:color w:val="auto"/>
          <w:sz w:val="24"/>
          <w:szCs w:val="24"/>
          <w:highlight w:val="none"/>
          <w:u w:val="single"/>
        </w:rPr>
        <w:t xml:space="preserve">        </w:t>
      </w:r>
    </w:p>
    <w:p w14:paraId="62CDD934">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0E129B27">
      <w:pPr>
        <w:wordWrap w:val="0"/>
        <w:spacing w:line="360" w:lineRule="auto"/>
        <w:ind w:firstLine="480"/>
        <w:rPr>
          <w:rFonts w:ascii="宋体" w:hAnsi="宋体" w:eastAsia="宋体" w:cs="宋体"/>
          <w:color w:val="auto"/>
          <w:sz w:val="24"/>
          <w:szCs w:val="24"/>
          <w:highlight w:val="none"/>
        </w:rPr>
      </w:pPr>
    </w:p>
    <w:p w14:paraId="7AD6D2E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E66AAF0">
      <w:pPr>
        <w:wordWrap w:val="0"/>
        <w:spacing w:line="360" w:lineRule="auto"/>
        <w:ind w:firstLine="480"/>
        <w:rPr>
          <w:rFonts w:ascii="宋体" w:hAnsi="宋体" w:eastAsia="宋体" w:cs="宋体"/>
          <w:color w:val="auto"/>
          <w:sz w:val="24"/>
          <w:szCs w:val="24"/>
          <w:highlight w:val="none"/>
        </w:rPr>
      </w:pPr>
    </w:p>
    <w:p w14:paraId="63B86EC2">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附：法定代表人身份证正反面扫描件。</w:t>
      </w:r>
    </w:p>
    <w:p w14:paraId="357E03CF">
      <w:pPr>
        <w:wordWrap w:val="0"/>
        <w:spacing w:line="360" w:lineRule="auto"/>
        <w:ind w:firstLine="480"/>
        <w:rPr>
          <w:rFonts w:ascii="宋体" w:hAnsi="宋体" w:eastAsia="宋体" w:cs="宋体"/>
          <w:color w:val="auto"/>
          <w:sz w:val="24"/>
          <w:szCs w:val="24"/>
          <w:highlight w:val="none"/>
        </w:rPr>
      </w:pPr>
    </w:p>
    <w:p w14:paraId="4222F099">
      <w:pPr>
        <w:wordWrap w:val="0"/>
        <w:spacing w:line="360" w:lineRule="auto"/>
        <w:ind w:firstLine="480"/>
        <w:rPr>
          <w:rFonts w:ascii="宋体" w:hAnsi="宋体" w:eastAsia="宋体" w:cs="宋体"/>
          <w:color w:val="auto"/>
          <w:sz w:val="24"/>
          <w:szCs w:val="24"/>
          <w:highlight w:val="none"/>
        </w:rPr>
      </w:pPr>
    </w:p>
    <w:p w14:paraId="5174F9D1">
      <w:pPr>
        <w:wordWrap w:val="0"/>
        <w:spacing w:line="360" w:lineRule="auto"/>
        <w:ind w:firstLine="480"/>
        <w:rPr>
          <w:rFonts w:ascii="宋体" w:hAnsi="宋体" w:eastAsia="宋体" w:cs="宋体"/>
          <w:color w:val="auto"/>
          <w:sz w:val="24"/>
          <w:szCs w:val="24"/>
          <w:highlight w:val="none"/>
        </w:rPr>
      </w:pPr>
    </w:p>
    <w:p w14:paraId="0FA0B7C5">
      <w:pPr>
        <w:wordWrap w:val="0"/>
        <w:spacing w:line="360" w:lineRule="auto"/>
        <w:ind w:firstLine="480"/>
        <w:rPr>
          <w:rFonts w:ascii="宋体" w:hAnsi="宋体" w:eastAsia="宋体" w:cs="宋体"/>
          <w:color w:val="auto"/>
          <w:sz w:val="24"/>
          <w:szCs w:val="24"/>
          <w:highlight w:val="none"/>
        </w:rPr>
      </w:pPr>
    </w:p>
    <w:p w14:paraId="23B6C92D">
      <w:pPr>
        <w:wordWrap w:val="0"/>
        <w:spacing w:line="360" w:lineRule="auto"/>
        <w:ind w:firstLine="42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投标人：</w:t>
      </w:r>
      <w:r>
        <w:rPr>
          <w:rFonts w:ascii="宋体" w:hAnsi="宋体" w:eastAsia="宋体" w:cs="宋体"/>
          <w:color w:val="auto"/>
          <w:sz w:val="24"/>
          <w:szCs w:val="24"/>
          <w:highlight w:val="none"/>
          <w:u w:val="single"/>
        </w:rPr>
        <w:t xml:space="preserve">          </w:t>
      </w:r>
      <w:bookmarkStart w:id="294" w:name="page82"/>
      <w:bookmarkEnd w:id="294"/>
      <w:r>
        <w:rPr>
          <w:rFonts w:hint="eastAsia" w:ascii="宋体" w:hAnsi="宋体" w:eastAsia="宋体" w:cs="宋体"/>
          <w:color w:val="auto"/>
          <w:sz w:val="24"/>
          <w:szCs w:val="24"/>
          <w:highlight w:val="none"/>
        </w:rPr>
        <w:t>（</w:t>
      </w:r>
      <w:bookmarkStart w:id="295" w:name="_Toc14709396"/>
      <w:r>
        <w:rPr>
          <w:rFonts w:hint="eastAsia" w:ascii="宋体" w:hAnsi="宋体" w:eastAsia="宋体" w:cs="宋体"/>
          <w:color w:val="auto"/>
          <w:sz w:val="24"/>
          <w:szCs w:val="24"/>
          <w:highlight w:val="none"/>
        </w:rPr>
        <w:t>盖单位章）</w:t>
      </w:r>
    </w:p>
    <w:bookmarkEnd w:id="295"/>
    <w:p w14:paraId="36507733">
      <w:pPr>
        <w:wordWrap w:val="0"/>
        <w:spacing w:line="360" w:lineRule="auto"/>
        <w:ind w:firstLine="5280" w:firstLineChars="220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7F9ADAD">
      <w:pPr>
        <w:wordWrap w:val="0"/>
        <w:spacing w:line="360" w:lineRule="auto"/>
        <w:ind w:firstLine="480"/>
        <w:rPr>
          <w:rFonts w:ascii="宋体" w:hAnsi="宋体" w:eastAsia="宋体" w:cs="宋体"/>
          <w:color w:val="auto"/>
          <w:sz w:val="24"/>
          <w:szCs w:val="24"/>
          <w:highlight w:val="none"/>
        </w:rPr>
      </w:pPr>
    </w:p>
    <w:p w14:paraId="5088B0FF">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联合体投标的，仅须提供联合体主办方出具的法定代表人身份证明</w:t>
      </w:r>
      <w:r>
        <w:rPr>
          <w:rFonts w:hint="eastAsia" w:ascii="宋体" w:hAnsi="宋体" w:eastAsia="宋体" w:cs="宋体"/>
          <w:color w:val="auto"/>
          <w:sz w:val="24"/>
          <w:szCs w:val="24"/>
          <w:highlight w:val="none"/>
        </w:rPr>
        <w:t>。</w:t>
      </w:r>
      <w:bookmarkStart w:id="296" w:name="_Toc35513541"/>
    </w:p>
    <w:p w14:paraId="26FAF6BD">
      <w:pPr>
        <w:wordWrap w:val="0"/>
        <w:jc w:val="center"/>
        <w:rPr>
          <w:rFonts w:ascii="宋体" w:hAnsi="宋体" w:eastAsia="宋体" w:cs="宋体"/>
          <w:b/>
          <w:color w:val="auto"/>
          <w:sz w:val="28"/>
          <w:szCs w:val="28"/>
          <w:highlight w:val="none"/>
        </w:rPr>
      </w:pPr>
      <w:r>
        <w:rPr>
          <w:rFonts w:ascii="宋体" w:hAnsi="宋体" w:eastAsia="宋体" w:cs="宋体"/>
          <w:b/>
          <w:color w:val="auto"/>
          <w:sz w:val="32"/>
          <w:szCs w:val="24"/>
          <w:highlight w:val="none"/>
        </w:rPr>
        <w:br w:type="page"/>
      </w:r>
      <w:bookmarkStart w:id="297" w:name="_Toc82786998"/>
      <w:r>
        <w:rPr>
          <w:rFonts w:hint="eastAsia" w:ascii="宋体" w:hAnsi="宋体" w:eastAsia="宋体" w:cs="宋体"/>
          <w:b/>
          <w:color w:val="auto"/>
          <w:sz w:val="28"/>
          <w:szCs w:val="28"/>
          <w:highlight w:val="none"/>
        </w:rPr>
        <w:t>授权委托书</w:t>
      </w:r>
      <w:bookmarkEnd w:id="296"/>
      <w:bookmarkEnd w:id="297"/>
    </w:p>
    <w:p w14:paraId="04D86ACF">
      <w:pPr>
        <w:wordWrap w:val="0"/>
        <w:spacing w:line="360" w:lineRule="auto"/>
        <w:ind w:firstLine="480"/>
        <w:rPr>
          <w:rFonts w:ascii="宋体" w:hAnsi="宋体" w:eastAsia="宋体" w:cs="宋体"/>
          <w:color w:val="auto"/>
          <w:sz w:val="24"/>
          <w:szCs w:val="24"/>
          <w:highlight w:val="none"/>
        </w:rPr>
      </w:pPr>
    </w:p>
    <w:p w14:paraId="7D8638E0">
      <w:pPr>
        <w:wordWrap w:val="0"/>
        <w:topLinePunct/>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ascii="宋体" w:hAnsi="宋体" w:eastAsia="宋体" w:cs="宋体"/>
          <w:color w:val="auto"/>
          <w:sz w:val="24"/>
          <w:szCs w:val="24"/>
          <w:highlight w:val="none"/>
          <w:u w:val="single"/>
        </w:rPr>
        <w:t xml:space="preserve">       勘察设计</w:t>
      </w:r>
      <w:r>
        <w:rPr>
          <w:rFonts w:hint="eastAsia" w:ascii="宋体" w:hAnsi="宋体" w:eastAsia="宋体" w:cs="宋体"/>
          <w:color w:val="auto"/>
          <w:sz w:val="24"/>
          <w:szCs w:val="24"/>
          <w:highlight w:val="none"/>
        </w:rPr>
        <w:t>招标项目投标文件、签订合同和处理有关事宜，其法律后果由我方承担。</w:t>
      </w:r>
    </w:p>
    <w:p w14:paraId="2140D3A0">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036A7B">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代理人无转委托权。代理人为投标人正式职工，必须具有</w:t>
      </w:r>
      <w:r>
        <w:rPr>
          <w:rFonts w:hint="eastAsia" w:ascii="宋体" w:hAnsi="宋体" w:eastAsia="宋体" w:cs="宋体"/>
          <w:b/>
          <w:color w:val="auto"/>
          <w:sz w:val="24"/>
          <w:szCs w:val="24"/>
          <w:highlight w:val="none"/>
          <w:u w:val="single"/>
        </w:rPr>
        <w:t>离投标截止时间最近的</w:t>
      </w:r>
      <w:r>
        <w:rPr>
          <w:rFonts w:ascii="宋体" w:hAnsi="宋体" w:eastAsia="宋体" w:cs="宋体"/>
          <w:b/>
          <w:color w:val="auto"/>
          <w:sz w:val="24"/>
          <w:szCs w:val="24"/>
          <w:highlight w:val="none"/>
          <w:u w:val="single"/>
        </w:rPr>
        <w:t>1个月（2025年</w:t>
      </w:r>
      <w:r>
        <w:rPr>
          <w:rFonts w:hint="eastAsia" w:ascii="宋体" w:hAnsi="宋体" w:eastAsia="宋体" w:cs="宋体"/>
          <w:b/>
          <w:color w:val="auto"/>
          <w:sz w:val="24"/>
          <w:szCs w:val="24"/>
          <w:highlight w:val="none"/>
          <w:u w:val="single"/>
          <w:lang w:val="en-US" w:eastAsia="zh-CN"/>
        </w:rPr>
        <w:t>5</w:t>
      </w:r>
      <w:r>
        <w:rPr>
          <w:rFonts w:ascii="宋体" w:hAnsi="宋体" w:eastAsia="宋体" w:cs="宋体"/>
          <w:b/>
          <w:color w:val="auto"/>
          <w:sz w:val="24"/>
          <w:szCs w:val="24"/>
          <w:highlight w:val="none"/>
          <w:u w:val="single"/>
        </w:rPr>
        <w:t>月）在本单位缴纳的社保证明文件</w:t>
      </w:r>
      <w:r>
        <w:rPr>
          <w:rFonts w:hint="eastAsia" w:ascii="宋体" w:hAnsi="宋体" w:eastAsia="宋体" w:cs="宋体"/>
          <w:color w:val="auto"/>
          <w:sz w:val="24"/>
          <w:szCs w:val="24"/>
          <w:highlight w:val="none"/>
        </w:rPr>
        <w:t>。</w:t>
      </w:r>
    </w:p>
    <w:p w14:paraId="5118C3DA">
      <w:pPr>
        <w:wordWrap w:val="0"/>
        <w:spacing w:line="360" w:lineRule="auto"/>
        <w:ind w:firstLine="480"/>
        <w:rPr>
          <w:rFonts w:ascii="宋体" w:hAnsi="宋体" w:eastAsia="宋体" w:cs="宋体"/>
          <w:color w:val="auto"/>
          <w:sz w:val="24"/>
          <w:szCs w:val="24"/>
          <w:highlight w:val="none"/>
        </w:rPr>
      </w:pPr>
    </w:p>
    <w:p w14:paraId="3E1E73DD">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附：委托代理人身份证正反面和社保证明扫描件。</w:t>
      </w:r>
    </w:p>
    <w:p w14:paraId="314FADD1">
      <w:pPr>
        <w:wordWrap w:val="0"/>
        <w:spacing w:line="360" w:lineRule="auto"/>
        <w:ind w:firstLine="480"/>
        <w:rPr>
          <w:rFonts w:ascii="宋体" w:hAnsi="宋体" w:eastAsia="宋体" w:cs="宋体"/>
          <w:color w:val="auto"/>
          <w:sz w:val="24"/>
          <w:szCs w:val="24"/>
          <w:highlight w:val="none"/>
        </w:rPr>
      </w:pPr>
    </w:p>
    <w:p w14:paraId="58CBFE2C">
      <w:pPr>
        <w:wordWrap w:val="0"/>
        <w:spacing w:line="360" w:lineRule="auto"/>
        <w:rPr>
          <w:rFonts w:ascii="宋体" w:hAnsi="宋体" w:eastAsia="宋体" w:cs="宋体"/>
          <w:color w:val="auto"/>
          <w:sz w:val="24"/>
          <w:szCs w:val="24"/>
          <w:highlight w:val="none"/>
        </w:rPr>
      </w:pPr>
    </w:p>
    <w:p w14:paraId="24E2B042">
      <w:pPr>
        <w:wordWrap w:val="0"/>
        <w:spacing w:line="360" w:lineRule="auto"/>
        <w:ind w:firstLine="480"/>
        <w:rPr>
          <w:rFonts w:ascii="宋体" w:hAnsi="宋体" w:eastAsia="宋体" w:cs="宋体"/>
          <w:color w:val="auto"/>
          <w:sz w:val="24"/>
          <w:szCs w:val="24"/>
          <w:highlight w:val="none"/>
        </w:rPr>
      </w:pPr>
    </w:p>
    <w:p w14:paraId="27909863">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标</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132E195">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805063E">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ascii="宋体" w:hAnsi="宋体" w:eastAsia="宋体" w:cs="宋体"/>
          <w:color w:val="auto"/>
          <w:sz w:val="24"/>
          <w:szCs w:val="24"/>
          <w:highlight w:val="none"/>
          <w:u w:val="single"/>
        </w:rPr>
        <w:t xml:space="preserve">                        </w:t>
      </w:r>
    </w:p>
    <w:p w14:paraId="03CD4EC5">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65391A9">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ascii="宋体" w:hAnsi="宋体" w:eastAsia="宋体" w:cs="宋体"/>
          <w:color w:val="auto"/>
          <w:sz w:val="24"/>
          <w:szCs w:val="24"/>
          <w:highlight w:val="none"/>
          <w:u w:val="single"/>
        </w:rPr>
        <w:t xml:space="preserve">                        </w:t>
      </w:r>
    </w:p>
    <w:p w14:paraId="7F080623">
      <w:pPr>
        <w:wordWrap w:val="0"/>
        <w:spacing w:line="360" w:lineRule="auto"/>
        <w:ind w:firstLine="42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1E075C2">
      <w:pPr>
        <w:wordWrap w:val="0"/>
        <w:spacing w:line="360" w:lineRule="auto"/>
        <w:ind w:firstLine="480"/>
        <w:rPr>
          <w:rFonts w:ascii="宋体" w:hAnsi="宋体" w:eastAsia="宋体" w:cs="宋体"/>
          <w:color w:val="auto"/>
          <w:sz w:val="24"/>
          <w:szCs w:val="24"/>
          <w:highlight w:val="none"/>
        </w:rPr>
      </w:pPr>
    </w:p>
    <w:p w14:paraId="4B1275DB">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联合体投标的，仅须提供联合体主办方出具的授权委托书</w:t>
      </w:r>
      <w:r>
        <w:rPr>
          <w:rFonts w:hint="eastAsia" w:ascii="宋体" w:hAnsi="宋体" w:eastAsia="宋体" w:cs="宋体"/>
          <w:color w:val="auto"/>
          <w:sz w:val="24"/>
          <w:szCs w:val="24"/>
          <w:highlight w:val="none"/>
        </w:rPr>
        <w:t>。</w:t>
      </w:r>
    </w:p>
    <w:p w14:paraId="776CFB71">
      <w:pPr>
        <w:pStyle w:val="5"/>
        <w:wordWrap w:val="0"/>
        <w:rPr>
          <w:color w:val="auto"/>
          <w:highlight w:val="none"/>
        </w:rPr>
      </w:pPr>
      <w:r>
        <w:rPr>
          <w:color w:val="auto"/>
          <w:highlight w:val="none"/>
        </w:rPr>
        <w:br w:type="page"/>
      </w:r>
      <w:bookmarkStart w:id="298" w:name="_Toc111186814"/>
      <w:bookmarkStart w:id="299" w:name="_Toc17883"/>
    </w:p>
    <w:p w14:paraId="2AF716B0">
      <w:pPr>
        <w:pStyle w:val="5"/>
        <w:wordWrap w:val="0"/>
        <w:rPr>
          <w:color w:val="auto"/>
          <w:highlight w:val="none"/>
        </w:rPr>
      </w:pPr>
      <w:r>
        <w:rPr>
          <w:rFonts w:hint="eastAsia"/>
          <w:color w:val="auto"/>
          <w:highlight w:val="none"/>
        </w:rPr>
        <w:t>三</w:t>
      </w:r>
      <w:bookmarkEnd w:id="298"/>
      <w:bookmarkEnd w:id="299"/>
      <w:r>
        <w:rPr>
          <w:rFonts w:hint="eastAsia"/>
          <w:color w:val="auto"/>
          <w:highlight w:val="none"/>
        </w:rPr>
        <w:t>、联合体协议书</w:t>
      </w:r>
    </w:p>
    <w:p w14:paraId="08C98C08">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联合体协议书</w:t>
      </w:r>
    </w:p>
    <w:p w14:paraId="38A1789A">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（参考格式）</w:t>
      </w:r>
    </w:p>
    <w:p w14:paraId="259C6EB5">
      <w:pPr>
        <w:wordWrap w:val="0"/>
        <w:spacing w:line="360" w:lineRule="auto"/>
        <w:jc w:val="center"/>
        <w:rPr>
          <w:rFonts w:ascii="宋体" w:hAnsi="宋体" w:eastAsia="宋体" w:cs="宋体"/>
          <w:color w:val="auto"/>
          <w:sz w:val="24"/>
          <w:szCs w:val="24"/>
          <w:highlight w:val="none"/>
        </w:rPr>
      </w:pPr>
    </w:p>
    <w:p w14:paraId="7D4FE985">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BE965D">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（招标人）</w:t>
      </w:r>
    </w:p>
    <w:p w14:paraId="139B6227">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4B112917">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6C6236A9">
      <w:pPr>
        <w:wordWrap w:val="0"/>
        <w:spacing w:line="360" w:lineRule="auto"/>
        <w:rPr>
          <w:rFonts w:ascii="宋体" w:hAnsi="宋体" w:eastAsia="宋体" w:cs="宋体"/>
          <w:color w:val="auto"/>
          <w:sz w:val="24"/>
          <w:szCs w:val="24"/>
          <w:highlight w:val="none"/>
          <w:lang w:val="zh-CN"/>
        </w:rPr>
      </w:pPr>
    </w:p>
    <w:p w14:paraId="0ED7F366">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投标主办方：（盖章）</w:t>
      </w:r>
      <w:r>
        <w:rPr>
          <w:rFonts w:ascii="宋体" w:hAnsi="宋体" w:eastAsia="宋体" w:cs="宋体"/>
          <w:color w:val="auto"/>
          <w:sz w:val="24"/>
          <w:szCs w:val="24"/>
          <w:highlight w:val="none"/>
          <w:u w:val="single"/>
          <w:lang w:val="zh-CN"/>
        </w:rPr>
        <w:t xml:space="preserve">                                         </w:t>
      </w:r>
    </w:p>
    <w:p w14:paraId="0DA1493A">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ascii="宋体" w:hAnsi="宋体" w:eastAsia="宋体" w:cs="宋体"/>
          <w:color w:val="auto"/>
          <w:sz w:val="24"/>
          <w:szCs w:val="24"/>
          <w:highlight w:val="none"/>
          <w:u w:val="single"/>
          <w:lang w:val="zh-CN"/>
        </w:rPr>
        <w:t xml:space="preserve">                                                      </w:t>
      </w:r>
    </w:p>
    <w:p w14:paraId="7F83003F">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w:t>
      </w:r>
      <w:r>
        <w:rPr>
          <w:rFonts w:ascii="宋体" w:hAnsi="宋体" w:eastAsia="宋体" w:cs="宋体"/>
          <w:color w:val="auto"/>
          <w:sz w:val="24"/>
          <w:szCs w:val="24"/>
          <w:highlight w:val="none"/>
          <w:lang w:val="zh-CN"/>
        </w:rPr>
        <w:t>/传真：</w:t>
      </w:r>
      <w:r>
        <w:rPr>
          <w:rFonts w:ascii="宋体" w:hAnsi="宋体" w:eastAsia="宋体" w:cs="宋体"/>
          <w:color w:val="auto"/>
          <w:sz w:val="24"/>
          <w:szCs w:val="24"/>
          <w:highlight w:val="none"/>
          <w:u w:val="single"/>
          <w:lang w:val="zh-CN"/>
        </w:rPr>
        <w:t xml:space="preserve">                             </w:t>
      </w:r>
    </w:p>
    <w:p w14:paraId="5FAD6A58">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分工内容：</w:t>
      </w:r>
      <w:r>
        <w:rPr>
          <w:rFonts w:ascii="宋体" w:hAnsi="宋体" w:eastAsia="宋体" w:cs="宋体"/>
          <w:color w:val="auto"/>
          <w:sz w:val="24"/>
          <w:szCs w:val="24"/>
          <w:highlight w:val="none"/>
          <w:u w:val="single"/>
          <w:lang w:val="zh-CN"/>
        </w:rPr>
        <w:t xml:space="preserve">                                                  </w:t>
      </w:r>
    </w:p>
    <w:p w14:paraId="1AD59CBF">
      <w:pPr>
        <w:wordWrap w:val="0"/>
        <w:spacing w:line="360" w:lineRule="auto"/>
        <w:rPr>
          <w:rFonts w:ascii="宋体" w:hAnsi="宋体" w:eastAsia="宋体" w:cs="宋体"/>
          <w:color w:val="auto"/>
          <w:sz w:val="24"/>
          <w:szCs w:val="24"/>
          <w:highlight w:val="none"/>
          <w:lang w:val="zh-CN"/>
        </w:rPr>
      </w:pPr>
    </w:p>
    <w:p w14:paraId="0FEAF8A6">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联合体成员：（盖章）</w:t>
      </w:r>
      <w:r>
        <w:rPr>
          <w:rFonts w:ascii="宋体" w:hAnsi="宋体" w:eastAsia="宋体" w:cs="宋体"/>
          <w:color w:val="auto"/>
          <w:sz w:val="24"/>
          <w:szCs w:val="24"/>
          <w:highlight w:val="none"/>
          <w:u w:val="single"/>
          <w:lang w:val="zh-CN"/>
        </w:rPr>
        <w:t xml:space="preserve">                                         </w:t>
      </w:r>
    </w:p>
    <w:p w14:paraId="4451A0B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ascii="宋体" w:hAnsi="宋体" w:eastAsia="宋体" w:cs="宋体"/>
          <w:color w:val="auto"/>
          <w:sz w:val="24"/>
          <w:szCs w:val="24"/>
          <w:highlight w:val="none"/>
          <w:u w:val="single"/>
          <w:lang w:val="zh-CN"/>
        </w:rPr>
        <w:t xml:space="preserve">                                                      </w:t>
      </w:r>
    </w:p>
    <w:p w14:paraId="0A8E7C79">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w:t>
      </w:r>
      <w:r>
        <w:rPr>
          <w:rFonts w:ascii="宋体" w:hAnsi="宋体" w:eastAsia="宋体" w:cs="宋体"/>
          <w:color w:val="auto"/>
          <w:sz w:val="24"/>
          <w:szCs w:val="24"/>
          <w:highlight w:val="none"/>
          <w:lang w:val="zh-CN"/>
        </w:rPr>
        <w:t>/传真：</w:t>
      </w:r>
      <w:r>
        <w:rPr>
          <w:rFonts w:ascii="宋体" w:hAnsi="宋体" w:eastAsia="宋体" w:cs="宋体"/>
          <w:color w:val="auto"/>
          <w:sz w:val="24"/>
          <w:szCs w:val="24"/>
          <w:highlight w:val="none"/>
          <w:u w:val="single"/>
          <w:lang w:val="zh-CN"/>
        </w:rPr>
        <w:t xml:space="preserve">                             </w:t>
      </w:r>
    </w:p>
    <w:p w14:paraId="1749DD17">
      <w:pPr>
        <w:wordWrap w:val="0"/>
        <w:spacing w:line="360" w:lineRule="auto"/>
        <w:rPr>
          <w:rFonts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分工内容：</w:t>
      </w:r>
      <w:r>
        <w:rPr>
          <w:rFonts w:ascii="宋体" w:hAnsi="宋体" w:eastAsia="宋体" w:cs="宋体"/>
          <w:color w:val="auto"/>
          <w:sz w:val="24"/>
          <w:szCs w:val="24"/>
          <w:highlight w:val="none"/>
          <w:u w:val="single"/>
          <w:lang w:val="zh-CN"/>
        </w:rPr>
        <w:t xml:space="preserve">                                                  </w:t>
      </w:r>
    </w:p>
    <w:p w14:paraId="07B37880">
      <w:pPr>
        <w:wordWrap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签订日期：       年    月    日</w:t>
      </w:r>
    </w:p>
    <w:p w14:paraId="0B22825F">
      <w:pPr>
        <w:widowControl/>
        <w:wordWrap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注：非联合体投标的，无需提交本协议书。本联合体协议书可根据联合体成员数量自行调整相关内容。</w:t>
      </w:r>
    </w:p>
    <w:p w14:paraId="3445A39B">
      <w:pPr>
        <w:pStyle w:val="5"/>
        <w:wordWrap w:val="0"/>
        <w:rPr>
          <w:color w:val="auto"/>
          <w:highlight w:val="none"/>
          <w:u w:val="single"/>
        </w:rPr>
      </w:pPr>
      <w:r>
        <w:rPr>
          <w:color w:val="auto"/>
          <w:highlight w:val="none"/>
        </w:rPr>
        <w:br w:type="page"/>
      </w:r>
      <w:bookmarkStart w:id="300" w:name="_Toc23229"/>
      <w:bookmarkStart w:id="301" w:name="_Toc111186815"/>
    </w:p>
    <w:p w14:paraId="6EA251E3">
      <w:pPr>
        <w:pStyle w:val="5"/>
        <w:wordWrap w:val="0"/>
        <w:rPr>
          <w:color w:val="auto"/>
          <w:highlight w:val="none"/>
        </w:rPr>
      </w:pPr>
      <w:r>
        <w:rPr>
          <w:rFonts w:hint="eastAsia"/>
          <w:color w:val="auto"/>
          <w:highlight w:val="none"/>
        </w:rPr>
        <w:t>四、投标保证金</w:t>
      </w:r>
    </w:p>
    <w:p w14:paraId="642C76D6">
      <w:pPr>
        <w:rPr>
          <w:rFonts w:ascii="宋体" w:hAnsi="宋体" w:eastAsia="宋体"/>
          <w:color w:val="auto"/>
          <w:sz w:val="24"/>
          <w:szCs w:val="24"/>
          <w:highlight w:val="none"/>
          <w:u w:val="single"/>
          <w:lang w:val="zh-CN"/>
        </w:rPr>
      </w:pPr>
      <w:r>
        <w:rPr>
          <w:rFonts w:hint="eastAsia" w:ascii="宋体" w:hAnsi="宋体" w:eastAsia="宋体"/>
          <w:color w:val="auto"/>
          <w:sz w:val="24"/>
          <w:szCs w:val="24"/>
          <w:highlight w:val="none"/>
          <w:u w:val="single"/>
          <w:lang w:val="zh-CN"/>
        </w:rPr>
        <w:t>本项目不要求。</w:t>
      </w:r>
    </w:p>
    <w:p w14:paraId="18D7D5DF">
      <w:pPr>
        <w:widowControl/>
        <w:jc w:val="left"/>
        <w:rPr>
          <w:rFonts w:ascii="宋体" w:hAnsi="宋体" w:eastAsia="宋体" w:cs="Times New Roman"/>
          <w:b/>
          <w:color w:val="auto"/>
          <w:kern w:val="0"/>
          <w:sz w:val="24"/>
          <w:szCs w:val="24"/>
          <w:highlight w:val="none"/>
          <w:lang w:val="zh-CN"/>
        </w:rPr>
      </w:pPr>
      <w:r>
        <w:rPr>
          <w:rFonts w:ascii="宋体" w:hAnsi="宋体" w:eastAsia="宋体"/>
          <w:color w:val="auto"/>
          <w:highlight w:val="none"/>
        </w:rPr>
        <w:br w:type="page"/>
      </w:r>
    </w:p>
    <w:p w14:paraId="2B349598">
      <w:pPr>
        <w:pStyle w:val="5"/>
        <w:wordWrap w:val="0"/>
        <w:rPr>
          <w:color w:val="auto"/>
          <w:highlight w:val="none"/>
        </w:rPr>
      </w:pPr>
      <w:r>
        <w:rPr>
          <w:rFonts w:hint="eastAsia"/>
          <w:color w:val="auto"/>
          <w:highlight w:val="none"/>
        </w:rPr>
        <w:t>五、勘察设计费报价表</w:t>
      </w:r>
    </w:p>
    <w:p w14:paraId="2692F4C4">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勘察设计费报价表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897"/>
        <w:gridCol w:w="1031"/>
        <w:gridCol w:w="2107"/>
        <w:gridCol w:w="4026"/>
      </w:tblGrid>
      <w:tr w14:paraId="579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8" w:type="pct"/>
            <w:vAlign w:val="center"/>
          </w:tcPr>
          <w:p w14:paraId="3F1C1BB2">
            <w:pPr>
              <w:wordWrap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序号</w:t>
            </w:r>
          </w:p>
        </w:tc>
        <w:tc>
          <w:tcPr>
            <w:tcW w:w="513" w:type="pct"/>
            <w:vAlign w:val="center"/>
          </w:tcPr>
          <w:p w14:paraId="345F52CF">
            <w:pPr>
              <w:wordWrap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内容</w:t>
            </w:r>
          </w:p>
        </w:tc>
        <w:tc>
          <w:tcPr>
            <w:tcW w:w="591" w:type="pct"/>
            <w:vAlign w:val="center"/>
          </w:tcPr>
          <w:p w14:paraId="47F88C31">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下浮率</w:t>
            </w:r>
          </w:p>
        </w:tc>
        <w:tc>
          <w:tcPr>
            <w:tcW w:w="1208" w:type="pct"/>
            <w:vAlign w:val="center"/>
          </w:tcPr>
          <w:p w14:paraId="25270819">
            <w:pPr>
              <w:wordWrap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投标报价</w:t>
            </w:r>
          </w:p>
        </w:tc>
        <w:tc>
          <w:tcPr>
            <w:tcW w:w="2308" w:type="pct"/>
            <w:vAlign w:val="center"/>
          </w:tcPr>
          <w:p w14:paraId="656E67D1">
            <w:pPr>
              <w:wordWrap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备注</w:t>
            </w:r>
          </w:p>
        </w:tc>
      </w:tr>
      <w:tr w14:paraId="7ED2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8" w:type="pct"/>
            <w:vAlign w:val="center"/>
          </w:tcPr>
          <w:p w14:paraId="06F964B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513" w:type="pct"/>
            <w:vAlign w:val="center"/>
          </w:tcPr>
          <w:p w14:paraId="2899C51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勘察费</w:t>
            </w:r>
          </w:p>
        </w:tc>
        <w:tc>
          <w:tcPr>
            <w:tcW w:w="591" w:type="pct"/>
            <w:vAlign w:val="center"/>
          </w:tcPr>
          <w:p w14:paraId="2E2B639E">
            <w:pPr>
              <w:wordWrap w:val="0"/>
              <w:spacing w:line="276"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tc>
        <w:tc>
          <w:tcPr>
            <w:tcW w:w="1208" w:type="pct"/>
            <w:vAlign w:val="center"/>
          </w:tcPr>
          <w:p w14:paraId="519970D3">
            <w:pPr>
              <w:wordWrap w:val="0"/>
              <w:spacing w:line="276"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8" w:type="pct"/>
            <w:vAlign w:val="center"/>
          </w:tcPr>
          <w:p w14:paraId="068A32F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=【1-（勘察费投标报价/勘察费最高投标限价）】*100%</w:t>
            </w:r>
          </w:p>
        </w:tc>
      </w:tr>
      <w:tr w14:paraId="4E49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78" w:type="pct"/>
            <w:vAlign w:val="center"/>
          </w:tcPr>
          <w:p w14:paraId="0CB570C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513" w:type="pct"/>
            <w:vAlign w:val="center"/>
          </w:tcPr>
          <w:p w14:paraId="27B52C4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设计费</w:t>
            </w:r>
          </w:p>
        </w:tc>
        <w:tc>
          <w:tcPr>
            <w:tcW w:w="591" w:type="pct"/>
            <w:vAlign w:val="center"/>
          </w:tcPr>
          <w:p w14:paraId="6C70AEC1">
            <w:pPr>
              <w:wordWrap w:val="0"/>
              <w:spacing w:line="276"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tc>
        <w:tc>
          <w:tcPr>
            <w:tcW w:w="1208" w:type="pct"/>
            <w:vAlign w:val="center"/>
          </w:tcPr>
          <w:p w14:paraId="39ED11D5">
            <w:pPr>
              <w:wordWrap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8" w:type="pct"/>
            <w:vAlign w:val="center"/>
          </w:tcPr>
          <w:p w14:paraId="56D1EB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=【1-（设计费投标报价/设计费最高投标限价）】*100%</w:t>
            </w:r>
          </w:p>
        </w:tc>
      </w:tr>
      <w:tr w14:paraId="390A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2" w:type="pct"/>
            <w:gridSpan w:val="2"/>
            <w:vAlign w:val="center"/>
          </w:tcPr>
          <w:p w14:paraId="56B2BA3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591" w:type="pct"/>
            <w:vAlign w:val="center"/>
          </w:tcPr>
          <w:p w14:paraId="219F23BB">
            <w:pPr>
              <w:wordWrap w:val="0"/>
              <w:spacing w:line="276"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rPr>
              <w:t>/</w:t>
            </w:r>
          </w:p>
        </w:tc>
        <w:tc>
          <w:tcPr>
            <w:tcW w:w="1208" w:type="pct"/>
            <w:vAlign w:val="center"/>
          </w:tcPr>
          <w:p w14:paraId="712A7C8C">
            <w:pPr>
              <w:wordWrap w:val="0"/>
              <w:spacing w:line="276"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8" w:type="pct"/>
            <w:vAlign w:val="center"/>
          </w:tcPr>
          <w:p w14:paraId="05F8E8D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勘察费投标报价</w:t>
            </w:r>
            <w:r>
              <w:rPr>
                <w:rFonts w:ascii="宋体" w:hAnsi="宋体" w:eastAsia="宋体" w:cs="宋体"/>
                <w:color w:val="auto"/>
                <w:szCs w:val="21"/>
                <w:highlight w:val="none"/>
              </w:rPr>
              <w:t>+设计费投标报价</w:t>
            </w:r>
          </w:p>
        </w:tc>
      </w:tr>
    </w:tbl>
    <w:p w14:paraId="0984E2C5">
      <w:pPr>
        <w:wordWrap w:val="0"/>
        <w:spacing w:line="360" w:lineRule="auto"/>
        <w:rPr>
          <w:rFonts w:ascii="宋体" w:hAnsi="宋体" w:eastAsia="宋体"/>
          <w:color w:val="auto"/>
          <w:sz w:val="24"/>
          <w:szCs w:val="24"/>
          <w:highlight w:val="none"/>
        </w:rPr>
      </w:pPr>
    </w:p>
    <w:p w14:paraId="49FC5B6F">
      <w:pPr>
        <w:wordWrap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u w:val="single"/>
        </w:rPr>
        <w:t xml:space="preserve">    </w:t>
      </w:r>
      <w:r>
        <w:rPr>
          <w:rFonts w:hint="eastAsia" w:ascii="宋体" w:hAnsi="宋体" w:eastAsia="宋体"/>
          <w:color w:val="auto"/>
          <w:spacing w:val="-1"/>
          <w:sz w:val="24"/>
          <w:szCs w:val="24"/>
          <w:highlight w:val="none"/>
        </w:rPr>
        <w:t>（盖章）</w:t>
      </w:r>
    </w:p>
    <w:p w14:paraId="714C902E">
      <w:pPr>
        <w:wordWrap w:val="0"/>
        <w:spacing w:line="360" w:lineRule="auto"/>
        <w:rPr>
          <w:rFonts w:ascii="宋体" w:hAnsi="宋体" w:eastAsia="宋体" w:cs="宋体"/>
          <w:bCs/>
          <w:color w:val="auto"/>
          <w:sz w:val="24"/>
          <w:szCs w:val="24"/>
          <w:highlight w:val="none"/>
        </w:rPr>
      </w:pPr>
      <w:r>
        <w:rPr>
          <w:rFonts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21443344">
      <w:pPr>
        <w:wordWrap w:val="0"/>
        <w:spacing w:line="360" w:lineRule="auto"/>
        <w:rPr>
          <w:rFonts w:ascii="宋体" w:hAnsi="宋体" w:eastAsia="宋体" w:cs="宋体"/>
          <w:b/>
          <w:bCs/>
          <w:color w:val="auto"/>
          <w:sz w:val="24"/>
          <w:szCs w:val="24"/>
          <w:highlight w:val="none"/>
          <w:u w:val="single"/>
        </w:rPr>
      </w:pPr>
    </w:p>
    <w:p w14:paraId="506F8999">
      <w:pPr>
        <w:wordWrap w:val="0"/>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61FEA0E0">
      <w:pPr>
        <w:wordWrap w:val="0"/>
        <w:rPr>
          <w:rFonts w:ascii="宋体" w:hAnsi="宋体" w:eastAsia="宋体" w:cs="宋体"/>
          <w:color w:val="auto"/>
          <w:szCs w:val="24"/>
          <w:highlight w:val="none"/>
        </w:rPr>
      </w:pPr>
      <w:r>
        <w:rPr>
          <w:rFonts w:ascii="宋体" w:hAnsi="宋体" w:eastAsia="宋体" w:cs="宋体"/>
          <w:color w:val="auto"/>
          <w:szCs w:val="24"/>
          <w:highlight w:val="none"/>
        </w:rPr>
        <w:br w:type="page"/>
      </w:r>
    </w:p>
    <w:bookmarkEnd w:id="300"/>
    <w:bookmarkEnd w:id="301"/>
    <w:p w14:paraId="006E999B">
      <w:pPr>
        <w:pStyle w:val="5"/>
        <w:wordWrap w:val="0"/>
        <w:rPr>
          <w:color w:val="auto"/>
          <w:highlight w:val="none"/>
        </w:rPr>
      </w:pPr>
      <w:r>
        <w:rPr>
          <w:rFonts w:hint="eastAsia"/>
          <w:color w:val="auto"/>
          <w:highlight w:val="none"/>
        </w:rPr>
        <w:t>六、</w:t>
      </w:r>
      <w:r>
        <w:rPr>
          <w:rFonts w:hint="eastAsia" w:cs="宋体"/>
          <w:color w:val="auto"/>
          <w:highlight w:val="none"/>
        </w:rPr>
        <w:t>资格审查资料</w:t>
      </w:r>
    </w:p>
    <w:p w14:paraId="025E4686">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营业执照或事业单位登记机构核发的事业单位法人证书、资质证书；</w:t>
      </w:r>
    </w:p>
    <w:p w14:paraId="50069A79">
      <w:pPr>
        <w:widowControl/>
        <w:spacing w:line="360" w:lineRule="auto"/>
        <w:jc w:val="left"/>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olor w:val="auto"/>
          <w:sz w:val="24"/>
          <w:szCs w:val="24"/>
          <w:highlight w:val="none"/>
        </w:rPr>
        <w:t>项目负责人资格证明资料；</w:t>
      </w:r>
    </w:p>
    <w:p w14:paraId="5D4A1AB1">
      <w:pPr>
        <w:widowControl/>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3）业绩证明资料</w:t>
      </w:r>
      <w:r>
        <w:rPr>
          <w:rFonts w:hint="eastAsia" w:ascii="宋体" w:hAnsi="宋体" w:eastAsia="宋体"/>
          <w:color w:val="auto"/>
          <w:sz w:val="24"/>
          <w:szCs w:val="24"/>
          <w:highlight w:val="none"/>
          <w:u w:val="single"/>
        </w:rPr>
        <w:t>（如要求）</w:t>
      </w:r>
      <w:r>
        <w:rPr>
          <w:rFonts w:hint="eastAsia" w:ascii="宋体" w:hAnsi="宋体" w:eastAsia="宋体"/>
          <w:color w:val="auto"/>
          <w:sz w:val="24"/>
          <w:szCs w:val="24"/>
          <w:highlight w:val="none"/>
        </w:rPr>
        <w:t>；</w:t>
      </w:r>
    </w:p>
    <w:p w14:paraId="5263DB94">
      <w:pPr>
        <w:widowControl/>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5）“信用广州”网站查询结果网页截图；</w:t>
      </w:r>
    </w:p>
    <w:p w14:paraId="03363005">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4）投标人声明</w:t>
      </w:r>
      <w:r>
        <w:rPr>
          <w:rFonts w:hint="eastAsia" w:ascii="宋体" w:hAnsi="宋体" w:eastAsia="宋体" w:cs="宋体"/>
          <w:bCs/>
          <w:color w:val="auto"/>
          <w:sz w:val="24"/>
          <w:szCs w:val="24"/>
          <w:highlight w:val="none"/>
        </w:rPr>
        <w:t>、廉洁承诺书。</w:t>
      </w:r>
    </w:p>
    <w:p w14:paraId="45927FB6">
      <w:pPr>
        <w:widowControl/>
        <w:spacing w:line="360" w:lineRule="auto"/>
        <w:jc w:val="left"/>
        <w:rPr>
          <w:rFonts w:ascii="宋体" w:hAnsi="宋体" w:eastAsia="宋体" w:cs="宋体"/>
          <w:bCs/>
          <w:color w:val="auto"/>
          <w:sz w:val="24"/>
          <w:szCs w:val="24"/>
          <w:highlight w:val="none"/>
        </w:rPr>
      </w:pPr>
    </w:p>
    <w:p w14:paraId="743D571C">
      <w:pPr>
        <w:widowControl/>
        <w:jc w:val="left"/>
        <w:rPr>
          <w:rFonts w:ascii="宋体" w:hAnsi="宋体" w:eastAsia="宋体" w:cs="宋体"/>
          <w:b/>
          <w:color w:val="auto"/>
          <w:sz w:val="28"/>
          <w:szCs w:val="28"/>
          <w:highlight w:val="none"/>
        </w:rPr>
      </w:pPr>
      <w:r>
        <w:rPr>
          <w:rFonts w:ascii="宋体" w:hAnsi="宋体" w:eastAsia="宋体" w:cs="宋体"/>
          <w:b/>
          <w:color w:val="auto"/>
          <w:sz w:val="28"/>
          <w:szCs w:val="28"/>
          <w:highlight w:val="none"/>
        </w:rPr>
        <w:br w:type="page"/>
      </w:r>
    </w:p>
    <w:p w14:paraId="2A4837EB">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投标人声明</w:t>
      </w:r>
    </w:p>
    <w:p w14:paraId="2F960432">
      <w:pPr>
        <w:wordWrap w:val="0"/>
        <w:spacing w:line="360" w:lineRule="auto"/>
        <w:ind w:firstLine="629"/>
        <w:rPr>
          <w:rFonts w:ascii="宋体" w:hAnsi="宋体" w:eastAsia="宋体" w:cs="宋体"/>
          <w:color w:val="auto"/>
          <w:kern w:val="0"/>
          <w:sz w:val="24"/>
          <w:szCs w:val="24"/>
          <w:highlight w:val="none"/>
        </w:rPr>
      </w:pPr>
    </w:p>
    <w:p w14:paraId="292BB321">
      <w:pPr>
        <w:wordWrap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1240207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项目投标工作，作出郑重声明：</w:t>
      </w:r>
    </w:p>
    <w:p w14:paraId="41297CD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一、本公司保证投标登记材料及其后提供的一切材料都是真实的。如我司成为本项目中标候选人，我司同意并授权招标人将我司投标文件的人员、业绩、奖项等资料进行公开。</w:t>
      </w:r>
    </w:p>
    <w:p w14:paraId="6FA66219">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不与其他单位串通投标或以行贿手段谋取中标，不出借资质、转让勘察设计业务。</w:t>
      </w:r>
    </w:p>
    <w:p w14:paraId="5D0E42CE">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w:t>
      </w:r>
      <w:r>
        <w:rPr>
          <w:rFonts w:ascii="宋体" w:hAnsi="宋体" w:eastAsia="宋体" w:cs="宋体"/>
          <w:color w:val="auto"/>
          <w:kern w:val="0"/>
          <w:sz w:val="24"/>
          <w:szCs w:val="24"/>
          <w:highlight w:val="none"/>
        </w:rPr>
        <w:t>1.4.3项所规定的任何一种情形。具体如下：</w:t>
      </w:r>
    </w:p>
    <w:p w14:paraId="0725BE11">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（一）为招标人不具有独立法人资格的附属机构（单位）；</w:t>
      </w:r>
    </w:p>
    <w:p w14:paraId="4DF954D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（二）与招标人存在利害关系且可能影响招标公正性；</w:t>
      </w:r>
    </w:p>
    <w:p w14:paraId="71396F15">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（三）与本招标项目的其他投标人为同一个单位负责人；</w:t>
      </w:r>
    </w:p>
    <w:p w14:paraId="43677FC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（四）与本招标项目的其他投标人存在控股、管理关系；</w:t>
      </w:r>
    </w:p>
    <w:p w14:paraId="749EA905">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（五）为本招标项目的代建人或建设管理单位；</w:t>
      </w:r>
    </w:p>
    <w:p w14:paraId="05C724F3">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（六）为本招标项目的招标代理机构；</w:t>
      </w:r>
    </w:p>
    <w:p w14:paraId="43E122C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（七）与本招标项目的代建人或招标代理机构同为一个法定代表人；</w:t>
      </w:r>
    </w:p>
    <w:p w14:paraId="2EFFA4A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（八）与本招标项目的代建人或招标代理机构存在控股或参股关系；</w:t>
      </w:r>
    </w:p>
    <w:p w14:paraId="205C604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12E653D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（十）被责令停产停业、暂扣或者吊销许可证、暂扣或者吊销执照（本项事实应当以根据《中华人民共和国行政处罚法》依法作出并已生效的行政处罚决定为认定依据。）；</w:t>
      </w:r>
    </w:p>
    <w:p w14:paraId="292A5278">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（十一）进入清算程序，或被宣告破产，或其他丧失履约能力的情形；</w:t>
      </w:r>
    </w:p>
    <w:p w14:paraId="57AA7B6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在最近三年内发生重大设计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424C953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（十三）法律法规或投标人须知前附表规定的其他情形。</w:t>
      </w:r>
    </w:p>
    <w:p w14:paraId="0F04B89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w:t>
      </w:r>
    </w:p>
    <w:p w14:paraId="432B5F3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五、本公司承诺，愿以承诺的投标报价方式承包本次招标所包含的工作，并承担勘察设计质量缺陷责任，中标后严格执行相关法律法规、设计规范等。</w:t>
      </w:r>
    </w:p>
    <w:p w14:paraId="71F178D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六、与本公司单位负责人为同一人或者与本公司存在控股、管理关系的其他单位包括：</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kern w:val="0"/>
          <w:sz w:val="24"/>
          <w:szCs w:val="24"/>
          <w:highlight w:val="none"/>
          <w:u w:val="single"/>
        </w:rPr>
        <w:t>；如联合体投标，联合体各成员需单独列明</w:t>
      </w:r>
      <w:r>
        <w:rPr>
          <w:rFonts w:hint="eastAsia" w:ascii="宋体" w:hAnsi="宋体" w:eastAsia="宋体" w:cs="宋体"/>
          <w:color w:val="auto"/>
          <w:kern w:val="0"/>
          <w:sz w:val="24"/>
          <w:szCs w:val="24"/>
          <w:highlight w:val="none"/>
        </w:rPr>
        <w:t>。）</w:t>
      </w:r>
    </w:p>
    <w:p w14:paraId="57B55CC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七、本公司承诺所提供的银行保函、保证保险、专业工程担保公司担保（如有）真实、有效。</w:t>
      </w:r>
    </w:p>
    <w:p w14:paraId="63B4BFD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八、本公司积极响应广州市关于投身“百千万工程”的号召，主动参与政府投资类建设工程施工项目的建筑业结对帮扶等活动（市属国有企业投资项目参照执行）。</w:t>
      </w:r>
    </w:p>
    <w:p w14:paraId="28317A5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九、本公司违反上述承诺，或本声明陈述与事实不符，经查实，本公司愿意接受公开通报，愿意按照有关规定，被记录为“不良交易行为信息”，承担由此带来的法律后果。</w:t>
      </w:r>
    </w:p>
    <w:p w14:paraId="465F5B5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533F7C35">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458CDD29">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p>
    <w:p w14:paraId="480D5AEA">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33CCA49A">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4CD36FCD">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廉洁承诺书</w:t>
      </w:r>
    </w:p>
    <w:p w14:paraId="6674ECBA">
      <w:pPr>
        <w:wordWrap w:val="0"/>
        <w:spacing w:line="360" w:lineRule="auto"/>
        <w:ind w:firstLine="629"/>
        <w:rPr>
          <w:rFonts w:ascii="宋体" w:hAnsi="宋体" w:eastAsia="宋体" w:cs="宋体"/>
          <w:color w:val="auto"/>
          <w:kern w:val="0"/>
          <w:sz w:val="24"/>
          <w:szCs w:val="24"/>
          <w:highlight w:val="none"/>
        </w:rPr>
      </w:pPr>
    </w:p>
    <w:p w14:paraId="7194727B">
      <w:pPr>
        <w:wordWrap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66F8C973">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本公司参加了</w:t>
      </w:r>
      <w:r>
        <w:rPr>
          <w:rFonts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rPr>
        <w:t>投标，为确保招标工作的公平、公正、公开、有序进行，我们保证遵守《中华人民共和国招标投标法》、《中华人民共和国招标投标法实施条例》、《广东省实施</w:t>
      </w:r>
      <w:r>
        <w:rPr>
          <w:rFonts w:ascii="宋体" w:hAnsi="宋体" w:eastAsia="宋体" w:cs="宋体"/>
          <w:color w:val="auto"/>
          <w:kern w:val="0"/>
          <w:sz w:val="24"/>
          <w:szCs w:val="24"/>
          <w:highlight w:val="none"/>
        </w:rPr>
        <w:t>&lt;中华人民共和国招标投标法&gt;办法》等法律法规，</w:t>
      </w:r>
      <w:r>
        <w:rPr>
          <w:rFonts w:hint="eastAsia" w:ascii="宋体" w:hAnsi="宋体" w:eastAsia="宋体" w:cs="宋体"/>
          <w:color w:val="auto"/>
          <w:kern w:val="0"/>
          <w:sz w:val="24"/>
          <w:szCs w:val="24"/>
          <w:highlight w:val="none"/>
        </w:rPr>
        <w:t>特承诺如下事项：</w:t>
      </w:r>
    </w:p>
    <w:p w14:paraId="715528DA">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一、自觉遵守国家有关法律法规及廉洁规定。</w:t>
      </w:r>
    </w:p>
    <w:p w14:paraId="6B0D187F">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二、不与招标单位工作人员串通投标，损害国家利益、企业利益以及他人的合法利益；</w:t>
      </w:r>
    </w:p>
    <w:p w14:paraId="7071B027">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三、不与其他单位围标、串标，不出让投标资格，不向招标人或评标委员会成员行贿。</w:t>
      </w:r>
    </w:p>
    <w:p w14:paraId="547FB749">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四、不以任何名义向参与招标、评标工作的有关人员提供高消费宴请及娱乐活动和赠送回扣、红包、礼金、购物卡、有价证券、贵重物品和好处费、感谢费等；</w:t>
      </w:r>
      <w:r>
        <w:rPr>
          <w:rFonts w:ascii="宋体" w:hAnsi="宋体" w:eastAsia="宋体" w:cs="宋体"/>
          <w:color w:val="auto"/>
          <w:kern w:val="0"/>
          <w:sz w:val="24"/>
          <w:szCs w:val="24"/>
          <w:highlight w:val="none"/>
        </w:rPr>
        <w:t xml:space="preserve"> </w:t>
      </w:r>
    </w:p>
    <w:p w14:paraId="42A753BF">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五、不以任何名义为参与招标、评标工作的有关人员装修住房、婚丧嫁娶、配偶子女的工作安排以及境内外旅游等提供方便；</w:t>
      </w:r>
    </w:p>
    <w:p w14:paraId="28449344">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六、不以谋取非正当利益为目的，擅自与参与招标、评标工作的有关人员就业务问题进行私下商谈或者达成利益默契。</w:t>
      </w:r>
    </w:p>
    <w:p w14:paraId="69D2591D">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本公司违反上述承诺，或本承诺陈述与事实不符，经查实，本公司愿意接受公开通报，被招标监管部门信用评价记录不良行为并扣分，并承担由此带来的法律后果。</w:t>
      </w:r>
    </w:p>
    <w:p w14:paraId="45B19D54">
      <w:pPr>
        <w:wordWrap w:val="0"/>
        <w:spacing w:line="360" w:lineRule="auto"/>
        <w:jc w:val="left"/>
        <w:rPr>
          <w:rFonts w:ascii="宋体" w:hAnsi="宋体" w:eastAsia="宋体" w:cs="宋体"/>
          <w:color w:val="auto"/>
          <w:kern w:val="0"/>
          <w:sz w:val="24"/>
          <w:szCs w:val="24"/>
          <w:highlight w:val="none"/>
        </w:rPr>
      </w:pPr>
    </w:p>
    <w:p w14:paraId="49ED79A7">
      <w:pPr>
        <w:wordWrap w:val="0"/>
        <w:spacing w:line="360" w:lineRule="auto"/>
        <w:jc w:val="left"/>
        <w:rPr>
          <w:rFonts w:ascii="宋体" w:hAnsi="宋体" w:eastAsia="宋体" w:cs="宋体"/>
          <w:color w:val="auto"/>
          <w:kern w:val="0"/>
          <w:sz w:val="24"/>
          <w:szCs w:val="24"/>
          <w:highlight w:val="none"/>
        </w:rPr>
      </w:pPr>
    </w:p>
    <w:p w14:paraId="2BFD22CD">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292CDFA7">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p>
    <w:p w14:paraId="3B0798BA">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4365A7DD">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3D426F05">
      <w:pPr>
        <w:pStyle w:val="5"/>
        <w:wordWrap w:val="0"/>
        <w:rPr>
          <w:rFonts w:cs="宋体"/>
          <w:color w:val="auto"/>
          <w:highlight w:val="none"/>
        </w:rPr>
      </w:pPr>
      <w:r>
        <w:rPr>
          <w:rFonts w:hint="eastAsia"/>
          <w:color w:val="auto"/>
          <w:highlight w:val="none"/>
        </w:rPr>
        <w:t>七、投标人须知前附表规定的其他资料</w:t>
      </w:r>
    </w:p>
    <w:p w14:paraId="65E30450">
      <w:pPr>
        <w:wordWrap w:val="0"/>
        <w:spacing w:line="360" w:lineRule="auto"/>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投标人认为有必要提供的其他资料，格式自定。</w:t>
      </w:r>
    </w:p>
    <w:p w14:paraId="2CB2B4DB">
      <w:pPr>
        <w:pStyle w:val="5"/>
        <w:wordWrap w:val="0"/>
        <w:rPr>
          <w:rFonts w:cs="宋体"/>
          <w:color w:val="auto"/>
          <w:highlight w:val="none"/>
        </w:rPr>
      </w:pPr>
      <w:r>
        <w:rPr>
          <w:color w:val="auto"/>
          <w:highlight w:val="none"/>
        </w:rPr>
        <w:br w:type="page"/>
      </w:r>
    </w:p>
    <w:p w14:paraId="0505FED1">
      <w:pPr>
        <w:pStyle w:val="4"/>
        <w:wordWrap w:val="0"/>
        <w:rPr>
          <w:color w:val="auto"/>
          <w:highlight w:val="none"/>
        </w:rPr>
      </w:pPr>
      <w:bookmarkStart w:id="302" w:name="_Toc21634"/>
      <w:r>
        <w:rPr>
          <w:color w:val="auto"/>
          <w:highlight w:val="none"/>
        </w:rPr>
        <w:t>2.勘察设计方案</w:t>
      </w:r>
      <w:r>
        <w:rPr>
          <w:rFonts w:hint="eastAsia"/>
          <w:color w:val="auto"/>
          <w:highlight w:val="none"/>
        </w:rPr>
        <w:t>编制</w:t>
      </w:r>
      <w:bookmarkEnd w:id="302"/>
    </w:p>
    <w:p w14:paraId="794E6107">
      <w:pPr>
        <w:wordWrap w:val="0"/>
        <w:spacing w:line="360" w:lineRule="auto"/>
        <w:ind w:firstLine="482" w:firstLineChars="200"/>
        <w:rPr>
          <w:rFonts w:ascii="宋体" w:hAnsi="宋体" w:eastAsia="宋体" w:cs="宋体"/>
          <w:b/>
          <w:color w:val="auto"/>
          <w:sz w:val="24"/>
          <w:szCs w:val="24"/>
          <w:highlight w:val="none"/>
        </w:rPr>
      </w:pPr>
      <w:r>
        <w:rPr>
          <w:rFonts w:ascii="宋体" w:hAnsi="宋体" w:eastAsia="宋体" w:cs="宋体"/>
          <w:b/>
          <w:color w:val="auto"/>
          <w:sz w:val="24"/>
          <w:szCs w:val="24"/>
          <w:highlight w:val="none"/>
        </w:rPr>
        <w:t>2.1勘察设计方案</w:t>
      </w:r>
      <w:r>
        <w:rPr>
          <w:rFonts w:hint="eastAsia" w:ascii="宋体" w:hAnsi="宋体" w:eastAsia="宋体" w:cs="宋体"/>
          <w:b/>
          <w:color w:val="auto"/>
          <w:sz w:val="24"/>
          <w:szCs w:val="24"/>
          <w:highlight w:val="none"/>
        </w:rPr>
        <w:t>暗标，由下列资料组成：（电子文档上传不超1G</w:t>
      </w:r>
      <w:r>
        <w:rPr>
          <w:rFonts w:ascii="宋体" w:hAnsi="宋体" w:eastAsia="宋体" w:cs="宋体"/>
          <w:b/>
          <w:color w:val="auto"/>
          <w:sz w:val="24"/>
          <w:szCs w:val="24"/>
          <w:highlight w:val="none"/>
        </w:rPr>
        <w:t>，总页码不超过</w:t>
      </w:r>
      <w:r>
        <w:rPr>
          <w:rFonts w:hint="eastAsia" w:ascii="宋体" w:hAnsi="宋体" w:eastAsia="宋体" w:cs="宋体"/>
          <w:b/>
          <w:color w:val="auto"/>
          <w:sz w:val="24"/>
          <w:szCs w:val="24"/>
          <w:highlight w:val="none"/>
        </w:rPr>
        <w:t>5</w:t>
      </w:r>
      <w:r>
        <w:rPr>
          <w:rFonts w:ascii="宋体" w:hAnsi="宋体" w:eastAsia="宋体" w:cs="宋体"/>
          <w:b/>
          <w:color w:val="auto"/>
          <w:sz w:val="24"/>
          <w:szCs w:val="24"/>
          <w:highlight w:val="none"/>
        </w:rPr>
        <w:t>00页）</w:t>
      </w:r>
    </w:p>
    <w:p w14:paraId="4B253E23">
      <w:pPr>
        <w:wordWrap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一、对项目的总体认识</w:t>
      </w:r>
    </w:p>
    <w:p w14:paraId="6ECD9D6D">
      <w:pPr>
        <w:wordWrap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二、勘察设计工作大纲</w:t>
      </w:r>
    </w:p>
    <w:p w14:paraId="611D6132">
      <w:pPr>
        <w:wordWrap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三、总体设计方案</w:t>
      </w:r>
    </w:p>
    <w:p w14:paraId="3F26AC15">
      <w:pPr>
        <w:wordWrap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四、组织协调</w:t>
      </w:r>
    </w:p>
    <w:p w14:paraId="49A47134">
      <w:pPr>
        <w:wordWrap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五、质量保证和进度保证措施</w:t>
      </w:r>
    </w:p>
    <w:p w14:paraId="4497ADFC">
      <w:pPr>
        <w:wordWrap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六、重点和难点的分析及其应对措施</w:t>
      </w:r>
    </w:p>
    <w:p w14:paraId="20CCEF78">
      <w:pPr>
        <w:wordWrap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七、投资控制</w:t>
      </w:r>
    </w:p>
    <w:p w14:paraId="16018C5B">
      <w:pPr>
        <w:wordWrap w:val="0"/>
        <w:spacing w:line="360" w:lineRule="auto"/>
        <w:ind w:firstLine="482" w:firstLineChars="200"/>
        <w:rPr>
          <w:rFonts w:ascii="宋体" w:hAnsi="宋体" w:eastAsia="宋体" w:cs="宋体"/>
          <w:b/>
          <w:color w:val="auto"/>
          <w:sz w:val="24"/>
          <w:szCs w:val="24"/>
          <w:highlight w:val="none"/>
        </w:rPr>
      </w:pPr>
      <w:r>
        <w:rPr>
          <w:rFonts w:ascii="宋体" w:hAnsi="宋体" w:eastAsia="宋体" w:cs="宋体"/>
          <w:b/>
          <w:color w:val="auto"/>
          <w:sz w:val="24"/>
          <w:szCs w:val="24"/>
          <w:highlight w:val="none"/>
        </w:rPr>
        <w:t xml:space="preserve">2.2 </w:t>
      </w:r>
      <w:r>
        <w:rPr>
          <w:rFonts w:hint="eastAsia" w:ascii="宋体" w:hAnsi="宋体" w:eastAsia="宋体" w:cs="宋体"/>
          <w:b/>
          <w:color w:val="auto"/>
          <w:sz w:val="24"/>
          <w:szCs w:val="24"/>
          <w:highlight w:val="none"/>
        </w:rPr>
        <w:t>保密要求</w:t>
      </w:r>
    </w:p>
    <w:p w14:paraId="2BEB82CF">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w:t>
      </w:r>
      <w:r>
        <w:rPr>
          <w:rFonts w:hint="eastAsia" w:ascii="宋体" w:hAnsi="宋体" w:eastAsia="宋体" w:cs="宋体"/>
          <w:b/>
          <w:color w:val="auto"/>
          <w:sz w:val="24"/>
          <w:szCs w:val="24"/>
          <w:highlight w:val="none"/>
        </w:rPr>
        <w:t>不得显示投标报价信息</w:t>
      </w:r>
      <w:r>
        <w:rPr>
          <w:rFonts w:hint="eastAsia" w:ascii="宋体" w:hAnsi="宋体" w:eastAsia="宋体" w:cs="宋体"/>
          <w:color w:val="auto"/>
          <w:sz w:val="24"/>
          <w:szCs w:val="24"/>
          <w:highlight w:val="none"/>
        </w:rPr>
        <w:t>。</w:t>
      </w:r>
    </w:p>
    <w:p w14:paraId="7F5E882B">
      <w:pPr>
        <w:widowControl/>
        <w:jc w:val="left"/>
        <w:rPr>
          <w:rFonts w:ascii="宋体" w:hAnsi="宋体" w:eastAsia="宋体"/>
          <w:color w:val="auto"/>
          <w:highlight w:val="none"/>
        </w:rPr>
      </w:pPr>
      <w:r>
        <w:rPr>
          <w:rFonts w:ascii="宋体" w:hAnsi="宋体" w:eastAsia="宋体"/>
          <w:color w:val="auto"/>
          <w:highlight w:val="none"/>
        </w:rPr>
        <w:br w:type="page"/>
      </w:r>
    </w:p>
    <w:p w14:paraId="164F633D">
      <w:pPr>
        <w:pStyle w:val="2"/>
        <w:rPr>
          <w:rFonts w:ascii="宋体" w:hAnsi="宋体"/>
          <w:color w:val="auto"/>
          <w:highlight w:val="none"/>
        </w:rPr>
      </w:pPr>
      <w:bookmarkStart w:id="303" w:name="_Toc21233"/>
      <w:r>
        <w:rPr>
          <w:rFonts w:hint="eastAsia" w:ascii="宋体" w:hAnsi="宋体"/>
          <w:color w:val="auto"/>
          <w:highlight w:val="none"/>
        </w:rPr>
        <w:t>第七章</w:t>
      </w:r>
      <w:r>
        <w:rPr>
          <w:rFonts w:ascii="宋体" w:hAnsi="宋体"/>
          <w:color w:val="auto"/>
          <w:highlight w:val="none"/>
        </w:rPr>
        <w:t xml:space="preserve">  </w:t>
      </w:r>
      <w:r>
        <w:rPr>
          <w:rFonts w:hint="eastAsia" w:ascii="宋体" w:hAnsi="宋体"/>
          <w:color w:val="auto"/>
          <w:highlight w:val="none"/>
        </w:rPr>
        <w:t>否决性条款汇总</w:t>
      </w:r>
      <w:bookmarkEnd w:id="303"/>
    </w:p>
    <w:p w14:paraId="1E4B06C0">
      <w:pPr>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3F4EA9EC">
      <w:pPr>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47D9A916">
      <w:pPr>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4388F7B">
      <w:pPr>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08E51709">
      <w:pPr>
        <w:spacing w:line="360" w:lineRule="auto"/>
        <w:ind w:firstLine="569" w:firstLineChars="236"/>
        <w:rPr>
          <w:rFonts w:ascii="宋体" w:hAnsi="宋体" w:eastAsia="宋体" w:cs="宋体"/>
          <w:b/>
          <w:bCs/>
          <w:color w:val="auto"/>
          <w:sz w:val="24"/>
          <w:szCs w:val="24"/>
          <w:highlight w:val="none"/>
        </w:rPr>
      </w:pPr>
      <w:r>
        <w:rPr>
          <w:rFonts w:ascii="宋体" w:hAnsi="宋体" w:eastAsia="宋体" w:cs="宋体"/>
          <w:b/>
          <w:bCs/>
          <w:color w:val="auto"/>
          <w:kern w:val="0"/>
          <w:sz w:val="24"/>
          <w:szCs w:val="24"/>
          <w:highlight w:val="none"/>
        </w:rPr>
        <w:t>1.未成功递交投标文件的；</w:t>
      </w:r>
    </w:p>
    <w:p w14:paraId="57B17455">
      <w:pPr>
        <w:spacing w:line="360" w:lineRule="auto"/>
        <w:ind w:firstLine="569" w:firstLineChars="236"/>
        <w:rPr>
          <w:rFonts w:ascii="宋体" w:hAnsi="宋体" w:eastAsia="宋体" w:cs="宋体"/>
          <w:b/>
          <w:bCs/>
          <w:color w:val="auto"/>
          <w:sz w:val="24"/>
          <w:szCs w:val="24"/>
          <w:highlight w:val="none"/>
        </w:rPr>
      </w:pPr>
      <w:r>
        <w:rPr>
          <w:rFonts w:ascii="宋体" w:hAnsi="宋体" w:eastAsia="宋体" w:cs="宋体"/>
          <w:b/>
          <w:bCs/>
          <w:color w:val="auto"/>
          <w:kern w:val="0"/>
          <w:sz w:val="24"/>
          <w:szCs w:val="24"/>
          <w:highlight w:val="none"/>
        </w:rPr>
        <w:t>2.因投标人原因造成投标文件未解密的；</w:t>
      </w:r>
    </w:p>
    <w:p w14:paraId="31D530A0">
      <w:pPr>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二、作无效投标的情形</w:t>
      </w:r>
    </w:p>
    <w:p w14:paraId="5AB72D1C">
      <w:pPr>
        <w:spacing w:line="360" w:lineRule="auto"/>
        <w:ind w:firstLine="569" w:firstLineChars="236"/>
        <w:rPr>
          <w:rFonts w:ascii="宋体" w:hAnsi="宋体" w:eastAsia="宋体" w:cs="宋体"/>
          <w:b/>
          <w:bCs/>
          <w:color w:val="auto"/>
          <w:sz w:val="24"/>
          <w:szCs w:val="24"/>
          <w:highlight w:val="none"/>
        </w:rPr>
      </w:pPr>
      <w:r>
        <w:rPr>
          <w:rFonts w:ascii="宋体" w:hAnsi="宋体" w:eastAsia="宋体" w:cs="宋体"/>
          <w:b/>
          <w:bCs/>
          <w:color w:val="auto"/>
          <w:kern w:val="0"/>
          <w:sz w:val="24"/>
          <w:szCs w:val="24"/>
          <w:highlight w:val="none"/>
        </w:rPr>
        <w:t>1.投标文件不符合招标文件评标办法中形式评审标准、资格评审标准、响应性评审标准、技术评审标准（若有）的要求。</w:t>
      </w:r>
    </w:p>
    <w:p w14:paraId="1BB4B46A">
      <w:pPr>
        <w:rPr>
          <w:rFonts w:ascii="宋体" w:hAnsi="宋体" w:eastAsia="宋体"/>
          <w:color w:val="auto"/>
          <w:highlight w:val="none"/>
          <w:lang w:val="zh-CN"/>
        </w:rPr>
      </w:pPr>
    </w:p>
    <w:sectPr>
      <w:footerReference r:id="rId4" w:type="default"/>
      <w:footerReference r:id="rId5" w:type="even"/>
      <w:pgSz w:w="11905" w:h="16838"/>
      <w:pgMar w:top="1474" w:right="1701" w:bottom="147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1457">
    <w:pPr>
      <w:pStyle w:val="30"/>
      <w:jc w:val="center"/>
    </w:pPr>
    <w:r>
      <w:fldChar w:fldCharType="begin"/>
    </w:r>
    <w:r>
      <w:instrText xml:space="preserve"> PAGE   \* MERGEFORMAT </w:instrText>
    </w:r>
    <w:r>
      <w:fldChar w:fldCharType="separate"/>
    </w:r>
    <w:r>
      <w:rPr>
        <w:lang w:val="zh-CN"/>
      </w:rPr>
      <w:t>42</w:t>
    </w:r>
    <w:r>
      <w:fldChar w:fldCharType="end"/>
    </w:r>
  </w:p>
  <w:p w14:paraId="67913F6B">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745838"/>
      <w:docPartObj>
        <w:docPartGallery w:val="autotext"/>
      </w:docPartObj>
    </w:sdtPr>
    <w:sdtContent>
      <w:p w14:paraId="1904D39C">
        <w:pPr>
          <w:pStyle w:val="30"/>
          <w:jc w:val="center"/>
        </w:pPr>
        <w:r>
          <w:fldChar w:fldCharType="begin"/>
        </w:r>
        <w:r>
          <w:instrText xml:space="preserve">PAGE   \* MERGEFORMAT</w:instrText>
        </w:r>
        <w:r>
          <w:fldChar w:fldCharType="separate"/>
        </w:r>
        <w:r>
          <w:rPr>
            <w:lang w:val="zh-CN"/>
          </w:rPr>
          <w:t>50</w:t>
        </w:r>
        <w:r>
          <w:fldChar w:fldCharType="end"/>
        </w:r>
      </w:p>
    </w:sdtContent>
  </w:sdt>
  <w:p w14:paraId="6936B3C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E0C65">
    <w:pPr>
      <w:pStyle w:val="30"/>
      <w:framePr w:wrap="around" w:vAnchor="text" w:hAnchor="margin" w:xAlign="center" w:y="1"/>
      <w:rPr>
        <w:rStyle w:val="49"/>
      </w:rPr>
    </w:pPr>
    <w:r>
      <w:fldChar w:fldCharType="begin"/>
    </w:r>
    <w:r>
      <w:rPr>
        <w:rStyle w:val="49"/>
      </w:rPr>
      <w:instrText xml:space="preserve">PAGE  </w:instrText>
    </w:r>
    <w:r>
      <w:fldChar w:fldCharType="end"/>
    </w:r>
  </w:p>
  <w:p w14:paraId="3D2E51B6">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82B12"/>
    <w:multiLevelType w:val="singleLevel"/>
    <w:tmpl w:val="77F82B12"/>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17"/>
    <w:rsid w:val="00002CE7"/>
    <w:rsid w:val="00016111"/>
    <w:rsid w:val="000179C6"/>
    <w:rsid w:val="00033F07"/>
    <w:rsid w:val="0003603D"/>
    <w:rsid w:val="0003797C"/>
    <w:rsid w:val="000379C2"/>
    <w:rsid w:val="00065001"/>
    <w:rsid w:val="00065327"/>
    <w:rsid w:val="00065928"/>
    <w:rsid w:val="00066AA4"/>
    <w:rsid w:val="000723FD"/>
    <w:rsid w:val="00074DE7"/>
    <w:rsid w:val="0008140B"/>
    <w:rsid w:val="0009472D"/>
    <w:rsid w:val="000A0797"/>
    <w:rsid w:val="000B3F7A"/>
    <w:rsid w:val="000B4926"/>
    <w:rsid w:val="000C0D78"/>
    <w:rsid w:val="000C42BB"/>
    <w:rsid w:val="000D3491"/>
    <w:rsid w:val="000E34B2"/>
    <w:rsid w:val="000E3E93"/>
    <w:rsid w:val="000E3F61"/>
    <w:rsid w:val="000E4830"/>
    <w:rsid w:val="000F777B"/>
    <w:rsid w:val="00103729"/>
    <w:rsid w:val="00110E1A"/>
    <w:rsid w:val="00111695"/>
    <w:rsid w:val="001133F7"/>
    <w:rsid w:val="00117D81"/>
    <w:rsid w:val="001210D7"/>
    <w:rsid w:val="00125CC6"/>
    <w:rsid w:val="00125E64"/>
    <w:rsid w:val="00136B91"/>
    <w:rsid w:val="00136C66"/>
    <w:rsid w:val="00140F21"/>
    <w:rsid w:val="00144AF1"/>
    <w:rsid w:val="00150776"/>
    <w:rsid w:val="0015125E"/>
    <w:rsid w:val="00151A27"/>
    <w:rsid w:val="00165682"/>
    <w:rsid w:val="0016742C"/>
    <w:rsid w:val="001701DE"/>
    <w:rsid w:val="00173865"/>
    <w:rsid w:val="00173CF7"/>
    <w:rsid w:val="00174D2E"/>
    <w:rsid w:val="00180D4E"/>
    <w:rsid w:val="00181DEC"/>
    <w:rsid w:val="001835EF"/>
    <w:rsid w:val="0018487A"/>
    <w:rsid w:val="00192AF9"/>
    <w:rsid w:val="00194AD4"/>
    <w:rsid w:val="001950BF"/>
    <w:rsid w:val="0019544D"/>
    <w:rsid w:val="001A0D43"/>
    <w:rsid w:val="001A553B"/>
    <w:rsid w:val="001A5D80"/>
    <w:rsid w:val="001B068D"/>
    <w:rsid w:val="001B6471"/>
    <w:rsid w:val="001C1B0D"/>
    <w:rsid w:val="001C245A"/>
    <w:rsid w:val="001C2CA6"/>
    <w:rsid w:val="001E5C63"/>
    <w:rsid w:val="001E5FCA"/>
    <w:rsid w:val="001F6132"/>
    <w:rsid w:val="00202FBA"/>
    <w:rsid w:val="00204DAD"/>
    <w:rsid w:val="00207EF4"/>
    <w:rsid w:val="00214149"/>
    <w:rsid w:val="002155F9"/>
    <w:rsid w:val="00220D36"/>
    <w:rsid w:val="00220ED3"/>
    <w:rsid w:val="00222217"/>
    <w:rsid w:val="00224046"/>
    <w:rsid w:val="00232C1B"/>
    <w:rsid w:val="00235A36"/>
    <w:rsid w:val="00237017"/>
    <w:rsid w:val="00240083"/>
    <w:rsid w:val="00244564"/>
    <w:rsid w:val="002507A7"/>
    <w:rsid w:val="00255887"/>
    <w:rsid w:val="002605C9"/>
    <w:rsid w:val="002610AA"/>
    <w:rsid w:val="00262420"/>
    <w:rsid w:val="00263AEA"/>
    <w:rsid w:val="002641D5"/>
    <w:rsid w:val="00267406"/>
    <w:rsid w:val="00271BCB"/>
    <w:rsid w:val="002726C1"/>
    <w:rsid w:val="002815BA"/>
    <w:rsid w:val="00282086"/>
    <w:rsid w:val="0028421B"/>
    <w:rsid w:val="002B2FBE"/>
    <w:rsid w:val="002B646C"/>
    <w:rsid w:val="002C555B"/>
    <w:rsid w:val="002C5FE0"/>
    <w:rsid w:val="002D0D0E"/>
    <w:rsid w:val="002D3E39"/>
    <w:rsid w:val="002E0D21"/>
    <w:rsid w:val="002E159C"/>
    <w:rsid w:val="002F1C20"/>
    <w:rsid w:val="002F270A"/>
    <w:rsid w:val="002F34C1"/>
    <w:rsid w:val="00306782"/>
    <w:rsid w:val="0031039E"/>
    <w:rsid w:val="003141EC"/>
    <w:rsid w:val="00317808"/>
    <w:rsid w:val="003217D3"/>
    <w:rsid w:val="00322D37"/>
    <w:rsid w:val="0032476A"/>
    <w:rsid w:val="0032790E"/>
    <w:rsid w:val="00327F63"/>
    <w:rsid w:val="00331AE1"/>
    <w:rsid w:val="00341FCF"/>
    <w:rsid w:val="003476D9"/>
    <w:rsid w:val="003578AF"/>
    <w:rsid w:val="00357EEF"/>
    <w:rsid w:val="00362F4F"/>
    <w:rsid w:val="00363A04"/>
    <w:rsid w:val="00372A70"/>
    <w:rsid w:val="0037316F"/>
    <w:rsid w:val="003739FC"/>
    <w:rsid w:val="0037482B"/>
    <w:rsid w:val="00375995"/>
    <w:rsid w:val="00375D70"/>
    <w:rsid w:val="00377872"/>
    <w:rsid w:val="00380B83"/>
    <w:rsid w:val="00386085"/>
    <w:rsid w:val="003906DC"/>
    <w:rsid w:val="00393CDC"/>
    <w:rsid w:val="003A03A3"/>
    <w:rsid w:val="003A26A1"/>
    <w:rsid w:val="003B0260"/>
    <w:rsid w:val="003B6D0C"/>
    <w:rsid w:val="003C4399"/>
    <w:rsid w:val="003C543B"/>
    <w:rsid w:val="003D1752"/>
    <w:rsid w:val="003D33BC"/>
    <w:rsid w:val="003D3D50"/>
    <w:rsid w:val="003D569C"/>
    <w:rsid w:val="003F3DDC"/>
    <w:rsid w:val="003F702A"/>
    <w:rsid w:val="004026ED"/>
    <w:rsid w:val="00406F88"/>
    <w:rsid w:val="00416A5A"/>
    <w:rsid w:val="004205D3"/>
    <w:rsid w:val="00420F62"/>
    <w:rsid w:val="00421F68"/>
    <w:rsid w:val="0042261D"/>
    <w:rsid w:val="00424BB1"/>
    <w:rsid w:val="00425E94"/>
    <w:rsid w:val="00430F9E"/>
    <w:rsid w:val="004339A3"/>
    <w:rsid w:val="004549E3"/>
    <w:rsid w:val="00454B53"/>
    <w:rsid w:val="00455227"/>
    <w:rsid w:val="00455814"/>
    <w:rsid w:val="004676A6"/>
    <w:rsid w:val="004741C6"/>
    <w:rsid w:val="004765E6"/>
    <w:rsid w:val="0048190E"/>
    <w:rsid w:val="004A2D6A"/>
    <w:rsid w:val="004A40C2"/>
    <w:rsid w:val="004A428F"/>
    <w:rsid w:val="004A45B4"/>
    <w:rsid w:val="004A46CB"/>
    <w:rsid w:val="004B0A4B"/>
    <w:rsid w:val="004B26E2"/>
    <w:rsid w:val="004B3655"/>
    <w:rsid w:val="004B42CE"/>
    <w:rsid w:val="004B4FAE"/>
    <w:rsid w:val="004C3DF6"/>
    <w:rsid w:val="004D3BC4"/>
    <w:rsid w:val="004E167F"/>
    <w:rsid w:val="004E3382"/>
    <w:rsid w:val="004E4967"/>
    <w:rsid w:val="004F4A0C"/>
    <w:rsid w:val="004F5E90"/>
    <w:rsid w:val="004F6AB2"/>
    <w:rsid w:val="00507249"/>
    <w:rsid w:val="00510996"/>
    <w:rsid w:val="005137AC"/>
    <w:rsid w:val="00516CBC"/>
    <w:rsid w:val="00520F67"/>
    <w:rsid w:val="00530AC2"/>
    <w:rsid w:val="005310CF"/>
    <w:rsid w:val="00532A0A"/>
    <w:rsid w:val="00544656"/>
    <w:rsid w:val="005469B7"/>
    <w:rsid w:val="00547C26"/>
    <w:rsid w:val="00547D15"/>
    <w:rsid w:val="00557AD7"/>
    <w:rsid w:val="005600C0"/>
    <w:rsid w:val="0056011C"/>
    <w:rsid w:val="00572977"/>
    <w:rsid w:val="005808D3"/>
    <w:rsid w:val="005817EE"/>
    <w:rsid w:val="005846B0"/>
    <w:rsid w:val="00587C9A"/>
    <w:rsid w:val="00590D2E"/>
    <w:rsid w:val="00596185"/>
    <w:rsid w:val="005969A5"/>
    <w:rsid w:val="00597D19"/>
    <w:rsid w:val="005A1186"/>
    <w:rsid w:val="005A3666"/>
    <w:rsid w:val="005B0A4E"/>
    <w:rsid w:val="005B3F2B"/>
    <w:rsid w:val="005B48EF"/>
    <w:rsid w:val="005C1B57"/>
    <w:rsid w:val="005D3FA6"/>
    <w:rsid w:val="005D439E"/>
    <w:rsid w:val="005D5FB7"/>
    <w:rsid w:val="005E0B4F"/>
    <w:rsid w:val="005E50CE"/>
    <w:rsid w:val="005E58CF"/>
    <w:rsid w:val="005F247C"/>
    <w:rsid w:val="005F4280"/>
    <w:rsid w:val="00601528"/>
    <w:rsid w:val="00604BBF"/>
    <w:rsid w:val="006071A5"/>
    <w:rsid w:val="0061085A"/>
    <w:rsid w:val="00614A0E"/>
    <w:rsid w:val="00615760"/>
    <w:rsid w:val="00617F31"/>
    <w:rsid w:val="0062205C"/>
    <w:rsid w:val="006255D7"/>
    <w:rsid w:val="00634E70"/>
    <w:rsid w:val="00644B8B"/>
    <w:rsid w:val="00644CDC"/>
    <w:rsid w:val="006626A3"/>
    <w:rsid w:val="00663D15"/>
    <w:rsid w:val="00673877"/>
    <w:rsid w:val="00682A9F"/>
    <w:rsid w:val="00684BA3"/>
    <w:rsid w:val="006864E5"/>
    <w:rsid w:val="006870A2"/>
    <w:rsid w:val="0068713D"/>
    <w:rsid w:val="0069150E"/>
    <w:rsid w:val="00694C28"/>
    <w:rsid w:val="006A0291"/>
    <w:rsid w:val="006A0935"/>
    <w:rsid w:val="006A1228"/>
    <w:rsid w:val="006C00FC"/>
    <w:rsid w:val="006C39F6"/>
    <w:rsid w:val="006C4287"/>
    <w:rsid w:val="006C5CF8"/>
    <w:rsid w:val="006C5D28"/>
    <w:rsid w:val="006C6660"/>
    <w:rsid w:val="006C6AF0"/>
    <w:rsid w:val="006D0A15"/>
    <w:rsid w:val="006D25EC"/>
    <w:rsid w:val="006D27BE"/>
    <w:rsid w:val="006D6891"/>
    <w:rsid w:val="006E4AC7"/>
    <w:rsid w:val="006E5E8C"/>
    <w:rsid w:val="006E749F"/>
    <w:rsid w:val="007065FB"/>
    <w:rsid w:val="00716D38"/>
    <w:rsid w:val="0072138A"/>
    <w:rsid w:val="00741DB3"/>
    <w:rsid w:val="00742BE4"/>
    <w:rsid w:val="00746064"/>
    <w:rsid w:val="00760627"/>
    <w:rsid w:val="0076314A"/>
    <w:rsid w:val="00770D94"/>
    <w:rsid w:val="0078062C"/>
    <w:rsid w:val="00787542"/>
    <w:rsid w:val="00790762"/>
    <w:rsid w:val="007911A5"/>
    <w:rsid w:val="00793430"/>
    <w:rsid w:val="0079675A"/>
    <w:rsid w:val="007A562A"/>
    <w:rsid w:val="007A606A"/>
    <w:rsid w:val="007A6CB9"/>
    <w:rsid w:val="007A72B1"/>
    <w:rsid w:val="007B22AF"/>
    <w:rsid w:val="007B32F7"/>
    <w:rsid w:val="007B65D8"/>
    <w:rsid w:val="007B77EB"/>
    <w:rsid w:val="007C0EE9"/>
    <w:rsid w:val="007C2EFE"/>
    <w:rsid w:val="007C3A39"/>
    <w:rsid w:val="007C7DF1"/>
    <w:rsid w:val="007D399A"/>
    <w:rsid w:val="007E308A"/>
    <w:rsid w:val="007E59E7"/>
    <w:rsid w:val="007E7B1B"/>
    <w:rsid w:val="007F2D90"/>
    <w:rsid w:val="0080016D"/>
    <w:rsid w:val="00801D59"/>
    <w:rsid w:val="00805623"/>
    <w:rsid w:val="00805D7F"/>
    <w:rsid w:val="00807A91"/>
    <w:rsid w:val="008102E0"/>
    <w:rsid w:val="00810609"/>
    <w:rsid w:val="00811613"/>
    <w:rsid w:val="008219DE"/>
    <w:rsid w:val="008248F5"/>
    <w:rsid w:val="0082762F"/>
    <w:rsid w:val="00831A33"/>
    <w:rsid w:val="00831B1A"/>
    <w:rsid w:val="0083550A"/>
    <w:rsid w:val="00837D56"/>
    <w:rsid w:val="00852281"/>
    <w:rsid w:val="00867850"/>
    <w:rsid w:val="0088305A"/>
    <w:rsid w:val="0088643C"/>
    <w:rsid w:val="00891FE4"/>
    <w:rsid w:val="0089396F"/>
    <w:rsid w:val="008B340E"/>
    <w:rsid w:val="008B4A25"/>
    <w:rsid w:val="008B4C9B"/>
    <w:rsid w:val="008C505F"/>
    <w:rsid w:val="008C7BCD"/>
    <w:rsid w:val="008D3190"/>
    <w:rsid w:val="008E34B6"/>
    <w:rsid w:val="008E37CF"/>
    <w:rsid w:val="008E3EF8"/>
    <w:rsid w:val="008F0132"/>
    <w:rsid w:val="008F40AC"/>
    <w:rsid w:val="008F5BC7"/>
    <w:rsid w:val="008F62CE"/>
    <w:rsid w:val="009018AB"/>
    <w:rsid w:val="00902A11"/>
    <w:rsid w:val="0090411F"/>
    <w:rsid w:val="00905DBE"/>
    <w:rsid w:val="00911A5A"/>
    <w:rsid w:val="009139E3"/>
    <w:rsid w:val="00922DD8"/>
    <w:rsid w:val="0093248A"/>
    <w:rsid w:val="00935B9E"/>
    <w:rsid w:val="00941241"/>
    <w:rsid w:val="0094680B"/>
    <w:rsid w:val="00947739"/>
    <w:rsid w:val="00951015"/>
    <w:rsid w:val="00957F45"/>
    <w:rsid w:val="00961919"/>
    <w:rsid w:val="00961C69"/>
    <w:rsid w:val="00962C1F"/>
    <w:rsid w:val="00970904"/>
    <w:rsid w:val="00973485"/>
    <w:rsid w:val="00973C00"/>
    <w:rsid w:val="00977B04"/>
    <w:rsid w:val="00977F43"/>
    <w:rsid w:val="00983169"/>
    <w:rsid w:val="00983AB4"/>
    <w:rsid w:val="009856BB"/>
    <w:rsid w:val="00985B09"/>
    <w:rsid w:val="009979FD"/>
    <w:rsid w:val="009A1E17"/>
    <w:rsid w:val="009B4285"/>
    <w:rsid w:val="009B5946"/>
    <w:rsid w:val="009B64F5"/>
    <w:rsid w:val="009C0B80"/>
    <w:rsid w:val="009C2945"/>
    <w:rsid w:val="009C30E8"/>
    <w:rsid w:val="009C40B7"/>
    <w:rsid w:val="009C4DA2"/>
    <w:rsid w:val="009C5AC5"/>
    <w:rsid w:val="009D2D2F"/>
    <w:rsid w:val="009D3741"/>
    <w:rsid w:val="009E3490"/>
    <w:rsid w:val="009E3494"/>
    <w:rsid w:val="00A0146D"/>
    <w:rsid w:val="00A03FDB"/>
    <w:rsid w:val="00A0753F"/>
    <w:rsid w:val="00A105A5"/>
    <w:rsid w:val="00A13532"/>
    <w:rsid w:val="00A17C0C"/>
    <w:rsid w:val="00A2313A"/>
    <w:rsid w:val="00A26EBD"/>
    <w:rsid w:val="00A3621E"/>
    <w:rsid w:val="00A45D31"/>
    <w:rsid w:val="00A461F0"/>
    <w:rsid w:val="00A553D0"/>
    <w:rsid w:val="00A63E1B"/>
    <w:rsid w:val="00A66615"/>
    <w:rsid w:val="00A66FDB"/>
    <w:rsid w:val="00A73C47"/>
    <w:rsid w:val="00A752F6"/>
    <w:rsid w:val="00A76A0A"/>
    <w:rsid w:val="00A81AC4"/>
    <w:rsid w:val="00A947D3"/>
    <w:rsid w:val="00A95133"/>
    <w:rsid w:val="00A956B2"/>
    <w:rsid w:val="00A964FE"/>
    <w:rsid w:val="00A9669C"/>
    <w:rsid w:val="00A97CF9"/>
    <w:rsid w:val="00AA1E93"/>
    <w:rsid w:val="00AA254C"/>
    <w:rsid w:val="00AA72C4"/>
    <w:rsid w:val="00AB0824"/>
    <w:rsid w:val="00AB4D88"/>
    <w:rsid w:val="00AB4E0C"/>
    <w:rsid w:val="00AD67A9"/>
    <w:rsid w:val="00AE238F"/>
    <w:rsid w:val="00AE57CA"/>
    <w:rsid w:val="00AF1BFF"/>
    <w:rsid w:val="00AF289A"/>
    <w:rsid w:val="00B141EE"/>
    <w:rsid w:val="00B2042F"/>
    <w:rsid w:val="00B226B8"/>
    <w:rsid w:val="00B23E10"/>
    <w:rsid w:val="00B326F9"/>
    <w:rsid w:val="00B41C87"/>
    <w:rsid w:val="00B46DA9"/>
    <w:rsid w:val="00B5704F"/>
    <w:rsid w:val="00B63632"/>
    <w:rsid w:val="00B72A5C"/>
    <w:rsid w:val="00B82D9C"/>
    <w:rsid w:val="00B8387F"/>
    <w:rsid w:val="00B86BEF"/>
    <w:rsid w:val="00B86D6A"/>
    <w:rsid w:val="00B95C84"/>
    <w:rsid w:val="00B96310"/>
    <w:rsid w:val="00BA21DC"/>
    <w:rsid w:val="00BA2A31"/>
    <w:rsid w:val="00BA2BBE"/>
    <w:rsid w:val="00BA35C2"/>
    <w:rsid w:val="00BB6174"/>
    <w:rsid w:val="00BE1068"/>
    <w:rsid w:val="00BE5121"/>
    <w:rsid w:val="00BF2DCD"/>
    <w:rsid w:val="00BF477D"/>
    <w:rsid w:val="00BF5F72"/>
    <w:rsid w:val="00BF62B1"/>
    <w:rsid w:val="00C078A6"/>
    <w:rsid w:val="00C15C17"/>
    <w:rsid w:val="00C1700E"/>
    <w:rsid w:val="00C27142"/>
    <w:rsid w:val="00C308B1"/>
    <w:rsid w:val="00C310FD"/>
    <w:rsid w:val="00C43637"/>
    <w:rsid w:val="00C53534"/>
    <w:rsid w:val="00C623A3"/>
    <w:rsid w:val="00C7352B"/>
    <w:rsid w:val="00C73B12"/>
    <w:rsid w:val="00C74887"/>
    <w:rsid w:val="00C77D8A"/>
    <w:rsid w:val="00C82445"/>
    <w:rsid w:val="00C84F8B"/>
    <w:rsid w:val="00C9104A"/>
    <w:rsid w:val="00C9118C"/>
    <w:rsid w:val="00CA5AC4"/>
    <w:rsid w:val="00CA6D9A"/>
    <w:rsid w:val="00CB1724"/>
    <w:rsid w:val="00CB1B6A"/>
    <w:rsid w:val="00CB3E72"/>
    <w:rsid w:val="00CB7485"/>
    <w:rsid w:val="00CC1634"/>
    <w:rsid w:val="00CD4A7E"/>
    <w:rsid w:val="00CE303F"/>
    <w:rsid w:val="00CF76B9"/>
    <w:rsid w:val="00D00FFE"/>
    <w:rsid w:val="00D07AF2"/>
    <w:rsid w:val="00D111FE"/>
    <w:rsid w:val="00D13D82"/>
    <w:rsid w:val="00D1752F"/>
    <w:rsid w:val="00D27AED"/>
    <w:rsid w:val="00D32818"/>
    <w:rsid w:val="00D4229E"/>
    <w:rsid w:val="00D4296C"/>
    <w:rsid w:val="00D5047D"/>
    <w:rsid w:val="00D56142"/>
    <w:rsid w:val="00D731B9"/>
    <w:rsid w:val="00D77217"/>
    <w:rsid w:val="00D77D70"/>
    <w:rsid w:val="00D802D2"/>
    <w:rsid w:val="00D82277"/>
    <w:rsid w:val="00D823DB"/>
    <w:rsid w:val="00D8355E"/>
    <w:rsid w:val="00D87D6C"/>
    <w:rsid w:val="00DA0AC1"/>
    <w:rsid w:val="00DA58B5"/>
    <w:rsid w:val="00DB118E"/>
    <w:rsid w:val="00DB3E98"/>
    <w:rsid w:val="00DB4051"/>
    <w:rsid w:val="00DB49A9"/>
    <w:rsid w:val="00DC15E9"/>
    <w:rsid w:val="00DC52D0"/>
    <w:rsid w:val="00DC5357"/>
    <w:rsid w:val="00DC6556"/>
    <w:rsid w:val="00DD074D"/>
    <w:rsid w:val="00DD0F1E"/>
    <w:rsid w:val="00DE0151"/>
    <w:rsid w:val="00DE4712"/>
    <w:rsid w:val="00DE6C93"/>
    <w:rsid w:val="00DF0F3A"/>
    <w:rsid w:val="00DF249B"/>
    <w:rsid w:val="00DF58CC"/>
    <w:rsid w:val="00E02C60"/>
    <w:rsid w:val="00E12648"/>
    <w:rsid w:val="00E16421"/>
    <w:rsid w:val="00E2119D"/>
    <w:rsid w:val="00E31A3D"/>
    <w:rsid w:val="00E3754A"/>
    <w:rsid w:val="00E40FBB"/>
    <w:rsid w:val="00E41BA1"/>
    <w:rsid w:val="00E440A1"/>
    <w:rsid w:val="00E56EEB"/>
    <w:rsid w:val="00E64D9C"/>
    <w:rsid w:val="00E75616"/>
    <w:rsid w:val="00E76465"/>
    <w:rsid w:val="00E83EF5"/>
    <w:rsid w:val="00E92B15"/>
    <w:rsid w:val="00E94537"/>
    <w:rsid w:val="00E95C60"/>
    <w:rsid w:val="00EA2124"/>
    <w:rsid w:val="00EA4479"/>
    <w:rsid w:val="00EA5A13"/>
    <w:rsid w:val="00EA6AE2"/>
    <w:rsid w:val="00EB6E0C"/>
    <w:rsid w:val="00EB7358"/>
    <w:rsid w:val="00EC4B35"/>
    <w:rsid w:val="00EC58A7"/>
    <w:rsid w:val="00ED28E5"/>
    <w:rsid w:val="00ED55EC"/>
    <w:rsid w:val="00ED5AB4"/>
    <w:rsid w:val="00ED7EEA"/>
    <w:rsid w:val="00EE19D5"/>
    <w:rsid w:val="00EE22C4"/>
    <w:rsid w:val="00EE4923"/>
    <w:rsid w:val="00EF2A11"/>
    <w:rsid w:val="00EF4C70"/>
    <w:rsid w:val="00F067AF"/>
    <w:rsid w:val="00F15622"/>
    <w:rsid w:val="00F20170"/>
    <w:rsid w:val="00F22757"/>
    <w:rsid w:val="00F241AB"/>
    <w:rsid w:val="00F27633"/>
    <w:rsid w:val="00F40178"/>
    <w:rsid w:val="00F426C1"/>
    <w:rsid w:val="00F459B7"/>
    <w:rsid w:val="00F5006D"/>
    <w:rsid w:val="00F50F18"/>
    <w:rsid w:val="00F52892"/>
    <w:rsid w:val="00F53B8D"/>
    <w:rsid w:val="00F56E99"/>
    <w:rsid w:val="00F6097F"/>
    <w:rsid w:val="00F6138F"/>
    <w:rsid w:val="00F616E7"/>
    <w:rsid w:val="00F630D0"/>
    <w:rsid w:val="00F65C01"/>
    <w:rsid w:val="00F670D8"/>
    <w:rsid w:val="00F72222"/>
    <w:rsid w:val="00F7313A"/>
    <w:rsid w:val="00F750FF"/>
    <w:rsid w:val="00F76B60"/>
    <w:rsid w:val="00F76BDB"/>
    <w:rsid w:val="00F77F66"/>
    <w:rsid w:val="00F828EF"/>
    <w:rsid w:val="00F8369D"/>
    <w:rsid w:val="00F924C0"/>
    <w:rsid w:val="00FA401F"/>
    <w:rsid w:val="00FA6602"/>
    <w:rsid w:val="00FB1615"/>
    <w:rsid w:val="00FB5F7F"/>
    <w:rsid w:val="00FB78FA"/>
    <w:rsid w:val="00FC1B4E"/>
    <w:rsid w:val="00FC546C"/>
    <w:rsid w:val="00FD0F1B"/>
    <w:rsid w:val="00FD6C16"/>
    <w:rsid w:val="00FD72CC"/>
    <w:rsid w:val="00FE0890"/>
    <w:rsid w:val="00FE4FAE"/>
    <w:rsid w:val="00FE5684"/>
    <w:rsid w:val="00FE7B26"/>
    <w:rsid w:val="00FF34C4"/>
    <w:rsid w:val="00FF54C4"/>
    <w:rsid w:val="00FF7286"/>
    <w:rsid w:val="013A6788"/>
    <w:rsid w:val="01897A84"/>
    <w:rsid w:val="01981D96"/>
    <w:rsid w:val="01B02834"/>
    <w:rsid w:val="02511F45"/>
    <w:rsid w:val="03F139E0"/>
    <w:rsid w:val="04BF3ADE"/>
    <w:rsid w:val="053718C6"/>
    <w:rsid w:val="05412745"/>
    <w:rsid w:val="057F6DC9"/>
    <w:rsid w:val="06055520"/>
    <w:rsid w:val="06440BB2"/>
    <w:rsid w:val="082E2C57"/>
    <w:rsid w:val="0A063180"/>
    <w:rsid w:val="0A505182"/>
    <w:rsid w:val="0BC35C62"/>
    <w:rsid w:val="0C1530ED"/>
    <w:rsid w:val="0F2A424A"/>
    <w:rsid w:val="0F566DED"/>
    <w:rsid w:val="116B3023"/>
    <w:rsid w:val="123A47A4"/>
    <w:rsid w:val="124B4C03"/>
    <w:rsid w:val="12AF0CEE"/>
    <w:rsid w:val="181F06C4"/>
    <w:rsid w:val="196B7938"/>
    <w:rsid w:val="1A340CCE"/>
    <w:rsid w:val="1B736F07"/>
    <w:rsid w:val="1C672639"/>
    <w:rsid w:val="1D2B18B9"/>
    <w:rsid w:val="1E205195"/>
    <w:rsid w:val="1F6D6D1D"/>
    <w:rsid w:val="20286583"/>
    <w:rsid w:val="20564103"/>
    <w:rsid w:val="20D84D40"/>
    <w:rsid w:val="21F80D4C"/>
    <w:rsid w:val="2218467D"/>
    <w:rsid w:val="22A46395"/>
    <w:rsid w:val="238055A9"/>
    <w:rsid w:val="241035B6"/>
    <w:rsid w:val="242C4EA0"/>
    <w:rsid w:val="24CB721B"/>
    <w:rsid w:val="2A9A1E2C"/>
    <w:rsid w:val="2AB8768A"/>
    <w:rsid w:val="2B2E2DD3"/>
    <w:rsid w:val="2B2F4C6A"/>
    <w:rsid w:val="2E805F92"/>
    <w:rsid w:val="2F30160F"/>
    <w:rsid w:val="31295CB7"/>
    <w:rsid w:val="335C2374"/>
    <w:rsid w:val="33E85C72"/>
    <w:rsid w:val="35074561"/>
    <w:rsid w:val="355B57E5"/>
    <w:rsid w:val="358160C2"/>
    <w:rsid w:val="35C10BB4"/>
    <w:rsid w:val="372C6501"/>
    <w:rsid w:val="37B3277F"/>
    <w:rsid w:val="37C87FD8"/>
    <w:rsid w:val="3814146F"/>
    <w:rsid w:val="38253067"/>
    <w:rsid w:val="3A7403C7"/>
    <w:rsid w:val="3A8521B0"/>
    <w:rsid w:val="3ACA050B"/>
    <w:rsid w:val="3E345036"/>
    <w:rsid w:val="3F9F1F66"/>
    <w:rsid w:val="3FB66B56"/>
    <w:rsid w:val="3FD634AE"/>
    <w:rsid w:val="41055DF9"/>
    <w:rsid w:val="41360D0A"/>
    <w:rsid w:val="41C72E76"/>
    <w:rsid w:val="41EF6CBD"/>
    <w:rsid w:val="42A058EE"/>
    <w:rsid w:val="44D31E62"/>
    <w:rsid w:val="450F36EA"/>
    <w:rsid w:val="46582E6F"/>
    <w:rsid w:val="489A151D"/>
    <w:rsid w:val="498B5309"/>
    <w:rsid w:val="4B9C37FE"/>
    <w:rsid w:val="4BA12BC2"/>
    <w:rsid w:val="4BC13264"/>
    <w:rsid w:val="4BFC429C"/>
    <w:rsid w:val="4C0F3FD0"/>
    <w:rsid w:val="4C251A45"/>
    <w:rsid w:val="4C4D4AF8"/>
    <w:rsid w:val="4DB50BA7"/>
    <w:rsid w:val="4F190D27"/>
    <w:rsid w:val="4F1F277C"/>
    <w:rsid w:val="4F974A08"/>
    <w:rsid w:val="4FF20FD9"/>
    <w:rsid w:val="50153B7F"/>
    <w:rsid w:val="52F061DD"/>
    <w:rsid w:val="53603363"/>
    <w:rsid w:val="54091C4C"/>
    <w:rsid w:val="54696247"/>
    <w:rsid w:val="54D2203E"/>
    <w:rsid w:val="5882708A"/>
    <w:rsid w:val="59065E86"/>
    <w:rsid w:val="5A584D94"/>
    <w:rsid w:val="5B134D7F"/>
    <w:rsid w:val="5D326D61"/>
    <w:rsid w:val="5D4A62C0"/>
    <w:rsid w:val="5E435D5B"/>
    <w:rsid w:val="5EF05EE3"/>
    <w:rsid w:val="5FE01AB3"/>
    <w:rsid w:val="60001041"/>
    <w:rsid w:val="60350236"/>
    <w:rsid w:val="60AA0313"/>
    <w:rsid w:val="60AA3E6F"/>
    <w:rsid w:val="60AD570E"/>
    <w:rsid w:val="60BD0047"/>
    <w:rsid w:val="613100ED"/>
    <w:rsid w:val="6151078F"/>
    <w:rsid w:val="61FE4473"/>
    <w:rsid w:val="621C6FEF"/>
    <w:rsid w:val="6498572D"/>
    <w:rsid w:val="658D110E"/>
    <w:rsid w:val="663F14FE"/>
    <w:rsid w:val="66BA1100"/>
    <w:rsid w:val="67F30C43"/>
    <w:rsid w:val="694C640B"/>
    <w:rsid w:val="6AFC77CC"/>
    <w:rsid w:val="6DC36570"/>
    <w:rsid w:val="6ED25D38"/>
    <w:rsid w:val="6F240ADF"/>
    <w:rsid w:val="6F863CF9"/>
    <w:rsid w:val="720535FB"/>
    <w:rsid w:val="736B3932"/>
    <w:rsid w:val="75241FEA"/>
    <w:rsid w:val="76CF41D8"/>
    <w:rsid w:val="76DB492B"/>
    <w:rsid w:val="76EB7264"/>
    <w:rsid w:val="776112D4"/>
    <w:rsid w:val="7B1E128A"/>
    <w:rsid w:val="7C6E1023"/>
    <w:rsid w:val="7C7E2364"/>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wordWrap w:val="0"/>
      <w:spacing w:line="360" w:lineRule="auto"/>
      <w:jc w:val="center"/>
      <w:outlineLvl w:val="0"/>
    </w:pPr>
    <w:rPr>
      <w:rFonts w:ascii="Times New Roman" w:hAnsi="Times New Roman" w:eastAsia="宋体" w:cs="Times New Roman"/>
      <w:b/>
      <w:bCs/>
      <w:kern w:val="44"/>
      <w:sz w:val="32"/>
      <w:szCs w:val="32"/>
      <w:lang w:val="zh-CN"/>
    </w:rPr>
  </w:style>
  <w:style w:type="paragraph" w:styleId="3">
    <w:name w:val="heading 2"/>
    <w:basedOn w:val="1"/>
    <w:next w:val="1"/>
    <w:link w:val="60"/>
    <w:qFormat/>
    <w:uiPriority w:val="0"/>
    <w:pPr>
      <w:keepNext/>
      <w:keepLines/>
      <w:spacing w:line="360" w:lineRule="auto"/>
      <w:jc w:val="center"/>
      <w:outlineLvl w:val="1"/>
    </w:pPr>
    <w:rPr>
      <w:rFonts w:ascii="Cambria" w:hAnsi="Cambria" w:eastAsia="宋体" w:cs="Times New Roman"/>
      <w:b/>
      <w:bCs/>
      <w:kern w:val="0"/>
      <w:sz w:val="30"/>
      <w:szCs w:val="30"/>
      <w:lang w:val="zh-CN"/>
    </w:rPr>
  </w:style>
  <w:style w:type="paragraph" w:styleId="4">
    <w:name w:val="heading 3"/>
    <w:basedOn w:val="1"/>
    <w:next w:val="1"/>
    <w:link w:val="68"/>
    <w:unhideWhenUsed/>
    <w:qFormat/>
    <w:uiPriority w:val="0"/>
    <w:pPr>
      <w:keepNext/>
      <w:keepLines/>
      <w:spacing w:line="360" w:lineRule="auto"/>
      <w:outlineLvl w:val="2"/>
    </w:pPr>
    <w:rPr>
      <w:rFonts w:ascii="宋体" w:hAnsi="宋体" w:eastAsia="宋体"/>
      <w:b/>
      <w:bCs/>
      <w:spacing w:val="1"/>
      <w:sz w:val="28"/>
      <w:szCs w:val="32"/>
      <w:lang w:val="zh-CN"/>
    </w:rPr>
  </w:style>
  <w:style w:type="paragraph" w:styleId="5">
    <w:name w:val="heading 4"/>
    <w:basedOn w:val="1"/>
    <w:next w:val="1"/>
    <w:link w:val="62"/>
    <w:qFormat/>
    <w:uiPriority w:val="0"/>
    <w:pPr>
      <w:autoSpaceDE w:val="0"/>
      <w:autoSpaceDN w:val="0"/>
      <w:adjustRightInd w:val="0"/>
      <w:spacing w:line="360" w:lineRule="auto"/>
      <w:jc w:val="left"/>
      <w:outlineLvl w:val="3"/>
    </w:pPr>
    <w:rPr>
      <w:rFonts w:ascii="宋体" w:hAnsi="宋体" w:eastAsia="宋体" w:cs="Times New Roman"/>
      <w:b/>
      <w:kern w:val="0"/>
      <w:sz w:val="24"/>
      <w:szCs w:val="24"/>
      <w:lang w:val="zh-CN"/>
    </w:rPr>
  </w:style>
  <w:style w:type="paragraph" w:styleId="6">
    <w:name w:val="heading 5"/>
    <w:basedOn w:val="5"/>
    <w:next w:val="7"/>
    <w:link w:val="63"/>
    <w:qFormat/>
    <w:uiPriority w:val="0"/>
    <w:pPr>
      <w:spacing w:line="240" w:lineRule="exact"/>
      <w:ind w:left="284" w:hanging="284"/>
      <w:outlineLvl w:val="4"/>
    </w:pPr>
    <w:rPr>
      <w:rFonts w:ascii="Arial" w:hAnsi="Arial"/>
      <w:kern w:val="2"/>
      <w:lang w:val="en-US"/>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7"/>
    <w:link w:val="6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66"/>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67"/>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7"/>
    <w:unhideWhenUsed/>
    <w:qFormat/>
    <w:uiPriority w:val="0"/>
    <w:pPr>
      <w:ind w:firstLine="420" w:firstLineChars="200"/>
    </w:pPr>
    <w:rPr>
      <w:rFonts w:ascii="Times New Roman" w:hAnsi="Times New Roman" w:eastAsia="宋体" w:cs="Times New Roman"/>
      <w:szCs w:val="24"/>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9"/>
    <w:qFormat/>
    <w:uiPriority w:val="0"/>
    <w:rPr>
      <w:rFonts w:ascii="宋体" w:hAnsi="Times New Roman" w:eastAsia="宋体" w:cs="Times New Roman"/>
      <w:kern w:val="0"/>
      <w:sz w:val="18"/>
      <w:szCs w:val="18"/>
      <w:lang w:val="zh-CN"/>
    </w:rPr>
  </w:style>
  <w:style w:type="paragraph" w:styleId="16">
    <w:name w:val="annotation text"/>
    <w:basedOn w:val="1"/>
    <w:link w:val="70"/>
    <w:qFormat/>
    <w:uiPriority w:val="0"/>
    <w:pPr>
      <w:jc w:val="left"/>
    </w:pPr>
    <w:rPr>
      <w:rFonts w:ascii="Times New Roman" w:hAnsi="Times New Roman" w:eastAsia="宋体" w:cs="Times New Roman"/>
      <w:szCs w:val="24"/>
      <w:lang w:val="zh-CN"/>
    </w:rPr>
  </w:style>
  <w:style w:type="paragraph" w:styleId="17">
    <w:name w:val="Salutation"/>
    <w:basedOn w:val="1"/>
    <w:next w:val="1"/>
    <w:link w:val="71"/>
    <w:qFormat/>
    <w:uiPriority w:val="0"/>
    <w:rPr>
      <w:rFonts w:ascii="Calibri" w:hAnsi="Calibri" w:eastAsia="宋体" w:cs="Times New Roman"/>
      <w:kern w:val="0"/>
      <w:sz w:val="32"/>
      <w:szCs w:val="24"/>
    </w:rPr>
  </w:style>
  <w:style w:type="paragraph" w:styleId="18">
    <w:name w:val="Body Text 3"/>
    <w:basedOn w:val="1"/>
    <w:link w:val="72"/>
    <w:qFormat/>
    <w:uiPriority w:val="0"/>
    <w:pPr>
      <w:spacing w:after="120"/>
    </w:pPr>
    <w:rPr>
      <w:rFonts w:ascii="Times New Roman" w:hAnsi="Times New Roman" w:eastAsia="宋体" w:cs="Times New Roman"/>
      <w:kern w:val="0"/>
      <w:sz w:val="16"/>
      <w:szCs w:val="16"/>
      <w:lang w:val="zh-CN"/>
    </w:rPr>
  </w:style>
  <w:style w:type="paragraph" w:styleId="19">
    <w:name w:val="Body Text"/>
    <w:basedOn w:val="1"/>
    <w:next w:val="1"/>
    <w:link w:val="73"/>
    <w:qFormat/>
    <w:uiPriority w:val="99"/>
    <w:pPr>
      <w:pBdr>
        <w:top w:val="single" w:color="auto" w:sz="4" w:space="1"/>
      </w:pBdr>
    </w:pPr>
    <w:rPr>
      <w:rFonts w:ascii="Times New Roman" w:hAnsi="Times New Roman" w:eastAsia="宋体" w:cs="Times New Roman"/>
      <w:b/>
      <w:bCs/>
      <w:szCs w:val="24"/>
    </w:rPr>
  </w:style>
  <w:style w:type="paragraph" w:styleId="20">
    <w:name w:val="Body Text Indent"/>
    <w:basedOn w:val="1"/>
    <w:next w:val="21"/>
    <w:link w:val="74"/>
    <w:qFormat/>
    <w:uiPriority w:val="0"/>
    <w:pPr>
      <w:ind w:firstLine="600" w:firstLineChars="200"/>
    </w:pPr>
    <w:rPr>
      <w:rFonts w:ascii="宋体" w:hAnsi="Times New Roman" w:eastAsia="宋体" w:cs="Times New Roman"/>
      <w:sz w:val="30"/>
      <w:szCs w:val="20"/>
      <w:lang w:val="zh-CN"/>
    </w:rPr>
  </w:style>
  <w:style w:type="paragraph" w:styleId="21">
    <w:name w:val="envelope return"/>
    <w:basedOn w:val="1"/>
    <w:qFormat/>
    <w:uiPriority w:val="0"/>
    <w:pPr>
      <w:snapToGrid w:val="0"/>
    </w:pPr>
    <w:rPr>
      <w:rFonts w:ascii="Arial" w:hAnsi="Arial" w:eastAsia="宋体" w:cs="Times New Roman"/>
      <w:szCs w:val="24"/>
    </w:rPr>
  </w:style>
  <w:style w:type="paragraph" w:styleId="22">
    <w:name w:val="index 4"/>
    <w:basedOn w:val="1"/>
    <w:next w:val="1"/>
    <w:unhideWhenUsed/>
    <w:qFormat/>
    <w:uiPriority w:val="99"/>
    <w:pPr>
      <w:ind w:left="600" w:leftChars="600"/>
    </w:pPr>
    <w:rPr>
      <w:rFonts w:ascii="Times New Roman" w:hAnsi="Times New Roman" w:eastAsia="宋体" w:cs="Times New Roman"/>
      <w:szCs w:val="24"/>
    </w:rPr>
  </w:style>
  <w:style w:type="paragraph" w:styleId="23">
    <w:name w:val="toc 5"/>
    <w:basedOn w:val="1"/>
    <w:next w:val="1"/>
    <w:qFormat/>
    <w:uiPriority w:val="39"/>
    <w:pPr>
      <w:ind w:left="840"/>
      <w:jc w:val="left"/>
    </w:pPr>
    <w:rPr>
      <w:rFonts w:ascii="Calibri" w:hAnsi="Calibri" w:eastAsia="宋体" w:cs="Calibri"/>
      <w:sz w:val="18"/>
      <w:szCs w:val="18"/>
    </w:rPr>
  </w:style>
  <w:style w:type="paragraph" w:styleId="24">
    <w:name w:val="toc 3"/>
    <w:basedOn w:val="1"/>
    <w:next w:val="1"/>
    <w:qFormat/>
    <w:uiPriority w:val="39"/>
    <w:pPr>
      <w:ind w:left="840" w:leftChars="400"/>
    </w:pPr>
    <w:rPr>
      <w:rFonts w:ascii="Times New Roman" w:hAnsi="Times New Roman" w:eastAsia="宋体" w:cs="Times New Roman"/>
      <w:szCs w:val="24"/>
    </w:rPr>
  </w:style>
  <w:style w:type="paragraph" w:styleId="25">
    <w:name w:val="Plain Text"/>
    <w:basedOn w:val="1"/>
    <w:link w:val="75"/>
    <w:qFormat/>
    <w:uiPriority w:val="0"/>
    <w:rPr>
      <w:rFonts w:ascii="宋体" w:hAnsi="Courier New" w:eastAsia="宋体" w:cs="Times New Roman"/>
      <w:szCs w:val="20"/>
      <w:lang w:val="zh-CN"/>
    </w:rPr>
  </w:style>
  <w:style w:type="paragraph" w:styleId="26">
    <w:name w:val="toc 8"/>
    <w:basedOn w:val="1"/>
    <w:next w:val="1"/>
    <w:qFormat/>
    <w:uiPriority w:val="39"/>
    <w:pPr>
      <w:ind w:left="1470"/>
      <w:jc w:val="left"/>
    </w:pPr>
    <w:rPr>
      <w:rFonts w:ascii="Calibri" w:hAnsi="Calibri" w:eastAsia="宋体" w:cs="Calibri"/>
      <w:sz w:val="18"/>
      <w:szCs w:val="18"/>
    </w:rPr>
  </w:style>
  <w:style w:type="paragraph" w:styleId="27">
    <w:name w:val="Date"/>
    <w:basedOn w:val="1"/>
    <w:next w:val="1"/>
    <w:link w:val="76"/>
    <w:qFormat/>
    <w:uiPriority w:val="0"/>
    <w:pPr>
      <w:ind w:left="100" w:leftChars="2500"/>
    </w:pPr>
    <w:rPr>
      <w:rFonts w:ascii="Calibri" w:hAnsi="Calibri" w:eastAsia="宋体" w:cs="Times New Roman"/>
      <w:kern w:val="0"/>
      <w:sz w:val="20"/>
      <w:szCs w:val="24"/>
    </w:rPr>
  </w:style>
  <w:style w:type="paragraph" w:styleId="28">
    <w:name w:val="Body Text Indent 2"/>
    <w:basedOn w:val="1"/>
    <w:link w:val="77"/>
    <w:qFormat/>
    <w:uiPriority w:val="0"/>
    <w:pPr>
      <w:spacing w:after="120" w:line="480" w:lineRule="auto"/>
      <w:ind w:left="420" w:leftChars="200"/>
    </w:pPr>
    <w:rPr>
      <w:rFonts w:ascii="Times New Roman" w:hAnsi="Times New Roman" w:eastAsia="Courier New" w:cs="Times New Roman"/>
      <w:kern w:val="0"/>
      <w:sz w:val="20"/>
      <w:szCs w:val="20"/>
      <w:lang w:val="zh-CN"/>
    </w:rPr>
  </w:style>
  <w:style w:type="paragraph" w:styleId="29">
    <w:name w:val="Balloon Text"/>
    <w:basedOn w:val="1"/>
    <w:link w:val="78"/>
    <w:qFormat/>
    <w:uiPriority w:val="0"/>
    <w:rPr>
      <w:rFonts w:ascii="Times New Roman" w:hAnsi="Times New Roman" w:eastAsia="宋体" w:cs="Times New Roman"/>
      <w:sz w:val="18"/>
      <w:szCs w:val="18"/>
      <w:lang w:val="zh-CN"/>
    </w:rPr>
  </w:style>
  <w:style w:type="paragraph" w:styleId="30">
    <w:name w:val="footer"/>
    <w:basedOn w:val="1"/>
    <w:link w:val="58"/>
    <w:unhideWhenUsed/>
    <w:qFormat/>
    <w:uiPriority w:val="99"/>
    <w:pPr>
      <w:tabs>
        <w:tab w:val="center" w:pos="4153"/>
        <w:tab w:val="right" w:pos="8306"/>
      </w:tabs>
      <w:snapToGrid w:val="0"/>
      <w:jc w:val="left"/>
    </w:pPr>
    <w:rPr>
      <w:sz w:val="18"/>
      <w:szCs w:val="18"/>
    </w:rPr>
  </w:style>
  <w:style w:type="paragraph" w:styleId="3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eastAsia="宋体" w:cs="Calibri"/>
      <w:b/>
      <w:bCs/>
      <w:caps/>
      <w:sz w:val="20"/>
      <w:szCs w:val="20"/>
    </w:rPr>
  </w:style>
  <w:style w:type="paragraph" w:styleId="33">
    <w:name w:val="toc 4"/>
    <w:basedOn w:val="1"/>
    <w:next w:val="1"/>
    <w:qFormat/>
    <w:uiPriority w:val="39"/>
    <w:pPr>
      <w:ind w:left="630"/>
      <w:jc w:val="left"/>
    </w:pPr>
    <w:rPr>
      <w:rFonts w:ascii="Calibri" w:hAnsi="Calibri" w:eastAsia="宋体" w:cs="Calibri"/>
      <w:sz w:val="18"/>
      <w:szCs w:val="18"/>
    </w:rPr>
  </w:style>
  <w:style w:type="paragraph" w:styleId="34">
    <w:name w:val="toc 6"/>
    <w:basedOn w:val="1"/>
    <w:next w:val="1"/>
    <w:qFormat/>
    <w:uiPriority w:val="39"/>
    <w:pPr>
      <w:ind w:left="1050"/>
      <w:jc w:val="left"/>
    </w:pPr>
    <w:rPr>
      <w:rFonts w:ascii="Calibri" w:hAnsi="Calibri" w:eastAsia="宋体" w:cs="Calibri"/>
      <w:sz w:val="18"/>
      <w:szCs w:val="18"/>
    </w:rPr>
  </w:style>
  <w:style w:type="paragraph" w:styleId="35">
    <w:name w:val="Body Text Indent 3"/>
    <w:basedOn w:val="1"/>
    <w:link w:val="79"/>
    <w:qFormat/>
    <w:uiPriority w:val="0"/>
    <w:pPr>
      <w:spacing w:after="120"/>
      <w:ind w:left="420" w:leftChars="200"/>
    </w:pPr>
    <w:rPr>
      <w:rFonts w:ascii="Calibri" w:hAnsi="Calibri" w:eastAsia="宋体" w:cs="Times New Roman"/>
      <w:kern w:val="0"/>
      <w:sz w:val="16"/>
      <w:szCs w:val="20"/>
    </w:rPr>
  </w:style>
  <w:style w:type="paragraph" w:styleId="36">
    <w:name w:val="toc 2"/>
    <w:basedOn w:val="1"/>
    <w:next w:val="1"/>
    <w:unhideWhenUsed/>
    <w:qFormat/>
    <w:uiPriority w:val="39"/>
    <w:pPr>
      <w:ind w:left="420" w:leftChars="200"/>
    </w:pPr>
    <w:rPr>
      <w:rFonts w:ascii="Times New Roman" w:hAnsi="Times New Roman" w:eastAsia="宋体" w:cs="Times New Roman"/>
      <w:szCs w:val="24"/>
    </w:rPr>
  </w:style>
  <w:style w:type="paragraph" w:styleId="37">
    <w:name w:val="toc 9"/>
    <w:basedOn w:val="1"/>
    <w:next w:val="1"/>
    <w:qFormat/>
    <w:uiPriority w:val="39"/>
    <w:pPr>
      <w:ind w:left="1680"/>
      <w:jc w:val="left"/>
    </w:pPr>
    <w:rPr>
      <w:rFonts w:ascii="Calibri" w:hAnsi="Calibri" w:eastAsia="宋体" w:cs="Calibri"/>
      <w:sz w:val="18"/>
      <w:szCs w:val="18"/>
    </w:rPr>
  </w:style>
  <w:style w:type="paragraph" w:styleId="38">
    <w:name w:val="Body Text 2"/>
    <w:basedOn w:val="1"/>
    <w:link w:val="80"/>
    <w:qFormat/>
    <w:uiPriority w:val="0"/>
    <w:pPr>
      <w:spacing w:after="120" w:line="480" w:lineRule="auto"/>
    </w:pPr>
    <w:rPr>
      <w:rFonts w:ascii="Times New Roman" w:hAnsi="Times New Roman" w:eastAsia="宋体" w:cs="Times New Roman"/>
      <w:kern w:val="0"/>
      <w:sz w:val="20"/>
      <w:szCs w:val="24"/>
      <w:lang w:val="zh-CN"/>
    </w:r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kern w:val="0"/>
      <w:sz w:val="20"/>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1">
    <w:name w:val="Title"/>
    <w:basedOn w:val="1"/>
    <w:link w:val="82"/>
    <w:qFormat/>
    <w:uiPriority w:val="0"/>
    <w:pPr>
      <w:spacing w:before="240" w:after="60"/>
      <w:jc w:val="center"/>
      <w:outlineLvl w:val="0"/>
    </w:pPr>
    <w:rPr>
      <w:rFonts w:ascii="Arial" w:hAnsi="Arial" w:eastAsia="宋体" w:cs="Times New Roman"/>
      <w:b/>
      <w:bCs/>
      <w:kern w:val="0"/>
      <w:sz w:val="32"/>
      <w:szCs w:val="32"/>
      <w:lang w:val="zh-CN"/>
    </w:rPr>
  </w:style>
  <w:style w:type="paragraph" w:styleId="42">
    <w:name w:val="annotation subject"/>
    <w:basedOn w:val="16"/>
    <w:next w:val="16"/>
    <w:link w:val="83"/>
    <w:qFormat/>
    <w:uiPriority w:val="0"/>
    <w:rPr>
      <w:b/>
      <w:bCs/>
    </w:rPr>
  </w:style>
  <w:style w:type="paragraph" w:styleId="43">
    <w:name w:val="Body Text First Indent"/>
    <w:basedOn w:val="19"/>
    <w:link w:val="84"/>
    <w:qFormat/>
    <w:uiPriority w:val="0"/>
    <w:pPr>
      <w:pBdr>
        <w:top w:val="none" w:color="auto" w:sz="0" w:space="0"/>
      </w:pBdr>
      <w:spacing w:after="120"/>
      <w:ind w:firstLine="420" w:firstLineChars="100"/>
    </w:pPr>
    <w:rPr>
      <w:b w:val="0"/>
      <w:bCs w:val="0"/>
      <w:kern w:val="0"/>
      <w:sz w:val="20"/>
      <w:szCs w:val="20"/>
    </w:rPr>
  </w:style>
  <w:style w:type="paragraph" w:styleId="44">
    <w:name w:val="Body Text First Indent 2"/>
    <w:basedOn w:val="20"/>
    <w:link w:val="85"/>
    <w:qFormat/>
    <w:uiPriority w:val="0"/>
    <w:pPr>
      <w:spacing w:after="120"/>
      <w:ind w:left="420" w:leftChars="200" w:firstLine="420"/>
    </w:pPr>
    <w:rPr>
      <w:rFonts w:ascii="Times New Roman"/>
      <w:kern w:val="0"/>
      <w:sz w:val="20"/>
      <w:szCs w:val="24"/>
    </w:rPr>
  </w:style>
  <w:style w:type="table" w:styleId="46">
    <w:name w:val="Table Grid"/>
    <w:basedOn w:val="4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HTML Definition"/>
    <w:basedOn w:val="47"/>
    <w:semiHidden/>
    <w:unhideWhenUsed/>
    <w:qFormat/>
    <w:uiPriority w:val="99"/>
    <w:rPr>
      <w:i/>
      <w:iCs/>
    </w:rPr>
  </w:style>
  <w:style w:type="character" w:styleId="52">
    <w:name w:val="Hyperlink"/>
    <w:qFormat/>
    <w:uiPriority w:val="99"/>
    <w:rPr>
      <w:color w:val="0000FF"/>
      <w:u w:val="single"/>
    </w:rPr>
  </w:style>
  <w:style w:type="character" w:styleId="53">
    <w:name w:val="HTML Code"/>
    <w:basedOn w:val="47"/>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54">
    <w:name w:val="annotation reference"/>
    <w:qFormat/>
    <w:uiPriority w:val="0"/>
    <w:rPr>
      <w:sz w:val="21"/>
      <w:szCs w:val="21"/>
    </w:rPr>
  </w:style>
  <w:style w:type="character" w:styleId="55">
    <w:name w:val="HTML Keyboard"/>
    <w:basedOn w:val="47"/>
    <w:semiHidden/>
    <w:unhideWhenUsed/>
    <w:qFormat/>
    <w:uiPriority w:val="99"/>
    <w:rPr>
      <w:rFonts w:hint="default" w:ascii="Consolas" w:hAnsi="Consolas" w:eastAsia="Consolas" w:cs="Consolas"/>
      <w:color w:val="FFFFFF"/>
      <w:sz w:val="21"/>
      <w:szCs w:val="21"/>
      <w:shd w:val="clear" w:color="auto" w:fill="333333"/>
    </w:rPr>
  </w:style>
  <w:style w:type="character" w:styleId="56">
    <w:name w:val="HTML Sample"/>
    <w:basedOn w:val="47"/>
    <w:semiHidden/>
    <w:unhideWhenUsed/>
    <w:qFormat/>
    <w:uiPriority w:val="99"/>
    <w:rPr>
      <w:rFonts w:hint="default" w:ascii="Consolas" w:hAnsi="Consolas" w:eastAsia="Consolas" w:cs="Consolas"/>
      <w:sz w:val="21"/>
      <w:szCs w:val="21"/>
    </w:rPr>
  </w:style>
  <w:style w:type="character" w:customStyle="1" w:styleId="57">
    <w:name w:val="页眉 字符"/>
    <w:basedOn w:val="47"/>
    <w:link w:val="31"/>
    <w:qFormat/>
    <w:uiPriority w:val="0"/>
    <w:rPr>
      <w:sz w:val="18"/>
      <w:szCs w:val="18"/>
    </w:rPr>
  </w:style>
  <w:style w:type="character" w:customStyle="1" w:styleId="58">
    <w:name w:val="页脚 字符"/>
    <w:basedOn w:val="47"/>
    <w:link w:val="30"/>
    <w:qFormat/>
    <w:uiPriority w:val="99"/>
    <w:rPr>
      <w:sz w:val="18"/>
      <w:szCs w:val="18"/>
    </w:rPr>
  </w:style>
  <w:style w:type="character" w:customStyle="1" w:styleId="59">
    <w:name w:val="标题 1 字符"/>
    <w:basedOn w:val="47"/>
    <w:link w:val="2"/>
    <w:qFormat/>
    <w:uiPriority w:val="0"/>
    <w:rPr>
      <w:rFonts w:ascii="Times New Roman" w:hAnsi="Times New Roman" w:eastAsia="宋体" w:cs="Times New Roman"/>
      <w:b/>
      <w:bCs/>
      <w:kern w:val="44"/>
      <w:sz w:val="32"/>
      <w:szCs w:val="32"/>
      <w:lang w:val="zh-CN"/>
    </w:rPr>
  </w:style>
  <w:style w:type="character" w:customStyle="1" w:styleId="60">
    <w:name w:val="标题 2 字符"/>
    <w:basedOn w:val="47"/>
    <w:link w:val="3"/>
    <w:qFormat/>
    <w:uiPriority w:val="0"/>
    <w:rPr>
      <w:rFonts w:ascii="Cambria" w:hAnsi="Cambria" w:eastAsia="宋体" w:cs="Times New Roman"/>
      <w:b/>
      <w:bCs/>
      <w:kern w:val="0"/>
      <w:sz w:val="30"/>
      <w:szCs w:val="30"/>
      <w:lang w:val="zh-CN"/>
    </w:rPr>
  </w:style>
  <w:style w:type="paragraph" w:customStyle="1" w:styleId="61">
    <w:name w:val="标题 31"/>
    <w:basedOn w:val="1"/>
    <w:next w:val="7"/>
    <w:qFormat/>
    <w:uiPriority w:val="0"/>
    <w:pPr>
      <w:keepNext/>
      <w:keepLines/>
      <w:spacing w:before="260" w:line="416" w:lineRule="auto"/>
      <w:outlineLvl w:val="2"/>
    </w:pPr>
    <w:rPr>
      <w:rFonts w:ascii="宋体" w:hAnsi="宋体" w:cs="Times New Roman"/>
      <w:b/>
      <w:bCs/>
      <w:spacing w:val="1"/>
      <w:sz w:val="28"/>
      <w:szCs w:val="32"/>
      <w:lang w:val="zh-CN"/>
    </w:rPr>
  </w:style>
  <w:style w:type="character" w:customStyle="1" w:styleId="62">
    <w:name w:val="标题 4 字符"/>
    <w:basedOn w:val="47"/>
    <w:link w:val="5"/>
    <w:qFormat/>
    <w:uiPriority w:val="0"/>
    <w:rPr>
      <w:rFonts w:ascii="宋体" w:hAnsi="宋体" w:eastAsia="宋体" w:cs="Times New Roman"/>
      <w:b/>
      <w:kern w:val="0"/>
      <w:sz w:val="24"/>
      <w:szCs w:val="24"/>
      <w:lang w:val="zh-CN"/>
    </w:rPr>
  </w:style>
  <w:style w:type="character" w:customStyle="1" w:styleId="63">
    <w:name w:val="标题 5 字符"/>
    <w:basedOn w:val="47"/>
    <w:link w:val="6"/>
    <w:qFormat/>
    <w:uiPriority w:val="0"/>
    <w:rPr>
      <w:rFonts w:ascii="Arial" w:hAnsi="Arial" w:eastAsia="宋体" w:cs="Times New Roman"/>
      <w:sz w:val="24"/>
      <w:szCs w:val="24"/>
    </w:rPr>
  </w:style>
  <w:style w:type="character" w:customStyle="1" w:styleId="64">
    <w:name w:val="标题 6 字符"/>
    <w:basedOn w:val="47"/>
    <w:link w:val="8"/>
    <w:qFormat/>
    <w:uiPriority w:val="0"/>
    <w:rPr>
      <w:rFonts w:ascii="Arial" w:hAnsi="Arial" w:eastAsia="黑体" w:cs="Times New Roman"/>
      <w:b/>
      <w:bCs/>
      <w:sz w:val="24"/>
      <w:szCs w:val="24"/>
    </w:rPr>
  </w:style>
  <w:style w:type="character" w:customStyle="1" w:styleId="65">
    <w:name w:val="标题 7 字符"/>
    <w:basedOn w:val="47"/>
    <w:link w:val="9"/>
    <w:qFormat/>
    <w:uiPriority w:val="0"/>
    <w:rPr>
      <w:rFonts w:ascii="Times New Roman" w:hAnsi="Times New Roman" w:eastAsia="宋体" w:cs="Times New Roman"/>
      <w:b/>
      <w:sz w:val="24"/>
      <w:szCs w:val="20"/>
    </w:rPr>
  </w:style>
  <w:style w:type="character" w:customStyle="1" w:styleId="66">
    <w:name w:val="标题 8 字符"/>
    <w:basedOn w:val="47"/>
    <w:link w:val="10"/>
    <w:qFormat/>
    <w:uiPriority w:val="0"/>
    <w:rPr>
      <w:rFonts w:ascii="Arial" w:hAnsi="Arial" w:eastAsia="黑体" w:cs="Times New Roman"/>
      <w:sz w:val="24"/>
      <w:szCs w:val="20"/>
    </w:rPr>
  </w:style>
  <w:style w:type="character" w:customStyle="1" w:styleId="67">
    <w:name w:val="标题 9 字符"/>
    <w:basedOn w:val="47"/>
    <w:link w:val="11"/>
    <w:qFormat/>
    <w:uiPriority w:val="0"/>
    <w:rPr>
      <w:rFonts w:ascii="Arial" w:hAnsi="Arial" w:eastAsia="黑体" w:cs="Times New Roman"/>
      <w:szCs w:val="20"/>
    </w:rPr>
  </w:style>
  <w:style w:type="character" w:customStyle="1" w:styleId="68">
    <w:name w:val="标题 3 字符"/>
    <w:basedOn w:val="47"/>
    <w:link w:val="4"/>
    <w:qFormat/>
    <w:uiPriority w:val="0"/>
    <w:rPr>
      <w:rFonts w:ascii="宋体" w:hAnsi="宋体" w:eastAsia="宋体"/>
      <w:b/>
      <w:bCs/>
      <w:spacing w:val="1"/>
      <w:sz w:val="28"/>
      <w:szCs w:val="32"/>
      <w:lang w:val="zh-CN"/>
    </w:rPr>
  </w:style>
  <w:style w:type="character" w:customStyle="1" w:styleId="69">
    <w:name w:val="文档结构图 字符"/>
    <w:basedOn w:val="47"/>
    <w:link w:val="15"/>
    <w:qFormat/>
    <w:uiPriority w:val="0"/>
    <w:rPr>
      <w:rFonts w:ascii="宋体" w:hAnsi="Times New Roman" w:eastAsia="宋体" w:cs="Times New Roman"/>
      <w:kern w:val="0"/>
      <w:sz w:val="18"/>
      <w:szCs w:val="18"/>
      <w:lang w:val="zh-CN"/>
    </w:rPr>
  </w:style>
  <w:style w:type="character" w:customStyle="1" w:styleId="70">
    <w:name w:val="批注文字 字符"/>
    <w:basedOn w:val="47"/>
    <w:link w:val="16"/>
    <w:qFormat/>
    <w:uiPriority w:val="0"/>
    <w:rPr>
      <w:rFonts w:ascii="Times New Roman" w:hAnsi="Times New Roman" w:eastAsia="宋体" w:cs="Times New Roman"/>
      <w:szCs w:val="24"/>
      <w:lang w:val="zh-CN"/>
    </w:rPr>
  </w:style>
  <w:style w:type="character" w:customStyle="1" w:styleId="71">
    <w:name w:val="称呼 字符"/>
    <w:basedOn w:val="47"/>
    <w:link w:val="17"/>
    <w:qFormat/>
    <w:uiPriority w:val="0"/>
    <w:rPr>
      <w:rFonts w:ascii="Calibri" w:hAnsi="Calibri" w:eastAsia="宋体" w:cs="Times New Roman"/>
      <w:kern w:val="0"/>
      <w:sz w:val="32"/>
      <w:szCs w:val="24"/>
    </w:rPr>
  </w:style>
  <w:style w:type="character" w:customStyle="1" w:styleId="72">
    <w:name w:val="正文文本 3 字符"/>
    <w:basedOn w:val="47"/>
    <w:link w:val="18"/>
    <w:qFormat/>
    <w:uiPriority w:val="0"/>
    <w:rPr>
      <w:rFonts w:ascii="Times New Roman" w:hAnsi="Times New Roman" w:eastAsia="宋体" w:cs="Times New Roman"/>
      <w:kern w:val="0"/>
      <w:sz w:val="16"/>
      <w:szCs w:val="16"/>
      <w:lang w:val="zh-CN"/>
    </w:rPr>
  </w:style>
  <w:style w:type="character" w:customStyle="1" w:styleId="73">
    <w:name w:val="正文文本 字符"/>
    <w:basedOn w:val="47"/>
    <w:link w:val="19"/>
    <w:qFormat/>
    <w:uiPriority w:val="99"/>
    <w:rPr>
      <w:rFonts w:ascii="Times New Roman" w:hAnsi="Times New Roman" w:eastAsia="宋体" w:cs="Times New Roman"/>
      <w:b/>
      <w:bCs/>
      <w:szCs w:val="24"/>
    </w:rPr>
  </w:style>
  <w:style w:type="character" w:customStyle="1" w:styleId="74">
    <w:name w:val="正文文本缩进 字符"/>
    <w:basedOn w:val="47"/>
    <w:link w:val="20"/>
    <w:qFormat/>
    <w:uiPriority w:val="0"/>
    <w:rPr>
      <w:rFonts w:ascii="宋体" w:hAnsi="Times New Roman" w:eastAsia="宋体" w:cs="Times New Roman"/>
      <w:sz w:val="30"/>
      <w:szCs w:val="20"/>
      <w:lang w:val="zh-CN"/>
    </w:rPr>
  </w:style>
  <w:style w:type="character" w:customStyle="1" w:styleId="75">
    <w:name w:val="纯文本 字符"/>
    <w:basedOn w:val="47"/>
    <w:link w:val="25"/>
    <w:qFormat/>
    <w:uiPriority w:val="0"/>
    <w:rPr>
      <w:rFonts w:ascii="宋体" w:hAnsi="Courier New" w:eastAsia="宋体" w:cs="Times New Roman"/>
      <w:szCs w:val="20"/>
      <w:lang w:val="zh-CN"/>
    </w:rPr>
  </w:style>
  <w:style w:type="character" w:customStyle="1" w:styleId="76">
    <w:name w:val="日期 字符"/>
    <w:basedOn w:val="47"/>
    <w:link w:val="27"/>
    <w:qFormat/>
    <w:uiPriority w:val="0"/>
    <w:rPr>
      <w:rFonts w:ascii="Calibri" w:hAnsi="Calibri" w:eastAsia="宋体" w:cs="Times New Roman"/>
      <w:kern w:val="0"/>
      <w:sz w:val="20"/>
      <w:szCs w:val="24"/>
    </w:rPr>
  </w:style>
  <w:style w:type="character" w:customStyle="1" w:styleId="77">
    <w:name w:val="正文文本缩进 2 字符"/>
    <w:basedOn w:val="47"/>
    <w:link w:val="28"/>
    <w:qFormat/>
    <w:uiPriority w:val="0"/>
    <w:rPr>
      <w:rFonts w:ascii="Times New Roman" w:hAnsi="Times New Roman" w:eastAsia="Courier New" w:cs="Times New Roman"/>
      <w:kern w:val="0"/>
      <w:sz w:val="20"/>
      <w:szCs w:val="20"/>
      <w:lang w:val="zh-CN"/>
    </w:rPr>
  </w:style>
  <w:style w:type="character" w:customStyle="1" w:styleId="78">
    <w:name w:val="批注框文本 字符"/>
    <w:basedOn w:val="47"/>
    <w:link w:val="29"/>
    <w:qFormat/>
    <w:uiPriority w:val="0"/>
    <w:rPr>
      <w:rFonts w:ascii="Times New Roman" w:hAnsi="Times New Roman" w:eastAsia="宋体" w:cs="Times New Roman"/>
      <w:sz w:val="18"/>
      <w:szCs w:val="18"/>
      <w:lang w:val="zh-CN"/>
    </w:rPr>
  </w:style>
  <w:style w:type="character" w:customStyle="1" w:styleId="79">
    <w:name w:val="正文文本缩进 3 字符"/>
    <w:basedOn w:val="47"/>
    <w:link w:val="35"/>
    <w:qFormat/>
    <w:uiPriority w:val="0"/>
    <w:rPr>
      <w:rFonts w:ascii="Calibri" w:hAnsi="Calibri" w:eastAsia="宋体" w:cs="Times New Roman"/>
      <w:kern w:val="0"/>
      <w:sz w:val="16"/>
      <w:szCs w:val="20"/>
    </w:rPr>
  </w:style>
  <w:style w:type="character" w:customStyle="1" w:styleId="80">
    <w:name w:val="正文文本 2 字符"/>
    <w:basedOn w:val="47"/>
    <w:link w:val="38"/>
    <w:qFormat/>
    <w:uiPriority w:val="0"/>
    <w:rPr>
      <w:rFonts w:ascii="Times New Roman" w:hAnsi="Times New Roman" w:eastAsia="宋体" w:cs="Times New Roman"/>
      <w:kern w:val="0"/>
      <w:sz w:val="20"/>
      <w:szCs w:val="24"/>
      <w:lang w:val="zh-CN"/>
    </w:rPr>
  </w:style>
  <w:style w:type="character" w:customStyle="1" w:styleId="81">
    <w:name w:val="HTML 预设格式 字符"/>
    <w:basedOn w:val="47"/>
    <w:link w:val="39"/>
    <w:qFormat/>
    <w:uiPriority w:val="0"/>
    <w:rPr>
      <w:rFonts w:ascii="Calibri" w:hAnsi="Calibri" w:eastAsia="宋体" w:cs="Times New Roman"/>
      <w:kern w:val="0"/>
      <w:sz w:val="20"/>
      <w:szCs w:val="21"/>
    </w:rPr>
  </w:style>
  <w:style w:type="character" w:customStyle="1" w:styleId="82">
    <w:name w:val="标题 字符"/>
    <w:basedOn w:val="47"/>
    <w:link w:val="41"/>
    <w:qFormat/>
    <w:uiPriority w:val="0"/>
    <w:rPr>
      <w:rFonts w:ascii="Arial" w:hAnsi="Arial" w:eastAsia="宋体" w:cs="Times New Roman"/>
      <w:b/>
      <w:bCs/>
      <w:kern w:val="0"/>
      <w:sz w:val="32"/>
      <w:szCs w:val="32"/>
      <w:lang w:val="zh-CN"/>
    </w:rPr>
  </w:style>
  <w:style w:type="character" w:customStyle="1" w:styleId="83">
    <w:name w:val="批注主题 字符"/>
    <w:basedOn w:val="70"/>
    <w:link w:val="42"/>
    <w:qFormat/>
    <w:uiPriority w:val="0"/>
    <w:rPr>
      <w:rFonts w:ascii="Times New Roman" w:hAnsi="Times New Roman" w:eastAsia="宋体" w:cs="Times New Roman"/>
      <w:b/>
      <w:bCs/>
      <w:szCs w:val="24"/>
      <w:lang w:val="zh-CN"/>
    </w:rPr>
  </w:style>
  <w:style w:type="character" w:customStyle="1" w:styleId="84">
    <w:name w:val="正文首行缩进 字符"/>
    <w:basedOn w:val="73"/>
    <w:link w:val="43"/>
    <w:qFormat/>
    <w:uiPriority w:val="0"/>
    <w:rPr>
      <w:rFonts w:ascii="Times New Roman" w:hAnsi="Times New Roman" w:eastAsia="宋体" w:cs="Times New Roman"/>
      <w:b w:val="0"/>
      <w:bCs w:val="0"/>
      <w:kern w:val="0"/>
      <w:sz w:val="20"/>
      <w:szCs w:val="20"/>
    </w:rPr>
  </w:style>
  <w:style w:type="character" w:customStyle="1" w:styleId="85">
    <w:name w:val="正文首行缩进 2 字符"/>
    <w:basedOn w:val="74"/>
    <w:link w:val="44"/>
    <w:qFormat/>
    <w:uiPriority w:val="0"/>
    <w:rPr>
      <w:rFonts w:ascii="Times New Roman" w:hAnsi="Times New Roman" w:eastAsia="宋体" w:cs="Times New Roman"/>
      <w:kern w:val="0"/>
      <w:sz w:val="20"/>
      <w:szCs w:val="24"/>
      <w:lang w:val="zh-CN"/>
    </w:rPr>
  </w:style>
  <w:style w:type="character" w:customStyle="1" w:styleId="86">
    <w:name w:val="访问过的超链接1"/>
    <w:basedOn w:val="47"/>
    <w:semiHidden/>
    <w:unhideWhenUsed/>
    <w:qFormat/>
    <w:uiPriority w:val="99"/>
    <w:rPr>
      <w:color w:val="800080"/>
      <w:u w:val="single"/>
    </w:rPr>
  </w:style>
  <w:style w:type="character" w:customStyle="1" w:styleId="87">
    <w:name w:val="正文缩进 字符"/>
    <w:link w:val="7"/>
    <w:qFormat/>
    <w:uiPriority w:val="0"/>
    <w:rPr>
      <w:rFonts w:ascii="Times New Roman" w:hAnsi="Times New Roman" w:eastAsia="宋体" w:cs="Times New Roman"/>
      <w:szCs w:val="24"/>
    </w:rPr>
  </w:style>
  <w:style w:type="paragraph" w:customStyle="1" w:styleId="88">
    <w:name w:val="_Style 7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插图名称 Char Char"/>
    <w:link w:val="90"/>
    <w:qFormat/>
    <w:uiPriority w:val="0"/>
    <w:rPr>
      <w:rFonts w:eastAsia="Times New Roman"/>
      <w:szCs w:val="24"/>
    </w:rPr>
  </w:style>
  <w:style w:type="paragraph" w:customStyle="1" w:styleId="90">
    <w:name w:val="插图名称"/>
    <w:link w:val="89"/>
    <w:qFormat/>
    <w:uiPriority w:val="0"/>
    <w:pPr>
      <w:jc w:val="center"/>
      <w:outlineLvl w:val="8"/>
    </w:pPr>
    <w:rPr>
      <w:rFonts w:eastAsia="Times New Roman" w:asciiTheme="minorHAnsi" w:hAnsiTheme="minorHAnsi" w:cstheme="minorBidi"/>
      <w:kern w:val="2"/>
      <w:sz w:val="21"/>
      <w:szCs w:val="24"/>
      <w:lang w:val="en-US" w:eastAsia="zh-CN" w:bidi="ar-SA"/>
    </w:rPr>
  </w:style>
  <w:style w:type="character" w:customStyle="1" w:styleId="91">
    <w:name w:val="表格文字 Char"/>
    <w:qFormat/>
    <w:uiPriority w:val="0"/>
    <w:rPr>
      <w:rFonts w:ascii="宋体" w:hAnsi="Courier New"/>
    </w:rPr>
  </w:style>
  <w:style w:type="character" w:customStyle="1" w:styleId="92">
    <w:name w:val="19"/>
    <w:qFormat/>
    <w:uiPriority w:val="0"/>
    <w:rPr>
      <w:rFonts w:hint="default" w:ascii="Calibri" w:hAnsi="Calibri" w:cs="Calibri"/>
      <w:b/>
      <w:bCs/>
      <w:kern w:val="44"/>
      <w:sz w:val="44"/>
      <w:szCs w:val="44"/>
    </w:rPr>
  </w:style>
  <w:style w:type="character" w:customStyle="1" w:styleId="93">
    <w:name w:val="17"/>
    <w:qFormat/>
    <w:uiPriority w:val="0"/>
    <w:rPr>
      <w:rFonts w:hint="default" w:ascii="Calibri" w:hAnsi="Calibri" w:cs="Calibri"/>
    </w:rPr>
  </w:style>
  <w:style w:type="character" w:customStyle="1" w:styleId="94">
    <w:name w:val="Char Char10"/>
    <w:qFormat/>
    <w:uiPriority w:val="0"/>
    <w:rPr>
      <w:rFonts w:ascii="宋体" w:hAnsi="Courier New" w:eastAsia="宋体" w:cs="Times New Roman"/>
      <w:szCs w:val="20"/>
    </w:rPr>
  </w:style>
  <w:style w:type="character" w:customStyle="1" w:styleId="95">
    <w:name w:val="3eee Char Char"/>
    <w:link w:val="96"/>
    <w:qFormat/>
    <w:uiPriority w:val="0"/>
    <w:rPr>
      <w:rFonts w:ascii="Courier New" w:hAnsi="Courier New" w:eastAsia="Courier New"/>
      <w:sz w:val="24"/>
      <w:szCs w:val="24"/>
    </w:rPr>
  </w:style>
  <w:style w:type="paragraph" w:customStyle="1" w:styleId="96">
    <w:name w:val="3eee"/>
    <w:basedOn w:val="1"/>
    <w:link w:val="95"/>
    <w:qFormat/>
    <w:uiPriority w:val="0"/>
    <w:pPr>
      <w:spacing w:line="440" w:lineRule="exact"/>
      <w:ind w:firstLine="480" w:firstLineChars="200"/>
    </w:pPr>
    <w:rPr>
      <w:rFonts w:ascii="Courier New" w:hAnsi="Courier New" w:eastAsia="Courier New"/>
      <w:sz w:val="24"/>
      <w:szCs w:val="24"/>
    </w:rPr>
  </w:style>
  <w:style w:type="character" w:customStyle="1" w:styleId="97">
    <w:name w:val="样式 宋体 小四 Char Char"/>
    <w:link w:val="98"/>
    <w:qFormat/>
    <w:uiPriority w:val="0"/>
    <w:rPr>
      <w:rFonts w:ascii="Courier New" w:hAnsi="Courier New" w:eastAsia="Courier New"/>
      <w:sz w:val="24"/>
    </w:rPr>
  </w:style>
  <w:style w:type="paragraph" w:customStyle="1" w:styleId="98">
    <w:name w:val="样式 宋体 小四"/>
    <w:basedOn w:val="1"/>
    <w:link w:val="97"/>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99">
    <w:name w:val="Default Paragraph Font New"/>
    <w:qFormat/>
    <w:uiPriority w:val="0"/>
    <w:rPr>
      <w:rFonts w:hint="default"/>
    </w:rPr>
  </w:style>
  <w:style w:type="character" w:customStyle="1" w:styleId="100">
    <w:name w:val="文一 Char Char"/>
    <w:link w:val="101"/>
    <w:qFormat/>
    <w:uiPriority w:val="0"/>
    <w:rPr>
      <w:spacing w:val="4"/>
      <w:sz w:val="24"/>
      <w:szCs w:val="24"/>
    </w:rPr>
  </w:style>
  <w:style w:type="paragraph" w:customStyle="1" w:styleId="101">
    <w:name w:val="文一"/>
    <w:basedOn w:val="1"/>
    <w:link w:val="100"/>
    <w:qFormat/>
    <w:uiPriority w:val="0"/>
    <w:pPr>
      <w:topLinePunct/>
      <w:adjustRightInd w:val="0"/>
      <w:snapToGrid w:val="0"/>
      <w:spacing w:line="360" w:lineRule="auto"/>
      <w:ind w:firstLine="200" w:firstLineChars="200"/>
    </w:pPr>
    <w:rPr>
      <w:spacing w:val="4"/>
      <w:sz w:val="24"/>
      <w:szCs w:val="24"/>
    </w:rPr>
  </w:style>
  <w:style w:type="character" w:customStyle="1" w:styleId="102">
    <w:name w:val="无间隔 Char Char"/>
    <w:link w:val="103"/>
    <w:qFormat/>
    <w:uiPriority w:val="0"/>
    <w:rPr>
      <w:szCs w:val="24"/>
    </w:rPr>
  </w:style>
  <w:style w:type="paragraph" w:customStyle="1" w:styleId="103">
    <w:name w:val="无间隔1"/>
    <w:link w:val="10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04">
    <w:name w:val="18"/>
    <w:qFormat/>
    <w:uiPriority w:val="0"/>
    <w:rPr>
      <w:rFonts w:hint="default" w:ascii="Calibri" w:hAnsi="Calibri" w:cs="Calibri"/>
      <w:b/>
      <w:bCs/>
      <w:sz w:val="30"/>
      <w:szCs w:val="30"/>
    </w:rPr>
  </w:style>
  <w:style w:type="character" w:customStyle="1" w:styleId="105">
    <w:name w:val="16"/>
    <w:qFormat/>
    <w:uiPriority w:val="0"/>
    <w:rPr>
      <w:rFonts w:hint="default" w:ascii="Calibri" w:hAnsi="Calibri" w:cs="Calibri"/>
      <w:color w:val="0000FF"/>
      <w:u w:val="single"/>
    </w:rPr>
  </w:style>
  <w:style w:type="character" w:customStyle="1" w:styleId="106">
    <w:name w:val="样式3 Char Char"/>
    <w:link w:val="107"/>
    <w:qFormat/>
    <w:uiPriority w:val="0"/>
    <w:rPr>
      <w:rFonts w:eastAsia="Times New Roman"/>
      <w:b/>
      <w:sz w:val="24"/>
    </w:rPr>
  </w:style>
  <w:style w:type="paragraph" w:customStyle="1" w:styleId="107">
    <w:name w:val="样式3"/>
    <w:link w:val="106"/>
    <w:qFormat/>
    <w:uiPriority w:val="0"/>
    <w:pPr>
      <w:tabs>
        <w:tab w:val="left" w:pos="1140"/>
      </w:tabs>
      <w:spacing w:line="480" w:lineRule="exact"/>
      <w:ind w:left="1140" w:hanging="720"/>
    </w:pPr>
    <w:rPr>
      <w:rFonts w:eastAsia="Times New Roman" w:asciiTheme="minorHAnsi" w:hAnsiTheme="minorHAnsi" w:cstheme="minorBidi"/>
      <w:b/>
      <w:kern w:val="2"/>
      <w:sz w:val="24"/>
      <w:szCs w:val="22"/>
      <w:lang w:val="en-US" w:eastAsia="zh-CN" w:bidi="ar-SA"/>
    </w:rPr>
  </w:style>
  <w:style w:type="character" w:customStyle="1" w:styleId="108">
    <w:name w:val="一级标题 Char Char"/>
    <w:link w:val="109"/>
    <w:qFormat/>
    <w:uiPriority w:val="0"/>
    <w:rPr>
      <w:b/>
      <w:sz w:val="30"/>
      <w:szCs w:val="30"/>
    </w:rPr>
  </w:style>
  <w:style w:type="paragraph" w:customStyle="1" w:styleId="109">
    <w:name w:val="一级标题"/>
    <w:basedOn w:val="1"/>
    <w:link w:val="108"/>
    <w:qFormat/>
    <w:uiPriority w:val="0"/>
    <w:pPr>
      <w:spacing w:line="360" w:lineRule="auto"/>
      <w:outlineLvl w:val="0"/>
    </w:pPr>
    <w:rPr>
      <w:b/>
      <w:sz w:val="30"/>
      <w:szCs w:val="30"/>
    </w:rPr>
  </w:style>
  <w:style w:type="character" w:customStyle="1" w:styleId="110">
    <w:name w:val="Default Paragraph Font New New New"/>
    <w:qFormat/>
    <w:uiPriority w:val="0"/>
    <w:rPr>
      <w:rFonts w:hint="default"/>
    </w:rPr>
  </w:style>
  <w:style w:type="character" w:customStyle="1" w:styleId="111">
    <w:name w:val="默认段落字体1"/>
    <w:qFormat/>
    <w:uiPriority w:val="0"/>
    <w:rPr>
      <w:rFonts w:hint="default"/>
    </w:rPr>
  </w:style>
  <w:style w:type="character" w:customStyle="1" w:styleId="112">
    <w:name w:val="正文(仿)首缩 Char"/>
    <w:link w:val="113"/>
    <w:qFormat/>
    <w:uiPriority w:val="0"/>
    <w:rPr>
      <w:rFonts w:ascii="仿宋_GB2312" w:eastAsia="仿宋_GB2312"/>
      <w:sz w:val="28"/>
    </w:rPr>
  </w:style>
  <w:style w:type="paragraph" w:customStyle="1" w:styleId="113">
    <w:name w:val="正文(仿)首缩"/>
    <w:basedOn w:val="1"/>
    <w:link w:val="112"/>
    <w:qFormat/>
    <w:uiPriority w:val="0"/>
    <w:pPr>
      <w:ind w:firstLine="554" w:firstLineChars="200"/>
    </w:pPr>
    <w:rPr>
      <w:rFonts w:ascii="仿宋_GB2312" w:eastAsia="仿宋_GB2312"/>
      <w:sz w:val="28"/>
    </w:rPr>
  </w:style>
  <w:style w:type="character" w:customStyle="1" w:styleId="114">
    <w:name w:val="表格00 Char1"/>
    <w:link w:val="115"/>
    <w:qFormat/>
    <w:uiPriority w:val="0"/>
    <w:rPr>
      <w:rFonts w:eastAsia="Times New Roman"/>
      <w:szCs w:val="21"/>
    </w:rPr>
  </w:style>
  <w:style w:type="paragraph" w:customStyle="1" w:styleId="115">
    <w:name w:val="表格00"/>
    <w:link w:val="114"/>
    <w:qFormat/>
    <w:uiPriority w:val="0"/>
    <w:pPr>
      <w:widowControl w:val="0"/>
      <w:adjustRightInd w:val="0"/>
      <w:spacing w:line="140" w:lineRule="atLeast"/>
      <w:jc w:val="center"/>
      <w:outlineLvl w:val="8"/>
    </w:pPr>
    <w:rPr>
      <w:rFonts w:eastAsia="Times New Roman" w:asciiTheme="minorHAnsi" w:hAnsiTheme="minorHAnsi" w:cstheme="minorBidi"/>
      <w:kern w:val="2"/>
      <w:sz w:val="21"/>
      <w:szCs w:val="21"/>
      <w:lang w:val="en-US" w:eastAsia="zh-CN" w:bidi="ar-SA"/>
    </w:rPr>
  </w:style>
  <w:style w:type="character" w:customStyle="1" w:styleId="116">
    <w:name w:val="样式 小四 首行缩进:  0.85 厘米 行距: 1.5 倍行距 Char1"/>
    <w:link w:val="117"/>
    <w:qFormat/>
    <w:uiPriority w:val="0"/>
    <w:rPr>
      <w:rFonts w:ascii="Courier New" w:hAnsi="Courier New" w:eastAsia="Courier New"/>
      <w:bCs/>
      <w:sz w:val="24"/>
      <w:szCs w:val="28"/>
    </w:rPr>
  </w:style>
  <w:style w:type="paragraph" w:customStyle="1" w:styleId="117">
    <w:name w:val="样式 小四 首行缩进:  0.85 厘米 行距: 1.5 倍行距"/>
    <w:basedOn w:val="1"/>
    <w:next w:val="1"/>
    <w:link w:val="116"/>
    <w:qFormat/>
    <w:uiPriority w:val="0"/>
    <w:pPr>
      <w:spacing w:line="360" w:lineRule="auto"/>
      <w:ind w:firstLine="480"/>
    </w:pPr>
    <w:rPr>
      <w:rFonts w:ascii="Courier New" w:hAnsi="Courier New" w:eastAsia="Courier New"/>
      <w:bCs/>
      <w:sz w:val="24"/>
      <w:szCs w:val="28"/>
    </w:rPr>
  </w:style>
  <w:style w:type="character" w:customStyle="1" w:styleId="118">
    <w:name w:val="Default Paragraph Font New New"/>
    <w:qFormat/>
    <w:uiPriority w:val="0"/>
    <w:rPr>
      <w:rFonts w:hint="default"/>
    </w:rPr>
  </w:style>
  <w:style w:type="character" w:customStyle="1" w:styleId="119">
    <w:name w:val="泉州师院正文 Char Char"/>
    <w:link w:val="120"/>
    <w:qFormat/>
    <w:uiPriority w:val="0"/>
    <w:rPr>
      <w:sz w:val="24"/>
      <w:szCs w:val="24"/>
    </w:rPr>
  </w:style>
  <w:style w:type="paragraph" w:customStyle="1" w:styleId="120">
    <w:name w:val="泉州师院正文"/>
    <w:basedOn w:val="1"/>
    <w:link w:val="119"/>
    <w:qFormat/>
    <w:uiPriority w:val="0"/>
    <w:pPr>
      <w:spacing w:line="360" w:lineRule="auto"/>
      <w:ind w:firstLine="480" w:firstLineChars="200"/>
    </w:pPr>
    <w:rPr>
      <w:sz w:val="24"/>
      <w:szCs w:val="24"/>
    </w:rPr>
  </w:style>
  <w:style w:type="character" w:customStyle="1" w:styleId="121">
    <w:name w:val="10"/>
    <w:qFormat/>
    <w:uiPriority w:val="0"/>
    <w:rPr>
      <w:rFonts w:hint="default" w:ascii="Calibri" w:hAnsi="Calibri" w:cs="Calibri"/>
    </w:rPr>
  </w:style>
  <w:style w:type="character" w:customStyle="1" w:styleId="122">
    <w:name w:val="15"/>
    <w:qFormat/>
    <w:uiPriority w:val="0"/>
    <w:rPr>
      <w:rFonts w:hint="default" w:ascii="Calibri" w:hAnsi="Calibri" w:cs="Calibri"/>
      <w:color w:val="0000FF"/>
      <w:u w:val="single"/>
    </w:rPr>
  </w:style>
  <w:style w:type="paragraph" w:customStyle="1" w:styleId="123">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4">
    <w:name w:val="正题"/>
    <w:basedOn w:val="101"/>
    <w:next w:val="101"/>
    <w:qFormat/>
    <w:uiPriority w:val="0"/>
    <w:pPr>
      <w:ind w:firstLine="0" w:firstLineChars="0"/>
      <w:jc w:val="center"/>
    </w:pPr>
    <w:rPr>
      <w:rFonts w:ascii="等线" w:hAnsi="等线" w:eastAsia="黑体"/>
      <w:b/>
      <w:snapToGrid w:val="0"/>
      <w:sz w:val="36"/>
      <w:szCs w:val="36"/>
    </w:rPr>
  </w:style>
  <w:style w:type="paragraph" w:customStyle="1" w:styleId="125">
    <w:name w:val="列出段落1"/>
    <w:basedOn w:val="1"/>
    <w:qFormat/>
    <w:uiPriority w:val="0"/>
    <w:pPr>
      <w:ind w:firstLine="420" w:firstLineChars="200"/>
    </w:pPr>
    <w:rPr>
      <w:rFonts w:ascii="Calibri" w:hAnsi="Calibri" w:eastAsia="宋体" w:cs="Times New Roman"/>
    </w:rPr>
  </w:style>
  <w:style w:type="paragraph" w:customStyle="1" w:styleId="12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7">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styleId="128">
    <w:name w:val="List Paragraph"/>
    <w:basedOn w:val="1"/>
    <w:qFormat/>
    <w:uiPriority w:val="0"/>
    <w:pPr>
      <w:ind w:firstLine="420" w:firstLineChars="200"/>
    </w:pPr>
    <w:rPr>
      <w:rFonts w:ascii="Times New Roman" w:hAnsi="Times New Roman" w:eastAsia="宋体" w:cs="Times New Roman"/>
      <w:szCs w:val="24"/>
    </w:rPr>
  </w:style>
  <w:style w:type="paragraph" w:customStyle="1" w:styleId="129">
    <w:name w:val="1eee"/>
    <w:basedOn w:val="2"/>
    <w:qFormat/>
    <w:uiPriority w:val="0"/>
    <w:rPr>
      <w:rFonts w:eastAsia="黑体" w:cs="宋体"/>
      <w:b w:val="0"/>
      <w:sz w:val="30"/>
    </w:rPr>
  </w:style>
  <w:style w:type="paragraph" w:customStyle="1" w:styleId="130">
    <w:name w:val="正文图标题"/>
    <w:next w:val="1"/>
    <w:qFormat/>
    <w:uiPriority w:val="0"/>
    <w:pPr>
      <w:tabs>
        <w:tab w:val="left" w:pos="420"/>
      </w:tabs>
      <w:ind w:left="567" w:hanging="279"/>
      <w:jc w:val="center"/>
    </w:pPr>
    <w:rPr>
      <w:rFonts w:ascii="黑体" w:hAnsi="Times New Roman" w:eastAsia="黑体" w:cs="Times New Roman"/>
      <w:sz w:val="21"/>
      <w:lang w:val="en-US" w:eastAsia="zh-CN" w:bidi="ar-SA"/>
    </w:rPr>
  </w:style>
  <w:style w:type="paragraph" w:customStyle="1" w:styleId="131">
    <w:name w:val="文二"/>
    <w:basedOn w:val="1"/>
    <w:qFormat/>
    <w:uiPriority w:val="0"/>
    <w:pPr>
      <w:jc w:val="left"/>
    </w:pPr>
    <w:rPr>
      <w:rFonts w:ascii="宋体" w:hAnsi="宋体" w:eastAsia="宋体" w:cs="Times New Roman"/>
      <w:szCs w:val="21"/>
    </w:rPr>
  </w:style>
  <w:style w:type="paragraph" w:customStyle="1" w:styleId="1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3">
    <w:name w:val="Normal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发文落款"/>
    <w:basedOn w:val="132"/>
    <w:qFormat/>
    <w:uiPriority w:val="0"/>
    <w:pPr>
      <w:ind w:left="4094" w:right="607" w:firstLine="0"/>
      <w:jc w:val="center"/>
    </w:pPr>
  </w:style>
  <w:style w:type="paragraph" w:customStyle="1" w:styleId="135">
    <w:name w:val="封一"/>
    <w:basedOn w:val="101"/>
    <w:next w:val="101"/>
    <w:qFormat/>
    <w:uiPriority w:val="0"/>
    <w:pPr>
      <w:ind w:firstLine="0" w:firstLineChars="0"/>
      <w:jc w:val="center"/>
    </w:pPr>
    <w:rPr>
      <w:rFonts w:ascii="等线" w:hAnsi="等线" w:eastAsia="黑体"/>
      <w:b/>
      <w:snapToGrid w:val="0"/>
      <w:sz w:val="84"/>
      <w:szCs w:val="84"/>
    </w:rPr>
  </w:style>
  <w:style w:type="paragraph" w:customStyle="1" w:styleId="136">
    <w:name w:val="_Style 59"/>
    <w:qFormat/>
    <w:uiPriority w:val="0"/>
    <w:pPr>
      <w:spacing w:after="160" w:line="240" w:lineRule="exact"/>
    </w:pPr>
    <w:rPr>
      <w:rFonts w:ascii="Times New Roman" w:hAnsi="Times New Roman" w:eastAsia="宋体" w:cs="Times New Roman"/>
      <w:lang w:val="en-US" w:eastAsia="zh-CN" w:bidi="ar-SA"/>
    </w:rPr>
  </w:style>
  <w:style w:type="paragraph" w:customStyle="1" w:styleId="137">
    <w:name w:val="封四"/>
    <w:basedOn w:val="101"/>
    <w:next w:val="101"/>
    <w:qFormat/>
    <w:uiPriority w:val="0"/>
    <w:pPr>
      <w:jc w:val="left"/>
    </w:pPr>
    <w:rPr>
      <w:rFonts w:ascii="等线" w:hAnsi="等线" w:eastAsia="等线"/>
      <w:snapToGrid w:val="0"/>
      <w:sz w:val="30"/>
      <w:szCs w:val="30"/>
    </w:rPr>
  </w:style>
  <w:style w:type="paragraph" w:customStyle="1" w:styleId="13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0">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1">
    <w:name w:val="Char Char Char Char Char Char Char1"/>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封二"/>
    <w:basedOn w:val="101"/>
    <w:next w:val="101"/>
    <w:qFormat/>
    <w:uiPriority w:val="0"/>
    <w:pPr>
      <w:ind w:firstLine="0" w:firstLineChars="0"/>
      <w:jc w:val="center"/>
    </w:pPr>
    <w:rPr>
      <w:rFonts w:ascii="等线" w:hAnsi="等线" w:eastAsia="黑体"/>
      <w:b/>
      <w:snapToGrid w:val="0"/>
      <w:sz w:val="36"/>
      <w:szCs w:val="36"/>
    </w:rPr>
  </w:style>
  <w:style w:type="paragraph" w:customStyle="1" w:styleId="144">
    <w:name w:val="样式 标题 3 + 首行缩进:  1.06 厘米"/>
    <w:basedOn w:val="4"/>
    <w:qFormat/>
    <w:uiPriority w:val="0"/>
  </w:style>
  <w:style w:type="paragraph" w:styleId="145">
    <w:name w:val="No Spacing"/>
    <w:qFormat/>
    <w:uiPriority w:val="0"/>
    <w:pPr>
      <w:widowControl w:val="0"/>
      <w:jc w:val="both"/>
    </w:pPr>
    <w:rPr>
      <w:rFonts w:ascii="Times New Roman" w:hAnsi="Times New Roman" w:eastAsia="Times New Roman" w:cs="Times New Roman"/>
      <w:kern w:val="2"/>
      <w:sz w:val="24"/>
      <w:szCs w:val="24"/>
      <w:lang w:val="en-US" w:eastAsia="zh-CN" w:bidi="ar-SA"/>
    </w:rPr>
  </w:style>
  <w:style w:type="paragraph" w:customStyle="1" w:styleId="1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szCs w:val="24"/>
    </w:rPr>
  </w:style>
  <w:style w:type="paragraph" w:customStyle="1" w:styleId="148">
    <w:name w:val="TOC 标题1"/>
    <w:basedOn w:val="2"/>
    <w:next w:val="1"/>
    <w:qFormat/>
    <w:uiPriority w:val="0"/>
    <w:pPr>
      <w:widowControl/>
      <w:spacing w:before="480" w:line="276" w:lineRule="auto"/>
      <w:jc w:val="left"/>
      <w:outlineLvl w:val="9"/>
    </w:pPr>
    <w:rPr>
      <w:rFonts w:ascii="Cambria" w:hAnsi="Cambria"/>
      <w:color w:val="365F91"/>
      <w:kern w:val="0"/>
      <w:sz w:val="28"/>
      <w:szCs w:val="28"/>
      <w:lang w:val="en-US"/>
    </w:rPr>
  </w:style>
  <w:style w:type="paragraph" w:customStyle="1" w:styleId="149">
    <w:name w:val="表格内容"/>
    <w:basedOn w:val="1"/>
    <w:qFormat/>
    <w:uiPriority w:val="0"/>
    <w:pPr>
      <w:adjustRightInd w:val="0"/>
      <w:snapToGrid w:val="0"/>
      <w:spacing w:line="288" w:lineRule="auto"/>
      <w:jc w:val="center"/>
    </w:pPr>
    <w:rPr>
      <w:rFonts w:ascii="Times New Roman" w:hAnsi="Times New Roman" w:eastAsia="宋体" w:cs="Times New Roman"/>
      <w:szCs w:val="24"/>
    </w:rPr>
  </w:style>
  <w:style w:type="paragraph" w:customStyle="1" w:styleId="150">
    <w:name w:val="Plain Text1"/>
    <w:basedOn w:val="1"/>
    <w:qFormat/>
    <w:uiPriority w:val="99"/>
    <w:rPr>
      <w:rFonts w:ascii="宋体" w:hAnsi="Courier New" w:eastAsia="宋体" w:cs="Times New Roman"/>
      <w:kern w:val="0"/>
      <w:sz w:val="20"/>
      <w:szCs w:val="20"/>
    </w:rPr>
  </w:style>
  <w:style w:type="character" w:styleId="151">
    <w:name w:val="Placeholder Text"/>
    <w:basedOn w:val="47"/>
    <w:semiHidden/>
    <w:qFormat/>
    <w:uiPriority w:val="99"/>
    <w:rPr>
      <w:color w:val="808080"/>
    </w:rPr>
  </w:style>
  <w:style w:type="paragraph" w:customStyle="1" w:styleId="152">
    <w:name w:val="p16"/>
    <w:basedOn w:val="1"/>
    <w:qFormat/>
    <w:uiPriority w:val="0"/>
    <w:pPr>
      <w:widowControl/>
    </w:pPr>
    <w:rPr>
      <w:rFonts w:ascii="Times New Roman" w:hAnsi="Times New Roman" w:eastAsia="宋体" w:cs="Times New Roman"/>
      <w:kern w:val="0"/>
      <w:sz w:val="32"/>
      <w:szCs w:val="32"/>
    </w:rPr>
  </w:style>
  <w:style w:type="character" w:customStyle="1" w:styleId="153">
    <w:name w:val="username"/>
    <w:basedOn w:val="47"/>
    <w:qFormat/>
    <w:uiPriority w:val="0"/>
  </w:style>
  <w:style w:type="character" w:customStyle="1" w:styleId="154">
    <w:name w:val="title26"/>
    <w:basedOn w:val="47"/>
    <w:qFormat/>
    <w:uiPriority w:val="0"/>
  </w:style>
  <w:style w:type="character" w:customStyle="1" w:styleId="155">
    <w:name w:val="font01"/>
    <w:qFormat/>
    <w:uiPriority w:val="0"/>
    <w:rPr>
      <w:rFonts w:hint="eastAsia" w:ascii="宋体" w:hAnsi="宋体" w:eastAsia="宋体" w:cs="宋体"/>
      <w:color w:val="000000"/>
      <w:sz w:val="21"/>
      <w:szCs w:val="21"/>
      <w:u w:val="none"/>
    </w:rPr>
  </w:style>
  <w:style w:type="paragraph" w:customStyle="1" w:styleId="15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title24"/>
    <w:basedOn w:val="47"/>
    <w:qFormat/>
    <w:uiPriority w:val="0"/>
  </w:style>
  <w:style w:type="paragraph" w:customStyle="1" w:styleId="158">
    <w:name w:val="正文 New New"/>
    <w:autoRedefine/>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159">
    <w:name w:val="标题 3 字符1"/>
    <w:basedOn w:val="47"/>
    <w:semiHidden/>
    <w:qFormat/>
    <w:uiPriority w:val="9"/>
    <w:rPr>
      <w:b/>
      <w:bCs/>
      <w:sz w:val="32"/>
      <w:szCs w:val="32"/>
    </w:rPr>
  </w:style>
  <w:style w:type="paragraph" w:customStyle="1" w:styleId="16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FF44-A29B-4A48-94DC-78AE2EF3A295}">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19825</Words>
  <Characters>21122</Characters>
  <Lines>42</Lines>
  <Paragraphs>64</Paragraphs>
  <TotalTime>0</TotalTime>
  <ScaleCrop>false</ScaleCrop>
  <LinksUpToDate>false</LinksUpToDate>
  <CharactersWithSpaces>21544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2025-03-19T04:34:00Z</dcterms:created>
  <dc:creator>GHJL</dc:creator>
  <cp:lastModifiedBy>招标代理</cp:lastModifiedBy>
  <dcterms:modified xsi:type="dcterms:W3CDTF">2025-07-22T07:04:00Z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eyJoZGlkIjoiMDljYzUzMWQ4OWI0YzBkYjYzMDRhZTY5ZjZkYmFmYTgiLCJ1c2VySWQiOiIxNzg3NjIyMyJ9</vt:lpwstr>
  </property>
  <property fmtid="{D5CDD505-2E9C-101B-9397-08002B2CF9AE}" pid="3" name="KSOProductBuildVer">
    <vt:lpwstr>2052-12.1.0.21915</vt:lpwstr>
  </property>
  <property fmtid="{D5CDD505-2E9C-101B-9397-08002B2CF9AE}" pid="4" name="ICV">
    <vt:lpwstr>5F005825D2854CDE9C3B088B9D97352A_12</vt:lpwstr>
  </property>
</Properties>
</file>