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47B44">
      <w:pPr>
        <w:pageBreakBefore w:val="0"/>
        <w:kinsoku/>
        <w:overflowPunct/>
        <w:topLinePunct w:val="0"/>
        <w:bidi w:val="0"/>
        <w:snapToGrid w:val="0"/>
        <w:spacing w:after="0" w:line="360" w:lineRule="auto"/>
        <w:ind w:firstLine="560" w:firstLineChars="200"/>
        <w:jc w:val="left"/>
        <w:rPr>
          <w:rFonts w:hint="eastAsia" w:ascii="仿宋" w:hAnsi="仿宋" w:eastAsia="仿宋" w:cs="仿宋"/>
          <w:b/>
          <w:color w:val="auto"/>
          <w:spacing w:val="0"/>
          <w:sz w:val="24"/>
          <w:szCs w:val="24"/>
          <w:highlight w:val="none"/>
          <w:u w:val="single"/>
        </w:rPr>
      </w:pPr>
      <w:permStart w:id="0" w:edGrp="everyone"/>
      <w:r>
        <w:rPr>
          <w:rFonts w:ascii="仿宋" w:hAnsi="仿宋" w:eastAsia="仿宋"/>
          <w:bCs/>
          <w:color w:val="auto"/>
          <w:spacing w:val="0"/>
          <w:sz w:val="28"/>
          <w:szCs w:val="28"/>
          <w:highlight w:val="none"/>
        </w:rPr>
        <w:t>FB-2024-1.1.1</w:t>
      </w:r>
      <w:r>
        <w:rPr>
          <w:rFonts w:hint="eastAsia" w:ascii="仿宋" w:hAnsi="仿宋" w:eastAsia="仿宋"/>
          <w:bCs/>
          <w:color w:val="auto"/>
          <w:spacing w:val="0"/>
          <w:sz w:val="28"/>
          <w:szCs w:val="28"/>
          <w:highlight w:val="none"/>
          <w:lang w:val="en-US" w:eastAsia="zh-CN"/>
        </w:rPr>
        <w:t xml:space="preserve"> </w:t>
      </w:r>
      <w:permEnd w:id="0"/>
    </w:p>
    <w:p w14:paraId="0D4A678D">
      <w:pPr>
        <w:pStyle w:val="3"/>
        <w:pageBreakBefore w:val="0"/>
        <w:kinsoku/>
        <w:overflowPunct/>
        <w:topLinePunct w:val="0"/>
        <w:bidi w:val="0"/>
        <w:snapToGrid w:val="0"/>
        <w:spacing w:line="360" w:lineRule="auto"/>
        <w:jc w:val="center"/>
        <w:rPr>
          <w:rFonts w:hint="eastAsia" w:ascii="楷体" w:hAnsi="楷体" w:eastAsia="楷体" w:cs="楷体"/>
          <w:b/>
          <w:bCs/>
          <w:color w:val="auto"/>
          <w:spacing w:val="0"/>
          <w:sz w:val="40"/>
          <w:szCs w:val="40"/>
          <w:highlight w:val="none"/>
          <w:u w:val="single"/>
          <w:lang w:val="en-US" w:eastAsia="zh-CN"/>
        </w:rPr>
      </w:pPr>
      <w:r>
        <w:rPr>
          <w:rFonts w:hint="eastAsia" w:ascii="楷体" w:hAnsi="楷体" w:eastAsia="楷体" w:cs="楷体"/>
          <w:b/>
          <w:bCs/>
          <w:color w:val="auto"/>
          <w:spacing w:val="0"/>
          <w:sz w:val="40"/>
          <w:szCs w:val="40"/>
          <w:highlight w:val="none"/>
          <w:u w:val="single"/>
        </w:rPr>
        <w:t>天河区</w:t>
      </w:r>
      <w:r>
        <w:rPr>
          <w:rFonts w:hint="eastAsia" w:ascii="楷体" w:hAnsi="楷体" w:eastAsia="楷体" w:cs="楷体"/>
          <w:b/>
          <w:bCs/>
          <w:color w:val="auto"/>
          <w:spacing w:val="0"/>
          <w:sz w:val="40"/>
          <w:szCs w:val="40"/>
          <w:highlight w:val="none"/>
          <w:u w:val="single"/>
          <w:lang w:val="en-US" w:eastAsia="zh-CN"/>
        </w:rPr>
        <w:t>金融城东区</w:t>
      </w:r>
      <w:r>
        <w:rPr>
          <w:rFonts w:hint="eastAsia" w:ascii="楷体" w:hAnsi="楷体" w:eastAsia="楷体" w:cs="楷体"/>
          <w:b/>
          <w:bCs/>
          <w:color w:val="auto"/>
          <w:spacing w:val="0"/>
          <w:sz w:val="40"/>
          <w:szCs w:val="40"/>
          <w:highlight w:val="none"/>
          <w:u w:val="single"/>
        </w:rPr>
        <w:t>AT0</w:t>
      </w:r>
      <w:r>
        <w:rPr>
          <w:rFonts w:hint="eastAsia" w:ascii="楷体" w:hAnsi="楷体" w:eastAsia="楷体" w:cs="楷体"/>
          <w:b/>
          <w:bCs/>
          <w:color w:val="auto"/>
          <w:spacing w:val="0"/>
          <w:sz w:val="40"/>
          <w:szCs w:val="40"/>
          <w:highlight w:val="none"/>
          <w:u w:val="single"/>
          <w:lang w:val="en-US" w:eastAsia="zh-CN"/>
        </w:rPr>
        <w:t>91415</w:t>
      </w:r>
      <w:r>
        <w:rPr>
          <w:rFonts w:hint="eastAsia" w:ascii="楷体" w:hAnsi="楷体" w:eastAsia="楷体" w:cs="楷体"/>
          <w:b/>
          <w:bCs/>
          <w:color w:val="auto"/>
          <w:spacing w:val="0"/>
          <w:sz w:val="40"/>
          <w:szCs w:val="40"/>
          <w:highlight w:val="none"/>
          <w:u w:val="single"/>
        </w:rPr>
        <w:t>地块</w:t>
      </w:r>
    </w:p>
    <w:p w14:paraId="60D7D28A">
      <w:pPr>
        <w:pStyle w:val="3"/>
        <w:pageBreakBefore w:val="0"/>
        <w:kinsoku/>
        <w:overflowPunct/>
        <w:topLinePunct w:val="0"/>
        <w:bidi w:val="0"/>
        <w:snapToGrid w:val="0"/>
        <w:spacing w:line="360" w:lineRule="auto"/>
        <w:jc w:val="right"/>
        <w:rPr>
          <w:rFonts w:hint="eastAsia" w:ascii="楷体" w:hAnsi="楷体" w:eastAsia="楷体" w:cs="楷体"/>
          <w:b/>
          <w:bCs/>
          <w:color w:val="auto"/>
          <w:spacing w:val="0"/>
          <w:sz w:val="40"/>
          <w:szCs w:val="40"/>
          <w:highlight w:val="none"/>
        </w:rPr>
      </w:pPr>
      <w:r>
        <w:rPr>
          <w:rFonts w:hint="eastAsia" w:ascii="楷体" w:hAnsi="楷体" w:eastAsia="楷体" w:cs="楷体"/>
          <w:b/>
          <w:bCs/>
          <w:color w:val="auto"/>
          <w:spacing w:val="0"/>
          <w:sz w:val="40"/>
          <w:szCs w:val="40"/>
          <w:highlight w:val="none"/>
          <w:u w:val="single"/>
        </w:rPr>
        <w:t>基坑支护</w:t>
      </w:r>
      <w:r>
        <w:rPr>
          <w:rFonts w:hint="eastAsia" w:ascii="楷体" w:hAnsi="楷体" w:eastAsia="楷体" w:cs="楷体"/>
          <w:b/>
          <w:bCs/>
          <w:color w:val="auto"/>
          <w:spacing w:val="0"/>
          <w:sz w:val="40"/>
          <w:szCs w:val="40"/>
          <w:highlight w:val="none"/>
          <w:u w:val="single"/>
          <w:lang w:val="en-US" w:eastAsia="zh-CN"/>
        </w:rPr>
        <w:t>和</w:t>
      </w:r>
      <w:r>
        <w:rPr>
          <w:rFonts w:hint="eastAsia" w:ascii="楷体" w:hAnsi="楷体" w:eastAsia="楷体" w:cs="楷体"/>
          <w:b/>
          <w:bCs/>
          <w:color w:val="auto"/>
          <w:spacing w:val="0"/>
          <w:sz w:val="40"/>
          <w:szCs w:val="40"/>
          <w:highlight w:val="none"/>
          <w:u w:val="single"/>
        </w:rPr>
        <w:t>土方开挖工程</w:t>
      </w:r>
      <w:r>
        <w:rPr>
          <w:rFonts w:hint="eastAsia" w:ascii="楷体" w:hAnsi="楷体" w:eastAsia="楷体" w:cs="楷体"/>
          <w:b/>
          <w:bCs/>
          <w:color w:val="auto"/>
          <w:spacing w:val="0"/>
          <w:sz w:val="40"/>
          <w:szCs w:val="40"/>
          <w:highlight w:val="none"/>
          <w:lang w:val="en-US" w:eastAsia="zh-CN"/>
        </w:rPr>
        <w:t>设计</w:t>
      </w:r>
      <w:r>
        <w:rPr>
          <w:rFonts w:hint="eastAsia" w:ascii="楷体" w:hAnsi="楷体" w:eastAsia="楷体" w:cs="楷体"/>
          <w:b/>
          <w:bCs/>
          <w:color w:val="auto"/>
          <w:spacing w:val="0"/>
          <w:sz w:val="40"/>
          <w:szCs w:val="40"/>
          <w:highlight w:val="none"/>
        </w:rPr>
        <w:t>施工</w:t>
      </w:r>
      <w:r>
        <w:rPr>
          <w:rFonts w:hint="eastAsia" w:ascii="楷体" w:hAnsi="楷体" w:eastAsia="楷体" w:cs="楷体"/>
          <w:b/>
          <w:bCs/>
          <w:color w:val="auto"/>
          <w:spacing w:val="0"/>
          <w:sz w:val="40"/>
          <w:szCs w:val="40"/>
          <w:highlight w:val="none"/>
          <w:lang w:val="en-US" w:eastAsia="zh-CN"/>
        </w:rPr>
        <w:t>总承包</w:t>
      </w:r>
      <w:r>
        <w:rPr>
          <w:rFonts w:hint="eastAsia" w:ascii="楷体" w:hAnsi="楷体" w:eastAsia="楷体" w:cs="楷体"/>
          <w:b/>
          <w:bCs/>
          <w:color w:val="auto"/>
          <w:spacing w:val="0"/>
          <w:sz w:val="40"/>
          <w:szCs w:val="40"/>
          <w:highlight w:val="none"/>
        </w:rPr>
        <w:t>合同</w:t>
      </w:r>
    </w:p>
    <w:p w14:paraId="47BFF807">
      <w:pPr>
        <w:pStyle w:val="3"/>
        <w:pageBreakBefore w:val="0"/>
        <w:kinsoku/>
        <w:overflowPunct/>
        <w:topLinePunct w:val="0"/>
        <w:bidi w:val="0"/>
        <w:snapToGrid w:val="0"/>
        <w:spacing w:line="360" w:lineRule="auto"/>
        <w:jc w:val="right"/>
        <w:rPr>
          <w:rFonts w:hint="eastAsia" w:ascii="楷体" w:hAnsi="楷体" w:eastAsia="楷体" w:cs="楷体"/>
          <w:b/>
          <w:bCs/>
          <w:color w:val="auto"/>
          <w:spacing w:val="0"/>
          <w:sz w:val="24"/>
          <w:szCs w:val="24"/>
          <w:highlight w:val="none"/>
        </w:rPr>
      </w:pPr>
      <w:r>
        <w:rPr>
          <w:rFonts w:hint="eastAsia" w:ascii="楷体" w:hAnsi="楷体" w:eastAsia="楷体" w:cs="楷体"/>
          <w:b/>
          <w:bCs/>
          <w:color w:val="auto"/>
          <w:spacing w:val="0"/>
          <w:sz w:val="24"/>
          <w:szCs w:val="24"/>
          <w:highlight w:val="none"/>
        </w:rPr>
        <w:t>合同编号：锦</w:t>
      </w:r>
      <w:r>
        <w:rPr>
          <w:rFonts w:hint="eastAsia" w:ascii="楷体" w:hAnsi="楷体" w:eastAsia="楷体" w:cs="楷体"/>
          <w:b/>
          <w:bCs/>
          <w:color w:val="auto"/>
          <w:spacing w:val="0"/>
          <w:sz w:val="24"/>
          <w:szCs w:val="24"/>
          <w:highlight w:val="none"/>
          <w:lang w:val="en-US" w:eastAsia="zh-CN"/>
        </w:rPr>
        <w:t>泷</w:t>
      </w:r>
      <w:r>
        <w:rPr>
          <w:rFonts w:hint="eastAsia" w:ascii="楷体" w:hAnsi="楷体" w:eastAsia="楷体" w:cs="楷体"/>
          <w:b/>
          <w:bCs/>
          <w:color w:val="auto"/>
          <w:spacing w:val="0"/>
          <w:sz w:val="24"/>
          <w:szCs w:val="24"/>
          <w:highlight w:val="none"/>
        </w:rPr>
        <w:t>合工【202</w:t>
      </w:r>
      <w:r>
        <w:rPr>
          <w:rFonts w:hint="eastAsia" w:ascii="楷体" w:hAnsi="楷体" w:eastAsia="楷体" w:cs="楷体"/>
          <w:b/>
          <w:bCs/>
          <w:color w:val="auto"/>
          <w:spacing w:val="0"/>
          <w:sz w:val="24"/>
          <w:szCs w:val="24"/>
          <w:highlight w:val="none"/>
          <w:lang w:val="en-US" w:eastAsia="zh-CN"/>
        </w:rPr>
        <w:t>5</w:t>
      </w:r>
      <w:r>
        <w:rPr>
          <w:rFonts w:hint="eastAsia" w:ascii="楷体" w:hAnsi="楷体" w:eastAsia="楷体" w:cs="楷体"/>
          <w:b/>
          <w:bCs/>
          <w:color w:val="auto"/>
          <w:spacing w:val="0"/>
          <w:sz w:val="24"/>
          <w:szCs w:val="24"/>
          <w:highlight w:val="none"/>
        </w:rPr>
        <w:t>】   号</w:t>
      </w:r>
    </w:p>
    <w:p w14:paraId="2A1B587B">
      <w:pPr>
        <w:pageBreakBefore w:val="0"/>
        <w:kinsoku/>
        <w:overflowPunct/>
        <w:topLinePunct w:val="0"/>
        <w:bidi w:val="0"/>
        <w:snapToGrid w:val="0"/>
        <w:spacing w:line="360" w:lineRule="auto"/>
        <w:rPr>
          <w:rFonts w:hint="eastAsia"/>
          <w:color w:val="auto"/>
          <w:spacing w:val="0"/>
          <w:highlight w:val="none"/>
        </w:rPr>
      </w:pPr>
    </w:p>
    <w:p w14:paraId="0D1E85CE">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rPr>
      </w:pPr>
      <w:r>
        <w:rPr>
          <w:rFonts w:hint="eastAsia" w:ascii="楷体" w:hAnsi="楷体" w:eastAsia="楷体" w:cs="楷体"/>
          <w:b/>
          <w:color w:val="auto"/>
          <w:spacing w:val="0"/>
          <w:sz w:val="28"/>
          <w:szCs w:val="28"/>
          <w:highlight w:val="none"/>
        </w:rPr>
        <w:t>发包人： 广州锦</w:t>
      </w:r>
      <w:r>
        <w:rPr>
          <w:rFonts w:hint="eastAsia" w:ascii="楷体" w:hAnsi="楷体" w:eastAsia="楷体" w:cs="楷体"/>
          <w:b/>
          <w:color w:val="auto"/>
          <w:spacing w:val="0"/>
          <w:sz w:val="28"/>
          <w:szCs w:val="28"/>
          <w:highlight w:val="none"/>
          <w:lang w:val="en-US" w:eastAsia="zh-CN"/>
        </w:rPr>
        <w:t>泷</w:t>
      </w:r>
      <w:r>
        <w:rPr>
          <w:rFonts w:hint="eastAsia" w:ascii="楷体" w:hAnsi="楷体" w:eastAsia="楷体" w:cs="楷体"/>
          <w:b/>
          <w:color w:val="auto"/>
          <w:spacing w:val="0"/>
          <w:sz w:val="28"/>
          <w:szCs w:val="28"/>
          <w:highlight w:val="none"/>
        </w:rPr>
        <w:t xml:space="preserve">房地产开发有限公司  </w:t>
      </w:r>
    </w:p>
    <w:p w14:paraId="09DEF2EB">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rPr>
      </w:pPr>
    </w:p>
    <w:p w14:paraId="6D6B8813">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color w:val="auto"/>
          <w:spacing w:val="0"/>
          <w:sz w:val="28"/>
          <w:szCs w:val="28"/>
          <w:highlight w:val="none"/>
        </w:rPr>
      </w:pPr>
      <w:r>
        <w:rPr>
          <w:rFonts w:hint="eastAsia" w:ascii="楷体" w:hAnsi="楷体" w:eastAsia="楷体" w:cs="楷体"/>
          <w:b/>
          <w:color w:val="auto"/>
          <w:spacing w:val="0"/>
          <w:sz w:val="28"/>
          <w:szCs w:val="28"/>
          <w:highlight w:val="none"/>
        </w:rPr>
        <w:t>承包人</w:t>
      </w:r>
      <w:r>
        <w:rPr>
          <w:rFonts w:hint="eastAsia" w:ascii="楷体" w:hAnsi="楷体" w:eastAsia="楷体" w:cs="楷体"/>
          <w:b/>
          <w:color w:val="auto"/>
          <w:spacing w:val="0"/>
          <w:sz w:val="28"/>
          <w:szCs w:val="28"/>
          <w:highlight w:val="none"/>
          <w:lang w:eastAsia="zh-CN"/>
        </w:rPr>
        <w:t>（</w:t>
      </w:r>
      <w:r>
        <w:rPr>
          <w:rFonts w:hint="eastAsia" w:ascii="楷体" w:hAnsi="楷体" w:eastAsia="楷体" w:cs="楷体"/>
          <w:b/>
          <w:color w:val="auto"/>
          <w:spacing w:val="0"/>
          <w:sz w:val="28"/>
          <w:szCs w:val="28"/>
          <w:highlight w:val="none"/>
          <w:lang w:val="en-US" w:eastAsia="zh-CN"/>
        </w:rPr>
        <w:t>联合体主办</w:t>
      </w:r>
      <w:r>
        <w:rPr>
          <w:rFonts w:hint="eastAsia" w:ascii="楷体" w:hAnsi="楷体" w:eastAsia="楷体" w:cs="楷体"/>
          <w:b/>
          <w:color w:val="auto"/>
          <w:spacing w:val="0"/>
          <w:sz w:val="28"/>
          <w:szCs w:val="28"/>
          <w:highlight w:val="none"/>
          <w:lang w:eastAsia="zh-CN"/>
        </w:rPr>
        <w:t>）</w:t>
      </w:r>
      <w:r>
        <w:rPr>
          <w:rFonts w:hint="eastAsia" w:ascii="楷体" w:hAnsi="楷体" w:eastAsia="楷体" w:cs="楷体"/>
          <w:b/>
          <w:color w:val="auto"/>
          <w:spacing w:val="0"/>
          <w:sz w:val="28"/>
          <w:szCs w:val="28"/>
          <w:highlight w:val="none"/>
        </w:rPr>
        <w:t xml:space="preserve">：  </w:t>
      </w:r>
    </w:p>
    <w:p w14:paraId="52CAD7FB">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rPr>
      </w:pPr>
    </w:p>
    <w:p w14:paraId="012D7C9F">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rPr>
      </w:pPr>
      <w:r>
        <w:rPr>
          <w:rFonts w:hint="eastAsia" w:ascii="楷体" w:hAnsi="楷体" w:eastAsia="楷体" w:cs="楷体"/>
          <w:b/>
          <w:color w:val="auto"/>
          <w:spacing w:val="0"/>
          <w:sz w:val="28"/>
          <w:szCs w:val="28"/>
          <w:highlight w:val="none"/>
        </w:rPr>
        <w:t>承包人</w:t>
      </w:r>
      <w:r>
        <w:rPr>
          <w:rFonts w:hint="eastAsia" w:ascii="楷体" w:hAnsi="楷体" w:eastAsia="楷体" w:cs="楷体"/>
          <w:b/>
          <w:color w:val="auto"/>
          <w:spacing w:val="0"/>
          <w:sz w:val="28"/>
          <w:szCs w:val="28"/>
          <w:highlight w:val="none"/>
          <w:lang w:eastAsia="zh-CN"/>
        </w:rPr>
        <w:t>（</w:t>
      </w:r>
      <w:r>
        <w:rPr>
          <w:rFonts w:hint="eastAsia" w:ascii="楷体" w:hAnsi="楷体" w:eastAsia="楷体" w:cs="楷体"/>
          <w:b/>
          <w:color w:val="auto"/>
          <w:spacing w:val="0"/>
          <w:sz w:val="28"/>
          <w:szCs w:val="28"/>
          <w:highlight w:val="none"/>
          <w:lang w:val="en-US" w:eastAsia="zh-CN"/>
        </w:rPr>
        <w:t>联合体成员</w:t>
      </w:r>
      <w:r>
        <w:rPr>
          <w:rFonts w:hint="eastAsia" w:ascii="楷体" w:hAnsi="楷体" w:eastAsia="楷体" w:cs="楷体"/>
          <w:b/>
          <w:color w:val="auto"/>
          <w:spacing w:val="0"/>
          <w:sz w:val="28"/>
          <w:szCs w:val="28"/>
          <w:highlight w:val="none"/>
          <w:lang w:eastAsia="zh-CN"/>
        </w:rPr>
        <w:t>）</w:t>
      </w:r>
      <w:r>
        <w:rPr>
          <w:rFonts w:hint="eastAsia" w:ascii="楷体" w:hAnsi="楷体" w:eastAsia="楷体" w:cs="楷体"/>
          <w:b/>
          <w:color w:val="auto"/>
          <w:spacing w:val="0"/>
          <w:sz w:val="28"/>
          <w:szCs w:val="28"/>
          <w:highlight w:val="none"/>
        </w:rPr>
        <w:t>：</w:t>
      </w:r>
    </w:p>
    <w:p w14:paraId="7F62F61A">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rPr>
      </w:pPr>
    </w:p>
    <w:p w14:paraId="0FFE3CA8">
      <w:pPr>
        <w:pStyle w:val="4"/>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outlineLvl w:val="9"/>
        <w:rPr>
          <w:rFonts w:hint="eastAsia" w:ascii="楷体" w:hAnsi="楷体" w:eastAsia="楷体" w:cs="楷体"/>
          <w:color w:val="auto"/>
          <w:spacing w:val="0"/>
          <w:sz w:val="28"/>
          <w:szCs w:val="28"/>
          <w:highlight w:val="none"/>
        </w:rPr>
      </w:pPr>
    </w:p>
    <w:p w14:paraId="20CF4DCB">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rPr>
      </w:pPr>
      <w:r>
        <w:rPr>
          <w:rFonts w:hint="eastAsia" w:ascii="楷体" w:hAnsi="楷体" w:eastAsia="楷体" w:cs="楷体"/>
          <w:b/>
          <w:color w:val="auto"/>
          <w:spacing w:val="0"/>
          <w:sz w:val="28"/>
          <w:szCs w:val="28"/>
          <w:highlight w:val="none"/>
        </w:rPr>
        <w:t>工程地点：</w:t>
      </w:r>
      <w:r>
        <w:rPr>
          <w:rFonts w:hint="eastAsia" w:ascii="楷体" w:hAnsi="楷体" w:eastAsia="楷体" w:cs="楷体"/>
          <w:b/>
          <w:color w:val="auto"/>
          <w:spacing w:val="0"/>
          <w:sz w:val="28"/>
          <w:szCs w:val="28"/>
          <w:highlight w:val="none"/>
          <w:u w:val="single"/>
          <w:lang w:val="en-US" w:eastAsia="zh-CN"/>
        </w:rPr>
        <w:t>金融城东区，花城大道以南、规划一横路以北</w:t>
      </w:r>
      <w:r>
        <w:rPr>
          <w:rFonts w:hint="eastAsia" w:ascii="楷体" w:hAnsi="楷体" w:eastAsia="楷体" w:cs="楷体"/>
          <w:b/>
          <w:color w:val="auto"/>
          <w:spacing w:val="0"/>
          <w:sz w:val="28"/>
          <w:szCs w:val="28"/>
          <w:highlight w:val="none"/>
          <w:u w:val="single"/>
        </w:rPr>
        <w:t xml:space="preserve"> </w:t>
      </w:r>
      <w:r>
        <w:rPr>
          <w:rFonts w:hint="eastAsia" w:ascii="楷体" w:hAnsi="楷体" w:eastAsia="楷体" w:cs="楷体"/>
          <w:b/>
          <w:color w:val="auto"/>
          <w:spacing w:val="0"/>
          <w:sz w:val="28"/>
          <w:szCs w:val="28"/>
          <w:highlight w:val="none"/>
        </w:rPr>
        <w:t xml:space="preserve">     </w:t>
      </w:r>
    </w:p>
    <w:p w14:paraId="701713F0">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rPr>
      </w:pPr>
    </w:p>
    <w:p w14:paraId="38B93126">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rPr>
      </w:pPr>
      <w:r>
        <w:rPr>
          <w:rFonts w:hint="eastAsia" w:ascii="楷体" w:hAnsi="楷体" w:eastAsia="楷体" w:cs="楷体"/>
          <w:b/>
          <w:color w:val="auto"/>
          <w:spacing w:val="0"/>
          <w:sz w:val="28"/>
          <w:szCs w:val="28"/>
          <w:highlight w:val="none"/>
        </w:rPr>
        <w:t xml:space="preserve">签约地点：        </w:t>
      </w:r>
    </w:p>
    <w:p w14:paraId="3DD9F3A4">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u w:val="single"/>
        </w:rPr>
      </w:pPr>
    </w:p>
    <w:p w14:paraId="1116F6CB">
      <w:pPr>
        <w:keepNext w:val="0"/>
        <w:keepLines w:val="0"/>
        <w:pageBreakBefore w:val="0"/>
        <w:widowControl w:val="0"/>
        <w:kinsoku/>
        <w:wordWrap/>
        <w:overflowPunct/>
        <w:topLinePunct w:val="0"/>
        <w:autoSpaceDE/>
        <w:autoSpaceDN/>
        <w:bidi w:val="0"/>
        <w:adjustRightInd/>
        <w:snapToGrid w:val="0"/>
        <w:spacing w:before="156" w:line="312" w:lineRule="auto"/>
        <w:ind w:left="960" w:leftChars="400" w:firstLine="562"/>
        <w:textAlignment w:val="auto"/>
        <w:rPr>
          <w:rFonts w:hint="eastAsia" w:ascii="楷体" w:hAnsi="楷体" w:eastAsia="楷体" w:cs="楷体"/>
          <w:b/>
          <w:color w:val="auto"/>
          <w:spacing w:val="0"/>
          <w:sz w:val="28"/>
          <w:szCs w:val="28"/>
          <w:highlight w:val="none"/>
          <w:lang w:val="zh-CN"/>
        </w:rPr>
      </w:pPr>
      <w:r>
        <w:rPr>
          <w:rFonts w:hint="eastAsia" w:ascii="楷体" w:hAnsi="楷体" w:eastAsia="楷体" w:cs="楷体"/>
          <w:b/>
          <w:color w:val="auto"/>
          <w:spacing w:val="0"/>
          <w:sz w:val="28"/>
          <w:szCs w:val="28"/>
          <w:highlight w:val="none"/>
        </w:rPr>
        <w:t>签约日期：   年   月   日</w:t>
      </w:r>
    </w:p>
    <w:p w14:paraId="3F8FE314">
      <w:pPr>
        <w:pStyle w:val="25"/>
        <w:pageBreakBefore w:val="0"/>
        <w:kinsoku/>
        <w:overflowPunct/>
        <w:topLinePunct w:val="0"/>
        <w:bidi w:val="0"/>
        <w:snapToGrid w:val="0"/>
        <w:spacing w:before="156" w:after="0" w:line="360" w:lineRule="auto"/>
        <w:ind w:firstLine="480"/>
        <w:jc w:val="center"/>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lang w:val="zh-CN"/>
        </w:rPr>
        <w:t>目  录</w:t>
      </w:r>
    </w:p>
    <w:sdt>
      <w:sdtPr>
        <w:rPr>
          <w:rFonts w:hint="eastAsia" w:ascii="仿宋" w:hAnsi="仿宋" w:eastAsia="仿宋" w:cs="仿宋"/>
          <w:color w:val="auto"/>
          <w:spacing w:val="0"/>
          <w:kern w:val="2"/>
          <w:sz w:val="24"/>
          <w:szCs w:val="24"/>
          <w:highlight w:val="none"/>
          <w:lang w:val="en-US" w:eastAsia="zh-CN" w:bidi="ar-SA"/>
        </w:rPr>
        <w:id w:val="147479900"/>
        <w15:color w:val="DBDBDB"/>
        <w:docPartObj>
          <w:docPartGallery w:val="Table of Contents"/>
          <w:docPartUnique/>
        </w:docPartObj>
      </w:sdtPr>
      <w:sdtEndPr>
        <w:rPr>
          <w:rFonts w:hint="eastAsia" w:ascii="仿宋" w:hAnsi="仿宋" w:eastAsia="仿宋" w:cs="仿宋"/>
          <w:b/>
          <w:bCs/>
          <w:color w:val="auto"/>
          <w:spacing w:val="0"/>
          <w:kern w:val="44"/>
          <w:sz w:val="24"/>
          <w:szCs w:val="24"/>
          <w:highlight w:val="none"/>
          <w:lang w:val="en-US" w:eastAsia="zh-CN" w:bidi="ar-SA"/>
        </w:rPr>
      </w:sdtEndPr>
      <w:sdtContent>
        <w:p w14:paraId="11781E41">
          <w:pPr>
            <w:pageBreakBefore w:val="0"/>
            <w:kinsoku/>
            <w:overflowPunct/>
            <w:topLinePunct w:val="0"/>
            <w:bidi w:val="0"/>
            <w:snapToGrid w:val="0"/>
            <w:spacing w:before="0" w:beforeLines="0" w:after="0" w:afterLines="0" w:line="360" w:lineRule="auto"/>
            <w:ind w:left="0" w:leftChars="0" w:right="0" w:rightChars="0" w:firstLine="0" w:firstLineChars="0"/>
            <w:jc w:val="center"/>
            <w:rPr>
              <w:rFonts w:hint="eastAsia" w:ascii="仿宋" w:hAnsi="仿宋" w:eastAsia="仿宋" w:cs="仿宋"/>
              <w:color w:val="auto"/>
              <w:spacing w:val="0"/>
              <w:sz w:val="24"/>
              <w:szCs w:val="24"/>
              <w:highlight w:val="none"/>
            </w:rPr>
          </w:pPr>
        </w:p>
        <w:p w14:paraId="09DB94D7">
          <w:pPr>
            <w:pStyle w:val="14"/>
            <w:keepNext w:val="0"/>
            <w:keepLines w:val="0"/>
            <w:pageBreakBefore w:val="0"/>
            <w:widowControl w:val="0"/>
            <w:tabs>
              <w:tab w:val="right" w:leader="dot" w:pos="8958"/>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fldChar w:fldCharType="begin"/>
          </w:r>
          <w:r>
            <w:rPr>
              <w:rFonts w:hint="eastAsia" w:ascii="仿宋" w:hAnsi="仿宋" w:eastAsia="仿宋" w:cs="仿宋"/>
              <w:color w:val="auto"/>
              <w:spacing w:val="0"/>
              <w:sz w:val="24"/>
              <w:szCs w:val="24"/>
              <w:highlight w:val="none"/>
            </w:rPr>
            <w:instrText xml:space="preserve">TOC \o "1-2" \h \u </w:instrText>
          </w:r>
          <w:r>
            <w:rPr>
              <w:rFonts w:hint="eastAsia" w:ascii="仿宋" w:hAnsi="仿宋" w:eastAsia="仿宋" w:cs="仿宋"/>
              <w:color w:val="auto"/>
              <w:spacing w:val="0"/>
              <w:sz w:val="24"/>
              <w:szCs w:val="24"/>
              <w:highlight w:val="none"/>
            </w:rPr>
            <w:fldChar w:fldCharType="separate"/>
          </w:r>
          <w:r>
            <w:rPr>
              <w:rFonts w:hint="eastAsia" w:ascii="仿宋" w:hAnsi="仿宋" w:eastAsia="仿宋" w:cs="仿宋"/>
              <w:color w:val="auto"/>
              <w:spacing w:val="0"/>
              <w:sz w:val="24"/>
              <w:szCs w:val="24"/>
              <w:highlight w:val="none"/>
            </w:rPr>
            <w:fldChar w:fldCharType="begin"/>
          </w:r>
          <w:r>
            <w:rPr>
              <w:rFonts w:hint="eastAsia" w:ascii="仿宋" w:hAnsi="仿宋" w:eastAsia="仿宋" w:cs="仿宋"/>
              <w:color w:val="auto"/>
              <w:spacing w:val="0"/>
              <w:sz w:val="24"/>
              <w:szCs w:val="24"/>
              <w:highlight w:val="none"/>
            </w:rPr>
            <w:instrText xml:space="preserve"> HYPERLINK \l _Toc7143 </w:instrText>
          </w:r>
          <w:r>
            <w:rPr>
              <w:rFonts w:hint="eastAsia" w:ascii="仿宋" w:hAnsi="仿宋" w:eastAsia="仿宋" w:cs="仿宋"/>
              <w:color w:val="auto"/>
              <w:spacing w:val="0"/>
              <w:sz w:val="24"/>
              <w:szCs w:val="24"/>
              <w:highlight w:val="none"/>
            </w:rPr>
            <w:fldChar w:fldCharType="separate"/>
          </w:r>
          <w:r>
            <w:rPr>
              <w:rFonts w:hint="eastAsia" w:ascii="仿宋" w:hAnsi="仿宋" w:eastAsia="仿宋" w:cs="仿宋"/>
              <w:bCs/>
              <w:color w:val="auto"/>
              <w:spacing w:val="0"/>
              <w:kern w:val="44"/>
              <w:sz w:val="24"/>
              <w:szCs w:val="24"/>
              <w:highlight w:val="none"/>
              <w:lang w:val="zh-CN"/>
            </w:rPr>
            <w:t>第一部分 协议书</w:t>
          </w:r>
          <w:r>
            <w:rPr>
              <w:rFonts w:hint="eastAsia" w:ascii="仿宋" w:hAnsi="仿宋" w:eastAsia="仿宋" w:cs="仿宋"/>
              <w:color w:val="auto"/>
              <w:spacing w:val="0"/>
              <w:sz w:val="24"/>
              <w:szCs w:val="24"/>
              <w:highlight w:val="none"/>
            </w:rPr>
            <w:tab/>
          </w:r>
          <w:r>
            <w:rPr>
              <w:rFonts w:hint="eastAsia" w:ascii="仿宋" w:hAnsi="仿宋" w:eastAsia="仿宋" w:cs="仿宋"/>
              <w:color w:val="auto"/>
              <w:spacing w:val="0"/>
              <w:sz w:val="24"/>
              <w:szCs w:val="24"/>
              <w:highlight w:val="none"/>
            </w:rPr>
            <w:fldChar w:fldCharType="begin"/>
          </w:r>
          <w:r>
            <w:rPr>
              <w:rFonts w:hint="eastAsia" w:ascii="仿宋" w:hAnsi="仿宋" w:eastAsia="仿宋" w:cs="仿宋"/>
              <w:color w:val="auto"/>
              <w:spacing w:val="0"/>
              <w:sz w:val="24"/>
              <w:szCs w:val="24"/>
              <w:highlight w:val="none"/>
            </w:rPr>
            <w:instrText xml:space="preserve"> PAGEREF _Toc7143 \h </w:instrText>
          </w:r>
          <w:r>
            <w:rPr>
              <w:rFonts w:hint="eastAsia" w:ascii="仿宋" w:hAnsi="仿宋" w:eastAsia="仿宋" w:cs="仿宋"/>
              <w:color w:val="auto"/>
              <w:spacing w:val="0"/>
              <w:sz w:val="24"/>
              <w:szCs w:val="24"/>
              <w:highlight w:val="none"/>
            </w:rPr>
            <w:fldChar w:fldCharType="separate"/>
          </w:r>
          <w:r>
            <w:rPr>
              <w:rFonts w:hint="eastAsia" w:ascii="仿宋" w:hAnsi="仿宋" w:eastAsia="仿宋" w:cs="仿宋"/>
              <w:color w:val="auto"/>
              <w:spacing w:val="0"/>
              <w:sz w:val="24"/>
              <w:szCs w:val="24"/>
              <w:highlight w:val="none"/>
            </w:rPr>
            <w:t>3</w:t>
          </w:r>
          <w:r>
            <w:rPr>
              <w:rFonts w:hint="eastAsia" w:ascii="仿宋" w:hAnsi="仿宋" w:eastAsia="仿宋" w:cs="仿宋"/>
              <w:color w:val="auto"/>
              <w:spacing w:val="0"/>
              <w:sz w:val="24"/>
              <w:szCs w:val="24"/>
              <w:highlight w:val="none"/>
            </w:rPr>
            <w:fldChar w:fldCharType="end"/>
          </w:r>
          <w:r>
            <w:rPr>
              <w:rFonts w:hint="eastAsia" w:ascii="仿宋" w:hAnsi="仿宋" w:eastAsia="仿宋" w:cs="仿宋"/>
              <w:color w:val="auto"/>
              <w:spacing w:val="0"/>
              <w:sz w:val="24"/>
              <w:szCs w:val="24"/>
              <w:highlight w:val="none"/>
            </w:rPr>
            <w:fldChar w:fldCharType="end"/>
          </w:r>
        </w:p>
        <w:p w14:paraId="5B242C74">
          <w:pPr>
            <w:pStyle w:val="14"/>
            <w:keepNext w:val="0"/>
            <w:keepLines w:val="0"/>
            <w:pageBreakBefore w:val="0"/>
            <w:widowControl w:val="0"/>
            <w:tabs>
              <w:tab w:val="right" w:leader="dot" w:pos="8958"/>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fldChar w:fldCharType="begin"/>
          </w:r>
          <w:r>
            <w:rPr>
              <w:rFonts w:hint="eastAsia" w:ascii="仿宋" w:hAnsi="仿宋" w:eastAsia="仿宋" w:cs="仿宋"/>
              <w:color w:val="auto"/>
              <w:spacing w:val="0"/>
              <w:sz w:val="24"/>
              <w:szCs w:val="24"/>
              <w:highlight w:val="none"/>
            </w:rPr>
            <w:instrText xml:space="preserve"> HYPERLINK \l _Toc19318 </w:instrText>
          </w:r>
          <w:r>
            <w:rPr>
              <w:rFonts w:hint="eastAsia" w:ascii="仿宋" w:hAnsi="仿宋" w:eastAsia="仿宋" w:cs="仿宋"/>
              <w:color w:val="auto"/>
              <w:spacing w:val="0"/>
              <w:sz w:val="24"/>
              <w:szCs w:val="24"/>
              <w:highlight w:val="none"/>
            </w:rPr>
            <w:fldChar w:fldCharType="separate"/>
          </w:r>
          <w:r>
            <w:rPr>
              <w:rFonts w:hint="eastAsia" w:ascii="仿宋" w:hAnsi="仿宋" w:eastAsia="仿宋" w:cs="仿宋"/>
              <w:bCs/>
              <w:color w:val="auto"/>
              <w:spacing w:val="0"/>
              <w:kern w:val="44"/>
              <w:sz w:val="24"/>
              <w:szCs w:val="24"/>
              <w:highlight w:val="none"/>
              <w:lang w:val="en-US" w:eastAsia="zh-CN"/>
            </w:rPr>
            <w:t>第二部分 基</w:t>
          </w:r>
          <w:r>
            <w:rPr>
              <w:rFonts w:hint="eastAsia" w:ascii="仿宋" w:hAnsi="仿宋" w:eastAsia="仿宋" w:cs="仿宋"/>
              <w:bCs/>
              <w:color w:val="auto"/>
              <w:spacing w:val="0"/>
              <w:kern w:val="44"/>
              <w:sz w:val="24"/>
              <w:szCs w:val="24"/>
              <w:highlight w:val="none"/>
              <w:lang w:val="zh-CN"/>
            </w:rPr>
            <w:t>坑支护和土方开挖</w:t>
          </w:r>
          <w:r>
            <w:rPr>
              <w:rFonts w:hint="eastAsia" w:ascii="仿宋" w:hAnsi="仿宋" w:eastAsia="仿宋" w:cs="仿宋"/>
              <w:bCs/>
              <w:color w:val="auto"/>
              <w:spacing w:val="0"/>
              <w:kern w:val="44"/>
              <w:sz w:val="24"/>
              <w:szCs w:val="24"/>
              <w:highlight w:val="none"/>
              <w:lang w:val="en-US" w:eastAsia="zh-CN"/>
            </w:rPr>
            <w:t>工程</w:t>
          </w:r>
          <w:r>
            <w:rPr>
              <w:rFonts w:hint="eastAsia" w:ascii="仿宋" w:hAnsi="仿宋" w:eastAsia="仿宋" w:cs="仿宋"/>
              <w:color w:val="auto"/>
              <w:spacing w:val="0"/>
              <w:sz w:val="24"/>
              <w:szCs w:val="24"/>
              <w:highlight w:val="none"/>
            </w:rPr>
            <w:tab/>
          </w:r>
          <w:r>
            <w:rPr>
              <w:rFonts w:hint="eastAsia" w:ascii="仿宋" w:hAnsi="仿宋" w:eastAsia="仿宋" w:cs="仿宋"/>
              <w:color w:val="auto"/>
              <w:spacing w:val="0"/>
              <w:sz w:val="24"/>
              <w:szCs w:val="24"/>
              <w:highlight w:val="none"/>
            </w:rPr>
            <w:fldChar w:fldCharType="begin"/>
          </w:r>
          <w:r>
            <w:rPr>
              <w:rFonts w:hint="eastAsia" w:ascii="仿宋" w:hAnsi="仿宋" w:eastAsia="仿宋" w:cs="仿宋"/>
              <w:color w:val="auto"/>
              <w:spacing w:val="0"/>
              <w:sz w:val="24"/>
              <w:szCs w:val="24"/>
              <w:highlight w:val="none"/>
            </w:rPr>
            <w:instrText xml:space="preserve"> PAGEREF _Toc19318 \h </w:instrText>
          </w:r>
          <w:r>
            <w:rPr>
              <w:rFonts w:hint="eastAsia" w:ascii="仿宋" w:hAnsi="仿宋" w:eastAsia="仿宋" w:cs="仿宋"/>
              <w:color w:val="auto"/>
              <w:spacing w:val="0"/>
              <w:sz w:val="24"/>
              <w:szCs w:val="24"/>
              <w:highlight w:val="none"/>
            </w:rPr>
            <w:fldChar w:fldCharType="separate"/>
          </w:r>
          <w:r>
            <w:rPr>
              <w:rFonts w:hint="eastAsia" w:ascii="仿宋" w:hAnsi="仿宋" w:eastAsia="仿宋" w:cs="仿宋"/>
              <w:color w:val="auto"/>
              <w:spacing w:val="0"/>
              <w:sz w:val="24"/>
              <w:szCs w:val="24"/>
              <w:highlight w:val="none"/>
            </w:rPr>
            <w:t>10</w:t>
          </w:r>
          <w:r>
            <w:rPr>
              <w:rFonts w:hint="eastAsia" w:ascii="仿宋" w:hAnsi="仿宋" w:eastAsia="仿宋" w:cs="仿宋"/>
              <w:color w:val="auto"/>
              <w:spacing w:val="0"/>
              <w:sz w:val="24"/>
              <w:szCs w:val="24"/>
              <w:highlight w:val="none"/>
            </w:rPr>
            <w:fldChar w:fldCharType="end"/>
          </w:r>
          <w:r>
            <w:rPr>
              <w:rFonts w:hint="eastAsia" w:ascii="仿宋" w:hAnsi="仿宋" w:eastAsia="仿宋" w:cs="仿宋"/>
              <w:color w:val="auto"/>
              <w:spacing w:val="0"/>
              <w:sz w:val="24"/>
              <w:szCs w:val="24"/>
              <w:highlight w:val="none"/>
            </w:rPr>
            <w:fldChar w:fldCharType="end"/>
          </w:r>
        </w:p>
        <w:p w14:paraId="39DE859A">
          <w:pPr>
            <w:pStyle w:val="14"/>
            <w:keepNext w:val="0"/>
            <w:keepLines w:val="0"/>
            <w:pageBreakBefore w:val="0"/>
            <w:widowControl w:val="0"/>
            <w:tabs>
              <w:tab w:val="right" w:leader="dot" w:pos="8958"/>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fldChar w:fldCharType="begin"/>
          </w:r>
          <w:r>
            <w:rPr>
              <w:rFonts w:hint="eastAsia" w:ascii="仿宋" w:hAnsi="仿宋" w:eastAsia="仿宋" w:cs="仿宋"/>
              <w:color w:val="auto"/>
              <w:spacing w:val="0"/>
              <w:sz w:val="24"/>
              <w:szCs w:val="24"/>
              <w:highlight w:val="none"/>
            </w:rPr>
            <w:instrText xml:space="preserve"> HYPERLINK \l _Toc16791 </w:instrText>
          </w:r>
          <w:r>
            <w:rPr>
              <w:rFonts w:hint="eastAsia" w:ascii="仿宋" w:hAnsi="仿宋" w:eastAsia="仿宋" w:cs="仿宋"/>
              <w:color w:val="auto"/>
              <w:spacing w:val="0"/>
              <w:sz w:val="24"/>
              <w:szCs w:val="24"/>
              <w:highlight w:val="none"/>
            </w:rPr>
            <w:fldChar w:fldCharType="separate"/>
          </w:r>
          <w:r>
            <w:rPr>
              <w:rFonts w:hint="eastAsia" w:ascii="仿宋" w:hAnsi="仿宋" w:eastAsia="仿宋" w:cs="仿宋"/>
              <w:bCs/>
              <w:color w:val="auto"/>
              <w:spacing w:val="0"/>
              <w:kern w:val="44"/>
              <w:sz w:val="24"/>
              <w:szCs w:val="24"/>
              <w:highlight w:val="none"/>
              <w:lang w:val="en-US" w:eastAsia="zh-CN"/>
            </w:rPr>
            <w:t xml:space="preserve">第三部分 </w:t>
          </w:r>
          <w:r>
            <w:rPr>
              <w:rFonts w:hint="eastAsia" w:ascii="仿宋" w:hAnsi="仿宋" w:eastAsia="仿宋" w:cs="仿宋"/>
              <w:bCs/>
              <w:color w:val="auto"/>
              <w:spacing w:val="0"/>
              <w:kern w:val="44"/>
              <w:sz w:val="24"/>
              <w:szCs w:val="24"/>
              <w:highlight w:val="none"/>
              <w:lang w:val="zh-CN" w:eastAsia="zh-Hans"/>
            </w:rPr>
            <w:t>基坑支护和土方开挖设计</w:t>
          </w:r>
          <w:r>
            <w:rPr>
              <w:rFonts w:hint="eastAsia" w:ascii="仿宋" w:hAnsi="仿宋" w:eastAsia="仿宋" w:cs="仿宋"/>
              <w:bCs/>
              <w:color w:val="auto"/>
              <w:spacing w:val="0"/>
              <w:kern w:val="44"/>
              <w:sz w:val="24"/>
              <w:szCs w:val="24"/>
              <w:highlight w:val="none"/>
              <w:lang w:val="en-US" w:eastAsia="zh-CN"/>
            </w:rPr>
            <w:t>部分</w:t>
          </w:r>
          <w:r>
            <w:rPr>
              <w:rFonts w:hint="eastAsia" w:ascii="仿宋" w:hAnsi="仿宋" w:eastAsia="仿宋" w:cs="仿宋"/>
              <w:color w:val="auto"/>
              <w:spacing w:val="0"/>
              <w:sz w:val="24"/>
              <w:szCs w:val="24"/>
              <w:highlight w:val="none"/>
            </w:rPr>
            <w:tab/>
          </w:r>
          <w:r>
            <w:rPr>
              <w:rFonts w:hint="eastAsia" w:ascii="仿宋" w:hAnsi="仿宋" w:eastAsia="仿宋" w:cs="仿宋"/>
              <w:color w:val="auto"/>
              <w:spacing w:val="0"/>
              <w:sz w:val="24"/>
              <w:szCs w:val="24"/>
              <w:highlight w:val="none"/>
            </w:rPr>
            <w:fldChar w:fldCharType="begin"/>
          </w:r>
          <w:r>
            <w:rPr>
              <w:rFonts w:hint="eastAsia" w:ascii="仿宋" w:hAnsi="仿宋" w:eastAsia="仿宋" w:cs="仿宋"/>
              <w:color w:val="auto"/>
              <w:spacing w:val="0"/>
              <w:sz w:val="24"/>
              <w:szCs w:val="24"/>
              <w:highlight w:val="none"/>
            </w:rPr>
            <w:instrText xml:space="preserve"> PAGEREF _Toc16791 \h </w:instrText>
          </w:r>
          <w:r>
            <w:rPr>
              <w:rFonts w:hint="eastAsia" w:ascii="仿宋" w:hAnsi="仿宋" w:eastAsia="仿宋" w:cs="仿宋"/>
              <w:color w:val="auto"/>
              <w:spacing w:val="0"/>
              <w:sz w:val="24"/>
              <w:szCs w:val="24"/>
              <w:highlight w:val="none"/>
            </w:rPr>
            <w:fldChar w:fldCharType="separate"/>
          </w:r>
          <w:r>
            <w:rPr>
              <w:rFonts w:hint="eastAsia" w:ascii="仿宋" w:hAnsi="仿宋" w:eastAsia="仿宋" w:cs="仿宋"/>
              <w:color w:val="auto"/>
              <w:spacing w:val="0"/>
              <w:sz w:val="24"/>
              <w:szCs w:val="24"/>
              <w:highlight w:val="none"/>
            </w:rPr>
            <w:t>61</w:t>
          </w:r>
          <w:r>
            <w:rPr>
              <w:rFonts w:hint="eastAsia" w:ascii="仿宋" w:hAnsi="仿宋" w:eastAsia="仿宋" w:cs="仿宋"/>
              <w:color w:val="auto"/>
              <w:spacing w:val="0"/>
              <w:sz w:val="24"/>
              <w:szCs w:val="24"/>
              <w:highlight w:val="none"/>
            </w:rPr>
            <w:fldChar w:fldCharType="end"/>
          </w:r>
          <w:r>
            <w:rPr>
              <w:rFonts w:hint="eastAsia" w:ascii="仿宋" w:hAnsi="仿宋" w:eastAsia="仿宋" w:cs="仿宋"/>
              <w:color w:val="auto"/>
              <w:spacing w:val="0"/>
              <w:sz w:val="24"/>
              <w:szCs w:val="24"/>
              <w:highlight w:val="none"/>
            </w:rPr>
            <w:fldChar w:fldCharType="end"/>
          </w:r>
        </w:p>
        <w:p w14:paraId="4BE02D69">
          <w:pPr>
            <w:pStyle w:val="14"/>
            <w:keepNext w:val="0"/>
            <w:keepLines w:val="0"/>
            <w:pageBreakBefore w:val="0"/>
            <w:widowControl w:val="0"/>
            <w:tabs>
              <w:tab w:val="right" w:leader="dot" w:pos="8958"/>
            </w:tabs>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pacing w:val="0"/>
              <w:sz w:val="24"/>
              <w:szCs w:val="24"/>
              <w:highlight w:val="none"/>
            </w:rPr>
          </w:pPr>
        </w:p>
        <w:p w14:paraId="50588A2E">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pacing w:val="0"/>
              <w:kern w:val="44"/>
              <w:sz w:val="24"/>
              <w:szCs w:val="24"/>
              <w:highlight w:val="none"/>
              <w:lang w:val="en-US" w:eastAsia="zh-CN" w:bidi="ar-SA"/>
            </w:rPr>
          </w:pPr>
          <w:r>
            <w:rPr>
              <w:rFonts w:hint="eastAsia" w:ascii="仿宋" w:hAnsi="仿宋" w:eastAsia="仿宋" w:cs="仿宋"/>
              <w:color w:val="auto"/>
              <w:spacing w:val="0"/>
              <w:sz w:val="24"/>
              <w:szCs w:val="24"/>
              <w:highlight w:val="none"/>
            </w:rPr>
            <w:fldChar w:fldCharType="end"/>
          </w:r>
        </w:p>
      </w:sdtContent>
    </w:sdt>
    <w:p w14:paraId="3C7B1AA1">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00EAD69E">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9"/>
        <w:rPr>
          <w:rFonts w:hint="eastAsia" w:ascii="仿宋" w:hAnsi="仿宋" w:eastAsia="仿宋" w:cs="仿宋"/>
          <w:b/>
          <w:bCs/>
          <w:color w:val="auto"/>
          <w:spacing w:val="0"/>
          <w:kern w:val="44"/>
          <w:sz w:val="24"/>
          <w:szCs w:val="24"/>
          <w:highlight w:val="none"/>
          <w:lang w:val="zh-CN"/>
        </w:rPr>
      </w:pPr>
      <w:bookmarkStart w:id="0" w:name="_Toc41466575"/>
      <w:bookmarkStart w:id="1" w:name="_Toc41466524"/>
      <w:bookmarkStart w:id="2" w:name="_Toc41466017"/>
      <w:bookmarkStart w:id="3" w:name="_Toc57144733"/>
      <w:bookmarkStart w:id="4" w:name="_Toc41466466"/>
    </w:p>
    <w:p w14:paraId="3852630A">
      <w:pPr>
        <w:pStyle w:val="11"/>
        <w:pageBreakBefore w:val="0"/>
        <w:tabs>
          <w:tab w:val="left" w:pos="540"/>
        </w:tabs>
        <w:kinsoku/>
        <w:overflowPunct/>
        <w:topLinePunct w:val="0"/>
        <w:bidi w:val="0"/>
        <w:snapToGrid w:val="0"/>
        <w:spacing w:before="158" w:after="0" w:line="360" w:lineRule="auto"/>
        <w:ind w:left="0" w:leftChars="0" w:firstLine="0" w:firstLineChars="0"/>
        <w:jc w:val="both"/>
        <w:outlineLvl w:val="0"/>
        <w:rPr>
          <w:rFonts w:hint="eastAsia" w:ascii="仿宋" w:hAnsi="仿宋" w:eastAsia="仿宋" w:cs="仿宋"/>
          <w:b/>
          <w:bCs/>
          <w:color w:val="auto"/>
          <w:spacing w:val="0"/>
          <w:kern w:val="44"/>
          <w:sz w:val="24"/>
          <w:szCs w:val="24"/>
          <w:highlight w:val="none"/>
          <w:lang w:val="zh-CN"/>
        </w:rPr>
      </w:pPr>
      <w:bookmarkStart w:id="5" w:name="_Toc7143"/>
    </w:p>
    <w:p w14:paraId="24833955">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32"/>
          <w:szCs w:val="32"/>
          <w:highlight w:val="none"/>
          <w:lang w:val="zh-CN"/>
        </w:rPr>
      </w:pPr>
    </w:p>
    <w:p w14:paraId="4DA26D86">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32"/>
          <w:szCs w:val="32"/>
          <w:highlight w:val="none"/>
          <w:lang w:val="zh-CN"/>
        </w:rPr>
      </w:pPr>
    </w:p>
    <w:p w14:paraId="7D3626FA">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32"/>
          <w:szCs w:val="32"/>
          <w:highlight w:val="none"/>
          <w:lang w:val="zh-CN"/>
        </w:rPr>
      </w:pPr>
    </w:p>
    <w:p w14:paraId="2E92FEAC">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32"/>
          <w:szCs w:val="32"/>
          <w:highlight w:val="none"/>
          <w:lang w:val="zh-CN"/>
        </w:rPr>
      </w:pPr>
    </w:p>
    <w:p w14:paraId="16BF9A44">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32"/>
          <w:szCs w:val="32"/>
          <w:highlight w:val="none"/>
          <w:lang w:val="zh-CN"/>
        </w:rPr>
      </w:pPr>
    </w:p>
    <w:p w14:paraId="75E4747A">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32"/>
          <w:szCs w:val="32"/>
          <w:highlight w:val="none"/>
          <w:lang w:val="zh-CN"/>
        </w:rPr>
      </w:pPr>
    </w:p>
    <w:p w14:paraId="3A943B3E">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32"/>
          <w:szCs w:val="32"/>
          <w:highlight w:val="none"/>
          <w:lang w:val="zh-CN"/>
        </w:rPr>
      </w:pPr>
    </w:p>
    <w:p w14:paraId="17EC7DB4">
      <w:pPr>
        <w:pStyle w:val="3"/>
        <w:bidi w:val="0"/>
        <w:jc w:val="center"/>
        <w:rPr>
          <w:rFonts w:hint="eastAsia"/>
          <w:color w:val="auto"/>
          <w:sz w:val="36"/>
          <w:szCs w:val="36"/>
          <w:highlight w:val="none"/>
          <w:lang w:val="zh-CN"/>
        </w:rPr>
      </w:pPr>
      <w:r>
        <w:rPr>
          <w:rFonts w:hint="eastAsia"/>
          <w:color w:val="auto"/>
          <w:sz w:val="36"/>
          <w:szCs w:val="36"/>
          <w:highlight w:val="none"/>
          <w:lang w:val="zh-CN"/>
        </w:rPr>
        <w:t>第一</w:t>
      </w:r>
      <w:r>
        <w:rPr>
          <w:rFonts w:hint="eastAsia"/>
          <w:color w:val="auto"/>
          <w:sz w:val="36"/>
          <w:szCs w:val="36"/>
          <w:highlight w:val="none"/>
          <w:lang w:val="en-US" w:eastAsia="zh-CN"/>
        </w:rPr>
        <w:t>部分</w:t>
      </w:r>
      <w:r>
        <w:rPr>
          <w:rFonts w:hint="eastAsia"/>
          <w:color w:val="auto"/>
          <w:sz w:val="36"/>
          <w:szCs w:val="36"/>
          <w:highlight w:val="none"/>
          <w:lang w:val="zh-CN"/>
        </w:rPr>
        <w:t xml:space="preserve">  协</w:t>
      </w:r>
      <w:r>
        <w:rPr>
          <w:rFonts w:hint="eastAsia"/>
          <w:color w:val="auto"/>
          <w:sz w:val="36"/>
          <w:szCs w:val="36"/>
          <w:highlight w:val="none"/>
          <w:lang w:val="en-US" w:eastAsia="zh-CN"/>
        </w:rPr>
        <w:t xml:space="preserve"> </w:t>
      </w:r>
      <w:r>
        <w:rPr>
          <w:rFonts w:hint="eastAsia"/>
          <w:color w:val="auto"/>
          <w:sz w:val="36"/>
          <w:szCs w:val="36"/>
          <w:highlight w:val="none"/>
          <w:lang w:val="zh-CN"/>
        </w:rPr>
        <w:t>议</w:t>
      </w:r>
      <w:r>
        <w:rPr>
          <w:rFonts w:hint="eastAsia"/>
          <w:color w:val="auto"/>
          <w:sz w:val="36"/>
          <w:szCs w:val="36"/>
          <w:highlight w:val="none"/>
          <w:lang w:val="en-US" w:eastAsia="zh-CN"/>
        </w:rPr>
        <w:t xml:space="preserve"> </w:t>
      </w:r>
      <w:r>
        <w:rPr>
          <w:rFonts w:hint="eastAsia"/>
          <w:color w:val="auto"/>
          <w:sz w:val="36"/>
          <w:szCs w:val="36"/>
          <w:highlight w:val="none"/>
          <w:lang w:val="zh-CN"/>
        </w:rPr>
        <w:t>书</w:t>
      </w:r>
      <w:bookmarkEnd w:id="0"/>
      <w:bookmarkEnd w:id="1"/>
      <w:bookmarkEnd w:id="2"/>
      <w:bookmarkEnd w:id="3"/>
      <w:bookmarkEnd w:id="4"/>
      <w:bookmarkEnd w:id="5"/>
    </w:p>
    <w:p w14:paraId="28AEF9ED">
      <w:pPr>
        <w:pageBreakBefore w:val="0"/>
        <w:kinsoku/>
        <w:overflowPunct/>
        <w:topLinePunct w:val="0"/>
        <w:bidi w:val="0"/>
        <w:snapToGrid w:val="0"/>
        <w:spacing w:before="158" w:line="360" w:lineRule="auto"/>
        <w:ind w:firstLine="883"/>
        <w:jc w:val="center"/>
        <w:rPr>
          <w:rFonts w:hint="eastAsia" w:ascii="仿宋" w:hAnsi="仿宋" w:eastAsia="仿宋" w:cs="仿宋"/>
          <w:b/>
          <w:bCs/>
          <w:color w:val="auto"/>
          <w:spacing w:val="0"/>
          <w:sz w:val="24"/>
          <w:szCs w:val="24"/>
          <w:highlight w:val="none"/>
        </w:rPr>
      </w:pPr>
    </w:p>
    <w:p w14:paraId="3588BC00">
      <w:pPr>
        <w:pageBreakBefore w:val="0"/>
        <w:kinsoku/>
        <w:overflowPunct/>
        <w:topLinePunct w:val="0"/>
        <w:bidi w:val="0"/>
        <w:snapToGrid w:val="0"/>
        <w:spacing w:before="158" w:line="360" w:lineRule="auto"/>
        <w:ind w:firstLine="480"/>
        <w:rPr>
          <w:rFonts w:hint="eastAsia" w:ascii="楷体" w:hAnsi="楷体" w:eastAsia="楷体" w:cs="楷体"/>
          <w:b/>
          <w:bCs/>
          <w:color w:val="auto"/>
          <w:spacing w:val="0"/>
          <w:sz w:val="28"/>
          <w:szCs w:val="28"/>
          <w:highlight w:val="none"/>
        </w:rPr>
      </w:pPr>
      <w:r>
        <w:rPr>
          <w:rFonts w:hint="eastAsia" w:ascii="楷体" w:hAnsi="楷体" w:eastAsia="楷体" w:cs="楷体"/>
          <w:b/>
          <w:bCs/>
          <w:color w:val="auto"/>
          <w:spacing w:val="0"/>
          <w:sz w:val="28"/>
          <w:szCs w:val="28"/>
          <w:highlight w:val="none"/>
        </w:rPr>
        <w:t>发包人：</w:t>
      </w:r>
      <w:r>
        <w:rPr>
          <w:rFonts w:hint="eastAsia" w:ascii="楷体" w:hAnsi="楷体" w:eastAsia="楷体" w:cs="楷体"/>
          <w:b/>
          <w:bCs/>
          <w:color w:val="auto"/>
          <w:spacing w:val="0"/>
          <w:sz w:val="28"/>
          <w:szCs w:val="28"/>
          <w:highlight w:val="none"/>
          <w:u w:val="single"/>
        </w:rPr>
        <w:t xml:space="preserve"> 广州锦</w:t>
      </w:r>
      <w:r>
        <w:rPr>
          <w:rFonts w:hint="eastAsia" w:ascii="楷体" w:hAnsi="楷体" w:eastAsia="楷体" w:cs="楷体"/>
          <w:b/>
          <w:bCs/>
          <w:color w:val="auto"/>
          <w:spacing w:val="0"/>
          <w:sz w:val="28"/>
          <w:szCs w:val="28"/>
          <w:highlight w:val="none"/>
          <w:u w:val="single"/>
          <w:lang w:val="en-US" w:eastAsia="zh-CN"/>
        </w:rPr>
        <w:t>泷</w:t>
      </w:r>
      <w:r>
        <w:rPr>
          <w:rFonts w:hint="eastAsia" w:ascii="楷体" w:hAnsi="楷体" w:eastAsia="楷体" w:cs="楷体"/>
          <w:b/>
          <w:bCs/>
          <w:color w:val="auto"/>
          <w:spacing w:val="0"/>
          <w:sz w:val="28"/>
          <w:szCs w:val="28"/>
          <w:highlight w:val="none"/>
          <w:u w:val="single"/>
        </w:rPr>
        <w:t xml:space="preserve">房地产开发有限公司  </w:t>
      </w:r>
    </w:p>
    <w:p w14:paraId="7BAA8F67">
      <w:pPr>
        <w:pageBreakBefore w:val="0"/>
        <w:kinsoku/>
        <w:overflowPunct/>
        <w:topLinePunct w:val="0"/>
        <w:bidi w:val="0"/>
        <w:snapToGrid w:val="0"/>
        <w:spacing w:before="158" w:line="360" w:lineRule="auto"/>
        <w:ind w:firstLine="480"/>
        <w:rPr>
          <w:rFonts w:hint="eastAsia" w:ascii="楷体" w:hAnsi="楷体" w:eastAsia="楷体" w:cs="楷体"/>
          <w:b/>
          <w:bCs/>
          <w:color w:val="auto"/>
          <w:spacing w:val="0"/>
          <w:sz w:val="28"/>
          <w:szCs w:val="28"/>
          <w:highlight w:val="none"/>
          <w:u w:val="single"/>
        </w:rPr>
      </w:pPr>
      <w:r>
        <w:rPr>
          <w:rFonts w:hint="eastAsia" w:ascii="楷体" w:hAnsi="楷体" w:eastAsia="楷体" w:cs="楷体"/>
          <w:b/>
          <w:bCs/>
          <w:color w:val="auto"/>
          <w:spacing w:val="0"/>
          <w:sz w:val="28"/>
          <w:szCs w:val="28"/>
          <w:highlight w:val="none"/>
        </w:rPr>
        <w:t>承包人</w:t>
      </w:r>
      <w:r>
        <w:rPr>
          <w:rFonts w:hint="eastAsia" w:ascii="楷体" w:hAnsi="楷体" w:eastAsia="楷体" w:cs="楷体"/>
          <w:b/>
          <w:bCs/>
          <w:color w:val="auto"/>
          <w:spacing w:val="0"/>
          <w:sz w:val="28"/>
          <w:szCs w:val="28"/>
          <w:highlight w:val="none"/>
          <w:lang w:eastAsia="zh-CN"/>
        </w:rPr>
        <w:t>（</w:t>
      </w:r>
      <w:r>
        <w:rPr>
          <w:rFonts w:hint="eastAsia" w:ascii="楷体" w:hAnsi="楷体" w:eastAsia="楷体" w:cs="楷体"/>
          <w:b/>
          <w:bCs/>
          <w:color w:val="auto"/>
          <w:spacing w:val="0"/>
          <w:sz w:val="28"/>
          <w:szCs w:val="28"/>
          <w:highlight w:val="none"/>
          <w:lang w:val="en-US" w:eastAsia="zh-CN"/>
        </w:rPr>
        <w:t>联合体主办</w:t>
      </w:r>
      <w:r>
        <w:rPr>
          <w:rFonts w:hint="eastAsia" w:ascii="楷体" w:hAnsi="楷体" w:eastAsia="楷体" w:cs="楷体"/>
          <w:b/>
          <w:bCs/>
          <w:color w:val="auto"/>
          <w:spacing w:val="0"/>
          <w:sz w:val="28"/>
          <w:szCs w:val="28"/>
          <w:highlight w:val="none"/>
          <w:lang w:eastAsia="zh-CN"/>
        </w:rPr>
        <w:t>）</w:t>
      </w:r>
      <w:r>
        <w:rPr>
          <w:rFonts w:hint="eastAsia" w:ascii="楷体" w:hAnsi="楷体" w:eastAsia="楷体" w:cs="楷体"/>
          <w:b/>
          <w:bCs/>
          <w:color w:val="auto"/>
          <w:spacing w:val="0"/>
          <w:sz w:val="28"/>
          <w:szCs w:val="28"/>
          <w:highlight w:val="none"/>
        </w:rPr>
        <w:t>：</w:t>
      </w:r>
      <w:r>
        <w:rPr>
          <w:rFonts w:hint="eastAsia" w:ascii="楷体" w:hAnsi="楷体" w:eastAsia="楷体" w:cs="楷体"/>
          <w:b/>
          <w:bCs/>
          <w:color w:val="auto"/>
          <w:spacing w:val="0"/>
          <w:sz w:val="28"/>
          <w:szCs w:val="28"/>
          <w:highlight w:val="none"/>
          <w:u w:val="single"/>
        </w:rPr>
        <w:t xml:space="preserve">                              </w:t>
      </w:r>
    </w:p>
    <w:p w14:paraId="0E3B17B5">
      <w:pPr>
        <w:pageBreakBefore w:val="0"/>
        <w:kinsoku/>
        <w:overflowPunct/>
        <w:topLinePunct w:val="0"/>
        <w:bidi w:val="0"/>
        <w:snapToGrid w:val="0"/>
        <w:spacing w:before="158" w:line="360" w:lineRule="auto"/>
        <w:ind w:firstLine="480"/>
        <w:rPr>
          <w:rFonts w:hint="eastAsia" w:ascii="楷体" w:hAnsi="楷体" w:eastAsia="楷体" w:cs="楷体"/>
          <w:b/>
          <w:bCs/>
          <w:color w:val="auto"/>
          <w:spacing w:val="0"/>
          <w:sz w:val="28"/>
          <w:szCs w:val="28"/>
          <w:highlight w:val="none"/>
          <w:u w:val="single"/>
        </w:rPr>
      </w:pPr>
      <w:r>
        <w:rPr>
          <w:rFonts w:hint="eastAsia" w:ascii="楷体" w:hAnsi="楷体" w:eastAsia="楷体" w:cs="楷体"/>
          <w:b/>
          <w:bCs/>
          <w:color w:val="auto"/>
          <w:spacing w:val="0"/>
          <w:sz w:val="28"/>
          <w:szCs w:val="28"/>
          <w:highlight w:val="none"/>
        </w:rPr>
        <w:t>承包人</w:t>
      </w:r>
      <w:r>
        <w:rPr>
          <w:rFonts w:hint="eastAsia" w:ascii="楷体" w:hAnsi="楷体" w:eastAsia="楷体" w:cs="楷体"/>
          <w:b/>
          <w:bCs/>
          <w:color w:val="auto"/>
          <w:spacing w:val="0"/>
          <w:sz w:val="28"/>
          <w:szCs w:val="28"/>
          <w:highlight w:val="none"/>
          <w:lang w:eastAsia="zh-CN"/>
        </w:rPr>
        <w:t>（</w:t>
      </w:r>
      <w:r>
        <w:rPr>
          <w:rFonts w:hint="eastAsia" w:ascii="楷体" w:hAnsi="楷体" w:eastAsia="楷体" w:cs="楷体"/>
          <w:b/>
          <w:bCs/>
          <w:color w:val="auto"/>
          <w:spacing w:val="0"/>
          <w:sz w:val="28"/>
          <w:szCs w:val="28"/>
          <w:highlight w:val="none"/>
          <w:lang w:val="en-US" w:eastAsia="zh-CN"/>
        </w:rPr>
        <w:t>联合体成员</w:t>
      </w:r>
      <w:r>
        <w:rPr>
          <w:rFonts w:hint="eastAsia" w:ascii="楷体" w:hAnsi="楷体" w:eastAsia="楷体" w:cs="楷体"/>
          <w:b/>
          <w:bCs/>
          <w:color w:val="auto"/>
          <w:spacing w:val="0"/>
          <w:sz w:val="28"/>
          <w:szCs w:val="28"/>
          <w:highlight w:val="none"/>
          <w:lang w:eastAsia="zh-CN"/>
        </w:rPr>
        <w:t>）</w:t>
      </w:r>
      <w:r>
        <w:rPr>
          <w:rFonts w:hint="eastAsia" w:ascii="楷体" w:hAnsi="楷体" w:eastAsia="楷体" w:cs="楷体"/>
          <w:b/>
          <w:bCs/>
          <w:color w:val="auto"/>
          <w:spacing w:val="0"/>
          <w:sz w:val="28"/>
          <w:szCs w:val="28"/>
          <w:highlight w:val="none"/>
        </w:rPr>
        <w:t>：</w:t>
      </w:r>
      <w:r>
        <w:rPr>
          <w:rFonts w:hint="eastAsia" w:ascii="楷体" w:hAnsi="楷体" w:eastAsia="楷体" w:cs="楷体"/>
          <w:b/>
          <w:bCs/>
          <w:color w:val="auto"/>
          <w:spacing w:val="0"/>
          <w:sz w:val="28"/>
          <w:szCs w:val="28"/>
          <w:highlight w:val="none"/>
          <w:u w:val="single"/>
        </w:rPr>
        <w:t xml:space="preserve">                              </w:t>
      </w:r>
    </w:p>
    <w:p w14:paraId="440A25D6">
      <w:pPr>
        <w:pageBreakBefore w:val="0"/>
        <w:kinsoku/>
        <w:overflowPunct/>
        <w:topLinePunct w:val="0"/>
        <w:bidi w:val="0"/>
        <w:adjustRightInd w:val="0"/>
        <w:snapToGrid w:val="0"/>
        <w:spacing w:before="158" w:line="360" w:lineRule="auto"/>
        <w:ind w:firstLine="484" w:firstLineChars="202"/>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依照《中华人民共和国民法典》、《中华人民共和国建筑法》及其它有关法律、行政法规，遵循平等、自愿、公平和诚实信用的原则，发包人和承包人双方就本合同工程施工事项经协商达成一致，订立本合同。</w:t>
      </w:r>
    </w:p>
    <w:p w14:paraId="2F210008">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left="480" w:leftChars="200"/>
        <w:textAlignment w:val="auto"/>
        <w:rPr>
          <w:rFonts w:hint="eastAsia" w:ascii="仿宋" w:hAnsi="仿宋" w:eastAsia="仿宋" w:cs="仿宋"/>
          <w:color w:val="auto"/>
          <w:spacing w:val="0"/>
          <w:sz w:val="24"/>
          <w:szCs w:val="24"/>
          <w:highlight w:val="none"/>
          <w:lang w:val="en-US" w:eastAsia="zh-CN"/>
        </w:rPr>
      </w:pPr>
      <w:bookmarkStart w:id="6" w:name="_Toc187222399"/>
      <w:bookmarkStart w:id="7" w:name="_Toc32545"/>
      <w:bookmarkStart w:id="8" w:name="_Toc185944970"/>
      <w:bookmarkStart w:id="9" w:name="_Toc17222"/>
      <w:bookmarkStart w:id="10" w:name="_Toc41466467"/>
      <w:bookmarkStart w:id="11" w:name="_Toc57144734"/>
      <w:bookmarkStart w:id="12" w:name="_Toc41466018"/>
    </w:p>
    <w:p w14:paraId="208A30F6">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left="480" w:left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一、工程概况</w:t>
      </w:r>
      <w:bookmarkEnd w:id="6"/>
      <w:bookmarkEnd w:id="7"/>
      <w:bookmarkEnd w:id="8"/>
      <w:bookmarkEnd w:id="9"/>
    </w:p>
    <w:p w14:paraId="33EC8D6D">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shd w:val="clear"/>
        </w:rPr>
      </w:pPr>
      <w:r>
        <w:rPr>
          <w:rFonts w:hint="eastAsia" w:ascii="仿宋" w:hAnsi="仿宋" w:eastAsia="仿宋" w:cs="仿宋"/>
          <w:color w:val="auto"/>
          <w:spacing w:val="0"/>
          <w:sz w:val="24"/>
          <w:szCs w:val="24"/>
          <w:highlight w:val="none"/>
        </w:rPr>
        <w:t>1.项目名称：</w:t>
      </w:r>
      <w:permStart w:id="1" w:edGrp="everyone"/>
      <w:r>
        <w:rPr>
          <w:rFonts w:hint="eastAsia" w:ascii="仿宋" w:hAnsi="仿宋" w:eastAsia="仿宋" w:cs="仿宋"/>
          <w:bCs/>
          <w:color w:val="auto"/>
          <w:spacing w:val="0"/>
          <w:kern w:val="2"/>
          <w:sz w:val="24"/>
          <w:szCs w:val="24"/>
          <w:highlight w:val="none"/>
          <w:u w:val="single"/>
          <w:shd w:val="clear"/>
          <w:lang w:val="en-US" w:eastAsia="zh-CN" w:bidi="ar-SA"/>
        </w:rPr>
        <w:t xml:space="preserve">天河区金融城东区AT091415地块基坑支护和土方开挖工程 </w:t>
      </w:r>
    </w:p>
    <w:permEnd w:id="1"/>
    <w:p w14:paraId="3CAF33B0">
      <w:pPr>
        <w:pStyle w:val="32"/>
        <w:keepNext w:val="0"/>
        <w:keepLines w:val="0"/>
        <w:pageBreakBefore w:val="0"/>
        <w:widowControl w:val="0"/>
        <w:kinsoku/>
        <w:wordWrap/>
        <w:overflowPunct/>
        <w:topLinePunct w:val="0"/>
        <w:autoSpaceDE/>
        <w:autoSpaceDN/>
        <w:bidi w:val="0"/>
        <w:adjustRightInd/>
        <w:snapToGrid w:val="0"/>
        <w:spacing w:after="0" w:line="360" w:lineRule="auto"/>
        <w:ind w:left="480" w:firstLine="0" w:firstLineChars="0"/>
        <w:textAlignment w:val="auto"/>
        <w:rPr>
          <w:rFonts w:hint="eastAsia" w:ascii="仿宋" w:hAnsi="仿宋" w:eastAsia="仿宋" w:cs="仿宋"/>
          <w:color w:val="auto"/>
          <w:spacing w:val="0"/>
          <w:sz w:val="24"/>
          <w:szCs w:val="24"/>
          <w:highlight w:val="none"/>
          <w:shd w:val="clear" w:color="auto" w:fill="FFFFFF"/>
        </w:rPr>
      </w:pPr>
      <w:r>
        <w:rPr>
          <w:rFonts w:hint="eastAsia" w:ascii="仿宋" w:hAnsi="仿宋" w:eastAsia="仿宋" w:cs="仿宋"/>
          <w:color w:val="auto"/>
          <w:spacing w:val="0"/>
          <w:sz w:val="24"/>
          <w:szCs w:val="24"/>
          <w:highlight w:val="none"/>
        </w:rPr>
        <w:t>2.工程地点：</w:t>
      </w:r>
      <w:r>
        <w:rPr>
          <w:rFonts w:hint="eastAsia" w:ascii="仿宋" w:hAnsi="仿宋" w:eastAsia="仿宋" w:cs="仿宋"/>
          <w:bCs/>
          <w:color w:val="auto"/>
          <w:spacing w:val="0"/>
          <w:kern w:val="2"/>
          <w:sz w:val="24"/>
          <w:szCs w:val="24"/>
          <w:highlight w:val="none"/>
          <w:u w:val="single"/>
          <w:shd w:val="clear"/>
          <w:lang w:val="en-US" w:eastAsia="zh-CN" w:bidi="ar-SA"/>
        </w:rPr>
        <w:t>金融城东区，花城大道以南、规划一横路以北</w:t>
      </w:r>
    </w:p>
    <w:p w14:paraId="4D1D7B90">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3.工程规模：</w:t>
      </w:r>
      <w:permStart w:id="2" w:edGrp="everyone"/>
      <w:bookmarkStart w:id="13" w:name="OLE_LINK6"/>
      <w:bookmarkStart w:id="14" w:name="OLE_LINK5"/>
      <w:r>
        <w:rPr>
          <w:rFonts w:hint="eastAsia" w:ascii="仿宋" w:hAnsi="仿宋" w:eastAsia="仿宋" w:cs="仿宋"/>
          <w:color w:val="auto"/>
          <w:spacing w:val="0"/>
          <w:sz w:val="24"/>
          <w:szCs w:val="24"/>
          <w:highlight w:val="none"/>
          <w:u w:val="single"/>
        </w:rPr>
        <w:t>本项目总用地面积</w:t>
      </w:r>
      <w:r>
        <w:rPr>
          <w:rFonts w:hint="eastAsia" w:ascii="仿宋" w:hAnsi="仿宋" w:eastAsia="仿宋" w:cs="仿宋"/>
          <w:color w:val="auto"/>
          <w:spacing w:val="0"/>
          <w:sz w:val="24"/>
          <w:szCs w:val="24"/>
          <w:highlight w:val="none"/>
          <w:u w:val="single"/>
          <w:lang w:val="en-US" w:eastAsia="zh-CN"/>
        </w:rPr>
        <w:t>约26675</w:t>
      </w:r>
      <w:r>
        <w:rPr>
          <w:rFonts w:hint="eastAsia" w:ascii="仿宋" w:hAnsi="仿宋" w:eastAsia="仿宋" w:cs="仿宋"/>
          <w:color w:val="auto"/>
          <w:spacing w:val="0"/>
          <w:sz w:val="24"/>
          <w:szCs w:val="24"/>
          <w:highlight w:val="none"/>
          <w:u w:val="single"/>
        </w:rPr>
        <w:t>平方米。</w:t>
      </w:r>
      <w:bookmarkEnd w:id="13"/>
      <w:bookmarkEnd w:id="14"/>
    </w:p>
    <w:permEnd w:id="2"/>
    <w:p w14:paraId="3B2789E4">
      <w:pPr>
        <w:keepNext w:val="0"/>
        <w:keepLines w:val="0"/>
        <w:pageBreakBefore w:val="0"/>
        <w:widowControl w:val="0"/>
        <w:tabs>
          <w:tab w:val="center" w:pos="4415"/>
        </w:tabs>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.资金来源：</w:t>
      </w:r>
      <w:permStart w:id="3" w:edGrp="everyone"/>
      <w:r>
        <w:rPr>
          <w:rFonts w:hint="eastAsia" w:ascii="仿宋" w:hAnsi="仿宋" w:eastAsia="仿宋" w:cs="仿宋"/>
          <w:color w:val="auto"/>
          <w:spacing w:val="0"/>
          <w:sz w:val="24"/>
          <w:szCs w:val="24"/>
          <w:highlight w:val="none"/>
        </w:rPr>
        <w:t>企业自筹资金。</w:t>
      </w:r>
      <w:permEnd w:id="3"/>
    </w:p>
    <w:p w14:paraId="2D36A9B0">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left="480" w:leftChars="200"/>
        <w:textAlignment w:val="auto"/>
        <w:rPr>
          <w:rFonts w:hint="eastAsia" w:ascii="仿宋" w:hAnsi="仿宋" w:eastAsia="仿宋" w:cs="仿宋"/>
          <w:color w:val="auto"/>
          <w:spacing w:val="0"/>
          <w:sz w:val="24"/>
          <w:szCs w:val="24"/>
          <w:highlight w:val="none"/>
          <w:lang w:val="en-US" w:eastAsia="zh-CN"/>
        </w:rPr>
      </w:pPr>
    </w:p>
    <w:p w14:paraId="5464045C">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left="480" w:leftChars="200"/>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color w:val="auto"/>
          <w:spacing w:val="0"/>
          <w:sz w:val="24"/>
          <w:szCs w:val="24"/>
          <w:highlight w:val="none"/>
          <w:lang w:val="en-US" w:eastAsia="zh-CN"/>
        </w:rPr>
        <w:t>二、工程内容与</w:t>
      </w:r>
      <w:r>
        <w:rPr>
          <w:rFonts w:hint="eastAsia" w:ascii="仿宋" w:hAnsi="仿宋" w:eastAsia="仿宋" w:cs="仿宋"/>
          <w:color w:val="auto"/>
          <w:spacing w:val="0"/>
          <w:sz w:val="24"/>
          <w:szCs w:val="24"/>
          <w:highlight w:val="none"/>
          <w:lang w:val="zh-CN" w:eastAsia="zh-CN"/>
        </w:rPr>
        <w:t>承包范围</w:t>
      </w:r>
      <w:bookmarkEnd w:id="10"/>
      <w:bookmarkEnd w:id="11"/>
      <w:bookmarkEnd w:id="12"/>
    </w:p>
    <w:p w14:paraId="6A306C45">
      <w:pPr>
        <w:keepNext w:val="0"/>
        <w:keepLines w:val="0"/>
        <w:pageBreakBefore w:val="0"/>
        <w:widowControl w:val="0"/>
        <w:tabs>
          <w:tab w:val="center" w:pos="4415"/>
        </w:tabs>
        <w:kinsoku/>
        <w:wordWrap/>
        <w:overflowPunct/>
        <w:topLinePunct w:val="0"/>
        <w:autoSpaceDE/>
        <w:autoSpaceDN/>
        <w:bidi w:val="0"/>
        <w:adjustRightInd/>
        <w:snapToGrid w:val="0"/>
        <w:spacing w:before="0" w:beforeLines="0" w:after="0" w:line="360" w:lineRule="auto"/>
        <w:ind w:firstLine="480" w:firstLine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lang w:val="zh-CN" w:eastAsia="zh-CN"/>
        </w:rPr>
        <w:t>承包范围：</w:t>
      </w:r>
      <w:r>
        <w:rPr>
          <w:rFonts w:hint="eastAsia" w:ascii="仿宋" w:hAnsi="仿宋" w:eastAsia="仿宋" w:cs="仿宋"/>
          <w:color w:val="auto"/>
          <w:spacing w:val="0"/>
          <w:sz w:val="24"/>
          <w:szCs w:val="24"/>
          <w:highlight w:val="none"/>
          <w:lang w:val="en-US" w:eastAsia="zh-CN"/>
        </w:rPr>
        <w:t>按经发包人确认的施工图纸、施工方案、图纸会审纪录、有关变更文件及招投标文件、双方签订的有关协议所包含的内容（其中发包人将根据工程的实际需要保留对部分施工内容另行委托其他单位施工权利）。承包本工程范围内的基坑支护及土方开挖工作、基坑支护和土方开挖设计工作及相关专业工程管理配合服务（不包含发包人指定的专业分包工程）。</w:t>
      </w:r>
    </w:p>
    <w:p w14:paraId="09E2E44F">
      <w:pPr>
        <w:pageBreakBefore w:val="0"/>
        <w:kinsoku/>
        <w:overflowPunct/>
        <w:topLinePunct w:val="0"/>
        <w:bidi w:val="0"/>
        <w:snapToGrid w:val="0"/>
        <w:spacing w:after="0" w:line="360" w:lineRule="auto"/>
        <w:ind w:firstLine="480" w:firstLineChars="200"/>
        <w:rPr>
          <w:rFonts w:hint="eastAsia" w:ascii="仿宋" w:hAnsi="仿宋" w:eastAsia="仿宋" w:cs="仿宋"/>
          <w:b/>
          <w:color w:val="auto"/>
          <w:spacing w:val="0"/>
          <w:kern w:val="0"/>
          <w:sz w:val="24"/>
          <w:szCs w:val="24"/>
          <w:highlight w:val="none"/>
        </w:rPr>
      </w:pPr>
      <w:r>
        <w:rPr>
          <w:rFonts w:hint="eastAsia" w:ascii="仿宋" w:hAnsi="仿宋" w:eastAsia="仿宋" w:cs="仿宋"/>
          <w:b/>
          <w:bCs/>
          <w:color w:val="auto"/>
          <w:spacing w:val="0"/>
          <w:kern w:val="44"/>
          <w:sz w:val="24"/>
          <w:szCs w:val="24"/>
          <w:highlight w:val="none"/>
          <w:lang w:val="en-US" w:eastAsia="zh-CN" w:bidi="ar-SA"/>
        </w:rPr>
        <w:t xml:space="preserve">三、合同工期总日历天数 ： </w:t>
      </w:r>
      <w:r>
        <w:rPr>
          <w:rFonts w:hint="eastAsia" w:ascii="仿宋" w:hAnsi="仿宋" w:eastAsia="仿宋" w:cs="仿宋"/>
          <w:color w:val="auto"/>
          <w:spacing w:val="0"/>
          <w:sz w:val="24"/>
          <w:szCs w:val="24"/>
          <w:highlight w:val="none"/>
        </w:rPr>
        <w:t xml:space="preserve"> </w:t>
      </w:r>
    </w:p>
    <w:p w14:paraId="7165CB1B">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仿宋" w:hAnsi="仿宋" w:eastAsia="仿宋" w:cs="仿宋"/>
          <w:b/>
          <w:color w:val="auto"/>
          <w:spacing w:val="0"/>
          <w:kern w:val="0"/>
          <w:sz w:val="24"/>
          <w:szCs w:val="24"/>
          <w:highlight w:val="none"/>
          <w:lang w:val="en-US" w:eastAsia="zh-CN"/>
        </w:rPr>
      </w:pPr>
      <w:r>
        <w:rPr>
          <w:rFonts w:hint="eastAsia" w:ascii="仿宋" w:hAnsi="仿宋" w:eastAsia="仿宋" w:cs="仿宋"/>
          <w:b/>
          <w:color w:val="auto"/>
          <w:spacing w:val="0"/>
          <w:kern w:val="0"/>
          <w:sz w:val="24"/>
          <w:szCs w:val="24"/>
          <w:highlight w:val="none"/>
          <w:lang w:val="en-US" w:eastAsia="zh-CN"/>
        </w:rPr>
        <w:t>1</w:t>
      </w:r>
      <w:r>
        <w:rPr>
          <w:rFonts w:hint="eastAsia" w:ascii="仿宋" w:hAnsi="仿宋" w:eastAsia="仿宋" w:cs="仿宋"/>
          <w:b/>
          <w:color w:val="auto"/>
          <w:spacing w:val="0"/>
          <w:kern w:val="0"/>
          <w:sz w:val="24"/>
          <w:szCs w:val="24"/>
          <w:highlight w:val="none"/>
          <w:lang w:eastAsia="zh-CN"/>
        </w:rPr>
        <w:t>.</w:t>
      </w:r>
      <w:r>
        <w:rPr>
          <w:rFonts w:hint="eastAsia" w:ascii="仿宋" w:hAnsi="仿宋" w:eastAsia="仿宋" w:cs="仿宋"/>
          <w:b/>
          <w:color w:val="auto"/>
          <w:spacing w:val="0"/>
          <w:kern w:val="0"/>
          <w:sz w:val="24"/>
          <w:szCs w:val="24"/>
          <w:highlight w:val="none"/>
          <w:lang w:val="en-US" w:eastAsia="zh-CN"/>
        </w:rPr>
        <w:t>基坑支护和土方开挖施工</w:t>
      </w:r>
      <w:r>
        <w:rPr>
          <w:rFonts w:hint="eastAsia" w:ascii="仿宋" w:hAnsi="仿宋" w:eastAsia="仿宋" w:cs="仿宋"/>
          <w:b/>
          <w:color w:val="auto"/>
          <w:spacing w:val="0"/>
          <w:kern w:val="0"/>
          <w:sz w:val="24"/>
          <w:szCs w:val="24"/>
          <w:highlight w:val="none"/>
        </w:rPr>
        <w:t>工期总日历天数：</w:t>
      </w:r>
      <w:permStart w:id="4" w:edGrp="everyone"/>
      <w:r>
        <w:rPr>
          <w:rFonts w:hint="eastAsia" w:ascii="仿宋" w:hAnsi="仿宋" w:eastAsia="仿宋" w:cs="仿宋"/>
          <w:color w:val="auto"/>
          <w:spacing w:val="0"/>
          <w:kern w:val="0"/>
          <w:sz w:val="24"/>
          <w:szCs w:val="24"/>
          <w:highlight w:val="none"/>
          <w:u w:val="single"/>
        </w:rPr>
        <w:t xml:space="preserve">  </w:t>
      </w:r>
      <w:r>
        <w:rPr>
          <w:rFonts w:hint="eastAsia" w:ascii="仿宋" w:hAnsi="仿宋" w:eastAsia="仿宋" w:cs="仿宋"/>
          <w:color w:val="auto"/>
          <w:spacing w:val="0"/>
          <w:kern w:val="0"/>
          <w:sz w:val="24"/>
          <w:szCs w:val="24"/>
          <w:highlight w:val="none"/>
          <w:u w:val="single"/>
          <w:lang w:val="en-US" w:eastAsia="zh-CN"/>
        </w:rPr>
        <w:t xml:space="preserve"> 270 </w:t>
      </w:r>
      <w:r>
        <w:rPr>
          <w:rFonts w:hint="eastAsia" w:ascii="仿宋" w:hAnsi="仿宋" w:eastAsia="仿宋" w:cs="仿宋"/>
          <w:color w:val="auto"/>
          <w:spacing w:val="0"/>
          <w:kern w:val="0"/>
          <w:sz w:val="24"/>
          <w:szCs w:val="24"/>
          <w:highlight w:val="none"/>
          <w:u w:val="single"/>
        </w:rPr>
        <w:t xml:space="preserve">  </w:t>
      </w:r>
      <w:r>
        <w:rPr>
          <w:rFonts w:hint="eastAsia" w:ascii="仿宋" w:hAnsi="仿宋" w:eastAsia="仿宋" w:cs="仿宋"/>
          <w:color w:val="auto"/>
          <w:spacing w:val="0"/>
          <w:kern w:val="0"/>
          <w:sz w:val="24"/>
          <w:szCs w:val="24"/>
          <w:highlight w:val="none"/>
        </w:rPr>
        <w:t>天</w:t>
      </w:r>
      <w:permEnd w:id="4"/>
    </w:p>
    <w:p w14:paraId="04656311">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仿宋" w:hAnsi="仿宋" w:eastAsia="仿宋" w:cs="仿宋"/>
          <w:color w:val="auto"/>
          <w:spacing w:val="0"/>
          <w:sz w:val="24"/>
          <w:szCs w:val="24"/>
          <w:highlight w:val="none"/>
          <w:u w:val="single"/>
          <w:lang w:val="en-US" w:eastAsia="zh-CN"/>
        </w:rPr>
      </w:pPr>
      <w:r>
        <w:rPr>
          <w:rFonts w:hint="eastAsia" w:ascii="仿宋" w:hAnsi="仿宋" w:eastAsia="仿宋" w:cs="仿宋"/>
          <w:color w:val="auto"/>
          <w:spacing w:val="0"/>
          <w:sz w:val="24"/>
          <w:szCs w:val="24"/>
          <w:highlight w:val="none"/>
        </w:rPr>
        <w:t>总工期及开工及竣工时间：</w:t>
      </w:r>
      <w:r>
        <w:rPr>
          <w:rFonts w:hint="eastAsia" w:ascii="仿宋" w:hAnsi="仿宋" w:eastAsia="仿宋" w:cs="仿宋"/>
          <w:color w:val="auto"/>
          <w:spacing w:val="0"/>
          <w:sz w:val="24"/>
          <w:szCs w:val="24"/>
          <w:highlight w:val="none"/>
          <w:u w:val="single"/>
          <w:lang w:val="en-US" w:eastAsia="zh-CN"/>
        </w:rPr>
        <w:t xml:space="preserve">              </w:t>
      </w:r>
    </w:p>
    <w:p w14:paraId="28E10E23">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仿宋" w:hAnsi="仿宋" w:eastAsia="仿宋" w:cs="仿宋"/>
          <w:color w:val="auto"/>
          <w:spacing w:val="0"/>
          <w:kern w:val="0"/>
          <w:sz w:val="24"/>
          <w:szCs w:val="24"/>
          <w:highlight w:val="none"/>
          <w:u w:val="single"/>
        </w:rPr>
      </w:pPr>
      <w:r>
        <w:rPr>
          <w:rFonts w:hint="eastAsia" w:ascii="仿宋" w:hAnsi="仿宋" w:eastAsia="仿宋" w:cs="仿宋"/>
          <w:color w:val="auto"/>
          <w:spacing w:val="0"/>
          <w:kern w:val="0"/>
          <w:sz w:val="24"/>
          <w:szCs w:val="24"/>
          <w:highlight w:val="none"/>
          <w:lang w:val="en-US" w:eastAsia="zh-CN"/>
        </w:rPr>
        <w:t>施工</w:t>
      </w:r>
      <w:r>
        <w:rPr>
          <w:rFonts w:hint="eastAsia" w:ascii="仿宋" w:hAnsi="仿宋" w:eastAsia="仿宋" w:cs="仿宋"/>
          <w:color w:val="auto"/>
          <w:spacing w:val="0"/>
          <w:kern w:val="0"/>
          <w:sz w:val="24"/>
          <w:szCs w:val="24"/>
          <w:highlight w:val="none"/>
        </w:rPr>
        <w:t>开始日期：</w:t>
      </w:r>
      <w:permStart w:id="5" w:edGrp="everyone"/>
      <w:r>
        <w:rPr>
          <w:rFonts w:hint="eastAsia"/>
          <w:color w:val="auto"/>
          <w:highlight w:val="none"/>
          <w:lang w:val="en-US" w:eastAsia="zh-CN"/>
        </w:rPr>
        <w:t>发包人移交场地且收到发包人书面开工通知之日起</w:t>
      </w:r>
      <w:r>
        <w:rPr>
          <w:rFonts w:hint="eastAsia" w:ascii="仿宋" w:hAnsi="仿宋" w:eastAsia="仿宋" w:cs="仿宋"/>
          <w:color w:val="auto"/>
          <w:spacing w:val="0"/>
          <w:kern w:val="0"/>
          <w:sz w:val="24"/>
          <w:szCs w:val="24"/>
          <w:highlight w:val="none"/>
          <w:u w:val="single"/>
        </w:rPr>
        <w:t xml:space="preserve"> </w:t>
      </w:r>
      <w:permEnd w:id="5"/>
    </w:p>
    <w:p w14:paraId="2AE04AC1">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仿宋" w:hAnsi="仿宋" w:eastAsia="仿宋" w:cs="仿宋"/>
          <w:color w:val="auto"/>
          <w:spacing w:val="0"/>
          <w:kern w:val="0"/>
          <w:sz w:val="24"/>
          <w:szCs w:val="24"/>
          <w:highlight w:val="none"/>
          <w:u w:val="single"/>
        </w:rPr>
      </w:pPr>
      <w:r>
        <w:rPr>
          <w:rFonts w:hint="eastAsia" w:ascii="仿宋" w:hAnsi="仿宋" w:eastAsia="仿宋" w:cs="仿宋"/>
          <w:color w:val="auto"/>
          <w:spacing w:val="0"/>
          <w:kern w:val="0"/>
          <w:sz w:val="24"/>
          <w:szCs w:val="24"/>
          <w:highlight w:val="none"/>
          <w:lang w:val="en-US" w:eastAsia="zh-CN"/>
        </w:rPr>
        <w:t>施工</w:t>
      </w:r>
      <w:r>
        <w:rPr>
          <w:rFonts w:hint="eastAsia" w:ascii="仿宋" w:hAnsi="仿宋" w:eastAsia="仿宋" w:cs="仿宋"/>
          <w:color w:val="auto"/>
          <w:spacing w:val="0"/>
          <w:kern w:val="0"/>
          <w:sz w:val="24"/>
          <w:szCs w:val="24"/>
          <w:highlight w:val="none"/>
        </w:rPr>
        <w:t>完成日期：</w:t>
      </w:r>
      <w:permStart w:id="6" w:edGrp="everyone"/>
      <w:r>
        <w:rPr>
          <w:rFonts w:hint="eastAsia" w:ascii="仿宋" w:hAnsi="仿宋" w:eastAsia="仿宋" w:cs="仿宋"/>
          <w:color w:val="auto"/>
          <w:spacing w:val="0"/>
          <w:kern w:val="0"/>
          <w:sz w:val="24"/>
          <w:szCs w:val="24"/>
          <w:highlight w:val="none"/>
          <w:u w:val="single"/>
        </w:rPr>
        <w:t xml:space="preserve">      </w:t>
      </w:r>
      <w:r>
        <w:rPr>
          <w:rFonts w:hint="eastAsia" w:ascii="仿宋" w:hAnsi="仿宋" w:eastAsia="仿宋" w:cs="仿宋"/>
          <w:color w:val="auto"/>
          <w:spacing w:val="0"/>
          <w:kern w:val="0"/>
          <w:sz w:val="24"/>
          <w:szCs w:val="24"/>
          <w:highlight w:val="none"/>
          <w:u w:val="single"/>
          <w:lang w:val="en-US" w:eastAsia="zh-CN"/>
        </w:rPr>
        <w:t xml:space="preserve">   </w:t>
      </w:r>
      <w:r>
        <w:rPr>
          <w:rFonts w:hint="eastAsia" w:ascii="仿宋" w:hAnsi="仿宋" w:eastAsia="仿宋" w:cs="仿宋"/>
          <w:color w:val="auto"/>
          <w:spacing w:val="0"/>
          <w:kern w:val="0"/>
          <w:sz w:val="24"/>
          <w:szCs w:val="24"/>
          <w:highlight w:val="none"/>
          <w:u w:val="single"/>
        </w:rPr>
        <w:t>年</w:t>
      </w:r>
      <w:r>
        <w:rPr>
          <w:rFonts w:hint="eastAsia" w:ascii="仿宋" w:hAnsi="仿宋" w:eastAsia="仿宋" w:cs="仿宋"/>
          <w:color w:val="auto"/>
          <w:spacing w:val="0"/>
          <w:kern w:val="0"/>
          <w:sz w:val="24"/>
          <w:szCs w:val="24"/>
          <w:highlight w:val="none"/>
          <w:u w:val="single"/>
          <w:lang w:val="en-US" w:eastAsia="zh-CN"/>
        </w:rPr>
        <w:t xml:space="preserve">     </w:t>
      </w:r>
      <w:r>
        <w:rPr>
          <w:rFonts w:hint="eastAsia" w:ascii="仿宋" w:hAnsi="仿宋" w:eastAsia="仿宋" w:cs="仿宋"/>
          <w:color w:val="auto"/>
          <w:spacing w:val="0"/>
          <w:kern w:val="0"/>
          <w:sz w:val="24"/>
          <w:szCs w:val="24"/>
          <w:highlight w:val="none"/>
          <w:u w:val="single"/>
        </w:rPr>
        <w:t>月</w:t>
      </w:r>
      <w:r>
        <w:rPr>
          <w:rFonts w:hint="eastAsia" w:ascii="仿宋" w:hAnsi="仿宋" w:eastAsia="仿宋" w:cs="仿宋"/>
          <w:color w:val="auto"/>
          <w:spacing w:val="0"/>
          <w:kern w:val="0"/>
          <w:sz w:val="24"/>
          <w:szCs w:val="24"/>
          <w:highlight w:val="none"/>
          <w:u w:val="single"/>
          <w:lang w:val="en-US" w:eastAsia="zh-CN"/>
        </w:rPr>
        <w:t xml:space="preserve">     </w:t>
      </w:r>
      <w:r>
        <w:rPr>
          <w:rFonts w:hint="eastAsia" w:ascii="仿宋" w:hAnsi="仿宋" w:eastAsia="仿宋" w:cs="仿宋"/>
          <w:color w:val="auto"/>
          <w:spacing w:val="0"/>
          <w:kern w:val="0"/>
          <w:sz w:val="24"/>
          <w:szCs w:val="24"/>
          <w:highlight w:val="none"/>
          <w:u w:val="single"/>
        </w:rPr>
        <w:t>日     。</w:t>
      </w:r>
      <w:permEnd w:id="6"/>
    </w:p>
    <w:p w14:paraId="3EF8FC1C">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仿宋" w:hAnsi="仿宋" w:eastAsia="仿宋" w:cs="仿宋"/>
          <w:b/>
          <w:color w:val="auto"/>
          <w:spacing w:val="0"/>
          <w:kern w:val="0"/>
          <w:sz w:val="24"/>
          <w:szCs w:val="24"/>
          <w:highlight w:val="none"/>
        </w:rPr>
      </w:pPr>
      <w:r>
        <w:rPr>
          <w:rFonts w:hint="eastAsia" w:ascii="仿宋" w:hAnsi="仿宋" w:eastAsia="仿宋" w:cs="仿宋"/>
          <w:b/>
          <w:color w:val="auto"/>
          <w:spacing w:val="0"/>
          <w:kern w:val="0"/>
          <w:sz w:val="24"/>
          <w:szCs w:val="24"/>
          <w:highlight w:val="none"/>
          <w:lang w:val="en-US" w:eastAsia="zh-CN"/>
        </w:rPr>
        <w:t>2</w:t>
      </w:r>
      <w:r>
        <w:rPr>
          <w:rFonts w:hint="eastAsia" w:ascii="仿宋" w:hAnsi="仿宋" w:eastAsia="仿宋" w:cs="仿宋"/>
          <w:b/>
          <w:color w:val="auto"/>
          <w:spacing w:val="0"/>
          <w:kern w:val="0"/>
          <w:sz w:val="24"/>
          <w:szCs w:val="24"/>
          <w:highlight w:val="none"/>
          <w:lang w:eastAsia="zh-CN"/>
        </w:rPr>
        <w:t>.</w:t>
      </w:r>
      <w:r>
        <w:rPr>
          <w:rFonts w:hint="eastAsia" w:ascii="仿宋" w:hAnsi="仿宋" w:eastAsia="仿宋" w:cs="仿宋"/>
          <w:b/>
          <w:bCs/>
          <w:color w:val="auto"/>
          <w:spacing w:val="0"/>
          <w:sz w:val="24"/>
          <w:szCs w:val="24"/>
          <w:highlight w:val="none"/>
          <w:lang w:val="en-US" w:eastAsia="zh-CN"/>
        </w:rPr>
        <w:t>基坑支护和土方开挖设计</w:t>
      </w:r>
      <w:r>
        <w:rPr>
          <w:rFonts w:hint="eastAsia" w:ascii="仿宋" w:hAnsi="仿宋" w:eastAsia="仿宋" w:cs="仿宋"/>
          <w:b/>
          <w:color w:val="auto"/>
          <w:spacing w:val="0"/>
          <w:kern w:val="0"/>
          <w:sz w:val="24"/>
          <w:szCs w:val="24"/>
          <w:highlight w:val="none"/>
        </w:rPr>
        <w:t>工期总日历天数：</w:t>
      </w:r>
      <w:permStart w:id="7" w:edGrp="everyone"/>
      <w:r>
        <w:rPr>
          <w:rFonts w:hint="eastAsia" w:ascii="仿宋" w:hAnsi="仿宋" w:eastAsia="仿宋" w:cs="仿宋"/>
          <w:color w:val="auto"/>
          <w:spacing w:val="0"/>
          <w:kern w:val="0"/>
          <w:sz w:val="24"/>
          <w:szCs w:val="24"/>
          <w:highlight w:val="none"/>
          <w:u w:val="single"/>
        </w:rPr>
        <w:t xml:space="preserve">  </w:t>
      </w:r>
      <w:r>
        <w:rPr>
          <w:rFonts w:hint="eastAsia" w:ascii="仿宋" w:hAnsi="仿宋" w:eastAsia="仿宋" w:cs="仿宋"/>
          <w:color w:val="auto"/>
          <w:spacing w:val="0"/>
          <w:kern w:val="0"/>
          <w:sz w:val="24"/>
          <w:szCs w:val="24"/>
          <w:highlight w:val="none"/>
          <w:u w:val="single"/>
          <w:lang w:val="en-US" w:eastAsia="zh-CN"/>
        </w:rPr>
        <w:t xml:space="preserve"> 30 </w:t>
      </w:r>
      <w:r>
        <w:rPr>
          <w:rFonts w:hint="eastAsia" w:ascii="仿宋" w:hAnsi="仿宋" w:eastAsia="仿宋" w:cs="仿宋"/>
          <w:color w:val="auto"/>
          <w:spacing w:val="0"/>
          <w:kern w:val="0"/>
          <w:sz w:val="24"/>
          <w:szCs w:val="24"/>
          <w:highlight w:val="none"/>
          <w:u w:val="single"/>
        </w:rPr>
        <w:t xml:space="preserve">  </w:t>
      </w:r>
      <w:r>
        <w:rPr>
          <w:rFonts w:hint="eastAsia" w:ascii="仿宋" w:hAnsi="仿宋" w:eastAsia="仿宋" w:cs="仿宋"/>
          <w:color w:val="auto"/>
          <w:spacing w:val="0"/>
          <w:kern w:val="0"/>
          <w:sz w:val="24"/>
          <w:szCs w:val="24"/>
          <w:highlight w:val="none"/>
        </w:rPr>
        <w:t>天</w:t>
      </w:r>
      <w:permEnd w:id="7"/>
    </w:p>
    <w:p w14:paraId="32A0DC8C">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仿宋" w:hAnsi="仿宋" w:eastAsia="仿宋" w:cs="仿宋"/>
          <w:color w:val="auto"/>
          <w:spacing w:val="0"/>
          <w:kern w:val="0"/>
          <w:sz w:val="24"/>
          <w:szCs w:val="24"/>
          <w:highlight w:val="none"/>
          <w:u w:val="single"/>
        </w:rPr>
      </w:pPr>
      <w:r>
        <w:rPr>
          <w:rFonts w:hint="eastAsia" w:ascii="仿宋" w:hAnsi="仿宋" w:eastAsia="仿宋" w:cs="仿宋"/>
          <w:color w:val="auto"/>
          <w:spacing w:val="0"/>
          <w:kern w:val="0"/>
          <w:sz w:val="24"/>
          <w:szCs w:val="24"/>
          <w:highlight w:val="none"/>
        </w:rPr>
        <w:t>设计开始日期：</w:t>
      </w:r>
      <w:permStart w:id="8" w:edGrp="everyone"/>
      <w:r>
        <w:rPr>
          <w:rFonts w:hint="eastAsia" w:ascii="仿宋" w:hAnsi="仿宋" w:eastAsia="仿宋" w:cs="仿宋"/>
          <w:color w:val="auto"/>
          <w:spacing w:val="0"/>
          <w:kern w:val="0"/>
          <w:sz w:val="24"/>
          <w:szCs w:val="24"/>
          <w:highlight w:val="none"/>
          <w:u w:val="single"/>
        </w:rPr>
        <w:t xml:space="preserve">以本合同签订之日起 </w:t>
      </w:r>
      <w:permEnd w:id="8"/>
    </w:p>
    <w:p w14:paraId="557E95EC">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仿宋" w:hAnsi="仿宋" w:eastAsia="仿宋" w:cs="仿宋"/>
          <w:color w:val="auto"/>
          <w:spacing w:val="0"/>
          <w:kern w:val="0"/>
          <w:sz w:val="24"/>
          <w:szCs w:val="24"/>
          <w:highlight w:val="none"/>
          <w:u w:val="single"/>
        </w:rPr>
      </w:pPr>
      <w:r>
        <w:rPr>
          <w:rFonts w:hint="eastAsia" w:ascii="仿宋" w:hAnsi="仿宋" w:eastAsia="仿宋" w:cs="仿宋"/>
          <w:color w:val="auto"/>
          <w:spacing w:val="0"/>
          <w:kern w:val="0"/>
          <w:sz w:val="24"/>
          <w:szCs w:val="24"/>
          <w:highlight w:val="none"/>
        </w:rPr>
        <w:t>设计完成日期：</w:t>
      </w:r>
      <w:permStart w:id="9" w:edGrp="everyone"/>
      <w:r>
        <w:rPr>
          <w:rFonts w:hint="eastAsia" w:ascii="仿宋" w:hAnsi="仿宋" w:eastAsia="仿宋" w:cs="仿宋"/>
          <w:color w:val="auto"/>
          <w:spacing w:val="0"/>
          <w:kern w:val="0"/>
          <w:sz w:val="24"/>
          <w:szCs w:val="24"/>
          <w:highlight w:val="none"/>
          <w:u w:val="single"/>
        </w:rPr>
        <w:t xml:space="preserve">       </w:t>
      </w:r>
      <w:r>
        <w:rPr>
          <w:rFonts w:hint="eastAsia" w:ascii="仿宋" w:hAnsi="仿宋" w:eastAsia="仿宋" w:cs="仿宋"/>
          <w:color w:val="auto"/>
          <w:spacing w:val="0"/>
          <w:kern w:val="0"/>
          <w:sz w:val="24"/>
          <w:szCs w:val="24"/>
          <w:highlight w:val="none"/>
          <w:u w:val="single"/>
          <w:lang w:val="en-US" w:eastAsia="zh-CN"/>
        </w:rPr>
        <w:t xml:space="preserve">  </w:t>
      </w:r>
      <w:r>
        <w:rPr>
          <w:rFonts w:hint="eastAsia" w:ascii="仿宋" w:hAnsi="仿宋" w:eastAsia="仿宋" w:cs="仿宋"/>
          <w:color w:val="auto"/>
          <w:spacing w:val="0"/>
          <w:kern w:val="0"/>
          <w:sz w:val="24"/>
          <w:szCs w:val="24"/>
          <w:highlight w:val="none"/>
          <w:u w:val="single"/>
        </w:rPr>
        <w:t>年</w:t>
      </w:r>
      <w:r>
        <w:rPr>
          <w:rFonts w:hint="eastAsia" w:ascii="仿宋" w:hAnsi="仿宋" w:eastAsia="仿宋" w:cs="仿宋"/>
          <w:color w:val="auto"/>
          <w:spacing w:val="0"/>
          <w:kern w:val="0"/>
          <w:sz w:val="24"/>
          <w:szCs w:val="24"/>
          <w:highlight w:val="none"/>
          <w:u w:val="single"/>
          <w:lang w:val="en-US" w:eastAsia="zh-CN"/>
        </w:rPr>
        <w:t xml:space="preserve">     </w:t>
      </w:r>
      <w:r>
        <w:rPr>
          <w:rFonts w:hint="eastAsia" w:ascii="仿宋" w:hAnsi="仿宋" w:eastAsia="仿宋" w:cs="仿宋"/>
          <w:color w:val="auto"/>
          <w:spacing w:val="0"/>
          <w:kern w:val="0"/>
          <w:sz w:val="24"/>
          <w:szCs w:val="24"/>
          <w:highlight w:val="none"/>
          <w:u w:val="single"/>
        </w:rPr>
        <w:t>月</w:t>
      </w:r>
      <w:r>
        <w:rPr>
          <w:rFonts w:hint="eastAsia" w:ascii="仿宋" w:hAnsi="仿宋" w:eastAsia="仿宋" w:cs="仿宋"/>
          <w:color w:val="auto"/>
          <w:spacing w:val="0"/>
          <w:kern w:val="0"/>
          <w:sz w:val="24"/>
          <w:szCs w:val="24"/>
          <w:highlight w:val="none"/>
          <w:u w:val="single"/>
          <w:lang w:val="en-US" w:eastAsia="zh-CN"/>
        </w:rPr>
        <w:t xml:space="preserve">      </w:t>
      </w:r>
      <w:r>
        <w:rPr>
          <w:rFonts w:hint="eastAsia" w:ascii="仿宋" w:hAnsi="仿宋" w:eastAsia="仿宋" w:cs="仿宋"/>
          <w:color w:val="auto"/>
          <w:spacing w:val="0"/>
          <w:kern w:val="0"/>
          <w:sz w:val="24"/>
          <w:szCs w:val="24"/>
          <w:highlight w:val="none"/>
          <w:u w:val="single"/>
        </w:rPr>
        <w:t>日     。</w:t>
      </w:r>
      <w:permEnd w:id="9"/>
    </w:p>
    <w:p w14:paraId="64F52B06">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snapToGrid w:val="0"/>
        <w:spacing w:after="0" w:line="360" w:lineRule="auto"/>
        <w:ind w:left="480" w:leftChars="200"/>
        <w:textAlignment w:val="auto"/>
        <w:rPr>
          <w:rFonts w:hint="eastAsia" w:ascii="仿宋" w:hAnsi="仿宋" w:eastAsia="仿宋" w:cs="仿宋"/>
          <w:color w:val="auto"/>
          <w:spacing w:val="0"/>
          <w:sz w:val="24"/>
          <w:szCs w:val="24"/>
          <w:highlight w:val="none"/>
        </w:rPr>
      </w:pPr>
      <w:bookmarkStart w:id="15" w:name="_Toc185944973"/>
      <w:bookmarkStart w:id="16" w:name="_Toc187222402"/>
    </w:p>
    <w:p w14:paraId="744012B4">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snapToGrid w:val="0"/>
        <w:spacing w:after="0" w:line="360" w:lineRule="auto"/>
        <w:ind w:left="480" w:leftChars="200"/>
        <w:textAlignment w:val="auto"/>
        <w:rPr>
          <w:rFonts w:hint="eastAsia" w:ascii="仿宋" w:hAnsi="仿宋" w:eastAsia="仿宋" w:cs="仿宋"/>
          <w:b/>
          <w:bCs/>
          <w:color w:val="auto"/>
          <w:spacing w:val="0"/>
          <w:kern w:val="44"/>
          <w:sz w:val="24"/>
          <w:szCs w:val="24"/>
          <w:highlight w:val="none"/>
          <w:lang w:val="en-US" w:eastAsia="zh-CN" w:bidi="ar-SA"/>
        </w:rPr>
      </w:pPr>
      <w:r>
        <w:rPr>
          <w:rFonts w:hint="eastAsia" w:ascii="仿宋" w:hAnsi="仿宋" w:eastAsia="仿宋" w:cs="仿宋"/>
          <w:b/>
          <w:bCs/>
          <w:color w:val="auto"/>
          <w:spacing w:val="0"/>
          <w:kern w:val="44"/>
          <w:sz w:val="24"/>
          <w:szCs w:val="24"/>
          <w:highlight w:val="none"/>
          <w:lang w:val="en-US" w:eastAsia="zh-CN" w:bidi="ar-SA"/>
        </w:rPr>
        <w:t>四、质量标准</w:t>
      </w:r>
      <w:bookmarkEnd w:id="15"/>
      <w:bookmarkEnd w:id="16"/>
    </w:p>
    <w:p w14:paraId="140F0AA3">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1．设计质量标准：</w:t>
      </w:r>
      <w:permStart w:id="10" w:edGrp="everyone"/>
      <w:r>
        <w:rPr>
          <w:rFonts w:hint="eastAsia" w:ascii="仿宋" w:hAnsi="仿宋" w:eastAsia="仿宋" w:cs="仿宋"/>
          <w:color w:val="auto"/>
          <w:spacing w:val="0"/>
          <w:sz w:val="24"/>
          <w:szCs w:val="24"/>
          <w:highlight w:val="none"/>
          <w:u w:val="single"/>
        </w:rPr>
        <w:t>设计图纸需符合国家建设工程设计的相关技术规范及本项目设计任务书的要求，设计图纸的深度需满足相关规范要求。</w:t>
      </w:r>
    </w:p>
    <w:permEnd w:id="10"/>
    <w:p w14:paraId="6AE47D5B">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2．工程质量标准：</w:t>
      </w:r>
    </w:p>
    <w:p w14:paraId="59B9BD47">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2.1 工程质量应符合招标文件技术要求、合同约定的工程质量验收标准、国家及地方或行业现行的《建筑工程施工质量验收统一标准》及相应配套的各专业验收规范，满足下一套工序施工需求标准，并达到合格或以上标准，确保验收合格。</w:t>
      </w:r>
    </w:p>
    <w:p w14:paraId="54094381">
      <w:pPr>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2.2前述质量标准之间或其与设计技术文件之间的要求不一致时，采用较严格标准，且同一类质量标准文件应执行最新版本。合同价款和工期视为已包括执行较严格标准所需之全部费用和时间。</w:t>
      </w:r>
      <w:bookmarkStart w:id="17" w:name="_Toc25532"/>
      <w:bookmarkStart w:id="18" w:name="_Toc185944974"/>
      <w:bookmarkStart w:id="19" w:name="_Toc187222403"/>
    </w:p>
    <w:p w14:paraId="5DB1A485">
      <w:pPr>
        <w:pStyle w:val="4"/>
        <w:rPr>
          <w:rFonts w:hint="eastAsia"/>
          <w:color w:val="auto"/>
          <w:highlight w:val="none"/>
          <w:lang w:val="en-US" w:eastAsia="zh-CN"/>
        </w:rPr>
      </w:pPr>
    </w:p>
    <w:p w14:paraId="5887A43F">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snapToGrid w:val="0"/>
        <w:spacing w:after="0" w:line="360" w:lineRule="auto"/>
        <w:ind w:left="480" w:left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五、绿色施工安全防护标准</w:t>
      </w:r>
      <w:bookmarkEnd w:id="17"/>
      <w:bookmarkEnd w:id="18"/>
      <w:bookmarkEnd w:id="19"/>
    </w:p>
    <w:p w14:paraId="577F22A9">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其他：按项目所在地的有关安全文明施工要求施工。承包人应杜绝发生安全事故，具体安全防护工作按照广州市相关规定执行。</w:t>
      </w:r>
    </w:p>
    <w:p w14:paraId="67C4CE4A">
      <w:pPr>
        <w:pStyle w:val="4"/>
        <w:rPr>
          <w:rFonts w:hint="eastAsia"/>
          <w:color w:val="auto"/>
          <w:highlight w:val="none"/>
          <w:lang w:val="en-US" w:eastAsia="zh-CN"/>
        </w:rPr>
      </w:pPr>
      <w:bookmarkStart w:id="20" w:name="_Toc580"/>
      <w:bookmarkStart w:id="21" w:name="_Toc187222404"/>
      <w:bookmarkStart w:id="22" w:name="_Toc185944975"/>
      <w:bookmarkStart w:id="23" w:name="_Toc8008"/>
    </w:p>
    <w:p w14:paraId="48248FCA">
      <w:pPr>
        <w:pStyle w:val="4"/>
        <w:ind w:firstLine="420" w:firstLineChars="200"/>
        <w:rPr>
          <w:rFonts w:hint="eastAsia"/>
          <w:color w:val="auto"/>
          <w:highlight w:val="none"/>
          <w:lang w:val="en-US" w:eastAsia="zh-CN"/>
        </w:rPr>
      </w:pPr>
      <w:r>
        <w:rPr>
          <w:rFonts w:hint="eastAsia"/>
          <w:color w:val="auto"/>
          <w:highlight w:val="none"/>
          <w:lang w:val="en-US" w:eastAsia="zh-CN"/>
        </w:rPr>
        <w:t>六、</w:t>
      </w:r>
      <w:bookmarkStart w:id="24" w:name="_Hlk57672082"/>
      <w:r>
        <w:rPr>
          <w:rFonts w:hint="eastAsia"/>
          <w:color w:val="auto"/>
          <w:highlight w:val="none"/>
          <w:lang w:val="en-US" w:eastAsia="zh-CN"/>
        </w:rPr>
        <w:t>职业健康安全管理目标和环境管理目标</w:t>
      </w:r>
      <w:bookmarkEnd w:id="20"/>
      <w:bookmarkEnd w:id="21"/>
      <w:bookmarkEnd w:id="22"/>
      <w:bookmarkEnd w:id="23"/>
      <w:bookmarkEnd w:id="24"/>
    </w:p>
    <w:p w14:paraId="7CF9192C">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bookmarkStart w:id="25" w:name="_Hlk57672071"/>
      <w:r>
        <w:rPr>
          <w:rFonts w:hint="eastAsia" w:ascii="仿宋" w:hAnsi="仿宋" w:eastAsia="仿宋" w:cs="仿宋"/>
          <w:color w:val="auto"/>
          <w:spacing w:val="0"/>
          <w:sz w:val="24"/>
          <w:szCs w:val="24"/>
          <w:highlight w:val="none"/>
        </w:rPr>
        <w:t xml:space="preserve">1. 职业健康安全管理目标： </w:t>
      </w:r>
    </w:p>
    <w:p w14:paraId="14B93DD7">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1）杜绝发生一般事故等级及以上的伤亡事故且工伤责任事故死亡人数为零。</w:t>
      </w:r>
    </w:p>
    <w:p w14:paraId="61E76127">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 环境管理目标：严格执行当地相关要求。</w:t>
      </w:r>
    </w:p>
    <w:p w14:paraId="028EF63D">
      <w:pPr>
        <w:pStyle w:val="4"/>
        <w:ind w:firstLine="420" w:firstLineChars="200"/>
        <w:rPr>
          <w:rFonts w:hint="eastAsia"/>
          <w:color w:val="auto"/>
          <w:highlight w:val="none"/>
          <w:lang w:val="en-US" w:eastAsia="zh-CN"/>
        </w:rPr>
      </w:pPr>
    </w:p>
    <w:p w14:paraId="1211A5D0">
      <w:pPr>
        <w:pStyle w:val="4"/>
        <w:ind w:firstLine="420" w:firstLineChars="200"/>
        <w:rPr>
          <w:rFonts w:hint="eastAsia"/>
          <w:color w:val="auto"/>
          <w:highlight w:val="none"/>
          <w:lang w:val="zh-CN" w:eastAsia="zh-CN"/>
        </w:rPr>
      </w:pPr>
      <w:r>
        <w:rPr>
          <w:rFonts w:hint="eastAsia"/>
          <w:color w:val="auto"/>
          <w:highlight w:val="none"/>
          <w:lang w:val="en-US" w:eastAsia="zh-CN"/>
        </w:rPr>
        <w:t>七、</w:t>
      </w:r>
      <w:r>
        <w:rPr>
          <w:rFonts w:hint="eastAsia"/>
          <w:color w:val="auto"/>
          <w:highlight w:val="none"/>
          <w:lang w:val="zh-CN" w:eastAsia="zh-CN"/>
        </w:rPr>
        <w:t>合同价款</w:t>
      </w:r>
    </w:p>
    <w:p w14:paraId="1B55E9EE">
      <w:pPr>
        <w:keepNext w:val="0"/>
        <w:keepLines w:val="0"/>
        <w:pageBreakBefore w:val="0"/>
        <w:widowControl w:val="0"/>
        <w:tabs>
          <w:tab w:val="center" w:pos="4415"/>
        </w:tabs>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u w:val="single"/>
          <w:lang w:val="en-US" w:eastAsia="zh-CN"/>
        </w:rPr>
      </w:pPr>
      <w:r>
        <w:rPr>
          <w:rFonts w:hint="eastAsia" w:ascii="仿宋" w:hAnsi="仿宋" w:eastAsia="仿宋" w:cs="仿宋"/>
          <w:color w:val="auto"/>
          <w:spacing w:val="0"/>
          <w:sz w:val="24"/>
          <w:szCs w:val="24"/>
          <w:highlight w:val="none"/>
          <w:u w:val="single"/>
          <w:lang w:val="en-US" w:eastAsia="zh-CN"/>
        </w:rPr>
        <w:t>1.含税□固定☑暂定合同工程款总价：</w:t>
      </w:r>
      <w:r>
        <w:rPr>
          <w:rFonts w:hint="eastAsia" w:ascii="仿宋" w:hAnsi="仿宋" w:eastAsia="仿宋" w:cs="仿宋"/>
          <w:color w:val="auto"/>
          <w:spacing w:val="0"/>
          <w:sz w:val="24"/>
          <w:szCs w:val="24"/>
          <w:highlight w:val="none"/>
          <w:u w:val="single"/>
          <w:lang w:val="zh-CN" w:eastAsia="zh-CN"/>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lang w:val="zh-CN" w:eastAsia="zh-CN"/>
        </w:rPr>
        <w:t xml:space="preserve"> 元（大写：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lang w:val="zh-CN" w:eastAsia="zh-CN"/>
        </w:rPr>
        <w:t xml:space="preserve">  ），</w:t>
      </w:r>
      <w:r>
        <w:rPr>
          <w:rFonts w:hint="eastAsia" w:ascii="仿宋" w:hAnsi="仿宋" w:eastAsia="仿宋" w:cs="仿宋"/>
          <w:color w:val="auto"/>
          <w:spacing w:val="0"/>
          <w:sz w:val="24"/>
          <w:szCs w:val="24"/>
          <w:highlight w:val="none"/>
          <w:u w:val="single"/>
          <w:lang w:val="en-US" w:eastAsia="zh-CN"/>
        </w:rPr>
        <w:t>其中：</w:t>
      </w:r>
    </w:p>
    <w:p w14:paraId="5F70ECAE">
      <w:pPr>
        <w:keepNext w:val="0"/>
        <w:keepLines w:val="0"/>
        <w:pageBreakBefore w:val="0"/>
        <w:widowControl w:val="0"/>
        <w:tabs>
          <w:tab w:val="center" w:pos="4415"/>
        </w:tabs>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u w:val="single"/>
          <w:lang w:val="en-US" w:eastAsia="zh-CN"/>
        </w:rPr>
      </w:pPr>
      <w:r>
        <w:rPr>
          <w:rFonts w:hint="eastAsia" w:ascii="仿宋" w:hAnsi="仿宋" w:eastAsia="仿宋" w:cs="仿宋"/>
          <w:color w:val="auto"/>
          <w:spacing w:val="0"/>
          <w:sz w:val="24"/>
          <w:szCs w:val="24"/>
          <w:highlight w:val="none"/>
          <w:u w:val="single"/>
          <w:lang w:val="en-US" w:eastAsia="zh-CN"/>
        </w:rPr>
        <w:t>1.1基坑支护和土方开挖施工价款暂定为人民币￥         元(大写                   )，其中不含增值税价¥          元；其中绿色施工安全防护措施费¥              元，增值税</w:t>
      </w:r>
      <w:r>
        <w:rPr>
          <w:rFonts w:hint="eastAsia" w:ascii="仿宋" w:hAnsi="仿宋" w:eastAsia="仿宋" w:cs="仿宋"/>
          <w:color w:val="auto"/>
          <w:spacing w:val="0"/>
          <w:sz w:val="24"/>
          <w:szCs w:val="24"/>
          <w:highlight w:val="none"/>
          <w:u w:val="single"/>
          <w:lang w:val="zh-CN" w:eastAsia="zh-CN"/>
        </w:rPr>
        <w:t>率</w:t>
      </w:r>
      <w:r>
        <w:rPr>
          <w:rFonts w:hint="eastAsia" w:ascii="仿宋" w:hAnsi="仿宋" w:eastAsia="仿宋" w:cs="仿宋"/>
          <w:color w:val="auto"/>
          <w:spacing w:val="0"/>
          <w:sz w:val="24"/>
          <w:szCs w:val="24"/>
          <w:highlight w:val="none"/>
          <w:u w:val="single"/>
          <w:lang w:val="en-US" w:eastAsia="zh-CN"/>
        </w:rPr>
        <w:t xml:space="preserve">  9 %。增值税发票的“货物或应税劳务、服务名称”为：    “*建筑服务*工程款”。  </w:t>
      </w:r>
    </w:p>
    <w:p w14:paraId="384CD84E">
      <w:pPr>
        <w:keepNext w:val="0"/>
        <w:keepLines w:val="0"/>
        <w:pageBreakBefore w:val="0"/>
        <w:widowControl w:val="0"/>
        <w:tabs>
          <w:tab w:val="center" w:pos="4415"/>
        </w:tabs>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u w:val="single"/>
          <w:lang w:val="en-US" w:eastAsia="zh-CN"/>
        </w:rPr>
      </w:pPr>
      <w:r>
        <w:rPr>
          <w:rFonts w:hint="eastAsia" w:ascii="仿宋" w:hAnsi="仿宋" w:eastAsia="仿宋" w:cs="仿宋"/>
          <w:color w:val="auto"/>
          <w:spacing w:val="0"/>
          <w:sz w:val="24"/>
          <w:szCs w:val="24"/>
          <w:highlight w:val="none"/>
          <w:u w:val="single"/>
          <w:lang w:val="en-US" w:eastAsia="zh-CN"/>
        </w:rPr>
        <w:t>1.2</w:t>
      </w:r>
      <w:r>
        <w:rPr>
          <w:rFonts w:hint="eastAsia" w:ascii="仿宋" w:hAnsi="仿宋" w:eastAsia="仿宋" w:cs="仿宋"/>
          <w:color w:val="auto"/>
          <w:spacing w:val="0"/>
          <w:sz w:val="24"/>
          <w:szCs w:val="24"/>
          <w:highlight w:val="none"/>
          <w:u w:val="single"/>
          <w:shd w:val="clear"/>
          <w:lang w:val="en-US" w:eastAsia="zh-CN"/>
        </w:rPr>
        <w:t>基坑支护和土方开挖设计</w:t>
      </w:r>
      <w:r>
        <w:rPr>
          <w:rFonts w:hint="eastAsia" w:ascii="仿宋" w:hAnsi="仿宋" w:eastAsia="仿宋" w:cs="仿宋"/>
          <w:color w:val="auto"/>
          <w:spacing w:val="0"/>
          <w:sz w:val="24"/>
          <w:szCs w:val="24"/>
          <w:highlight w:val="none"/>
          <w:u w:val="single"/>
          <w:lang w:val="en-US" w:eastAsia="zh-CN"/>
        </w:rPr>
        <w:t>价款暂定为人民币￥         元(大写                   )，其中不含增值税价¥          元，增值税</w:t>
      </w:r>
      <w:r>
        <w:rPr>
          <w:rFonts w:hint="eastAsia" w:ascii="仿宋" w:hAnsi="仿宋" w:eastAsia="仿宋" w:cs="仿宋"/>
          <w:color w:val="auto"/>
          <w:spacing w:val="0"/>
          <w:sz w:val="24"/>
          <w:szCs w:val="24"/>
          <w:highlight w:val="none"/>
          <w:u w:val="single"/>
          <w:lang w:val="zh-CN" w:eastAsia="zh-CN"/>
        </w:rPr>
        <w:t>率</w:t>
      </w:r>
      <w:r>
        <w:rPr>
          <w:rFonts w:hint="eastAsia" w:ascii="仿宋" w:hAnsi="仿宋" w:eastAsia="仿宋" w:cs="仿宋"/>
          <w:color w:val="auto"/>
          <w:spacing w:val="0"/>
          <w:sz w:val="24"/>
          <w:szCs w:val="24"/>
          <w:highlight w:val="none"/>
          <w:u w:val="single"/>
          <w:lang w:val="en-US" w:eastAsia="zh-CN"/>
        </w:rPr>
        <w:t xml:space="preserve">  6  %。增值税发票的“货物或应税劳务、服务名称”为：  “设计服务*设计费”  。</w:t>
      </w:r>
    </w:p>
    <w:p w14:paraId="706F6B08">
      <w:pPr>
        <w:pStyle w:val="32"/>
        <w:pageBreakBefore w:val="0"/>
        <w:numPr>
          <w:ilvl w:val="0"/>
          <w:numId w:val="0"/>
        </w:numPr>
        <w:kinsoku/>
        <w:overflowPunct/>
        <w:topLinePunct w:val="0"/>
        <w:bidi w:val="0"/>
        <w:adjustRightInd w:val="0"/>
        <w:snapToGrid w:val="0"/>
        <w:spacing w:after="0" w:line="360" w:lineRule="auto"/>
        <w:ind w:firstLine="480" w:firstLineChars="200"/>
        <w:rPr>
          <w:rFonts w:hint="eastAsia" w:ascii="仿宋" w:hAnsi="仿宋" w:eastAsia="仿宋" w:cs="仿宋"/>
          <w:color w:val="auto"/>
          <w:spacing w:val="0"/>
          <w:sz w:val="24"/>
          <w:szCs w:val="24"/>
          <w:highlight w:val="none"/>
          <w:lang w:val="zh-CN"/>
        </w:rPr>
      </w:pP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lang w:val="zh-CN"/>
        </w:rPr>
        <w:t>合同价款及合同项下各项应支付的费用，已包含承包人按照税收法律法规规定须承担为履行此合同在中华人民共和国境内外所必须缴纳的一切直接或间接税费，包括但不限于增值税、企业所得税、个人所得税、关税等税费，此税费已包括可能涉及的合同价格调整。增值税的税率按国家规定税率执行，</w:t>
      </w:r>
      <w:r>
        <w:rPr>
          <w:rFonts w:hint="eastAsia" w:ascii="仿宋" w:hAnsi="仿宋" w:eastAsia="仿宋" w:cs="仿宋"/>
          <w:color w:val="auto"/>
          <w:spacing w:val="0"/>
          <w:sz w:val="24"/>
          <w:szCs w:val="24"/>
          <w:highlight w:val="none"/>
        </w:rPr>
        <w:t>由于承包人自身纳税人身份、纳税方式及国家税制改革原因带来税种及税率的变化，</w:t>
      </w:r>
      <w:r>
        <w:rPr>
          <w:rFonts w:hint="eastAsia" w:ascii="仿宋" w:hAnsi="仿宋" w:eastAsia="仿宋" w:cs="仿宋"/>
          <w:color w:val="auto"/>
          <w:spacing w:val="0"/>
          <w:sz w:val="24"/>
          <w:szCs w:val="24"/>
          <w:highlight w:val="none"/>
          <w:lang w:val="zh-CN"/>
        </w:rPr>
        <w:t>税费按实计算，</w:t>
      </w:r>
      <w:r>
        <w:rPr>
          <w:rFonts w:hint="eastAsia" w:ascii="仿宋" w:hAnsi="仿宋" w:eastAsia="仿宋" w:cs="仿宋"/>
          <w:color w:val="auto"/>
          <w:spacing w:val="0"/>
          <w:sz w:val="24"/>
          <w:szCs w:val="24"/>
          <w:highlight w:val="none"/>
        </w:rPr>
        <w:t>承</w:t>
      </w:r>
      <w:r>
        <w:rPr>
          <w:rFonts w:hint="eastAsia" w:ascii="仿宋" w:hAnsi="仿宋" w:eastAsia="仿宋" w:cs="仿宋"/>
          <w:color w:val="auto"/>
          <w:spacing w:val="0"/>
          <w:sz w:val="24"/>
          <w:szCs w:val="24"/>
          <w:highlight w:val="none"/>
          <w:lang w:val="zh-CN"/>
        </w:rPr>
        <w:t>包人需提供相应税率的增值税专用发票，但非经</w:t>
      </w:r>
      <w:r>
        <w:rPr>
          <w:rFonts w:hint="eastAsia" w:ascii="仿宋" w:hAnsi="仿宋" w:eastAsia="仿宋" w:cs="仿宋"/>
          <w:color w:val="auto"/>
          <w:spacing w:val="0"/>
          <w:sz w:val="24"/>
          <w:szCs w:val="24"/>
          <w:highlight w:val="none"/>
        </w:rPr>
        <w:t>发</w:t>
      </w:r>
      <w:r>
        <w:rPr>
          <w:rFonts w:hint="eastAsia" w:ascii="仿宋" w:hAnsi="仿宋" w:eastAsia="仿宋" w:cs="仿宋"/>
          <w:color w:val="auto"/>
          <w:spacing w:val="0"/>
          <w:sz w:val="24"/>
          <w:szCs w:val="24"/>
          <w:highlight w:val="none"/>
          <w:lang w:val="zh-CN"/>
        </w:rPr>
        <w:t>包人书面同意，不含增值税价保持不变。</w:t>
      </w:r>
    </w:p>
    <w:p w14:paraId="55BDAA28">
      <w:pPr>
        <w:pageBreakBefore w:val="0"/>
        <w:kinsoku/>
        <w:overflowPunct/>
        <w:topLinePunct w:val="0"/>
        <w:bidi w:val="0"/>
        <w:snapToGrid w:val="0"/>
        <w:spacing w:after="0" w:line="360" w:lineRule="auto"/>
        <w:ind w:firstLine="480" w:firstLineChars="200"/>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.由发包人分别向联合体各方支付工程款，联合体各方分别向发包人提供应收款的</w:t>
      </w:r>
      <w:permStart w:id="11" w:edGrp="everyone"/>
      <w:r>
        <w:rPr>
          <w:rFonts w:hint="eastAsia" w:ascii="仿宋" w:hAnsi="仿宋" w:eastAsia="仿宋" w:cs="仿宋"/>
          <w:color w:val="auto"/>
          <w:spacing w:val="0"/>
          <w:sz w:val="24"/>
          <w:szCs w:val="24"/>
          <w:highlight w:val="none"/>
          <w:u w:val="single"/>
        </w:rPr>
        <w:t>增值税专用发票。</w:t>
      </w:r>
      <w:permEnd w:id="11"/>
    </w:p>
    <w:p w14:paraId="550B1CD3">
      <w:pPr>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在发包人向承包人支付合同价款前，承包人必须向发包人提供由承包人按核定付款金额开具的、与合同内容一致并符合税务机关规定的合法、有效增值税专用发票，由于承包人提供的发票不规范、不合法引起税务问题的，承包人应承担赔偿责任，包括但不限于税款、附加费、滞纳金、罚款及相关损失。承包人不能及时提供符合发包人要求的合法发票，发包人有权顺延直至承包人提供后付款且无需承担任何责任。如给发包人造成严重损失的，致使合同无法继续履行等情况，发包人有权终止合同。</w:t>
      </w:r>
    </w:p>
    <w:p w14:paraId="0E237733">
      <w:pPr>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5</w:t>
      </w:r>
      <w:r>
        <w:rPr>
          <w:rFonts w:hint="eastAsia" w:ascii="仿宋" w:hAnsi="仿宋" w:eastAsia="仿宋" w:cs="仿宋"/>
          <w:color w:val="auto"/>
          <w:spacing w:val="0"/>
          <w:sz w:val="24"/>
          <w:szCs w:val="24"/>
          <w:highlight w:val="none"/>
        </w:rPr>
        <w:t>.承包人所提供发票的内容必须真实、准确、完整、合法合规，且发票上必须注明工程名称及工程所在地具体地址。</w:t>
      </w:r>
    </w:p>
    <w:p w14:paraId="7D79C06E">
      <w:pPr>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6</w:t>
      </w:r>
      <w:r>
        <w:rPr>
          <w:rFonts w:hint="eastAsia" w:ascii="仿宋" w:hAnsi="仿宋" w:eastAsia="仿宋" w:cs="仿宋"/>
          <w:color w:val="auto"/>
          <w:spacing w:val="0"/>
          <w:sz w:val="24"/>
          <w:szCs w:val="24"/>
          <w:highlight w:val="none"/>
        </w:rPr>
        <w:t>.承包人应在发票记载的开具时间之日起15个工作日内（不得跨公历年）送达发包人，并提供在电子税务局查询到的发票领用记录截图（加盖公章纸质版）。若承包人开具的增值税发票信息不正确，应在接到发包人要求后的15日内重新开具正确的增值税发票并送达至发包人，承包人自行承担相关费用。发票无论何种原因丢失，承包人应配合发包人按照国家法律、法规、规章、政策等规定重新取得发包人可用作原始会计凭证并受税务机关认可的合法合规的相关凭证。</w:t>
      </w:r>
    </w:p>
    <w:p w14:paraId="6F9ED1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7</w:t>
      </w:r>
      <w:r>
        <w:rPr>
          <w:rFonts w:hint="eastAsia" w:ascii="仿宋" w:hAnsi="仿宋" w:eastAsia="仿宋" w:cs="仿宋"/>
          <w:color w:val="auto"/>
          <w:spacing w:val="0"/>
          <w:sz w:val="24"/>
          <w:szCs w:val="24"/>
          <w:highlight w:val="none"/>
        </w:rPr>
        <w:t>.本合同的罚款、违约金、赔偿均已包含增值税费及其附加，如为承包人收取，则承包人必须开具增值税发票，增值税发票类型要求同前述。承包人向发包人支付的罚款、违约赔偿款等并非原合同约定价款，因此合同总价款不变，承包人向发包人开具的发票金额不受该等罚款违约赔偿安排的影响。</w:t>
      </w:r>
    </w:p>
    <w:p w14:paraId="2A3E3E3A">
      <w:pPr>
        <w:keepNext w:val="0"/>
        <w:keepLines w:val="0"/>
        <w:pageBreakBefore w:val="0"/>
        <w:widowControl w:val="0"/>
        <w:numPr>
          <w:ilvl w:val="255"/>
          <w:numId w:val="0"/>
        </w:numPr>
        <w:kinsoku/>
        <w:wordWrap/>
        <w:overflowPunct/>
        <w:topLinePunct w:val="0"/>
        <w:autoSpaceDE/>
        <w:autoSpaceDN/>
        <w:bidi w:val="0"/>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8</w:t>
      </w:r>
      <w:r>
        <w:rPr>
          <w:rFonts w:hint="eastAsia" w:ascii="仿宋" w:hAnsi="仿宋" w:eastAsia="仿宋" w:cs="仿宋"/>
          <w:color w:val="auto"/>
          <w:spacing w:val="0"/>
          <w:sz w:val="24"/>
          <w:szCs w:val="24"/>
          <w:highlight w:val="none"/>
        </w:rPr>
        <w:t>.发包人开票信息</w:t>
      </w:r>
    </w:p>
    <w:p w14:paraId="5153EF6E">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default" w:ascii="仿宋" w:hAnsi="仿宋" w:eastAsia="仿宋" w:cs="仿宋"/>
          <w:color w:val="auto"/>
          <w:spacing w:val="0"/>
          <w:sz w:val="24"/>
          <w:szCs w:val="24"/>
          <w:highlight w:val="none"/>
          <w:u w:val="single"/>
          <w:lang w:val="en-US" w:eastAsia="zh-CN"/>
        </w:rPr>
      </w:pPr>
      <w:r>
        <w:rPr>
          <w:rFonts w:hint="eastAsia" w:ascii="仿宋" w:hAnsi="仿宋" w:eastAsia="仿宋" w:cs="仿宋"/>
          <w:color w:val="auto"/>
          <w:spacing w:val="0"/>
          <w:sz w:val="24"/>
          <w:szCs w:val="24"/>
          <w:highlight w:val="none"/>
        </w:rPr>
        <w:t>1）公司名称（一般纳税人）：</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广州锦泷房地产开发有限公司</w:t>
      </w:r>
      <w:r>
        <w:rPr>
          <w:rFonts w:hint="eastAsia" w:ascii="仿宋" w:hAnsi="仿宋" w:eastAsia="仿宋" w:cs="仿宋"/>
          <w:color w:val="auto"/>
          <w:spacing w:val="0"/>
          <w:sz w:val="24"/>
          <w:szCs w:val="24"/>
          <w:highlight w:val="none"/>
          <w:u w:val="single"/>
          <w:lang w:val="en-US" w:eastAsia="zh-CN"/>
        </w:rPr>
        <w:t xml:space="preserve">  </w:t>
      </w:r>
    </w:p>
    <w:p w14:paraId="2018E758">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2）纳税人编码：</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91440106MAE8MR4686</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lang w:val="en-US" w:eastAsia="zh-CN"/>
        </w:rPr>
        <w:t xml:space="preserve"> </w:t>
      </w:r>
    </w:p>
    <w:p w14:paraId="68104BAA">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3）开户银行账号：</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944015013000294087</w:t>
      </w:r>
      <w:r>
        <w:rPr>
          <w:rFonts w:hint="eastAsia" w:ascii="仿宋" w:hAnsi="仿宋" w:eastAsia="仿宋" w:cs="仿宋"/>
          <w:color w:val="auto"/>
          <w:spacing w:val="0"/>
          <w:sz w:val="24"/>
          <w:szCs w:val="24"/>
          <w:highlight w:val="none"/>
          <w:u w:val="single"/>
          <w:lang w:val="en-US" w:eastAsia="zh-CN"/>
        </w:rPr>
        <w:t xml:space="preserve">    </w:t>
      </w:r>
    </w:p>
    <w:p w14:paraId="0107E185">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4）开户银行名称：</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中国邮政储蓄银行股份有限公司广州市海珠支行</w:t>
      </w:r>
      <w:r>
        <w:rPr>
          <w:rFonts w:hint="eastAsia" w:ascii="仿宋" w:hAnsi="仿宋" w:eastAsia="仿宋" w:cs="仿宋"/>
          <w:color w:val="auto"/>
          <w:spacing w:val="0"/>
          <w:sz w:val="24"/>
          <w:szCs w:val="24"/>
          <w:highlight w:val="none"/>
          <w:u w:val="single"/>
          <w:lang w:val="en-US" w:eastAsia="zh-CN"/>
        </w:rPr>
        <w:t xml:space="preserve">                      </w:t>
      </w:r>
    </w:p>
    <w:p w14:paraId="200B600F">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5）地址：</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广州市天河区车陂路586号B102房</w:t>
      </w:r>
      <w:r>
        <w:rPr>
          <w:rFonts w:hint="eastAsia" w:ascii="仿宋" w:hAnsi="仿宋" w:eastAsia="仿宋" w:cs="仿宋"/>
          <w:color w:val="auto"/>
          <w:spacing w:val="0"/>
          <w:sz w:val="24"/>
          <w:szCs w:val="24"/>
          <w:highlight w:val="none"/>
          <w:u w:val="single"/>
          <w:lang w:val="en-US" w:eastAsia="zh-CN"/>
        </w:rPr>
        <w:t xml:space="preserve">                </w:t>
      </w:r>
    </w:p>
    <w:p w14:paraId="65F9FC0F">
      <w:pPr>
        <w:keepNext w:val="0"/>
        <w:keepLines w:val="0"/>
        <w:pageBreakBefore w:val="0"/>
        <w:widowControl w:val="0"/>
        <w:numPr>
          <w:ilvl w:val="255"/>
          <w:numId w:val="0"/>
        </w:numPr>
        <w:tabs>
          <w:tab w:val="left" w:pos="432"/>
          <w:tab w:val="left" w:pos="576"/>
        </w:tabs>
        <w:kinsoku/>
        <w:wordWrap/>
        <w:overflowPunct/>
        <w:topLinePunct w:val="0"/>
        <w:autoSpaceDE/>
        <w:autoSpaceDN/>
        <w:bidi w:val="0"/>
        <w:snapToGrid w:val="0"/>
        <w:spacing w:after="0" w:line="360" w:lineRule="auto"/>
        <w:ind w:firstLine="720" w:firstLineChars="3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6）电话：</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83789976</w:t>
      </w:r>
      <w:r>
        <w:rPr>
          <w:rFonts w:hint="eastAsia" w:ascii="仿宋" w:hAnsi="仿宋" w:eastAsia="仿宋" w:cs="仿宋"/>
          <w:color w:val="auto"/>
          <w:spacing w:val="0"/>
          <w:sz w:val="24"/>
          <w:szCs w:val="24"/>
          <w:highlight w:val="none"/>
          <w:u w:val="single"/>
          <w:lang w:val="en-US" w:eastAsia="zh-CN"/>
        </w:rPr>
        <w:t xml:space="preserve">       </w:t>
      </w:r>
    </w:p>
    <w:p w14:paraId="19448DA2">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color w:val="auto"/>
          <w:spacing w:val="0"/>
          <w:kern w:val="2"/>
          <w:sz w:val="24"/>
          <w:szCs w:val="24"/>
          <w:highlight w:val="none"/>
          <w:lang w:val="en-US"/>
        </w:rPr>
      </w:pPr>
      <w:bookmarkStart w:id="26" w:name="_Toc187222406"/>
    </w:p>
    <w:p w14:paraId="5ED8F929">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b w:val="0"/>
          <w:bCs w:val="0"/>
          <w:color w:val="auto"/>
          <w:spacing w:val="0"/>
          <w:kern w:val="2"/>
          <w:sz w:val="24"/>
          <w:szCs w:val="24"/>
          <w:highlight w:val="none"/>
          <w:lang w:val="en-US" w:eastAsia="zh-CN"/>
        </w:rPr>
        <w:t>9</w:t>
      </w:r>
      <w:r>
        <w:rPr>
          <w:rFonts w:hint="eastAsia" w:ascii="仿宋" w:hAnsi="仿宋" w:eastAsia="仿宋" w:cs="仿宋"/>
          <w:b w:val="0"/>
          <w:bCs w:val="0"/>
          <w:color w:val="auto"/>
          <w:spacing w:val="0"/>
          <w:kern w:val="2"/>
          <w:sz w:val="24"/>
          <w:szCs w:val="24"/>
          <w:highlight w:val="none"/>
          <w:lang w:val="en-US"/>
        </w:rPr>
        <w:t>.合同的结算金额（含增值税）超出原已签订合同金额的10%或者超出金额为50万元以上时，均需签订补充协议。</w:t>
      </w:r>
      <w:bookmarkEnd w:id="26"/>
      <w:bookmarkStart w:id="27" w:name="_Toc187222409"/>
      <w:bookmarkStart w:id="28" w:name="_Toc185944979"/>
    </w:p>
    <w:p w14:paraId="5755DAB4">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left="480" w:left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八、词语含义</w:t>
      </w:r>
      <w:bookmarkEnd w:id="27"/>
      <w:bookmarkEnd w:id="28"/>
    </w:p>
    <w:p w14:paraId="1F734745">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bCs/>
          <w:color w:val="auto"/>
          <w:spacing w:val="0"/>
          <w:sz w:val="24"/>
          <w:szCs w:val="24"/>
          <w:highlight w:val="none"/>
        </w:rPr>
        <w:t>本协议书中有关词语含义与本合同</w:t>
      </w:r>
      <w:r>
        <w:rPr>
          <w:rFonts w:hint="eastAsia" w:ascii="仿宋" w:hAnsi="仿宋" w:eastAsia="仿宋" w:cs="仿宋"/>
          <w:color w:val="auto"/>
          <w:spacing w:val="0"/>
          <w:sz w:val="24"/>
          <w:szCs w:val="24"/>
          <w:highlight w:val="none"/>
        </w:rPr>
        <w:t>《通用条款》、《专用条款》中分别赋予它们的定义相同。</w:t>
      </w:r>
    </w:p>
    <w:p w14:paraId="0145E7D8">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lang w:val="en-US" w:eastAsia="zh-CN"/>
        </w:rPr>
      </w:pPr>
      <w:bookmarkStart w:id="29" w:name="_Toc23455"/>
      <w:bookmarkStart w:id="30" w:name="_Toc14194"/>
      <w:bookmarkStart w:id="31" w:name="_Toc187222410"/>
      <w:bookmarkStart w:id="32" w:name="_Toc185944980"/>
    </w:p>
    <w:p w14:paraId="605DF0EE">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九、</w:t>
      </w:r>
      <w:bookmarkEnd w:id="29"/>
      <w:bookmarkEnd w:id="30"/>
      <w:r>
        <w:rPr>
          <w:rFonts w:hint="eastAsia" w:ascii="仿宋" w:hAnsi="仿宋" w:eastAsia="仿宋" w:cs="仿宋"/>
          <w:color w:val="auto"/>
          <w:spacing w:val="0"/>
          <w:sz w:val="24"/>
          <w:szCs w:val="24"/>
          <w:highlight w:val="none"/>
          <w:lang w:val="en-US" w:eastAsia="zh-CN"/>
        </w:rPr>
        <w:t>承诺</w:t>
      </w:r>
      <w:bookmarkEnd w:id="31"/>
      <w:bookmarkEnd w:id="32"/>
    </w:p>
    <w:p w14:paraId="36FD3680">
      <w:pPr>
        <w:pStyle w:val="11"/>
        <w:keepNext w:val="0"/>
        <w:keepLines w:val="0"/>
        <w:pageBreakBefore w:val="0"/>
        <w:widowControl w:val="0"/>
        <w:tabs>
          <w:tab w:val="left" w:pos="4970"/>
        </w:tabs>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1．承包人承诺按照法律规定及合同约定组织完成工程施工，确保工程质量和安全，不进行转包及违法分包，并在缺陷责任期及保修期内承担相应的工程维修责任。</w:t>
      </w:r>
    </w:p>
    <w:p w14:paraId="12A34125">
      <w:pPr>
        <w:pStyle w:val="11"/>
        <w:keepNext w:val="0"/>
        <w:keepLines w:val="0"/>
        <w:pageBreakBefore w:val="0"/>
        <w:widowControl w:val="0"/>
        <w:tabs>
          <w:tab w:val="left" w:pos="4970"/>
        </w:tabs>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2.发包人承诺按照法律规定履行项目审批手续、筹集工程建设资金并在承包人不存在违约、侵权的情况下按照合同约定的期限和方式支付合同价款。</w:t>
      </w:r>
    </w:p>
    <w:p w14:paraId="1209200F">
      <w:pPr>
        <w:pStyle w:val="11"/>
        <w:keepNext w:val="0"/>
        <w:keepLines w:val="0"/>
        <w:pageBreakBefore w:val="0"/>
        <w:widowControl w:val="0"/>
        <w:tabs>
          <w:tab w:val="left" w:pos="4970"/>
        </w:tabs>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3.签订合同后10日内，承包人须向发包人提交承包人在政府相关部门指定的工资支付保证金托管</w:t>
      </w:r>
      <w:r>
        <w:rPr>
          <w:rFonts w:hint="eastAsia" w:ascii="仿宋" w:hAnsi="仿宋" w:eastAsia="仿宋" w:cs="仿宋"/>
          <w:bCs/>
          <w:color w:val="auto"/>
          <w:spacing w:val="0"/>
          <w:sz w:val="24"/>
          <w:szCs w:val="24"/>
          <w:highlight w:val="none"/>
        </w:rPr>
        <w:t>专户的资金余额证明（复印件加盖公章），本合同履行期间发包人每季度核查一次。</w:t>
      </w:r>
    </w:p>
    <w:p w14:paraId="17F50BF4">
      <w:pPr>
        <w:pStyle w:val="11"/>
        <w:keepNext w:val="0"/>
        <w:keepLines w:val="0"/>
        <w:pageBreakBefore w:val="0"/>
        <w:widowControl w:val="0"/>
        <w:tabs>
          <w:tab w:val="left" w:pos="4970"/>
        </w:tabs>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4.承包人中的</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基坑支护和土方开挖</w:t>
      </w:r>
      <w:r>
        <w:rPr>
          <w:rFonts w:hint="eastAsia" w:ascii="仿宋" w:hAnsi="仿宋" w:eastAsia="仿宋" w:cs="仿宋"/>
          <w:color w:val="auto"/>
          <w:spacing w:val="0"/>
          <w:sz w:val="24"/>
          <w:szCs w:val="24"/>
          <w:highlight w:val="none"/>
          <w:u w:val="single"/>
        </w:rPr>
        <w:t xml:space="preserve">施工部分 </w:t>
      </w:r>
      <w:r>
        <w:rPr>
          <w:rFonts w:hint="eastAsia" w:ascii="仿宋" w:hAnsi="仿宋" w:eastAsia="仿宋" w:cs="仿宋"/>
          <w:color w:val="auto"/>
          <w:spacing w:val="0"/>
          <w:sz w:val="24"/>
          <w:szCs w:val="24"/>
          <w:highlight w:val="none"/>
        </w:rPr>
        <w:t>按“第二</w:t>
      </w:r>
      <w:r>
        <w:rPr>
          <w:rFonts w:hint="eastAsia" w:ascii="仿宋" w:hAnsi="仿宋" w:eastAsia="仿宋" w:cs="仿宋"/>
          <w:color w:val="auto"/>
          <w:spacing w:val="0"/>
          <w:sz w:val="24"/>
          <w:szCs w:val="24"/>
          <w:highlight w:val="none"/>
          <w:lang w:val="en-US" w:eastAsia="zh-CN"/>
        </w:rPr>
        <w:t>部分</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基</w:t>
      </w:r>
      <w:r>
        <w:rPr>
          <w:rFonts w:hint="eastAsia" w:ascii="仿宋" w:hAnsi="仿宋" w:eastAsia="仿宋" w:cs="仿宋"/>
          <w:color w:val="auto"/>
          <w:spacing w:val="0"/>
          <w:sz w:val="24"/>
          <w:szCs w:val="24"/>
          <w:highlight w:val="none"/>
          <w:lang w:val="zh-CN"/>
        </w:rPr>
        <w:t>坑支护和土方开挖</w:t>
      </w:r>
      <w:r>
        <w:rPr>
          <w:rFonts w:hint="eastAsia" w:ascii="仿宋" w:hAnsi="仿宋" w:eastAsia="仿宋" w:cs="仿宋"/>
          <w:color w:val="auto"/>
          <w:spacing w:val="0"/>
          <w:sz w:val="24"/>
          <w:szCs w:val="24"/>
          <w:highlight w:val="none"/>
          <w:lang w:val="en-US" w:eastAsia="zh-CN"/>
        </w:rPr>
        <w:t>工程</w:t>
      </w:r>
      <w:r>
        <w:rPr>
          <w:rFonts w:hint="eastAsia" w:ascii="仿宋" w:hAnsi="仿宋" w:eastAsia="仿宋" w:cs="仿宋"/>
          <w:color w:val="auto"/>
          <w:spacing w:val="0"/>
          <w:sz w:val="24"/>
          <w:szCs w:val="24"/>
          <w:highlight w:val="none"/>
        </w:rPr>
        <w:t>”的约定履行义务和承担责任</w:t>
      </w:r>
      <w:r>
        <w:rPr>
          <w:rFonts w:hint="eastAsia" w:ascii="仿宋" w:hAnsi="仿宋" w:eastAsia="仿宋" w:cs="仿宋"/>
          <w:bCs/>
          <w:color w:val="auto"/>
          <w:spacing w:val="0"/>
          <w:sz w:val="24"/>
          <w:szCs w:val="24"/>
          <w:highlight w:val="none"/>
        </w:rPr>
        <w:t>。</w:t>
      </w:r>
    </w:p>
    <w:p w14:paraId="1A248AAC">
      <w:pPr>
        <w:pStyle w:val="11"/>
        <w:keepNext w:val="0"/>
        <w:keepLines w:val="0"/>
        <w:pageBreakBefore w:val="0"/>
        <w:widowControl w:val="0"/>
        <w:tabs>
          <w:tab w:val="left" w:pos="4970"/>
        </w:tabs>
        <w:kinsoku/>
        <w:wordWrap/>
        <w:overflowPunct/>
        <w:topLinePunct w:val="0"/>
        <w:autoSpaceDE/>
        <w:autoSpaceDN/>
        <w:bidi w:val="0"/>
        <w:adjustRightInd/>
        <w:snapToGrid w:val="0"/>
        <w:spacing w:after="0" w:line="360" w:lineRule="auto"/>
        <w:textAlignment w:val="auto"/>
        <w:rPr>
          <w:rFonts w:hint="eastAsia" w:ascii="仿宋" w:hAnsi="仿宋" w:eastAsia="仿宋" w:cs="仿宋"/>
          <w:bCs/>
          <w:color w:val="auto"/>
          <w:spacing w:val="0"/>
          <w:sz w:val="24"/>
          <w:szCs w:val="24"/>
          <w:highlight w:val="none"/>
        </w:rPr>
      </w:pPr>
      <w:r>
        <w:rPr>
          <w:rFonts w:hint="eastAsia" w:ascii="仿宋" w:hAnsi="仿宋" w:eastAsia="仿宋" w:cs="仿宋"/>
          <w:color w:val="auto"/>
          <w:spacing w:val="0"/>
          <w:sz w:val="24"/>
          <w:szCs w:val="24"/>
          <w:highlight w:val="none"/>
        </w:rPr>
        <w:t>5.承包人中的</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基坑支护和土方开挖设计</w:t>
      </w:r>
      <w:r>
        <w:rPr>
          <w:rFonts w:hint="eastAsia" w:ascii="仿宋" w:hAnsi="仿宋" w:eastAsia="仿宋" w:cs="仿宋"/>
          <w:color w:val="auto"/>
          <w:spacing w:val="0"/>
          <w:sz w:val="24"/>
          <w:szCs w:val="24"/>
          <w:highlight w:val="none"/>
          <w:u w:val="single"/>
        </w:rPr>
        <w:t xml:space="preserve">部分 </w:t>
      </w:r>
      <w:r>
        <w:rPr>
          <w:rFonts w:hint="eastAsia" w:ascii="仿宋" w:hAnsi="仿宋" w:eastAsia="仿宋" w:cs="仿宋"/>
          <w:color w:val="auto"/>
          <w:spacing w:val="0"/>
          <w:sz w:val="24"/>
          <w:szCs w:val="24"/>
          <w:highlight w:val="none"/>
        </w:rPr>
        <w:t>按</w:t>
      </w:r>
      <w:bookmarkStart w:id="33" w:name="_Toc480"/>
      <w:bookmarkStart w:id="34" w:name="_Toc29993"/>
      <w:r>
        <w:rPr>
          <w:rFonts w:hint="eastAsia" w:ascii="仿宋" w:hAnsi="仿宋" w:eastAsia="仿宋" w:cs="仿宋"/>
          <w:bCs/>
          <w:color w:val="auto"/>
          <w:spacing w:val="0"/>
          <w:sz w:val="24"/>
          <w:szCs w:val="24"/>
          <w:highlight w:val="none"/>
        </w:rPr>
        <w:t>照法律和技术标准规定及“第三</w:t>
      </w:r>
      <w:r>
        <w:rPr>
          <w:rFonts w:hint="eastAsia" w:ascii="仿宋" w:hAnsi="仿宋" w:eastAsia="仿宋" w:cs="仿宋"/>
          <w:bCs/>
          <w:color w:val="auto"/>
          <w:spacing w:val="0"/>
          <w:sz w:val="24"/>
          <w:szCs w:val="24"/>
          <w:highlight w:val="none"/>
          <w:lang w:val="en-US" w:eastAsia="zh-CN"/>
        </w:rPr>
        <w:t>部分</w:t>
      </w:r>
      <w:r>
        <w:rPr>
          <w:rFonts w:hint="eastAsia" w:ascii="仿宋" w:hAnsi="仿宋" w:eastAsia="仿宋" w:cs="仿宋"/>
          <w:bCs/>
          <w:color w:val="auto"/>
          <w:spacing w:val="0"/>
          <w:sz w:val="24"/>
          <w:szCs w:val="24"/>
          <w:highlight w:val="none"/>
        </w:rPr>
        <w:t xml:space="preserve"> </w:t>
      </w:r>
      <w:r>
        <w:rPr>
          <w:rFonts w:hint="eastAsia" w:ascii="仿宋" w:hAnsi="仿宋" w:eastAsia="仿宋" w:cs="仿宋"/>
          <w:bCs/>
          <w:color w:val="auto"/>
          <w:spacing w:val="0"/>
          <w:sz w:val="24"/>
          <w:szCs w:val="24"/>
          <w:highlight w:val="none"/>
          <w:lang w:val="zh-CN" w:eastAsia="zh-Hans"/>
        </w:rPr>
        <w:t>基坑支护和土方开挖设计</w:t>
      </w:r>
      <w:r>
        <w:rPr>
          <w:rFonts w:hint="eastAsia" w:ascii="仿宋" w:hAnsi="仿宋" w:eastAsia="仿宋" w:cs="仿宋"/>
          <w:bCs/>
          <w:color w:val="auto"/>
          <w:spacing w:val="0"/>
          <w:sz w:val="24"/>
          <w:szCs w:val="24"/>
          <w:highlight w:val="none"/>
          <w:lang w:val="en-US" w:eastAsia="zh-CN"/>
        </w:rPr>
        <w:t>部分</w:t>
      </w:r>
      <w:r>
        <w:rPr>
          <w:rFonts w:hint="eastAsia" w:ascii="仿宋" w:hAnsi="仿宋" w:eastAsia="仿宋" w:cs="仿宋"/>
          <w:bCs/>
          <w:color w:val="auto"/>
          <w:spacing w:val="0"/>
          <w:sz w:val="24"/>
          <w:szCs w:val="24"/>
          <w:highlight w:val="none"/>
        </w:rPr>
        <w:t>”的约定履行义务和承担责任。</w:t>
      </w:r>
    </w:p>
    <w:p w14:paraId="070925DC">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left="480" w:leftChars="200"/>
        <w:textAlignment w:val="auto"/>
        <w:rPr>
          <w:rFonts w:hint="eastAsia" w:ascii="仿宋" w:hAnsi="仿宋" w:eastAsia="仿宋" w:cs="仿宋"/>
          <w:color w:val="auto"/>
          <w:spacing w:val="0"/>
          <w:sz w:val="24"/>
          <w:szCs w:val="24"/>
          <w:highlight w:val="none"/>
        </w:rPr>
      </w:pPr>
      <w:bookmarkStart w:id="35" w:name="_Toc187222411"/>
      <w:bookmarkStart w:id="36" w:name="_Toc185944981"/>
      <w:r>
        <w:rPr>
          <w:rFonts w:hint="eastAsia" w:ascii="仿宋" w:hAnsi="仿宋" w:eastAsia="仿宋" w:cs="仿宋"/>
          <w:color w:val="auto"/>
          <w:spacing w:val="0"/>
          <w:sz w:val="24"/>
          <w:szCs w:val="24"/>
          <w:highlight w:val="none"/>
        </w:rPr>
        <w:t>十、合同生效</w:t>
      </w:r>
      <w:bookmarkEnd w:id="33"/>
      <w:bookmarkEnd w:id="34"/>
      <w:bookmarkEnd w:id="35"/>
      <w:bookmarkEnd w:id="36"/>
    </w:p>
    <w:p w14:paraId="5833A47C">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本合同自各方法定代表人（或授权代理人）签字并加盖单位公章（或单位合同专用章）之日起生效。</w:t>
      </w:r>
    </w:p>
    <w:p w14:paraId="0224B44B">
      <w:pPr>
        <w:pStyle w:val="4"/>
        <w:pageBreakBefore w:val="0"/>
        <w:kinsoku/>
        <w:overflowPunct/>
        <w:topLinePunct w:val="0"/>
        <w:bidi w:val="0"/>
        <w:snapToGrid w:val="0"/>
        <w:spacing w:line="360" w:lineRule="auto"/>
        <w:rPr>
          <w:rFonts w:hint="eastAsia"/>
          <w:color w:val="auto"/>
          <w:spacing w:val="0"/>
          <w:highlight w:val="none"/>
        </w:rPr>
      </w:pPr>
    </w:p>
    <w:p w14:paraId="7B611095">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本合同订立时间：</w:t>
      </w:r>
      <w:permStart w:id="12" w:edGrp="everyone"/>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年</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月</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日</w:t>
      </w:r>
      <w:permEnd w:id="12"/>
    </w:p>
    <w:p w14:paraId="7F3FAA2F">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Style w:val="24"/>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本合同订立地点：</w:t>
      </w:r>
      <w:permStart w:id="13" w:edGrp="everyone"/>
      <w:r>
        <w:rPr>
          <w:rFonts w:hint="eastAsia" w:ascii="仿宋" w:hAnsi="仿宋" w:eastAsia="仿宋" w:cs="仿宋"/>
          <w:color w:val="auto"/>
          <w:spacing w:val="0"/>
          <w:sz w:val="24"/>
          <w:szCs w:val="24"/>
          <w:highlight w:val="none"/>
          <w:u w:val="single"/>
        </w:rPr>
        <w:t>广州市</w:t>
      </w:r>
      <w:permEnd w:id="13"/>
    </w:p>
    <w:p w14:paraId="73C256F2">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left="480" w:leftChars="200"/>
        <w:textAlignment w:val="auto"/>
        <w:rPr>
          <w:rFonts w:hint="eastAsia" w:ascii="仿宋" w:hAnsi="仿宋" w:eastAsia="仿宋" w:cs="仿宋"/>
          <w:color w:val="auto"/>
          <w:spacing w:val="0"/>
          <w:sz w:val="24"/>
          <w:szCs w:val="24"/>
          <w:highlight w:val="none"/>
        </w:rPr>
      </w:pPr>
      <w:bookmarkStart w:id="37" w:name="_Toc22015"/>
      <w:bookmarkStart w:id="38" w:name="_Toc187222412"/>
      <w:bookmarkStart w:id="39" w:name="_Toc9773"/>
      <w:bookmarkStart w:id="40" w:name="_Toc185944982"/>
      <w:r>
        <w:rPr>
          <w:rFonts w:hint="eastAsia" w:ascii="仿宋" w:hAnsi="仿宋" w:eastAsia="仿宋" w:cs="仿宋"/>
          <w:color w:val="auto"/>
          <w:spacing w:val="0"/>
          <w:sz w:val="24"/>
          <w:szCs w:val="24"/>
          <w:highlight w:val="none"/>
        </w:rPr>
        <w:t>十</w:t>
      </w:r>
      <w:r>
        <w:rPr>
          <w:rFonts w:hint="eastAsia" w:ascii="仿宋" w:hAnsi="仿宋" w:eastAsia="仿宋" w:cs="仿宋"/>
          <w:color w:val="auto"/>
          <w:spacing w:val="0"/>
          <w:sz w:val="24"/>
          <w:szCs w:val="24"/>
          <w:highlight w:val="none"/>
          <w:lang w:val="en-US" w:eastAsia="zh-CN"/>
        </w:rPr>
        <w:t>一</w:t>
      </w:r>
      <w:r>
        <w:rPr>
          <w:rFonts w:hint="eastAsia" w:ascii="仿宋" w:hAnsi="仿宋" w:eastAsia="仿宋" w:cs="仿宋"/>
          <w:color w:val="auto"/>
          <w:spacing w:val="0"/>
          <w:sz w:val="24"/>
          <w:szCs w:val="24"/>
          <w:highlight w:val="none"/>
        </w:rPr>
        <w:t>、合同份数</w:t>
      </w:r>
      <w:bookmarkEnd w:id="37"/>
      <w:bookmarkEnd w:id="38"/>
      <w:bookmarkEnd w:id="39"/>
      <w:bookmarkEnd w:id="40"/>
    </w:p>
    <w:p w14:paraId="3CC207B9">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pacing w:val="0"/>
          <w:sz w:val="24"/>
          <w:szCs w:val="24"/>
          <w:highlight w:val="none"/>
          <w:lang w:val="en-US" w:eastAsia="zh-CN"/>
        </w:rPr>
      </w:pPr>
      <w:bookmarkStart w:id="41" w:name="OLE_LINK8"/>
      <w:bookmarkStart w:id="42" w:name="OLE_LINK7"/>
      <w:bookmarkStart w:id="43" w:name="_Toc16598"/>
      <w:r>
        <w:rPr>
          <w:rFonts w:hint="eastAsia" w:ascii="仿宋" w:hAnsi="仿宋" w:eastAsia="仿宋" w:cs="仿宋"/>
          <w:color w:val="auto"/>
          <w:spacing w:val="0"/>
          <w:sz w:val="24"/>
          <w:szCs w:val="24"/>
          <w:highlight w:val="none"/>
        </w:rPr>
        <w:t>本合同正本一式</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叁</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份、副本一式</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玖</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份，具有同等法律效力，其中发包人执</w:t>
      </w:r>
      <w:r>
        <w:rPr>
          <w:rFonts w:hint="eastAsia" w:ascii="仿宋" w:hAnsi="仿宋" w:eastAsia="仿宋" w:cs="仿宋"/>
          <w:color w:val="auto"/>
          <w:spacing w:val="0"/>
          <w:sz w:val="24"/>
          <w:szCs w:val="24"/>
          <w:highlight w:val="none"/>
          <w:u w:val="single"/>
        </w:rPr>
        <w:t xml:space="preserve"> 壹 </w:t>
      </w:r>
      <w:r>
        <w:rPr>
          <w:rFonts w:hint="eastAsia" w:ascii="仿宋" w:hAnsi="仿宋" w:eastAsia="仿宋" w:cs="仿宋"/>
          <w:color w:val="auto"/>
          <w:spacing w:val="0"/>
          <w:sz w:val="24"/>
          <w:szCs w:val="24"/>
          <w:highlight w:val="none"/>
        </w:rPr>
        <w:t>份正本、</w:t>
      </w:r>
      <w:r>
        <w:rPr>
          <w:rFonts w:hint="eastAsia" w:ascii="仿宋" w:hAnsi="仿宋" w:eastAsia="仿宋" w:cs="仿宋"/>
          <w:color w:val="auto"/>
          <w:spacing w:val="0"/>
          <w:sz w:val="24"/>
          <w:szCs w:val="24"/>
          <w:highlight w:val="none"/>
          <w:u w:val="single"/>
        </w:rPr>
        <w:t xml:space="preserve">伍 </w:t>
      </w:r>
      <w:r>
        <w:rPr>
          <w:rFonts w:hint="eastAsia" w:ascii="仿宋" w:hAnsi="仿宋" w:eastAsia="仿宋" w:cs="仿宋"/>
          <w:color w:val="auto"/>
          <w:spacing w:val="0"/>
          <w:sz w:val="24"/>
          <w:szCs w:val="24"/>
          <w:highlight w:val="none"/>
        </w:rPr>
        <w:t>份副本，承包人（联合体主办）执</w:t>
      </w:r>
      <w:r>
        <w:rPr>
          <w:rFonts w:hint="eastAsia" w:ascii="仿宋" w:hAnsi="仿宋" w:eastAsia="仿宋" w:cs="仿宋"/>
          <w:color w:val="auto"/>
          <w:spacing w:val="0"/>
          <w:sz w:val="24"/>
          <w:szCs w:val="24"/>
          <w:highlight w:val="none"/>
          <w:u w:val="single"/>
        </w:rPr>
        <w:t xml:space="preserve"> 壹 </w:t>
      </w:r>
      <w:r>
        <w:rPr>
          <w:rFonts w:hint="eastAsia" w:ascii="仿宋" w:hAnsi="仿宋" w:eastAsia="仿宋" w:cs="仿宋"/>
          <w:color w:val="auto"/>
          <w:spacing w:val="0"/>
          <w:sz w:val="24"/>
          <w:szCs w:val="24"/>
          <w:highlight w:val="none"/>
        </w:rPr>
        <w:t>份正本、</w:t>
      </w:r>
      <w:r>
        <w:rPr>
          <w:rFonts w:hint="eastAsia" w:ascii="仿宋" w:hAnsi="仿宋" w:eastAsia="仿宋" w:cs="仿宋"/>
          <w:color w:val="auto"/>
          <w:spacing w:val="0"/>
          <w:sz w:val="24"/>
          <w:szCs w:val="24"/>
          <w:highlight w:val="none"/>
          <w:u w:val="single"/>
        </w:rPr>
        <w:t xml:space="preserve">贰 </w:t>
      </w:r>
      <w:r>
        <w:rPr>
          <w:rFonts w:hint="eastAsia" w:ascii="仿宋" w:hAnsi="仿宋" w:eastAsia="仿宋" w:cs="仿宋"/>
          <w:color w:val="auto"/>
          <w:spacing w:val="0"/>
          <w:sz w:val="24"/>
          <w:szCs w:val="24"/>
          <w:highlight w:val="none"/>
        </w:rPr>
        <w:t>份副本，承包人（联合体成员）执</w:t>
      </w:r>
      <w:r>
        <w:rPr>
          <w:rFonts w:hint="eastAsia" w:ascii="仿宋" w:hAnsi="仿宋" w:eastAsia="仿宋" w:cs="仿宋"/>
          <w:color w:val="auto"/>
          <w:spacing w:val="0"/>
          <w:sz w:val="24"/>
          <w:szCs w:val="24"/>
          <w:highlight w:val="none"/>
          <w:u w:val="single"/>
        </w:rPr>
        <w:t xml:space="preserve"> 壹 </w:t>
      </w:r>
      <w:r>
        <w:rPr>
          <w:rFonts w:hint="eastAsia" w:ascii="仿宋" w:hAnsi="仿宋" w:eastAsia="仿宋" w:cs="仿宋"/>
          <w:color w:val="auto"/>
          <w:spacing w:val="0"/>
          <w:sz w:val="24"/>
          <w:szCs w:val="24"/>
          <w:highlight w:val="none"/>
        </w:rPr>
        <w:t>份正本、</w:t>
      </w:r>
      <w:r>
        <w:rPr>
          <w:rFonts w:hint="eastAsia" w:ascii="仿宋" w:hAnsi="仿宋" w:eastAsia="仿宋" w:cs="仿宋"/>
          <w:color w:val="auto"/>
          <w:spacing w:val="0"/>
          <w:sz w:val="24"/>
          <w:szCs w:val="24"/>
          <w:highlight w:val="none"/>
          <w:u w:val="single"/>
        </w:rPr>
        <w:t xml:space="preserve">贰 </w:t>
      </w:r>
      <w:r>
        <w:rPr>
          <w:rFonts w:hint="eastAsia" w:ascii="仿宋" w:hAnsi="仿宋" w:eastAsia="仿宋" w:cs="仿宋"/>
          <w:color w:val="auto"/>
          <w:spacing w:val="0"/>
          <w:sz w:val="24"/>
          <w:szCs w:val="24"/>
          <w:highlight w:val="none"/>
        </w:rPr>
        <w:t>份副本</w:t>
      </w:r>
      <w:bookmarkEnd w:id="41"/>
      <w:bookmarkEnd w:id="42"/>
      <w:bookmarkEnd w:id="43"/>
      <w:r>
        <w:rPr>
          <w:rFonts w:hint="eastAsia" w:ascii="仿宋" w:hAnsi="仿宋" w:eastAsia="仿宋" w:cs="仿宋"/>
          <w:color w:val="auto"/>
          <w:spacing w:val="0"/>
          <w:sz w:val="24"/>
          <w:szCs w:val="24"/>
          <w:highlight w:val="none"/>
          <w:lang w:eastAsia="zh-CN"/>
        </w:rPr>
        <w:t>。</w:t>
      </w:r>
    </w:p>
    <w:p w14:paraId="58DBF8AD">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left="480" w:leftChars="200"/>
        <w:textAlignment w:val="auto"/>
        <w:rPr>
          <w:rFonts w:hint="eastAsia" w:ascii="仿宋" w:hAnsi="仿宋" w:eastAsia="仿宋" w:cs="仿宋"/>
          <w:color w:val="auto"/>
          <w:spacing w:val="0"/>
          <w:sz w:val="24"/>
          <w:szCs w:val="24"/>
          <w:highlight w:val="none"/>
        </w:rPr>
      </w:pPr>
      <w:bookmarkStart w:id="44" w:name="_Toc187222413"/>
      <w:bookmarkStart w:id="45" w:name="_Toc185944983"/>
    </w:p>
    <w:p w14:paraId="05E736E9">
      <w:pPr>
        <w:pStyle w:val="4"/>
        <w:keepNext w:val="0"/>
        <w:keepLines w:val="0"/>
        <w:pageBreakBefore w:val="0"/>
        <w:widowControl w:val="0"/>
        <w:numPr>
          <w:ilvl w:val="1"/>
          <w:numId w:val="0"/>
        </w:numPr>
        <w:tabs>
          <w:tab w:val="left" w:pos="432"/>
          <w:tab w:val="left" w:pos="576"/>
          <w:tab w:val="clear" w:pos="1134"/>
        </w:tabs>
        <w:kinsoku/>
        <w:wordWrap/>
        <w:overflowPunct/>
        <w:topLinePunct w:val="0"/>
        <w:autoSpaceDE/>
        <w:autoSpaceDN/>
        <w:bidi w:val="0"/>
        <w:adjustRightInd/>
        <w:snapToGrid w:val="0"/>
        <w:spacing w:after="0" w:line="360" w:lineRule="auto"/>
        <w:ind w:left="480" w:left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十四、提示</w:t>
      </w:r>
      <w:bookmarkEnd w:id="44"/>
      <w:bookmarkEnd w:id="45"/>
    </w:p>
    <w:p w14:paraId="5A78132C">
      <w:pPr>
        <w:pStyle w:val="11"/>
        <w:keepNext w:val="0"/>
        <w:keepLines w:val="0"/>
        <w:pageBreakBefore w:val="0"/>
        <w:widowControl w:val="0"/>
        <w:tabs>
          <w:tab w:val="left" w:pos="4970"/>
        </w:tabs>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本合同是双方的真实意思表示，双方特别确认，本合同对双方权利义务的约定并无不当，发包人已进行了充分的解释和说明，双方认可不存在不合理地减轻、免除、加重任何一方责任或不合理的排除任何一方主要权利的情况，双方必须严格遵守。</w:t>
      </w:r>
    </w:p>
    <w:p w14:paraId="1C53F351">
      <w:pPr>
        <w:pStyle w:val="11"/>
        <w:keepNext w:val="0"/>
        <w:keepLines w:val="0"/>
        <w:pageBreakBefore w:val="0"/>
        <w:widowControl w:val="0"/>
        <w:tabs>
          <w:tab w:val="left" w:pos="4970"/>
        </w:tabs>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2.发包人提示承包人注意本合同中有关承包人责任条款</w:t>
      </w:r>
      <w:bookmarkStart w:id="46" w:name="_Hlk66392381"/>
      <w:r>
        <w:rPr>
          <w:rFonts w:hint="eastAsia" w:ascii="仿宋" w:hAnsi="仿宋" w:eastAsia="仿宋" w:cs="仿宋"/>
          <w:color w:val="auto"/>
          <w:spacing w:val="0"/>
          <w:sz w:val="24"/>
          <w:szCs w:val="24"/>
          <w:highlight w:val="none"/>
        </w:rPr>
        <w:t>、减轻或免除发包人责任条款等与承包人有重大利害关系的条款的内容</w:t>
      </w:r>
      <w:bookmarkEnd w:id="46"/>
      <w:r>
        <w:rPr>
          <w:rFonts w:hint="eastAsia" w:ascii="仿宋" w:hAnsi="仿宋" w:eastAsia="仿宋" w:cs="仿宋"/>
          <w:color w:val="auto"/>
          <w:spacing w:val="0"/>
          <w:sz w:val="24"/>
          <w:szCs w:val="24"/>
          <w:highlight w:val="none"/>
        </w:rPr>
        <w:t>；承包人签署本合同后，视为承包人已充分知悉并完全清楚理解所有合同条款之含义，均无异议和不明确之处。</w:t>
      </w:r>
    </w:p>
    <w:p w14:paraId="7A7C5DF2">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pacing w:val="0"/>
          <w:sz w:val="24"/>
          <w:szCs w:val="24"/>
          <w:highlight w:val="none"/>
        </w:rPr>
      </w:pPr>
    </w:p>
    <w:p w14:paraId="5CE7BF0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pacing w:val="0"/>
          <w:sz w:val="24"/>
          <w:szCs w:val="24"/>
          <w:highlight w:val="none"/>
        </w:rPr>
      </w:pPr>
    </w:p>
    <w:bookmarkEnd w:id="25"/>
    <w:p w14:paraId="72DB885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pacing w:val="0"/>
          <w:sz w:val="24"/>
          <w:szCs w:val="24"/>
          <w:highlight w:val="none"/>
        </w:rPr>
      </w:pPr>
    </w:p>
    <w:p w14:paraId="4BF21FE5">
      <w:pPr>
        <w:pStyle w:val="2"/>
        <w:ind w:left="0" w:leftChars="0" w:firstLine="0" w:firstLineChars="0"/>
        <w:rPr>
          <w:rFonts w:hint="eastAsia"/>
          <w:color w:val="auto"/>
          <w:highlight w:val="none"/>
        </w:rPr>
      </w:pPr>
    </w:p>
    <w:p w14:paraId="09D3A86C">
      <w:pPr>
        <w:pStyle w:val="2"/>
        <w:ind w:left="0" w:leftChars="0" w:firstLine="0" w:firstLineChars="0"/>
        <w:rPr>
          <w:rFonts w:hint="eastAsia"/>
          <w:color w:val="auto"/>
          <w:highlight w:val="none"/>
        </w:rPr>
      </w:pPr>
    </w:p>
    <w:p w14:paraId="06B99305">
      <w:pPr>
        <w:pageBreakBefore w:val="0"/>
        <w:kinsoku/>
        <w:overflowPunct/>
        <w:topLinePunct w:val="0"/>
        <w:bidi w:val="0"/>
        <w:snapToGrid w:val="0"/>
        <w:spacing w:before="156" w:beforeLines="50" w:line="360" w:lineRule="auto"/>
        <w:ind w:left="480" w:leftChars="200" w:firstLine="480" w:firstLineChars="200"/>
        <w:jc w:val="left"/>
        <w:rPr>
          <w:rFonts w:hint="default"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广州锦泷房地产开发</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none"/>
          <w:lang w:val="en-US" w:eastAsia="zh-CN"/>
        </w:rPr>
        <w:t xml:space="preserve">     </w:t>
      </w:r>
      <w:r>
        <w:rPr>
          <w:rFonts w:hint="eastAsia" w:ascii="仿宋" w:hAnsi="仿宋" w:eastAsia="仿宋" w:cs="仿宋"/>
          <w:color w:val="auto"/>
          <w:spacing w:val="0"/>
          <w:sz w:val="24"/>
          <w:szCs w:val="24"/>
          <w:highlight w:val="none"/>
        </w:rPr>
        <w:t>承包人</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联合体主办</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w:t>
      </w:r>
    </w:p>
    <w:p w14:paraId="7DAC9324">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rPr>
        <w:t>有限公司</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 xml:space="preserve">  (公章)                  (公章)</w:t>
      </w:r>
    </w:p>
    <w:p w14:paraId="1D172C88">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法定代表人或其委托代理人：      法定代表人或其委托代理人：</w:t>
      </w:r>
    </w:p>
    <w:p w14:paraId="54104A09">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（签字）                         （签字）</w:t>
      </w:r>
    </w:p>
    <w:p w14:paraId="3B877664">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地    址：                       地    址：</w:t>
      </w:r>
    </w:p>
    <w:p w14:paraId="04CD58D6">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收 件 人：                       收 件 人：</w:t>
      </w:r>
    </w:p>
    <w:p w14:paraId="0304E2FE">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签订日期：   年    月   日      签订日期：   年    月   日</w:t>
      </w:r>
    </w:p>
    <w:p w14:paraId="29350C6B">
      <w:pPr>
        <w:pStyle w:val="2"/>
        <w:rPr>
          <w:rFonts w:hint="eastAsia"/>
          <w:color w:val="auto"/>
          <w:highlight w:val="none"/>
        </w:rPr>
      </w:pPr>
    </w:p>
    <w:p w14:paraId="058C2D89">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 xml:space="preserve">承包人（联合体成员）：  </w:t>
      </w:r>
      <w:r>
        <w:rPr>
          <w:rFonts w:hint="eastAsia" w:ascii="仿宋" w:hAnsi="仿宋" w:eastAsia="仿宋" w:cs="仿宋"/>
          <w:color w:val="auto"/>
          <w:spacing w:val="0"/>
          <w:sz w:val="24"/>
          <w:szCs w:val="24"/>
          <w:highlight w:val="none"/>
          <w:lang w:val="en-US" w:eastAsia="zh-CN"/>
        </w:rPr>
        <w:t xml:space="preserve">           </w:t>
      </w:r>
    </w:p>
    <w:p w14:paraId="5D19485D">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法定代表人或其委托代理人： </w:t>
      </w:r>
      <w:r>
        <w:rPr>
          <w:rFonts w:hint="eastAsia" w:ascii="仿宋" w:hAnsi="仿宋" w:eastAsia="仿宋" w:cs="仿宋"/>
          <w:color w:val="auto"/>
          <w:spacing w:val="0"/>
          <w:sz w:val="24"/>
          <w:szCs w:val="24"/>
          <w:highlight w:val="none"/>
          <w:lang w:val="en-US" w:eastAsia="zh-CN"/>
        </w:rPr>
        <w:t xml:space="preserve">         </w:t>
      </w:r>
    </w:p>
    <w:p w14:paraId="07ACC5D4">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default" w:ascii="仿宋" w:hAnsi="仿宋" w:eastAsia="仿宋" w:cs="仿宋"/>
          <w:color w:val="auto"/>
          <w:spacing w:val="0"/>
          <w:sz w:val="24"/>
          <w:szCs w:val="24"/>
          <w:highlight w:val="none"/>
          <w:lang w:val="en-US" w:eastAsia="zh-CN"/>
        </w:rPr>
      </w:pPr>
    </w:p>
    <w:p w14:paraId="5E9C79ED">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统一社会信用代码：</w:t>
      </w:r>
      <w:r>
        <w:rPr>
          <w:rFonts w:hint="eastAsia" w:ascii="仿宋" w:hAnsi="仿宋" w:eastAsia="仿宋" w:cs="仿宋"/>
          <w:color w:val="auto"/>
          <w:spacing w:val="0"/>
          <w:sz w:val="24"/>
          <w:szCs w:val="24"/>
          <w:highlight w:val="none"/>
          <w:lang w:val="en-US" w:eastAsia="zh-CN"/>
        </w:rPr>
        <w:t xml:space="preserve">                  </w:t>
      </w:r>
    </w:p>
    <w:p w14:paraId="180B2A21">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 xml:space="preserve"> </w:t>
      </w:r>
    </w:p>
    <w:p w14:paraId="0685BBD7">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地    址：</w:t>
      </w:r>
      <w:r>
        <w:rPr>
          <w:rFonts w:hint="eastAsia" w:ascii="仿宋" w:hAnsi="仿宋" w:eastAsia="仿宋" w:cs="仿宋"/>
          <w:color w:val="auto"/>
          <w:spacing w:val="0"/>
          <w:sz w:val="24"/>
          <w:szCs w:val="24"/>
          <w:highlight w:val="none"/>
          <w:lang w:val="en-US" w:eastAsia="zh-CN"/>
        </w:rPr>
        <w:t xml:space="preserve">                          </w:t>
      </w:r>
    </w:p>
    <w:p w14:paraId="509B5EE7">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eastAsia" w:ascii="仿宋" w:hAnsi="仿宋" w:eastAsia="仿宋" w:cs="仿宋"/>
          <w:color w:val="auto"/>
          <w:spacing w:val="0"/>
          <w:sz w:val="24"/>
          <w:szCs w:val="24"/>
          <w:highlight w:val="none"/>
        </w:rPr>
      </w:pPr>
    </w:p>
    <w:p w14:paraId="77D74292">
      <w:pPr>
        <w:keepNext w:val="0"/>
        <w:keepLines w:val="0"/>
        <w:pageBreakBefore w:val="0"/>
        <w:widowControl w:val="0"/>
        <w:kinsoku/>
        <w:wordWrap/>
        <w:overflowPunct/>
        <w:topLinePunct w:val="0"/>
        <w:autoSpaceDE/>
        <w:autoSpaceDN/>
        <w:bidi w:val="0"/>
        <w:snapToGrid w:val="0"/>
        <w:spacing w:before="156" w:beforeLines="50" w:line="360" w:lineRule="auto"/>
        <w:ind w:left="480" w:leftChars="200" w:firstLine="480" w:firstLineChars="20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签订日期：   年    月   日     </w:t>
      </w:r>
      <w:r>
        <w:rPr>
          <w:rFonts w:hint="eastAsia" w:ascii="仿宋" w:hAnsi="仿宋" w:eastAsia="仿宋" w:cs="仿宋"/>
          <w:color w:val="auto"/>
          <w:spacing w:val="0"/>
          <w:sz w:val="24"/>
          <w:szCs w:val="24"/>
          <w:highlight w:val="none"/>
          <w:lang w:val="en-US" w:eastAsia="zh-CN"/>
        </w:rPr>
        <w:t xml:space="preserve">    </w:t>
      </w:r>
    </w:p>
    <w:p w14:paraId="0496EEA2">
      <w:pPr>
        <w:keepNext w:val="0"/>
        <w:keepLines w:val="0"/>
        <w:pageBreakBefore w:val="0"/>
        <w:widowControl w:val="0"/>
        <w:kinsoku/>
        <w:wordWrap/>
        <w:overflowPunct/>
        <w:topLinePunct w:val="0"/>
        <w:autoSpaceDE/>
        <w:autoSpaceDN/>
        <w:bidi w:val="0"/>
        <w:snapToGrid w:val="0"/>
        <w:spacing w:before="156" w:beforeLines="50" w:line="360" w:lineRule="auto"/>
        <w:ind w:left="0" w:leftChars="0" w:firstLine="0" w:firstLineChars="0"/>
        <w:jc w:val="left"/>
        <w:textAlignment w:val="auto"/>
        <w:rPr>
          <w:rFonts w:hint="eastAsia"/>
          <w:color w:val="auto"/>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以下无正文</w:t>
      </w:r>
      <w:r>
        <w:rPr>
          <w:rFonts w:hint="eastAsia" w:ascii="仿宋" w:hAnsi="仿宋" w:eastAsia="仿宋" w:cs="仿宋"/>
          <w:color w:val="auto"/>
          <w:spacing w:val="0"/>
          <w:sz w:val="24"/>
          <w:szCs w:val="24"/>
          <w:highlight w:val="none"/>
          <w:lang w:eastAsia="zh-CN"/>
        </w:rPr>
        <w:t>）</w:t>
      </w:r>
    </w:p>
    <w:p w14:paraId="642A2B10">
      <w:pPr>
        <w:pStyle w:val="3"/>
        <w:numPr>
          <w:ilvl w:val="0"/>
          <w:numId w:val="1"/>
        </w:numPr>
        <w:bidi w:val="0"/>
        <w:jc w:val="center"/>
        <w:rPr>
          <w:rFonts w:hint="eastAsia" w:ascii="仿宋" w:hAnsi="仿宋" w:eastAsia="仿宋" w:cs="仿宋"/>
          <w:b/>
          <w:bCs/>
          <w:color w:val="auto"/>
          <w:spacing w:val="0"/>
          <w:kern w:val="44"/>
          <w:sz w:val="36"/>
          <w:szCs w:val="36"/>
          <w:highlight w:val="none"/>
          <w:lang w:val="en-US" w:eastAsia="zh-CN"/>
        </w:rPr>
      </w:pPr>
      <w:bookmarkStart w:id="47" w:name="_Toc19318"/>
      <w:r>
        <w:rPr>
          <w:rFonts w:hint="eastAsia" w:ascii="仿宋" w:hAnsi="仿宋" w:eastAsia="仿宋" w:cs="仿宋"/>
          <w:b/>
          <w:bCs/>
          <w:color w:val="auto"/>
          <w:spacing w:val="0"/>
          <w:kern w:val="44"/>
          <w:sz w:val="36"/>
          <w:szCs w:val="36"/>
          <w:highlight w:val="none"/>
          <w:lang w:val="en-US" w:eastAsia="zh-CN"/>
        </w:rPr>
        <w:t>基</w:t>
      </w:r>
      <w:r>
        <w:rPr>
          <w:rFonts w:hint="eastAsia" w:ascii="仿宋" w:hAnsi="仿宋" w:eastAsia="仿宋" w:cs="仿宋"/>
          <w:b/>
          <w:bCs/>
          <w:color w:val="auto"/>
          <w:spacing w:val="0"/>
          <w:kern w:val="44"/>
          <w:sz w:val="36"/>
          <w:szCs w:val="36"/>
          <w:highlight w:val="none"/>
          <w:lang w:val="zh-CN"/>
        </w:rPr>
        <w:t>坑支护和土方开挖</w:t>
      </w:r>
      <w:r>
        <w:rPr>
          <w:rFonts w:hint="eastAsia" w:ascii="仿宋" w:hAnsi="仿宋" w:eastAsia="仿宋" w:cs="仿宋"/>
          <w:b/>
          <w:bCs/>
          <w:color w:val="auto"/>
          <w:spacing w:val="0"/>
          <w:kern w:val="44"/>
          <w:sz w:val="36"/>
          <w:szCs w:val="36"/>
          <w:highlight w:val="none"/>
          <w:lang w:val="en-US" w:eastAsia="zh-CN"/>
        </w:rPr>
        <w:t>工程</w:t>
      </w:r>
      <w:bookmarkEnd w:id="47"/>
    </w:p>
    <w:p w14:paraId="5558FE37">
      <w:pPr>
        <w:pStyle w:val="11"/>
        <w:pageBreakBefore w:val="0"/>
        <w:numPr>
          <w:ilvl w:val="0"/>
          <w:numId w:val="0"/>
        </w:numPr>
        <w:tabs>
          <w:tab w:val="left" w:pos="540"/>
        </w:tabs>
        <w:kinsoku/>
        <w:overflowPunct/>
        <w:topLinePunct w:val="0"/>
        <w:bidi w:val="0"/>
        <w:snapToGrid w:val="0"/>
        <w:spacing w:before="158" w:after="0" w:line="360" w:lineRule="auto"/>
        <w:ind w:left="0" w:leftChars="0" w:firstLine="0" w:firstLineChars="0"/>
        <w:jc w:val="both"/>
        <w:outlineLvl w:val="9"/>
        <w:rPr>
          <w:rFonts w:hint="eastAsia" w:ascii="仿宋" w:hAnsi="仿宋" w:eastAsia="仿宋" w:cs="仿宋"/>
          <w:b/>
          <w:bCs/>
          <w:color w:val="auto"/>
          <w:spacing w:val="0"/>
          <w:kern w:val="44"/>
          <w:sz w:val="24"/>
          <w:szCs w:val="24"/>
          <w:highlight w:val="none"/>
          <w:lang w:val="en-US" w:eastAsia="zh-CN"/>
        </w:rPr>
      </w:pPr>
    </w:p>
    <w:p w14:paraId="5C6DA539">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color w:val="auto"/>
          <w:spacing w:val="0"/>
          <w:sz w:val="24"/>
          <w:szCs w:val="24"/>
          <w:highlight w:val="none"/>
        </w:rPr>
      </w:pPr>
      <w:bookmarkStart w:id="48" w:name="_Toc8293625"/>
      <w:bookmarkStart w:id="49" w:name="_Toc8293629"/>
      <w:r>
        <w:rPr>
          <w:rFonts w:hint="eastAsia" w:ascii="仿宋" w:hAnsi="仿宋" w:eastAsia="仿宋" w:cs="仿宋"/>
          <w:b/>
          <w:color w:val="auto"/>
          <w:spacing w:val="0"/>
          <w:sz w:val="24"/>
          <w:szCs w:val="24"/>
          <w:highlight w:val="none"/>
        </w:rPr>
        <w:t>发包人 ：</w:t>
      </w:r>
      <w:bookmarkEnd w:id="48"/>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eastAsia="zh-CN"/>
        </w:rPr>
        <w:t>广州锦泷房地产开发有限公司</w:t>
      </w:r>
      <w:r>
        <w:rPr>
          <w:rFonts w:hint="eastAsia" w:ascii="仿宋" w:hAnsi="仿宋" w:eastAsia="仿宋" w:cs="仿宋"/>
          <w:b/>
          <w:color w:val="auto"/>
          <w:spacing w:val="0"/>
          <w:sz w:val="24"/>
          <w:szCs w:val="24"/>
          <w:highlight w:val="none"/>
          <w:u w:val="single"/>
        </w:rPr>
        <w:t xml:space="preserve">     </w:t>
      </w:r>
    </w:p>
    <w:p w14:paraId="7568717E">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color w:val="auto"/>
          <w:spacing w:val="0"/>
          <w:sz w:val="24"/>
          <w:szCs w:val="24"/>
          <w:highlight w:val="none"/>
          <w:u w:val="single"/>
        </w:rPr>
      </w:pPr>
      <w:bookmarkStart w:id="50" w:name="_Toc8293626"/>
      <w:r>
        <w:rPr>
          <w:rFonts w:hint="eastAsia" w:ascii="仿宋" w:hAnsi="仿宋" w:eastAsia="仿宋" w:cs="仿宋"/>
          <w:b/>
          <w:color w:val="auto"/>
          <w:spacing w:val="0"/>
          <w:sz w:val="24"/>
          <w:szCs w:val="24"/>
          <w:highlight w:val="none"/>
        </w:rPr>
        <w:t>承包人</w:t>
      </w:r>
      <w:r>
        <w:rPr>
          <w:rFonts w:hint="eastAsia" w:ascii="仿宋" w:hAnsi="仿宋" w:eastAsia="仿宋" w:cs="仿宋"/>
          <w:b/>
          <w:color w:val="auto"/>
          <w:spacing w:val="0"/>
          <w:sz w:val="24"/>
          <w:szCs w:val="24"/>
          <w:highlight w:val="none"/>
          <w:lang w:eastAsia="zh-CN"/>
        </w:rPr>
        <w:t>（</w:t>
      </w:r>
      <w:r>
        <w:rPr>
          <w:rFonts w:hint="eastAsia" w:ascii="仿宋" w:hAnsi="仿宋" w:eastAsia="仿宋" w:cs="仿宋"/>
          <w:b/>
          <w:color w:val="auto"/>
          <w:spacing w:val="0"/>
          <w:sz w:val="24"/>
          <w:szCs w:val="24"/>
          <w:highlight w:val="none"/>
          <w:lang w:val="en-US" w:eastAsia="zh-CN"/>
        </w:rPr>
        <w:t>联合体主办</w:t>
      </w:r>
      <w:r>
        <w:rPr>
          <w:rFonts w:hint="eastAsia" w:ascii="仿宋" w:hAnsi="仿宋" w:eastAsia="仿宋" w:cs="仿宋"/>
          <w:b/>
          <w:color w:val="auto"/>
          <w:spacing w:val="0"/>
          <w:sz w:val="24"/>
          <w:szCs w:val="24"/>
          <w:highlight w:val="none"/>
          <w:lang w:eastAsia="zh-CN"/>
        </w:rPr>
        <w:t>）</w:t>
      </w:r>
      <w:r>
        <w:rPr>
          <w:rFonts w:hint="eastAsia" w:ascii="仿宋" w:hAnsi="仿宋" w:eastAsia="仿宋" w:cs="仿宋"/>
          <w:b/>
          <w:color w:val="auto"/>
          <w:spacing w:val="0"/>
          <w:sz w:val="24"/>
          <w:szCs w:val="24"/>
          <w:highlight w:val="none"/>
        </w:rPr>
        <w:t xml:space="preserve"> ：</w:t>
      </w:r>
      <w:bookmarkEnd w:id="50"/>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val="en-US" w:eastAsia="zh-CN"/>
        </w:rPr>
        <w:t xml:space="preserve">                 </w:t>
      </w:r>
      <w:r>
        <w:rPr>
          <w:rFonts w:hint="eastAsia" w:ascii="仿宋" w:hAnsi="仿宋" w:eastAsia="仿宋" w:cs="仿宋"/>
          <w:b/>
          <w:color w:val="auto"/>
          <w:spacing w:val="0"/>
          <w:sz w:val="24"/>
          <w:szCs w:val="24"/>
          <w:highlight w:val="none"/>
          <w:u w:val="single"/>
        </w:rPr>
        <w:t xml:space="preserve">     </w:t>
      </w:r>
    </w:p>
    <w:p w14:paraId="1CF17EA7">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依照《中华人民共和国民法典》、《中华人民共和国建筑法》及其它有关法律、行政法规，遵循平等、自愿、公平和诚实信用的原则，发包人和承包人双方就本合同工程施工事项经协商达成一致，订立本合同。</w:t>
      </w:r>
    </w:p>
    <w:p w14:paraId="04A402D7">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一</w:t>
      </w:r>
      <w:r>
        <w:rPr>
          <w:rFonts w:hint="eastAsia" w:ascii="仿宋" w:hAnsi="仿宋" w:eastAsia="仿宋" w:cs="仿宋"/>
          <w:b/>
          <w:bCs/>
          <w:color w:val="auto"/>
          <w:spacing w:val="0"/>
          <w:sz w:val="24"/>
          <w:szCs w:val="24"/>
          <w:highlight w:val="none"/>
        </w:rPr>
        <w:t>条  工程范围及内容</w:t>
      </w:r>
      <w:bookmarkEnd w:id="49"/>
      <w:bookmarkStart w:id="51" w:name="_Toc8293630"/>
    </w:p>
    <w:p w14:paraId="230DB086">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包含但不限于：</w:t>
      </w:r>
      <w:bookmarkEnd w:id="51"/>
    </w:p>
    <w:p w14:paraId="5F39C3EB">
      <w:pPr>
        <w:pageBreakBefore w:val="0"/>
        <w:numPr>
          <w:ilvl w:val="0"/>
          <w:numId w:val="2"/>
        </w:numPr>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u w:val="single"/>
        </w:rPr>
      </w:pPr>
      <w:bookmarkStart w:id="52" w:name="_Toc8293636"/>
      <w:r>
        <w:rPr>
          <w:rFonts w:hint="eastAsia" w:ascii="仿宋" w:hAnsi="仿宋" w:eastAsia="仿宋" w:cs="仿宋"/>
          <w:color w:val="auto"/>
          <w:spacing w:val="0"/>
          <w:sz w:val="24"/>
          <w:szCs w:val="24"/>
          <w:highlight w:val="none"/>
          <w:u w:val="single"/>
        </w:rPr>
        <w:t>基坑面积约</w:t>
      </w:r>
      <w:r>
        <w:rPr>
          <w:rFonts w:hint="eastAsia" w:ascii="仿宋" w:hAnsi="仿宋" w:eastAsia="仿宋" w:cs="仿宋"/>
          <w:color w:val="auto"/>
          <w:spacing w:val="0"/>
          <w:sz w:val="24"/>
          <w:szCs w:val="24"/>
          <w:highlight w:val="none"/>
          <w:u w:val="single"/>
          <w:lang w:val="en-US" w:eastAsia="zh-CN"/>
        </w:rPr>
        <w:t>26675</w:t>
      </w:r>
      <w:r>
        <w:rPr>
          <w:rFonts w:hint="eastAsia" w:ascii="仿宋" w:hAnsi="仿宋" w:eastAsia="仿宋" w:cs="仿宋"/>
          <w:color w:val="auto"/>
          <w:spacing w:val="0"/>
          <w:sz w:val="24"/>
          <w:szCs w:val="24"/>
          <w:highlight w:val="none"/>
          <w:u w:val="single"/>
        </w:rPr>
        <w:t>平方米，场地土方平衡、基坑支护和土方开挖施工</w:t>
      </w:r>
      <w:r>
        <w:rPr>
          <w:rFonts w:hint="eastAsia" w:ascii="仿宋" w:hAnsi="仿宋" w:eastAsia="仿宋" w:cs="仿宋"/>
          <w:color w:val="auto"/>
          <w:spacing w:val="0"/>
          <w:sz w:val="24"/>
          <w:szCs w:val="24"/>
          <w:highlight w:val="none"/>
          <w:u w:val="single"/>
          <w:lang w:eastAsia="zh-CN"/>
        </w:rPr>
        <w:t>、</w:t>
      </w:r>
      <w:r>
        <w:rPr>
          <w:rFonts w:hint="eastAsia" w:ascii="仿宋" w:hAnsi="仿宋" w:eastAsia="仿宋" w:cs="仿宋"/>
          <w:color w:val="auto"/>
          <w:spacing w:val="0"/>
          <w:sz w:val="24"/>
          <w:szCs w:val="24"/>
          <w:highlight w:val="none"/>
          <w:u w:val="single"/>
          <w:lang w:val="en-US" w:eastAsia="zh-CN"/>
        </w:rPr>
        <w:t>配套工程</w:t>
      </w:r>
      <w:r>
        <w:rPr>
          <w:rFonts w:hint="eastAsia" w:ascii="仿宋" w:hAnsi="仿宋" w:eastAsia="仿宋" w:cs="仿宋"/>
          <w:color w:val="auto"/>
          <w:spacing w:val="0"/>
          <w:sz w:val="24"/>
          <w:szCs w:val="24"/>
          <w:highlight w:val="none"/>
          <w:u w:val="single"/>
        </w:rPr>
        <w:t xml:space="preserve"> </w:t>
      </w:r>
      <w:bookmarkEnd w:id="52"/>
      <w:bookmarkStart w:id="53" w:name="_Toc8293637"/>
    </w:p>
    <w:p w14:paraId="11C61BB0">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（二）施工部分：</w:t>
      </w:r>
    </w:p>
    <w:p w14:paraId="3BCAD771">
      <w:pPr>
        <w:pageBreakBefore w:val="0"/>
        <w:numPr>
          <w:ilvl w:val="0"/>
          <w:numId w:val="0"/>
        </w:numPr>
        <w:kinsoku/>
        <w:overflowPunct/>
        <w:topLinePunct w:val="0"/>
        <w:bidi w:val="0"/>
        <w:adjustRightInd w:val="0"/>
        <w:snapToGrid w:val="0"/>
        <w:spacing w:before="120" w:after="120" w:line="360" w:lineRule="auto"/>
        <w:ind w:left="0" w:leftChars="0" w:firstLine="720" w:firstLineChars="3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负责本项目的施工工作:包括但不限于场地土方平衡、基坑支护和土方开挖【基础开挖放线和标高控制，土石方开挖至垫层底标高以上300mm（包含挖桩间土）】、前期工程(含场地清障、管线迁移、临时围墙)、施工道路(含桩机施工道路一切场地内临时道路）、临时用水用电工程（</w:t>
      </w:r>
      <w:r>
        <w:rPr>
          <w:rFonts w:hint="eastAsia" w:ascii="仿宋" w:hAnsi="仿宋" w:eastAsia="仿宋" w:cstheme="minorBidi"/>
          <w:color w:val="auto"/>
          <w:highlight w:val="none"/>
        </w:rPr>
        <w:t>在现场临水临电未通前需自行协调解决施工期所需要的水电</w:t>
      </w:r>
      <w:r>
        <w:rPr>
          <w:rFonts w:hint="eastAsia" w:ascii="仿宋" w:hAnsi="仿宋" w:eastAsia="仿宋" w:cstheme="minorBidi"/>
          <w:color w:val="auto"/>
          <w:highlight w:val="none"/>
          <w:lang w:eastAsia="zh-CN"/>
        </w:rPr>
        <w:t>，</w:t>
      </w:r>
      <w:r>
        <w:rPr>
          <w:rFonts w:hint="eastAsia" w:ascii="仿宋" w:hAnsi="仿宋" w:eastAsia="仿宋" w:cstheme="minorBidi"/>
          <w:color w:val="auto"/>
          <w:highlight w:val="none"/>
          <w:lang w:val="en-US" w:eastAsia="zh-CN"/>
        </w:rPr>
        <w:t>如按现场条件必须采用发电机发电的则按实计量</w:t>
      </w:r>
      <w:r>
        <w:rPr>
          <w:rFonts w:hint="eastAsia" w:ascii="仿宋" w:hAnsi="仿宋" w:eastAsia="仿宋" w:cstheme="minorBidi"/>
          <w:color w:val="auto"/>
          <w:highlight w:val="none"/>
        </w:rPr>
        <w:t>）</w:t>
      </w:r>
      <w:r>
        <w:rPr>
          <w:rFonts w:hint="eastAsia" w:ascii="仿宋" w:hAnsi="仿宋" w:eastAsia="仿宋" w:cs="仿宋"/>
          <w:color w:val="auto"/>
          <w:spacing w:val="0"/>
          <w:kern w:val="2"/>
          <w:sz w:val="24"/>
          <w:szCs w:val="24"/>
          <w:highlight w:val="none"/>
          <w:lang w:val="en-US" w:eastAsia="zh-CN" w:bidi="ar-SA"/>
        </w:rPr>
        <w:t>，临时排水工程、排污工程(含红线外排污接驳及临时排水排污证办理)、配合施工场地临时开路口等(含施工过程中维护)、检测配套工程(含因检测砖渣回填、检测平台施工、检测材料样品等)、配套工程（配套工程单独申请进度款、办理结算及申请质保金）。</w:t>
      </w:r>
    </w:p>
    <w:p w14:paraId="32BEC669">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2.根据项目情况自行考虑住宿、办公的地点(包括但不限于发包人、监理、造价咨询的办公室、承包人管理人员的办公室及宿舍、工人的宿舍等)，承包人管理人员、工人往来交通并承担由此产生的一切费用。</w:t>
      </w:r>
    </w:p>
    <w:p w14:paraId="2A6EEA23">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3. 按照发包人要求负责落实迎检、开工仪式、宣传拍摄等筹备工作，相关费用在合同报价中综合考虑，不另单独列项计算。</w:t>
      </w:r>
    </w:p>
    <w:p w14:paraId="400DA682">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4.负责协调施工过程中的相关职能部门及周边居民，包括但不限于:街道居委公安派出所、交通部门、水务部门、质安监、建管、城管、社区居民等，所产生的费用均包括在承包人合同价款中。</w:t>
      </w:r>
    </w:p>
    <w:p w14:paraId="7298EDF7">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（三）检验检测工程：</w:t>
      </w:r>
    </w:p>
    <w:p w14:paraId="7381FDA0">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kern w:val="2"/>
          <w:sz w:val="24"/>
          <w:szCs w:val="24"/>
          <w:highlight w:val="none"/>
          <w:lang w:val="en-US" w:eastAsia="zh-CN" w:bidi="ar-SA"/>
        </w:rPr>
        <w:t>1.负责对本项目范围内工程材料(包括但不限于《广东省房屋建筑和市政工程质量安全检测收费指导价》第2、4、10点及同类项目)按照行业相关规范及建设主管部门要求编制最优检测方案，进行材料送检和运输，以发包人名义委托经当地监管部门或发包人审查核准的检测机构进行检验试验、提供有效的检测成果及报告，保证各检测项目达到合格标准并通过验收，与发包人、检测机构签订三方合同并按实支付检测机构检验试验费等相关工作。</w:t>
      </w:r>
    </w:p>
    <w:p w14:paraId="4B80F5C0">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2.除合同价款已包括外，材料和工程设备等产品的检验试验费，按照实际发生的费用计算。</w:t>
      </w:r>
    </w:p>
    <w:p w14:paraId="119B9DCE">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3.现场使用前材料和工程设备等产品的检验试验，发包人供应的，检验试验费由发包人承担；承包人采购的，检验试验费由承包人承担。</w:t>
      </w:r>
    </w:p>
    <w:p w14:paraId="6C3C0D3E">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4.施工过程中材料和工程设备等产品的检验试验，合格的，检验试验费由发包人承担。不合格的，发包人供应的，检验试验费由发包人承担；承包人采购的，检验试验费由承包人承担。</w:t>
      </w:r>
    </w:p>
    <w:p w14:paraId="1012D984">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5.监理工程师对承包人自行检验试验结果有疑问的，或重新查验检验试验结果的，可要求承包人共同对材料和工程设备等产品再次检验试验。</w:t>
      </w:r>
    </w:p>
    <w:p w14:paraId="23312D2F">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6.合格的，再次检验试验费和（或）延误的工期由发包人承担，并向承包人支付合理利润。</w:t>
      </w:r>
    </w:p>
    <w:p w14:paraId="7E9AC840">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7.不合格的，发包人供应的，再次检验试验费和（或）延误的工期由发包人承担，并向承包人支付合理利润；承包人采购的，再次检验试验费和（或）延误的工期由承包人承担。</w:t>
      </w:r>
    </w:p>
    <w:p w14:paraId="7D79FD7B">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8.合同双方当事人对材料和工程设备等产品质量有争议的，所需的检验试验费由责任方承担。双方均有责任的，由双方根据其责任划分分别承担。</w:t>
      </w:r>
    </w:p>
    <w:p w14:paraId="09ACA7C9">
      <w:pPr>
        <w:pageBreakBefore w:val="0"/>
        <w:numPr>
          <w:ilvl w:val="0"/>
          <w:numId w:val="0"/>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9.负责对本项目范围内所有安全带、安全帽及脚手架、安全网等安全防护用品设施及用品、建筑施工机械和机具等吊装设备、(包括但不限于《广东省房屋建筑和市政工程质量安全检测收费指导价》第7点及同类项目)按照行业相关规范及建设主管部门要求编制最优检测方案、以发包人名义委托经当地监管部门或发包人审查核准的检测机构进行检验试验提供有效的检测成果及报告、保证各检测项目达到合格标准并通过验收，费用已包含在投标报价中，发包人不另对承包人及检测单位单独列项计算和支付相关费用。</w:t>
      </w:r>
    </w:p>
    <w:p w14:paraId="2845F7A2">
      <w:pPr>
        <w:pStyle w:val="2"/>
        <w:pageBreakBefore w:val="0"/>
        <w:numPr>
          <w:ilvl w:val="0"/>
          <w:numId w:val="0"/>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kern w:val="2"/>
          <w:sz w:val="24"/>
          <w:szCs w:val="24"/>
          <w:highlight w:val="none"/>
          <w:lang w:val="en-US" w:eastAsia="zh-CN" w:bidi="ar-SA"/>
        </w:rPr>
        <w:t>10.除上述以外的其他工建类检验或监测工作(无论发包人直接委托或承包人以发包人名义委托第三方检测机构)，承包人须负责按照行业相关规范及建设主管部门要求编制最优检测方案、提供检验试验所需人工、检测材料样品或配重材料、施工机械及水电、检测场地、检测配套工程(含因检测砖渣回填、检测平台施工等)、检测内容及数量核验、检测资料归档、竣工资料完善手续等管理与配合工作，所产生的一切费用在承包管理及配合费综合考虑，发包人不另单独列项计算和支付相关费用，亦不因各项检测工作的总包管理费及配合费与承包人实际投入成本差异而调整。</w:t>
      </w:r>
    </w:p>
    <w:p w14:paraId="461DF3E6">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二</w:t>
      </w:r>
      <w:r>
        <w:rPr>
          <w:rFonts w:hint="eastAsia" w:ascii="仿宋" w:hAnsi="仿宋" w:eastAsia="仿宋" w:cs="仿宋"/>
          <w:b/>
          <w:bCs/>
          <w:color w:val="auto"/>
          <w:spacing w:val="0"/>
          <w:sz w:val="24"/>
          <w:szCs w:val="24"/>
          <w:highlight w:val="none"/>
        </w:rPr>
        <w:t xml:space="preserve">条 </w:t>
      </w:r>
      <w:r>
        <w:rPr>
          <w:rFonts w:hint="eastAsia" w:ascii="仿宋" w:hAnsi="仿宋" w:eastAsia="仿宋" w:cs="仿宋"/>
          <w:color w:val="auto"/>
          <w:spacing w:val="0"/>
          <w:sz w:val="24"/>
          <w:szCs w:val="24"/>
          <w:highlight w:val="none"/>
        </w:rPr>
        <w:t xml:space="preserve"> 合同工期：</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 xml:space="preserve">  270</w:t>
      </w:r>
      <w:bookmarkStart w:id="136" w:name="_GoBack"/>
      <w:bookmarkEnd w:id="136"/>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日历天，收到发包人发出书面开工令开始至经发包人竣工验收通过止。</w:t>
      </w:r>
      <w:bookmarkEnd w:id="53"/>
    </w:p>
    <w:p w14:paraId="06229D1E">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bookmarkStart w:id="54" w:name="_Toc8293638"/>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三</w:t>
      </w:r>
      <w:r>
        <w:rPr>
          <w:rFonts w:hint="eastAsia" w:ascii="仿宋" w:hAnsi="仿宋" w:eastAsia="仿宋" w:cs="仿宋"/>
          <w:b/>
          <w:bCs/>
          <w:color w:val="auto"/>
          <w:spacing w:val="0"/>
          <w:sz w:val="24"/>
          <w:szCs w:val="24"/>
          <w:highlight w:val="none"/>
        </w:rPr>
        <w:t>条  技术要求：详见附件二技术需求书</w:t>
      </w:r>
      <w:bookmarkEnd w:id="54"/>
    </w:p>
    <w:p w14:paraId="78F24436">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bookmarkStart w:id="55" w:name="_Toc8293639"/>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四</w:t>
      </w:r>
      <w:r>
        <w:rPr>
          <w:rFonts w:hint="eastAsia" w:ascii="仿宋" w:hAnsi="仿宋" w:eastAsia="仿宋" w:cs="仿宋"/>
          <w:b/>
          <w:bCs/>
          <w:color w:val="auto"/>
          <w:spacing w:val="0"/>
          <w:sz w:val="24"/>
          <w:szCs w:val="24"/>
          <w:highlight w:val="none"/>
        </w:rPr>
        <w:t>条  工程质量标准及保修条件、期限</w:t>
      </w:r>
      <w:bookmarkEnd w:id="55"/>
    </w:p>
    <w:p w14:paraId="012FD44A">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（一）</w:t>
      </w:r>
      <w:bookmarkStart w:id="56" w:name="_Toc8293640"/>
      <w:r>
        <w:rPr>
          <w:rFonts w:hint="eastAsia" w:ascii="仿宋" w:hAnsi="仿宋" w:eastAsia="仿宋" w:cs="仿宋"/>
          <w:color w:val="auto"/>
          <w:spacing w:val="0"/>
          <w:sz w:val="24"/>
          <w:szCs w:val="24"/>
          <w:highlight w:val="none"/>
        </w:rPr>
        <w:t>按照国家及省、广州市的有关规定执行。</w:t>
      </w:r>
      <w:bookmarkEnd w:id="56"/>
    </w:p>
    <w:p w14:paraId="22EFDA59">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（二）双方约定本工程的质量保修期如下：保修期24个月</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配套工程36个月</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，自本工程竣工验收通过之日起计算。</w:t>
      </w:r>
    </w:p>
    <w:p w14:paraId="66985C67">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三）属于保修范围的项目，承包人应当在接到保修通知之日起24小时内派人维修。承包人不在约定期限内派人维修，发包人可委托第三方单位进行维修，发包人支付给第三方单位的维修费用由承包人承担，发包人有权在承包人质量保修金中扣除，若质量保修金不足抵扣，发包人有权另行向承包人追偿。</w:t>
      </w:r>
    </w:p>
    <w:p w14:paraId="7E1DB91D">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（四）发生需紧急抢修事故时，承包人应在接到事故通知后 2小时内到达事故现场实施抢修。非发包人原因导致且属于保修范围内容的项目，抢修费用由承包人负责。</w:t>
      </w:r>
    </w:p>
    <w:p w14:paraId="55538006">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（五）双方约定施工期间的水、电费用承担方式为：承包人承担</w:t>
      </w:r>
      <w:r>
        <w:rPr>
          <w:rFonts w:hint="eastAsia" w:ascii="仿宋" w:hAnsi="仿宋" w:eastAsia="仿宋" w:cs="仿宋"/>
          <w:color w:val="auto"/>
          <w:spacing w:val="0"/>
          <w:sz w:val="24"/>
          <w:szCs w:val="24"/>
          <w:highlight w:val="none"/>
          <w:u w:val="single"/>
          <w:lang w:eastAsia="zh-CN"/>
        </w:rPr>
        <w:t>（不包括营销阶段的水电费用）</w:t>
      </w:r>
      <w:r>
        <w:rPr>
          <w:rFonts w:hint="eastAsia" w:ascii="仿宋" w:hAnsi="仿宋" w:eastAsia="仿宋" w:cs="仿宋"/>
          <w:color w:val="auto"/>
          <w:spacing w:val="0"/>
          <w:sz w:val="24"/>
          <w:szCs w:val="24"/>
          <w:highlight w:val="none"/>
          <w:u w:val="single"/>
        </w:rPr>
        <w:t>。</w:t>
      </w:r>
    </w:p>
    <w:p w14:paraId="7F6354FF">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bookmarkStart w:id="57" w:name="_Toc8293642"/>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五</w:t>
      </w:r>
      <w:r>
        <w:rPr>
          <w:rFonts w:hint="eastAsia" w:ascii="仿宋" w:hAnsi="仿宋" w:eastAsia="仿宋" w:cs="仿宋"/>
          <w:b/>
          <w:bCs/>
          <w:color w:val="auto"/>
          <w:spacing w:val="0"/>
          <w:sz w:val="24"/>
          <w:szCs w:val="24"/>
          <w:highlight w:val="none"/>
        </w:rPr>
        <w:t>条  承包方式</w:t>
      </w:r>
    </w:p>
    <w:p w14:paraId="20C0AD47">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承包人在本合同工程承包范围内按</w:t>
      </w:r>
      <w:r>
        <w:rPr>
          <w:rFonts w:hint="eastAsia" w:ascii="仿宋" w:hAnsi="仿宋" w:eastAsia="仿宋" w:cs="仿宋"/>
          <w:color w:val="auto"/>
          <w:spacing w:val="0"/>
          <w:sz w:val="24"/>
          <w:szCs w:val="24"/>
          <w:highlight w:val="none"/>
          <w:u w:val="single"/>
        </w:rPr>
        <w:t>技术需求、招标图纸、施工图纸以及双方签订的有关协议</w:t>
      </w:r>
      <w:r>
        <w:rPr>
          <w:rFonts w:hint="eastAsia" w:ascii="仿宋" w:hAnsi="仿宋" w:eastAsia="仿宋" w:cs="仿宋"/>
          <w:color w:val="auto"/>
          <w:spacing w:val="0"/>
          <w:sz w:val="24"/>
          <w:szCs w:val="24"/>
          <w:highlight w:val="none"/>
        </w:rPr>
        <w:t>所包含的内容结合现场实际情况承包。</w:t>
      </w:r>
      <w:r>
        <w:rPr>
          <w:rFonts w:hint="eastAsia" w:ascii="仿宋" w:hAnsi="仿宋" w:eastAsia="仿宋" w:cs="仿宋"/>
          <w:color w:val="auto"/>
          <w:spacing w:val="0"/>
          <w:sz w:val="24"/>
          <w:szCs w:val="24"/>
          <w:highlight w:val="none"/>
          <w:u w:val="single"/>
        </w:rPr>
        <w:t>包施工图纸深化（优化）设计、包临时设施、包施工、包材料设备采购、包机具、包质量、包工期、包保险、包绿色施工安全防护、</w:t>
      </w:r>
      <w:r>
        <w:rPr>
          <w:rFonts w:hint="eastAsia" w:ascii="仿宋" w:hAnsi="仿宋" w:eastAsia="仿宋" w:cs="仿宋"/>
          <w:bCs/>
          <w:color w:val="auto"/>
          <w:spacing w:val="0"/>
          <w:sz w:val="24"/>
          <w:szCs w:val="24"/>
          <w:highlight w:val="none"/>
          <w:u w:val="single"/>
        </w:rPr>
        <w:t>包建筑垃圾清理及外运、</w:t>
      </w:r>
      <w:r>
        <w:rPr>
          <w:rFonts w:hint="eastAsia" w:ascii="仿宋" w:hAnsi="仿宋" w:eastAsia="仿宋" w:cs="仿宋"/>
          <w:color w:val="auto"/>
          <w:spacing w:val="0"/>
          <w:sz w:val="24"/>
          <w:szCs w:val="24"/>
          <w:highlight w:val="none"/>
          <w:u w:val="single"/>
        </w:rPr>
        <w:t>包成品保护、包调试与检测、包试运行、包验收合格、包培训、包质保期内工程质量保修、包现场组织和协调、包竣工验收及备案资料、包税费、包配合整体竣工验收（含相关工程资料收集整理）、包因验收（报价范围内）不能通过所需要发生的整改费用（非因承包人原因导致除外）、</w:t>
      </w:r>
      <w:r>
        <w:rPr>
          <w:rFonts w:hint="eastAsia" w:ascii="仿宋" w:hAnsi="仿宋" w:eastAsia="仿宋" w:cs="仿宋"/>
          <w:color w:val="auto"/>
          <w:spacing w:val="0"/>
          <w:sz w:val="24"/>
          <w:szCs w:val="24"/>
          <w:highlight w:val="none"/>
          <w:u w:val="single"/>
          <w:lang w:val="en-US" w:eastAsia="zh-CN"/>
        </w:rPr>
        <w:t>包结合环保治理期间需办理与基坑支护及土方开挖工程相关的验收手续及证件资料</w:t>
      </w:r>
      <w:r>
        <w:rPr>
          <w:rFonts w:hint="eastAsia" w:ascii="仿宋" w:hAnsi="仿宋" w:eastAsia="仿宋" w:cs="仿宋"/>
          <w:color w:val="auto"/>
          <w:spacing w:val="0"/>
          <w:sz w:val="24"/>
          <w:szCs w:val="24"/>
          <w:highlight w:val="none"/>
          <w:u w:val="single"/>
          <w:lang w:eastAsia="zh-CN"/>
        </w:rPr>
        <w:t>、</w:t>
      </w:r>
      <w:r>
        <w:rPr>
          <w:rFonts w:hint="eastAsia" w:ascii="仿宋" w:hAnsi="仿宋" w:eastAsia="仿宋" w:cs="仿宋"/>
          <w:color w:val="auto"/>
          <w:spacing w:val="0"/>
          <w:sz w:val="24"/>
          <w:szCs w:val="24"/>
          <w:highlight w:val="none"/>
          <w:u w:val="single"/>
        </w:rPr>
        <w:t>包向行政管理部门</w:t>
      </w:r>
      <w:r>
        <w:rPr>
          <w:rFonts w:hint="eastAsia" w:ascii="仿宋" w:hAnsi="仿宋" w:eastAsia="仿宋" w:cs="仿宋"/>
          <w:color w:val="auto"/>
          <w:spacing w:val="0"/>
          <w:sz w:val="24"/>
          <w:szCs w:val="24"/>
          <w:highlight w:val="none"/>
          <w:u w:val="single"/>
          <w:lang w:val="en-US" w:eastAsia="zh-CN"/>
        </w:rPr>
        <w:t>补办基坑支护及土方开挖工程的</w:t>
      </w:r>
      <w:r>
        <w:rPr>
          <w:rFonts w:hint="eastAsia" w:ascii="仿宋" w:hAnsi="仿宋" w:eastAsia="仿宋" w:cs="仿宋"/>
          <w:color w:val="auto"/>
          <w:spacing w:val="0"/>
          <w:sz w:val="24"/>
          <w:szCs w:val="24"/>
          <w:highlight w:val="none"/>
          <w:u w:val="single"/>
        </w:rPr>
        <w:t>施工报建、验收手续</w:t>
      </w:r>
      <w:r>
        <w:rPr>
          <w:rFonts w:hint="eastAsia" w:ascii="仿宋" w:hAnsi="仿宋" w:eastAsia="仿宋" w:cs="仿宋"/>
          <w:color w:val="auto"/>
          <w:spacing w:val="0"/>
          <w:sz w:val="24"/>
          <w:szCs w:val="24"/>
          <w:highlight w:val="none"/>
          <w:u w:val="single"/>
          <w:lang w:val="en-US" w:eastAsia="zh-CN"/>
        </w:rPr>
        <w:t>及证件</w:t>
      </w:r>
      <w:r>
        <w:rPr>
          <w:rFonts w:hint="eastAsia" w:ascii="仿宋" w:hAnsi="仿宋" w:eastAsia="仿宋" w:cs="仿宋"/>
          <w:color w:val="auto"/>
          <w:spacing w:val="0"/>
          <w:sz w:val="24"/>
          <w:szCs w:val="24"/>
          <w:highlight w:val="none"/>
          <w:u w:val="single"/>
        </w:rPr>
        <w:t>。</w:t>
      </w:r>
      <w:bookmarkEnd w:id="57"/>
    </w:p>
    <w:p w14:paraId="1AC4535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bookmarkStart w:id="58" w:name="_Toc8293643"/>
      <w:r>
        <w:rPr>
          <w:rFonts w:hint="eastAsia" w:ascii="仿宋" w:hAnsi="仿宋" w:eastAsia="仿宋" w:cs="仿宋"/>
          <w:color w:val="auto"/>
          <w:spacing w:val="0"/>
          <w:sz w:val="24"/>
          <w:szCs w:val="24"/>
          <w:highlight w:val="none"/>
        </w:rPr>
        <w:t>□总价包干：本工程采用固定总价包干的方式进行承包。</w:t>
      </w:r>
      <w:r>
        <w:rPr>
          <w:rFonts w:hint="eastAsia" w:ascii="仿宋" w:hAnsi="仿宋" w:eastAsia="仿宋" w:cs="仿宋"/>
          <w:bCs/>
          <w:color w:val="auto"/>
          <w:spacing w:val="0"/>
          <w:sz w:val="24"/>
          <w:szCs w:val="24"/>
          <w:highlight w:val="none"/>
        </w:rPr>
        <w:t>除合同有特殊约定外，合同工程款总价（包括：综合单价和综合合价）不因施工期间人工、水、电、机具、材料价格、福利调整、施工条件变化、竞价图纸与政府部门批复图存在差异以及其他政策性的变化而调整。</w:t>
      </w:r>
    </w:p>
    <w:p w14:paraId="78BDDC3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☑综合单价包干：本工程采用分部分项工程综合单价包干项目、措施项目费及其他项目费综合合价包干的方式进行承包。</w:t>
      </w:r>
      <w:r>
        <w:rPr>
          <w:rFonts w:hint="eastAsia" w:ascii="仿宋" w:hAnsi="仿宋" w:eastAsia="仿宋" w:cs="仿宋"/>
          <w:bCs/>
          <w:color w:val="auto"/>
          <w:spacing w:val="0"/>
          <w:sz w:val="24"/>
          <w:szCs w:val="24"/>
          <w:highlight w:val="none"/>
        </w:rPr>
        <w:t>除合同有特殊约定外，工程综合单价和综合合价不因施工期间人工、水、电、机具、材料价格、福利调整、施工条件变化、竞价图纸与政府部门批复图存在差异以及其它政策性的变化而调整。</w:t>
      </w:r>
    </w:p>
    <w:p w14:paraId="26B5F8E2">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六</w:t>
      </w:r>
      <w:r>
        <w:rPr>
          <w:rFonts w:hint="eastAsia" w:ascii="仿宋" w:hAnsi="仿宋" w:eastAsia="仿宋" w:cs="仿宋"/>
          <w:b/>
          <w:bCs/>
          <w:color w:val="auto"/>
          <w:spacing w:val="0"/>
          <w:sz w:val="24"/>
          <w:szCs w:val="24"/>
          <w:highlight w:val="none"/>
        </w:rPr>
        <w:t>条  合同价款的约定与调整</w:t>
      </w:r>
      <w:bookmarkEnd w:id="58"/>
    </w:p>
    <w:p w14:paraId="2E19B3EB">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59" w:name="_Toc8293644"/>
      <w:r>
        <w:rPr>
          <w:rFonts w:hint="eastAsia" w:ascii="仿宋" w:hAnsi="仿宋" w:eastAsia="仿宋" w:cs="仿宋"/>
          <w:color w:val="auto"/>
          <w:spacing w:val="0"/>
          <w:sz w:val="24"/>
          <w:szCs w:val="24"/>
          <w:highlight w:val="none"/>
        </w:rPr>
        <w:t>（一）含税□固定☑暂定合同工程款总价：</w:t>
      </w:r>
      <w:bookmarkEnd w:id="59"/>
      <w:r>
        <w:rPr>
          <w:rFonts w:hint="eastAsia" w:ascii="仿宋" w:hAnsi="仿宋" w:eastAsia="仿宋" w:cs="仿宋"/>
          <w:color w:val="auto"/>
          <w:spacing w:val="0"/>
          <w:sz w:val="24"/>
          <w:szCs w:val="24"/>
          <w:highlight w:val="none"/>
          <w:u w:val="single"/>
          <w:lang w:val="zh-CN"/>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lang w:val="zh-CN"/>
        </w:rPr>
        <w:t xml:space="preserve"> </w:t>
      </w:r>
      <w:r>
        <w:rPr>
          <w:rFonts w:hint="eastAsia" w:ascii="仿宋" w:hAnsi="仿宋" w:eastAsia="仿宋" w:cs="仿宋"/>
          <w:color w:val="auto"/>
          <w:spacing w:val="0"/>
          <w:sz w:val="24"/>
          <w:szCs w:val="24"/>
          <w:highlight w:val="none"/>
          <w:lang w:val="zh-CN"/>
        </w:rPr>
        <w:t>元（大写：</w:t>
      </w:r>
      <w:r>
        <w:rPr>
          <w:rFonts w:hint="eastAsia" w:ascii="仿宋" w:hAnsi="仿宋" w:eastAsia="仿宋" w:cs="仿宋"/>
          <w:color w:val="auto"/>
          <w:spacing w:val="0"/>
          <w:sz w:val="24"/>
          <w:szCs w:val="24"/>
          <w:highlight w:val="none"/>
          <w:u w:val="single"/>
          <w:lang w:val="zh-CN"/>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lang w:val="zh-CN"/>
        </w:rPr>
        <w:t xml:space="preserve">  </w:t>
      </w:r>
      <w:r>
        <w:rPr>
          <w:rFonts w:hint="eastAsia" w:ascii="仿宋" w:hAnsi="仿宋" w:eastAsia="仿宋" w:cs="仿宋"/>
          <w:color w:val="auto"/>
          <w:spacing w:val="0"/>
          <w:sz w:val="24"/>
          <w:szCs w:val="24"/>
          <w:highlight w:val="none"/>
          <w:lang w:val="zh-CN"/>
        </w:rPr>
        <w:t>），其中不含增值税价</w:t>
      </w:r>
      <w:r>
        <w:rPr>
          <w:rFonts w:hint="eastAsia" w:ascii="仿宋" w:hAnsi="仿宋" w:eastAsia="仿宋" w:cs="仿宋"/>
          <w:color w:val="auto"/>
          <w:spacing w:val="0"/>
          <w:sz w:val="24"/>
          <w:szCs w:val="24"/>
          <w:highlight w:val="none"/>
          <w:u w:val="single"/>
          <w:lang w:val="zh-CN"/>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lang w:val="zh-CN"/>
        </w:rPr>
        <w:t xml:space="preserve"> </w:t>
      </w:r>
      <w:r>
        <w:rPr>
          <w:rFonts w:hint="eastAsia" w:ascii="仿宋" w:hAnsi="仿宋" w:eastAsia="仿宋" w:cs="仿宋"/>
          <w:color w:val="auto"/>
          <w:spacing w:val="0"/>
          <w:sz w:val="24"/>
          <w:szCs w:val="24"/>
          <w:highlight w:val="none"/>
          <w:lang w:val="zh-CN"/>
        </w:rPr>
        <w:t>元，增值税率</w:t>
      </w:r>
      <w:r>
        <w:rPr>
          <w:rFonts w:hint="eastAsia" w:ascii="仿宋" w:hAnsi="仿宋" w:eastAsia="仿宋" w:cs="仿宋"/>
          <w:color w:val="auto"/>
          <w:spacing w:val="0"/>
          <w:sz w:val="24"/>
          <w:szCs w:val="24"/>
          <w:highlight w:val="none"/>
          <w:u w:val="single"/>
          <w:lang w:val="zh-CN"/>
        </w:rPr>
        <w:t xml:space="preserve">  9.0  </w:t>
      </w:r>
      <w:r>
        <w:rPr>
          <w:rFonts w:hint="eastAsia" w:ascii="仿宋" w:hAnsi="仿宋" w:eastAsia="仿宋" w:cs="仿宋"/>
          <w:color w:val="auto"/>
          <w:spacing w:val="0"/>
          <w:sz w:val="24"/>
          <w:szCs w:val="24"/>
          <w:highlight w:val="none"/>
          <w:lang w:val="zh-CN"/>
        </w:rPr>
        <w:t>%。增值税的税率按国家规定税率执行，</w:t>
      </w:r>
      <w:r>
        <w:rPr>
          <w:rFonts w:hint="eastAsia" w:ascii="仿宋" w:hAnsi="仿宋" w:eastAsia="仿宋" w:cs="仿宋"/>
          <w:color w:val="auto"/>
          <w:spacing w:val="0"/>
          <w:sz w:val="24"/>
          <w:szCs w:val="24"/>
          <w:highlight w:val="none"/>
        </w:rPr>
        <w:t>由于</w:t>
      </w:r>
      <w:r>
        <w:rPr>
          <w:rFonts w:hint="eastAsia" w:ascii="仿宋" w:hAnsi="仿宋" w:eastAsia="仿宋" w:cs="仿宋"/>
          <w:color w:val="auto"/>
          <w:spacing w:val="0"/>
          <w:sz w:val="24"/>
          <w:szCs w:val="24"/>
          <w:highlight w:val="none"/>
          <w:lang w:val="zh-CN"/>
        </w:rPr>
        <w:t>承</w:t>
      </w:r>
      <w:r>
        <w:rPr>
          <w:rFonts w:hint="eastAsia" w:ascii="仿宋" w:hAnsi="仿宋" w:eastAsia="仿宋" w:cs="仿宋"/>
          <w:color w:val="auto"/>
          <w:spacing w:val="0"/>
          <w:sz w:val="24"/>
          <w:szCs w:val="24"/>
          <w:highlight w:val="none"/>
        </w:rPr>
        <w:t>包人自身纳税人身份、纳税方式及国家税制改革原因带来税种及税率的变化</w:t>
      </w:r>
      <w:r>
        <w:rPr>
          <w:rFonts w:hint="eastAsia" w:ascii="仿宋" w:hAnsi="仿宋" w:eastAsia="仿宋" w:cs="仿宋"/>
          <w:color w:val="auto"/>
          <w:spacing w:val="0"/>
          <w:sz w:val="24"/>
          <w:szCs w:val="24"/>
          <w:highlight w:val="none"/>
          <w:lang w:val="zh-CN"/>
        </w:rPr>
        <w:t>，税费按实计算，承包人需提供相应税率的增值税专用发票，但非经发包人书面同意，</w:t>
      </w:r>
      <w:r>
        <w:rPr>
          <w:rFonts w:hint="eastAsia" w:ascii="仿宋" w:hAnsi="仿宋" w:eastAsia="仿宋" w:cs="仿宋"/>
          <w:color w:val="auto"/>
          <w:spacing w:val="0"/>
          <w:sz w:val="24"/>
          <w:szCs w:val="24"/>
          <w:highlight w:val="none"/>
        </w:rPr>
        <w:t>合同</w:t>
      </w:r>
      <w:r>
        <w:rPr>
          <w:rFonts w:hint="eastAsia" w:ascii="仿宋" w:hAnsi="仿宋" w:eastAsia="仿宋" w:cs="仿宋"/>
          <w:color w:val="auto"/>
          <w:spacing w:val="0"/>
          <w:sz w:val="24"/>
          <w:szCs w:val="24"/>
          <w:highlight w:val="none"/>
          <w:lang w:eastAsia="zh-Hans"/>
        </w:rPr>
        <w:t>工程款</w:t>
      </w:r>
      <w:r>
        <w:rPr>
          <w:rFonts w:hint="eastAsia" w:ascii="仿宋" w:hAnsi="仿宋" w:eastAsia="仿宋" w:cs="仿宋"/>
          <w:color w:val="auto"/>
          <w:spacing w:val="0"/>
          <w:sz w:val="24"/>
          <w:szCs w:val="24"/>
          <w:highlight w:val="none"/>
        </w:rPr>
        <w:t>总价</w:t>
      </w:r>
      <w:r>
        <w:rPr>
          <w:rFonts w:hint="eastAsia" w:ascii="仿宋" w:hAnsi="仿宋" w:eastAsia="仿宋" w:cs="仿宋"/>
          <w:color w:val="auto"/>
          <w:spacing w:val="0"/>
          <w:sz w:val="24"/>
          <w:szCs w:val="24"/>
          <w:highlight w:val="none"/>
          <w:lang w:val="zh-CN"/>
        </w:rPr>
        <w:t>不含增值税价保持不变。</w:t>
      </w:r>
    </w:p>
    <w:p w14:paraId="7AC01F2D">
      <w:pPr>
        <w:adjustRightInd w:val="0"/>
        <w:snapToGrid w:val="0"/>
        <w:spacing w:before="283" w:after="120"/>
        <w:ind w:firstLine="480"/>
        <w:rPr>
          <w:rFonts w:hint="eastAsia" w:ascii="仿宋" w:hAnsi="仿宋" w:eastAsia="仿宋" w:cs="仿宋"/>
          <w:color w:val="auto"/>
          <w:highlight w:val="none"/>
        </w:rPr>
      </w:pPr>
      <w:bookmarkStart w:id="60" w:name="_Toc8293646"/>
      <w:r>
        <w:rPr>
          <w:rFonts w:hint="eastAsia" w:ascii="仿宋" w:hAnsi="仿宋" w:eastAsia="仿宋" w:cs="仿宋"/>
          <w:color w:val="auto"/>
          <w:highlight w:val="none"/>
        </w:rPr>
        <w:t>合同价款的方式</w:t>
      </w:r>
    </w:p>
    <w:p w14:paraId="37D3DBCF">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施工部分合同价款=按模拟清单报价的建安工程费+按投标浮动率报价的建安工程费。</w:t>
      </w:r>
    </w:p>
    <w:p w14:paraId="167E1E25">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1．按模拟清单报价的建安工程费</w:t>
      </w:r>
    </w:p>
    <w:p w14:paraId="22A36DA8">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（1）计价方式</w:t>
      </w:r>
    </w:p>
    <w:p w14:paraId="28412B6A">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1)分部分项工程量清单计价[单选项]</w:t>
      </w:r>
    </w:p>
    <w:p w14:paraId="41DDF000">
      <w:pPr>
        <w:adjustRightInd w:val="0"/>
        <w:snapToGrid w:val="0"/>
        <w:spacing w:before="283" w:after="120"/>
        <w:ind w:firstLine="480"/>
        <w:rPr>
          <w:rFonts w:hint="eastAsia" w:ascii="仿宋" w:hAnsi="仿宋" w:eastAsia="仿宋" w:cs="仿宋"/>
          <w:color w:val="auto"/>
          <w:highlight w:val="none"/>
        </w:rPr>
      </w:pPr>
      <w:r>
        <w:rPr>
          <w:rFonts w:ascii="Segoe UI Symbol" w:hAnsi="Segoe UI Symbol" w:eastAsia="仿宋" w:cs="Segoe UI Symbol"/>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不含税固定综合单价包干：本工程采用工程量清单计价方式，以分部分项工程综合单价包干。除合同有特殊约定外，综合单价不因施工期间人工、水、电、机具、材料价格、福利调整、施工条件变化、工程量增减变化、竞价图纸与政府部门批复图存在差异以及其它政策性的变化而调整。分部分项工程量清单内的所有单价依据竞价文件中《投标报价说明》《工程量清单计量计价说明》及国家现行《建设工程工程量清单计价规范》《广东省建设工程计价依据（</w:t>
      </w:r>
      <w:r>
        <w:rPr>
          <w:rFonts w:ascii="仿宋" w:hAnsi="仿宋" w:eastAsia="仿宋" w:cs="仿宋"/>
          <w:color w:val="auto"/>
          <w:highlight w:val="none"/>
        </w:rPr>
        <w:t>2018</w:t>
      </w:r>
      <w:r>
        <w:rPr>
          <w:rFonts w:hint="eastAsia" w:ascii="仿宋" w:hAnsi="仿宋" w:eastAsia="仿宋" w:cs="仿宋"/>
          <w:color w:val="auto"/>
          <w:highlight w:val="none"/>
        </w:rPr>
        <w:t>）》等规则计算，且已综合考虑满足工程量清单项目特征及包含工作内容、项目类型及规模、承包范围和界面内招标图纸内容及设计说明、专项深化设计、设计及验收规范、质量及安全管控标准、发包人各项技术需求说明、现场施工条件、管理费及利润、合同专用条款约定由承包人自行承担费用的事项等所需的一切费用。若相同业态、不同楼栋出现不同单价，以最低单价作为包干单价。</w:t>
      </w:r>
    </w:p>
    <w:p w14:paraId="788F1053">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 不含税固定总价包干：本工程采用工程量清单计价方式，以分部分项工程固定总价包干。除合同有特殊约定外，分部分项工程总价及相应综合单价不因施工期间人工、水电、机具、材料价格、福利调整、施工条件变化、工程量算数偏差、竞价图纸与政府部门批复图存在差异以及其它政策性的变化而调整。分部分项工程量清单内的所有单价依据竞价文件中《投标报价说明》《工程量清单计量计价说明》及国家现行《建设工程工程量清单计价规范》《广东省建设工程计价依据（2018）》等规则计算，且已综合考虑满足工程量清单项目特征及包含工作内容、项目类型及规模、承包范围和界面内招标图纸内容及设计说明、专项深化设计、设计及验收规范、质量及安全管控标准、发包人各项技术需求说明、现场施工条件、清单工程量算数与图纸差异风险、管理费及利润、合同专用条款约定由承包人自行承担费用的事项等所需的一切费用。若相同业态、不同楼栋出现不同单价，新增工程依据最低单价计算。</w:t>
      </w:r>
    </w:p>
    <w:p w14:paraId="62B29C5A">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分部分项清单项目的综合单价包含：人工费、材料费（含辅材）、机具费、综合管理费、不可预见费、利润、建筑类型增加费、超高施工降效费、暗室施工增加费、夜间施工增加费、满足节点工期需求可能发生的增加费、一定范围内的风险费用、以及完成该项目的所有施工工序的一切费用。</w:t>
      </w:r>
    </w:p>
    <w:p w14:paraId="22442575">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2）措施项目清单计价[多选项]</w:t>
      </w:r>
    </w:p>
    <w:p w14:paraId="2044A7B4">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 不含税固定总价包干：本工程全部措施项目按不含税总价包干，除合同有特殊约定外，固定总价不因施工期间人工、水、电、机具、材料价格、福利调整、施工条件变化、措施需求或工程量增减变化、竞价图纸与政府部门批复图存在差异以及其它政策性的变化而调整。措施项目清单内的所有单价或费率依据竞价文件中《投标报价说明》《工程量清单计量计价说明》及国家现行《建设工程工程量清单计价规范》《广东省建设工程计价依据（2018）》等规则计算，且已综合考虑满足工程量清单项目特征及包含工作内容、项目类型及规模、专家方案申报及专家论证费、根据设计方案和各施工阶段需求合理布置和调整施工现场临时设施、非发包人原因造成的临时设施多次搬运与安拆，质量及安全管控标准、现场施工条件、清单工程量算数与图纸差异、费率措施费与实际措施费投入差异约定的风险、管理费及利润、合同专用条款第80.1条及其他专用条款由承包人自行承担费用事项等所需的一切费用。若相同业态、不同楼栋出现不同单价，新增工程依据最低单价计算。</w:t>
      </w:r>
    </w:p>
    <w:p w14:paraId="10397D9F">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 绿色施工安全防护措施费按不含税固定总价包干：本工程绿色施工安全防护措施费按不含税总价包干，除合同有特殊约定外，固定总价不因施工期间人工、水、电、机具、材料价格、福利调整、施工条件变化、措施需求或工程量增减变化、竞价图纸与政府部门批复图存在差异以及其它政策性的变化而调整。措施项目费率依据竞价文件中《投标报价说明》《工程量清单计量计价说明》及国家现行《建设工程工程量清单计价规范》《广东省建设工程计价依据（2018）》等规则计算，且已综合考虑满足项目类型及规模、专家方案申报及专家论证费、根据设计方案和各施工阶段需求合理布置和调整施工现场临时设施、非发包人原因造成的临时设施多次搬运与安拆，质量及安全管控标准、现场施工条件、费率计算措施费与实际措施费投入差异的风险、管理费及利润、合同专用条款第80.1条及其他专用条款由承包人自行承担费用事项等所需的一切费用。</w:t>
      </w:r>
    </w:p>
    <w:p w14:paraId="1F020FFA">
      <w:pPr>
        <w:adjustRightInd w:val="0"/>
        <w:snapToGrid w:val="0"/>
        <w:spacing w:before="283" w:after="120"/>
        <w:ind w:firstLine="480"/>
        <w:rPr>
          <w:rFonts w:ascii="仿宋" w:hAnsi="仿宋" w:eastAsia="仿宋" w:cs="仿宋"/>
          <w:color w:val="auto"/>
          <w:highlight w:val="none"/>
        </w:rPr>
      </w:pPr>
      <w:r>
        <w:rPr>
          <w:rFonts w:ascii="Segoe UI Symbol" w:hAnsi="Segoe UI Symbol" w:eastAsia="仿宋" w:cs="Segoe UI Symbol"/>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绿色施工安全防护措施费按不含税固定费率包干：本工程绿色施工安全防护措施费依据竞价文件中《投标报价说明》《工程量清单计量计价说明》约定原则按费率包干计算，包干内容同上条约定。</w:t>
      </w:r>
    </w:p>
    <w:p w14:paraId="2F8B6E1C">
      <w:pPr>
        <w:adjustRightInd w:val="0"/>
        <w:snapToGrid w:val="0"/>
        <w:spacing w:before="283" w:after="120"/>
        <w:ind w:firstLine="480"/>
        <w:rPr>
          <w:rFonts w:hint="eastAsia" w:ascii="仿宋" w:hAnsi="仿宋" w:eastAsia="仿宋" w:cs="仿宋"/>
          <w:color w:val="auto"/>
          <w:highlight w:val="none"/>
        </w:rPr>
      </w:pPr>
      <w:r>
        <w:rPr>
          <w:rFonts w:ascii="Segoe UI Symbol" w:hAnsi="Segoe UI Symbol" w:eastAsia="仿宋" w:cs="Segoe UI Symbol"/>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可计量的措施项目清单项按不含税综合单价包干：以分部分项工程综合单价包干。除合同有特殊约定外，综合单价不因施工期间人工、水、电、机具、材料价格、福利调整、施工条件变化、措施需求或工程量增减变化、竞价图纸与政府部门批复图存在差异以及其它政策性的变化而调整。措施项目清单内的所有单价依据竞价文件中《投标报价说明》《工程量清单计量计价说明》及国家现行《建设工程工程量清单计价规范》《广东省建设工程计价依据（</w:t>
      </w:r>
      <w:r>
        <w:rPr>
          <w:rFonts w:ascii="仿宋" w:hAnsi="仿宋" w:eastAsia="仿宋" w:cs="仿宋"/>
          <w:color w:val="auto"/>
          <w:highlight w:val="none"/>
        </w:rPr>
        <w:t>2018</w:t>
      </w:r>
      <w:r>
        <w:rPr>
          <w:rFonts w:hint="eastAsia" w:ascii="仿宋" w:hAnsi="仿宋" w:eastAsia="仿宋" w:cs="仿宋"/>
          <w:color w:val="auto"/>
          <w:highlight w:val="none"/>
        </w:rPr>
        <w:t>）》等规则计算，且已综合考虑满足工程量清单项目特征及包含工作内容、项目类型及规模、专家方案申报及专家论证费、质量及安全管控标准、现场施工条件、清单工程量算数与图纸差异、合同专用条款约定由承包人自行承担费用的事项等所需的一切费用。若相同业态、不同楼栋出现不同单价，新增工程依据最低单价计算</w:t>
      </w:r>
    </w:p>
    <w:p w14:paraId="7F09EC31">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3）其他项目清单计价[多选项]</w:t>
      </w:r>
    </w:p>
    <w:p w14:paraId="7D19145A">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 不含税固定总价包干 （包括：□ 预算包干费、□ 检验试验费、□ 总承包管理及土建配合费、□ 全部可计量的其他项目、□       ）：本工程其他项目费按不含税总价包干，除合同有特殊约定外，固定总价不因施工期间人工、水、电、机具、材料价格、福利调整、施工条件变化、竞价图纸与政府部门批复图存在差异以及其它政策性的变化而调整。其他项目清单内的所有单价或费率依据竞价文件中《投标报价说明》《工程量清单计量计价说明》及国家现行《建设工程工程量清单计价规范》《广东省建设工程计价依据（2018）》等规则计算，且已综合考虑满足工程量清单项目特征及包含工作内容、项目类型及规模、现场施工条件、清单算数及费用与实际发生差异的风险、管理费及利润、合同专用条款约定事项等所需的一切费用。若相同业态、不同楼栋出现不同单价，新增工程依据最低单价计算。</w:t>
      </w:r>
    </w:p>
    <w:p w14:paraId="02133F0A">
      <w:pPr>
        <w:adjustRightInd w:val="0"/>
        <w:snapToGrid w:val="0"/>
        <w:spacing w:before="283" w:after="120"/>
        <w:ind w:firstLine="480"/>
        <w:rPr>
          <w:rFonts w:ascii="仿宋" w:hAnsi="仿宋" w:eastAsia="仿宋" w:cs="仿宋"/>
          <w:color w:val="auto"/>
          <w:highlight w:val="none"/>
        </w:rPr>
      </w:pPr>
      <w:r>
        <w:rPr>
          <w:rFonts w:ascii="Segoe UI Symbol" w:hAnsi="Segoe UI Symbol" w:eastAsia="仿宋" w:cs="Segoe UI Symbol"/>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预算包干费按不含税固定费率包干：本工程预算包干费依据竞价文件中《投标报价说明》《工程量清单计量计价说明》约定原则及包含工作内容按费率包干计算。</w:t>
      </w:r>
    </w:p>
    <w:p w14:paraId="03ECE5A5">
      <w:pPr>
        <w:adjustRightInd w:val="0"/>
        <w:snapToGrid w:val="0"/>
        <w:spacing w:before="283" w:after="120"/>
        <w:ind w:firstLine="480"/>
        <w:rPr>
          <w:rFonts w:ascii="仿宋" w:hAnsi="仿宋" w:eastAsia="仿宋" w:cs="仿宋"/>
          <w:color w:val="auto"/>
          <w:highlight w:val="none"/>
        </w:rPr>
      </w:pPr>
      <w:r>
        <w:rPr>
          <w:rFonts w:ascii="Segoe UI Symbol" w:hAnsi="Segoe UI Symbol" w:eastAsia="仿宋" w:cs="Segoe UI Symbol"/>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可计量的其他项目清单项按不含税综合单价包干：以综合单价包干。除合同有特殊约定外，综合单价不因施工期间人工、水、电、机具、材料价格、福利调整、施工条件变化、工程量增减变化、竞价图纸与政府部门批复图存在差异以及其它政策性的变化而调整。</w:t>
      </w:r>
    </w:p>
    <w:p w14:paraId="33BEA7CF">
      <w:pPr>
        <w:adjustRightInd w:val="0"/>
        <w:snapToGrid w:val="0"/>
        <w:spacing w:before="283" w:after="120"/>
        <w:ind w:firstLine="480"/>
        <w:rPr>
          <w:rFonts w:ascii="仿宋" w:hAnsi="仿宋" w:eastAsia="仿宋" w:cs="仿宋"/>
          <w:color w:val="auto"/>
          <w:highlight w:val="none"/>
        </w:rPr>
      </w:pPr>
      <w:r>
        <w:rPr>
          <w:rFonts w:ascii="Segoe UI Symbol" w:hAnsi="Segoe UI Symbol" w:eastAsia="仿宋" w:cs="Segoe UI Symbol"/>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总承包管理及土建配合费按不含税固定费率包干：本工程总承包管理及土建配合费依据竞价文件中《投标报价说明》《工程量清单计量计价说明》约定原则按费率包干计算，包干内容详见《总承包管理配合服务内容一览表》。</w:t>
      </w:r>
    </w:p>
    <w:p w14:paraId="33860075">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（2）模拟清单部分施工图预算的审核及要求</w:t>
      </w:r>
    </w:p>
    <w:p w14:paraId="23201C88">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在收到有发包人盖章并经发包人书面确认的正式施工图后40天内完成施工图预算的编制并提交盖章确认的转固预算书于监理人、造价咨询人、发包人审核，同时须按发包人要求配置足够的造价人员，在其出具审核意后30天内配合完成对数工作</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允许带争议完成）</w:t>
      </w:r>
      <w:r>
        <w:rPr>
          <w:rFonts w:hint="eastAsia" w:ascii="仿宋" w:hAnsi="仿宋" w:eastAsia="仿宋" w:cs="仿宋"/>
          <w:color w:val="auto"/>
          <w:highlight w:val="none"/>
        </w:rPr>
        <w:t>。承包人与发包人应在合同主项计划约定的时间内完成施工图预算（暂转固）审核并签订补充协议，此补充协议作为进度款的拨付依据。</w:t>
      </w:r>
    </w:p>
    <w:p w14:paraId="5B00639F">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无论何种原因，若施工图预算（暂转固）审核超过项目合同主项计划约定的时间，则进度款的支付按专用条款81.1（2）6)条执行；若承包人积极配合发包人及造价工程师，在项目合同主项计划约定时间内完成施工图预算审核工作，则发包人可根据项目进度款支付比例情况适当提高支付比例，详见专用条款81.1（2）7)条约定。</w:t>
      </w:r>
    </w:p>
    <w:p w14:paraId="400E49EB">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3）承包人未按上述时限申报施工图预算（暂转固）并配合完成对数，或无正当理由拒绝和不配合对数确认，须承担一般违约责任。</w:t>
      </w:r>
    </w:p>
    <w:p w14:paraId="7392C23C">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2．按投标浮动率报价的建安工程费</w:t>
      </w:r>
    </w:p>
    <w:p w14:paraId="21A476B5">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按“投标浮动率”的专业工程包括但不限于附件【四】《专业工程及重点管控材料设备一览表》所有列项。按投标浮动率报价的建安工程费，除发包人另有约定，均按照各专业工程“定额预算价×投标浮动率” 与“双方共同询价”两者低者为各专业工程的确定合同价并签订补充协议。具体计价原则如下：  </w:t>
      </w:r>
    </w:p>
    <w:p w14:paraId="6B0E472E">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（一）“定额预算价×投标浮动率”的计算原则：</w:t>
      </w:r>
    </w:p>
    <w:p w14:paraId="7C8A3985">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应按本以下原则编制各专业工程及重点管控材料设备预算，否则，由此而影响进度款支付的，发包人不承担责任。申报预算经造价咨询人审核、发包人审定后，按合同、招标文件及投标文件等相关约定确定合同价格清单（申报预算价）并乘以投标浮动率计算。</w:t>
      </w:r>
    </w:p>
    <w:p w14:paraId="1FBF0A8E">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（2）申报预算编制依据（包括但不限于）：</w:t>
      </w:r>
    </w:p>
    <w:p w14:paraId="09335C21">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1）本合同及附件、招标文件及附件、招标答疑文件、投标报价书等相关约定；</w:t>
      </w:r>
    </w:p>
    <w:p w14:paraId="49188205">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2）专业工程技术需求书、经审查的施工图纸及专业深化图纸；</w:t>
      </w:r>
    </w:p>
    <w:p w14:paraId="07BDA7C1">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3）主要材料设备选型定板（或定档次或品牌）资料；</w:t>
      </w:r>
    </w:p>
    <w:p w14:paraId="3F937C2A">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4）经发包人批准的初步设计及概算；</w:t>
      </w:r>
    </w:p>
    <w:p w14:paraId="1119BD8E">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5）《建设工程工程量清单计价规范》（GB50500-2013）及《施工图预算的工程量计算格式》、工程量清单计量计价说明（以下简称：“清单计量规则”）；</w:t>
      </w:r>
    </w:p>
    <w:p w14:paraId="0BC5A0E6">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6）《广东省建设工程计价依据（2018）》，包括：《广东省装配式建筑工程综合定额(试行）》、《广东省房屋建筑与装饰工程综合定额（2018）》、《广东省通用安装工程综合定额（2018）》、《广东省市政工程工程综合定额（2018）》、《广东省园林绿化工程综合定额（2018）》及施工间施行的广东省其它专业定额（本合同约定的全部定额标准均包含其配套定额勘误，以下简称“广东省综合定额”）；</w:t>
      </w:r>
    </w:p>
    <w:p w14:paraId="4F964C62">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7）广州市建设工程造价管理站在合同履行期发布的《广州市建设工程价格信息及有关计价办法的通知》《广州市机械设备租赁及销售价格参考信息的通知》中的劳务日工资、材料价、机械费（以下简称“广州市信息价”）；</w:t>
      </w:r>
    </w:p>
    <w:p w14:paraId="353D4EC4">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8）发包人和承包人基于类似项目签订有效合同的参考价平均值；</w:t>
      </w:r>
    </w:p>
    <w:p w14:paraId="3C348D08">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9）第三方专业询价平台查询的同型号材料最低价；或双方择优选择三家以上同等档次品牌，以市场询价的平均价（询价资料需书面盖章）报造价咨询人、发包人审核确认后作为依据。</w:t>
      </w:r>
    </w:p>
    <w:p w14:paraId="06DABB16">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（3）申报预算编制原则：</w:t>
      </w:r>
    </w:p>
    <w:p w14:paraId="22B645E9">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1）申报预算的清单及工程量依据上述条款中 “清单计量规则”编制；</w:t>
      </w:r>
    </w:p>
    <w:p w14:paraId="6125CC18">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2）申报预算的人工、辅材及机械价格、以及相关费用标准均依据“广东省综合定额”编制；</w:t>
      </w:r>
    </w:p>
    <w:p w14:paraId="0FF449DC">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3）申报预算主要材料，按以下先后顺序计算：</w:t>
      </w:r>
    </w:p>
    <w:p w14:paraId="6896744C">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①若为本合同约定的重点管控材料设备，则参照关于“双方共同询价”的计价原则计确定材料价格。</w:t>
      </w:r>
    </w:p>
    <w:p w14:paraId="69929B69">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②参考广州市信息价计算（经发包人确认具备较高档次和观感要求的饰面材料及设备，可直接执行本条第③点）。</w:t>
      </w:r>
    </w:p>
    <w:p w14:paraId="04A07C47">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③若广州市信息价没有相同或相似类型材料，则参考发包人和承包人基于类似项目签订有效合同的参考价平均值；或通过第三方专业询价平台查询的同型号材料最低价；或双方择优选择三家以上同等档次品牌，以市场询价的平均价（询价资料需书面盖章）报造价咨询人、发包人审核确认后作为依据。</w:t>
      </w:r>
    </w:p>
    <w:p w14:paraId="3C0A43BC">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4）申报预算的工程税金执行《广州市建设工程造价管理站关于营业税改征增值税后广州市建设工程计价有关问题的通知》[粤建造发（2016）31号]文及《广东省住房和城乡建设厅关于调整广东省建设工程计价依据增值税税率的通知》粤建标函[2019]819号文，增值税税率按政府税务部门公布的最新税率进行计取；</w:t>
      </w:r>
    </w:p>
    <w:p w14:paraId="43598A6D">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5）按上述原则编制定额预算价后，再乘以本合同投标报价书填报的各专业工程相应投标浮动率计算，其中：若计算新增单价的主材采用广州市信息价（上条计算主材价中第②点方式）为计算基础，则按含主材价乘以浮动率计算；若新增单价的主材采用合同价或换算价、类似项目合同价、市场采购价、双方询价定价计算，则按不含主材价乘以浮动率计算； </w:t>
      </w:r>
    </w:p>
    <w:p w14:paraId="44E7AE80">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6）若按以上编制依据没有适用的子目，则由承包人提出报价申请并提供成本测算方案，报监理人、工程造价咨询人、发包人审核确认后执行；</w:t>
      </w:r>
    </w:p>
    <w:p w14:paraId="2461CAFE">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7）按以上依据和原则申报的预算价，不再另行计取总承包管理及配合费。</w:t>
      </w:r>
    </w:p>
    <w:p w14:paraId="2D56272F">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（二）“双方共同询价”的计价原则：</w:t>
      </w:r>
    </w:p>
    <w:p w14:paraId="6AFA07FC">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同意与发包人共同询价，并同意委托发包人邀请指定单位（优先选择发包人或股东方战略合作范围的单位）参与询价等。每一批次专业工程和重点管控材料设备在进行前述预算编制时，双方须共同编制询价文件并进行市场询价，取其中总报价最低报价或询价结果排名第一的作为每一批次专业工程询价结果：</w:t>
      </w:r>
    </w:p>
    <w:p w14:paraId="7F3F0C7D">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（1）各专业工程询价依据：包含但不限于专业工程技术需求书、专业工程初步设计图纸、经审查的施工图纸及专业深化图纸、主要材料设备选型定板（或定档次或品牌）资料、总承包及各专业工程施工界面等；</w:t>
      </w:r>
    </w:p>
    <w:p w14:paraId="5A97188A">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（2）各专业工程询价的范围 ：包含但不限于附件【四】《专业工程及重点管控材料设备一览表》中的专业工程及材料设备；</w:t>
      </w:r>
    </w:p>
    <w:p w14:paraId="7DA09672">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3）各专业询价计划时间：专业工程进场施工或重点管控材料设备供货前不少于60天，具体由承包人根据项目进度需求编制相关计划并报发包人审批确认。承包人未提交询价计划并及时组织开展询价工作，若导致专业工程进场或重点管控材料设备供货延误，造成损失由承包人承担。</w:t>
      </w:r>
    </w:p>
    <w:p w14:paraId="4124436E">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4）若双方根据询价结果同意委托专业分包进行施工，专业分包人应与总承包单位签订总承包管理协议，总承包管理及配合内容、总承包管理及配合费计算标准及收取分包水电费标准，详见附件【十六】《总承包管理配合服务内容》，其中：总承包管理配合服务费的计取方式为固定费率包干，由发包人支付；水电费的收取方式为固定费率包干，由分包人支付。除上述费用外，承包人不得向分包人另行收取其他费用，否则按发包人另行收费的三倍金额，再本合同最终结算款扣回。</w:t>
      </w:r>
    </w:p>
    <w:p w14:paraId="3B3C4CC0">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（5）各专业询价的流程：双方另行协商确定。</w:t>
      </w:r>
    </w:p>
    <w:p w14:paraId="3C1DDEA0">
      <w:pPr>
        <w:adjustRightInd w:val="0"/>
        <w:snapToGrid w:val="0"/>
        <w:spacing w:before="283"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（6）双方询价完成后，若询价结果总金额与总承包管理费之和低于按“定额预算价×投标浮动率”计算金额，除发包人另有约定，承包人认可按双方询价的结果作为专业工程合同价，并签订补充协议。</w:t>
      </w:r>
    </w:p>
    <w:p w14:paraId="60B3C15D">
      <w:pPr>
        <w:adjustRightInd w:val="0"/>
        <w:snapToGrid w:val="0"/>
        <w:spacing w:before="283" w:after="120"/>
        <w:ind w:firstLine="480"/>
        <w:rPr>
          <w:rFonts w:ascii="仿宋" w:hAnsi="仿宋" w:eastAsia="仿宋" w:cs="仿宋"/>
          <w:color w:val="auto"/>
          <w:highlight w:val="none"/>
        </w:rPr>
      </w:pPr>
      <w:r>
        <w:rPr>
          <w:rFonts w:hint="eastAsia" w:ascii="仿宋" w:hAnsi="仿宋" w:eastAsia="仿宋" w:cs="仿宋"/>
          <w:color w:val="auto"/>
          <w:highlight w:val="none"/>
        </w:rPr>
        <w:t>（7）双方询价完成后，承包人仍未申报施工图预算，视为承包人认可双方询价</w:t>
      </w:r>
      <w:r>
        <w:rPr>
          <w:rFonts w:hint="eastAsia" w:ascii="仿宋" w:hAnsi="仿宋" w:eastAsia="仿宋" w:cs="仿宋"/>
          <w:color w:val="auto"/>
          <w:highlight w:val="none"/>
          <w:lang w:val="en-US" w:eastAsia="zh-CN"/>
        </w:rPr>
        <w:t>+总包管理配合费</w:t>
      </w:r>
      <w:r>
        <w:rPr>
          <w:rFonts w:hint="eastAsia" w:ascii="仿宋" w:hAnsi="仿宋" w:eastAsia="仿宋" w:cs="仿宋"/>
          <w:color w:val="auto"/>
          <w:highlight w:val="none"/>
        </w:rPr>
        <w:t>作为专业工程合同价，并签订补充协议。</w:t>
      </w:r>
    </w:p>
    <w:p w14:paraId="558E0AFD">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（二）合同结算方式：</w:t>
      </w:r>
    </w:p>
    <w:p w14:paraId="45486779">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本工程实行□总价包干☑综合单价包干，措施项目费及其他项目费综合合价包干，合同结算金额按以下约定执行：</w:t>
      </w:r>
    </w:p>
    <w:p w14:paraId="05B66574">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□本工程以固定总价包干形式承包，合同</w:t>
      </w:r>
      <w:r>
        <w:rPr>
          <w:rFonts w:hint="eastAsia" w:ascii="仿宋" w:hAnsi="仿宋" w:eastAsia="仿宋" w:cs="仿宋"/>
          <w:color w:val="auto"/>
          <w:spacing w:val="0"/>
          <w:sz w:val="24"/>
          <w:szCs w:val="24"/>
          <w:highlight w:val="none"/>
          <w:lang w:eastAsia="zh-Hans"/>
        </w:rPr>
        <w:t>工程总</w:t>
      </w:r>
      <w:r>
        <w:rPr>
          <w:rFonts w:hint="eastAsia" w:ascii="仿宋" w:hAnsi="仿宋" w:eastAsia="仿宋" w:cs="仿宋"/>
          <w:color w:val="auto"/>
          <w:spacing w:val="0"/>
          <w:sz w:val="24"/>
          <w:szCs w:val="24"/>
          <w:highlight w:val="none"/>
        </w:rPr>
        <w:t>价款在合同执行期内除合同约定调整条件外，合同</w:t>
      </w:r>
      <w:r>
        <w:rPr>
          <w:rFonts w:hint="eastAsia" w:ascii="仿宋" w:hAnsi="仿宋" w:eastAsia="仿宋" w:cs="仿宋"/>
          <w:color w:val="auto"/>
          <w:spacing w:val="0"/>
          <w:sz w:val="24"/>
          <w:szCs w:val="24"/>
          <w:highlight w:val="none"/>
          <w:lang w:eastAsia="zh-Hans"/>
        </w:rPr>
        <w:t>工程总</w:t>
      </w:r>
      <w:r>
        <w:rPr>
          <w:rFonts w:hint="eastAsia" w:ascii="仿宋" w:hAnsi="仿宋" w:eastAsia="仿宋" w:cs="仿宋"/>
          <w:color w:val="auto"/>
          <w:spacing w:val="0"/>
          <w:sz w:val="24"/>
          <w:szCs w:val="24"/>
          <w:highlight w:val="none"/>
        </w:rPr>
        <w:t>价款固定不变、结算时不予调整。</w:t>
      </w:r>
      <w:bookmarkEnd w:id="60"/>
      <w:r>
        <w:rPr>
          <w:rFonts w:hint="eastAsia" w:ascii="仿宋" w:hAnsi="仿宋" w:eastAsia="仿宋" w:cs="仿宋"/>
          <w:color w:val="auto"/>
          <w:spacing w:val="0"/>
          <w:sz w:val="24"/>
          <w:szCs w:val="24"/>
          <w:highlight w:val="none"/>
        </w:rPr>
        <w:t>合同价款</w:t>
      </w:r>
      <w:r>
        <w:rPr>
          <w:rFonts w:hint="eastAsia" w:ascii="仿宋" w:hAnsi="仿宋" w:eastAsia="仿宋" w:cs="仿宋"/>
          <w:bCs/>
          <w:color w:val="auto"/>
          <w:spacing w:val="0"/>
          <w:sz w:val="24"/>
          <w:szCs w:val="24"/>
          <w:highlight w:val="none"/>
        </w:rPr>
        <w:t>不因施工期间人工、水、电、机具、材料价格、福利调整、施工条件变化、竞价图纸与政府部门批复图存在差异以及其他政策性的变化而调整。</w:t>
      </w:r>
    </w:p>
    <w:p w14:paraId="415EB41C">
      <w:pPr>
        <w:pageBreakBefore w:val="0"/>
        <w:tabs>
          <w:tab w:val="left" w:pos="210"/>
        </w:tabs>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Hans"/>
        </w:rPr>
        <w:t>本</w:t>
      </w:r>
      <w:r>
        <w:rPr>
          <w:rFonts w:hint="eastAsia" w:ascii="仿宋" w:hAnsi="仿宋" w:eastAsia="仿宋" w:cs="仿宋"/>
          <w:color w:val="auto"/>
          <w:spacing w:val="0"/>
          <w:sz w:val="24"/>
          <w:szCs w:val="24"/>
          <w:highlight w:val="none"/>
        </w:rPr>
        <w:t>合同价款中所有综合单价、综合合价、措施项目费、其他项目费及总价，结算时不得以计算失误、错计、漏计等原因对合同价款进行调整。</w:t>
      </w:r>
    </w:p>
    <w:p w14:paraId="69306D03">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对于报价文件范围内图纸已经明确、工程量清单已经包含的工程内容，不出现设计变更时，综合单价不变。在整个合同执行期内，除合同条款另有约定外综合单价不作调整。分部分项工程结算原则如下：以合同综合单价或经双方确认的变更项目综合单价乘以经双方确认的工程实际施工工作量。</w:t>
      </w:r>
    </w:p>
    <w:p w14:paraId="01D2F9F0">
      <w:pPr>
        <w:pageBreakBefore w:val="0"/>
        <w:kinsoku/>
        <w:overflowPunct/>
        <w:topLinePunct w:val="0"/>
        <w:bidi w:val="0"/>
        <w:adjustRightInd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w:t>
      </w:r>
      <w:r>
        <w:rPr>
          <w:rFonts w:hint="eastAsia" w:ascii="仿宋" w:hAnsi="仿宋" w:eastAsia="仿宋" w:cs="仿宋"/>
          <w:bCs/>
          <w:color w:val="auto"/>
          <w:spacing w:val="0"/>
          <w:sz w:val="24"/>
          <w:szCs w:val="24"/>
          <w:highlight w:val="none"/>
        </w:rPr>
        <w:t>分部分项清单项目的综合单价包含</w:t>
      </w:r>
      <w:r>
        <w:rPr>
          <w:rFonts w:hint="eastAsia" w:ascii="仿宋" w:hAnsi="仿宋" w:eastAsia="仿宋" w:cs="仿宋"/>
          <w:bCs/>
          <w:color w:val="auto"/>
          <w:spacing w:val="0"/>
          <w:sz w:val="24"/>
          <w:szCs w:val="24"/>
          <w:highlight w:val="none"/>
          <w:lang w:eastAsia="zh-Hans"/>
        </w:rPr>
        <w:t>但不限于</w:t>
      </w:r>
      <w:r>
        <w:rPr>
          <w:rFonts w:hint="eastAsia" w:ascii="仿宋" w:hAnsi="仿宋" w:eastAsia="仿宋" w:cs="仿宋"/>
          <w:bCs/>
          <w:color w:val="auto"/>
          <w:spacing w:val="0"/>
          <w:sz w:val="24"/>
          <w:szCs w:val="24"/>
          <w:highlight w:val="none"/>
        </w:rPr>
        <w:t>：</w:t>
      </w:r>
      <w:r>
        <w:rPr>
          <w:rFonts w:hint="eastAsia" w:ascii="仿宋" w:hAnsi="仿宋" w:eastAsia="仿宋" w:cs="仿宋"/>
          <w:bCs/>
          <w:color w:val="auto"/>
          <w:spacing w:val="0"/>
          <w:sz w:val="24"/>
          <w:szCs w:val="24"/>
          <w:highlight w:val="none"/>
          <w:u w:val="single"/>
        </w:rPr>
        <w:t>人工费、材料费（含辅材）、机具费、综合管理费、不可预见费、利润、高层建筑增加费、暗室增加费等子目增加费用、一定范围内的风险费用、以及完成该项目的所有施工工序的一切费用。</w:t>
      </w:r>
    </w:p>
    <w:p w14:paraId="15CB2A9B">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新增或变更工程结算方式：若原技术需求、承包范围发生变化（包括：原技术需求、承包范围或工作内容变更或所使用的主要材料设备发生变更），对新增或变更的工程量（该工程量必须以书面形式报发包人并经发包人审核同意）作调整，综合单价及措施项目费用、其它项目清单等不调整。出现上述变化需计算工程价款时，综合单价按以下方法计算：</w:t>
      </w:r>
    </w:p>
    <w:p w14:paraId="1E275436">
      <w:pPr>
        <w:adjustRightInd w:val="0"/>
        <w:snapToGrid w:val="0"/>
        <w:spacing w:before="283" w:after="120"/>
        <w:ind w:firstLine="480"/>
        <w:rPr>
          <w:rFonts w:ascii="仿宋" w:hAnsi="仿宋" w:eastAsia="仿宋" w:cs="仿宋"/>
          <w:color w:val="auto"/>
          <w:highlight w:val="none"/>
        </w:rPr>
      </w:pPr>
      <w:r>
        <w:rPr>
          <w:rFonts w:hint="eastAsia" w:ascii="仿宋" w:hAnsi="仿宋" w:eastAsia="仿宋" w:cs="仿宋"/>
          <w:color w:val="auto"/>
          <w:highlight w:val="none"/>
        </w:rPr>
        <w:t>2.1</w:t>
      </w:r>
      <w:r>
        <w:rPr>
          <w:rFonts w:ascii="仿宋" w:hAnsi="仿宋" w:eastAsia="仿宋"/>
          <w:color w:val="auto"/>
          <w:szCs w:val="18"/>
          <w:highlight w:val="none"/>
        </w:rPr>
        <w:t>合同中有适用于变更工程项目的，按照该项目的单价或合价调整</w:t>
      </w:r>
      <w:r>
        <w:rPr>
          <w:rFonts w:hint="eastAsia" w:ascii="仿宋" w:hAnsi="仿宋" w:eastAsia="仿宋" w:cs="仿宋"/>
          <w:color w:val="auto"/>
          <w:highlight w:val="none"/>
        </w:rPr>
        <w:t>。</w:t>
      </w:r>
    </w:p>
    <w:p w14:paraId="79754257">
      <w:pPr>
        <w:adjustRightInd w:val="0"/>
        <w:snapToGrid w:val="0"/>
        <w:spacing w:before="283" w:after="120"/>
        <w:ind w:firstLine="480"/>
        <w:rPr>
          <w:rFonts w:ascii="仿宋" w:hAnsi="仿宋" w:eastAsia="仿宋" w:cs="仿宋"/>
          <w:color w:val="auto"/>
          <w:highlight w:val="none"/>
        </w:rPr>
      </w:pPr>
      <w:r>
        <w:rPr>
          <w:rFonts w:hint="eastAsia" w:ascii="仿宋" w:hAnsi="仿宋" w:eastAsia="仿宋" w:cs="仿宋"/>
          <w:color w:val="auto"/>
          <w:highlight w:val="none"/>
        </w:rPr>
        <w:t>2.2</w:t>
      </w:r>
      <w:r>
        <w:rPr>
          <w:rFonts w:ascii="仿宋" w:hAnsi="仿宋" w:eastAsia="仿宋"/>
          <w:color w:val="auto"/>
          <w:szCs w:val="18"/>
          <w:highlight w:val="none"/>
        </w:rPr>
        <w:t>合同中没有适用、只有类似于变更工程项目的，可在合理范围内参照类似项目的单价或合价调整</w:t>
      </w:r>
      <w:r>
        <w:rPr>
          <w:rFonts w:hint="eastAsia" w:ascii="仿宋" w:hAnsi="仿宋" w:eastAsia="仿宋" w:cs="仿宋"/>
          <w:color w:val="auto"/>
          <w:highlight w:val="none"/>
        </w:rPr>
        <w:t>。</w:t>
      </w:r>
    </w:p>
    <w:p w14:paraId="5032AC3E">
      <w:pPr>
        <w:pStyle w:val="10"/>
        <w:tabs>
          <w:tab w:val="left" w:pos="1380"/>
          <w:tab w:val="left" w:pos="2160"/>
        </w:tabs>
        <w:adjustRightInd w:val="0"/>
        <w:snapToGrid w:val="0"/>
        <w:spacing w:before="283"/>
        <w:ind w:firstLineChars="0"/>
        <w:rPr>
          <w:rFonts w:ascii="仿宋" w:hAnsi="仿宋" w:eastAsia="仿宋"/>
          <w:color w:val="auto"/>
          <w:sz w:val="24"/>
          <w:szCs w:val="18"/>
          <w:highlight w:val="none"/>
        </w:rPr>
      </w:pPr>
      <w:r>
        <w:rPr>
          <w:rFonts w:hint="eastAsia" w:ascii="仿宋" w:hAnsi="仿宋" w:eastAsia="仿宋" w:cs="仿宋"/>
          <w:color w:val="auto"/>
          <w:sz w:val="24"/>
          <w:szCs w:val="24"/>
          <w:highlight w:val="none"/>
        </w:rPr>
        <w:t>2.3</w:t>
      </w:r>
      <w:r>
        <w:rPr>
          <w:rFonts w:ascii="仿宋" w:hAnsi="仿宋" w:eastAsia="仿宋"/>
          <w:color w:val="auto"/>
          <w:sz w:val="24"/>
          <w:szCs w:val="18"/>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14:paraId="21BECE99">
      <w:pPr>
        <w:pStyle w:val="10"/>
        <w:adjustRightInd w:val="0"/>
        <w:snapToGrid w:val="0"/>
        <w:spacing w:before="283"/>
        <w:ind w:firstLine="0" w:firstLineChars="0"/>
        <w:rPr>
          <w:rFonts w:ascii="仿宋" w:hAnsi="仿宋" w:eastAsia="仿宋"/>
          <w:color w:val="auto"/>
          <w:sz w:val="24"/>
          <w:szCs w:val="18"/>
          <w:highlight w:val="none"/>
        </w:rPr>
      </w:pPr>
      <w:r>
        <w:rPr>
          <w:rFonts w:hint="eastAsia" w:ascii="仿宋" w:hAnsi="仿宋" w:eastAsia="仿宋"/>
          <w:color w:val="auto"/>
          <w:sz w:val="24"/>
          <w:szCs w:val="18"/>
          <w:highlight w:val="none"/>
        </w:rPr>
        <w:t>其中，招标工程：承包人报价浮动率</w:t>
      </w:r>
      <w:r>
        <w:rPr>
          <w:rFonts w:ascii="仿宋" w:hAnsi="仿宋" w:eastAsia="仿宋"/>
          <w:color w:val="auto"/>
          <w:sz w:val="24"/>
          <w:szCs w:val="18"/>
          <w:highlight w:val="none"/>
        </w:rPr>
        <w:t>L=（1—中标价格/招标控制价）×100%；</w:t>
      </w:r>
    </w:p>
    <w:p w14:paraId="71D0B59F">
      <w:pPr>
        <w:pStyle w:val="10"/>
        <w:adjustRightInd w:val="0"/>
        <w:snapToGrid w:val="0"/>
        <w:spacing w:before="283"/>
        <w:ind w:firstLine="0" w:firstLineChars="0"/>
        <w:rPr>
          <w:rFonts w:ascii="仿宋" w:hAnsi="仿宋" w:eastAsia="仿宋"/>
          <w:color w:val="auto"/>
          <w:sz w:val="24"/>
          <w:szCs w:val="18"/>
          <w:highlight w:val="none"/>
        </w:rPr>
      </w:pPr>
      <w:r>
        <w:rPr>
          <w:rFonts w:hint="eastAsia" w:ascii="仿宋" w:hAnsi="仿宋" w:eastAsia="仿宋"/>
          <w:color w:val="auto"/>
          <w:sz w:val="24"/>
          <w:szCs w:val="18"/>
          <w:highlight w:val="none"/>
        </w:rPr>
        <w:t>非招标工程：承包人报价浮动率</w:t>
      </w:r>
      <w:r>
        <w:rPr>
          <w:rFonts w:ascii="仿宋" w:hAnsi="仿宋" w:eastAsia="仿宋"/>
          <w:color w:val="auto"/>
          <w:sz w:val="24"/>
          <w:szCs w:val="18"/>
          <w:highlight w:val="none"/>
        </w:rPr>
        <w:t>L=（1—报价值/施工图预算）×100%。</w:t>
      </w:r>
    </w:p>
    <w:p w14:paraId="25FA188C">
      <w:pPr>
        <w:adjustRightInd w:val="0"/>
        <w:snapToGrid w:val="0"/>
        <w:spacing w:before="283" w:after="120"/>
        <w:ind w:firstLine="0" w:firstLineChars="0"/>
        <w:rPr>
          <w:rFonts w:ascii="仿宋" w:hAnsi="仿宋" w:eastAsia="仿宋" w:cs="仿宋"/>
          <w:color w:val="auto"/>
          <w:highlight w:val="none"/>
        </w:rPr>
      </w:pPr>
      <w:r>
        <w:rPr>
          <w:rFonts w:hint="eastAsia" w:ascii="仿宋" w:hAnsi="仿宋" w:eastAsia="仿宋"/>
          <w:color w:val="auto"/>
          <w:szCs w:val="18"/>
          <w:highlight w:val="none"/>
        </w:rPr>
        <w:t>式中：中标价格、招标控制价或报价值、施工图预算，均不含绿色施工安全防护措施费</w:t>
      </w:r>
      <w:r>
        <w:rPr>
          <w:rFonts w:hint="eastAsia" w:ascii="仿宋" w:hAnsi="仿宋" w:eastAsia="仿宋" w:cs="仿宋"/>
          <w:color w:val="auto"/>
          <w:highlight w:val="none"/>
        </w:rPr>
        <w:t>。</w:t>
      </w:r>
    </w:p>
    <w:p w14:paraId="75D13AC9">
      <w:pPr>
        <w:adjustRightInd w:val="0"/>
        <w:snapToGrid w:val="0"/>
        <w:spacing w:before="283" w:after="120"/>
        <w:ind w:firstLine="480"/>
        <w:rPr>
          <w:rFonts w:ascii="仿宋" w:hAnsi="仿宋" w:eastAsia="仿宋" w:cs="仿宋"/>
          <w:color w:val="auto"/>
          <w:highlight w:val="none"/>
        </w:rPr>
      </w:pPr>
      <w:r>
        <w:rPr>
          <w:rFonts w:hint="eastAsia" w:ascii="仿宋" w:hAnsi="仿宋" w:eastAsia="仿宋" w:cs="仿宋"/>
          <w:color w:val="auto"/>
          <w:highlight w:val="none"/>
        </w:rPr>
        <w:t>2.4</w:t>
      </w:r>
      <w:r>
        <w:rPr>
          <w:rFonts w:hint="eastAsia" w:ascii="仿宋" w:hAnsi="仿宋" w:eastAsia="仿宋"/>
          <w:color w:val="auto"/>
          <w:szCs w:val="18"/>
          <w:highlight w:val="none"/>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r>
        <w:rPr>
          <w:rFonts w:hint="eastAsia" w:ascii="仿宋" w:hAnsi="仿宋" w:eastAsia="仿宋" w:cs="仿宋"/>
          <w:color w:val="auto"/>
          <w:highlight w:val="none"/>
        </w:rPr>
        <w:t>。</w:t>
      </w:r>
    </w:p>
    <w:p w14:paraId="77CFCEB4">
      <w:pPr>
        <w:adjustRightInd w:val="0"/>
        <w:snapToGrid w:val="0"/>
        <w:spacing w:before="283" w:after="120"/>
        <w:ind w:firstLine="480"/>
        <w:rPr>
          <w:rFonts w:ascii="仿宋" w:hAnsi="仿宋" w:eastAsia="仿宋" w:cs="仿宋"/>
          <w:color w:val="auto"/>
          <w:highlight w:val="none"/>
        </w:rPr>
      </w:pPr>
      <w:r>
        <w:rPr>
          <w:rFonts w:hint="eastAsia" w:ascii="仿宋" w:hAnsi="仿宋" w:eastAsia="仿宋" w:cs="仿宋"/>
          <w:color w:val="auto"/>
          <w:highlight w:val="none"/>
        </w:rPr>
        <w:t>2.5合同换算综合单价及合同新增项目综合单价的主材价格确定方式：首先参考承包人本合同清单的价格（有多个单价的，执行最低的）；新</w:t>
      </w:r>
      <w:r>
        <w:rPr>
          <w:rFonts w:hint="eastAsia" w:ascii="仿宋" w:hAnsi="仿宋" w:eastAsia="仿宋" w:cs="宋体"/>
          <w:color w:val="auto"/>
          <w:highlight w:val="none"/>
        </w:rPr>
        <w:t>增单价的主材采用广州市信息价为计算基础，则按含主材价乘以浮动率计算；若新增单价的主材采用合同价或换算价、类似项目合同价、市场采购价、双方询价定价计算，则按不含主材价乘以浮动率计算</w:t>
      </w:r>
      <w:r>
        <w:rPr>
          <w:rFonts w:hint="eastAsia" w:ascii="仿宋" w:hAnsi="仿宋" w:eastAsia="仿宋" w:cs="仿宋"/>
          <w:color w:val="auto"/>
          <w:highlight w:val="none"/>
        </w:rPr>
        <w:t>。</w:t>
      </w:r>
    </w:p>
    <w:p w14:paraId="666D1CAD">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3.若由于发包人原因变更设备、材料的型号或规格的，不调整该清单项目的综合单价，主材价差按独立费计算，计算式为:(变更后的主材单价-原主材单价)*工程量*（1+税率），变更后的主材单价按第2.5条款确定。</w:t>
      </w:r>
    </w:p>
    <w:p w14:paraId="02F21768">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承包人必须对其所报用的设备材料作充分的市场调查，在施工过程中不得以缺货或货源不足、涨价等原因提出变更。如承包人确需变更，须经监理人和发包人许可，由承包人提供三种以上不低于原标书标准的材料供发包人选定，其价格不予调整。</w:t>
      </w:r>
    </w:p>
    <w:p w14:paraId="1C789C3E">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施工使用的设备、材料，无论其供应方式是乙供或甲定乙供，承包人应在使用前，先提供样品和相关材料，经监理人和发包人审查、许可后，承包人才能使用。若承包人采购的设备材料不符合设计、规范要求，或未能通过监理人和发包人审查、许可，监理人和发包人有权决定该项设备材料改为甲供方式。改为甲供方式的设备、材料的采购价，如大于合同价格则按采购价*1.2在合同价款中扣减；如小于等于合同价格则按合同价*1.2在合同价款中扣减；当期进度款相应调整。承包人应无条件接受上述调整，且承担由此引起发包人的其它一切经济损失，并继续承担该部分设备材料管理及工地保管的责任及相关费用。</w:t>
      </w:r>
    </w:p>
    <w:p w14:paraId="5A0EB77D">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七</w:t>
      </w:r>
      <w:r>
        <w:rPr>
          <w:rFonts w:hint="eastAsia" w:ascii="仿宋" w:hAnsi="仿宋" w:eastAsia="仿宋" w:cs="仿宋"/>
          <w:b/>
          <w:bCs/>
          <w:color w:val="auto"/>
          <w:spacing w:val="0"/>
          <w:sz w:val="24"/>
          <w:szCs w:val="24"/>
          <w:highlight w:val="none"/>
        </w:rPr>
        <w:t>条  合同价款的</w:t>
      </w:r>
      <w:bookmarkStart w:id="61" w:name="_Toc8293647"/>
      <w:r>
        <w:rPr>
          <w:rFonts w:hint="eastAsia" w:ascii="仿宋" w:hAnsi="仿宋" w:eastAsia="仿宋" w:cs="仿宋"/>
          <w:b/>
          <w:bCs/>
          <w:color w:val="auto"/>
          <w:spacing w:val="0"/>
          <w:sz w:val="24"/>
          <w:szCs w:val="24"/>
          <w:highlight w:val="none"/>
        </w:rPr>
        <w:t>支付方式</w:t>
      </w:r>
    </w:p>
    <w:p w14:paraId="01A21366">
      <w:pPr>
        <w:pageBreakBefore w:val="0"/>
        <w:kinsoku/>
        <w:overflowPunct/>
        <w:topLinePunct w:val="0"/>
        <w:bidi w:val="0"/>
        <w:snapToGrid w:val="0"/>
        <w:spacing w:before="120" w:line="360" w:lineRule="auto"/>
        <w:ind w:firstLine="482"/>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工程款支付前，承包人应提交符合发包人要求的支付申请书和增值税专用发票等请款资料，经各方核实后15个工作日内支付。</w:t>
      </w:r>
      <w:bookmarkEnd w:id="61"/>
    </w:p>
    <w:p w14:paraId="17EA42EE">
      <w:pPr>
        <w:adjustRightInd w:val="0"/>
        <w:snapToGrid w:val="0"/>
        <w:spacing w:before="156" w:after="120"/>
        <w:ind w:firstLine="480"/>
        <w:outlineLvl w:val="0"/>
        <w:rPr>
          <w:rFonts w:hint="eastAsia" w:ascii="仿宋" w:hAnsi="仿宋" w:eastAsia="仿宋" w:cs="仿宋"/>
          <w:color w:val="auto"/>
          <w:spacing w:val="0"/>
          <w:sz w:val="24"/>
          <w:szCs w:val="24"/>
          <w:highlight w:val="none"/>
        </w:rPr>
      </w:pPr>
      <w:bookmarkStart w:id="62" w:name="_Toc8293648"/>
      <w:r>
        <w:rPr>
          <w:rFonts w:hint="eastAsia" w:ascii="仿宋" w:hAnsi="仿宋" w:eastAsia="仿宋" w:cs="仿宋"/>
          <w:color w:val="auto"/>
          <w:spacing w:val="0"/>
          <w:sz w:val="24"/>
          <w:szCs w:val="24"/>
          <w:highlight w:val="none"/>
        </w:rPr>
        <w:t>（一）工程预付款：本合同签订生效后，发包人支付合同工程总价10%的预付款。</w:t>
      </w:r>
      <w:bookmarkEnd w:id="62"/>
      <w:bookmarkStart w:id="63" w:name="_Toc8293649"/>
      <w:bookmarkEnd w:id="63"/>
      <w:r>
        <w:rPr>
          <w:rFonts w:hint="eastAsia" w:ascii="仿宋" w:hAnsi="仿宋" w:eastAsia="仿宋" w:cs="仿宋"/>
          <w:color w:val="auto"/>
          <w:spacing w:val="0"/>
          <w:sz w:val="24"/>
          <w:szCs w:val="24"/>
          <w:highlight w:val="none"/>
        </w:rPr>
        <w:t>预付款从进度款中分两次扣回、每次扣回50%，直至扣完为止，且需在工程款累计支付至合同价的8</w:t>
      </w:r>
      <w:r>
        <w:rPr>
          <w:rFonts w:hint="eastAsia" w:ascii="仿宋" w:hAnsi="仿宋" w:eastAsia="仿宋" w:cs="仿宋"/>
          <w:color w:val="auto"/>
          <w:spacing w:val="0"/>
          <w:sz w:val="24"/>
          <w:szCs w:val="24"/>
          <w:highlight w:val="none"/>
          <w:lang w:val="en-US" w:eastAsia="zh-CN"/>
        </w:rPr>
        <w:t>5</w:t>
      </w:r>
      <w:r>
        <w:rPr>
          <w:rFonts w:hint="eastAsia" w:ascii="仿宋" w:hAnsi="仿宋" w:eastAsia="仿宋" w:cs="仿宋"/>
          <w:color w:val="auto"/>
          <w:spacing w:val="0"/>
          <w:sz w:val="24"/>
          <w:szCs w:val="24"/>
          <w:highlight w:val="none"/>
        </w:rPr>
        <w:t>%前全额扣完预付款。如期中应付进度款不足抵扣，则当期工程款不予支付，不足部分转至下期应付进度款继续抵扣。</w:t>
      </w:r>
    </w:p>
    <w:p w14:paraId="3B5FEE89">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64" w:name="_Toc8293650"/>
      <w:r>
        <w:rPr>
          <w:rFonts w:hint="eastAsia" w:ascii="仿宋" w:hAnsi="仿宋" w:eastAsia="仿宋" w:cs="仿宋"/>
          <w:color w:val="auto"/>
          <w:spacing w:val="0"/>
          <w:sz w:val="24"/>
          <w:szCs w:val="24"/>
          <w:highlight w:val="none"/>
        </w:rPr>
        <w:t>（二）进度款：按月根据承包人报送的形象进度表及工程款支付表、分部分项工程计价表，经监理工程师及发包人审定；按初审额的8</w:t>
      </w:r>
      <w:r>
        <w:rPr>
          <w:rFonts w:hint="eastAsia" w:ascii="仿宋" w:hAnsi="仿宋" w:eastAsia="仿宋" w:cs="仿宋"/>
          <w:color w:val="auto"/>
          <w:spacing w:val="0"/>
          <w:sz w:val="24"/>
          <w:szCs w:val="24"/>
          <w:highlight w:val="none"/>
          <w:lang w:val="en-US" w:eastAsia="zh-CN"/>
        </w:rPr>
        <w:t>5</w:t>
      </w:r>
      <w:r>
        <w:rPr>
          <w:rFonts w:hint="eastAsia" w:ascii="仿宋" w:hAnsi="仿宋" w:eastAsia="仿宋" w:cs="仿宋"/>
          <w:color w:val="auto"/>
          <w:spacing w:val="0"/>
          <w:sz w:val="24"/>
          <w:szCs w:val="24"/>
          <w:highlight w:val="none"/>
        </w:rPr>
        <w:t>%支付月进度款；待所有工程施工完毕、通过验收、完成办理相关验收手续，发包人支付至</w:t>
      </w:r>
      <w:r>
        <w:rPr>
          <w:rFonts w:hint="eastAsia" w:ascii="仿宋" w:hAnsi="仿宋" w:eastAsia="仿宋" w:cs="仿宋"/>
          <w:color w:val="auto"/>
          <w:spacing w:val="0"/>
          <w:sz w:val="24"/>
          <w:szCs w:val="24"/>
          <w:highlight w:val="none"/>
          <w:lang w:val="en-US" w:eastAsia="zh-CN"/>
        </w:rPr>
        <w:t>累计完成工程量</w:t>
      </w:r>
      <w:r>
        <w:rPr>
          <w:rFonts w:hint="eastAsia" w:ascii="仿宋" w:hAnsi="仿宋" w:eastAsia="仿宋" w:cs="仿宋"/>
          <w:color w:val="auto"/>
          <w:spacing w:val="0"/>
          <w:sz w:val="24"/>
          <w:szCs w:val="24"/>
          <w:highlight w:val="none"/>
        </w:rPr>
        <w:t>总价款的</w:t>
      </w:r>
      <w:r>
        <w:rPr>
          <w:rFonts w:hint="eastAsia" w:ascii="仿宋" w:hAnsi="仿宋" w:eastAsia="仿宋" w:cs="仿宋"/>
          <w:color w:val="auto"/>
          <w:spacing w:val="0"/>
          <w:sz w:val="24"/>
          <w:szCs w:val="24"/>
          <w:highlight w:val="none"/>
          <w:lang w:val="en-US" w:eastAsia="zh-CN"/>
        </w:rPr>
        <w:t>90</w:t>
      </w:r>
      <w:r>
        <w:rPr>
          <w:rFonts w:hint="eastAsia" w:ascii="仿宋" w:hAnsi="仿宋" w:eastAsia="仿宋" w:cs="仿宋"/>
          <w:color w:val="auto"/>
          <w:spacing w:val="0"/>
          <w:sz w:val="24"/>
          <w:szCs w:val="24"/>
          <w:highlight w:val="none"/>
        </w:rPr>
        <w:t>%。</w:t>
      </w:r>
    </w:p>
    <w:p w14:paraId="6A4EC0D4">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（三）结算款：承包人完成合同全部工程内容，通过验收并办理完竣工结算后，发包人支付至合同结算价款的</w:t>
      </w:r>
      <w:r>
        <w:rPr>
          <w:rFonts w:hint="eastAsia" w:ascii="仿宋" w:hAnsi="仿宋" w:eastAsia="仿宋" w:cs="仿宋"/>
          <w:color w:val="auto"/>
          <w:spacing w:val="0"/>
          <w:sz w:val="24"/>
          <w:szCs w:val="24"/>
          <w:highlight w:val="none"/>
          <w:u w:val="single"/>
        </w:rPr>
        <w:t>97%</w:t>
      </w:r>
      <w:r>
        <w:rPr>
          <w:rFonts w:hint="eastAsia" w:ascii="仿宋" w:hAnsi="仿宋" w:eastAsia="仿宋" w:cs="仿宋"/>
          <w:color w:val="auto"/>
          <w:spacing w:val="0"/>
          <w:sz w:val="24"/>
          <w:szCs w:val="24"/>
          <w:highlight w:val="none"/>
        </w:rPr>
        <w:t>。施工期间承包人应向发包人支付的各类罚款、违约金、赔偿等款项如未结清，在结算款支付时由发包人在结算款中一次性扣除。 若结算款不足抵扣承包人应付罚款、违约金、赔偿款等款项的，发包人有权另行向承包人收取。</w:t>
      </w:r>
    </w:p>
    <w:p w14:paraId="6DC027FA">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b/>
          <w:bCs/>
          <w:color w:val="auto"/>
          <w:highlight w:val="none"/>
        </w:rPr>
      </w:pPr>
      <w:r>
        <w:rPr>
          <w:rFonts w:hint="eastAsia" w:ascii="仿宋" w:hAnsi="仿宋" w:eastAsia="仿宋" w:cs="仿宋"/>
          <w:color w:val="auto"/>
          <w:spacing w:val="0"/>
          <w:sz w:val="24"/>
          <w:szCs w:val="24"/>
          <w:highlight w:val="none"/>
        </w:rPr>
        <w:t>（四）质保金：合同结算价款的3%做为质保金。待本项目地下室施工完成及地下室外墙区域回填后再由发包人无息支付。如质保期内发生应由承包人承担的各类罚款、违约令赔偿等款项，发包人应在质保金内扣除。若质保金不足抵扣承包人应付罚款、违约金、赔偿款等款项的，发包人有权另行向承</w:t>
      </w:r>
      <w:r>
        <w:rPr>
          <w:rFonts w:hint="eastAsia" w:ascii="仿宋" w:hAnsi="仿宋" w:eastAsia="仿宋" w:cs="仿宋"/>
          <w:color w:val="auto"/>
          <w:spacing w:val="0"/>
          <w:sz w:val="24"/>
          <w:szCs w:val="24"/>
          <w:highlight w:val="none"/>
          <w:lang w:val="en-US" w:eastAsia="zh-CN"/>
        </w:rPr>
        <w:t>包</w:t>
      </w:r>
      <w:r>
        <w:rPr>
          <w:rFonts w:hint="eastAsia" w:ascii="仿宋" w:hAnsi="仿宋" w:eastAsia="仿宋" w:cs="仿宋"/>
          <w:color w:val="auto"/>
          <w:spacing w:val="0"/>
          <w:sz w:val="24"/>
          <w:szCs w:val="24"/>
          <w:highlight w:val="none"/>
        </w:rPr>
        <w:t>人追偿。</w:t>
      </w:r>
    </w:p>
    <w:p w14:paraId="78B04398">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五）所有工程进度款付款须经发包人现场代表审核签字，在发包人向承包人支付合同价款前，承包人必须向发包人提供由承包人按核定付款金额开具的、与合同内容一致并符合税务机关规定的合法、有效增值税专用发票，由于承包人提供的发票不规范、不合法引起税务问题的，承包人应承担赔偿责任，包括但不限于税款、附加费、滞纳金、罚款及相关损失。承包人不能及时提供符合发包人要求的合法发票，发包人有权顺延付款期限直至承包人提供相应发票，且发包人无需承担任何责任。如给发包人造成严重损失，致使合同无法继续履行等情况，发包人有权解除本合同并要求承包人赔偿相应损失。</w:t>
      </w:r>
      <w:bookmarkEnd w:id="64"/>
    </w:p>
    <w:p w14:paraId="1D1E1402">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65" w:name="_Toc8293651"/>
      <w:r>
        <w:rPr>
          <w:rFonts w:hint="eastAsia" w:ascii="仿宋" w:hAnsi="仿宋" w:eastAsia="仿宋" w:cs="仿宋"/>
          <w:color w:val="auto"/>
          <w:spacing w:val="0"/>
          <w:sz w:val="24"/>
          <w:szCs w:val="24"/>
          <w:highlight w:val="none"/>
        </w:rPr>
        <w:t>（六） 承包人所提供发票的内容必须真实、准确、完整、合法合规，增值税发票的“货物或应税劳务、服务名称”为：</w:t>
      </w:r>
      <w:r>
        <w:rPr>
          <w:rFonts w:hint="eastAsia" w:ascii="仿宋" w:hAnsi="仿宋" w:eastAsia="仿宋" w:cs="仿宋"/>
          <w:color w:val="auto"/>
          <w:spacing w:val="0"/>
          <w:sz w:val="24"/>
          <w:szCs w:val="24"/>
          <w:highlight w:val="none"/>
          <w:u w:val="single"/>
        </w:rPr>
        <w:t xml:space="preserve"> * 建筑服务* 工程款 </w:t>
      </w:r>
      <w:r>
        <w:rPr>
          <w:rFonts w:hint="eastAsia" w:ascii="仿宋" w:hAnsi="仿宋" w:eastAsia="仿宋" w:cs="仿宋"/>
          <w:color w:val="auto"/>
          <w:spacing w:val="0"/>
          <w:sz w:val="24"/>
          <w:szCs w:val="24"/>
          <w:highlight w:val="none"/>
        </w:rPr>
        <w:t>费，且发票上必须注明发包人指定的工程名称及工程所在地具体地址。</w:t>
      </w:r>
      <w:bookmarkEnd w:id="65"/>
    </w:p>
    <w:p w14:paraId="25F258E2">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66" w:name="_Toc8293652"/>
      <w:r>
        <w:rPr>
          <w:rFonts w:hint="eastAsia" w:ascii="仿宋" w:hAnsi="仿宋" w:eastAsia="仿宋" w:cs="仿宋"/>
          <w:color w:val="auto"/>
          <w:spacing w:val="0"/>
          <w:sz w:val="24"/>
          <w:szCs w:val="24"/>
          <w:highlight w:val="none"/>
        </w:rPr>
        <w:t>承包人必须向发包人提供</w:t>
      </w:r>
      <w:r>
        <w:rPr>
          <w:rFonts w:hint="eastAsia" w:ascii="仿宋" w:hAnsi="仿宋" w:eastAsia="仿宋" w:cs="仿宋"/>
          <w:color w:val="auto"/>
          <w:spacing w:val="0"/>
          <w:sz w:val="24"/>
          <w:szCs w:val="24"/>
          <w:highlight w:val="none"/>
          <w:u w:val="single"/>
        </w:rPr>
        <w:t xml:space="preserve"> a、</w:t>
      </w:r>
      <w:bookmarkEnd w:id="66"/>
    </w:p>
    <w:p w14:paraId="5D48ACDE">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67" w:name="_Toc8293653"/>
      <w:r>
        <w:rPr>
          <w:rFonts w:hint="eastAsia" w:ascii="仿宋" w:hAnsi="仿宋" w:eastAsia="仿宋" w:cs="仿宋"/>
          <w:color w:val="auto"/>
          <w:spacing w:val="0"/>
          <w:sz w:val="24"/>
          <w:szCs w:val="24"/>
          <w:highlight w:val="none"/>
        </w:rPr>
        <w:t>a、增值税专用发票。（适用一般计税方法）</w:t>
      </w:r>
      <w:bookmarkEnd w:id="67"/>
    </w:p>
    <w:p w14:paraId="481CA786">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68" w:name="_Toc8293654"/>
      <w:r>
        <w:rPr>
          <w:rFonts w:hint="eastAsia" w:ascii="仿宋" w:hAnsi="仿宋" w:eastAsia="仿宋" w:cs="仿宋"/>
          <w:color w:val="auto"/>
          <w:spacing w:val="0"/>
          <w:sz w:val="24"/>
          <w:szCs w:val="24"/>
          <w:highlight w:val="none"/>
        </w:rPr>
        <w:t>b、增值税普通发票。（适用简易计税方法）</w:t>
      </w:r>
      <w:bookmarkEnd w:id="68"/>
    </w:p>
    <w:p w14:paraId="0E53A895">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69" w:name="_Toc8293655"/>
      <w:r>
        <w:rPr>
          <w:rFonts w:hint="eastAsia" w:ascii="仿宋" w:hAnsi="仿宋" w:eastAsia="仿宋" w:cs="仿宋"/>
          <w:color w:val="auto"/>
          <w:spacing w:val="0"/>
          <w:sz w:val="24"/>
          <w:szCs w:val="24"/>
          <w:highlight w:val="none"/>
        </w:rPr>
        <w:t>（七） 本合同若选择采用增值税专用发票，则适用以下关于增值税专用发票的规定：承包人应就约定的合同价款和价外费用之金额按适用税率向发包人开具合法有效的增值税专用发票。上述增值税专用发票必须符合中国《增值税专用发票使用规定》等相关法律法规的相关要求。</w:t>
      </w:r>
      <w:bookmarkEnd w:id="69"/>
    </w:p>
    <w:p w14:paraId="3A771AFF">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70" w:name="_Toc8293656"/>
      <w:r>
        <w:rPr>
          <w:rFonts w:hint="eastAsia" w:ascii="仿宋" w:hAnsi="仿宋" w:eastAsia="仿宋" w:cs="仿宋"/>
          <w:color w:val="auto"/>
          <w:spacing w:val="0"/>
          <w:sz w:val="24"/>
          <w:szCs w:val="24"/>
          <w:highlight w:val="none"/>
        </w:rPr>
        <w:t>（八） 承包人应在发票记载的开具时间之日起15个工作日内（不得跨公历年）送达发包人。若承包人开具的增值税发票信息不</w:t>
      </w:r>
      <w:r>
        <w:rPr>
          <w:rFonts w:hint="eastAsia" w:ascii="仿宋" w:hAnsi="仿宋" w:eastAsia="仿宋" w:cs="仿宋"/>
          <w:color w:val="auto"/>
          <w:spacing w:val="0"/>
          <w:sz w:val="24"/>
          <w:szCs w:val="24"/>
          <w:highlight w:val="none"/>
          <w:lang w:eastAsia="zh-Hans"/>
        </w:rPr>
        <w:t>符合发包人要求</w:t>
      </w:r>
      <w:r>
        <w:rPr>
          <w:rFonts w:hint="eastAsia" w:ascii="仿宋" w:hAnsi="仿宋" w:eastAsia="仿宋" w:cs="仿宋"/>
          <w:color w:val="auto"/>
          <w:spacing w:val="0"/>
          <w:sz w:val="24"/>
          <w:szCs w:val="24"/>
          <w:highlight w:val="none"/>
        </w:rPr>
        <w:t>，应在接到发包人要求后的15日内重新开具正确的增值税发票并送达至发包人，承包人自行承担相关费用。发票应由承发包双方当面签收，如因承包人采用其他传递方式（包括但不限于邮递）提交发票导致遗失的，发包人不承担任何责任。发票无论何种原因丢失，承包人应配合发包人按照国家法律、法规、规章、政策等规定重新取得发包人可用作原始会计凭证并受税务机关认可的合法合规的相关凭证。</w:t>
      </w:r>
      <w:bookmarkEnd w:id="70"/>
    </w:p>
    <w:p w14:paraId="06536B54">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71" w:name="_Toc8293657"/>
      <w:r>
        <w:rPr>
          <w:rFonts w:hint="eastAsia" w:ascii="仿宋" w:hAnsi="仿宋" w:eastAsia="仿宋" w:cs="仿宋"/>
          <w:color w:val="auto"/>
          <w:spacing w:val="0"/>
          <w:sz w:val="24"/>
          <w:szCs w:val="24"/>
          <w:highlight w:val="none"/>
        </w:rPr>
        <w:t>（九） 本合同的罚款、违约金、赔偿均已包含增值税费及其附加，如为承包人收取，则承包人必须提前向发包人开具增值税发票，增值税发票类型要求同前述。承包人向发包人支付的罚款、违约金、赔偿款等并非本合同约定工程价款，因此本合同工程总价款不变，承包人向发包人开具的发票金额不受该罚款违约赔偿等的影响。</w:t>
      </w:r>
      <w:bookmarkEnd w:id="71"/>
    </w:p>
    <w:p w14:paraId="49491BF4">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72" w:name="_Toc8293658"/>
      <w:r>
        <w:rPr>
          <w:rFonts w:hint="eastAsia" w:ascii="仿宋" w:hAnsi="仿宋" w:eastAsia="仿宋" w:cs="仿宋"/>
          <w:color w:val="auto"/>
          <w:spacing w:val="0"/>
          <w:sz w:val="24"/>
          <w:szCs w:val="24"/>
          <w:highlight w:val="none"/>
        </w:rPr>
        <w:t>（十） 承包人应就约定的合同工程价款和收取的价外费用（包括但不限于奖励款、违约金、赔偿金、代垫费用等）之金额按适用税率向发包人开具合法有效的增值税发票。</w:t>
      </w:r>
      <w:bookmarkEnd w:id="72"/>
    </w:p>
    <w:p w14:paraId="14C24073">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73" w:name="_Toc8293659"/>
      <w:r>
        <w:rPr>
          <w:rFonts w:hint="eastAsia" w:ascii="仿宋" w:hAnsi="仿宋" w:eastAsia="仿宋" w:cs="仿宋"/>
          <w:color w:val="auto"/>
          <w:spacing w:val="0"/>
          <w:sz w:val="24"/>
          <w:szCs w:val="24"/>
          <w:highlight w:val="none"/>
        </w:rPr>
        <w:t>（十一） 如涉及退款事宜，双方均有义务配合做好已完税合同的相关发票处理事宜。（如：退回发包人已开具的发票给发包人做作废处理，或者配合发包人开具增值税红字发票。）</w:t>
      </w:r>
      <w:bookmarkEnd w:id="73"/>
    </w:p>
    <w:p w14:paraId="7B2F4953">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74" w:name="_Toc8293660"/>
      <w:r>
        <w:rPr>
          <w:rFonts w:hint="eastAsia" w:ascii="仿宋" w:hAnsi="仿宋" w:eastAsia="仿宋" w:cs="仿宋"/>
          <w:color w:val="auto"/>
          <w:spacing w:val="0"/>
          <w:sz w:val="24"/>
          <w:szCs w:val="24"/>
          <w:highlight w:val="none"/>
        </w:rPr>
        <w:t>（十二）发、承包双方开票信息如下：</w:t>
      </w:r>
      <w:bookmarkEnd w:id="74"/>
    </w:p>
    <w:p w14:paraId="601CF547">
      <w:pPr>
        <w:pageBreakBefore w:val="0"/>
        <w:kinsoku/>
        <w:overflowPunct/>
        <w:topLinePunct w:val="0"/>
        <w:bidi w:val="0"/>
        <w:snapToGrid w:val="0"/>
        <w:spacing w:before="120" w:line="360" w:lineRule="auto"/>
        <w:ind w:firstLine="482"/>
        <w:rPr>
          <w:rFonts w:hint="eastAsia" w:ascii="仿宋" w:hAnsi="仿宋" w:eastAsia="仿宋" w:cs="仿宋"/>
          <w:color w:val="auto"/>
          <w:spacing w:val="0"/>
          <w:kern w:val="0"/>
          <w:sz w:val="24"/>
          <w:szCs w:val="24"/>
          <w:highlight w:val="none"/>
        </w:rPr>
      </w:pPr>
      <w:bookmarkStart w:id="75" w:name="_Toc8293668"/>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kern w:val="0"/>
          <w:sz w:val="24"/>
          <w:szCs w:val="24"/>
          <w:highlight w:val="none"/>
        </w:rPr>
        <w:t>发包人的开票信息</w:t>
      </w:r>
    </w:p>
    <w:bookmarkEnd w:id="75"/>
    <w:p w14:paraId="20C0580F">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default" w:ascii="仿宋" w:hAnsi="仿宋" w:eastAsia="仿宋" w:cs="仿宋"/>
          <w:color w:val="auto"/>
          <w:spacing w:val="0"/>
          <w:sz w:val="24"/>
          <w:szCs w:val="24"/>
          <w:highlight w:val="none"/>
          <w:u w:val="single"/>
          <w:lang w:val="en-US" w:eastAsia="zh-CN"/>
        </w:rPr>
      </w:pPr>
      <w:r>
        <w:rPr>
          <w:rFonts w:hint="eastAsia" w:ascii="仿宋" w:hAnsi="仿宋" w:eastAsia="仿宋" w:cs="仿宋"/>
          <w:color w:val="auto"/>
          <w:spacing w:val="0"/>
          <w:sz w:val="24"/>
          <w:szCs w:val="24"/>
          <w:highlight w:val="none"/>
        </w:rPr>
        <w:t>1）公司名称（一般纳税人）：</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广州锦泷房地产开发有限公司</w:t>
      </w:r>
      <w:r>
        <w:rPr>
          <w:rFonts w:hint="eastAsia" w:ascii="仿宋" w:hAnsi="仿宋" w:eastAsia="仿宋" w:cs="仿宋"/>
          <w:color w:val="auto"/>
          <w:spacing w:val="0"/>
          <w:sz w:val="24"/>
          <w:szCs w:val="24"/>
          <w:highlight w:val="none"/>
          <w:u w:val="single"/>
          <w:lang w:val="en-US" w:eastAsia="zh-CN"/>
        </w:rPr>
        <w:t xml:space="preserve">  </w:t>
      </w:r>
    </w:p>
    <w:p w14:paraId="12DF6F55">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2）纳税人编码：</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91440106MAE8MR4686</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lang w:val="en-US" w:eastAsia="zh-CN"/>
        </w:rPr>
        <w:t xml:space="preserve"> </w:t>
      </w:r>
    </w:p>
    <w:p w14:paraId="74BB0033">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3）开户银行账号：</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944015013000294087</w:t>
      </w:r>
      <w:r>
        <w:rPr>
          <w:rFonts w:hint="eastAsia" w:ascii="仿宋" w:hAnsi="仿宋" w:eastAsia="仿宋" w:cs="仿宋"/>
          <w:color w:val="auto"/>
          <w:spacing w:val="0"/>
          <w:sz w:val="24"/>
          <w:szCs w:val="24"/>
          <w:highlight w:val="none"/>
          <w:u w:val="single"/>
          <w:lang w:val="en-US" w:eastAsia="zh-CN"/>
        </w:rPr>
        <w:t xml:space="preserve">    </w:t>
      </w:r>
    </w:p>
    <w:p w14:paraId="787FC473">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4）开户银行名称：</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中国邮政储蓄银行股份有限公司广州市海珠支行</w:t>
      </w:r>
      <w:r>
        <w:rPr>
          <w:rFonts w:hint="eastAsia" w:ascii="仿宋" w:hAnsi="仿宋" w:eastAsia="仿宋" w:cs="仿宋"/>
          <w:color w:val="auto"/>
          <w:spacing w:val="0"/>
          <w:sz w:val="24"/>
          <w:szCs w:val="24"/>
          <w:highlight w:val="none"/>
          <w:u w:val="single"/>
          <w:lang w:val="en-US" w:eastAsia="zh-CN"/>
        </w:rPr>
        <w:t xml:space="preserve">                      </w:t>
      </w:r>
    </w:p>
    <w:p w14:paraId="482B0C89">
      <w:pPr>
        <w:keepNext w:val="0"/>
        <w:keepLines w:val="0"/>
        <w:pageBreakBefore w:val="0"/>
        <w:widowControl w:val="0"/>
        <w:numPr>
          <w:ilvl w:val="255"/>
          <w:numId w:val="0"/>
        </w:numPr>
        <w:tabs>
          <w:tab w:val="left" w:pos="432"/>
          <w:tab w:val="left" w:pos="576"/>
        </w:tabs>
        <w:kinsoku/>
        <w:wordWrap/>
        <w:overflowPunct/>
        <w:topLinePunct w:val="0"/>
        <w:autoSpaceDE/>
        <w:autoSpaceDN/>
        <w:bidi w:val="0"/>
        <w:adjustRightInd/>
        <w:snapToGrid w:val="0"/>
        <w:spacing w:after="0" w:line="360" w:lineRule="auto"/>
        <w:ind w:firstLine="720" w:firstLineChars="3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5）地址：</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广州市天河区车陂路586号B102房</w:t>
      </w:r>
      <w:r>
        <w:rPr>
          <w:rFonts w:hint="eastAsia" w:ascii="仿宋" w:hAnsi="仿宋" w:eastAsia="仿宋" w:cs="仿宋"/>
          <w:color w:val="auto"/>
          <w:spacing w:val="0"/>
          <w:sz w:val="24"/>
          <w:szCs w:val="24"/>
          <w:highlight w:val="none"/>
          <w:u w:val="single"/>
          <w:lang w:val="en-US" w:eastAsia="zh-CN"/>
        </w:rPr>
        <w:t xml:space="preserve">                </w:t>
      </w:r>
    </w:p>
    <w:p w14:paraId="3664DF06">
      <w:pPr>
        <w:keepNext w:val="0"/>
        <w:keepLines w:val="0"/>
        <w:pageBreakBefore w:val="0"/>
        <w:widowControl w:val="0"/>
        <w:numPr>
          <w:ilvl w:val="255"/>
          <w:numId w:val="0"/>
        </w:numPr>
        <w:tabs>
          <w:tab w:val="left" w:pos="432"/>
          <w:tab w:val="left" w:pos="576"/>
        </w:tabs>
        <w:kinsoku/>
        <w:wordWrap/>
        <w:overflowPunct/>
        <w:topLinePunct w:val="0"/>
        <w:autoSpaceDE/>
        <w:autoSpaceDN/>
        <w:bidi w:val="0"/>
        <w:snapToGrid w:val="0"/>
        <w:spacing w:after="0" w:line="360" w:lineRule="auto"/>
        <w:ind w:firstLine="720" w:firstLineChars="3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6）电话：</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83789976</w:t>
      </w:r>
      <w:r>
        <w:rPr>
          <w:rFonts w:hint="eastAsia" w:ascii="仿宋" w:hAnsi="仿宋" w:eastAsia="仿宋" w:cs="仿宋"/>
          <w:color w:val="auto"/>
          <w:spacing w:val="0"/>
          <w:sz w:val="24"/>
          <w:szCs w:val="24"/>
          <w:highlight w:val="none"/>
          <w:u w:val="single"/>
          <w:lang w:val="en-US" w:eastAsia="zh-CN"/>
        </w:rPr>
        <w:t xml:space="preserve">       </w:t>
      </w:r>
    </w:p>
    <w:p w14:paraId="27FFB3CB">
      <w:pPr>
        <w:pageBreakBefore w:val="0"/>
        <w:kinsoku/>
        <w:overflowPunct/>
        <w:topLinePunct w:val="0"/>
        <w:bidi w:val="0"/>
        <w:snapToGrid w:val="0"/>
        <w:spacing w:before="120" w:line="360" w:lineRule="auto"/>
        <w:ind w:firstLine="482"/>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sz w:val="24"/>
          <w:szCs w:val="24"/>
          <w:highlight w:val="none"/>
        </w:rPr>
        <w:t>（2）</w:t>
      </w:r>
      <w:r>
        <w:rPr>
          <w:rFonts w:hint="eastAsia" w:ascii="仿宋" w:hAnsi="仿宋" w:eastAsia="仿宋" w:cs="仿宋"/>
          <w:color w:val="auto"/>
          <w:spacing w:val="0"/>
          <w:kern w:val="0"/>
          <w:sz w:val="24"/>
          <w:szCs w:val="24"/>
          <w:highlight w:val="none"/>
        </w:rPr>
        <w:t>承包人的开票信息</w:t>
      </w:r>
    </w:p>
    <w:p w14:paraId="17A13642">
      <w:pPr>
        <w:pageBreakBefore w:val="0"/>
        <w:widowControl/>
        <w:kinsoku/>
        <w:overflowPunct/>
        <w:topLinePunct w:val="0"/>
        <w:bidi w:val="0"/>
        <w:snapToGrid w:val="0"/>
        <w:spacing w:line="360" w:lineRule="auto"/>
        <w:ind w:firstLine="482"/>
        <w:jc w:val="left"/>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公司名称（一般纳税人）：</w:t>
      </w:r>
    </w:p>
    <w:p w14:paraId="1EAB4EB5">
      <w:pPr>
        <w:pageBreakBefore w:val="0"/>
        <w:widowControl/>
        <w:kinsoku/>
        <w:overflowPunct/>
        <w:topLinePunct w:val="0"/>
        <w:bidi w:val="0"/>
        <w:snapToGrid w:val="0"/>
        <w:spacing w:line="360" w:lineRule="auto"/>
        <w:jc w:val="left"/>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纳税人编码：</w:t>
      </w:r>
    </w:p>
    <w:p w14:paraId="2CF7293B">
      <w:pPr>
        <w:pageBreakBefore w:val="0"/>
        <w:widowControl/>
        <w:kinsoku/>
        <w:overflowPunct/>
        <w:topLinePunct w:val="0"/>
        <w:bidi w:val="0"/>
        <w:snapToGrid w:val="0"/>
        <w:spacing w:line="360" w:lineRule="auto"/>
        <w:ind w:firstLine="482"/>
        <w:jc w:val="left"/>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开户银行帐号：</w:t>
      </w:r>
    </w:p>
    <w:p w14:paraId="20F58E1C">
      <w:pPr>
        <w:pageBreakBefore w:val="0"/>
        <w:widowControl/>
        <w:kinsoku/>
        <w:overflowPunct/>
        <w:topLinePunct w:val="0"/>
        <w:bidi w:val="0"/>
        <w:snapToGrid w:val="0"/>
        <w:spacing w:line="360" w:lineRule="auto"/>
        <w:ind w:firstLine="482"/>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开户银行名称：</w:t>
      </w:r>
    </w:p>
    <w:p w14:paraId="4B6699BA">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注册地址：</w:t>
      </w:r>
    </w:p>
    <w:p w14:paraId="0ED821C1">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八</w:t>
      </w:r>
      <w:r>
        <w:rPr>
          <w:rFonts w:hint="eastAsia" w:ascii="仿宋" w:hAnsi="仿宋" w:eastAsia="仿宋" w:cs="仿宋"/>
          <w:b/>
          <w:bCs/>
          <w:color w:val="auto"/>
          <w:spacing w:val="0"/>
          <w:sz w:val="24"/>
          <w:szCs w:val="24"/>
          <w:highlight w:val="none"/>
        </w:rPr>
        <w:t>条 合同变更</w:t>
      </w:r>
    </w:p>
    <w:p w14:paraId="1493B4DE">
      <w:pPr>
        <w:pageBreakBefore w:val="0"/>
        <w:kinsoku/>
        <w:overflowPunct/>
        <w:topLinePunct w:val="0"/>
        <w:bidi w:val="0"/>
        <w:adjustRightInd w:val="0"/>
        <w:snapToGrid w:val="0"/>
        <w:spacing w:before="120" w:after="120" w:line="360" w:lineRule="auto"/>
        <w:ind w:firstLine="600" w:firstLineChars="25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同变更发起申请时，承包人应配合发包人提出预估费用。所有合同变更的计价、计量调整审批过程，均不得影响合同变更的执行，承包人不得以此为理由公开或变相拖延或延误工程，否则承包人将承担由此造成的发包人经济损失及工期延误的责任。</w:t>
      </w:r>
    </w:p>
    <w:p w14:paraId="018E74A1">
      <w:pPr>
        <w:pageBreakBefore w:val="0"/>
        <w:kinsoku/>
        <w:overflowPunct/>
        <w:topLinePunct w:val="0"/>
        <w:bidi w:val="0"/>
        <w:adjustRightInd w:val="0"/>
        <w:snapToGrid w:val="0"/>
        <w:spacing w:before="120" w:after="120" w:line="360" w:lineRule="auto"/>
        <w:ind w:firstLine="600" w:firstLineChars="25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合同变更完工验收后，承包人应在5个工作日内提交合同变更完工费用报告，经监理人和发包人确认后调整合同价款。承包人逾期不报视为该项变更不涉及本合同工程价款的调整。</w:t>
      </w:r>
    </w:p>
    <w:p w14:paraId="511CFF02">
      <w:pPr>
        <w:pageBreakBefore w:val="0"/>
        <w:kinsoku/>
        <w:overflowPunct/>
        <w:topLinePunct w:val="0"/>
        <w:bidi w:val="0"/>
        <w:adjustRightInd w:val="0"/>
        <w:snapToGrid w:val="0"/>
        <w:spacing w:before="120" w:after="120" w:line="360" w:lineRule="auto"/>
        <w:ind w:firstLine="600" w:firstLineChars="25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属于承包人合同范围内的工程或变更新增工程，承包人应及时按变更进行施工，不得以任何理由拒绝。如承包人不按发包人要求施工的，发包人可委托第三方单位施工，由此引起的施工费用以及发包人额外管理费（给第三方单位的施工费用*20%）由承包人承担，发包人有权在承包人的合同结算价款中扣除。</w:t>
      </w:r>
    </w:p>
    <w:p w14:paraId="1F844FD8">
      <w:pPr>
        <w:pageBreakBefore w:val="0"/>
        <w:kinsoku/>
        <w:overflowPunct/>
        <w:topLinePunct w:val="0"/>
        <w:bidi w:val="0"/>
        <w:adjustRightInd w:val="0"/>
        <w:snapToGrid w:val="0"/>
        <w:spacing w:before="120" w:after="120" w:line="360" w:lineRule="auto"/>
        <w:ind w:firstLine="600" w:firstLineChars="250"/>
        <w:outlineLvl w:val="9"/>
        <w:rPr>
          <w:rFonts w:hint="eastAsia" w:ascii="仿宋" w:hAnsi="仿宋" w:eastAsia="仿宋" w:cs="仿宋"/>
          <w:b/>
          <w:bCs/>
          <w:color w:val="auto"/>
          <w:spacing w:val="0"/>
          <w:sz w:val="24"/>
          <w:szCs w:val="24"/>
          <w:highlight w:val="none"/>
        </w:rPr>
      </w:pPr>
    </w:p>
    <w:p w14:paraId="606FC43F">
      <w:pPr>
        <w:pageBreakBefore w:val="0"/>
        <w:kinsoku/>
        <w:overflowPunct/>
        <w:topLinePunct w:val="0"/>
        <w:bidi w:val="0"/>
        <w:adjustRightInd w:val="0"/>
        <w:snapToGrid w:val="0"/>
        <w:spacing w:before="120" w:after="120" w:line="360" w:lineRule="auto"/>
        <w:ind w:firstLine="600" w:firstLineChars="25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九</w:t>
      </w:r>
      <w:r>
        <w:rPr>
          <w:rFonts w:hint="eastAsia" w:ascii="仿宋" w:hAnsi="仿宋" w:eastAsia="仿宋" w:cs="仿宋"/>
          <w:b/>
          <w:bCs/>
          <w:color w:val="auto"/>
          <w:spacing w:val="0"/>
          <w:sz w:val="24"/>
          <w:szCs w:val="24"/>
          <w:highlight w:val="none"/>
        </w:rPr>
        <w:t>条 递交结算文件及其限制</w:t>
      </w:r>
    </w:p>
    <w:p w14:paraId="3AC885FF">
      <w:pPr>
        <w:pageBreakBefore w:val="0"/>
        <w:kinsoku/>
        <w:overflowPunct/>
        <w:topLinePunct w:val="0"/>
        <w:bidi w:val="0"/>
        <w:adjustRightInd w:val="0"/>
        <w:snapToGrid w:val="0"/>
        <w:spacing w:before="120" w:after="120" w:line="360" w:lineRule="auto"/>
        <w:ind w:firstLine="600" w:firstLineChars="25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承包人应在验收合格后</w:t>
      </w:r>
      <w:r>
        <w:rPr>
          <w:rFonts w:hint="eastAsia" w:ascii="仿宋" w:hAnsi="仿宋" w:eastAsia="仿宋" w:cs="仿宋"/>
          <w:color w:val="auto"/>
          <w:spacing w:val="0"/>
          <w:sz w:val="24"/>
          <w:szCs w:val="24"/>
          <w:highlight w:val="none"/>
          <w:lang w:val="en-US" w:eastAsia="zh-CN"/>
        </w:rPr>
        <w:t>90</w:t>
      </w:r>
      <w:r>
        <w:rPr>
          <w:rFonts w:hint="eastAsia" w:ascii="仿宋" w:hAnsi="仿宋" w:eastAsia="仿宋" w:cs="仿宋"/>
          <w:color w:val="auto"/>
          <w:spacing w:val="0"/>
          <w:sz w:val="24"/>
          <w:szCs w:val="24"/>
          <w:highlight w:val="none"/>
        </w:rPr>
        <w:t>个工作日内向发包人递交完整的竣工结算文件。如承包人未在规定的时间内递交竣工结算文件，经发包人催促后仍未递交或没有明确答复的，发包人可根据自己掌握的资料编制竣工结算文件，并作为办理竣工结算的依据，且视为承包人确认发包人编制的结算文件及依据，同时承包人还需承担因不配合结算工作而产生的一切后果及责任，并赔偿发包人因此产生的经济损失。</w:t>
      </w:r>
    </w:p>
    <w:p w14:paraId="39C94AB3">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第十条 关于承包人高估冒算的约定</w:t>
      </w:r>
    </w:p>
    <w:p w14:paraId="7A437E4E">
      <w:pPr>
        <w:pageBreakBefore w:val="0"/>
        <w:kinsoku/>
        <w:overflowPunct/>
        <w:topLinePunct w:val="0"/>
        <w:bidi w:val="0"/>
        <w:snapToGrid w:val="0"/>
        <w:spacing w:before="120" w:line="360" w:lineRule="auto"/>
        <w:ind w:firstLine="480"/>
        <w:contextualSpacing/>
        <w:rPr>
          <w:rFonts w:hint="eastAsia" w:ascii="仿宋" w:hAnsi="仿宋" w:eastAsia="仿宋" w:cs="仿宋"/>
          <w:color w:val="auto"/>
          <w:spacing w:val="0"/>
          <w:sz w:val="24"/>
          <w:szCs w:val="24"/>
          <w:highlight w:val="none"/>
        </w:rPr>
      </w:pPr>
      <w:r>
        <w:rPr>
          <w:rFonts w:hint="eastAsia" w:ascii="仿宋" w:hAnsi="仿宋" w:eastAsia="仿宋" w:cs="仿宋"/>
          <w:snapToGrid w:val="0"/>
          <w:color w:val="auto"/>
          <w:spacing w:val="0"/>
          <w:sz w:val="24"/>
          <w:szCs w:val="24"/>
          <w:highlight w:val="none"/>
        </w:rPr>
        <w:t xml:space="preserve">（一） </w:t>
      </w:r>
      <w:r>
        <w:rPr>
          <w:rFonts w:hint="eastAsia" w:ascii="仿宋" w:hAnsi="仿宋" w:eastAsia="仿宋" w:cs="仿宋"/>
          <w:color w:val="auto"/>
          <w:spacing w:val="0"/>
          <w:sz w:val="24"/>
          <w:szCs w:val="24"/>
          <w:highlight w:val="none"/>
        </w:rPr>
        <w:t>承包人编制造价文件（即涉及确定费用的文件，含变更签证费用、工程结算书等）应实事求是，不得高估冒算，否则承包人应承担相应的违约费用。超出合同约定的核减率，每次审核按以下方法计算承包人相应违约费用（以发包方审核结果为准）：</w:t>
      </w:r>
    </w:p>
    <w:p w14:paraId="0A5168E8">
      <w:pPr>
        <w:pageBreakBefore w:val="0"/>
        <w:kinsoku/>
        <w:overflowPunct/>
        <w:topLinePunct w:val="0"/>
        <w:bidi w:val="0"/>
        <w:snapToGrid w:val="0"/>
        <w:spacing w:before="120" w:line="360" w:lineRule="auto"/>
        <w:ind w:firstLine="480"/>
        <w:contextualSpacing/>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rPr>
        <w:t>核减额=</w:t>
      </w:r>
      <w:r>
        <w:rPr>
          <w:rFonts w:hint="eastAsia" w:ascii="仿宋" w:hAnsi="仿宋" w:eastAsia="仿宋" w:cs="仿宋"/>
          <w:color w:val="auto"/>
          <w:spacing w:val="0"/>
          <w:sz w:val="24"/>
          <w:szCs w:val="24"/>
          <w:highlight w:val="none"/>
        </w:rPr>
        <w:t>承包人编报金额-发包人最终审核金额</w:t>
      </w:r>
    </w:p>
    <w:p w14:paraId="7032356A">
      <w:pPr>
        <w:pageBreakBefore w:val="0"/>
        <w:kinsoku/>
        <w:overflowPunct/>
        <w:topLinePunct w:val="0"/>
        <w:bidi w:val="0"/>
        <w:snapToGrid w:val="0"/>
        <w:spacing w:before="120" w:line="360" w:lineRule="auto"/>
        <w:ind w:firstLine="480"/>
        <w:contextualSpacing/>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rPr>
        <w:t>核减率=</w:t>
      </w:r>
      <w:r>
        <w:rPr>
          <w:rFonts w:hint="eastAsia" w:ascii="仿宋" w:hAnsi="仿宋" w:eastAsia="仿宋" w:cs="仿宋"/>
          <w:color w:val="auto"/>
          <w:spacing w:val="0"/>
          <w:sz w:val="24"/>
          <w:szCs w:val="24"/>
          <w:highlight w:val="none"/>
        </w:rPr>
        <w:t>核减额</w:t>
      </w:r>
      <w:r>
        <w:rPr>
          <w:rFonts w:hint="eastAsia" w:ascii="仿宋" w:hAnsi="仿宋" w:eastAsia="仿宋" w:cs="仿宋"/>
          <w:snapToGrid w:val="0"/>
          <w:color w:val="auto"/>
          <w:spacing w:val="0"/>
          <w:sz w:val="24"/>
          <w:szCs w:val="24"/>
          <w:highlight w:val="none"/>
        </w:rPr>
        <w:t>/</w:t>
      </w:r>
      <w:r>
        <w:rPr>
          <w:rFonts w:hint="eastAsia" w:ascii="仿宋" w:hAnsi="仿宋" w:eastAsia="仿宋" w:cs="仿宋"/>
          <w:color w:val="auto"/>
          <w:spacing w:val="0"/>
          <w:sz w:val="24"/>
          <w:szCs w:val="24"/>
          <w:highlight w:val="none"/>
        </w:rPr>
        <w:t>承</w:t>
      </w:r>
      <w:r>
        <w:rPr>
          <w:rFonts w:hint="eastAsia" w:ascii="仿宋" w:hAnsi="仿宋" w:eastAsia="仿宋" w:cs="仿宋"/>
          <w:snapToGrid w:val="0"/>
          <w:color w:val="auto"/>
          <w:spacing w:val="0"/>
          <w:sz w:val="24"/>
          <w:szCs w:val="24"/>
          <w:highlight w:val="none"/>
        </w:rPr>
        <w:t>包人</w:t>
      </w:r>
      <w:r>
        <w:rPr>
          <w:rFonts w:hint="eastAsia" w:ascii="仿宋" w:hAnsi="仿宋" w:eastAsia="仿宋" w:cs="仿宋"/>
          <w:color w:val="auto"/>
          <w:spacing w:val="0"/>
          <w:sz w:val="24"/>
          <w:szCs w:val="24"/>
          <w:highlight w:val="none"/>
        </w:rPr>
        <w:t>编报金额</w:t>
      </w:r>
      <w:r>
        <w:rPr>
          <w:rFonts w:hint="eastAsia" w:ascii="仿宋" w:hAnsi="仿宋" w:eastAsia="仿宋" w:cs="仿宋"/>
          <w:snapToGrid w:val="0"/>
          <w:color w:val="auto"/>
          <w:spacing w:val="0"/>
          <w:sz w:val="24"/>
          <w:szCs w:val="24"/>
          <w:highlight w:val="none"/>
        </w:rPr>
        <w:t>×100%。</w:t>
      </w:r>
    </w:p>
    <w:p w14:paraId="513818FF">
      <w:pPr>
        <w:pageBreakBefore w:val="0"/>
        <w:kinsoku/>
        <w:overflowPunct/>
        <w:topLinePunct w:val="0"/>
        <w:bidi w:val="0"/>
        <w:snapToGrid w:val="0"/>
        <w:spacing w:before="120" w:line="360" w:lineRule="auto"/>
        <w:ind w:firstLine="480"/>
        <w:contextualSpacing/>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rPr>
        <w:t>1．若5%＜核减率≤10%，</w:t>
      </w:r>
      <w:r>
        <w:rPr>
          <w:rFonts w:hint="eastAsia" w:ascii="仿宋" w:hAnsi="仿宋" w:eastAsia="仿宋" w:cs="仿宋"/>
          <w:color w:val="auto"/>
          <w:spacing w:val="0"/>
          <w:sz w:val="24"/>
          <w:szCs w:val="24"/>
          <w:highlight w:val="none"/>
        </w:rPr>
        <w:t>承</w:t>
      </w:r>
      <w:r>
        <w:rPr>
          <w:rFonts w:hint="eastAsia" w:ascii="仿宋" w:hAnsi="仿宋" w:eastAsia="仿宋" w:cs="仿宋"/>
          <w:snapToGrid w:val="0"/>
          <w:color w:val="auto"/>
          <w:spacing w:val="0"/>
          <w:sz w:val="24"/>
          <w:szCs w:val="24"/>
          <w:highlight w:val="none"/>
        </w:rPr>
        <w:t>包人承担</w:t>
      </w:r>
      <w:r>
        <w:rPr>
          <w:rFonts w:hint="eastAsia" w:ascii="仿宋" w:hAnsi="仿宋" w:eastAsia="仿宋" w:cs="仿宋"/>
          <w:color w:val="auto"/>
          <w:spacing w:val="0"/>
          <w:sz w:val="24"/>
          <w:szCs w:val="24"/>
          <w:highlight w:val="none"/>
        </w:rPr>
        <w:t>违约费用=（核减率-5%）×承包人编报金额×5%。</w:t>
      </w:r>
    </w:p>
    <w:p w14:paraId="7023C148">
      <w:pPr>
        <w:pageBreakBefore w:val="0"/>
        <w:kinsoku/>
        <w:overflowPunct/>
        <w:topLinePunct w:val="0"/>
        <w:bidi w:val="0"/>
        <w:snapToGrid w:val="0"/>
        <w:spacing w:before="120" w:line="360" w:lineRule="auto"/>
        <w:ind w:firstLine="480"/>
        <w:contextualSpacing/>
        <w:rPr>
          <w:rFonts w:hint="eastAsia" w:ascii="仿宋" w:hAnsi="仿宋" w:eastAsia="仿宋" w:cs="仿宋"/>
          <w:snapToGrid w:val="0"/>
          <w:color w:val="auto"/>
          <w:spacing w:val="0"/>
          <w:sz w:val="24"/>
          <w:szCs w:val="24"/>
          <w:highlight w:val="none"/>
        </w:rPr>
      </w:pPr>
      <w:r>
        <w:rPr>
          <w:rFonts w:hint="eastAsia" w:ascii="仿宋" w:hAnsi="仿宋" w:eastAsia="仿宋" w:cs="仿宋"/>
          <w:snapToGrid w:val="0"/>
          <w:color w:val="auto"/>
          <w:spacing w:val="0"/>
          <w:sz w:val="24"/>
          <w:szCs w:val="24"/>
          <w:highlight w:val="none"/>
        </w:rPr>
        <w:t>2．若核减率＞10%，</w:t>
      </w:r>
      <w:r>
        <w:rPr>
          <w:rFonts w:hint="eastAsia" w:ascii="仿宋" w:hAnsi="仿宋" w:eastAsia="仿宋" w:cs="仿宋"/>
          <w:color w:val="auto"/>
          <w:spacing w:val="0"/>
          <w:sz w:val="24"/>
          <w:szCs w:val="24"/>
          <w:highlight w:val="none"/>
        </w:rPr>
        <w:t>承</w:t>
      </w:r>
      <w:r>
        <w:rPr>
          <w:rFonts w:hint="eastAsia" w:ascii="仿宋" w:hAnsi="仿宋" w:eastAsia="仿宋" w:cs="仿宋"/>
          <w:snapToGrid w:val="0"/>
          <w:color w:val="auto"/>
          <w:spacing w:val="0"/>
          <w:sz w:val="24"/>
          <w:szCs w:val="24"/>
          <w:highlight w:val="none"/>
        </w:rPr>
        <w:t>包人承担违约费用</w:t>
      </w:r>
      <w:r>
        <w:rPr>
          <w:rFonts w:hint="eastAsia" w:ascii="仿宋" w:hAnsi="仿宋" w:eastAsia="仿宋" w:cs="仿宋"/>
          <w:color w:val="auto"/>
          <w:spacing w:val="0"/>
          <w:sz w:val="24"/>
          <w:szCs w:val="24"/>
          <w:highlight w:val="none"/>
        </w:rPr>
        <w:t>=</w:t>
      </w:r>
      <w:r>
        <w:rPr>
          <w:rFonts w:hint="eastAsia" w:ascii="仿宋" w:hAnsi="仿宋" w:eastAsia="仿宋" w:cs="仿宋"/>
          <w:snapToGrid w:val="0"/>
          <w:color w:val="auto"/>
          <w:spacing w:val="0"/>
          <w:sz w:val="24"/>
          <w:szCs w:val="24"/>
          <w:highlight w:val="none"/>
        </w:rPr>
        <w:t>核减额×5%。</w:t>
      </w:r>
    </w:p>
    <w:p w14:paraId="26BACE69">
      <w:pPr>
        <w:pageBreakBefore w:val="0"/>
        <w:kinsoku/>
        <w:overflowPunct/>
        <w:topLinePunct w:val="0"/>
        <w:bidi w:val="0"/>
        <w:snapToGrid w:val="0"/>
        <w:spacing w:before="120" w:line="360" w:lineRule="auto"/>
        <w:ind w:firstLine="480"/>
        <w:contextualSpacing/>
        <w:rPr>
          <w:rFonts w:hint="eastAsia" w:ascii="仿宋" w:hAnsi="仿宋" w:eastAsia="仿宋" w:cs="仿宋"/>
          <w:color w:val="auto"/>
          <w:spacing w:val="0"/>
          <w:sz w:val="24"/>
          <w:szCs w:val="24"/>
          <w:highlight w:val="none"/>
        </w:rPr>
      </w:pPr>
      <w:r>
        <w:rPr>
          <w:rFonts w:hint="eastAsia" w:ascii="仿宋" w:hAnsi="仿宋" w:eastAsia="仿宋" w:cs="仿宋"/>
          <w:snapToGrid w:val="0"/>
          <w:color w:val="auto"/>
          <w:spacing w:val="0"/>
          <w:sz w:val="24"/>
          <w:szCs w:val="24"/>
          <w:highlight w:val="none"/>
        </w:rPr>
        <w:t>3．签证、变更的违约费用在审核造价中扣减；结算审核的违约费用在结算款支付中扣</w:t>
      </w:r>
      <w:r>
        <w:rPr>
          <w:rFonts w:hint="eastAsia" w:ascii="仿宋" w:hAnsi="仿宋" w:eastAsia="仿宋" w:cs="仿宋"/>
          <w:color w:val="auto"/>
          <w:spacing w:val="0"/>
          <w:sz w:val="24"/>
          <w:szCs w:val="24"/>
          <w:highlight w:val="none"/>
        </w:rPr>
        <w:t>减。</w:t>
      </w:r>
    </w:p>
    <w:p w14:paraId="678D514F">
      <w:pPr>
        <w:pageBreakBefore w:val="0"/>
        <w:kinsoku/>
        <w:overflowPunct/>
        <w:topLinePunct w:val="0"/>
        <w:bidi w:val="0"/>
        <w:snapToGrid w:val="0"/>
        <w:spacing w:before="120" w:line="360" w:lineRule="auto"/>
        <w:ind w:firstLine="480"/>
        <w:contextualSpacing/>
        <w:rPr>
          <w:rFonts w:hint="eastAsia" w:ascii="仿宋" w:hAnsi="仿宋" w:eastAsia="仿宋" w:cs="仿宋"/>
          <w:color w:val="auto"/>
          <w:spacing w:val="0"/>
          <w:sz w:val="24"/>
          <w:szCs w:val="24"/>
          <w:highlight w:val="none"/>
        </w:rPr>
      </w:pPr>
      <w:r>
        <w:rPr>
          <w:rFonts w:hint="eastAsia" w:ascii="仿宋" w:hAnsi="仿宋" w:eastAsia="仿宋" w:cs="仿宋"/>
          <w:snapToGrid w:val="0"/>
          <w:color w:val="auto"/>
          <w:spacing w:val="0"/>
          <w:sz w:val="24"/>
          <w:szCs w:val="24"/>
          <w:highlight w:val="none"/>
        </w:rPr>
        <w:t>（二）</w:t>
      </w:r>
      <w:r>
        <w:rPr>
          <w:rFonts w:hint="eastAsia" w:ascii="仿宋" w:hAnsi="仿宋" w:eastAsia="仿宋" w:cs="仿宋"/>
          <w:color w:val="auto"/>
          <w:spacing w:val="0"/>
          <w:sz w:val="24"/>
          <w:szCs w:val="24"/>
          <w:highlight w:val="none"/>
        </w:rPr>
        <w:t>各签证及设计变更应严格执行先确定价格再进行施工的原则。如因承包人配合发包人工期进度先行施工，发包人应在收到报价后28个日历天内发出审核意见。如发包人在收到报价后28个日历天内未确定承包人的报价而承包人已因工程需要先行施工，结算时应按承包人的报价进行核定，不能认定高估冒算。</w:t>
      </w:r>
    </w:p>
    <w:p w14:paraId="33752243">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第十</w:t>
      </w:r>
      <w:r>
        <w:rPr>
          <w:rFonts w:hint="eastAsia" w:ascii="仿宋" w:hAnsi="仿宋" w:eastAsia="仿宋" w:cs="仿宋"/>
          <w:b/>
          <w:bCs/>
          <w:color w:val="auto"/>
          <w:spacing w:val="0"/>
          <w:sz w:val="24"/>
          <w:szCs w:val="24"/>
          <w:highlight w:val="none"/>
          <w:lang w:val="en-US" w:eastAsia="zh-CN"/>
        </w:rPr>
        <w:t>一</w:t>
      </w:r>
      <w:r>
        <w:rPr>
          <w:rFonts w:hint="eastAsia" w:ascii="仿宋" w:hAnsi="仿宋" w:eastAsia="仿宋" w:cs="仿宋"/>
          <w:b/>
          <w:bCs/>
          <w:color w:val="auto"/>
          <w:spacing w:val="0"/>
          <w:sz w:val="24"/>
          <w:szCs w:val="24"/>
          <w:highlight w:val="none"/>
        </w:rPr>
        <w:t>条 履约担保</w:t>
      </w:r>
      <w:r>
        <w:rPr>
          <w:rFonts w:hint="eastAsia" w:ascii="仿宋" w:hAnsi="仿宋" w:eastAsia="仿宋" w:cs="仿宋"/>
          <w:b/>
          <w:bCs/>
          <w:color w:val="auto"/>
          <w:spacing w:val="0"/>
          <w:sz w:val="24"/>
          <w:szCs w:val="24"/>
          <w:highlight w:val="none"/>
          <w:lang w:eastAsia="zh-CN"/>
        </w:rPr>
        <w:t>【</w:t>
      </w:r>
      <w:r>
        <w:rPr>
          <w:rFonts w:hint="eastAsia" w:ascii="仿宋" w:hAnsi="仿宋" w:eastAsia="仿宋" w:cs="仿宋"/>
          <w:b/>
          <w:bCs/>
          <w:color w:val="auto"/>
          <w:spacing w:val="0"/>
          <w:sz w:val="24"/>
          <w:szCs w:val="24"/>
          <w:highlight w:val="none"/>
          <w:lang w:val="en-US" w:eastAsia="zh-CN"/>
        </w:rPr>
        <w:t>本项目不适用</w:t>
      </w:r>
      <w:r>
        <w:rPr>
          <w:rFonts w:hint="eastAsia" w:ascii="仿宋" w:hAnsi="仿宋" w:eastAsia="仿宋" w:cs="仿宋"/>
          <w:b/>
          <w:bCs/>
          <w:color w:val="auto"/>
          <w:spacing w:val="0"/>
          <w:sz w:val="24"/>
          <w:szCs w:val="24"/>
          <w:highlight w:val="none"/>
          <w:lang w:eastAsia="zh-CN"/>
        </w:rPr>
        <w:t>】</w:t>
      </w:r>
    </w:p>
    <w:p w14:paraId="2FB020A9">
      <w:pPr>
        <w:pageBreakBefore w:val="0"/>
        <w:numPr>
          <w:ilvl w:val="0"/>
          <w:numId w:val="3"/>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承包人提供履约担保的约定： 承包人在合同签订后10个日历天内向发包人提交金额为合同工程总价款</w:t>
      </w:r>
      <w:r>
        <w:rPr>
          <w:rFonts w:hint="eastAsia" w:ascii="仿宋" w:hAnsi="仿宋" w:eastAsia="仿宋" w:cs="仿宋"/>
          <w:color w:val="auto"/>
          <w:spacing w:val="0"/>
          <w:sz w:val="24"/>
          <w:szCs w:val="24"/>
          <w:highlight w:val="none"/>
          <w:u w:val="single"/>
        </w:rPr>
        <w:t xml:space="preserve">  /  </w:t>
      </w:r>
      <w:r>
        <w:rPr>
          <w:rFonts w:hint="eastAsia" w:ascii="仿宋" w:hAnsi="仿宋" w:eastAsia="仿宋" w:cs="仿宋"/>
          <w:color w:val="auto"/>
          <w:spacing w:val="0"/>
          <w:sz w:val="24"/>
          <w:szCs w:val="24"/>
          <w:highlight w:val="none"/>
        </w:rPr>
        <w:t>的工程履约保证金。</w:t>
      </w:r>
    </w:p>
    <w:p w14:paraId="12E1AF57">
      <w:pPr>
        <w:pageBreakBefore w:val="0"/>
        <w:numPr>
          <w:ilvl w:val="0"/>
          <w:numId w:val="3"/>
        </w:numPr>
        <w:kinsoku/>
        <w:overflowPunct/>
        <w:topLinePunct w:val="0"/>
        <w:bidi w:val="0"/>
        <w:adjustRightInd w:val="0"/>
        <w:snapToGrid w:val="0"/>
        <w:spacing w:before="120" w:after="120" w:line="360" w:lineRule="auto"/>
        <w:ind w:left="0" w:leftChars="0"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履约担保退还时间的约定：工程竣工验收合格、档案资料移交且工程结算通过后28个日历天内发包人无息退还工程履约保证金（扣除罚款、违约金、赔偿款等应扣款后）至承包人。</w:t>
      </w:r>
    </w:p>
    <w:p w14:paraId="77105C11">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（三）担保内容、方式和责任等事项的约定：</w:t>
      </w:r>
    </w:p>
    <w:p w14:paraId="49A8F29C">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如承包人的施工措施未达到合同、施工组织设计及相关法规、规范、政策的要求，监理人或发包人可依据情况对承包人做出处罚，要求整改，或由监理人或发包人委托第三方进行完善，对承包人的处罚和由此产生的相关费用从履约保证金中抵扣。</w:t>
      </w:r>
    </w:p>
    <w:p w14:paraId="71701D04">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如承包人未能完全履行合同及其组成文件规定的全部责任和义务，包括承包人应办理的各种手续、证件，及有关需投入的劳动资源、周转材料及机械设备、抢险基金、劳务工资支付等的投标承诺，监理人或发包人可依据情况对承包人做出处罚，要求整改，或委托第三方进行完善，对承包人的处罚和由此产生的相关费用从履约保证金中抵扣。发包人有权用履约保证金的资金补偿由此给发包人造成的一切直接损失，若履约保证金的资金不足弥补损失，发包人有权在应付承包人的其他费用中直接扣除。</w:t>
      </w:r>
    </w:p>
    <w:p w14:paraId="75161431">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bookmarkStart w:id="76" w:name="_Toc8293676"/>
      <w:r>
        <w:rPr>
          <w:rFonts w:hint="eastAsia" w:ascii="仿宋" w:hAnsi="仿宋" w:eastAsia="仿宋" w:cs="仿宋"/>
          <w:b/>
          <w:bCs/>
          <w:color w:val="auto"/>
          <w:spacing w:val="0"/>
          <w:sz w:val="24"/>
          <w:szCs w:val="24"/>
          <w:highlight w:val="none"/>
        </w:rPr>
        <w:t>第十</w:t>
      </w:r>
      <w:r>
        <w:rPr>
          <w:rFonts w:hint="eastAsia" w:ascii="仿宋" w:hAnsi="仿宋" w:eastAsia="仿宋" w:cs="仿宋"/>
          <w:b/>
          <w:bCs/>
          <w:color w:val="auto"/>
          <w:spacing w:val="0"/>
          <w:sz w:val="24"/>
          <w:szCs w:val="24"/>
          <w:highlight w:val="none"/>
          <w:lang w:val="en-US" w:eastAsia="zh-CN"/>
        </w:rPr>
        <w:t>二</w:t>
      </w:r>
      <w:r>
        <w:rPr>
          <w:rFonts w:hint="eastAsia" w:ascii="仿宋" w:hAnsi="仿宋" w:eastAsia="仿宋" w:cs="仿宋"/>
          <w:b/>
          <w:bCs/>
          <w:color w:val="auto"/>
          <w:spacing w:val="0"/>
          <w:sz w:val="24"/>
          <w:szCs w:val="24"/>
          <w:highlight w:val="none"/>
        </w:rPr>
        <w:t>条  发包人应负责完成下列工作</w:t>
      </w:r>
      <w:bookmarkEnd w:id="76"/>
      <w:r>
        <w:rPr>
          <w:rFonts w:hint="eastAsia" w:ascii="仿宋" w:hAnsi="仿宋" w:eastAsia="仿宋" w:cs="仿宋"/>
          <w:b/>
          <w:bCs/>
          <w:color w:val="auto"/>
          <w:spacing w:val="0"/>
          <w:sz w:val="24"/>
          <w:szCs w:val="24"/>
          <w:highlight w:val="none"/>
        </w:rPr>
        <w:t>：</w:t>
      </w:r>
    </w:p>
    <w:p w14:paraId="6B1191CF">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77" w:name="_Toc8293677"/>
      <w:r>
        <w:rPr>
          <w:rFonts w:hint="eastAsia" w:ascii="仿宋" w:hAnsi="仿宋" w:eastAsia="仿宋" w:cs="仿宋"/>
          <w:color w:val="auto"/>
          <w:spacing w:val="0"/>
          <w:sz w:val="24"/>
          <w:szCs w:val="24"/>
          <w:highlight w:val="none"/>
        </w:rPr>
        <w:t>（一）</w:t>
      </w:r>
      <w:bookmarkEnd w:id="77"/>
      <w:r>
        <w:rPr>
          <w:rFonts w:hint="eastAsia" w:ascii="仿宋" w:hAnsi="仿宋" w:eastAsia="仿宋" w:cs="仿宋"/>
          <w:color w:val="auto"/>
          <w:spacing w:val="0"/>
          <w:sz w:val="24"/>
          <w:szCs w:val="24"/>
          <w:highlight w:val="none"/>
        </w:rPr>
        <w:t>提供</w:t>
      </w:r>
      <w:r>
        <w:rPr>
          <w:rFonts w:hint="eastAsia" w:ascii="仿宋" w:hAnsi="仿宋" w:eastAsia="仿宋" w:cs="仿宋"/>
          <w:color w:val="auto"/>
          <w:spacing w:val="0"/>
          <w:sz w:val="24"/>
          <w:szCs w:val="24"/>
          <w:highlight w:val="none"/>
          <w:u w:val="single"/>
        </w:rPr>
        <w:t xml:space="preserve">施工图纸、技术要求等有关资料 </w:t>
      </w:r>
      <w:r>
        <w:rPr>
          <w:rFonts w:hint="eastAsia" w:ascii="仿宋" w:hAnsi="仿宋" w:eastAsia="仿宋" w:cs="仿宋"/>
          <w:color w:val="auto"/>
          <w:spacing w:val="0"/>
          <w:sz w:val="24"/>
          <w:szCs w:val="24"/>
          <w:highlight w:val="none"/>
        </w:rPr>
        <w:t>。</w:t>
      </w:r>
    </w:p>
    <w:p w14:paraId="2FBC3623">
      <w:pPr>
        <w:pageBreakBefore w:val="0"/>
        <w:tabs>
          <w:tab w:val="left" w:pos="0"/>
        </w:tabs>
        <w:kinsoku/>
        <w:overflowPunct/>
        <w:topLinePunct w:val="0"/>
        <w:bidi w:val="0"/>
        <w:adjustRightInd w:val="0"/>
        <w:snapToGrid w:val="0"/>
        <w:spacing w:before="120" w:after="120" w:line="360" w:lineRule="auto"/>
        <w:outlineLvl w:val="9"/>
        <w:rPr>
          <w:rFonts w:hint="eastAsia" w:ascii="仿宋" w:hAnsi="仿宋" w:eastAsia="仿宋" w:cs="仿宋"/>
          <w:color w:val="auto"/>
          <w:spacing w:val="0"/>
          <w:sz w:val="24"/>
          <w:szCs w:val="24"/>
          <w:highlight w:val="none"/>
        </w:rPr>
      </w:pPr>
      <w:bookmarkStart w:id="78" w:name="_Toc8293678"/>
      <w:r>
        <w:rPr>
          <w:rFonts w:hint="eastAsia" w:ascii="仿宋" w:hAnsi="仿宋" w:eastAsia="仿宋" w:cs="仿宋"/>
          <w:color w:val="auto"/>
          <w:spacing w:val="0"/>
          <w:sz w:val="24"/>
          <w:szCs w:val="24"/>
          <w:highlight w:val="none"/>
        </w:rPr>
        <w:t>（二）落实解决现场施工条件。</w:t>
      </w:r>
      <w:bookmarkEnd w:id="78"/>
      <w:bookmarkStart w:id="79" w:name="_Toc8293679"/>
    </w:p>
    <w:p w14:paraId="3B2E657A">
      <w:pPr>
        <w:pageBreakBefore w:val="0"/>
        <w:tabs>
          <w:tab w:val="left" w:pos="0"/>
        </w:tabs>
        <w:kinsoku/>
        <w:overflowPunct/>
        <w:topLinePunct w:val="0"/>
        <w:bidi w:val="0"/>
        <w:adjustRightInd w:val="0"/>
        <w:snapToGrid w:val="0"/>
        <w:spacing w:before="120" w:after="120" w:line="360" w:lineRule="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三</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提供现场及设备运输通道。</w:t>
      </w:r>
      <w:bookmarkEnd w:id="79"/>
    </w:p>
    <w:p w14:paraId="7DF7BDCD">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bookmarkStart w:id="80" w:name="_Toc8293680"/>
      <w:r>
        <w:rPr>
          <w:rFonts w:hint="eastAsia" w:ascii="仿宋" w:hAnsi="仿宋" w:eastAsia="仿宋" w:cs="仿宋"/>
          <w:b/>
          <w:bCs/>
          <w:color w:val="auto"/>
          <w:spacing w:val="0"/>
          <w:sz w:val="24"/>
          <w:szCs w:val="24"/>
          <w:highlight w:val="none"/>
        </w:rPr>
        <w:t>第十</w:t>
      </w:r>
      <w:r>
        <w:rPr>
          <w:rFonts w:hint="eastAsia" w:ascii="仿宋" w:hAnsi="仿宋" w:eastAsia="仿宋" w:cs="仿宋"/>
          <w:b/>
          <w:bCs/>
          <w:color w:val="auto"/>
          <w:spacing w:val="0"/>
          <w:sz w:val="24"/>
          <w:szCs w:val="24"/>
          <w:highlight w:val="none"/>
          <w:lang w:val="en-US" w:eastAsia="zh-CN"/>
        </w:rPr>
        <w:t>三</w:t>
      </w:r>
      <w:r>
        <w:rPr>
          <w:rFonts w:hint="eastAsia" w:ascii="仿宋" w:hAnsi="仿宋" w:eastAsia="仿宋" w:cs="仿宋"/>
          <w:b/>
          <w:bCs/>
          <w:color w:val="auto"/>
          <w:spacing w:val="0"/>
          <w:sz w:val="24"/>
          <w:szCs w:val="24"/>
          <w:highlight w:val="none"/>
        </w:rPr>
        <w:t>条  承包人应负责完成下列工作：</w:t>
      </w:r>
      <w:bookmarkEnd w:id="80"/>
    </w:p>
    <w:p w14:paraId="2439626D">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81" w:name="_Toc8293681"/>
      <w:r>
        <w:rPr>
          <w:rFonts w:hint="eastAsia" w:ascii="仿宋" w:hAnsi="仿宋" w:eastAsia="仿宋" w:cs="仿宋"/>
          <w:color w:val="auto"/>
          <w:spacing w:val="0"/>
          <w:sz w:val="24"/>
          <w:szCs w:val="24"/>
          <w:highlight w:val="none"/>
        </w:rPr>
        <w:t>（一）负责</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w:t>
      </w:r>
      <w:bookmarkEnd w:id="81"/>
    </w:p>
    <w:p w14:paraId="4881BA4D">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82" w:name="_Toc8293682"/>
      <w:r>
        <w:rPr>
          <w:rFonts w:hint="eastAsia" w:ascii="仿宋" w:hAnsi="仿宋" w:eastAsia="仿宋" w:cs="仿宋"/>
          <w:color w:val="auto"/>
          <w:spacing w:val="0"/>
          <w:sz w:val="24"/>
          <w:szCs w:val="24"/>
          <w:highlight w:val="none"/>
        </w:rPr>
        <w:t>（二）应严格按照安全工作规程进行施工，若由于承包人原因，在施工中造成的设备损坏和人身伤亡，均由承包人负责处理并由承包人承担全部责任。</w:t>
      </w:r>
      <w:bookmarkEnd w:id="82"/>
    </w:p>
    <w:p w14:paraId="33D4F97C">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83" w:name="_Toc8293683"/>
      <w:r>
        <w:rPr>
          <w:rFonts w:hint="eastAsia" w:ascii="仿宋" w:hAnsi="仿宋" w:eastAsia="仿宋" w:cs="仿宋"/>
          <w:color w:val="auto"/>
          <w:spacing w:val="0"/>
          <w:sz w:val="24"/>
          <w:szCs w:val="24"/>
          <w:highlight w:val="none"/>
        </w:rPr>
        <w:t>（三）</w:t>
      </w:r>
      <w:bookmarkEnd w:id="83"/>
      <w:bookmarkStart w:id="84" w:name="_Toc8293684"/>
      <w:r>
        <w:rPr>
          <w:rFonts w:hint="eastAsia" w:ascii="仿宋" w:hAnsi="仿宋" w:eastAsia="仿宋" w:cs="仿宋"/>
          <w:color w:val="auto"/>
          <w:spacing w:val="0"/>
          <w:sz w:val="24"/>
          <w:szCs w:val="24"/>
          <w:highlight w:val="none"/>
        </w:rPr>
        <w:t>承包人在施工中应严格执行安全规范和施工现场的有关安全措施，并对施工人员、设备、防火和交通安全等负责。</w:t>
      </w:r>
      <w:bookmarkEnd w:id="84"/>
    </w:p>
    <w:p w14:paraId="0C73D7E7">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85" w:name="_Toc8293685"/>
      <w:r>
        <w:rPr>
          <w:rFonts w:hint="eastAsia" w:ascii="仿宋" w:hAnsi="仿宋" w:eastAsia="仿宋" w:cs="仿宋"/>
          <w:color w:val="auto"/>
          <w:spacing w:val="0"/>
          <w:sz w:val="24"/>
          <w:szCs w:val="24"/>
          <w:highlight w:val="none"/>
        </w:rPr>
        <w:t>（四）技术需求书（附件二）中提及的其他工作。</w:t>
      </w:r>
      <w:bookmarkEnd w:id="85"/>
    </w:p>
    <w:p w14:paraId="532E61D4">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第十</w:t>
      </w:r>
      <w:r>
        <w:rPr>
          <w:rFonts w:hint="eastAsia" w:ascii="仿宋" w:hAnsi="仿宋" w:eastAsia="仿宋" w:cs="仿宋"/>
          <w:b/>
          <w:bCs/>
          <w:color w:val="auto"/>
          <w:spacing w:val="0"/>
          <w:sz w:val="24"/>
          <w:szCs w:val="24"/>
          <w:highlight w:val="none"/>
          <w:lang w:val="en-US" w:eastAsia="zh-CN"/>
        </w:rPr>
        <w:t>四</w:t>
      </w:r>
      <w:r>
        <w:rPr>
          <w:rFonts w:hint="eastAsia" w:ascii="仿宋" w:hAnsi="仿宋" w:eastAsia="仿宋" w:cs="仿宋"/>
          <w:b/>
          <w:bCs/>
          <w:color w:val="auto"/>
          <w:spacing w:val="0"/>
          <w:sz w:val="24"/>
          <w:szCs w:val="24"/>
          <w:highlight w:val="none"/>
        </w:rPr>
        <w:t xml:space="preserve">条  双方现场代表 </w:t>
      </w:r>
    </w:p>
    <w:p w14:paraId="356BE299">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发包人派</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为工程代表，电话：</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，对工程进度、工程质量进行监督、检查验收隐蔽工程，负责解决应由发包人解决的问题以及其它事宜。</w:t>
      </w:r>
    </w:p>
    <w:p w14:paraId="06E0E698">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承包人派</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为工程代表，电话：</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，负责全面管理工程的施工进度、质量，安全、文明施工、验收、保修等事宜。</w:t>
      </w:r>
    </w:p>
    <w:p w14:paraId="7CFB14FB">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双方现场代表发生变化的，需在变更后</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天内书面通知对方。</w:t>
      </w:r>
    </w:p>
    <w:p w14:paraId="4760D120">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86" w:name="_Toc8293691"/>
      <w:r>
        <w:rPr>
          <w:rFonts w:hint="eastAsia" w:ascii="仿宋" w:hAnsi="仿宋" w:eastAsia="仿宋" w:cs="仿宋"/>
          <w:b/>
          <w:bCs/>
          <w:color w:val="auto"/>
          <w:spacing w:val="0"/>
          <w:sz w:val="24"/>
          <w:szCs w:val="24"/>
          <w:highlight w:val="none"/>
        </w:rPr>
        <w:t>第十</w:t>
      </w:r>
      <w:r>
        <w:rPr>
          <w:rFonts w:hint="eastAsia" w:ascii="仿宋" w:hAnsi="仿宋" w:eastAsia="仿宋" w:cs="仿宋"/>
          <w:b/>
          <w:bCs/>
          <w:color w:val="auto"/>
          <w:spacing w:val="0"/>
          <w:sz w:val="24"/>
          <w:szCs w:val="24"/>
          <w:highlight w:val="none"/>
          <w:lang w:val="en-US" w:eastAsia="zh-CN"/>
        </w:rPr>
        <w:t>五</w:t>
      </w:r>
      <w:r>
        <w:rPr>
          <w:rFonts w:hint="eastAsia" w:ascii="仿宋" w:hAnsi="仿宋" w:eastAsia="仿宋" w:cs="仿宋"/>
          <w:b/>
          <w:bCs/>
          <w:color w:val="auto"/>
          <w:spacing w:val="0"/>
          <w:sz w:val="24"/>
          <w:szCs w:val="24"/>
          <w:highlight w:val="none"/>
        </w:rPr>
        <w:t>条</w:t>
      </w:r>
      <w:r>
        <w:rPr>
          <w:rFonts w:hint="eastAsia" w:ascii="仿宋" w:hAnsi="仿宋" w:eastAsia="仿宋" w:cs="仿宋"/>
          <w:color w:val="auto"/>
          <w:spacing w:val="0"/>
          <w:sz w:val="24"/>
          <w:szCs w:val="24"/>
          <w:highlight w:val="none"/>
        </w:rPr>
        <w:t xml:space="preserve">  工程中因发包人原因造成的中途停建、缓建或因发包人原因的设计变更造成的返工，发包人应采取措施弥补或减少损失，赔偿给承包人由此而造成的停工和材料、设备积压的损失。若</w:t>
      </w:r>
      <w:r>
        <w:rPr>
          <w:rFonts w:hint="eastAsia" w:ascii="仿宋" w:hAnsi="仿宋" w:eastAsia="仿宋" w:cs="仿宋"/>
          <w:color w:val="auto"/>
          <w:spacing w:val="0"/>
          <w:sz w:val="24"/>
          <w:szCs w:val="24"/>
          <w:highlight w:val="none"/>
          <w:lang w:eastAsia="zh-Hans"/>
        </w:rPr>
        <w:t>非发</w:t>
      </w:r>
      <w:r>
        <w:rPr>
          <w:rFonts w:hint="eastAsia" w:ascii="仿宋" w:hAnsi="仿宋" w:eastAsia="仿宋" w:cs="仿宋"/>
          <w:color w:val="auto"/>
          <w:spacing w:val="0"/>
          <w:sz w:val="24"/>
          <w:szCs w:val="24"/>
          <w:highlight w:val="none"/>
        </w:rPr>
        <w:t>包人原因造成的停建、缓建或</w:t>
      </w:r>
      <w:r>
        <w:rPr>
          <w:rFonts w:hint="eastAsia" w:ascii="仿宋" w:hAnsi="仿宋" w:eastAsia="仿宋" w:cs="仿宋"/>
          <w:color w:val="auto"/>
          <w:spacing w:val="0"/>
          <w:sz w:val="24"/>
          <w:szCs w:val="24"/>
          <w:highlight w:val="none"/>
          <w:lang w:eastAsia="zh-Hans"/>
        </w:rPr>
        <w:t>非因发</w:t>
      </w:r>
      <w:r>
        <w:rPr>
          <w:rFonts w:hint="eastAsia" w:ascii="仿宋" w:hAnsi="仿宋" w:eastAsia="仿宋" w:cs="仿宋"/>
          <w:color w:val="auto"/>
          <w:spacing w:val="0"/>
          <w:sz w:val="24"/>
          <w:szCs w:val="24"/>
          <w:highlight w:val="none"/>
        </w:rPr>
        <w:t>包人原因的设计变更造成的返工，承包人应赔偿由此给发包人造成的损失并承担相应的违约责任。</w:t>
      </w:r>
    </w:p>
    <w:p w14:paraId="6843A0D9">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b/>
          <w:bCs/>
          <w:color w:val="auto"/>
          <w:spacing w:val="0"/>
          <w:sz w:val="24"/>
          <w:szCs w:val="24"/>
          <w:highlight w:val="none"/>
        </w:rPr>
        <w:t>第十</w:t>
      </w:r>
      <w:r>
        <w:rPr>
          <w:rFonts w:hint="eastAsia" w:ascii="仿宋" w:hAnsi="仿宋" w:eastAsia="仿宋" w:cs="仿宋"/>
          <w:b/>
          <w:bCs/>
          <w:color w:val="auto"/>
          <w:spacing w:val="0"/>
          <w:sz w:val="24"/>
          <w:szCs w:val="24"/>
          <w:highlight w:val="none"/>
          <w:lang w:val="en-US" w:eastAsia="zh-CN"/>
        </w:rPr>
        <w:t>六</w:t>
      </w:r>
      <w:r>
        <w:rPr>
          <w:rFonts w:hint="eastAsia" w:ascii="仿宋" w:hAnsi="仿宋" w:eastAsia="仿宋" w:cs="仿宋"/>
          <w:b/>
          <w:bCs/>
          <w:color w:val="auto"/>
          <w:spacing w:val="0"/>
          <w:sz w:val="24"/>
          <w:szCs w:val="24"/>
          <w:highlight w:val="none"/>
        </w:rPr>
        <w:t>条</w:t>
      </w:r>
      <w:r>
        <w:rPr>
          <w:rFonts w:hint="eastAsia" w:ascii="仿宋" w:hAnsi="仿宋" w:eastAsia="仿宋" w:cs="仿宋"/>
          <w:color w:val="auto"/>
          <w:spacing w:val="0"/>
          <w:sz w:val="24"/>
          <w:szCs w:val="24"/>
          <w:highlight w:val="none"/>
        </w:rPr>
        <w:t xml:space="preserve">  工程竣工后，承包人应绘制竣工图，竣工图及电子版应在提交结算时与其他结算资料一并提交发包人。工程变更不大的，经发包人同意，承包人可在送发包人的原施工图上加上注明，提交发包人归档。承包人提交的竣工图份数应满足发包人要求。</w:t>
      </w:r>
    </w:p>
    <w:p w14:paraId="057E9813">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第十</w:t>
      </w:r>
      <w:r>
        <w:rPr>
          <w:rFonts w:hint="eastAsia" w:ascii="仿宋" w:hAnsi="仿宋" w:eastAsia="仿宋" w:cs="仿宋"/>
          <w:b/>
          <w:bCs/>
          <w:color w:val="auto"/>
          <w:spacing w:val="0"/>
          <w:sz w:val="24"/>
          <w:szCs w:val="24"/>
          <w:highlight w:val="none"/>
          <w:lang w:val="en-US" w:eastAsia="zh-CN"/>
        </w:rPr>
        <w:t>七</w:t>
      </w:r>
      <w:r>
        <w:rPr>
          <w:rFonts w:hint="eastAsia" w:ascii="仿宋" w:hAnsi="仿宋" w:eastAsia="仿宋" w:cs="仿宋"/>
          <w:b/>
          <w:bCs/>
          <w:color w:val="auto"/>
          <w:spacing w:val="0"/>
          <w:sz w:val="24"/>
          <w:szCs w:val="24"/>
          <w:highlight w:val="none"/>
        </w:rPr>
        <w:t>条  违约责任</w:t>
      </w:r>
      <w:bookmarkEnd w:id="86"/>
    </w:p>
    <w:p w14:paraId="649CD250">
      <w:pPr>
        <w:pageBreakBefore w:val="0"/>
        <w:numPr>
          <w:ilvl w:val="0"/>
          <w:numId w:val="0"/>
        </w:numPr>
        <w:kinsoku/>
        <w:overflowPunct/>
        <w:topLinePunct w:val="0"/>
        <w:bidi w:val="0"/>
        <w:adjustRightInd w:val="0"/>
        <w:snapToGrid w:val="0"/>
        <w:spacing w:before="120" w:after="120" w:line="360" w:lineRule="auto"/>
        <w:ind w:leftChars="200" w:firstLine="480" w:firstLineChars="200"/>
        <w:outlineLvl w:val="9"/>
        <w:rPr>
          <w:rFonts w:hint="eastAsia" w:ascii="仿宋" w:hAnsi="仿宋" w:eastAsia="仿宋" w:cs="仿宋"/>
          <w:color w:val="auto"/>
          <w:spacing w:val="0"/>
          <w:sz w:val="24"/>
          <w:szCs w:val="24"/>
          <w:highlight w:val="none"/>
        </w:rPr>
      </w:pPr>
      <w:bookmarkStart w:id="87" w:name="_Toc8293693"/>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一</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承包人逾期竣工的，每逾期一天，按工程总造价的1‰向发包人偿付违约金，</w:t>
      </w:r>
      <w:r>
        <w:rPr>
          <w:rFonts w:hint="eastAsia" w:ascii="仿宋" w:hAnsi="仿宋" w:eastAsia="仿宋" w:cs="仿宋"/>
          <w:color w:val="auto"/>
          <w:spacing w:val="0"/>
          <w:sz w:val="24"/>
          <w:szCs w:val="24"/>
          <w:highlight w:val="none"/>
          <w:lang w:val="en-US" w:eastAsia="zh-CN"/>
        </w:rPr>
        <w:t>承包人承担本工程违约金上限不超过</w:t>
      </w:r>
      <w:r>
        <w:rPr>
          <w:rFonts w:hint="eastAsia" w:ascii="仿宋" w:hAnsi="仿宋" w:eastAsia="仿宋" w:cs="仿宋"/>
          <w:color w:val="auto"/>
          <w:spacing w:val="0"/>
          <w:sz w:val="24"/>
          <w:szCs w:val="24"/>
          <w:highlight w:val="none"/>
        </w:rPr>
        <w:t>工程总造价的</w:t>
      </w: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rPr>
        <w:t>，逾期超过【60】天，发包人有权解除本合同，并有权委托第三方施工单位完成工程，因此造成的所有费用及发包人损失应由承包人承担。</w:t>
      </w:r>
      <w:bookmarkEnd w:id="87"/>
    </w:p>
    <w:p w14:paraId="6F3D36DA">
      <w:pPr>
        <w:pageBreakBefore w:val="0"/>
        <w:numPr>
          <w:ilvl w:val="0"/>
          <w:numId w:val="0"/>
        </w:numPr>
        <w:kinsoku/>
        <w:overflowPunct/>
        <w:topLinePunct w:val="0"/>
        <w:bidi w:val="0"/>
        <w:adjustRightInd w:val="0"/>
        <w:snapToGrid w:val="0"/>
        <w:spacing w:before="120" w:after="120" w:line="360" w:lineRule="auto"/>
        <w:ind w:leftChars="200"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二</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由于承包人的原因造成安全事故，包括但不限于在施工中造成的设备损坏和人身伤亡等，承包人必须承担全部的赔偿责任并赔偿发包人的损失，且发包人保留对承包人的处罚权，如因此给发包人造成损失或使发包人对他人承担责任的，由承包人向发包人赔偿损失并承担最终全部赔偿责任，发包人有权向承包人追偿，承包人应承担因追偿所产生的一切费用，包括但不限于律师费、诉讼费、公证费、因保全产生的保险或保函费等费用。</w:t>
      </w:r>
    </w:p>
    <w:p w14:paraId="1A6E49B3">
      <w:pPr>
        <w:pageBreakBefore w:val="0"/>
        <w:numPr>
          <w:ilvl w:val="0"/>
          <w:numId w:val="0"/>
        </w:numPr>
        <w:kinsoku/>
        <w:overflowPunct/>
        <w:topLinePunct w:val="0"/>
        <w:bidi w:val="0"/>
        <w:adjustRightInd w:val="0"/>
        <w:snapToGrid w:val="0"/>
        <w:spacing w:before="120" w:after="120" w:line="360" w:lineRule="auto"/>
        <w:ind w:leftChars="200"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三</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若承包人未按照合同约定提供相应资料，发包人有权拒付或延付相应合同款项且不视为违约。</w:t>
      </w:r>
    </w:p>
    <w:p w14:paraId="140E1F4A">
      <w:pPr>
        <w:pageBreakBefore w:val="0"/>
        <w:numPr>
          <w:ilvl w:val="0"/>
          <w:numId w:val="0"/>
        </w:numPr>
        <w:kinsoku/>
        <w:overflowPunct/>
        <w:topLinePunct w:val="0"/>
        <w:bidi w:val="0"/>
        <w:adjustRightInd w:val="0"/>
        <w:snapToGrid w:val="0"/>
        <w:spacing w:before="120" w:after="120" w:line="360" w:lineRule="auto"/>
        <w:ind w:leftChars="200"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四</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承包人违反合同约定进行转包或违法分包的，承包人须按转包或违法分包的金额的50%向发包人支付违约金，发包人有权随时解除本合同，若因此造成发包人损失，承包人应予赔偿；</w:t>
      </w:r>
    </w:p>
    <w:p w14:paraId="7CD30364">
      <w:pPr>
        <w:pageBreakBefore w:val="0"/>
        <w:numPr>
          <w:ilvl w:val="0"/>
          <w:numId w:val="0"/>
        </w:numPr>
        <w:kinsoku/>
        <w:overflowPunct/>
        <w:topLinePunct w:val="0"/>
        <w:bidi w:val="0"/>
        <w:adjustRightInd w:val="0"/>
        <w:snapToGrid w:val="0"/>
        <w:spacing w:before="120" w:after="120" w:line="360" w:lineRule="auto"/>
        <w:ind w:leftChars="200"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五</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承包人保证所承包工程项目一次验收达到合格，若达不到合格，则承包人无条件返工至合格，且承包人应承担返工费用和工期延误违约责任，及因此给发包人造成的全部损失。若承包人返工【2】次仍未能通过验收合格，发包人有权解除本合同并委托第三方施工单位进行施工，产生的施工费用及发包人的损失由承包人承担。</w:t>
      </w:r>
    </w:p>
    <w:p w14:paraId="4636054B">
      <w:pPr>
        <w:pageBreakBefore w:val="0"/>
        <w:numPr>
          <w:ilvl w:val="0"/>
          <w:numId w:val="0"/>
        </w:numPr>
        <w:kinsoku/>
        <w:overflowPunct/>
        <w:topLinePunct w:val="0"/>
        <w:bidi w:val="0"/>
        <w:adjustRightInd w:val="0"/>
        <w:snapToGrid w:val="0"/>
        <w:spacing w:before="120" w:after="120" w:line="360" w:lineRule="auto"/>
        <w:ind w:leftChars="200"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六</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承包人提供的材料必须符合质量要求，如发包人发现承包人提供的材料存在质量问题，承包人除负责无条件更换和增补外，由此造成的工程质量问题及发包人的一切损失均由承包人负责及承担全部责任。</w:t>
      </w:r>
    </w:p>
    <w:p w14:paraId="2175F2BA">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88" w:name="_Toc8293695"/>
      <w:r>
        <w:rPr>
          <w:rFonts w:hint="eastAsia" w:ascii="仿宋" w:hAnsi="仿宋" w:eastAsia="仿宋" w:cs="仿宋"/>
          <w:b/>
          <w:bCs/>
          <w:color w:val="auto"/>
          <w:spacing w:val="0"/>
          <w:sz w:val="24"/>
          <w:szCs w:val="24"/>
          <w:highlight w:val="none"/>
        </w:rPr>
        <w:t>第十</w:t>
      </w:r>
      <w:r>
        <w:rPr>
          <w:rFonts w:hint="eastAsia" w:ascii="仿宋" w:hAnsi="仿宋" w:eastAsia="仿宋" w:cs="仿宋"/>
          <w:b/>
          <w:bCs/>
          <w:color w:val="auto"/>
          <w:spacing w:val="0"/>
          <w:sz w:val="24"/>
          <w:szCs w:val="24"/>
          <w:highlight w:val="none"/>
          <w:lang w:val="en-US" w:eastAsia="zh-CN"/>
        </w:rPr>
        <w:t>八</w:t>
      </w:r>
      <w:r>
        <w:rPr>
          <w:rFonts w:hint="eastAsia" w:ascii="仿宋" w:hAnsi="仿宋" w:eastAsia="仿宋" w:cs="仿宋"/>
          <w:b/>
          <w:bCs/>
          <w:color w:val="auto"/>
          <w:spacing w:val="0"/>
          <w:sz w:val="24"/>
          <w:szCs w:val="24"/>
          <w:highlight w:val="none"/>
        </w:rPr>
        <w:t>条</w:t>
      </w:r>
      <w:r>
        <w:rPr>
          <w:rFonts w:hint="eastAsia" w:ascii="仿宋" w:hAnsi="仿宋" w:eastAsia="仿宋" w:cs="仿宋"/>
          <w:color w:val="auto"/>
          <w:spacing w:val="0"/>
          <w:sz w:val="24"/>
          <w:szCs w:val="24"/>
          <w:highlight w:val="none"/>
        </w:rPr>
        <w:t xml:space="preserve"> 本合同若产生争议，双方可协商解决，如协商不成，则提交发包人所在地的法院进行诉讼。</w:t>
      </w:r>
      <w:bookmarkEnd w:id="88"/>
    </w:p>
    <w:p w14:paraId="44ED934D">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89" w:name="_Toc8293696"/>
      <w:r>
        <w:rPr>
          <w:rFonts w:hint="eastAsia" w:ascii="仿宋" w:hAnsi="仿宋" w:eastAsia="仿宋" w:cs="仿宋"/>
          <w:b/>
          <w:bCs/>
          <w:color w:val="auto"/>
          <w:spacing w:val="0"/>
          <w:sz w:val="24"/>
          <w:szCs w:val="24"/>
          <w:highlight w:val="none"/>
        </w:rPr>
        <w:t>第</w:t>
      </w:r>
      <w:r>
        <w:rPr>
          <w:rFonts w:hint="eastAsia" w:ascii="仿宋" w:hAnsi="仿宋" w:eastAsia="仿宋" w:cs="仿宋"/>
          <w:b/>
          <w:bCs/>
          <w:color w:val="auto"/>
          <w:spacing w:val="0"/>
          <w:sz w:val="24"/>
          <w:szCs w:val="24"/>
          <w:highlight w:val="none"/>
          <w:lang w:val="en-US" w:eastAsia="zh-CN"/>
        </w:rPr>
        <w:t>十九</w:t>
      </w:r>
      <w:r>
        <w:rPr>
          <w:rFonts w:hint="eastAsia" w:ascii="仿宋" w:hAnsi="仿宋" w:eastAsia="仿宋" w:cs="仿宋"/>
          <w:b/>
          <w:bCs/>
          <w:color w:val="auto"/>
          <w:spacing w:val="0"/>
          <w:sz w:val="24"/>
          <w:szCs w:val="24"/>
          <w:highlight w:val="none"/>
        </w:rPr>
        <w:t>条</w:t>
      </w:r>
      <w:bookmarkEnd w:id="89"/>
      <w:r>
        <w:rPr>
          <w:rFonts w:hint="eastAsia" w:ascii="仿宋" w:hAnsi="仿宋" w:eastAsia="仿宋" w:cs="仿宋"/>
          <w:color w:val="auto"/>
          <w:spacing w:val="0"/>
          <w:sz w:val="24"/>
          <w:szCs w:val="24"/>
          <w:highlight w:val="none"/>
        </w:rPr>
        <w:t xml:space="preserve"> 本合同自双方法定代表人（或授权代理人）签字并加盖单位公章（或单位合同专用章）之日起生效，合同有效期至本工程质量保修期结束、所有款项结清且双方权利义务完成时止。</w:t>
      </w:r>
      <w:bookmarkStart w:id="90" w:name="_Toc8293697"/>
    </w:p>
    <w:p w14:paraId="6938C09F">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b/>
          <w:bCs/>
          <w:color w:val="auto"/>
          <w:spacing w:val="0"/>
          <w:sz w:val="24"/>
          <w:szCs w:val="24"/>
          <w:highlight w:val="none"/>
        </w:rPr>
        <w:t>第二十条</w:t>
      </w:r>
      <w:r>
        <w:rPr>
          <w:rFonts w:hint="eastAsia" w:ascii="仿宋" w:hAnsi="仿宋" w:eastAsia="仿宋" w:cs="仿宋"/>
          <w:color w:val="auto"/>
          <w:spacing w:val="0"/>
          <w:sz w:val="24"/>
          <w:szCs w:val="24"/>
          <w:highlight w:val="none"/>
        </w:rPr>
        <w:t xml:space="preserve"> 本合同一式壹拾贰份，发包人执壹拾份，承包人执贰份</w:t>
      </w:r>
      <w:bookmarkEnd w:id="90"/>
      <w:r>
        <w:rPr>
          <w:rFonts w:hint="eastAsia" w:ascii="仿宋" w:hAnsi="仿宋" w:eastAsia="仿宋" w:cs="仿宋"/>
          <w:color w:val="auto"/>
          <w:spacing w:val="0"/>
          <w:sz w:val="24"/>
          <w:szCs w:val="24"/>
          <w:highlight w:val="none"/>
        </w:rPr>
        <w:t>，每份具有同等法律效力。</w:t>
      </w:r>
    </w:p>
    <w:p w14:paraId="414270D3">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b/>
          <w:bCs/>
          <w:color w:val="auto"/>
          <w:spacing w:val="0"/>
          <w:sz w:val="24"/>
          <w:szCs w:val="24"/>
          <w:highlight w:val="none"/>
        </w:rPr>
        <w:t>第二十</w:t>
      </w:r>
      <w:r>
        <w:rPr>
          <w:rFonts w:hint="eastAsia" w:ascii="仿宋" w:hAnsi="仿宋" w:eastAsia="仿宋" w:cs="仿宋"/>
          <w:b/>
          <w:bCs/>
          <w:color w:val="auto"/>
          <w:spacing w:val="0"/>
          <w:sz w:val="24"/>
          <w:szCs w:val="24"/>
          <w:highlight w:val="none"/>
          <w:lang w:val="en-US" w:eastAsia="zh-CN"/>
        </w:rPr>
        <w:t>一</w:t>
      </w:r>
      <w:r>
        <w:rPr>
          <w:rFonts w:hint="eastAsia" w:ascii="仿宋" w:hAnsi="仿宋" w:eastAsia="仿宋" w:cs="仿宋"/>
          <w:b/>
          <w:bCs/>
          <w:color w:val="auto"/>
          <w:spacing w:val="0"/>
          <w:sz w:val="24"/>
          <w:szCs w:val="24"/>
          <w:highlight w:val="none"/>
        </w:rPr>
        <w:t>条</w:t>
      </w:r>
      <w:r>
        <w:rPr>
          <w:rFonts w:hint="eastAsia" w:ascii="仿宋" w:hAnsi="仿宋" w:eastAsia="仿宋" w:cs="仿宋"/>
          <w:color w:val="auto"/>
          <w:spacing w:val="0"/>
          <w:sz w:val="24"/>
          <w:szCs w:val="24"/>
          <w:highlight w:val="none"/>
        </w:rPr>
        <w:t xml:space="preserve"> 附件为本合同重要组成部分，与本合同具有同等法律效力。</w:t>
      </w:r>
    </w:p>
    <w:p w14:paraId="73CB933C">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p>
    <w:p w14:paraId="2CEF190F">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第二十</w:t>
      </w:r>
      <w:r>
        <w:rPr>
          <w:rFonts w:hint="eastAsia" w:ascii="仿宋" w:hAnsi="仿宋" w:eastAsia="仿宋" w:cs="仿宋"/>
          <w:b/>
          <w:bCs/>
          <w:color w:val="auto"/>
          <w:spacing w:val="0"/>
          <w:sz w:val="24"/>
          <w:szCs w:val="24"/>
          <w:highlight w:val="none"/>
          <w:lang w:val="en-US" w:eastAsia="zh-CN"/>
        </w:rPr>
        <w:t>二</w:t>
      </w:r>
      <w:r>
        <w:rPr>
          <w:rFonts w:hint="eastAsia" w:ascii="仿宋" w:hAnsi="仿宋" w:eastAsia="仿宋" w:cs="仿宋"/>
          <w:b/>
          <w:bCs/>
          <w:color w:val="auto"/>
          <w:spacing w:val="0"/>
          <w:sz w:val="24"/>
          <w:szCs w:val="24"/>
          <w:highlight w:val="none"/>
        </w:rPr>
        <w:t>条 提示</w:t>
      </w:r>
    </w:p>
    <w:p w14:paraId="6BA11616">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合同是双方的真实意思表示，双方特别确认，本合同对双方权利义务的约定并无不当，发包人已进行了充分的解释和说明，双方认可不存在不合理地减轻、免除、加重任何一方责任或不合理的排除任何一方主要权利的情况，双方必须严格遵守。</w:t>
      </w:r>
    </w:p>
    <w:p w14:paraId="1DD92854">
      <w:pPr>
        <w:pStyle w:val="33"/>
        <w:pageBreakBefore w:val="0"/>
        <w:kinsoku/>
        <w:overflowPunct/>
        <w:topLinePunct w:val="0"/>
        <w:bidi w:val="0"/>
        <w:snapToGrid w:val="0"/>
        <w:spacing w:before="156" w:line="360" w:lineRule="auto"/>
        <w:ind w:firstLine="482"/>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提示承包人注意本合同中有关承包人责任条款、减轻或免除发包人责任条款等与承包人有重大利害关系的条款的内容；承包人签署本合同后，视为承包人已充分知悉并完全清楚理解所有合同条款之含义，均无异议和不明确之处。</w:t>
      </w:r>
    </w:p>
    <w:p w14:paraId="42778B3C">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91" w:name="_Toc8293698"/>
      <w:r>
        <w:rPr>
          <w:rFonts w:hint="eastAsia" w:ascii="仿宋" w:hAnsi="仿宋" w:eastAsia="仿宋" w:cs="仿宋"/>
          <w:color w:val="auto"/>
          <w:spacing w:val="0"/>
          <w:sz w:val="24"/>
          <w:szCs w:val="24"/>
          <w:highlight w:val="none"/>
        </w:rPr>
        <w:t>注：</w:t>
      </w:r>
    </w:p>
    <w:p w14:paraId="2EECEC5E">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附件一：</w:t>
      </w:r>
      <w:bookmarkEnd w:id="91"/>
      <w:r>
        <w:rPr>
          <w:rFonts w:hint="eastAsia" w:ascii="仿宋" w:hAnsi="仿宋" w:eastAsia="仿宋" w:cs="仿宋"/>
          <w:color w:val="auto"/>
          <w:spacing w:val="0"/>
          <w:sz w:val="24"/>
          <w:szCs w:val="24"/>
          <w:highlight w:val="none"/>
        </w:rPr>
        <w:t>合同价款组成表</w:t>
      </w:r>
    </w:p>
    <w:p w14:paraId="5234A16C">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92" w:name="_Toc8293699"/>
      <w:r>
        <w:rPr>
          <w:rFonts w:hint="eastAsia" w:ascii="仿宋" w:hAnsi="仿宋" w:eastAsia="仿宋" w:cs="仿宋"/>
          <w:color w:val="auto"/>
          <w:spacing w:val="0"/>
          <w:sz w:val="24"/>
          <w:szCs w:val="24"/>
          <w:highlight w:val="none"/>
        </w:rPr>
        <w:t>附件二：技术需求书</w:t>
      </w:r>
      <w:bookmarkEnd w:id="92"/>
    </w:p>
    <w:p w14:paraId="48218CD1">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93" w:name="_Toc8293700"/>
      <w:r>
        <w:rPr>
          <w:rFonts w:hint="eastAsia" w:ascii="仿宋" w:hAnsi="仿宋" w:eastAsia="仿宋" w:cs="仿宋"/>
          <w:color w:val="auto"/>
          <w:spacing w:val="0"/>
          <w:sz w:val="24"/>
          <w:szCs w:val="24"/>
          <w:highlight w:val="none"/>
        </w:rPr>
        <w:t>附件三：安全责任书</w:t>
      </w:r>
      <w:bookmarkEnd w:id="93"/>
    </w:p>
    <w:p w14:paraId="4A240CEF">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94" w:name="_Toc8293701"/>
      <w:r>
        <w:rPr>
          <w:rFonts w:hint="eastAsia" w:ascii="仿宋" w:hAnsi="仿宋" w:eastAsia="仿宋" w:cs="仿宋"/>
          <w:color w:val="auto"/>
          <w:spacing w:val="0"/>
          <w:sz w:val="24"/>
          <w:szCs w:val="24"/>
          <w:highlight w:val="none"/>
        </w:rPr>
        <w:t>附件四：</w:t>
      </w:r>
      <w:bookmarkEnd w:id="94"/>
      <w:r>
        <w:rPr>
          <w:rFonts w:hint="eastAsia" w:ascii="仿宋" w:hAnsi="仿宋" w:eastAsia="仿宋" w:cs="仿宋"/>
          <w:color w:val="auto"/>
          <w:spacing w:val="0"/>
          <w:sz w:val="24"/>
          <w:szCs w:val="24"/>
          <w:highlight w:val="none"/>
        </w:rPr>
        <w:t xml:space="preserve">工程建设项目廉政责任书 </w:t>
      </w:r>
    </w:p>
    <w:p w14:paraId="641112F3">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95" w:name="_Toc8293702"/>
      <w:r>
        <w:rPr>
          <w:rFonts w:hint="eastAsia" w:ascii="仿宋" w:hAnsi="仿宋" w:eastAsia="仿宋" w:cs="仿宋"/>
          <w:color w:val="auto"/>
          <w:spacing w:val="0"/>
          <w:sz w:val="24"/>
          <w:szCs w:val="24"/>
          <w:highlight w:val="none"/>
        </w:rPr>
        <w:t>附件五：</w:t>
      </w:r>
      <w:bookmarkEnd w:id="95"/>
      <w:r>
        <w:rPr>
          <w:rFonts w:hint="eastAsia" w:ascii="仿宋" w:hAnsi="仿宋" w:eastAsia="仿宋" w:cs="仿宋"/>
          <w:color w:val="auto"/>
          <w:spacing w:val="0"/>
          <w:sz w:val="24"/>
          <w:szCs w:val="24"/>
          <w:highlight w:val="none"/>
        </w:rPr>
        <w:t xml:space="preserve">安全管理协议  </w:t>
      </w:r>
    </w:p>
    <w:p w14:paraId="7E10E437">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bookmarkStart w:id="96" w:name="_Toc8293703"/>
      <w:r>
        <w:rPr>
          <w:rFonts w:hint="eastAsia" w:ascii="仿宋" w:hAnsi="仿宋" w:eastAsia="仿宋" w:cs="仿宋"/>
          <w:color w:val="auto"/>
          <w:spacing w:val="0"/>
          <w:sz w:val="24"/>
          <w:szCs w:val="24"/>
          <w:highlight w:val="none"/>
        </w:rPr>
        <w:t>附件六：</w:t>
      </w:r>
      <w:bookmarkEnd w:id="96"/>
      <w:r>
        <w:rPr>
          <w:rFonts w:hint="eastAsia" w:ascii="仿宋" w:hAnsi="仿宋" w:eastAsia="仿宋" w:cs="仿宋"/>
          <w:color w:val="auto"/>
          <w:spacing w:val="0"/>
          <w:sz w:val="24"/>
          <w:szCs w:val="24"/>
          <w:highlight w:val="none"/>
        </w:rPr>
        <w:t>质量管理协议</w:t>
      </w:r>
    </w:p>
    <w:p w14:paraId="6910206B">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附件七：环保、文明施工管理协议</w:t>
      </w:r>
    </w:p>
    <w:p w14:paraId="2AB88E40">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附件八：质量保修书</w:t>
      </w:r>
    </w:p>
    <w:p w14:paraId="0535FDE0">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附件九：关于按时足额发放工人工资的承诺书</w:t>
      </w:r>
    </w:p>
    <w:p w14:paraId="03593EF0">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附件十：结 算 承 诺 书</w:t>
      </w:r>
    </w:p>
    <w:p w14:paraId="11D03862">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（以下无正文）</w:t>
      </w:r>
    </w:p>
    <w:p w14:paraId="5108029C">
      <w:pPr>
        <w:pStyle w:val="4"/>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447B81F3">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08227445">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bookmarkStart w:id="97" w:name="_Toc8293705"/>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广州锦泷房地产开发</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 xml:space="preserve">     承包人 </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联合体主办</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 xml:space="preserve">：       </w:t>
      </w:r>
    </w:p>
    <w:p w14:paraId="7C0FCE1B">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lang w:val="en-US" w:eastAsia="zh-CN"/>
        </w:rPr>
        <w:t>有限公司</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公章)</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(公章)</w:t>
      </w:r>
    </w:p>
    <w:p w14:paraId="0562DF18">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p>
    <w:p w14:paraId="3D1543CE">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法定代表人或其委托代理人：      法定代表人或其委托代理人：</w:t>
      </w:r>
    </w:p>
    <w:p w14:paraId="73D7167E">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（签字）                         （签字）</w:t>
      </w:r>
    </w:p>
    <w:p w14:paraId="1D86C5C1">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地    址：                       地    址：</w:t>
      </w:r>
    </w:p>
    <w:p w14:paraId="565D38D5">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收 件 人：                       收 件 人：</w:t>
      </w:r>
    </w:p>
    <w:bookmarkEnd w:id="97"/>
    <w:p w14:paraId="07C9AE69">
      <w:pPr>
        <w:pageBreakBefore w:val="0"/>
        <w:kinsoku/>
        <w:overflowPunct/>
        <w:topLinePunct w:val="0"/>
        <w:bidi w:val="0"/>
        <w:adjustRightInd w:val="0"/>
        <w:snapToGrid w:val="0"/>
        <w:spacing w:line="360" w:lineRule="auto"/>
        <w:rPr>
          <w:rFonts w:hint="eastAsia" w:ascii="仿宋" w:hAnsi="仿宋" w:eastAsia="仿宋" w:cs="仿宋"/>
          <w:color w:val="auto"/>
          <w:spacing w:val="0"/>
          <w:sz w:val="24"/>
          <w:szCs w:val="24"/>
          <w:highlight w:val="none"/>
        </w:rPr>
      </w:pPr>
    </w:p>
    <w:p w14:paraId="10613756">
      <w:pPr>
        <w:pageBreakBefore w:val="0"/>
        <w:kinsoku/>
        <w:overflowPunct/>
        <w:topLinePunct w:val="0"/>
        <w:bidi w:val="0"/>
        <w:snapToGrid w:val="0"/>
        <w:spacing w:before="156" w:beforeLines="50" w:line="360" w:lineRule="auto"/>
        <w:ind w:left="480" w:leftChars="200" w:firstLine="480" w:firstLineChars="200"/>
        <w:jc w:val="left"/>
        <w:rPr>
          <w:rFonts w:hint="eastAsia" w:ascii="仿宋" w:hAnsi="仿宋" w:eastAsia="仿宋" w:cs="仿宋"/>
          <w:color w:val="auto"/>
          <w:spacing w:val="0"/>
          <w:sz w:val="24"/>
          <w:szCs w:val="24"/>
          <w:highlight w:val="none"/>
        </w:rPr>
      </w:pPr>
      <w:bookmarkStart w:id="98" w:name="_Toc8293708"/>
      <w:r>
        <w:rPr>
          <w:rFonts w:hint="eastAsia" w:ascii="仿宋" w:hAnsi="仿宋" w:eastAsia="仿宋" w:cs="仿宋"/>
          <w:color w:val="auto"/>
          <w:spacing w:val="0"/>
          <w:sz w:val="24"/>
          <w:szCs w:val="24"/>
          <w:highlight w:val="none"/>
        </w:rPr>
        <w:t>签订日期：   年    月   日      签订日期：   年    月   日</w:t>
      </w:r>
    </w:p>
    <w:p w14:paraId="7AECD140">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color w:val="auto"/>
          <w:spacing w:val="0"/>
          <w:sz w:val="24"/>
          <w:szCs w:val="24"/>
          <w:highlight w:val="none"/>
        </w:rPr>
      </w:pPr>
    </w:p>
    <w:p w14:paraId="6C0F4B42">
      <w:pPr>
        <w:pStyle w:val="4"/>
        <w:pageBreakBefore w:val="0"/>
        <w:kinsoku/>
        <w:overflowPunct/>
        <w:topLinePunct w:val="0"/>
        <w:bidi w:val="0"/>
        <w:snapToGrid w:val="0"/>
        <w:spacing w:line="360" w:lineRule="auto"/>
        <w:ind w:firstLine="0" w:firstLineChars="0"/>
        <w:outlineLvl w:val="9"/>
        <w:rPr>
          <w:rFonts w:hint="eastAsia" w:ascii="仿宋" w:hAnsi="仿宋" w:eastAsia="仿宋" w:cs="仿宋"/>
          <w:b/>
          <w:color w:val="auto"/>
          <w:spacing w:val="0"/>
          <w:sz w:val="24"/>
          <w:szCs w:val="24"/>
          <w:highlight w:val="none"/>
        </w:rPr>
      </w:pPr>
    </w:p>
    <w:p w14:paraId="4217AB90">
      <w:pPr>
        <w:pageBreakBefore w:val="0"/>
        <w:kinsoku/>
        <w:overflowPunct/>
        <w:topLinePunct w:val="0"/>
        <w:bidi w:val="0"/>
        <w:snapToGrid w:val="0"/>
        <w:spacing w:line="360" w:lineRule="auto"/>
        <w:rPr>
          <w:rFonts w:hint="eastAsia" w:ascii="仿宋" w:hAnsi="仿宋" w:eastAsia="仿宋" w:cs="仿宋"/>
          <w:b/>
          <w:color w:val="auto"/>
          <w:spacing w:val="0"/>
          <w:sz w:val="24"/>
          <w:szCs w:val="24"/>
          <w:highlight w:val="none"/>
        </w:rPr>
      </w:pPr>
    </w:p>
    <w:p w14:paraId="64949FDE">
      <w:pPr>
        <w:pStyle w:val="4"/>
        <w:pageBreakBefore w:val="0"/>
        <w:kinsoku/>
        <w:overflowPunct/>
        <w:topLinePunct w:val="0"/>
        <w:bidi w:val="0"/>
        <w:snapToGrid w:val="0"/>
        <w:spacing w:line="360" w:lineRule="auto"/>
        <w:ind w:firstLine="0" w:firstLineChars="0"/>
        <w:outlineLvl w:val="9"/>
        <w:rPr>
          <w:rFonts w:hint="eastAsia" w:ascii="仿宋" w:hAnsi="仿宋" w:eastAsia="仿宋" w:cs="仿宋"/>
          <w:b/>
          <w:color w:val="auto"/>
          <w:spacing w:val="0"/>
          <w:sz w:val="24"/>
          <w:szCs w:val="24"/>
          <w:highlight w:val="none"/>
        </w:rPr>
      </w:pPr>
    </w:p>
    <w:p w14:paraId="1B01977E">
      <w:pPr>
        <w:pageBreakBefore w:val="0"/>
        <w:kinsoku/>
        <w:overflowPunct/>
        <w:topLinePunct w:val="0"/>
        <w:bidi w:val="0"/>
        <w:snapToGrid w:val="0"/>
        <w:spacing w:line="360" w:lineRule="auto"/>
        <w:rPr>
          <w:rFonts w:hint="eastAsia" w:ascii="仿宋" w:hAnsi="仿宋" w:eastAsia="仿宋" w:cs="仿宋"/>
          <w:b/>
          <w:color w:val="auto"/>
          <w:spacing w:val="0"/>
          <w:sz w:val="24"/>
          <w:szCs w:val="24"/>
          <w:highlight w:val="none"/>
        </w:rPr>
      </w:pPr>
    </w:p>
    <w:p w14:paraId="5F1BBA91">
      <w:pPr>
        <w:pStyle w:val="4"/>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15BCDE41">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color w:val="auto"/>
          <w:spacing w:val="0"/>
          <w:sz w:val="24"/>
          <w:szCs w:val="24"/>
          <w:highlight w:val="none"/>
        </w:rPr>
      </w:pPr>
    </w:p>
    <w:p w14:paraId="68071539">
      <w:pPr>
        <w:pStyle w:val="2"/>
        <w:rPr>
          <w:rFonts w:hint="eastAsia" w:ascii="仿宋" w:hAnsi="仿宋" w:eastAsia="仿宋" w:cs="仿宋"/>
          <w:b/>
          <w:color w:val="auto"/>
          <w:spacing w:val="0"/>
          <w:sz w:val="24"/>
          <w:szCs w:val="24"/>
          <w:highlight w:val="none"/>
        </w:rPr>
      </w:pPr>
    </w:p>
    <w:p w14:paraId="783070F7">
      <w:pPr>
        <w:pStyle w:val="2"/>
        <w:rPr>
          <w:rFonts w:hint="eastAsia" w:ascii="仿宋" w:hAnsi="仿宋" w:eastAsia="仿宋" w:cs="仿宋"/>
          <w:b/>
          <w:color w:val="auto"/>
          <w:spacing w:val="0"/>
          <w:sz w:val="24"/>
          <w:szCs w:val="24"/>
          <w:highlight w:val="none"/>
        </w:rPr>
      </w:pPr>
    </w:p>
    <w:p w14:paraId="125EA41A">
      <w:pPr>
        <w:pStyle w:val="2"/>
        <w:rPr>
          <w:rFonts w:hint="eastAsia" w:ascii="仿宋" w:hAnsi="仿宋" w:eastAsia="仿宋" w:cs="仿宋"/>
          <w:b/>
          <w:color w:val="auto"/>
          <w:spacing w:val="0"/>
          <w:sz w:val="24"/>
          <w:szCs w:val="24"/>
          <w:highlight w:val="none"/>
        </w:rPr>
      </w:pPr>
    </w:p>
    <w:p w14:paraId="5F349CDA">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snapToGrid w:val="0"/>
          <w:color w:val="auto"/>
          <w:spacing w:val="0"/>
          <w:kern w:val="0"/>
          <w:sz w:val="24"/>
          <w:szCs w:val="24"/>
          <w:highlight w:val="none"/>
        </w:rPr>
      </w:pPr>
      <w:r>
        <w:rPr>
          <w:rFonts w:hint="eastAsia" w:ascii="仿宋" w:hAnsi="仿宋" w:eastAsia="仿宋" w:cs="仿宋"/>
          <w:b/>
          <w:color w:val="auto"/>
          <w:spacing w:val="0"/>
          <w:sz w:val="24"/>
          <w:szCs w:val="24"/>
          <w:highlight w:val="none"/>
        </w:rPr>
        <w:t>附件一：</w:t>
      </w:r>
      <w:bookmarkEnd w:id="98"/>
      <w:r>
        <w:rPr>
          <w:rFonts w:hint="eastAsia" w:ascii="仿宋" w:hAnsi="仿宋" w:eastAsia="仿宋" w:cs="仿宋"/>
          <w:b/>
          <w:color w:val="auto"/>
          <w:spacing w:val="0"/>
          <w:sz w:val="24"/>
          <w:szCs w:val="24"/>
          <w:highlight w:val="none"/>
        </w:rPr>
        <w:t xml:space="preserve">                    </w:t>
      </w:r>
      <w:r>
        <w:rPr>
          <w:rFonts w:hint="eastAsia" w:ascii="仿宋" w:hAnsi="仿宋" w:eastAsia="仿宋" w:cs="仿宋"/>
          <w:b/>
          <w:snapToGrid w:val="0"/>
          <w:color w:val="auto"/>
          <w:spacing w:val="0"/>
          <w:kern w:val="0"/>
          <w:sz w:val="24"/>
          <w:szCs w:val="24"/>
          <w:highlight w:val="none"/>
        </w:rPr>
        <w:t>合同价款组成表</w:t>
      </w:r>
    </w:p>
    <w:p w14:paraId="00724592">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snapToGrid w:val="0"/>
          <w:color w:val="auto"/>
          <w:spacing w:val="0"/>
          <w:kern w:val="0"/>
          <w:sz w:val="24"/>
          <w:szCs w:val="24"/>
          <w:highlight w:val="none"/>
        </w:rPr>
      </w:pPr>
    </w:p>
    <w:p w14:paraId="3AE39482">
      <w:pPr>
        <w:pageBreakBefore w:val="0"/>
        <w:kinsoku/>
        <w:overflowPunct/>
        <w:topLinePunct w:val="0"/>
        <w:bidi w:val="0"/>
        <w:adjustRightInd w:val="0"/>
        <w:snapToGrid w:val="0"/>
        <w:spacing w:before="120" w:after="120" w:line="360" w:lineRule="auto"/>
        <w:ind w:firstLine="480" w:firstLineChars="200"/>
        <w:outlineLvl w:val="9"/>
        <w:rPr>
          <w:rFonts w:hint="eastAsia" w:ascii="仿宋" w:hAnsi="仿宋" w:eastAsia="仿宋" w:cs="仿宋"/>
          <w:b/>
          <w:snapToGrid w:val="0"/>
          <w:color w:val="auto"/>
          <w:spacing w:val="0"/>
          <w:kern w:val="0"/>
          <w:sz w:val="24"/>
          <w:szCs w:val="24"/>
          <w:highlight w:val="none"/>
        </w:rPr>
      </w:pPr>
    </w:p>
    <w:p w14:paraId="6D0CC9BE">
      <w:pPr>
        <w:pStyle w:val="4"/>
        <w:pageBreakBefore w:val="0"/>
        <w:kinsoku/>
        <w:overflowPunct/>
        <w:topLinePunct w:val="0"/>
        <w:bidi w:val="0"/>
        <w:snapToGrid w:val="0"/>
        <w:spacing w:line="360" w:lineRule="auto"/>
        <w:ind w:firstLine="0" w:firstLineChars="0"/>
        <w:outlineLvl w:val="9"/>
        <w:rPr>
          <w:rFonts w:hint="eastAsia" w:ascii="仿宋" w:hAnsi="仿宋" w:eastAsia="仿宋" w:cs="仿宋"/>
          <w:b/>
          <w:snapToGrid w:val="0"/>
          <w:color w:val="auto"/>
          <w:spacing w:val="0"/>
          <w:kern w:val="0"/>
          <w:sz w:val="24"/>
          <w:szCs w:val="24"/>
          <w:highlight w:val="none"/>
        </w:rPr>
      </w:pPr>
    </w:p>
    <w:p w14:paraId="5C87FD20">
      <w:pPr>
        <w:pageBreakBefore w:val="0"/>
        <w:kinsoku/>
        <w:overflowPunct/>
        <w:topLinePunct w:val="0"/>
        <w:bidi w:val="0"/>
        <w:snapToGrid w:val="0"/>
        <w:spacing w:line="360" w:lineRule="auto"/>
        <w:rPr>
          <w:rFonts w:hint="eastAsia" w:ascii="仿宋" w:hAnsi="仿宋" w:eastAsia="仿宋" w:cs="仿宋"/>
          <w:b/>
          <w:snapToGrid w:val="0"/>
          <w:color w:val="auto"/>
          <w:spacing w:val="0"/>
          <w:kern w:val="0"/>
          <w:sz w:val="24"/>
          <w:szCs w:val="24"/>
          <w:highlight w:val="none"/>
        </w:rPr>
      </w:pPr>
    </w:p>
    <w:p w14:paraId="7D253D47">
      <w:pPr>
        <w:pStyle w:val="4"/>
        <w:pageBreakBefore w:val="0"/>
        <w:kinsoku/>
        <w:overflowPunct/>
        <w:topLinePunct w:val="0"/>
        <w:bidi w:val="0"/>
        <w:snapToGrid w:val="0"/>
        <w:spacing w:line="360" w:lineRule="auto"/>
        <w:ind w:firstLine="0" w:firstLineChars="0"/>
        <w:outlineLvl w:val="9"/>
        <w:rPr>
          <w:rFonts w:hint="eastAsia" w:ascii="仿宋" w:hAnsi="仿宋" w:eastAsia="仿宋" w:cs="仿宋"/>
          <w:b/>
          <w:snapToGrid w:val="0"/>
          <w:color w:val="auto"/>
          <w:spacing w:val="0"/>
          <w:kern w:val="0"/>
          <w:sz w:val="24"/>
          <w:szCs w:val="24"/>
          <w:highlight w:val="none"/>
        </w:rPr>
      </w:pPr>
    </w:p>
    <w:p w14:paraId="46944234">
      <w:pPr>
        <w:pageBreakBefore w:val="0"/>
        <w:kinsoku/>
        <w:overflowPunct/>
        <w:topLinePunct w:val="0"/>
        <w:bidi w:val="0"/>
        <w:snapToGrid w:val="0"/>
        <w:spacing w:line="360" w:lineRule="auto"/>
        <w:rPr>
          <w:rFonts w:hint="eastAsia" w:ascii="仿宋" w:hAnsi="仿宋" w:eastAsia="仿宋" w:cs="仿宋"/>
          <w:b/>
          <w:snapToGrid w:val="0"/>
          <w:color w:val="auto"/>
          <w:spacing w:val="0"/>
          <w:kern w:val="0"/>
          <w:sz w:val="24"/>
          <w:szCs w:val="24"/>
          <w:highlight w:val="none"/>
        </w:rPr>
      </w:pPr>
    </w:p>
    <w:p w14:paraId="60F6FD7B">
      <w:pPr>
        <w:pStyle w:val="4"/>
        <w:pageBreakBefore w:val="0"/>
        <w:kinsoku/>
        <w:overflowPunct/>
        <w:topLinePunct w:val="0"/>
        <w:bidi w:val="0"/>
        <w:snapToGrid w:val="0"/>
        <w:spacing w:line="360" w:lineRule="auto"/>
        <w:ind w:firstLine="0" w:firstLineChars="0"/>
        <w:outlineLvl w:val="9"/>
        <w:rPr>
          <w:rFonts w:hint="eastAsia" w:ascii="仿宋" w:hAnsi="仿宋" w:eastAsia="仿宋" w:cs="仿宋"/>
          <w:b/>
          <w:snapToGrid w:val="0"/>
          <w:color w:val="auto"/>
          <w:spacing w:val="0"/>
          <w:kern w:val="0"/>
          <w:sz w:val="24"/>
          <w:szCs w:val="24"/>
          <w:highlight w:val="none"/>
        </w:rPr>
      </w:pPr>
    </w:p>
    <w:p w14:paraId="10B103AA">
      <w:pPr>
        <w:pageBreakBefore w:val="0"/>
        <w:kinsoku/>
        <w:overflowPunct/>
        <w:topLinePunct w:val="0"/>
        <w:bidi w:val="0"/>
        <w:snapToGrid w:val="0"/>
        <w:spacing w:line="360" w:lineRule="auto"/>
        <w:rPr>
          <w:rFonts w:hint="eastAsia" w:ascii="仿宋" w:hAnsi="仿宋" w:eastAsia="仿宋" w:cs="仿宋"/>
          <w:b/>
          <w:snapToGrid w:val="0"/>
          <w:color w:val="auto"/>
          <w:spacing w:val="0"/>
          <w:kern w:val="0"/>
          <w:sz w:val="24"/>
          <w:szCs w:val="24"/>
          <w:highlight w:val="none"/>
        </w:rPr>
      </w:pPr>
    </w:p>
    <w:p w14:paraId="776B39B6">
      <w:pPr>
        <w:pStyle w:val="4"/>
        <w:pageBreakBefore w:val="0"/>
        <w:kinsoku/>
        <w:overflowPunct/>
        <w:topLinePunct w:val="0"/>
        <w:bidi w:val="0"/>
        <w:snapToGrid w:val="0"/>
        <w:spacing w:line="360" w:lineRule="auto"/>
        <w:ind w:firstLine="0" w:firstLineChars="0"/>
        <w:outlineLvl w:val="9"/>
        <w:rPr>
          <w:rFonts w:hint="eastAsia" w:ascii="仿宋" w:hAnsi="仿宋" w:eastAsia="仿宋" w:cs="仿宋"/>
          <w:b/>
          <w:snapToGrid w:val="0"/>
          <w:color w:val="auto"/>
          <w:spacing w:val="0"/>
          <w:kern w:val="0"/>
          <w:sz w:val="24"/>
          <w:szCs w:val="24"/>
          <w:highlight w:val="none"/>
        </w:rPr>
      </w:pPr>
    </w:p>
    <w:p w14:paraId="062845CD">
      <w:pPr>
        <w:pageBreakBefore w:val="0"/>
        <w:kinsoku/>
        <w:overflowPunct/>
        <w:topLinePunct w:val="0"/>
        <w:bidi w:val="0"/>
        <w:snapToGrid w:val="0"/>
        <w:spacing w:line="360" w:lineRule="auto"/>
        <w:rPr>
          <w:rFonts w:hint="eastAsia" w:ascii="仿宋" w:hAnsi="仿宋" w:eastAsia="仿宋" w:cs="仿宋"/>
          <w:b/>
          <w:snapToGrid w:val="0"/>
          <w:color w:val="auto"/>
          <w:spacing w:val="0"/>
          <w:kern w:val="0"/>
          <w:sz w:val="24"/>
          <w:szCs w:val="24"/>
          <w:highlight w:val="none"/>
        </w:rPr>
      </w:pPr>
    </w:p>
    <w:p w14:paraId="1302C5E5">
      <w:pPr>
        <w:pStyle w:val="4"/>
        <w:pageBreakBefore w:val="0"/>
        <w:kinsoku/>
        <w:overflowPunct/>
        <w:topLinePunct w:val="0"/>
        <w:bidi w:val="0"/>
        <w:snapToGrid w:val="0"/>
        <w:spacing w:line="360" w:lineRule="auto"/>
        <w:ind w:firstLine="0" w:firstLineChars="0"/>
        <w:outlineLvl w:val="9"/>
        <w:rPr>
          <w:rFonts w:hint="eastAsia" w:ascii="仿宋" w:hAnsi="仿宋" w:eastAsia="仿宋" w:cs="仿宋"/>
          <w:b/>
          <w:snapToGrid w:val="0"/>
          <w:color w:val="auto"/>
          <w:spacing w:val="0"/>
          <w:kern w:val="0"/>
          <w:sz w:val="24"/>
          <w:szCs w:val="24"/>
          <w:highlight w:val="none"/>
        </w:rPr>
      </w:pPr>
    </w:p>
    <w:p w14:paraId="4BE47D29">
      <w:pPr>
        <w:pageBreakBefore w:val="0"/>
        <w:kinsoku/>
        <w:overflowPunct/>
        <w:topLinePunct w:val="0"/>
        <w:bidi w:val="0"/>
        <w:snapToGrid w:val="0"/>
        <w:spacing w:line="360" w:lineRule="auto"/>
        <w:rPr>
          <w:rFonts w:hint="eastAsia" w:ascii="仿宋" w:hAnsi="仿宋" w:eastAsia="仿宋" w:cs="仿宋"/>
          <w:b/>
          <w:snapToGrid w:val="0"/>
          <w:color w:val="auto"/>
          <w:spacing w:val="0"/>
          <w:kern w:val="0"/>
          <w:sz w:val="24"/>
          <w:szCs w:val="24"/>
          <w:highlight w:val="none"/>
        </w:rPr>
      </w:pPr>
    </w:p>
    <w:p w14:paraId="4EB0E0A3">
      <w:pPr>
        <w:pStyle w:val="4"/>
        <w:pageBreakBefore w:val="0"/>
        <w:kinsoku/>
        <w:overflowPunct/>
        <w:topLinePunct w:val="0"/>
        <w:bidi w:val="0"/>
        <w:snapToGrid w:val="0"/>
        <w:spacing w:line="360" w:lineRule="auto"/>
        <w:ind w:firstLine="0" w:firstLineChars="0"/>
        <w:outlineLvl w:val="9"/>
        <w:rPr>
          <w:rFonts w:hint="eastAsia" w:ascii="仿宋" w:hAnsi="仿宋" w:eastAsia="仿宋" w:cs="仿宋"/>
          <w:b/>
          <w:snapToGrid w:val="0"/>
          <w:color w:val="auto"/>
          <w:spacing w:val="0"/>
          <w:kern w:val="0"/>
          <w:sz w:val="24"/>
          <w:szCs w:val="24"/>
          <w:highlight w:val="none"/>
        </w:rPr>
      </w:pPr>
    </w:p>
    <w:p w14:paraId="671E528A">
      <w:pPr>
        <w:pageBreakBefore w:val="0"/>
        <w:kinsoku/>
        <w:overflowPunct/>
        <w:topLinePunct w:val="0"/>
        <w:bidi w:val="0"/>
        <w:snapToGrid w:val="0"/>
        <w:spacing w:line="360" w:lineRule="auto"/>
        <w:ind w:left="0" w:leftChars="0" w:firstLine="0" w:firstLineChars="0"/>
        <w:rPr>
          <w:rFonts w:hint="eastAsia" w:ascii="仿宋" w:hAnsi="仿宋" w:eastAsia="仿宋" w:cs="仿宋"/>
          <w:color w:val="auto"/>
          <w:spacing w:val="0"/>
          <w:sz w:val="24"/>
          <w:szCs w:val="24"/>
          <w:highlight w:val="none"/>
        </w:rPr>
      </w:pPr>
    </w:p>
    <w:p w14:paraId="4F1CD7DD">
      <w:pPr>
        <w:pStyle w:val="2"/>
        <w:rPr>
          <w:rFonts w:hint="eastAsia" w:ascii="仿宋" w:hAnsi="仿宋" w:eastAsia="仿宋" w:cs="仿宋"/>
          <w:color w:val="auto"/>
          <w:spacing w:val="0"/>
          <w:sz w:val="24"/>
          <w:szCs w:val="24"/>
          <w:highlight w:val="none"/>
        </w:rPr>
      </w:pPr>
    </w:p>
    <w:p w14:paraId="7B125366">
      <w:pPr>
        <w:pStyle w:val="2"/>
        <w:rPr>
          <w:rFonts w:hint="eastAsia" w:ascii="仿宋" w:hAnsi="仿宋" w:eastAsia="仿宋" w:cs="仿宋"/>
          <w:color w:val="auto"/>
          <w:spacing w:val="0"/>
          <w:sz w:val="24"/>
          <w:szCs w:val="24"/>
          <w:highlight w:val="none"/>
        </w:rPr>
      </w:pPr>
    </w:p>
    <w:p w14:paraId="71C13B45">
      <w:pPr>
        <w:pStyle w:val="2"/>
        <w:rPr>
          <w:rFonts w:hint="eastAsia" w:ascii="仿宋" w:hAnsi="仿宋" w:eastAsia="仿宋" w:cs="仿宋"/>
          <w:color w:val="auto"/>
          <w:spacing w:val="0"/>
          <w:sz w:val="24"/>
          <w:szCs w:val="24"/>
          <w:highlight w:val="none"/>
        </w:rPr>
      </w:pPr>
    </w:p>
    <w:p w14:paraId="60DFD9E1">
      <w:pPr>
        <w:pStyle w:val="2"/>
        <w:rPr>
          <w:rFonts w:hint="eastAsia" w:ascii="仿宋" w:hAnsi="仿宋" w:eastAsia="仿宋" w:cs="仿宋"/>
          <w:color w:val="auto"/>
          <w:spacing w:val="0"/>
          <w:sz w:val="24"/>
          <w:szCs w:val="24"/>
          <w:highlight w:val="none"/>
        </w:rPr>
      </w:pPr>
    </w:p>
    <w:p w14:paraId="47C507FC">
      <w:pPr>
        <w:pageBreakBefore w:val="0"/>
        <w:kinsoku/>
        <w:overflowPunct/>
        <w:topLinePunct w:val="0"/>
        <w:bidi w:val="0"/>
        <w:adjustRightInd w:val="0"/>
        <w:snapToGrid w:val="0"/>
        <w:spacing w:before="120" w:after="120" w:line="360" w:lineRule="auto"/>
        <w:outlineLvl w:val="0"/>
        <w:rPr>
          <w:rFonts w:hint="eastAsia" w:ascii="仿宋" w:hAnsi="仿宋" w:eastAsia="仿宋" w:cs="仿宋"/>
          <w:b/>
          <w:color w:val="auto"/>
          <w:spacing w:val="0"/>
          <w:sz w:val="24"/>
          <w:szCs w:val="24"/>
          <w:highlight w:val="none"/>
        </w:rPr>
      </w:pPr>
      <w:bookmarkStart w:id="99" w:name="_Toc9093"/>
      <w:bookmarkStart w:id="100" w:name="_Toc8293709"/>
      <w:r>
        <w:rPr>
          <w:rFonts w:hint="eastAsia" w:ascii="仿宋" w:hAnsi="仿宋" w:eastAsia="仿宋" w:cs="仿宋"/>
          <w:b/>
          <w:color w:val="auto"/>
          <w:spacing w:val="0"/>
          <w:sz w:val="24"/>
          <w:szCs w:val="24"/>
          <w:highlight w:val="none"/>
        </w:rPr>
        <w:t>附件二：</w:t>
      </w:r>
      <w:bookmarkEnd w:id="99"/>
      <w:r>
        <w:rPr>
          <w:rFonts w:hint="eastAsia" w:ascii="仿宋" w:hAnsi="仿宋" w:eastAsia="仿宋" w:cs="仿宋"/>
          <w:b/>
          <w:color w:val="auto"/>
          <w:spacing w:val="0"/>
          <w:sz w:val="24"/>
          <w:szCs w:val="24"/>
          <w:highlight w:val="none"/>
        </w:rPr>
        <w:t xml:space="preserve">  </w:t>
      </w:r>
      <w:bookmarkEnd w:id="100"/>
    </w:p>
    <w:p w14:paraId="6CD01BCC">
      <w:pPr>
        <w:pageBreakBefore w:val="0"/>
        <w:kinsoku/>
        <w:overflowPunct/>
        <w:topLinePunct w:val="0"/>
        <w:bidi w:val="0"/>
        <w:adjustRightInd w:val="0"/>
        <w:snapToGrid w:val="0"/>
        <w:spacing w:line="360" w:lineRule="auto"/>
        <w:rPr>
          <w:rFonts w:hint="eastAsia" w:ascii="仿宋" w:hAnsi="仿宋" w:eastAsia="仿宋" w:cs="仿宋"/>
          <w:snapToGrid w:val="0"/>
          <w:color w:val="auto"/>
          <w:spacing w:val="0"/>
          <w:kern w:val="0"/>
          <w:sz w:val="24"/>
          <w:szCs w:val="24"/>
          <w:highlight w:val="none"/>
        </w:rPr>
      </w:pPr>
    </w:p>
    <w:p w14:paraId="06C7455E">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r>
        <w:rPr>
          <w:rFonts w:hint="eastAsia" w:ascii="仿宋" w:hAnsi="仿宋" w:eastAsia="仿宋" w:cs="仿宋"/>
          <w:b/>
          <w:snapToGrid w:val="0"/>
          <w:color w:val="auto"/>
          <w:spacing w:val="0"/>
          <w:kern w:val="0"/>
          <w:sz w:val="24"/>
          <w:szCs w:val="24"/>
          <w:highlight w:val="none"/>
        </w:rPr>
        <w:t xml:space="preserve">     </w:t>
      </w:r>
      <w:r>
        <w:rPr>
          <w:rFonts w:hint="eastAsia" w:ascii="仿宋" w:hAnsi="仿宋" w:eastAsia="仿宋" w:cs="仿宋"/>
          <w:b/>
          <w:color w:val="auto"/>
          <w:spacing w:val="0"/>
          <w:sz w:val="24"/>
          <w:szCs w:val="24"/>
          <w:highlight w:val="none"/>
          <w:u w:val="single"/>
        </w:rPr>
        <w:t>天河区</w:t>
      </w:r>
      <w:r>
        <w:rPr>
          <w:rFonts w:hint="eastAsia" w:ascii="仿宋" w:hAnsi="仿宋" w:eastAsia="仿宋" w:cs="仿宋"/>
          <w:b/>
          <w:color w:val="auto"/>
          <w:spacing w:val="0"/>
          <w:sz w:val="24"/>
          <w:szCs w:val="24"/>
          <w:highlight w:val="none"/>
          <w:u w:val="single"/>
          <w:lang w:val="en-US" w:eastAsia="zh-CN"/>
        </w:rPr>
        <w:t>金融城东区</w:t>
      </w:r>
      <w:r>
        <w:rPr>
          <w:rFonts w:hint="eastAsia" w:ascii="仿宋" w:hAnsi="仿宋" w:eastAsia="仿宋" w:cs="仿宋"/>
          <w:b/>
          <w:color w:val="auto"/>
          <w:spacing w:val="0"/>
          <w:sz w:val="24"/>
          <w:szCs w:val="24"/>
          <w:highlight w:val="none"/>
          <w:u w:val="single"/>
        </w:rPr>
        <w:t>AT0</w:t>
      </w:r>
      <w:r>
        <w:rPr>
          <w:rFonts w:hint="eastAsia" w:ascii="仿宋" w:hAnsi="仿宋" w:eastAsia="仿宋" w:cs="仿宋"/>
          <w:b/>
          <w:color w:val="auto"/>
          <w:spacing w:val="0"/>
          <w:sz w:val="24"/>
          <w:szCs w:val="24"/>
          <w:highlight w:val="none"/>
          <w:u w:val="single"/>
          <w:lang w:val="en-US" w:eastAsia="zh-CN"/>
        </w:rPr>
        <w:t>91415</w:t>
      </w:r>
      <w:r>
        <w:rPr>
          <w:rFonts w:hint="eastAsia" w:ascii="仿宋" w:hAnsi="仿宋" w:eastAsia="仿宋" w:cs="仿宋"/>
          <w:b/>
          <w:color w:val="auto"/>
          <w:spacing w:val="0"/>
          <w:sz w:val="24"/>
          <w:szCs w:val="24"/>
          <w:highlight w:val="none"/>
          <w:u w:val="single"/>
        </w:rPr>
        <w:t>地块</w:t>
      </w:r>
      <w:r>
        <w:rPr>
          <w:rFonts w:hint="eastAsia" w:ascii="仿宋" w:hAnsi="仿宋" w:eastAsia="仿宋" w:cs="仿宋"/>
          <w:b/>
          <w:snapToGrid w:val="0"/>
          <w:color w:val="auto"/>
          <w:spacing w:val="0"/>
          <w:kern w:val="0"/>
          <w:sz w:val="24"/>
          <w:szCs w:val="24"/>
          <w:highlight w:val="none"/>
        </w:rPr>
        <w:t>项目</w:t>
      </w:r>
    </w:p>
    <w:p w14:paraId="25BCDC20">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r>
        <w:rPr>
          <w:rFonts w:hint="eastAsia" w:ascii="仿宋" w:hAnsi="仿宋" w:eastAsia="仿宋" w:cs="仿宋"/>
          <w:b/>
          <w:snapToGrid w:val="0"/>
          <w:color w:val="auto"/>
          <w:spacing w:val="0"/>
          <w:kern w:val="0"/>
          <w:sz w:val="24"/>
          <w:szCs w:val="24"/>
          <w:highlight w:val="none"/>
        </w:rPr>
        <w:t>基坑支护和土方开挖技术规格</w:t>
      </w:r>
    </w:p>
    <w:p w14:paraId="59557B36">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r>
        <w:rPr>
          <w:rFonts w:hint="eastAsia" w:ascii="仿宋" w:hAnsi="仿宋" w:eastAsia="仿宋" w:cs="仿宋"/>
          <w:b/>
          <w:snapToGrid w:val="0"/>
          <w:color w:val="auto"/>
          <w:spacing w:val="0"/>
          <w:kern w:val="0"/>
          <w:sz w:val="24"/>
          <w:szCs w:val="24"/>
          <w:highlight w:val="none"/>
        </w:rPr>
        <w:t>用户需求书</w:t>
      </w:r>
    </w:p>
    <w:p w14:paraId="3F649A50">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1180C4C9">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1409FEB5">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5E7D1542">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7FA564F5">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071EFEFF">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4B293701">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07300E50">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59A1CA95">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2EE5A6D3">
      <w:pPr>
        <w:pageBreakBefore w:val="0"/>
        <w:kinsoku/>
        <w:overflowPunct/>
        <w:topLinePunct w:val="0"/>
        <w:bidi w:val="0"/>
        <w:adjustRightInd w:val="0"/>
        <w:snapToGrid w:val="0"/>
        <w:spacing w:after="0" w:line="360" w:lineRule="auto"/>
        <w:rPr>
          <w:rFonts w:hint="eastAsia" w:ascii="仿宋" w:hAnsi="仿宋" w:eastAsia="仿宋" w:cs="仿宋"/>
          <w:b/>
          <w:snapToGrid w:val="0"/>
          <w:color w:val="auto"/>
          <w:spacing w:val="0"/>
          <w:kern w:val="0"/>
          <w:sz w:val="24"/>
          <w:szCs w:val="24"/>
          <w:highlight w:val="none"/>
        </w:rPr>
      </w:pPr>
    </w:p>
    <w:p w14:paraId="3B3DA752">
      <w:pPr>
        <w:pageBreakBefore w:val="0"/>
        <w:kinsoku/>
        <w:overflowPunct/>
        <w:topLinePunct w:val="0"/>
        <w:bidi w:val="0"/>
        <w:adjustRightInd w:val="0"/>
        <w:snapToGrid w:val="0"/>
        <w:spacing w:line="360" w:lineRule="auto"/>
        <w:jc w:val="center"/>
        <w:rPr>
          <w:rFonts w:hint="eastAsia" w:ascii="仿宋" w:hAnsi="仿宋" w:eastAsia="仿宋" w:cs="仿宋"/>
          <w:b/>
          <w:snapToGrid w:val="0"/>
          <w:color w:val="auto"/>
          <w:spacing w:val="0"/>
          <w:kern w:val="0"/>
          <w:sz w:val="24"/>
          <w:szCs w:val="24"/>
          <w:highlight w:val="none"/>
        </w:rPr>
      </w:pPr>
    </w:p>
    <w:p w14:paraId="4748D73F">
      <w:pPr>
        <w:pageBreakBefore w:val="0"/>
        <w:kinsoku/>
        <w:overflowPunct/>
        <w:topLinePunct w:val="0"/>
        <w:bidi w:val="0"/>
        <w:adjustRightInd w:val="0"/>
        <w:snapToGrid w:val="0"/>
        <w:spacing w:line="360" w:lineRule="auto"/>
        <w:jc w:val="center"/>
        <w:rPr>
          <w:rFonts w:hint="eastAsia" w:ascii="仿宋" w:hAnsi="仿宋" w:eastAsia="仿宋" w:cs="仿宋"/>
          <w:color w:val="auto"/>
          <w:spacing w:val="0"/>
          <w:sz w:val="24"/>
          <w:szCs w:val="24"/>
          <w:highlight w:val="none"/>
        </w:rPr>
        <w:sectPr>
          <w:footerReference r:id="rId5" w:type="default"/>
          <w:pgSz w:w="11907" w:h="16840"/>
          <w:pgMar w:top="1474" w:right="1418" w:bottom="1191" w:left="1531" w:header="1247" w:footer="851" w:gutter="0"/>
          <w:cols w:space="720" w:num="1"/>
          <w:docGrid w:type="linesAndChars" w:linePitch="567" w:charSpace="-13"/>
        </w:sectPr>
      </w:pPr>
    </w:p>
    <w:p w14:paraId="50765949">
      <w:pPr>
        <w:pageBreakBefore w:val="0"/>
        <w:kinsoku/>
        <w:overflowPunct/>
        <w:topLinePunct w:val="0"/>
        <w:bidi w:val="0"/>
        <w:adjustRightInd w:val="0"/>
        <w:snapToGrid w:val="0"/>
        <w:spacing w:before="120" w:after="120" w:line="360" w:lineRule="auto"/>
        <w:ind w:firstLine="482" w:firstLineChars="200"/>
        <w:outlineLvl w:val="9"/>
        <w:rPr>
          <w:rFonts w:hint="eastAsia" w:ascii="仿宋" w:hAnsi="仿宋" w:eastAsia="仿宋" w:cs="仿宋"/>
          <w:b/>
          <w:color w:val="auto"/>
          <w:spacing w:val="0"/>
          <w:sz w:val="24"/>
          <w:szCs w:val="24"/>
          <w:highlight w:val="none"/>
        </w:rPr>
      </w:pPr>
      <w:bookmarkStart w:id="101" w:name="_Toc8293710"/>
      <w:r>
        <w:rPr>
          <w:rFonts w:hint="eastAsia" w:ascii="仿宋" w:hAnsi="仿宋" w:eastAsia="仿宋" w:cs="仿宋"/>
          <w:b/>
          <w:color w:val="auto"/>
          <w:spacing w:val="0"/>
          <w:sz w:val="24"/>
          <w:szCs w:val="24"/>
          <w:highlight w:val="none"/>
        </w:rPr>
        <w:t>附件三</w:t>
      </w:r>
      <w:bookmarkEnd w:id="101"/>
      <w:r>
        <w:rPr>
          <w:rFonts w:hint="eastAsia" w:ascii="仿宋" w:hAnsi="仿宋" w:eastAsia="仿宋" w:cs="仿宋"/>
          <w:b/>
          <w:color w:val="auto"/>
          <w:spacing w:val="0"/>
          <w:sz w:val="24"/>
          <w:szCs w:val="24"/>
          <w:highlight w:val="none"/>
        </w:rPr>
        <w:t xml:space="preserve">：                 </w:t>
      </w:r>
    </w:p>
    <w:p w14:paraId="674C37B5">
      <w:pPr>
        <w:pageBreakBefore w:val="0"/>
        <w:kinsoku/>
        <w:overflowPunct/>
        <w:topLinePunct w:val="0"/>
        <w:bidi w:val="0"/>
        <w:adjustRightInd w:val="0"/>
        <w:snapToGrid w:val="0"/>
        <w:spacing w:before="120" w:after="120" w:line="360" w:lineRule="auto"/>
        <w:ind w:firstLine="482" w:firstLineChars="200"/>
        <w:jc w:val="center"/>
        <w:outlineLvl w:val="9"/>
        <w:rPr>
          <w:rFonts w:hint="eastAsia" w:ascii="仿宋" w:hAnsi="仿宋" w:eastAsia="仿宋" w:cs="仿宋"/>
          <w:b/>
          <w:bCs/>
          <w:color w:val="auto"/>
          <w:spacing w:val="0"/>
          <w:sz w:val="24"/>
          <w:szCs w:val="24"/>
          <w:highlight w:val="none"/>
        </w:rPr>
      </w:pPr>
      <w:bookmarkStart w:id="102" w:name="_Toc8293711"/>
      <w:r>
        <w:rPr>
          <w:rFonts w:hint="eastAsia" w:ascii="仿宋" w:hAnsi="仿宋" w:eastAsia="仿宋" w:cs="仿宋"/>
          <w:b/>
          <w:bCs/>
          <w:color w:val="auto"/>
          <w:spacing w:val="0"/>
          <w:sz w:val="24"/>
          <w:szCs w:val="24"/>
          <w:highlight w:val="none"/>
        </w:rPr>
        <w:t>安全责任书</w:t>
      </w:r>
      <w:bookmarkEnd w:id="102"/>
    </w:p>
    <w:p w14:paraId="7202140F">
      <w:pPr>
        <w:pageBreakBefore w:val="0"/>
        <w:kinsoku/>
        <w:overflowPunct/>
        <w:topLinePunct w:val="0"/>
        <w:bidi w:val="0"/>
        <w:adjustRightInd w:val="0"/>
        <w:snapToGrid w:val="0"/>
        <w:spacing w:before="120" w:after="120" w:line="360" w:lineRule="auto"/>
        <w:ind w:firstLine="482" w:firstLineChars="200"/>
        <w:jc w:val="center"/>
        <w:outlineLvl w:val="9"/>
        <w:rPr>
          <w:rFonts w:hint="eastAsia" w:ascii="仿宋" w:hAnsi="仿宋" w:eastAsia="仿宋" w:cs="仿宋"/>
          <w:b/>
          <w:bCs/>
          <w:color w:val="auto"/>
          <w:spacing w:val="0"/>
          <w:sz w:val="24"/>
          <w:szCs w:val="24"/>
          <w:highlight w:val="none"/>
        </w:rPr>
      </w:pPr>
    </w:p>
    <w:p w14:paraId="54C88693">
      <w:pPr>
        <w:pageBreakBefore w:val="0"/>
        <w:kinsoku/>
        <w:overflowPunct/>
        <w:topLinePunct w:val="0"/>
        <w:bidi w:val="0"/>
        <w:adjustRightInd w:val="0"/>
        <w:snapToGrid w:val="0"/>
        <w:spacing w:before="120" w:after="120" w:line="360" w:lineRule="auto"/>
        <w:ind w:firstLine="482" w:firstLineChars="200"/>
        <w:outlineLvl w:val="9"/>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发包人 ：</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eastAsia="zh-CN"/>
        </w:rPr>
        <w:t>广州锦泷房地产开发有限公司</w:t>
      </w:r>
      <w:r>
        <w:rPr>
          <w:rFonts w:hint="eastAsia" w:ascii="仿宋" w:hAnsi="仿宋" w:eastAsia="仿宋" w:cs="仿宋"/>
          <w:b/>
          <w:color w:val="auto"/>
          <w:spacing w:val="0"/>
          <w:sz w:val="24"/>
          <w:szCs w:val="24"/>
          <w:highlight w:val="none"/>
          <w:u w:val="single"/>
        </w:rPr>
        <w:t xml:space="preserve">     </w:t>
      </w:r>
    </w:p>
    <w:p w14:paraId="2BDF8A73">
      <w:pPr>
        <w:pageBreakBefore w:val="0"/>
        <w:kinsoku/>
        <w:overflowPunct/>
        <w:topLinePunct w:val="0"/>
        <w:bidi w:val="0"/>
        <w:adjustRightInd w:val="0"/>
        <w:snapToGrid w:val="0"/>
        <w:spacing w:before="120" w:after="120" w:line="360" w:lineRule="auto"/>
        <w:ind w:firstLine="482" w:firstLineChars="200"/>
        <w:outlineLvl w:val="9"/>
        <w:rPr>
          <w:rFonts w:hint="eastAsia" w:ascii="仿宋" w:hAnsi="仿宋" w:eastAsia="仿宋" w:cs="仿宋"/>
          <w:b/>
          <w:color w:val="auto"/>
          <w:spacing w:val="0"/>
          <w:sz w:val="24"/>
          <w:szCs w:val="24"/>
          <w:highlight w:val="none"/>
          <w:u w:val="single"/>
        </w:rPr>
      </w:pPr>
      <w:r>
        <w:rPr>
          <w:rFonts w:hint="eastAsia" w:ascii="仿宋" w:hAnsi="仿宋" w:eastAsia="仿宋" w:cs="仿宋"/>
          <w:b/>
          <w:color w:val="auto"/>
          <w:spacing w:val="0"/>
          <w:sz w:val="24"/>
          <w:szCs w:val="24"/>
          <w:highlight w:val="none"/>
        </w:rPr>
        <w:t>承包人 ：</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val="en-US" w:eastAsia="zh-CN"/>
        </w:rPr>
        <w:t xml:space="preserve">                     </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 xml:space="preserve">     </w:t>
      </w:r>
    </w:p>
    <w:p w14:paraId="39CF1779">
      <w:pPr>
        <w:pageBreakBefore w:val="0"/>
        <w:kinsoku/>
        <w:overflowPunct/>
        <w:topLinePunct w:val="0"/>
        <w:bidi w:val="0"/>
        <w:adjustRightInd w:val="0"/>
        <w:snapToGrid w:val="0"/>
        <w:spacing w:line="360" w:lineRule="auto"/>
        <w:ind w:firstLine="480" w:firstLineChars="200"/>
        <w:jc w:val="left"/>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工程项目：</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天河区金融城东区AT091415地块</w:t>
      </w:r>
      <w:r>
        <w:rPr>
          <w:rFonts w:hint="eastAsia" w:ascii="仿宋" w:hAnsi="仿宋" w:eastAsia="仿宋" w:cs="仿宋"/>
          <w:color w:val="auto"/>
          <w:spacing w:val="0"/>
          <w:sz w:val="24"/>
          <w:szCs w:val="24"/>
          <w:highlight w:val="none"/>
          <w:u w:val="single"/>
        </w:rPr>
        <w:t xml:space="preserve">项目基坑支护和土方开挖 </w:t>
      </w:r>
    </w:p>
    <w:p w14:paraId="58C4518D">
      <w:pPr>
        <w:pageBreakBefore w:val="0"/>
        <w:kinsoku/>
        <w:overflowPunct/>
        <w:topLinePunct w:val="0"/>
        <w:bidi w:val="0"/>
        <w:adjustRightInd w:val="0"/>
        <w:snapToGrid w:val="0"/>
        <w:spacing w:line="360" w:lineRule="auto"/>
        <w:ind w:firstLine="480" w:firstLineChars="200"/>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工程地点：</w:t>
      </w:r>
      <w:r>
        <w:rPr>
          <w:rFonts w:hint="eastAsia" w:ascii="仿宋" w:hAnsi="仿宋" w:eastAsia="仿宋" w:cs="仿宋"/>
          <w:color w:val="auto"/>
          <w:spacing w:val="0"/>
          <w:sz w:val="24"/>
          <w:szCs w:val="24"/>
          <w:highlight w:val="none"/>
          <w:u w:val="single"/>
          <w:lang w:eastAsia="zh-CN"/>
        </w:rPr>
        <w:t>金融城东区，花城大道以南、规划一横路以北</w:t>
      </w:r>
      <w:r>
        <w:rPr>
          <w:rFonts w:hint="eastAsia" w:ascii="仿宋" w:hAnsi="仿宋" w:eastAsia="仿宋" w:cs="仿宋"/>
          <w:color w:val="auto"/>
          <w:spacing w:val="0"/>
          <w:sz w:val="24"/>
          <w:szCs w:val="24"/>
          <w:highlight w:val="none"/>
          <w:u w:val="single"/>
        </w:rPr>
        <w:t xml:space="preserve"> </w:t>
      </w:r>
    </w:p>
    <w:p w14:paraId="7E796AD5">
      <w:pPr>
        <w:pageBreakBefore w:val="0"/>
        <w:kinsoku/>
        <w:overflowPunct/>
        <w:topLinePunct w:val="0"/>
        <w:bidi w:val="0"/>
        <w:adjustRightInd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为确保施工现场安全施工，保障工程建设正常顺利进行，发包人、承包人依照国家和政府的有关法律法规，就施工项目中的消防、安全生产事宜、双方的权利与义务协商一致，达成以下协议：</w:t>
      </w:r>
    </w:p>
    <w:p w14:paraId="13045AB4">
      <w:pPr>
        <w:pageBreakBefore w:val="0"/>
        <w:tabs>
          <w:tab w:val="left" w:pos="1380"/>
        </w:tabs>
        <w:kinsoku/>
        <w:overflowPunct/>
        <w:topLinePunct w:val="0"/>
        <w:bidi w:val="0"/>
        <w:adjustRightInd w:val="0"/>
        <w:snapToGrid w:val="0"/>
        <w:spacing w:line="360" w:lineRule="auto"/>
        <w:ind w:firstLine="482" w:firstLineChars="20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一、发包人权利与义务</w:t>
      </w:r>
    </w:p>
    <w:p w14:paraId="19160E3C">
      <w:pPr>
        <w:pageBreakBefore w:val="0"/>
        <w:tabs>
          <w:tab w:val="left" w:pos="780"/>
        </w:tabs>
        <w:kinsoku/>
        <w:overflowPunct/>
        <w:topLinePunct w:val="0"/>
        <w:bidi w:val="0"/>
        <w:adjustRightInd w:val="0"/>
        <w:snapToGrid w:val="0"/>
        <w:spacing w:line="360" w:lineRule="auto"/>
        <w:ind w:firstLine="540" w:firstLineChars="225"/>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1.对承包人资质进行审查：</w:t>
      </w:r>
    </w:p>
    <w:p w14:paraId="4F690A40">
      <w:pPr>
        <w:pageBreakBefore w:val="0"/>
        <w:tabs>
          <w:tab w:val="left" w:pos="780"/>
        </w:tabs>
        <w:kinsoku/>
        <w:overflowPunct/>
        <w:topLinePunct w:val="0"/>
        <w:bidi w:val="0"/>
        <w:adjustRightInd w:val="0"/>
        <w:snapToGrid w:val="0"/>
        <w:spacing w:line="360" w:lineRule="auto"/>
        <w:ind w:firstLine="540" w:firstLineChars="225"/>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有关部门核发的营业执照和资质证书，法人代表资格证书，安全生产资质证书，有效的广州市建筑业企业登记备案证书</w:t>
      </w:r>
      <w:r>
        <w:rPr>
          <w:rFonts w:hint="eastAsia" w:ascii="仿宋" w:hAnsi="仿宋" w:eastAsia="仿宋" w:cs="仿宋"/>
          <w:i/>
          <w:color w:val="auto"/>
          <w:spacing w:val="0"/>
          <w:sz w:val="24"/>
          <w:szCs w:val="24"/>
          <w:highlight w:val="none"/>
        </w:rPr>
        <w:t>；</w:t>
      </w:r>
      <w:r>
        <w:rPr>
          <w:rFonts w:hint="eastAsia" w:ascii="仿宋" w:hAnsi="仿宋" w:eastAsia="仿宋" w:cs="仿宋"/>
          <w:color w:val="auto"/>
          <w:spacing w:val="0"/>
          <w:sz w:val="24"/>
          <w:szCs w:val="24"/>
          <w:highlight w:val="none"/>
        </w:rPr>
        <w:t xml:space="preserve"> </w:t>
      </w:r>
    </w:p>
    <w:p w14:paraId="6381CA6A">
      <w:pPr>
        <w:pageBreakBefore w:val="0"/>
        <w:tabs>
          <w:tab w:val="left" w:pos="780"/>
        </w:tabs>
        <w:kinsoku/>
        <w:overflowPunct/>
        <w:topLinePunct w:val="0"/>
        <w:bidi w:val="0"/>
        <w:adjustRightInd w:val="0"/>
        <w:snapToGrid w:val="0"/>
        <w:spacing w:line="360" w:lineRule="auto"/>
        <w:ind w:firstLine="540" w:firstLineChars="225"/>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施工负责人、工程技术人员和工人的有关本工程的技术素质、施工简历和近3年安全施工记录是否符合工程要求；</w:t>
      </w:r>
    </w:p>
    <w:p w14:paraId="0E7B3B0D">
      <w:pPr>
        <w:pageBreakBefore w:val="0"/>
        <w:tabs>
          <w:tab w:val="left" w:pos="780"/>
        </w:tabs>
        <w:kinsoku/>
        <w:overflowPunct/>
        <w:topLinePunct w:val="0"/>
        <w:bidi w:val="0"/>
        <w:adjustRightInd w:val="0"/>
        <w:snapToGrid w:val="0"/>
        <w:spacing w:line="360" w:lineRule="auto"/>
        <w:ind w:firstLine="540" w:firstLineChars="225"/>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承包人是否有满足安全施工需要的机械、工器具及安全防护设施、安全用具；</w:t>
      </w:r>
    </w:p>
    <w:p w14:paraId="4B2BCEE4">
      <w:pPr>
        <w:pageBreakBefore w:val="0"/>
        <w:tabs>
          <w:tab w:val="left" w:pos="780"/>
        </w:tabs>
        <w:kinsoku/>
        <w:overflowPunct/>
        <w:topLinePunct w:val="0"/>
        <w:bidi w:val="0"/>
        <w:adjustRightInd w:val="0"/>
        <w:snapToGrid w:val="0"/>
        <w:spacing w:line="360" w:lineRule="auto"/>
        <w:ind w:firstLine="540" w:firstLineChars="225"/>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承包人是否设有安全管理机构和安全员。</w:t>
      </w:r>
    </w:p>
    <w:p w14:paraId="6AACE7C7">
      <w:pPr>
        <w:pageBreakBefore w:val="0"/>
        <w:tabs>
          <w:tab w:val="left" w:pos="780"/>
        </w:tabs>
        <w:kinsoku/>
        <w:overflowPunct/>
        <w:topLinePunct w:val="0"/>
        <w:bidi w:val="0"/>
        <w:adjustRightInd w:val="0"/>
        <w:snapToGrid w:val="0"/>
        <w:spacing w:line="360" w:lineRule="auto"/>
        <w:ind w:firstLine="540" w:firstLineChars="225"/>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w:t>
      </w:r>
      <w:r>
        <w:rPr>
          <w:rFonts w:hint="eastAsia" w:ascii="仿宋" w:hAnsi="仿宋" w:eastAsia="仿宋" w:cs="仿宋"/>
          <w:color w:val="auto"/>
          <w:spacing w:val="0"/>
          <w:sz w:val="24"/>
          <w:szCs w:val="24"/>
          <w:highlight w:val="none"/>
          <w:lang w:eastAsia="zh-Hans"/>
        </w:rPr>
        <w:t>发包人</w:t>
      </w:r>
      <w:r>
        <w:rPr>
          <w:rFonts w:hint="eastAsia" w:ascii="仿宋" w:hAnsi="仿宋" w:eastAsia="仿宋" w:cs="仿宋"/>
          <w:color w:val="auto"/>
          <w:spacing w:val="0"/>
          <w:sz w:val="24"/>
          <w:szCs w:val="24"/>
          <w:highlight w:val="none"/>
        </w:rPr>
        <w:t>/总承包单位开工前必须对承包人进行安全技术交底。</w:t>
      </w:r>
    </w:p>
    <w:p w14:paraId="0644AD2A">
      <w:pPr>
        <w:pageBreakBefore w:val="0"/>
        <w:tabs>
          <w:tab w:val="left" w:pos="780"/>
        </w:tabs>
        <w:kinsoku/>
        <w:overflowPunct/>
        <w:topLinePunct w:val="0"/>
        <w:bidi w:val="0"/>
        <w:adjustRightInd w:val="0"/>
        <w:snapToGrid w:val="0"/>
        <w:spacing w:line="360" w:lineRule="auto"/>
        <w:ind w:firstLine="540" w:firstLineChars="225"/>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w:t>
      </w:r>
      <w:r>
        <w:rPr>
          <w:rFonts w:hint="eastAsia" w:ascii="仿宋" w:hAnsi="仿宋" w:eastAsia="仿宋" w:cs="仿宋"/>
          <w:color w:val="auto"/>
          <w:spacing w:val="0"/>
          <w:sz w:val="24"/>
          <w:szCs w:val="24"/>
          <w:highlight w:val="none"/>
          <w:lang w:eastAsia="zh-Hans"/>
        </w:rPr>
        <w:t>发包人</w:t>
      </w:r>
      <w:r>
        <w:rPr>
          <w:rFonts w:hint="eastAsia" w:ascii="仿宋" w:hAnsi="仿宋" w:eastAsia="仿宋" w:cs="仿宋"/>
          <w:color w:val="auto"/>
          <w:spacing w:val="0"/>
          <w:sz w:val="24"/>
          <w:szCs w:val="24"/>
          <w:highlight w:val="none"/>
        </w:rPr>
        <w:t>/总承包单位审核承包人制定的安全制度及相关措施，并监督其实施。</w:t>
      </w:r>
    </w:p>
    <w:p w14:paraId="13B3DF01">
      <w:pPr>
        <w:pageBreakBefore w:val="0"/>
        <w:tabs>
          <w:tab w:val="left" w:pos="780"/>
        </w:tabs>
        <w:kinsoku/>
        <w:overflowPunct/>
        <w:topLinePunct w:val="0"/>
        <w:bidi w:val="0"/>
        <w:adjustRightInd w:val="0"/>
        <w:snapToGrid w:val="0"/>
        <w:spacing w:line="360" w:lineRule="auto"/>
        <w:ind w:firstLine="540" w:firstLineChars="225"/>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w:t>
      </w:r>
      <w:r>
        <w:rPr>
          <w:rFonts w:hint="eastAsia" w:ascii="仿宋" w:hAnsi="仿宋" w:eastAsia="仿宋" w:cs="仿宋"/>
          <w:color w:val="auto"/>
          <w:spacing w:val="0"/>
          <w:sz w:val="24"/>
          <w:szCs w:val="24"/>
          <w:highlight w:val="none"/>
          <w:lang w:eastAsia="zh-Hans"/>
        </w:rPr>
        <w:t>发包人/</w:t>
      </w:r>
      <w:r>
        <w:rPr>
          <w:rFonts w:hint="eastAsia" w:ascii="仿宋" w:hAnsi="仿宋" w:eastAsia="仿宋" w:cs="仿宋"/>
          <w:color w:val="auto"/>
          <w:spacing w:val="0"/>
          <w:sz w:val="24"/>
          <w:szCs w:val="24"/>
          <w:highlight w:val="none"/>
        </w:rPr>
        <w:t>总承包单位及时向承包人转发发包人主管部门有关安全管理的文件。</w:t>
      </w:r>
    </w:p>
    <w:p w14:paraId="767EEC6C">
      <w:pPr>
        <w:pageBreakBefore w:val="0"/>
        <w:tabs>
          <w:tab w:val="left" w:pos="780"/>
        </w:tabs>
        <w:kinsoku/>
        <w:overflowPunct/>
        <w:topLinePunct w:val="0"/>
        <w:bidi w:val="0"/>
        <w:adjustRightInd w:val="0"/>
        <w:snapToGrid w:val="0"/>
        <w:spacing w:line="360" w:lineRule="auto"/>
        <w:ind w:firstLine="540"/>
        <w:rPr>
          <w:rFonts w:hint="eastAsia" w:ascii="仿宋" w:hAnsi="仿宋" w:eastAsia="仿宋" w:cs="仿宋"/>
          <w:b/>
          <w:bCs/>
          <w:color w:val="auto"/>
          <w:spacing w:val="0"/>
          <w:sz w:val="24"/>
          <w:szCs w:val="24"/>
          <w:highlight w:val="none"/>
        </w:rPr>
      </w:pPr>
      <w:r>
        <w:rPr>
          <w:rFonts w:hint="eastAsia" w:ascii="仿宋" w:hAnsi="仿宋" w:eastAsia="仿宋" w:cs="仿宋"/>
          <w:color w:val="auto"/>
          <w:spacing w:val="0"/>
          <w:sz w:val="24"/>
          <w:szCs w:val="24"/>
          <w:highlight w:val="none"/>
        </w:rPr>
        <w:t>5.</w:t>
      </w:r>
      <w:r>
        <w:rPr>
          <w:rFonts w:hint="eastAsia" w:ascii="仿宋" w:hAnsi="仿宋" w:eastAsia="仿宋" w:cs="仿宋"/>
          <w:color w:val="auto"/>
          <w:spacing w:val="0"/>
          <w:sz w:val="24"/>
          <w:szCs w:val="24"/>
          <w:highlight w:val="none"/>
          <w:lang w:eastAsia="zh-Hans"/>
        </w:rPr>
        <w:t>发包人/</w:t>
      </w:r>
      <w:r>
        <w:rPr>
          <w:rFonts w:hint="eastAsia" w:ascii="仿宋" w:hAnsi="仿宋" w:eastAsia="仿宋" w:cs="仿宋"/>
          <w:color w:val="auto"/>
          <w:spacing w:val="0"/>
          <w:sz w:val="24"/>
          <w:szCs w:val="24"/>
          <w:highlight w:val="none"/>
        </w:rPr>
        <w:t>总承包单位对承包人的安全管理进行全面监督。发现安全隐患及时下发整改通知，如承包人未按时按要求整改，则发包人有权停止支付工程进度款，直至承包人达到要求</w:t>
      </w:r>
      <w:r>
        <w:rPr>
          <w:rFonts w:hint="eastAsia" w:ascii="仿宋" w:hAnsi="仿宋" w:eastAsia="仿宋" w:cs="仿宋"/>
          <w:b/>
          <w:bCs/>
          <w:color w:val="auto"/>
          <w:spacing w:val="0"/>
          <w:sz w:val="24"/>
          <w:szCs w:val="24"/>
          <w:highlight w:val="none"/>
        </w:rPr>
        <w:t>。</w:t>
      </w:r>
    </w:p>
    <w:p w14:paraId="7E40DAE0">
      <w:pPr>
        <w:pageBreakBefore w:val="0"/>
        <w:tabs>
          <w:tab w:val="left" w:pos="1380"/>
        </w:tabs>
        <w:kinsoku/>
        <w:overflowPunct/>
        <w:topLinePunct w:val="0"/>
        <w:bidi w:val="0"/>
        <w:adjustRightInd w:val="0"/>
        <w:snapToGrid w:val="0"/>
        <w:spacing w:line="360" w:lineRule="auto"/>
        <w:ind w:firstLine="482" w:firstLineChars="20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二、承包人权利与义务</w:t>
      </w:r>
    </w:p>
    <w:p w14:paraId="1919B618">
      <w:pPr>
        <w:pageBreakBefore w:val="0"/>
        <w:tabs>
          <w:tab w:val="left" w:pos="780"/>
        </w:tabs>
        <w:kinsoku/>
        <w:overflowPunct/>
        <w:topLinePunct w:val="0"/>
        <w:bidi w:val="0"/>
        <w:adjustRightInd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1.提供相关的资质证明。</w:t>
      </w:r>
    </w:p>
    <w:p w14:paraId="0A6B6DCB">
      <w:pPr>
        <w:pageBreakBefore w:val="0"/>
        <w:tabs>
          <w:tab w:val="left" w:pos="780"/>
        </w:tabs>
        <w:kinsoku/>
        <w:overflowPunct/>
        <w:topLinePunct w:val="0"/>
        <w:bidi w:val="0"/>
        <w:adjustRightInd w:val="0"/>
        <w:snapToGrid w:val="0"/>
        <w:spacing w:line="360" w:lineRule="auto"/>
        <w:ind w:left="-7" w:leftChars="-3" w:firstLine="547" w:firstLineChars="228"/>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2.严格遵守《中华人民共和国消防法》和《机关、团体、企业、事业单位的消防安全管理规定》，做好施工现场的消防安全管理工作。</w:t>
      </w:r>
    </w:p>
    <w:p w14:paraId="565FCBA1">
      <w:pPr>
        <w:pageBreakBefore w:val="0"/>
        <w:tabs>
          <w:tab w:val="left" w:pos="780"/>
        </w:tabs>
        <w:kinsoku/>
        <w:overflowPunct/>
        <w:topLinePunct w:val="0"/>
        <w:bidi w:val="0"/>
        <w:adjustRightInd w:val="0"/>
        <w:snapToGrid w:val="0"/>
        <w:spacing w:line="360" w:lineRule="auto"/>
        <w:ind w:left="-7" w:leftChars="-3" w:firstLine="566" w:firstLineChars="236"/>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（1）建立消防安全管理制度和保障消防安全的操作规程；</w:t>
      </w:r>
    </w:p>
    <w:p w14:paraId="3413B2E2">
      <w:pPr>
        <w:pageBreakBefore w:val="0"/>
        <w:tabs>
          <w:tab w:val="left" w:pos="1560"/>
        </w:tabs>
        <w:kinsoku/>
        <w:overflowPunct/>
        <w:topLinePunct w:val="0"/>
        <w:bidi w:val="0"/>
        <w:adjustRightInd w:val="0"/>
        <w:snapToGrid w:val="0"/>
        <w:spacing w:line="360" w:lineRule="auto"/>
        <w:ind w:firstLine="566" w:firstLineChars="236"/>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（2）建立健全消防安全组织、明确消防安全责任；</w:t>
      </w:r>
    </w:p>
    <w:p w14:paraId="72C2684F">
      <w:pPr>
        <w:pageBreakBefore w:val="0"/>
        <w:tabs>
          <w:tab w:val="left" w:pos="1560"/>
        </w:tabs>
        <w:kinsoku/>
        <w:overflowPunct/>
        <w:topLinePunct w:val="0"/>
        <w:bidi w:val="0"/>
        <w:adjustRightInd w:val="0"/>
        <w:snapToGrid w:val="0"/>
        <w:spacing w:line="360" w:lineRule="auto"/>
        <w:ind w:firstLine="566" w:firstLineChars="236"/>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（3）对施工人员进行消防安全教育培训；</w:t>
      </w:r>
    </w:p>
    <w:p w14:paraId="2728813B">
      <w:pPr>
        <w:pageBreakBefore w:val="0"/>
        <w:tabs>
          <w:tab w:val="left" w:pos="1560"/>
        </w:tabs>
        <w:kinsoku/>
        <w:overflowPunct/>
        <w:topLinePunct w:val="0"/>
        <w:bidi w:val="0"/>
        <w:adjustRightInd w:val="0"/>
        <w:snapToGrid w:val="0"/>
        <w:spacing w:line="360" w:lineRule="auto"/>
        <w:ind w:firstLine="566" w:firstLineChars="236"/>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（4）确保消防设施和器材齐全、完好、有效；</w:t>
      </w:r>
    </w:p>
    <w:p w14:paraId="57F288E0">
      <w:pPr>
        <w:pageBreakBefore w:val="0"/>
        <w:tabs>
          <w:tab w:val="left" w:pos="1560"/>
        </w:tabs>
        <w:kinsoku/>
        <w:overflowPunct/>
        <w:topLinePunct w:val="0"/>
        <w:bidi w:val="0"/>
        <w:adjustRightInd w:val="0"/>
        <w:snapToGrid w:val="0"/>
        <w:spacing w:line="360" w:lineRule="auto"/>
        <w:ind w:firstLine="566" w:firstLineChars="236"/>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（5）制定灭火、应急疏散预案；</w:t>
      </w:r>
    </w:p>
    <w:p w14:paraId="0E79EE6B">
      <w:pPr>
        <w:pageBreakBefore w:val="0"/>
        <w:tabs>
          <w:tab w:val="left" w:pos="1560"/>
        </w:tabs>
        <w:kinsoku/>
        <w:overflowPunct/>
        <w:topLinePunct w:val="0"/>
        <w:bidi w:val="0"/>
        <w:adjustRightInd w:val="0"/>
        <w:snapToGrid w:val="0"/>
        <w:spacing w:line="360" w:lineRule="auto"/>
        <w:ind w:firstLine="566" w:firstLineChars="236"/>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（6）定期进行防火巡查、检查，及时消除火灾隐患；</w:t>
      </w:r>
    </w:p>
    <w:p w14:paraId="76BC27B4">
      <w:pPr>
        <w:pageBreakBefore w:val="0"/>
        <w:tabs>
          <w:tab w:val="left" w:pos="1560"/>
        </w:tabs>
        <w:kinsoku/>
        <w:overflowPunct/>
        <w:topLinePunct w:val="0"/>
        <w:bidi w:val="0"/>
        <w:adjustRightInd w:val="0"/>
        <w:snapToGrid w:val="0"/>
        <w:spacing w:line="360" w:lineRule="auto"/>
        <w:ind w:firstLine="566" w:firstLineChars="236"/>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（7）组建义务消防队；</w:t>
      </w:r>
    </w:p>
    <w:p w14:paraId="2B4C245F">
      <w:pPr>
        <w:pageBreakBefore w:val="0"/>
        <w:tabs>
          <w:tab w:val="left" w:pos="1560"/>
        </w:tabs>
        <w:kinsoku/>
        <w:overflowPunct/>
        <w:topLinePunct w:val="0"/>
        <w:bidi w:val="0"/>
        <w:adjustRightInd w:val="0"/>
        <w:snapToGrid w:val="0"/>
        <w:spacing w:line="360" w:lineRule="auto"/>
        <w:ind w:firstLine="566" w:firstLineChars="236"/>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（8）建立健全施工消防安全管理档案。</w:t>
      </w:r>
    </w:p>
    <w:p w14:paraId="231C0D48">
      <w:pPr>
        <w:pageBreakBefore w:val="0"/>
        <w:tabs>
          <w:tab w:val="left" w:pos="780"/>
        </w:tabs>
        <w:kinsoku/>
        <w:overflowPunct/>
        <w:topLinePunct w:val="0"/>
        <w:bidi w:val="0"/>
        <w:adjustRightInd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3.严格遵守《广州地区劳动安全卫生考核标准》及其他有关劳动卫生安全的法律法规，做好施工现场的安全管理工作。</w:t>
      </w:r>
    </w:p>
    <w:p w14:paraId="0636428D">
      <w:pPr>
        <w:pageBreakBefore w:val="0"/>
        <w:kinsoku/>
        <w:overflowPunct/>
        <w:topLinePunct w:val="0"/>
        <w:bidi w:val="0"/>
        <w:adjustRightInd w:val="0"/>
        <w:snapToGrid w:val="0"/>
        <w:spacing w:line="360" w:lineRule="auto"/>
        <w:ind w:firstLine="410" w:firstLineChars="17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（1）建立健全施工安全管理制度及安全管理台帐；</w:t>
      </w:r>
    </w:p>
    <w:p w14:paraId="6AA3C1F5">
      <w:pPr>
        <w:pageBreakBefore w:val="0"/>
        <w:kinsoku/>
        <w:overflowPunct/>
        <w:topLinePunct w:val="0"/>
        <w:bidi w:val="0"/>
        <w:adjustRightInd w:val="0"/>
        <w:snapToGrid w:val="0"/>
        <w:spacing w:line="360" w:lineRule="auto"/>
        <w:ind w:firstLine="410" w:firstLineChars="17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（2）建立完善安全管理网络，明确并落实安全责任制；</w:t>
      </w:r>
    </w:p>
    <w:p w14:paraId="2754D0B0">
      <w:pPr>
        <w:pageBreakBefore w:val="0"/>
        <w:kinsoku/>
        <w:overflowPunct/>
        <w:topLinePunct w:val="0"/>
        <w:bidi w:val="0"/>
        <w:adjustRightInd w:val="0"/>
        <w:snapToGrid w:val="0"/>
        <w:spacing w:line="360" w:lineRule="auto"/>
        <w:ind w:firstLine="410" w:firstLineChars="17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（3）制定安全技术措施预案，并根据安全预案的要求对员工进行作业前交底；</w:t>
      </w:r>
    </w:p>
    <w:p w14:paraId="7BD6AD00">
      <w:pPr>
        <w:pageBreakBefore w:val="0"/>
        <w:kinsoku/>
        <w:overflowPunct/>
        <w:topLinePunct w:val="0"/>
        <w:bidi w:val="0"/>
        <w:adjustRightInd w:val="0"/>
        <w:snapToGrid w:val="0"/>
        <w:spacing w:line="360" w:lineRule="auto"/>
        <w:ind w:firstLine="410" w:firstLineChars="17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（4）对施工人员进行劳动安全教育培训；</w:t>
      </w:r>
    </w:p>
    <w:p w14:paraId="75B7DA9F">
      <w:pPr>
        <w:pageBreakBefore w:val="0"/>
        <w:kinsoku/>
        <w:overflowPunct/>
        <w:topLinePunct w:val="0"/>
        <w:bidi w:val="0"/>
        <w:adjustRightInd w:val="0"/>
        <w:snapToGrid w:val="0"/>
        <w:spacing w:line="360" w:lineRule="auto"/>
        <w:ind w:firstLine="410" w:firstLineChars="17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（5）定期组织安全检查，对发现的事故隐患要及时上报整改；</w:t>
      </w:r>
    </w:p>
    <w:p w14:paraId="294B0F42">
      <w:pPr>
        <w:pageBreakBefore w:val="0"/>
        <w:kinsoku/>
        <w:overflowPunct/>
        <w:topLinePunct w:val="0"/>
        <w:bidi w:val="0"/>
        <w:adjustRightInd w:val="0"/>
        <w:snapToGrid w:val="0"/>
        <w:spacing w:line="360" w:lineRule="auto"/>
        <w:ind w:firstLine="410" w:firstLineChars="17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（6）定期召开安全例会。</w:t>
      </w:r>
    </w:p>
    <w:p w14:paraId="3F951671">
      <w:pPr>
        <w:pageBreakBefore w:val="0"/>
        <w:tabs>
          <w:tab w:val="left" w:pos="780"/>
        </w:tabs>
        <w:kinsoku/>
        <w:overflowPunct/>
        <w:topLinePunct w:val="0"/>
        <w:bidi w:val="0"/>
        <w:adjustRightInd w:val="0"/>
        <w:snapToGrid w:val="0"/>
        <w:spacing w:line="360" w:lineRule="auto"/>
        <w:ind w:left="7" w:leftChars="3" w:firstLine="410" w:firstLineChars="17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4.按发包人及监理方要求做好安全防范措施，并自觉接受发包人及监理方的安全监督管理，对其提出的安全整改意见必须及时组织整改，直至符合要求。</w:t>
      </w:r>
    </w:p>
    <w:p w14:paraId="558AC11F">
      <w:pPr>
        <w:pageBreakBefore w:val="0"/>
        <w:tabs>
          <w:tab w:val="left" w:pos="780"/>
        </w:tabs>
        <w:kinsoku/>
        <w:overflowPunct/>
        <w:topLinePunct w:val="0"/>
        <w:bidi w:val="0"/>
        <w:adjustRightInd w:val="0"/>
        <w:snapToGrid w:val="0"/>
        <w:spacing w:line="360" w:lineRule="auto"/>
        <w:ind w:firstLine="480" w:firstLineChars="200"/>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三、承包人确保达到安全目标：无人员伤亡事故，无设备事故，无火灾事故。</w:t>
      </w:r>
    </w:p>
    <w:p w14:paraId="471F9475">
      <w:pPr>
        <w:pageBreakBefore w:val="0"/>
        <w:tabs>
          <w:tab w:val="left" w:pos="1380"/>
        </w:tabs>
        <w:kinsoku/>
        <w:overflowPunct/>
        <w:topLinePunct w:val="0"/>
        <w:bidi w:val="0"/>
        <w:adjustRightInd w:val="0"/>
        <w:snapToGrid w:val="0"/>
        <w:spacing w:line="360" w:lineRule="auto"/>
        <w:ind w:firstLine="480" w:firstLineChars="200"/>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四、承包人负责所承包工程的施工现场及施工队伍居住地的安全、消防管理，一切责任（包括由此所导致的各方人员及财产损失的经济和法律责任）由承包人完全承担。</w:t>
      </w:r>
    </w:p>
    <w:p w14:paraId="218F3050">
      <w:pPr>
        <w:pageBreakBefore w:val="0"/>
        <w:kinsoku/>
        <w:overflowPunct/>
        <w:topLinePunct w:val="0"/>
        <w:bidi w:val="0"/>
        <w:snapToGrid w:val="0"/>
        <w:spacing w:before="120" w:line="360" w:lineRule="auto"/>
        <w:ind w:firstLine="482"/>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（以下无正文）</w:t>
      </w:r>
    </w:p>
    <w:p w14:paraId="697D5809">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广州锦泷房地产开发</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承包人 </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联合体主办</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 xml:space="preserve">：       </w:t>
      </w:r>
    </w:p>
    <w:p w14:paraId="132CF18D">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lang w:val="en-US" w:eastAsia="zh-CN"/>
        </w:rPr>
        <w:t>有限公司</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公章)</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(公章)</w:t>
      </w:r>
    </w:p>
    <w:p w14:paraId="7CC5A36C">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法定代表人或其委托代理人：          法定代表人或其委托代理人：</w:t>
      </w:r>
    </w:p>
    <w:p w14:paraId="451B6649">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（签字）                            （签字）</w:t>
      </w:r>
    </w:p>
    <w:p w14:paraId="472FE8B1">
      <w:pPr>
        <w:pageBreakBefore w:val="0"/>
        <w:kinsoku/>
        <w:overflowPunct/>
        <w:topLinePunct w:val="0"/>
        <w:bidi w:val="0"/>
        <w:adjustRightInd w:val="0"/>
        <w:snapToGrid w:val="0"/>
        <w:spacing w:before="120" w:line="360" w:lineRule="auto"/>
        <w:ind w:firstLine="199" w:firstLineChars="83"/>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年  月  日                          年   月   日</w:t>
      </w:r>
    </w:p>
    <w:p w14:paraId="13FEB6E7">
      <w:pPr>
        <w:pageBreakBefore w:val="0"/>
        <w:tabs>
          <w:tab w:val="left" w:pos="1380"/>
        </w:tabs>
        <w:kinsoku/>
        <w:overflowPunct/>
        <w:topLinePunct w:val="0"/>
        <w:bidi w:val="0"/>
        <w:adjustRightInd w:val="0"/>
        <w:snapToGrid w:val="0"/>
        <w:spacing w:line="360" w:lineRule="auto"/>
        <w:ind w:firstLine="480" w:firstLineChars="200"/>
        <w:rPr>
          <w:rFonts w:hint="eastAsia" w:ascii="仿宋" w:hAnsi="仿宋" w:eastAsia="仿宋" w:cs="仿宋"/>
          <w:bCs/>
          <w:color w:val="auto"/>
          <w:spacing w:val="0"/>
          <w:sz w:val="24"/>
          <w:szCs w:val="24"/>
          <w:highlight w:val="none"/>
        </w:rPr>
      </w:pPr>
    </w:p>
    <w:p w14:paraId="2DBB8546">
      <w:pPr>
        <w:pageBreakBefore w:val="0"/>
        <w:kinsoku/>
        <w:overflowPunct/>
        <w:topLinePunct w:val="0"/>
        <w:bidi w:val="0"/>
        <w:adjustRightInd w:val="0"/>
        <w:snapToGrid w:val="0"/>
        <w:spacing w:line="360" w:lineRule="auto"/>
        <w:ind w:firstLine="240" w:firstLineChars="100"/>
        <w:outlineLvl w:val="0"/>
        <w:rPr>
          <w:rFonts w:hint="eastAsia" w:ascii="仿宋" w:hAnsi="仿宋" w:eastAsia="仿宋" w:cs="仿宋"/>
          <w:b/>
          <w:color w:val="auto"/>
          <w:spacing w:val="0"/>
          <w:sz w:val="24"/>
          <w:szCs w:val="24"/>
          <w:highlight w:val="none"/>
        </w:rPr>
      </w:pPr>
      <w:r>
        <w:rPr>
          <w:rFonts w:hint="eastAsia" w:ascii="仿宋" w:hAnsi="仿宋" w:eastAsia="仿宋" w:cs="仿宋"/>
          <w:color w:val="auto"/>
          <w:spacing w:val="0"/>
          <w:sz w:val="24"/>
          <w:szCs w:val="24"/>
          <w:highlight w:val="none"/>
        </w:rPr>
        <w:br w:type="page"/>
      </w:r>
      <w:bookmarkStart w:id="103" w:name="_Toc16334"/>
      <w:r>
        <w:rPr>
          <w:rFonts w:hint="eastAsia" w:ascii="仿宋" w:hAnsi="仿宋" w:eastAsia="仿宋" w:cs="仿宋"/>
          <w:b/>
          <w:color w:val="auto"/>
          <w:spacing w:val="0"/>
          <w:sz w:val="24"/>
          <w:szCs w:val="24"/>
          <w:highlight w:val="none"/>
        </w:rPr>
        <w:t>附件四:</w:t>
      </w:r>
      <w:bookmarkEnd w:id="103"/>
    </w:p>
    <w:p w14:paraId="0DF4A19A">
      <w:pPr>
        <w:pageBreakBefore w:val="0"/>
        <w:kinsoku/>
        <w:overflowPunct/>
        <w:topLinePunct w:val="0"/>
        <w:autoSpaceDE w:val="0"/>
        <w:autoSpaceDN w:val="0"/>
        <w:bidi w:val="0"/>
        <w:adjustRightInd w:val="0"/>
        <w:snapToGrid w:val="0"/>
        <w:spacing w:line="360" w:lineRule="auto"/>
        <w:jc w:val="center"/>
        <w:rPr>
          <w:rFonts w:hint="eastAsia" w:ascii="仿宋" w:hAnsi="仿宋" w:eastAsia="仿宋" w:cs="仿宋"/>
          <w:b/>
          <w:bCs/>
          <w:color w:val="auto"/>
          <w:spacing w:val="0"/>
          <w:kern w:val="0"/>
          <w:sz w:val="24"/>
          <w:szCs w:val="24"/>
          <w:highlight w:val="none"/>
        </w:rPr>
      </w:pPr>
      <w:r>
        <w:rPr>
          <w:rFonts w:hint="eastAsia" w:ascii="仿宋" w:hAnsi="仿宋" w:eastAsia="仿宋" w:cs="仿宋"/>
          <w:b/>
          <w:bCs/>
          <w:color w:val="auto"/>
          <w:spacing w:val="0"/>
          <w:kern w:val="0"/>
          <w:sz w:val="24"/>
          <w:szCs w:val="24"/>
          <w:highlight w:val="none"/>
        </w:rPr>
        <w:t>工程建设项目廉政责任书</w:t>
      </w:r>
    </w:p>
    <w:p w14:paraId="7CE85C3F">
      <w:pPr>
        <w:pageBreakBefore w:val="0"/>
        <w:kinsoku/>
        <w:overflowPunct/>
        <w:topLinePunct w:val="0"/>
        <w:autoSpaceDE w:val="0"/>
        <w:autoSpaceDN w:val="0"/>
        <w:bidi w:val="0"/>
        <w:adjustRightInd w:val="0"/>
        <w:snapToGrid w:val="0"/>
        <w:spacing w:line="360" w:lineRule="auto"/>
        <w:jc w:val="center"/>
        <w:rPr>
          <w:rFonts w:hint="eastAsia" w:ascii="仿宋" w:hAnsi="仿宋" w:eastAsia="仿宋" w:cs="仿宋"/>
          <w:b/>
          <w:bCs/>
          <w:color w:val="auto"/>
          <w:spacing w:val="0"/>
          <w:kern w:val="0"/>
          <w:sz w:val="24"/>
          <w:szCs w:val="24"/>
          <w:highlight w:val="none"/>
        </w:rPr>
      </w:pPr>
    </w:p>
    <w:p w14:paraId="7927CBC7">
      <w:pPr>
        <w:pageBreakBefore w:val="0"/>
        <w:kinsoku/>
        <w:overflowPunct/>
        <w:topLinePunct w:val="0"/>
        <w:bidi w:val="0"/>
        <w:adjustRightInd w:val="0"/>
        <w:snapToGrid w:val="0"/>
        <w:spacing w:before="120" w:after="120" w:line="360" w:lineRule="auto"/>
        <w:ind w:firstLine="482" w:firstLineChars="200"/>
        <w:outlineLvl w:val="9"/>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发包人 ：</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eastAsia="zh-CN"/>
        </w:rPr>
        <w:t>广州锦泷房地产开发有限公司</w:t>
      </w:r>
      <w:r>
        <w:rPr>
          <w:rFonts w:hint="eastAsia" w:ascii="仿宋" w:hAnsi="仿宋" w:eastAsia="仿宋" w:cs="仿宋"/>
          <w:b/>
          <w:color w:val="auto"/>
          <w:spacing w:val="0"/>
          <w:sz w:val="24"/>
          <w:szCs w:val="24"/>
          <w:highlight w:val="none"/>
          <w:u w:val="single"/>
        </w:rPr>
        <w:t xml:space="preserve">     </w:t>
      </w:r>
    </w:p>
    <w:p w14:paraId="06C18AE8">
      <w:pPr>
        <w:pageBreakBefore w:val="0"/>
        <w:kinsoku/>
        <w:overflowPunct/>
        <w:topLinePunct w:val="0"/>
        <w:autoSpaceDE w:val="0"/>
        <w:autoSpaceDN w:val="0"/>
        <w:bidi w:val="0"/>
        <w:adjustRightInd w:val="0"/>
        <w:snapToGrid w:val="0"/>
        <w:spacing w:line="360" w:lineRule="auto"/>
        <w:ind w:right="-7" w:firstLine="482" w:firstLineChars="200"/>
        <w:rPr>
          <w:rFonts w:hint="eastAsia" w:ascii="仿宋" w:hAnsi="仿宋" w:eastAsia="仿宋" w:cs="仿宋"/>
          <w:b/>
          <w:color w:val="auto"/>
          <w:spacing w:val="0"/>
          <w:sz w:val="24"/>
          <w:szCs w:val="24"/>
          <w:highlight w:val="none"/>
          <w:u w:val="single"/>
        </w:rPr>
      </w:pPr>
      <w:r>
        <w:rPr>
          <w:rFonts w:hint="eastAsia" w:ascii="仿宋" w:hAnsi="仿宋" w:eastAsia="仿宋" w:cs="仿宋"/>
          <w:b/>
          <w:color w:val="auto"/>
          <w:spacing w:val="0"/>
          <w:sz w:val="24"/>
          <w:szCs w:val="24"/>
          <w:highlight w:val="none"/>
        </w:rPr>
        <w:t>承包人 ：</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val="en-US" w:eastAsia="zh-CN"/>
        </w:rPr>
        <w:t xml:space="preserve">          </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val="en-US" w:eastAsia="zh-CN"/>
        </w:rPr>
        <w:t xml:space="preserve">        </w:t>
      </w:r>
      <w:r>
        <w:rPr>
          <w:rFonts w:hint="eastAsia" w:ascii="仿宋" w:hAnsi="仿宋" w:eastAsia="仿宋" w:cs="仿宋"/>
          <w:b/>
          <w:color w:val="auto"/>
          <w:spacing w:val="0"/>
          <w:sz w:val="24"/>
          <w:szCs w:val="24"/>
          <w:highlight w:val="none"/>
          <w:u w:val="single"/>
        </w:rPr>
        <w:t xml:space="preserve">       </w:t>
      </w:r>
    </w:p>
    <w:p w14:paraId="49FA9244">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为加强工程建设中的廉政建设，规范工程建设过程中双方的各项活动，防止发生各种谋取不正当利益的违法违纪行为，保护国家、集体和当事人的合法权益，根据国家有关工程建设的法律法规和廉政建设责任制规定，特订立本廉政责任书。</w:t>
      </w:r>
    </w:p>
    <w:p w14:paraId="2CCA0615">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第一条 发包人和承包人双方的责任 </w:t>
      </w:r>
    </w:p>
    <w:p w14:paraId="5D582320">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(一)应严格遵守国家关于工程建设、工程监理和市场活动等有关法律、法规，相关政策，以及廉政建设的各项规定。</w:t>
      </w:r>
    </w:p>
    <w:p w14:paraId="1948781E">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(二)严格执行建设工程项目施工经营管理责任合同文件，自觉按合同办事。</w:t>
      </w:r>
    </w:p>
    <w:p w14:paraId="0C34C32F">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(三)业务活动必须坚持公开、公平、公正、诚信、透明的原则(除法律法规另有规定者外)，不得为获取不正当的利益，损害国家、集体和对方利益，不得违反工程建设管理、建设监理的规章制度。</w:t>
      </w:r>
    </w:p>
    <w:p w14:paraId="5F30A2F6">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(四)发现对方在业务活动中有违规、违纪、违法行为的，应及时提醒对方，情节严重的，应向其上级主管部门或纪检监察、司法等有关机关举报。</w:t>
      </w:r>
    </w:p>
    <w:p w14:paraId="67E89CBE">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第二条  发包人的责任</w:t>
      </w:r>
    </w:p>
    <w:p w14:paraId="61D21C02">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发包人的领导和从事该建设工程项目的工作人员，在工程建设的事前、事中、事后应遵守以下规定：</w:t>
      </w:r>
    </w:p>
    <w:p w14:paraId="548963A6">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(一)不准向承包人和相关单位索要或接受回扣、礼金、有价证券、贵重物品和好处费、感谢费等。</w:t>
      </w:r>
    </w:p>
    <w:p w14:paraId="35C0B8DD">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(二)不准在承包人和相关单位报销任何应由发包人或个人支付的费用。        </w:t>
      </w:r>
    </w:p>
    <w:p w14:paraId="3D80BCCB">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(三)不准要求、暗示和接受承包人和相关单位为个人装修住房、婚丧嫁娶、配偶子女的工作安排以及出国(境)旅游等提供方便。</w:t>
      </w:r>
    </w:p>
    <w:p w14:paraId="0ED78EAB">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(四)不准参加有可能影响公正执行公务的承包人和相关单位的宴请、健身、娱乐等活动。</w:t>
      </w:r>
    </w:p>
    <w:p w14:paraId="7E88DE34">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(五) 不准有关人员的配偶、子女、亲属参加与工程项目合同有关的活动。不准向承包人介绍配偶、子女、亲属参与同项目工程合同有关的设备采购、材料采购、工程分包、劳务等经济活动。不得以任何理由向承包人和相关单位要求购买与项目工程合同规定以外的材料、设备等。</w:t>
      </w:r>
    </w:p>
    <w:p w14:paraId="63C177E9">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第三条  承包人的责任</w:t>
      </w:r>
    </w:p>
    <w:p w14:paraId="10220BC6">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应与发包人和相关单位保持正常的业务交往，按照有关法律法规和程序开展业务工作，严格执行工程建设的有关方针、政策，尤其是有关勘察设计、建筑施工安装的强制性标准和规范，以及监理法规，认真履行相关职责，并遵守以下规定：</w:t>
      </w:r>
    </w:p>
    <w:p w14:paraId="052A7483">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(一)不准以任何理由向发包人、相关单位及其工作人员赠送礼金、有价证券、贵重物品，不准以任何理由为发包人、相关单位及其工作人员提供回扣、好处费、感谢费等。</w:t>
      </w:r>
    </w:p>
    <w:p w14:paraId="48C4874D">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(二)不准以任何理由为发包人和相关单位报销应由对方或个人支付的费用。</w:t>
      </w:r>
    </w:p>
    <w:p w14:paraId="36877A47">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(三)不准接受或暗示为发包人、相关单位或个人装修住房、婚丧嫁娶、配偶子女的工作安排以及出国(境)、旅游等提供方便。</w:t>
      </w:r>
    </w:p>
    <w:p w14:paraId="066ABF74">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(四)不准以任何理由为发包人、相关单位或个人组织有可能影响公正执行公务的宴请、健身、娱乐等活动。 </w:t>
      </w:r>
    </w:p>
    <w:p w14:paraId="483F6775">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五）不准允许发包人工作人员的配偶、子女、亲属参与工程项目的有关活动。不准将工程项目有关的设备采购、材料采购、工程分包、劳务等经济活动承包、转包给发包人工作人员的配偶、子女、亲属等相关人员，不得以任何理由为发包人和相关单位购买工程项目合同规定外的材料、设备。</w:t>
      </w:r>
    </w:p>
    <w:p w14:paraId="4370D4B0">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第四条 违约责任   </w:t>
      </w:r>
    </w:p>
    <w:p w14:paraId="5A9C2DF7">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一)发包人工作人员有违反本责任书第一、二条责任行为的，按照管理权限，依据有关法律法规和规定给予党纪、政纪处分或组织处理；涉嫌犯罪的，移交司法机关追究刑事责任；给承包人单位造成经济损失的，应予以赔偿。</w:t>
      </w:r>
    </w:p>
    <w:p w14:paraId="349C4841">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二)承包人工作人员有违反本责任书第一、三条责任行为的，按照管理权限，依据有关法律法规和规定给予党纪、政纪处分或组织处理；涉嫌犯罪的，移交司法机关追究刑事责任；给发包人单位造成经济损失的，应予以赔偿。</w:t>
      </w:r>
    </w:p>
    <w:p w14:paraId="6A8CB230">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第五条  本责任书作为工程施工经营管理责任合同的附件，与其具有同等法律效力。经双方签字盖章后立即生效。</w:t>
      </w:r>
    </w:p>
    <w:p w14:paraId="329CCDB4">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第六条  本责任书的有效期自合同签署之日起至该工程项目竣工验收合格并完成结算止。</w:t>
      </w:r>
    </w:p>
    <w:p w14:paraId="448C4C4E">
      <w:pPr>
        <w:pageBreakBefore w:val="0"/>
        <w:kinsoku/>
        <w:overflowPunct/>
        <w:topLinePunct w:val="0"/>
        <w:bidi w:val="0"/>
        <w:snapToGrid w:val="0"/>
        <w:spacing w:before="120" w:line="360" w:lineRule="auto"/>
        <w:ind w:firstLine="482"/>
        <w:rPr>
          <w:rFonts w:hint="eastAsia" w:ascii="仿宋" w:hAnsi="仿宋" w:eastAsia="仿宋" w:cs="仿宋"/>
          <w:b/>
          <w:bCs/>
          <w:color w:val="auto"/>
          <w:spacing w:val="0"/>
          <w:sz w:val="24"/>
          <w:szCs w:val="24"/>
          <w:highlight w:val="none"/>
        </w:rPr>
      </w:pPr>
      <w:r>
        <w:rPr>
          <w:rFonts w:hint="eastAsia" w:ascii="仿宋" w:hAnsi="仿宋" w:eastAsia="仿宋" w:cs="仿宋"/>
          <w:color w:val="auto"/>
          <w:spacing w:val="0"/>
          <w:sz w:val="24"/>
          <w:szCs w:val="24"/>
          <w:highlight w:val="none"/>
        </w:rPr>
        <w:t xml:space="preserve"> </w:t>
      </w:r>
      <w:r>
        <w:rPr>
          <w:rFonts w:hint="eastAsia" w:ascii="仿宋" w:hAnsi="仿宋" w:eastAsia="仿宋" w:cs="仿宋"/>
          <w:b/>
          <w:bCs/>
          <w:color w:val="auto"/>
          <w:spacing w:val="0"/>
          <w:sz w:val="24"/>
          <w:szCs w:val="24"/>
          <w:highlight w:val="none"/>
        </w:rPr>
        <w:t>（以下无正文）</w:t>
      </w:r>
    </w:p>
    <w:p w14:paraId="49372117">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广州锦泷房地产开发</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承包人 </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联合体主办</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 xml:space="preserve">：       </w:t>
      </w:r>
    </w:p>
    <w:p w14:paraId="7AFE806F">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lang w:val="en-US" w:eastAsia="zh-CN"/>
        </w:rPr>
        <w:t>有限公司</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公章)</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(公章)</w:t>
      </w:r>
    </w:p>
    <w:p w14:paraId="318F6017">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法定代表人或其委托代理人：          法定代表人或其委托代理人：</w:t>
      </w:r>
    </w:p>
    <w:p w14:paraId="646620F4">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（签字）                            （签字）</w:t>
      </w:r>
    </w:p>
    <w:p w14:paraId="3D0B1F3C">
      <w:pPr>
        <w:pageBreakBefore w:val="0"/>
        <w:kinsoku/>
        <w:overflowPunct/>
        <w:topLinePunct w:val="0"/>
        <w:bidi w:val="0"/>
        <w:adjustRightInd w:val="0"/>
        <w:snapToGrid w:val="0"/>
        <w:spacing w:before="120" w:line="360" w:lineRule="auto"/>
        <w:ind w:firstLine="199" w:firstLineChars="83"/>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年  月  日                          年   月   日</w:t>
      </w:r>
    </w:p>
    <w:p w14:paraId="6EBA1E88">
      <w:pPr>
        <w:pageBreakBefore w:val="0"/>
        <w:kinsoku/>
        <w:overflowPunct/>
        <w:topLinePunct w:val="0"/>
        <w:autoSpaceDE w:val="0"/>
        <w:autoSpaceDN w:val="0"/>
        <w:bidi w:val="0"/>
        <w:adjustRightInd w:val="0"/>
        <w:snapToGrid w:val="0"/>
        <w:spacing w:line="360" w:lineRule="auto"/>
        <w:ind w:right="-7"/>
        <w:rPr>
          <w:rFonts w:hint="eastAsia" w:ascii="仿宋" w:hAnsi="仿宋" w:eastAsia="仿宋" w:cs="仿宋"/>
          <w:color w:val="auto"/>
          <w:spacing w:val="0"/>
          <w:sz w:val="24"/>
          <w:szCs w:val="24"/>
          <w:highlight w:val="none"/>
        </w:rPr>
      </w:pPr>
    </w:p>
    <w:p w14:paraId="75322A29">
      <w:pPr>
        <w:pageBreakBefore w:val="0"/>
        <w:kinsoku/>
        <w:overflowPunct/>
        <w:topLinePunct w:val="0"/>
        <w:bidi w:val="0"/>
        <w:snapToGrid w:val="0"/>
        <w:spacing w:line="360" w:lineRule="auto"/>
        <w:jc w:val="left"/>
        <w:rPr>
          <w:rFonts w:hint="eastAsia" w:ascii="仿宋" w:hAnsi="仿宋" w:eastAsia="仿宋" w:cs="仿宋"/>
          <w:color w:val="auto"/>
          <w:spacing w:val="0"/>
          <w:sz w:val="24"/>
          <w:szCs w:val="24"/>
          <w:highlight w:val="none"/>
        </w:rPr>
      </w:pPr>
    </w:p>
    <w:p w14:paraId="20885052">
      <w:pPr>
        <w:pageBreakBefore w:val="0"/>
        <w:kinsoku/>
        <w:overflowPunct/>
        <w:topLinePunct w:val="0"/>
        <w:bidi w:val="0"/>
        <w:snapToGrid w:val="0"/>
        <w:spacing w:line="360" w:lineRule="auto"/>
        <w:jc w:val="left"/>
        <w:rPr>
          <w:rFonts w:hint="eastAsia" w:ascii="仿宋" w:hAnsi="仿宋" w:eastAsia="仿宋" w:cs="仿宋"/>
          <w:color w:val="auto"/>
          <w:spacing w:val="0"/>
          <w:sz w:val="24"/>
          <w:szCs w:val="24"/>
          <w:highlight w:val="none"/>
        </w:rPr>
      </w:pPr>
    </w:p>
    <w:p w14:paraId="287E2325">
      <w:pPr>
        <w:pageBreakBefore w:val="0"/>
        <w:kinsoku/>
        <w:overflowPunct/>
        <w:topLinePunct w:val="0"/>
        <w:bidi w:val="0"/>
        <w:snapToGrid w:val="0"/>
        <w:spacing w:line="360" w:lineRule="auto"/>
        <w:jc w:val="left"/>
        <w:rPr>
          <w:rFonts w:hint="eastAsia" w:ascii="仿宋" w:hAnsi="仿宋" w:eastAsia="仿宋" w:cs="仿宋"/>
          <w:color w:val="auto"/>
          <w:spacing w:val="0"/>
          <w:sz w:val="24"/>
          <w:szCs w:val="24"/>
          <w:highlight w:val="none"/>
        </w:rPr>
      </w:pPr>
    </w:p>
    <w:p w14:paraId="0A17159E">
      <w:pPr>
        <w:pageBreakBefore w:val="0"/>
        <w:kinsoku/>
        <w:overflowPunct/>
        <w:topLinePunct w:val="0"/>
        <w:bidi w:val="0"/>
        <w:snapToGrid w:val="0"/>
        <w:spacing w:line="360" w:lineRule="auto"/>
        <w:jc w:val="left"/>
        <w:rPr>
          <w:rFonts w:hint="eastAsia" w:ascii="仿宋" w:hAnsi="仿宋" w:eastAsia="仿宋" w:cs="仿宋"/>
          <w:b/>
          <w:bCs/>
          <w:color w:val="auto"/>
          <w:spacing w:val="0"/>
          <w:kern w:val="0"/>
          <w:sz w:val="24"/>
          <w:szCs w:val="24"/>
          <w:highlight w:val="none"/>
        </w:rPr>
      </w:pPr>
    </w:p>
    <w:p w14:paraId="32A4F357">
      <w:pPr>
        <w:pageBreakBefore w:val="0"/>
        <w:kinsoku/>
        <w:overflowPunct/>
        <w:topLinePunct w:val="0"/>
        <w:autoSpaceDE w:val="0"/>
        <w:autoSpaceDN w:val="0"/>
        <w:bidi w:val="0"/>
        <w:adjustRightInd w:val="0"/>
        <w:snapToGrid w:val="0"/>
        <w:spacing w:line="360" w:lineRule="auto"/>
        <w:rPr>
          <w:rFonts w:hint="eastAsia" w:ascii="仿宋" w:hAnsi="仿宋" w:eastAsia="仿宋" w:cs="仿宋"/>
          <w:b/>
          <w:bCs/>
          <w:color w:val="auto"/>
          <w:spacing w:val="0"/>
          <w:kern w:val="0"/>
          <w:sz w:val="24"/>
          <w:szCs w:val="24"/>
          <w:highlight w:val="none"/>
        </w:rPr>
      </w:pPr>
    </w:p>
    <w:p w14:paraId="3627FA3F">
      <w:pPr>
        <w:pStyle w:val="2"/>
        <w:ind w:left="0" w:leftChars="0" w:firstLine="0" w:firstLineChars="0"/>
        <w:rPr>
          <w:rFonts w:hint="eastAsia" w:ascii="仿宋" w:hAnsi="仿宋" w:eastAsia="仿宋" w:cs="仿宋"/>
          <w:b/>
          <w:bCs/>
          <w:color w:val="auto"/>
          <w:spacing w:val="0"/>
          <w:kern w:val="0"/>
          <w:sz w:val="24"/>
          <w:szCs w:val="24"/>
          <w:highlight w:val="none"/>
        </w:rPr>
      </w:pPr>
    </w:p>
    <w:p w14:paraId="7D181922">
      <w:pPr>
        <w:pageBreakBefore w:val="0"/>
        <w:kinsoku/>
        <w:overflowPunct/>
        <w:topLinePunct w:val="0"/>
        <w:autoSpaceDE w:val="0"/>
        <w:autoSpaceDN w:val="0"/>
        <w:bidi w:val="0"/>
        <w:adjustRightInd w:val="0"/>
        <w:snapToGrid w:val="0"/>
        <w:spacing w:line="360" w:lineRule="auto"/>
        <w:ind w:firstLine="482" w:firstLineChars="200"/>
        <w:outlineLvl w:val="0"/>
        <w:rPr>
          <w:rFonts w:hint="eastAsia" w:ascii="仿宋" w:hAnsi="仿宋" w:eastAsia="仿宋" w:cs="仿宋"/>
          <w:b/>
          <w:bCs/>
          <w:color w:val="auto"/>
          <w:spacing w:val="0"/>
          <w:sz w:val="24"/>
          <w:szCs w:val="24"/>
          <w:highlight w:val="none"/>
        </w:rPr>
      </w:pPr>
      <w:bookmarkStart w:id="104" w:name="_Toc13190"/>
      <w:r>
        <w:rPr>
          <w:rFonts w:hint="eastAsia" w:ascii="仿宋" w:hAnsi="仿宋" w:eastAsia="仿宋" w:cs="仿宋"/>
          <w:b/>
          <w:bCs/>
          <w:color w:val="auto"/>
          <w:spacing w:val="0"/>
          <w:sz w:val="24"/>
          <w:szCs w:val="24"/>
          <w:highlight w:val="none"/>
        </w:rPr>
        <w:t>附件五：</w:t>
      </w:r>
      <w:bookmarkEnd w:id="104"/>
    </w:p>
    <w:p w14:paraId="48A87DB7">
      <w:pPr>
        <w:pageBreakBefore w:val="0"/>
        <w:kinsoku/>
        <w:overflowPunct/>
        <w:topLinePunct w:val="0"/>
        <w:bidi w:val="0"/>
        <w:snapToGrid w:val="0"/>
        <w:spacing w:line="360" w:lineRule="auto"/>
        <w:jc w:val="center"/>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 xml:space="preserve"> 安全管理协议</w:t>
      </w:r>
    </w:p>
    <w:p w14:paraId="02EBA0DD">
      <w:pPr>
        <w:pageBreakBefore w:val="0"/>
        <w:kinsoku/>
        <w:overflowPunct/>
        <w:topLinePunct w:val="0"/>
        <w:bidi w:val="0"/>
        <w:adjustRightInd w:val="0"/>
        <w:snapToGrid w:val="0"/>
        <w:spacing w:before="120" w:after="120" w:line="360" w:lineRule="auto"/>
        <w:ind w:firstLine="482" w:firstLineChars="200"/>
        <w:outlineLvl w:val="9"/>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发包人 ：</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eastAsia="zh-CN"/>
        </w:rPr>
        <w:t>广州锦泷房地产开发有限公司</w:t>
      </w:r>
      <w:r>
        <w:rPr>
          <w:rFonts w:hint="eastAsia" w:ascii="仿宋" w:hAnsi="仿宋" w:eastAsia="仿宋" w:cs="仿宋"/>
          <w:b/>
          <w:color w:val="auto"/>
          <w:spacing w:val="0"/>
          <w:sz w:val="24"/>
          <w:szCs w:val="24"/>
          <w:highlight w:val="none"/>
          <w:u w:val="single"/>
        </w:rPr>
        <w:t xml:space="preserve">     </w:t>
      </w:r>
    </w:p>
    <w:p w14:paraId="2486E76C">
      <w:pPr>
        <w:pageBreakBefore w:val="0"/>
        <w:kinsoku/>
        <w:overflowPunct/>
        <w:topLinePunct w:val="0"/>
        <w:bidi w:val="0"/>
        <w:snapToGrid w:val="0"/>
        <w:spacing w:line="360" w:lineRule="auto"/>
        <w:ind w:firstLine="480"/>
        <w:rPr>
          <w:rFonts w:hint="eastAsia" w:ascii="仿宋" w:hAnsi="仿宋" w:eastAsia="仿宋" w:cs="仿宋"/>
          <w:b/>
          <w:color w:val="auto"/>
          <w:spacing w:val="0"/>
          <w:sz w:val="24"/>
          <w:szCs w:val="24"/>
          <w:highlight w:val="none"/>
          <w:u w:val="single"/>
        </w:rPr>
      </w:pPr>
      <w:r>
        <w:rPr>
          <w:rFonts w:hint="eastAsia" w:ascii="仿宋" w:hAnsi="仿宋" w:eastAsia="仿宋" w:cs="仿宋"/>
          <w:b/>
          <w:color w:val="auto"/>
          <w:spacing w:val="0"/>
          <w:sz w:val="24"/>
          <w:szCs w:val="24"/>
          <w:highlight w:val="none"/>
        </w:rPr>
        <w:t>承包人 ：</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val="en-US" w:eastAsia="zh-CN"/>
        </w:rPr>
        <w:t xml:space="preserve">                         </w:t>
      </w:r>
      <w:r>
        <w:rPr>
          <w:rFonts w:hint="eastAsia" w:ascii="仿宋" w:hAnsi="仿宋" w:eastAsia="仿宋" w:cs="仿宋"/>
          <w:b/>
          <w:color w:val="auto"/>
          <w:spacing w:val="0"/>
          <w:sz w:val="24"/>
          <w:szCs w:val="24"/>
          <w:highlight w:val="none"/>
          <w:u w:val="single"/>
        </w:rPr>
        <w:t xml:space="preserve">      </w:t>
      </w:r>
    </w:p>
    <w:p w14:paraId="6668E95C">
      <w:pPr>
        <w:pageBreakBefore w:val="0"/>
        <w:kinsoku/>
        <w:overflowPunct/>
        <w:topLinePunct w:val="0"/>
        <w:bidi w:val="0"/>
        <w:snapToGrid w:val="0"/>
        <w:spacing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为加强对</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bCs/>
          <w:color w:val="auto"/>
          <w:spacing w:val="0"/>
          <w:sz w:val="24"/>
          <w:szCs w:val="24"/>
          <w:highlight w:val="none"/>
          <w:u w:val="single"/>
          <w:lang w:eastAsia="zh-CN"/>
        </w:rPr>
        <w:t>天河区金融城东区AT091415地块</w:t>
      </w:r>
      <w:r>
        <w:rPr>
          <w:rFonts w:hint="eastAsia" w:ascii="仿宋" w:hAnsi="仿宋" w:eastAsia="仿宋" w:cs="仿宋"/>
          <w:color w:val="auto"/>
          <w:spacing w:val="0"/>
          <w:sz w:val="24"/>
          <w:szCs w:val="24"/>
          <w:highlight w:val="none"/>
          <w:u w:val="single"/>
        </w:rPr>
        <w:t>项目基坑支护和土方开挖      工程</w:t>
      </w:r>
      <w:r>
        <w:rPr>
          <w:rFonts w:hint="eastAsia" w:ascii="仿宋" w:hAnsi="仿宋" w:eastAsia="仿宋" w:cs="仿宋"/>
          <w:color w:val="auto"/>
          <w:spacing w:val="0"/>
          <w:sz w:val="24"/>
          <w:szCs w:val="24"/>
          <w:highlight w:val="none"/>
        </w:rPr>
        <w:t>安全管理，根据《中华人民共和国安全生产法》、《中华人民共和国建筑法》、《中华人民共和国劳动法》、《建设工程安全生产管理条例》、《安全生产许可证条例》等有关法律、法规，经双方协商一致，签订本建设工程承包安全管理协议书。</w:t>
      </w:r>
    </w:p>
    <w:p w14:paraId="61CD5812">
      <w:pPr>
        <w:pageBreakBefore w:val="0"/>
        <w:kinsoku/>
        <w:overflowPunct/>
        <w:topLinePunct w:val="0"/>
        <w:bidi w:val="0"/>
        <w:snapToGrid w:val="0"/>
        <w:spacing w:line="360" w:lineRule="auto"/>
        <w:rPr>
          <w:rFonts w:hint="eastAsia" w:ascii="仿宋" w:hAnsi="仿宋" w:eastAsia="仿宋" w:cs="仿宋"/>
          <w:b/>
          <w:color w:val="auto"/>
          <w:spacing w:val="0"/>
          <w:sz w:val="24"/>
          <w:szCs w:val="24"/>
          <w:highlight w:val="none"/>
        </w:rPr>
      </w:pPr>
      <w:r>
        <w:rPr>
          <w:rFonts w:hint="eastAsia" w:ascii="仿宋" w:hAnsi="仿宋" w:eastAsia="仿宋" w:cs="仿宋"/>
          <w:color w:val="auto"/>
          <w:spacing w:val="0"/>
          <w:sz w:val="24"/>
          <w:szCs w:val="24"/>
          <w:highlight w:val="none"/>
        </w:rPr>
        <w:t>一</w:t>
      </w:r>
      <w:r>
        <w:rPr>
          <w:rFonts w:hint="eastAsia" w:ascii="仿宋" w:hAnsi="仿宋" w:eastAsia="仿宋" w:cs="仿宋"/>
          <w:b/>
          <w:color w:val="auto"/>
          <w:spacing w:val="0"/>
          <w:sz w:val="24"/>
          <w:szCs w:val="24"/>
          <w:highlight w:val="none"/>
        </w:rPr>
        <w:t>、发包人职责和权限</w:t>
      </w:r>
    </w:p>
    <w:p w14:paraId="1DB888BA">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发包人依据国家、地方、上级主管部门及本单位有关法律、法规、标准、规范、规程及规章制度对承包人所承包工程的安全管理进行检查、指导和督促，对检查发现的问题和隐患，有权提出整改意见，有权制止承包人的违章指挥、违规作业及冒险施工等行为，并根据相应规定进行处罚。</w:t>
      </w:r>
    </w:p>
    <w:p w14:paraId="4B620769">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2、按照“安全第一、预防为主”和坚持“管生产必须管安全”的原则进行安全生产管理，做到生产和安全工作同时计划、布置、检查、总结和评比。</w:t>
      </w:r>
    </w:p>
    <w:p w14:paraId="0AC317B2">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3、定期召开安全生产调度会，及时传达中央及地方有关安全生产的精神。</w:t>
      </w:r>
    </w:p>
    <w:p w14:paraId="7970C540">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4、监督承包人及时处理发现的各种安全、环保隐患。</w:t>
      </w:r>
    </w:p>
    <w:p w14:paraId="764C344A">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5、定期或分阶段组织对承包人安全施工宣传及防护设施进行检查、验收。</w:t>
      </w:r>
    </w:p>
    <w:p w14:paraId="647EE774">
      <w:pPr>
        <w:pageBreakBefore w:val="0"/>
        <w:kinsoku/>
        <w:overflowPunct/>
        <w:topLinePunct w:val="0"/>
        <w:bidi w:val="0"/>
        <w:snapToGrid w:val="0"/>
        <w:spacing w:line="360" w:lineRule="auto"/>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二、承包人职责和权限</w:t>
      </w:r>
    </w:p>
    <w:p w14:paraId="73822E9F">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1、承包人负责人为分包工程安全生产第一责任人，现场项目经理为安全生产直接责任人。</w:t>
      </w:r>
    </w:p>
    <w:p w14:paraId="64436FAA">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2、杜绝重大伤亡事故，轻伤事故频率控制在2‰以内。</w:t>
      </w:r>
    </w:p>
    <w:p w14:paraId="0A1FA7CD">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承包人应当严格遵守国家、地方、上级主管部门有关安全生产的法律法规、标准、规范、规程、规定等，严格遵守发包人的安全生产规章制度和安全管理规定，服从安全管理。认真贯彻“安全第一、预防为主”的方针，明确各班组及特殊工种人员安全生产工作职责，并付诸实施，以防止安全事故发生。承包人违反有关规定导致生产安全事故的，由承包人承担全部责任。</w:t>
      </w:r>
    </w:p>
    <w:p w14:paraId="7B750B2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建立健全安全生产责任制。从派往项目实施的现场管理代表到生产工人（包括临时雇请的民工）的安全生产管理系统必须做到纵向到底，一环不漏；各职能部门、人员的安全生产责任制做到横向到边，人人有责。承包人现场管理代表是承包人安全生产的直接责任人。从业人员超过三十人的，至少配备两名专职安全生产管理人员；从业人员超过三百人的，至少配备三名专职安全生产管理人员。专职安全生产管理人员负责所有员工的安全和治安保卫工作及预防事故的发生。同时，承包人应按发包人与业主合同要求配备各专业工程师。安全机构人员、专业工程师，有权按有关规定发布指令，并采取保护性措施防止事故发生。从开工之日起，承包人如果没有派驻持有建设行政主管部门安全考核合格证的安全员进场管理安全生产工作，则发包人每月扣罚承包人2万元</w:t>
      </w:r>
      <w:r>
        <w:rPr>
          <w:rFonts w:hint="eastAsia" w:ascii="仿宋" w:hAnsi="仿宋" w:eastAsia="仿宋" w:cs="仿宋"/>
          <w:color w:val="auto"/>
          <w:spacing w:val="0"/>
          <w:sz w:val="24"/>
          <w:szCs w:val="24"/>
          <w:highlight w:val="none"/>
          <w:lang w:eastAsia="zh-Hans"/>
        </w:rPr>
        <w:t>违约金</w:t>
      </w:r>
      <w:r>
        <w:rPr>
          <w:rFonts w:hint="eastAsia" w:ascii="仿宋" w:hAnsi="仿宋" w:eastAsia="仿宋" w:cs="仿宋"/>
          <w:color w:val="auto"/>
          <w:spacing w:val="0"/>
          <w:sz w:val="24"/>
          <w:szCs w:val="24"/>
          <w:highlight w:val="none"/>
        </w:rPr>
        <w:t>直至承包人派驻持有建设行政主管部门安全考核合格证的安全员进场管理安全生产工作为止，</w:t>
      </w:r>
      <w:r>
        <w:rPr>
          <w:rFonts w:hint="eastAsia" w:ascii="仿宋" w:hAnsi="仿宋" w:eastAsia="仿宋" w:cs="仿宋"/>
          <w:color w:val="auto"/>
          <w:spacing w:val="0"/>
          <w:sz w:val="24"/>
          <w:szCs w:val="24"/>
          <w:highlight w:val="none"/>
          <w:lang w:eastAsia="zh-Hans"/>
        </w:rPr>
        <w:t>不足一个月的按一个月的违约金计算</w:t>
      </w:r>
      <w:r>
        <w:rPr>
          <w:rFonts w:hint="eastAsia" w:ascii="仿宋" w:hAnsi="仿宋" w:eastAsia="仿宋" w:cs="仿宋"/>
          <w:color w:val="auto"/>
          <w:spacing w:val="0"/>
          <w:sz w:val="24"/>
          <w:szCs w:val="24"/>
          <w:highlight w:val="none"/>
        </w:rPr>
        <w:t>。</w:t>
      </w:r>
    </w:p>
    <w:p w14:paraId="543AEE41">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5、承包人在任何时候都应采取各种合理的预防措施，防止其员工发生任何违法、违禁、暴力或妨碍治安的行为。</w:t>
      </w:r>
    </w:p>
    <w:p w14:paraId="73D307E8">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承包人必须具有建设行政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承包人必须承担管理责任并接受处罚。</w:t>
      </w:r>
    </w:p>
    <w:p w14:paraId="01E33663">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7、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14:paraId="04AA250C">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8、承包人有权拒绝发包人的违章指挥和强令冒险作业。</w:t>
      </w:r>
    </w:p>
    <w:p w14:paraId="0E5BEFD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9、承包人发现直接危及人身安全的紧急情况，有权停止作业或采取应急措施后撤离作业场所。</w:t>
      </w:r>
    </w:p>
    <w:p w14:paraId="780DCC1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10、操作人员上岗，必须按规定穿戴防护用品。施工负责人和安全检查员应随时检查劳动防护用品的穿戴情况，不按规定穿戴防护用品的人员不得上岗。</w:t>
      </w:r>
    </w:p>
    <w:p w14:paraId="445B5EA4">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11、所有施工机械设备和高空作业设备均应进行检查报验，使用过程中做好维护保养，设备检查应有安全员的签字记录，保证其经常处于完好状态，不合格的机具、设备和劳动保护用品严禁使用。</w:t>
      </w:r>
    </w:p>
    <w:p w14:paraId="004A985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12、施工中采用新技术、新工艺、新设备、新材料时，必须制定相应的安全技术措施，施工现场必须具有相关的安全标志牌。</w:t>
      </w:r>
    </w:p>
    <w:p w14:paraId="48C3F902">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13、施工人员开工前不准饮酒，工作时间不准赤脚或穿拖鞋，进入施工现场必须戴好安全帽，高空、井下作业要系好安全带，并严格执行发包人制定的各项规章制度及安全技术操作规程，做到不违章指挥，不冒险作业。</w:t>
      </w:r>
    </w:p>
    <w:p w14:paraId="213497AC">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14、承包人必须按照本工程项目特点，组织制定本工程实施中的生产安全事故应急救援预案，配齐应急物资和设备，定期组织演练；如果发生安全事故，应按照《国务院关于特大安全事故行政责任追究的规定》以及其它有关规定，及时上报有关部门，并坚持“四不放过”的原则，严肃处理相关责任人。</w:t>
      </w:r>
    </w:p>
    <w:p w14:paraId="79AB7075">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15、一切有关安全的个人防护用品，均由承包人负责按发包人要求购备。承包人应为从业人员无偿提供足够数量的、符合国家标准或行业标准的劳动防护用品，不得以货币或其它物品替代。</w:t>
      </w:r>
    </w:p>
    <w:p w14:paraId="41062394">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16、严格执行项目标准化管理规定，并接受发包人的监督检查。</w:t>
      </w:r>
    </w:p>
    <w:p w14:paraId="238FADF9">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17、承包人全面负责宿舍范围和施工范围内的安全及防火工作，接受发包人各级部门、监理、业主及政府行政主管部门的监督及检查。</w:t>
      </w:r>
    </w:p>
    <w:p w14:paraId="5A11EEB1">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18、承包人在承接</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bCs/>
          <w:color w:val="auto"/>
          <w:spacing w:val="0"/>
          <w:sz w:val="24"/>
          <w:szCs w:val="24"/>
          <w:highlight w:val="none"/>
          <w:u w:val="single"/>
          <w:lang w:eastAsia="zh-CN"/>
        </w:rPr>
        <w:t>天河区金融城东区AT091415地块</w:t>
      </w:r>
      <w:r>
        <w:rPr>
          <w:rFonts w:hint="eastAsia" w:ascii="仿宋" w:hAnsi="仿宋" w:eastAsia="仿宋" w:cs="仿宋"/>
          <w:bCs/>
          <w:color w:val="auto"/>
          <w:spacing w:val="0"/>
          <w:sz w:val="24"/>
          <w:szCs w:val="24"/>
          <w:highlight w:val="none"/>
          <w:u w:val="single"/>
        </w:rPr>
        <w:t>项</w:t>
      </w:r>
      <w:r>
        <w:rPr>
          <w:rFonts w:hint="eastAsia" w:ascii="仿宋" w:hAnsi="仿宋" w:eastAsia="仿宋" w:cs="仿宋"/>
          <w:color w:val="auto"/>
          <w:spacing w:val="0"/>
          <w:sz w:val="24"/>
          <w:szCs w:val="24"/>
          <w:highlight w:val="none"/>
          <w:u w:val="single"/>
        </w:rPr>
        <w:t xml:space="preserve">基坑支护和土方开挖   </w:t>
      </w:r>
      <w:r>
        <w:rPr>
          <w:rFonts w:hint="eastAsia" w:ascii="仿宋" w:hAnsi="仿宋" w:eastAsia="仿宋" w:cs="仿宋"/>
          <w:color w:val="auto"/>
          <w:spacing w:val="0"/>
          <w:sz w:val="24"/>
          <w:szCs w:val="24"/>
          <w:highlight w:val="none"/>
        </w:rPr>
        <w:t>工程同时，必须同时承包安全施工工作，并接受发包人监督与检查，如因工程承包范围内发生人员伤害或经济损失的均由承包人承担。</w:t>
      </w:r>
    </w:p>
    <w:p w14:paraId="7CFECFD8">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19、承包人在施工过程中，应安全用电防止因火灾造成人员的伤害。</w:t>
      </w:r>
    </w:p>
    <w:p w14:paraId="56787F9D">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20、承包人应建立安全防护、文明施工措施费用的专项台帐，落实各项安全防护和文明施工的措施。</w:t>
      </w:r>
    </w:p>
    <w:p w14:paraId="67C48479">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21、承包人不按安全生产施工的要求和规定进行施工，在发包人发出通知7日内，承包人应按要求进行整改，如承包人不整改或整改后仍达不到要求的，发包人有权委托第三人进行整改，所发生的全部费用和损失由承包人承担。</w:t>
      </w:r>
    </w:p>
    <w:p w14:paraId="791AF902">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22、承包人必须并执行《生产安全事故报告和调查处理条例》（国国务院令第493号）及国家、地方、上级主管部门的有关新规定（如有），如承包人施工现场发生伤亡事故，分包负责人接到事故报告后，必须立即向总承包方及有关部门报告，应当立即启动事故相应应急预案，或者采取有效措施，组织抢救，防止事故扩大，减少人员伤亡和财产损失，保护事故现场。因抢救人员、防止事故扩大以及疏通交通等原因，需要移动事故现场物件的，应当做出标志，照相，绘制现场简图并做出书面记录，妥善保存现场重要痕迹、物证。承包人须积极配合发包人及发包人上级部门、当地政府部门对事故的调查和现场勘察，不得提供伪证。</w:t>
      </w:r>
    </w:p>
    <w:p w14:paraId="1ACFC6E0">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23、承包人应按发包人要求做好诚信综合评价管理工作，提高所承包工程安全施工诚信得分。</w:t>
      </w:r>
    </w:p>
    <w:p w14:paraId="300D50AC">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24、承包人应遵守安全施工的强制性标准、规章制度和操作规程，规范布置各种设施，科学、合理利用机械设备，正确使用安全防护用具。所使用的施工起重机械、整体提升脚手架、模板等自升式架设设施，应按有关规定办理安装告知、登记手续，经有关单位验收合格后才能使用。所有机具设备和高空作业的设备应定期检查，并保证其经常处于完好状态，不合格的机具、设备和劳动保护用品严禁使用。</w:t>
      </w:r>
    </w:p>
    <w:p w14:paraId="09DCB36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25、承包人对上级主管部门和发包人在安全检查中发现的安全管理问题和安全隐患，必须按要求定人员、定时间、定措施落实整改。</w:t>
      </w:r>
    </w:p>
    <w:p w14:paraId="72DB0C85">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三、罚则</w:t>
      </w:r>
    </w:p>
    <w:p w14:paraId="587C3A8F">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1、若因承包人对工程安全施工管理不力，造成如下情况，处罚如下：</w:t>
      </w:r>
    </w:p>
    <w:p w14:paraId="30DF5DB0">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（1）发包人的安全生产许可证被暂扣的，暂扣期内</w:t>
      </w:r>
      <w:r>
        <w:rPr>
          <w:rFonts w:hint="eastAsia" w:ascii="仿宋" w:hAnsi="仿宋" w:eastAsia="仿宋" w:cs="仿宋"/>
          <w:color w:val="auto"/>
          <w:spacing w:val="0"/>
          <w:sz w:val="24"/>
          <w:szCs w:val="24"/>
          <w:highlight w:val="none"/>
          <w:lang w:eastAsia="zh-Hans"/>
        </w:rPr>
        <w:t>发包人对承包人</w:t>
      </w:r>
      <w:r>
        <w:rPr>
          <w:rFonts w:hint="eastAsia" w:ascii="仿宋" w:hAnsi="仿宋" w:eastAsia="仿宋" w:cs="仿宋"/>
          <w:color w:val="auto"/>
          <w:spacing w:val="0"/>
          <w:sz w:val="24"/>
          <w:szCs w:val="24"/>
          <w:highlight w:val="none"/>
        </w:rPr>
        <w:t>罚款1万元/天；</w:t>
      </w:r>
    </w:p>
    <w:p w14:paraId="0419E555">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（2）发包人的安全生产许可证被列入政府主管部门黑名单，列黑期内</w:t>
      </w:r>
      <w:r>
        <w:rPr>
          <w:rFonts w:hint="eastAsia" w:ascii="仿宋" w:hAnsi="仿宋" w:eastAsia="仿宋" w:cs="仿宋"/>
          <w:color w:val="auto"/>
          <w:spacing w:val="0"/>
          <w:sz w:val="24"/>
          <w:szCs w:val="24"/>
          <w:highlight w:val="none"/>
          <w:lang w:eastAsia="zh-Hans"/>
        </w:rPr>
        <w:t>发包人对承包人</w:t>
      </w:r>
      <w:r>
        <w:rPr>
          <w:rFonts w:hint="eastAsia" w:ascii="仿宋" w:hAnsi="仿宋" w:eastAsia="仿宋" w:cs="仿宋"/>
          <w:color w:val="auto"/>
          <w:spacing w:val="0"/>
          <w:sz w:val="24"/>
          <w:szCs w:val="24"/>
          <w:highlight w:val="none"/>
        </w:rPr>
        <w:t>罚款2万元/月；</w:t>
      </w:r>
    </w:p>
    <w:p w14:paraId="707FB0CA">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（3）发包人管理人员被政府有关部门通报不良行为的，</w:t>
      </w:r>
      <w:r>
        <w:rPr>
          <w:rFonts w:hint="eastAsia" w:ascii="仿宋" w:hAnsi="仿宋" w:eastAsia="仿宋" w:cs="仿宋"/>
          <w:color w:val="auto"/>
          <w:spacing w:val="0"/>
          <w:sz w:val="24"/>
          <w:szCs w:val="24"/>
          <w:highlight w:val="none"/>
          <w:lang w:eastAsia="zh-Hans"/>
        </w:rPr>
        <w:t>发包人对承包人</w:t>
      </w:r>
      <w:r>
        <w:rPr>
          <w:rFonts w:hint="eastAsia" w:ascii="仿宋" w:hAnsi="仿宋" w:eastAsia="仿宋" w:cs="仿宋"/>
          <w:color w:val="auto"/>
          <w:spacing w:val="0"/>
          <w:sz w:val="24"/>
          <w:szCs w:val="24"/>
          <w:highlight w:val="none"/>
        </w:rPr>
        <w:t>罚款2万元/次；</w:t>
      </w:r>
    </w:p>
    <w:p w14:paraId="6DAE171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（4）发包人被政府有关部门通报不良行为的，</w:t>
      </w:r>
      <w:r>
        <w:rPr>
          <w:rFonts w:hint="eastAsia" w:ascii="仿宋" w:hAnsi="仿宋" w:eastAsia="仿宋" w:cs="仿宋"/>
          <w:color w:val="auto"/>
          <w:spacing w:val="0"/>
          <w:sz w:val="24"/>
          <w:szCs w:val="24"/>
          <w:highlight w:val="none"/>
          <w:lang w:eastAsia="zh-Hans"/>
        </w:rPr>
        <w:t>发包人对承包人</w:t>
      </w:r>
      <w:r>
        <w:rPr>
          <w:rFonts w:hint="eastAsia" w:ascii="仿宋" w:hAnsi="仿宋" w:eastAsia="仿宋" w:cs="仿宋"/>
          <w:color w:val="auto"/>
          <w:spacing w:val="0"/>
          <w:sz w:val="24"/>
          <w:szCs w:val="24"/>
          <w:highlight w:val="none"/>
        </w:rPr>
        <w:t>罚款5万元/次；</w:t>
      </w:r>
    </w:p>
    <w:p w14:paraId="4AB8A1CD">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（5）发包人被政府有关部门停止投标资格的，停标期内</w:t>
      </w:r>
      <w:r>
        <w:rPr>
          <w:rFonts w:hint="eastAsia" w:ascii="仿宋" w:hAnsi="仿宋" w:eastAsia="仿宋" w:cs="仿宋"/>
          <w:color w:val="auto"/>
          <w:spacing w:val="0"/>
          <w:sz w:val="24"/>
          <w:szCs w:val="24"/>
          <w:highlight w:val="none"/>
          <w:lang w:eastAsia="zh-Hans"/>
        </w:rPr>
        <w:t>发包人对承包人</w:t>
      </w:r>
      <w:r>
        <w:rPr>
          <w:rFonts w:hint="eastAsia" w:ascii="仿宋" w:hAnsi="仿宋" w:eastAsia="仿宋" w:cs="仿宋"/>
          <w:color w:val="auto"/>
          <w:spacing w:val="0"/>
          <w:sz w:val="24"/>
          <w:szCs w:val="24"/>
          <w:highlight w:val="none"/>
        </w:rPr>
        <w:t>罚款1万元/天；</w:t>
      </w:r>
    </w:p>
    <w:p w14:paraId="28240439">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（6）发包人项目经理及安全员职业资格证被暂扣或吊销的，处罚期内涉及项目经理的</w:t>
      </w:r>
      <w:r>
        <w:rPr>
          <w:rFonts w:hint="eastAsia" w:ascii="仿宋" w:hAnsi="仿宋" w:eastAsia="仿宋" w:cs="仿宋"/>
          <w:color w:val="auto"/>
          <w:spacing w:val="0"/>
          <w:sz w:val="24"/>
          <w:szCs w:val="24"/>
          <w:highlight w:val="none"/>
          <w:lang w:eastAsia="zh-Hans"/>
        </w:rPr>
        <w:t>发包人对承包人</w:t>
      </w:r>
      <w:r>
        <w:rPr>
          <w:rFonts w:hint="eastAsia" w:ascii="仿宋" w:hAnsi="仿宋" w:eastAsia="仿宋" w:cs="仿宋"/>
          <w:color w:val="auto"/>
          <w:spacing w:val="0"/>
          <w:sz w:val="24"/>
          <w:szCs w:val="24"/>
          <w:highlight w:val="none"/>
        </w:rPr>
        <w:t>罚款1万元/月，涉及安全员的</w:t>
      </w:r>
      <w:r>
        <w:rPr>
          <w:rFonts w:hint="eastAsia" w:ascii="仿宋" w:hAnsi="仿宋" w:eastAsia="仿宋" w:cs="仿宋"/>
          <w:color w:val="auto"/>
          <w:spacing w:val="0"/>
          <w:sz w:val="24"/>
          <w:szCs w:val="24"/>
          <w:highlight w:val="none"/>
          <w:lang w:eastAsia="zh-Hans"/>
        </w:rPr>
        <w:t>发包人对承包人</w:t>
      </w:r>
      <w:r>
        <w:rPr>
          <w:rFonts w:hint="eastAsia" w:ascii="仿宋" w:hAnsi="仿宋" w:eastAsia="仿宋" w:cs="仿宋"/>
          <w:color w:val="auto"/>
          <w:spacing w:val="0"/>
          <w:sz w:val="24"/>
          <w:szCs w:val="24"/>
          <w:highlight w:val="none"/>
        </w:rPr>
        <w:t>罚款0.6万元/月（</w:t>
      </w:r>
      <w:r>
        <w:rPr>
          <w:rFonts w:hint="eastAsia" w:ascii="仿宋" w:hAnsi="仿宋" w:eastAsia="仿宋" w:cs="仿宋"/>
          <w:color w:val="auto"/>
          <w:spacing w:val="0"/>
          <w:sz w:val="24"/>
          <w:szCs w:val="24"/>
          <w:highlight w:val="none"/>
          <w:lang w:eastAsia="zh-Hans"/>
        </w:rPr>
        <w:t>前述时间不足一个月的按一个月计算</w:t>
      </w:r>
      <w:r>
        <w:rPr>
          <w:rFonts w:hint="eastAsia" w:ascii="仿宋" w:hAnsi="仿宋" w:eastAsia="仿宋" w:cs="仿宋"/>
          <w:color w:val="auto"/>
          <w:spacing w:val="0"/>
          <w:sz w:val="24"/>
          <w:szCs w:val="24"/>
          <w:highlight w:val="none"/>
        </w:rPr>
        <w:t>）。</w:t>
      </w:r>
    </w:p>
    <w:p w14:paraId="08C2D4E1">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7）安全事故：若因承包人原因导致发生安全事故，由承包人承担全部责任，发包人有权按规定对承包人进行处罚，由此产生的费用和罚款将在应付工程款中直接抵扣。若承包人依照约定支付罚金后，仍不足于弥补发包人损失的，承包人必须据实赔偿差额部分；若造成第三方损失的，由承包人负责赔偿。</w:t>
      </w:r>
    </w:p>
    <w:p w14:paraId="356D6ADF">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（8）若对发包人提出的安全生产整改意见整改不力或拒不整改的，发包人有权按照发包人相关制度处罚。</w:t>
      </w:r>
    </w:p>
    <w:p w14:paraId="41A9AA27">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2、按照发包人规定，按时提交安全生产措施费台账。</w:t>
      </w:r>
    </w:p>
    <w:p w14:paraId="24F17C67">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除了上述约定的罚款，若承包人依照约定支付罚金后，仍不足于弥补发包人损失的，承包人必须据实赔偿差额部分；若造成第三人损失的，承包人负责赔偿。</w:t>
      </w:r>
    </w:p>
    <w:p w14:paraId="5F3E33EA">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发包人可根据承包人违约情况暂停工程款发放，直至承包人整改完毕。若承包人违约严重，发包人可单方面解除施工合同，依法追究承包人责任。</w:t>
      </w:r>
    </w:p>
    <w:p w14:paraId="705A7032">
      <w:pPr>
        <w:pageBreakBefore w:val="0"/>
        <w:kinsoku/>
        <w:overflowPunct/>
        <w:topLinePunct w:val="0"/>
        <w:bidi w:val="0"/>
        <w:snapToGrid w:val="0"/>
        <w:spacing w:before="120" w:line="360" w:lineRule="auto"/>
        <w:ind w:firstLine="482"/>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（以下无正文）</w:t>
      </w:r>
    </w:p>
    <w:p w14:paraId="054155AE">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p>
    <w:p w14:paraId="4DAB658E">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p>
    <w:p w14:paraId="0558794D">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p>
    <w:p w14:paraId="52F8BD27">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p>
    <w:p w14:paraId="13411347">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广州锦泷房地产开发</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承包人 </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联合体主办</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 xml:space="preserve">：       </w:t>
      </w:r>
    </w:p>
    <w:p w14:paraId="44C3FB28">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lang w:val="en-US" w:eastAsia="zh-CN"/>
        </w:rPr>
        <w:t>有限公司</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公章)</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(公章)</w:t>
      </w:r>
    </w:p>
    <w:p w14:paraId="06BF0BA9">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法定代表人或其委托代理人：          法定代表人或其委托代理人：</w:t>
      </w:r>
    </w:p>
    <w:p w14:paraId="6A2F1860">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（签字）                            （签字）</w:t>
      </w:r>
    </w:p>
    <w:p w14:paraId="0E66F6F6">
      <w:pPr>
        <w:pageBreakBefore w:val="0"/>
        <w:kinsoku/>
        <w:overflowPunct/>
        <w:topLinePunct w:val="0"/>
        <w:bidi w:val="0"/>
        <w:adjustRightInd w:val="0"/>
        <w:snapToGrid w:val="0"/>
        <w:spacing w:before="120" w:line="360" w:lineRule="auto"/>
        <w:ind w:firstLine="199" w:firstLineChars="83"/>
        <w:rPr>
          <w:rFonts w:hint="eastAsia" w:ascii="仿宋" w:hAnsi="仿宋" w:eastAsia="仿宋" w:cs="仿宋"/>
          <w:b/>
          <w:bCs/>
          <w:color w:val="auto"/>
          <w:spacing w:val="0"/>
          <w:sz w:val="24"/>
          <w:szCs w:val="24"/>
          <w:highlight w:val="none"/>
        </w:rPr>
      </w:pPr>
      <w:r>
        <w:rPr>
          <w:rFonts w:hint="eastAsia" w:ascii="仿宋" w:hAnsi="仿宋" w:eastAsia="仿宋" w:cs="仿宋"/>
          <w:color w:val="auto"/>
          <w:spacing w:val="0"/>
          <w:sz w:val="24"/>
          <w:szCs w:val="24"/>
          <w:highlight w:val="none"/>
        </w:rPr>
        <w:t>年  月  日                          年   月   日</w:t>
      </w:r>
    </w:p>
    <w:p w14:paraId="1F1CF30B">
      <w:pPr>
        <w:pageBreakBefore w:val="0"/>
        <w:kinsoku/>
        <w:overflowPunct/>
        <w:topLinePunct w:val="0"/>
        <w:bidi w:val="0"/>
        <w:snapToGrid w:val="0"/>
        <w:spacing w:line="360" w:lineRule="auto"/>
        <w:ind w:firstLine="480" w:firstLineChars="200"/>
        <w:outlineLvl w:val="0"/>
        <w:rPr>
          <w:rFonts w:hint="eastAsia" w:ascii="仿宋" w:hAnsi="仿宋" w:eastAsia="仿宋" w:cs="仿宋"/>
          <w:b/>
          <w:color w:val="auto"/>
          <w:spacing w:val="0"/>
          <w:sz w:val="24"/>
          <w:szCs w:val="24"/>
          <w:highlight w:val="none"/>
        </w:rPr>
      </w:pPr>
      <w:r>
        <w:rPr>
          <w:rFonts w:hint="eastAsia" w:ascii="仿宋" w:hAnsi="仿宋" w:eastAsia="仿宋" w:cs="仿宋"/>
          <w:color w:val="auto"/>
          <w:spacing w:val="0"/>
          <w:sz w:val="24"/>
          <w:szCs w:val="24"/>
          <w:highlight w:val="none"/>
        </w:rPr>
        <w:br w:type="page"/>
      </w:r>
      <w:bookmarkStart w:id="105" w:name="_Toc7384"/>
      <w:r>
        <w:rPr>
          <w:rFonts w:hint="eastAsia" w:ascii="仿宋" w:hAnsi="仿宋" w:eastAsia="仿宋" w:cs="仿宋"/>
          <w:b/>
          <w:color w:val="auto"/>
          <w:spacing w:val="0"/>
          <w:sz w:val="24"/>
          <w:szCs w:val="24"/>
          <w:highlight w:val="none"/>
        </w:rPr>
        <w:t>附件六：</w:t>
      </w:r>
      <w:bookmarkEnd w:id="105"/>
      <w:r>
        <w:rPr>
          <w:rFonts w:hint="eastAsia" w:ascii="仿宋" w:hAnsi="仿宋" w:eastAsia="仿宋" w:cs="仿宋"/>
          <w:b/>
          <w:color w:val="auto"/>
          <w:spacing w:val="0"/>
          <w:sz w:val="24"/>
          <w:szCs w:val="24"/>
          <w:highlight w:val="none"/>
        </w:rPr>
        <w:t xml:space="preserve"> </w:t>
      </w:r>
    </w:p>
    <w:p w14:paraId="34A49EE6">
      <w:pPr>
        <w:pageBreakBefore w:val="0"/>
        <w:kinsoku/>
        <w:overflowPunct/>
        <w:topLinePunct w:val="0"/>
        <w:bidi w:val="0"/>
        <w:snapToGrid w:val="0"/>
        <w:spacing w:line="360" w:lineRule="auto"/>
        <w:jc w:val="center"/>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质量管理协议</w:t>
      </w:r>
    </w:p>
    <w:p w14:paraId="2A70B659">
      <w:pPr>
        <w:pageBreakBefore w:val="0"/>
        <w:kinsoku/>
        <w:overflowPunct/>
        <w:topLinePunct w:val="0"/>
        <w:bidi w:val="0"/>
        <w:snapToGrid w:val="0"/>
        <w:spacing w:line="360" w:lineRule="auto"/>
        <w:jc w:val="center"/>
        <w:rPr>
          <w:rFonts w:hint="eastAsia" w:ascii="仿宋" w:hAnsi="仿宋" w:eastAsia="仿宋" w:cs="仿宋"/>
          <w:b/>
          <w:color w:val="auto"/>
          <w:spacing w:val="0"/>
          <w:sz w:val="24"/>
          <w:szCs w:val="24"/>
          <w:highlight w:val="none"/>
        </w:rPr>
      </w:pPr>
    </w:p>
    <w:p w14:paraId="4110312D">
      <w:pPr>
        <w:pageBreakBefore w:val="0"/>
        <w:kinsoku/>
        <w:overflowPunct/>
        <w:topLinePunct w:val="0"/>
        <w:bidi w:val="0"/>
        <w:adjustRightInd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广州锦泷房地产开发有限公司</w:t>
      </w:r>
      <w:r>
        <w:rPr>
          <w:rFonts w:hint="eastAsia" w:ascii="仿宋" w:hAnsi="仿宋" w:eastAsia="仿宋" w:cs="仿宋"/>
          <w:color w:val="auto"/>
          <w:spacing w:val="0"/>
          <w:sz w:val="24"/>
          <w:szCs w:val="24"/>
          <w:highlight w:val="none"/>
          <w:u w:val="single"/>
        </w:rPr>
        <w:t xml:space="preserve">      </w:t>
      </w:r>
    </w:p>
    <w:p w14:paraId="253B51B5">
      <w:pPr>
        <w:pageBreakBefore w:val="0"/>
        <w:kinsoku/>
        <w:overflowPunct/>
        <w:topLinePunct w:val="0"/>
        <w:bidi w:val="0"/>
        <w:adjustRightInd w:val="0"/>
        <w:snapToGrid w:val="0"/>
        <w:spacing w:line="360" w:lineRule="auto"/>
        <w:ind w:firstLine="480" w:firstLineChars="200"/>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承包人：</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 xml:space="preserve">     </w:t>
      </w:r>
    </w:p>
    <w:p w14:paraId="6FBA55BB">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为切实加强对</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bCs/>
          <w:color w:val="auto"/>
          <w:spacing w:val="0"/>
          <w:sz w:val="24"/>
          <w:szCs w:val="24"/>
          <w:highlight w:val="none"/>
          <w:u w:val="single"/>
          <w:lang w:eastAsia="zh-CN"/>
        </w:rPr>
        <w:t>天河区金融城东区AT091415地块</w:t>
      </w:r>
      <w:r>
        <w:rPr>
          <w:rFonts w:hint="eastAsia" w:ascii="仿宋" w:hAnsi="仿宋" w:eastAsia="仿宋" w:cs="仿宋"/>
          <w:bCs/>
          <w:color w:val="auto"/>
          <w:spacing w:val="0"/>
          <w:sz w:val="24"/>
          <w:szCs w:val="24"/>
          <w:highlight w:val="none"/>
          <w:u w:val="single"/>
        </w:rPr>
        <w:t>项</w:t>
      </w:r>
      <w:r>
        <w:rPr>
          <w:rFonts w:hint="eastAsia" w:ascii="仿宋" w:hAnsi="仿宋" w:eastAsia="仿宋" w:cs="仿宋"/>
          <w:color w:val="auto"/>
          <w:spacing w:val="0"/>
          <w:sz w:val="24"/>
          <w:szCs w:val="24"/>
          <w:highlight w:val="none"/>
          <w:u w:val="single"/>
        </w:rPr>
        <w:t>基坑支护和土方开挖工程</w:t>
      </w:r>
      <w:r>
        <w:rPr>
          <w:rFonts w:hint="eastAsia" w:ascii="仿宋" w:hAnsi="仿宋" w:eastAsia="仿宋" w:cs="仿宋"/>
          <w:color w:val="auto"/>
          <w:spacing w:val="0"/>
          <w:sz w:val="24"/>
          <w:szCs w:val="24"/>
          <w:highlight w:val="none"/>
        </w:rPr>
        <w:t>质量管理，根据《中华人民共和国建筑法》、《建设工程质量管理条例》（国务院令  第279号）、《房屋建筑和市政基础设施工程施工分包管理办法》（建设部令 第124号）等有关法律、法规，经双方单位协商一致，签订本建设工程施工承包质量管理协议书。</w:t>
      </w:r>
    </w:p>
    <w:p w14:paraId="5A77E3FD">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一、工程概况</w:t>
      </w:r>
    </w:p>
    <w:p w14:paraId="447240E5">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工程地点：</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金融城东区，花城大道以南、规划一横路以北</w:t>
      </w:r>
      <w:r>
        <w:rPr>
          <w:rFonts w:hint="eastAsia" w:ascii="仿宋" w:hAnsi="仿宋" w:eastAsia="仿宋" w:cs="仿宋"/>
          <w:color w:val="auto"/>
          <w:spacing w:val="0"/>
          <w:sz w:val="24"/>
          <w:szCs w:val="24"/>
          <w:highlight w:val="none"/>
          <w:u w:val="single"/>
        </w:rPr>
        <w:t>__</w:t>
      </w:r>
    </w:p>
    <w:p w14:paraId="6E305ED1">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工程内容：_</w:t>
      </w:r>
      <w:r>
        <w:rPr>
          <w:rFonts w:hint="eastAsia" w:ascii="仿宋" w:hAnsi="仿宋" w:eastAsia="仿宋" w:cs="仿宋"/>
          <w:color w:val="auto"/>
          <w:spacing w:val="0"/>
          <w:sz w:val="24"/>
          <w:szCs w:val="24"/>
          <w:highlight w:val="none"/>
          <w:u w:val="single"/>
        </w:rPr>
        <w:t>按建设方提供的工程施工图纸为准。</w:t>
      </w:r>
    </w:p>
    <w:p w14:paraId="50B258A8">
      <w:pPr>
        <w:pageBreakBefore w:val="0"/>
        <w:kinsoku/>
        <w:overflowPunct/>
        <w:topLinePunct w:val="0"/>
        <w:bidi w:val="0"/>
        <w:snapToGrid w:val="0"/>
        <w:spacing w:line="360" w:lineRule="auto"/>
        <w:ind w:left="960" w:hanging="960" w:hangingChars="4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承包方式</w:t>
      </w:r>
      <w:r>
        <w:rPr>
          <w:rFonts w:hint="eastAsia" w:ascii="仿宋" w:hAnsi="仿宋" w:eastAsia="仿宋" w:cs="仿宋"/>
          <w:color w:val="auto"/>
          <w:spacing w:val="0"/>
          <w:sz w:val="24"/>
          <w:szCs w:val="24"/>
          <w:highlight w:val="none"/>
          <w:u w:val="single"/>
        </w:rPr>
        <w:t>：包工包料、包验收、包质量、包机械、包安全文明施工、包竣工验收资料等有关项目基坑支护和土方开挖及土方开挖工程施工的所有工作</w:t>
      </w:r>
      <w:r>
        <w:rPr>
          <w:rFonts w:hint="eastAsia" w:ascii="仿宋" w:hAnsi="仿宋" w:eastAsia="仿宋" w:cs="仿宋"/>
          <w:color w:val="auto"/>
          <w:spacing w:val="0"/>
          <w:sz w:val="24"/>
          <w:szCs w:val="24"/>
          <w:highlight w:val="none"/>
        </w:rPr>
        <w:t>。</w:t>
      </w:r>
    </w:p>
    <w:p w14:paraId="6500120D">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开工日期：按建设方发出的指令为准</w:t>
      </w:r>
    </w:p>
    <w:p w14:paraId="4EC16193">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竣工日期：按建设方发出的指令为准</w:t>
      </w:r>
    </w:p>
    <w:p w14:paraId="6BC930F9">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二、发包人的质量职责和权限</w:t>
      </w:r>
    </w:p>
    <w:p w14:paraId="2068A1DE">
      <w:pPr>
        <w:pageBreakBefore w:val="0"/>
        <w:kinsoku/>
        <w:overflowPunct/>
        <w:topLinePunct w:val="0"/>
        <w:bidi w:val="0"/>
        <w:snapToGrid w:val="0"/>
        <w:spacing w:line="360" w:lineRule="auto"/>
        <w:ind w:firstLine="360" w:firstLineChars="1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发包人根据国家、地方、上级主管部门以及本单位有关工程质量的法律、法规、标准、规范、规程以及规章制度)，对本工程专业分包工程进行总包管理。发包人和承包人对分包工程的质量承担连带责任，如因承包人原因及其他非发包人原因（至于承包人是否及如何追究他人责任，是承包人的事）导致质量问题，或承包人有其他不良行为的，由承包人承担全部责任。</w:t>
      </w:r>
    </w:p>
    <w:p w14:paraId="69167A38">
      <w:pPr>
        <w:pageBreakBefore w:val="0"/>
        <w:kinsoku/>
        <w:overflowPunct/>
        <w:topLinePunct w:val="0"/>
        <w:bidi w:val="0"/>
        <w:snapToGrid w:val="0"/>
        <w:spacing w:line="360" w:lineRule="auto"/>
        <w:ind w:firstLine="360" w:firstLineChars="1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2、所有的进场材料、设备的有关材质证明等必须报发包人审定后再报给监理单位，并按有关规定进行取样送检。</w:t>
      </w:r>
    </w:p>
    <w:p w14:paraId="1E5B9581">
      <w:pPr>
        <w:pageBreakBefore w:val="0"/>
        <w:kinsoku/>
        <w:overflowPunct/>
        <w:topLinePunct w:val="0"/>
        <w:bidi w:val="0"/>
        <w:snapToGrid w:val="0"/>
        <w:spacing w:line="360" w:lineRule="auto"/>
        <w:ind w:firstLine="360" w:firstLineChars="1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3、对于分包工程的产品生产，发包人有权派人员到加工现场进行抽查验证，动态检查，分析质量状况，制订改进计划，督促承包人改进。</w:t>
      </w:r>
    </w:p>
    <w:p w14:paraId="3A834391">
      <w:pPr>
        <w:pageBreakBefore w:val="0"/>
        <w:kinsoku/>
        <w:overflowPunct/>
        <w:topLinePunct w:val="0"/>
        <w:bidi w:val="0"/>
        <w:snapToGrid w:val="0"/>
        <w:spacing w:line="360" w:lineRule="auto"/>
        <w:ind w:firstLine="360" w:firstLineChars="1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4、对于隐蔽工程、原材料质量、工程外观质量这三个质量重点，施工中发包人有权派人进行全过程监控，并派人员与监理工程师共同检查，验收，并做好相应的记录。</w:t>
      </w:r>
    </w:p>
    <w:p w14:paraId="58C3D303">
      <w:pPr>
        <w:pageBreakBefore w:val="0"/>
        <w:kinsoku/>
        <w:overflowPunct/>
        <w:topLinePunct w:val="0"/>
        <w:bidi w:val="0"/>
        <w:snapToGrid w:val="0"/>
        <w:spacing w:line="360" w:lineRule="auto"/>
        <w:ind w:left="204" w:leftChars="85" w:firstLine="180" w:firstLineChars="75"/>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5、分项工程的竣工验收，承包人应自检合格后，报发包人的验收，再报监理工程师进行验收。</w:t>
      </w:r>
    </w:p>
    <w:p w14:paraId="6B8302EA">
      <w:pPr>
        <w:pageBreakBefore w:val="0"/>
        <w:kinsoku/>
        <w:overflowPunct/>
        <w:topLinePunct w:val="0"/>
        <w:bidi w:val="0"/>
        <w:snapToGrid w:val="0"/>
        <w:spacing w:line="360" w:lineRule="auto"/>
        <w:ind w:firstLine="360" w:firstLineChars="1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6、发包人收到监理工程师对承包人所发的监理通知后，由发包人转发给相关承包人，并监督落实通知内容，及时回复监理公司。</w:t>
      </w:r>
    </w:p>
    <w:p w14:paraId="1C13A945">
      <w:pPr>
        <w:pageBreakBefore w:val="0"/>
        <w:kinsoku/>
        <w:overflowPunct/>
        <w:topLinePunct w:val="0"/>
        <w:bidi w:val="0"/>
        <w:snapToGrid w:val="0"/>
        <w:spacing w:line="360" w:lineRule="auto"/>
        <w:ind w:firstLine="360" w:firstLineChars="1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7、发包人应对于承包人配合施工的要求，要进行总体安排，协调处理。</w:t>
      </w:r>
    </w:p>
    <w:p w14:paraId="39518306">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三、承包人的质量职责和权限</w:t>
      </w:r>
    </w:p>
    <w:p w14:paraId="071C578C">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承包人必须服从发包人的管理，承包人不服从发包人的管理导致生产质量事故或其他不良行为的，由承包人承担全部责任。</w:t>
      </w:r>
    </w:p>
    <w:p w14:paraId="65574B95">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（一）、质量目标责任</w:t>
      </w:r>
    </w:p>
    <w:p w14:paraId="60FB7608">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承包人的施工质量必须按相关标准，达到合同的约定要求。</w:t>
      </w:r>
    </w:p>
    <w:p w14:paraId="29EC081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（二）、工期责任</w:t>
      </w:r>
    </w:p>
    <w:p w14:paraId="5F00405C">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承包人的施工进度与工期要求，应满足其与发包人签定的合同中的进度计划要求，并且应配合发包人的进度安排。</w:t>
      </w:r>
    </w:p>
    <w:p w14:paraId="27B204FB">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（三）、现场设施布置责任</w:t>
      </w:r>
    </w:p>
    <w:p w14:paraId="7375D8D0">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在施工现场，承包人应服从于发包人的管理，如材料的进场路线、堆放场地、安全管理的要求，水、电、机械使用的提供方式，夜间施工的统一规定等。</w:t>
      </w:r>
    </w:p>
    <w:p w14:paraId="0B0B9648">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（四）、施工过程的质量管理责任</w:t>
      </w:r>
    </w:p>
    <w:p w14:paraId="5690FF3A">
      <w:pPr>
        <w:pageBreakBefore w:val="0"/>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1、承包人应按规定配备相关专业的现场管理人员，将承包人符合要求的资质证明书、现场管理架构、人员名单及特种操作人员有效的上岗证书上报发包人。</w:t>
      </w:r>
    </w:p>
    <w:p w14:paraId="139C4152">
      <w:pPr>
        <w:pageBreakBefore w:val="0"/>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承包人进场前，必须向发包人报送施工组织设计或方案、进度计划。分包工程施工组织设计和有关的施工方案由承包人具备相应技术资格的人员编制，经过承包人的相关技术负责人审核、审批，并盖上承包人公章后，才能送来发包人加审核意见，最后送监理单位和建设单位批准后实施。</w:t>
      </w:r>
    </w:p>
    <w:p w14:paraId="6C8293D2">
      <w:pPr>
        <w:pageBreakBefore w:val="0"/>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3、承包人应对进场的分包作业人员进行质量技术交底并保留记录，进场的承包人所有人员，接受项目发包人的安全生产交底。</w:t>
      </w:r>
    </w:p>
    <w:p w14:paraId="686DBF7F">
      <w:pPr>
        <w:pageBreakBefore w:val="0"/>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4、承包人对产品质量进行《三检制》(自检、互检、交接检)检查，并做好施工过程巡查记录，凡达不到质量标准的，发包人不予以签认并促其整改。</w:t>
      </w:r>
    </w:p>
    <w:p w14:paraId="55584DAB">
      <w:pPr>
        <w:pageBreakBefore w:val="0"/>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承包人应对本专业施工图进行仔细审核，对发现的设计缺陷、质量问题及矛盾部位应及时报发包人，由发包人会同监理、业主、设计单位重新修改，避免因设计引起的质量问题。承包人在各工序施工前，需要向土建或其他承包人配合施工或应注意的事项，提前两天向发包人提出，以便协调处理，避免不必要的返工。</w:t>
      </w:r>
    </w:p>
    <w:p w14:paraId="37A86D7E">
      <w:pPr>
        <w:pageBreakBefore w:val="0"/>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承包人采购的材料、设备等的品牌、产地、规格、技术参数必须与设计及合同中规定的要求一致，不符合要求的材料、设备必须退场。承包人进场的材料、设备，必须在第一时间(24小时内)填报《工程材料/构配件/设备报审表》(GD2202009)，报发包人进行核实，无误后，由发包人报监理、业主进行核查，通过后方可入库或使用，并按规定进行有见证抽检。</w:t>
      </w:r>
    </w:p>
    <w:p w14:paraId="537D427B">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7、承包人在施工过程中及工程完工后，对产品的保护进行系统管理，已完成并形成系统功能的产品，经验收后，承包人即组织人力、物力和相应的技术手段进行产品保护，直至形成最终产品，并指派专人看护直至交付业主使用为止，</w:t>
      </w:r>
      <w:r>
        <w:rPr>
          <w:rFonts w:hint="eastAsia" w:ascii="仿宋" w:hAnsi="仿宋" w:eastAsia="仿宋" w:cs="仿宋"/>
          <w:color w:val="auto"/>
          <w:spacing w:val="0"/>
          <w:sz w:val="24"/>
          <w:szCs w:val="24"/>
          <w:highlight w:val="none"/>
          <w:lang w:eastAsia="zh-Hans"/>
        </w:rPr>
        <w:t>保护看护期间产品受毁损甚至灭失的相关责任、风险由承包人承担</w:t>
      </w:r>
      <w:r>
        <w:rPr>
          <w:rFonts w:hint="eastAsia" w:ascii="仿宋" w:hAnsi="仿宋" w:eastAsia="仿宋" w:cs="仿宋"/>
          <w:color w:val="auto"/>
          <w:spacing w:val="0"/>
          <w:sz w:val="24"/>
          <w:szCs w:val="24"/>
          <w:highlight w:val="none"/>
        </w:rPr>
        <w:t>。</w:t>
      </w:r>
    </w:p>
    <w:p w14:paraId="076C3C02">
      <w:pPr>
        <w:pageBreakBefore w:val="0"/>
        <w:kinsoku/>
        <w:overflowPunct/>
        <w:topLinePunct w:val="0"/>
        <w:bidi w:val="0"/>
        <w:snapToGrid w:val="0"/>
        <w:spacing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8、承包人技术资料管理责任</w:t>
      </w:r>
    </w:p>
    <w:p w14:paraId="5E46CB9A">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（1）承包人必须配齐本专业的施工规范、验收规范和标准图集，以便在施工过程中有据可查；负责具体施工的管理人员每日填写施工日记，记录当天施工的详细情况及存在问题；</w:t>
      </w:r>
    </w:p>
    <w:p w14:paraId="5CFDB998">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（2）承包人根据本行业的现行标准或验收规范独立做好资料，在工程竣工时将竣工资料，包括质量保证资料、质量检验资料、质量评定资料原件移交发包人。所有资料必须与施工日记及现场施工情况一致。</w:t>
      </w:r>
    </w:p>
    <w:p w14:paraId="0CC5F695">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对于需要办理隐蔽验收或其他专业部门验收的工序，承包人应在工序完成并自检合格后，书面报发包人，需要质监站或其他职能部门参加的，在报验单上予以说明，由发包人复核后报送监理及业主审批及组织相关部门检查验收。</w:t>
      </w:r>
    </w:p>
    <w:p w14:paraId="219156FF">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（4）有关工作联系函，各承包人的联系函原件报发包人；发包人向监理方报送，监理会同业主协商后，将审批结果以书面形式发给承包人。</w:t>
      </w:r>
    </w:p>
    <w:p w14:paraId="5FC33633">
      <w:pPr>
        <w:pageBreakBefore w:val="0"/>
        <w:kinsoku/>
        <w:overflowPunct/>
        <w:topLinePunct w:val="0"/>
        <w:bidi w:val="0"/>
        <w:snapToGrid w:val="0"/>
        <w:spacing w:line="360" w:lineRule="auto"/>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四、罚则</w:t>
      </w:r>
    </w:p>
    <w:p w14:paraId="5F0319E4">
      <w:pPr>
        <w:pageBreakBefore w:val="0"/>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1、若承包人对发包人提出的施工质量问题整改意见整改不力或拒不整改的，发包人有权按规定作出警告、停工整改、缓发工程款、按章处罚、提请业主监理责令其退场等。</w:t>
      </w:r>
    </w:p>
    <w:p w14:paraId="15053817">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如因专业承包人未按发包人要求做好工程质量等广州市诚信综合评价管理工作的，发包人有权对专业承包人进行处罚：（1）未按规范要求送检材料和项目的，在诚信计分周期内每少一分罚款5000元；（2）送检材料出现不合格的，质量诚信分每被扣一分罚款5000元；（3）因施工现场管理不力，导致质量诚信分不得分，在诚信计分周期内每月罚款10000元。</w:t>
      </w:r>
    </w:p>
    <w:p w14:paraId="0445924A">
      <w:pPr>
        <w:pageBreakBefore w:val="0"/>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项目开工后，承包人应及时将项目的工程编码及工程监督编号等信息提供给所委托的检测机构、监测机构、混凝土厂家、塔吊安（拆）装及安全监控系统厂家等单位，以便诚信得分，未提供造成诚信不得分的罚5000元/次。</w:t>
      </w:r>
    </w:p>
    <w:p w14:paraId="7C09E2BE">
      <w:pPr>
        <w:pageBreakBefore w:val="0"/>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承包人应做好每月的项目诚信评分资料上传计划及上传资料，如因没做计划及上传资料的，罚10000元/次；项目部接到整改通知书后，承包人应在期限内对相关问题进行整改及上传资料，如因整改未完成造成诚信扣分的，罚5000元/次。</w:t>
      </w:r>
    </w:p>
    <w:p w14:paraId="224C8644">
      <w:pPr>
        <w:pageBreakBefore w:val="0"/>
        <w:numPr>
          <w:ilvl w:val="0"/>
          <w:numId w:val="4"/>
        </w:numPr>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如因承包人对质量施工管理不力，造成发包人被工程质量监督机构在诚信综合评价体系网上通报企业不良行为的，发包人有权对承包人按每通报一次轻微或一般不良行为扣分的，每扣一分的，罚款5000元；若是严重不良行为而造成发包人被政府有关部门停止投标资格的，发包人有权对承包人按每停止投标一天罚款5000元。</w:t>
      </w:r>
    </w:p>
    <w:p w14:paraId="6CC7A043">
      <w:pPr>
        <w:pageBreakBefore w:val="0"/>
        <w:numPr>
          <w:ilvl w:val="0"/>
          <w:numId w:val="4"/>
        </w:numPr>
        <w:kinsoku/>
        <w:overflowPunct/>
        <w:topLinePunct w:val="0"/>
        <w:bidi w:val="0"/>
        <w:snapToGrid w:val="0"/>
        <w:spacing w:line="360" w:lineRule="auto"/>
        <w:ind w:firstLine="600" w:firstLineChars="2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工程质量事故违约责任：因承包人的原因造成质量事故，除按国家及行业规定由上级主管部门实施处罚外，承包人应根据法定部门认定的事故等级，承担相应的违约赔偿责任。具体规定为：</w:t>
      </w:r>
    </w:p>
    <w:p w14:paraId="415C2812">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A、发生一级重大事故，承包人按所发生事故的分项工程总价15%，向发包人交纳违约金，且违约金数额不得低于人民币 5 万元，同时发包人有权解除全部合同。</w:t>
      </w:r>
    </w:p>
    <w:p w14:paraId="077A0C97">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B、发生二级重大事故，承包人按所发生事故的分项工程总价12%，向发包人交纳违约违约金，且违约金数额不得低于人民币 3万元，同时发包人有权解除部分合同。</w:t>
      </w:r>
    </w:p>
    <w:p w14:paraId="7041AC5B">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C、发生三级重大事故，承包人按所发生事故的分项工程总价 10%，向发包人交纳违约违约金，且违约金数额不得低于人民币2 万元。</w:t>
      </w:r>
    </w:p>
    <w:p w14:paraId="227E2568">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D、发生四级重大事故，承包人按所发生事故的分项工程总价 8%，向发包人交纳违约违约金，且违约金数额不得低于人民币 1 万元。</w:t>
      </w:r>
    </w:p>
    <w:p w14:paraId="5C6DD47B">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除了上述约定的违约金，若因此造成发包人或第三人损失的，承包人还应赔偿发包人或第三人因此造成的</w:t>
      </w:r>
      <w:r>
        <w:rPr>
          <w:rFonts w:hint="eastAsia" w:ascii="仿宋" w:hAnsi="仿宋" w:eastAsia="仿宋" w:cs="仿宋"/>
          <w:color w:val="auto"/>
          <w:spacing w:val="0"/>
          <w:sz w:val="24"/>
          <w:szCs w:val="24"/>
          <w:highlight w:val="none"/>
          <w:lang w:eastAsia="zh-Hans"/>
        </w:rPr>
        <w:t>所有</w:t>
      </w:r>
      <w:r>
        <w:rPr>
          <w:rFonts w:hint="eastAsia" w:ascii="仿宋" w:hAnsi="仿宋" w:eastAsia="仿宋" w:cs="仿宋"/>
          <w:color w:val="auto"/>
          <w:spacing w:val="0"/>
          <w:sz w:val="24"/>
          <w:szCs w:val="24"/>
          <w:highlight w:val="none"/>
        </w:rPr>
        <w:t>损失。</w:t>
      </w:r>
    </w:p>
    <w:p w14:paraId="7C7D5A62">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5、专业分包工程验收不合格，承包人必须在规定的期限内返工并达到合同约定的质量等级，并按该不合格专业工程造价5%计算向发包人承担支付违约金的责任，</w:t>
      </w:r>
      <w:r>
        <w:rPr>
          <w:rFonts w:hint="eastAsia" w:ascii="仿宋" w:hAnsi="仿宋" w:eastAsia="仿宋" w:cs="仿宋"/>
          <w:color w:val="auto"/>
          <w:spacing w:val="0"/>
          <w:sz w:val="24"/>
          <w:szCs w:val="24"/>
          <w:highlight w:val="none"/>
          <w:lang w:eastAsia="zh-Hans"/>
        </w:rPr>
        <w:t>在期限内返工仍未能达到合同约定的质量等级的，发包人有权另行委托第三方施工单位进行施工，因此产生的费用以及造成发包人的损失应当由承包人承担</w:t>
      </w:r>
      <w:r>
        <w:rPr>
          <w:rFonts w:hint="eastAsia" w:ascii="仿宋" w:hAnsi="仿宋" w:eastAsia="仿宋" w:cs="仿宋"/>
          <w:color w:val="auto"/>
          <w:spacing w:val="0"/>
          <w:sz w:val="24"/>
          <w:szCs w:val="24"/>
          <w:highlight w:val="none"/>
        </w:rPr>
        <w:t>。工程保修期内发现质量不合格，承包人必须在规定的期限内返工并达到合同约定的质量等级，并按该不合格项目所处分项工程造价5%计算向发包人承担支付违约金的责任，</w:t>
      </w:r>
      <w:r>
        <w:rPr>
          <w:rFonts w:hint="eastAsia" w:ascii="仿宋" w:hAnsi="仿宋" w:eastAsia="仿宋" w:cs="仿宋"/>
          <w:color w:val="auto"/>
          <w:spacing w:val="0"/>
          <w:sz w:val="24"/>
          <w:szCs w:val="24"/>
          <w:highlight w:val="none"/>
          <w:lang w:eastAsia="zh-Hans"/>
        </w:rPr>
        <w:t>在期限内返工仍未能达到合同约定的质量等级的，发包人有权另行委托第三方施工单位进行施工，因此产生的费用以及造成发包人的损失应当由承包人承担</w:t>
      </w:r>
      <w:r>
        <w:rPr>
          <w:rFonts w:hint="eastAsia" w:ascii="仿宋" w:hAnsi="仿宋" w:eastAsia="仿宋" w:cs="仿宋"/>
          <w:color w:val="auto"/>
          <w:spacing w:val="0"/>
          <w:sz w:val="24"/>
          <w:szCs w:val="24"/>
          <w:highlight w:val="none"/>
        </w:rPr>
        <w:t>。</w:t>
      </w:r>
    </w:p>
    <w:p w14:paraId="70014A6C">
      <w:pPr>
        <w:pageBreakBefore w:val="0"/>
        <w:kinsoku/>
        <w:overflowPunct/>
        <w:topLinePunct w:val="0"/>
        <w:bidi w:val="0"/>
        <w:snapToGrid w:val="0"/>
        <w:spacing w:before="120" w:line="360" w:lineRule="auto"/>
        <w:ind w:firstLine="482"/>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（以下无正文）</w:t>
      </w:r>
    </w:p>
    <w:p w14:paraId="151B1289">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p>
    <w:p w14:paraId="4DF05BAF">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p>
    <w:p w14:paraId="763312E1">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广州锦泷房地产开发</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承包人 </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联合体主办</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 xml:space="preserve">：       </w:t>
      </w:r>
    </w:p>
    <w:p w14:paraId="373439CC">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lang w:val="en-US" w:eastAsia="zh-CN"/>
        </w:rPr>
        <w:t>有限公司</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公章)</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(公章)</w:t>
      </w:r>
    </w:p>
    <w:p w14:paraId="65033FAC">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法定代表人或其委托代理人：          法定代表人或其委托代理人：</w:t>
      </w:r>
    </w:p>
    <w:p w14:paraId="48AE9F32">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（签字）                            （签字）</w:t>
      </w:r>
    </w:p>
    <w:p w14:paraId="6E1E28B6">
      <w:pPr>
        <w:pageBreakBefore w:val="0"/>
        <w:kinsoku/>
        <w:overflowPunct/>
        <w:topLinePunct w:val="0"/>
        <w:bidi w:val="0"/>
        <w:adjustRightInd w:val="0"/>
        <w:snapToGrid w:val="0"/>
        <w:spacing w:before="120" w:line="360" w:lineRule="auto"/>
        <w:ind w:firstLine="199" w:firstLineChars="83"/>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年  月  日                          年   月   日</w:t>
      </w:r>
    </w:p>
    <w:p w14:paraId="160CCF5F">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p>
    <w:p w14:paraId="047C2FBB">
      <w:pPr>
        <w:pageBreakBefore w:val="0"/>
        <w:kinsoku/>
        <w:overflowPunct/>
        <w:topLinePunct w:val="0"/>
        <w:bidi w:val="0"/>
        <w:snapToGrid w:val="0"/>
        <w:spacing w:line="360" w:lineRule="auto"/>
        <w:ind w:firstLine="480" w:firstLineChars="200"/>
        <w:outlineLvl w:val="0"/>
        <w:rPr>
          <w:rFonts w:hint="eastAsia" w:ascii="仿宋" w:hAnsi="仿宋" w:eastAsia="仿宋" w:cs="仿宋"/>
          <w:b/>
          <w:color w:val="auto"/>
          <w:spacing w:val="0"/>
          <w:sz w:val="24"/>
          <w:szCs w:val="24"/>
          <w:highlight w:val="none"/>
        </w:rPr>
      </w:pPr>
      <w:r>
        <w:rPr>
          <w:rFonts w:hint="eastAsia" w:ascii="仿宋" w:hAnsi="仿宋" w:eastAsia="仿宋" w:cs="仿宋"/>
          <w:color w:val="auto"/>
          <w:spacing w:val="0"/>
          <w:sz w:val="24"/>
          <w:szCs w:val="24"/>
          <w:highlight w:val="none"/>
        </w:rPr>
        <w:br w:type="page"/>
      </w:r>
      <w:r>
        <w:rPr>
          <w:rFonts w:hint="eastAsia" w:ascii="仿宋" w:hAnsi="仿宋" w:eastAsia="仿宋" w:cs="仿宋"/>
          <w:color w:val="auto"/>
          <w:spacing w:val="0"/>
          <w:sz w:val="24"/>
          <w:szCs w:val="24"/>
          <w:highlight w:val="none"/>
        </w:rPr>
        <w:t xml:space="preserve"> </w:t>
      </w:r>
      <w:bookmarkStart w:id="106" w:name="_Toc30947"/>
      <w:bookmarkStart w:id="107" w:name="_Toc56174829"/>
      <w:r>
        <w:rPr>
          <w:rFonts w:hint="eastAsia" w:ascii="仿宋" w:hAnsi="仿宋" w:eastAsia="仿宋" w:cs="仿宋"/>
          <w:b/>
          <w:color w:val="auto"/>
          <w:spacing w:val="0"/>
          <w:sz w:val="24"/>
          <w:szCs w:val="24"/>
          <w:highlight w:val="none"/>
        </w:rPr>
        <w:t>附件七：</w:t>
      </w:r>
      <w:bookmarkEnd w:id="106"/>
      <w:r>
        <w:rPr>
          <w:rFonts w:hint="eastAsia" w:ascii="仿宋" w:hAnsi="仿宋" w:eastAsia="仿宋" w:cs="仿宋"/>
          <w:b/>
          <w:color w:val="auto"/>
          <w:spacing w:val="0"/>
          <w:sz w:val="24"/>
          <w:szCs w:val="24"/>
          <w:highlight w:val="none"/>
        </w:rPr>
        <w:t xml:space="preserve"> </w:t>
      </w:r>
    </w:p>
    <w:p w14:paraId="2B3FBF99">
      <w:pPr>
        <w:pStyle w:val="4"/>
        <w:keepNext/>
        <w:keepLines/>
        <w:pageBreakBefore w:val="0"/>
        <w:kinsoku/>
        <w:overflowPunct/>
        <w:topLinePunct w:val="0"/>
        <w:bidi w:val="0"/>
        <w:adjustRightInd w:val="0"/>
        <w:snapToGrid w:val="0"/>
        <w:spacing w:before="120" w:after="120" w:line="360" w:lineRule="auto"/>
        <w:ind w:firstLine="0" w:firstLineChars="0"/>
        <w:jc w:val="center"/>
        <w:textAlignment w:val="baseline"/>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 xml:space="preserve">   工程质量保修书</w:t>
      </w:r>
      <w:bookmarkEnd w:id="107"/>
    </w:p>
    <w:p w14:paraId="47A61FEE">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广州锦泷房地产开发有限公司</w:t>
      </w:r>
      <w:r>
        <w:rPr>
          <w:rFonts w:hint="eastAsia" w:ascii="仿宋" w:hAnsi="仿宋" w:eastAsia="仿宋" w:cs="仿宋"/>
          <w:color w:val="auto"/>
          <w:spacing w:val="0"/>
          <w:sz w:val="24"/>
          <w:szCs w:val="24"/>
          <w:highlight w:val="none"/>
          <w:u w:val="single"/>
        </w:rPr>
        <w:t xml:space="preserve">   </w:t>
      </w:r>
    </w:p>
    <w:p w14:paraId="4B23D503">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承包人：</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 xml:space="preserve">    </w:t>
      </w:r>
    </w:p>
    <w:p w14:paraId="38AFAEFB">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u w:val="single"/>
        </w:rPr>
      </w:pPr>
    </w:p>
    <w:p w14:paraId="46D89352">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发包人和承包人根据《中华人民共和国建筑法》和《建设工程质量管理条例》，经协商一致就</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天河区金融城东区AT091415地块</w:t>
      </w:r>
      <w:r>
        <w:rPr>
          <w:rFonts w:hint="eastAsia" w:ascii="仿宋" w:hAnsi="仿宋" w:eastAsia="仿宋" w:cs="仿宋"/>
          <w:color w:val="auto"/>
          <w:spacing w:val="0"/>
          <w:sz w:val="24"/>
          <w:szCs w:val="24"/>
          <w:highlight w:val="none"/>
          <w:u w:val="single"/>
        </w:rPr>
        <w:t xml:space="preserve">项基坑支护和土方开挖 </w:t>
      </w:r>
      <w:r>
        <w:rPr>
          <w:rFonts w:hint="eastAsia" w:ascii="仿宋" w:hAnsi="仿宋" w:eastAsia="仿宋" w:cs="仿宋"/>
          <w:color w:val="auto"/>
          <w:spacing w:val="0"/>
          <w:sz w:val="24"/>
          <w:szCs w:val="24"/>
          <w:highlight w:val="none"/>
        </w:rPr>
        <w:t>（工程全称）签订工程质量保修书。</w:t>
      </w:r>
    </w:p>
    <w:p w14:paraId="7D989D35">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一、工程质量保修范围和内容</w:t>
      </w:r>
    </w:p>
    <w:p w14:paraId="62D3F416">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承包人在质量保修期内，按照有关法律规定和合同约定，承担工程质量保修责任。</w:t>
      </w:r>
    </w:p>
    <w:p w14:paraId="7847D751">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　　质量保修范围包括</w:t>
      </w:r>
      <w:r>
        <w:rPr>
          <w:rFonts w:hint="eastAsia" w:ascii="仿宋" w:hAnsi="仿宋" w:eastAsia="仿宋" w:cs="仿宋"/>
          <w:color w:val="auto"/>
          <w:spacing w:val="0"/>
          <w:sz w:val="24"/>
          <w:szCs w:val="24"/>
          <w:highlight w:val="none"/>
          <w:u w:val="single"/>
        </w:rPr>
        <w:t xml:space="preserve">      基坑支护和土方开挖</w:t>
      </w:r>
      <w:r>
        <w:rPr>
          <w:rFonts w:hint="eastAsia" w:ascii="仿宋" w:hAnsi="仿宋" w:eastAsia="仿宋" w:cs="仿宋"/>
          <w:color w:val="auto"/>
          <w:spacing w:val="0"/>
          <w:sz w:val="24"/>
          <w:szCs w:val="24"/>
          <w:highlight w:val="none"/>
          <w:u w:val="single"/>
          <w:lang w:val="en-US" w:eastAsia="zh-CN"/>
        </w:rPr>
        <w:t>及配套工程</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。具体保修的内容，双方约定如下：</w:t>
      </w:r>
      <w:r>
        <w:rPr>
          <w:rFonts w:hint="eastAsia" w:ascii="仿宋" w:hAnsi="仿宋" w:eastAsia="仿宋" w:cs="仿宋"/>
          <w:color w:val="auto"/>
          <w:spacing w:val="0"/>
          <w:sz w:val="24"/>
          <w:szCs w:val="24"/>
          <w:highlight w:val="none"/>
          <w:u w:val="single"/>
        </w:rPr>
        <w:t xml:space="preserve">  基坑支护和土方开挖在</w:t>
      </w:r>
      <w:r>
        <w:rPr>
          <w:rFonts w:hint="eastAsia" w:ascii="仿宋" w:hAnsi="仿宋" w:eastAsia="仿宋" w:cs="仿宋"/>
          <w:color w:val="auto"/>
          <w:spacing w:val="0"/>
          <w:sz w:val="24"/>
          <w:szCs w:val="24"/>
          <w:highlight w:val="none"/>
          <w:u w:val="single"/>
          <w:lang w:val="en-US" w:eastAsia="zh-CN"/>
        </w:rPr>
        <w:t>开始</w:t>
      </w:r>
      <w:r>
        <w:rPr>
          <w:rFonts w:hint="eastAsia" w:ascii="仿宋" w:hAnsi="仿宋" w:eastAsia="仿宋" w:cs="仿宋"/>
          <w:color w:val="auto"/>
          <w:spacing w:val="0"/>
          <w:sz w:val="24"/>
          <w:szCs w:val="24"/>
          <w:highlight w:val="none"/>
          <w:u w:val="single"/>
        </w:rPr>
        <w:t>施工</w:t>
      </w:r>
      <w:r>
        <w:rPr>
          <w:rFonts w:hint="eastAsia" w:ascii="仿宋" w:hAnsi="仿宋" w:eastAsia="仿宋" w:cs="仿宋"/>
          <w:color w:val="auto"/>
          <w:spacing w:val="0"/>
          <w:sz w:val="24"/>
          <w:szCs w:val="24"/>
          <w:highlight w:val="none"/>
          <w:u w:val="single"/>
          <w:lang w:val="en-US" w:eastAsia="zh-CN"/>
        </w:rPr>
        <w:t>至本项目地下室外墙区域回填完期间</w:t>
      </w:r>
      <w:r>
        <w:rPr>
          <w:rFonts w:hint="eastAsia" w:ascii="仿宋" w:hAnsi="仿宋" w:eastAsia="仿宋" w:cs="仿宋"/>
          <w:color w:val="auto"/>
          <w:spacing w:val="0"/>
          <w:sz w:val="24"/>
          <w:szCs w:val="24"/>
          <w:highlight w:val="none"/>
          <w:u w:val="single"/>
        </w:rPr>
        <w:t>由承包人负责建设和维护</w:t>
      </w:r>
      <w:r>
        <w:rPr>
          <w:rFonts w:hint="eastAsia" w:ascii="仿宋" w:hAnsi="仿宋" w:eastAsia="仿宋" w:cs="仿宋"/>
          <w:color w:val="auto"/>
          <w:spacing w:val="0"/>
          <w:sz w:val="24"/>
          <w:szCs w:val="24"/>
          <w:highlight w:val="none"/>
          <w:u w:val="single"/>
          <w:lang w:eastAsia="zh-CN"/>
        </w:rPr>
        <w:t>，</w:t>
      </w:r>
      <w:r>
        <w:rPr>
          <w:rFonts w:hint="eastAsia" w:ascii="仿宋" w:hAnsi="仿宋" w:eastAsia="仿宋" w:cs="仿宋"/>
          <w:color w:val="auto"/>
          <w:spacing w:val="0"/>
          <w:sz w:val="24"/>
          <w:szCs w:val="24"/>
          <w:highlight w:val="none"/>
          <w:u w:val="single"/>
          <w:lang w:val="en-US" w:eastAsia="zh-CN"/>
        </w:rPr>
        <w:t>配套工程保修</w:t>
      </w:r>
      <w:r>
        <w:rPr>
          <w:rFonts w:hint="eastAsia" w:ascii="仿宋" w:hAnsi="仿宋" w:eastAsia="仿宋" w:cs="仿宋"/>
          <w:b/>
          <w:bCs/>
          <w:color w:val="auto"/>
          <w:spacing w:val="0"/>
          <w:sz w:val="24"/>
          <w:szCs w:val="24"/>
          <w:highlight w:val="none"/>
          <w:u w:val="single"/>
          <w:lang w:val="en-US" w:eastAsia="zh-CN"/>
        </w:rPr>
        <w:t>三年</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w:t>
      </w:r>
    </w:p>
    <w:p w14:paraId="771C2AC5">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二、质量保修期</w:t>
      </w:r>
    </w:p>
    <w:p w14:paraId="13FE239E">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根据《建设工程质量管理条例》及有关规定，工程的质量保修期如下：</w:t>
      </w:r>
    </w:p>
    <w:p w14:paraId="09888E58">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按照国家《房屋建筑工程质量保修管理办法》及《建设工程质量管理条例》规定执行。</w:t>
      </w:r>
    </w:p>
    <w:p w14:paraId="6710DBFC">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三、质量保修责任</w:t>
      </w:r>
    </w:p>
    <w:p w14:paraId="77741F00">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rPr>
        <w:t>.属于保修范围、内容的项目，承包人应当在接到保修通知之日起7天内派人保修。承包人不在约定期限内派人保修的，发包人可以委托他人修理。</w:t>
      </w:r>
    </w:p>
    <w:p w14:paraId="5AE7BD6D">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rPr>
        <w:t>．发生紧急事故需抢修的，承包人在接到事故通知后，应当立即到达事故现场抢修。</w:t>
      </w:r>
    </w:p>
    <w:p w14:paraId="7F36F291">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F819F49">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 质量保修完成后，由发包人组织验收。</w:t>
      </w:r>
    </w:p>
    <w:p w14:paraId="2DC8FE4B">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四</w:t>
      </w:r>
      <w:r>
        <w:rPr>
          <w:rFonts w:hint="eastAsia" w:ascii="仿宋" w:hAnsi="仿宋" w:eastAsia="仿宋" w:cs="仿宋"/>
          <w:color w:val="auto"/>
          <w:spacing w:val="0"/>
          <w:sz w:val="24"/>
          <w:szCs w:val="24"/>
          <w:highlight w:val="none"/>
        </w:rPr>
        <w:t>、保修费用</w:t>
      </w:r>
    </w:p>
    <w:p w14:paraId="409247DA">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保修费用由造成质量缺陷的责任方承担。</w:t>
      </w:r>
    </w:p>
    <w:p w14:paraId="6DCB2AE1">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工程质量保修书作为施工合同附件，与合同份数相同，与具有同等法律效力，有效期限至保修期满。</w:t>
      </w:r>
    </w:p>
    <w:p w14:paraId="33926FCB">
      <w:pPr>
        <w:pageBreakBefore w:val="0"/>
        <w:kinsoku/>
        <w:overflowPunct/>
        <w:topLinePunct w:val="0"/>
        <w:bidi w:val="0"/>
        <w:snapToGrid w:val="0"/>
        <w:spacing w:before="120" w:line="360" w:lineRule="auto"/>
        <w:ind w:firstLine="456" w:firstLineChars="19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工程质量保修书作为施工合同附件，</w:t>
      </w:r>
      <w:r>
        <w:rPr>
          <w:rFonts w:hint="eastAsia" w:ascii="仿宋" w:hAnsi="仿宋" w:eastAsia="仿宋" w:cs="仿宋"/>
          <w:bCs/>
          <w:color w:val="auto"/>
          <w:spacing w:val="0"/>
          <w:sz w:val="24"/>
          <w:szCs w:val="24"/>
          <w:highlight w:val="none"/>
        </w:rPr>
        <w:t>与合同份数相同，与具有同等法律效力</w:t>
      </w:r>
      <w:r>
        <w:rPr>
          <w:rFonts w:hint="eastAsia" w:ascii="仿宋" w:hAnsi="仿宋" w:eastAsia="仿宋" w:cs="仿宋"/>
          <w:color w:val="auto"/>
          <w:spacing w:val="0"/>
          <w:sz w:val="24"/>
          <w:szCs w:val="24"/>
          <w:highlight w:val="none"/>
        </w:rPr>
        <w:t>，有效期限至保修期满</w:t>
      </w:r>
      <w:r>
        <w:rPr>
          <w:rFonts w:hint="eastAsia" w:ascii="仿宋" w:hAnsi="仿宋" w:eastAsia="仿宋" w:cs="仿宋"/>
          <w:bCs/>
          <w:color w:val="auto"/>
          <w:spacing w:val="0"/>
          <w:sz w:val="24"/>
          <w:szCs w:val="24"/>
          <w:highlight w:val="none"/>
        </w:rPr>
        <w:t>。</w:t>
      </w:r>
    </w:p>
    <w:p w14:paraId="13D7942B">
      <w:pPr>
        <w:pageBreakBefore w:val="0"/>
        <w:kinsoku/>
        <w:overflowPunct/>
        <w:topLinePunct w:val="0"/>
        <w:bidi w:val="0"/>
        <w:snapToGrid w:val="0"/>
        <w:spacing w:before="120" w:line="360" w:lineRule="auto"/>
        <w:ind w:firstLine="482"/>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（以下无正文）</w:t>
      </w:r>
    </w:p>
    <w:p w14:paraId="7D823849">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广州锦泷房地产开发</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承包人 </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联合体主办</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 xml:space="preserve">：       </w:t>
      </w:r>
    </w:p>
    <w:p w14:paraId="666A42BA">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lang w:val="en-US" w:eastAsia="zh-CN"/>
        </w:rPr>
        <w:t>有限公司</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公章)</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(公章)</w:t>
      </w:r>
    </w:p>
    <w:p w14:paraId="7171B118">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法定代表人或其委托代理人：          法定代表人或其委托代理人：</w:t>
      </w:r>
    </w:p>
    <w:p w14:paraId="31A3EA91">
      <w:pPr>
        <w:pageBreakBefore w:val="0"/>
        <w:kinsoku/>
        <w:overflowPunct/>
        <w:topLinePunct w:val="0"/>
        <w:bidi w:val="0"/>
        <w:snapToGrid w:val="0"/>
        <w:spacing w:before="120" w:line="360" w:lineRule="auto"/>
        <w:ind w:firstLine="199" w:firstLineChars="83"/>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（签字）                            （签字）</w:t>
      </w:r>
    </w:p>
    <w:p w14:paraId="786A9876">
      <w:pPr>
        <w:pageBreakBefore w:val="0"/>
        <w:kinsoku/>
        <w:overflowPunct/>
        <w:topLinePunct w:val="0"/>
        <w:bidi w:val="0"/>
        <w:adjustRightInd w:val="0"/>
        <w:snapToGrid w:val="0"/>
        <w:spacing w:before="120" w:line="360" w:lineRule="auto"/>
        <w:ind w:firstLine="199" w:firstLineChars="83"/>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年  月  日                          年   月   日</w:t>
      </w:r>
    </w:p>
    <w:p w14:paraId="2C67D444">
      <w:pPr>
        <w:pageBreakBefore w:val="0"/>
        <w:kinsoku/>
        <w:overflowPunct/>
        <w:topLinePunct w:val="0"/>
        <w:bidi w:val="0"/>
        <w:snapToGrid w:val="0"/>
        <w:spacing w:before="120" w:line="360" w:lineRule="auto"/>
        <w:rPr>
          <w:rFonts w:hint="eastAsia" w:ascii="仿宋" w:hAnsi="仿宋" w:eastAsia="仿宋" w:cs="仿宋"/>
          <w:b/>
          <w:bCs/>
          <w:color w:val="auto"/>
          <w:spacing w:val="0"/>
          <w:sz w:val="24"/>
          <w:szCs w:val="24"/>
          <w:highlight w:val="none"/>
        </w:rPr>
      </w:pPr>
    </w:p>
    <w:p w14:paraId="7C21BA66">
      <w:pPr>
        <w:pStyle w:val="2"/>
        <w:pageBreakBefore w:val="0"/>
        <w:kinsoku/>
        <w:overflowPunct/>
        <w:topLinePunct w:val="0"/>
        <w:bidi w:val="0"/>
        <w:snapToGrid w:val="0"/>
        <w:spacing w:line="360" w:lineRule="auto"/>
        <w:rPr>
          <w:rFonts w:hint="eastAsia" w:ascii="仿宋" w:hAnsi="仿宋" w:eastAsia="仿宋" w:cs="仿宋"/>
          <w:b/>
          <w:bCs/>
          <w:color w:val="auto"/>
          <w:spacing w:val="0"/>
          <w:sz w:val="24"/>
          <w:szCs w:val="24"/>
          <w:highlight w:val="none"/>
        </w:rPr>
      </w:pPr>
    </w:p>
    <w:p w14:paraId="44AF310B">
      <w:pPr>
        <w:pStyle w:val="2"/>
        <w:pageBreakBefore w:val="0"/>
        <w:kinsoku/>
        <w:overflowPunct/>
        <w:topLinePunct w:val="0"/>
        <w:bidi w:val="0"/>
        <w:snapToGrid w:val="0"/>
        <w:spacing w:line="360" w:lineRule="auto"/>
        <w:rPr>
          <w:rFonts w:hint="eastAsia" w:ascii="仿宋" w:hAnsi="仿宋" w:eastAsia="仿宋" w:cs="仿宋"/>
          <w:b/>
          <w:bCs/>
          <w:color w:val="auto"/>
          <w:spacing w:val="0"/>
          <w:sz w:val="24"/>
          <w:szCs w:val="24"/>
          <w:highlight w:val="none"/>
        </w:rPr>
      </w:pPr>
    </w:p>
    <w:p w14:paraId="649D5629">
      <w:pPr>
        <w:pStyle w:val="2"/>
        <w:pageBreakBefore w:val="0"/>
        <w:kinsoku/>
        <w:overflowPunct/>
        <w:topLinePunct w:val="0"/>
        <w:bidi w:val="0"/>
        <w:snapToGrid w:val="0"/>
        <w:spacing w:line="360" w:lineRule="auto"/>
        <w:rPr>
          <w:rFonts w:hint="eastAsia" w:ascii="仿宋" w:hAnsi="仿宋" w:eastAsia="仿宋" w:cs="仿宋"/>
          <w:b/>
          <w:bCs/>
          <w:color w:val="auto"/>
          <w:spacing w:val="0"/>
          <w:sz w:val="24"/>
          <w:szCs w:val="24"/>
          <w:highlight w:val="none"/>
        </w:rPr>
      </w:pPr>
    </w:p>
    <w:p w14:paraId="497D2F50">
      <w:pPr>
        <w:pStyle w:val="2"/>
        <w:pageBreakBefore w:val="0"/>
        <w:kinsoku/>
        <w:overflowPunct/>
        <w:topLinePunct w:val="0"/>
        <w:bidi w:val="0"/>
        <w:snapToGrid w:val="0"/>
        <w:spacing w:line="360" w:lineRule="auto"/>
        <w:rPr>
          <w:rFonts w:hint="eastAsia" w:ascii="仿宋" w:hAnsi="仿宋" w:eastAsia="仿宋" w:cs="仿宋"/>
          <w:b/>
          <w:bCs/>
          <w:color w:val="auto"/>
          <w:spacing w:val="0"/>
          <w:sz w:val="24"/>
          <w:szCs w:val="24"/>
          <w:highlight w:val="none"/>
        </w:rPr>
      </w:pPr>
    </w:p>
    <w:p w14:paraId="3E814C89">
      <w:pPr>
        <w:pStyle w:val="2"/>
        <w:pageBreakBefore w:val="0"/>
        <w:kinsoku/>
        <w:overflowPunct/>
        <w:topLinePunct w:val="0"/>
        <w:bidi w:val="0"/>
        <w:snapToGrid w:val="0"/>
        <w:spacing w:line="360" w:lineRule="auto"/>
        <w:rPr>
          <w:rFonts w:hint="eastAsia" w:ascii="仿宋" w:hAnsi="仿宋" w:eastAsia="仿宋" w:cs="仿宋"/>
          <w:b/>
          <w:bCs/>
          <w:color w:val="auto"/>
          <w:spacing w:val="0"/>
          <w:sz w:val="24"/>
          <w:szCs w:val="24"/>
          <w:highlight w:val="none"/>
        </w:rPr>
      </w:pPr>
    </w:p>
    <w:p w14:paraId="757DD16E">
      <w:pPr>
        <w:pStyle w:val="2"/>
        <w:pageBreakBefore w:val="0"/>
        <w:kinsoku/>
        <w:overflowPunct/>
        <w:topLinePunct w:val="0"/>
        <w:bidi w:val="0"/>
        <w:snapToGrid w:val="0"/>
        <w:spacing w:line="360" w:lineRule="auto"/>
        <w:rPr>
          <w:rFonts w:hint="eastAsia" w:ascii="仿宋" w:hAnsi="仿宋" w:eastAsia="仿宋" w:cs="仿宋"/>
          <w:b/>
          <w:bCs/>
          <w:color w:val="auto"/>
          <w:spacing w:val="0"/>
          <w:sz w:val="24"/>
          <w:szCs w:val="24"/>
          <w:highlight w:val="none"/>
        </w:rPr>
      </w:pPr>
    </w:p>
    <w:p w14:paraId="5E20DAFA">
      <w:pPr>
        <w:pageBreakBefore w:val="0"/>
        <w:kinsoku/>
        <w:overflowPunct/>
        <w:topLinePunct w:val="0"/>
        <w:bidi w:val="0"/>
        <w:snapToGrid w:val="0"/>
        <w:spacing w:line="360" w:lineRule="auto"/>
        <w:ind w:firstLine="482" w:firstLineChars="200"/>
        <w:outlineLvl w:val="0"/>
        <w:rPr>
          <w:rFonts w:hint="eastAsia" w:ascii="仿宋" w:hAnsi="仿宋" w:eastAsia="仿宋" w:cs="仿宋"/>
          <w:b/>
          <w:color w:val="auto"/>
          <w:spacing w:val="0"/>
          <w:sz w:val="24"/>
          <w:szCs w:val="24"/>
          <w:highlight w:val="none"/>
        </w:rPr>
      </w:pPr>
      <w:bookmarkStart w:id="108" w:name="_Toc11378"/>
    </w:p>
    <w:p w14:paraId="591C588A">
      <w:pPr>
        <w:pageBreakBefore w:val="0"/>
        <w:kinsoku/>
        <w:overflowPunct/>
        <w:topLinePunct w:val="0"/>
        <w:bidi w:val="0"/>
        <w:snapToGrid w:val="0"/>
        <w:spacing w:line="360" w:lineRule="auto"/>
        <w:ind w:firstLine="482" w:firstLineChars="200"/>
        <w:outlineLvl w:val="0"/>
        <w:rPr>
          <w:rFonts w:hint="eastAsia" w:ascii="仿宋" w:hAnsi="仿宋" w:eastAsia="仿宋" w:cs="仿宋"/>
          <w:b/>
          <w:color w:val="auto"/>
          <w:spacing w:val="0"/>
          <w:sz w:val="24"/>
          <w:szCs w:val="24"/>
          <w:highlight w:val="none"/>
        </w:rPr>
      </w:pPr>
    </w:p>
    <w:p w14:paraId="2646EFAC">
      <w:pPr>
        <w:pageBreakBefore w:val="0"/>
        <w:kinsoku/>
        <w:overflowPunct/>
        <w:topLinePunct w:val="0"/>
        <w:bidi w:val="0"/>
        <w:snapToGrid w:val="0"/>
        <w:spacing w:line="360" w:lineRule="auto"/>
        <w:ind w:firstLine="482" w:firstLineChars="200"/>
        <w:outlineLvl w:val="0"/>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附件八：</w:t>
      </w:r>
      <w:bookmarkEnd w:id="108"/>
      <w:r>
        <w:rPr>
          <w:rFonts w:hint="eastAsia" w:ascii="仿宋" w:hAnsi="仿宋" w:eastAsia="仿宋" w:cs="仿宋"/>
          <w:b/>
          <w:color w:val="auto"/>
          <w:spacing w:val="0"/>
          <w:sz w:val="24"/>
          <w:szCs w:val="24"/>
          <w:highlight w:val="none"/>
        </w:rPr>
        <w:t xml:space="preserve"> </w:t>
      </w:r>
    </w:p>
    <w:p w14:paraId="0A657174">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70BE2C0E">
      <w:pPr>
        <w:pageBreakBefore w:val="0"/>
        <w:kinsoku/>
        <w:overflowPunct/>
        <w:topLinePunct w:val="0"/>
        <w:bidi w:val="0"/>
        <w:snapToGrid w:val="0"/>
        <w:spacing w:line="360" w:lineRule="auto"/>
        <w:jc w:val="center"/>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环保、文明施工管理协议</w:t>
      </w:r>
    </w:p>
    <w:p w14:paraId="4AAD08C6">
      <w:pPr>
        <w:pageBreakBefore w:val="0"/>
        <w:kinsoku/>
        <w:overflowPunct/>
        <w:topLinePunct w:val="0"/>
        <w:bidi w:val="0"/>
        <w:snapToGrid w:val="0"/>
        <w:spacing w:line="360" w:lineRule="auto"/>
        <w:jc w:val="center"/>
        <w:rPr>
          <w:rFonts w:hint="eastAsia" w:ascii="仿宋" w:hAnsi="仿宋" w:eastAsia="仿宋" w:cs="仿宋"/>
          <w:b/>
          <w:color w:val="auto"/>
          <w:spacing w:val="0"/>
          <w:sz w:val="24"/>
          <w:szCs w:val="24"/>
          <w:highlight w:val="none"/>
        </w:rPr>
      </w:pPr>
    </w:p>
    <w:p w14:paraId="6B367F2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广州锦泷房地产开发有限公司</w:t>
      </w:r>
      <w:r>
        <w:rPr>
          <w:rFonts w:hint="eastAsia" w:ascii="仿宋" w:hAnsi="仿宋" w:eastAsia="仿宋" w:cs="仿宋"/>
          <w:color w:val="auto"/>
          <w:spacing w:val="0"/>
          <w:sz w:val="24"/>
          <w:szCs w:val="24"/>
          <w:highlight w:val="none"/>
          <w:u w:val="single"/>
        </w:rPr>
        <w:t xml:space="preserve">   </w:t>
      </w:r>
    </w:p>
    <w:p w14:paraId="24B8D23D">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承包人：</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 xml:space="preserve">  </w:t>
      </w:r>
    </w:p>
    <w:p w14:paraId="61662455">
      <w:pPr>
        <w:pageBreakBefore w:val="0"/>
        <w:kinsoku/>
        <w:overflowPunct/>
        <w:topLinePunct w:val="0"/>
        <w:bidi w:val="0"/>
        <w:snapToGrid w:val="0"/>
        <w:spacing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为加强对</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天河区金融城东区AT091415地块</w:t>
      </w:r>
      <w:r>
        <w:rPr>
          <w:rFonts w:hint="eastAsia" w:ascii="仿宋" w:hAnsi="仿宋" w:eastAsia="仿宋" w:cs="仿宋"/>
          <w:color w:val="auto"/>
          <w:spacing w:val="0"/>
          <w:sz w:val="24"/>
          <w:szCs w:val="24"/>
          <w:highlight w:val="none"/>
          <w:u w:val="single"/>
        </w:rPr>
        <w:t>基坑支护和土方开挖工程</w:t>
      </w:r>
      <w:r>
        <w:rPr>
          <w:rFonts w:hint="eastAsia" w:ascii="仿宋" w:hAnsi="仿宋" w:eastAsia="仿宋" w:cs="仿宋"/>
          <w:color w:val="auto"/>
          <w:spacing w:val="0"/>
          <w:sz w:val="24"/>
          <w:szCs w:val="24"/>
          <w:highlight w:val="none"/>
        </w:rPr>
        <w:t>环保、文明施工的管理，根据《中华人民共和国建筑法》、《中华人民共和国劳动法》、《中华人民共和国环境保护法》、《建设项目环境保护管理条例》等有关法律、法规，经双方协商一致，签订本建设工程承包环保及文明施工管理协议。</w:t>
      </w:r>
    </w:p>
    <w:p w14:paraId="268CB73C">
      <w:pPr>
        <w:pageBreakBefore w:val="0"/>
        <w:kinsoku/>
        <w:overflowPunct/>
        <w:topLinePunct w:val="0"/>
        <w:bidi w:val="0"/>
        <w:snapToGrid w:val="0"/>
        <w:spacing w:before="158" w:beforeLines="50" w:after="158" w:afterLines="50" w:line="360" w:lineRule="auto"/>
        <w:rPr>
          <w:rFonts w:hint="eastAsia" w:ascii="仿宋" w:hAnsi="仿宋" w:eastAsia="仿宋" w:cs="仿宋"/>
          <w:b/>
          <w:color w:val="auto"/>
          <w:spacing w:val="0"/>
          <w:sz w:val="24"/>
          <w:szCs w:val="24"/>
          <w:highlight w:val="none"/>
        </w:rPr>
      </w:pPr>
      <w:r>
        <w:rPr>
          <w:rFonts w:hint="eastAsia" w:ascii="仿宋" w:hAnsi="仿宋" w:eastAsia="仿宋" w:cs="仿宋"/>
          <w:color w:val="auto"/>
          <w:spacing w:val="0"/>
          <w:sz w:val="24"/>
          <w:szCs w:val="24"/>
          <w:highlight w:val="none"/>
        </w:rPr>
        <w:t>一</w:t>
      </w:r>
      <w:r>
        <w:rPr>
          <w:rFonts w:hint="eastAsia" w:ascii="仿宋" w:hAnsi="仿宋" w:eastAsia="仿宋" w:cs="仿宋"/>
          <w:b/>
          <w:color w:val="auto"/>
          <w:spacing w:val="0"/>
          <w:sz w:val="24"/>
          <w:szCs w:val="24"/>
          <w:highlight w:val="none"/>
        </w:rPr>
        <w:t>、发包人职责和权限</w:t>
      </w:r>
    </w:p>
    <w:p w14:paraId="7F5E30EA">
      <w:pPr>
        <w:pageBreakBefore w:val="0"/>
        <w:kinsoku/>
        <w:overflowPunct/>
        <w:topLinePunct w:val="0"/>
        <w:bidi w:val="0"/>
        <w:snapToGrid w:val="0"/>
        <w:spacing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发包人依据国家、地方、上级主管部门及本单位有关法律、法规、标准、规范、规程及规章制度对承包人所承包工程的环保及文明施工管理进行检查、指导和督促，对检查发现的环保问题、环保隐患有权提出整改意见，并根据相应规定进行处罚。</w:t>
      </w:r>
    </w:p>
    <w:p w14:paraId="5B878315">
      <w:pPr>
        <w:pageBreakBefore w:val="0"/>
        <w:kinsoku/>
        <w:overflowPunct/>
        <w:topLinePunct w:val="0"/>
        <w:bidi w:val="0"/>
        <w:snapToGrid w:val="0"/>
        <w:spacing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2、监督承包人及时处理发现的各种环保隐患。发包人有权对承包人在作业中存在的环保问题进行制止、纠正、发放环保整改通知书及考核处理。</w:t>
      </w:r>
    </w:p>
    <w:p w14:paraId="78BCA30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3、定期或分阶段组织对承包人安全环保文明施工宣传及防护设施进行检查、验收。</w:t>
      </w:r>
    </w:p>
    <w:p w14:paraId="77C83589">
      <w:pPr>
        <w:pageBreakBefore w:val="0"/>
        <w:kinsoku/>
        <w:overflowPunct/>
        <w:topLinePunct w:val="0"/>
        <w:bidi w:val="0"/>
        <w:snapToGrid w:val="0"/>
        <w:spacing w:before="158" w:beforeLines="50" w:after="158" w:afterLines="50" w:line="360" w:lineRule="auto"/>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二、承包人职责和权限</w:t>
      </w:r>
    </w:p>
    <w:p w14:paraId="56BAC6DF">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1、承包人应严格按国家、地方、上级主管部门及发包人有关环保、文明施工的法律、法规、标准、规范、规程及规定等组织生产和施工，严格遵守发包人环保及文明施工管理制度，服从发包人管理。</w:t>
      </w:r>
    </w:p>
    <w:p w14:paraId="566C4DD3">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2、承包人应建立环保管理体系，确定以承包人项目经理为第一责任人，责任落实到人，并保证有效运行。</w:t>
      </w:r>
    </w:p>
    <w:p w14:paraId="13F27850">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3、承包人在作业组织设计中应有防治扬尘、噪声、固体废物和废水等污染环境的有效措施，并在作业中认真组织实施，并进行检查。</w:t>
      </w:r>
    </w:p>
    <w:p w14:paraId="57FE54AD">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4、设备内或高处作业产生的垃圾清运必须采取防扬尘措施，严禁凌空抛撒，防止粉尘污染。遇有四级风以上天气不得进行可能产生扬尘污染的作业。</w:t>
      </w:r>
    </w:p>
    <w:p w14:paraId="530352DA">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作业现场应有专人负责环保工作，配备相应的洒水设备，及时洒水，减少扬尘污染，垃圾清运时应提前适量洒水，杂物及铁分离，按规定及时清运消纳，作业现场应采取覆盖、固化、洒水等有效措施，做到不泥泞、不扬尘。</w:t>
      </w:r>
    </w:p>
    <w:p w14:paraId="418E6583">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6、从事土方、渣土和作业垃圾的运输，出场时必须将车辆清理干净.不得将泥沙带出现场。</w:t>
      </w:r>
    </w:p>
    <w:p w14:paraId="0ED9372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7、作业中产生的液体废料严禁直接排入雨水管网，应排至污水井；现场使用的油料等废物，必须进行回收处理，防止油料等废物污染土壤及水体。</w:t>
      </w:r>
    </w:p>
    <w:p w14:paraId="3E255724">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8、作业现场应遵照《中华人民共和国建筑施工场界噪声限值》制定降噪措施。</w:t>
      </w:r>
    </w:p>
    <w:p w14:paraId="398CCB9B">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9、作业过程中采用低噪声设备，并采取消声减振等措施，减小噪音污染。进行夜间作业的，应采取措施，最大限度减少施工噪声，可采用隔音布、低噪声震捣棒等方法。</w:t>
      </w:r>
    </w:p>
    <w:p w14:paraId="696BD6B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10、对人为的施工噪声应有管理制度和降噪措施，并进行严格控制，噪声值不应超过国家或地方噪声排放标准。</w:t>
      </w:r>
    </w:p>
    <w:p w14:paraId="691A2444">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11、在维修作业过程中应注意机械油箱严禁发生跑、冒、滴、漏现象。</w:t>
      </w:r>
    </w:p>
    <w:p w14:paraId="2AEE3E77">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12、维修工具及设备零部件要轻拿轻放，禁止向地下抛工具及设备零部件。   </w:t>
      </w:r>
    </w:p>
    <w:p w14:paraId="10DF1514">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13、刷漆作业中应在施工点下方铺设防护设施，避免油漆掉落地面。</w:t>
      </w:r>
    </w:p>
    <w:p w14:paraId="59385C6F">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14、作业现场应合理节约使用水、电等能源。 </w:t>
      </w:r>
    </w:p>
    <w:p w14:paraId="623EE2B1">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15、进厂机动车不得超过标准排放大气污染物。加强机动车环保管理，确保机动车尾气排放达标。如因违反法律法规规定被政府相关部门开具行政处罚单，秉承谁驾驶谁负责、谁所有谁负责的原则接受处罚。    </w:t>
      </w:r>
    </w:p>
    <w:p w14:paraId="218B8E5F">
      <w:pPr>
        <w:pageBreakBefore w:val="0"/>
        <w:kinsoku/>
        <w:overflowPunct/>
        <w:topLinePunct w:val="0"/>
        <w:bidi w:val="0"/>
        <w:snapToGrid w:val="0"/>
        <w:spacing w:before="158" w:beforeLines="50" w:after="158" w:afterLines="50" w:line="360" w:lineRule="auto"/>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三、承包人执行措施</w:t>
      </w:r>
    </w:p>
    <w:p w14:paraId="01E1A5D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1、在项目现场作业应保持环境卫生，禁止随地大小便。</w:t>
      </w:r>
    </w:p>
    <w:p w14:paraId="48A3B59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2、禁止乱扔杂物，如：油棉丝、矿泉水瓶、餐饮盒、瓜果皮、剩饭剩菜，废衣物手套等物品。现场要放置成装垃圾的器具，并随时进行清理。</w:t>
      </w:r>
    </w:p>
    <w:p w14:paraId="4B7B550D">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3、作业所用设备、备品备件等各种材料，现场要规范码放，需要苫盖的货物必须及时采取苫盖措施。货物运输作业严禁遗洒。</w:t>
      </w:r>
    </w:p>
    <w:p w14:paraId="557ABEB8">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4、项目作业使用后的包装物充装物等物品要现场规范码放，于当日运到指定地点以保证现场的整洁。</w:t>
      </w:r>
    </w:p>
    <w:p w14:paraId="60F3815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5、检修更换下来的设备和器具等物，要及时分类进行确定，对照类别及时运到相应的存放区。</w:t>
      </w:r>
    </w:p>
    <w:p w14:paraId="78B6DBE5">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6、在检修中所使用的工器具设备要妥善保管，对暂时用不到的要尽可能靠边存放，轻便的工器具要及时入库保存。</w:t>
      </w:r>
    </w:p>
    <w:p w14:paraId="1A1EDDD9">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7、使用完的临时线路要及时通知电工专业人员拆卸收存，严禁长时间带电现场存放。</w:t>
      </w:r>
    </w:p>
    <w:p w14:paraId="2D3198D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8、要按指定的区域倾倒垃圾等物，严格禁止在其他区域倾倒各类垃圾杂物。</w:t>
      </w:r>
    </w:p>
    <w:p w14:paraId="62C11CC3">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9、作业完工或存放物移走后要做到活完场清。</w:t>
      </w:r>
    </w:p>
    <w:p w14:paraId="25794892">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10、要爱护现场的花草树木，不得擅自埋压花草、毁坏树木。</w:t>
      </w:r>
    </w:p>
    <w:p w14:paraId="38E1D9D0">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11、禁止作业人员赤膊和穿拖鞋进入作业区。</w:t>
      </w:r>
    </w:p>
    <w:p w14:paraId="4B6DD30F">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12、在遇到交叉混合作业现场情况时或有临时作业及其他工作任务的，要提前相互进行协调做到各负其责。不出现殃及他人现象或事故的发生。</w:t>
      </w:r>
    </w:p>
    <w:p w14:paraId="4F46BFC3">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13、作业现场要保持整洁，零散杂物、污垢、灰土等要随时进行清理。</w:t>
      </w:r>
    </w:p>
    <w:p w14:paraId="68378975">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14、服从发包人规范管理人员的管理，严格落实所提出的规范管理要求。</w:t>
      </w:r>
    </w:p>
    <w:p w14:paraId="35A143B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15、施工围蔽措施必须严格按照广州市住房和城乡建设局关于《广州市建设工程绿色施工围蔽指导图集通知》以及《广州市建设工程绿色施工围蔽指导图集（V1.0试行版）》的补充通知办法实行。</w:t>
      </w:r>
    </w:p>
    <w:p w14:paraId="06B09BA1">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16、外架防护须严格按穗建质〔2019〕1303号广州市住房和城乡建设局关于规范建筑施工立面外防护架标准的通知办法实行。</w:t>
      </w:r>
    </w:p>
    <w:p w14:paraId="404F2D87">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17、现场车辆出入冲洗设施须严格按照穗建质〔2019〕834号广州市住房和城乡建设局关于《广州市建筑工地车辆冲洗设施设计图集》的通知办法实行。</w:t>
      </w:r>
    </w:p>
    <w:p w14:paraId="38927D2B">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18、项目现场扬尘防治措施须严格按照广州市施工扬尘污染防治管理办法通知执行。</w:t>
      </w:r>
    </w:p>
    <w:p w14:paraId="66D8AE64">
      <w:pPr>
        <w:pageBreakBefore w:val="0"/>
        <w:kinsoku/>
        <w:overflowPunct/>
        <w:topLinePunct w:val="0"/>
        <w:bidi w:val="0"/>
        <w:snapToGrid w:val="0"/>
        <w:spacing w:before="158" w:beforeLines="50" w:after="158" w:afterLines="50" w:line="360" w:lineRule="auto"/>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四、罚则</w:t>
      </w:r>
    </w:p>
    <w:p w14:paraId="21A70F04">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1、承包人违反国家、地方、上级主管部门及本单位有关法律、法规、标准、规范、规程及规章制度，造成环保事故，除接受政府有关部门处理外，承包人应承担1000-10000元的违约责任；</w:t>
      </w:r>
    </w:p>
    <w:p w14:paraId="20F7DA61">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2、承包人未按环保要求作业的，发包人有权要求承包人停工整改及由承包人承担500-10000元的违约责任，同时由此引起的后果及损失由承包人承担；</w:t>
      </w:r>
    </w:p>
    <w:p w14:paraId="5F81917B">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3、承包人对发包人提出的环保整改意见未及时整改的，每逾期一天，承包人按500元/天承担违约责任；</w:t>
      </w:r>
    </w:p>
    <w:p w14:paraId="08B6F826">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4、对位列发包人在建项目广州市诚信综合评价绿色施工部分内部排名最后5名的项目进行处罚，交纳罚款5000元/月。</w:t>
      </w:r>
    </w:p>
    <w:p w14:paraId="6E5A82D3">
      <w:pPr>
        <w:pageBreakBefore w:val="0"/>
        <w:kinsoku/>
        <w:overflowPunct/>
        <w:topLinePunct w:val="0"/>
        <w:bidi w:val="0"/>
        <w:snapToGrid w:val="0"/>
        <w:spacing w:line="360" w:lineRule="auto"/>
        <w:ind w:right="420" w:firstLine="240" w:firstLineChars="1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br w:type="page"/>
      </w:r>
    </w:p>
    <w:p w14:paraId="2159BB43">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0A71AE51">
      <w:pPr>
        <w:pStyle w:val="4"/>
        <w:pageBreakBefore w:val="0"/>
        <w:kinsoku/>
        <w:overflowPunct/>
        <w:topLinePunct w:val="0"/>
        <w:bidi w:val="0"/>
        <w:snapToGrid w:val="0"/>
        <w:spacing w:after="120" w:line="360" w:lineRule="auto"/>
        <w:ind w:firstLine="0" w:firstLineChars="0"/>
        <w:outlineLvl w:val="0"/>
        <w:rPr>
          <w:rFonts w:hint="eastAsia" w:ascii="仿宋" w:hAnsi="仿宋" w:eastAsia="仿宋" w:cs="仿宋"/>
          <w:color w:val="auto"/>
          <w:spacing w:val="0"/>
          <w:sz w:val="24"/>
          <w:szCs w:val="24"/>
          <w:highlight w:val="none"/>
        </w:rPr>
      </w:pPr>
      <w:bookmarkStart w:id="109" w:name="_Toc42614200"/>
      <w:bookmarkStart w:id="110" w:name="_Toc19366"/>
      <w:r>
        <w:rPr>
          <w:rFonts w:hint="eastAsia" w:ascii="仿宋" w:hAnsi="仿宋" w:eastAsia="仿宋" w:cs="仿宋"/>
          <w:color w:val="auto"/>
          <w:spacing w:val="0"/>
          <w:sz w:val="24"/>
          <w:szCs w:val="24"/>
          <w:highlight w:val="none"/>
        </w:rPr>
        <w:t>附件九：关于按时足额发放工人工资的承诺书</w:t>
      </w:r>
      <w:bookmarkEnd w:id="109"/>
      <w:bookmarkEnd w:id="110"/>
    </w:p>
    <w:p w14:paraId="46391D03">
      <w:pPr>
        <w:pageBreakBefore w:val="0"/>
        <w:kinsoku/>
        <w:overflowPunct/>
        <w:topLinePunct w:val="0"/>
        <w:autoSpaceDE w:val="0"/>
        <w:autoSpaceDN w:val="0"/>
        <w:bidi w:val="0"/>
        <w:snapToGrid w:val="0"/>
        <w:spacing w:line="360" w:lineRule="auto"/>
        <w:rPr>
          <w:rFonts w:hint="eastAsia" w:ascii="仿宋" w:hAnsi="仿宋" w:eastAsia="仿宋" w:cs="仿宋"/>
          <w:b/>
          <w:bCs/>
          <w:color w:val="auto"/>
          <w:spacing w:val="0"/>
          <w:sz w:val="24"/>
          <w:szCs w:val="24"/>
          <w:highlight w:val="none"/>
        </w:rPr>
      </w:pPr>
    </w:p>
    <w:p w14:paraId="181ACFCA">
      <w:pPr>
        <w:pageBreakBefore w:val="0"/>
        <w:kinsoku/>
        <w:overflowPunct/>
        <w:topLinePunct w:val="0"/>
        <w:autoSpaceDE w:val="0"/>
        <w:autoSpaceDN w:val="0"/>
        <w:bidi w:val="0"/>
        <w:snapToGrid w:val="0"/>
        <w:spacing w:line="360" w:lineRule="auto"/>
        <w:ind w:firstLine="602"/>
        <w:jc w:val="center"/>
        <w:rPr>
          <w:rFonts w:hint="eastAsia" w:ascii="仿宋" w:hAnsi="仿宋" w:eastAsia="仿宋" w:cs="仿宋"/>
          <w:b/>
          <w:bCs/>
          <w:color w:val="auto"/>
          <w:spacing w:val="0"/>
          <w:kern w:val="0"/>
          <w:sz w:val="24"/>
          <w:szCs w:val="24"/>
          <w:highlight w:val="none"/>
        </w:rPr>
      </w:pPr>
      <w:r>
        <w:rPr>
          <w:rFonts w:hint="eastAsia" w:ascii="仿宋" w:hAnsi="仿宋" w:eastAsia="仿宋" w:cs="仿宋"/>
          <w:b/>
          <w:bCs/>
          <w:color w:val="auto"/>
          <w:spacing w:val="0"/>
          <w:kern w:val="0"/>
          <w:sz w:val="24"/>
          <w:szCs w:val="24"/>
          <w:highlight w:val="none"/>
        </w:rPr>
        <w:t>关于按时足额发放工人工资的承诺书</w:t>
      </w:r>
    </w:p>
    <w:p w14:paraId="57A227BD">
      <w:pPr>
        <w:pageBreakBefore w:val="0"/>
        <w:kinsoku/>
        <w:overflowPunct/>
        <w:topLinePunct w:val="0"/>
        <w:autoSpaceDE w:val="0"/>
        <w:autoSpaceDN w:val="0"/>
        <w:bidi w:val="0"/>
        <w:snapToGrid w:val="0"/>
        <w:spacing w:line="360" w:lineRule="auto"/>
        <w:ind w:firstLine="602"/>
        <w:jc w:val="center"/>
        <w:rPr>
          <w:rFonts w:hint="eastAsia" w:ascii="仿宋" w:hAnsi="仿宋" w:eastAsia="仿宋" w:cs="仿宋"/>
          <w:b/>
          <w:bCs/>
          <w:color w:val="auto"/>
          <w:spacing w:val="0"/>
          <w:kern w:val="0"/>
          <w:sz w:val="24"/>
          <w:szCs w:val="24"/>
          <w:highlight w:val="none"/>
        </w:rPr>
      </w:pPr>
      <w:r>
        <w:rPr>
          <w:rFonts w:hint="eastAsia" w:ascii="仿宋" w:hAnsi="仿宋" w:eastAsia="仿宋" w:cs="仿宋"/>
          <w:b/>
          <w:bCs/>
          <w:color w:val="auto"/>
          <w:spacing w:val="0"/>
          <w:kern w:val="0"/>
          <w:sz w:val="24"/>
          <w:szCs w:val="24"/>
          <w:highlight w:val="none"/>
        </w:rPr>
        <w:t xml:space="preserve"> </w:t>
      </w:r>
    </w:p>
    <w:p w14:paraId="02DB4FB6">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szCs w:val="24"/>
          <w:highlight w:val="none"/>
        </w:rPr>
      </w:pPr>
      <w:r>
        <w:rPr>
          <w:rFonts w:hint="eastAsia" w:ascii="仿宋" w:hAnsi="仿宋" w:eastAsia="仿宋" w:cs="仿宋"/>
          <w:b/>
          <w:bCs/>
          <w:color w:val="auto"/>
          <w:spacing w:val="0"/>
          <w:kern w:val="0"/>
          <w:sz w:val="24"/>
          <w:szCs w:val="24"/>
          <w:highlight w:val="none"/>
        </w:rPr>
        <w:t>致：</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广州锦泷房地产开发有限公司</w:t>
      </w:r>
      <w:r>
        <w:rPr>
          <w:rFonts w:hint="eastAsia" w:ascii="仿宋" w:hAnsi="仿宋" w:eastAsia="仿宋" w:cs="仿宋"/>
          <w:color w:val="auto"/>
          <w:spacing w:val="0"/>
          <w:sz w:val="24"/>
          <w:szCs w:val="24"/>
          <w:highlight w:val="none"/>
          <w:u w:val="single"/>
        </w:rPr>
        <w:t xml:space="preserve">   </w:t>
      </w:r>
    </w:p>
    <w:p w14:paraId="328DA89F">
      <w:pPr>
        <w:pageBreakBefore w:val="0"/>
        <w:kinsoku/>
        <w:overflowPunct/>
        <w:topLinePunct w:val="0"/>
        <w:autoSpaceDE w:val="0"/>
        <w:autoSpaceDN w:val="0"/>
        <w:bidi w:val="0"/>
        <w:adjustRightInd w:val="0"/>
        <w:snapToGrid w:val="0"/>
        <w:spacing w:line="360" w:lineRule="auto"/>
        <w:ind w:firstLine="360" w:firstLineChars="150"/>
        <w:jc w:val="left"/>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 xml:space="preserve"> 由我司承建的贵司</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天河区金融城东区AT091415地块</w:t>
      </w:r>
      <w:r>
        <w:rPr>
          <w:rFonts w:hint="eastAsia" w:ascii="仿宋" w:hAnsi="仿宋" w:eastAsia="仿宋" w:cs="仿宋"/>
          <w:color w:val="auto"/>
          <w:spacing w:val="0"/>
          <w:sz w:val="24"/>
          <w:szCs w:val="24"/>
          <w:highlight w:val="none"/>
          <w:u w:val="single"/>
        </w:rPr>
        <w:t xml:space="preserve">基坑支护和土方开挖 </w:t>
      </w:r>
      <w:r>
        <w:rPr>
          <w:rFonts w:hint="eastAsia" w:ascii="仿宋" w:hAnsi="仿宋" w:eastAsia="仿宋" w:cs="仿宋"/>
          <w:color w:val="auto"/>
          <w:spacing w:val="0"/>
          <w:kern w:val="0"/>
          <w:sz w:val="24"/>
          <w:szCs w:val="24"/>
          <w:highlight w:val="none"/>
        </w:rPr>
        <w:t>现正在施工。按国家法律规定，施工单位应当按时足额支付工人工资，这是施工单位必须履行的法定义务。我公司特此保证：本承诺书签署之日，我司将按国家规定在施工过程中足额支付本工程所有工人工资，我司施工的本工程不出现拖欠任何工人工资。</w:t>
      </w:r>
    </w:p>
    <w:p w14:paraId="7F8ABBBE">
      <w:pPr>
        <w:pageBreakBefore w:val="0"/>
        <w:kinsoku/>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以上情况及保证与承诺，我司愿承担一切法律责任及后果。如施工过程发生工人到贵司索要工资或出现工人闹事、向媒体爆料、向仲裁机构或法院起诉、到政府有关部门上访等的现象，贵司有权暂停支付工程款，我司并愿按照每人每次10000元的标准向贵司承担违约赔偿责任。该违约金在贵司拨付我司的工程款中扣除。如工程款不足抵扣，则由我司以现金形式补足。</w:t>
      </w:r>
    </w:p>
    <w:p w14:paraId="08517305">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特此保证</w:t>
      </w:r>
    </w:p>
    <w:p w14:paraId="37B63832">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kern w:val="0"/>
          <w:sz w:val="24"/>
          <w:szCs w:val="24"/>
          <w:highlight w:val="none"/>
        </w:rPr>
      </w:pPr>
    </w:p>
    <w:p w14:paraId="6496A48A">
      <w:pPr>
        <w:pageBreakBefore w:val="0"/>
        <w:kinsoku/>
        <w:overflowPunct/>
        <w:topLinePunct w:val="0"/>
        <w:bidi w:val="0"/>
        <w:snapToGrid w:val="0"/>
        <w:spacing w:line="360" w:lineRule="auto"/>
        <w:ind w:right="420"/>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sz w:val="24"/>
          <w:szCs w:val="24"/>
          <w:highlight w:val="none"/>
        </w:rPr>
        <w:t xml:space="preserve">                                         承诺单位：</w:t>
      </w:r>
      <w:r>
        <w:rPr>
          <w:rFonts w:hint="eastAsia" w:ascii="仿宋" w:hAnsi="仿宋" w:eastAsia="仿宋" w:cs="仿宋"/>
          <w:color w:val="auto"/>
          <w:spacing w:val="0"/>
          <w:kern w:val="0"/>
          <w:sz w:val="24"/>
          <w:szCs w:val="24"/>
          <w:highlight w:val="none"/>
        </w:rPr>
        <w:t xml:space="preserve">（公章） </w:t>
      </w:r>
    </w:p>
    <w:p w14:paraId="02331BD3">
      <w:pPr>
        <w:pageBreakBefore w:val="0"/>
        <w:kinsoku/>
        <w:overflowPunct/>
        <w:topLinePunct w:val="0"/>
        <w:autoSpaceDE w:val="0"/>
        <w:autoSpaceDN w:val="0"/>
        <w:bidi w:val="0"/>
        <w:adjustRightInd w:val="0"/>
        <w:snapToGrid w:val="0"/>
        <w:spacing w:line="360" w:lineRule="auto"/>
        <w:ind w:firstLine="6120" w:firstLineChars="2550"/>
        <w:jc w:val="left"/>
        <w:rPr>
          <w:rFonts w:hint="eastAsia" w:ascii="仿宋" w:hAnsi="仿宋" w:eastAsia="仿宋" w:cs="仿宋"/>
          <w:color w:val="auto"/>
          <w:spacing w:val="0"/>
          <w:kern w:val="0"/>
          <w:sz w:val="24"/>
          <w:szCs w:val="24"/>
          <w:highlight w:val="none"/>
        </w:rPr>
      </w:pPr>
    </w:p>
    <w:p w14:paraId="7DBF3162">
      <w:pPr>
        <w:pageBreakBefore w:val="0"/>
        <w:kinsoku/>
        <w:overflowPunct/>
        <w:topLinePunct w:val="0"/>
        <w:autoSpaceDE w:val="0"/>
        <w:autoSpaceDN w:val="0"/>
        <w:bidi w:val="0"/>
        <w:adjustRightInd w:val="0"/>
        <w:snapToGrid w:val="0"/>
        <w:spacing w:line="360" w:lineRule="auto"/>
        <w:ind w:firstLine="4920" w:firstLineChars="2050"/>
        <w:jc w:val="left"/>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法定代表人（签字）：</w:t>
      </w:r>
    </w:p>
    <w:p w14:paraId="2AD6849A">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4BF346FA">
      <w:pPr>
        <w:pStyle w:val="2"/>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027762AC">
      <w:pPr>
        <w:pStyle w:val="2"/>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53FB4009">
      <w:pPr>
        <w:pStyle w:val="2"/>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02A9C611">
      <w:pPr>
        <w:pStyle w:val="4"/>
        <w:pageBreakBefore w:val="0"/>
        <w:kinsoku/>
        <w:overflowPunct/>
        <w:topLinePunct w:val="0"/>
        <w:bidi w:val="0"/>
        <w:snapToGrid w:val="0"/>
        <w:spacing w:after="120" w:line="360" w:lineRule="auto"/>
        <w:ind w:firstLine="0" w:firstLineChars="0"/>
        <w:outlineLvl w:val="0"/>
        <w:rPr>
          <w:rFonts w:hint="eastAsia" w:ascii="仿宋" w:hAnsi="仿宋" w:eastAsia="仿宋" w:cs="仿宋"/>
          <w:color w:val="auto"/>
          <w:spacing w:val="0"/>
          <w:sz w:val="24"/>
          <w:szCs w:val="24"/>
          <w:highlight w:val="none"/>
        </w:rPr>
      </w:pPr>
      <w:bookmarkStart w:id="111" w:name="_Toc19860"/>
      <w:r>
        <w:rPr>
          <w:rFonts w:hint="eastAsia" w:ascii="仿宋" w:hAnsi="仿宋" w:eastAsia="仿宋" w:cs="仿宋"/>
          <w:color w:val="auto"/>
          <w:spacing w:val="0"/>
          <w:sz w:val="24"/>
          <w:szCs w:val="24"/>
          <w:highlight w:val="none"/>
        </w:rPr>
        <w:t>附件十：新冠肺炎疫情防控协议书</w:t>
      </w:r>
      <w:bookmarkEnd w:id="111"/>
    </w:p>
    <w:p w14:paraId="46201D8B">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591A2D25">
      <w:pPr>
        <w:pStyle w:val="4"/>
        <w:pageBreakBefore w:val="0"/>
        <w:kinsoku/>
        <w:overflowPunct/>
        <w:topLinePunct w:val="0"/>
        <w:bidi w:val="0"/>
        <w:snapToGrid w:val="0"/>
        <w:spacing w:after="120" w:line="360" w:lineRule="auto"/>
        <w:ind w:firstLine="0" w:firstLineChars="0"/>
        <w:jc w:val="center"/>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结 算 承 诺 书</w:t>
      </w:r>
    </w:p>
    <w:p w14:paraId="5C42D881">
      <w:pPr>
        <w:pageBreakBefore w:val="0"/>
        <w:kinsoku/>
        <w:overflowPunct/>
        <w:topLinePunct w:val="0"/>
        <w:bidi w:val="0"/>
        <w:snapToGrid w:val="0"/>
        <w:spacing w:before="120" w:line="360" w:lineRule="auto"/>
        <w:ind w:firstLine="560"/>
        <w:rPr>
          <w:rFonts w:hint="eastAsia" w:ascii="仿宋" w:hAnsi="仿宋" w:eastAsia="仿宋" w:cs="仿宋"/>
          <w:color w:val="auto"/>
          <w:spacing w:val="0"/>
          <w:sz w:val="24"/>
          <w:szCs w:val="24"/>
          <w:highlight w:val="none"/>
        </w:rPr>
      </w:pPr>
    </w:p>
    <w:p w14:paraId="0B78B491">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广州锦泷房地产开发有限公司</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w:t>
      </w:r>
    </w:p>
    <w:p w14:paraId="30B3E123">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我司已按《</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天河区金融城东区AT091415地块</w:t>
      </w:r>
      <w:r>
        <w:rPr>
          <w:rFonts w:hint="eastAsia" w:ascii="仿宋" w:hAnsi="仿宋" w:eastAsia="仿宋" w:cs="仿宋"/>
          <w:color w:val="auto"/>
          <w:spacing w:val="0"/>
          <w:sz w:val="24"/>
          <w:szCs w:val="24"/>
          <w:highlight w:val="none"/>
          <w:u w:val="single"/>
        </w:rPr>
        <w:t xml:space="preserve">基坑支护和土方开挖     </w:t>
      </w:r>
      <w:r>
        <w:rPr>
          <w:rFonts w:hint="eastAsia" w:ascii="仿宋" w:hAnsi="仿宋" w:eastAsia="仿宋" w:cs="仿宋"/>
          <w:color w:val="auto"/>
          <w:spacing w:val="0"/>
          <w:sz w:val="24"/>
          <w:szCs w:val="24"/>
          <w:highlight w:val="none"/>
        </w:rPr>
        <w:t>合同》及贵司《结算管理办法》要求完成结算编制，现申请办理</w:t>
      </w:r>
    </w:p>
    <w:p w14:paraId="7FD0D9F9">
      <w:pPr>
        <w:pageBreakBefore w:val="0"/>
        <w:kinsoku/>
        <w:overflowPunct/>
        <w:topLinePunct w:val="0"/>
        <w:bidi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天河区金融城东区AT091415地块</w:t>
      </w:r>
      <w:r>
        <w:rPr>
          <w:rFonts w:hint="eastAsia" w:ascii="仿宋" w:hAnsi="仿宋" w:eastAsia="仿宋" w:cs="仿宋"/>
          <w:color w:val="auto"/>
          <w:spacing w:val="0"/>
          <w:sz w:val="24"/>
          <w:szCs w:val="24"/>
          <w:highlight w:val="none"/>
          <w:u w:val="single"/>
        </w:rPr>
        <w:t xml:space="preserve">基坑支护和土方开挖       </w:t>
      </w:r>
      <w:r>
        <w:rPr>
          <w:rFonts w:hint="eastAsia" w:ascii="仿宋" w:hAnsi="仿宋" w:eastAsia="仿宋" w:cs="仿宋"/>
          <w:color w:val="auto"/>
          <w:spacing w:val="0"/>
          <w:sz w:val="24"/>
          <w:szCs w:val="24"/>
          <w:highlight w:val="none"/>
        </w:rPr>
        <w:t>工程结算，送审结算金额为</w:t>
      </w:r>
      <w:r>
        <w:rPr>
          <w:rFonts w:hint="eastAsia" w:ascii="仿宋" w:hAnsi="仿宋" w:eastAsia="仿宋" w:cs="仿宋"/>
          <w:color w:val="auto"/>
          <w:spacing w:val="0"/>
          <w:sz w:val="24"/>
          <w:szCs w:val="24"/>
          <w:highlight w:val="none"/>
          <w:u w:val="single"/>
        </w:rPr>
        <w:t xml:space="preserve">     /   元</w:t>
      </w:r>
      <w:r>
        <w:rPr>
          <w:rFonts w:hint="eastAsia" w:ascii="仿宋" w:hAnsi="仿宋" w:eastAsia="仿宋" w:cs="仿宋"/>
          <w:color w:val="auto"/>
          <w:spacing w:val="0"/>
          <w:sz w:val="24"/>
          <w:szCs w:val="24"/>
          <w:highlight w:val="none"/>
        </w:rPr>
        <w:t>。我司承诺：</w:t>
      </w:r>
    </w:p>
    <w:p w14:paraId="0A4712A2">
      <w:pPr>
        <w:pageBreakBefore w:val="0"/>
        <w:kinsoku/>
        <w:overflowPunct/>
        <w:topLinePunct w:val="0"/>
        <w:autoSpaceDE w:val="0"/>
        <w:autoSpaceDN w:val="0"/>
        <w:bidi w:val="0"/>
        <w:adjustRightInd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1、我司报送竣工结算内容完整、金额已经核实确认，若出现漏算、少算结算等情况，我司不再补充计算，由此导致的损失由我司承担。</w:t>
      </w:r>
    </w:p>
    <w:p w14:paraId="63A276FD">
      <w:pPr>
        <w:pageBreakBefore w:val="0"/>
        <w:kinsoku/>
        <w:overflowPunct/>
        <w:topLinePunct w:val="0"/>
        <w:autoSpaceDE w:val="0"/>
        <w:autoSpaceDN w:val="0"/>
        <w:bidi w:val="0"/>
        <w:adjustRightInd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2、我司报送的竣工结算资料真实、合法、准确，若存在弄虚作假及违法违纪行为，我司承担相应经济责任和法律责任。</w:t>
      </w:r>
    </w:p>
    <w:p w14:paraId="6ABBB335">
      <w:pPr>
        <w:pageBreakBefore w:val="0"/>
        <w:kinsoku/>
        <w:overflowPunct/>
        <w:topLinePunct w:val="0"/>
        <w:autoSpaceDE w:val="0"/>
        <w:autoSpaceDN w:val="0"/>
        <w:bidi w:val="0"/>
        <w:adjustRightInd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3、我司报送的竣工结算资料完整、齐全且已完整反映了本工程的实际完工情况，如有后补结算资料，贵司有权不予接受并不计算相关费用。</w:t>
      </w:r>
    </w:p>
    <w:p w14:paraId="3DD6D64A">
      <w:pPr>
        <w:pageBreakBefore w:val="0"/>
        <w:kinsoku/>
        <w:overflowPunct/>
        <w:topLinePunct w:val="0"/>
        <w:autoSpaceDE w:val="0"/>
        <w:autoSpaceDN w:val="0"/>
        <w:bidi w:val="0"/>
        <w:adjustRightInd w:val="0"/>
        <w:snapToGrid w:val="0"/>
        <w:spacing w:before="120" w:line="360" w:lineRule="auto"/>
        <w:ind w:firstLine="48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4、我司报送的竣工结算资料已完整反映了本工程的实际完工情况，结算书未反映的内容均不属于本合同范围。</w:t>
      </w:r>
    </w:p>
    <w:p w14:paraId="75E7AD25">
      <w:pPr>
        <w:pageBreakBefore w:val="0"/>
        <w:kinsoku/>
        <w:overflowPunct/>
        <w:topLinePunct w:val="0"/>
        <w:autoSpaceDE w:val="0"/>
        <w:autoSpaceDN w:val="0"/>
        <w:bidi w:val="0"/>
        <w:adjustRightInd w:val="0"/>
        <w:snapToGrid w:val="0"/>
        <w:spacing w:before="120" w:line="360" w:lineRule="auto"/>
        <w:ind w:firstLine="480"/>
        <w:rPr>
          <w:rFonts w:hint="eastAsia" w:ascii="仿宋" w:hAnsi="仿宋" w:eastAsia="仿宋" w:cs="仿宋"/>
          <w:snapToGrid w:val="0"/>
          <w:color w:val="auto"/>
          <w:spacing w:val="0"/>
          <w:kern w:val="0"/>
          <w:sz w:val="24"/>
          <w:szCs w:val="24"/>
          <w:highlight w:val="none"/>
        </w:rPr>
      </w:pPr>
      <w:r>
        <w:rPr>
          <w:rFonts w:hint="eastAsia" w:ascii="仿宋" w:hAnsi="仿宋" w:eastAsia="仿宋" w:cs="仿宋"/>
          <w:color w:val="auto"/>
          <w:spacing w:val="0"/>
          <w:sz w:val="24"/>
          <w:szCs w:val="24"/>
          <w:highlight w:val="none"/>
        </w:rPr>
        <w:t>5、我司将积极配合贵司及贵司委托的审核单位开展结算审核工作，在收到审核意见通知后3个工作日内，主动配合对数、完善资料手续、勘察现场，逾期超过15日未书面反馈意见，则视为我司同意贵司及贵司委托的审核单位审核结果。</w:t>
      </w:r>
    </w:p>
    <w:p w14:paraId="53EA6398">
      <w:pPr>
        <w:pageBreakBefore w:val="0"/>
        <w:kinsoku/>
        <w:overflowPunct/>
        <w:topLinePunct w:val="0"/>
        <w:bidi w:val="0"/>
        <w:snapToGrid w:val="0"/>
        <w:spacing w:before="120" w:line="360" w:lineRule="auto"/>
        <w:ind w:firstLine="560"/>
        <w:jc w:val="right"/>
        <w:rPr>
          <w:rFonts w:hint="eastAsia" w:ascii="仿宋" w:hAnsi="仿宋" w:eastAsia="仿宋" w:cs="仿宋"/>
          <w:color w:val="auto"/>
          <w:spacing w:val="0"/>
          <w:sz w:val="24"/>
          <w:szCs w:val="24"/>
          <w:highlight w:val="none"/>
        </w:rPr>
      </w:pPr>
      <w:r>
        <w:rPr>
          <w:rFonts w:hint="eastAsia" w:ascii="仿宋" w:hAnsi="仿宋" w:eastAsia="仿宋" w:cs="仿宋"/>
          <w:snapToGrid w:val="0"/>
          <w:color w:val="auto"/>
          <w:spacing w:val="0"/>
          <w:kern w:val="0"/>
          <w:sz w:val="24"/>
          <w:szCs w:val="24"/>
          <w:highlight w:val="none"/>
        </w:rPr>
        <w:t xml:space="preserve">             </w:t>
      </w:r>
      <w:r>
        <w:rPr>
          <w:rFonts w:hint="eastAsia" w:ascii="仿宋" w:hAnsi="仿宋" w:eastAsia="仿宋" w:cs="仿宋"/>
          <w:color w:val="auto"/>
          <w:spacing w:val="0"/>
          <w:sz w:val="24"/>
          <w:szCs w:val="24"/>
          <w:highlight w:val="none"/>
        </w:rPr>
        <w:t xml:space="preserve"> 公司名称（公章）： </w:t>
      </w:r>
    </w:p>
    <w:p w14:paraId="61FBA17F">
      <w:pPr>
        <w:pageBreakBefore w:val="0"/>
        <w:kinsoku/>
        <w:overflowPunct/>
        <w:topLinePunct w:val="0"/>
        <w:bidi w:val="0"/>
        <w:snapToGrid w:val="0"/>
        <w:spacing w:before="120" w:line="360" w:lineRule="auto"/>
        <w:ind w:firstLine="3840" w:firstLineChars="1600"/>
        <w:jc w:val="righ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日    期：    年  月  日</w:t>
      </w:r>
    </w:p>
    <w:p w14:paraId="6169027D">
      <w:pPr>
        <w:pStyle w:val="2"/>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lang w:val="en-US" w:eastAsia="zh-CN"/>
        </w:rPr>
      </w:pPr>
    </w:p>
    <w:p w14:paraId="774F6B99">
      <w:pPr>
        <w:pStyle w:val="2"/>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lang w:val="en-US" w:eastAsia="zh-CN"/>
        </w:rPr>
      </w:pPr>
    </w:p>
    <w:p w14:paraId="3D47B247">
      <w:pPr>
        <w:pStyle w:val="2"/>
        <w:pageBreakBefore w:val="0"/>
        <w:kinsoku/>
        <w:overflowPunct/>
        <w:topLinePunct w:val="0"/>
        <w:bidi w:val="0"/>
        <w:snapToGrid w:val="0"/>
        <w:spacing w:line="360" w:lineRule="auto"/>
        <w:rPr>
          <w:rFonts w:hint="eastAsia" w:ascii="仿宋" w:hAnsi="仿宋" w:eastAsia="仿宋" w:cs="仿宋"/>
          <w:bCs/>
          <w:color w:val="auto"/>
          <w:spacing w:val="0"/>
          <w:sz w:val="24"/>
          <w:szCs w:val="24"/>
          <w:highlight w:val="none"/>
        </w:rPr>
      </w:pPr>
    </w:p>
    <w:p w14:paraId="1D587009">
      <w:pPr>
        <w:pStyle w:val="3"/>
        <w:bidi w:val="0"/>
        <w:jc w:val="center"/>
        <w:rPr>
          <w:rFonts w:hint="eastAsia"/>
          <w:color w:val="auto"/>
          <w:sz w:val="36"/>
          <w:szCs w:val="36"/>
          <w:highlight w:val="none"/>
          <w:lang w:val="en-US" w:eastAsia="zh-CN"/>
        </w:rPr>
      </w:pPr>
      <w:bookmarkStart w:id="112" w:name="_Toc16791"/>
      <w:r>
        <w:rPr>
          <w:rFonts w:hint="eastAsia"/>
          <w:color w:val="auto"/>
          <w:sz w:val="36"/>
          <w:szCs w:val="36"/>
          <w:highlight w:val="none"/>
          <w:lang w:val="en-US" w:eastAsia="zh-CN"/>
        </w:rPr>
        <w:t xml:space="preserve">第三部分 </w:t>
      </w:r>
      <w:r>
        <w:rPr>
          <w:rFonts w:hint="eastAsia"/>
          <w:color w:val="auto"/>
          <w:sz w:val="36"/>
          <w:szCs w:val="36"/>
          <w:highlight w:val="none"/>
          <w:lang w:val="zh-CN" w:eastAsia="zh-Hans"/>
        </w:rPr>
        <w:t>基坑支护和土方开挖设计</w:t>
      </w:r>
      <w:r>
        <w:rPr>
          <w:rFonts w:hint="eastAsia"/>
          <w:color w:val="auto"/>
          <w:sz w:val="36"/>
          <w:szCs w:val="36"/>
          <w:highlight w:val="none"/>
          <w:lang w:val="en-US" w:eastAsia="zh-CN"/>
        </w:rPr>
        <w:t>部分</w:t>
      </w:r>
      <w:bookmarkEnd w:id="112"/>
    </w:p>
    <w:p w14:paraId="37E978CC">
      <w:pPr>
        <w:pStyle w:val="11"/>
        <w:pageBreakBefore w:val="0"/>
        <w:numPr>
          <w:ilvl w:val="0"/>
          <w:numId w:val="0"/>
        </w:numPr>
        <w:tabs>
          <w:tab w:val="left" w:pos="540"/>
        </w:tabs>
        <w:kinsoku/>
        <w:overflowPunct/>
        <w:topLinePunct w:val="0"/>
        <w:bidi w:val="0"/>
        <w:snapToGrid w:val="0"/>
        <w:spacing w:before="158" w:after="0" w:line="360" w:lineRule="auto"/>
        <w:ind w:left="0" w:leftChars="0" w:firstLine="0" w:firstLineChars="0"/>
        <w:jc w:val="both"/>
        <w:outlineLvl w:val="9"/>
        <w:rPr>
          <w:rFonts w:hint="eastAsia" w:ascii="仿宋" w:hAnsi="仿宋" w:eastAsia="仿宋" w:cs="仿宋"/>
          <w:b/>
          <w:bCs/>
          <w:color w:val="auto"/>
          <w:spacing w:val="0"/>
          <w:kern w:val="44"/>
          <w:sz w:val="24"/>
          <w:szCs w:val="24"/>
          <w:highlight w:val="none"/>
          <w:lang w:val="en-US" w:eastAsia="zh-CN"/>
        </w:rPr>
      </w:pPr>
    </w:p>
    <w:p w14:paraId="429431E4">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委托</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承担</w:t>
      </w:r>
      <w:r>
        <w:rPr>
          <w:rFonts w:hint="eastAsia" w:ascii="仿宋" w:hAnsi="仿宋" w:eastAsia="仿宋" w:cs="仿宋"/>
          <w:color w:val="auto"/>
          <w:spacing w:val="0"/>
          <w:sz w:val="24"/>
          <w:szCs w:val="24"/>
          <w:highlight w:val="none"/>
          <w:u w:val="single"/>
          <w:lang w:eastAsia="zh-CN"/>
        </w:rPr>
        <w:t>天河区金融城东区AT091415地块</w:t>
      </w:r>
      <w:r>
        <w:rPr>
          <w:rFonts w:hint="eastAsia" w:ascii="仿宋" w:hAnsi="仿宋" w:eastAsia="仿宋" w:cs="仿宋"/>
          <w:color w:val="auto"/>
          <w:spacing w:val="0"/>
          <w:sz w:val="24"/>
          <w:szCs w:val="24"/>
          <w:highlight w:val="none"/>
        </w:rPr>
        <w:t>项目基坑支护和土方开挖工程设计，工程地点为</w:t>
      </w:r>
      <w:r>
        <w:rPr>
          <w:rFonts w:hint="eastAsia" w:ascii="仿宋" w:hAnsi="仿宋" w:eastAsia="仿宋" w:cs="仿宋"/>
          <w:color w:val="auto"/>
          <w:spacing w:val="0"/>
          <w:sz w:val="24"/>
          <w:szCs w:val="24"/>
          <w:highlight w:val="none"/>
          <w:u w:val="single"/>
        </w:rPr>
        <w:t>广州</w:t>
      </w:r>
      <w:r>
        <w:rPr>
          <w:rFonts w:hint="eastAsia" w:ascii="仿宋" w:hAnsi="仿宋" w:eastAsia="仿宋" w:cs="仿宋"/>
          <w:color w:val="auto"/>
          <w:spacing w:val="0"/>
          <w:sz w:val="24"/>
          <w:szCs w:val="24"/>
          <w:highlight w:val="none"/>
        </w:rPr>
        <w:t>市</w:t>
      </w:r>
      <w:r>
        <w:rPr>
          <w:rFonts w:hint="eastAsia" w:ascii="仿宋" w:hAnsi="仿宋" w:eastAsia="仿宋" w:cs="仿宋"/>
          <w:color w:val="auto"/>
          <w:spacing w:val="0"/>
          <w:sz w:val="24"/>
          <w:szCs w:val="24"/>
          <w:highlight w:val="none"/>
          <w:u w:val="single"/>
        </w:rPr>
        <w:t>天河</w:t>
      </w:r>
      <w:r>
        <w:rPr>
          <w:rFonts w:hint="eastAsia" w:ascii="仿宋" w:hAnsi="仿宋" w:eastAsia="仿宋" w:cs="仿宋"/>
          <w:color w:val="auto"/>
          <w:spacing w:val="0"/>
          <w:sz w:val="24"/>
          <w:szCs w:val="24"/>
          <w:highlight w:val="none"/>
        </w:rPr>
        <w:t>区</w:t>
      </w:r>
      <w:r>
        <w:rPr>
          <w:rFonts w:hint="eastAsia" w:ascii="仿宋" w:hAnsi="仿宋" w:eastAsia="仿宋" w:cs="仿宋"/>
          <w:color w:val="auto"/>
          <w:spacing w:val="0"/>
          <w:sz w:val="24"/>
          <w:szCs w:val="24"/>
          <w:highlight w:val="none"/>
          <w:u w:val="single"/>
          <w:lang w:val="en-US" w:eastAsia="zh-CN"/>
        </w:rPr>
        <w:t>金融城东区，花城大道以南、规划一横路以北</w:t>
      </w:r>
      <w:r>
        <w:rPr>
          <w:rFonts w:hint="eastAsia" w:ascii="仿宋" w:hAnsi="仿宋" w:eastAsia="仿宋" w:cs="仿宋"/>
          <w:color w:val="auto"/>
          <w:spacing w:val="0"/>
          <w:sz w:val="24"/>
          <w:szCs w:val="24"/>
          <w:highlight w:val="none"/>
        </w:rPr>
        <w:t>，经双方协商一致，签订本合同，以兹各方遵照执行。</w:t>
      </w:r>
    </w:p>
    <w:p w14:paraId="63640511">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13" w:name="_Toc28373"/>
      <w:r>
        <w:rPr>
          <w:rFonts w:hint="eastAsia" w:ascii="仿宋" w:hAnsi="仿宋" w:eastAsia="仿宋" w:cs="仿宋"/>
          <w:b/>
          <w:bCs/>
          <w:color w:val="auto"/>
          <w:spacing w:val="0"/>
          <w:sz w:val="24"/>
          <w:szCs w:val="24"/>
          <w:highlight w:val="none"/>
        </w:rPr>
        <w:t>本合同签订依据。</w:t>
      </w:r>
      <w:bookmarkEnd w:id="113"/>
    </w:p>
    <w:p w14:paraId="1D1B3353">
      <w:pPr>
        <w:pageBreakBefore w:val="0"/>
        <w:numPr>
          <w:ilvl w:val="0"/>
          <w:numId w:val="6"/>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《中华人民共和国民法典》、《中华人民共和国建筑法》和《建设工程勘察设计管理条例》。</w:t>
      </w:r>
    </w:p>
    <w:p w14:paraId="45F401FA">
      <w:pPr>
        <w:pageBreakBefore w:val="0"/>
        <w:numPr>
          <w:ilvl w:val="0"/>
          <w:numId w:val="6"/>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国家及地方现行有关建设工程勘察设计管理法规和规章。</w:t>
      </w:r>
    </w:p>
    <w:p w14:paraId="0667A14A">
      <w:pPr>
        <w:pageBreakBefore w:val="0"/>
        <w:numPr>
          <w:ilvl w:val="0"/>
          <w:numId w:val="6"/>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建设工程批准文件。</w:t>
      </w:r>
    </w:p>
    <w:p w14:paraId="55391B5E">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14" w:name="_Toc10041"/>
      <w:r>
        <w:rPr>
          <w:rFonts w:hint="eastAsia" w:ascii="仿宋" w:hAnsi="仿宋" w:eastAsia="仿宋" w:cs="仿宋"/>
          <w:b/>
          <w:bCs/>
          <w:color w:val="auto"/>
          <w:spacing w:val="0"/>
          <w:sz w:val="24"/>
          <w:szCs w:val="24"/>
          <w:highlight w:val="none"/>
        </w:rPr>
        <w:t>设计依据</w:t>
      </w:r>
      <w:bookmarkEnd w:id="114"/>
    </w:p>
    <w:p w14:paraId="773B14C9">
      <w:pPr>
        <w:pageBreakBefore w:val="0"/>
        <w:numPr>
          <w:ilvl w:val="0"/>
          <w:numId w:val="7"/>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提交的基础资料</w:t>
      </w:r>
    </w:p>
    <w:p w14:paraId="7DF86A7D">
      <w:pPr>
        <w:pageBreakBefore w:val="0"/>
        <w:numPr>
          <w:ilvl w:val="0"/>
          <w:numId w:val="7"/>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bCs/>
          <w:color w:val="auto"/>
          <w:spacing w:val="0"/>
          <w:sz w:val="24"/>
          <w:szCs w:val="24"/>
          <w:highlight w:val="none"/>
        </w:rPr>
        <w:t>相关检测、监测结果</w:t>
      </w:r>
    </w:p>
    <w:p w14:paraId="1ABE1EF1">
      <w:pPr>
        <w:pageBreakBefore w:val="0"/>
        <w:numPr>
          <w:ilvl w:val="0"/>
          <w:numId w:val="7"/>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采用的主要技术标准：国家及当地现行技术规范、规程。</w:t>
      </w:r>
    </w:p>
    <w:p w14:paraId="1FB27A76">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《建筑基坑支护技术规程》（国标JGJ120-2012）；</w:t>
      </w:r>
    </w:p>
    <w:p w14:paraId="74776942">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《建筑基坑工程技术规程》（广东省标准DBJ/T15-20-2016）；</w:t>
      </w:r>
    </w:p>
    <w:p w14:paraId="5DEFF32A">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《建筑深基坑工程施工安全技术规范》（JGJ 311-2013）；</w:t>
      </w:r>
    </w:p>
    <w:p w14:paraId="2BC01A42">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《岩土工程勘察规范》（GB50021－2001）（2009版）；</w:t>
      </w:r>
    </w:p>
    <w:p w14:paraId="463D8601">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《混凝土结构设计规范》（GB-50010-2010）（2015版）；</w:t>
      </w:r>
    </w:p>
    <w:p w14:paraId="2C0A159A">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《建筑基坑工程监测技术标准》（GB50497-2019）；</w:t>
      </w:r>
    </w:p>
    <w:p w14:paraId="75CE566D">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《建筑地基基础设计规范》（GB50007-2011）;</w:t>
      </w:r>
    </w:p>
    <w:p w14:paraId="56B20B0A">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《岩土锚杆（索）技术规程》（CECS 22：2005）； </w:t>
      </w:r>
    </w:p>
    <w:p w14:paraId="3D480A5A">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《岩土锚杆与喷射混凝土支护工程技术规范》（GB50086-2015）;</w:t>
      </w:r>
    </w:p>
    <w:p w14:paraId="7AC649CD">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《建筑桩基技术规范》（JGJ 94-2008）；</w:t>
      </w:r>
    </w:p>
    <w:p w14:paraId="29790366">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《基坑土钉支护技术规程》（CECS  96：97）                 </w:t>
      </w:r>
    </w:p>
    <w:p w14:paraId="07E42E7E">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《建筑边坡工程技术规范》（GB 50330-2013）                                 </w:t>
      </w:r>
    </w:p>
    <w:p w14:paraId="3968CD48">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《高层建筑筏形与箱形基础技术规范》（JGJ6-2011）        </w:t>
      </w:r>
    </w:p>
    <w:p w14:paraId="4380DB33">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《混凝土结构设计规范》（GB 50010-2010）            </w:t>
      </w:r>
    </w:p>
    <w:p w14:paraId="7DC4E80D">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《钢结构设计规范》（GB50017-2017）                     </w:t>
      </w:r>
    </w:p>
    <w:p w14:paraId="534CF0A8">
      <w:pPr>
        <w:pageBreakBefore w:val="0"/>
        <w:numPr>
          <w:ilvl w:val="0"/>
          <w:numId w:val="8"/>
        </w:numPr>
        <w:kinsoku/>
        <w:overflowPunct/>
        <w:topLinePunct w:val="0"/>
        <w:bidi w:val="0"/>
        <w:snapToGrid w:val="0"/>
        <w:spacing w:line="36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《建筑地基处理技术规范》（JGJ 79-2012）  </w:t>
      </w:r>
    </w:p>
    <w:p w14:paraId="060FA822">
      <w:pPr>
        <w:pageBreakBefore w:val="0"/>
        <w:kinsoku/>
        <w:overflowPunct/>
        <w:topLinePunct w:val="0"/>
        <w:bidi w:val="0"/>
        <w:snapToGrid w:val="0"/>
        <w:spacing w:line="360" w:lineRule="auto"/>
        <w:ind w:firstLine="482" w:firstLineChars="20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eastAsia="zh-CN"/>
        </w:rPr>
        <w:t>承包方</w:t>
      </w:r>
      <w:r>
        <w:rPr>
          <w:rFonts w:hint="eastAsia" w:ascii="仿宋" w:hAnsi="仿宋" w:eastAsia="仿宋" w:cs="仿宋"/>
          <w:b/>
          <w:bCs/>
          <w:color w:val="auto"/>
          <w:spacing w:val="0"/>
          <w:sz w:val="24"/>
          <w:szCs w:val="24"/>
          <w:highlight w:val="none"/>
        </w:rPr>
        <w:t>不可撤销地承诺，</w:t>
      </w:r>
      <w:r>
        <w:rPr>
          <w:rFonts w:hint="eastAsia" w:ascii="仿宋" w:hAnsi="仿宋" w:eastAsia="仿宋" w:cs="仿宋"/>
          <w:b/>
          <w:bCs/>
          <w:color w:val="auto"/>
          <w:spacing w:val="0"/>
          <w:sz w:val="24"/>
          <w:szCs w:val="24"/>
          <w:highlight w:val="none"/>
          <w:lang w:eastAsia="zh-CN"/>
        </w:rPr>
        <w:t>承包方</w:t>
      </w:r>
      <w:r>
        <w:rPr>
          <w:rFonts w:hint="eastAsia" w:ascii="仿宋" w:hAnsi="仿宋" w:eastAsia="仿宋" w:cs="仿宋"/>
          <w:b/>
          <w:bCs/>
          <w:color w:val="auto"/>
          <w:spacing w:val="0"/>
          <w:sz w:val="24"/>
          <w:szCs w:val="24"/>
          <w:highlight w:val="none"/>
        </w:rPr>
        <w:t>签订本合同前已对现场及周边环境做实地考察，并已对</w:t>
      </w:r>
      <w:r>
        <w:rPr>
          <w:rFonts w:hint="eastAsia" w:ascii="仿宋" w:hAnsi="仿宋" w:eastAsia="仿宋" w:cs="仿宋"/>
          <w:b/>
          <w:bCs/>
          <w:color w:val="auto"/>
          <w:spacing w:val="0"/>
          <w:sz w:val="24"/>
          <w:szCs w:val="24"/>
          <w:highlight w:val="none"/>
          <w:lang w:eastAsia="zh-CN"/>
        </w:rPr>
        <w:t>发包方</w:t>
      </w:r>
      <w:r>
        <w:rPr>
          <w:rFonts w:hint="eastAsia" w:ascii="仿宋" w:hAnsi="仿宋" w:eastAsia="仿宋" w:cs="仿宋"/>
          <w:b/>
          <w:bCs/>
          <w:color w:val="auto"/>
          <w:spacing w:val="0"/>
          <w:sz w:val="24"/>
          <w:szCs w:val="24"/>
          <w:highlight w:val="none"/>
        </w:rPr>
        <w:t xml:space="preserve">提供的全部基础资料做了全面深入的了解。在深入考察现场、了解项目特色的基础上，双方进行沟通与交流。 </w:t>
      </w:r>
    </w:p>
    <w:p w14:paraId="5648E9CF">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15" w:name="_Toc27110"/>
      <w:r>
        <w:rPr>
          <w:rFonts w:hint="eastAsia" w:ascii="仿宋" w:hAnsi="仿宋" w:eastAsia="仿宋" w:cs="仿宋"/>
          <w:b/>
          <w:bCs/>
          <w:color w:val="auto"/>
          <w:spacing w:val="0"/>
          <w:sz w:val="24"/>
          <w:szCs w:val="24"/>
          <w:highlight w:val="none"/>
        </w:rPr>
        <w:t>合同文件的优先次序</w:t>
      </w:r>
      <w:bookmarkEnd w:id="115"/>
    </w:p>
    <w:p w14:paraId="45A067B2">
      <w:pPr>
        <w:pageBreakBefore w:val="0"/>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构成本合同的文件可视为是能互相说明的，如果合同文件存在歧义或不一致，则根据如下优先次序来判断：</w:t>
      </w:r>
    </w:p>
    <w:p w14:paraId="07D8479F">
      <w:pPr>
        <w:pageBreakBefore w:val="0"/>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1.合同履行过程中签订的补充协议、会议纪要等书面文件</w:t>
      </w:r>
    </w:p>
    <w:p w14:paraId="615221B8">
      <w:pPr>
        <w:pageBreakBefore w:val="0"/>
        <w:kinsoku/>
        <w:overflowPunct/>
        <w:topLinePunct w:val="0"/>
        <w:bidi w:val="0"/>
        <w:snapToGrid w:val="0"/>
        <w:spacing w:line="360" w:lineRule="auto"/>
        <w:ind w:left="400" w:firstLine="120" w:firstLineChars="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2.合同书</w:t>
      </w:r>
    </w:p>
    <w:p w14:paraId="1A006850">
      <w:pPr>
        <w:pageBreakBefore w:val="0"/>
        <w:kinsoku/>
        <w:overflowPunct/>
        <w:topLinePunct w:val="0"/>
        <w:bidi w:val="0"/>
        <w:snapToGrid w:val="0"/>
        <w:spacing w:line="360" w:lineRule="auto"/>
        <w:ind w:left="400" w:firstLine="120" w:firstLineChars="5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要求及《</w:t>
      </w:r>
      <w:r>
        <w:rPr>
          <w:rFonts w:hint="eastAsia" w:ascii="仿宋" w:hAnsi="仿宋" w:eastAsia="仿宋" w:cs="仿宋"/>
          <w:color w:val="auto"/>
          <w:spacing w:val="0"/>
          <w:sz w:val="24"/>
          <w:szCs w:val="24"/>
          <w:highlight w:val="none"/>
          <w:lang w:eastAsia="zh-CN"/>
        </w:rPr>
        <w:t>天河区金融城东区AT091415地块</w:t>
      </w:r>
      <w:r>
        <w:rPr>
          <w:rFonts w:hint="eastAsia" w:ascii="仿宋" w:hAnsi="仿宋" w:eastAsia="仿宋" w:cs="仿宋"/>
          <w:color w:val="auto"/>
          <w:spacing w:val="0"/>
          <w:sz w:val="24"/>
          <w:szCs w:val="24"/>
          <w:highlight w:val="none"/>
        </w:rPr>
        <w:t>项目基坑支护和土方开挖设计任务书》（合同“附件1”）</w:t>
      </w:r>
    </w:p>
    <w:p w14:paraId="678DF7A5">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16" w:name="_Toc6597"/>
      <w:r>
        <w:rPr>
          <w:rFonts w:hint="eastAsia" w:ascii="仿宋" w:hAnsi="仿宋" w:eastAsia="仿宋" w:cs="仿宋"/>
          <w:b/>
          <w:bCs/>
          <w:color w:val="auto"/>
          <w:spacing w:val="0"/>
          <w:sz w:val="24"/>
          <w:szCs w:val="24"/>
          <w:highlight w:val="none"/>
        </w:rPr>
        <w:t>设计范围、设计内容及承包方式</w:t>
      </w:r>
      <w:bookmarkEnd w:id="116"/>
    </w:p>
    <w:p w14:paraId="46184A49">
      <w:pPr>
        <w:pageBreakBefore w:val="0"/>
        <w:numPr>
          <w:ilvl w:val="0"/>
          <w:numId w:val="9"/>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设计范围：</w:t>
      </w:r>
    </w:p>
    <w:p w14:paraId="18BA2995">
      <w:pPr>
        <w:pageBreakBefore w:val="0"/>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基坑支护工程：</w:t>
      </w:r>
      <w:r>
        <w:rPr>
          <w:rFonts w:hint="eastAsia" w:ascii="仿宋" w:hAnsi="仿宋" w:eastAsia="仿宋" w:cs="仿宋"/>
          <w:bCs/>
          <w:color w:val="auto"/>
          <w:spacing w:val="0"/>
          <w:sz w:val="24"/>
          <w:szCs w:val="24"/>
          <w:highlight w:val="none"/>
          <w:u w:val="single"/>
          <w:lang w:eastAsia="zh-CN"/>
        </w:rPr>
        <w:t>天河区金融城东区AT091415地块</w:t>
      </w:r>
      <w:r>
        <w:rPr>
          <w:rFonts w:hint="eastAsia" w:ascii="仿宋" w:hAnsi="仿宋" w:eastAsia="仿宋" w:cs="仿宋"/>
          <w:bCs/>
          <w:color w:val="auto"/>
          <w:spacing w:val="0"/>
          <w:sz w:val="24"/>
          <w:szCs w:val="24"/>
          <w:highlight w:val="none"/>
        </w:rPr>
        <w:t>，</w:t>
      </w:r>
      <w:r>
        <w:rPr>
          <w:rFonts w:hint="eastAsia" w:ascii="仿宋_GB2312" w:hAnsi="宋体" w:eastAsia="仿宋_GB2312"/>
          <w:sz w:val="24"/>
        </w:rPr>
        <w:t>本工程整体设置二层地下室，基坑整体开挖深度约</w:t>
      </w:r>
      <w:r>
        <w:rPr>
          <w:rFonts w:hint="eastAsia" w:ascii="仿宋_GB2312" w:hAnsi="宋体" w:eastAsia="仿宋_GB2312"/>
          <w:sz w:val="24"/>
          <w:u w:val="single"/>
        </w:rPr>
        <w:t>11.25</w:t>
      </w:r>
      <w:r>
        <w:rPr>
          <w:rFonts w:hint="eastAsia" w:ascii="仿宋_GB2312" w:hAnsi="宋体" w:eastAsia="仿宋_GB2312"/>
          <w:sz w:val="24"/>
        </w:rPr>
        <w:t>米。基坑支护面积约</w:t>
      </w:r>
      <w:r>
        <w:rPr>
          <w:rFonts w:hint="eastAsia" w:ascii="仿宋_GB2312" w:hAnsi="宋体" w:eastAsia="仿宋_GB2312"/>
          <w:sz w:val="24"/>
          <w:u w:val="single"/>
        </w:rPr>
        <w:t>2</w:t>
      </w:r>
      <w:r>
        <w:rPr>
          <w:rFonts w:ascii="仿宋_GB2312" w:hAnsi="宋体" w:eastAsia="仿宋_GB2312"/>
          <w:sz w:val="24"/>
          <w:u w:val="single"/>
        </w:rPr>
        <w:t>4000</w:t>
      </w:r>
      <w:r>
        <w:rPr>
          <w:rFonts w:hint="eastAsia" w:ascii="仿宋_GB2312" w:hAnsi="宋体" w:eastAsia="仿宋_GB2312"/>
          <w:sz w:val="24"/>
        </w:rPr>
        <w:t>平方米，基坑支护周长约</w:t>
      </w:r>
      <w:r>
        <w:rPr>
          <w:rFonts w:hint="eastAsia" w:ascii="仿宋_GB2312" w:hAnsi="宋体" w:eastAsia="仿宋_GB2312"/>
          <w:sz w:val="24"/>
          <w:u w:val="single"/>
        </w:rPr>
        <w:t>675</w:t>
      </w:r>
      <w:r>
        <w:rPr>
          <w:rFonts w:hint="eastAsia" w:ascii="仿宋_GB2312" w:hAnsi="宋体" w:eastAsia="仿宋_GB2312"/>
          <w:sz w:val="24"/>
        </w:rPr>
        <w:t>米</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pacing w:val="0"/>
          <w:sz w:val="24"/>
          <w:szCs w:val="24"/>
          <w:highlight w:val="none"/>
        </w:rPr>
        <w:t>实际基坑支护工程量以实际基坑支护设计图纸为准。</w:t>
      </w:r>
    </w:p>
    <w:p w14:paraId="2A9A2C95">
      <w:pPr>
        <w:pageBreakBefore w:val="0"/>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本合同的设计范围仅为项目基坑支护设计，土方开挖等不在设计范围之内。</w:t>
      </w:r>
    </w:p>
    <w:p w14:paraId="35DEA9A3">
      <w:pPr>
        <w:pageBreakBefore w:val="0"/>
        <w:numPr>
          <w:ilvl w:val="0"/>
          <w:numId w:val="9"/>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设计内容：【</w:t>
      </w:r>
      <w:r>
        <w:rPr>
          <w:rFonts w:hint="eastAsia" w:ascii="仿宋" w:hAnsi="仿宋" w:eastAsia="仿宋" w:cs="仿宋"/>
          <w:bCs/>
          <w:color w:val="auto"/>
          <w:spacing w:val="0"/>
          <w:sz w:val="24"/>
          <w:szCs w:val="24"/>
          <w:highlight w:val="none"/>
          <w:lang w:eastAsia="zh-CN"/>
        </w:rPr>
        <w:t>天河区金融城东区AT091415地块</w:t>
      </w:r>
      <w:r>
        <w:rPr>
          <w:rFonts w:hint="eastAsia" w:ascii="仿宋" w:hAnsi="仿宋" w:eastAsia="仿宋" w:cs="仿宋"/>
          <w:bCs/>
          <w:color w:val="auto"/>
          <w:spacing w:val="0"/>
          <w:sz w:val="24"/>
          <w:szCs w:val="24"/>
          <w:highlight w:val="none"/>
        </w:rPr>
        <w:t>基坑支护和土方开挖工程】项目基坑支护设计工作。本工程范围内基坑支护方案确定后，如需</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技术支持后补充支护设计，</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应积极配合。</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保留调整设计范围和内容的权利，</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对此无异议。</w:t>
      </w:r>
    </w:p>
    <w:p w14:paraId="1E853BDF">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17" w:name="_Toc12322"/>
      <w:r>
        <w:rPr>
          <w:rFonts w:hint="eastAsia" w:ascii="仿宋" w:hAnsi="仿宋" w:eastAsia="仿宋" w:cs="仿宋"/>
          <w:b/>
          <w:bCs/>
          <w:color w:val="auto"/>
          <w:spacing w:val="0"/>
          <w:sz w:val="24"/>
          <w:szCs w:val="24"/>
          <w:highlight w:val="none"/>
          <w:lang w:eastAsia="zh-CN"/>
        </w:rPr>
        <w:t>发包方</w:t>
      </w:r>
      <w:r>
        <w:rPr>
          <w:rFonts w:hint="eastAsia" w:ascii="仿宋" w:hAnsi="仿宋" w:eastAsia="仿宋" w:cs="仿宋"/>
          <w:b/>
          <w:bCs/>
          <w:color w:val="auto"/>
          <w:spacing w:val="0"/>
          <w:sz w:val="24"/>
          <w:szCs w:val="24"/>
          <w:highlight w:val="none"/>
        </w:rPr>
        <w:t>向</w:t>
      </w:r>
      <w:r>
        <w:rPr>
          <w:rFonts w:hint="eastAsia" w:ascii="仿宋" w:hAnsi="仿宋" w:eastAsia="仿宋" w:cs="仿宋"/>
          <w:b/>
          <w:bCs/>
          <w:color w:val="auto"/>
          <w:spacing w:val="0"/>
          <w:sz w:val="24"/>
          <w:szCs w:val="24"/>
          <w:highlight w:val="none"/>
          <w:lang w:eastAsia="zh-CN"/>
        </w:rPr>
        <w:t>承包方</w:t>
      </w:r>
      <w:r>
        <w:rPr>
          <w:rFonts w:hint="eastAsia" w:ascii="仿宋" w:hAnsi="仿宋" w:eastAsia="仿宋" w:cs="仿宋"/>
          <w:b/>
          <w:bCs/>
          <w:color w:val="auto"/>
          <w:spacing w:val="0"/>
          <w:sz w:val="24"/>
          <w:szCs w:val="24"/>
          <w:highlight w:val="none"/>
        </w:rPr>
        <w:t>提交的有关资料、文件及时间</w:t>
      </w:r>
      <w:bookmarkEnd w:id="117"/>
    </w:p>
    <w:p w14:paraId="4EB5A488">
      <w:pPr>
        <w:pStyle w:val="11"/>
        <w:pageBreakBefore w:val="0"/>
        <w:numPr>
          <w:ilvl w:val="255"/>
          <w:numId w:val="0"/>
        </w:numPr>
        <w:kinsoku/>
        <w:overflowPunct/>
        <w:topLinePunct w:val="0"/>
        <w:bidi w:val="0"/>
        <w:snapToGrid w:val="0"/>
        <w:spacing w:line="360" w:lineRule="auto"/>
        <w:ind w:firstLine="480" w:firstLineChars="200"/>
        <w:rPr>
          <w:rFonts w:hint="eastAsia" w:ascii="仿宋" w:hAnsi="仿宋" w:eastAsia="仿宋" w:cs="仿宋"/>
          <w:b/>
          <w:bCs/>
          <w:color w:val="auto"/>
          <w:spacing w:val="0"/>
          <w:sz w:val="24"/>
          <w:szCs w:val="24"/>
          <w:highlight w:val="none"/>
        </w:rPr>
      </w:pPr>
      <w:r>
        <w:rPr>
          <w:rFonts w:hint="eastAsia" w:ascii="仿宋" w:hAnsi="仿宋" w:eastAsia="仿宋" w:cs="仿宋"/>
          <w:color w:val="auto"/>
          <w:spacing w:val="0"/>
          <w:sz w:val="24"/>
          <w:szCs w:val="24"/>
          <w:highlight w:val="none"/>
        </w:rPr>
        <w:t>在图纸报送审图机关审核前，</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向</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提交以下有关资料、文件：</w:t>
      </w:r>
    </w:p>
    <w:tbl>
      <w:tblPr>
        <w:tblStyle w:val="19"/>
        <w:tblpPr w:leftFromText="180" w:rightFromText="180" w:vertAnchor="text" w:horzAnchor="page" w:tblpX="2081" w:tblpY="375"/>
        <w:tblOverlap w:val="never"/>
        <w:tblW w:w="7900" w:type="dxa"/>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45" w:type="dxa"/>
          <w:left w:w="45" w:type="dxa"/>
          <w:bottom w:w="45" w:type="dxa"/>
          <w:right w:w="45" w:type="dxa"/>
        </w:tblCellMar>
      </w:tblPr>
      <w:tblGrid>
        <w:gridCol w:w="784"/>
        <w:gridCol w:w="3266"/>
        <w:gridCol w:w="1300"/>
        <w:gridCol w:w="2550"/>
      </w:tblGrid>
      <w:tr w14:paraId="7350698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784" w:type="dxa"/>
            <w:tcBorders>
              <w:top w:val="outset" w:color="CCCCCC" w:sz="6" w:space="0"/>
              <w:left w:val="outset" w:color="CCCCCC" w:sz="6" w:space="0"/>
              <w:bottom w:val="outset" w:color="CCCCCC" w:sz="6" w:space="0"/>
              <w:right w:val="outset" w:color="CCCCCC" w:sz="6" w:space="0"/>
            </w:tcBorders>
            <w:vAlign w:val="center"/>
          </w:tcPr>
          <w:p w14:paraId="6804BCD8">
            <w:pPr>
              <w:pageBreakBefore w:val="0"/>
              <w:kinsoku/>
              <w:overflowPunct/>
              <w:topLinePunct w:val="0"/>
              <w:bidi w:val="0"/>
              <w:snapToGrid w:val="0"/>
              <w:spacing w:line="360" w:lineRule="auto"/>
              <w:ind w:left="0" w:lef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序号</w:t>
            </w:r>
          </w:p>
        </w:tc>
        <w:tc>
          <w:tcPr>
            <w:tcW w:w="3266" w:type="dxa"/>
            <w:tcBorders>
              <w:top w:val="outset" w:color="CCCCCC" w:sz="6" w:space="0"/>
              <w:left w:val="outset" w:color="CCCCCC" w:sz="6" w:space="0"/>
              <w:bottom w:val="outset" w:color="CCCCCC" w:sz="6" w:space="0"/>
              <w:right w:val="outset" w:color="CCCCCC" w:sz="6" w:space="0"/>
            </w:tcBorders>
            <w:vAlign w:val="center"/>
          </w:tcPr>
          <w:p w14:paraId="6375822D">
            <w:pPr>
              <w:pageBreakBefore w:val="0"/>
              <w:kinsoku/>
              <w:overflowPunct/>
              <w:topLinePunct w:val="0"/>
              <w:bidi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资料文件名称</w:t>
            </w:r>
          </w:p>
        </w:tc>
        <w:tc>
          <w:tcPr>
            <w:tcW w:w="1300" w:type="dxa"/>
            <w:tcBorders>
              <w:top w:val="outset" w:color="CCCCCC" w:sz="6" w:space="0"/>
              <w:left w:val="outset" w:color="CCCCCC" w:sz="6" w:space="0"/>
              <w:bottom w:val="outset" w:color="CCCCCC" w:sz="6" w:space="0"/>
              <w:right w:val="outset" w:color="CCCCCC" w:sz="6" w:space="0"/>
            </w:tcBorders>
            <w:vAlign w:val="center"/>
          </w:tcPr>
          <w:p w14:paraId="2F6C6DFA">
            <w:pPr>
              <w:pageBreakBefore w:val="0"/>
              <w:kinsoku/>
              <w:overflowPunct/>
              <w:topLinePunct w:val="0"/>
              <w:bidi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份数</w:t>
            </w:r>
          </w:p>
        </w:tc>
        <w:tc>
          <w:tcPr>
            <w:tcW w:w="2550" w:type="dxa"/>
            <w:tcBorders>
              <w:top w:val="outset" w:color="CCCCCC" w:sz="6" w:space="0"/>
              <w:left w:val="outset" w:color="CCCCCC" w:sz="6" w:space="0"/>
              <w:bottom w:val="outset" w:color="CCCCCC" w:sz="6" w:space="0"/>
              <w:right w:val="outset" w:color="CCCCCC" w:sz="6" w:space="0"/>
            </w:tcBorders>
            <w:vAlign w:val="center"/>
          </w:tcPr>
          <w:p w14:paraId="5BC9AC5D">
            <w:pPr>
              <w:pageBreakBefore w:val="0"/>
              <w:kinsoku/>
              <w:overflowPunct/>
              <w:topLinePunct w:val="0"/>
              <w:bidi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设计成果提交形式</w:t>
            </w:r>
          </w:p>
        </w:tc>
      </w:tr>
      <w:tr w14:paraId="080F640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784" w:type="dxa"/>
            <w:tcBorders>
              <w:top w:val="outset" w:color="CCCCCC" w:sz="6" w:space="0"/>
              <w:left w:val="outset" w:color="CCCCCC" w:sz="6" w:space="0"/>
              <w:bottom w:val="outset" w:color="CCCCCC" w:sz="6" w:space="0"/>
              <w:right w:val="outset" w:color="CCCCCC" w:sz="6" w:space="0"/>
            </w:tcBorders>
            <w:vAlign w:val="center"/>
          </w:tcPr>
          <w:p w14:paraId="6B68931A">
            <w:pPr>
              <w:pageBreakBefore w:val="0"/>
              <w:kinsoku/>
              <w:overflowPunct/>
              <w:topLinePunct w:val="0"/>
              <w:bidi w:val="0"/>
              <w:snapToGrid w:val="0"/>
              <w:spacing w:line="360" w:lineRule="auto"/>
              <w:ind w:left="0" w:lef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w:t>
            </w:r>
          </w:p>
        </w:tc>
        <w:tc>
          <w:tcPr>
            <w:tcW w:w="3266" w:type="dxa"/>
            <w:tcBorders>
              <w:top w:val="outset" w:color="CCCCCC" w:sz="6" w:space="0"/>
              <w:left w:val="outset" w:color="CCCCCC" w:sz="6" w:space="0"/>
              <w:bottom w:val="outset" w:color="CCCCCC" w:sz="6" w:space="0"/>
              <w:right w:val="outset" w:color="CCCCCC" w:sz="6" w:space="0"/>
            </w:tcBorders>
            <w:vAlign w:val="center"/>
          </w:tcPr>
          <w:p w14:paraId="5B2B69F8">
            <w:pPr>
              <w:pageBreakBefore w:val="0"/>
              <w:kinsoku/>
              <w:overflowPunct/>
              <w:topLinePunct w:val="0"/>
              <w:bidi w:val="0"/>
              <w:snapToGrid w:val="0"/>
              <w:spacing w:line="360" w:lineRule="auto"/>
              <w:jc w:val="center"/>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地质勘察物探成果报告</w:t>
            </w:r>
          </w:p>
        </w:tc>
        <w:tc>
          <w:tcPr>
            <w:tcW w:w="1300" w:type="dxa"/>
            <w:tcBorders>
              <w:top w:val="outset" w:color="CCCCCC" w:sz="6" w:space="0"/>
              <w:left w:val="outset" w:color="CCCCCC" w:sz="6" w:space="0"/>
              <w:bottom w:val="outset" w:color="CCCCCC" w:sz="6" w:space="0"/>
              <w:right w:val="outset" w:color="CCCCCC" w:sz="6" w:space="0"/>
            </w:tcBorders>
            <w:vAlign w:val="center"/>
          </w:tcPr>
          <w:p w14:paraId="46689632">
            <w:pPr>
              <w:pageBreakBefore w:val="0"/>
              <w:kinsoku/>
              <w:overflowPunct/>
              <w:topLinePunct w:val="0"/>
              <w:bidi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1</w:t>
            </w:r>
          </w:p>
        </w:tc>
        <w:tc>
          <w:tcPr>
            <w:tcW w:w="2550" w:type="dxa"/>
            <w:tcBorders>
              <w:top w:val="outset" w:color="CCCCCC" w:sz="6" w:space="0"/>
              <w:left w:val="outset" w:color="CCCCCC" w:sz="6" w:space="0"/>
              <w:bottom w:val="outset" w:color="CCCCCC" w:sz="6" w:space="0"/>
              <w:right w:val="outset" w:color="CCCCCC" w:sz="6" w:space="0"/>
            </w:tcBorders>
            <w:vAlign w:val="center"/>
          </w:tcPr>
          <w:p w14:paraId="37187C05">
            <w:pPr>
              <w:pageBreakBefore w:val="0"/>
              <w:kinsoku/>
              <w:overflowPunct/>
              <w:topLinePunct w:val="0"/>
              <w:bidi w:val="0"/>
              <w:snapToGrid w:val="0"/>
              <w:spacing w:line="36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w:t>
            </w:r>
          </w:p>
        </w:tc>
      </w:tr>
      <w:tr w14:paraId="214794B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784" w:type="dxa"/>
            <w:tcBorders>
              <w:top w:val="outset" w:color="CCCCCC" w:sz="6" w:space="0"/>
              <w:left w:val="outset" w:color="CCCCCC" w:sz="6" w:space="0"/>
              <w:bottom w:val="outset" w:color="CCCCCC" w:sz="6" w:space="0"/>
              <w:right w:val="outset" w:color="CCCCCC" w:sz="6" w:space="0"/>
            </w:tcBorders>
            <w:vAlign w:val="center"/>
          </w:tcPr>
          <w:p w14:paraId="2B8A2810">
            <w:pPr>
              <w:pageBreakBefore w:val="0"/>
              <w:kinsoku/>
              <w:overflowPunct/>
              <w:topLinePunct w:val="0"/>
              <w:bidi w:val="0"/>
              <w:snapToGrid w:val="0"/>
              <w:spacing w:line="360" w:lineRule="auto"/>
              <w:ind w:left="0" w:lef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w:t>
            </w:r>
          </w:p>
        </w:tc>
        <w:tc>
          <w:tcPr>
            <w:tcW w:w="3266" w:type="dxa"/>
            <w:tcBorders>
              <w:top w:val="outset" w:color="CCCCCC" w:sz="6" w:space="0"/>
              <w:left w:val="outset" w:color="CCCCCC" w:sz="6" w:space="0"/>
              <w:bottom w:val="outset" w:color="CCCCCC" w:sz="6" w:space="0"/>
              <w:right w:val="outset" w:color="CCCCCC" w:sz="6" w:space="0"/>
            </w:tcBorders>
            <w:vAlign w:val="center"/>
          </w:tcPr>
          <w:p w14:paraId="2D36673C">
            <w:pPr>
              <w:pageBreakBefore w:val="0"/>
              <w:kinsoku/>
              <w:overflowPunct/>
              <w:topLinePunct w:val="0"/>
              <w:bidi w:val="0"/>
              <w:snapToGrid w:val="0"/>
              <w:spacing w:line="360" w:lineRule="auto"/>
              <w:jc w:val="center"/>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工程勘察资料</w:t>
            </w:r>
          </w:p>
        </w:tc>
        <w:tc>
          <w:tcPr>
            <w:tcW w:w="1300" w:type="dxa"/>
            <w:tcBorders>
              <w:top w:val="outset" w:color="CCCCCC" w:sz="6" w:space="0"/>
              <w:left w:val="outset" w:color="CCCCCC" w:sz="6" w:space="0"/>
              <w:bottom w:val="outset" w:color="CCCCCC" w:sz="6" w:space="0"/>
              <w:right w:val="outset" w:color="CCCCCC" w:sz="6" w:space="0"/>
            </w:tcBorders>
            <w:vAlign w:val="center"/>
          </w:tcPr>
          <w:p w14:paraId="2DBB5256">
            <w:pPr>
              <w:pageBreakBefore w:val="0"/>
              <w:kinsoku/>
              <w:overflowPunct/>
              <w:topLinePunct w:val="0"/>
              <w:bidi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1</w:t>
            </w:r>
          </w:p>
        </w:tc>
        <w:tc>
          <w:tcPr>
            <w:tcW w:w="2550" w:type="dxa"/>
            <w:tcBorders>
              <w:top w:val="outset" w:color="CCCCCC" w:sz="6" w:space="0"/>
              <w:left w:val="outset" w:color="CCCCCC" w:sz="6" w:space="0"/>
              <w:bottom w:val="outset" w:color="CCCCCC" w:sz="6" w:space="0"/>
              <w:right w:val="outset" w:color="CCCCCC" w:sz="6" w:space="0"/>
            </w:tcBorders>
            <w:vAlign w:val="center"/>
          </w:tcPr>
          <w:p w14:paraId="1E1794D5">
            <w:pPr>
              <w:pageBreakBefore w:val="0"/>
              <w:kinsoku/>
              <w:overflowPunct/>
              <w:topLinePunct w:val="0"/>
              <w:bidi w:val="0"/>
              <w:snapToGrid w:val="0"/>
              <w:spacing w:line="36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w:t>
            </w:r>
          </w:p>
        </w:tc>
      </w:tr>
    </w:tbl>
    <w:p w14:paraId="3EA8265C">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18" w:name="_Toc4625"/>
      <w:r>
        <w:rPr>
          <w:rFonts w:hint="eastAsia" w:ascii="仿宋" w:hAnsi="仿宋" w:eastAsia="仿宋" w:cs="仿宋"/>
          <w:b/>
          <w:bCs/>
          <w:color w:val="auto"/>
          <w:spacing w:val="0"/>
          <w:sz w:val="24"/>
          <w:szCs w:val="24"/>
          <w:highlight w:val="none"/>
          <w:lang w:eastAsia="zh-CN"/>
        </w:rPr>
        <w:t>承包方</w:t>
      </w:r>
      <w:r>
        <w:rPr>
          <w:rFonts w:hint="eastAsia" w:ascii="仿宋" w:hAnsi="仿宋" w:eastAsia="仿宋" w:cs="仿宋"/>
          <w:b/>
          <w:bCs/>
          <w:color w:val="auto"/>
          <w:spacing w:val="0"/>
          <w:sz w:val="24"/>
          <w:szCs w:val="24"/>
          <w:highlight w:val="none"/>
        </w:rPr>
        <w:t>向</w:t>
      </w:r>
      <w:r>
        <w:rPr>
          <w:rFonts w:hint="eastAsia" w:ascii="仿宋" w:hAnsi="仿宋" w:eastAsia="仿宋" w:cs="仿宋"/>
          <w:b/>
          <w:bCs/>
          <w:color w:val="auto"/>
          <w:spacing w:val="0"/>
          <w:sz w:val="24"/>
          <w:szCs w:val="24"/>
          <w:highlight w:val="none"/>
          <w:lang w:eastAsia="zh-CN"/>
        </w:rPr>
        <w:t>发包方</w:t>
      </w:r>
      <w:r>
        <w:rPr>
          <w:rFonts w:hint="eastAsia" w:ascii="仿宋" w:hAnsi="仿宋" w:eastAsia="仿宋" w:cs="仿宋"/>
          <w:b/>
          <w:bCs/>
          <w:color w:val="auto"/>
          <w:spacing w:val="0"/>
          <w:sz w:val="24"/>
          <w:szCs w:val="24"/>
          <w:highlight w:val="none"/>
        </w:rPr>
        <w:t>交付的设计文件、份数及时间</w:t>
      </w:r>
      <w:bookmarkEnd w:id="118"/>
    </w:p>
    <w:p w14:paraId="38771360">
      <w:pPr>
        <w:pStyle w:val="11"/>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提交完第五条所列资料后8个日历天内，</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提交达到基坑支护工程设计技术审查要求的《基坑支护设计方案及计算书》一式八份（电子文档一份）；</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提交完第五条所列资料后</w:t>
      </w: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rPr>
        <w:t>5个日历天内，</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负责基坑支护设计方案及计算书通过专家评审，并提交《基坑支护施工图》一式十二份（电子文档一份）到</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w:t>
      </w:r>
    </w:p>
    <w:p w14:paraId="328023E7">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19" w:name="_Toc30819"/>
      <w:r>
        <w:rPr>
          <w:rFonts w:hint="eastAsia" w:ascii="仿宋" w:hAnsi="仿宋" w:eastAsia="仿宋" w:cs="仿宋"/>
          <w:b/>
          <w:bCs/>
          <w:color w:val="auto"/>
          <w:spacing w:val="0"/>
          <w:sz w:val="24"/>
          <w:szCs w:val="24"/>
          <w:highlight w:val="none"/>
        </w:rPr>
        <w:t>设计费用</w:t>
      </w:r>
      <w:bookmarkEnd w:id="119"/>
    </w:p>
    <w:p w14:paraId="239D46D0">
      <w:pPr>
        <w:pageBreakBefore w:val="0"/>
        <w:numPr>
          <w:ilvl w:val="255"/>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经双方商定，本工程的基坑支护工程设计合同暂定含税总价款为</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元（大写：人民币</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），不含增值税合同价合计</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元（大写：人民币</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），增值税实际金额以</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提供的增值税</w:t>
      </w:r>
      <w:r>
        <w:rPr>
          <w:rFonts w:hint="eastAsia" w:ascii="仿宋" w:hAnsi="仿宋" w:eastAsia="仿宋" w:cs="仿宋"/>
          <w:color w:val="auto"/>
          <w:spacing w:val="0"/>
          <w:sz w:val="24"/>
          <w:szCs w:val="24"/>
          <w:highlight w:val="none"/>
          <w:u w:val="single"/>
        </w:rPr>
        <w:t>专用</w:t>
      </w:r>
      <w:r>
        <w:rPr>
          <w:rFonts w:hint="eastAsia" w:ascii="仿宋" w:hAnsi="仿宋" w:eastAsia="仿宋" w:cs="仿宋"/>
          <w:color w:val="auto"/>
          <w:spacing w:val="0"/>
          <w:sz w:val="24"/>
          <w:szCs w:val="24"/>
          <w:highlight w:val="none"/>
        </w:rPr>
        <w:t>（专用/普通）发票记载（或换算）的增值税为准。本合同签订时，增值税税率为</w:t>
      </w:r>
      <w:r>
        <w:rPr>
          <w:rFonts w:hint="eastAsia" w:ascii="仿宋" w:hAnsi="仿宋" w:eastAsia="仿宋" w:cs="仿宋"/>
          <w:color w:val="auto"/>
          <w:spacing w:val="0"/>
          <w:sz w:val="24"/>
          <w:szCs w:val="24"/>
          <w:highlight w:val="none"/>
          <w:u w:val="single"/>
        </w:rPr>
        <w:t>6.0</w:t>
      </w:r>
      <w:r>
        <w:rPr>
          <w:rFonts w:hint="eastAsia" w:ascii="仿宋" w:hAnsi="仿宋" w:eastAsia="仿宋" w:cs="仿宋"/>
          <w:color w:val="auto"/>
          <w:spacing w:val="0"/>
          <w:sz w:val="24"/>
          <w:szCs w:val="24"/>
          <w:highlight w:val="none"/>
        </w:rPr>
        <w:t>%，本合同履行过程中，如遇国家税收法规政策变化导致增值税税率发生变化，则</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应按照新的税率向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出具增值税</w:t>
      </w:r>
      <w:r>
        <w:rPr>
          <w:rFonts w:hint="eastAsia" w:ascii="仿宋" w:hAnsi="仿宋" w:eastAsia="仿宋" w:cs="仿宋"/>
          <w:color w:val="auto"/>
          <w:spacing w:val="0"/>
          <w:sz w:val="24"/>
          <w:szCs w:val="24"/>
          <w:highlight w:val="none"/>
          <w:u w:val="single"/>
        </w:rPr>
        <w:t xml:space="preserve">  专用</w:t>
      </w:r>
      <w:r>
        <w:rPr>
          <w:rFonts w:hint="eastAsia" w:ascii="仿宋" w:hAnsi="仿宋" w:eastAsia="仿宋" w:cs="仿宋"/>
          <w:color w:val="auto"/>
          <w:spacing w:val="0"/>
          <w:sz w:val="24"/>
          <w:szCs w:val="24"/>
          <w:highlight w:val="none"/>
        </w:rPr>
        <w:t>（专用/普通）发票。</w:t>
      </w:r>
    </w:p>
    <w:p w14:paraId="78675FD6">
      <w:pPr>
        <w:pageBreakBefore w:val="0"/>
        <w:numPr>
          <w:ilvl w:val="255"/>
          <w:numId w:val="0"/>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以上设计费为基坑支护设计的暂定价，具体设计费以实际工程量结算为准。设计费包括但不限于设计费、设计图纸材料费、现场及技术服务费等为完成合同约定工作的所有费用，包括专家论证费用。</w:t>
      </w:r>
    </w:p>
    <w:p w14:paraId="60B1EF61">
      <w:pPr>
        <w:pageBreakBefore w:val="0"/>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以上合同价款不因所提供的条件的不同、市场价格、人工费、材料费、政府税费等的变动而调整，也不因不可预见的地质、地理、气候等自然条件和周围环境状况以及法律、法规、政策、工程进度等因素的影响而调整。</w:t>
      </w:r>
    </w:p>
    <w:p w14:paraId="20B98821">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20" w:name="_Toc28538"/>
      <w:r>
        <w:rPr>
          <w:rFonts w:hint="eastAsia" w:ascii="仿宋" w:hAnsi="仿宋" w:eastAsia="仿宋" w:cs="仿宋"/>
          <w:b/>
          <w:bCs/>
          <w:color w:val="auto"/>
          <w:spacing w:val="0"/>
          <w:sz w:val="24"/>
          <w:szCs w:val="24"/>
          <w:highlight w:val="none"/>
        </w:rPr>
        <w:t>支付方式</w:t>
      </w:r>
      <w:bookmarkEnd w:id="120"/>
    </w:p>
    <w:p w14:paraId="16D7867E">
      <w:pPr>
        <w:pStyle w:val="32"/>
        <w:pageBreakBefore w:val="0"/>
        <w:numPr>
          <w:ilvl w:val="0"/>
          <w:numId w:val="10"/>
        </w:numPr>
        <w:kinsoku/>
        <w:overflowPunct/>
        <w:topLinePunct w:val="0"/>
        <w:bidi w:val="0"/>
        <w:snapToGrid w:val="0"/>
        <w:spacing w:line="360" w:lineRule="auto"/>
        <w:ind w:left="480" w:leftChars="200" w:firstLineChars="0"/>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第一笔（定金）20%，合同签订之日起，</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按</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要求提供相应票据后15个工作日内支付。</w:t>
      </w:r>
    </w:p>
    <w:p w14:paraId="64DBD753">
      <w:pPr>
        <w:pStyle w:val="32"/>
        <w:pageBreakBefore w:val="0"/>
        <w:numPr>
          <w:ilvl w:val="0"/>
          <w:numId w:val="10"/>
        </w:numPr>
        <w:kinsoku/>
        <w:overflowPunct/>
        <w:topLinePunct w:val="0"/>
        <w:bidi w:val="0"/>
        <w:snapToGrid w:val="0"/>
        <w:spacing w:line="360" w:lineRule="auto"/>
        <w:ind w:left="480" w:leftChars="200" w:firstLineChars="0"/>
        <w:jc w:val="both"/>
        <w:rPr>
          <w:rFonts w:hint="eastAsia" w:ascii="仿宋" w:hAnsi="仿宋" w:eastAsia="仿宋" w:cs="仿宋"/>
          <w:color w:val="auto"/>
          <w:spacing w:val="0"/>
          <w:sz w:val="24"/>
          <w:szCs w:val="24"/>
          <w:highlight w:val="none"/>
        </w:rPr>
      </w:pPr>
      <w:r>
        <w:rPr>
          <w:rFonts w:hint="eastAsia" w:ascii="仿宋" w:hAnsi="仿宋" w:eastAsia="仿宋" w:cs="仿宋"/>
          <w:bCs/>
          <w:color w:val="auto"/>
          <w:spacing w:val="0"/>
          <w:sz w:val="24"/>
          <w:szCs w:val="24"/>
          <w:highlight w:val="none"/>
        </w:rPr>
        <w:t>第二笔</w:t>
      </w:r>
      <w:r>
        <w:rPr>
          <w:rFonts w:hint="eastAsia" w:ascii="仿宋" w:hAnsi="仿宋" w:eastAsia="仿宋" w:cs="仿宋"/>
          <w:color w:val="auto"/>
          <w:spacing w:val="0"/>
          <w:sz w:val="24"/>
          <w:szCs w:val="24"/>
          <w:highlight w:val="none"/>
        </w:rPr>
        <w:t>：合同额的</w:t>
      </w:r>
      <w:r>
        <w:rPr>
          <w:rFonts w:hint="eastAsia" w:ascii="仿宋" w:hAnsi="仿宋" w:eastAsia="仿宋" w:cs="仿宋"/>
          <w:bCs/>
          <w:color w:val="auto"/>
          <w:spacing w:val="0"/>
          <w:sz w:val="24"/>
          <w:szCs w:val="24"/>
          <w:highlight w:val="none"/>
        </w:rPr>
        <w:t>60%，</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提交全部设计成果且该成果已通过专家评审，并经</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书面确认全部设计成果后15个工作日内支付。</w:t>
      </w:r>
    </w:p>
    <w:p w14:paraId="1D962F3D">
      <w:pPr>
        <w:pStyle w:val="32"/>
        <w:pageBreakBefore w:val="0"/>
        <w:numPr>
          <w:ilvl w:val="0"/>
          <w:numId w:val="10"/>
        </w:numPr>
        <w:kinsoku/>
        <w:overflowPunct/>
        <w:topLinePunct w:val="0"/>
        <w:bidi w:val="0"/>
        <w:snapToGrid w:val="0"/>
        <w:spacing w:line="360" w:lineRule="auto"/>
        <w:ind w:left="480" w:leftChars="200" w:firstLineChars="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第三笔：合同额的</w:t>
      </w:r>
      <w:r>
        <w:rPr>
          <w:rFonts w:hint="eastAsia" w:ascii="仿宋" w:hAnsi="仿宋" w:eastAsia="仿宋" w:cs="仿宋"/>
          <w:bCs/>
          <w:color w:val="auto"/>
          <w:spacing w:val="0"/>
          <w:sz w:val="24"/>
          <w:szCs w:val="24"/>
          <w:highlight w:val="none"/>
        </w:rPr>
        <w:t>10%，</w:t>
      </w:r>
      <w:r>
        <w:rPr>
          <w:rFonts w:hint="eastAsia" w:ascii="仿宋" w:hAnsi="仿宋" w:eastAsia="仿宋" w:cs="仿宋"/>
          <w:color w:val="auto"/>
          <w:spacing w:val="0"/>
          <w:sz w:val="24"/>
          <w:szCs w:val="24"/>
          <w:highlight w:val="none"/>
        </w:rPr>
        <w:t>本项目工程开挖到基坑底，经</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验收合格、并双方确认设计费后15个工作日内</w:t>
      </w:r>
      <w:r>
        <w:rPr>
          <w:rFonts w:hint="eastAsia" w:ascii="仿宋" w:hAnsi="仿宋" w:eastAsia="仿宋" w:cs="仿宋"/>
          <w:bCs/>
          <w:color w:val="auto"/>
          <w:spacing w:val="0"/>
          <w:sz w:val="24"/>
          <w:szCs w:val="24"/>
          <w:highlight w:val="none"/>
        </w:rPr>
        <w:t>支付。</w:t>
      </w:r>
    </w:p>
    <w:p w14:paraId="0974111C">
      <w:pPr>
        <w:pStyle w:val="32"/>
        <w:pageBreakBefore w:val="0"/>
        <w:numPr>
          <w:ilvl w:val="0"/>
          <w:numId w:val="10"/>
        </w:numPr>
        <w:kinsoku/>
        <w:overflowPunct/>
        <w:topLinePunct w:val="0"/>
        <w:bidi w:val="0"/>
        <w:snapToGrid w:val="0"/>
        <w:spacing w:line="360" w:lineRule="auto"/>
        <w:ind w:left="480" w:leftChars="200" w:firstLineChars="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第四笔：合同额的1</w:t>
      </w:r>
      <w:r>
        <w:rPr>
          <w:rFonts w:hint="eastAsia" w:ascii="仿宋" w:hAnsi="仿宋" w:eastAsia="仿宋" w:cs="仿宋"/>
          <w:bCs/>
          <w:color w:val="auto"/>
          <w:spacing w:val="0"/>
          <w:sz w:val="24"/>
          <w:szCs w:val="24"/>
          <w:highlight w:val="none"/>
        </w:rPr>
        <w:t>0%，</w:t>
      </w:r>
      <w:r>
        <w:rPr>
          <w:rFonts w:hint="eastAsia" w:ascii="仿宋" w:hAnsi="仿宋" w:eastAsia="仿宋" w:cs="仿宋"/>
          <w:color w:val="auto"/>
          <w:spacing w:val="0"/>
          <w:sz w:val="24"/>
          <w:szCs w:val="24"/>
          <w:highlight w:val="none"/>
        </w:rPr>
        <w:t>本项目工程完成到正负零，经</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验收合格、并双方确认设计费后15个工作日内</w:t>
      </w:r>
      <w:r>
        <w:rPr>
          <w:rFonts w:hint="eastAsia" w:ascii="仿宋" w:hAnsi="仿宋" w:eastAsia="仿宋" w:cs="仿宋"/>
          <w:bCs/>
          <w:color w:val="auto"/>
          <w:spacing w:val="0"/>
          <w:sz w:val="24"/>
          <w:szCs w:val="24"/>
          <w:highlight w:val="none"/>
        </w:rPr>
        <w:t>支付</w:t>
      </w:r>
      <w:r>
        <w:rPr>
          <w:rFonts w:hint="eastAsia" w:ascii="仿宋" w:hAnsi="仿宋" w:eastAsia="仿宋" w:cs="仿宋"/>
          <w:color w:val="auto"/>
          <w:spacing w:val="0"/>
          <w:sz w:val="24"/>
          <w:szCs w:val="24"/>
          <w:highlight w:val="none"/>
        </w:rPr>
        <w:t>。</w:t>
      </w:r>
    </w:p>
    <w:p w14:paraId="63C6B272">
      <w:pPr>
        <w:pageBreakBefore w:val="0"/>
        <w:numPr>
          <w:ilvl w:val="255"/>
          <w:numId w:val="0"/>
        </w:numPr>
        <w:kinsoku/>
        <w:overflowPunct/>
        <w:topLinePunct w:val="0"/>
        <w:bidi w:val="0"/>
        <w:snapToGrid w:val="0"/>
        <w:spacing w:line="360" w:lineRule="auto"/>
        <w:ind w:left="0" w:leftChars="0"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因本合同及其履行产生的违约金、赔偿金、扣款、罚款等，</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有权直接从各期应支付给</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的设计费中扣除。</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不得就以上违约金或赔偿的同一事项对</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进行重复处罚或索取赔偿。</w:t>
      </w:r>
    </w:p>
    <w:p w14:paraId="06EE26A1">
      <w:pPr>
        <w:pageBreakBefore w:val="0"/>
        <w:numPr>
          <w:ilvl w:val="255"/>
          <w:numId w:val="0"/>
        </w:numPr>
        <w:kinsoku/>
        <w:overflowPunct/>
        <w:topLinePunct w:val="0"/>
        <w:bidi w:val="0"/>
        <w:snapToGrid w:val="0"/>
        <w:spacing w:line="360" w:lineRule="auto"/>
        <w:ind w:left="0" w:leftChars="0"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6、如涉及退款或变更等事宜，双方均有义务配合做好已完税合同的相关发票处理事宜。</w:t>
      </w:r>
    </w:p>
    <w:p w14:paraId="706FD6BE">
      <w:pPr>
        <w:pageBreakBefore w:val="0"/>
        <w:numPr>
          <w:ilvl w:val="255"/>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7、</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收款账户为：</w:t>
      </w:r>
    </w:p>
    <w:p w14:paraId="0229B784">
      <w:pPr>
        <w:pageBreakBefore w:val="0"/>
        <w:kinsoku/>
        <w:overflowPunct/>
        <w:topLinePunct w:val="0"/>
        <w:bidi w:val="0"/>
        <w:snapToGrid w:val="0"/>
        <w:spacing w:line="360" w:lineRule="auto"/>
        <w:ind w:firstLine="480" w:firstLineChars="200"/>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纳税人识别号或统一社会信用代码：</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bCs/>
          <w:color w:val="auto"/>
          <w:spacing w:val="0"/>
          <w:sz w:val="24"/>
          <w:szCs w:val="24"/>
          <w:highlight w:val="none"/>
        </w:rPr>
        <w:t>；</w:t>
      </w:r>
    </w:p>
    <w:p w14:paraId="4E53A382">
      <w:pPr>
        <w:pageBreakBefore w:val="0"/>
        <w:kinsoku/>
        <w:overflowPunct/>
        <w:topLinePunct w:val="0"/>
        <w:bidi w:val="0"/>
        <w:snapToGrid w:val="0"/>
        <w:spacing w:line="360" w:lineRule="auto"/>
        <w:ind w:firstLine="480" w:firstLineChars="200"/>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开户银行：</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bCs/>
          <w:color w:val="auto"/>
          <w:spacing w:val="0"/>
          <w:sz w:val="24"/>
          <w:szCs w:val="24"/>
          <w:highlight w:val="none"/>
        </w:rPr>
        <w:t>；</w:t>
      </w:r>
    </w:p>
    <w:p w14:paraId="3B737871">
      <w:pPr>
        <w:pageBreakBefore w:val="0"/>
        <w:kinsoku/>
        <w:overflowPunct/>
        <w:topLinePunct w:val="0"/>
        <w:bidi w:val="0"/>
        <w:snapToGrid w:val="0"/>
        <w:spacing w:line="360" w:lineRule="auto"/>
        <w:ind w:firstLine="480" w:firstLineChars="200"/>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账户名称：</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bCs/>
          <w:color w:val="auto"/>
          <w:spacing w:val="0"/>
          <w:sz w:val="24"/>
          <w:szCs w:val="24"/>
          <w:highlight w:val="none"/>
        </w:rPr>
        <w:t>；</w:t>
      </w:r>
    </w:p>
    <w:p w14:paraId="1602A053">
      <w:pPr>
        <w:pageBreakBefore w:val="0"/>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bCs/>
          <w:color w:val="auto"/>
          <w:spacing w:val="0"/>
          <w:sz w:val="24"/>
          <w:szCs w:val="24"/>
          <w:highlight w:val="none"/>
        </w:rPr>
        <w:t>银行账号：</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bCs/>
          <w:color w:val="auto"/>
          <w:spacing w:val="0"/>
          <w:sz w:val="24"/>
          <w:szCs w:val="24"/>
          <w:highlight w:val="none"/>
        </w:rPr>
        <w:t>；</w:t>
      </w:r>
    </w:p>
    <w:p w14:paraId="645667B5">
      <w:pPr>
        <w:pageBreakBefore w:val="0"/>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应保证上述账户信息准确无误，如有任何变更的，应至少提前10个工作日以书面形式并保证有效通知到</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；否则，因为账户信息有误、变更而未及时有效通知或由于</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原因（包括但不限于账号被注销、被有权机关采取保全措施等）导致其无法收取款项的，由此造成的一切损失、风险及法律责任，均由</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独自承担。</w:t>
      </w:r>
    </w:p>
    <w:p w14:paraId="0552EC6D">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21" w:name="_Toc24767"/>
      <w:r>
        <w:rPr>
          <w:rFonts w:hint="eastAsia" w:ascii="仿宋" w:hAnsi="仿宋" w:eastAsia="仿宋" w:cs="仿宋"/>
          <w:b/>
          <w:bCs/>
          <w:color w:val="auto"/>
          <w:spacing w:val="0"/>
          <w:sz w:val="24"/>
          <w:szCs w:val="24"/>
          <w:highlight w:val="none"/>
        </w:rPr>
        <w:t>双方权利义务</w:t>
      </w:r>
      <w:bookmarkEnd w:id="121"/>
    </w:p>
    <w:p w14:paraId="003B74FC">
      <w:pPr>
        <w:pageBreakBefore w:val="0"/>
        <w:numPr>
          <w:ilvl w:val="0"/>
          <w:numId w:val="11"/>
        </w:numPr>
        <w:kinsoku/>
        <w:overflowPunct/>
        <w:topLinePunct w:val="0"/>
        <w:bidi w:val="0"/>
        <w:snapToGrid w:val="0"/>
        <w:spacing w:line="360" w:lineRule="auto"/>
        <w:ind w:left="0" w:leftChars="0" w:firstLine="480" w:firstLineChars="200"/>
        <w:outlineLvl w:val="1"/>
        <w:rPr>
          <w:rFonts w:hint="eastAsia" w:ascii="仿宋" w:hAnsi="仿宋" w:eastAsia="仿宋" w:cs="仿宋"/>
          <w:color w:val="auto"/>
          <w:spacing w:val="0"/>
          <w:sz w:val="24"/>
          <w:szCs w:val="24"/>
          <w:highlight w:val="none"/>
        </w:rPr>
      </w:pPr>
      <w:bookmarkStart w:id="122" w:name="_Toc19272"/>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权利义务</w:t>
      </w:r>
      <w:bookmarkEnd w:id="122"/>
    </w:p>
    <w:p w14:paraId="6BAB95B1">
      <w:pPr>
        <w:pageBreakBefore w:val="0"/>
        <w:numPr>
          <w:ilvl w:val="0"/>
          <w:numId w:val="0"/>
        </w:numPr>
        <w:kinsoku/>
        <w:overflowPunct/>
        <w:topLinePunct w:val="0"/>
        <w:bidi w:val="0"/>
        <w:snapToGrid w:val="0"/>
        <w:spacing w:line="360" w:lineRule="auto"/>
        <w:ind w:left="0"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按本合同第五条规定的内容，在规定的时间内向</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提交基础资料及文件，并对其完整性、正确性及时限负责。</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不得要求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违反国家有关标准进行设计。</w:t>
      </w:r>
    </w:p>
    <w:p w14:paraId="2784826D">
      <w:pPr>
        <w:pageBreakBefore w:val="0"/>
        <w:numPr>
          <w:ilvl w:val="0"/>
          <w:numId w:val="0"/>
        </w:numPr>
        <w:kinsoku/>
        <w:overflowPunct/>
        <w:topLinePunct w:val="0"/>
        <w:bidi w:val="0"/>
        <w:snapToGrid w:val="0"/>
        <w:spacing w:line="360" w:lineRule="auto"/>
        <w:ind w:left="0"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比合同规定时间提前交付设计文件时，由双方协商决定。</w:t>
      </w:r>
    </w:p>
    <w:p w14:paraId="07AA39F2">
      <w:pPr>
        <w:pageBreakBefore w:val="0"/>
        <w:numPr>
          <w:ilvl w:val="0"/>
          <w:numId w:val="0"/>
        </w:numPr>
        <w:kinsoku/>
        <w:overflowPunct/>
        <w:topLinePunct w:val="0"/>
        <w:bidi w:val="0"/>
        <w:snapToGrid w:val="0"/>
        <w:spacing w:line="360" w:lineRule="auto"/>
        <w:ind w:left="0"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（3）在本合同履行期间，当政府主管部门的要求或</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因项目发展需要停止或暂停设计时，</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有权停止本合同。当</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提出终止合同后30个工作日内，双方按实际完成的设计阶段及</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书面确认的</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已提交的设计成果结算设计费用。</w:t>
      </w:r>
    </w:p>
    <w:p w14:paraId="481CA95A">
      <w:pPr>
        <w:pageBreakBefore w:val="0"/>
        <w:numPr>
          <w:ilvl w:val="0"/>
          <w:numId w:val="0"/>
        </w:numPr>
        <w:kinsoku/>
        <w:overflowPunct/>
        <w:topLinePunct w:val="0"/>
        <w:bidi w:val="0"/>
        <w:snapToGrid w:val="0"/>
        <w:spacing w:line="360" w:lineRule="auto"/>
        <w:ind w:left="0"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有权发出设计暂停或恢复指示，但应不损害任何</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根据本合同所享有的权利。如</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指示设计暂停，暂停期间不计入设计周期。如</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指示恢复任何服务，应给予工期顺延，但无需就因暂停和恢复服务而额外支付的费用进行补偿。</w:t>
      </w:r>
    </w:p>
    <w:p w14:paraId="02BDD74B">
      <w:pPr>
        <w:pageBreakBefore w:val="0"/>
        <w:numPr>
          <w:ilvl w:val="0"/>
          <w:numId w:val="11"/>
        </w:numPr>
        <w:kinsoku/>
        <w:overflowPunct/>
        <w:topLinePunct w:val="0"/>
        <w:bidi w:val="0"/>
        <w:snapToGrid w:val="0"/>
        <w:spacing w:line="360" w:lineRule="auto"/>
        <w:ind w:left="0" w:leftChars="0" w:firstLine="480" w:firstLineChars="200"/>
        <w:outlineLvl w:val="1"/>
        <w:rPr>
          <w:rFonts w:hint="eastAsia" w:ascii="仿宋" w:hAnsi="仿宋" w:eastAsia="仿宋" w:cs="仿宋"/>
          <w:color w:val="auto"/>
          <w:spacing w:val="0"/>
          <w:sz w:val="24"/>
          <w:szCs w:val="24"/>
          <w:highlight w:val="none"/>
        </w:rPr>
      </w:pPr>
      <w:bookmarkStart w:id="123" w:name="_Toc19155"/>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权利义务</w:t>
      </w:r>
      <w:bookmarkEnd w:id="123"/>
    </w:p>
    <w:p w14:paraId="4F968F69">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应按国家规定、合同约定的技术规范、设计任务书进行设计，按本合同第六条规定的内容、时间及份数向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交付设计文件（出现本合同约定有关交付设计文件顺延的情况除外），并对提交的设计文件的质量负责。</w:t>
      </w:r>
    </w:p>
    <w:p w14:paraId="7B2EA0CC">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基坑支护工程设计合理使用年限为</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1</w:t>
      </w:r>
      <w:r>
        <w:rPr>
          <w:rFonts w:hint="eastAsia" w:ascii="仿宋" w:hAnsi="仿宋" w:eastAsia="仿宋" w:cs="仿宋"/>
          <w:color w:val="auto"/>
          <w:spacing w:val="0"/>
          <w:sz w:val="24"/>
          <w:szCs w:val="24"/>
          <w:highlight w:val="none"/>
        </w:rPr>
        <w:t>年。</w:t>
      </w:r>
    </w:p>
    <w:p w14:paraId="0357398B">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交付设计成果后，协助</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将设计文件送审，并参加有关政府部门的设计审查，且根据审查结论负责对不超出本合同设计范围的内容进行调整补充，确保通过审查、取得审查合格证，凡未审核通过的，</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需在接到审核未通过的通知后立即进行免费修改，并在</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确定的时间内提交，如未在规定时间内提交，按照延误提交设计成果承担违约责任。超过三次（不含三次）修改仍不符合合同约定及</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要求的，</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有权解除合同。</w:t>
      </w:r>
    </w:p>
    <w:p w14:paraId="71F2BC26">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按合同规定时限交付设计成果后三个日历天内负责向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及施工单位进行设计交底、处理有关设计问题和参加竣工验收。</w:t>
      </w:r>
    </w:p>
    <w:p w14:paraId="43C42158">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5</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应在设计前自行组织对项目现场及周围环境进行踏勘，以便获取设计所需的相关资料，踏勘现场所发生的费用和由此产生的风险由</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自行承担。</w:t>
      </w:r>
    </w:p>
    <w:p w14:paraId="14AA9FD6">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6</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在设计方案期间，</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保证项目总监或总设计师至少3次、其他设计师至少3次到</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指定地点沟通设计方案及汇报。在施工阶段，</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保证其项目基坑专业负责人</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至少</w:t>
      </w:r>
      <w:r>
        <w:rPr>
          <w:rFonts w:hint="eastAsia" w:ascii="仿宋" w:hAnsi="仿宋" w:eastAsia="仿宋" w:cs="仿宋"/>
          <w:color w:val="auto"/>
          <w:spacing w:val="0"/>
          <w:sz w:val="24"/>
          <w:szCs w:val="24"/>
          <w:highlight w:val="none"/>
          <w:u w:val="single"/>
        </w:rPr>
        <w:t>5</w:t>
      </w:r>
      <w:r>
        <w:rPr>
          <w:rFonts w:hint="eastAsia" w:ascii="仿宋" w:hAnsi="仿宋" w:eastAsia="仿宋" w:cs="仿宋"/>
          <w:color w:val="auto"/>
          <w:spacing w:val="0"/>
          <w:sz w:val="24"/>
          <w:szCs w:val="24"/>
          <w:highlight w:val="none"/>
        </w:rPr>
        <w:t>次到</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指定地点沟通，包括施工图交底、图纸会审、解决现场问题及各阶段验收等工作，其中项目总监或总设计师至少参与3次。</w:t>
      </w:r>
    </w:p>
    <w:p w14:paraId="3A73DF91">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7</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每次派员参加设计汇报和现场服务时，同时满足以下条件才视为“一次”：①经双方确认的设计人员同时到场；②</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工作成果得到</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认可。</w:t>
      </w:r>
    </w:p>
    <w:p w14:paraId="21B37851">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8</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履约代表：</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委派</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为</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授权代表。授权代表代表</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在《设计成果签收单》上签字，并办理验收等事宜。</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委派</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为</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授权代表，负责</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合同履行的工作。如授权代表有变动时，甲乙双方均须以书面形式在变更后三个工作日通知对方，未及时通知对方的则按照原授权资料发送相关文件的，视为有效。</w:t>
      </w:r>
    </w:p>
    <w:p w14:paraId="6B98DBE0">
      <w:pPr>
        <w:pageBreakBefore w:val="0"/>
        <w:numPr>
          <w:ilvl w:val="0"/>
          <w:numId w:val="0"/>
        </w:numPr>
        <w:kinsoku/>
        <w:overflowPunct/>
        <w:topLinePunct w:val="0"/>
        <w:bidi w:val="0"/>
        <w:snapToGrid w:val="0"/>
        <w:spacing w:line="360" w:lineRule="auto"/>
        <w:ind w:left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9</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有义务协助</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保证施工能自始至终按设计成果进行。</w:t>
      </w:r>
    </w:p>
    <w:p w14:paraId="370F096C">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10</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将不能对已批准之设计擅自作任何增减或修改；必须修改时，</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应获得</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书面确认。</w:t>
      </w:r>
    </w:p>
    <w:p w14:paraId="277FB952">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11</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随需要到施工现场提供技术服务或解决有关问题，</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人员须在</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提出后6小时内赶到现场，因此发生的交通费等一切</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费用</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不再另行支付。</w:t>
      </w:r>
    </w:p>
    <w:p w14:paraId="36217E44">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12</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随需要对问题进行分析及解答，</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须在</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提出后24小时内予以答复，并同时提供计算书、规范依据性条文、分析论证过程等文件给</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存档。</w:t>
      </w:r>
    </w:p>
    <w:p w14:paraId="2C1B4EF1">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13</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为本合同项目的服务至±0.00以下工程完工、且地下室回填完成为止。</w:t>
      </w:r>
    </w:p>
    <w:p w14:paraId="63745474">
      <w:pPr>
        <w:pageBreakBefore w:val="0"/>
        <w:numPr>
          <w:ilvl w:val="0"/>
          <w:numId w:val="0"/>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14</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本工程项目中，</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不得指定建筑材料、设备的生产厂或供货商。</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需要</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配合建筑材料、设备的加工订货时，所需费用由</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承担。</w:t>
      </w:r>
    </w:p>
    <w:p w14:paraId="0083647D">
      <w:pPr>
        <w:pageBreakBefore w:val="0"/>
        <w:numPr>
          <w:ilvl w:val="0"/>
          <w:numId w:val="11"/>
        </w:numPr>
        <w:kinsoku/>
        <w:overflowPunct/>
        <w:topLinePunct w:val="0"/>
        <w:bidi w:val="0"/>
        <w:snapToGrid w:val="0"/>
        <w:spacing w:line="360" w:lineRule="auto"/>
        <w:ind w:left="0" w:leftChars="0" w:firstLine="480" w:firstLineChars="200"/>
        <w:outlineLvl w:val="1"/>
        <w:rPr>
          <w:rFonts w:hint="eastAsia" w:ascii="仿宋" w:hAnsi="仿宋" w:eastAsia="仿宋" w:cs="仿宋"/>
          <w:color w:val="auto"/>
          <w:spacing w:val="0"/>
          <w:sz w:val="24"/>
          <w:szCs w:val="24"/>
          <w:highlight w:val="none"/>
        </w:rPr>
      </w:pPr>
      <w:bookmarkStart w:id="124" w:name="_Toc24626"/>
      <w:r>
        <w:rPr>
          <w:rFonts w:hint="eastAsia" w:ascii="仿宋" w:hAnsi="仿宋" w:eastAsia="仿宋" w:cs="仿宋"/>
          <w:color w:val="auto"/>
          <w:spacing w:val="0"/>
          <w:sz w:val="24"/>
          <w:szCs w:val="24"/>
          <w:highlight w:val="none"/>
        </w:rPr>
        <w:t>设计赔偿</w:t>
      </w:r>
      <w:bookmarkEnd w:id="124"/>
    </w:p>
    <w:p w14:paraId="777CE696">
      <w:pPr>
        <w:pageBreakBefore w:val="0"/>
        <w:numPr>
          <w:ilvl w:val="0"/>
          <w:numId w:val="12"/>
        </w:numPr>
        <w:kinsoku/>
        <w:overflowPunct/>
        <w:topLinePunct w:val="0"/>
        <w:bidi w:val="0"/>
        <w:snapToGrid w:val="0"/>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对设计文件的准确性和合理性负责，且应对设计文件出现的遗漏、错误、失误负责修改补充，如因</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重大设计错误(注：重大设计错误是指</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在各分项合同设计疏漏、错误导致发包人额外增加工程造价超过各分项工程总造价</w:t>
      </w:r>
      <w:r>
        <w:rPr>
          <w:rFonts w:hint="eastAsia" w:ascii="仿宋" w:hAnsi="仿宋" w:eastAsia="仿宋" w:cs="仿宋"/>
          <w:color w:val="auto"/>
          <w:spacing w:val="0"/>
          <w:sz w:val="24"/>
          <w:szCs w:val="24"/>
          <w:highlight w:val="none"/>
          <w:u w:val="single"/>
        </w:rPr>
        <w:t>0.5</w:t>
      </w:r>
      <w:r>
        <w:rPr>
          <w:rFonts w:hint="eastAsia" w:ascii="仿宋" w:hAnsi="仿宋" w:eastAsia="仿宋" w:cs="仿宋"/>
          <w:color w:val="auto"/>
          <w:spacing w:val="0"/>
          <w:sz w:val="24"/>
          <w:szCs w:val="24"/>
          <w:highlight w:val="none"/>
        </w:rPr>
        <w:t>%以上的，或所设计的图纸未满足相关国家设计标准的或</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设计要求)造成工程质量事故损失或必须进行返工使</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蒙受损失，或因</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设计图纸不当(设计不当是指</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设计的图纸在满足相关国家设计标准的基础上未按</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提供的相关设计要求及标准进行设计)致使</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造成工程量或工程成本增加的，</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除负责及时采取补救措施外，还应免收损失部分的设计费，并赔偿</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全部损失并承担由此引起的一切后果，同时</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有权解除合同。但</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因此赔偿的金额累计不超过</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本合同已收设计费总额。</w:t>
      </w:r>
    </w:p>
    <w:p w14:paraId="728B8A0A">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25" w:name="_Toc12231"/>
      <w:r>
        <w:rPr>
          <w:rFonts w:hint="eastAsia" w:ascii="仿宋" w:hAnsi="仿宋" w:eastAsia="仿宋" w:cs="仿宋"/>
          <w:b/>
          <w:bCs/>
          <w:color w:val="auto"/>
          <w:spacing w:val="0"/>
          <w:sz w:val="24"/>
          <w:szCs w:val="24"/>
          <w:highlight w:val="none"/>
        </w:rPr>
        <w:t>变更及工程设计费的调整</w:t>
      </w:r>
      <w:bookmarkEnd w:id="125"/>
    </w:p>
    <w:p w14:paraId="4678E9D8">
      <w:pPr>
        <w:pStyle w:val="17"/>
        <w:pageBreakBefore w:val="0"/>
        <w:numPr>
          <w:ilvl w:val="0"/>
          <w:numId w:val="13"/>
        </w:numPr>
        <w:kinsoku/>
        <w:overflowPunct/>
        <w:topLinePunct w:val="0"/>
        <w:bidi w:val="0"/>
        <w:snapToGrid w:val="0"/>
        <w:spacing w:before="0" w:beforeAutospacing="0" w:after="0" w:afterAutospacing="0"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提供施工图后，若</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对工程内容与技术要求提出变更，</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接通知后于</w:t>
      </w:r>
      <w:r>
        <w:rPr>
          <w:rFonts w:hint="eastAsia" w:ascii="仿宋" w:hAnsi="仿宋" w:eastAsia="仿宋" w:cs="仿宋"/>
          <w:color w:val="auto"/>
          <w:spacing w:val="0"/>
          <w:sz w:val="24"/>
          <w:szCs w:val="24"/>
          <w:highlight w:val="none"/>
          <w:u w:val="single"/>
        </w:rPr>
        <w:t>_2 个日历</w:t>
      </w:r>
      <w:r>
        <w:rPr>
          <w:rFonts w:hint="eastAsia" w:ascii="仿宋" w:hAnsi="仿宋" w:eastAsia="仿宋" w:cs="仿宋"/>
          <w:color w:val="auto"/>
          <w:spacing w:val="0"/>
          <w:sz w:val="24"/>
          <w:szCs w:val="24"/>
          <w:highlight w:val="none"/>
        </w:rPr>
        <w:t>天内，提出变更方案的设计成果，</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收到该设计成果之日起</w:t>
      </w:r>
      <w:r>
        <w:rPr>
          <w:rFonts w:hint="eastAsia" w:ascii="仿宋" w:hAnsi="仿宋" w:eastAsia="仿宋" w:cs="仿宋"/>
          <w:color w:val="auto"/>
          <w:spacing w:val="0"/>
          <w:sz w:val="24"/>
          <w:szCs w:val="24"/>
          <w:highlight w:val="none"/>
          <w:u w:val="single"/>
        </w:rPr>
        <w:t>_5 个日历</w:t>
      </w:r>
      <w:r>
        <w:rPr>
          <w:rFonts w:hint="eastAsia" w:ascii="仿宋" w:hAnsi="仿宋" w:eastAsia="仿宋" w:cs="仿宋"/>
          <w:color w:val="auto"/>
          <w:spacing w:val="0"/>
          <w:sz w:val="24"/>
          <w:szCs w:val="24"/>
          <w:highlight w:val="none"/>
        </w:rPr>
        <w:t>天内予以审核、并回复审核意见。</w:t>
      </w:r>
    </w:p>
    <w:p w14:paraId="66F61D36">
      <w:pPr>
        <w:pStyle w:val="17"/>
        <w:pageBreakBefore w:val="0"/>
        <w:numPr>
          <w:ilvl w:val="0"/>
          <w:numId w:val="13"/>
        </w:numPr>
        <w:kinsoku/>
        <w:overflowPunct/>
        <w:topLinePunct w:val="0"/>
        <w:bidi w:val="0"/>
        <w:snapToGrid w:val="0"/>
        <w:spacing w:before="0" w:beforeAutospacing="0" w:after="0" w:afterAutospacing="0"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工程变更设计费按如下方法（或标准）进行调整：</w:t>
      </w:r>
      <w:r>
        <w:rPr>
          <w:rFonts w:hint="eastAsia" w:ascii="仿宋" w:hAnsi="仿宋" w:eastAsia="仿宋" w:cs="仿宋"/>
          <w:color w:val="auto"/>
          <w:spacing w:val="0"/>
          <w:sz w:val="24"/>
          <w:szCs w:val="24"/>
          <w:highlight w:val="none"/>
          <w:u w:val="single"/>
        </w:rPr>
        <w:t xml:space="preserve"> </w:t>
      </w:r>
    </w:p>
    <w:p w14:paraId="6284E78F">
      <w:pPr>
        <w:pageBreakBefore w:val="0"/>
        <w:numPr>
          <w:ilvl w:val="0"/>
          <w:numId w:val="14"/>
        </w:numPr>
        <w:kinsoku/>
        <w:overflowPunct/>
        <w:topLinePunct w:val="0"/>
        <w:bidi w:val="0"/>
        <w:snapToGrid w:val="0"/>
        <w:spacing w:line="360" w:lineRule="auto"/>
        <w:ind w:left="0"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若因</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变更委托设计工程、规模、条件或提交的资料错误，或所提交资料作较大修改（修改幅度超过10%），以致造成</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设计需重大返工时，双方友好协商，</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按</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所耗工作量给，按工程量占比确定设计修改费，并对</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的设计工期做相应顺延。</w:t>
      </w:r>
    </w:p>
    <w:p w14:paraId="11F3BCC7">
      <w:pPr>
        <w:pageBreakBefore w:val="0"/>
        <w:numPr>
          <w:ilvl w:val="0"/>
          <w:numId w:val="14"/>
        </w:numPr>
        <w:kinsoku/>
        <w:overflowPunct/>
        <w:topLinePunct w:val="0"/>
        <w:bidi w:val="0"/>
        <w:snapToGrid w:val="0"/>
        <w:spacing w:line="360" w:lineRule="auto"/>
        <w:ind w:left="0"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如</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因营销原因发生颠覆性修改，要求减少或新增本合同约定的设计内容和范围，则甲乙双方将就前述减少或新增的设计内容和范围另行协商增减设计费金额，并另行签订补充协议。</w:t>
      </w:r>
    </w:p>
    <w:p w14:paraId="15D2FEC7">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26" w:name="_Toc28383"/>
      <w:r>
        <w:rPr>
          <w:rFonts w:hint="eastAsia" w:ascii="仿宋" w:hAnsi="仿宋" w:eastAsia="仿宋" w:cs="仿宋"/>
          <w:b/>
          <w:bCs/>
          <w:color w:val="auto"/>
          <w:spacing w:val="0"/>
          <w:sz w:val="24"/>
          <w:szCs w:val="24"/>
          <w:highlight w:val="none"/>
        </w:rPr>
        <w:t>知识产权与保密条款</w:t>
      </w:r>
      <w:bookmarkEnd w:id="126"/>
    </w:p>
    <w:p w14:paraId="42D87A3B">
      <w:pPr>
        <w:pageBreakBefore w:val="0"/>
        <w:numPr>
          <w:ilvl w:val="0"/>
          <w:numId w:val="15"/>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在足额支付本合同设计费后拥有本合同中各阶段性设计成果和最终设计成果的知识产权，</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拥有本项目设计的署名权。</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不得以任何方式将本项目资料的全部或部分复制、传播、转让或以其他方式泄露给其他单位或个人，未经</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书面同意，</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不得将本项目设计成果或类似设计产品使用于其他项目，</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委托</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对本项目所作的整个设计成果及各项资料（包括但不限于平面、立面等）在</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项目未竣工前，</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不得在任何地方或媒体展示，如</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已进行了公开展示，</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在征得</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书面同意后方可进行宣传展示。</w:t>
      </w:r>
    </w:p>
    <w:p w14:paraId="0886BF31">
      <w:pPr>
        <w:pageBreakBefore w:val="0"/>
        <w:numPr>
          <w:ilvl w:val="0"/>
          <w:numId w:val="15"/>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对于</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提供给</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的关于建筑产品标准化设计、建筑主体设计元素、自行研发定制的产品等设计图纸和内容，</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享有知识产权，不因是否经</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认可或付款等任何原因而影响</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拥有的权利，</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必须履行保密及保护</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知识产权责任。</w:t>
      </w:r>
    </w:p>
    <w:p w14:paraId="0FCF6E06">
      <w:pPr>
        <w:pageBreakBefore w:val="0"/>
        <w:numPr>
          <w:ilvl w:val="0"/>
          <w:numId w:val="15"/>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color w:val="auto"/>
          <w:spacing w:val="0"/>
          <w:kern w:val="2"/>
          <w:sz w:val="24"/>
          <w:szCs w:val="24"/>
          <w:highlight w:val="none"/>
        </w:rPr>
        <w:t>未经</w:t>
      </w:r>
      <w:r>
        <w:rPr>
          <w:rFonts w:hint="eastAsia" w:ascii="仿宋" w:hAnsi="仿宋" w:eastAsia="仿宋" w:cs="仿宋"/>
          <w:color w:val="auto"/>
          <w:spacing w:val="0"/>
          <w:kern w:val="2"/>
          <w:sz w:val="24"/>
          <w:szCs w:val="24"/>
          <w:highlight w:val="none"/>
          <w:lang w:eastAsia="zh-CN"/>
        </w:rPr>
        <w:t>发包方</w:t>
      </w:r>
      <w:r>
        <w:rPr>
          <w:rFonts w:hint="eastAsia" w:ascii="仿宋" w:hAnsi="仿宋" w:eastAsia="仿宋" w:cs="仿宋"/>
          <w:color w:val="auto"/>
          <w:spacing w:val="0"/>
          <w:kern w:val="2"/>
          <w:sz w:val="24"/>
          <w:szCs w:val="24"/>
          <w:highlight w:val="none"/>
        </w:rPr>
        <w:t>书面同意，</w:t>
      </w:r>
      <w:r>
        <w:rPr>
          <w:rFonts w:hint="eastAsia" w:ascii="仿宋" w:hAnsi="仿宋" w:eastAsia="仿宋" w:cs="仿宋"/>
          <w:color w:val="auto"/>
          <w:spacing w:val="0"/>
          <w:kern w:val="2"/>
          <w:sz w:val="24"/>
          <w:szCs w:val="24"/>
          <w:highlight w:val="none"/>
          <w:lang w:eastAsia="zh-CN"/>
        </w:rPr>
        <w:t>承包方</w:t>
      </w:r>
      <w:r>
        <w:rPr>
          <w:rFonts w:hint="eastAsia" w:ascii="仿宋" w:hAnsi="仿宋" w:eastAsia="仿宋" w:cs="仿宋"/>
          <w:color w:val="auto"/>
          <w:spacing w:val="0"/>
          <w:kern w:val="2"/>
          <w:sz w:val="24"/>
          <w:szCs w:val="24"/>
          <w:highlight w:val="none"/>
        </w:rPr>
        <w:t>均不得将保密信息向本合同以外的其他方提供、泄露，否则应承担由此产生的一切法律后果及损失。除为从事本合同约定之事项正常使用外，</w:t>
      </w:r>
      <w:r>
        <w:rPr>
          <w:rFonts w:hint="eastAsia" w:ascii="仿宋" w:hAnsi="仿宋" w:eastAsia="仿宋" w:cs="仿宋"/>
          <w:color w:val="auto"/>
          <w:spacing w:val="0"/>
          <w:kern w:val="2"/>
          <w:sz w:val="24"/>
          <w:szCs w:val="24"/>
          <w:highlight w:val="none"/>
          <w:lang w:eastAsia="zh-CN"/>
        </w:rPr>
        <w:t>承包方</w:t>
      </w:r>
      <w:r>
        <w:rPr>
          <w:rFonts w:hint="eastAsia" w:ascii="仿宋" w:hAnsi="仿宋" w:eastAsia="仿宋" w:cs="仿宋"/>
          <w:color w:val="auto"/>
          <w:spacing w:val="0"/>
          <w:kern w:val="2"/>
          <w:sz w:val="24"/>
          <w:szCs w:val="24"/>
          <w:highlight w:val="none"/>
        </w:rPr>
        <w:t>不得以任何形式为自己或他人的利益使用、利用本合同约定的保密信息。保密期限为自接受保密信息起永久保密，除非该保密信息已经被合法地成为公开信息。</w:t>
      </w:r>
    </w:p>
    <w:p w14:paraId="5447C5AC">
      <w:pPr>
        <w:pageBreakBefore w:val="0"/>
        <w:numPr>
          <w:ilvl w:val="0"/>
          <w:numId w:val="15"/>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本合同项下的“保密信息”涉及到的范围是：包括但不仅限于经</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认可并付款后的阶段性成果和最终设计成果、合同条文、计划、图纸或资料以及</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在本合同履行过程中所获得的</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商业秘密、技术信息、经营信息等（包括口头及书面）。为特别说明，本条款相关定义如下：</w:t>
      </w:r>
    </w:p>
    <w:p w14:paraId="298D1EB8">
      <w:pPr>
        <w:pageBreakBefore w:val="0"/>
        <w:widowControl w:val="0"/>
        <w:numPr>
          <w:ilvl w:val="0"/>
          <w:numId w:val="16"/>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“商业秘密”，是指不为公众知悉、具有商业价值、并经权利人采取保密措施的技术信息和经营信息；该商业秘密既包括</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及其关联主体所有或持有的商业秘密，也包括虽属于第三方所有或持有，但</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负有保密义务的商业秘密；</w:t>
      </w:r>
    </w:p>
    <w:p w14:paraId="3891B6A6">
      <w:pPr>
        <w:pageBreakBefore w:val="0"/>
        <w:widowControl w:val="0"/>
        <w:numPr>
          <w:ilvl w:val="0"/>
          <w:numId w:val="16"/>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技术信息”，包括但不限于技术方案、工程设计、工艺流程、制作方法、操作方法、控制方法、测试方法、技术指标、技术协议、技术文档、操作手册、计算机软件和程序（含源代码、算法）、数据库、研究开发记录、技术报告、检测报告、实验数据、试验结果、图纸、参数、标准、规范、样品、发明创造（包括发明、实用新型和外观设计，无论是否获得专利）、版权、商标等；</w:t>
      </w:r>
    </w:p>
    <w:p w14:paraId="6D20C42B">
      <w:pPr>
        <w:pageBreakBefore w:val="0"/>
        <w:numPr>
          <w:ilvl w:val="255"/>
          <w:numId w:val="0"/>
        </w:numPr>
        <w:kinsoku/>
        <w:overflowPunct/>
        <w:topLinePunct w:val="0"/>
        <w:bidi w:val="0"/>
        <w:snapToGrid w:val="0"/>
        <w:spacing w:line="360" w:lineRule="auto"/>
        <w:ind w:left="0" w:leftChars="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经营信息”，包括但不限于管理诀窍、发展战略、供应商名单、谈判底线、标底及标书内容、采购计划、采购资料、工作项目计划、进度、生产成本、产销策略、财务资料、负债情况、投融资计划、法律事务信息、人力资源信息、提供方及关联主体的规章制度、提供方及关联主体的通知和公告、业务或业务运作方法和其他专有信息等。</w:t>
      </w:r>
    </w:p>
    <w:p w14:paraId="668DE56F">
      <w:pPr>
        <w:pageBreakBefore w:val="0"/>
        <w:numPr>
          <w:ilvl w:val="0"/>
          <w:numId w:val="15"/>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违反上述1-3款约定的，应按照本合同已付总金额的10%向</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支付违约金。</w:t>
      </w:r>
    </w:p>
    <w:p w14:paraId="151F36D5">
      <w:pPr>
        <w:pageBreakBefore w:val="0"/>
        <w:numPr>
          <w:ilvl w:val="0"/>
          <w:numId w:val="15"/>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合同履行过程中，非因</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原因，</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解除合同的，对</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已提交的设计成果著作权归</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所有，在该设计成果基础上，</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有权委托任何第三方继续该项设计。</w:t>
      </w:r>
    </w:p>
    <w:p w14:paraId="5CAFC596">
      <w:pPr>
        <w:pageBreakBefore w:val="0"/>
        <w:numPr>
          <w:ilvl w:val="0"/>
          <w:numId w:val="15"/>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同意本合同设计内容如涉及知识产权纠纷时，由</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负责解决。</w:t>
      </w:r>
    </w:p>
    <w:p w14:paraId="490E5DE3">
      <w:pPr>
        <w:pageBreakBefore w:val="0"/>
        <w:numPr>
          <w:ilvl w:val="0"/>
          <w:numId w:val="15"/>
        </w:numPr>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本条款内容具有独立性，不因本合同变更、终止、解除而失效。</w:t>
      </w:r>
    </w:p>
    <w:p w14:paraId="519ABF38">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27" w:name="_Toc20798"/>
      <w:r>
        <w:rPr>
          <w:rFonts w:hint="eastAsia" w:ascii="仿宋" w:hAnsi="仿宋" w:eastAsia="仿宋" w:cs="仿宋"/>
          <w:b/>
          <w:bCs/>
          <w:color w:val="auto"/>
          <w:spacing w:val="0"/>
          <w:sz w:val="24"/>
          <w:szCs w:val="24"/>
          <w:highlight w:val="none"/>
        </w:rPr>
        <w:t>反虚假宣传</w:t>
      </w:r>
      <w:bookmarkEnd w:id="127"/>
    </w:p>
    <w:p w14:paraId="3F7458E4">
      <w:pPr>
        <w:pageBreakBefore w:val="0"/>
        <w:kinsoku/>
        <w:overflowPunct/>
        <w:topLinePunct w:val="0"/>
        <w:bidi w:val="0"/>
        <w:snapToGrid w:val="0"/>
        <w:spacing w:line="360" w:lineRule="auto"/>
        <w:ind w:firstLine="480" w:firstLineChars="200"/>
        <w:jc w:val="both"/>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各方均清楚并愿意严格遵守我国《著作权法》、《商标法》、《专利法》、《反不正当竞争法》等知识产权类、《民法典》及《广告法》等相关法律法规的规定，并就本合同所约定事项仅以约定方式、仅在约定范围内进行真实、合理的使用或宣传，且不得涉及合同所约定的保密内容。为避免商标侵权及不当宣传等风险的发生，</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同意，在使用</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或其关联方的商标、品牌、企业名称等进行宣传前，须获得</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事先的书面认可，否则不得进行此类使用或宣传。</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承诺，未经</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事先书面同意而利用</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或其关联方商标、品牌及企业名称等进行宣传，虚构合作事项，夸大合作范围、内容、效果、规模、程度等，均属对本合同的违反，并可能因虚假宣传构成不正当竞争，</w:t>
      </w:r>
      <w:r>
        <w:rPr>
          <w:rFonts w:hint="eastAsia" w:ascii="仿宋" w:hAnsi="仿宋" w:eastAsia="仿宋" w:cs="仿宋"/>
          <w:bCs/>
          <w:color w:val="auto"/>
          <w:spacing w:val="0"/>
          <w:sz w:val="24"/>
          <w:szCs w:val="24"/>
          <w:highlight w:val="none"/>
          <w:lang w:eastAsia="zh-CN"/>
        </w:rPr>
        <w:t>发包方</w:t>
      </w:r>
      <w:r>
        <w:rPr>
          <w:rFonts w:hint="eastAsia" w:ascii="仿宋" w:hAnsi="仿宋" w:eastAsia="仿宋" w:cs="仿宋"/>
          <w:bCs/>
          <w:color w:val="auto"/>
          <w:spacing w:val="0"/>
          <w:sz w:val="24"/>
          <w:szCs w:val="24"/>
          <w:highlight w:val="none"/>
        </w:rPr>
        <w:t>及其关联方将保留追究相应法律责任的权利。</w:t>
      </w:r>
      <w:r>
        <w:rPr>
          <w:rFonts w:hint="eastAsia" w:ascii="仿宋" w:hAnsi="仿宋" w:eastAsia="仿宋" w:cs="仿宋"/>
          <w:bCs/>
          <w:color w:val="auto"/>
          <w:spacing w:val="0"/>
          <w:sz w:val="24"/>
          <w:szCs w:val="24"/>
          <w:highlight w:val="none"/>
          <w:lang w:eastAsia="zh-CN"/>
        </w:rPr>
        <w:t>承包方</w:t>
      </w:r>
      <w:r>
        <w:rPr>
          <w:rFonts w:hint="eastAsia" w:ascii="仿宋" w:hAnsi="仿宋" w:eastAsia="仿宋" w:cs="仿宋"/>
          <w:bCs/>
          <w:color w:val="auto"/>
          <w:spacing w:val="0"/>
          <w:sz w:val="24"/>
          <w:szCs w:val="24"/>
          <w:highlight w:val="none"/>
        </w:rPr>
        <w:t>应确保其关联方、合作伙伴遵守上述约定，并与其关联方、合作伙伴承担连带责任。</w:t>
      </w:r>
    </w:p>
    <w:p w14:paraId="63735147">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28" w:name="_Toc3997"/>
      <w:r>
        <w:rPr>
          <w:rFonts w:hint="eastAsia" w:ascii="仿宋" w:hAnsi="仿宋" w:eastAsia="仿宋" w:cs="仿宋"/>
          <w:b/>
          <w:bCs/>
          <w:color w:val="auto"/>
          <w:spacing w:val="0"/>
          <w:sz w:val="24"/>
          <w:szCs w:val="24"/>
          <w:highlight w:val="none"/>
        </w:rPr>
        <w:t>合同解除、终止</w:t>
      </w:r>
      <w:bookmarkEnd w:id="128"/>
    </w:p>
    <w:p w14:paraId="6C4AEEC5">
      <w:pPr>
        <w:pageBreakBefore w:val="0"/>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如因政府主管部门的要求或</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因项目发展需要停止或暂停设计时，</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有权停止本合同。当</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提出终止合同后，如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已经启动设计工作，则双方按实际完成的设计阶段及</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书面确认的</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已提交的设计成果结算设计费用后20个工作日内</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一次性付清余款。</w:t>
      </w:r>
    </w:p>
    <w:p w14:paraId="31F2351B">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29" w:name="_Toc5819"/>
      <w:r>
        <w:rPr>
          <w:rFonts w:hint="eastAsia" w:ascii="仿宋" w:hAnsi="仿宋" w:eastAsia="仿宋" w:cs="仿宋"/>
          <w:b/>
          <w:bCs/>
          <w:color w:val="auto"/>
          <w:spacing w:val="0"/>
          <w:sz w:val="24"/>
          <w:szCs w:val="24"/>
          <w:highlight w:val="none"/>
        </w:rPr>
        <w:t>不可抗力</w:t>
      </w:r>
      <w:bookmarkEnd w:id="129"/>
    </w:p>
    <w:p w14:paraId="001B1C55">
      <w:pPr>
        <w:pageBreakBefore w:val="0"/>
        <w:widowControl w:val="0"/>
        <w:numPr>
          <w:ilvl w:val="0"/>
          <w:numId w:val="17"/>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因法律规定的不可抗力而使甲乙各方未能履行本合同，双方应协商解决，并免除违约方的违约责任。本合同有效期内，如因战争、动乱、灾荒、爆炸、罢工、政府行为等不可抗力事件导致任何一方未能履行合同的，未能履行合同一方免除违约责任；受害一方应在不可抗力事件发生之日起5个工作日内书面告知对方，并提供相应的证明文件，说明不可抗力事件的发生日期、时间、性质，预计持续的时间及对该方履行本合同的影响。因迟延通知、迟延提供证明文件、迟延说明所造成的损失，均由遭受不可抗力一方承担。任何一方无正当理由延迟履行后发生不可抗力的，不能免除责任。</w:t>
      </w:r>
    </w:p>
    <w:p w14:paraId="0C1B41F4">
      <w:pPr>
        <w:pageBreakBefore w:val="0"/>
        <w:widowControl w:val="0"/>
        <w:numPr>
          <w:ilvl w:val="0"/>
          <w:numId w:val="17"/>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受不可抗力事件影响一方不免除其采取必要措施密切配合以减少不可抗力影响的责任。</w:t>
      </w:r>
    </w:p>
    <w:p w14:paraId="46D435A6">
      <w:pPr>
        <w:pageBreakBefore w:val="0"/>
        <w:widowControl w:val="0"/>
        <w:numPr>
          <w:ilvl w:val="0"/>
          <w:numId w:val="17"/>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不可抗力事件发生后，甲乙双方应协商处理本合同是否终止等事宜。</w:t>
      </w:r>
    </w:p>
    <w:p w14:paraId="4F1E23B1">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rPr>
      </w:pPr>
      <w:bookmarkStart w:id="130" w:name="_Toc8869"/>
      <w:r>
        <w:rPr>
          <w:rFonts w:hint="eastAsia" w:ascii="仿宋" w:hAnsi="仿宋" w:eastAsia="仿宋" w:cs="仿宋"/>
          <w:b/>
          <w:bCs/>
          <w:color w:val="auto"/>
          <w:spacing w:val="0"/>
          <w:sz w:val="24"/>
          <w:szCs w:val="24"/>
          <w:highlight w:val="none"/>
        </w:rPr>
        <w:t>违约责任</w:t>
      </w:r>
      <w:bookmarkEnd w:id="130"/>
    </w:p>
    <w:p w14:paraId="7495B19C">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应按本合同规定的金额和时间向</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支付设计费，</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逾期付款超过30个日历天以上的，每逾期一天，应承担逾期支付金额【万分之五】的逾期违约金。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或政府审批部门在90个日历天内对设计成果的审批未完成，或本项目停、缓建的导致本合同解除的，</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应支付</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已提交、且经</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确认设计成果的相应设计费（注：因</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设计不符合设计要点或规范要求或</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其他原因等情形的除外），除此之外，</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不承担其他违约责任。</w:t>
      </w:r>
    </w:p>
    <w:p w14:paraId="0BF6D360">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应当按照本合同约定时间提交各阶段的设计成果，如因</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原因延期提交设计成果的，每延期一天，按该阶段设计费的万分之五支付违约金，造成工程延误的，由</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负责赔偿一切经济损失；延期达30个日历天以上（含本数）的，</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有权单方解除本合同，合同解除后，</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按本合同已付设计费的20%支付违约金。</w:t>
      </w:r>
    </w:p>
    <w:p w14:paraId="3FF73E7B">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合同生效后，</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擅自解除本合同或以实际行为表示不履行本合同义务导致</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解除本合同的，合同解除后，且</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按本合同已付设计费的20%支付违约金。</w:t>
      </w:r>
    </w:p>
    <w:p w14:paraId="4F93B52D">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提交的施工图文件应经过严格审核，保证高质量的设计成果。</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提交给</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的已盖出图章的施工图，每套施工图存在图纸自身的错误和遗漏等，数量不得超过20%。同时</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应负责无偿修改、补充或及时采取补救措施，造成完成时间延误的，</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还应向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承担违约责任。</w:t>
      </w:r>
    </w:p>
    <w:p w14:paraId="05001B13">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在</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按本条第四款提供满足各阶段设计条件的情况下，</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交付的设计文件与工程现场不符、不能满足施工需求的（若设计文件已经满足规范和业主要求，但施工未按设计文件施工除外），</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须无偿重新设计和提供设计文件，且应向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支付违约金：(1)设计文件与工程现场不符程度达15%以上(含15%)、30%以下的，按对应阶段应收设计费总额10%计算违约金；(2)设计文件与工程现场不符程度达30%以上(含30%)、50%以下的，按对应阶段应收设计费总额20%计算违约金；(3)设计文件与工程现场不符程度达50%以上(含50%)的，按对应阶段应收设计费总额30%计算违约金，同时</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有权解除合同并要求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赔偿因此造成的各类损失。如因</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原因造成上述情况的，不予追究。</w:t>
      </w:r>
    </w:p>
    <w:p w14:paraId="2B0D4B22">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在本项目设计过程中，就设计成果中存在的同一问题，</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经过连续三次修改还是无法通过</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书面认可的，</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有权单方解除本合同，合同解除后，</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按本合同已付总设计费的20%支付违约金，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对</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已完成的工作成果据实进行结算。</w:t>
      </w:r>
    </w:p>
    <w:p w14:paraId="756112AD">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在本项目设计过程中，在未事先征得</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书面同意时，</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不得擅自更换或减少附件中的项目组设计成员（离职、休产假、长期病假除外），否则，每发生一人次，</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应按5000元/人次向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支付违约金；如擅自更换项目设计总负责人，则</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应按10000元/人次向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支付违约金。</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除承担违约金外，应换回或增加项目组设计成员（该新增加成员资质需</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审定同意）。以上情形发生超过三人次的，</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有权单方解除本合同，合同解除后，</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按照本合同已付总设计费的20%支付违约金。</w:t>
      </w:r>
    </w:p>
    <w:p w14:paraId="12F20182">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由于</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自身原因，未能按</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要求时间及时答复施工变更及施工联系单回复、参加图纸会审会及交底会、和提供施工现场服务，每超过一天，</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应按1000元/天向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支付违约金。</w:t>
      </w:r>
    </w:p>
    <w:p w14:paraId="5B86CDA9">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在接受</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委托后，未经</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书面允许不得转包或将设计分包给第三方，否则</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有权单方解除本合同，合同解除后，</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有权要求</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按本合同已付总设计费的20%支付违约金。</w:t>
      </w:r>
    </w:p>
    <w:p w14:paraId="5BB99F96">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本合同另行约定的除外，</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未能全面、适当履行本合同义务的，每违反一次应向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支付2000元违约金。经</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两次通知后仍未全面履行的，</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有权委托第三方代为履行，所需费用由</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承担。</w:t>
      </w:r>
    </w:p>
    <w:p w14:paraId="3C64050B">
      <w:pPr>
        <w:pageBreakBefore w:val="0"/>
        <w:numPr>
          <w:ilvl w:val="0"/>
          <w:numId w:val="18"/>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应保证向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交付的设计成果不侵犯任何人的知识产权，否则，若因设计成果侵犯他人的知识产权导致</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被他人追究法律责任的，由</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承担全部责任。</w:t>
      </w:r>
    </w:p>
    <w:p w14:paraId="0AB3D5EA">
      <w:pPr>
        <w:pageBreakBefore w:val="0"/>
        <w:numPr>
          <w:ilvl w:val="0"/>
          <w:numId w:val="18"/>
        </w:numPr>
        <w:kinsoku/>
        <w:overflowPunct/>
        <w:topLinePunct w:val="0"/>
        <w:bidi w:val="0"/>
        <w:snapToGrid w:val="0"/>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因本项目违约而产生的违约金、赔偿金累计以本合同已付设计费为上限。</w:t>
      </w:r>
    </w:p>
    <w:p w14:paraId="5D351B67">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lang w:eastAsia="zh-Hans"/>
        </w:rPr>
      </w:pPr>
      <w:bookmarkStart w:id="131" w:name="_Toc9034"/>
      <w:r>
        <w:rPr>
          <w:rFonts w:hint="eastAsia" w:ascii="仿宋" w:hAnsi="仿宋" w:eastAsia="仿宋" w:cs="仿宋"/>
          <w:b/>
          <w:bCs/>
          <w:color w:val="auto"/>
          <w:spacing w:val="0"/>
          <w:sz w:val="24"/>
          <w:szCs w:val="24"/>
          <w:highlight w:val="none"/>
        </w:rPr>
        <w:t>通知与</w:t>
      </w:r>
      <w:r>
        <w:rPr>
          <w:rFonts w:hint="eastAsia" w:ascii="仿宋" w:hAnsi="仿宋" w:eastAsia="仿宋" w:cs="仿宋"/>
          <w:b/>
          <w:bCs/>
          <w:color w:val="auto"/>
          <w:spacing w:val="0"/>
          <w:sz w:val="24"/>
          <w:szCs w:val="24"/>
          <w:highlight w:val="none"/>
          <w:lang w:eastAsia="zh-Hans"/>
        </w:rPr>
        <w:t>送达</w:t>
      </w:r>
      <w:bookmarkEnd w:id="131"/>
    </w:p>
    <w:p w14:paraId="36BEF99D">
      <w:pPr>
        <w:pageBreakBefore w:val="0"/>
        <w:widowControl w:val="0"/>
        <w:numPr>
          <w:ilvl w:val="0"/>
          <w:numId w:val="19"/>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甲乙双方因履行本合同而相互发出或者提供的所有通知、文件、资料，以及法院、仲裁机构或者其他政府部门等单位所发出的文件，均应按本合同所列明的联系信息送达。一方如果变更联系信息，应当自变更之日起三日内书面通知另一方，否则视为未变更，另一方按原联系信息进行送达的仍为有效送达。</w:t>
      </w:r>
    </w:p>
    <w:p w14:paraId="3600BB5B">
      <w:pPr>
        <w:pageBreakBefore w:val="0"/>
        <w:widowControl w:val="0"/>
        <w:numPr>
          <w:ilvl w:val="0"/>
          <w:numId w:val="19"/>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甲乙双方同意本合同所列明的联系信息作为解决争议时接收人民法院诉讼文书的送达地址和联系方式，并且该联系信息适用于本合同及本合同履行过程中发生纠纷诉至人民法院的第一审程序、第二审程序、审判监督程序至案件执行程序终结时止。</w:t>
      </w:r>
    </w:p>
    <w:p w14:paraId="7E3E7797">
      <w:pPr>
        <w:pageBreakBefore w:val="0"/>
        <w:widowControl w:val="0"/>
        <w:numPr>
          <w:ilvl w:val="0"/>
          <w:numId w:val="19"/>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任何一方就本合同发给另一方的任何通知应以简体中文书面形式发出；如以邮寄方式发出，则以快递查询结果显示的投递日期或回执单日期为送达日；如以当面递交方式发出，则以收件人签收日为送达日；如以传真、短信、电子邮件等形式进行，则以发出方所使用传真机、手机、即时通讯软件、电子邮件系统等所显示的发出时间为送达日；如另一方拒绝签收或无法签收的，则以拒绝签收日或退回日视为送达日。</w:t>
      </w:r>
    </w:p>
    <w:p w14:paraId="1E9633FF">
      <w:pPr>
        <w:pageBreakBefore w:val="0"/>
        <w:widowControl w:val="0"/>
        <w:numPr>
          <w:ilvl w:val="0"/>
          <w:numId w:val="19"/>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以上条款在合同期限届满、合同无效或被撤销、合同解除后仍然有效。</w:t>
      </w:r>
    </w:p>
    <w:p w14:paraId="0D40AFDA">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lang w:eastAsia="zh-Hans"/>
        </w:rPr>
      </w:pPr>
      <w:bookmarkStart w:id="132" w:name="_Toc23458"/>
      <w:r>
        <w:rPr>
          <w:rFonts w:hint="eastAsia" w:ascii="仿宋" w:hAnsi="仿宋" w:eastAsia="仿宋" w:cs="仿宋"/>
          <w:b/>
          <w:bCs/>
          <w:color w:val="auto"/>
          <w:spacing w:val="0"/>
          <w:sz w:val="24"/>
          <w:szCs w:val="24"/>
          <w:highlight w:val="none"/>
        </w:rPr>
        <w:t>争议解决</w:t>
      </w:r>
      <w:bookmarkEnd w:id="132"/>
    </w:p>
    <w:p w14:paraId="72686B89">
      <w:pPr>
        <w:pageBreakBefore w:val="0"/>
        <w:widowControl w:val="0"/>
        <w:numPr>
          <w:ilvl w:val="0"/>
          <w:numId w:val="20"/>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本合同的成立、有效性、解释、履行、签署、修订和终止以及争议的解决均应适用中华人民共和国法律。</w:t>
      </w:r>
    </w:p>
    <w:p w14:paraId="3C3E86AE">
      <w:pPr>
        <w:pageBreakBefore w:val="0"/>
        <w:widowControl w:val="0"/>
        <w:numPr>
          <w:ilvl w:val="0"/>
          <w:numId w:val="20"/>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因履行本合同发生的有关争议，双方应尽量协商解决。如协商无效，任何一方均有权向原告所在地有管辖权的人民法院提起诉讼。</w:t>
      </w:r>
    </w:p>
    <w:p w14:paraId="174BAC41">
      <w:pPr>
        <w:pageBreakBefore w:val="0"/>
        <w:widowControl w:val="0"/>
        <w:numPr>
          <w:ilvl w:val="0"/>
          <w:numId w:val="20"/>
        </w:numPr>
        <w:kinsoku/>
        <w:overflowPunct/>
        <w:topLinePunct w:val="0"/>
        <w:bidi w:val="0"/>
        <w:snapToGrid w:val="0"/>
        <w:spacing w:line="360" w:lineRule="auto"/>
        <w:ind w:left="0" w:leftChars="0" w:firstLine="480" w:firstLineChars="200"/>
        <w:outlineLvl w:val="9"/>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在争议解决期间，无论纠纷是否由于任一方的故意或过失造成，各方均应通过协商、调解、诉诸争议解决机构等理性方式来解决纠纷事项，不得采用通过任何致使或可能致使除本合同以外其他主体知悉的方式（包括但不限于通过公告栏、宣传栏、电视台、广播电台、报纸、杂志、门户网站、视频平台、自媒体、微博、QQ、微信、公众号、视频号、抖音、快手、小红书、知乎、百家号、论坛、贴吧等传统媒体及/或互联网媒介方式，以及张贴大字报、拉横幅、前往任一方经营场所闹事、实施任何影响或可能影响任一方名誉、商誉、品牌或正常生产经营秩序的行为）来解决。</w:t>
      </w:r>
    </w:p>
    <w:p w14:paraId="031A6EE6">
      <w:pPr>
        <w:pageBreakBefore w:val="0"/>
        <w:numPr>
          <w:ilvl w:val="0"/>
          <w:numId w:val="5"/>
        </w:numPr>
        <w:kinsoku/>
        <w:overflowPunct/>
        <w:topLinePunct w:val="0"/>
        <w:bidi w:val="0"/>
        <w:snapToGrid w:val="0"/>
        <w:spacing w:line="360" w:lineRule="auto"/>
        <w:ind w:left="0" w:leftChars="0" w:firstLine="482" w:firstLineChars="200"/>
        <w:outlineLvl w:val="0"/>
        <w:rPr>
          <w:rFonts w:hint="eastAsia" w:ascii="仿宋" w:hAnsi="仿宋" w:eastAsia="仿宋" w:cs="仿宋"/>
          <w:b/>
          <w:bCs/>
          <w:color w:val="auto"/>
          <w:spacing w:val="0"/>
          <w:sz w:val="24"/>
          <w:szCs w:val="24"/>
          <w:highlight w:val="none"/>
          <w:lang w:eastAsia="zh-Hans"/>
        </w:rPr>
      </w:pPr>
      <w:bookmarkStart w:id="133" w:name="_Toc19828"/>
      <w:r>
        <w:rPr>
          <w:rFonts w:hint="eastAsia" w:ascii="仿宋" w:hAnsi="仿宋" w:eastAsia="仿宋" w:cs="仿宋"/>
          <w:b/>
          <w:bCs/>
          <w:color w:val="auto"/>
          <w:spacing w:val="0"/>
          <w:sz w:val="24"/>
          <w:szCs w:val="24"/>
          <w:highlight w:val="none"/>
          <w:lang w:eastAsia="zh-Hans"/>
        </w:rPr>
        <w:t>其他约定</w:t>
      </w:r>
      <w:bookmarkEnd w:id="133"/>
    </w:p>
    <w:p w14:paraId="54518072">
      <w:pPr>
        <w:pageBreakBefore w:val="0"/>
        <w:numPr>
          <w:ilvl w:val="0"/>
          <w:numId w:val="21"/>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宜或者需要调整的事项，可由各方协商一致后签订书面补充协议，作为对本合同内容的补充与变更。</w:t>
      </w:r>
    </w:p>
    <w:p w14:paraId="0C732D8A">
      <w:pPr>
        <w:pageBreakBefore w:val="0"/>
        <w:numPr>
          <w:ilvl w:val="0"/>
          <w:numId w:val="21"/>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任何一方未行使或延迟行使本合同项下的任何权利均不构成对该项权利的放弃。任何一方曾经行使或部分行使本合同项下的任何权利均不妨碍其再次或进一步行使该项权利或其他权利。</w:t>
      </w:r>
    </w:p>
    <w:p w14:paraId="0E2A4427">
      <w:pPr>
        <w:pageBreakBefore w:val="0"/>
        <w:numPr>
          <w:ilvl w:val="0"/>
          <w:numId w:val="21"/>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如本合同任何条款被认定为无效、非法、不可执行或与任何管辖区域的法律法规相冲突的，本合同中的其他条款的有效性、合法性和执行性不能因此而受任何的影响和削弱。</w:t>
      </w:r>
    </w:p>
    <w:p w14:paraId="3E85C5B1">
      <w:pPr>
        <w:pageBreakBefore w:val="0"/>
        <w:numPr>
          <w:ilvl w:val="0"/>
          <w:numId w:val="21"/>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本合同自双方法定代表人或授权代表签字并加盖公章或合同专用章之日起生效。</w:t>
      </w:r>
    </w:p>
    <w:p w14:paraId="64BA15BE">
      <w:pPr>
        <w:pageBreakBefore w:val="0"/>
        <w:numPr>
          <w:ilvl w:val="0"/>
          <w:numId w:val="21"/>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合同附件</w:t>
      </w:r>
    </w:p>
    <w:p w14:paraId="4EDEC1AF">
      <w:pPr>
        <w:pageBreakBefore w:val="0"/>
        <w:widowControl w:val="0"/>
        <w:numPr>
          <w:ilvl w:val="-1"/>
          <w:numId w:val="0"/>
        </w:numPr>
        <w:kinsoku/>
        <w:overflowPunct/>
        <w:topLinePunct w:val="0"/>
        <w:bidi w:val="0"/>
        <w:snapToGrid w:val="0"/>
        <w:spacing w:line="360" w:lineRule="auto"/>
        <w:ind w:left="480" w:leftChars="20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Hans"/>
        </w:rPr>
        <w:t>附件</w:t>
      </w:r>
      <w:r>
        <w:rPr>
          <w:rFonts w:hint="eastAsia" w:ascii="仿宋" w:hAnsi="仿宋" w:eastAsia="仿宋" w:cs="仿宋"/>
          <w:color w:val="auto"/>
          <w:spacing w:val="0"/>
          <w:sz w:val="24"/>
          <w:szCs w:val="24"/>
          <w:highlight w:val="none"/>
          <w:lang w:val="en-US" w:eastAsia="zh-CN"/>
        </w:rPr>
        <w:t>一</w:t>
      </w:r>
      <w:r>
        <w:rPr>
          <w:rFonts w:hint="eastAsia" w:ascii="仿宋" w:hAnsi="仿宋" w:eastAsia="仿宋" w:cs="仿宋"/>
          <w:color w:val="auto"/>
          <w:spacing w:val="0"/>
          <w:sz w:val="24"/>
          <w:szCs w:val="24"/>
          <w:highlight w:val="none"/>
          <w:lang w:eastAsia="zh-Hans"/>
        </w:rPr>
        <w:t>：廉政责任书</w:t>
      </w:r>
    </w:p>
    <w:p w14:paraId="2B53C8F5">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上述附件为本合同的组成部分，如有与本合同正文内容不一致之处，以本合同正文的内容为准。</w:t>
      </w:r>
    </w:p>
    <w:p w14:paraId="2103FB6E">
      <w:pPr>
        <w:pageBreakBefore w:val="0"/>
        <w:kinsoku/>
        <w:overflowPunct/>
        <w:topLinePunct w:val="0"/>
        <w:bidi w:val="0"/>
        <w:snapToGrid w:val="0"/>
        <w:spacing w:line="360" w:lineRule="auto"/>
        <w:jc w:val="center"/>
        <w:rPr>
          <w:rFonts w:hint="eastAsia" w:ascii="仿宋" w:hAnsi="仿宋" w:eastAsia="仿宋" w:cs="仿宋"/>
          <w:color w:val="auto"/>
          <w:spacing w:val="0"/>
          <w:sz w:val="24"/>
          <w:szCs w:val="24"/>
          <w:highlight w:val="none"/>
          <w:lang w:eastAsia="zh-Hans"/>
        </w:rPr>
        <w:sectPr>
          <w:footerReference r:id="rId6"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Hans"/>
        </w:rPr>
        <w:t>以下无正文）</w:t>
      </w:r>
    </w:p>
    <w:p w14:paraId="0668AED2">
      <w:pPr>
        <w:pageBreakBefore w:val="0"/>
        <w:kinsoku/>
        <w:overflowPunct/>
        <w:topLinePunct w:val="0"/>
        <w:bidi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（本页无正文，为《</w:t>
      </w:r>
      <w:r>
        <w:rPr>
          <w:rFonts w:hint="eastAsia" w:ascii="仿宋" w:hAnsi="仿宋" w:eastAsia="仿宋" w:cs="仿宋"/>
          <w:color w:val="auto"/>
          <w:spacing w:val="0"/>
          <w:sz w:val="24"/>
          <w:szCs w:val="24"/>
          <w:highlight w:val="none"/>
          <w:lang w:eastAsia="zh-CN"/>
        </w:rPr>
        <w:t>天河区金融城东区AT091415地块</w:t>
      </w:r>
      <w:r>
        <w:rPr>
          <w:rFonts w:hint="eastAsia" w:ascii="仿宋" w:hAnsi="仿宋" w:eastAsia="仿宋" w:cs="仿宋"/>
          <w:color w:val="auto"/>
          <w:spacing w:val="0"/>
          <w:sz w:val="24"/>
          <w:szCs w:val="24"/>
          <w:highlight w:val="none"/>
          <w:lang w:eastAsia="zh-Hans"/>
        </w:rPr>
        <w:t>基坑支护和土方开挖设计合同</w:t>
      </w:r>
      <w:r>
        <w:rPr>
          <w:rFonts w:hint="eastAsia" w:ascii="仿宋" w:hAnsi="仿宋" w:eastAsia="仿宋" w:cs="仿宋"/>
          <w:color w:val="auto"/>
          <w:spacing w:val="0"/>
          <w:sz w:val="24"/>
          <w:szCs w:val="24"/>
          <w:highlight w:val="none"/>
        </w:rPr>
        <w:t>》签署页）</w:t>
      </w:r>
    </w:p>
    <w:p w14:paraId="0E5FE9B0">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5BE3F0B3">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 xml:space="preserve">：             </w:t>
      </w:r>
    </w:p>
    <w:p w14:paraId="77903B20">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（盖章）                                                        </w:t>
      </w:r>
    </w:p>
    <w:p w14:paraId="54C427C4">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p>
    <w:p w14:paraId="7ECEAE09">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法定代表人或授权代表（签章）：</w:t>
      </w:r>
      <w:r>
        <w:rPr>
          <w:rFonts w:hint="eastAsia" w:ascii="仿宋" w:hAnsi="仿宋" w:eastAsia="仿宋" w:cs="仿宋"/>
          <w:color w:val="auto"/>
          <w:spacing w:val="0"/>
          <w:sz w:val="24"/>
          <w:szCs w:val="24"/>
          <w:highlight w:val="none"/>
          <w:u w:val="single"/>
        </w:rPr>
        <w:t xml:space="preserve">                          </w:t>
      </w:r>
    </w:p>
    <w:p w14:paraId="578973D6">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p>
    <w:p w14:paraId="54621914">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p>
    <w:p w14:paraId="421EEEC1">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 xml:space="preserve">：             </w:t>
      </w:r>
    </w:p>
    <w:p w14:paraId="61D8A3A1">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（盖章）                                                        </w:t>
      </w:r>
    </w:p>
    <w:p w14:paraId="5A580644">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p>
    <w:p w14:paraId="31B22C08">
      <w:pPr>
        <w:pageBreakBefore w:val="0"/>
        <w:tabs>
          <w:tab w:val="left" w:pos="5360"/>
        </w:tabs>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法定代表人或授权代表（签章）：</w:t>
      </w:r>
      <w:r>
        <w:rPr>
          <w:rFonts w:hint="eastAsia" w:ascii="仿宋" w:hAnsi="仿宋" w:eastAsia="仿宋" w:cs="仿宋"/>
          <w:color w:val="auto"/>
          <w:spacing w:val="0"/>
          <w:sz w:val="24"/>
          <w:szCs w:val="24"/>
          <w:highlight w:val="none"/>
          <w:u w:val="single"/>
        </w:rPr>
        <w:t xml:space="preserve">                          </w:t>
      </w:r>
    </w:p>
    <w:p w14:paraId="4E455AF3">
      <w:pPr>
        <w:pageBreakBefore w:val="0"/>
        <w:tabs>
          <w:tab w:val="left" w:pos="5360"/>
        </w:tabs>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2E1FAC93">
      <w:pPr>
        <w:pageBreakBefore w:val="0"/>
        <w:tabs>
          <w:tab w:val="left" w:pos="5360"/>
        </w:tabs>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7C91A1C3">
      <w:pPr>
        <w:pageBreakBefore w:val="0"/>
        <w:tabs>
          <w:tab w:val="left" w:pos="5360"/>
        </w:tabs>
        <w:kinsoku/>
        <w:wordWrap w:val="0"/>
        <w:overflowPunct/>
        <w:topLinePunct w:val="0"/>
        <w:bidi w:val="0"/>
        <w:snapToGrid w:val="0"/>
        <w:spacing w:line="360" w:lineRule="auto"/>
        <w:ind w:firstLine="480" w:firstLineChars="200"/>
        <w:jc w:val="right"/>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合同签署地：</w:t>
      </w:r>
      <w:r>
        <w:rPr>
          <w:rFonts w:hint="eastAsia" w:ascii="仿宋" w:hAnsi="仿宋" w:eastAsia="仿宋" w:cs="仿宋"/>
          <w:color w:val="auto"/>
          <w:spacing w:val="0"/>
          <w:sz w:val="24"/>
          <w:szCs w:val="24"/>
          <w:highlight w:val="none"/>
          <w:lang w:val="en-US" w:eastAsia="zh-CN"/>
        </w:rPr>
        <w:t xml:space="preserve">  </w:t>
      </w:r>
    </w:p>
    <w:p w14:paraId="533E8D7D">
      <w:pPr>
        <w:pageBreakBefore w:val="0"/>
        <w:tabs>
          <w:tab w:val="left" w:pos="5360"/>
        </w:tabs>
        <w:kinsoku/>
        <w:overflowPunct/>
        <w:topLinePunct w:val="0"/>
        <w:bidi w:val="0"/>
        <w:snapToGrid w:val="0"/>
        <w:spacing w:line="360" w:lineRule="auto"/>
        <w:ind w:firstLine="480" w:firstLineChars="200"/>
        <w:jc w:val="right"/>
        <w:rPr>
          <w:rFonts w:hint="eastAsia" w:ascii="仿宋" w:hAnsi="仿宋" w:eastAsia="仿宋" w:cs="仿宋"/>
          <w:color w:val="auto"/>
          <w:spacing w:val="0"/>
          <w:sz w:val="24"/>
          <w:szCs w:val="24"/>
          <w:highlight w:val="none"/>
        </w:rPr>
      </w:pPr>
    </w:p>
    <w:p w14:paraId="6B425837">
      <w:pPr>
        <w:pageBreakBefore w:val="0"/>
        <w:kinsoku/>
        <w:overflowPunct/>
        <w:topLinePunct w:val="0"/>
        <w:bidi w:val="0"/>
        <w:snapToGrid w:val="0"/>
        <w:spacing w:line="360" w:lineRule="auto"/>
        <w:jc w:val="righ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合同签署日期：</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年</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月</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日  </w:t>
      </w:r>
    </w:p>
    <w:p w14:paraId="77D7678D">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sectPr>
          <w:footerReference r:id="rId7" w:type="default"/>
          <w:pgSz w:w="11906" w:h="16838"/>
          <w:pgMar w:top="1440" w:right="1800" w:bottom="1440" w:left="1800" w:header="851" w:footer="992" w:gutter="0"/>
          <w:cols w:space="425" w:num="1"/>
          <w:docGrid w:type="lines" w:linePitch="312" w:charSpace="0"/>
        </w:sectPr>
      </w:pPr>
    </w:p>
    <w:p w14:paraId="7F19E53A">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25673CEE">
      <w:pPr>
        <w:pageBreakBefore w:val="0"/>
        <w:tabs>
          <w:tab w:val="left" w:pos="2340"/>
        </w:tabs>
        <w:kinsoku/>
        <w:overflowPunct/>
        <w:topLinePunct w:val="0"/>
        <w:bidi w:val="0"/>
        <w:snapToGrid w:val="0"/>
        <w:spacing w:line="360" w:lineRule="auto"/>
        <w:ind w:firstLine="482" w:firstLineChars="200"/>
        <w:outlineLvl w:val="0"/>
        <w:rPr>
          <w:rFonts w:hint="eastAsia" w:ascii="仿宋" w:hAnsi="仿宋" w:eastAsia="仿宋" w:cs="仿宋"/>
          <w:b/>
          <w:color w:val="auto"/>
          <w:spacing w:val="0"/>
          <w:sz w:val="24"/>
          <w:szCs w:val="24"/>
          <w:highlight w:val="none"/>
        </w:rPr>
      </w:pPr>
      <w:bookmarkStart w:id="134" w:name="_Toc2650"/>
      <w:r>
        <w:rPr>
          <w:rFonts w:hint="eastAsia" w:ascii="仿宋" w:hAnsi="仿宋" w:eastAsia="仿宋" w:cs="仿宋"/>
          <w:b/>
          <w:color w:val="auto"/>
          <w:spacing w:val="0"/>
          <w:sz w:val="24"/>
          <w:szCs w:val="24"/>
          <w:highlight w:val="none"/>
        </w:rPr>
        <w:t>附件</w:t>
      </w:r>
      <w:r>
        <w:rPr>
          <w:rFonts w:hint="eastAsia" w:ascii="仿宋" w:hAnsi="仿宋" w:eastAsia="仿宋" w:cs="仿宋"/>
          <w:b/>
          <w:color w:val="auto"/>
          <w:spacing w:val="0"/>
          <w:sz w:val="24"/>
          <w:szCs w:val="24"/>
          <w:highlight w:val="none"/>
          <w:lang w:val="en-US" w:eastAsia="zh-CN"/>
        </w:rPr>
        <w:t>一</w:t>
      </w:r>
      <w:r>
        <w:rPr>
          <w:rFonts w:hint="eastAsia" w:ascii="仿宋" w:hAnsi="仿宋" w:eastAsia="仿宋" w:cs="仿宋"/>
          <w:b/>
          <w:color w:val="auto"/>
          <w:spacing w:val="0"/>
          <w:sz w:val="24"/>
          <w:szCs w:val="24"/>
          <w:highlight w:val="none"/>
        </w:rPr>
        <w:t>：廉政责任书</w:t>
      </w:r>
      <w:bookmarkEnd w:id="134"/>
    </w:p>
    <w:p w14:paraId="3C6B5B1B">
      <w:pPr>
        <w:pageBreakBefore w:val="0"/>
        <w:kinsoku/>
        <w:overflowPunct/>
        <w:topLinePunct w:val="0"/>
        <w:bidi w:val="0"/>
        <w:snapToGrid w:val="0"/>
        <w:spacing w:line="360" w:lineRule="auto"/>
        <w:rPr>
          <w:rFonts w:hint="eastAsia" w:ascii="仿宋" w:hAnsi="仿宋" w:eastAsia="仿宋" w:cs="仿宋"/>
          <w:color w:val="auto"/>
          <w:spacing w:val="0"/>
          <w:sz w:val="24"/>
          <w:szCs w:val="24"/>
          <w:highlight w:val="none"/>
        </w:rPr>
      </w:pPr>
    </w:p>
    <w:p w14:paraId="123B7E64">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广州锦泷房地产开发有限公司</w:t>
      </w:r>
      <w:r>
        <w:rPr>
          <w:rFonts w:hint="eastAsia" w:ascii="仿宋" w:hAnsi="仿宋" w:eastAsia="仿宋" w:cs="仿宋"/>
          <w:color w:val="auto"/>
          <w:spacing w:val="0"/>
          <w:sz w:val="24"/>
          <w:szCs w:val="24"/>
          <w:highlight w:val="none"/>
          <w:u w:val="single"/>
        </w:rPr>
        <w:t xml:space="preserve">           </w:t>
      </w:r>
    </w:p>
    <w:p w14:paraId="3D5E79CE">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 xml:space="preserve">     </w:t>
      </w:r>
    </w:p>
    <w:p w14:paraId="323A0860">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为加强廉政建设，规范合作过程中双方的各项活动，防止发生各种谋取不正当利益的违法违纪行为，保护国家、集体和当事人的合法权益，根据国家有关法律法规和廉政建设责任制规定，特订立本廉政责任书。</w:t>
      </w:r>
    </w:p>
    <w:p w14:paraId="300FF9D5">
      <w:pPr>
        <w:pageBreakBefore w:val="0"/>
        <w:numPr>
          <w:ilvl w:val="0"/>
          <w:numId w:val="22"/>
        </w:numPr>
        <w:kinsoku/>
        <w:overflowPunct/>
        <w:topLinePunct w:val="0"/>
        <w:bidi w:val="0"/>
        <w:snapToGrid w:val="0"/>
        <w:spacing w:line="360" w:lineRule="auto"/>
        <w:ind w:firstLine="482" w:firstLineChars="20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 xml:space="preserve">甲乙双方的责任 </w:t>
      </w:r>
    </w:p>
    <w:p w14:paraId="7E3944B5">
      <w:pPr>
        <w:pageBreakBefore w:val="0"/>
        <w:numPr>
          <w:ilvl w:val="0"/>
          <w:numId w:val="23"/>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应严格遵守国家有关法律、法规，相关政策，以及廉政建设的各项规定。</w:t>
      </w:r>
    </w:p>
    <w:p w14:paraId="1CF65C3E">
      <w:pPr>
        <w:pageBreakBefore w:val="0"/>
        <w:numPr>
          <w:ilvl w:val="0"/>
          <w:numId w:val="23"/>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严格执行合同文件，自觉按合同办事。</w:t>
      </w:r>
    </w:p>
    <w:p w14:paraId="46052BD3">
      <w:pPr>
        <w:pageBreakBefore w:val="0"/>
        <w:numPr>
          <w:ilvl w:val="0"/>
          <w:numId w:val="23"/>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业务活动必须坚持公开、公平、公正、诚信、透明的原则(除法律法规另有规定者外)，不得为获取不正当的利益，损害国家、集体和对方利益。</w:t>
      </w:r>
    </w:p>
    <w:p w14:paraId="0C871BEA">
      <w:pPr>
        <w:pageBreakBefore w:val="0"/>
        <w:numPr>
          <w:ilvl w:val="0"/>
          <w:numId w:val="23"/>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发现对方在业务活动中有违规、违纪、违法行为的，应及时提醒对方，情节严重的，应向其上级主管部门或纪检监察、司法等有关机关举报。</w:t>
      </w:r>
    </w:p>
    <w:p w14:paraId="555F6E72">
      <w:pPr>
        <w:pageBreakBefore w:val="0"/>
        <w:numPr>
          <w:ilvl w:val="0"/>
          <w:numId w:val="22"/>
        </w:numPr>
        <w:kinsoku/>
        <w:overflowPunct/>
        <w:topLinePunct w:val="0"/>
        <w:bidi w:val="0"/>
        <w:snapToGrid w:val="0"/>
        <w:spacing w:line="360" w:lineRule="auto"/>
        <w:ind w:firstLine="482" w:firstLineChars="20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eastAsia="zh-CN"/>
        </w:rPr>
        <w:t>发包方</w:t>
      </w:r>
      <w:r>
        <w:rPr>
          <w:rFonts w:hint="eastAsia" w:ascii="仿宋" w:hAnsi="仿宋" w:eastAsia="仿宋" w:cs="仿宋"/>
          <w:b/>
          <w:bCs/>
          <w:color w:val="auto"/>
          <w:spacing w:val="0"/>
          <w:sz w:val="24"/>
          <w:szCs w:val="24"/>
          <w:highlight w:val="none"/>
        </w:rPr>
        <w:t>的责任</w:t>
      </w:r>
    </w:p>
    <w:p w14:paraId="73FBEB7B">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的领导和工作人员，在合作的事前、事中、事后应遵守以下规定：</w:t>
      </w:r>
    </w:p>
    <w:p w14:paraId="491D125F">
      <w:pPr>
        <w:pageBreakBefore w:val="0"/>
        <w:numPr>
          <w:ilvl w:val="0"/>
          <w:numId w:val="24"/>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不准向</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和相关单位索要或接受回扣、礼金、有价证券、贵重物品和好处费、感谢费等。</w:t>
      </w:r>
    </w:p>
    <w:p w14:paraId="4D97B39E">
      <w:pPr>
        <w:pageBreakBefore w:val="0"/>
        <w:numPr>
          <w:ilvl w:val="0"/>
          <w:numId w:val="24"/>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不准在</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和相关单位报销任何应由</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 xml:space="preserve">或个人支付的费用。        </w:t>
      </w:r>
    </w:p>
    <w:p w14:paraId="4DB4EE5B">
      <w:pPr>
        <w:pageBreakBefore w:val="0"/>
        <w:numPr>
          <w:ilvl w:val="0"/>
          <w:numId w:val="24"/>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不准要求、暗示和接受</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和相关单位为个人装修住房、婚丧嫁娶、配偶子女的工作安排以及出国(境)旅游等提供方便。</w:t>
      </w:r>
    </w:p>
    <w:p w14:paraId="7002101F">
      <w:pPr>
        <w:pageBreakBefore w:val="0"/>
        <w:numPr>
          <w:ilvl w:val="0"/>
          <w:numId w:val="24"/>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不准参加有可能影响公正执行公务的</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和相关单位的宴请、健身、娱乐等活动。</w:t>
      </w:r>
    </w:p>
    <w:p w14:paraId="4823DFD9">
      <w:pPr>
        <w:pageBreakBefore w:val="0"/>
        <w:numPr>
          <w:ilvl w:val="0"/>
          <w:numId w:val="22"/>
        </w:numPr>
        <w:kinsoku/>
        <w:overflowPunct/>
        <w:topLinePunct w:val="0"/>
        <w:bidi w:val="0"/>
        <w:snapToGrid w:val="0"/>
        <w:spacing w:line="360" w:lineRule="auto"/>
        <w:ind w:firstLine="482" w:firstLineChars="20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eastAsia="zh-CN"/>
        </w:rPr>
        <w:t>承包方</w:t>
      </w:r>
      <w:r>
        <w:rPr>
          <w:rFonts w:hint="eastAsia" w:ascii="仿宋" w:hAnsi="仿宋" w:eastAsia="仿宋" w:cs="仿宋"/>
          <w:b/>
          <w:bCs/>
          <w:color w:val="auto"/>
          <w:spacing w:val="0"/>
          <w:sz w:val="24"/>
          <w:szCs w:val="24"/>
          <w:highlight w:val="none"/>
        </w:rPr>
        <w:t>的责任</w:t>
      </w:r>
    </w:p>
    <w:p w14:paraId="2BD0DF1D">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应与</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和相关单位保持正常的业务交往，按照有关法律法规和程序开展业务工作，认真履行相关职责，并遵守以下规定：</w:t>
      </w:r>
    </w:p>
    <w:p w14:paraId="1673939B">
      <w:pPr>
        <w:pageBreakBefore w:val="0"/>
        <w:numPr>
          <w:ilvl w:val="0"/>
          <w:numId w:val="25"/>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不准以任何理由向</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、相关单位及其工作人索要、接受或赠送礼金、有价证券、贵重物品和回扣、好处费、感谢费等。</w:t>
      </w:r>
    </w:p>
    <w:p w14:paraId="242374A7">
      <w:pPr>
        <w:pageBreakBefore w:val="0"/>
        <w:numPr>
          <w:ilvl w:val="0"/>
          <w:numId w:val="25"/>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不准以任何理由为</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和相关单位报销应由对方或个人支付的费用。</w:t>
      </w:r>
    </w:p>
    <w:p w14:paraId="1CAF00C3">
      <w:pPr>
        <w:pageBreakBefore w:val="0"/>
        <w:numPr>
          <w:ilvl w:val="0"/>
          <w:numId w:val="25"/>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不准接受或暗示为</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、相关单位或个人装修住房、婚丧嫁娶、配偶子女的工作安排以及出国(境)、旅游等提供方便。</w:t>
      </w:r>
    </w:p>
    <w:p w14:paraId="04AF5330">
      <w:pPr>
        <w:pageBreakBefore w:val="0"/>
        <w:numPr>
          <w:ilvl w:val="0"/>
          <w:numId w:val="25"/>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不准以任何理由为</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 xml:space="preserve">、相关单位或个人组织有可能影响公正执行公务的宴请、健身、娱乐等活动。 </w:t>
      </w:r>
    </w:p>
    <w:p w14:paraId="30D97330">
      <w:pPr>
        <w:pageBreakBefore w:val="0"/>
        <w:numPr>
          <w:ilvl w:val="0"/>
          <w:numId w:val="22"/>
        </w:numPr>
        <w:kinsoku/>
        <w:overflowPunct/>
        <w:topLinePunct w:val="0"/>
        <w:bidi w:val="0"/>
        <w:snapToGrid w:val="0"/>
        <w:spacing w:line="360" w:lineRule="auto"/>
        <w:ind w:firstLine="482" w:firstLineChars="20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 xml:space="preserve"> 违约责任   </w:t>
      </w:r>
    </w:p>
    <w:p w14:paraId="0845617A">
      <w:pPr>
        <w:pageBreakBefore w:val="0"/>
        <w:numPr>
          <w:ilvl w:val="0"/>
          <w:numId w:val="26"/>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工作人员有违反本责任书第一、二条责任行为的，按照管理权限，依据有关法律法规和规定给予党纪、政纪处分或组织处理；涉嫌犯罪的，移交司法机关追究刑事责任；给</w:t>
      </w: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单位造成经济损失的，应予以赔偿。</w:t>
      </w:r>
    </w:p>
    <w:p w14:paraId="085813FF">
      <w:pPr>
        <w:pageBreakBefore w:val="0"/>
        <w:numPr>
          <w:ilvl w:val="0"/>
          <w:numId w:val="26"/>
        </w:numPr>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承包方</w:t>
      </w:r>
      <w:r>
        <w:rPr>
          <w:rFonts w:hint="eastAsia" w:ascii="仿宋" w:hAnsi="仿宋" w:eastAsia="仿宋" w:cs="仿宋"/>
          <w:color w:val="auto"/>
          <w:spacing w:val="0"/>
          <w:sz w:val="24"/>
          <w:szCs w:val="24"/>
          <w:highlight w:val="none"/>
        </w:rPr>
        <w:t>工作人员有违反本责任书第一、三条责任行为的，按照管理权限，依据有关法律法规和规定给予党纪、政纪处分或组织处理；涉嫌犯罪的，移交司法机关追究刑事责任；给</w:t>
      </w:r>
      <w:r>
        <w:rPr>
          <w:rFonts w:hint="eastAsia" w:ascii="仿宋" w:hAnsi="仿宋" w:eastAsia="仿宋" w:cs="仿宋"/>
          <w:color w:val="auto"/>
          <w:spacing w:val="0"/>
          <w:sz w:val="24"/>
          <w:szCs w:val="24"/>
          <w:highlight w:val="none"/>
          <w:lang w:eastAsia="zh-CN"/>
        </w:rPr>
        <w:t>发包方</w:t>
      </w:r>
      <w:r>
        <w:rPr>
          <w:rFonts w:hint="eastAsia" w:ascii="仿宋" w:hAnsi="仿宋" w:eastAsia="仿宋" w:cs="仿宋"/>
          <w:color w:val="auto"/>
          <w:spacing w:val="0"/>
          <w:sz w:val="24"/>
          <w:szCs w:val="24"/>
          <w:highlight w:val="none"/>
        </w:rPr>
        <w:t>单位造成经济损失的，应予以赔偿。</w:t>
      </w:r>
    </w:p>
    <w:p w14:paraId="406C2C10">
      <w:pPr>
        <w:pageBreakBefore w:val="0"/>
        <w:numPr>
          <w:ilvl w:val="0"/>
          <w:numId w:val="22"/>
        </w:numPr>
        <w:kinsoku/>
        <w:overflowPunct/>
        <w:topLinePunct w:val="0"/>
        <w:bidi w:val="0"/>
        <w:snapToGrid w:val="0"/>
        <w:spacing w:line="360" w:lineRule="auto"/>
        <w:ind w:firstLine="482" w:firstLineChars="20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本责任书作为合作合同的附件，与其具有同等法律效力。经双方签署后立即生效。</w:t>
      </w:r>
    </w:p>
    <w:p w14:paraId="1F02B4E1">
      <w:pPr>
        <w:pageBreakBefore w:val="0"/>
        <w:numPr>
          <w:ilvl w:val="0"/>
          <w:numId w:val="22"/>
        </w:numPr>
        <w:kinsoku/>
        <w:overflowPunct/>
        <w:topLinePunct w:val="0"/>
        <w:bidi w:val="0"/>
        <w:snapToGrid w:val="0"/>
        <w:spacing w:line="360" w:lineRule="auto"/>
        <w:ind w:firstLine="482" w:firstLineChars="20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本责任书的有效期为双方签署之日起至双方履行完毕合同的所有权利义务止。</w:t>
      </w:r>
    </w:p>
    <w:p w14:paraId="7BCB42E8">
      <w:pPr>
        <w:pageBreakBefore w:val="0"/>
        <w:kinsoku/>
        <w:overflowPunct/>
        <w:topLinePunct w:val="0"/>
        <w:bidi w:val="0"/>
        <w:snapToGrid w:val="0"/>
        <w:spacing w:line="360" w:lineRule="auto"/>
        <w:ind w:firstLine="480"/>
        <w:rPr>
          <w:rFonts w:hint="eastAsia" w:ascii="仿宋" w:hAnsi="仿宋" w:eastAsia="仿宋" w:cs="仿宋"/>
          <w:color w:val="auto"/>
          <w:spacing w:val="0"/>
          <w:sz w:val="24"/>
          <w:szCs w:val="24"/>
          <w:highlight w:val="none"/>
        </w:rPr>
      </w:pPr>
    </w:p>
    <w:p w14:paraId="0BF8402A">
      <w:pPr>
        <w:pStyle w:val="2"/>
        <w:rPr>
          <w:rFonts w:hint="eastAsia"/>
          <w:color w:val="auto"/>
          <w:highlight w:val="none"/>
        </w:rPr>
      </w:pPr>
    </w:p>
    <w:p w14:paraId="5526A094">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发包人：</w:t>
      </w:r>
      <w:r>
        <w:rPr>
          <w:rFonts w:hint="eastAsia" w:ascii="仿宋" w:hAnsi="仿宋" w:eastAsia="仿宋" w:cs="仿宋"/>
          <w:color w:val="auto"/>
          <w:spacing w:val="0"/>
          <w:sz w:val="24"/>
          <w:szCs w:val="24"/>
          <w:highlight w:val="none"/>
          <w:u w:val="single"/>
        </w:rPr>
        <w:t>广州锦泷房地产开发</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承包人 ：       </w:t>
      </w:r>
    </w:p>
    <w:p w14:paraId="27E6A8E9">
      <w:pPr>
        <w:pageBreakBefore w:val="0"/>
        <w:kinsoku/>
        <w:overflowPunct/>
        <w:topLinePunct w:val="0"/>
        <w:bidi w:val="0"/>
        <w:snapToGrid w:val="0"/>
        <w:spacing w:before="156" w:beforeLines="50" w:line="360" w:lineRule="auto"/>
        <w:ind w:left="0" w:leftChars="0" w:firstLine="240" w:firstLineChars="1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u w:val="single"/>
          <w:lang w:val="en-US" w:eastAsia="zh-CN"/>
        </w:rPr>
        <w:t>有限公司</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公章)</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(公章)</w:t>
      </w:r>
    </w:p>
    <w:p w14:paraId="7871475B">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                     法定代表人：</w:t>
      </w:r>
    </w:p>
    <w:p w14:paraId="23CD97AC">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地址：                           地址：</w:t>
      </w:r>
    </w:p>
    <w:p w14:paraId="55E80469">
      <w:pPr>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电话：                           电话：</w:t>
      </w:r>
    </w:p>
    <w:p w14:paraId="606B11DC">
      <w:pPr>
        <w:pStyle w:val="10"/>
        <w:pageBreakBefore w:val="0"/>
        <w:kinsoku/>
        <w:overflowPunct/>
        <w:topLinePunct w:val="0"/>
        <w:bidi w:val="0"/>
        <w:snapToGrid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年  月  日                       年  月  日</w:t>
      </w:r>
    </w:p>
    <w:p w14:paraId="4D870611">
      <w:pPr>
        <w:pStyle w:val="2"/>
        <w:pageBreakBefore w:val="0"/>
        <w:kinsoku/>
        <w:overflowPunct/>
        <w:topLinePunct w:val="0"/>
        <w:bidi w:val="0"/>
        <w:snapToGrid w:val="0"/>
        <w:spacing w:line="360" w:lineRule="auto"/>
        <w:jc w:val="left"/>
        <w:rPr>
          <w:rFonts w:hint="eastAsia" w:ascii="仿宋" w:hAnsi="仿宋" w:eastAsia="仿宋" w:cs="仿宋"/>
          <w:b w:val="0"/>
          <w:bCs w:val="0"/>
          <w:color w:val="auto"/>
          <w:spacing w:val="0"/>
          <w:sz w:val="24"/>
          <w:szCs w:val="24"/>
          <w:highlight w:val="none"/>
          <w:u w:val="none"/>
          <w:lang w:val="en-US" w:eastAsia="zh-CN"/>
        </w:rPr>
      </w:pPr>
      <w:r>
        <w:rPr>
          <w:rFonts w:hint="eastAsia" w:ascii="仿宋" w:hAnsi="仿宋" w:eastAsia="仿宋" w:cs="仿宋"/>
          <w:b w:val="0"/>
          <w:bCs w:val="0"/>
          <w:color w:val="auto"/>
          <w:spacing w:val="0"/>
          <w:sz w:val="24"/>
          <w:szCs w:val="24"/>
          <w:highlight w:val="none"/>
          <w:u w:val="none"/>
          <w:lang w:val="en-US" w:eastAsia="zh-CN"/>
        </w:rPr>
        <w:t>（以下无正文）</w:t>
      </w:r>
    </w:p>
    <w:p w14:paraId="3598BBFA">
      <w:pPr>
        <w:pStyle w:val="2"/>
        <w:pageBreakBefore w:val="0"/>
        <w:kinsoku/>
        <w:overflowPunct/>
        <w:topLinePunct w:val="0"/>
        <w:bidi w:val="0"/>
        <w:snapToGrid w:val="0"/>
        <w:spacing w:line="360" w:lineRule="auto"/>
        <w:jc w:val="center"/>
        <w:rPr>
          <w:rFonts w:hint="eastAsia" w:ascii="仿宋" w:hAnsi="仿宋" w:eastAsia="仿宋" w:cs="仿宋"/>
          <w:b/>
          <w:bCs/>
          <w:color w:val="auto"/>
          <w:spacing w:val="0"/>
          <w:sz w:val="24"/>
          <w:szCs w:val="24"/>
          <w:highlight w:val="none"/>
          <w:u w:val="single"/>
          <w:lang w:val="en-US" w:eastAsia="zh-CN"/>
        </w:rPr>
      </w:pPr>
    </w:p>
    <w:p w14:paraId="652D39EB">
      <w:pPr>
        <w:pStyle w:val="2"/>
        <w:pageBreakBefore w:val="0"/>
        <w:kinsoku/>
        <w:overflowPunct/>
        <w:topLinePunct w:val="0"/>
        <w:bidi w:val="0"/>
        <w:snapToGrid w:val="0"/>
        <w:spacing w:line="360" w:lineRule="auto"/>
        <w:rPr>
          <w:rFonts w:hint="eastAsia" w:ascii="仿宋" w:hAnsi="仿宋" w:eastAsia="仿宋" w:cs="仿宋"/>
          <w:bCs/>
          <w:color w:val="auto"/>
          <w:spacing w:val="0"/>
          <w:sz w:val="24"/>
          <w:szCs w:val="24"/>
          <w:highlight w:val="none"/>
        </w:rPr>
      </w:pPr>
    </w:p>
    <w:p w14:paraId="7A8A07C4">
      <w:pPr>
        <w:pStyle w:val="2"/>
        <w:pageBreakBefore w:val="0"/>
        <w:kinsoku/>
        <w:overflowPunct/>
        <w:topLinePunct w:val="0"/>
        <w:bidi w:val="0"/>
        <w:snapToGrid w:val="0"/>
        <w:spacing w:line="360" w:lineRule="auto"/>
        <w:jc w:val="center"/>
        <w:rPr>
          <w:rFonts w:hint="eastAsia" w:ascii="仿宋" w:hAnsi="仿宋" w:eastAsia="仿宋" w:cs="仿宋"/>
          <w:b/>
          <w:bCs/>
          <w:color w:val="auto"/>
          <w:spacing w:val="0"/>
          <w:sz w:val="24"/>
          <w:szCs w:val="24"/>
          <w:highlight w:val="none"/>
          <w:u w:val="single"/>
          <w:lang w:val="en-US" w:eastAsia="zh-CN"/>
        </w:rPr>
      </w:pPr>
    </w:p>
    <w:p w14:paraId="29E6F49A">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bookmarkStart w:id="135" w:name="_Toc13252"/>
    </w:p>
    <w:p w14:paraId="67C236DD">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p w14:paraId="67A45640">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p w14:paraId="39781015">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p w14:paraId="1C93F02E">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p w14:paraId="1076B3F5">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p w14:paraId="193ACC88">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p w14:paraId="63EBA354">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p w14:paraId="7D83A71C">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p w14:paraId="6FF71A75">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p w14:paraId="2E6B2001">
      <w:pPr>
        <w:pStyle w:val="11"/>
        <w:pageBreakBefore w:val="0"/>
        <w:tabs>
          <w:tab w:val="left" w:pos="540"/>
        </w:tabs>
        <w:kinsoku/>
        <w:overflowPunct/>
        <w:topLinePunct w:val="0"/>
        <w:bidi w:val="0"/>
        <w:snapToGrid w:val="0"/>
        <w:spacing w:before="158" w:after="0" w:line="360" w:lineRule="auto"/>
        <w:ind w:left="0" w:leftChars="0" w:firstLine="0" w:firstLineChars="0"/>
        <w:jc w:val="center"/>
        <w:outlineLvl w:val="0"/>
        <w:rPr>
          <w:rFonts w:hint="eastAsia" w:ascii="仿宋" w:hAnsi="仿宋" w:eastAsia="仿宋" w:cs="仿宋"/>
          <w:b/>
          <w:bCs/>
          <w:color w:val="auto"/>
          <w:spacing w:val="0"/>
          <w:kern w:val="44"/>
          <w:sz w:val="24"/>
          <w:szCs w:val="24"/>
          <w:highlight w:val="none"/>
          <w:lang w:val="en-US" w:eastAsia="zh-CN"/>
        </w:rPr>
      </w:pPr>
    </w:p>
    <w:bookmarkEnd w:id="135"/>
    <w:p w14:paraId="60BFFD89">
      <w:pPr>
        <w:pageBreakBefore w:val="0"/>
        <w:kinsoku/>
        <w:overflowPunct/>
        <w:topLinePunct w:val="0"/>
        <w:bidi w:val="0"/>
        <w:snapToGrid w:val="0"/>
        <w:spacing w:line="360" w:lineRule="auto"/>
        <w:ind w:left="0" w:leftChars="0" w:firstLine="0" w:firstLineChars="0"/>
        <w:rPr>
          <w:rFonts w:hint="eastAsia" w:ascii="仿宋" w:hAnsi="仿宋" w:eastAsia="仿宋" w:cs="仿宋"/>
          <w:color w:val="auto"/>
          <w:spacing w:val="0"/>
          <w:sz w:val="24"/>
          <w:szCs w:val="24"/>
          <w:highlight w:val="none"/>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7B4D">
    <w:pPr>
      <w:pStyle w:val="12"/>
      <w:rPr>
        <w:sz w:val="24"/>
        <w:szCs w:val="24"/>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0490" cy="131445"/>
              <wp:effectExtent l="0" t="0" r="0" b="0"/>
              <wp:wrapNone/>
              <wp:docPr id="4097" name="文本框 1"/>
              <wp:cNvGraphicFramePr/>
              <a:graphic xmlns:a="http://schemas.openxmlformats.org/drawingml/2006/main">
                <a:graphicData uri="http://schemas.microsoft.com/office/word/2010/wordprocessingShape">
                  <wps:wsp>
                    <wps:cNvSpPr/>
                    <wps:spPr>
                      <a:xfrm>
                        <a:off x="0" y="0"/>
                        <a:ext cx="110490" cy="131445"/>
                      </a:xfrm>
                      <a:prstGeom prst="rect">
                        <a:avLst/>
                      </a:prstGeom>
                      <a:ln>
                        <a:noFill/>
                      </a:ln>
                    </wps:spPr>
                    <wps:txbx>
                      <w:txbxContent>
                        <w:p w14:paraId="693648C4">
                          <w:pPr>
                            <w:pStyle w:val="1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vert="horz" wrap="none" lIns="0" tIns="0" rIns="0" bIns="0" anchor="t" upright="1">
                      <a:spAutoFit/>
                    </wps:bodyPr>
                  </wps:wsp>
                </a:graphicData>
              </a:graphic>
            </wp:anchor>
          </w:drawing>
        </mc:Choice>
        <mc:Fallback>
          <w:pict>
            <v:rect id="文本框 1" o:spid="_x0000_s1026" o:spt="1" style="position:absolute;left:0pt;margin-top:0pt;height:10.35pt;width:8.7pt;mso-position-horizontal:center;mso-position-horizontal-relative:margin;mso-wrap-style:none;z-index:251659264;mso-width-relative:page;mso-height-relative:page;" filled="f" stroked="f" coordsize="21600,21600" o:gfxdata="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vUucTRAAAAAwEAAA8AAAAAAAAAAQAgAAAAIgAA&#10;AGRycy9kb3ducmV2LnhtbFBLAQIUABQAAAAIAIdO4kDT5DBY1gEAAJwDAAAOAAAAAAAAAAEAIAAA&#10;ACABAABkcnMvZTJvRG9jLnhtbFBLBQYAAAAABgAGAFkBAABoBQAAAAA=&#10;">
              <v:fill on="f" focussize="0,0"/>
              <v:stroke on="f"/>
              <v:imagedata o:title=""/>
              <o:lock v:ext="edit" aspectratio="f"/>
              <v:textbox inset="0mm,0mm,0mm,0mm" style="mso-fit-shape-to-text:t;">
                <w:txbxContent>
                  <w:p w14:paraId="693648C4">
                    <w:pPr>
                      <w:pStyle w:val="1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rect>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9A63">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0E8F8">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C0E8F8">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4F62">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2E9BA">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C2E9BA">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590963"/>
    </w:sdtPr>
    <w:sdtContent>
      <w:p w14:paraId="0BDCE13D">
        <w:pPr>
          <w:pStyle w:val="12"/>
          <w:spacing w:before="120"/>
          <w:ind w:firstLine="360"/>
          <w:jc w:val="center"/>
        </w:pPr>
        <w:r>
          <w:fldChar w:fldCharType="begin"/>
        </w:r>
        <w:r>
          <w:instrText xml:space="preserve">PAGE   \* MERGEFORMAT</w:instrText>
        </w:r>
        <w:r>
          <w:fldChar w:fldCharType="separate"/>
        </w:r>
        <w:r>
          <w:rPr>
            <w:lang w:val="zh-CN"/>
          </w:rPr>
          <w:t>18</w:t>
        </w:r>
        <w:r>
          <w:fldChar w:fldCharType="end"/>
        </w:r>
      </w:p>
    </w:sdtContent>
  </w:sdt>
  <w:p w14:paraId="6C193257">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14756">
    <w:pPr>
      <w:pStyle w:val="13"/>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DABA1"/>
    <w:multiLevelType w:val="singleLevel"/>
    <w:tmpl w:val="806DABA1"/>
    <w:lvl w:ilvl="0" w:tentative="0">
      <w:start w:val="1"/>
      <w:numFmt w:val="chineseCounting"/>
      <w:suff w:val="space"/>
      <w:lvlText w:val="（%1）"/>
      <w:lvlJc w:val="left"/>
      <w:rPr>
        <w:rFonts w:hint="eastAsia"/>
      </w:rPr>
    </w:lvl>
  </w:abstractNum>
  <w:abstractNum w:abstractNumId="1">
    <w:nsid w:val="996FEC92"/>
    <w:multiLevelType w:val="singleLevel"/>
    <w:tmpl w:val="996FEC92"/>
    <w:lvl w:ilvl="0" w:tentative="0">
      <w:start w:val="1"/>
      <w:numFmt w:val="decimal"/>
      <w:suff w:val="space"/>
      <w:lvlText w:val="%1."/>
      <w:lvlJc w:val="left"/>
    </w:lvl>
  </w:abstractNum>
  <w:abstractNum w:abstractNumId="2">
    <w:nsid w:val="9DF7CD03"/>
    <w:multiLevelType w:val="singleLevel"/>
    <w:tmpl w:val="9DF7CD03"/>
    <w:lvl w:ilvl="0" w:tentative="0">
      <w:start w:val="1"/>
      <w:numFmt w:val="decimal"/>
      <w:suff w:val="nothing"/>
      <w:lvlText w:val="%1．"/>
      <w:lvlJc w:val="left"/>
      <w:pPr>
        <w:ind w:left="0" w:firstLine="400"/>
      </w:pPr>
      <w:rPr>
        <w:rFonts w:hint="default"/>
      </w:rPr>
    </w:lvl>
  </w:abstractNum>
  <w:abstractNum w:abstractNumId="3">
    <w:nsid w:val="A677D414"/>
    <w:multiLevelType w:val="singleLevel"/>
    <w:tmpl w:val="A677D414"/>
    <w:lvl w:ilvl="0" w:tentative="0">
      <w:start w:val="1"/>
      <w:numFmt w:val="decimal"/>
      <w:suff w:val="nothing"/>
      <w:lvlText w:val="%1．"/>
      <w:lvlJc w:val="left"/>
      <w:pPr>
        <w:ind w:left="0" w:firstLine="400"/>
      </w:pPr>
      <w:rPr>
        <w:rFonts w:hint="default"/>
      </w:rPr>
    </w:lvl>
  </w:abstractNum>
  <w:abstractNum w:abstractNumId="4">
    <w:nsid w:val="B294A9B8"/>
    <w:multiLevelType w:val="singleLevel"/>
    <w:tmpl w:val="B294A9B8"/>
    <w:lvl w:ilvl="0" w:tentative="0">
      <w:start w:val="2"/>
      <w:numFmt w:val="chineseCounting"/>
      <w:suff w:val="space"/>
      <w:lvlText w:val="第%1部分"/>
      <w:lvlJc w:val="left"/>
      <w:rPr>
        <w:rFonts w:hint="eastAsia"/>
      </w:rPr>
    </w:lvl>
  </w:abstractNum>
  <w:abstractNum w:abstractNumId="5">
    <w:nsid w:val="C7FE1EBE"/>
    <w:multiLevelType w:val="singleLevel"/>
    <w:tmpl w:val="C7FE1EBE"/>
    <w:lvl w:ilvl="0" w:tentative="0">
      <w:start w:val="1"/>
      <w:numFmt w:val="chineseCounting"/>
      <w:suff w:val="nothing"/>
      <w:lvlText w:val="%1、"/>
      <w:lvlJc w:val="left"/>
      <w:pPr>
        <w:ind w:left="0" w:firstLine="420"/>
      </w:pPr>
      <w:rPr>
        <w:rFonts w:hint="eastAsia"/>
      </w:rPr>
    </w:lvl>
  </w:abstractNum>
  <w:abstractNum w:abstractNumId="6">
    <w:nsid w:val="ED9B5C30"/>
    <w:multiLevelType w:val="singleLevel"/>
    <w:tmpl w:val="ED9B5C30"/>
    <w:lvl w:ilvl="0" w:tentative="0">
      <w:start w:val="1"/>
      <w:numFmt w:val="decimal"/>
      <w:lvlText w:val="(%1)"/>
      <w:lvlJc w:val="left"/>
      <w:pPr>
        <w:ind w:left="425" w:hanging="425"/>
      </w:pPr>
      <w:rPr>
        <w:rFonts w:hint="default"/>
      </w:rPr>
    </w:lvl>
  </w:abstractNum>
  <w:abstractNum w:abstractNumId="7">
    <w:nsid w:val="EFFA4AD5"/>
    <w:multiLevelType w:val="singleLevel"/>
    <w:tmpl w:val="EFFA4AD5"/>
    <w:lvl w:ilvl="0" w:tentative="0">
      <w:start w:val="1"/>
      <w:numFmt w:val="decimal"/>
      <w:suff w:val="nothing"/>
      <w:lvlText w:val="%1．"/>
      <w:lvlJc w:val="left"/>
      <w:pPr>
        <w:ind w:left="0" w:firstLine="400"/>
      </w:pPr>
      <w:rPr>
        <w:rFonts w:hint="default"/>
      </w:rPr>
    </w:lvl>
  </w:abstractNum>
  <w:abstractNum w:abstractNumId="8">
    <w:nsid w:val="F06DE5E9"/>
    <w:multiLevelType w:val="singleLevel"/>
    <w:tmpl w:val="F06DE5E9"/>
    <w:lvl w:ilvl="0" w:tentative="0">
      <w:start w:val="1"/>
      <w:numFmt w:val="decimal"/>
      <w:lvlText w:val="(%1)"/>
      <w:lvlJc w:val="left"/>
      <w:pPr>
        <w:ind w:left="425" w:hanging="425"/>
      </w:pPr>
      <w:rPr>
        <w:rFonts w:hint="default"/>
      </w:rPr>
    </w:lvl>
  </w:abstractNum>
  <w:abstractNum w:abstractNumId="9">
    <w:nsid w:val="F5BF633D"/>
    <w:multiLevelType w:val="singleLevel"/>
    <w:tmpl w:val="F5BF633D"/>
    <w:lvl w:ilvl="0" w:tentative="0">
      <w:start w:val="1"/>
      <w:numFmt w:val="decimal"/>
      <w:suff w:val="nothing"/>
      <w:lvlText w:val="%1．"/>
      <w:lvlJc w:val="left"/>
      <w:pPr>
        <w:ind w:left="0" w:firstLine="400"/>
      </w:pPr>
      <w:rPr>
        <w:rFonts w:hint="default"/>
      </w:rPr>
    </w:lvl>
  </w:abstractNum>
  <w:abstractNum w:abstractNumId="10">
    <w:nsid w:val="F67DDA95"/>
    <w:multiLevelType w:val="singleLevel"/>
    <w:tmpl w:val="F67DDA95"/>
    <w:lvl w:ilvl="0" w:tentative="0">
      <w:start w:val="1"/>
      <w:numFmt w:val="decimal"/>
      <w:suff w:val="nothing"/>
      <w:lvlText w:val="%1．"/>
      <w:lvlJc w:val="left"/>
      <w:pPr>
        <w:ind w:left="0" w:firstLine="403"/>
      </w:pPr>
      <w:rPr>
        <w:rFonts w:hint="default" w:ascii="仿宋" w:hAnsi="仿宋" w:eastAsia="仿宋" w:cs="仿宋"/>
      </w:rPr>
    </w:lvl>
  </w:abstractNum>
  <w:abstractNum w:abstractNumId="11">
    <w:nsid w:val="FBAD033E"/>
    <w:multiLevelType w:val="singleLevel"/>
    <w:tmpl w:val="FBAD033E"/>
    <w:lvl w:ilvl="0" w:tentative="0">
      <w:start w:val="1"/>
      <w:numFmt w:val="decimal"/>
      <w:suff w:val="nothing"/>
      <w:lvlText w:val="%1．"/>
      <w:lvlJc w:val="left"/>
      <w:pPr>
        <w:ind w:left="0" w:firstLine="400"/>
      </w:pPr>
      <w:rPr>
        <w:rFonts w:hint="default"/>
      </w:rPr>
    </w:lvl>
  </w:abstractNum>
  <w:abstractNum w:abstractNumId="12">
    <w:nsid w:val="024AF2D9"/>
    <w:multiLevelType w:val="singleLevel"/>
    <w:tmpl w:val="024AF2D9"/>
    <w:lvl w:ilvl="0" w:tentative="0">
      <w:start w:val="1"/>
      <w:numFmt w:val="decimal"/>
      <w:suff w:val="nothing"/>
      <w:lvlText w:val="%1．"/>
      <w:lvlJc w:val="left"/>
      <w:pPr>
        <w:ind w:left="0" w:firstLine="400"/>
      </w:pPr>
      <w:rPr>
        <w:rFonts w:hint="default"/>
      </w:rPr>
    </w:lvl>
  </w:abstractNum>
  <w:abstractNum w:abstractNumId="13">
    <w:nsid w:val="07B13B6D"/>
    <w:multiLevelType w:val="singleLevel"/>
    <w:tmpl w:val="07B13B6D"/>
    <w:lvl w:ilvl="0" w:tentative="0">
      <w:start w:val="1"/>
      <w:numFmt w:val="decimal"/>
      <w:suff w:val="space"/>
      <w:lvlText w:val="%1."/>
      <w:lvlJc w:val="left"/>
    </w:lvl>
  </w:abstractNum>
  <w:abstractNum w:abstractNumId="14">
    <w:nsid w:val="08293677"/>
    <w:multiLevelType w:val="singleLevel"/>
    <w:tmpl w:val="08293677"/>
    <w:lvl w:ilvl="0" w:tentative="0">
      <w:start w:val="3"/>
      <w:numFmt w:val="decimal"/>
      <w:suff w:val="nothing"/>
      <w:lvlText w:val="%1、"/>
      <w:lvlJc w:val="left"/>
    </w:lvl>
  </w:abstractNum>
  <w:abstractNum w:abstractNumId="15">
    <w:nsid w:val="33F9BA8D"/>
    <w:multiLevelType w:val="singleLevel"/>
    <w:tmpl w:val="33F9BA8D"/>
    <w:lvl w:ilvl="0" w:tentative="0">
      <w:start w:val="1"/>
      <w:numFmt w:val="decimal"/>
      <w:lvlText w:val="(%1)"/>
      <w:lvlJc w:val="left"/>
      <w:pPr>
        <w:ind w:left="425" w:hanging="425"/>
      </w:pPr>
      <w:rPr>
        <w:rFonts w:hint="default"/>
      </w:rPr>
    </w:lvl>
  </w:abstractNum>
  <w:abstractNum w:abstractNumId="16">
    <w:nsid w:val="349C076B"/>
    <w:multiLevelType w:val="singleLevel"/>
    <w:tmpl w:val="349C076B"/>
    <w:lvl w:ilvl="0" w:tentative="0">
      <w:start w:val="1"/>
      <w:numFmt w:val="decimal"/>
      <w:suff w:val="space"/>
      <w:lvlText w:val="%1、"/>
      <w:lvlJc w:val="left"/>
      <w:rPr>
        <w:rFonts w:ascii="仿宋" w:hAnsi="仿宋" w:eastAsia="仿宋" w:cs="仿宋"/>
      </w:rPr>
    </w:lvl>
  </w:abstractNum>
  <w:abstractNum w:abstractNumId="17">
    <w:nsid w:val="3F6F3B47"/>
    <w:multiLevelType w:val="singleLevel"/>
    <w:tmpl w:val="3F6F3B47"/>
    <w:lvl w:ilvl="0" w:tentative="0">
      <w:start w:val="1"/>
      <w:numFmt w:val="decimal"/>
      <w:suff w:val="space"/>
      <w:lvlText w:val="%1."/>
      <w:lvlJc w:val="left"/>
    </w:lvl>
  </w:abstractNum>
  <w:abstractNum w:abstractNumId="18">
    <w:nsid w:val="59DA4010"/>
    <w:multiLevelType w:val="singleLevel"/>
    <w:tmpl w:val="59DA4010"/>
    <w:lvl w:ilvl="0" w:tentative="0">
      <w:start w:val="1"/>
      <w:numFmt w:val="chineseCounting"/>
      <w:suff w:val="nothing"/>
      <w:lvlText w:val="%1、"/>
      <w:lvlJc w:val="left"/>
      <w:pPr>
        <w:ind w:left="0" w:firstLine="420"/>
      </w:pPr>
      <w:rPr>
        <w:rFonts w:hint="eastAsia"/>
      </w:rPr>
    </w:lvl>
  </w:abstractNum>
  <w:abstractNum w:abstractNumId="19">
    <w:nsid w:val="5F7E4AC4"/>
    <w:multiLevelType w:val="singleLevel"/>
    <w:tmpl w:val="5F7E4AC4"/>
    <w:lvl w:ilvl="0" w:tentative="0">
      <w:start w:val="1"/>
      <w:numFmt w:val="decimal"/>
      <w:suff w:val="nothing"/>
      <w:lvlText w:val="%1．"/>
      <w:lvlJc w:val="left"/>
      <w:pPr>
        <w:ind w:left="0" w:firstLine="400"/>
      </w:pPr>
      <w:rPr>
        <w:rFonts w:hint="default"/>
      </w:rPr>
    </w:lvl>
  </w:abstractNum>
  <w:abstractNum w:abstractNumId="20">
    <w:nsid w:val="6739DDCB"/>
    <w:multiLevelType w:val="multilevel"/>
    <w:tmpl w:val="6739DDCB"/>
    <w:lvl w:ilvl="0" w:tentative="0">
      <w:start w:val="1"/>
      <w:numFmt w:val="japaneseCounting"/>
      <w:lvlText w:val="（%1）"/>
      <w:lvlJc w:val="left"/>
      <w:pPr>
        <w:ind w:left="1200" w:hanging="720"/>
      </w:pPr>
      <w:rPr>
        <w:rFonts w:hint="default" w:ascii="Times New Roman" w:hAnsi="Times New Roman" w:cs="Times New Roman"/>
        <w:lang w:val="en-US"/>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21">
    <w:nsid w:val="6D028916"/>
    <w:multiLevelType w:val="singleLevel"/>
    <w:tmpl w:val="6D028916"/>
    <w:lvl w:ilvl="0" w:tentative="0">
      <w:start w:val="1"/>
      <w:numFmt w:val="decimal"/>
      <w:suff w:val="space"/>
      <w:lvlText w:val="%1."/>
      <w:lvlJc w:val="left"/>
    </w:lvl>
  </w:abstractNum>
  <w:abstractNum w:abstractNumId="22">
    <w:nsid w:val="737ECFC6"/>
    <w:multiLevelType w:val="singleLevel"/>
    <w:tmpl w:val="737ECFC6"/>
    <w:lvl w:ilvl="0" w:tentative="0">
      <w:start w:val="1"/>
      <w:numFmt w:val="decimal"/>
      <w:lvlText w:val="(%1)"/>
      <w:lvlJc w:val="left"/>
      <w:pPr>
        <w:tabs>
          <w:tab w:val="left" w:pos="397"/>
        </w:tabs>
        <w:ind w:left="0" w:firstLine="0"/>
      </w:pPr>
      <w:rPr>
        <w:rFonts w:hint="default" w:ascii="仿宋" w:hAnsi="仿宋" w:eastAsia="仿宋" w:cs="仿宋"/>
      </w:rPr>
    </w:lvl>
  </w:abstractNum>
  <w:abstractNum w:abstractNumId="23">
    <w:nsid w:val="7EDA12C6"/>
    <w:multiLevelType w:val="singleLevel"/>
    <w:tmpl w:val="7EDA12C6"/>
    <w:lvl w:ilvl="0" w:tentative="0">
      <w:start w:val="1"/>
      <w:numFmt w:val="decimal"/>
      <w:suff w:val="nothing"/>
      <w:lvlText w:val="%1．"/>
      <w:lvlJc w:val="left"/>
      <w:pPr>
        <w:ind w:left="0" w:firstLine="400"/>
      </w:pPr>
      <w:rPr>
        <w:rFonts w:hint="default"/>
      </w:rPr>
    </w:lvl>
  </w:abstractNum>
  <w:num w:numId="1">
    <w:abstractNumId w:val="4"/>
  </w:num>
  <w:num w:numId="2">
    <w:abstractNumId w:val="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9"/>
  </w:num>
  <w:num w:numId="7">
    <w:abstractNumId w:val="2"/>
  </w:num>
  <w:num w:numId="8">
    <w:abstractNumId w:val="8"/>
  </w:num>
  <w:num w:numId="9">
    <w:abstractNumId w:val="12"/>
  </w:num>
  <w:num w:numId="10">
    <w:abstractNumId w:val="16"/>
  </w:num>
  <w:num w:numId="11">
    <w:abstractNumId w:val="3"/>
  </w:num>
  <w:num w:numId="12">
    <w:abstractNumId w:val="15"/>
  </w:num>
  <w:num w:numId="13">
    <w:abstractNumId w:val="11"/>
  </w:num>
  <w:num w:numId="14">
    <w:abstractNumId w:val="6"/>
  </w:num>
  <w:num w:numId="15">
    <w:abstractNumId w:val="7"/>
  </w:num>
  <w:num w:numId="16">
    <w:abstractNumId w:val="22"/>
    <w:lvlOverride w:ilvl="0">
      <w:startOverride w:val="1"/>
    </w:lvlOverride>
  </w:num>
  <w:num w:numId="17">
    <w:abstractNumId w:val="10"/>
    <w:lvlOverride w:ilvl="0">
      <w:startOverride w:val="1"/>
    </w:lvlOverride>
  </w:num>
  <w:num w:numId="18">
    <w:abstractNumId w:val="19"/>
  </w:num>
  <w:num w:numId="19">
    <w:abstractNumId w:val="10"/>
    <w:lvlOverride w:ilvl="0">
      <w:startOverride w:val="1"/>
    </w:lvlOverride>
  </w:num>
  <w:num w:numId="20">
    <w:abstractNumId w:val="10"/>
    <w:lvlOverride w:ilvl="0">
      <w:startOverride w:val="1"/>
    </w:lvlOverride>
  </w:num>
  <w:num w:numId="21">
    <w:abstractNumId w:val="23"/>
  </w:num>
  <w:num w:numId="22">
    <w:abstractNumId w:val="18"/>
  </w:num>
  <w:num w:numId="23">
    <w:abstractNumId w:val="17"/>
  </w:num>
  <w:num w:numId="24">
    <w:abstractNumId w:val="1"/>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gzprg.com:1979/seeyon/officeservlet"/>
  </w:docVars>
  <w:rsids>
    <w:rsidRoot w:val="67A8418E"/>
    <w:rsid w:val="0009075B"/>
    <w:rsid w:val="00473031"/>
    <w:rsid w:val="00637A34"/>
    <w:rsid w:val="007C0F2D"/>
    <w:rsid w:val="00A83AD0"/>
    <w:rsid w:val="00C14B91"/>
    <w:rsid w:val="0136732D"/>
    <w:rsid w:val="013B4944"/>
    <w:rsid w:val="01B85F94"/>
    <w:rsid w:val="01C81F50"/>
    <w:rsid w:val="01D134FA"/>
    <w:rsid w:val="02072A78"/>
    <w:rsid w:val="02447828"/>
    <w:rsid w:val="02ED4364"/>
    <w:rsid w:val="02FF7BF3"/>
    <w:rsid w:val="03B1493A"/>
    <w:rsid w:val="04041965"/>
    <w:rsid w:val="04074FB1"/>
    <w:rsid w:val="04C74740"/>
    <w:rsid w:val="04EF4078"/>
    <w:rsid w:val="053D6174"/>
    <w:rsid w:val="05940AC6"/>
    <w:rsid w:val="064222D0"/>
    <w:rsid w:val="068F7A3E"/>
    <w:rsid w:val="06C947A0"/>
    <w:rsid w:val="06DF3FC3"/>
    <w:rsid w:val="0717375D"/>
    <w:rsid w:val="07A336EF"/>
    <w:rsid w:val="07F341CA"/>
    <w:rsid w:val="080F2686"/>
    <w:rsid w:val="086C7AD9"/>
    <w:rsid w:val="092C7268"/>
    <w:rsid w:val="093305F6"/>
    <w:rsid w:val="093B131A"/>
    <w:rsid w:val="094F3A1B"/>
    <w:rsid w:val="09E87633"/>
    <w:rsid w:val="0A86034F"/>
    <w:rsid w:val="0A917CCA"/>
    <w:rsid w:val="0AB13EC9"/>
    <w:rsid w:val="0AF81AF7"/>
    <w:rsid w:val="0B725406"/>
    <w:rsid w:val="0B8F707F"/>
    <w:rsid w:val="0BA852CC"/>
    <w:rsid w:val="0BBF2615"/>
    <w:rsid w:val="0BF87FD2"/>
    <w:rsid w:val="0C1C7A68"/>
    <w:rsid w:val="0C4B1293"/>
    <w:rsid w:val="0C965124"/>
    <w:rsid w:val="0C9B6BDE"/>
    <w:rsid w:val="0CAC2B9A"/>
    <w:rsid w:val="0CF307C8"/>
    <w:rsid w:val="0D0F4ED6"/>
    <w:rsid w:val="0D38442D"/>
    <w:rsid w:val="0D603E2B"/>
    <w:rsid w:val="0D7F311A"/>
    <w:rsid w:val="0DCF4D92"/>
    <w:rsid w:val="0DDF6F9F"/>
    <w:rsid w:val="0DF20A80"/>
    <w:rsid w:val="0E682AF0"/>
    <w:rsid w:val="0F052A35"/>
    <w:rsid w:val="0F670FFA"/>
    <w:rsid w:val="0FBC1346"/>
    <w:rsid w:val="0FDD12BC"/>
    <w:rsid w:val="10294501"/>
    <w:rsid w:val="107514F4"/>
    <w:rsid w:val="10771710"/>
    <w:rsid w:val="108A4FA0"/>
    <w:rsid w:val="108C6F6A"/>
    <w:rsid w:val="11032FA4"/>
    <w:rsid w:val="114333A1"/>
    <w:rsid w:val="11494E5B"/>
    <w:rsid w:val="11E132E5"/>
    <w:rsid w:val="120A2D9F"/>
    <w:rsid w:val="1222745A"/>
    <w:rsid w:val="123258EF"/>
    <w:rsid w:val="123553DF"/>
    <w:rsid w:val="12595987"/>
    <w:rsid w:val="12DF680F"/>
    <w:rsid w:val="1303728B"/>
    <w:rsid w:val="133E4C2B"/>
    <w:rsid w:val="13743CE5"/>
    <w:rsid w:val="13B54A2A"/>
    <w:rsid w:val="14065285"/>
    <w:rsid w:val="141F00F5"/>
    <w:rsid w:val="145D29CB"/>
    <w:rsid w:val="158A5A42"/>
    <w:rsid w:val="15CF5F08"/>
    <w:rsid w:val="15F01D49"/>
    <w:rsid w:val="174F2A9F"/>
    <w:rsid w:val="17620A24"/>
    <w:rsid w:val="17797B1C"/>
    <w:rsid w:val="177B3E6B"/>
    <w:rsid w:val="17F13B56"/>
    <w:rsid w:val="18042091"/>
    <w:rsid w:val="181E5F9F"/>
    <w:rsid w:val="18A64941"/>
    <w:rsid w:val="18ED2570"/>
    <w:rsid w:val="19856C4C"/>
    <w:rsid w:val="1A8213DE"/>
    <w:rsid w:val="1AD05CA5"/>
    <w:rsid w:val="1B9E2247"/>
    <w:rsid w:val="1BC17ADD"/>
    <w:rsid w:val="1BD17F27"/>
    <w:rsid w:val="1BD619E1"/>
    <w:rsid w:val="1CAE0268"/>
    <w:rsid w:val="1CF33ECD"/>
    <w:rsid w:val="1D04432C"/>
    <w:rsid w:val="1D1327C1"/>
    <w:rsid w:val="1D4B1F5B"/>
    <w:rsid w:val="1DB63368"/>
    <w:rsid w:val="1DDD4649"/>
    <w:rsid w:val="1ED63AA6"/>
    <w:rsid w:val="1EE84F19"/>
    <w:rsid w:val="1F574BE7"/>
    <w:rsid w:val="1F996FAD"/>
    <w:rsid w:val="1FBC0EEE"/>
    <w:rsid w:val="207B3D51"/>
    <w:rsid w:val="2091237A"/>
    <w:rsid w:val="209B338C"/>
    <w:rsid w:val="20AC2D10"/>
    <w:rsid w:val="21222FD3"/>
    <w:rsid w:val="21A165ED"/>
    <w:rsid w:val="22010E3A"/>
    <w:rsid w:val="231B5F2B"/>
    <w:rsid w:val="23EB7FF4"/>
    <w:rsid w:val="24613E12"/>
    <w:rsid w:val="24884407"/>
    <w:rsid w:val="254E4396"/>
    <w:rsid w:val="2556149D"/>
    <w:rsid w:val="25706A02"/>
    <w:rsid w:val="25B12B77"/>
    <w:rsid w:val="26094761"/>
    <w:rsid w:val="26D20FF7"/>
    <w:rsid w:val="27167136"/>
    <w:rsid w:val="277D4C39"/>
    <w:rsid w:val="27F37477"/>
    <w:rsid w:val="289447B6"/>
    <w:rsid w:val="29475CCC"/>
    <w:rsid w:val="29B52DD8"/>
    <w:rsid w:val="29EA665D"/>
    <w:rsid w:val="29FB0865"/>
    <w:rsid w:val="2AC375D4"/>
    <w:rsid w:val="2BC730F4"/>
    <w:rsid w:val="2C730B86"/>
    <w:rsid w:val="2CD94E8D"/>
    <w:rsid w:val="2CF021D7"/>
    <w:rsid w:val="2D030A47"/>
    <w:rsid w:val="2D27759C"/>
    <w:rsid w:val="2D2B320F"/>
    <w:rsid w:val="2D45629E"/>
    <w:rsid w:val="2D4A7B39"/>
    <w:rsid w:val="2D71156A"/>
    <w:rsid w:val="2DDD6BFF"/>
    <w:rsid w:val="2E312AA7"/>
    <w:rsid w:val="2EB21E3A"/>
    <w:rsid w:val="2F7369E0"/>
    <w:rsid w:val="2FA774C5"/>
    <w:rsid w:val="2FC902EA"/>
    <w:rsid w:val="309B6D24"/>
    <w:rsid w:val="312E1520"/>
    <w:rsid w:val="31653193"/>
    <w:rsid w:val="32805DAB"/>
    <w:rsid w:val="32821B23"/>
    <w:rsid w:val="32DF0D23"/>
    <w:rsid w:val="32F5387D"/>
    <w:rsid w:val="33276421"/>
    <w:rsid w:val="334B0167"/>
    <w:rsid w:val="33996D2F"/>
    <w:rsid w:val="3489368B"/>
    <w:rsid w:val="356E638F"/>
    <w:rsid w:val="35773495"/>
    <w:rsid w:val="35F965A0"/>
    <w:rsid w:val="361B02C4"/>
    <w:rsid w:val="3825367C"/>
    <w:rsid w:val="385015C7"/>
    <w:rsid w:val="38597063"/>
    <w:rsid w:val="38AA5930"/>
    <w:rsid w:val="392E6561"/>
    <w:rsid w:val="3938077D"/>
    <w:rsid w:val="395E3DBA"/>
    <w:rsid w:val="39706B79"/>
    <w:rsid w:val="399F745E"/>
    <w:rsid w:val="39B822CE"/>
    <w:rsid w:val="3A2D4A6A"/>
    <w:rsid w:val="3A357430"/>
    <w:rsid w:val="3A59760D"/>
    <w:rsid w:val="3A6164C2"/>
    <w:rsid w:val="3A6A35C8"/>
    <w:rsid w:val="3A72247D"/>
    <w:rsid w:val="3AED7D56"/>
    <w:rsid w:val="3B085BC7"/>
    <w:rsid w:val="3B31058A"/>
    <w:rsid w:val="3B8C3A12"/>
    <w:rsid w:val="3BDD02C5"/>
    <w:rsid w:val="3BFD046C"/>
    <w:rsid w:val="3C0B0DDB"/>
    <w:rsid w:val="3C0E4427"/>
    <w:rsid w:val="3C187054"/>
    <w:rsid w:val="3C5C3995"/>
    <w:rsid w:val="3CA54818"/>
    <w:rsid w:val="3CB70B22"/>
    <w:rsid w:val="3CD25743"/>
    <w:rsid w:val="3D363C36"/>
    <w:rsid w:val="3D477BF1"/>
    <w:rsid w:val="3D955F54"/>
    <w:rsid w:val="3DA05553"/>
    <w:rsid w:val="3E8804C1"/>
    <w:rsid w:val="3ED03C16"/>
    <w:rsid w:val="3EE71F2B"/>
    <w:rsid w:val="3F177A97"/>
    <w:rsid w:val="3F2006FA"/>
    <w:rsid w:val="3F2C5261"/>
    <w:rsid w:val="3FF027C2"/>
    <w:rsid w:val="3FF12096"/>
    <w:rsid w:val="400224F5"/>
    <w:rsid w:val="404363A0"/>
    <w:rsid w:val="405D597D"/>
    <w:rsid w:val="40966C2C"/>
    <w:rsid w:val="40E63BC5"/>
    <w:rsid w:val="410C362B"/>
    <w:rsid w:val="411E6EBB"/>
    <w:rsid w:val="4177481D"/>
    <w:rsid w:val="41801923"/>
    <w:rsid w:val="4263320F"/>
    <w:rsid w:val="42C34D15"/>
    <w:rsid w:val="434F66BD"/>
    <w:rsid w:val="43CC0E50"/>
    <w:rsid w:val="44753296"/>
    <w:rsid w:val="44C77869"/>
    <w:rsid w:val="44CD30D2"/>
    <w:rsid w:val="450F36EA"/>
    <w:rsid w:val="45886FF9"/>
    <w:rsid w:val="45921C25"/>
    <w:rsid w:val="47060B1D"/>
    <w:rsid w:val="470E1780"/>
    <w:rsid w:val="471274C2"/>
    <w:rsid w:val="47677F5E"/>
    <w:rsid w:val="487877F8"/>
    <w:rsid w:val="48B12D0A"/>
    <w:rsid w:val="494A19BF"/>
    <w:rsid w:val="49550910"/>
    <w:rsid w:val="49AD1DAD"/>
    <w:rsid w:val="4A2C2648"/>
    <w:rsid w:val="4A631DE2"/>
    <w:rsid w:val="4AAD3ED5"/>
    <w:rsid w:val="4AFB026D"/>
    <w:rsid w:val="4B5F07FC"/>
    <w:rsid w:val="4C60482B"/>
    <w:rsid w:val="4C681BBC"/>
    <w:rsid w:val="4C6D68CD"/>
    <w:rsid w:val="4CD64AED"/>
    <w:rsid w:val="4D3637DE"/>
    <w:rsid w:val="4D7A191D"/>
    <w:rsid w:val="4D7E765F"/>
    <w:rsid w:val="4D9F678C"/>
    <w:rsid w:val="4DA16EA9"/>
    <w:rsid w:val="4E612ADD"/>
    <w:rsid w:val="4F043B94"/>
    <w:rsid w:val="4F155DA1"/>
    <w:rsid w:val="4F2321D5"/>
    <w:rsid w:val="4F622668"/>
    <w:rsid w:val="4FBB7FCB"/>
    <w:rsid w:val="4FED4628"/>
    <w:rsid w:val="500B71A4"/>
    <w:rsid w:val="506B044B"/>
    <w:rsid w:val="50A545DB"/>
    <w:rsid w:val="50AF4E5A"/>
    <w:rsid w:val="513F5357"/>
    <w:rsid w:val="515B7CB7"/>
    <w:rsid w:val="522B1438"/>
    <w:rsid w:val="5233653E"/>
    <w:rsid w:val="525C44B0"/>
    <w:rsid w:val="530A54F1"/>
    <w:rsid w:val="532033D1"/>
    <w:rsid w:val="532365B3"/>
    <w:rsid w:val="53427009"/>
    <w:rsid w:val="536746F1"/>
    <w:rsid w:val="53FB308C"/>
    <w:rsid w:val="54A40077"/>
    <w:rsid w:val="54BC6CBF"/>
    <w:rsid w:val="54FC70BB"/>
    <w:rsid w:val="55432F3C"/>
    <w:rsid w:val="55674E7D"/>
    <w:rsid w:val="565C6063"/>
    <w:rsid w:val="567F1D52"/>
    <w:rsid w:val="568D0913"/>
    <w:rsid w:val="57120E18"/>
    <w:rsid w:val="58201313"/>
    <w:rsid w:val="58490869"/>
    <w:rsid w:val="58714DDA"/>
    <w:rsid w:val="594159E5"/>
    <w:rsid w:val="594A2AEB"/>
    <w:rsid w:val="597375B8"/>
    <w:rsid w:val="59BE0DE3"/>
    <w:rsid w:val="59C503C4"/>
    <w:rsid w:val="59DF0C40"/>
    <w:rsid w:val="5A382944"/>
    <w:rsid w:val="5A623E64"/>
    <w:rsid w:val="5B24736C"/>
    <w:rsid w:val="5B7B3430"/>
    <w:rsid w:val="5BF94355"/>
    <w:rsid w:val="5C156FF2"/>
    <w:rsid w:val="5C340EBD"/>
    <w:rsid w:val="5D802D14"/>
    <w:rsid w:val="5DD140E1"/>
    <w:rsid w:val="5E8C7702"/>
    <w:rsid w:val="5F096FA4"/>
    <w:rsid w:val="5F5C70D4"/>
    <w:rsid w:val="5FFD5B08"/>
    <w:rsid w:val="6017749F"/>
    <w:rsid w:val="606E3563"/>
    <w:rsid w:val="60D158A0"/>
    <w:rsid w:val="613A3445"/>
    <w:rsid w:val="61815EAF"/>
    <w:rsid w:val="6192502F"/>
    <w:rsid w:val="61A97038"/>
    <w:rsid w:val="61B76844"/>
    <w:rsid w:val="62EA2C49"/>
    <w:rsid w:val="630C2BBF"/>
    <w:rsid w:val="631A352E"/>
    <w:rsid w:val="63316ACA"/>
    <w:rsid w:val="63AB062A"/>
    <w:rsid w:val="64300B2F"/>
    <w:rsid w:val="64373C6C"/>
    <w:rsid w:val="6449399F"/>
    <w:rsid w:val="646802C9"/>
    <w:rsid w:val="64B74DAD"/>
    <w:rsid w:val="65242442"/>
    <w:rsid w:val="657B402C"/>
    <w:rsid w:val="65D976D1"/>
    <w:rsid w:val="65E63B9C"/>
    <w:rsid w:val="66067D9A"/>
    <w:rsid w:val="66F75F12"/>
    <w:rsid w:val="676D3FB7"/>
    <w:rsid w:val="678C7A7E"/>
    <w:rsid w:val="67A8418E"/>
    <w:rsid w:val="67DD4B2A"/>
    <w:rsid w:val="680D18B3"/>
    <w:rsid w:val="681744E0"/>
    <w:rsid w:val="69052915"/>
    <w:rsid w:val="69230C63"/>
    <w:rsid w:val="69297796"/>
    <w:rsid w:val="69527534"/>
    <w:rsid w:val="697B45FB"/>
    <w:rsid w:val="6A2B4273"/>
    <w:rsid w:val="6A6652AB"/>
    <w:rsid w:val="6AB9362D"/>
    <w:rsid w:val="6ACE4BFE"/>
    <w:rsid w:val="6B1940CB"/>
    <w:rsid w:val="6B8C6F93"/>
    <w:rsid w:val="6B9B0F84"/>
    <w:rsid w:val="6BC04E8F"/>
    <w:rsid w:val="6CC62031"/>
    <w:rsid w:val="6CE81FA7"/>
    <w:rsid w:val="6D5313FB"/>
    <w:rsid w:val="6D716441"/>
    <w:rsid w:val="6D8A7502"/>
    <w:rsid w:val="6D9640F9"/>
    <w:rsid w:val="6DB97DE8"/>
    <w:rsid w:val="6DC04A7A"/>
    <w:rsid w:val="6E05302D"/>
    <w:rsid w:val="6E292877"/>
    <w:rsid w:val="6E6F23E6"/>
    <w:rsid w:val="6F305E87"/>
    <w:rsid w:val="6F79588D"/>
    <w:rsid w:val="6FBC771B"/>
    <w:rsid w:val="702E0619"/>
    <w:rsid w:val="702F4391"/>
    <w:rsid w:val="70DE29E9"/>
    <w:rsid w:val="70E044B8"/>
    <w:rsid w:val="7143608E"/>
    <w:rsid w:val="717C3606"/>
    <w:rsid w:val="71CB4BFC"/>
    <w:rsid w:val="72135D18"/>
    <w:rsid w:val="72141A90"/>
    <w:rsid w:val="72B648F6"/>
    <w:rsid w:val="73A82490"/>
    <w:rsid w:val="74100036"/>
    <w:rsid w:val="743B1556"/>
    <w:rsid w:val="74C01A5C"/>
    <w:rsid w:val="75B325B9"/>
    <w:rsid w:val="76472434"/>
    <w:rsid w:val="767B0330"/>
    <w:rsid w:val="768371E5"/>
    <w:rsid w:val="773D3837"/>
    <w:rsid w:val="7746449A"/>
    <w:rsid w:val="7791148D"/>
    <w:rsid w:val="779E6CE3"/>
    <w:rsid w:val="780659D7"/>
    <w:rsid w:val="781A5CF7"/>
    <w:rsid w:val="785B21C7"/>
    <w:rsid w:val="785E3A65"/>
    <w:rsid w:val="788259A6"/>
    <w:rsid w:val="78A438C9"/>
    <w:rsid w:val="78AE679B"/>
    <w:rsid w:val="7944477B"/>
    <w:rsid w:val="79766524"/>
    <w:rsid w:val="79B31B8F"/>
    <w:rsid w:val="7AE00762"/>
    <w:rsid w:val="7BB51BEE"/>
    <w:rsid w:val="7BD302C6"/>
    <w:rsid w:val="7BDF0A19"/>
    <w:rsid w:val="7BFA5853"/>
    <w:rsid w:val="7C39281F"/>
    <w:rsid w:val="7C5F3056"/>
    <w:rsid w:val="7C8F0691"/>
    <w:rsid w:val="7C9E2682"/>
    <w:rsid w:val="7D3D3A33"/>
    <w:rsid w:val="7D985324"/>
    <w:rsid w:val="7DE22A43"/>
    <w:rsid w:val="7EB51F2B"/>
    <w:rsid w:val="7ECF2FC7"/>
    <w:rsid w:val="7F7A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8"/>
    <w:qFormat/>
    <w:uiPriority w:val="0"/>
    <w:pPr>
      <w:keepNext/>
      <w:keepLines/>
      <w:adjustRightInd w:val="0"/>
      <w:spacing w:before="120" w:after="120" w:line="578" w:lineRule="atLeast"/>
      <w:textAlignment w:val="baseline"/>
      <w:outlineLvl w:val="0"/>
    </w:pPr>
    <w:rPr>
      <w:rFonts w:eastAsia="黑体"/>
      <w:kern w:val="44"/>
      <w:sz w:val="28"/>
      <w:szCs w:val="20"/>
    </w:rPr>
  </w:style>
  <w:style w:type="paragraph" w:styleId="4">
    <w:name w:val="heading 2"/>
    <w:basedOn w:val="1"/>
    <w:next w:val="1"/>
    <w:qFormat/>
    <w:uiPriority w:val="0"/>
    <w:pPr>
      <w:tabs>
        <w:tab w:val="left" w:pos="1134"/>
      </w:tabs>
      <w:snapToGrid w:val="0"/>
      <w:spacing w:before="0" w:beforeLines="0" w:after="158" w:afterLines="50"/>
      <w:ind w:firstLine="0" w:firstLineChars="0"/>
      <w:outlineLvl w:val="1"/>
    </w:pPr>
    <w:rPr>
      <w:rFonts w:ascii="宋体" w:hAnsi="宋体" w:cs="宋体"/>
      <w:b/>
      <w:bCs/>
      <w:kern w:val="44"/>
      <w:sz w:val="21"/>
      <w:szCs w:val="21"/>
    </w:rPr>
  </w:style>
  <w:style w:type="paragraph" w:styleId="5">
    <w:name w:val="heading 3"/>
    <w:basedOn w:val="1"/>
    <w:next w:val="1"/>
    <w:qFormat/>
    <w:uiPriority w:val="0"/>
    <w:pPr>
      <w:keepNext/>
      <w:keepLines/>
      <w:outlineLvl w:val="2"/>
    </w:pPr>
    <w:rPr>
      <w:b/>
      <w:bCs/>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heme="minorHAnsi" w:hAnsiTheme="minorHAnsi" w:cstheme="minorBidi"/>
    </w:rPr>
  </w:style>
  <w:style w:type="paragraph" w:styleId="8">
    <w:name w:val="annotation text"/>
    <w:basedOn w:val="1"/>
    <w:qFormat/>
    <w:uiPriority w:val="99"/>
    <w:pPr>
      <w:jc w:val="left"/>
    </w:pPr>
    <w:rPr>
      <w:rFonts w:eastAsiaTheme="minorEastAsia" w:cstheme="minorBidi"/>
      <w:szCs w:val="22"/>
    </w:rPr>
  </w:style>
  <w:style w:type="paragraph" w:styleId="9">
    <w:name w:val="toc 3"/>
    <w:basedOn w:val="1"/>
    <w:next w:val="1"/>
    <w:unhideWhenUsed/>
    <w:qFormat/>
    <w:uiPriority w:val="39"/>
    <w:pPr>
      <w:ind w:left="840" w:leftChars="400"/>
    </w:pPr>
  </w:style>
  <w:style w:type="paragraph" w:styleId="10">
    <w:name w:val="Plain Text"/>
    <w:basedOn w:val="1"/>
    <w:next w:val="1"/>
    <w:qFormat/>
    <w:uiPriority w:val="99"/>
    <w:pPr>
      <w:widowControl/>
    </w:pPr>
    <w:rPr>
      <w:rFonts w:ascii="宋体" w:hAnsi="Courier New" w:cs="Courier New" w:eastAsiaTheme="minorEastAsia"/>
      <w:sz w:val="21"/>
      <w:szCs w:val="21"/>
    </w:rPr>
  </w:style>
  <w:style w:type="paragraph" w:styleId="11">
    <w:name w:val="Body Text Indent 2"/>
    <w:basedOn w:val="1"/>
    <w:qFormat/>
    <w:uiPriority w:val="0"/>
    <w:pPr>
      <w:spacing w:after="120" w:line="480" w:lineRule="auto"/>
      <w:ind w:left="420" w:leftChars="200"/>
    </w:pPr>
    <w:rPr>
      <w:rFonts w:asciiTheme="minorHAnsi" w:hAnsiTheme="minorHAnsi" w:eastAsiaTheme="minorEastAsia" w:cstheme="minorBidi"/>
    </w:rPr>
  </w:style>
  <w:style w:type="paragraph" w:styleId="12">
    <w:name w:val="footer"/>
    <w:basedOn w:val="1"/>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4">
    <w:name w:val="toc 1"/>
    <w:basedOn w:val="1"/>
    <w:next w:val="1"/>
    <w:unhideWhenUsed/>
    <w:qFormat/>
    <w:uiPriority w:val="39"/>
  </w:style>
  <w:style w:type="paragraph" w:styleId="15">
    <w:name w:val="toc 4"/>
    <w:basedOn w:val="1"/>
    <w:next w:val="1"/>
    <w:qFormat/>
    <w:uiPriority w:val="0"/>
    <w:pPr>
      <w:ind w:left="630"/>
    </w:pPr>
    <w:rPr>
      <w:sz w:val="18"/>
      <w:szCs w:val="18"/>
    </w:rPr>
  </w:style>
  <w:style w:type="paragraph" w:styleId="16">
    <w:name w:val="toc 2"/>
    <w:basedOn w:val="1"/>
    <w:next w:val="1"/>
    <w:unhideWhenUsed/>
    <w:qFormat/>
    <w:uiPriority w:val="39"/>
    <w:pPr>
      <w:ind w:left="420" w:leftChars="200"/>
    </w:pPr>
  </w:style>
  <w:style w:type="paragraph" w:styleId="17">
    <w:name w:val="Normal (Web)"/>
    <w:basedOn w:val="1"/>
    <w:semiHidden/>
    <w:unhideWhenUsed/>
    <w:qFormat/>
    <w:uiPriority w:val="0"/>
    <w:pPr>
      <w:spacing w:before="100" w:beforeAutospacing="1" w:after="100" w:afterAutospacing="1"/>
    </w:pPr>
    <w:rPr>
      <w:rFonts w:ascii="宋体" w:hAnsi="宋体"/>
      <w:sz w:val="24"/>
      <w:szCs w:val="24"/>
    </w:rPr>
  </w:style>
  <w:style w:type="paragraph" w:styleId="1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qFormat/>
    <w:uiPriority w:val="99"/>
    <w:rPr>
      <w:sz w:val="21"/>
      <w:szCs w:val="21"/>
    </w:rPr>
  </w:style>
  <w:style w:type="paragraph" w:customStyle="1" w:styleId="25">
    <w:name w:val="TOC 标题2"/>
    <w:basedOn w:val="3"/>
    <w:next w:val="1"/>
    <w:qFormat/>
    <w:uiPriority w:val="39"/>
    <w:pPr>
      <w:widowControl/>
      <w:adjustRightInd/>
      <w:spacing w:before="240" w:beforeLines="0" w:after="0" w:line="259" w:lineRule="auto"/>
      <w:ind w:firstLine="0" w:firstLineChars="0"/>
      <w:jc w:val="left"/>
      <w:textAlignment w:val="auto"/>
      <w:outlineLvl w:val="9"/>
    </w:pPr>
    <w:rPr>
      <w:rFonts w:ascii="Calibri Light" w:hAnsi="Calibri Light" w:eastAsia="宋体"/>
      <w:color w:val="2E74B5"/>
      <w:kern w:val="0"/>
      <w:sz w:val="32"/>
      <w:szCs w:val="32"/>
    </w:rPr>
  </w:style>
  <w:style w:type="character" w:customStyle="1" w:styleId="26">
    <w:name w:val="标题 3 Char2"/>
    <w:qFormat/>
    <w:locked/>
    <w:uiPriority w:val="0"/>
    <w:rPr>
      <w:b/>
      <w:bCs/>
      <w:kern w:val="2"/>
      <w:sz w:val="24"/>
      <w:szCs w:val="32"/>
    </w:rPr>
  </w:style>
  <w:style w:type="paragraph" w:customStyle="1" w:styleId="27">
    <w:name w:val="_Style 1"/>
    <w:basedOn w:val="1"/>
    <w:qFormat/>
    <w:uiPriority w:val="34"/>
    <w:pPr>
      <w:ind w:firstLine="420"/>
    </w:pPr>
  </w:style>
  <w:style w:type="paragraph" w:customStyle="1" w:styleId="28">
    <w:name w:val="1"/>
    <w:basedOn w:val="1"/>
    <w:next w:val="29"/>
    <w:qFormat/>
    <w:uiPriority w:val="99"/>
    <w:pPr>
      <w:spacing w:before="0" w:beforeLines="0" w:line="240" w:lineRule="auto"/>
      <w:ind w:firstLine="420"/>
    </w:pPr>
    <w:rPr>
      <w:rFonts w:ascii="Calibri" w:hAnsi="Calibri"/>
      <w:sz w:val="21"/>
      <w:szCs w:val="22"/>
    </w:rPr>
  </w:style>
  <w:style w:type="paragraph" w:customStyle="1" w:styleId="29">
    <w:name w:val="列出段落1"/>
    <w:basedOn w:val="1"/>
    <w:qFormat/>
    <w:uiPriority w:val="34"/>
    <w:pPr>
      <w:ind w:firstLine="420"/>
    </w:pPr>
  </w:style>
  <w:style w:type="paragraph" w:customStyle="1" w:styleId="30">
    <w:name w:val="正文4"/>
    <w:basedOn w:val="1"/>
    <w:qFormat/>
    <w:uiPriority w:val="0"/>
    <w:pPr>
      <w:widowControl/>
      <w:spacing w:before="0" w:beforeLines="0" w:line="240" w:lineRule="auto"/>
      <w:ind w:firstLine="0" w:firstLineChars="0"/>
    </w:pPr>
    <w:rPr>
      <w:sz w:val="21"/>
      <w:szCs w:val="21"/>
    </w:rPr>
  </w:style>
  <w:style w:type="character" w:customStyle="1" w:styleId="31">
    <w:name w:val="标题 1 Char"/>
    <w:basedOn w:val="21"/>
    <w:qFormat/>
    <w:uiPriority w:val="0"/>
    <w:rPr>
      <w:rFonts w:ascii="Times New Roman" w:hAnsi="Times New Roman" w:eastAsia="宋体" w:cs="Times New Roman"/>
      <w:b/>
      <w:bCs/>
      <w:kern w:val="44"/>
      <w:sz w:val="44"/>
      <w:szCs w:val="44"/>
    </w:rPr>
  </w:style>
  <w:style w:type="paragraph" w:styleId="32">
    <w:name w:val="List Paragraph"/>
    <w:basedOn w:val="1"/>
    <w:qFormat/>
    <w:uiPriority w:val="99"/>
    <w:pPr>
      <w:ind w:firstLine="420" w:firstLineChars="200"/>
    </w:pPr>
  </w:style>
  <w:style w:type="paragraph" w:customStyle="1" w:styleId="33">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表格内容"/>
    <w:qFormat/>
    <w:uiPriority w:val="15"/>
    <w:pPr>
      <w:widowControl w:val="0"/>
      <w:autoSpaceDN w:val="0"/>
      <w:jc w:val="center"/>
      <w:textAlignment w:val="center"/>
    </w:pPr>
    <w:rPr>
      <w:rFonts w:ascii="Times New Roman" w:hAnsi="Times New Roman" w:eastAsia="仿宋" w:cs="Times New Roman"/>
      <w:kern w:val="2"/>
      <w:sz w:val="21"/>
      <w:szCs w:val="24"/>
      <w:lang w:val="en-US" w:eastAsia="zh-CN" w:bidi="ar-SA"/>
    </w:rPr>
  </w:style>
  <w:style w:type="paragraph" w:customStyle="1" w:styleId="35">
    <w:name w:val="表格"/>
    <w:basedOn w:val="1"/>
    <w:qFormat/>
    <w:uiPriority w:val="0"/>
    <w:pPr>
      <w:jc w:val="center"/>
      <w:textAlignment w:val="center"/>
    </w:pPr>
    <w:rPr>
      <w:rFonts w:ascii="华文细黑" w:hAnsi="华文细黑"/>
      <w:kern w:val="0"/>
      <w:szCs w:val="20"/>
    </w:rPr>
  </w:style>
  <w:style w:type="paragraph" w:customStyle="1" w:styleId="36">
    <w:name w:val="正文 New New New New New New New New New New New New New New New New New New New"/>
    <w:qFormat/>
    <w:uiPriority w:val="0"/>
    <w:pPr>
      <w:widowControl w:val="0"/>
      <w:jc w:val="both"/>
    </w:pPr>
    <w:rPr>
      <w:rFonts w:ascii="仿宋_GB2312" w:hAnsi="仿宋_GB2312" w:eastAsia="微软雅黑" w:cs="宋体"/>
      <w:snapToGrid w:val="0"/>
      <w:sz w:val="21"/>
      <w:szCs w:val="32"/>
      <w:lang w:val="en-US" w:eastAsia="zh-CN" w:bidi="ar-SA"/>
    </w:rPr>
  </w:style>
  <w:style w:type="paragraph" w:customStyle="1" w:styleId="37">
    <w:name w:val="正文 New New"/>
    <w:qFormat/>
    <w:uiPriority w:val="0"/>
    <w:pPr>
      <w:widowControl w:val="0"/>
      <w:jc w:val="both"/>
    </w:pPr>
    <w:rPr>
      <w:rFonts w:ascii="Times New Roman" w:hAnsi="Times New Roman" w:eastAsia="微软雅黑" w:cs="Times New Roman"/>
      <w:kern w:val="2"/>
      <w:sz w:val="30"/>
      <w:szCs w:val="24"/>
      <w:lang w:val="en-US" w:eastAsia="zh-CN" w:bidi="ar-SA"/>
    </w:rPr>
  </w:style>
  <w:style w:type="character" w:customStyle="1" w:styleId="38">
    <w:name w:val="标题 1 Char1"/>
    <w:link w:val="3"/>
    <w:qFormat/>
    <w:uiPriority w:val="0"/>
    <w:rPr>
      <w:rFonts w:eastAsia="黑体"/>
      <w:kern w:val="44"/>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6698</Words>
  <Characters>6855</Characters>
  <Lines>0</Lines>
  <Paragraphs>0</Paragraphs>
  <TotalTime>3</TotalTime>
  <ScaleCrop>false</ScaleCrop>
  <LinksUpToDate>false</LinksUpToDate>
  <CharactersWithSpaces>7632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2025-06-19T08:49:00Z</dcterms:created>
  <dc:creator>叶浩标</dc:creator>
  <cp:lastModifiedBy>温润如玉</cp:lastModifiedBy>
  <dcterms:modified xsi:type="dcterms:W3CDTF">2025-07-21T09:26:24Z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B92F42A16E65400290459C0ECC48F356_13</vt:lpwstr>
  </property>
  <property fmtid="{D5CDD505-2E9C-101B-9397-08002B2CF9AE}" pid="4" name="KSOTemplateDocerSaveRecord">
    <vt:lpwstr>eyJoZGlkIjoiNWNhNDk2NTVmZDE4ZGJiYWU4NWY2ZmMxMjM3MTI1ZWIiLCJ1c2VySWQiOiI0Mzg0MTY3NTgifQ==</vt:lpwstr>
  </property>
</Properties>
</file>