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1DC93">
      <w:pPr>
        <w:pStyle w:val="51"/>
        <w:wordWrap w:val="0"/>
        <w:spacing w:line="720" w:lineRule="auto"/>
        <w:jc w:val="right"/>
        <w:rPr>
          <w:rFonts w:hAnsi="宋体"/>
          <w:color w:val="auto"/>
          <w:sz w:val="32"/>
          <w:szCs w:val="32"/>
          <w:highlight w:val="none"/>
        </w:rPr>
      </w:pPr>
      <w:bookmarkStart w:id="0" w:name="_Toc25509_WPSOffice_Level1"/>
      <w:r>
        <w:rPr>
          <w:rFonts w:hint="eastAsia" w:hAnsi="宋体"/>
          <w:color w:val="auto"/>
          <w:sz w:val="32"/>
          <w:szCs w:val="32"/>
          <w:highlight w:val="none"/>
        </w:rPr>
        <w:t xml:space="preserve">合同编号：         </w:t>
      </w:r>
    </w:p>
    <w:p w14:paraId="4CAE4A17">
      <w:pPr>
        <w:spacing w:line="720" w:lineRule="auto"/>
        <w:jc w:val="center"/>
        <w:rPr>
          <w:rFonts w:ascii="宋体" w:hAnsi="宋体" w:cs="黑体"/>
          <w:b/>
          <w:color w:val="auto"/>
          <w:sz w:val="52"/>
          <w:szCs w:val="52"/>
          <w:highlight w:val="none"/>
        </w:rPr>
      </w:pPr>
    </w:p>
    <w:p w14:paraId="6BCD5261">
      <w:pPr>
        <w:spacing w:line="720" w:lineRule="auto"/>
        <w:jc w:val="center"/>
        <w:rPr>
          <w:rFonts w:ascii="宋体" w:hAnsi="宋体"/>
          <w:b/>
          <w:color w:val="auto"/>
          <w:sz w:val="52"/>
          <w:szCs w:val="52"/>
          <w:highlight w:val="none"/>
        </w:rPr>
      </w:pPr>
      <w:r>
        <w:rPr>
          <w:rFonts w:hint="eastAsia" w:ascii="宋体" w:hAnsi="宋体" w:cs="黑体"/>
          <w:b/>
          <w:color w:val="auto"/>
          <w:sz w:val="52"/>
          <w:szCs w:val="52"/>
          <w:highlight w:val="none"/>
        </w:rPr>
        <w:t>住宅工程质量潜在缺陷保险合同</w:t>
      </w:r>
    </w:p>
    <w:p w14:paraId="6D9D4165">
      <w:pPr>
        <w:spacing w:line="720" w:lineRule="auto"/>
        <w:jc w:val="center"/>
        <w:rPr>
          <w:rFonts w:ascii="宋体" w:hAnsi="宋体" w:cs="黑体"/>
          <w:b/>
          <w:color w:val="auto"/>
          <w:sz w:val="52"/>
          <w:szCs w:val="52"/>
          <w:highlight w:val="none"/>
        </w:rPr>
      </w:pPr>
    </w:p>
    <w:p w14:paraId="7A885DAF">
      <w:pPr>
        <w:spacing w:line="720" w:lineRule="auto"/>
        <w:jc w:val="center"/>
        <w:rPr>
          <w:rFonts w:ascii="宋体" w:hAnsi="宋体" w:cs="黑体"/>
          <w:b/>
          <w:color w:val="auto"/>
          <w:sz w:val="52"/>
          <w:szCs w:val="52"/>
          <w:highlight w:val="none"/>
        </w:rPr>
      </w:pPr>
      <w:bookmarkStart w:id="27" w:name="_GoBack"/>
      <w:bookmarkEnd w:id="27"/>
    </w:p>
    <w:p w14:paraId="4666A620">
      <w:pPr>
        <w:spacing w:line="720" w:lineRule="auto"/>
        <w:ind w:left="1594" w:hanging="1593" w:hangingChars="498"/>
        <w:rPr>
          <w:rFonts w:hint="eastAsia" w:ascii="宋体" w:hAnsi="宋体" w:eastAsia="宋体" w:cs="黑体"/>
          <w:color w:val="auto"/>
          <w:sz w:val="32"/>
          <w:szCs w:val="32"/>
          <w:highlight w:val="none"/>
          <w:lang w:eastAsia="zh-CN"/>
        </w:rPr>
      </w:pPr>
      <w:r>
        <w:rPr>
          <w:rFonts w:hint="eastAsia" w:ascii="宋体" w:hAnsi="宋体" w:cs="黑体"/>
          <w:color w:val="auto"/>
          <w:sz w:val="32"/>
          <w:szCs w:val="32"/>
          <w:highlight w:val="none"/>
        </w:rPr>
        <w:t>工程名称：天河区元岗村城中村改造项目AT020649地块（即4号地块）住宅工程质量潜在缺陷险服务</w:t>
      </w:r>
      <w:r>
        <w:rPr>
          <w:rFonts w:hint="eastAsia" w:ascii="宋体" w:hAnsi="宋体" w:cs="黑体"/>
          <w:color w:val="auto"/>
          <w:sz w:val="32"/>
          <w:szCs w:val="32"/>
          <w:highlight w:val="none"/>
          <w:lang w:val="en-US" w:eastAsia="zh-CN"/>
        </w:rPr>
        <w:t xml:space="preserve"> </w:t>
      </w:r>
    </w:p>
    <w:p w14:paraId="5AAC9A7C">
      <w:pPr>
        <w:spacing w:line="720" w:lineRule="auto"/>
        <w:ind w:left="1510" w:hanging="1510" w:hangingChars="472"/>
        <w:rPr>
          <w:rFonts w:hint="eastAsia" w:ascii="宋体" w:hAnsi="宋体" w:eastAsia="宋体" w:cs="黑体"/>
          <w:color w:val="auto"/>
          <w:sz w:val="32"/>
          <w:szCs w:val="32"/>
          <w:highlight w:val="none"/>
          <w:lang w:eastAsia="zh-CN"/>
        </w:rPr>
      </w:pPr>
      <w:r>
        <w:rPr>
          <w:rFonts w:hint="eastAsia" w:ascii="宋体" w:hAnsi="宋体" w:cs="黑体"/>
          <w:color w:val="auto"/>
          <w:sz w:val="32"/>
          <w:szCs w:val="32"/>
          <w:highlight w:val="none"/>
        </w:rPr>
        <w:t>工程地点：</w:t>
      </w:r>
    </w:p>
    <w:p w14:paraId="6B3C2AC5">
      <w:pPr>
        <w:spacing w:line="720" w:lineRule="auto"/>
        <w:ind w:left="1510" w:hanging="1510" w:hangingChars="472"/>
        <w:rPr>
          <w:rFonts w:ascii="宋体" w:hAnsi="宋体" w:cs="黑体"/>
          <w:color w:val="auto"/>
          <w:sz w:val="32"/>
          <w:szCs w:val="32"/>
          <w:highlight w:val="none"/>
        </w:rPr>
      </w:pPr>
    </w:p>
    <w:p w14:paraId="01193688">
      <w:pPr>
        <w:spacing w:line="720" w:lineRule="auto"/>
        <w:ind w:left="1510" w:hanging="1510" w:hangingChars="472"/>
        <w:rPr>
          <w:rFonts w:hint="eastAsia" w:ascii="宋体" w:hAnsi="宋体" w:cs="黑体"/>
          <w:color w:val="auto"/>
          <w:sz w:val="32"/>
          <w:szCs w:val="32"/>
          <w:highlight w:val="none"/>
        </w:rPr>
      </w:pPr>
      <w:r>
        <w:rPr>
          <w:rFonts w:hint="eastAsia" w:ascii="宋体" w:hAnsi="宋体" w:cs="黑体"/>
          <w:color w:val="auto"/>
          <w:sz w:val="32"/>
          <w:szCs w:val="32"/>
          <w:highlight w:val="none"/>
        </w:rPr>
        <w:t>投保人：广州环五山创新策源区元岗城市更新有限公司</w:t>
      </w:r>
    </w:p>
    <w:p w14:paraId="06098FB1">
      <w:pPr>
        <w:spacing w:line="720" w:lineRule="auto"/>
        <w:ind w:left="1510" w:hanging="1510" w:hangingChars="472"/>
        <w:rPr>
          <w:rFonts w:ascii="宋体" w:hAnsi="宋体" w:cs="黑体"/>
          <w:color w:val="auto"/>
          <w:sz w:val="32"/>
          <w:szCs w:val="32"/>
          <w:highlight w:val="none"/>
        </w:rPr>
      </w:pPr>
      <w:r>
        <w:rPr>
          <w:rFonts w:hint="eastAsia" w:ascii="宋体" w:hAnsi="宋体" w:cs="黑体"/>
          <w:color w:val="auto"/>
          <w:sz w:val="32"/>
          <w:szCs w:val="32"/>
          <w:highlight w:val="none"/>
        </w:rPr>
        <w:t>保险人：</w:t>
      </w:r>
    </w:p>
    <w:p w14:paraId="0AA74900">
      <w:pPr>
        <w:spacing w:line="720" w:lineRule="auto"/>
        <w:ind w:left="1510" w:hanging="1510" w:hangingChars="472"/>
        <w:rPr>
          <w:rFonts w:ascii="宋体" w:hAnsi="宋体" w:cs="黑体"/>
          <w:color w:val="auto"/>
          <w:sz w:val="32"/>
          <w:szCs w:val="32"/>
          <w:highlight w:val="none"/>
        </w:rPr>
      </w:pPr>
      <w:r>
        <w:rPr>
          <w:rFonts w:hint="eastAsia" w:ascii="宋体" w:hAnsi="宋体" w:cs="黑体"/>
          <w:color w:val="auto"/>
          <w:sz w:val="32"/>
          <w:szCs w:val="32"/>
          <w:highlight w:val="none"/>
        </w:rPr>
        <w:t>签订日期：2</w:t>
      </w:r>
      <w:r>
        <w:rPr>
          <w:rFonts w:ascii="宋体" w:hAnsi="宋体" w:cs="黑体"/>
          <w:color w:val="auto"/>
          <w:sz w:val="32"/>
          <w:szCs w:val="32"/>
          <w:highlight w:val="none"/>
        </w:rPr>
        <w:t>02</w:t>
      </w:r>
      <w:r>
        <w:rPr>
          <w:rFonts w:hint="eastAsia" w:ascii="宋体" w:hAnsi="宋体" w:cs="黑体"/>
          <w:color w:val="auto"/>
          <w:sz w:val="32"/>
          <w:szCs w:val="32"/>
          <w:highlight w:val="none"/>
          <w:lang w:val="en-US" w:eastAsia="zh-CN"/>
        </w:rPr>
        <w:t>5</w:t>
      </w:r>
      <w:r>
        <w:rPr>
          <w:rFonts w:hint="eastAsia" w:ascii="宋体" w:hAnsi="宋体" w:cs="黑体"/>
          <w:color w:val="auto"/>
          <w:sz w:val="32"/>
          <w:szCs w:val="32"/>
          <w:highlight w:val="none"/>
        </w:rPr>
        <w:t>年  月  日</w:t>
      </w:r>
    </w:p>
    <w:p w14:paraId="32ED38DD">
      <w:pPr>
        <w:spacing w:line="720" w:lineRule="auto"/>
        <w:ind w:left="1510" w:hanging="1510" w:hangingChars="472"/>
        <w:rPr>
          <w:rFonts w:ascii="宋体" w:hAnsi="宋体" w:cs="黑体"/>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800" w:bottom="1440" w:left="1800" w:header="851" w:footer="992" w:gutter="0"/>
          <w:pgNumType w:start="1"/>
          <w:cols w:space="720" w:num="1"/>
          <w:titlePg/>
          <w:docGrid w:type="lines" w:linePitch="312" w:charSpace="0"/>
        </w:sectPr>
      </w:pPr>
    </w:p>
    <w:p w14:paraId="3CF9A92B">
      <w:pPr>
        <w:pStyle w:val="20"/>
        <w:tabs>
          <w:tab w:val="right" w:leader="dot" w:pos="8296"/>
        </w:tabs>
        <w:spacing w:line="360" w:lineRule="auto"/>
        <w:jc w:val="center"/>
        <w:rPr>
          <w:rFonts w:ascii="宋体" w:hAnsi="宋体" w:cs="宋体"/>
          <w:color w:val="auto"/>
          <w:sz w:val="36"/>
          <w:szCs w:val="28"/>
          <w:highlight w:val="none"/>
        </w:rPr>
      </w:pPr>
      <w:r>
        <w:rPr>
          <w:rFonts w:hint="eastAsia" w:ascii="宋体" w:hAnsi="宋体" w:cs="宋体"/>
          <w:color w:val="auto"/>
          <w:sz w:val="36"/>
          <w:szCs w:val="28"/>
          <w:highlight w:val="none"/>
        </w:rPr>
        <w:t>目 录</w:t>
      </w:r>
    </w:p>
    <w:p w14:paraId="7AD5922F">
      <w:pPr>
        <w:pStyle w:val="20"/>
        <w:tabs>
          <w:tab w:val="right" w:leader="dot" w:pos="8296"/>
        </w:tabs>
        <w:rPr>
          <w:rFonts w:ascii="宋体" w:hAnsi="宋体" w:cstheme="minorBidi"/>
          <w:b w:val="0"/>
          <w:bCs w:val="0"/>
          <w:caps w:val="0"/>
          <w:color w:val="auto"/>
          <w:sz w:val="30"/>
          <w:szCs w:val="30"/>
          <w:highlight w:val="none"/>
        </w:rPr>
      </w:pPr>
      <w:r>
        <w:rPr>
          <w:rFonts w:ascii="宋体" w:hAnsi="宋体" w:cs="宋体"/>
          <w:color w:val="auto"/>
          <w:sz w:val="30"/>
          <w:szCs w:val="30"/>
          <w:highlight w:val="none"/>
        </w:rPr>
        <w:fldChar w:fldCharType="begin"/>
      </w:r>
      <w:r>
        <w:rPr>
          <w:rFonts w:ascii="宋体" w:hAnsi="宋体" w:cs="宋体"/>
          <w:color w:val="auto"/>
          <w:sz w:val="30"/>
          <w:szCs w:val="30"/>
          <w:highlight w:val="none"/>
        </w:rPr>
        <w:instrText xml:space="preserve"> TOC \o "1-1" \h \z \u </w:instrText>
      </w:r>
      <w:r>
        <w:rPr>
          <w:rFonts w:ascii="宋体" w:hAnsi="宋体" w:cs="宋体"/>
          <w:color w:val="auto"/>
          <w:sz w:val="30"/>
          <w:szCs w:val="30"/>
          <w:highlight w:val="none"/>
        </w:rPr>
        <w:fldChar w:fldCharType="separate"/>
      </w:r>
      <w:r>
        <w:rPr>
          <w:color w:val="auto"/>
          <w:highlight w:val="none"/>
        </w:rPr>
        <w:fldChar w:fldCharType="begin"/>
      </w:r>
      <w:r>
        <w:rPr>
          <w:color w:val="auto"/>
          <w:highlight w:val="none"/>
        </w:rPr>
        <w:instrText xml:space="preserve"> HYPERLINK \l "_Toc98840829" </w:instrText>
      </w:r>
      <w:r>
        <w:rPr>
          <w:color w:val="auto"/>
          <w:highlight w:val="none"/>
        </w:rPr>
        <w:fldChar w:fldCharType="separate"/>
      </w:r>
      <w:r>
        <w:rPr>
          <w:rStyle w:val="31"/>
          <w:rFonts w:ascii="宋体" w:hAnsi="宋体"/>
          <w:color w:val="auto"/>
          <w:sz w:val="30"/>
          <w:szCs w:val="30"/>
          <w:highlight w:val="none"/>
        </w:rPr>
        <w:t>第一部分 保险协议书</w:t>
      </w:r>
      <w:r>
        <w:rPr>
          <w:rFonts w:ascii="宋体" w:hAnsi="宋体"/>
          <w:color w:val="auto"/>
          <w:sz w:val="30"/>
          <w:szCs w:val="30"/>
          <w:highlight w:val="none"/>
        </w:rPr>
        <w:tab/>
      </w:r>
      <w:r>
        <w:rPr>
          <w:rFonts w:ascii="宋体" w:hAnsi="宋体"/>
          <w:color w:val="auto"/>
          <w:sz w:val="30"/>
          <w:szCs w:val="30"/>
          <w:highlight w:val="none"/>
        </w:rPr>
        <w:fldChar w:fldCharType="begin"/>
      </w:r>
      <w:r>
        <w:rPr>
          <w:rFonts w:ascii="宋体" w:hAnsi="宋体"/>
          <w:color w:val="auto"/>
          <w:sz w:val="30"/>
          <w:szCs w:val="30"/>
          <w:highlight w:val="none"/>
        </w:rPr>
        <w:instrText xml:space="preserve"> PAGEREF _Toc98840829 \h </w:instrText>
      </w:r>
      <w:r>
        <w:rPr>
          <w:rFonts w:ascii="宋体" w:hAnsi="宋体"/>
          <w:color w:val="auto"/>
          <w:sz w:val="30"/>
          <w:szCs w:val="30"/>
          <w:highlight w:val="none"/>
        </w:rPr>
        <w:fldChar w:fldCharType="separate"/>
      </w:r>
      <w:r>
        <w:rPr>
          <w:rFonts w:ascii="宋体" w:hAnsi="宋体"/>
          <w:color w:val="auto"/>
          <w:sz w:val="30"/>
          <w:szCs w:val="30"/>
          <w:highlight w:val="none"/>
        </w:rPr>
        <w:t>2</w:t>
      </w:r>
      <w:r>
        <w:rPr>
          <w:rFonts w:ascii="宋体" w:hAnsi="宋体"/>
          <w:color w:val="auto"/>
          <w:sz w:val="30"/>
          <w:szCs w:val="30"/>
          <w:highlight w:val="none"/>
        </w:rPr>
        <w:fldChar w:fldCharType="end"/>
      </w:r>
      <w:r>
        <w:rPr>
          <w:rFonts w:ascii="宋体" w:hAnsi="宋体"/>
          <w:color w:val="auto"/>
          <w:sz w:val="30"/>
          <w:szCs w:val="30"/>
          <w:highlight w:val="none"/>
        </w:rPr>
        <w:fldChar w:fldCharType="end"/>
      </w:r>
    </w:p>
    <w:p w14:paraId="68A38D32">
      <w:pPr>
        <w:pStyle w:val="20"/>
        <w:tabs>
          <w:tab w:val="right" w:leader="dot" w:pos="8296"/>
        </w:tabs>
        <w:rPr>
          <w:rFonts w:ascii="宋体" w:hAnsi="宋体" w:cstheme="minorBidi"/>
          <w:b w:val="0"/>
          <w:bCs w:val="0"/>
          <w:caps w:val="0"/>
          <w:color w:val="auto"/>
          <w:sz w:val="30"/>
          <w:szCs w:val="30"/>
          <w:highlight w:val="none"/>
        </w:rPr>
      </w:pPr>
      <w:r>
        <w:rPr>
          <w:color w:val="auto"/>
          <w:highlight w:val="none"/>
        </w:rPr>
        <w:fldChar w:fldCharType="begin"/>
      </w:r>
      <w:r>
        <w:rPr>
          <w:color w:val="auto"/>
          <w:highlight w:val="none"/>
        </w:rPr>
        <w:instrText xml:space="preserve"> HYPERLINK \l "_Toc98840830" </w:instrText>
      </w:r>
      <w:r>
        <w:rPr>
          <w:color w:val="auto"/>
          <w:highlight w:val="none"/>
        </w:rPr>
        <w:fldChar w:fldCharType="separate"/>
      </w:r>
      <w:r>
        <w:rPr>
          <w:rStyle w:val="31"/>
          <w:rFonts w:ascii="宋体" w:hAnsi="宋体"/>
          <w:color w:val="auto"/>
          <w:sz w:val="30"/>
          <w:szCs w:val="30"/>
          <w:highlight w:val="none"/>
        </w:rPr>
        <w:t>第二部分 保险条款</w:t>
      </w:r>
      <w:r>
        <w:rPr>
          <w:rFonts w:ascii="宋体" w:hAnsi="宋体"/>
          <w:color w:val="auto"/>
          <w:sz w:val="30"/>
          <w:szCs w:val="30"/>
          <w:highlight w:val="none"/>
        </w:rPr>
        <w:tab/>
      </w:r>
      <w:r>
        <w:rPr>
          <w:rFonts w:ascii="宋体" w:hAnsi="宋体"/>
          <w:color w:val="auto"/>
          <w:sz w:val="30"/>
          <w:szCs w:val="30"/>
          <w:highlight w:val="none"/>
        </w:rPr>
        <w:fldChar w:fldCharType="begin"/>
      </w:r>
      <w:r>
        <w:rPr>
          <w:rFonts w:ascii="宋体" w:hAnsi="宋体"/>
          <w:color w:val="auto"/>
          <w:sz w:val="30"/>
          <w:szCs w:val="30"/>
          <w:highlight w:val="none"/>
        </w:rPr>
        <w:instrText xml:space="preserve"> PAGEREF _Toc98840830 \h </w:instrText>
      </w:r>
      <w:r>
        <w:rPr>
          <w:rFonts w:ascii="宋体" w:hAnsi="宋体"/>
          <w:color w:val="auto"/>
          <w:sz w:val="30"/>
          <w:szCs w:val="30"/>
          <w:highlight w:val="none"/>
        </w:rPr>
        <w:fldChar w:fldCharType="separate"/>
      </w:r>
      <w:r>
        <w:rPr>
          <w:rFonts w:ascii="宋体" w:hAnsi="宋体"/>
          <w:color w:val="auto"/>
          <w:sz w:val="30"/>
          <w:szCs w:val="30"/>
          <w:highlight w:val="none"/>
        </w:rPr>
        <w:t>7</w:t>
      </w:r>
      <w:r>
        <w:rPr>
          <w:rFonts w:ascii="宋体" w:hAnsi="宋体"/>
          <w:color w:val="auto"/>
          <w:sz w:val="30"/>
          <w:szCs w:val="30"/>
          <w:highlight w:val="none"/>
        </w:rPr>
        <w:fldChar w:fldCharType="end"/>
      </w:r>
      <w:r>
        <w:rPr>
          <w:rFonts w:ascii="宋体" w:hAnsi="宋体"/>
          <w:color w:val="auto"/>
          <w:sz w:val="30"/>
          <w:szCs w:val="30"/>
          <w:highlight w:val="none"/>
        </w:rPr>
        <w:fldChar w:fldCharType="end"/>
      </w:r>
    </w:p>
    <w:p w14:paraId="641AB136">
      <w:pPr>
        <w:pStyle w:val="20"/>
        <w:tabs>
          <w:tab w:val="right" w:leader="dot" w:pos="8296"/>
        </w:tabs>
        <w:rPr>
          <w:rFonts w:ascii="宋体" w:hAnsi="宋体" w:cstheme="minorBidi"/>
          <w:b w:val="0"/>
          <w:bCs w:val="0"/>
          <w:caps w:val="0"/>
          <w:color w:val="auto"/>
          <w:sz w:val="30"/>
          <w:szCs w:val="30"/>
          <w:highlight w:val="none"/>
        </w:rPr>
      </w:pPr>
      <w:r>
        <w:rPr>
          <w:color w:val="auto"/>
          <w:highlight w:val="none"/>
        </w:rPr>
        <w:fldChar w:fldCharType="begin"/>
      </w:r>
      <w:r>
        <w:rPr>
          <w:color w:val="auto"/>
          <w:highlight w:val="none"/>
        </w:rPr>
        <w:instrText xml:space="preserve"> HYPERLINK \l "_Toc98840831" </w:instrText>
      </w:r>
      <w:r>
        <w:rPr>
          <w:color w:val="auto"/>
          <w:highlight w:val="none"/>
        </w:rPr>
        <w:fldChar w:fldCharType="separate"/>
      </w:r>
      <w:r>
        <w:rPr>
          <w:rStyle w:val="31"/>
          <w:rFonts w:ascii="宋体" w:hAnsi="宋体"/>
          <w:color w:val="auto"/>
          <w:sz w:val="30"/>
          <w:szCs w:val="30"/>
          <w:highlight w:val="none"/>
        </w:rPr>
        <w:t>第三部分 附件</w:t>
      </w:r>
      <w:r>
        <w:rPr>
          <w:rFonts w:ascii="宋体" w:hAnsi="宋体"/>
          <w:color w:val="auto"/>
          <w:sz w:val="30"/>
          <w:szCs w:val="30"/>
          <w:highlight w:val="none"/>
        </w:rPr>
        <w:tab/>
      </w:r>
      <w:r>
        <w:rPr>
          <w:rFonts w:ascii="宋体" w:hAnsi="宋体"/>
          <w:color w:val="auto"/>
          <w:sz w:val="30"/>
          <w:szCs w:val="30"/>
          <w:highlight w:val="none"/>
        </w:rPr>
        <w:fldChar w:fldCharType="begin"/>
      </w:r>
      <w:r>
        <w:rPr>
          <w:rFonts w:ascii="宋体" w:hAnsi="宋体"/>
          <w:color w:val="auto"/>
          <w:sz w:val="30"/>
          <w:szCs w:val="30"/>
          <w:highlight w:val="none"/>
        </w:rPr>
        <w:instrText xml:space="preserve"> PAGEREF _Toc98840831 \h </w:instrText>
      </w:r>
      <w:r>
        <w:rPr>
          <w:rFonts w:ascii="宋体" w:hAnsi="宋体"/>
          <w:color w:val="auto"/>
          <w:sz w:val="30"/>
          <w:szCs w:val="30"/>
          <w:highlight w:val="none"/>
        </w:rPr>
        <w:fldChar w:fldCharType="separate"/>
      </w:r>
      <w:r>
        <w:rPr>
          <w:rFonts w:ascii="宋体" w:hAnsi="宋体"/>
          <w:color w:val="auto"/>
          <w:sz w:val="30"/>
          <w:szCs w:val="30"/>
          <w:highlight w:val="none"/>
        </w:rPr>
        <w:t>24</w:t>
      </w:r>
      <w:r>
        <w:rPr>
          <w:rFonts w:ascii="宋体" w:hAnsi="宋体"/>
          <w:color w:val="auto"/>
          <w:sz w:val="30"/>
          <w:szCs w:val="30"/>
          <w:highlight w:val="none"/>
        </w:rPr>
        <w:fldChar w:fldCharType="end"/>
      </w:r>
      <w:r>
        <w:rPr>
          <w:rFonts w:ascii="宋体" w:hAnsi="宋体"/>
          <w:color w:val="auto"/>
          <w:sz w:val="30"/>
          <w:szCs w:val="30"/>
          <w:highlight w:val="none"/>
        </w:rPr>
        <w:fldChar w:fldCharType="end"/>
      </w:r>
    </w:p>
    <w:p w14:paraId="43CDF703">
      <w:pPr>
        <w:spacing w:line="360" w:lineRule="auto"/>
        <w:rPr>
          <w:rFonts w:ascii="宋体" w:hAnsi="宋体" w:cs="宋体"/>
          <w:color w:val="auto"/>
          <w:sz w:val="28"/>
          <w:szCs w:val="28"/>
          <w:highlight w:val="none"/>
        </w:rPr>
        <w:sectPr>
          <w:footerReference r:id="rId10" w:type="first"/>
          <w:footerReference r:id="rId9" w:type="default"/>
          <w:pgSz w:w="11906" w:h="16838"/>
          <w:pgMar w:top="1440" w:right="1800" w:bottom="1440" w:left="1800" w:header="851" w:footer="992" w:gutter="0"/>
          <w:pgNumType w:start="1"/>
          <w:cols w:space="720" w:num="1"/>
          <w:titlePg/>
          <w:docGrid w:type="lines" w:linePitch="312" w:charSpace="0"/>
        </w:sectPr>
      </w:pPr>
      <w:r>
        <w:rPr>
          <w:rFonts w:ascii="宋体" w:hAnsi="宋体" w:cs="宋体"/>
          <w:color w:val="auto"/>
          <w:sz w:val="30"/>
          <w:szCs w:val="30"/>
          <w:highlight w:val="none"/>
        </w:rPr>
        <w:fldChar w:fldCharType="end"/>
      </w:r>
    </w:p>
    <w:bookmarkEnd w:id="0"/>
    <w:p w14:paraId="56EFC8B6">
      <w:pPr>
        <w:widowControl/>
        <w:jc w:val="left"/>
        <w:rPr>
          <w:rFonts w:ascii="宋体" w:hAnsi="宋体"/>
          <w:b/>
          <w:bCs/>
          <w:color w:val="auto"/>
          <w:kern w:val="44"/>
          <w:sz w:val="32"/>
          <w:szCs w:val="28"/>
          <w:highlight w:val="none"/>
        </w:rPr>
      </w:pPr>
      <w:bookmarkStart w:id="1" w:name="_Toc98840829"/>
      <w:r>
        <w:rPr>
          <w:rFonts w:ascii="宋体" w:hAnsi="宋体"/>
          <w:color w:val="auto"/>
          <w:szCs w:val="28"/>
          <w:highlight w:val="none"/>
        </w:rPr>
        <w:br w:type="page"/>
      </w:r>
    </w:p>
    <w:p w14:paraId="31DE9140">
      <w:pPr>
        <w:pStyle w:val="2"/>
        <w:spacing w:before="100" w:after="100" w:line="360" w:lineRule="auto"/>
        <w:jc w:val="center"/>
        <w:rPr>
          <w:rFonts w:ascii="宋体" w:hAnsi="宋体" w:eastAsia="宋体"/>
          <w:color w:val="auto"/>
          <w:szCs w:val="28"/>
          <w:highlight w:val="none"/>
        </w:rPr>
      </w:pPr>
      <w:r>
        <w:rPr>
          <w:rFonts w:hint="eastAsia" w:ascii="宋体" w:hAnsi="宋体" w:eastAsia="宋体"/>
          <w:color w:val="auto"/>
          <w:szCs w:val="28"/>
          <w:highlight w:val="none"/>
        </w:rPr>
        <w:t>第</w:t>
      </w:r>
      <w:r>
        <w:rPr>
          <w:rFonts w:ascii="宋体" w:hAnsi="宋体" w:eastAsia="宋体"/>
          <w:color w:val="auto"/>
          <w:szCs w:val="28"/>
          <w:highlight w:val="none"/>
        </w:rPr>
        <w:t>一部分</w:t>
      </w:r>
      <w:r>
        <w:rPr>
          <w:rFonts w:hint="eastAsia" w:ascii="宋体" w:hAnsi="宋体" w:eastAsia="宋体"/>
          <w:color w:val="auto"/>
          <w:szCs w:val="28"/>
          <w:highlight w:val="none"/>
        </w:rPr>
        <w:t xml:space="preserve"> 保险协议书</w:t>
      </w:r>
      <w:bookmarkEnd w:id="1"/>
    </w:p>
    <w:p w14:paraId="7062A8D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为了提升住宅建筑质量，保障住宅所有权人的合法权益，根据</w:t>
      </w:r>
      <w:r>
        <w:rPr>
          <w:rFonts w:hint="eastAsia" w:ascii="宋体" w:hAnsi="宋体" w:cs="宋体"/>
          <w:color w:val="auto"/>
          <w:sz w:val="24"/>
          <w:szCs w:val="24"/>
          <w:highlight w:val="none"/>
          <w:lang w:eastAsia="zh-CN"/>
        </w:rPr>
        <w:t>《广州市住宅工程质量潜在缺陷保险管理办法》（穗建质〔2025〕71号）</w:t>
      </w:r>
      <w:r>
        <w:rPr>
          <w:rFonts w:hint="eastAsia" w:ascii="宋体" w:hAnsi="宋体" w:cs="宋体"/>
          <w:color w:val="auto"/>
          <w:sz w:val="24"/>
          <w:szCs w:val="24"/>
          <w:highlight w:val="none"/>
        </w:rPr>
        <w:t>）的</w:t>
      </w:r>
      <w:r>
        <w:rPr>
          <w:rFonts w:ascii="宋体" w:hAnsi="宋体" w:cs="宋体"/>
          <w:color w:val="auto"/>
          <w:sz w:val="24"/>
          <w:szCs w:val="24"/>
          <w:highlight w:val="none"/>
        </w:rPr>
        <w:t>有关规定，</w:t>
      </w:r>
      <w:r>
        <w:rPr>
          <w:rFonts w:hint="eastAsia" w:ascii="宋体" w:hAnsi="宋体" w:cs="宋体"/>
          <w:color w:val="auto"/>
          <w:sz w:val="24"/>
          <w:szCs w:val="24"/>
          <w:highlight w:val="none"/>
        </w:rPr>
        <w:t>投保人对负责实施建设的</w:t>
      </w:r>
      <w:r>
        <w:rPr>
          <w:rFonts w:hint="eastAsia" w:ascii="宋体" w:hAnsi="宋体" w:cs="宋体"/>
          <w:color w:val="auto"/>
          <w:sz w:val="24"/>
          <w:szCs w:val="24"/>
          <w:highlight w:val="none"/>
          <w:u w:val="single"/>
        </w:rPr>
        <w:t>天河区元岗村城中村改造项目AT020649地块（即4号地块）住宅工程质量潜在缺陷险服务</w:t>
      </w:r>
      <w:r>
        <w:rPr>
          <w:rFonts w:hint="eastAsia" w:ascii="宋体" w:hAnsi="宋体" w:cs="宋体"/>
          <w:color w:val="auto"/>
          <w:sz w:val="24"/>
          <w:szCs w:val="24"/>
          <w:highlight w:val="none"/>
        </w:rPr>
        <w:t>（以</w:t>
      </w:r>
      <w:r>
        <w:rPr>
          <w:rFonts w:ascii="宋体" w:hAnsi="宋体" w:cs="宋体"/>
          <w:color w:val="auto"/>
          <w:sz w:val="24"/>
          <w:szCs w:val="24"/>
          <w:highlight w:val="none"/>
        </w:rPr>
        <w:t>下简称“</w:t>
      </w:r>
      <w:r>
        <w:rPr>
          <w:rFonts w:hint="eastAsia" w:ascii="宋体" w:hAnsi="宋体" w:cs="宋体"/>
          <w:color w:val="auto"/>
          <w:sz w:val="24"/>
          <w:szCs w:val="24"/>
          <w:highlight w:val="none"/>
        </w:rPr>
        <w:t>本</w:t>
      </w:r>
      <w:r>
        <w:rPr>
          <w:rFonts w:ascii="宋体" w:hAnsi="宋体" w:cs="宋体"/>
          <w:color w:val="auto"/>
          <w:sz w:val="24"/>
          <w:szCs w:val="24"/>
          <w:highlight w:val="none"/>
        </w:rPr>
        <w:t>项目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）住宅</w:t>
      </w:r>
      <w:r>
        <w:rPr>
          <w:rFonts w:ascii="宋体" w:hAnsi="宋体" w:cs="宋体"/>
          <w:color w:val="auto"/>
          <w:sz w:val="24"/>
          <w:szCs w:val="24"/>
          <w:highlight w:val="none"/>
        </w:rPr>
        <w:t>工程质量潜在缺陷保险（</w:t>
      </w:r>
      <w:r>
        <w:rPr>
          <w:rFonts w:hint="eastAsia" w:ascii="宋体" w:hAnsi="宋体" w:cs="宋体"/>
          <w:color w:val="auto"/>
          <w:sz w:val="24"/>
          <w:szCs w:val="24"/>
          <w:highlight w:val="none"/>
        </w:rPr>
        <w:t>以</w:t>
      </w:r>
      <w:r>
        <w:rPr>
          <w:rFonts w:ascii="宋体" w:hAnsi="宋体" w:cs="宋体"/>
          <w:color w:val="auto"/>
          <w:sz w:val="24"/>
          <w:szCs w:val="24"/>
          <w:highlight w:val="none"/>
        </w:rPr>
        <w:t>下简称“IDI”</w:t>
      </w:r>
      <w:r>
        <w:rPr>
          <w:rFonts w:hint="eastAsia" w:ascii="宋体" w:hAnsi="宋体" w:cs="宋体"/>
          <w:color w:val="auto"/>
          <w:sz w:val="24"/>
          <w:szCs w:val="24"/>
          <w:highlight w:val="none"/>
        </w:rPr>
        <w:t>）进行投保。</w:t>
      </w:r>
    </w:p>
    <w:p w14:paraId="57BB9DE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投保人经公开</w:t>
      </w:r>
      <w:r>
        <w:rPr>
          <w:rFonts w:ascii="宋体" w:hAnsi="宋体" w:cs="宋体"/>
          <w:color w:val="auto"/>
          <w:sz w:val="24"/>
          <w:szCs w:val="24"/>
          <w:highlight w:val="none"/>
        </w:rPr>
        <w:t>招标</w:t>
      </w:r>
      <w:r>
        <w:rPr>
          <w:rFonts w:hint="eastAsia" w:ascii="宋体" w:hAnsi="宋体" w:cs="宋体"/>
          <w:color w:val="auto"/>
          <w:sz w:val="24"/>
          <w:szCs w:val="24"/>
          <w:highlight w:val="none"/>
        </w:rPr>
        <w:t>，确定保险人作为本项目的主承保公司。双方本着友好协商、平等互利的原则，达成如下协议：</w:t>
      </w:r>
    </w:p>
    <w:p w14:paraId="4C47BA1B">
      <w:pPr>
        <w:spacing w:line="360" w:lineRule="auto"/>
        <w:ind w:firstLine="482" w:firstLineChars="200"/>
        <w:rPr>
          <w:rFonts w:ascii="宋体" w:hAnsi="宋体" w:cs="宋体"/>
          <w:b/>
          <w:bCs/>
          <w:color w:val="auto"/>
          <w:sz w:val="24"/>
          <w:szCs w:val="24"/>
          <w:highlight w:val="none"/>
        </w:rPr>
      </w:pPr>
      <w:r>
        <w:rPr>
          <w:rFonts w:hint="eastAsia" w:ascii="宋体" w:hAnsi="宋体" w:cs="宋体"/>
          <w:b/>
          <w:color w:val="auto"/>
          <w:sz w:val="24"/>
          <w:szCs w:val="24"/>
          <w:highlight w:val="none"/>
        </w:rPr>
        <w:t>一、</w:t>
      </w:r>
      <w:bookmarkStart w:id="2" w:name="_Hlk98851742"/>
      <w:r>
        <w:rPr>
          <w:rFonts w:hint="eastAsia" w:ascii="宋体" w:hAnsi="宋体" w:cs="宋体"/>
          <w:b/>
          <w:color w:val="auto"/>
          <w:sz w:val="24"/>
          <w:szCs w:val="24"/>
          <w:highlight w:val="none"/>
        </w:rPr>
        <w:t>下列文件应作为本项目保险合同的组成部分，并均具有法律效力，合同文件应是互为解释，互为说明，除合同另有约定外，解释的优先顺序如下：</w:t>
      </w:r>
    </w:p>
    <w:p w14:paraId="0EF45F84">
      <w:pPr>
        <w:spacing w:line="360" w:lineRule="auto"/>
        <w:ind w:firstLine="480" w:firstLineChars="200"/>
        <w:rPr>
          <w:rFonts w:ascii="宋体" w:hAnsi="宋体" w:cs="宋体"/>
          <w:color w:val="auto"/>
          <w:sz w:val="24"/>
          <w:szCs w:val="24"/>
          <w:highlight w:val="none"/>
        </w:rPr>
      </w:pPr>
      <w:bookmarkStart w:id="3" w:name="_Toc11104_WPSOffice_Level1"/>
      <w:bookmarkStart w:id="4" w:name="_Toc14952_WPSOffice_Level1"/>
      <w:r>
        <w:rPr>
          <w:rFonts w:hint="eastAsia" w:ascii="宋体" w:hAnsi="宋体" w:cs="宋体"/>
          <w:color w:val="auto"/>
          <w:sz w:val="24"/>
          <w:szCs w:val="24"/>
          <w:highlight w:val="none"/>
        </w:rPr>
        <w:t>（1）履行本合同的相关补充协议（含工程洽商记录、会议纪要、变更、现场签证、索赔和合同价款调整报告等修正文件）；</w:t>
      </w:r>
    </w:p>
    <w:p w14:paraId="6313A5C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（2）保险协议书；</w:t>
      </w:r>
    </w:p>
    <w:bookmarkEnd w:id="3"/>
    <w:bookmarkEnd w:id="4"/>
    <w:p w14:paraId="3410890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）中标通知书；</w:t>
      </w:r>
    </w:p>
    <w:p w14:paraId="298150E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）投标文件（含保险方案、报价书等）；</w:t>
      </w:r>
    </w:p>
    <w:p w14:paraId="6B7FC01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）保险条款；</w:t>
      </w:r>
    </w:p>
    <w:p w14:paraId="2C85E41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）保险单；</w:t>
      </w:r>
    </w:p>
    <w:p w14:paraId="56749CE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）招标文件；</w:t>
      </w:r>
    </w:p>
    <w:p w14:paraId="40F2D66E">
      <w:pPr>
        <w:spacing w:line="360" w:lineRule="auto"/>
        <w:ind w:firstLine="480" w:firstLineChars="200"/>
        <w:rPr>
          <w:rFonts w:ascii="宋体" w:hAnsi="宋体" w:cs="宋体"/>
          <w:color w:val="auto"/>
          <w:sz w:val="24"/>
          <w:szCs w:val="24"/>
          <w:highlight w:val="none"/>
        </w:rPr>
      </w:pPr>
      <w:bookmarkStart w:id="5" w:name="_Toc31063_WPSOffice_Level1"/>
      <w:bookmarkStart w:id="6" w:name="_Toc11472_WPSOffice_Level1"/>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）其他文件（如有）</w:t>
      </w:r>
      <w:bookmarkEnd w:id="5"/>
      <w:bookmarkEnd w:id="6"/>
      <w:r>
        <w:rPr>
          <w:rFonts w:hint="eastAsia" w:ascii="宋体" w:hAnsi="宋体" w:cs="宋体"/>
          <w:color w:val="auto"/>
          <w:sz w:val="24"/>
          <w:szCs w:val="24"/>
          <w:highlight w:val="none"/>
        </w:rPr>
        <w:t>。</w:t>
      </w:r>
      <w:bookmarkEnd w:id="2"/>
    </w:p>
    <w:p w14:paraId="7C7C25E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上述文件应认为是互为补充和解释的，若保险条款与保险协议书或附加条款冲突，保险协议书及附加条款效力优先。上述文件的优先性，以上面所列顺序在前为准，若仍有不明确之处，以时间在后者为准。</w:t>
      </w:r>
    </w:p>
    <w:p w14:paraId="541684D2">
      <w:pP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二、项目建设规模：</w:t>
      </w:r>
    </w:p>
    <w:p w14:paraId="3A0225FC">
      <w:pPr>
        <w:spacing w:line="360" w:lineRule="auto"/>
        <w:ind w:firstLine="480" w:firstLineChars="200"/>
        <w:rPr>
          <w:rFonts w:ascii="宋体" w:hAnsi="宋体" w:cs="宋体"/>
          <w:color w:val="auto"/>
          <w:sz w:val="24"/>
          <w:szCs w:val="24"/>
          <w:highlight w:val="none"/>
        </w:rPr>
      </w:pPr>
      <w:bookmarkStart w:id="7" w:name="_Hlk118972137"/>
      <w:r>
        <w:rPr>
          <w:rFonts w:hint="eastAsia" w:ascii="宋体" w:hAnsi="宋体" w:cs="宋体"/>
          <w:color w:val="auto"/>
          <w:sz w:val="24"/>
          <w:szCs w:val="24"/>
          <w:highlight w:val="none"/>
        </w:rPr>
        <w:t>总用地面积13353.59平方米，其中可建设用地面积约为10405.32平方米；道路用地面积2948.27平方米。建设总建筑面积约61803㎡,其中住宅建筑面积约40828㎡，公建配套(含商业配套)建筑面积约2874㎡，架空层建筑面积约1725㎡，地下室建筑面积约16376㎡；本项目地基基础设计最高等级为甲级；基坑安全最高等级为一级。最大建筑高度99.7米（项目建设规模及指标最终以政府相关部门批复及投保人选定方案为准）。暂定工程总工期</w:t>
      </w:r>
      <w:r>
        <w:rPr>
          <w:rFonts w:hint="eastAsia" w:ascii="宋体" w:hAnsi="宋体" w:cs="宋体"/>
          <w:color w:val="auto"/>
          <w:sz w:val="24"/>
          <w:szCs w:val="24"/>
          <w:highlight w:val="none"/>
          <w:lang w:val="en-US" w:eastAsia="zh-CN"/>
        </w:rPr>
        <w:t>913</w:t>
      </w:r>
      <w:r>
        <w:rPr>
          <w:rFonts w:hint="eastAsia" w:ascii="宋体" w:hAnsi="宋体" w:cs="宋体"/>
          <w:color w:val="auto"/>
          <w:sz w:val="24"/>
          <w:szCs w:val="24"/>
          <w:highlight w:val="none"/>
        </w:rPr>
        <w:t>日历天</w:t>
      </w:r>
      <w:bookmarkEnd w:id="7"/>
      <w:r>
        <w:rPr>
          <w:rFonts w:hint="eastAsia" w:ascii="宋体" w:hAnsi="宋体" w:cs="宋体"/>
          <w:color w:val="auto"/>
          <w:sz w:val="24"/>
          <w:szCs w:val="24"/>
          <w:highlight w:val="none"/>
        </w:rPr>
        <w:t>。</w:t>
      </w:r>
    </w:p>
    <w:p w14:paraId="4CBC0012">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三、投标人、被保险人和保险人信息</w:t>
      </w:r>
    </w:p>
    <w:p w14:paraId="6111653B">
      <w:pPr>
        <w:spacing w:line="360" w:lineRule="auto"/>
        <w:ind w:firstLine="480" w:firstLineChars="200"/>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rPr>
        <w:t>投保人：</w:t>
      </w:r>
      <w:r>
        <w:rPr>
          <w:rFonts w:hint="eastAsia" w:ascii="宋体" w:hAnsi="宋体" w:eastAsia="宋体" w:cs="宋体"/>
          <w:color w:val="auto"/>
          <w:sz w:val="24"/>
          <w:szCs w:val="24"/>
          <w:highlight w:val="none"/>
          <w:lang w:eastAsia="zh-CN"/>
        </w:rPr>
        <w:t>广州环五山创新策源区元岗城市更新有限公司</w:t>
      </w:r>
    </w:p>
    <w:p w14:paraId="27B1928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 被保险人：</w:t>
      </w:r>
      <w:r>
        <w:rPr>
          <w:rFonts w:hint="eastAsia" w:ascii="宋体" w:hAnsi="宋体" w:eastAsia="宋体" w:cs="宋体"/>
          <w:color w:val="auto"/>
          <w:sz w:val="24"/>
          <w:szCs w:val="24"/>
          <w:highlight w:val="none"/>
          <w:lang w:eastAsia="zh-CN"/>
        </w:rPr>
        <w:t>广州环五山创新策源区元岗城市更新有限公司</w:t>
      </w:r>
    </w:p>
    <w:p w14:paraId="5121A27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 xml:space="preserve">.3 </w:t>
      </w:r>
      <w:r>
        <w:rPr>
          <w:rFonts w:hint="eastAsia" w:ascii="宋体" w:hAnsi="宋体" w:cs="宋体"/>
          <w:color w:val="auto"/>
          <w:sz w:val="24"/>
          <w:szCs w:val="24"/>
          <w:highlight w:val="none"/>
        </w:rPr>
        <w:t>保险人：【】，保险人作</w:t>
      </w:r>
      <w:r>
        <w:rPr>
          <w:rFonts w:ascii="宋体" w:hAnsi="宋体" w:cs="宋体"/>
          <w:color w:val="auto"/>
          <w:sz w:val="24"/>
          <w:szCs w:val="24"/>
          <w:highlight w:val="none"/>
        </w:rPr>
        <w:t>为</w:t>
      </w:r>
      <w:r>
        <w:rPr>
          <w:rFonts w:hint="eastAsia" w:ascii="宋体" w:hAnsi="宋体" w:cs="宋体"/>
          <w:color w:val="auto"/>
          <w:sz w:val="24"/>
          <w:szCs w:val="24"/>
          <w:highlight w:val="none"/>
        </w:rPr>
        <w:t>本</w:t>
      </w:r>
      <w:r>
        <w:rPr>
          <w:rFonts w:ascii="宋体" w:hAnsi="宋体" w:cs="宋体"/>
          <w:color w:val="auto"/>
          <w:sz w:val="24"/>
          <w:szCs w:val="24"/>
          <w:highlight w:val="none"/>
        </w:rPr>
        <w:t>项目</w:t>
      </w:r>
      <w:r>
        <w:rPr>
          <w:rFonts w:hint="eastAsia" w:ascii="宋体" w:hAnsi="宋体" w:cs="宋体"/>
          <w:color w:val="auto"/>
          <w:sz w:val="24"/>
          <w:szCs w:val="24"/>
          <w:highlight w:val="none"/>
        </w:rPr>
        <w:t>主承保公司，应根据《广州市住宅工程质量潜在缺陷保险暂行办法实施细则》</w:t>
      </w:r>
      <w:r>
        <w:rPr>
          <w:rFonts w:hint="eastAsia" w:ascii="宋体" w:hAnsi="宋体" w:cs="宋体"/>
          <w:color w:val="auto"/>
          <w:sz w:val="24"/>
          <w:szCs w:val="24"/>
          <w:highlight w:val="none"/>
          <w:lang w:eastAsia="zh-CN"/>
        </w:rPr>
        <w:t>、《广州市住宅工程质量潜在缺陷保险管理办法》</w:t>
      </w:r>
      <w:r>
        <w:rPr>
          <w:rFonts w:hint="eastAsia" w:ascii="宋体" w:hAnsi="宋体" w:cs="宋体"/>
          <w:color w:val="auto"/>
          <w:sz w:val="24"/>
          <w:szCs w:val="24"/>
          <w:highlight w:val="none"/>
        </w:rPr>
        <w:t>要</w:t>
      </w:r>
      <w:r>
        <w:rPr>
          <w:rFonts w:ascii="宋体" w:hAnsi="宋体" w:cs="宋体"/>
          <w:color w:val="auto"/>
          <w:sz w:val="24"/>
          <w:szCs w:val="24"/>
          <w:highlight w:val="none"/>
        </w:rPr>
        <w:t>求</w:t>
      </w:r>
      <w:r>
        <w:rPr>
          <w:rFonts w:hint="eastAsia" w:ascii="宋体" w:hAnsi="宋体" w:cs="宋体"/>
          <w:color w:val="auto"/>
          <w:sz w:val="24"/>
          <w:szCs w:val="24"/>
          <w:highlight w:val="none"/>
        </w:rPr>
        <w:t>选择从</w:t>
      </w:r>
      <w:r>
        <w:rPr>
          <w:rFonts w:ascii="宋体" w:hAnsi="宋体" w:cs="宋体"/>
          <w:color w:val="auto"/>
          <w:sz w:val="24"/>
          <w:szCs w:val="24"/>
          <w:highlight w:val="none"/>
        </w:rPr>
        <w:t>保公司</w:t>
      </w:r>
      <w:r>
        <w:rPr>
          <w:rFonts w:hint="eastAsia" w:ascii="宋体" w:hAnsi="宋体" w:cs="宋体"/>
          <w:color w:val="auto"/>
          <w:sz w:val="24"/>
          <w:szCs w:val="24"/>
          <w:highlight w:val="none"/>
        </w:rPr>
        <w:t>，各公司</w:t>
      </w:r>
      <w:r>
        <w:rPr>
          <w:rFonts w:ascii="宋体" w:hAnsi="宋体" w:cs="宋体"/>
          <w:color w:val="auto"/>
          <w:sz w:val="24"/>
          <w:szCs w:val="24"/>
          <w:highlight w:val="none"/>
        </w:rPr>
        <w:t>应</w:t>
      </w:r>
      <w:r>
        <w:rPr>
          <w:rFonts w:hint="eastAsia" w:ascii="宋体" w:hAnsi="宋体" w:cs="宋体"/>
          <w:color w:val="auto"/>
          <w:sz w:val="24"/>
          <w:szCs w:val="24"/>
          <w:highlight w:val="none"/>
        </w:rPr>
        <w:t>严格按照保险合同的约定承担保险责任。具体信息如下表：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4677"/>
        <w:gridCol w:w="1497"/>
      </w:tblGrid>
      <w:tr w14:paraId="1D85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7348F327">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共保体</w:t>
            </w:r>
          </w:p>
        </w:tc>
        <w:tc>
          <w:tcPr>
            <w:tcW w:w="4677" w:type="dxa"/>
            <w:vAlign w:val="center"/>
          </w:tcPr>
          <w:p w14:paraId="23D512C5">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保险公司名称</w:t>
            </w:r>
          </w:p>
        </w:tc>
        <w:tc>
          <w:tcPr>
            <w:tcW w:w="1497" w:type="dxa"/>
            <w:vAlign w:val="center"/>
          </w:tcPr>
          <w:p w14:paraId="1DCA3F91">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份额</w:t>
            </w:r>
          </w:p>
        </w:tc>
      </w:tr>
      <w:tr w14:paraId="711A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7C7BFB5A">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主承保公司</w:t>
            </w:r>
          </w:p>
        </w:tc>
        <w:tc>
          <w:tcPr>
            <w:tcW w:w="4677" w:type="dxa"/>
            <w:vAlign w:val="center"/>
          </w:tcPr>
          <w:p w14:paraId="41110B4D">
            <w:pPr>
              <w:spacing w:line="360" w:lineRule="auto"/>
              <w:jc w:val="center"/>
              <w:rPr>
                <w:rFonts w:ascii="宋体" w:hAnsi="宋体" w:cs="宋体"/>
                <w:color w:val="auto"/>
                <w:sz w:val="24"/>
                <w:szCs w:val="24"/>
                <w:highlight w:val="none"/>
              </w:rPr>
            </w:pPr>
          </w:p>
        </w:tc>
        <w:tc>
          <w:tcPr>
            <w:tcW w:w="1497" w:type="dxa"/>
            <w:vAlign w:val="center"/>
          </w:tcPr>
          <w:p w14:paraId="64018DF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5CF7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19F07726">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从保公司1</w:t>
            </w:r>
          </w:p>
        </w:tc>
        <w:tc>
          <w:tcPr>
            <w:tcW w:w="4677" w:type="dxa"/>
            <w:vAlign w:val="center"/>
          </w:tcPr>
          <w:p w14:paraId="15660237">
            <w:pPr>
              <w:spacing w:line="360" w:lineRule="auto"/>
              <w:jc w:val="center"/>
              <w:rPr>
                <w:rFonts w:ascii="宋体" w:hAnsi="宋体" w:cs="宋体"/>
                <w:color w:val="auto"/>
                <w:sz w:val="24"/>
                <w:szCs w:val="24"/>
                <w:highlight w:val="none"/>
              </w:rPr>
            </w:pPr>
          </w:p>
        </w:tc>
        <w:tc>
          <w:tcPr>
            <w:tcW w:w="1497" w:type="dxa"/>
            <w:vAlign w:val="center"/>
          </w:tcPr>
          <w:p w14:paraId="2942F9D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1F81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15AB8B8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从保公司2</w:t>
            </w:r>
          </w:p>
        </w:tc>
        <w:tc>
          <w:tcPr>
            <w:tcW w:w="4677" w:type="dxa"/>
            <w:vAlign w:val="center"/>
          </w:tcPr>
          <w:p w14:paraId="61A7ED36">
            <w:pPr>
              <w:adjustRightInd w:val="0"/>
              <w:snapToGrid w:val="0"/>
              <w:spacing w:line="384" w:lineRule="auto"/>
              <w:rPr>
                <w:rFonts w:ascii="宋体" w:hAnsi="宋体"/>
                <w:color w:val="auto"/>
                <w:sz w:val="24"/>
                <w:highlight w:val="none"/>
              </w:rPr>
            </w:pPr>
          </w:p>
        </w:tc>
        <w:tc>
          <w:tcPr>
            <w:tcW w:w="1497" w:type="dxa"/>
            <w:vAlign w:val="center"/>
          </w:tcPr>
          <w:p w14:paraId="01418E35">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r>
      <w:tr w14:paraId="5FFA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797CCCA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4677" w:type="dxa"/>
            <w:vAlign w:val="center"/>
          </w:tcPr>
          <w:p w14:paraId="7FD9FAD2">
            <w:pPr>
              <w:adjustRightInd w:val="0"/>
              <w:snapToGrid w:val="0"/>
              <w:spacing w:line="384" w:lineRule="auto"/>
              <w:rPr>
                <w:rFonts w:ascii="宋体" w:hAnsi="宋体"/>
                <w:color w:val="auto"/>
                <w:sz w:val="24"/>
                <w:highlight w:val="none"/>
              </w:rPr>
            </w:pPr>
          </w:p>
        </w:tc>
        <w:tc>
          <w:tcPr>
            <w:tcW w:w="1497" w:type="dxa"/>
            <w:vAlign w:val="center"/>
          </w:tcPr>
          <w:p w14:paraId="6DBDD2B0">
            <w:pPr>
              <w:spacing w:line="360" w:lineRule="auto"/>
              <w:jc w:val="center"/>
              <w:rPr>
                <w:rFonts w:ascii="宋体" w:hAnsi="宋体" w:cs="宋体"/>
                <w:color w:val="auto"/>
                <w:sz w:val="24"/>
                <w:szCs w:val="24"/>
                <w:highlight w:val="none"/>
              </w:rPr>
            </w:pPr>
          </w:p>
        </w:tc>
      </w:tr>
    </w:tbl>
    <w:p w14:paraId="307DF9D3">
      <w:pPr>
        <w:spacing w:line="360" w:lineRule="auto"/>
        <w:ind w:firstLine="482" w:firstLineChars="200"/>
        <w:rPr>
          <w:rFonts w:ascii="宋体" w:hAnsi="宋体" w:cs="宋体"/>
          <w:b/>
          <w:bCs/>
          <w:color w:val="auto"/>
          <w:sz w:val="24"/>
          <w:szCs w:val="24"/>
          <w:highlight w:val="none"/>
        </w:rPr>
      </w:pPr>
      <w:r>
        <w:rPr>
          <w:rFonts w:hint="eastAsia" w:ascii="宋体" w:hAnsi="宋体" w:cs="宋体"/>
          <w:b/>
          <w:color w:val="auto"/>
          <w:sz w:val="24"/>
          <w:szCs w:val="24"/>
          <w:highlight w:val="none"/>
        </w:rPr>
        <w:t>四、投保险种：</w:t>
      </w:r>
    </w:p>
    <w:p w14:paraId="5F6F3FC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投保人向保险人投保住宅工程质量潜在缺陷保险，投保内容如下：</w:t>
      </w:r>
    </w:p>
    <w:p w14:paraId="100B749E">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1地基基础和主体结构工程：</w:t>
      </w:r>
    </w:p>
    <w:p w14:paraId="5B14E47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（1）整体或局部倒塌；</w:t>
      </w:r>
    </w:p>
    <w:p w14:paraId="5179956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（2）地基产生超出设计规范允许的不均匀沉降；</w:t>
      </w:r>
    </w:p>
    <w:p w14:paraId="0D388E5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（3）基础和主体结构部位出现影响结构安全的裂缝、变形、破损、断裂；</w:t>
      </w:r>
    </w:p>
    <w:p w14:paraId="3E827E9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（4）阳台、雨蓬、挑檐、空调板等悬挑构件出现影响使用安全的裂缝、变形、破损、断裂；</w:t>
      </w:r>
    </w:p>
    <w:p w14:paraId="0C7425C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（5）外墙面坍塌（含脱落）等影响使用安全的质量缺陷；</w:t>
      </w:r>
    </w:p>
    <w:p w14:paraId="2B1514D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（6）其他地基基础和主体结构部位出现的影响结构安全的工程质量潜在缺陷。</w:t>
      </w:r>
    </w:p>
    <w:p w14:paraId="09C17AC6">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4.2 </w:t>
      </w:r>
      <w:r>
        <w:rPr>
          <w:rFonts w:hint="eastAsia" w:ascii="宋体" w:hAnsi="宋体" w:cs="宋体"/>
          <w:color w:val="auto"/>
          <w:sz w:val="24"/>
          <w:szCs w:val="24"/>
          <w:highlight w:val="none"/>
        </w:rPr>
        <w:t>保温和防水工程：</w:t>
      </w:r>
    </w:p>
    <w:p w14:paraId="20BDDE8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（1）围护结构的保温层破损、脱落；</w:t>
      </w:r>
    </w:p>
    <w:p w14:paraId="5A84526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（2）地下、屋面、厕浴间防水渗漏；</w:t>
      </w:r>
    </w:p>
    <w:p w14:paraId="20F8548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（3）外墙（包括外窗与外墙交接处）渗漏；</w:t>
      </w:r>
    </w:p>
    <w:p w14:paraId="48002C2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（4）其他有防水要求的部位渗漏。</w:t>
      </w:r>
    </w:p>
    <w:p w14:paraId="79ECB5EA">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4.3 </w:t>
      </w:r>
      <w:r>
        <w:rPr>
          <w:rFonts w:hint="eastAsia" w:ascii="宋体" w:hAnsi="宋体" w:cs="宋体"/>
          <w:color w:val="auto"/>
          <w:sz w:val="24"/>
          <w:szCs w:val="24"/>
          <w:highlight w:val="none"/>
        </w:rPr>
        <w:t>装修</w:t>
      </w:r>
      <w:r>
        <w:rPr>
          <w:rFonts w:hint="eastAsia" w:ascii="宋体" w:hAnsi="宋体" w:cs="宋体"/>
          <w:color w:val="auto"/>
          <w:sz w:val="24"/>
          <w:szCs w:val="24"/>
          <w:highlight w:val="none"/>
          <w:lang w:eastAsia="zh-CN"/>
        </w:rPr>
        <w:t>与安装</w:t>
      </w:r>
      <w:r>
        <w:rPr>
          <w:rFonts w:hint="eastAsia" w:ascii="宋体" w:hAnsi="宋体" w:cs="宋体"/>
          <w:color w:val="auto"/>
          <w:sz w:val="24"/>
          <w:szCs w:val="24"/>
          <w:highlight w:val="none"/>
        </w:rPr>
        <w:t>工程（附加险）：</w:t>
      </w:r>
    </w:p>
    <w:p w14:paraId="5FCA007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sym w:font="Wingdings 2" w:char="0052"/>
      </w:r>
      <w:r>
        <w:rPr>
          <w:rFonts w:hint="eastAsia" w:ascii="宋体" w:hAnsi="宋体" w:cs="宋体"/>
          <w:color w:val="auto"/>
          <w:sz w:val="24"/>
          <w:szCs w:val="24"/>
          <w:highlight w:val="none"/>
        </w:rPr>
        <w:t>（1）建筑装饰装修工程(含外墙饰面、幕墙、门窗等质量缺陷)；</w:t>
      </w:r>
    </w:p>
    <w:p w14:paraId="5576A34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sym w:font="Wingdings 2" w:char="0052"/>
      </w:r>
      <w:r>
        <w:rPr>
          <w:rFonts w:hint="eastAsia" w:ascii="宋体" w:hAnsi="宋体" w:cs="宋体"/>
          <w:color w:val="auto"/>
          <w:sz w:val="24"/>
          <w:szCs w:val="24"/>
          <w:highlight w:val="none"/>
        </w:rPr>
        <w:t>（2）建筑给水排水及供暖工程；</w:t>
      </w:r>
    </w:p>
    <w:p w14:paraId="7050CF9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sym w:font="Wingdings 2" w:char="0052"/>
      </w:r>
      <w:r>
        <w:rPr>
          <w:rFonts w:hint="eastAsia" w:ascii="宋体" w:hAnsi="宋体" w:cs="宋体"/>
          <w:color w:val="auto"/>
          <w:sz w:val="24"/>
          <w:szCs w:val="24"/>
          <w:highlight w:val="none"/>
        </w:rPr>
        <w:t>（3）通风与空调工程；</w:t>
      </w:r>
    </w:p>
    <w:p w14:paraId="1B08F30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sym w:font="Wingdings 2" w:char="0052"/>
      </w:r>
      <w:r>
        <w:rPr>
          <w:rFonts w:hint="eastAsia" w:ascii="宋体" w:hAnsi="宋体" w:cs="宋体"/>
          <w:color w:val="auto"/>
          <w:sz w:val="24"/>
          <w:szCs w:val="24"/>
          <w:highlight w:val="none"/>
        </w:rPr>
        <w:t>（4）建筑电气工程；</w:t>
      </w:r>
    </w:p>
    <w:p w14:paraId="437DCBD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□（5）智能建筑工程；</w:t>
      </w:r>
    </w:p>
    <w:p w14:paraId="7ED8696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□（6）建筑节能工程；</w:t>
      </w:r>
    </w:p>
    <w:p w14:paraId="3310F65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□（7）电梯工程；</w:t>
      </w:r>
    </w:p>
    <w:p w14:paraId="38CA2C8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□（8）其他：【】。</w:t>
      </w:r>
    </w:p>
    <w:p w14:paraId="71FDF3EB">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五、服务期限：</w:t>
      </w:r>
    </w:p>
    <w:p w14:paraId="0E1F8E3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保险人应在取得中标通知书之日起1</w:t>
      </w:r>
      <w:r>
        <w:rPr>
          <w:rFonts w:ascii="宋体" w:hAnsi="宋体" w:cs="宋体"/>
          <w:color w:val="auto"/>
          <w:sz w:val="24"/>
          <w:szCs w:val="24"/>
          <w:highlight w:val="none"/>
        </w:rPr>
        <w:t>0</w:t>
      </w:r>
      <w:r>
        <w:rPr>
          <w:rFonts w:hint="eastAsia" w:ascii="宋体" w:hAnsi="宋体" w:cs="宋体"/>
          <w:color w:val="auto"/>
          <w:sz w:val="24"/>
          <w:szCs w:val="24"/>
          <w:highlight w:val="none"/>
        </w:rPr>
        <w:t>日内向投保人出具正式保险单，缺陷保险的保险期限自保险单生效之日起，包括工程建设工期、缺陷责任期以及保险责任期间三个阶段，分别为：</w:t>
      </w:r>
    </w:p>
    <w:p w14:paraId="3B418966">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5.1</w:t>
      </w:r>
      <w:r>
        <w:rPr>
          <w:rFonts w:hint="eastAsia" w:ascii="宋体" w:hAnsi="宋体" w:cs="宋体"/>
          <w:color w:val="auto"/>
          <w:sz w:val="24"/>
          <w:szCs w:val="24"/>
          <w:highlight w:val="none"/>
        </w:rPr>
        <w:t>工程建设期自保险单生效之日起算至工程竣工验收合格之日止。</w:t>
      </w:r>
    </w:p>
    <w:p w14:paraId="629822E6">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缺陷责任期自工程竣工验收合格之日起算，限期为两年。</w:t>
      </w:r>
    </w:p>
    <w:p w14:paraId="57A01EA9">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rPr>
        <w:t>保险责任期：自缺陷责任期结束之日起算，其中：1）地基基础和主体结构工程保险责任期为10年；2）保温和防水工程保险责任期为5年；3）装修与安装工程保险责任期为2年。在保险责任期内，被保险项目发生保险责任范围内的损坏，保险公司负责赔偿。</w:t>
      </w:r>
    </w:p>
    <w:p w14:paraId="49AA65D5">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六、保险费、支付方式和结算方式：</w:t>
      </w:r>
    </w:p>
    <w:p w14:paraId="3FAA5174">
      <w:pPr>
        <w:spacing w:line="360" w:lineRule="auto"/>
        <w:ind w:firstLine="480" w:firstLineChars="200"/>
        <w:rPr>
          <w:rFonts w:ascii="宋体" w:hAnsi="宋体" w:cs="宋体"/>
          <w:color w:val="auto"/>
          <w:kern w:val="0"/>
          <w:sz w:val="24"/>
          <w:highlight w:val="none"/>
          <w:u w:val="single"/>
        </w:rPr>
      </w:pPr>
      <w:r>
        <w:rPr>
          <w:rFonts w:ascii="宋体" w:hAnsi="宋体" w:cs="宋体"/>
          <w:color w:val="auto"/>
          <w:sz w:val="24"/>
          <w:szCs w:val="24"/>
          <w:highlight w:val="none"/>
        </w:rPr>
        <w:t xml:space="preserve">6.1 </w:t>
      </w:r>
      <w:r>
        <w:rPr>
          <w:rFonts w:hint="eastAsia" w:ascii="宋体" w:hAnsi="宋体" w:cs="宋体"/>
          <w:color w:val="auto"/>
          <w:sz w:val="24"/>
          <w:szCs w:val="24"/>
          <w:highlight w:val="none"/>
        </w:rPr>
        <w:t>保险费：本项目保险费合同价（含税）为：</w:t>
      </w:r>
      <w:r>
        <w:rPr>
          <w:rFonts w:hint="eastAsia" w:ascii="宋体" w:hAnsi="宋体" w:cs="宋体"/>
          <w:color w:val="auto"/>
          <w:sz w:val="24"/>
          <w:highlight w:val="none"/>
        </w:rPr>
        <w:t>人民币大写：【】（￥【】元）</w:t>
      </w:r>
      <w:r>
        <w:rPr>
          <w:rFonts w:hint="eastAsia" w:ascii="宋体" w:hAnsi="宋体"/>
          <w:color w:val="auto"/>
          <w:sz w:val="24"/>
          <w:highlight w:val="none"/>
        </w:rPr>
        <w:t>，</w:t>
      </w:r>
      <w:r>
        <w:rPr>
          <w:rFonts w:hint="eastAsia" w:ascii="宋体" w:hAnsi="宋体" w:cs="宋体"/>
          <w:color w:val="auto"/>
          <w:kern w:val="0"/>
          <w:sz w:val="24"/>
          <w:highlight w:val="none"/>
        </w:rPr>
        <w:t>其中：不含税合同价为</w:t>
      </w:r>
      <w:r>
        <w:rPr>
          <w:rFonts w:hint="eastAsia" w:ascii="宋体" w:hAnsi="宋体" w:cs="宋体"/>
          <w:color w:val="auto"/>
          <w:sz w:val="24"/>
          <w:highlight w:val="none"/>
        </w:rPr>
        <w:t>人民币大写：【】（￥【】元）</w:t>
      </w:r>
      <w:r>
        <w:rPr>
          <w:rFonts w:hint="eastAsia" w:ascii="宋体" w:hAnsi="宋体" w:cs="宋体"/>
          <w:color w:val="auto"/>
          <w:kern w:val="0"/>
          <w:sz w:val="24"/>
          <w:highlight w:val="none"/>
        </w:rPr>
        <w:t>，增值税率为【】%（本合同约定不含税价格不因国家税率变化而变化，若在合同履行期间，国家的税率调整，则不含税价不变，价税合计（总价）相应调整，以开具发票的时间为准）。</w:t>
      </w:r>
      <w:r>
        <w:rPr>
          <w:rFonts w:hint="eastAsia" w:ascii="宋体" w:hAnsi="宋体" w:cs="宋体"/>
          <w:b/>
          <w:bCs/>
          <w:color w:val="auto"/>
          <w:sz w:val="24"/>
          <w:highlight w:val="none"/>
        </w:rPr>
        <w:t>合同约定的总基准保险费率</w:t>
      </w:r>
      <w:r>
        <w:rPr>
          <w:rFonts w:hint="eastAsia" w:ascii="宋体" w:hAnsi="宋体" w:cs="宋体"/>
          <w:b/>
          <w:bCs/>
          <w:color w:val="auto"/>
          <w:sz w:val="24"/>
          <w:szCs w:val="24"/>
          <w:highlight w:val="none"/>
        </w:rPr>
        <w:t>为1</w:t>
      </w:r>
      <w:r>
        <w:rPr>
          <w:rFonts w:ascii="宋体" w:hAnsi="宋体" w:cs="宋体"/>
          <w:b/>
          <w:bCs/>
          <w:color w:val="auto"/>
          <w:sz w:val="24"/>
          <w:szCs w:val="24"/>
          <w:highlight w:val="none"/>
        </w:rPr>
        <w:t>.25</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rPr>
        <w:t>在任何情况下不予上浮）</w:t>
      </w:r>
      <w:r>
        <w:rPr>
          <w:rFonts w:hint="eastAsia" w:ascii="宋体" w:hAnsi="宋体" w:cs="宋体"/>
          <w:color w:val="auto"/>
          <w:sz w:val="24"/>
          <w:szCs w:val="24"/>
          <w:highlight w:val="none"/>
        </w:rPr>
        <w:t>。</w:t>
      </w:r>
    </w:p>
    <w:p w14:paraId="1712EBCF">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6.2 </w:t>
      </w:r>
      <w:r>
        <w:rPr>
          <w:rFonts w:hint="eastAsia" w:ascii="宋体" w:hAnsi="宋体" w:cs="宋体"/>
          <w:color w:val="auto"/>
          <w:kern w:val="0"/>
          <w:sz w:val="24"/>
          <w:highlight w:val="none"/>
        </w:rPr>
        <w:t>支付方式：</w:t>
      </w:r>
    </w:p>
    <w:p w14:paraId="0CDB3040">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6.2.1 </w:t>
      </w:r>
      <w:r>
        <w:rPr>
          <w:rFonts w:hint="eastAsia" w:ascii="宋体" w:hAnsi="宋体" w:cs="宋体"/>
          <w:color w:val="auto"/>
          <w:kern w:val="0"/>
          <w:sz w:val="24"/>
          <w:highlight w:val="none"/>
        </w:rPr>
        <w:t>合同签订生效且保险人提供符合投保人要求的等额合法有效的增值税专用发票后，投保人</w:t>
      </w:r>
      <w:r>
        <w:rPr>
          <w:rFonts w:ascii="宋体" w:hAnsi="宋体" w:cs="宋体"/>
          <w:color w:val="auto"/>
          <w:kern w:val="0"/>
          <w:sz w:val="24"/>
          <w:highlight w:val="none"/>
        </w:rPr>
        <w:t>根据项目实际情况</w:t>
      </w:r>
      <w:r>
        <w:rPr>
          <w:rFonts w:hint="eastAsia" w:ascii="宋体" w:hAnsi="宋体" w:cs="宋体"/>
          <w:color w:val="auto"/>
          <w:kern w:val="0"/>
          <w:sz w:val="24"/>
          <w:highlight w:val="none"/>
        </w:rPr>
        <w:t>一次性支付本合同约定的保险费。</w:t>
      </w:r>
    </w:p>
    <w:p w14:paraId="7387A62C">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6.2.2 </w:t>
      </w:r>
      <w:r>
        <w:rPr>
          <w:rFonts w:hint="eastAsia" w:ascii="宋体" w:hAnsi="宋体" w:cs="宋体"/>
          <w:color w:val="auto"/>
          <w:kern w:val="0"/>
          <w:sz w:val="24"/>
          <w:highlight w:val="none"/>
        </w:rPr>
        <w:t>在保险责任期开始前三个月，保险人向投保人提供投保工程的竣工结算书及清单明细后，经投保人及项目结算终审单位审定合同结算价后支付结算价尾款。结算价尾款支付金额为最终结算价扣除投保人已支付金额后的差额，多退少补。如计算得出结算尾款支付余额为负数的，保险人应在收到投保人书面通知之日起</w:t>
      </w:r>
      <w:r>
        <w:rPr>
          <w:rFonts w:ascii="宋体" w:hAnsi="宋体" w:cs="宋体"/>
          <w:color w:val="auto"/>
          <w:kern w:val="0"/>
          <w:sz w:val="24"/>
          <w:highlight w:val="none"/>
        </w:rPr>
        <w:t>30</w:t>
      </w:r>
      <w:r>
        <w:rPr>
          <w:rFonts w:hint="eastAsia" w:ascii="宋体" w:hAnsi="宋体" w:cs="宋体"/>
          <w:color w:val="auto"/>
          <w:kern w:val="0"/>
          <w:sz w:val="24"/>
          <w:highlight w:val="none"/>
        </w:rPr>
        <w:t>日内返还多收的款项；否则，投保人有权向保险人追索，保险人除应足额返还多收的款项外，还应每天按多收款项总金额的</w:t>
      </w:r>
      <w:r>
        <w:rPr>
          <w:rFonts w:ascii="宋体" w:hAnsi="宋体" w:cs="宋体"/>
          <w:color w:val="auto"/>
          <w:kern w:val="0"/>
          <w:sz w:val="24"/>
          <w:highlight w:val="none"/>
        </w:rPr>
        <w:t>2</w:t>
      </w:r>
      <w:r>
        <w:rPr>
          <w:rFonts w:hint="eastAsia" w:ascii="宋体" w:hAnsi="宋体" w:cs="宋体"/>
          <w:color w:val="auto"/>
          <w:kern w:val="0"/>
          <w:sz w:val="24"/>
          <w:highlight w:val="none"/>
        </w:rPr>
        <w:t>‰向投保人支付违约金。</w:t>
      </w:r>
    </w:p>
    <w:p w14:paraId="7FA2651B">
      <w:pPr>
        <w:pStyle w:val="11"/>
        <w:ind w:firstLine="600" w:firstLineChars="250"/>
        <w:rPr>
          <w:rFonts w:ascii="宋体" w:hAnsi="宋体" w:cs="宋体"/>
          <w:color w:val="auto"/>
          <w:kern w:val="0"/>
          <w:sz w:val="24"/>
          <w:szCs w:val="22"/>
          <w:highlight w:val="none"/>
        </w:rPr>
      </w:pPr>
      <w:r>
        <w:rPr>
          <w:rFonts w:ascii="宋体" w:hAnsi="宋体" w:cs="宋体"/>
          <w:color w:val="auto"/>
          <w:kern w:val="0"/>
          <w:sz w:val="24"/>
          <w:szCs w:val="22"/>
          <w:highlight w:val="none"/>
        </w:rPr>
        <w:t xml:space="preserve">6.2.3 </w:t>
      </w:r>
      <w:r>
        <w:rPr>
          <w:rFonts w:hint="eastAsia" w:ascii="宋体" w:hAnsi="宋体" w:cs="宋体"/>
          <w:color w:val="auto"/>
          <w:kern w:val="0"/>
          <w:sz w:val="24"/>
          <w:szCs w:val="22"/>
          <w:highlight w:val="none"/>
        </w:rPr>
        <w:t>投保人付款前，保险人均需按投保人财务管理制度办理书面支付申请手续，否则投保人有权顺延支付合同款项且不构成违约，保险人仍须按照本合同约定履行义务。</w:t>
      </w:r>
    </w:p>
    <w:p w14:paraId="1DE96B32">
      <w:pPr>
        <w:pStyle w:val="11"/>
        <w:ind w:firstLine="600" w:firstLineChars="250"/>
        <w:rPr>
          <w:rFonts w:ascii="宋体" w:hAnsi="宋体" w:cs="宋体"/>
          <w:color w:val="auto"/>
          <w:kern w:val="0"/>
          <w:sz w:val="24"/>
          <w:szCs w:val="22"/>
          <w:highlight w:val="none"/>
        </w:rPr>
      </w:pPr>
      <w:r>
        <w:rPr>
          <w:rFonts w:ascii="宋体" w:hAnsi="宋体" w:cs="宋体"/>
          <w:color w:val="auto"/>
          <w:kern w:val="0"/>
          <w:sz w:val="24"/>
          <w:szCs w:val="22"/>
          <w:highlight w:val="none"/>
        </w:rPr>
        <w:t xml:space="preserve">6.2.4 </w:t>
      </w:r>
      <w:r>
        <w:rPr>
          <w:rFonts w:hint="eastAsia" w:ascii="宋体" w:hAnsi="宋体" w:cs="宋体"/>
          <w:color w:val="auto"/>
          <w:kern w:val="0"/>
          <w:sz w:val="24"/>
          <w:szCs w:val="22"/>
          <w:highlight w:val="none"/>
        </w:rPr>
        <w:t>因保险人提供的发票不规范、不合法引发的税务及其他一切法律责任由保险人承担，且保险人还应向投保人承担赔偿责任，包括但不限于承担相关税款、滞纳金、罚款及赔偿相关损失等。</w:t>
      </w:r>
    </w:p>
    <w:p w14:paraId="3045892B">
      <w:pPr>
        <w:pStyle w:val="11"/>
        <w:ind w:firstLine="600" w:firstLineChars="250"/>
        <w:rPr>
          <w:rFonts w:ascii="宋体" w:hAnsi="宋体" w:cs="宋体"/>
          <w:color w:val="auto"/>
          <w:kern w:val="0"/>
          <w:sz w:val="24"/>
          <w:szCs w:val="22"/>
          <w:highlight w:val="none"/>
        </w:rPr>
      </w:pPr>
      <w:r>
        <w:rPr>
          <w:rFonts w:ascii="宋体" w:hAnsi="宋体" w:cs="宋体"/>
          <w:color w:val="auto"/>
          <w:kern w:val="0"/>
          <w:sz w:val="24"/>
          <w:szCs w:val="22"/>
          <w:highlight w:val="none"/>
        </w:rPr>
        <w:t xml:space="preserve">6.2.5 </w:t>
      </w:r>
      <w:r>
        <w:rPr>
          <w:rFonts w:hint="eastAsia" w:ascii="宋体" w:hAnsi="宋体" w:cs="宋体"/>
          <w:color w:val="auto"/>
          <w:kern w:val="0"/>
          <w:sz w:val="24"/>
          <w:szCs w:val="22"/>
          <w:highlight w:val="none"/>
        </w:rPr>
        <w:t>若投保人支付本合同项下款项需向政府部门申请拨付，则各阶段支付条件还应包括投保人向相关政府部门申请款项获得批准且得到拨付，付款时间应相应根据拨付时间顺延。保险人不可撤销地承诺，若政府部门审定、拨付本合同项下相关费用时间超过上述约定支付期限的，保险人无权以任何理由要求投保人承担任何违约责任，且保险人仍须按照本合同约定履行义务。</w:t>
      </w:r>
    </w:p>
    <w:p w14:paraId="22004502">
      <w:pPr>
        <w:pStyle w:val="11"/>
        <w:ind w:firstLine="600" w:firstLineChars="250"/>
        <w:rPr>
          <w:rFonts w:ascii="宋体" w:hAnsi="宋体" w:cs="宋体"/>
          <w:color w:val="auto"/>
          <w:sz w:val="24"/>
          <w:highlight w:val="none"/>
        </w:rPr>
      </w:pPr>
      <w:r>
        <w:rPr>
          <w:rFonts w:ascii="宋体" w:hAnsi="宋体" w:cs="宋体"/>
          <w:color w:val="auto"/>
          <w:kern w:val="0"/>
          <w:sz w:val="24"/>
          <w:szCs w:val="22"/>
          <w:highlight w:val="none"/>
        </w:rPr>
        <w:t xml:space="preserve">6.2.6 </w:t>
      </w:r>
      <w:r>
        <w:rPr>
          <w:rFonts w:hint="eastAsia" w:ascii="宋体" w:hAnsi="宋体" w:cs="宋体"/>
          <w:color w:val="auto"/>
          <w:kern w:val="0"/>
          <w:sz w:val="24"/>
          <w:szCs w:val="22"/>
          <w:highlight w:val="none"/>
        </w:rPr>
        <w:t>如遇国家税收政策调整，按照国家政策、结合本合同不含税价相应</w:t>
      </w:r>
      <w:r>
        <w:rPr>
          <w:rFonts w:hint="eastAsia" w:ascii="宋体" w:hAnsi="宋体" w:cs="宋体"/>
          <w:color w:val="auto"/>
          <w:sz w:val="24"/>
          <w:highlight w:val="none"/>
        </w:rPr>
        <w:t>执行。</w:t>
      </w:r>
    </w:p>
    <w:p w14:paraId="5BC94C88">
      <w:pPr>
        <w:pStyle w:val="11"/>
        <w:ind w:firstLine="600" w:firstLineChars="250"/>
        <w:rPr>
          <w:rFonts w:ascii="宋体" w:hAnsi="宋体" w:cs="宋体"/>
          <w:color w:val="auto"/>
          <w:sz w:val="24"/>
          <w:highlight w:val="none"/>
        </w:rPr>
      </w:pPr>
      <w:r>
        <w:rPr>
          <w:rFonts w:ascii="宋体" w:hAnsi="宋体" w:cs="宋体"/>
          <w:color w:val="auto"/>
          <w:sz w:val="24"/>
          <w:highlight w:val="none"/>
        </w:rPr>
        <w:t xml:space="preserve">6.3 </w:t>
      </w:r>
      <w:r>
        <w:rPr>
          <w:rFonts w:hint="eastAsia" w:ascii="宋体" w:hAnsi="宋体" w:cs="宋体"/>
          <w:color w:val="auto"/>
          <w:sz w:val="24"/>
          <w:highlight w:val="none"/>
        </w:rPr>
        <w:t>结算方式：</w:t>
      </w:r>
    </w:p>
    <w:p w14:paraId="6587C426">
      <w:pPr>
        <w:pStyle w:val="11"/>
        <w:ind w:firstLine="600" w:firstLineChars="250"/>
        <w:rPr>
          <w:rFonts w:ascii="宋体" w:hAnsi="宋体" w:cs="宋体"/>
          <w:color w:val="auto"/>
          <w:sz w:val="24"/>
          <w:highlight w:val="none"/>
        </w:rPr>
      </w:pPr>
      <w:r>
        <w:rPr>
          <w:rFonts w:hint="eastAsia" w:ascii="宋体" w:hAnsi="宋体" w:cs="宋体"/>
          <w:color w:val="auto"/>
          <w:sz w:val="24"/>
          <w:highlight w:val="none"/>
        </w:rPr>
        <w:t>结算时如建筑面积不变，则按合同价进行结算；如结算时建筑面积发生增减，则按《广州市建设工程造价管理站关于发布广州市房屋建筑工程</w:t>
      </w:r>
      <w:r>
        <w:rPr>
          <w:rFonts w:hint="eastAsia" w:ascii="宋体" w:hAnsi="宋体" w:cs="宋体"/>
          <w:color w:val="auto"/>
          <w:sz w:val="24"/>
          <w:highlight w:val="none"/>
          <w:lang w:val="en-US" w:eastAsia="zh-CN"/>
        </w:rPr>
        <w:t>2024</w:t>
      </w:r>
      <w:r>
        <w:rPr>
          <w:rFonts w:hint="eastAsia" w:ascii="宋体" w:hAnsi="宋体" w:cs="宋体"/>
          <w:color w:val="auto"/>
          <w:sz w:val="24"/>
          <w:highlight w:val="none"/>
        </w:rPr>
        <w:t>年度参考造价的通知》（穗建造价【2</w:t>
      </w:r>
      <w:r>
        <w:rPr>
          <w:rFonts w:ascii="宋体" w:hAnsi="宋体" w:cs="宋体"/>
          <w:color w:val="auto"/>
          <w:sz w:val="24"/>
          <w:highlight w:val="none"/>
        </w:rPr>
        <w:t>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145</w:t>
      </w:r>
      <w:r>
        <w:rPr>
          <w:rFonts w:hint="eastAsia" w:ascii="宋体" w:hAnsi="宋体"/>
          <w:color w:val="auto"/>
          <w:highlight w:val="none"/>
        </w:rPr>
        <w:t>号</w:t>
      </w:r>
      <w:r>
        <w:rPr>
          <w:rFonts w:hint="eastAsia" w:ascii="宋体" w:hAnsi="宋体" w:cs="宋体"/>
          <w:color w:val="auto"/>
          <w:sz w:val="24"/>
          <w:highlight w:val="none"/>
        </w:rPr>
        <w:t>）的参考造价的9</w:t>
      </w:r>
      <w:r>
        <w:rPr>
          <w:rFonts w:ascii="宋体" w:hAnsi="宋体" w:cs="宋体"/>
          <w:color w:val="auto"/>
          <w:sz w:val="24"/>
          <w:highlight w:val="none"/>
        </w:rPr>
        <w:t>0%</w:t>
      </w:r>
      <w:r>
        <w:rPr>
          <w:rFonts w:hint="eastAsia" w:ascii="宋体" w:hAnsi="宋体" w:cs="宋体"/>
          <w:color w:val="auto"/>
          <w:sz w:val="24"/>
          <w:highlight w:val="none"/>
        </w:rPr>
        <w:t>作为计费基数调整结算价，最终结算价以项目合同结算终审部门最终审核价为准。</w:t>
      </w:r>
    </w:p>
    <w:p w14:paraId="066F99D4">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七、风险管理机构（简称“T</w:t>
      </w:r>
      <w:r>
        <w:rPr>
          <w:rFonts w:ascii="宋体" w:hAnsi="宋体" w:cs="宋体"/>
          <w:b/>
          <w:color w:val="auto"/>
          <w:sz w:val="24"/>
          <w:szCs w:val="24"/>
          <w:highlight w:val="none"/>
        </w:rPr>
        <w:t>IS</w:t>
      </w:r>
      <w:r>
        <w:rPr>
          <w:rFonts w:hint="eastAsia" w:ascii="宋体" w:hAnsi="宋体" w:cs="宋体"/>
          <w:b/>
          <w:color w:val="auto"/>
          <w:sz w:val="24"/>
          <w:szCs w:val="24"/>
          <w:highlight w:val="none"/>
        </w:rPr>
        <w:t>”机构）：</w:t>
      </w:r>
    </w:p>
    <w:p w14:paraId="68F3FE94">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7.1 </w:t>
      </w:r>
      <w:r>
        <w:rPr>
          <w:rFonts w:hint="eastAsia" w:ascii="宋体" w:hAnsi="宋体" w:cs="宋体"/>
          <w:bCs/>
          <w:color w:val="auto"/>
          <w:sz w:val="24"/>
          <w:szCs w:val="24"/>
          <w:highlight w:val="none"/>
        </w:rPr>
        <w:t>风险管理机构名称：【】，项目负责人：【】，联系电话：【】。</w:t>
      </w:r>
    </w:p>
    <w:p w14:paraId="5F937695">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7.2 </w:t>
      </w:r>
      <w:r>
        <w:rPr>
          <w:rFonts w:hint="eastAsia" w:ascii="宋体" w:hAnsi="宋体" w:cs="宋体"/>
          <w:bCs/>
          <w:color w:val="auto"/>
          <w:sz w:val="24"/>
          <w:szCs w:val="24"/>
          <w:highlight w:val="none"/>
        </w:rPr>
        <w:t>进场时间：保险人收到中标通知书后立即安排风险管理机构进场。</w:t>
      </w:r>
    </w:p>
    <w:p w14:paraId="32DF9565">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7</w:t>
      </w:r>
      <w:r>
        <w:rPr>
          <w:rFonts w:hint="eastAsia" w:ascii="宋体" w:hAnsi="宋体" w:cs="宋体"/>
          <w:bCs/>
          <w:color w:val="auto"/>
          <w:sz w:val="24"/>
          <w:szCs w:val="24"/>
          <w:highlight w:val="none"/>
        </w:rPr>
        <w:t>.3 保险人应聘请符合相关资质要求的“TIS”机构，并落实对“TIS”机构的管理责任，确保“TIS”机构在工作中客观、中立，并对所获悉的一切信息、资料承担保密义务。若“TIS”机构给投保人及项目造成损失的，保险人应对“TIS”机构的赔偿义务承担无限连带保证责任。</w:t>
      </w:r>
    </w:p>
    <w:p w14:paraId="4991216C">
      <w:pPr>
        <w:spacing w:line="360" w:lineRule="auto"/>
        <w:ind w:firstLine="482" w:firstLineChars="200"/>
        <w:rPr>
          <w:rFonts w:ascii="宋体" w:hAnsi="宋体" w:cs="宋体"/>
          <w:b/>
          <w:color w:val="auto"/>
          <w:sz w:val="24"/>
          <w:szCs w:val="24"/>
          <w:highlight w:val="none"/>
        </w:rPr>
      </w:pPr>
      <w:bookmarkStart w:id="8" w:name="_Hlk98926921"/>
      <w:r>
        <w:rPr>
          <w:rFonts w:hint="eastAsia" w:ascii="宋体" w:hAnsi="宋体" w:cs="宋体"/>
          <w:b/>
          <w:color w:val="auto"/>
          <w:sz w:val="24"/>
          <w:szCs w:val="24"/>
          <w:highlight w:val="none"/>
        </w:rPr>
        <w:t>八、</w:t>
      </w:r>
      <w:r>
        <w:rPr>
          <w:rFonts w:hint="eastAsia" w:ascii="宋体" w:hAnsi="宋体" w:cs="宋体"/>
          <w:color w:val="auto"/>
          <w:sz w:val="24"/>
          <w:highlight w:val="none"/>
        </w:rPr>
        <w:t>免赔额：无</w:t>
      </w:r>
      <w:r>
        <w:rPr>
          <w:rFonts w:ascii="宋体" w:hAnsi="宋体" w:cs="宋体"/>
          <w:color w:val="auto"/>
          <w:sz w:val="24"/>
          <w:highlight w:val="none"/>
        </w:rPr>
        <w:t>。</w:t>
      </w:r>
    </w:p>
    <w:p w14:paraId="4F5959A9">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九、</w:t>
      </w:r>
      <w:bookmarkStart w:id="9" w:name="_Hlk98926785"/>
      <w:r>
        <w:rPr>
          <w:rFonts w:hint="eastAsia" w:ascii="宋体" w:hAnsi="宋体" w:cs="宋体"/>
          <w:b/>
          <w:bCs/>
          <w:color w:val="auto"/>
          <w:sz w:val="24"/>
          <w:szCs w:val="24"/>
          <w:highlight w:val="none"/>
        </w:rPr>
        <w:t>法律适用与争议解决</w:t>
      </w:r>
      <w:bookmarkEnd w:id="9"/>
      <w:r>
        <w:rPr>
          <w:rFonts w:hint="eastAsia" w:ascii="宋体" w:hAnsi="宋体" w:cs="宋体"/>
          <w:b/>
          <w:bCs/>
          <w:color w:val="auto"/>
          <w:sz w:val="24"/>
          <w:szCs w:val="24"/>
          <w:highlight w:val="none"/>
        </w:rPr>
        <w:t>：</w:t>
      </w:r>
    </w:p>
    <w:p w14:paraId="2BCBADB1">
      <w:pPr>
        <w:adjustRightInd w:val="0"/>
        <w:snapToGrid w:val="0"/>
        <w:spacing w:line="360" w:lineRule="auto"/>
        <w:ind w:firstLine="480" w:firstLineChars="200"/>
        <w:rPr>
          <w:rFonts w:ascii="宋体" w:hAnsi="宋体" w:cs="仿宋"/>
          <w:color w:val="auto"/>
          <w:sz w:val="24"/>
          <w:szCs w:val="24"/>
          <w:highlight w:val="none"/>
        </w:rPr>
      </w:pPr>
      <w:r>
        <w:rPr>
          <w:rFonts w:ascii="宋体" w:hAnsi="宋体" w:cs="仿宋"/>
          <w:color w:val="auto"/>
          <w:sz w:val="24"/>
          <w:szCs w:val="24"/>
          <w:highlight w:val="none"/>
        </w:rPr>
        <w:t xml:space="preserve">9.1 </w:t>
      </w:r>
      <w:bookmarkStart w:id="10" w:name="_Hlk98926806"/>
      <w:r>
        <w:rPr>
          <w:rFonts w:hint="eastAsia" w:ascii="宋体" w:hAnsi="宋体" w:cs="仿宋"/>
          <w:color w:val="auto"/>
          <w:sz w:val="24"/>
          <w:szCs w:val="24"/>
          <w:highlight w:val="none"/>
        </w:rPr>
        <w:t>本合同的订立、生效、履行、解释、修改、争议解决和终止等事项适用中华人民共和国现行法律、法规及规章。</w:t>
      </w:r>
      <w:bookmarkEnd w:id="10"/>
    </w:p>
    <w:p w14:paraId="63D56B29">
      <w:pPr>
        <w:adjustRightInd w:val="0"/>
        <w:snapToGrid w:val="0"/>
        <w:spacing w:line="360" w:lineRule="auto"/>
        <w:ind w:firstLine="480" w:firstLineChars="200"/>
        <w:rPr>
          <w:rFonts w:ascii="宋体" w:hAnsi="宋体" w:cs="仿宋"/>
          <w:color w:val="auto"/>
          <w:sz w:val="24"/>
          <w:szCs w:val="24"/>
          <w:highlight w:val="none"/>
        </w:rPr>
      </w:pPr>
      <w:r>
        <w:rPr>
          <w:rFonts w:ascii="宋体" w:hAnsi="宋体" w:cs="仿宋"/>
          <w:color w:val="auto"/>
          <w:sz w:val="24"/>
          <w:szCs w:val="24"/>
          <w:highlight w:val="none"/>
        </w:rPr>
        <w:t xml:space="preserve">9.2 </w:t>
      </w:r>
      <w:r>
        <w:rPr>
          <w:rFonts w:hint="eastAsia" w:ascii="宋体" w:hAnsi="宋体" w:cs="仿宋"/>
          <w:color w:val="auto"/>
          <w:sz w:val="24"/>
          <w:szCs w:val="24"/>
          <w:highlight w:val="none"/>
        </w:rPr>
        <w:t>因本合同而起或与本合同有关的任何争议，由双方协商解决。协商不成的，任何一方均有权将争议提交至</w:t>
      </w:r>
      <w:r>
        <w:rPr>
          <w:rFonts w:ascii="宋体" w:hAnsi="宋体" w:cs="仿宋"/>
          <w:color w:val="auto"/>
          <w:sz w:val="24"/>
          <w:szCs w:val="24"/>
          <w:highlight w:val="none"/>
          <w:u w:val="single"/>
        </w:rPr>
        <w:t>投保人</w:t>
      </w:r>
      <w:r>
        <w:rPr>
          <w:rFonts w:hint="eastAsia" w:ascii="宋体" w:hAnsi="宋体" w:cs="仿宋"/>
          <w:color w:val="auto"/>
          <w:sz w:val="24"/>
          <w:szCs w:val="24"/>
          <w:highlight w:val="none"/>
          <w:u w:val="single"/>
        </w:rPr>
        <w:t xml:space="preserve">所在地有管辖权 </w:t>
      </w:r>
      <w:r>
        <w:rPr>
          <w:rFonts w:hint="eastAsia" w:ascii="宋体" w:hAnsi="宋体" w:cs="仿宋"/>
          <w:color w:val="auto"/>
          <w:sz w:val="24"/>
          <w:szCs w:val="24"/>
          <w:highlight w:val="none"/>
        </w:rPr>
        <w:t>的人民法院通过诉讼解决。除非生效判决另有规定，双方为诉讼而实际支付的费用（包括但不限于诉讼费、保全费、保险费、律师费、执行费等）由败诉方承担。</w:t>
      </w:r>
    </w:p>
    <w:p w14:paraId="03AF87CC">
      <w:pPr>
        <w:spacing w:line="360" w:lineRule="auto"/>
        <w:ind w:firstLine="480" w:firstLineChars="200"/>
        <w:rPr>
          <w:rFonts w:ascii="宋体" w:hAnsi="宋体" w:cs="宋体"/>
          <w:color w:val="auto"/>
          <w:sz w:val="24"/>
          <w:szCs w:val="24"/>
          <w:highlight w:val="none"/>
        </w:rPr>
      </w:pPr>
      <w:r>
        <w:rPr>
          <w:rFonts w:ascii="宋体" w:hAnsi="宋体" w:cs="仿宋"/>
          <w:color w:val="auto"/>
          <w:sz w:val="24"/>
          <w:szCs w:val="24"/>
          <w:highlight w:val="none"/>
        </w:rPr>
        <w:t xml:space="preserve">9.3 </w:t>
      </w:r>
      <w:r>
        <w:rPr>
          <w:rFonts w:hint="eastAsia" w:ascii="宋体" w:hAnsi="宋体" w:cs="仿宋"/>
          <w:color w:val="auto"/>
          <w:sz w:val="24"/>
          <w:szCs w:val="24"/>
          <w:highlight w:val="none"/>
        </w:rPr>
        <w:t>在诉讼过程中，除双方有争议正在进行诉讼的事项以外，各方应继续履行其他部分的义务。</w:t>
      </w:r>
    </w:p>
    <w:p w14:paraId="219214C4">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十、合同份数：</w:t>
      </w:r>
    </w:p>
    <w:p w14:paraId="69346A9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本合同正本一式贰份，甲乙双方各执壹份，副本陆份，甲乙双方各执叁份，正副本具有同等法律效力。经双方签字盖章后生效，自本保险项目保险单责任终止时失效。</w:t>
      </w:r>
    </w:p>
    <w:bookmarkEnd w:id="8"/>
    <w:tbl>
      <w:tblPr>
        <w:tblStyle w:val="28"/>
        <w:tblW w:w="9395" w:type="dxa"/>
        <w:tblInd w:w="0" w:type="dxa"/>
        <w:tblLayout w:type="fixed"/>
        <w:tblCellMar>
          <w:top w:w="0" w:type="dxa"/>
          <w:left w:w="108" w:type="dxa"/>
          <w:bottom w:w="0" w:type="dxa"/>
          <w:right w:w="108" w:type="dxa"/>
        </w:tblCellMar>
      </w:tblPr>
      <w:tblGrid>
        <w:gridCol w:w="4697"/>
        <w:gridCol w:w="4698"/>
      </w:tblGrid>
      <w:tr w14:paraId="4CAA820C">
        <w:tblPrEx>
          <w:tblCellMar>
            <w:top w:w="0" w:type="dxa"/>
            <w:left w:w="108" w:type="dxa"/>
            <w:bottom w:w="0" w:type="dxa"/>
            <w:right w:w="108" w:type="dxa"/>
          </w:tblCellMar>
        </w:tblPrEx>
        <w:trPr>
          <w:trHeight w:val="5713" w:hRule="atLeast"/>
        </w:trPr>
        <w:tc>
          <w:tcPr>
            <w:tcW w:w="4697" w:type="dxa"/>
          </w:tcPr>
          <w:p w14:paraId="21BF06B5">
            <w:pPr>
              <w:pStyle w:val="57"/>
              <w:tabs>
                <w:tab w:val="left" w:pos="3420"/>
                <w:tab w:val="left" w:pos="3600"/>
              </w:tabs>
              <w:spacing w:line="360" w:lineRule="auto"/>
              <w:rPr>
                <w:rFonts w:ascii="宋体" w:hAnsi="宋体"/>
                <w:color w:val="auto"/>
                <w:sz w:val="24"/>
                <w:highlight w:val="none"/>
              </w:rPr>
            </w:pPr>
            <w:bookmarkStart w:id="11" w:name="_Hlk98927018"/>
            <w:r>
              <w:rPr>
                <w:rFonts w:hint="eastAsia" w:ascii="宋体" w:hAnsi="宋体" w:cs="宋体"/>
                <w:color w:val="auto"/>
                <w:sz w:val="24"/>
                <w:highlight w:val="none"/>
              </w:rPr>
              <w:br w:type="page"/>
            </w:r>
            <w:r>
              <w:rPr>
                <w:rFonts w:hint="eastAsia" w:ascii="宋体" w:hAnsi="宋体" w:cs="宋体"/>
                <w:color w:val="auto"/>
                <w:sz w:val="24"/>
                <w:highlight w:val="none"/>
              </w:rPr>
              <w:t>投保人</w:t>
            </w:r>
            <w:r>
              <w:rPr>
                <w:rFonts w:hint="eastAsia" w:ascii="宋体" w:hAnsi="宋体"/>
                <w:color w:val="auto"/>
                <w:sz w:val="24"/>
                <w:highlight w:val="none"/>
              </w:rPr>
              <w:t>：（盖章）</w:t>
            </w:r>
          </w:p>
          <w:p w14:paraId="20238505">
            <w:pPr>
              <w:pStyle w:val="57"/>
              <w:tabs>
                <w:tab w:val="left" w:pos="3420"/>
                <w:tab w:val="left" w:pos="3600"/>
              </w:tabs>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广州环五山创新策源区元岗城市更新有限公司</w:t>
            </w:r>
          </w:p>
          <w:p w14:paraId="31FBF8A3">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统一社会信用代码：</w:t>
            </w:r>
          </w:p>
          <w:p w14:paraId="12962517">
            <w:pPr>
              <w:pStyle w:val="57"/>
              <w:tabs>
                <w:tab w:val="left" w:pos="3420"/>
                <w:tab w:val="left" w:pos="3600"/>
              </w:tabs>
              <w:spacing w:line="360" w:lineRule="auto"/>
              <w:ind w:left="480" w:hanging="480" w:hangingChars="200"/>
              <w:rPr>
                <w:rFonts w:ascii="宋体" w:hAnsi="宋体"/>
                <w:color w:val="auto"/>
                <w:sz w:val="24"/>
                <w:highlight w:val="none"/>
              </w:rPr>
            </w:pPr>
            <w:r>
              <w:rPr>
                <w:rFonts w:hint="eastAsia" w:ascii="宋体" w:hAnsi="宋体"/>
                <w:color w:val="auto"/>
                <w:sz w:val="24"/>
                <w:highlight w:val="none"/>
              </w:rPr>
              <w:t>地址：</w:t>
            </w:r>
          </w:p>
          <w:p w14:paraId="467ECDA2">
            <w:pPr>
              <w:pStyle w:val="57"/>
              <w:tabs>
                <w:tab w:val="left" w:pos="3420"/>
                <w:tab w:val="left" w:pos="3600"/>
              </w:tabs>
              <w:spacing w:line="360" w:lineRule="auto"/>
              <w:rPr>
                <w:rFonts w:ascii="宋体" w:hAnsi="宋体"/>
                <w:color w:val="auto"/>
                <w:sz w:val="24"/>
                <w:highlight w:val="none"/>
              </w:rPr>
            </w:pPr>
          </w:p>
          <w:p w14:paraId="7586A9D8">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法定代表人：</w:t>
            </w:r>
          </w:p>
          <w:p w14:paraId="75FABA88">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委托代理人：</w:t>
            </w:r>
          </w:p>
          <w:p w14:paraId="4D993F0E">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联系人：</w:t>
            </w:r>
          </w:p>
          <w:p w14:paraId="676D030B">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电话：</w:t>
            </w:r>
          </w:p>
          <w:p w14:paraId="5FA3E478">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传真：</w:t>
            </w:r>
          </w:p>
          <w:p w14:paraId="05EF2BE6">
            <w:pPr>
              <w:pStyle w:val="58"/>
              <w:spacing w:line="360" w:lineRule="auto"/>
              <w:rPr>
                <w:rFonts w:ascii="宋体" w:hAnsi="宋体"/>
                <w:color w:val="auto"/>
                <w:sz w:val="24"/>
                <w:szCs w:val="24"/>
                <w:highlight w:val="none"/>
              </w:rPr>
            </w:pPr>
            <w:r>
              <w:rPr>
                <w:rFonts w:hint="eastAsia" w:ascii="宋体" w:hAnsi="宋体"/>
                <w:color w:val="auto"/>
                <w:sz w:val="24"/>
                <w:szCs w:val="24"/>
                <w:highlight w:val="none"/>
              </w:rPr>
              <w:t>开户银行：</w:t>
            </w:r>
          </w:p>
          <w:p w14:paraId="57F6435C">
            <w:pPr>
              <w:pStyle w:val="57"/>
              <w:tabs>
                <w:tab w:val="left" w:pos="3420"/>
                <w:tab w:val="left" w:pos="3600"/>
              </w:tabs>
              <w:spacing w:line="360" w:lineRule="auto"/>
              <w:rPr>
                <w:rFonts w:ascii="宋体" w:hAnsi="宋体"/>
                <w:color w:val="auto"/>
                <w:sz w:val="24"/>
                <w:highlight w:val="none"/>
              </w:rPr>
            </w:pPr>
            <w:r>
              <w:rPr>
                <w:rFonts w:ascii="宋体" w:hAnsi="宋体"/>
                <w:color w:val="auto"/>
                <w:sz w:val="24"/>
                <w:highlight w:val="none"/>
              </w:rPr>
              <w:t>账号：</w:t>
            </w:r>
          </w:p>
          <w:p w14:paraId="1EE927F5">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邮政编码：</w:t>
            </w:r>
          </w:p>
          <w:p w14:paraId="1858CC3E">
            <w:pPr>
              <w:pStyle w:val="57"/>
              <w:tabs>
                <w:tab w:val="left" w:pos="3420"/>
                <w:tab w:val="left" w:pos="3600"/>
              </w:tabs>
              <w:spacing w:line="360" w:lineRule="auto"/>
              <w:rPr>
                <w:rFonts w:ascii="宋体" w:hAnsi="宋体"/>
                <w:color w:val="auto"/>
                <w:sz w:val="24"/>
                <w:highlight w:val="none"/>
              </w:rPr>
            </w:pPr>
            <w:r>
              <w:rPr>
                <w:rFonts w:ascii="宋体" w:hAnsi="宋体"/>
                <w:color w:val="auto"/>
                <w:sz w:val="24"/>
                <w:highlight w:val="none"/>
              </w:rPr>
              <w:t>电子邮箱：</w:t>
            </w:r>
          </w:p>
        </w:tc>
        <w:tc>
          <w:tcPr>
            <w:tcW w:w="4698" w:type="dxa"/>
          </w:tcPr>
          <w:p w14:paraId="3FEEF6C3">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保险人：（盖章）</w:t>
            </w:r>
          </w:p>
          <w:p w14:paraId="69EA64F2">
            <w:pPr>
              <w:pStyle w:val="57"/>
              <w:tabs>
                <w:tab w:val="left" w:pos="3420"/>
                <w:tab w:val="left" w:pos="3600"/>
              </w:tabs>
              <w:spacing w:line="360" w:lineRule="auto"/>
              <w:rPr>
                <w:rFonts w:ascii="宋体" w:hAnsi="宋体"/>
                <w:color w:val="auto"/>
                <w:sz w:val="24"/>
                <w:highlight w:val="none"/>
              </w:rPr>
            </w:pPr>
          </w:p>
          <w:p w14:paraId="6837B146">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统一社会信用代码：</w:t>
            </w:r>
          </w:p>
          <w:p w14:paraId="2CB5791B">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地址：</w:t>
            </w:r>
          </w:p>
          <w:p w14:paraId="66394B33">
            <w:pPr>
              <w:pStyle w:val="57"/>
              <w:tabs>
                <w:tab w:val="left" w:pos="3420"/>
                <w:tab w:val="left" w:pos="3600"/>
              </w:tabs>
              <w:spacing w:line="360" w:lineRule="auto"/>
              <w:rPr>
                <w:rFonts w:ascii="宋体" w:hAnsi="宋体"/>
                <w:color w:val="auto"/>
                <w:sz w:val="24"/>
                <w:highlight w:val="none"/>
              </w:rPr>
            </w:pPr>
          </w:p>
          <w:p w14:paraId="32F24A4E">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法定代表人：</w:t>
            </w:r>
          </w:p>
          <w:p w14:paraId="503FA099">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委托代理人：</w:t>
            </w:r>
          </w:p>
          <w:p w14:paraId="323CE5E2">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联系人：</w:t>
            </w:r>
          </w:p>
          <w:p w14:paraId="316B2120">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电话：</w:t>
            </w:r>
          </w:p>
          <w:p w14:paraId="0380F1C9">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传真：</w:t>
            </w:r>
          </w:p>
          <w:p w14:paraId="1852BBA0">
            <w:pPr>
              <w:pStyle w:val="58"/>
              <w:spacing w:line="360" w:lineRule="auto"/>
              <w:ind w:left="960" w:hanging="960" w:hangingChars="400"/>
              <w:rPr>
                <w:rFonts w:ascii="宋体" w:hAnsi="宋体"/>
                <w:color w:val="auto"/>
                <w:sz w:val="24"/>
                <w:szCs w:val="24"/>
                <w:highlight w:val="none"/>
              </w:rPr>
            </w:pPr>
            <w:r>
              <w:rPr>
                <w:rFonts w:hint="eastAsia" w:ascii="宋体" w:hAnsi="宋体"/>
                <w:color w:val="auto"/>
                <w:sz w:val="24"/>
                <w:szCs w:val="24"/>
                <w:highlight w:val="none"/>
              </w:rPr>
              <w:t>开户银行：</w:t>
            </w:r>
          </w:p>
          <w:p w14:paraId="60FCB768">
            <w:pPr>
              <w:pStyle w:val="57"/>
              <w:tabs>
                <w:tab w:val="left" w:pos="3420"/>
                <w:tab w:val="left" w:pos="3600"/>
              </w:tabs>
              <w:spacing w:line="360" w:lineRule="auto"/>
              <w:rPr>
                <w:rFonts w:ascii="宋体" w:hAnsi="宋体"/>
                <w:color w:val="auto"/>
                <w:sz w:val="24"/>
                <w:highlight w:val="none"/>
              </w:rPr>
            </w:pPr>
            <w:r>
              <w:rPr>
                <w:rFonts w:ascii="宋体" w:hAnsi="宋体"/>
                <w:color w:val="auto"/>
                <w:sz w:val="24"/>
                <w:highlight w:val="none"/>
              </w:rPr>
              <w:t>账号：</w:t>
            </w:r>
          </w:p>
          <w:p w14:paraId="2B446B0F">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邮政编码：</w:t>
            </w:r>
          </w:p>
          <w:p w14:paraId="2A85D39B">
            <w:pPr>
              <w:pStyle w:val="57"/>
              <w:tabs>
                <w:tab w:val="left" w:pos="3420"/>
                <w:tab w:val="left" w:pos="3600"/>
              </w:tabs>
              <w:spacing w:line="360" w:lineRule="auto"/>
              <w:rPr>
                <w:rFonts w:ascii="宋体" w:hAnsi="宋体"/>
                <w:color w:val="auto"/>
                <w:sz w:val="24"/>
                <w:highlight w:val="none"/>
              </w:rPr>
            </w:pPr>
            <w:r>
              <w:rPr>
                <w:rFonts w:ascii="宋体" w:hAnsi="宋体"/>
                <w:color w:val="auto"/>
                <w:sz w:val="24"/>
                <w:highlight w:val="none"/>
              </w:rPr>
              <w:t>电子邮箱：</w:t>
            </w:r>
          </w:p>
        </w:tc>
      </w:tr>
      <w:bookmarkEnd w:id="11"/>
    </w:tbl>
    <w:p w14:paraId="4ED868D4">
      <w:pPr>
        <w:pStyle w:val="2"/>
        <w:spacing w:before="100" w:after="100" w:line="360" w:lineRule="auto"/>
        <w:jc w:val="center"/>
        <w:rPr>
          <w:rFonts w:ascii="宋体" w:hAnsi="宋体" w:eastAsia="宋体"/>
          <w:color w:val="auto"/>
          <w:szCs w:val="28"/>
          <w:highlight w:val="none"/>
        </w:rPr>
      </w:pPr>
      <w:r>
        <w:rPr>
          <w:rFonts w:ascii="宋体" w:hAnsi="宋体" w:eastAsia="宋体"/>
          <w:color w:val="auto"/>
          <w:szCs w:val="28"/>
          <w:highlight w:val="none"/>
        </w:rPr>
        <w:tab/>
      </w:r>
      <w:bookmarkStart w:id="12" w:name="_Toc98840830"/>
      <w:bookmarkStart w:id="13" w:name="_Toc70424957"/>
      <w:bookmarkStart w:id="14" w:name="_Toc23729_WPSOffice_Level1"/>
      <w:bookmarkStart w:id="15" w:name="_Toc29339_WPSOffice_Level1"/>
      <w:r>
        <w:rPr>
          <w:rFonts w:hint="eastAsia" w:ascii="宋体" w:hAnsi="宋体" w:eastAsia="宋体"/>
          <w:color w:val="auto"/>
          <w:szCs w:val="28"/>
          <w:highlight w:val="none"/>
        </w:rPr>
        <w:t>第二</w:t>
      </w:r>
      <w:r>
        <w:rPr>
          <w:rFonts w:ascii="宋体" w:hAnsi="宋体" w:eastAsia="宋体"/>
          <w:color w:val="auto"/>
          <w:szCs w:val="28"/>
          <w:highlight w:val="none"/>
        </w:rPr>
        <w:t>部分</w:t>
      </w:r>
      <w:r>
        <w:rPr>
          <w:rFonts w:hint="eastAsia" w:ascii="宋体" w:hAnsi="宋体" w:eastAsia="宋体"/>
          <w:color w:val="auto"/>
          <w:szCs w:val="28"/>
          <w:highlight w:val="none"/>
        </w:rPr>
        <w:t xml:space="preserve"> 保险</w:t>
      </w:r>
      <w:r>
        <w:rPr>
          <w:rFonts w:ascii="宋体" w:hAnsi="宋体" w:eastAsia="宋体"/>
          <w:color w:val="auto"/>
          <w:szCs w:val="28"/>
          <w:highlight w:val="none"/>
        </w:rPr>
        <w:t>条款</w:t>
      </w:r>
      <w:bookmarkEnd w:id="12"/>
      <w:bookmarkEnd w:id="13"/>
    </w:p>
    <w:p w14:paraId="5C10518C">
      <w:pPr>
        <w:pStyle w:val="3"/>
        <w:rPr>
          <w:rFonts w:ascii="宋体" w:hAnsi="宋体" w:eastAsia="宋体"/>
          <w:bCs w:val="0"/>
          <w:color w:val="auto"/>
          <w:sz w:val="28"/>
          <w:highlight w:val="none"/>
        </w:rPr>
      </w:pPr>
      <w:bookmarkStart w:id="16" w:name="_Toc68876537"/>
      <w:bookmarkStart w:id="17" w:name="_Toc69144550"/>
      <w:r>
        <w:rPr>
          <w:rFonts w:hint="eastAsia" w:ascii="宋体" w:hAnsi="宋体" w:eastAsia="宋体"/>
          <w:bCs w:val="0"/>
          <w:color w:val="auto"/>
          <w:sz w:val="28"/>
          <w:highlight w:val="none"/>
        </w:rPr>
        <w:t>（一）广州市住宅工程质量潜在缺陷保险条款</w:t>
      </w:r>
      <w:bookmarkEnd w:id="16"/>
      <w:bookmarkEnd w:id="17"/>
    </w:p>
    <w:p w14:paraId="0FDC85FD">
      <w:pPr>
        <w:snapToGrid w:val="0"/>
        <w:spacing w:line="360" w:lineRule="auto"/>
        <w:jc w:val="center"/>
        <w:rPr>
          <w:rFonts w:ascii="宋体" w:hAnsi="宋体"/>
          <w:color w:val="auto"/>
          <w:sz w:val="24"/>
          <w:szCs w:val="24"/>
          <w:highlight w:val="none"/>
        </w:rPr>
      </w:pPr>
      <w:r>
        <w:rPr>
          <w:rFonts w:hint="eastAsia" w:ascii="宋体" w:hAnsi="宋体"/>
          <w:b/>
          <w:color w:val="auto"/>
          <w:sz w:val="24"/>
          <w:szCs w:val="24"/>
          <w:highlight w:val="none"/>
        </w:rPr>
        <w:t>总则</w:t>
      </w:r>
    </w:p>
    <w:p w14:paraId="1E2B473D">
      <w:pPr>
        <w:numPr>
          <w:ilvl w:val="0"/>
          <w:numId w:val="1"/>
        </w:numPr>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本保险合同由保险条款、投保单、保险单、保险凭证以及批单组成。凡涉及保险合同的约定，均应采用书面形式。</w:t>
      </w:r>
    </w:p>
    <w:p w14:paraId="2711EDC5">
      <w:pPr>
        <w:numPr>
          <w:ilvl w:val="0"/>
          <w:numId w:val="1"/>
        </w:numPr>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凡获得国家或地方建设主管部门资质认可的建设单位，政府投资项目的项目主管部门或者建设项目的委托单位、代建单位均可成为本合同的投保人。</w:t>
      </w:r>
    </w:p>
    <w:p w14:paraId="50B36367">
      <w:pPr>
        <w:numPr>
          <w:ilvl w:val="0"/>
          <w:numId w:val="1"/>
        </w:numPr>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投保人应在保险单载明的建设工程办理施工许可手续前向保险人申请投保本保险，经保险人同意承保，保险合同成立。投保人按照保险合同约定交纳保险费，保险合同生效。</w:t>
      </w:r>
    </w:p>
    <w:p w14:paraId="742AC2C0">
      <w:pPr>
        <w:numPr>
          <w:ilvl w:val="0"/>
          <w:numId w:val="1"/>
        </w:numPr>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建设工程所有权人、合法继承人和受让人以及政府投资项目的项目主管部门或者建设项目的委托单位、代建单位均可成为本保险合同的被保险人。</w:t>
      </w:r>
    </w:p>
    <w:p w14:paraId="712A27DA">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保险责任</w:t>
      </w:r>
    </w:p>
    <w:p w14:paraId="079843D9">
      <w:pPr>
        <w:numPr>
          <w:ilvl w:val="0"/>
          <w:numId w:val="1"/>
        </w:numPr>
        <w:spacing w:line="360" w:lineRule="auto"/>
        <w:ind w:left="0" w:firstLine="480" w:firstLineChars="200"/>
        <w:rPr>
          <w:rFonts w:ascii="宋体" w:hAnsi="宋体"/>
          <w:color w:val="auto"/>
          <w:sz w:val="24"/>
          <w:szCs w:val="24"/>
          <w:highlight w:val="none"/>
        </w:rPr>
      </w:pPr>
      <w:r>
        <w:rPr>
          <w:rFonts w:hint="eastAsia" w:ascii="宋体" w:hAnsi="宋体"/>
          <w:bCs/>
          <w:color w:val="auto"/>
          <w:sz w:val="24"/>
          <w:szCs w:val="24"/>
          <w:highlight w:val="none"/>
        </w:rPr>
        <w:t>保险单载明的建设工程竣工验收合格，并经保险人委托的工程质量风险管理机构检查通过的，在正常使用条件下，</w:t>
      </w:r>
      <w:r>
        <w:rPr>
          <w:rFonts w:hint="eastAsia" w:ascii="宋体" w:hAnsi="宋体"/>
          <w:color w:val="auto"/>
          <w:sz w:val="24"/>
          <w:szCs w:val="24"/>
          <w:highlight w:val="none"/>
        </w:rPr>
        <w:t>在保险责任期间内，因工程质量潜在缺陷发生下列情形，造成保险单载明的建设工程的损坏，保险人按照本保险合同的约定负责赔偿修理、加固或重置的费用：</w:t>
      </w:r>
    </w:p>
    <w:p w14:paraId="27A314B9">
      <w:pPr>
        <w:spacing w:line="360" w:lineRule="auto"/>
        <w:ind w:left="640"/>
        <w:rPr>
          <w:rFonts w:ascii="宋体" w:hAnsi="宋体"/>
          <w:bCs/>
          <w:color w:val="auto"/>
          <w:sz w:val="24"/>
          <w:szCs w:val="24"/>
          <w:highlight w:val="none"/>
        </w:rPr>
      </w:pPr>
      <w:r>
        <w:rPr>
          <w:rFonts w:hint="eastAsia" w:ascii="宋体" w:hAnsi="宋体"/>
          <w:bCs/>
          <w:color w:val="auto"/>
          <w:sz w:val="24"/>
          <w:szCs w:val="24"/>
          <w:highlight w:val="none"/>
        </w:rPr>
        <w:t>（一）地基基础和主体结构工程：</w:t>
      </w:r>
    </w:p>
    <w:p w14:paraId="50DBF26C">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1.整体或局部倒塌；</w:t>
      </w:r>
    </w:p>
    <w:p w14:paraId="31F8E1F6">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2.地基产生超出设计规范允许的不均匀沉降；</w:t>
      </w:r>
    </w:p>
    <w:p w14:paraId="23CE4752">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3.基础和主体结构部位出现影响结构安全的裂缝、变形、破损、断裂；</w:t>
      </w:r>
    </w:p>
    <w:p w14:paraId="3AC8B7A4">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4.阳台、雨蓬、挑檐、空调板等悬挑构件出现影响使用安全的裂缝、变形、破损、断裂；</w:t>
      </w:r>
    </w:p>
    <w:p w14:paraId="17904656">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5.外墙结构坍塌等影响使用安全的质量缺陷；</w:t>
      </w:r>
    </w:p>
    <w:p w14:paraId="7DA1A902">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6.其他地基基础和主体结构部位出现的影响结构安全的工程质量潜在缺陷。</w:t>
      </w:r>
    </w:p>
    <w:p w14:paraId="0576256E">
      <w:pPr>
        <w:spacing w:line="360" w:lineRule="auto"/>
        <w:ind w:left="640"/>
        <w:rPr>
          <w:rFonts w:ascii="宋体" w:hAnsi="宋体"/>
          <w:bCs/>
          <w:color w:val="auto"/>
          <w:sz w:val="24"/>
          <w:szCs w:val="24"/>
          <w:highlight w:val="none"/>
        </w:rPr>
      </w:pPr>
      <w:r>
        <w:rPr>
          <w:rFonts w:hint="eastAsia" w:ascii="宋体" w:hAnsi="宋体"/>
          <w:bCs/>
          <w:color w:val="auto"/>
          <w:sz w:val="24"/>
          <w:szCs w:val="24"/>
          <w:highlight w:val="none"/>
        </w:rPr>
        <w:t>（二）防水和保温工程：</w:t>
      </w:r>
    </w:p>
    <w:p w14:paraId="2FADC798">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1.围护结构的保温层破损、脱落；</w:t>
      </w:r>
    </w:p>
    <w:p w14:paraId="54277068">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2.地下、屋面、厕浴间防水渗漏；</w:t>
      </w:r>
    </w:p>
    <w:p w14:paraId="1E718B8A">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3.外墙（包括外窗与外墙交接处）渗漏；</w:t>
      </w:r>
    </w:p>
    <w:p w14:paraId="5B92D753">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4.其他有防水要求的部位渗漏。</w:t>
      </w:r>
    </w:p>
    <w:p w14:paraId="5B0ED6DF">
      <w:pPr>
        <w:numPr>
          <w:ilvl w:val="0"/>
          <w:numId w:val="1"/>
        </w:numPr>
        <w:autoSpaceDE w:val="0"/>
        <w:autoSpaceDN w:val="0"/>
        <w:adjustRightInd w:val="0"/>
        <w:spacing w:line="360" w:lineRule="auto"/>
        <w:ind w:left="0" w:firstLine="567"/>
        <w:rPr>
          <w:rFonts w:ascii="宋体" w:hAnsi="宋体"/>
          <w:color w:val="auto"/>
          <w:sz w:val="24"/>
          <w:szCs w:val="24"/>
          <w:highlight w:val="none"/>
        </w:rPr>
      </w:pPr>
      <w:r>
        <w:rPr>
          <w:rFonts w:hint="eastAsia" w:ascii="宋体" w:hAnsi="宋体"/>
          <w:color w:val="auto"/>
          <w:sz w:val="24"/>
          <w:szCs w:val="24"/>
          <w:highlight w:val="none"/>
        </w:rPr>
        <w:t>保险事故发生后，</w:t>
      </w:r>
      <w:r>
        <w:rPr>
          <w:rFonts w:hint="eastAsia" w:ascii="宋体" w:hAnsi="宋体"/>
          <w:bCs/>
          <w:color w:val="auto"/>
          <w:sz w:val="24"/>
          <w:szCs w:val="24"/>
          <w:highlight w:val="none"/>
        </w:rPr>
        <w:t>事先经保险人书面同意</w:t>
      </w:r>
      <w:r>
        <w:rPr>
          <w:rFonts w:hint="eastAsia" w:ascii="宋体" w:hAnsi="宋体"/>
          <w:color w:val="auto"/>
          <w:sz w:val="24"/>
          <w:szCs w:val="24"/>
          <w:highlight w:val="none"/>
        </w:rPr>
        <w:t>，被保险人为防止或减少保险单载明建设工程的损失所支付的必要的、合理的费用，保险人按照本合同的约定也负责赔偿。</w:t>
      </w:r>
    </w:p>
    <w:p w14:paraId="2AAA6FDF">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责任免除</w:t>
      </w:r>
    </w:p>
    <w:p w14:paraId="724D893F">
      <w:pPr>
        <w:numPr>
          <w:ilvl w:val="0"/>
          <w:numId w:val="1"/>
        </w:numPr>
        <w:autoSpaceDE w:val="0"/>
        <w:autoSpaceDN w:val="0"/>
        <w:adjustRightInd w:val="0"/>
        <w:spacing w:line="360" w:lineRule="auto"/>
        <w:ind w:left="0" w:firstLine="567"/>
        <w:rPr>
          <w:rFonts w:ascii="宋体" w:hAnsi="宋体"/>
          <w:b/>
          <w:color w:val="auto"/>
          <w:sz w:val="24"/>
          <w:szCs w:val="24"/>
          <w:highlight w:val="none"/>
        </w:rPr>
      </w:pPr>
      <w:r>
        <w:rPr>
          <w:rFonts w:hint="eastAsia" w:ascii="宋体" w:hAnsi="宋体"/>
          <w:b/>
          <w:color w:val="auto"/>
          <w:sz w:val="24"/>
          <w:szCs w:val="24"/>
          <w:highlight w:val="none"/>
        </w:rPr>
        <w:t>下列原因造成的损失、费用和责任，保险人不负责赔偿：</w:t>
      </w:r>
    </w:p>
    <w:p w14:paraId="771925CC">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（一）投保人、被保险人或使用人的重大过失行为、故意行为、违法行为、犯罪行为；</w:t>
      </w:r>
    </w:p>
    <w:p w14:paraId="1EDD4FA4">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（二）战争、敌对行动、军事行为、武装冲突、罢工、骚乱、暴动、恐怖活动；</w:t>
      </w:r>
    </w:p>
    <w:p w14:paraId="5F2CFEF1">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（三）大气污染、土地污染、水污染及其他各种污染，核辐射、核爆炸、核污染及其他放射性污染；</w:t>
      </w:r>
    </w:p>
    <w:p w14:paraId="2CB60620">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（四）行政行为或司法行为；</w:t>
      </w:r>
    </w:p>
    <w:p w14:paraId="12DC27F4">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 xml:space="preserve">（五）超过设计标准的风荷载和雪荷载； </w:t>
      </w:r>
    </w:p>
    <w:p w14:paraId="137B6DA6">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（六）暴雨、冰雹、雷击、洪水、滑坡、泥石流、地震、崩塌、地面塌陷等自然灾害；</w:t>
      </w:r>
    </w:p>
    <w:p w14:paraId="77262F37">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（七）火灾、爆炸；</w:t>
      </w:r>
    </w:p>
    <w:p w14:paraId="4C5231AB">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（八）外界物体碰撞或空中运行物体坠落；</w:t>
      </w:r>
    </w:p>
    <w:p w14:paraId="4117264D">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（九）投保人、被保险人或使用人使用不当或改动原设计结构、设备位置或原防水措施或超过设计标准增大荷载、擅自拆改房屋承重结构等未按照《房屋建筑使用说明书》相关要求或设计用途正常使用；</w:t>
      </w:r>
    </w:p>
    <w:p w14:paraId="47D017AE">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（十）设备、配件在设计、施工、材料上的疏忽、缺陷、错误或遗漏；</w:t>
      </w:r>
    </w:p>
    <w:p w14:paraId="411DE9E0">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（十一）保险单载明的建设工程附近其他工程的施工影响。</w:t>
      </w:r>
    </w:p>
    <w:p w14:paraId="68082A4D">
      <w:pPr>
        <w:numPr>
          <w:ilvl w:val="0"/>
          <w:numId w:val="1"/>
        </w:numPr>
        <w:spacing w:line="360" w:lineRule="auto"/>
        <w:ind w:left="0" w:firstLine="482" w:firstLineChars="200"/>
        <w:rPr>
          <w:rFonts w:ascii="宋体" w:hAnsi="宋体"/>
          <w:b/>
          <w:color w:val="auto"/>
          <w:sz w:val="24"/>
          <w:szCs w:val="24"/>
          <w:highlight w:val="none"/>
        </w:rPr>
      </w:pPr>
      <w:r>
        <w:rPr>
          <w:rFonts w:hint="eastAsia" w:ascii="宋体" w:hAnsi="宋体"/>
          <w:b/>
          <w:color w:val="auto"/>
          <w:sz w:val="24"/>
          <w:szCs w:val="24"/>
          <w:highlight w:val="none"/>
        </w:rPr>
        <w:t xml:space="preserve"> 对于下列各项损失、费用和责任，保险人不负责赔偿：</w:t>
      </w:r>
    </w:p>
    <w:p w14:paraId="494381A6">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（一）保险单载明的建设工程竣工验收时，工程质量风险管理机构竣工检查报告提出的未整改的工程质量潜在缺陷中，由保险人列为除外责任的工程质量潜在缺陷导致的相关的损失、费用和责任；</w:t>
      </w:r>
    </w:p>
    <w:p w14:paraId="577CF84A">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（二）保险单载明的建设工程竣工验收合格后等待期届满时，工程质量风险管理机构在进行质量复查时发现的未维修完善的损坏；</w:t>
      </w:r>
    </w:p>
    <w:p w14:paraId="44ACDC26">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（三）保险单载明的建设工程竣工验收后，被保险人或使用人自行添置的包括装修在内的任何财产的损失，但初装修房（毛坯房）的合理二次装修损失不在此限；</w:t>
      </w:r>
    </w:p>
    <w:p w14:paraId="108491AD">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（四）在对保险单载明的建设工程进行修复过程中，为满足被保险人或使用人要求，超过原设计施工标准，功能改变或性能提高所产生的额外费用；</w:t>
      </w:r>
    </w:p>
    <w:p w14:paraId="2652F357">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（五）修理、加固或重置导致的任何颜色、透明度等表面外观的差异；自然磨损、老化、物质本身变化、其他渐变原因或表面外观的差异（任何颜色、透明度等）造成的损失和费用；</w:t>
      </w:r>
    </w:p>
    <w:p w14:paraId="062E1018">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（六）任何投保人、被保险人或使用人以外的第三方损失；</w:t>
      </w:r>
    </w:p>
    <w:p w14:paraId="66C116DA">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（七）在保险单载明的建设工程使用过程中，因投保人、被保险人或使用人以外的第三方造成的损失；</w:t>
      </w:r>
    </w:p>
    <w:p w14:paraId="6C7067AB">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 xml:space="preserve">（八）设备、配件产品质量缺陷所产生的损失； </w:t>
      </w:r>
    </w:p>
    <w:p w14:paraId="4722DC92">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九）保险事故致使被保险人或使用人无法使用建设工程、停业、停电、停水、停气、停产、通讯或者网络中断、数据丢失、电压变化等造成的损失以及被保险人或使用人财产因市场价格变动造成的贬值、维修后因价值降低造成的损失等各种间接损失；</w:t>
      </w:r>
    </w:p>
    <w:p w14:paraId="479F024A">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（十）人身伤亡或精神损害赔偿；</w:t>
      </w:r>
    </w:p>
    <w:p w14:paraId="642DBFF7">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（十一）罚款、罚金和惩罚性赔偿；</w:t>
      </w:r>
    </w:p>
    <w:p w14:paraId="18FBAFC8">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 xml:space="preserve">（十二）保险责任期间开始前产生的损失； </w:t>
      </w:r>
    </w:p>
    <w:p w14:paraId="451CD3B6">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（十三）保险单载明的免赔额或按保险单载明的免赔率计算的免赔额。</w:t>
      </w:r>
    </w:p>
    <w:p w14:paraId="5A16885A">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保险期间、保险责任期间与等待期</w:t>
      </w:r>
    </w:p>
    <w:p w14:paraId="772A19DB">
      <w:pPr>
        <w:numPr>
          <w:ilvl w:val="0"/>
          <w:numId w:val="1"/>
        </w:numPr>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本保险的</w:t>
      </w:r>
      <w:r>
        <w:rPr>
          <w:rFonts w:hint="eastAsia" w:ascii="宋体" w:hAnsi="宋体"/>
          <w:bCs/>
          <w:color w:val="auto"/>
          <w:sz w:val="24"/>
          <w:szCs w:val="24"/>
          <w:highlight w:val="none"/>
        </w:rPr>
        <w:t>保险期间</w:t>
      </w:r>
      <w:r>
        <w:rPr>
          <w:rFonts w:hint="eastAsia" w:ascii="宋体" w:hAnsi="宋体"/>
          <w:color w:val="auto"/>
          <w:sz w:val="24"/>
          <w:szCs w:val="24"/>
          <w:highlight w:val="none"/>
        </w:rPr>
        <w:t>，自保险合同生效之日起，至保险责任期间届满之日止，由投保人与保险人协商确定。</w:t>
      </w:r>
    </w:p>
    <w:p w14:paraId="3A02F36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本保险的</w:t>
      </w:r>
      <w:r>
        <w:rPr>
          <w:rFonts w:hint="eastAsia" w:ascii="宋体" w:hAnsi="宋体"/>
          <w:bCs/>
          <w:color w:val="auto"/>
          <w:sz w:val="24"/>
          <w:szCs w:val="24"/>
          <w:highlight w:val="none"/>
        </w:rPr>
        <w:t>保险责任期间</w:t>
      </w:r>
      <w:r>
        <w:rPr>
          <w:rFonts w:hint="eastAsia" w:ascii="宋体" w:hAnsi="宋体"/>
          <w:color w:val="auto"/>
          <w:sz w:val="24"/>
          <w:szCs w:val="24"/>
          <w:highlight w:val="none"/>
        </w:rPr>
        <w:t>，是指保险人承担赔偿责任的期间，其中本保险合同第五条第（一）款的保险责任期间，自保险单载明的建设工程竣工验收合格后</w:t>
      </w:r>
      <w:r>
        <w:rPr>
          <w:rFonts w:hint="eastAsia" w:ascii="宋体" w:hAnsi="宋体"/>
          <w:bCs/>
          <w:color w:val="auto"/>
          <w:sz w:val="24"/>
          <w:szCs w:val="24"/>
          <w:highlight w:val="none"/>
        </w:rPr>
        <w:t>等待期届满之日起算，最长不超过十年；其中本保险合同第五条</w:t>
      </w:r>
      <w:r>
        <w:rPr>
          <w:rFonts w:hint="eastAsia" w:ascii="宋体" w:hAnsi="宋体"/>
          <w:color w:val="auto"/>
          <w:sz w:val="24"/>
          <w:szCs w:val="24"/>
          <w:highlight w:val="none"/>
        </w:rPr>
        <w:t>第</w:t>
      </w:r>
      <w:r>
        <w:rPr>
          <w:rFonts w:hint="eastAsia" w:ascii="宋体" w:hAnsi="宋体"/>
          <w:bCs/>
          <w:color w:val="auto"/>
          <w:sz w:val="24"/>
          <w:szCs w:val="24"/>
          <w:highlight w:val="none"/>
        </w:rPr>
        <w:t>（二）</w:t>
      </w:r>
      <w:r>
        <w:rPr>
          <w:rFonts w:hint="eastAsia" w:ascii="宋体" w:hAnsi="宋体"/>
          <w:color w:val="auto"/>
          <w:sz w:val="24"/>
          <w:szCs w:val="24"/>
          <w:highlight w:val="none"/>
        </w:rPr>
        <w:t>款</w:t>
      </w:r>
      <w:r>
        <w:rPr>
          <w:rFonts w:hint="eastAsia" w:ascii="宋体" w:hAnsi="宋体"/>
          <w:bCs/>
          <w:color w:val="auto"/>
          <w:sz w:val="24"/>
          <w:szCs w:val="24"/>
          <w:highlight w:val="none"/>
        </w:rPr>
        <w:t>的</w:t>
      </w:r>
      <w:r>
        <w:rPr>
          <w:rFonts w:hint="eastAsia" w:ascii="宋体" w:hAnsi="宋体"/>
          <w:color w:val="auto"/>
          <w:sz w:val="24"/>
          <w:szCs w:val="24"/>
          <w:highlight w:val="none"/>
        </w:rPr>
        <w:t>保险责任期间，自保险单载明的建设工程竣工验收合格后</w:t>
      </w:r>
      <w:r>
        <w:rPr>
          <w:rFonts w:hint="eastAsia" w:ascii="宋体" w:hAnsi="宋体"/>
          <w:bCs/>
          <w:color w:val="auto"/>
          <w:sz w:val="24"/>
          <w:szCs w:val="24"/>
          <w:highlight w:val="none"/>
        </w:rPr>
        <w:t>等待期届满之日起算，最长不超过五年</w:t>
      </w:r>
      <w:r>
        <w:rPr>
          <w:rFonts w:hint="eastAsia" w:ascii="宋体" w:hAnsi="宋体"/>
          <w:color w:val="auto"/>
          <w:sz w:val="24"/>
          <w:szCs w:val="24"/>
          <w:highlight w:val="none"/>
        </w:rPr>
        <w:t>。</w:t>
      </w:r>
    </w:p>
    <w:p w14:paraId="6BEA7E9E">
      <w:pPr>
        <w:spacing w:line="360" w:lineRule="auto"/>
        <w:ind w:firstLine="480" w:firstLineChars="200"/>
        <w:rPr>
          <w:rFonts w:ascii="宋体" w:hAnsi="宋体"/>
          <w:color w:val="auto"/>
          <w:sz w:val="24"/>
          <w:szCs w:val="24"/>
          <w:highlight w:val="none"/>
        </w:rPr>
      </w:pPr>
      <w:r>
        <w:rPr>
          <w:rFonts w:hint="eastAsia" w:ascii="宋体" w:hAnsi="宋体"/>
          <w:bCs/>
          <w:color w:val="auto"/>
          <w:sz w:val="24"/>
          <w:szCs w:val="24"/>
          <w:highlight w:val="none"/>
        </w:rPr>
        <w:t>等待期</w:t>
      </w:r>
      <w:r>
        <w:rPr>
          <w:rFonts w:hint="eastAsia" w:ascii="宋体" w:hAnsi="宋体"/>
          <w:color w:val="auto"/>
          <w:sz w:val="24"/>
          <w:szCs w:val="24"/>
          <w:highlight w:val="none"/>
        </w:rPr>
        <w:t>指自保险单载明的建设工程竣工验收合格之日起，至投保人和保险人协商确定的时间止。</w:t>
      </w:r>
    </w:p>
    <w:p w14:paraId="4880D003">
      <w:pPr>
        <w:spacing w:line="360" w:lineRule="auto"/>
        <w:ind w:firstLine="480" w:firstLineChars="200"/>
        <w:rPr>
          <w:rFonts w:ascii="宋体" w:hAnsi="宋体"/>
          <w:color w:val="auto"/>
          <w:sz w:val="24"/>
          <w:szCs w:val="24"/>
          <w:highlight w:val="none"/>
        </w:rPr>
      </w:pPr>
      <w:r>
        <w:rPr>
          <w:rFonts w:hint="eastAsia" w:ascii="宋体" w:hAnsi="宋体"/>
          <w:bCs/>
          <w:color w:val="auto"/>
          <w:sz w:val="24"/>
          <w:szCs w:val="24"/>
          <w:highlight w:val="none"/>
        </w:rPr>
        <w:t>在本合同保险期间内,本保险合同</w:t>
      </w:r>
      <w:r>
        <w:rPr>
          <w:rFonts w:hint="eastAsia" w:ascii="宋体" w:hAnsi="宋体"/>
          <w:color w:val="auto"/>
          <w:sz w:val="24"/>
          <w:szCs w:val="24"/>
          <w:highlight w:val="none"/>
        </w:rPr>
        <w:t>防水和保温工程保险责任期间届满后交房的住宅建设工程，投保人、</w:t>
      </w:r>
      <w:r>
        <w:rPr>
          <w:rFonts w:hint="eastAsia" w:ascii="宋体" w:hAnsi="宋体"/>
          <w:bCs/>
          <w:color w:val="auto"/>
          <w:sz w:val="24"/>
          <w:szCs w:val="24"/>
          <w:highlight w:val="none"/>
        </w:rPr>
        <w:t>被保险人应当在交房前15日通知保险人、业主共同验收，若存在质量缺陷，由投保人、被保险人承担维修或赔偿责任</w:t>
      </w:r>
      <w:r>
        <w:rPr>
          <w:rFonts w:hint="eastAsia" w:ascii="宋体" w:hAnsi="宋体"/>
          <w:color w:val="auto"/>
          <w:sz w:val="24"/>
          <w:szCs w:val="24"/>
          <w:highlight w:val="none"/>
        </w:rPr>
        <w:t>；业主在交房之日起6个月内，发现承保范围内的保险单载明的建设工程存在质量缺陷的，由保险人承担维修或赔偿责任。前述时间点最长不超过本保险合同的保险期间。</w:t>
      </w:r>
    </w:p>
    <w:p w14:paraId="240084C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保险期间、保险责任期间、等待期以保险单载明的起讫时间为准。</w:t>
      </w:r>
    </w:p>
    <w:p w14:paraId="74D63301">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责任限额、保险费与免赔额（率）</w:t>
      </w:r>
    </w:p>
    <w:p w14:paraId="5EEBE0C8">
      <w:pPr>
        <w:numPr>
          <w:ilvl w:val="0"/>
          <w:numId w:val="1"/>
        </w:numPr>
        <w:spacing w:line="360" w:lineRule="auto"/>
        <w:ind w:left="0" w:firstLine="480" w:firstLineChars="200"/>
        <w:rPr>
          <w:rFonts w:ascii="宋体" w:hAnsi="宋体"/>
          <w:color w:val="auto"/>
          <w:sz w:val="24"/>
          <w:szCs w:val="24"/>
          <w:highlight w:val="none"/>
        </w:rPr>
      </w:pPr>
      <w:r>
        <w:rPr>
          <w:rFonts w:hint="eastAsia" w:ascii="宋体" w:hAnsi="宋体"/>
          <w:bCs/>
          <w:color w:val="auto"/>
          <w:sz w:val="24"/>
          <w:szCs w:val="24"/>
          <w:highlight w:val="none"/>
        </w:rPr>
        <w:t xml:space="preserve"> 除另有约定外，本</w:t>
      </w:r>
      <w:r>
        <w:rPr>
          <w:rFonts w:hint="eastAsia" w:ascii="宋体" w:hAnsi="宋体"/>
          <w:color w:val="auto"/>
          <w:sz w:val="24"/>
          <w:szCs w:val="24"/>
          <w:highlight w:val="none"/>
        </w:rPr>
        <w:t>保险合同的责任限额为保险单载明的建设工程项目建筑安装工程总造价。</w:t>
      </w:r>
    </w:p>
    <w:p w14:paraId="5B533B84">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第十一条 </w:t>
      </w:r>
      <w:r>
        <w:rPr>
          <w:rFonts w:hint="eastAsia" w:ascii="宋体" w:hAnsi="宋体"/>
          <w:bCs/>
          <w:color w:val="auto"/>
          <w:sz w:val="24"/>
          <w:szCs w:val="24"/>
          <w:highlight w:val="none"/>
        </w:rPr>
        <w:t>投保人投保时</w:t>
      </w:r>
      <w:r>
        <w:rPr>
          <w:rFonts w:hint="eastAsia" w:ascii="宋体" w:hAnsi="宋体"/>
          <w:color w:val="auto"/>
          <w:sz w:val="24"/>
          <w:szCs w:val="24"/>
          <w:highlight w:val="none"/>
        </w:rPr>
        <w:t>，保险人按照建筑安装工程总造价的预算价作为计费基础计算预收保险费。</w:t>
      </w:r>
      <w:r>
        <w:rPr>
          <w:rFonts w:hint="eastAsia" w:ascii="宋体" w:hAnsi="宋体"/>
          <w:b/>
          <w:bCs/>
          <w:color w:val="auto"/>
          <w:sz w:val="24"/>
          <w:szCs w:val="24"/>
          <w:highlight w:val="none"/>
        </w:rPr>
        <w:t>投保人应当一次性支付合同约定的预收保险费。</w:t>
      </w:r>
    </w:p>
    <w:p w14:paraId="6EEDA9D0">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保险单载明的建设工程竣工结算完成后，保险人根据工程质量风险管理机构的评估报告调整保险费率，按照建筑安装工程总造价的结算价调整确定最终责任限额和保险费，并根据已交纳的保险费金额向投保人进行补收或退还。</w:t>
      </w:r>
    </w:p>
    <w:p w14:paraId="60D324C7">
      <w:pPr>
        <w:spacing w:line="360" w:lineRule="auto"/>
        <w:ind w:firstLine="482" w:firstLineChars="200"/>
        <w:rPr>
          <w:rFonts w:ascii="宋体" w:hAnsi="宋体"/>
          <w:b/>
          <w:color w:val="auto"/>
          <w:sz w:val="24"/>
          <w:szCs w:val="24"/>
          <w:highlight w:val="none"/>
        </w:rPr>
      </w:pPr>
      <w:r>
        <w:rPr>
          <w:rFonts w:hint="eastAsia" w:ascii="宋体" w:hAnsi="宋体"/>
          <w:b/>
          <w:bCs/>
          <w:color w:val="auto"/>
          <w:sz w:val="24"/>
          <w:szCs w:val="24"/>
          <w:highlight w:val="none"/>
        </w:rPr>
        <w:t xml:space="preserve">第十二条 </w:t>
      </w:r>
      <w:r>
        <w:rPr>
          <w:rFonts w:hint="eastAsia" w:ascii="宋体" w:hAnsi="宋体"/>
          <w:bCs/>
          <w:color w:val="auto"/>
          <w:sz w:val="24"/>
          <w:szCs w:val="24"/>
          <w:highlight w:val="none"/>
        </w:rPr>
        <w:t>每次事故免赔额（率）由投保人与保险人在签订保险合同时协商确定，并在保险单中载明。同时约定了免赔额和免赔率的，免赔金额以免赔额和按照免赔率计算的金额二者高者为准。</w:t>
      </w:r>
    </w:p>
    <w:p w14:paraId="4154A36C">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保险人义务</w:t>
      </w:r>
    </w:p>
    <w:p w14:paraId="6E06FCE5">
      <w:pPr>
        <w:spacing w:line="360" w:lineRule="auto"/>
        <w:ind w:firstLine="482" w:firstLineChars="200"/>
        <w:rPr>
          <w:rFonts w:ascii="宋体" w:hAnsi="宋体"/>
          <w:bCs/>
          <w:color w:val="auto"/>
          <w:sz w:val="24"/>
          <w:szCs w:val="24"/>
          <w:highlight w:val="none"/>
        </w:rPr>
      </w:pPr>
      <w:r>
        <w:rPr>
          <w:rFonts w:hint="eastAsia" w:ascii="宋体" w:hAnsi="宋体"/>
          <w:b/>
          <w:bCs/>
          <w:color w:val="auto"/>
          <w:sz w:val="24"/>
          <w:szCs w:val="24"/>
          <w:highlight w:val="none"/>
        </w:rPr>
        <w:t>第十三条</w:t>
      </w:r>
      <w:r>
        <w:rPr>
          <w:rFonts w:hint="eastAsia" w:ascii="宋体" w:hAnsi="宋体"/>
          <w:bCs/>
          <w:color w:val="auto"/>
          <w:sz w:val="24"/>
          <w:szCs w:val="24"/>
          <w:highlight w:val="none"/>
        </w:rPr>
        <w:t>保险合同成立后，保险人应当及时向投保人签发保险单或其他保险凭证。</w:t>
      </w:r>
    </w:p>
    <w:p w14:paraId="5B9393EB">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第十四条 </w:t>
      </w:r>
      <w:r>
        <w:rPr>
          <w:rFonts w:hint="eastAsia" w:ascii="宋体" w:hAnsi="宋体"/>
          <w:color w:val="auto"/>
          <w:sz w:val="24"/>
          <w:szCs w:val="24"/>
          <w:highlight w:val="none"/>
        </w:rPr>
        <w:t>保险事故发生后，投保人、被保险人提供的有关索赔的证明和资料不完整的，保险人应当及时一次性通知投保人、被保险人补充提供。</w:t>
      </w:r>
    </w:p>
    <w:p w14:paraId="0C442763">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第十五条 </w:t>
      </w:r>
      <w:r>
        <w:rPr>
          <w:rFonts w:hint="eastAsia" w:ascii="宋体" w:hAnsi="宋体"/>
          <w:color w:val="auto"/>
          <w:sz w:val="24"/>
          <w:szCs w:val="24"/>
          <w:highlight w:val="none"/>
        </w:rPr>
        <w:t>保险人收到被保险人的赔偿请求后，应当及时就是否属于保险责任作出核定，并将核定结果通知被保险人。</w:t>
      </w:r>
    </w:p>
    <w:p w14:paraId="57B35028">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投保人、被保险人义务</w:t>
      </w:r>
    </w:p>
    <w:p w14:paraId="482E1994">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第十六条 </w:t>
      </w:r>
      <w:r>
        <w:rPr>
          <w:rFonts w:hint="eastAsia" w:ascii="宋体" w:hAnsi="宋体"/>
          <w:color w:val="auto"/>
          <w:sz w:val="24"/>
          <w:szCs w:val="24"/>
          <w:highlight w:val="none"/>
        </w:rPr>
        <w:t>投保人应履行如实告知义务，如实回答保险人就保险单载明的建设工程有关情况提出的询问，并如实填写投保单。</w:t>
      </w:r>
    </w:p>
    <w:p w14:paraId="4F971C9B">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第十七条 </w:t>
      </w:r>
      <w:r>
        <w:rPr>
          <w:rFonts w:hint="eastAsia" w:ascii="宋体" w:hAnsi="宋体"/>
          <w:color w:val="auto"/>
          <w:sz w:val="24"/>
          <w:szCs w:val="24"/>
          <w:highlight w:val="none"/>
        </w:rPr>
        <w:t>除另有约定外，投保人应在保险合同成立时交付保险费。</w:t>
      </w:r>
      <w:r>
        <w:rPr>
          <w:rFonts w:hint="eastAsia" w:ascii="宋体" w:hAnsi="宋体"/>
          <w:b/>
          <w:color w:val="auto"/>
          <w:sz w:val="24"/>
          <w:szCs w:val="24"/>
          <w:highlight w:val="none"/>
        </w:rPr>
        <w:t>投保人未按约定交付保险费的，保险合同不发生效力。合同生效前发生的保险事故，保险人不承担保险责任。</w:t>
      </w:r>
    </w:p>
    <w:p w14:paraId="33D05522">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第十八条 </w:t>
      </w:r>
      <w:r>
        <w:rPr>
          <w:rFonts w:hint="eastAsia" w:ascii="宋体" w:hAnsi="宋体"/>
          <w:color w:val="auto"/>
          <w:sz w:val="24"/>
          <w:szCs w:val="24"/>
          <w:highlight w:val="none"/>
        </w:rPr>
        <w:t>投保人、被保险人应接受并积极配合保险人委托的工程质量风险管理机构对保险单载明的建设工程进行工程质量风险管理工作，对于发现的工程质量潜在缺陷，投保人、被保险人应予以整改。</w:t>
      </w:r>
    </w:p>
    <w:p w14:paraId="4E9DB8F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投保人、被保险人应接受并积极配合保险人指定的工程质量风险管理机构对保险单载明的建设工程在竣工验收合格后等待期届满前进行的工程质量风险复查工作。</w:t>
      </w:r>
    </w:p>
    <w:p w14:paraId="6282705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保险合同成立后，对于保险人发现的属于保险责任范围的未尽整改义务或整改不到位的工程质量潜在缺陷，</w:t>
      </w:r>
      <w:r>
        <w:rPr>
          <w:rFonts w:hint="eastAsia" w:ascii="宋体" w:hAnsi="宋体"/>
          <w:b/>
          <w:color w:val="auto"/>
          <w:sz w:val="24"/>
          <w:szCs w:val="24"/>
          <w:highlight w:val="none"/>
        </w:rPr>
        <w:t>保险人有权根据保险合同约定适当上浮保险费率或者列入保险除外责任，对工程质量潜在缺陷严重的，保险人有权解除保险合同。</w:t>
      </w:r>
    </w:p>
    <w:p w14:paraId="7E5FFE26">
      <w:pPr>
        <w:spacing w:line="360" w:lineRule="auto"/>
        <w:ind w:firstLine="480" w:firstLineChars="200"/>
        <w:rPr>
          <w:rFonts w:ascii="宋体" w:hAnsi="宋体"/>
          <w:b/>
          <w:color w:val="auto"/>
          <w:sz w:val="24"/>
          <w:szCs w:val="24"/>
          <w:highlight w:val="none"/>
        </w:rPr>
      </w:pPr>
      <w:r>
        <w:rPr>
          <w:rFonts w:hint="eastAsia" w:ascii="宋体" w:hAnsi="宋体"/>
          <w:color w:val="auto"/>
          <w:sz w:val="24"/>
          <w:szCs w:val="24"/>
          <w:highlight w:val="none"/>
        </w:rPr>
        <w:t>对于在质量复查中发现的属于保险责任范围的工程质量缺陷，投保人整改的，应当纳入保险责任范围；</w:t>
      </w:r>
      <w:r>
        <w:rPr>
          <w:rFonts w:hint="eastAsia" w:ascii="宋体" w:hAnsi="宋体"/>
          <w:b/>
          <w:color w:val="auto"/>
          <w:sz w:val="24"/>
          <w:szCs w:val="24"/>
          <w:highlight w:val="none"/>
        </w:rPr>
        <w:t>投保人未尽整改义务或整改不到位的，保险人可以根据保险合同约定将其列入保险除外责任。</w:t>
      </w:r>
    </w:p>
    <w:p w14:paraId="22D4339F">
      <w:pPr>
        <w:spacing w:line="360" w:lineRule="auto"/>
        <w:ind w:firstLine="482" w:firstLineChars="200"/>
        <w:rPr>
          <w:rFonts w:ascii="宋体" w:hAnsi="宋体"/>
          <w:b/>
          <w:color w:val="auto"/>
          <w:sz w:val="24"/>
          <w:szCs w:val="24"/>
          <w:highlight w:val="none"/>
        </w:rPr>
      </w:pPr>
      <w:r>
        <w:rPr>
          <w:rFonts w:hint="eastAsia" w:ascii="宋体" w:hAnsi="宋体"/>
          <w:b/>
          <w:bCs/>
          <w:color w:val="auto"/>
          <w:sz w:val="24"/>
          <w:szCs w:val="24"/>
          <w:highlight w:val="none"/>
        </w:rPr>
        <w:t xml:space="preserve">第十九条 </w:t>
      </w:r>
      <w:r>
        <w:rPr>
          <w:rFonts w:hint="eastAsia" w:ascii="宋体" w:hAnsi="宋体"/>
          <w:color w:val="auto"/>
          <w:sz w:val="24"/>
          <w:szCs w:val="24"/>
          <w:highlight w:val="none"/>
        </w:rPr>
        <w:t>投保人应在保险单载明的建设工程竣工验收合格后两个月内，向保险人提供工程竣工验收证明材料、《房屋建筑质量保证书》《房屋建筑使用说明书》，六个月内提供竣工结算材料等文件。</w:t>
      </w:r>
      <w:r>
        <w:rPr>
          <w:rFonts w:hint="eastAsia" w:ascii="宋体" w:hAnsi="宋体"/>
          <w:b/>
          <w:color w:val="auto"/>
          <w:sz w:val="24"/>
          <w:szCs w:val="24"/>
          <w:highlight w:val="none"/>
        </w:rPr>
        <w:t>若投保人无法或不提供前述文件，保险人有权通知投保人解除本保险合同。</w:t>
      </w:r>
    </w:p>
    <w:p w14:paraId="4FB81DAB">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第二十条 </w:t>
      </w:r>
      <w:r>
        <w:rPr>
          <w:rFonts w:hint="eastAsia" w:ascii="宋体" w:hAnsi="宋体"/>
          <w:color w:val="auto"/>
          <w:sz w:val="24"/>
          <w:szCs w:val="24"/>
          <w:highlight w:val="none"/>
        </w:rPr>
        <w:t>投保人应严格遵守《中华人民共和国建筑法》《建设工程质量管理条例》《广东省建设工程质量条例》等相关法律、法规及规定，聘请具备行业资质的工程监理机构，加强管理，采取合理的预防措施，尽力避免或减少保险事故的发生；被保险人、使用人应严格按照《房屋建筑使用说明书》的要求使用保险单载明的建设工程。</w:t>
      </w:r>
      <w:r>
        <w:rPr>
          <w:rFonts w:hint="eastAsia" w:ascii="宋体" w:hAnsi="宋体"/>
          <w:color w:val="auto"/>
          <w:sz w:val="24"/>
          <w:szCs w:val="24"/>
          <w:highlight w:val="none"/>
        </w:rPr>
        <w:cr/>
      </w:r>
      <w:r>
        <w:rPr>
          <w:rFonts w:hint="eastAsia" w:ascii="宋体" w:hAnsi="宋体"/>
          <w:color w:val="auto"/>
          <w:sz w:val="24"/>
          <w:szCs w:val="24"/>
          <w:highlight w:val="none"/>
        </w:rPr>
        <w:t xml:space="preserve">    保险人及保险人委托的工程质量风险管理机构可以对投保人、被保险人遵守前款约定的情况进行检查，向投保人、被保险人提出消除不安全因素和隐患的书面建议，投保人、被保险人应该认真付诸实施。</w:t>
      </w:r>
    </w:p>
    <w:p w14:paraId="4E52D723">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第二十一条 </w:t>
      </w:r>
      <w:r>
        <w:rPr>
          <w:rFonts w:hint="eastAsia" w:ascii="宋体" w:hAnsi="宋体"/>
          <w:color w:val="auto"/>
          <w:sz w:val="24"/>
          <w:szCs w:val="24"/>
          <w:highlight w:val="none"/>
        </w:rPr>
        <w:t>在保险期间内，如保险单载明的建设工程变更用途，或被保险人对建设工程进行改建、扩建、移动、大规模修缮、重新装饰装修及其他可能导致保险单载明的建设工程风险程度显著增加的重要事项变更，投保人、被保险人应当按照保险合同的约定事先书面通知保险人，</w:t>
      </w:r>
      <w:r>
        <w:rPr>
          <w:rFonts w:hint="eastAsia" w:ascii="宋体" w:hAnsi="宋体"/>
          <w:b/>
          <w:color w:val="auto"/>
          <w:sz w:val="24"/>
          <w:szCs w:val="24"/>
          <w:highlight w:val="none"/>
        </w:rPr>
        <w:t>保险人可以按照保险合同约定调整保险费或者解除保险合同。</w:t>
      </w:r>
    </w:p>
    <w:p w14:paraId="73892549">
      <w:pPr>
        <w:spacing w:line="360" w:lineRule="auto"/>
        <w:ind w:firstLine="532" w:firstLineChars="221"/>
        <w:rPr>
          <w:rFonts w:ascii="宋体" w:hAnsi="宋体"/>
          <w:color w:val="auto"/>
          <w:sz w:val="24"/>
          <w:szCs w:val="24"/>
          <w:highlight w:val="none"/>
        </w:rPr>
      </w:pPr>
      <w:r>
        <w:rPr>
          <w:rFonts w:hint="eastAsia" w:ascii="宋体" w:hAnsi="宋体"/>
          <w:b/>
          <w:color w:val="auto"/>
          <w:sz w:val="24"/>
          <w:szCs w:val="24"/>
          <w:highlight w:val="none"/>
        </w:rPr>
        <w:t>被保险人未履行前款约定的义务，因上述事项变更而保险单载明的建设工程风险程度显著增加导致保险事故发生的，保险人不承担赔偿责任。</w:t>
      </w:r>
    </w:p>
    <w:p w14:paraId="3AEC7196">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第二十二条 </w:t>
      </w:r>
      <w:r>
        <w:rPr>
          <w:rFonts w:hint="eastAsia" w:ascii="宋体" w:hAnsi="宋体"/>
          <w:color w:val="auto"/>
          <w:sz w:val="24"/>
          <w:szCs w:val="24"/>
          <w:highlight w:val="none"/>
        </w:rPr>
        <w:t>在保险期间内，如建设单位发生变更的应及时书面通知保险人，保险人在保险凭证上进行批注。</w:t>
      </w:r>
    </w:p>
    <w:p w14:paraId="14255792">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第二十三条 </w:t>
      </w:r>
      <w:r>
        <w:rPr>
          <w:rFonts w:hint="eastAsia" w:ascii="宋体" w:hAnsi="宋体"/>
          <w:color w:val="auto"/>
          <w:sz w:val="24"/>
          <w:szCs w:val="24"/>
          <w:highlight w:val="none"/>
        </w:rPr>
        <w:t>保险事故发生时，投保人、被保险人应当尽力采取必要的措施，防止或者减少损失。投保人、被保险人知道保险事故发生后，应当及时通知保险人。</w:t>
      </w:r>
    </w:p>
    <w:p w14:paraId="2E1F0117">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第二十四条 因法律法规或合同约定应由勘察单位、设计单位、施工单位、设备材料供应商等责任方承担的法律责任，并不因建设单位投保本保险而免责。</w:t>
      </w:r>
    </w:p>
    <w:p w14:paraId="6B8FFDEC">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第二十五条 </w:t>
      </w:r>
      <w:r>
        <w:rPr>
          <w:rFonts w:hint="eastAsia" w:ascii="宋体" w:hAnsi="宋体"/>
          <w:color w:val="auto"/>
          <w:sz w:val="24"/>
          <w:szCs w:val="24"/>
          <w:highlight w:val="none"/>
        </w:rPr>
        <w:t>发生保险责任范围内的损失，应由有关责任方负责赔偿的，被保险人应行使或者保留向该责任方请求赔偿的权利。</w:t>
      </w:r>
    </w:p>
    <w:p w14:paraId="4333D14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发生保险责任范围内的损失，应由有关责任方负责赔偿的，保险人自向被保险人赔偿之日起，在赔偿金额范围内代位行使被保险人对其他责任方请求赔偿的权利。在保险人向有关责任方行使代位请求赔偿权利时，被保险人应当向保险人提供必要的文件和其所知道的有关情况。</w:t>
      </w:r>
      <w:r>
        <w:rPr>
          <w:rFonts w:hint="eastAsia" w:ascii="宋体" w:hAnsi="宋体"/>
          <w:b/>
          <w:color w:val="auto"/>
          <w:sz w:val="24"/>
          <w:szCs w:val="24"/>
          <w:highlight w:val="none"/>
        </w:rPr>
        <w:t>被保险人已经从其他责任方取得赔偿的，保险人赔偿时，可以相应扣减被保险人已从其他责任方取得的赔偿金额。</w:t>
      </w:r>
    </w:p>
    <w:p w14:paraId="50FD199F">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保险事故发生后，在保险人未赔偿之前，被保险人放弃对其他责任方请求赔偿权利的，保险人不承担赔偿责任；保险人向被保险人赔偿后，被保险人未经保险人同意放弃对其他责任方请求赔偿权利的，该行为无效；由于被保险人的过错致使保险人不能行使代位请求赔偿权的，保险人可以相应扣减保险赔偿金。</w:t>
      </w:r>
    </w:p>
    <w:p w14:paraId="1582280F">
      <w:pPr>
        <w:spacing w:line="360" w:lineRule="auto"/>
        <w:ind w:firstLine="482" w:firstLineChars="200"/>
        <w:rPr>
          <w:rFonts w:ascii="宋体" w:hAnsi="宋体"/>
          <w:bCs/>
          <w:color w:val="auto"/>
          <w:sz w:val="24"/>
          <w:szCs w:val="24"/>
          <w:highlight w:val="none"/>
        </w:rPr>
      </w:pPr>
      <w:r>
        <w:rPr>
          <w:rFonts w:hint="eastAsia" w:ascii="宋体" w:hAnsi="宋体"/>
          <w:b/>
          <w:bCs/>
          <w:color w:val="auto"/>
          <w:sz w:val="24"/>
          <w:szCs w:val="24"/>
          <w:highlight w:val="none"/>
        </w:rPr>
        <w:t>第二十六条</w:t>
      </w:r>
      <w:r>
        <w:rPr>
          <w:rFonts w:hint="eastAsia" w:ascii="宋体" w:hAnsi="宋体"/>
          <w:bCs/>
          <w:color w:val="auto"/>
          <w:sz w:val="24"/>
          <w:szCs w:val="24"/>
          <w:highlight w:val="none"/>
        </w:rPr>
        <w:t>被保险人向保险人请求赔偿时，应提交以下单证：</w:t>
      </w:r>
    </w:p>
    <w:p w14:paraId="40F47E13">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（一）保险单或《工程质量潜在缺陷保险告知书》；</w:t>
      </w:r>
    </w:p>
    <w:p w14:paraId="2938C04F">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（二）所有权证明文件或其他可证明被保险人具有保险利益的材料；</w:t>
      </w:r>
    </w:p>
    <w:p w14:paraId="5930D866">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（三）索赔申请书；</w:t>
      </w:r>
    </w:p>
    <w:p w14:paraId="7AE78D43">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（四）损失清单以及相关费用发票；</w:t>
      </w:r>
    </w:p>
    <w:p w14:paraId="2AD78120">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（五）投保人、被保险人所能提供的其他与确认保险事故的性质、原因、损失程度等有关的证明和资料。</w:t>
      </w:r>
    </w:p>
    <w:p w14:paraId="2929A522">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由保险人推荐维修的，经被保险人申请，维修发票可由维修单位直接提供给保险公司。</w:t>
      </w:r>
    </w:p>
    <w:p w14:paraId="7388DF4A">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赔偿处理</w:t>
      </w:r>
    </w:p>
    <w:p w14:paraId="2359DEAA">
      <w:pPr>
        <w:spacing w:line="360" w:lineRule="auto"/>
        <w:ind w:firstLine="482" w:firstLineChars="200"/>
        <w:rPr>
          <w:rFonts w:ascii="宋体" w:hAnsi="宋体"/>
          <w:b/>
          <w:color w:val="auto"/>
          <w:sz w:val="24"/>
          <w:szCs w:val="24"/>
          <w:highlight w:val="none"/>
        </w:rPr>
      </w:pPr>
      <w:r>
        <w:rPr>
          <w:rFonts w:hint="eastAsia" w:ascii="宋体" w:hAnsi="宋体"/>
          <w:b/>
          <w:bCs/>
          <w:color w:val="auto"/>
          <w:sz w:val="24"/>
          <w:szCs w:val="24"/>
          <w:highlight w:val="none"/>
        </w:rPr>
        <w:t xml:space="preserve">第二十七条 </w:t>
      </w:r>
      <w:r>
        <w:rPr>
          <w:rFonts w:hint="eastAsia" w:ascii="宋体" w:hAnsi="宋体"/>
          <w:color w:val="auto"/>
          <w:sz w:val="24"/>
          <w:szCs w:val="24"/>
          <w:highlight w:val="none"/>
        </w:rPr>
        <w:t>保险事故发生后，被保险人对保险单载明的建设工程进行修理或加固的，必须事先得到保险人的书面认可，并在维修或加固前会同保险人进行检验，确定修理或加固项目、方式和费用，</w:t>
      </w:r>
      <w:r>
        <w:rPr>
          <w:rFonts w:hint="eastAsia" w:ascii="宋体" w:hAnsi="宋体"/>
          <w:b/>
          <w:bCs/>
          <w:color w:val="auto"/>
          <w:sz w:val="24"/>
          <w:szCs w:val="24"/>
          <w:highlight w:val="none"/>
        </w:rPr>
        <w:t>否则，保险人不承担赔偿责任。</w:t>
      </w:r>
    </w:p>
    <w:p w14:paraId="74C5EFBC">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第二十八条 </w:t>
      </w:r>
      <w:r>
        <w:rPr>
          <w:rFonts w:hint="eastAsia" w:ascii="宋体" w:hAnsi="宋体"/>
          <w:color w:val="auto"/>
          <w:sz w:val="24"/>
          <w:szCs w:val="24"/>
          <w:highlight w:val="none"/>
        </w:rPr>
        <w:t>被保险人和保险人对保险责任范围、维修结果等存在争议的，可以共同委托有资质的工程质量检测、房屋安全鉴定机构进行检测鉴定，相关报告作为赔付依据。对赔付结果依然无法达成一致的，按照保险合同约定的方式解决。</w:t>
      </w:r>
    </w:p>
    <w:p w14:paraId="3028EBE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经检测鉴定属于保险责任范围的，检测鉴定费用由保险人承担；</w:t>
      </w:r>
      <w:r>
        <w:rPr>
          <w:rFonts w:hint="eastAsia" w:ascii="宋体" w:hAnsi="宋体"/>
          <w:b/>
          <w:color w:val="auto"/>
          <w:sz w:val="24"/>
          <w:szCs w:val="24"/>
          <w:highlight w:val="none"/>
        </w:rPr>
        <w:t>经检测鉴定不属于保险责任范围的，检测鉴定费用由申请方承担。</w:t>
      </w:r>
    </w:p>
    <w:p w14:paraId="29435CE1">
      <w:pPr>
        <w:spacing w:line="360" w:lineRule="auto"/>
        <w:ind w:firstLine="482" w:firstLineChars="200"/>
        <w:rPr>
          <w:rFonts w:ascii="宋体" w:hAnsi="宋体"/>
          <w:b/>
          <w:color w:val="auto"/>
          <w:sz w:val="24"/>
          <w:szCs w:val="24"/>
          <w:highlight w:val="none"/>
        </w:rPr>
      </w:pPr>
      <w:r>
        <w:rPr>
          <w:rFonts w:hint="eastAsia" w:ascii="宋体" w:hAnsi="宋体"/>
          <w:b/>
          <w:bCs/>
          <w:color w:val="auto"/>
          <w:sz w:val="24"/>
          <w:szCs w:val="24"/>
          <w:highlight w:val="none"/>
        </w:rPr>
        <w:t xml:space="preserve">第二十九条 </w:t>
      </w:r>
      <w:r>
        <w:rPr>
          <w:rFonts w:hint="eastAsia" w:ascii="宋体" w:hAnsi="宋体"/>
          <w:color w:val="auto"/>
          <w:sz w:val="24"/>
          <w:szCs w:val="24"/>
          <w:highlight w:val="none"/>
        </w:rPr>
        <w:t>保险事故发生时，如果被保险人的损失在有相同保障的其他保险项下也能够获得赔偿，</w:t>
      </w:r>
      <w:r>
        <w:rPr>
          <w:rFonts w:hint="eastAsia" w:ascii="宋体" w:hAnsi="宋体"/>
          <w:b/>
          <w:color w:val="auto"/>
          <w:sz w:val="24"/>
          <w:szCs w:val="24"/>
          <w:highlight w:val="none"/>
        </w:rPr>
        <w:t>保险人按照本保险合同的相应责任限额与其他保险合同及本保险合同相应责任限额总和的比例承担赔偿责任。</w:t>
      </w:r>
    </w:p>
    <w:p w14:paraId="7EC99877">
      <w:pPr>
        <w:spacing w:line="360" w:lineRule="auto"/>
        <w:ind w:firstLine="436" w:firstLineChars="181"/>
        <w:rPr>
          <w:rFonts w:ascii="宋体" w:hAnsi="宋体"/>
          <w:b/>
          <w:color w:val="auto"/>
          <w:sz w:val="24"/>
          <w:szCs w:val="24"/>
          <w:highlight w:val="none"/>
        </w:rPr>
      </w:pPr>
      <w:r>
        <w:rPr>
          <w:rFonts w:hint="eastAsia" w:ascii="宋体" w:hAnsi="宋体"/>
          <w:b/>
          <w:color w:val="auto"/>
          <w:sz w:val="24"/>
          <w:szCs w:val="24"/>
          <w:highlight w:val="none"/>
        </w:rPr>
        <w:t>其他保险人应承担的赔偿金额，本保险人不负责垫付。被保险人未如实告知导致保险人多支付赔偿金的，保险人有权向被保险人追回多支付的部分。</w:t>
      </w:r>
    </w:p>
    <w:p w14:paraId="73B55752">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第三十条 </w:t>
      </w:r>
      <w:r>
        <w:rPr>
          <w:rFonts w:hint="eastAsia" w:ascii="宋体" w:hAnsi="宋体"/>
          <w:color w:val="auto"/>
          <w:sz w:val="24"/>
          <w:szCs w:val="24"/>
          <w:highlight w:val="none"/>
        </w:rPr>
        <w:t>发生保险责任范围内的损失，保险人根据实际发生的修理、加固或重置费用，</w:t>
      </w:r>
      <w:r>
        <w:rPr>
          <w:rFonts w:hint="eastAsia" w:ascii="宋体" w:hAnsi="宋体"/>
          <w:b/>
          <w:color w:val="auto"/>
          <w:sz w:val="24"/>
          <w:szCs w:val="24"/>
          <w:highlight w:val="none"/>
        </w:rPr>
        <w:t>扣除每次保险事故免赔额或按照每次事故免赔率计算的每次事故免赔额后，</w:t>
      </w:r>
      <w:r>
        <w:rPr>
          <w:rFonts w:hint="eastAsia" w:ascii="宋体" w:hAnsi="宋体"/>
          <w:color w:val="auto"/>
          <w:sz w:val="24"/>
          <w:szCs w:val="24"/>
          <w:highlight w:val="none"/>
        </w:rPr>
        <w:t>在责任限额内进行赔偿。</w:t>
      </w:r>
    </w:p>
    <w:p w14:paraId="52CFD429">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在保险责任期间内，不论一次保险事故还是多次保险事故，当保险人的赔偿金额达到责任限额时，保险合同终止。</w:t>
      </w:r>
    </w:p>
    <w:p w14:paraId="1D2AFBEF">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争议处理和法律适用</w:t>
      </w:r>
    </w:p>
    <w:p w14:paraId="62CAA1DA">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 xml:space="preserve">第三十一条 </w:t>
      </w:r>
      <w:r>
        <w:rPr>
          <w:rFonts w:hint="eastAsia" w:ascii="宋体" w:hAnsi="宋体"/>
          <w:color w:val="auto"/>
          <w:sz w:val="24"/>
          <w:szCs w:val="24"/>
          <w:highlight w:val="none"/>
        </w:rPr>
        <w:t>保险合同争议解决方式由当事人在保险合同中约定的下列两种方式中选择一种：</w:t>
      </w:r>
    </w:p>
    <w:p w14:paraId="18E44D3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（一）因履行保险合同发生的争议，由当事人协商解决，协商不成的，提交保险合同载明的仲裁委员会仲裁； </w:t>
      </w:r>
    </w:p>
    <w:p w14:paraId="1034DB6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（二）因履行保险合同发生的争议，由当事人协商解决，协商不成的，依法向中华人民共和国境内（不包括港澳台地区）人民法院起诉。</w:t>
      </w:r>
    </w:p>
    <w:p w14:paraId="5638E529">
      <w:pPr>
        <w:spacing w:line="360" w:lineRule="auto"/>
        <w:ind w:firstLine="482" w:firstLineChars="200"/>
        <w:rPr>
          <w:rFonts w:ascii="宋体" w:hAnsi="宋体"/>
          <w:bCs/>
          <w:color w:val="auto"/>
          <w:sz w:val="24"/>
          <w:szCs w:val="24"/>
          <w:highlight w:val="none"/>
        </w:rPr>
      </w:pPr>
      <w:r>
        <w:rPr>
          <w:rFonts w:hint="eastAsia" w:ascii="宋体" w:hAnsi="宋体"/>
          <w:b/>
          <w:bCs/>
          <w:color w:val="auto"/>
          <w:sz w:val="24"/>
          <w:szCs w:val="24"/>
          <w:highlight w:val="none"/>
        </w:rPr>
        <w:t xml:space="preserve">第三十二条 </w:t>
      </w:r>
      <w:r>
        <w:rPr>
          <w:rFonts w:hint="eastAsia" w:ascii="宋体" w:hAnsi="宋体"/>
          <w:bCs/>
          <w:color w:val="auto"/>
          <w:sz w:val="24"/>
          <w:szCs w:val="24"/>
          <w:highlight w:val="none"/>
        </w:rPr>
        <w:t>保险合同的争议处理适用中华人民共和国法律（不包括港、澳、台地区法律）。</w:t>
      </w:r>
    </w:p>
    <w:p w14:paraId="0121CA01">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其他事项</w:t>
      </w:r>
    </w:p>
    <w:p w14:paraId="6DC127F7">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第三十三条 本保险合同成立后，保险单载明的建设工程未经保险人委托的工程质量风险管理机构检查通过的，保险人可以解除保险合同。</w:t>
      </w:r>
    </w:p>
    <w:p w14:paraId="11E3D663">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第三十四条 本保险合同成立后，投保人提出解除保险合同的，需经全体被保险人书面同意。</w:t>
      </w:r>
    </w:p>
    <w:p w14:paraId="3E9E3893">
      <w:pPr>
        <w:spacing w:line="360" w:lineRule="auto"/>
        <w:ind w:firstLine="482" w:firstLineChars="200"/>
        <w:rPr>
          <w:rFonts w:ascii="宋体" w:hAnsi="宋体"/>
          <w:bCs/>
          <w:color w:val="auto"/>
          <w:sz w:val="24"/>
          <w:szCs w:val="24"/>
          <w:highlight w:val="none"/>
        </w:rPr>
      </w:pPr>
      <w:r>
        <w:rPr>
          <w:rFonts w:hint="eastAsia" w:ascii="宋体" w:hAnsi="宋体"/>
          <w:b/>
          <w:bCs/>
          <w:color w:val="auto"/>
          <w:sz w:val="24"/>
          <w:szCs w:val="24"/>
          <w:highlight w:val="none"/>
        </w:rPr>
        <w:t xml:space="preserve">第三十五条 </w:t>
      </w:r>
      <w:r>
        <w:rPr>
          <w:rFonts w:hint="eastAsia" w:ascii="宋体" w:hAnsi="宋体"/>
          <w:bCs/>
          <w:color w:val="auto"/>
          <w:sz w:val="24"/>
          <w:szCs w:val="24"/>
          <w:highlight w:val="none"/>
        </w:rPr>
        <w:t>保险责任期间开始前解除保险合同的，保险人在扣除已发生的风险管理费用和相当于全部保险费5%的退保手续费后，应当退还剩余部分保险费。</w:t>
      </w:r>
    </w:p>
    <w:p w14:paraId="6CDD2752">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保险责任期间开始后解除保险合同的，保险人在扣除已发生的风险管理费用和相当于全部保险费5%的退保手续费后，应当退还未满期保险费。</w:t>
      </w:r>
    </w:p>
    <w:p w14:paraId="5367DF3A">
      <w:pPr>
        <w:spacing w:line="360" w:lineRule="auto"/>
        <w:ind w:firstLine="480" w:firstLineChars="200"/>
        <w:rPr>
          <w:rFonts w:ascii="宋体" w:hAnsi="宋体"/>
          <w:b/>
          <w:bCs/>
          <w:color w:val="auto"/>
          <w:sz w:val="24"/>
          <w:szCs w:val="24"/>
          <w:highlight w:val="none"/>
        </w:rPr>
      </w:pPr>
      <w:r>
        <w:rPr>
          <w:rFonts w:hint="eastAsia" w:ascii="宋体" w:hAnsi="宋体"/>
          <w:bCs/>
          <w:color w:val="auto"/>
          <w:sz w:val="24"/>
          <w:szCs w:val="24"/>
          <w:highlight w:val="none"/>
        </w:rPr>
        <w:t>如果解除时，保险合同项下仍有尚未赔偿结案的保险事故，</w:t>
      </w:r>
      <w:r>
        <w:rPr>
          <w:rFonts w:hint="eastAsia" w:ascii="宋体" w:hAnsi="宋体"/>
          <w:b/>
          <w:bCs/>
          <w:color w:val="auto"/>
          <w:sz w:val="24"/>
          <w:szCs w:val="24"/>
          <w:highlight w:val="none"/>
        </w:rPr>
        <w:t>保险人可在赔偿结案后根据实际赔付情况按照有关保险法规定计算和支付应向投保人退还的未满期保险费。</w:t>
      </w:r>
    </w:p>
    <w:p w14:paraId="21B63C60">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未满期保险费＝（保险费-已发生风险管理费用-退保手续费）×（剩余保险责任期间天数/保险责任期间天数）×（责任限额－已决赔偿金额－未决赔偿金额）/责任限额</w:t>
      </w:r>
    </w:p>
    <w:p w14:paraId="0DA78D0B">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 xml:space="preserve">第三十六条 </w:t>
      </w:r>
      <w:r>
        <w:rPr>
          <w:rFonts w:hint="eastAsia" w:ascii="宋体" w:hAnsi="宋体"/>
          <w:bCs/>
          <w:color w:val="auto"/>
          <w:sz w:val="24"/>
          <w:szCs w:val="24"/>
          <w:highlight w:val="none"/>
        </w:rPr>
        <w:t>保险合同约定与《中华人民共和国保险法》等法律规定相悖之处，以法律规定为准。保险合同未尽事宜，以法律规定为准。</w:t>
      </w:r>
    </w:p>
    <w:p w14:paraId="622B67DE">
      <w:pPr>
        <w:autoSpaceDE w:val="0"/>
        <w:autoSpaceDN w:val="0"/>
        <w:adjustRightInd w:val="0"/>
        <w:spacing w:line="360" w:lineRule="auto"/>
        <w:ind w:firstLine="480" w:firstLineChars="200"/>
        <w:jc w:val="left"/>
        <w:rPr>
          <w:rFonts w:ascii="宋体" w:hAnsi="宋体"/>
          <w:color w:val="auto"/>
          <w:sz w:val="24"/>
          <w:szCs w:val="24"/>
          <w:highlight w:val="none"/>
        </w:rPr>
      </w:pPr>
    </w:p>
    <w:p w14:paraId="104597DD">
      <w:pPr>
        <w:widowControl/>
        <w:spacing w:line="360" w:lineRule="auto"/>
        <w:jc w:val="left"/>
        <w:rPr>
          <w:rFonts w:ascii="宋体" w:hAnsi="宋体"/>
          <w:bCs/>
          <w:color w:val="auto"/>
          <w:sz w:val="24"/>
          <w:szCs w:val="24"/>
          <w:highlight w:val="none"/>
        </w:rPr>
      </w:pPr>
      <w:r>
        <w:rPr>
          <w:rFonts w:ascii="宋体" w:hAnsi="宋体"/>
          <w:bCs/>
          <w:color w:val="auto"/>
          <w:sz w:val="24"/>
          <w:szCs w:val="24"/>
          <w:highlight w:val="none"/>
        </w:rPr>
        <w:br w:type="page"/>
      </w:r>
    </w:p>
    <w:p w14:paraId="5D0DF418">
      <w:pPr>
        <w:pStyle w:val="3"/>
        <w:rPr>
          <w:rFonts w:ascii="宋体" w:hAnsi="宋体" w:eastAsia="宋体"/>
          <w:bCs w:val="0"/>
          <w:color w:val="auto"/>
          <w:sz w:val="28"/>
          <w:highlight w:val="none"/>
        </w:rPr>
      </w:pPr>
      <w:bookmarkStart w:id="18" w:name="_Toc69144551"/>
      <w:bookmarkStart w:id="19" w:name="_Toc68876538"/>
      <w:r>
        <w:rPr>
          <w:rFonts w:hint="eastAsia" w:ascii="宋体" w:hAnsi="宋体" w:eastAsia="宋体"/>
          <w:bCs w:val="0"/>
          <w:color w:val="auto"/>
          <w:sz w:val="28"/>
          <w:highlight w:val="none"/>
        </w:rPr>
        <w:t>（二）附加险条款</w:t>
      </w:r>
    </w:p>
    <w:p w14:paraId="766277CA">
      <w:pPr>
        <w:pStyle w:val="3"/>
        <w:spacing w:line="360" w:lineRule="auto"/>
        <w:rPr>
          <w:rFonts w:ascii="宋体" w:hAnsi="宋体" w:eastAsia="宋体"/>
          <w:bCs w:val="0"/>
          <w:color w:val="auto"/>
          <w:sz w:val="24"/>
          <w:szCs w:val="24"/>
          <w:highlight w:val="none"/>
        </w:rPr>
      </w:pPr>
      <w:r>
        <w:rPr>
          <w:rFonts w:hint="eastAsia" w:ascii="宋体" w:hAnsi="宋体" w:eastAsia="宋体"/>
          <w:bCs w:val="0"/>
          <w:color w:val="auto"/>
          <w:sz w:val="24"/>
          <w:szCs w:val="24"/>
          <w:highlight w:val="none"/>
        </w:rPr>
        <w:t>1</w:t>
      </w:r>
      <w:r>
        <w:rPr>
          <w:rFonts w:ascii="宋体" w:hAnsi="宋体" w:eastAsia="宋体"/>
          <w:bCs w:val="0"/>
          <w:color w:val="auto"/>
          <w:sz w:val="24"/>
          <w:szCs w:val="24"/>
          <w:highlight w:val="none"/>
        </w:rPr>
        <w:t xml:space="preserve">. </w:t>
      </w:r>
      <w:r>
        <w:rPr>
          <w:rFonts w:hint="eastAsia" w:ascii="宋体" w:hAnsi="宋体" w:eastAsia="宋体"/>
          <w:bCs w:val="0"/>
          <w:color w:val="auto"/>
          <w:sz w:val="24"/>
          <w:szCs w:val="24"/>
          <w:highlight w:val="none"/>
        </w:rPr>
        <w:t>建筑装饰装修工程保险条款</w:t>
      </w:r>
      <w:bookmarkEnd w:id="18"/>
      <w:bookmarkEnd w:id="19"/>
    </w:p>
    <w:p w14:paraId="64D666EB">
      <w:pPr>
        <w:autoSpaceDE w:val="0"/>
        <w:autoSpaceDN w:val="0"/>
        <w:adjustRightIn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广州市住宅工程质量潜在缺陷保险</w:t>
      </w:r>
    </w:p>
    <w:p w14:paraId="66D6FBA5">
      <w:pPr>
        <w:autoSpaceDE w:val="0"/>
        <w:autoSpaceDN w:val="0"/>
        <w:adjustRightIn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附加建筑装饰装修工程保险条款</w:t>
      </w:r>
    </w:p>
    <w:p w14:paraId="14F52076">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总则</w:t>
      </w:r>
    </w:p>
    <w:p w14:paraId="06271AA4">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第一条</w:t>
      </w:r>
      <w:r>
        <w:rPr>
          <w:rFonts w:hint="eastAsia" w:ascii="宋体" w:hAnsi="宋体"/>
          <w:color w:val="auto"/>
          <w:sz w:val="24"/>
          <w:szCs w:val="24"/>
          <w:highlight w:val="none"/>
        </w:rPr>
        <w:t xml:space="preserve"> 本条款为《广州市住宅工程质量潜在缺陷保险》（以下简称主险）的附加险条款，只有在投保主险的基础上，投保人方可投保本附加险。</w:t>
      </w:r>
    </w:p>
    <w:p w14:paraId="57151065">
      <w:pPr>
        <w:tabs>
          <w:tab w:val="left" w:pos="1276"/>
        </w:tabs>
        <w:snapToGrid w:val="0"/>
        <w:spacing w:line="360" w:lineRule="auto"/>
        <w:jc w:val="center"/>
        <w:rPr>
          <w:rFonts w:ascii="宋体" w:hAnsi="宋体"/>
          <w:color w:val="auto"/>
          <w:sz w:val="24"/>
          <w:szCs w:val="24"/>
          <w:highlight w:val="none"/>
        </w:rPr>
      </w:pPr>
      <w:r>
        <w:rPr>
          <w:rFonts w:hint="eastAsia" w:ascii="宋体" w:hAnsi="宋体"/>
          <w:b/>
          <w:color w:val="auto"/>
          <w:sz w:val="24"/>
          <w:szCs w:val="24"/>
          <w:highlight w:val="none"/>
        </w:rPr>
        <w:t>保险责任</w:t>
      </w:r>
    </w:p>
    <w:p w14:paraId="76CFA3B0">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第二条</w:t>
      </w:r>
      <w:r>
        <w:rPr>
          <w:rFonts w:hint="eastAsia" w:ascii="宋体" w:hAnsi="宋体"/>
          <w:color w:val="auto"/>
          <w:sz w:val="24"/>
          <w:szCs w:val="24"/>
          <w:highlight w:val="none"/>
        </w:rPr>
        <w:t xml:space="preserve"> 在本附加险保险责任期间内，保险单载明的建设工程在正常使用条件下，因建筑装饰装修工程存在潜在质量缺陷而造成保险单载明的建设工程损坏的，保险人按照主险和本附加险的约定负责赔偿修理、加固或重置的费用。</w:t>
      </w:r>
    </w:p>
    <w:p w14:paraId="2219C729">
      <w:pPr>
        <w:tabs>
          <w:tab w:val="left" w:pos="1276"/>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附加险中“建筑装饰装修”指建设单位对保险单载明的建设工程按销售合同约定提供，为保护建筑物的主体结构、完善建筑物的使用功能和美化建筑物，采用装饰装修材料或饰物，对建筑物的内外表面及空间进行的各种处理过程。</w:t>
      </w:r>
    </w:p>
    <w:p w14:paraId="1B3B5590">
      <w:pPr>
        <w:tabs>
          <w:tab w:val="left" w:pos="1418"/>
        </w:tabs>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责任免除</w:t>
      </w:r>
    </w:p>
    <w:p w14:paraId="16457B38">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第三条 本附加险合同生效后，未经保险人书面同意擅自改动保险单载明的建设工程建筑装饰装修工程的，保险人不负责赔偿。</w:t>
      </w:r>
    </w:p>
    <w:p w14:paraId="2A401269">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第四条 本附加险保险事故发生后，被保险人未经必要维修继续使用原建筑装饰装修工程致使损失扩大的，保险人对于损失扩大的部分不负责赔偿。</w:t>
      </w:r>
    </w:p>
    <w:p w14:paraId="2932B9AA">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第五条 设备、配件产品质量缺陷所产生的损失，保险人不负责赔偿。</w:t>
      </w:r>
    </w:p>
    <w:p w14:paraId="72F6490F">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第六条 保险单载明的免赔额或者按照保险单载明的免赔率计算的免赔额，保险人不负责赔偿。</w:t>
      </w:r>
    </w:p>
    <w:p w14:paraId="029FC1DD">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第七条 主险中的责任免除事项，未列入本附加险保险责任的，也适用于本附加险。</w:t>
      </w:r>
    </w:p>
    <w:p w14:paraId="08D3618B">
      <w:pPr>
        <w:tabs>
          <w:tab w:val="left" w:pos="1418"/>
        </w:tabs>
        <w:adjustRightInd w:val="0"/>
        <w:snapToGrid w:val="0"/>
        <w:spacing w:line="360" w:lineRule="auto"/>
        <w:jc w:val="center"/>
        <w:rPr>
          <w:rFonts w:ascii="宋体" w:hAnsi="宋体"/>
          <w:color w:val="auto"/>
          <w:sz w:val="24"/>
          <w:szCs w:val="24"/>
          <w:highlight w:val="none"/>
        </w:rPr>
      </w:pPr>
      <w:r>
        <w:rPr>
          <w:rFonts w:hint="eastAsia" w:ascii="宋体" w:hAnsi="宋体"/>
          <w:b/>
          <w:color w:val="auto"/>
          <w:sz w:val="24"/>
          <w:szCs w:val="24"/>
          <w:highlight w:val="none"/>
        </w:rPr>
        <w:t>免赔额（率）</w:t>
      </w:r>
    </w:p>
    <w:p w14:paraId="1061F4BA">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第八条 本附加险免赔额（率）由投保人与保险人在订立本合同时协商确定，并在保险单中载明。</w:t>
      </w:r>
    </w:p>
    <w:p w14:paraId="2DA32A6F">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同时约定了免赔额和免赔率的，免赔金额以免赔额和按照免赔率计算的金额二者高者为准。</w:t>
      </w:r>
    </w:p>
    <w:p w14:paraId="082AD013">
      <w:pPr>
        <w:tabs>
          <w:tab w:val="left" w:pos="1276"/>
          <w:tab w:val="left" w:pos="1418"/>
        </w:tabs>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保险期间、保险责任期间与等待期</w:t>
      </w:r>
    </w:p>
    <w:p w14:paraId="56457C01">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第九条</w:t>
      </w:r>
      <w:r>
        <w:rPr>
          <w:rFonts w:hint="eastAsia" w:ascii="宋体" w:hAnsi="宋体"/>
          <w:color w:val="auto"/>
          <w:sz w:val="24"/>
          <w:szCs w:val="24"/>
          <w:highlight w:val="none"/>
        </w:rPr>
        <w:t xml:space="preserve"> 保险期间自本保险合同生效之日起算。除另有约定外，保险责任期间为自保险单载明的建设工程竣工验收合格后等待期届满之日起两年，保险期间和保险责任期间以保险单载明的起讫时间为准。</w:t>
      </w:r>
    </w:p>
    <w:p w14:paraId="056AAD5E">
      <w:pPr>
        <w:tabs>
          <w:tab w:val="left" w:pos="1276"/>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等待期指自保险单载明的建设工程竣工验收合格之日起，至投保人和保险人协商确定的时间止，以保险单载明的起讫时间为准。</w:t>
      </w:r>
    </w:p>
    <w:p w14:paraId="26E5AA3A">
      <w:pPr>
        <w:tabs>
          <w:tab w:val="left" w:pos="1418"/>
        </w:tabs>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主险与附加险关系</w:t>
      </w:r>
    </w:p>
    <w:p w14:paraId="7FE9B221">
      <w:pPr>
        <w:tabs>
          <w:tab w:val="left" w:pos="1418"/>
          <w:tab w:val="left" w:pos="1560"/>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第十条</w:t>
      </w:r>
      <w:r>
        <w:rPr>
          <w:rFonts w:hint="eastAsia" w:ascii="宋体" w:hAnsi="宋体"/>
          <w:color w:val="auto"/>
          <w:sz w:val="24"/>
          <w:szCs w:val="24"/>
          <w:highlight w:val="none"/>
        </w:rPr>
        <w:t xml:space="preserve"> 凡涉及本附加险合同的约定，均应采用书面形式。主险合同与本附加险合同相抵触之处，以本附加险合同为准；本附加险合同未约定事项，以主险合同为准。主险合同效力终止，本附加险合同效力亦同时终止；主险合同无效，本附加险合同亦无效。</w:t>
      </w:r>
    </w:p>
    <w:p w14:paraId="4FFB2156">
      <w:pPr>
        <w:pStyle w:val="3"/>
        <w:spacing w:line="360" w:lineRule="auto"/>
        <w:rPr>
          <w:rFonts w:ascii="宋体" w:hAnsi="宋体" w:eastAsia="宋体"/>
          <w:bCs w:val="0"/>
          <w:color w:val="auto"/>
          <w:sz w:val="24"/>
          <w:szCs w:val="24"/>
          <w:highlight w:val="none"/>
        </w:rPr>
      </w:pPr>
      <w:r>
        <w:rPr>
          <w:rFonts w:ascii="宋体" w:hAnsi="宋体" w:eastAsia="宋体"/>
          <w:color w:val="auto"/>
          <w:sz w:val="24"/>
          <w:szCs w:val="24"/>
          <w:highlight w:val="none"/>
        </w:rPr>
        <w:br w:type="page"/>
      </w:r>
      <w:bookmarkStart w:id="20" w:name="_Toc69144552"/>
      <w:bookmarkStart w:id="21" w:name="_Toc68876539"/>
      <w:r>
        <w:rPr>
          <w:rFonts w:hint="eastAsia" w:ascii="宋体" w:hAnsi="宋体" w:eastAsia="宋体"/>
          <w:bCs w:val="0"/>
          <w:color w:val="auto"/>
          <w:sz w:val="24"/>
          <w:szCs w:val="24"/>
          <w:highlight w:val="none"/>
        </w:rPr>
        <w:t>2</w:t>
      </w:r>
      <w:r>
        <w:rPr>
          <w:rFonts w:ascii="宋体" w:hAnsi="宋体" w:eastAsia="宋体"/>
          <w:bCs w:val="0"/>
          <w:color w:val="auto"/>
          <w:sz w:val="24"/>
          <w:szCs w:val="24"/>
          <w:highlight w:val="none"/>
        </w:rPr>
        <w:t xml:space="preserve">. </w:t>
      </w:r>
      <w:r>
        <w:rPr>
          <w:rFonts w:hint="eastAsia" w:ascii="宋体" w:hAnsi="宋体" w:eastAsia="宋体"/>
          <w:bCs w:val="0"/>
          <w:color w:val="auto"/>
          <w:sz w:val="24"/>
          <w:szCs w:val="24"/>
          <w:highlight w:val="none"/>
        </w:rPr>
        <w:t>建筑给水排水及供暖工程保险条款</w:t>
      </w:r>
      <w:bookmarkEnd w:id="20"/>
      <w:bookmarkEnd w:id="21"/>
    </w:p>
    <w:p w14:paraId="55BC3EAF">
      <w:pPr>
        <w:autoSpaceDE w:val="0"/>
        <w:autoSpaceDN w:val="0"/>
        <w:adjustRightIn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广州市工程质量潜在缺陷保险</w:t>
      </w:r>
    </w:p>
    <w:p w14:paraId="32A6FBE4">
      <w:pPr>
        <w:autoSpaceDE w:val="0"/>
        <w:autoSpaceDN w:val="0"/>
        <w:adjustRightIn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附加建筑给水排水及供暖工程保险条款</w:t>
      </w:r>
    </w:p>
    <w:p w14:paraId="30A19847">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总则</w:t>
      </w:r>
    </w:p>
    <w:p w14:paraId="5CB601FF">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 xml:space="preserve">第一条 </w:t>
      </w:r>
      <w:r>
        <w:rPr>
          <w:rFonts w:hint="eastAsia" w:ascii="宋体" w:hAnsi="宋体"/>
          <w:color w:val="auto"/>
          <w:sz w:val="24"/>
          <w:szCs w:val="24"/>
          <w:highlight w:val="none"/>
        </w:rPr>
        <w:t>本条款为《广州市住宅工程质量潜在缺陷保险》（以下简称主险）的附加险条款，只有在投保主险的基础上，投保人方可投保本附加险。</w:t>
      </w:r>
    </w:p>
    <w:p w14:paraId="5F8EBD84">
      <w:pPr>
        <w:tabs>
          <w:tab w:val="left" w:pos="1276"/>
        </w:tabs>
        <w:snapToGrid w:val="0"/>
        <w:spacing w:line="360" w:lineRule="auto"/>
        <w:ind w:left="851"/>
        <w:jc w:val="center"/>
        <w:rPr>
          <w:rFonts w:ascii="宋体" w:hAnsi="宋体"/>
          <w:color w:val="auto"/>
          <w:sz w:val="24"/>
          <w:szCs w:val="24"/>
          <w:highlight w:val="none"/>
        </w:rPr>
      </w:pPr>
      <w:r>
        <w:rPr>
          <w:rFonts w:hint="eastAsia" w:ascii="宋体" w:hAnsi="宋体"/>
          <w:b/>
          <w:color w:val="auto"/>
          <w:sz w:val="24"/>
          <w:szCs w:val="24"/>
          <w:highlight w:val="none"/>
        </w:rPr>
        <w:t>保险责任</w:t>
      </w:r>
    </w:p>
    <w:p w14:paraId="40C439E4">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 xml:space="preserve">第二条 </w:t>
      </w:r>
      <w:r>
        <w:rPr>
          <w:rFonts w:hint="eastAsia" w:ascii="宋体" w:hAnsi="宋体"/>
          <w:color w:val="auto"/>
          <w:sz w:val="24"/>
          <w:szCs w:val="24"/>
          <w:highlight w:val="none"/>
        </w:rPr>
        <w:t>在本附加险保险责任期间内，保险单载明的建设工程在正常使用条件下，因建筑给水排水及供暖工程存在潜在质量缺陷而造成保险单载明的建设工程损坏的，保险人按照主险和本附加险的约定负责赔偿修理、加固或重置的费用。</w:t>
      </w:r>
    </w:p>
    <w:p w14:paraId="4F7E096E">
      <w:pPr>
        <w:widowControl/>
        <w:tabs>
          <w:tab w:val="left" w:pos="1276"/>
        </w:tabs>
        <w:adjustRightInd w:val="0"/>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本附加险中“建筑给水排水及供暖工程”指建设单位对保险单载明的建设工程按销售合同提供</w:t>
      </w:r>
      <w:r>
        <w:rPr>
          <w:rFonts w:hint="eastAsia" w:ascii="宋体" w:hAnsi="宋体"/>
          <w:color w:val="auto"/>
          <w:sz w:val="24"/>
          <w:szCs w:val="24"/>
          <w:highlight w:val="none"/>
        </w:rPr>
        <w:t>的以下系统：</w:t>
      </w:r>
    </w:p>
    <w:p w14:paraId="76F640FD">
      <w:pPr>
        <w:widowControl/>
        <w:tabs>
          <w:tab w:val="left" w:pos="1276"/>
        </w:tabs>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给水系统：通过管道及辅助设备，按照建筑物和用户的生产、生活和消防的需要，有组织的输送到用水地点的网络。</w:t>
      </w:r>
    </w:p>
    <w:p w14:paraId="0FB2393D">
      <w:pPr>
        <w:widowControl/>
        <w:tabs>
          <w:tab w:val="left" w:pos="1276"/>
        </w:tabs>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排水系统：通过管道及辅助设备，把屋面雨水及生活和生产过程所产生的污水、废水及时排放出去的网络。</w:t>
      </w:r>
    </w:p>
    <w:p w14:paraId="39BC4331">
      <w:pPr>
        <w:widowControl/>
        <w:tabs>
          <w:tab w:val="left" w:pos="1276"/>
        </w:tabs>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热水系统（含供暖系统）：为满足人们在生活和生产过程中对水温的某些特定要求而由管道及辅助设备组成的输送热水的网络。</w:t>
      </w:r>
    </w:p>
    <w:p w14:paraId="2DC98F97">
      <w:pPr>
        <w:tabs>
          <w:tab w:val="left" w:pos="1276"/>
        </w:tabs>
        <w:adjustRightInd w:val="0"/>
        <w:snapToGrid w:val="0"/>
        <w:spacing w:line="360" w:lineRule="auto"/>
        <w:ind w:left="851"/>
        <w:jc w:val="center"/>
        <w:rPr>
          <w:rFonts w:ascii="宋体" w:hAnsi="宋体"/>
          <w:b/>
          <w:color w:val="auto"/>
          <w:sz w:val="24"/>
          <w:szCs w:val="24"/>
          <w:highlight w:val="none"/>
        </w:rPr>
      </w:pPr>
      <w:r>
        <w:rPr>
          <w:rFonts w:hint="eastAsia" w:ascii="宋体" w:hAnsi="宋体"/>
          <w:b/>
          <w:color w:val="auto"/>
          <w:sz w:val="24"/>
          <w:szCs w:val="24"/>
          <w:highlight w:val="none"/>
        </w:rPr>
        <w:t>责任免除</w:t>
      </w:r>
    </w:p>
    <w:p w14:paraId="093F68CA">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第三条 本附加险合同生效后，未经保险人书面同意擅自改动保险单载明的建设工程建筑给水排水及供暖工程的，保险人不负责赔偿。</w:t>
      </w:r>
    </w:p>
    <w:p w14:paraId="699CE3B4">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第四条 本附加险保险事故发生后，被保险人未经必要修理继续使用原给水排水及供暖工程致使损失扩大的，保险人对于损失扩大的部分不负责赔偿。</w:t>
      </w:r>
    </w:p>
    <w:p w14:paraId="24DE5F31">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第五条 设备、配件产品质量缺陷所产生的损失，保险人不负责赔偿。</w:t>
      </w:r>
    </w:p>
    <w:p w14:paraId="0E77698A">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第六条 保险单载明的免赔额或者按照保险单载明的免赔率计算的免赔额，保险人不负责赔偿。</w:t>
      </w:r>
    </w:p>
    <w:p w14:paraId="1E23194C">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第七条 主险中的责任免除事项，未列入本附加险保险责任的，也适用于本附加险。</w:t>
      </w:r>
    </w:p>
    <w:p w14:paraId="3EAA3B14">
      <w:pPr>
        <w:tabs>
          <w:tab w:val="left" w:pos="1418"/>
        </w:tabs>
        <w:adjustRightInd w:val="0"/>
        <w:snapToGrid w:val="0"/>
        <w:spacing w:line="360" w:lineRule="auto"/>
        <w:ind w:left="851"/>
        <w:jc w:val="center"/>
        <w:rPr>
          <w:rFonts w:ascii="宋体" w:hAnsi="宋体"/>
          <w:color w:val="auto"/>
          <w:sz w:val="24"/>
          <w:szCs w:val="24"/>
          <w:highlight w:val="none"/>
        </w:rPr>
      </w:pPr>
      <w:r>
        <w:rPr>
          <w:rFonts w:hint="eastAsia" w:ascii="宋体" w:hAnsi="宋体"/>
          <w:b/>
          <w:color w:val="auto"/>
          <w:sz w:val="24"/>
          <w:szCs w:val="24"/>
          <w:highlight w:val="none"/>
        </w:rPr>
        <w:t>免赔额（率）</w:t>
      </w:r>
    </w:p>
    <w:p w14:paraId="5D233016">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第八条 本附加险免赔额（率）由投保人与保险人在订立本合同时协商确定，并在保险单中载明。</w:t>
      </w:r>
    </w:p>
    <w:p w14:paraId="07AD390C">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同时约定了免赔额和免赔率的，免赔金额以免赔额和按照免赔率计算的金额二者高者为准。</w:t>
      </w:r>
    </w:p>
    <w:p w14:paraId="200E4204">
      <w:pPr>
        <w:tabs>
          <w:tab w:val="left" w:pos="1276"/>
        </w:tabs>
        <w:adjustRightInd w:val="0"/>
        <w:snapToGrid w:val="0"/>
        <w:spacing w:line="360" w:lineRule="auto"/>
        <w:ind w:firstLine="482" w:firstLineChars="200"/>
        <w:jc w:val="center"/>
        <w:rPr>
          <w:rFonts w:ascii="宋体" w:hAnsi="宋体"/>
          <w:b/>
          <w:color w:val="auto"/>
          <w:sz w:val="24"/>
          <w:szCs w:val="24"/>
          <w:highlight w:val="none"/>
        </w:rPr>
      </w:pPr>
      <w:r>
        <w:rPr>
          <w:rFonts w:hint="eastAsia" w:ascii="宋体" w:hAnsi="宋体"/>
          <w:b/>
          <w:color w:val="auto"/>
          <w:sz w:val="24"/>
          <w:szCs w:val="24"/>
          <w:highlight w:val="none"/>
        </w:rPr>
        <w:t>保险期间、保险责任期间与等待期</w:t>
      </w:r>
    </w:p>
    <w:p w14:paraId="3D86C006">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第九条</w:t>
      </w:r>
      <w:r>
        <w:rPr>
          <w:rFonts w:hint="eastAsia" w:ascii="宋体" w:hAnsi="宋体"/>
          <w:color w:val="auto"/>
          <w:sz w:val="24"/>
          <w:szCs w:val="24"/>
          <w:highlight w:val="none"/>
        </w:rPr>
        <w:t xml:space="preserve"> 保险期间自本保险合同生效之日起算。除另有约定外，保险责任期间为自保险单载明的建设工程竣工验收合格后等待期届满之日起两年，保险期间和保险责任期间以保险单载明的起讫时间为准。</w:t>
      </w:r>
    </w:p>
    <w:p w14:paraId="020EE359">
      <w:pPr>
        <w:tabs>
          <w:tab w:val="left" w:pos="1276"/>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等待期指自保险单载明的建设工程竣工验收合格之日起，至投保人和保险人协商确定的时间止，以保险单载明的起讫时间为准。</w:t>
      </w:r>
    </w:p>
    <w:p w14:paraId="03F746F3">
      <w:pPr>
        <w:tabs>
          <w:tab w:val="left" w:pos="1418"/>
        </w:tabs>
        <w:adjustRightInd w:val="0"/>
        <w:snapToGrid w:val="0"/>
        <w:spacing w:line="360" w:lineRule="auto"/>
        <w:ind w:left="851"/>
        <w:jc w:val="center"/>
        <w:rPr>
          <w:rFonts w:ascii="宋体" w:hAnsi="宋体"/>
          <w:b/>
          <w:color w:val="auto"/>
          <w:sz w:val="24"/>
          <w:szCs w:val="24"/>
          <w:highlight w:val="none"/>
        </w:rPr>
      </w:pPr>
      <w:r>
        <w:rPr>
          <w:rFonts w:hint="eastAsia" w:ascii="宋体" w:hAnsi="宋体"/>
          <w:b/>
          <w:color w:val="auto"/>
          <w:sz w:val="24"/>
          <w:szCs w:val="24"/>
          <w:highlight w:val="none"/>
        </w:rPr>
        <w:t>主险与附加险关系</w:t>
      </w:r>
    </w:p>
    <w:p w14:paraId="56A54515">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第十条</w:t>
      </w:r>
      <w:r>
        <w:rPr>
          <w:rFonts w:hint="eastAsia" w:ascii="宋体" w:hAnsi="宋体"/>
          <w:color w:val="auto"/>
          <w:sz w:val="24"/>
          <w:szCs w:val="24"/>
          <w:highlight w:val="none"/>
        </w:rPr>
        <w:t xml:space="preserve"> 凡涉及本附加险合同的约定，均应采用书面形式。主险合同与本附加险合同相抵触之处，以本附加险合同为准；本附加险合同未约定事项，以主险合同为准。主险合同效力终止，本附加险合同效力亦同时终止；主险合同无效，本附加险合同亦无效。</w:t>
      </w:r>
    </w:p>
    <w:p w14:paraId="039E97AD">
      <w:pPr>
        <w:widowControl/>
        <w:spacing w:line="360" w:lineRule="auto"/>
        <w:jc w:val="left"/>
        <w:rPr>
          <w:rFonts w:ascii="宋体" w:hAnsi="宋体"/>
          <w:b/>
          <w:bCs/>
          <w:color w:val="auto"/>
          <w:sz w:val="24"/>
          <w:szCs w:val="24"/>
          <w:highlight w:val="none"/>
        </w:rPr>
      </w:pPr>
      <w:r>
        <w:rPr>
          <w:rFonts w:ascii="宋体" w:hAnsi="宋体"/>
          <w:b/>
          <w:bCs/>
          <w:color w:val="auto"/>
          <w:sz w:val="24"/>
          <w:szCs w:val="24"/>
          <w:highlight w:val="none"/>
        </w:rPr>
        <w:br w:type="page"/>
      </w:r>
    </w:p>
    <w:p w14:paraId="263ACFB0">
      <w:pPr>
        <w:pStyle w:val="3"/>
        <w:spacing w:line="360" w:lineRule="auto"/>
        <w:rPr>
          <w:rFonts w:ascii="宋体" w:hAnsi="宋体" w:eastAsia="宋体"/>
          <w:bCs w:val="0"/>
          <w:color w:val="auto"/>
          <w:sz w:val="24"/>
          <w:szCs w:val="24"/>
          <w:highlight w:val="none"/>
        </w:rPr>
      </w:pPr>
      <w:bookmarkStart w:id="22" w:name="_Toc69144553"/>
      <w:bookmarkStart w:id="23" w:name="_Toc68876540"/>
      <w:r>
        <w:rPr>
          <w:rFonts w:hint="eastAsia" w:ascii="宋体" w:hAnsi="宋体" w:eastAsia="宋体"/>
          <w:bCs w:val="0"/>
          <w:color w:val="auto"/>
          <w:sz w:val="24"/>
          <w:szCs w:val="24"/>
          <w:highlight w:val="none"/>
        </w:rPr>
        <w:t>3</w:t>
      </w:r>
      <w:r>
        <w:rPr>
          <w:rFonts w:ascii="宋体" w:hAnsi="宋体" w:eastAsia="宋体"/>
          <w:bCs w:val="0"/>
          <w:color w:val="auto"/>
          <w:sz w:val="24"/>
          <w:szCs w:val="24"/>
          <w:highlight w:val="none"/>
        </w:rPr>
        <w:t xml:space="preserve">. </w:t>
      </w:r>
      <w:r>
        <w:rPr>
          <w:rFonts w:hint="eastAsia" w:ascii="宋体" w:hAnsi="宋体" w:eastAsia="宋体"/>
          <w:bCs w:val="0"/>
          <w:color w:val="auto"/>
          <w:sz w:val="24"/>
          <w:szCs w:val="24"/>
          <w:highlight w:val="none"/>
        </w:rPr>
        <w:t>通风与空调工程保险条款</w:t>
      </w:r>
      <w:bookmarkEnd w:id="22"/>
      <w:bookmarkEnd w:id="23"/>
    </w:p>
    <w:p w14:paraId="6C26D500">
      <w:pPr>
        <w:autoSpaceDE w:val="0"/>
        <w:autoSpaceDN w:val="0"/>
        <w:adjustRightIn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广州市工程质量潜在缺陷保险</w:t>
      </w:r>
    </w:p>
    <w:p w14:paraId="35DD5A1B">
      <w:pPr>
        <w:autoSpaceDE w:val="0"/>
        <w:autoSpaceDN w:val="0"/>
        <w:adjustRightIn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附加通风与空调工程保险条款</w:t>
      </w:r>
    </w:p>
    <w:p w14:paraId="3A56FA24">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总则</w:t>
      </w:r>
    </w:p>
    <w:p w14:paraId="299FA8CD">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 xml:space="preserve">第一条 </w:t>
      </w:r>
      <w:r>
        <w:rPr>
          <w:rFonts w:hint="eastAsia" w:ascii="宋体" w:hAnsi="宋体"/>
          <w:color w:val="auto"/>
          <w:sz w:val="24"/>
          <w:szCs w:val="24"/>
          <w:highlight w:val="none"/>
        </w:rPr>
        <w:t>本条款为《广州市住宅工程质量潜在缺陷保险》（以下简称主险）的附加险条款，只有在投保主险的基础上，投保人方可投保本附加险。</w:t>
      </w:r>
    </w:p>
    <w:p w14:paraId="0599BCD9">
      <w:pPr>
        <w:tabs>
          <w:tab w:val="left" w:pos="1276"/>
        </w:tabs>
        <w:adjustRightInd w:val="0"/>
        <w:snapToGrid w:val="0"/>
        <w:spacing w:line="360" w:lineRule="auto"/>
        <w:ind w:firstLine="482" w:firstLineChars="200"/>
        <w:jc w:val="center"/>
        <w:rPr>
          <w:rFonts w:ascii="宋体" w:hAnsi="宋体"/>
          <w:color w:val="auto"/>
          <w:sz w:val="24"/>
          <w:szCs w:val="24"/>
          <w:highlight w:val="none"/>
        </w:rPr>
      </w:pPr>
      <w:r>
        <w:rPr>
          <w:rFonts w:hint="eastAsia" w:ascii="宋体" w:hAnsi="宋体"/>
          <w:b/>
          <w:color w:val="auto"/>
          <w:sz w:val="24"/>
          <w:szCs w:val="24"/>
          <w:highlight w:val="none"/>
        </w:rPr>
        <w:t>保险责任</w:t>
      </w:r>
    </w:p>
    <w:p w14:paraId="52491D68">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 xml:space="preserve">第二条 </w:t>
      </w:r>
      <w:r>
        <w:rPr>
          <w:rFonts w:hint="eastAsia" w:ascii="宋体" w:hAnsi="宋体"/>
          <w:color w:val="auto"/>
          <w:sz w:val="24"/>
          <w:szCs w:val="24"/>
          <w:highlight w:val="none"/>
        </w:rPr>
        <w:t>在本附加险保险责任期间内，保险单载明的建设工程在正常使用条件下，因通风与空调工程存在潜在质量缺陷而造成保险单载明的建设工程损坏的，保险人按照主险和本附加险的约定负责赔偿修理、加固或重置的费用。</w:t>
      </w:r>
    </w:p>
    <w:p w14:paraId="3AFA871E">
      <w:pPr>
        <w:widowControl/>
        <w:tabs>
          <w:tab w:val="left" w:pos="1276"/>
        </w:tabs>
        <w:adjustRightInd w:val="0"/>
        <w:snapToGrid w:val="0"/>
        <w:spacing w:line="360" w:lineRule="auto"/>
        <w:ind w:firstLine="480" w:firstLineChars="200"/>
        <w:jc w:val="left"/>
        <w:rPr>
          <w:rFonts w:ascii="宋体" w:hAnsi="宋体"/>
          <w:bCs/>
          <w:color w:val="auto"/>
          <w:sz w:val="24"/>
          <w:szCs w:val="24"/>
          <w:highlight w:val="none"/>
        </w:rPr>
      </w:pPr>
      <w:r>
        <w:rPr>
          <w:rFonts w:ascii="宋体" w:hAnsi="宋体"/>
          <w:bCs/>
          <w:color w:val="auto"/>
          <w:sz w:val="24"/>
          <w:szCs w:val="24"/>
          <w:highlight w:val="none"/>
        </w:rPr>
        <w:t>本附加险中“通风与空调工程”指建设单位对保险单载明的建设工程按销售合同约定提供的，</w:t>
      </w:r>
      <w:r>
        <w:rPr>
          <w:rFonts w:hint="eastAsia" w:ascii="宋体" w:hAnsi="宋体"/>
          <w:bCs/>
          <w:color w:val="auto"/>
          <w:sz w:val="24"/>
          <w:szCs w:val="24"/>
          <w:highlight w:val="none"/>
        </w:rPr>
        <w:t>应用于建筑内部的送风系统、排风系统、防排烟系统、除尘和气力输送系统、舒适性空调系统、恒温恒湿空调系统、洁净室空气净化、空气调节系统工程的总称。</w:t>
      </w:r>
    </w:p>
    <w:p w14:paraId="067C70A8">
      <w:pPr>
        <w:tabs>
          <w:tab w:val="left" w:pos="1276"/>
        </w:tabs>
        <w:adjustRightInd w:val="0"/>
        <w:snapToGrid w:val="0"/>
        <w:spacing w:line="360" w:lineRule="auto"/>
        <w:ind w:firstLine="482" w:firstLineChars="200"/>
        <w:jc w:val="center"/>
        <w:rPr>
          <w:rFonts w:ascii="宋体" w:hAnsi="宋体"/>
          <w:b/>
          <w:color w:val="auto"/>
          <w:sz w:val="24"/>
          <w:szCs w:val="24"/>
          <w:highlight w:val="none"/>
        </w:rPr>
      </w:pPr>
      <w:r>
        <w:rPr>
          <w:rFonts w:hint="eastAsia" w:ascii="宋体" w:hAnsi="宋体"/>
          <w:b/>
          <w:color w:val="auto"/>
          <w:sz w:val="24"/>
          <w:szCs w:val="24"/>
          <w:highlight w:val="none"/>
        </w:rPr>
        <w:t>责任免除</w:t>
      </w:r>
    </w:p>
    <w:p w14:paraId="30F210B6">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第三条 本附加险合同生效后，未经保险人书面同意擅自改动保险单载明的建设工程通风与空调工程的，保险人不负责赔偿。</w:t>
      </w:r>
    </w:p>
    <w:p w14:paraId="4069E5E1">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第四条 本附加险保险事故发生后，被保险人未经必要修理继续使用原通风与空调工程致使损失扩大的，保险人对于损失扩大的部分不负责赔偿。</w:t>
      </w:r>
    </w:p>
    <w:p w14:paraId="7C28E909">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第五条 设备、配件产品质量缺陷所产生的损失，保险人不负责赔偿。</w:t>
      </w:r>
    </w:p>
    <w:p w14:paraId="3858F0FA">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第六条 保险单载明的免赔额或者按照保险单载明的免赔率计算的免赔额，保险人不负责赔偿。</w:t>
      </w:r>
    </w:p>
    <w:p w14:paraId="110E865F">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第七条 主险中的责任免除事项，未列入本附加险保险责任的，也适用于本附加险。</w:t>
      </w:r>
    </w:p>
    <w:p w14:paraId="0D7028C6">
      <w:pPr>
        <w:tabs>
          <w:tab w:val="left" w:pos="1418"/>
        </w:tabs>
        <w:adjustRightInd w:val="0"/>
        <w:snapToGrid w:val="0"/>
        <w:spacing w:line="360" w:lineRule="auto"/>
        <w:jc w:val="center"/>
        <w:rPr>
          <w:rFonts w:ascii="宋体" w:hAnsi="宋体"/>
          <w:color w:val="auto"/>
          <w:sz w:val="24"/>
          <w:szCs w:val="24"/>
          <w:highlight w:val="none"/>
        </w:rPr>
      </w:pPr>
      <w:r>
        <w:rPr>
          <w:rFonts w:hint="eastAsia" w:ascii="宋体" w:hAnsi="宋体"/>
          <w:b/>
          <w:color w:val="auto"/>
          <w:sz w:val="24"/>
          <w:szCs w:val="24"/>
          <w:highlight w:val="none"/>
        </w:rPr>
        <w:t>免赔额（率）</w:t>
      </w:r>
    </w:p>
    <w:p w14:paraId="330512D3">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第八条 本附加险免赔额（率）由投保人与保险人在订立本合同时协商确定，并在保险单中载明。</w:t>
      </w:r>
    </w:p>
    <w:p w14:paraId="3ECD7209">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同时约定了免赔额和免赔率的，免赔金额以免赔额和按照免赔率计算的金额二者高者为准。</w:t>
      </w:r>
    </w:p>
    <w:p w14:paraId="712EE0E5">
      <w:pPr>
        <w:tabs>
          <w:tab w:val="left" w:pos="1276"/>
        </w:tabs>
        <w:adjustRightInd w:val="0"/>
        <w:snapToGrid w:val="0"/>
        <w:spacing w:line="360" w:lineRule="auto"/>
        <w:ind w:firstLine="482" w:firstLineChars="200"/>
        <w:jc w:val="center"/>
        <w:rPr>
          <w:rFonts w:ascii="宋体" w:hAnsi="宋体"/>
          <w:b/>
          <w:color w:val="auto"/>
          <w:sz w:val="24"/>
          <w:szCs w:val="24"/>
          <w:highlight w:val="none"/>
        </w:rPr>
      </w:pPr>
      <w:r>
        <w:rPr>
          <w:rFonts w:hint="eastAsia" w:ascii="宋体" w:hAnsi="宋体"/>
          <w:b/>
          <w:color w:val="auto"/>
          <w:sz w:val="24"/>
          <w:szCs w:val="24"/>
          <w:highlight w:val="none"/>
        </w:rPr>
        <w:t>保险期间、保险责任期间与等待期</w:t>
      </w:r>
    </w:p>
    <w:p w14:paraId="7568DD31">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 xml:space="preserve">第九条 </w:t>
      </w:r>
      <w:r>
        <w:rPr>
          <w:rFonts w:hint="eastAsia" w:ascii="宋体" w:hAnsi="宋体"/>
          <w:color w:val="auto"/>
          <w:sz w:val="24"/>
          <w:szCs w:val="24"/>
          <w:highlight w:val="none"/>
        </w:rPr>
        <w:t>保险期间自本保险合同生效之日起算。除另有约定外，保险责任期间为自保险单载明的建设工程竣工验收合格后等待期届满之日起两年，保险期间和保险责任期间以保险单载明的起讫时间为准。</w:t>
      </w:r>
    </w:p>
    <w:p w14:paraId="09618CA4">
      <w:pPr>
        <w:tabs>
          <w:tab w:val="left" w:pos="1276"/>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等待期指自保险单载明的建设工程竣工验收合格之日起，至投保人和保险人协商确定的时间止，以保险单载明的起讫时间为准。</w:t>
      </w:r>
    </w:p>
    <w:p w14:paraId="4EC9654C">
      <w:pPr>
        <w:tabs>
          <w:tab w:val="left" w:pos="1418"/>
        </w:tabs>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主险与附加险关系</w:t>
      </w:r>
    </w:p>
    <w:p w14:paraId="350614F5">
      <w:pPr>
        <w:widowControl/>
        <w:tabs>
          <w:tab w:val="left" w:pos="1276"/>
        </w:tabs>
        <w:adjustRightInd w:val="0"/>
        <w:snapToGrid w:val="0"/>
        <w:spacing w:line="360" w:lineRule="auto"/>
        <w:ind w:firstLine="482" w:firstLineChars="200"/>
        <w:jc w:val="left"/>
        <w:rPr>
          <w:rFonts w:ascii="宋体" w:hAnsi="宋体"/>
          <w:color w:val="auto"/>
          <w:sz w:val="24"/>
          <w:szCs w:val="24"/>
          <w:highlight w:val="none"/>
        </w:rPr>
      </w:pPr>
      <w:r>
        <w:rPr>
          <w:rFonts w:hint="eastAsia" w:ascii="宋体" w:hAnsi="宋体"/>
          <w:b/>
          <w:color w:val="auto"/>
          <w:sz w:val="24"/>
          <w:szCs w:val="24"/>
          <w:highlight w:val="none"/>
        </w:rPr>
        <w:t xml:space="preserve">第十条 </w:t>
      </w:r>
      <w:r>
        <w:rPr>
          <w:rFonts w:hint="eastAsia" w:ascii="宋体" w:hAnsi="宋体"/>
          <w:color w:val="auto"/>
          <w:sz w:val="24"/>
          <w:szCs w:val="24"/>
          <w:highlight w:val="none"/>
        </w:rPr>
        <w:t>凡涉及本附加险合同的约定，均应采用书面形式。主险合同与本附加险合同相抵触之处，以本附加险合同为准；本附加险合同未约定事项，以主险合同为准。主险合同效力终止，本附加险合同效力亦同时终止；主险合同无效，本附加险合同亦无效。</w:t>
      </w:r>
    </w:p>
    <w:p w14:paraId="1990A208">
      <w:pPr>
        <w:widowControl/>
        <w:spacing w:line="360" w:lineRule="auto"/>
        <w:jc w:val="left"/>
        <w:rPr>
          <w:rFonts w:ascii="宋体" w:hAnsi="宋体"/>
          <w:b/>
          <w:bCs/>
          <w:color w:val="auto"/>
          <w:kern w:val="0"/>
          <w:sz w:val="24"/>
          <w:szCs w:val="24"/>
          <w:highlight w:val="none"/>
        </w:rPr>
      </w:pPr>
      <w:r>
        <w:rPr>
          <w:rFonts w:ascii="宋体" w:hAnsi="宋体"/>
          <w:b/>
          <w:bCs/>
          <w:color w:val="auto"/>
          <w:kern w:val="0"/>
          <w:sz w:val="24"/>
          <w:szCs w:val="24"/>
          <w:highlight w:val="none"/>
        </w:rPr>
        <w:br w:type="page"/>
      </w:r>
    </w:p>
    <w:p w14:paraId="54213AC5">
      <w:pPr>
        <w:pStyle w:val="3"/>
        <w:spacing w:line="360" w:lineRule="auto"/>
        <w:rPr>
          <w:rFonts w:ascii="宋体" w:hAnsi="宋体" w:eastAsia="宋体"/>
          <w:bCs w:val="0"/>
          <w:color w:val="auto"/>
          <w:sz w:val="24"/>
          <w:szCs w:val="24"/>
          <w:highlight w:val="none"/>
        </w:rPr>
      </w:pPr>
      <w:bookmarkStart w:id="24" w:name="_Toc68876541"/>
      <w:bookmarkStart w:id="25" w:name="_Toc69144554"/>
      <w:r>
        <w:rPr>
          <w:rFonts w:hint="eastAsia" w:ascii="宋体" w:hAnsi="宋体" w:eastAsia="宋体"/>
          <w:bCs w:val="0"/>
          <w:color w:val="auto"/>
          <w:sz w:val="24"/>
          <w:szCs w:val="24"/>
          <w:highlight w:val="none"/>
        </w:rPr>
        <w:t>4</w:t>
      </w:r>
      <w:r>
        <w:rPr>
          <w:rFonts w:ascii="宋体" w:hAnsi="宋体" w:eastAsia="宋体"/>
          <w:bCs w:val="0"/>
          <w:color w:val="auto"/>
          <w:sz w:val="24"/>
          <w:szCs w:val="24"/>
          <w:highlight w:val="none"/>
        </w:rPr>
        <w:t xml:space="preserve">. </w:t>
      </w:r>
      <w:r>
        <w:rPr>
          <w:rFonts w:hint="eastAsia" w:ascii="宋体" w:hAnsi="宋体" w:eastAsia="宋体"/>
          <w:bCs w:val="0"/>
          <w:color w:val="auto"/>
          <w:sz w:val="24"/>
          <w:szCs w:val="24"/>
          <w:highlight w:val="none"/>
        </w:rPr>
        <w:t>建筑电气工程保险条款</w:t>
      </w:r>
      <w:bookmarkEnd w:id="24"/>
      <w:bookmarkEnd w:id="25"/>
    </w:p>
    <w:p w14:paraId="48BBC9E8">
      <w:pPr>
        <w:autoSpaceDE w:val="0"/>
        <w:autoSpaceDN w:val="0"/>
        <w:adjustRightIn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广州市工程质量潜在缺陷保险</w:t>
      </w:r>
    </w:p>
    <w:p w14:paraId="1F39904C">
      <w:pPr>
        <w:autoSpaceDE w:val="0"/>
        <w:autoSpaceDN w:val="0"/>
        <w:adjustRightIn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附加建筑电气工程保险条款</w:t>
      </w:r>
    </w:p>
    <w:p w14:paraId="6E57A90C">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总则</w:t>
      </w:r>
    </w:p>
    <w:p w14:paraId="678315E8">
      <w:pPr>
        <w:tabs>
          <w:tab w:val="left" w:pos="1276"/>
        </w:tabs>
        <w:adjustRightInd w:val="0"/>
        <w:snapToGrid w:val="0"/>
        <w:spacing w:line="360" w:lineRule="auto"/>
        <w:ind w:firstLine="482" w:firstLineChars="200"/>
        <w:rPr>
          <w:rFonts w:ascii="宋体" w:hAnsi="宋体"/>
          <w:b/>
          <w:color w:val="auto"/>
          <w:kern w:val="0"/>
          <w:sz w:val="24"/>
          <w:szCs w:val="24"/>
          <w:highlight w:val="none"/>
        </w:rPr>
      </w:pPr>
      <w:r>
        <w:rPr>
          <w:rFonts w:hint="eastAsia" w:ascii="宋体" w:hAnsi="宋体"/>
          <w:b/>
          <w:color w:val="auto"/>
          <w:sz w:val="24"/>
          <w:szCs w:val="24"/>
          <w:highlight w:val="none"/>
        </w:rPr>
        <w:t xml:space="preserve">第一条 </w:t>
      </w:r>
      <w:r>
        <w:rPr>
          <w:rFonts w:hint="eastAsia" w:ascii="宋体" w:hAnsi="宋体"/>
          <w:color w:val="auto"/>
          <w:sz w:val="24"/>
          <w:szCs w:val="24"/>
          <w:highlight w:val="none"/>
        </w:rPr>
        <w:t>本条款为《广州市住宅工程质量潜在缺陷保险》（以下简称主险）的附加险条款，只有在投保主险的基础上，投保人</w:t>
      </w:r>
      <w:r>
        <w:rPr>
          <w:rFonts w:hint="eastAsia" w:ascii="宋体" w:hAnsi="宋体"/>
          <w:color w:val="auto"/>
          <w:kern w:val="0"/>
          <w:sz w:val="24"/>
          <w:szCs w:val="24"/>
          <w:highlight w:val="none"/>
        </w:rPr>
        <w:t>方可投保本附加险。</w:t>
      </w:r>
    </w:p>
    <w:p w14:paraId="5E485BF8">
      <w:pPr>
        <w:tabs>
          <w:tab w:val="left" w:pos="1276"/>
        </w:tabs>
        <w:snapToGrid w:val="0"/>
        <w:spacing w:line="360" w:lineRule="auto"/>
        <w:jc w:val="center"/>
        <w:rPr>
          <w:rFonts w:ascii="宋体" w:hAnsi="宋体"/>
          <w:b/>
          <w:color w:val="auto"/>
          <w:kern w:val="0"/>
          <w:sz w:val="24"/>
          <w:szCs w:val="24"/>
          <w:highlight w:val="none"/>
        </w:rPr>
      </w:pPr>
      <w:r>
        <w:rPr>
          <w:rFonts w:hint="eastAsia" w:ascii="宋体" w:hAnsi="宋体"/>
          <w:b/>
          <w:color w:val="auto"/>
          <w:kern w:val="0"/>
          <w:sz w:val="24"/>
          <w:szCs w:val="24"/>
          <w:highlight w:val="none"/>
        </w:rPr>
        <w:t>保险责任</w:t>
      </w:r>
    </w:p>
    <w:p w14:paraId="7AF409E6">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 xml:space="preserve">第二条 </w:t>
      </w:r>
      <w:r>
        <w:rPr>
          <w:rFonts w:hint="eastAsia" w:ascii="宋体" w:hAnsi="宋体"/>
          <w:color w:val="auto"/>
          <w:sz w:val="24"/>
          <w:szCs w:val="24"/>
          <w:highlight w:val="none"/>
        </w:rPr>
        <w:t>在本附加险保险责任期间内，保险单载明的建设工程在正常使用条件下，因建筑电气工程存在潜在质量缺陷而造成保险单载明的建设工程损坏的，保险人按照主险和本附加险的约定负责赔偿修理、加固或重置的费用。</w:t>
      </w:r>
    </w:p>
    <w:p w14:paraId="0FD8DBAD">
      <w:pPr>
        <w:widowControl/>
        <w:tabs>
          <w:tab w:val="left" w:pos="1276"/>
        </w:tabs>
        <w:adjustRightInd w:val="0"/>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本附加险中“建筑电气工程”指建设单位对保险单载明的建设工程按销售合同约定提供的，由</w:t>
      </w:r>
      <w:r>
        <w:rPr>
          <w:rFonts w:hint="eastAsia" w:ascii="宋体" w:hAnsi="宋体"/>
          <w:color w:val="auto"/>
          <w:sz w:val="24"/>
          <w:szCs w:val="24"/>
          <w:highlight w:val="none"/>
        </w:rPr>
        <w:t>电气装置、布线系统和用电设备电气部分构成的组合。</w:t>
      </w:r>
    </w:p>
    <w:p w14:paraId="56E25A00">
      <w:pPr>
        <w:tabs>
          <w:tab w:val="left" w:pos="1418"/>
        </w:tabs>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责任免除</w:t>
      </w:r>
    </w:p>
    <w:p w14:paraId="68DBD1D2">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第三条 本附加险合同生效后，未经保险人书面同意擅自改动保险单载明的建设工程建筑电气工程的，保险人不负责赔偿。</w:t>
      </w:r>
    </w:p>
    <w:p w14:paraId="4081166F">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第四条 本附加险保险事故发生后，被保险人未经必要修理继续使用原建筑电气工程致使损失扩大的，保险人对于损失扩大的部分不负责赔偿。</w:t>
      </w:r>
    </w:p>
    <w:p w14:paraId="23DD393D">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第五条 因元器件、设备、配件、终端等产品的质量缺陷所产生的损失，保险人不负责赔偿。</w:t>
      </w:r>
    </w:p>
    <w:p w14:paraId="3C180604">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第六条 保险单载明的免赔额或者按照保险单载明的免赔率计算的免赔额，保险人不负责赔偿。</w:t>
      </w:r>
    </w:p>
    <w:p w14:paraId="2FB6C593">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第七条 主险中的责任免除事项，未列入本附加险保险责任的，也适用于本附加险。</w:t>
      </w:r>
    </w:p>
    <w:p w14:paraId="58230DB6">
      <w:pPr>
        <w:tabs>
          <w:tab w:val="left" w:pos="1418"/>
        </w:tabs>
        <w:adjustRightInd w:val="0"/>
        <w:snapToGrid w:val="0"/>
        <w:spacing w:line="360" w:lineRule="auto"/>
        <w:jc w:val="center"/>
        <w:rPr>
          <w:rFonts w:ascii="宋体" w:hAnsi="宋体"/>
          <w:color w:val="auto"/>
          <w:sz w:val="24"/>
          <w:szCs w:val="24"/>
          <w:highlight w:val="none"/>
        </w:rPr>
      </w:pPr>
      <w:r>
        <w:rPr>
          <w:rFonts w:hint="eastAsia" w:ascii="宋体" w:hAnsi="宋体"/>
          <w:b/>
          <w:color w:val="auto"/>
          <w:sz w:val="24"/>
          <w:szCs w:val="24"/>
          <w:highlight w:val="none"/>
        </w:rPr>
        <w:t>免赔额（率）</w:t>
      </w:r>
    </w:p>
    <w:p w14:paraId="4C09C49A">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第八条 本附加险免赔额（率）由投保人与保险人在订立本合同时协商确定，并在保险单中载明。</w:t>
      </w:r>
    </w:p>
    <w:p w14:paraId="3CE621F1">
      <w:pPr>
        <w:tabs>
          <w:tab w:val="left" w:pos="1276"/>
        </w:tabs>
        <w:adjustRightInd w:val="0"/>
        <w:snapToGrid w:val="0"/>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同时约定了免赔额和免赔率的，免赔金额以免赔额和按照免赔率计算的金额二者高者为准。</w:t>
      </w:r>
    </w:p>
    <w:p w14:paraId="49F1BDB2">
      <w:pPr>
        <w:tabs>
          <w:tab w:val="left" w:pos="1276"/>
          <w:tab w:val="left" w:pos="1418"/>
        </w:tabs>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保险期间、保险责任期间与等待期</w:t>
      </w:r>
    </w:p>
    <w:p w14:paraId="1A982F14">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 xml:space="preserve">第九条 </w:t>
      </w:r>
      <w:r>
        <w:rPr>
          <w:rFonts w:hint="eastAsia" w:ascii="宋体" w:hAnsi="宋体"/>
          <w:color w:val="auto"/>
          <w:sz w:val="24"/>
          <w:szCs w:val="24"/>
          <w:highlight w:val="none"/>
        </w:rPr>
        <w:t>保险期间自本保险合同生效之日起算。除另有约定外，保险责任期间为自保险单载明的建设工程竣工验收合格后等待期届满之日起两年，保险期间和保险责任期间以保险单载明的起讫时间为准。</w:t>
      </w:r>
    </w:p>
    <w:p w14:paraId="66557A29">
      <w:pPr>
        <w:tabs>
          <w:tab w:val="left" w:pos="1276"/>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等待期指自保险单载明的建设工程竣工验收合格之日起，至投保人和保险人协商确定的时间止，以保险单载明的起讫时间为准。</w:t>
      </w:r>
    </w:p>
    <w:p w14:paraId="201A6AC0">
      <w:pPr>
        <w:tabs>
          <w:tab w:val="left" w:pos="1418"/>
        </w:tabs>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主险与附加险关系</w:t>
      </w:r>
    </w:p>
    <w:p w14:paraId="236CF411">
      <w:pPr>
        <w:tabs>
          <w:tab w:val="left" w:pos="1276"/>
        </w:tabs>
        <w:adjustRightInd w:val="0"/>
        <w:snapToGrid w:val="0"/>
        <w:spacing w:line="360" w:lineRule="auto"/>
        <w:ind w:firstLine="482" w:firstLineChars="200"/>
        <w:rPr>
          <w:rFonts w:ascii="宋体" w:hAnsi="宋体"/>
          <w:color w:val="auto"/>
          <w:sz w:val="24"/>
          <w:szCs w:val="24"/>
          <w:highlight w:val="none"/>
        </w:rPr>
      </w:pPr>
      <w:r>
        <w:rPr>
          <w:rFonts w:hint="eastAsia" w:ascii="宋体" w:hAnsi="宋体"/>
          <w:b/>
          <w:color w:val="auto"/>
          <w:sz w:val="24"/>
          <w:szCs w:val="24"/>
          <w:highlight w:val="none"/>
        </w:rPr>
        <w:t xml:space="preserve">第十条 </w:t>
      </w:r>
      <w:r>
        <w:rPr>
          <w:rFonts w:hint="eastAsia" w:ascii="宋体" w:hAnsi="宋体"/>
          <w:color w:val="auto"/>
          <w:sz w:val="24"/>
          <w:szCs w:val="24"/>
          <w:highlight w:val="none"/>
        </w:rPr>
        <w:t>凡涉及本附加险合同的约定，均应采用书面形式。主险合同与本附加险合同相抵触之处，以本附加险合同为准；本附加险合同未约定事项，以主险合同为准。主险合同效力终止，本附加险合同效力亦同时终止；主险合同无效，本附加险合同亦无效。</w:t>
      </w:r>
    </w:p>
    <w:bookmarkEnd w:id="14"/>
    <w:bookmarkEnd w:id="15"/>
    <w:p w14:paraId="730DB7D6">
      <w:pPr>
        <w:pStyle w:val="3"/>
        <w:rPr>
          <w:rFonts w:ascii="宋体" w:hAnsi="宋体" w:eastAsia="宋体"/>
          <w:bCs w:val="0"/>
          <w:color w:val="auto"/>
          <w:sz w:val="28"/>
          <w:highlight w:val="none"/>
        </w:rPr>
      </w:pPr>
      <w:r>
        <w:rPr>
          <w:rFonts w:ascii="宋体" w:hAnsi="宋体" w:eastAsia="宋体"/>
          <w:color w:val="auto"/>
          <w:sz w:val="24"/>
          <w:szCs w:val="24"/>
          <w:highlight w:val="none"/>
        </w:rPr>
        <w:br w:type="page"/>
      </w:r>
      <w:r>
        <w:rPr>
          <w:rFonts w:hint="eastAsia" w:ascii="宋体" w:hAnsi="宋体" w:eastAsia="宋体"/>
          <w:bCs w:val="0"/>
          <w:color w:val="auto"/>
          <w:sz w:val="28"/>
          <w:highlight w:val="none"/>
        </w:rPr>
        <w:t>（三）释义</w:t>
      </w:r>
    </w:p>
    <w:p w14:paraId="18CF3D76">
      <w:pPr>
        <w:tabs>
          <w:tab w:val="left" w:pos="1276"/>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保险合同涉及下列术语时，参照下列释义执行：</w:t>
      </w:r>
    </w:p>
    <w:p w14:paraId="69D25FE9">
      <w:pPr>
        <w:tabs>
          <w:tab w:val="left" w:pos="1276"/>
        </w:tabs>
        <w:adjustRightInd w:val="0"/>
        <w:snapToGrid w:val="0"/>
        <w:spacing w:line="360" w:lineRule="auto"/>
        <w:ind w:firstLine="482" w:firstLineChars="200"/>
        <w:rPr>
          <w:rFonts w:ascii="宋体" w:hAnsi="宋体"/>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工程质量风险管理机构：</w:t>
      </w:r>
      <w:r>
        <w:rPr>
          <w:rFonts w:hint="eastAsia" w:ascii="宋体" w:hAnsi="宋体"/>
          <w:color w:val="auto"/>
          <w:sz w:val="24"/>
          <w:szCs w:val="24"/>
          <w:highlight w:val="none"/>
        </w:rPr>
        <w:t>指由保险人聘用的，对建设工程项目潜在的质量风险因素实施辨别、评估、报告、提出处理建议，促进工程质量的提高，减少和避免质量事故发生，并最终对保险人承担合同责任的第三方法人机构。</w:t>
      </w:r>
    </w:p>
    <w:p w14:paraId="3357E880">
      <w:pPr>
        <w:tabs>
          <w:tab w:val="left" w:pos="1276"/>
        </w:tabs>
        <w:adjustRightInd w:val="0"/>
        <w:snapToGrid w:val="0"/>
        <w:spacing w:line="360" w:lineRule="auto"/>
        <w:ind w:firstLine="482" w:firstLineChars="200"/>
        <w:rPr>
          <w:rFonts w:ascii="宋体" w:hAnsi="宋体"/>
          <w:color w:val="auto"/>
          <w:sz w:val="24"/>
          <w:szCs w:val="24"/>
          <w:highlight w:val="none"/>
        </w:rPr>
      </w:pPr>
      <w:r>
        <w:rPr>
          <w:rFonts w:ascii="宋体" w:hAnsi="宋体"/>
          <w:b/>
          <w:color w:val="auto"/>
          <w:sz w:val="24"/>
          <w:szCs w:val="24"/>
          <w:highlight w:val="none"/>
        </w:rPr>
        <w:t>2.</w:t>
      </w:r>
      <w:r>
        <w:rPr>
          <w:rFonts w:hint="eastAsia" w:ascii="宋体" w:hAnsi="宋体"/>
          <w:b/>
          <w:color w:val="auto"/>
          <w:sz w:val="24"/>
          <w:szCs w:val="24"/>
          <w:highlight w:val="none"/>
        </w:rPr>
        <w:t>工程质量潜在缺陷：</w:t>
      </w:r>
      <w:r>
        <w:rPr>
          <w:rFonts w:hint="eastAsia" w:ascii="宋体" w:hAnsi="宋体"/>
          <w:color w:val="auto"/>
          <w:sz w:val="24"/>
          <w:szCs w:val="24"/>
          <w:highlight w:val="none"/>
        </w:rPr>
        <w:t>指建设工程在竣工验收时未能发现的，因勘察、设计、施工、监理及建筑材料、建筑构配件和设备等质量原因造成的，不符合施工图设计文件、工程建设标准和合同要求，并在使用过程中暴露出的工程质量缺陷。</w:t>
      </w:r>
    </w:p>
    <w:p w14:paraId="6F4AA01A">
      <w:pPr>
        <w:tabs>
          <w:tab w:val="left" w:pos="1276"/>
        </w:tabs>
        <w:adjustRightInd w:val="0"/>
        <w:snapToGrid w:val="0"/>
        <w:spacing w:line="360" w:lineRule="auto"/>
        <w:ind w:firstLine="482" w:firstLineChars="200"/>
        <w:rPr>
          <w:rFonts w:ascii="宋体" w:hAnsi="宋体"/>
          <w:color w:val="auto"/>
          <w:sz w:val="24"/>
          <w:szCs w:val="24"/>
          <w:highlight w:val="none"/>
        </w:rPr>
      </w:pPr>
      <w:r>
        <w:rPr>
          <w:rFonts w:ascii="宋体" w:hAnsi="宋体"/>
          <w:b/>
          <w:color w:val="auto"/>
          <w:sz w:val="24"/>
          <w:szCs w:val="24"/>
          <w:highlight w:val="none"/>
        </w:rPr>
        <w:t>3.</w:t>
      </w:r>
      <w:r>
        <w:rPr>
          <w:rFonts w:hint="eastAsia" w:ascii="宋体" w:hAnsi="宋体"/>
          <w:b/>
          <w:color w:val="auto"/>
          <w:sz w:val="24"/>
          <w:szCs w:val="24"/>
          <w:highlight w:val="none"/>
        </w:rPr>
        <w:t>正常使用条件：</w:t>
      </w:r>
      <w:r>
        <w:rPr>
          <w:rFonts w:hint="eastAsia" w:ascii="宋体" w:hAnsi="宋体"/>
          <w:color w:val="auto"/>
          <w:sz w:val="24"/>
          <w:szCs w:val="24"/>
          <w:highlight w:val="none"/>
        </w:rPr>
        <w:t>指按照建设工程的原设计条件使用，包括但不限于：</w:t>
      </w:r>
    </w:p>
    <w:p w14:paraId="1A15FE54">
      <w:pPr>
        <w:tabs>
          <w:tab w:val="left" w:pos="1276"/>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（一）不改变原设计用途；</w:t>
      </w:r>
    </w:p>
    <w:p w14:paraId="587C81B8">
      <w:pPr>
        <w:tabs>
          <w:tab w:val="left" w:pos="1276"/>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（二）不超过原设计荷载；</w:t>
      </w:r>
    </w:p>
    <w:p w14:paraId="16ABA117">
      <w:pPr>
        <w:tabs>
          <w:tab w:val="left" w:pos="1276"/>
        </w:tabs>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（三）不改变建设工程主体结构和设备设施位置。</w:t>
      </w:r>
    </w:p>
    <w:p w14:paraId="1FA3D198">
      <w:pPr>
        <w:tabs>
          <w:tab w:val="left" w:pos="1276"/>
        </w:tabs>
        <w:adjustRightInd w:val="0"/>
        <w:snapToGrid w:val="0"/>
        <w:spacing w:line="360" w:lineRule="auto"/>
        <w:ind w:firstLine="482" w:firstLineChars="200"/>
        <w:rPr>
          <w:rFonts w:ascii="宋体" w:hAnsi="宋体"/>
          <w:color w:val="auto"/>
          <w:sz w:val="24"/>
          <w:szCs w:val="24"/>
          <w:highlight w:val="none"/>
        </w:rPr>
      </w:pPr>
      <w:r>
        <w:rPr>
          <w:rFonts w:ascii="宋体" w:hAnsi="宋体"/>
          <w:b/>
          <w:color w:val="auto"/>
          <w:sz w:val="24"/>
          <w:szCs w:val="24"/>
          <w:highlight w:val="none"/>
        </w:rPr>
        <w:t>4.</w:t>
      </w:r>
      <w:r>
        <w:rPr>
          <w:rFonts w:hint="eastAsia" w:ascii="宋体" w:hAnsi="宋体"/>
          <w:b/>
          <w:color w:val="auto"/>
          <w:sz w:val="24"/>
          <w:szCs w:val="24"/>
          <w:highlight w:val="none"/>
        </w:rPr>
        <w:t>维修：</w:t>
      </w:r>
      <w:r>
        <w:rPr>
          <w:rFonts w:hint="eastAsia" w:ascii="宋体" w:hAnsi="宋体"/>
          <w:color w:val="auto"/>
          <w:sz w:val="24"/>
          <w:szCs w:val="24"/>
          <w:highlight w:val="none"/>
        </w:rPr>
        <w:t>对损坏的部位（包括与其附着的部分）进行修理、加固或重置。</w:t>
      </w:r>
    </w:p>
    <w:p w14:paraId="046E3CBF">
      <w:pPr>
        <w:tabs>
          <w:tab w:val="left" w:pos="1276"/>
        </w:tabs>
        <w:adjustRightInd w:val="0"/>
        <w:snapToGrid w:val="0"/>
        <w:spacing w:line="360" w:lineRule="auto"/>
        <w:ind w:firstLine="482" w:firstLineChars="200"/>
        <w:rPr>
          <w:rFonts w:ascii="宋体" w:hAnsi="宋体"/>
          <w:color w:val="auto"/>
          <w:sz w:val="24"/>
          <w:szCs w:val="24"/>
          <w:highlight w:val="none"/>
        </w:rPr>
      </w:pPr>
      <w:r>
        <w:rPr>
          <w:rFonts w:ascii="宋体" w:hAnsi="宋体"/>
          <w:b/>
          <w:color w:val="auto"/>
          <w:sz w:val="24"/>
          <w:szCs w:val="24"/>
          <w:highlight w:val="none"/>
        </w:rPr>
        <w:t>5.</w:t>
      </w:r>
      <w:r>
        <w:rPr>
          <w:rFonts w:hint="eastAsia" w:ascii="宋体" w:hAnsi="宋体"/>
          <w:b/>
          <w:color w:val="auto"/>
          <w:sz w:val="24"/>
          <w:szCs w:val="24"/>
          <w:highlight w:val="none"/>
        </w:rPr>
        <w:t>每次事故：</w:t>
      </w:r>
      <w:r>
        <w:rPr>
          <w:rFonts w:hint="eastAsia" w:ascii="宋体" w:hAnsi="宋体"/>
          <w:color w:val="auto"/>
          <w:sz w:val="24"/>
          <w:szCs w:val="24"/>
          <w:highlight w:val="none"/>
        </w:rPr>
        <w:t>指一次保险事故；因同一保险事故导致多名被保险人同时或先后向保险人索赔，视为一次保险事故。</w:t>
      </w:r>
      <w:bookmarkStart w:id="26" w:name="_Toc98840831"/>
    </w:p>
    <w:p w14:paraId="5890768F">
      <w:pPr>
        <w:widowControl/>
        <w:jc w:val="left"/>
        <w:rPr>
          <w:rFonts w:ascii="宋体" w:hAnsi="宋体"/>
          <w:b/>
          <w:bCs/>
          <w:color w:val="auto"/>
          <w:kern w:val="44"/>
          <w:sz w:val="32"/>
          <w:szCs w:val="28"/>
          <w:highlight w:val="none"/>
        </w:rPr>
      </w:pPr>
      <w:r>
        <w:rPr>
          <w:rFonts w:ascii="宋体" w:hAnsi="宋体"/>
          <w:color w:val="auto"/>
          <w:szCs w:val="28"/>
          <w:highlight w:val="none"/>
        </w:rPr>
        <w:br w:type="page"/>
      </w:r>
    </w:p>
    <w:p w14:paraId="4DC52426">
      <w:pPr>
        <w:pStyle w:val="2"/>
        <w:spacing w:before="100" w:after="100" w:line="360" w:lineRule="auto"/>
        <w:jc w:val="center"/>
        <w:rPr>
          <w:rFonts w:ascii="宋体" w:hAnsi="宋体" w:eastAsia="宋体"/>
          <w:color w:val="auto"/>
          <w:szCs w:val="28"/>
          <w:highlight w:val="none"/>
        </w:rPr>
      </w:pPr>
      <w:r>
        <w:rPr>
          <w:rFonts w:hint="eastAsia" w:ascii="宋体" w:hAnsi="宋体" w:eastAsia="宋体"/>
          <w:color w:val="auto"/>
          <w:szCs w:val="28"/>
          <w:highlight w:val="none"/>
        </w:rPr>
        <w:t>第三</w:t>
      </w:r>
      <w:r>
        <w:rPr>
          <w:rFonts w:ascii="宋体" w:hAnsi="宋体" w:eastAsia="宋体"/>
          <w:color w:val="auto"/>
          <w:szCs w:val="28"/>
          <w:highlight w:val="none"/>
        </w:rPr>
        <w:t>部分</w:t>
      </w:r>
      <w:r>
        <w:rPr>
          <w:rFonts w:hint="eastAsia" w:ascii="宋体" w:hAnsi="宋体" w:eastAsia="宋体"/>
          <w:color w:val="auto"/>
          <w:szCs w:val="28"/>
          <w:highlight w:val="none"/>
        </w:rPr>
        <w:t xml:space="preserve"> 附件</w:t>
      </w:r>
      <w:bookmarkEnd w:id="26"/>
    </w:p>
    <w:p w14:paraId="16EE05FD">
      <w:pPr>
        <w:adjustRightInd w:val="0"/>
        <w:snapToGrid w:val="0"/>
        <w:spacing w:line="360" w:lineRule="auto"/>
        <w:rPr>
          <w:rFonts w:ascii="宋体" w:hAnsi="宋体"/>
          <w:snapToGrid w:val="0"/>
          <w:color w:val="auto"/>
          <w:sz w:val="24"/>
          <w:highlight w:val="none"/>
        </w:rPr>
      </w:pPr>
      <w:r>
        <w:rPr>
          <w:rFonts w:ascii="宋体" w:hAnsi="宋体"/>
          <w:snapToGrid w:val="0"/>
          <w:color w:val="auto"/>
          <w:sz w:val="24"/>
          <w:highlight w:val="none"/>
        </w:rPr>
        <w:t>附件1：中标通知书</w:t>
      </w:r>
    </w:p>
    <w:p w14:paraId="2C63A75D">
      <w:pPr>
        <w:adjustRightInd w:val="0"/>
        <w:snapToGrid w:val="0"/>
        <w:spacing w:line="360" w:lineRule="auto"/>
        <w:rPr>
          <w:rFonts w:ascii="宋体" w:hAnsi="宋体"/>
          <w:snapToGrid w:val="0"/>
          <w:color w:val="auto"/>
          <w:sz w:val="24"/>
          <w:highlight w:val="none"/>
        </w:rPr>
      </w:pPr>
    </w:p>
    <w:p w14:paraId="25C433B0">
      <w:pPr>
        <w:adjustRightInd w:val="0"/>
        <w:snapToGrid w:val="0"/>
        <w:spacing w:line="360" w:lineRule="auto"/>
        <w:rPr>
          <w:rFonts w:ascii="宋体" w:hAnsi="宋体"/>
          <w:snapToGrid w:val="0"/>
          <w:color w:val="auto"/>
          <w:sz w:val="24"/>
          <w:highlight w:val="none"/>
        </w:rPr>
      </w:pPr>
    </w:p>
    <w:p w14:paraId="10C58CD4">
      <w:pPr>
        <w:adjustRightInd w:val="0"/>
        <w:snapToGrid w:val="0"/>
        <w:spacing w:line="360" w:lineRule="auto"/>
        <w:rPr>
          <w:rFonts w:ascii="宋体" w:hAnsi="宋体"/>
          <w:snapToGrid w:val="0"/>
          <w:color w:val="auto"/>
          <w:sz w:val="24"/>
          <w:highlight w:val="none"/>
        </w:rPr>
      </w:pPr>
      <w:r>
        <w:rPr>
          <w:rFonts w:ascii="宋体" w:hAnsi="宋体"/>
          <w:bCs/>
          <w:snapToGrid w:val="0"/>
          <w:color w:val="auto"/>
          <w:sz w:val="24"/>
          <w:highlight w:val="none"/>
        </w:rPr>
        <w:br w:type="page"/>
      </w:r>
      <w:r>
        <w:rPr>
          <w:rFonts w:ascii="宋体" w:hAnsi="宋体"/>
          <w:snapToGrid w:val="0"/>
          <w:color w:val="auto"/>
          <w:sz w:val="24"/>
          <w:highlight w:val="none"/>
        </w:rPr>
        <w:t>附件</w:t>
      </w:r>
      <w:r>
        <w:rPr>
          <w:rFonts w:hint="eastAsia" w:ascii="宋体" w:hAnsi="宋体"/>
          <w:snapToGrid w:val="0"/>
          <w:color w:val="auto"/>
          <w:sz w:val="24"/>
          <w:highlight w:val="none"/>
        </w:rPr>
        <w:t>2</w:t>
      </w:r>
      <w:r>
        <w:rPr>
          <w:rFonts w:ascii="宋体" w:hAnsi="宋体"/>
          <w:snapToGrid w:val="0"/>
          <w:color w:val="auto"/>
          <w:sz w:val="24"/>
          <w:highlight w:val="none"/>
        </w:rPr>
        <w:t>：</w:t>
      </w:r>
    </w:p>
    <w:p w14:paraId="53E0C523">
      <w:pPr>
        <w:adjustRightInd w:val="0"/>
        <w:snapToGrid w:val="0"/>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工程建设廉洁协议书</w:t>
      </w:r>
    </w:p>
    <w:p w14:paraId="64D4A06C">
      <w:pPr>
        <w:adjustRightInd w:val="0"/>
        <w:snapToGrid w:val="0"/>
        <w:spacing w:line="360" w:lineRule="auto"/>
        <w:rPr>
          <w:rFonts w:ascii="宋体" w:hAnsi="宋体"/>
          <w:bCs/>
          <w:snapToGrid w:val="0"/>
          <w:color w:val="auto"/>
          <w:sz w:val="24"/>
          <w:highlight w:val="none"/>
        </w:rPr>
      </w:pPr>
    </w:p>
    <w:p w14:paraId="16CADAB9">
      <w:pPr>
        <w:adjustRightInd w:val="0"/>
        <w:snapToGrid w:val="0"/>
        <w:spacing w:line="360" w:lineRule="auto"/>
        <w:ind w:left="1200" w:hanging="1200" w:hangingChars="500"/>
        <w:rPr>
          <w:rFonts w:hint="eastAsia" w:ascii="宋体" w:hAnsi="宋体" w:eastAsia="宋体"/>
          <w:bCs/>
          <w:snapToGrid w:val="0"/>
          <w:color w:val="auto"/>
          <w:sz w:val="24"/>
          <w:highlight w:val="none"/>
          <w:lang w:eastAsia="zh-CN"/>
        </w:rPr>
      </w:pPr>
      <w:r>
        <w:rPr>
          <w:rFonts w:hint="eastAsia" w:ascii="宋体" w:hAnsi="宋体"/>
          <w:bCs/>
          <w:snapToGrid w:val="0"/>
          <w:color w:val="auto"/>
          <w:sz w:val="24"/>
          <w:highlight w:val="none"/>
        </w:rPr>
        <w:t>项目名称：</w:t>
      </w:r>
      <w:r>
        <w:rPr>
          <w:rFonts w:hint="eastAsia" w:ascii="宋体" w:hAnsi="宋体"/>
          <w:bCs/>
          <w:snapToGrid w:val="0"/>
          <w:color w:val="auto"/>
          <w:sz w:val="24"/>
          <w:highlight w:val="none"/>
          <w:lang w:eastAsia="zh-CN"/>
        </w:rPr>
        <w:t>天河区元岗村城中村改造项目AT020649地块（即4号地块）住宅工程质量潜在缺陷险服务</w:t>
      </w:r>
    </w:p>
    <w:p w14:paraId="19680197">
      <w:pPr>
        <w:adjustRightInd w:val="0"/>
        <w:snapToGrid w:val="0"/>
        <w:spacing w:line="360" w:lineRule="auto"/>
        <w:rPr>
          <w:rFonts w:hint="eastAsia" w:ascii="宋体" w:hAnsi="宋体" w:eastAsia="宋体"/>
          <w:bCs/>
          <w:snapToGrid w:val="0"/>
          <w:color w:val="auto"/>
          <w:sz w:val="24"/>
          <w:highlight w:val="none"/>
          <w:lang w:eastAsia="zh-CN"/>
        </w:rPr>
      </w:pPr>
      <w:r>
        <w:rPr>
          <w:rFonts w:hint="eastAsia" w:ascii="宋体" w:hAnsi="宋体"/>
          <w:bCs/>
          <w:snapToGrid w:val="0"/>
          <w:color w:val="auto"/>
          <w:sz w:val="24"/>
          <w:highlight w:val="none"/>
        </w:rPr>
        <w:t>项目地址：</w:t>
      </w:r>
    </w:p>
    <w:p w14:paraId="3140E462">
      <w:pPr>
        <w:adjustRightInd w:val="0"/>
        <w:snapToGrid w:val="0"/>
        <w:spacing w:line="360" w:lineRule="auto"/>
        <w:rPr>
          <w:rFonts w:hint="eastAsia" w:ascii="宋体" w:hAnsi="宋体" w:eastAsia="宋体"/>
          <w:bCs/>
          <w:snapToGrid w:val="0"/>
          <w:color w:val="auto"/>
          <w:sz w:val="24"/>
          <w:highlight w:val="none"/>
          <w:lang w:eastAsia="zh-CN"/>
        </w:rPr>
      </w:pPr>
      <w:r>
        <w:rPr>
          <w:rFonts w:hint="eastAsia" w:ascii="宋体" w:hAnsi="宋体"/>
          <w:bCs/>
          <w:snapToGrid w:val="0"/>
          <w:color w:val="auto"/>
          <w:sz w:val="24"/>
          <w:highlight w:val="none"/>
        </w:rPr>
        <w:t>甲方：</w:t>
      </w:r>
      <w:r>
        <w:rPr>
          <w:rFonts w:hint="eastAsia" w:ascii="宋体" w:hAnsi="宋体"/>
          <w:bCs/>
          <w:snapToGrid w:val="0"/>
          <w:color w:val="auto"/>
          <w:sz w:val="24"/>
          <w:highlight w:val="none"/>
          <w:lang w:eastAsia="zh-CN"/>
        </w:rPr>
        <w:t>广州环五山创新策源区元岗城市更新有限公司</w:t>
      </w:r>
    </w:p>
    <w:p w14:paraId="6D87B7F3">
      <w:pPr>
        <w:adjustRightInd w:val="0"/>
        <w:snapToGrid w:val="0"/>
        <w:spacing w:line="360" w:lineRule="auto"/>
        <w:rPr>
          <w:rFonts w:ascii="宋体" w:hAnsi="宋体"/>
          <w:bCs/>
          <w:snapToGrid w:val="0"/>
          <w:color w:val="auto"/>
          <w:sz w:val="24"/>
          <w:highlight w:val="none"/>
        </w:rPr>
      </w:pPr>
      <w:r>
        <w:rPr>
          <w:rFonts w:hint="eastAsia" w:ascii="宋体" w:hAnsi="宋体"/>
          <w:bCs/>
          <w:snapToGrid w:val="0"/>
          <w:color w:val="auto"/>
          <w:sz w:val="24"/>
          <w:highlight w:val="none"/>
        </w:rPr>
        <w:t>乙方：</w:t>
      </w:r>
    </w:p>
    <w:p w14:paraId="703D715E">
      <w:pPr>
        <w:adjustRightInd w:val="0"/>
        <w:snapToGrid w:val="0"/>
        <w:spacing w:line="360" w:lineRule="auto"/>
        <w:rPr>
          <w:rFonts w:ascii="宋体" w:hAnsi="宋体"/>
          <w:bCs/>
          <w:snapToGrid w:val="0"/>
          <w:color w:val="auto"/>
          <w:sz w:val="24"/>
          <w:highlight w:val="none"/>
        </w:rPr>
      </w:pPr>
    </w:p>
    <w:p w14:paraId="3F81AE72">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为切实加强廉洁工程建设，规范甲乙双方的各项建筑活动，预防本工程违法违纪等腐败现象的发生，保障工程建设优质、安全和廉洁，根据《广州市建筑市场廉洁准入规定（试行）》及相关法律法规的规定，特订立本协议书。</w:t>
      </w:r>
    </w:p>
    <w:p w14:paraId="10E8B60D">
      <w:pPr>
        <w:adjustRightInd w:val="0"/>
        <w:snapToGrid w:val="0"/>
        <w:spacing w:line="360" w:lineRule="auto"/>
        <w:ind w:firstLine="482" w:firstLineChars="200"/>
        <w:rPr>
          <w:rFonts w:ascii="宋体" w:hAnsi="宋体"/>
          <w:b/>
          <w:bCs/>
          <w:snapToGrid w:val="0"/>
          <w:color w:val="auto"/>
          <w:sz w:val="24"/>
          <w:highlight w:val="none"/>
        </w:rPr>
      </w:pPr>
      <w:r>
        <w:rPr>
          <w:rFonts w:hint="eastAsia" w:ascii="宋体" w:hAnsi="宋体"/>
          <w:b/>
          <w:bCs/>
          <w:snapToGrid w:val="0"/>
          <w:color w:val="auto"/>
          <w:sz w:val="24"/>
          <w:highlight w:val="none"/>
        </w:rPr>
        <w:t>第一条 双方责任</w:t>
      </w:r>
    </w:p>
    <w:p w14:paraId="041E7F62">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（一）严格遵守国家有关法律法规和政策规定，以及廉政建设的各项规定。</w:t>
      </w:r>
    </w:p>
    <w:p w14:paraId="56EBDBFC">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（二）严格执行建设工程项目合同文件，自觉按合同办事。</w:t>
      </w:r>
    </w:p>
    <w:p w14:paraId="03C20C2D">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三）建设活动必须坚持公开、公平、公正、诚信、透明的原则（法律法规另有规定的除外），不得为获取不正当的利益，损害国家、集体和对方利益，不得违反国家、省、市和甲方有关工程建设管理的规章制度。</w:t>
      </w:r>
    </w:p>
    <w:p w14:paraId="187D8D2E">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（四）发现对方在建筑活动中存在违规、违纪、违法行为的，有权向其上级主管部门或纪检监察、检察等有关机关举报。</w:t>
      </w:r>
    </w:p>
    <w:p w14:paraId="5E8228A8">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（五）双方应充分发挥各自职能作用，积极互动形成纵向监督合力，依照本协议书约定，对本工程项目合同履行情况实施监督，及时制止不廉洁行为的发生。</w:t>
      </w:r>
    </w:p>
    <w:p w14:paraId="149EA235">
      <w:pPr>
        <w:adjustRightInd w:val="0"/>
        <w:snapToGrid w:val="0"/>
        <w:spacing w:line="360" w:lineRule="auto"/>
        <w:ind w:firstLine="482" w:firstLineChars="200"/>
        <w:rPr>
          <w:rFonts w:ascii="宋体" w:hAnsi="宋体"/>
          <w:b/>
          <w:bCs/>
          <w:snapToGrid w:val="0"/>
          <w:color w:val="auto"/>
          <w:sz w:val="24"/>
          <w:highlight w:val="none"/>
        </w:rPr>
      </w:pPr>
      <w:r>
        <w:rPr>
          <w:rFonts w:hint="eastAsia" w:ascii="宋体" w:hAnsi="宋体"/>
          <w:b/>
          <w:bCs/>
          <w:snapToGrid w:val="0"/>
          <w:color w:val="auto"/>
          <w:sz w:val="24"/>
          <w:highlight w:val="none"/>
        </w:rPr>
        <w:t>第二条 甲方责任</w:t>
      </w:r>
    </w:p>
    <w:p w14:paraId="43ECBAA1">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（一）甲方领导干部和从事该工程建设的管理人员，在建筑活动中须严格遵守以下廉洁从业规定：</w:t>
      </w:r>
    </w:p>
    <w:p w14:paraId="52AD472D">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1.不准向乙方和相关单位或个人索取钱物或接受回扣、礼金、各种有价证券、信用卡和好处费、感谢费以及其他支付凭证等。</w:t>
      </w:r>
    </w:p>
    <w:p w14:paraId="3B950650">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2.不准接受可能影响公正执行公务的乙方和相关单位或个人的礼物馈赠、宴请、各种形式俱乐部会员资格、高消费娱乐活动。</w:t>
      </w:r>
    </w:p>
    <w:p w14:paraId="52A1555E">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3.不准在乙方和相关单位报销任何应由甲方或个人负担的费用。</w:t>
      </w:r>
    </w:p>
    <w:p w14:paraId="6E8F0602">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4.不准要求、暗示或接受乙方和相关单位或个人为自己、配偶、子女、其他亲属朋友及身边工作人员的装修住房、婚丧嫁娶、工作安排、学习培训、经商办企业以及出国（境）、旅游、度假等支付费用。</w:t>
      </w:r>
    </w:p>
    <w:p w14:paraId="14783EFD">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5.不准向乙方介绍配偶、子女、其他亲属朋友及身边工作人员参与同甲方项目工程合同有关的设备、材料、工程分包、劳务等经济活动。</w:t>
      </w:r>
    </w:p>
    <w:p w14:paraId="1947C730">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6.不得以任何理由向乙方和相关单位推荐分包单位和要求或暗示乙方购买项目工程合同</w:t>
      </w:r>
      <w:r>
        <w:rPr>
          <w:rFonts w:hint="eastAsia" w:ascii="宋体" w:hAnsi="宋体"/>
          <w:color w:val="auto"/>
          <w:sz w:val="24"/>
          <w:highlight w:val="none"/>
        </w:rPr>
        <w:t>约定</w:t>
      </w:r>
      <w:r>
        <w:rPr>
          <w:rFonts w:hint="eastAsia" w:ascii="宋体" w:hAnsi="宋体"/>
          <w:bCs/>
          <w:snapToGrid w:val="0"/>
          <w:color w:val="auto"/>
          <w:sz w:val="24"/>
          <w:highlight w:val="none"/>
        </w:rPr>
        <w:t>之外的材料、设备等。</w:t>
      </w:r>
    </w:p>
    <w:p w14:paraId="6DF5B1FA">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（二）合同签订后组织与乙方相关廉洁责任人见面会，进行廉洁工程建设交底，明确廉洁工程建设责任和目标任务、举报方式。</w:t>
      </w:r>
    </w:p>
    <w:p w14:paraId="77FB7EC4">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（三）加强对合同支付、合同结算等建设管理环节的监督管理，特别是审批效能方面的监督检查，提高建设管理服务水平。</w:t>
      </w:r>
    </w:p>
    <w:p w14:paraId="7F20EFF2">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（四）组织开展图片展览、法制讲座、参观监狱等活动，加强对员工的法律法规、廉洁和职业道德教育。</w:t>
      </w:r>
    </w:p>
    <w:p w14:paraId="7E7DD099">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（五）成立监督工作机构，不定期对合同履行情况开展监督检查，对发现的有关问题，及时协调给予解决。</w:t>
      </w:r>
    </w:p>
    <w:p w14:paraId="23C07D1C">
      <w:pPr>
        <w:adjustRightInd w:val="0"/>
        <w:snapToGrid w:val="0"/>
        <w:spacing w:line="360" w:lineRule="auto"/>
        <w:ind w:firstLine="482" w:firstLineChars="200"/>
        <w:rPr>
          <w:rFonts w:ascii="宋体" w:hAnsi="宋体"/>
          <w:b/>
          <w:bCs/>
          <w:snapToGrid w:val="0"/>
          <w:color w:val="auto"/>
          <w:sz w:val="24"/>
          <w:highlight w:val="none"/>
        </w:rPr>
      </w:pPr>
      <w:r>
        <w:rPr>
          <w:rFonts w:hint="eastAsia" w:ascii="宋体" w:hAnsi="宋体"/>
          <w:b/>
          <w:bCs/>
          <w:snapToGrid w:val="0"/>
          <w:color w:val="auto"/>
          <w:sz w:val="24"/>
          <w:highlight w:val="none"/>
        </w:rPr>
        <w:t>第三条 乙方责任</w:t>
      </w:r>
    </w:p>
    <w:p w14:paraId="22101B7E">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（一）与甲方保持正常的业务交往，遵守以下规定：</w:t>
      </w:r>
    </w:p>
    <w:p w14:paraId="0430CA23">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1.不准以任何理由向甲方人员行贿或赠送回扣、礼金、各种有价证券、信用卡和好处费、感谢费及其他支付凭证等。</w:t>
      </w:r>
    </w:p>
    <w:p w14:paraId="2D891EB3">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2.不准以任何理由为甲方人员组织有可能影响公正执行公务的宴请、各种形式俱乐部及高消费娱乐等活动。</w:t>
      </w:r>
    </w:p>
    <w:p w14:paraId="199F9FF7">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3.不准以任何理由为甲方或个人报销应由对方或个人支付的费用。</w:t>
      </w:r>
    </w:p>
    <w:p w14:paraId="1FFD4CA9">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4.不准暗示或要求为甲方人员及其配偶、子女、其他亲属朋友及身边工作人员的装修住房、婚丧嫁娶、工作安排、学习培训、经商办企业以及出国（境）、旅游、度假提供方便和支付费用。</w:t>
      </w:r>
    </w:p>
    <w:p w14:paraId="5FFD5858">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5.不准介绍和安排甲方人员及其配偶、子女、其他亲属朋友及身边工作人员参与同甲方工程项目有关的设备、材料、工程分包、劳务等经济活动。</w:t>
      </w:r>
    </w:p>
    <w:p w14:paraId="4979A42D">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（二）组织项目负责人及相关管理人员层层签订廉洁从业责任状，明确廉洁责任，形成有效的内部监督管理机制。</w:t>
      </w:r>
    </w:p>
    <w:p w14:paraId="21DE0F75">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（三）按甲方要求参加廉政座谈、法制讲座、参观监狱等活动，加强对项目负责人及相关管理人员的法律法规、廉洁和职业道德教育，共同筑牢防腐防线。</w:t>
      </w:r>
    </w:p>
    <w:p w14:paraId="15F8B072">
      <w:pPr>
        <w:adjustRightInd w:val="0"/>
        <w:snapToGrid w:val="0"/>
        <w:spacing w:line="360" w:lineRule="auto"/>
        <w:ind w:firstLine="482" w:firstLineChars="200"/>
        <w:rPr>
          <w:rFonts w:ascii="宋体" w:hAnsi="宋体"/>
          <w:b/>
          <w:bCs/>
          <w:snapToGrid w:val="0"/>
          <w:color w:val="auto"/>
          <w:sz w:val="24"/>
          <w:highlight w:val="none"/>
        </w:rPr>
      </w:pPr>
      <w:r>
        <w:rPr>
          <w:rFonts w:hint="eastAsia" w:ascii="宋体" w:hAnsi="宋体"/>
          <w:b/>
          <w:bCs/>
          <w:snapToGrid w:val="0"/>
          <w:color w:val="auto"/>
          <w:sz w:val="24"/>
          <w:highlight w:val="none"/>
        </w:rPr>
        <w:t>第四条 违约责任</w:t>
      </w:r>
    </w:p>
    <w:p w14:paraId="70F0E40D">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（一）甲方的违约责任</w:t>
      </w:r>
    </w:p>
    <w:p w14:paraId="7578D3DE">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1.甲方不履行或不完全履行本协议书有关责任义务给乙方造成损失的，在乙方提交足够证据并经查证属实的情况下，甲方应赔偿其直接经济损失。</w:t>
      </w:r>
    </w:p>
    <w:p w14:paraId="4FF61C7F">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2.甲方人员出现受贿等严重违法违纪违规行为的，按照管理权限，依据有关法律法规和规定给予党纪、政纪处分或组织处理；涉嫌犯罪的，移交司法机关查处。</w:t>
      </w:r>
    </w:p>
    <w:p w14:paraId="2493F56E">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（二）乙方的违约责任</w:t>
      </w:r>
    </w:p>
    <w:p w14:paraId="4FB285DE">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1.甲方不履行或不完全履行本协议书有关责任义务给乙方造成损失的，在乙方提交足够证据并经查证属实的情况下，甲方应赔偿其直接经济损失。</w:t>
      </w:r>
    </w:p>
    <w:p w14:paraId="07DC21B9">
      <w:pPr>
        <w:adjustRightInd w:val="0"/>
        <w:snapToGrid w:val="0"/>
        <w:spacing w:line="360" w:lineRule="auto"/>
        <w:ind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2.乙方出现严重违法违纪违规行为的，甲方将移送检察或监察机关依法查处，并提请建设行政主管部门根据《广州市建筑市场廉洁准入规定（试行）》进行处理。</w:t>
      </w:r>
    </w:p>
    <w:p w14:paraId="1D4A0A67">
      <w:pPr>
        <w:adjustRightInd w:val="0"/>
        <w:snapToGrid w:val="0"/>
        <w:spacing w:line="360" w:lineRule="auto"/>
        <w:ind w:firstLine="482" w:firstLineChars="200"/>
        <w:rPr>
          <w:rFonts w:ascii="宋体" w:hAnsi="宋体"/>
          <w:bCs/>
          <w:snapToGrid w:val="0"/>
          <w:color w:val="auto"/>
          <w:sz w:val="24"/>
          <w:highlight w:val="none"/>
        </w:rPr>
      </w:pPr>
      <w:r>
        <w:rPr>
          <w:rFonts w:hint="eastAsia" w:ascii="宋体" w:hAnsi="宋体"/>
          <w:b/>
          <w:bCs/>
          <w:snapToGrid w:val="0"/>
          <w:color w:val="auto"/>
          <w:sz w:val="24"/>
          <w:highlight w:val="none"/>
        </w:rPr>
        <w:t xml:space="preserve">第五条 </w:t>
      </w:r>
      <w:r>
        <w:rPr>
          <w:rFonts w:hint="eastAsia" w:ascii="宋体" w:hAnsi="宋体"/>
          <w:bCs/>
          <w:snapToGrid w:val="0"/>
          <w:color w:val="auto"/>
          <w:sz w:val="24"/>
          <w:highlight w:val="none"/>
        </w:rPr>
        <w:t>本协议书作为合同的附件，与合同具有同等法律效力。经双方签字盖章后生效，至所属工程项目合同履行完毕时终止。</w:t>
      </w:r>
    </w:p>
    <w:p w14:paraId="34445864">
      <w:pPr>
        <w:adjustRightInd w:val="0"/>
        <w:snapToGrid w:val="0"/>
        <w:spacing w:line="360" w:lineRule="auto"/>
        <w:ind w:firstLine="482" w:firstLineChars="200"/>
        <w:rPr>
          <w:rFonts w:ascii="宋体" w:hAnsi="宋体"/>
          <w:bCs/>
          <w:snapToGrid w:val="0"/>
          <w:color w:val="auto"/>
          <w:sz w:val="24"/>
          <w:highlight w:val="none"/>
        </w:rPr>
      </w:pPr>
      <w:r>
        <w:rPr>
          <w:rFonts w:hint="eastAsia" w:ascii="宋体" w:hAnsi="宋体"/>
          <w:b/>
          <w:bCs/>
          <w:snapToGrid w:val="0"/>
          <w:color w:val="auto"/>
          <w:sz w:val="24"/>
          <w:highlight w:val="none"/>
        </w:rPr>
        <w:t xml:space="preserve">第六条 </w:t>
      </w:r>
      <w:r>
        <w:rPr>
          <w:rFonts w:hint="eastAsia" w:ascii="宋体" w:hAnsi="宋体"/>
          <w:bCs/>
          <w:snapToGrid w:val="0"/>
          <w:color w:val="auto"/>
          <w:sz w:val="24"/>
          <w:highlight w:val="none"/>
        </w:rPr>
        <w:t>未尽事宜，由双方协商解决。</w:t>
      </w:r>
    </w:p>
    <w:p w14:paraId="7A40733B">
      <w:pPr>
        <w:adjustRightInd w:val="0"/>
        <w:snapToGrid w:val="0"/>
        <w:spacing w:line="360" w:lineRule="auto"/>
        <w:ind w:firstLine="480" w:firstLineChars="200"/>
        <w:rPr>
          <w:rFonts w:ascii="宋体" w:hAnsi="宋体"/>
          <w:bCs/>
          <w:snapToGrid w:val="0"/>
          <w:color w:val="auto"/>
          <w:sz w:val="24"/>
          <w:highlight w:val="none"/>
        </w:rPr>
      </w:pPr>
    </w:p>
    <w:p w14:paraId="6A17D12A">
      <w:pPr>
        <w:adjustRightInd w:val="0"/>
        <w:snapToGrid w:val="0"/>
        <w:spacing w:line="360" w:lineRule="auto"/>
        <w:rPr>
          <w:rFonts w:ascii="宋体" w:hAnsi="宋体"/>
          <w:bCs/>
          <w:snapToGrid w:val="0"/>
          <w:color w:val="auto"/>
          <w:sz w:val="24"/>
          <w:highlight w:val="none"/>
        </w:rPr>
      </w:pPr>
    </w:p>
    <w:p w14:paraId="1AA92BDE">
      <w:pPr>
        <w:adjustRightInd w:val="0"/>
        <w:snapToGrid w:val="0"/>
        <w:spacing w:line="360" w:lineRule="auto"/>
        <w:ind w:left="5520" w:hanging="5520" w:hangingChars="2300"/>
        <w:rPr>
          <w:rFonts w:hint="eastAsia" w:ascii="宋体" w:hAnsi="宋体"/>
          <w:bCs/>
          <w:snapToGrid w:val="0"/>
          <w:color w:val="auto"/>
          <w:sz w:val="24"/>
          <w:highlight w:val="none"/>
          <w:lang w:eastAsia="zh-CN"/>
        </w:rPr>
      </w:pPr>
      <w:r>
        <w:rPr>
          <w:rFonts w:hint="eastAsia" w:ascii="宋体" w:hAnsi="宋体"/>
          <w:bCs/>
          <w:snapToGrid w:val="0"/>
          <w:color w:val="auto"/>
          <w:sz w:val="24"/>
          <w:highlight w:val="none"/>
        </w:rPr>
        <w:t>甲方：</w:t>
      </w:r>
      <w:r>
        <w:rPr>
          <w:rFonts w:hint="eastAsia" w:ascii="宋体" w:hAnsi="宋体"/>
          <w:bCs/>
          <w:snapToGrid w:val="0"/>
          <w:color w:val="auto"/>
          <w:sz w:val="24"/>
          <w:highlight w:val="none"/>
          <w:lang w:eastAsia="zh-CN"/>
        </w:rPr>
        <w:t>广州环五山创新策源区</w:t>
      </w:r>
      <w:r>
        <w:rPr>
          <w:rFonts w:hint="eastAsia" w:ascii="宋体" w:hAnsi="宋体"/>
          <w:bCs/>
          <w:snapToGrid w:val="0"/>
          <w:color w:val="auto"/>
          <w:sz w:val="24"/>
          <w:highlight w:val="none"/>
          <w:lang w:val="en-US" w:eastAsia="zh-CN"/>
        </w:rPr>
        <w:t xml:space="preserve">               </w:t>
      </w:r>
      <w:r>
        <w:rPr>
          <w:rFonts w:hint="eastAsia" w:ascii="宋体" w:hAnsi="宋体"/>
          <w:bCs/>
          <w:snapToGrid w:val="0"/>
          <w:color w:val="auto"/>
          <w:sz w:val="24"/>
          <w:highlight w:val="none"/>
        </w:rPr>
        <w:t>乙方：</w:t>
      </w:r>
    </w:p>
    <w:p w14:paraId="6376F10F">
      <w:pPr>
        <w:adjustRightInd w:val="0"/>
        <w:snapToGrid w:val="0"/>
        <w:spacing w:line="360" w:lineRule="auto"/>
        <w:ind w:left="5520" w:hanging="5520" w:hangingChars="2300"/>
        <w:rPr>
          <w:rFonts w:ascii="宋体" w:hAnsi="宋体"/>
          <w:bCs/>
          <w:snapToGrid w:val="0"/>
          <w:color w:val="auto"/>
          <w:sz w:val="24"/>
          <w:highlight w:val="none"/>
        </w:rPr>
      </w:pPr>
      <w:r>
        <w:rPr>
          <w:rFonts w:hint="eastAsia" w:ascii="宋体" w:hAnsi="宋体"/>
          <w:bCs/>
          <w:snapToGrid w:val="0"/>
          <w:color w:val="auto"/>
          <w:sz w:val="24"/>
          <w:highlight w:val="none"/>
          <w:lang w:eastAsia="zh-CN"/>
        </w:rPr>
        <w:t>元岗城市更新有限公司</w:t>
      </w:r>
      <w:r>
        <w:rPr>
          <w:rFonts w:hint="eastAsia" w:ascii="宋体" w:hAnsi="宋体"/>
          <w:bCs/>
          <w:snapToGrid w:val="0"/>
          <w:color w:val="auto"/>
          <w:sz w:val="24"/>
          <w:highlight w:val="none"/>
        </w:rPr>
        <w:t xml:space="preserve">     </w:t>
      </w:r>
    </w:p>
    <w:p w14:paraId="769AB199">
      <w:pPr>
        <w:adjustRightInd w:val="0"/>
        <w:snapToGrid w:val="0"/>
        <w:spacing w:line="360" w:lineRule="auto"/>
        <w:rPr>
          <w:rFonts w:ascii="宋体" w:hAnsi="宋体"/>
          <w:bCs/>
          <w:snapToGrid w:val="0"/>
          <w:color w:val="auto"/>
          <w:sz w:val="24"/>
          <w:highlight w:val="none"/>
        </w:rPr>
      </w:pPr>
    </w:p>
    <w:p w14:paraId="3AD53E6A">
      <w:pPr>
        <w:adjustRightInd w:val="0"/>
        <w:snapToGrid w:val="0"/>
        <w:spacing w:line="360" w:lineRule="auto"/>
        <w:rPr>
          <w:rFonts w:ascii="宋体" w:hAnsi="宋体"/>
          <w:snapToGrid w:val="0"/>
          <w:color w:val="auto"/>
          <w:sz w:val="24"/>
          <w:highlight w:val="none"/>
        </w:rPr>
      </w:pPr>
      <w:r>
        <w:rPr>
          <w:rFonts w:hint="eastAsia" w:ascii="宋体" w:hAnsi="宋体"/>
          <w:bCs/>
          <w:snapToGrid w:val="0"/>
          <w:color w:val="auto"/>
          <w:sz w:val="24"/>
          <w:highlight w:val="none"/>
        </w:rPr>
        <w:t>法定代表人：                            法定代表人：</w:t>
      </w:r>
    </w:p>
    <w:p w14:paraId="6201F0B6">
      <w:pPr>
        <w:pStyle w:val="57"/>
        <w:tabs>
          <w:tab w:val="left" w:pos="3420"/>
          <w:tab w:val="left" w:pos="3600"/>
        </w:tabs>
        <w:spacing w:line="360" w:lineRule="auto"/>
        <w:rPr>
          <w:rFonts w:ascii="宋体" w:hAnsi="宋体"/>
          <w:color w:val="auto"/>
          <w:sz w:val="24"/>
          <w:highlight w:val="none"/>
        </w:rPr>
      </w:pPr>
      <w:r>
        <w:rPr>
          <w:rFonts w:hint="eastAsia" w:ascii="宋体" w:hAnsi="宋体"/>
          <w:color w:val="auto"/>
          <w:sz w:val="24"/>
          <w:highlight w:val="none"/>
        </w:rPr>
        <w:t>其授权的代理人：                        其授权的代理人：</w:t>
      </w:r>
    </w:p>
    <w:p w14:paraId="5CED3A49">
      <w:pPr>
        <w:adjustRightInd w:val="0"/>
        <w:snapToGrid w:val="0"/>
        <w:spacing w:line="360" w:lineRule="auto"/>
        <w:rPr>
          <w:rFonts w:ascii="宋体" w:hAnsi="宋体"/>
          <w:snapToGrid w:val="0"/>
          <w:color w:val="auto"/>
          <w:sz w:val="24"/>
          <w:highlight w:val="none"/>
        </w:rPr>
      </w:pPr>
    </w:p>
    <w:p w14:paraId="4A97053C">
      <w:pPr>
        <w:adjustRightInd w:val="0"/>
        <w:snapToGrid w:val="0"/>
        <w:spacing w:line="360" w:lineRule="auto"/>
        <w:ind w:right="600"/>
        <w:rPr>
          <w:rFonts w:ascii="宋体" w:hAnsi="宋体"/>
          <w:bCs/>
          <w:snapToGrid w:val="0"/>
          <w:color w:val="auto"/>
          <w:sz w:val="24"/>
          <w:highlight w:val="none"/>
        </w:rPr>
      </w:pPr>
      <w:r>
        <w:rPr>
          <w:rFonts w:hint="eastAsia" w:ascii="宋体" w:hAnsi="宋体"/>
          <w:bCs/>
          <w:snapToGrid w:val="0"/>
          <w:color w:val="auto"/>
          <w:sz w:val="24"/>
          <w:highlight w:val="none"/>
        </w:rPr>
        <w:t>日期：202  年   月   日</w:t>
      </w:r>
    </w:p>
    <w:p w14:paraId="51781B2B">
      <w:pPr>
        <w:rPr>
          <w:rFonts w:ascii="宋体" w:hAnsi="宋体"/>
          <w:color w:val="auto"/>
          <w:highlight w:val="none"/>
        </w:rPr>
      </w:pPr>
      <w:r>
        <w:rPr>
          <w:rFonts w:ascii="宋体" w:hAnsi="宋体"/>
          <w:color w:val="auto"/>
          <w:highlight w:val="none"/>
        </w:rPr>
        <w:br w:type="page"/>
      </w:r>
    </w:p>
    <w:p w14:paraId="3E9ED4C1">
      <w:pPr>
        <w:pStyle w:val="27"/>
        <w:ind w:firstLine="0" w:firstLineChars="0"/>
        <w:rPr>
          <w:rFonts w:ascii="宋体" w:hAnsi="宋体"/>
          <w:snapToGrid w:val="0"/>
          <w:color w:val="auto"/>
          <w:sz w:val="24"/>
          <w:highlight w:val="none"/>
        </w:rPr>
      </w:pPr>
      <w:r>
        <w:rPr>
          <w:rFonts w:ascii="宋体" w:hAnsi="宋体"/>
          <w:snapToGrid w:val="0"/>
          <w:color w:val="auto"/>
          <w:sz w:val="24"/>
          <w:highlight w:val="none"/>
        </w:rPr>
        <w:t>附件</w:t>
      </w:r>
      <w:r>
        <w:rPr>
          <w:rFonts w:hint="eastAsia" w:ascii="宋体" w:hAnsi="宋体"/>
          <w:snapToGrid w:val="0"/>
          <w:color w:val="auto"/>
          <w:sz w:val="24"/>
          <w:highlight w:val="none"/>
        </w:rPr>
        <w:t>3：报价表</w:t>
      </w:r>
    </w:p>
    <w:p w14:paraId="16D4384D">
      <w:pPr>
        <w:pStyle w:val="27"/>
        <w:ind w:firstLine="0" w:firstLineChars="0"/>
        <w:rPr>
          <w:rFonts w:ascii="宋体" w:hAnsi="宋体"/>
          <w:color w:val="auto"/>
          <w:highlight w:val="none"/>
        </w:rPr>
      </w:pPr>
    </w:p>
    <w:sectPr>
      <w:headerReference r:id="rId11" w:type="default"/>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Kingsoft UE">
    <w:altName w:val="XcGJSymbol"/>
    <w:panose1 w:val="00000000000000000000"/>
    <w:charset w:val="00"/>
    <w:family w:val="auto"/>
    <w:pitch w:val="default"/>
    <w:sig w:usb0="00000000" w:usb1="00000000" w:usb2="00000000" w:usb3="00000000" w:csb0="00000000" w:csb1="00000000"/>
  </w:font>
  <w:font w:name="XcGJSymbol">
    <w:panose1 w:val="020005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54EA1">
    <w:pPr>
      <w:pStyle w:val="18"/>
      <w:jc w:val="center"/>
      <w:rPr>
        <w:rFonts w:ascii="仿宋_GB2312" w:eastAsia="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F7EB7">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1045F">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821279"/>
    </w:sdtPr>
    <w:sdtContent>
      <w:p w14:paraId="019EE70C">
        <w:pPr>
          <w:pStyle w:val="18"/>
          <w:jc w:val="center"/>
        </w:pPr>
        <w:r>
          <w:fldChar w:fldCharType="begin"/>
        </w:r>
        <w:r>
          <w:instrText xml:space="preserve">PAGE   \* MERGEFORMAT</w:instrText>
        </w:r>
        <w:r>
          <w:fldChar w:fldCharType="separate"/>
        </w:r>
        <w:r>
          <w:rPr>
            <w:lang w:val="zh-CN"/>
          </w:rPr>
          <w:t>4</w:t>
        </w:r>
        <w:r>
          <w:fldChar w:fldCharType="end"/>
        </w:r>
      </w:p>
    </w:sdtContent>
  </w:sdt>
  <w:p w14:paraId="5BA1F2BB">
    <w:pPr>
      <w:pStyle w:val="18"/>
      <w:ind w:firstLine="560"/>
      <w:jc w:val="center"/>
      <w:rPr>
        <w:rFonts w:ascii="仿宋_GB2312" w:eastAsia="仿宋_GB2312"/>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222158"/>
    </w:sdtPr>
    <w:sdtContent>
      <w:p w14:paraId="42CD6A51">
        <w:pPr>
          <w:pStyle w:val="18"/>
          <w:jc w:val="center"/>
        </w:pPr>
        <w:r>
          <w:fldChar w:fldCharType="begin"/>
        </w:r>
        <w:r>
          <w:instrText xml:space="preserve">PAGE   \* MERGEFORMAT</w:instrText>
        </w:r>
        <w:r>
          <w:fldChar w:fldCharType="separate"/>
        </w:r>
        <w:r>
          <w:rPr>
            <w:lang w:val="zh-CN"/>
          </w:rPr>
          <w:t>1</w:t>
        </w:r>
        <w:r>
          <w:fldChar w:fldCharType="end"/>
        </w:r>
      </w:p>
    </w:sdtContent>
  </w:sdt>
  <w:p w14:paraId="6D14009A">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B85A5">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1A024">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44401">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43D25">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6247E"/>
    <w:multiLevelType w:val="multilevel"/>
    <w:tmpl w:val="3E56247E"/>
    <w:lvl w:ilvl="0" w:tentative="0">
      <w:start w:val="1"/>
      <w:numFmt w:val="japaneseCounting"/>
      <w:lvlText w:val="第%1条"/>
      <w:lvlJc w:val="left"/>
      <w:pPr>
        <w:ind w:left="1706" w:hanging="855"/>
      </w:pPr>
      <w:rPr>
        <w:rFonts w:hint="eastAsia" w:ascii="宋体" w:hAnsi="宋体" w:eastAsia="宋体"/>
        <w:b/>
        <w:lang w:val="en-US"/>
      </w:rPr>
    </w:lvl>
    <w:lvl w:ilvl="1" w:tentative="0">
      <w:start w:val="1"/>
      <w:numFmt w:val="lowerLetter"/>
      <w:lvlText w:val="%2)"/>
      <w:lvlJc w:val="left"/>
      <w:pPr>
        <w:ind w:left="-4829" w:hanging="420"/>
      </w:pPr>
    </w:lvl>
    <w:lvl w:ilvl="2" w:tentative="0">
      <w:start w:val="1"/>
      <w:numFmt w:val="lowerRoman"/>
      <w:lvlText w:val="%3."/>
      <w:lvlJc w:val="right"/>
      <w:pPr>
        <w:ind w:left="-4409" w:hanging="420"/>
      </w:pPr>
    </w:lvl>
    <w:lvl w:ilvl="3" w:tentative="0">
      <w:start w:val="1"/>
      <w:numFmt w:val="decimal"/>
      <w:lvlText w:val="%4."/>
      <w:lvlJc w:val="left"/>
      <w:pPr>
        <w:ind w:left="-3989" w:hanging="420"/>
      </w:pPr>
    </w:lvl>
    <w:lvl w:ilvl="4" w:tentative="0">
      <w:start w:val="1"/>
      <w:numFmt w:val="lowerLetter"/>
      <w:lvlText w:val="%5)"/>
      <w:lvlJc w:val="left"/>
      <w:pPr>
        <w:ind w:left="-3569" w:hanging="420"/>
      </w:pPr>
    </w:lvl>
    <w:lvl w:ilvl="5" w:tentative="0">
      <w:start w:val="1"/>
      <w:numFmt w:val="lowerRoman"/>
      <w:lvlText w:val="%6."/>
      <w:lvlJc w:val="right"/>
      <w:pPr>
        <w:ind w:left="-3149" w:hanging="420"/>
      </w:pPr>
    </w:lvl>
    <w:lvl w:ilvl="6" w:tentative="0">
      <w:start w:val="1"/>
      <w:numFmt w:val="decimal"/>
      <w:lvlText w:val="%7."/>
      <w:lvlJc w:val="left"/>
      <w:pPr>
        <w:ind w:left="-2729" w:hanging="420"/>
      </w:pPr>
    </w:lvl>
    <w:lvl w:ilvl="7" w:tentative="0">
      <w:start w:val="1"/>
      <w:numFmt w:val="lowerLetter"/>
      <w:lvlText w:val="%8)"/>
      <w:lvlJc w:val="left"/>
      <w:pPr>
        <w:ind w:left="-2309" w:hanging="420"/>
      </w:pPr>
    </w:lvl>
    <w:lvl w:ilvl="8" w:tentative="0">
      <w:start w:val="1"/>
      <w:numFmt w:val="lowerRoman"/>
      <w:lvlText w:val="%9."/>
      <w:lvlJc w:val="right"/>
      <w:pPr>
        <w:ind w:left="-18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Formatting/>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kOGM1M2RmMmJlYjFlNTkzNTNhMWNiZjdmNTExNDMifQ=="/>
  </w:docVars>
  <w:rsids>
    <w:rsidRoot w:val="00E94249"/>
    <w:rsid w:val="00002608"/>
    <w:rsid w:val="0000575B"/>
    <w:rsid w:val="00005C80"/>
    <w:rsid w:val="00015522"/>
    <w:rsid w:val="00022D6B"/>
    <w:rsid w:val="00027F5B"/>
    <w:rsid w:val="00030179"/>
    <w:rsid w:val="000359B5"/>
    <w:rsid w:val="00036ADF"/>
    <w:rsid w:val="00043D4E"/>
    <w:rsid w:val="00057D95"/>
    <w:rsid w:val="000611CE"/>
    <w:rsid w:val="0006485B"/>
    <w:rsid w:val="000675EF"/>
    <w:rsid w:val="000708F5"/>
    <w:rsid w:val="00070CF8"/>
    <w:rsid w:val="000718BF"/>
    <w:rsid w:val="00090541"/>
    <w:rsid w:val="00094A29"/>
    <w:rsid w:val="00094B3E"/>
    <w:rsid w:val="000960F8"/>
    <w:rsid w:val="000A4CC1"/>
    <w:rsid w:val="000B16C4"/>
    <w:rsid w:val="000B1EB6"/>
    <w:rsid w:val="000C0714"/>
    <w:rsid w:val="000C4C14"/>
    <w:rsid w:val="000D5F9E"/>
    <w:rsid w:val="000D6FD3"/>
    <w:rsid w:val="000E0947"/>
    <w:rsid w:val="000F2DCE"/>
    <w:rsid w:val="000F4C08"/>
    <w:rsid w:val="0010066B"/>
    <w:rsid w:val="00100EE0"/>
    <w:rsid w:val="00102253"/>
    <w:rsid w:val="00102BDD"/>
    <w:rsid w:val="0010403C"/>
    <w:rsid w:val="0010499A"/>
    <w:rsid w:val="00111510"/>
    <w:rsid w:val="001149EF"/>
    <w:rsid w:val="001156B6"/>
    <w:rsid w:val="001272A6"/>
    <w:rsid w:val="001323F7"/>
    <w:rsid w:val="00134CCB"/>
    <w:rsid w:val="00136214"/>
    <w:rsid w:val="00142E84"/>
    <w:rsid w:val="00154152"/>
    <w:rsid w:val="00160CA2"/>
    <w:rsid w:val="0016249F"/>
    <w:rsid w:val="00162FFF"/>
    <w:rsid w:val="00164EDB"/>
    <w:rsid w:val="00164F86"/>
    <w:rsid w:val="0016507A"/>
    <w:rsid w:val="00167CBB"/>
    <w:rsid w:val="00170857"/>
    <w:rsid w:val="00170D04"/>
    <w:rsid w:val="00172C33"/>
    <w:rsid w:val="001759B2"/>
    <w:rsid w:val="001A653E"/>
    <w:rsid w:val="001B3B54"/>
    <w:rsid w:val="001C306E"/>
    <w:rsid w:val="001D28D8"/>
    <w:rsid w:val="001D5208"/>
    <w:rsid w:val="001D7F86"/>
    <w:rsid w:val="001E7E4F"/>
    <w:rsid w:val="001F1585"/>
    <w:rsid w:val="001F1C3C"/>
    <w:rsid w:val="001F24F9"/>
    <w:rsid w:val="001F5E13"/>
    <w:rsid w:val="00200E5E"/>
    <w:rsid w:val="00207F73"/>
    <w:rsid w:val="00214FF2"/>
    <w:rsid w:val="00215672"/>
    <w:rsid w:val="00217094"/>
    <w:rsid w:val="00222A77"/>
    <w:rsid w:val="00222F69"/>
    <w:rsid w:val="00227099"/>
    <w:rsid w:val="00233124"/>
    <w:rsid w:val="002357C2"/>
    <w:rsid w:val="00263CDE"/>
    <w:rsid w:val="0026716B"/>
    <w:rsid w:val="002744CE"/>
    <w:rsid w:val="0027487B"/>
    <w:rsid w:val="00290662"/>
    <w:rsid w:val="002925EF"/>
    <w:rsid w:val="00292990"/>
    <w:rsid w:val="002B1C9F"/>
    <w:rsid w:val="002C0E39"/>
    <w:rsid w:val="002C511F"/>
    <w:rsid w:val="002D1629"/>
    <w:rsid w:val="002D499D"/>
    <w:rsid w:val="002D6D46"/>
    <w:rsid w:val="002E0969"/>
    <w:rsid w:val="002E1391"/>
    <w:rsid w:val="002E5939"/>
    <w:rsid w:val="002E64CA"/>
    <w:rsid w:val="002E7A3D"/>
    <w:rsid w:val="002F5973"/>
    <w:rsid w:val="002F5CD7"/>
    <w:rsid w:val="00300507"/>
    <w:rsid w:val="003134EE"/>
    <w:rsid w:val="00320365"/>
    <w:rsid w:val="003329BE"/>
    <w:rsid w:val="00335998"/>
    <w:rsid w:val="003363B8"/>
    <w:rsid w:val="00337191"/>
    <w:rsid w:val="0034092F"/>
    <w:rsid w:val="00344601"/>
    <w:rsid w:val="00347AC9"/>
    <w:rsid w:val="0035403E"/>
    <w:rsid w:val="00354343"/>
    <w:rsid w:val="00355F7B"/>
    <w:rsid w:val="00357D09"/>
    <w:rsid w:val="00360CE0"/>
    <w:rsid w:val="00361CA4"/>
    <w:rsid w:val="0036687A"/>
    <w:rsid w:val="003677DF"/>
    <w:rsid w:val="003747B6"/>
    <w:rsid w:val="003843AB"/>
    <w:rsid w:val="0038662C"/>
    <w:rsid w:val="003A1CB9"/>
    <w:rsid w:val="003A2D6F"/>
    <w:rsid w:val="003B1343"/>
    <w:rsid w:val="003C3280"/>
    <w:rsid w:val="003C4DBF"/>
    <w:rsid w:val="003C4E98"/>
    <w:rsid w:val="003D6852"/>
    <w:rsid w:val="003E4764"/>
    <w:rsid w:val="003E4ED6"/>
    <w:rsid w:val="003F3276"/>
    <w:rsid w:val="003F341A"/>
    <w:rsid w:val="003F6825"/>
    <w:rsid w:val="00402F62"/>
    <w:rsid w:val="00404730"/>
    <w:rsid w:val="00406729"/>
    <w:rsid w:val="00421023"/>
    <w:rsid w:val="004315FD"/>
    <w:rsid w:val="004316F2"/>
    <w:rsid w:val="00435A1C"/>
    <w:rsid w:val="00440CC3"/>
    <w:rsid w:val="00451B1C"/>
    <w:rsid w:val="00456CC2"/>
    <w:rsid w:val="00460065"/>
    <w:rsid w:val="0046090B"/>
    <w:rsid w:val="00460B46"/>
    <w:rsid w:val="00461D50"/>
    <w:rsid w:val="00463BE1"/>
    <w:rsid w:val="00464842"/>
    <w:rsid w:val="0046539E"/>
    <w:rsid w:val="004658BE"/>
    <w:rsid w:val="00466341"/>
    <w:rsid w:val="00485524"/>
    <w:rsid w:val="00491C48"/>
    <w:rsid w:val="004A3C84"/>
    <w:rsid w:val="004B6AEB"/>
    <w:rsid w:val="004D59E9"/>
    <w:rsid w:val="004D7566"/>
    <w:rsid w:val="004E3DEF"/>
    <w:rsid w:val="004E5AFC"/>
    <w:rsid w:val="004F09FC"/>
    <w:rsid w:val="004F33F5"/>
    <w:rsid w:val="004F5EF2"/>
    <w:rsid w:val="005010DD"/>
    <w:rsid w:val="0050420D"/>
    <w:rsid w:val="00515EBE"/>
    <w:rsid w:val="005218B5"/>
    <w:rsid w:val="005357C3"/>
    <w:rsid w:val="00544B29"/>
    <w:rsid w:val="00551EF5"/>
    <w:rsid w:val="00554767"/>
    <w:rsid w:val="0055537D"/>
    <w:rsid w:val="00556746"/>
    <w:rsid w:val="00570881"/>
    <w:rsid w:val="00574E28"/>
    <w:rsid w:val="00577685"/>
    <w:rsid w:val="00582305"/>
    <w:rsid w:val="00586346"/>
    <w:rsid w:val="00587EA7"/>
    <w:rsid w:val="0059412F"/>
    <w:rsid w:val="005A3612"/>
    <w:rsid w:val="005B5864"/>
    <w:rsid w:val="005C5F28"/>
    <w:rsid w:val="005D4864"/>
    <w:rsid w:val="005E3721"/>
    <w:rsid w:val="005E5537"/>
    <w:rsid w:val="005E674F"/>
    <w:rsid w:val="005E7320"/>
    <w:rsid w:val="005F03E8"/>
    <w:rsid w:val="00602CF9"/>
    <w:rsid w:val="00603DA3"/>
    <w:rsid w:val="00606726"/>
    <w:rsid w:val="00613D01"/>
    <w:rsid w:val="006225B1"/>
    <w:rsid w:val="006232A6"/>
    <w:rsid w:val="00623AEF"/>
    <w:rsid w:val="00624E03"/>
    <w:rsid w:val="00641421"/>
    <w:rsid w:val="00646D0F"/>
    <w:rsid w:val="00647A6A"/>
    <w:rsid w:val="006509C7"/>
    <w:rsid w:val="00652812"/>
    <w:rsid w:val="00660CD5"/>
    <w:rsid w:val="0066161F"/>
    <w:rsid w:val="006624AE"/>
    <w:rsid w:val="00662AE9"/>
    <w:rsid w:val="006767B5"/>
    <w:rsid w:val="006845E1"/>
    <w:rsid w:val="00687678"/>
    <w:rsid w:val="00690BC0"/>
    <w:rsid w:val="00697C34"/>
    <w:rsid w:val="006A02CE"/>
    <w:rsid w:val="006A64C6"/>
    <w:rsid w:val="006B484D"/>
    <w:rsid w:val="006B4A99"/>
    <w:rsid w:val="006B4ABB"/>
    <w:rsid w:val="006B5FA3"/>
    <w:rsid w:val="006C2149"/>
    <w:rsid w:val="006D32AA"/>
    <w:rsid w:val="006D5CD3"/>
    <w:rsid w:val="006E0FC7"/>
    <w:rsid w:val="0070064A"/>
    <w:rsid w:val="00700ADB"/>
    <w:rsid w:val="00702C30"/>
    <w:rsid w:val="0071120B"/>
    <w:rsid w:val="007402F3"/>
    <w:rsid w:val="0074269F"/>
    <w:rsid w:val="007449A2"/>
    <w:rsid w:val="00745211"/>
    <w:rsid w:val="00762BE6"/>
    <w:rsid w:val="007645F2"/>
    <w:rsid w:val="00766866"/>
    <w:rsid w:val="00773330"/>
    <w:rsid w:val="00782B93"/>
    <w:rsid w:val="00787BDB"/>
    <w:rsid w:val="00794089"/>
    <w:rsid w:val="007A0203"/>
    <w:rsid w:val="007A5D42"/>
    <w:rsid w:val="007A77D3"/>
    <w:rsid w:val="007B3712"/>
    <w:rsid w:val="007D0700"/>
    <w:rsid w:val="007D2C34"/>
    <w:rsid w:val="007D5030"/>
    <w:rsid w:val="007D692E"/>
    <w:rsid w:val="007E4E22"/>
    <w:rsid w:val="007E670B"/>
    <w:rsid w:val="007E72FD"/>
    <w:rsid w:val="007F1350"/>
    <w:rsid w:val="007F29E7"/>
    <w:rsid w:val="008019FD"/>
    <w:rsid w:val="00810F3F"/>
    <w:rsid w:val="0081275A"/>
    <w:rsid w:val="0082029C"/>
    <w:rsid w:val="00820B21"/>
    <w:rsid w:val="00825501"/>
    <w:rsid w:val="0082711F"/>
    <w:rsid w:val="00831FE8"/>
    <w:rsid w:val="00832E08"/>
    <w:rsid w:val="00833612"/>
    <w:rsid w:val="008338B5"/>
    <w:rsid w:val="008355E7"/>
    <w:rsid w:val="00840217"/>
    <w:rsid w:val="00845B81"/>
    <w:rsid w:val="008538ED"/>
    <w:rsid w:val="0085797F"/>
    <w:rsid w:val="00877C6D"/>
    <w:rsid w:val="00887C6F"/>
    <w:rsid w:val="008A10A2"/>
    <w:rsid w:val="008A1245"/>
    <w:rsid w:val="008A212D"/>
    <w:rsid w:val="008A59C7"/>
    <w:rsid w:val="008B3629"/>
    <w:rsid w:val="008C6CB4"/>
    <w:rsid w:val="008D23FA"/>
    <w:rsid w:val="008E0B4D"/>
    <w:rsid w:val="008F045D"/>
    <w:rsid w:val="008F5C91"/>
    <w:rsid w:val="00900D0D"/>
    <w:rsid w:val="00902AC3"/>
    <w:rsid w:val="00905E98"/>
    <w:rsid w:val="00910815"/>
    <w:rsid w:val="00915621"/>
    <w:rsid w:val="00922698"/>
    <w:rsid w:val="00931C2E"/>
    <w:rsid w:val="0093610A"/>
    <w:rsid w:val="00946DCF"/>
    <w:rsid w:val="0095533C"/>
    <w:rsid w:val="00973B43"/>
    <w:rsid w:val="009749AA"/>
    <w:rsid w:val="00981CD7"/>
    <w:rsid w:val="00983664"/>
    <w:rsid w:val="00992D6B"/>
    <w:rsid w:val="009A4401"/>
    <w:rsid w:val="009A479A"/>
    <w:rsid w:val="009B11ED"/>
    <w:rsid w:val="009B4FEA"/>
    <w:rsid w:val="009B50CF"/>
    <w:rsid w:val="009B6F20"/>
    <w:rsid w:val="009D09C5"/>
    <w:rsid w:val="009D36DE"/>
    <w:rsid w:val="009D548B"/>
    <w:rsid w:val="009D559E"/>
    <w:rsid w:val="009D56D1"/>
    <w:rsid w:val="009D7169"/>
    <w:rsid w:val="009E05E1"/>
    <w:rsid w:val="009E2B54"/>
    <w:rsid w:val="009E561D"/>
    <w:rsid w:val="009F6C03"/>
    <w:rsid w:val="009F6C08"/>
    <w:rsid w:val="00A0203F"/>
    <w:rsid w:val="00A03CB1"/>
    <w:rsid w:val="00A079F6"/>
    <w:rsid w:val="00A13F1B"/>
    <w:rsid w:val="00A317C3"/>
    <w:rsid w:val="00A34507"/>
    <w:rsid w:val="00A4180B"/>
    <w:rsid w:val="00A4216F"/>
    <w:rsid w:val="00A4736B"/>
    <w:rsid w:val="00A622AD"/>
    <w:rsid w:val="00A67C90"/>
    <w:rsid w:val="00A849EA"/>
    <w:rsid w:val="00A91302"/>
    <w:rsid w:val="00A91E66"/>
    <w:rsid w:val="00A93CFA"/>
    <w:rsid w:val="00AA21D4"/>
    <w:rsid w:val="00AA459C"/>
    <w:rsid w:val="00AA5C7E"/>
    <w:rsid w:val="00AB4443"/>
    <w:rsid w:val="00AB515C"/>
    <w:rsid w:val="00AD511F"/>
    <w:rsid w:val="00AE200D"/>
    <w:rsid w:val="00AF0572"/>
    <w:rsid w:val="00AF095D"/>
    <w:rsid w:val="00AF29CD"/>
    <w:rsid w:val="00AF7ACE"/>
    <w:rsid w:val="00B0181D"/>
    <w:rsid w:val="00B10381"/>
    <w:rsid w:val="00B1320E"/>
    <w:rsid w:val="00B169FD"/>
    <w:rsid w:val="00B23353"/>
    <w:rsid w:val="00B26363"/>
    <w:rsid w:val="00B32103"/>
    <w:rsid w:val="00B34210"/>
    <w:rsid w:val="00B41A0B"/>
    <w:rsid w:val="00B41E38"/>
    <w:rsid w:val="00B428F2"/>
    <w:rsid w:val="00B44F83"/>
    <w:rsid w:val="00B51601"/>
    <w:rsid w:val="00B554EF"/>
    <w:rsid w:val="00B60166"/>
    <w:rsid w:val="00B676BC"/>
    <w:rsid w:val="00B7105A"/>
    <w:rsid w:val="00B71F53"/>
    <w:rsid w:val="00B7308B"/>
    <w:rsid w:val="00B8205B"/>
    <w:rsid w:val="00B826A8"/>
    <w:rsid w:val="00B831C2"/>
    <w:rsid w:val="00B85B98"/>
    <w:rsid w:val="00B9754D"/>
    <w:rsid w:val="00B97635"/>
    <w:rsid w:val="00BB4B5C"/>
    <w:rsid w:val="00BB7EF8"/>
    <w:rsid w:val="00BC5D61"/>
    <w:rsid w:val="00BC6E8E"/>
    <w:rsid w:val="00BE2066"/>
    <w:rsid w:val="00BE6FFF"/>
    <w:rsid w:val="00BE7ACB"/>
    <w:rsid w:val="00BF15B1"/>
    <w:rsid w:val="00BF587E"/>
    <w:rsid w:val="00C0146C"/>
    <w:rsid w:val="00C123A8"/>
    <w:rsid w:val="00C1607B"/>
    <w:rsid w:val="00C1723C"/>
    <w:rsid w:val="00C17800"/>
    <w:rsid w:val="00C23046"/>
    <w:rsid w:val="00C412C6"/>
    <w:rsid w:val="00C43AE6"/>
    <w:rsid w:val="00C47C33"/>
    <w:rsid w:val="00C6362F"/>
    <w:rsid w:val="00C638BA"/>
    <w:rsid w:val="00C63E02"/>
    <w:rsid w:val="00C668AD"/>
    <w:rsid w:val="00C77812"/>
    <w:rsid w:val="00C96442"/>
    <w:rsid w:val="00CA15D7"/>
    <w:rsid w:val="00CA1CDF"/>
    <w:rsid w:val="00CA1D75"/>
    <w:rsid w:val="00CA6D08"/>
    <w:rsid w:val="00CC1827"/>
    <w:rsid w:val="00CC2DF2"/>
    <w:rsid w:val="00CC4D34"/>
    <w:rsid w:val="00CC5E74"/>
    <w:rsid w:val="00CC747B"/>
    <w:rsid w:val="00CD6216"/>
    <w:rsid w:val="00CE05FD"/>
    <w:rsid w:val="00CE15F4"/>
    <w:rsid w:val="00CE6C46"/>
    <w:rsid w:val="00D10260"/>
    <w:rsid w:val="00D104A7"/>
    <w:rsid w:val="00D1199E"/>
    <w:rsid w:val="00D13FC4"/>
    <w:rsid w:val="00D14E94"/>
    <w:rsid w:val="00D223E3"/>
    <w:rsid w:val="00D24474"/>
    <w:rsid w:val="00D30237"/>
    <w:rsid w:val="00D302EE"/>
    <w:rsid w:val="00D30D7E"/>
    <w:rsid w:val="00D438C5"/>
    <w:rsid w:val="00D44127"/>
    <w:rsid w:val="00D44457"/>
    <w:rsid w:val="00D47171"/>
    <w:rsid w:val="00D47E5F"/>
    <w:rsid w:val="00D55F3F"/>
    <w:rsid w:val="00D60491"/>
    <w:rsid w:val="00D8546B"/>
    <w:rsid w:val="00D85C79"/>
    <w:rsid w:val="00D87F8C"/>
    <w:rsid w:val="00D92B4B"/>
    <w:rsid w:val="00D9398A"/>
    <w:rsid w:val="00DA59BA"/>
    <w:rsid w:val="00DB6BBC"/>
    <w:rsid w:val="00DC0C14"/>
    <w:rsid w:val="00DC210D"/>
    <w:rsid w:val="00DC3C81"/>
    <w:rsid w:val="00DD5FEA"/>
    <w:rsid w:val="00DE1CA8"/>
    <w:rsid w:val="00DE2C83"/>
    <w:rsid w:val="00DE5307"/>
    <w:rsid w:val="00DE7AB3"/>
    <w:rsid w:val="00DF06D9"/>
    <w:rsid w:val="00DF1E62"/>
    <w:rsid w:val="00DF5251"/>
    <w:rsid w:val="00DF78B8"/>
    <w:rsid w:val="00E01426"/>
    <w:rsid w:val="00E22BF6"/>
    <w:rsid w:val="00E234DB"/>
    <w:rsid w:val="00E25BA0"/>
    <w:rsid w:val="00E316F7"/>
    <w:rsid w:val="00E31BA6"/>
    <w:rsid w:val="00E34535"/>
    <w:rsid w:val="00E36CE4"/>
    <w:rsid w:val="00E4232C"/>
    <w:rsid w:val="00E50FE1"/>
    <w:rsid w:val="00E552DE"/>
    <w:rsid w:val="00E642CD"/>
    <w:rsid w:val="00E7342C"/>
    <w:rsid w:val="00E74DFB"/>
    <w:rsid w:val="00E774FF"/>
    <w:rsid w:val="00E81EEE"/>
    <w:rsid w:val="00E823B0"/>
    <w:rsid w:val="00E82C55"/>
    <w:rsid w:val="00E85037"/>
    <w:rsid w:val="00E930E0"/>
    <w:rsid w:val="00E934AA"/>
    <w:rsid w:val="00E94249"/>
    <w:rsid w:val="00EA005C"/>
    <w:rsid w:val="00EB357D"/>
    <w:rsid w:val="00EB46CC"/>
    <w:rsid w:val="00EB79B2"/>
    <w:rsid w:val="00ED221E"/>
    <w:rsid w:val="00ED2A94"/>
    <w:rsid w:val="00EE330F"/>
    <w:rsid w:val="00EE4897"/>
    <w:rsid w:val="00EE5E4F"/>
    <w:rsid w:val="00EF7803"/>
    <w:rsid w:val="00F20897"/>
    <w:rsid w:val="00F256D3"/>
    <w:rsid w:val="00F27B5A"/>
    <w:rsid w:val="00F33E2F"/>
    <w:rsid w:val="00F35A9B"/>
    <w:rsid w:val="00F36124"/>
    <w:rsid w:val="00F4064B"/>
    <w:rsid w:val="00F42101"/>
    <w:rsid w:val="00F42F71"/>
    <w:rsid w:val="00F433EB"/>
    <w:rsid w:val="00F45839"/>
    <w:rsid w:val="00F51177"/>
    <w:rsid w:val="00F602C6"/>
    <w:rsid w:val="00F61BBB"/>
    <w:rsid w:val="00F64A0C"/>
    <w:rsid w:val="00F66B9A"/>
    <w:rsid w:val="00F76430"/>
    <w:rsid w:val="00F77DFA"/>
    <w:rsid w:val="00F81D0D"/>
    <w:rsid w:val="00F9182F"/>
    <w:rsid w:val="00F97070"/>
    <w:rsid w:val="00F97383"/>
    <w:rsid w:val="00FA2719"/>
    <w:rsid w:val="00FB454C"/>
    <w:rsid w:val="00FB51BC"/>
    <w:rsid w:val="00FB5FB3"/>
    <w:rsid w:val="00FB62C7"/>
    <w:rsid w:val="00FD0FA0"/>
    <w:rsid w:val="00FD4D8B"/>
    <w:rsid w:val="00FE37FA"/>
    <w:rsid w:val="00FE3C22"/>
    <w:rsid w:val="00FE5255"/>
    <w:rsid w:val="01107770"/>
    <w:rsid w:val="034F5556"/>
    <w:rsid w:val="06D623CB"/>
    <w:rsid w:val="07CF44D2"/>
    <w:rsid w:val="07D806C6"/>
    <w:rsid w:val="0AA4213D"/>
    <w:rsid w:val="0CE94194"/>
    <w:rsid w:val="0DCD1B9D"/>
    <w:rsid w:val="10876659"/>
    <w:rsid w:val="114B3C56"/>
    <w:rsid w:val="15480241"/>
    <w:rsid w:val="15610F86"/>
    <w:rsid w:val="15AE022F"/>
    <w:rsid w:val="15CB3652"/>
    <w:rsid w:val="19715BFF"/>
    <w:rsid w:val="1BFF4A6B"/>
    <w:rsid w:val="1C1A64F1"/>
    <w:rsid w:val="1DD6291C"/>
    <w:rsid w:val="1F0922D0"/>
    <w:rsid w:val="1F2B6C23"/>
    <w:rsid w:val="22A4636D"/>
    <w:rsid w:val="23E3231E"/>
    <w:rsid w:val="24B80517"/>
    <w:rsid w:val="25982AFB"/>
    <w:rsid w:val="2C3A55AC"/>
    <w:rsid w:val="2D183365"/>
    <w:rsid w:val="310B620E"/>
    <w:rsid w:val="321C1F52"/>
    <w:rsid w:val="342F0040"/>
    <w:rsid w:val="37647A49"/>
    <w:rsid w:val="38BA00FC"/>
    <w:rsid w:val="3CE435CF"/>
    <w:rsid w:val="3E33254B"/>
    <w:rsid w:val="3EBE33EC"/>
    <w:rsid w:val="3FE00EAE"/>
    <w:rsid w:val="4042644D"/>
    <w:rsid w:val="43AD6CDE"/>
    <w:rsid w:val="43E525A4"/>
    <w:rsid w:val="479E5BB2"/>
    <w:rsid w:val="4978678C"/>
    <w:rsid w:val="497931D4"/>
    <w:rsid w:val="49D258AD"/>
    <w:rsid w:val="49FA39AF"/>
    <w:rsid w:val="4B275EBF"/>
    <w:rsid w:val="4DB0501D"/>
    <w:rsid w:val="4FFC44F5"/>
    <w:rsid w:val="501F67AB"/>
    <w:rsid w:val="549A17CB"/>
    <w:rsid w:val="5741281E"/>
    <w:rsid w:val="587C14DF"/>
    <w:rsid w:val="5EE202B3"/>
    <w:rsid w:val="5F5607E8"/>
    <w:rsid w:val="60640B4F"/>
    <w:rsid w:val="619E3370"/>
    <w:rsid w:val="61E872D8"/>
    <w:rsid w:val="64BC7EA7"/>
    <w:rsid w:val="65DD3805"/>
    <w:rsid w:val="675863D3"/>
    <w:rsid w:val="68665439"/>
    <w:rsid w:val="6BD667C4"/>
    <w:rsid w:val="6C8B6A60"/>
    <w:rsid w:val="6CF85B96"/>
    <w:rsid w:val="70371786"/>
    <w:rsid w:val="767766A3"/>
    <w:rsid w:val="76A43D21"/>
    <w:rsid w:val="788A47FD"/>
    <w:rsid w:val="78C06A82"/>
    <w:rsid w:val="7AF9622F"/>
    <w:rsid w:val="7C2223AE"/>
    <w:rsid w:val="7CEA242A"/>
    <w:rsid w:val="7E1C47BB"/>
    <w:rsid w:val="7FCE4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6"/>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44"/>
    <w:qFormat/>
    <w:uiPriority w:val="9"/>
    <w:pPr>
      <w:keepNext/>
      <w:keepLines/>
      <w:spacing w:before="260" w:after="260" w:line="416" w:lineRule="auto"/>
      <w:outlineLvl w:val="1"/>
    </w:pPr>
    <w:rPr>
      <w:rFonts w:ascii="Cambria" w:hAnsi="Cambria" w:eastAsia="楷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cs="Calibri"/>
      <w:sz w:val="18"/>
      <w:szCs w:val="18"/>
    </w:rPr>
  </w:style>
  <w:style w:type="paragraph" w:styleId="6">
    <w:name w:val="Normal Indent"/>
    <w:basedOn w:val="1"/>
    <w:qFormat/>
    <w:uiPriority w:val="0"/>
    <w:pPr>
      <w:ind w:firstLine="420" w:firstLineChars="200"/>
    </w:pPr>
    <w:rPr>
      <w:rFonts w:ascii="宋体" w:hAnsi="宋体"/>
      <w:color w:val="000000"/>
      <w:szCs w:val="21"/>
    </w:rPr>
  </w:style>
  <w:style w:type="paragraph" w:styleId="7">
    <w:name w:val="Document Map"/>
    <w:basedOn w:val="1"/>
    <w:link w:val="34"/>
    <w:unhideWhenUsed/>
    <w:qFormat/>
    <w:uiPriority w:val="99"/>
    <w:rPr>
      <w:rFonts w:ascii="宋体"/>
      <w:sz w:val="18"/>
      <w:szCs w:val="18"/>
    </w:rPr>
  </w:style>
  <w:style w:type="paragraph" w:styleId="8">
    <w:name w:val="annotation text"/>
    <w:basedOn w:val="1"/>
    <w:link w:val="38"/>
    <w:unhideWhenUsed/>
    <w:qFormat/>
    <w:uiPriority w:val="99"/>
    <w:pPr>
      <w:jc w:val="left"/>
    </w:pPr>
  </w:style>
  <w:style w:type="paragraph" w:styleId="9">
    <w:name w:val="Salutation"/>
    <w:basedOn w:val="1"/>
    <w:next w:val="1"/>
    <w:qFormat/>
    <w:uiPriority w:val="0"/>
    <w:pPr>
      <w:adjustRightInd w:val="0"/>
      <w:spacing w:line="312" w:lineRule="atLeast"/>
      <w:textAlignment w:val="baseline"/>
    </w:pPr>
    <w:rPr>
      <w:rFonts w:ascii="宋体"/>
      <w:kern w:val="0"/>
      <w:sz w:val="28"/>
      <w:szCs w:val="20"/>
    </w:rPr>
  </w:style>
  <w:style w:type="paragraph" w:styleId="10">
    <w:name w:val="Body Text"/>
    <w:basedOn w:val="1"/>
    <w:next w:val="1"/>
    <w:unhideWhenUsed/>
    <w:qFormat/>
    <w:uiPriority w:val="99"/>
    <w:pPr>
      <w:spacing w:before="100" w:beforeAutospacing="1"/>
    </w:pPr>
    <w:rPr>
      <w:kern w:val="0"/>
      <w:sz w:val="20"/>
    </w:rPr>
  </w:style>
  <w:style w:type="paragraph" w:styleId="11">
    <w:name w:val="Body Text Indent"/>
    <w:basedOn w:val="1"/>
    <w:link w:val="43"/>
    <w:qFormat/>
    <w:uiPriority w:val="0"/>
    <w:pPr>
      <w:spacing w:line="360" w:lineRule="auto"/>
      <w:ind w:firstLine="573"/>
    </w:pPr>
    <w:rPr>
      <w:rFonts w:ascii="Times New Roman" w:hAnsi="Times New Roman"/>
      <w:szCs w:val="24"/>
    </w:rPr>
  </w:style>
  <w:style w:type="paragraph" w:styleId="12">
    <w:name w:val="toc 5"/>
    <w:basedOn w:val="1"/>
    <w:next w:val="1"/>
    <w:unhideWhenUsed/>
    <w:qFormat/>
    <w:uiPriority w:val="39"/>
    <w:pPr>
      <w:ind w:left="840"/>
      <w:jc w:val="left"/>
    </w:pPr>
    <w:rPr>
      <w:rFonts w:cs="Calibri"/>
      <w:sz w:val="18"/>
      <w:szCs w:val="18"/>
    </w:rPr>
  </w:style>
  <w:style w:type="paragraph" w:styleId="13">
    <w:name w:val="toc 3"/>
    <w:basedOn w:val="1"/>
    <w:next w:val="1"/>
    <w:unhideWhenUsed/>
    <w:qFormat/>
    <w:uiPriority w:val="39"/>
    <w:pPr>
      <w:ind w:left="420"/>
      <w:jc w:val="left"/>
    </w:pPr>
    <w:rPr>
      <w:rFonts w:cs="Calibri"/>
      <w:i/>
      <w:iCs/>
      <w:sz w:val="20"/>
      <w:szCs w:val="20"/>
    </w:rPr>
  </w:style>
  <w:style w:type="paragraph" w:styleId="14">
    <w:name w:val="Plain Text"/>
    <w:basedOn w:val="1"/>
    <w:link w:val="42"/>
    <w:qFormat/>
    <w:uiPriority w:val="0"/>
    <w:rPr>
      <w:rFonts w:ascii="宋体" w:hAnsi="Courier New"/>
    </w:rPr>
  </w:style>
  <w:style w:type="paragraph" w:styleId="15">
    <w:name w:val="toc 8"/>
    <w:basedOn w:val="1"/>
    <w:next w:val="1"/>
    <w:unhideWhenUsed/>
    <w:qFormat/>
    <w:uiPriority w:val="39"/>
    <w:pPr>
      <w:ind w:left="1470"/>
      <w:jc w:val="left"/>
    </w:pPr>
    <w:rPr>
      <w:rFonts w:cs="Calibri"/>
      <w:sz w:val="18"/>
      <w:szCs w:val="18"/>
    </w:rPr>
  </w:style>
  <w:style w:type="paragraph" w:styleId="16">
    <w:name w:val="Body Text Indent 2"/>
    <w:basedOn w:val="1"/>
    <w:link w:val="60"/>
    <w:semiHidden/>
    <w:unhideWhenUsed/>
    <w:qFormat/>
    <w:uiPriority w:val="99"/>
    <w:pPr>
      <w:spacing w:after="120" w:line="480" w:lineRule="auto"/>
      <w:ind w:left="420" w:leftChars="200"/>
    </w:pPr>
  </w:style>
  <w:style w:type="paragraph" w:styleId="17">
    <w:name w:val="Balloon Text"/>
    <w:basedOn w:val="1"/>
    <w:link w:val="45"/>
    <w:unhideWhenUsed/>
    <w:qFormat/>
    <w:uiPriority w:val="99"/>
    <w:rPr>
      <w:sz w:val="18"/>
      <w:szCs w:val="18"/>
    </w:rPr>
  </w:style>
  <w:style w:type="paragraph" w:styleId="18">
    <w:name w:val="footer"/>
    <w:basedOn w:val="1"/>
    <w:link w:val="36"/>
    <w:unhideWhenUsed/>
    <w:qFormat/>
    <w:uiPriority w:val="99"/>
    <w:pPr>
      <w:tabs>
        <w:tab w:val="center" w:pos="4153"/>
        <w:tab w:val="right" w:pos="8306"/>
      </w:tabs>
      <w:snapToGrid w:val="0"/>
      <w:jc w:val="left"/>
    </w:pPr>
    <w:rPr>
      <w:sz w:val="18"/>
      <w:szCs w:val="18"/>
    </w:rPr>
  </w:style>
  <w:style w:type="paragraph" w:styleId="19">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120" w:after="120"/>
      <w:jc w:val="left"/>
    </w:pPr>
    <w:rPr>
      <w:rFonts w:cs="Calibri"/>
      <w:b/>
      <w:bCs/>
      <w:caps/>
      <w:sz w:val="20"/>
      <w:szCs w:val="20"/>
    </w:rPr>
  </w:style>
  <w:style w:type="paragraph" w:styleId="21">
    <w:name w:val="toc 4"/>
    <w:basedOn w:val="1"/>
    <w:next w:val="1"/>
    <w:unhideWhenUsed/>
    <w:qFormat/>
    <w:uiPriority w:val="39"/>
    <w:pPr>
      <w:ind w:left="630"/>
      <w:jc w:val="left"/>
    </w:pPr>
    <w:rPr>
      <w:rFonts w:cs="Calibri"/>
      <w:sz w:val="18"/>
      <w:szCs w:val="18"/>
    </w:rPr>
  </w:style>
  <w:style w:type="paragraph" w:styleId="22">
    <w:name w:val="toc 6"/>
    <w:basedOn w:val="1"/>
    <w:next w:val="1"/>
    <w:unhideWhenUsed/>
    <w:qFormat/>
    <w:uiPriority w:val="39"/>
    <w:pPr>
      <w:ind w:left="1050"/>
      <w:jc w:val="left"/>
    </w:pPr>
    <w:rPr>
      <w:rFonts w:cs="Calibri"/>
      <w:sz w:val="18"/>
      <w:szCs w:val="18"/>
    </w:rPr>
  </w:style>
  <w:style w:type="paragraph" w:styleId="23">
    <w:name w:val="toc 2"/>
    <w:basedOn w:val="1"/>
    <w:next w:val="1"/>
    <w:unhideWhenUsed/>
    <w:qFormat/>
    <w:uiPriority w:val="39"/>
    <w:pPr>
      <w:ind w:left="210"/>
      <w:jc w:val="left"/>
    </w:pPr>
    <w:rPr>
      <w:rFonts w:cs="Calibri"/>
      <w:smallCaps/>
      <w:sz w:val="20"/>
      <w:szCs w:val="20"/>
    </w:rPr>
  </w:style>
  <w:style w:type="paragraph" w:styleId="24">
    <w:name w:val="toc 9"/>
    <w:basedOn w:val="1"/>
    <w:next w:val="1"/>
    <w:unhideWhenUsed/>
    <w:qFormat/>
    <w:uiPriority w:val="39"/>
    <w:pPr>
      <w:ind w:left="1680"/>
      <w:jc w:val="left"/>
    </w:pPr>
    <w:rPr>
      <w:rFonts w:cs="Calibri"/>
      <w:sz w:val="18"/>
      <w:szCs w:val="18"/>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8"/>
    <w:next w:val="8"/>
    <w:link w:val="37"/>
    <w:unhideWhenUsed/>
    <w:qFormat/>
    <w:uiPriority w:val="99"/>
    <w:rPr>
      <w:b/>
      <w:bCs/>
    </w:rPr>
  </w:style>
  <w:style w:type="paragraph" w:styleId="27">
    <w:name w:val="Body Text First Indent"/>
    <w:basedOn w:val="10"/>
    <w:qFormat/>
    <w:uiPriority w:val="0"/>
    <w:pPr>
      <w:spacing w:after="120"/>
      <w:ind w:firstLine="420" w:firstLineChars="100"/>
    </w:pPr>
    <w:rPr>
      <w:sz w:val="21"/>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unhideWhenUsed/>
    <w:qFormat/>
    <w:uiPriority w:val="99"/>
    <w:rPr>
      <w:color w:val="0000FF"/>
      <w:u w:val="single"/>
    </w:rPr>
  </w:style>
  <w:style w:type="character" w:styleId="32">
    <w:name w:val="annotation reference"/>
    <w:basedOn w:val="30"/>
    <w:unhideWhenUsed/>
    <w:qFormat/>
    <w:uiPriority w:val="99"/>
    <w:rPr>
      <w:sz w:val="21"/>
      <w:szCs w:val="21"/>
    </w:rPr>
  </w:style>
  <w:style w:type="character" w:customStyle="1" w:styleId="33">
    <w:name w:val="页眉 字符"/>
    <w:basedOn w:val="30"/>
    <w:link w:val="19"/>
    <w:qFormat/>
    <w:uiPriority w:val="99"/>
    <w:rPr>
      <w:sz w:val="18"/>
      <w:szCs w:val="18"/>
    </w:rPr>
  </w:style>
  <w:style w:type="character" w:customStyle="1" w:styleId="34">
    <w:name w:val="文档结构图 字符"/>
    <w:basedOn w:val="30"/>
    <w:link w:val="7"/>
    <w:semiHidden/>
    <w:qFormat/>
    <w:uiPriority w:val="99"/>
    <w:rPr>
      <w:rFonts w:ascii="宋体" w:hAnsi="Calibri" w:eastAsia="宋体" w:cs="Times New Roman"/>
      <w:sz w:val="18"/>
      <w:szCs w:val="18"/>
    </w:rPr>
  </w:style>
  <w:style w:type="character" w:customStyle="1" w:styleId="35">
    <w:name w:val="纯文本 Char1"/>
    <w:basedOn w:val="30"/>
    <w:semiHidden/>
    <w:qFormat/>
    <w:uiPriority w:val="99"/>
    <w:rPr>
      <w:rFonts w:ascii="宋体" w:hAnsi="Courier New" w:eastAsia="宋体" w:cs="Courier New"/>
      <w:szCs w:val="21"/>
    </w:rPr>
  </w:style>
  <w:style w:type="character" w:customStyle="1" w:styleId="36">
    <w:name w:val="页脚 字符"/>
    <w:basedOn w:val="30"/>
    <w:link w:val="18"/>
    <w:qFormat/>
    <w:uiPriority w:val="99"/>
    <w:rPr>
      <w:sz w:val="18"/>
      <w:szCs w:val="18"/>
    </w:rPr>
  </w:style>
  <w:style w:type="character" w:customStyle="1" w:styleId="37">
    <w:name w:val="批注主题 字符"/>
    <w:basedOn w:val="38"/>
    <w:link w:val="26"/>
    <w:semiHidden/>
    <w:qFormat/>
    <w:uiPriority w:val="99"/>
    <w:rPr>
      <w:rFonts w:ascii="Calibri" w:hAnsi="Calibri" w:eastAsia="宋体" w:cs="Times New Roman"/>
      <w:b/>
      <w:bCs/>
      <w:kern w:val="2"/>
      <w:sz w:val="21"/>
      <w:szCs w:val="22"/>
    </w:rPr>
  </w:style>
  <w:style w:type="character" w:customStyle="1" w:styleId="38">
    <w:name w:val="批注文字 字符"/>
    <w:basedOn w:val="30"/>
    <w:link w:val="8"/>
    <w:semiHidden/>
    <w:qFormat/>
    <w:uiPriority w:val="99"/>
    <w:rPr>
      <w:rFonts w:ascii="Calibri" w:hAnsi="Calibri" w:eastAsia="宋体" w:cs="Times New Roman"/>
      <w:kern w:val="2"/>
      <w:sz w:val="21"/>
      <w:szCs w:val="22"/>
    </w:rPr>
  </w:style>
  <w:style w:type="character" w:customStyle="1" w:styleId="39">
    <w:name w:val="列表段落 字符"/>
    <w:link w:val="40"/>
    <w:qFormat/>
    <w:locked/>
    <w:uiPriority w:val="34"/>
    <w:rPr>
      <w:rFonts w:ascii="Calibri" w:hAnsi="Calibri" w:eastAsia="宋体" w:cs="Times New Roman"/>
    </w:rPr>
  </w:style>
  <w:style w:type="paragraph" w:styleId="40">
    <w:name w:val="List Paragraph"/>
    <w:basedOn w:val="1"/>
    <w:link w:val="39"/>
    <w:qFormat/>
    <w:uiPriority w:val="34"/>
    <w:pPr>
      <w:ind w:firstLine="420" w:firstLineChars="200"/>
    </w:pPr>
  </w:style>
  <w:style w:type="character" w:customStyle="1" w:styleId="41">
    <w:name w:val="apple-style-span"/>
    <w:basedOn w:val="30"/>
    <w:qFormat/>
    <w:uiPriority w:val="0"/>
  </w:style>
  <w:style w:type="character" w:customStyle="1" w:styleId="42">
    <w:name w:val="纯文本 字符"/>
    <w:link w:val="14"/>
    <w:qFormat/>
    <w:uiPriority w:val="0"/>
    <w:rPr>
      <w:rFonts w:ascii="宋体" w:hAnsi="Courier New"/>
    </w:rPr>
  </w:style>
  <w:style w:type="character" w:customStyle="1" w:styleId="43">
    <w:name w:val="正文文本缩进 字符"/>
    <w:basedOn w:val="30"/>
    <w:link w:val="11"/>
    <w:qFormat/>
    <w:uiPriority w:val="0"/>
    <w:rPr>
      <w:rFonts w:ascii="Times New Roman" w:hAnsi="Times New Roman" w:eastAsia="宋体" w:cs="Times New Roman"/>
      <w:szCs w:val="24"/>
    </w:rPr>
  </w:style>
  <w:style w:type="character" w:customStyle="1" w:styleId="44">
    <w:name w:val="标题 2 字符"/>
    <w:basedOn w:val="30"/>
    <w:link w:val="3"/>
    <w:qFormat/>
    <w:uiPriority w:val="9"/>
    <w:rPr>
      <w:rFonts w:ascii="Cambria" w:hAnsi="Cambria" w:eastAsia="楷体" w:cs="Times New Roman"/>
      <w:b/>
      <w:bCs/>
      <w:sz w:val="32"/>
      <w:szCs w:val="32"/>
    </w:rPr>
  </w:style>
  <w:style w:type="character" w:customStyle="1" w:styleId="45">
    <w:name w:val="批注框文本 字符"/>
    <w:basedOn w:val="30"/>
    <w:link w:val="17"/>
    <w:semiHidden/>
    <w:qFormat/>
    <w:uiPriority w:val="99"/>
    <w:rPr>
      <w:rFonts w:ascii="Calibri" w:hAnsi="Calibri" w:eastAsia="宋体" w:cs="Times New Roman"/>
      <w:sz w:val="18"/>
      <w:szCs w:val="18"/>
    </w:rPr>
  </w:style>
  <w:style w:type="character" w:customStyle="1" w:styleId="46">
    <w:name w:val="标题 1 字符"/>
    <w:basedOn w:val="30"/>
    <w:link w:val="2"/>
    <w:qFormat/>
    <w:uiPriority w:val="9"/>
    <w:rPr>
      <w:rFonts w:ascii="Calibri" w:hAnsi="Calibri" w:eastAsia="黑体" w:cs="Times New Roman"/>
      <w:b/>
      <w:bCs/>
      <w:kern w:val="44"/>
      <w:sz w:val="32"/>
      <w:szCs w:val="44"/>
    </w:rPr>
  </w:style>
  <w:style w:type="paragraph" w:customStyle="1" w:styleId="47">
    <w:name w:val="Char11"/>
    <w:basedOn w:val="7"/>
    <w:qFormat/>
    <w:uiPriority w:val="0"/>
    <w:pPr>
      <w:shd w:val="clear" w:color="auto" w:fill="000080"/>
      <w:adjustRightInd w:val="0"/>
      <w:snapToGrid w:val="0"/>
      <w:spacing w:line="360" w:lineRule="auto"/>
    </w:pPr>
    <w:rPr>
      <w:rFonts w:ascii="Tahoma" w:hAnsi="Tahoma" w:cs="Tahoma"/>
      <w:sz w:val="24"/>
      <w:szCs w:val="24"/>
    </w:rPr>
  </w:style>
  <w:style w:type="paragraph" w:customStyle="1" w:styleId="48">
    <w:name w:val="TOC 标题2"/>
    <w:basedOn w:val="2"/>
    <w:next w:val="1"/>
    <w:unhideWhenUsed/>
    <w:qFormat/>
    <w:uiPriority w:val="39"/>
    <w:pPr>
      <w:widowControl/>
      <w:spacing w:before="240" w:after="0" w:line="259" w:lineRule="auto"/>
      <w:jc w:val="left"/>
      <w:outlineLvl w:val="9"/>
    </w:pPr>
    <w:rPr>
      <w:rFonts w:ascii="Calibri Light" w:hAnsi="Calibri Light" w:eastAsia="宋体"/>
      <w:b w:val="0"/>
      <w:bCs w:val="0"/>
      <w:color w:val="2E75B5"/>
      <w:kern w:val="0"/>
      <w:szCs w:val="32"/>
    </w:rPr>
  </w:style>
  <w:style w:type="paragraph" w:customStyle="1" w:styleId="49">
    <w:name w:val="Char1"/>
    <w:basedOn w:val="7"/>
    <w:qFormat/>
    <w:uiPriority w:val="0"/>
    <w:pPr>
      <w:adjustRightInd w:val="0"/>
      <w:snapToGrid w:val="0"/>
      <w:spacing w:line="360" w:lineRule="auto"/>
    </w:pPr>
    <w:rPr>
      <w:rFonts w:ascii="Tahoma" w:hAnsi="Tahoma" w:cs="Tahoma"/>
      <w:sz w:val="24"/>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2">
    <w:name w:val="列出段落1"/>
    <w:basedOn w:val="1"/>
    <w:qFormat/>
    <w:uiPriority w:val="0"/>
    <w:pPr>
      <w:ind w:firstLine="420" w:firstLineChars="200"/>
    </w:pPr>
    <w:rPr>
      <w:rFonts w:ascii="Times New Roman" w:hAnsi="Times New Roman"/>
      <w:szCs w:val="24"/>
    </w:rPr>
  </w:style>
  <w:style w:type="paragraph" w:customStyle="1" w:styleId="53">
    <w:name w:val="日期1"/>
    <w:basedOn w:val="1"/>
    <w:next w:val="1"/>
    <w:qFormat/>
    <w:uiPriority w:val="0"/>
    <w:pPr>
      <w:adjustRightInd w:val="0"/>
      <w:textAlignment w:val="baseline"/>
    </w:pPr>
    <w:rPr>
      <w:rFonts w:ascii="宋体"/>
      <w:szCs w:val="20"/>
    </w:rPr>
  </w:style>
  <w:style w:type="paragraph" w:customStyle="1" w:styleId="54">
    <w:name w:val="小标题"/>
    <w:basedOn w:val="2"/>
    <w:next w:val="2"/>
    <w:qFormat/>
    <w:uiPriority w:val="0"/>
    <w:pPr>
      <w:keepNext w:val="0"/>
      <w:keepLines w:val="0"/>
      <w:autoSpaceDE w:val="0"/>
      <w:autoSpaceDN w:val="0"/>
      <w:spacing w:before="0" w:after="0" w:line="520" w:lineRule="exact"/>
      <w:jc w:val="center"/>
      <w:outlineLvl w:val="9"/>
    </w:pPr>
    <w:rPr>
      <w:rFonts w:ascii="仿宋" w:hAnsi="仿宋" w:eastAsia="方正小标宋简体" w:cs="仿宋_GB2312"/>
      <w:b w:val="0"/>
      <w:kern w:val="2"/>
      <w:sz w:val="44"/>
      <w:szCs w:val="32"/>
    </w:rPr>
  </w:style>
  <w:style w:type="paragraph" w:customStyle="1" w:styleId="55">
    <w:name w:val="TOC 标题1"/>
    <w:basedOn w:val="2"/>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table" w:customStyle="1" w:styleId="56">
    <w:name w:val="网格型1"/>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8"/>
      <w:szCs w:val="28"/>
      <w:lang w:val="en-US" w:eastAsia="zh-CN" w:bidi="ar-SA"/>
    </w:rPr>
  </w:style>
  <w:style w:type="character" w:customStyle="1" w:styleId="60">
    <w:name w:val="正文文本缩进 2 字符"/>
    <w:basedOn w:val="30"/>
    <w:link w:val="16"/>
    <w:semiHidden/>
    <w:qFormat/>
    <w:uiPriority w:val="99"/>
    <w:rPr>
      <w:kern w:val="2"/>
      <w:sz w:val="21"/>
      <w:szCs w:val="22"/>
    </w:rPr>
  </w:style>
  <w:style w:type="paragraph" w:customStyle="1" w:styleId="61">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015A7-C3F1-4228-A2C9-C7556943163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1516</Words>
  <Characters>1616</Characters>
  <Lines>113</Lines>
  <Paragraphs>32</Paragraphs>
  <TotalTime>6</TotalTime>
  <ScaleCrop>false</ScaleCrop>
  <LinksUpToDate>false</LinksUpToDate>
  <CharactersWithSpaces>1643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2022-12-02T11:11:00Z</dcterms:created>
  <dc:creator>叶赝慈</dc:creator>
  <cp:lastModifiedBy>..</cp:lastModifiedBy>
  <cp:lastPrinted>2022-07-26T11:55:00Z</cp:lastPrinted>
  <dcterms:modified xsi:type="dcterms:W3CDTF">2025-07-21T07:06:57Z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D6821EF370CA437885515CFEB8FB1C47_13</vt:lpwstr>
  </property>
  <property fmtid="{D5CDD505-2E9C-101B-9397-08002B2CF9AE}" pid="4" name="KSOTemplateDocerSaveRecord">
    <vt:lpwstr>eyJoZGlkIjoiYTZlMWU3M2ViM2NmNDIwYTQ3NzM1N2UxYTgxMzBkM2YiLCJ1c2VySWQiOiIzODM2MzE0MjYifQ==</vt:lpwstr>
  </property>
</Properties>
</file>