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6C0F9">
      <w:pPr>
        <w:spacing w:line="360" w:lineRule="auto"/>
        <w:jc w:val="center"/>
        <w:rPr>
          <w:rFonts w:ascii="宋体" w:hAnsi="宋体"/>
          <w:color w:val="000000" w:themeColor="text1"/>
          <w:sz w:val="32"/>
          <w:szCs w:val="32"/>
          <w:highlight w:val="none"/>
          <w:shd w:val="clear" w:color="auto" w:fill="FFFFFF"/>
          <w14:textFill>
            <w14:solidFill>
              <w14:schemeClr w14:val="tx1"/>
            </w14:solidFill>
          </w14:textFill>
        </w:rPr>
      </w:pPr>
    </w:p>
    <w:p w14:paraId="4F2D2840">
      <w:pPr>
        <w:spacing w:line="360" w:lineRule="auto"/>
        <w:jc w:val="center"/>
        <w:rPr>
          <w:rFonts w:hAnsi="宋体"/>
          <w:b/>
          <w:bCs/>
          <w:snapToGrid w:val="0"/>
          <w:color w:val="000000" w:themeColor="text1"/>
          <w:sz w:val="44"/>
          <w:szCs w:val="44"/>
          <w:highlight w:val="none"/>
          <w:shd w:val="clear" w:color="auto" w:fill="FFFFFF"/>
          <w14:textFill>
            <w14:solidFill>
              <w14:schemeClr w14:val="tx1"/>
            </w14:solidFill>
          </w14:textFill>
        </w:rPr>
      </w:pPr>
      <w:r>
        <w:rPr>
          <w:rFonts w:hint="eastAsia" w:hAnsi="宋体"/>
          <w:b/>
          <w:bCs/>
          <w:snapToGrid w:val="0"/>
          <w:color w:val="000000" w:themeColor="text1"/>
          <w:sz w:val="44"/>
          <w:szCs w:val="44"/>
          <w:highlight w:val="none"/>
          <w:shd w:val="clear" w:color="auto" w:fill="FFFFFF"/>
          <w14:textFill>
            <w14:solidFill>
              <w14:schemeClr w14:val="tx1"/>
            </w14:solidFill>
          </w14:textFill>
        </w:rPr>
        <w:t>粤港澳大湾区国际智能检测产业园一期项目检验监测</w:t>
      </w:r>
    </w:p>
    <w:p w14:paraId="7D0467B6">
      <w:pPr>
        <w:rPr>
          <w:rFonts w:ascii="宋体" w:hAnsi="宋体"/>
          <w:color w:val="000000" w:themeColor="text1"/>
          <w:sz w:val="28"/>
          <w:szCs w:val="28"/>
          <w:highlight w:val="none"/>
          <w:shd w:val="clear" w:color="auto" w:fill="FFFFFF"/>
          <w14:textFill>
            <w14:solidFill>
              <w14:schemeClr w14:val="tx1"/>
            </w14:solidFill>
          </w14:textFill>
        </w:rPr>
      </w:pPr>
    </w:p>
    <w:p w14:paraId="23872E20">
      <w:pPr>
        <w:rPr>
          <w:rFonts w:ascii="宋体" w:hAnsi="宋体"/>
          <w:color w:val="000000" w:themeColor="text1"/>
          <w:sz w:val="28"/>
          <w:szCs w:val="28"/>
          <w:highlight w:val="none"/>
          <w:shd w:val="clear" w:color="auto" w:fill="FFFFFF"/>
          <w14:textFill>
            <w14:solidFill>
              <w14:schemeClr w14:val="tx1"/>
            </w14:solidFill>
          </w14:textFill>
        </w:rPr>
      </w:pPr>
    </w:p>
    <w:p w14:paraId="700F2E72">
      <w:pPr>
        <w:rPr>
          <w:rFonts w:ascii="宋体" w:hAnsi="宋体"/>
          <w:color w:val="000000" w:themeColor="text1"/>
          <w:sz w:val="28"/>
          <w:szCs w:val="28"/>
          <w:highlight w:val="none"/>
          <w:shd w:val="clear" w:color="auto" w:fill="FFFFFF"/>
          <w14:textFill>
            <w14:solidFill>
              <w14:schemeClr w14:val="tx1"/>
            </w14:solidFill>
          </w14:textFill>
        </w:rPr>
      </w:pPr>
    </w:p>
    <w:p w14:paraId="5ED3153C">
      <w:pPr>
        <w:rPr>
          <w:rFonts w:ascii="宋体" w:hAnsi="宋体"/>
          <w:color w:val="000000" w:themeColor="text1"/>
          <w:sz w:val="28"/>
          <w:szCs w:val="28"/>
          <w:highlight w:val="none"/>
          <w:shd w:val="clear" w:color="auto" w:fill="FFFFFF"/>
          <w14:textFill>
            <w14:solidFill>
              <w14:schemeClr w14:val="tx1"/>
            </w14:solidFill>
          </w14:textFill>
        </w:rPr>
      </w:pPr>
    </w:p>
    <w:p w14:paraId="51044D35">
      <w:pPr>
        <w:rPr>
          <w:rFonts w:ascii="宋体" w:hAnsi="宋体"/>
          <w:color w:val="000000" w:themeColor="text1"/>
          <w:sz w:val="28"/>
          <w:szCs w:val="28"/>
          <w:highlight w:val="none"/>
          <w:shd w:val="clear" w:color="auto" w:fill="FFFFFF"/>
          <w14:textFill>
            <w14:solidFill>
              <w14:schemeClr w14:val="tx1"/>
            </w14:solidFill>
          </w14:textFill>
        </w:rPr>
      </w:pPr>
    </w:p>
    <w:p w14:paraId="0933470F">
      <w:pPr>
        <w:rPr>
          <w:rFonts w:ascii="宋体" w:hAnsi="宋体"/>
          <w:color w:val="000000" w:themeColor="text1"/>
          <w:sz w:val="28"/>
          <w:szCs w:val="28"/>
          <w:highlight w:val="none"/>
          <w:shd w:val="clear" w:color="auto" w:fill="FFFFFF"/>
          <w14:textFill>
            <w14:solidFill>
              <w14:schemeClr w14:val="tx1"/>
            </w14:solidFill>
          </w14:textFill>
        </w:rPr>
      </w:pPr>
    </w:p>
    <w:p w14:paraId="151F22FA">
      <w:pPr>
        <w:rPr>
          <w:rFonts w:ascii="宋体" w:hAnsi="宋体"/>
          <w:color w:val="000000" w:themeColor="text1"/>
          <w:sz w:val="28"/>
          <w:szCs w:val="28"/>
          <w:highlight w:val="none"/>
          <w:shd w:val="clear" w:color="auto" w:fill="FFFFFF"/>
          <w14:textFill>
            <w14:solidFill>
              <w14:schemeClr w14:val="tx1"/>
            </w14:solidFill>
          </w14:textFill>
        </w:rPr>
      </w:pPr>
    </w:p>
    <w:p w14:paraId="09BD8636">
      <w:pPr>
        <w:rPr>
          <w:rFonts w:ascii="宋体" w:hAnsi="宋体"/>
          <w:color w:val="000000" w:themeColor="text1"/>
          <w:sz w:val="28"/>
          <w:szCs w:val="28"/>
          <w:highlight w:val="none"/>
          <w:shd w:val="clear" w:color="auto" w:fill="FFFFFF"/>
          <w14:textFill>
            <w14:solidFill>
              <w14:schemeClr w14:val="tx1"/>
            </w14:solidFill>
          </w14:textFill>
        </w:rPr>
      </w:pPr>
    </w:p>
    <w:p w14:paraId="5470DF7C">
      <w:pPr>
        <w:rPr>
          <w:rFonts w:ascii="宋体" w:hAnsi="宋体"/>
          <w:color w:val="000000" w:themeColor="text1"/>
          <w:sz w:val="28"/>
          <w:szCs w:val="28"/>
          <w:highlight w:val="none"/>
          <w:shd w:val="clear" w:color="auto" w:fill="FFFFFF"/>
          <w14:textFill>
            <w14:solidFill>
              <w14:schemeClr w14:val="tx1"/>
            </w14:solidFill>
          </w14:textFill>
        </w:rPr>
      </w:pPr>
    </w:p>
    <w:p w14:paraId="460AE182">
      <w:pPr>
        <w:jc w:val="center"/>
        <w:rPr>
          <w:rFonts w:ascii="宋体" w:hAnsi="宋体"/>
          <w:b/>
          <w:color w:val="000000" w:themeColor="text1"/>
          <w:sz w:val="96"/>
          <w:szCs w:val="96"/>
          <w:highlight w:val="none"/>
          <w:shd w:val="clear" w:color="auto" w:fill="FFFFFF"/>
          <w14:textFill>
            <w14:solidFill>
              <w14:schemeClr w14:val="tx1"/>
            </w14:solidFill>
          </w14:textFill>
        </w:rPr>
      </w:pPr>
      <w:r>
        <w:rPr>
          <w:rFonts w:hint="eastAsia" w:ascii="宋体" w:hAnsi="宋体"/>
          <w:b/>
          <w:color w:val="000000" w:themeColor="text1"/>
          <w:sz w:val="96"/>
          <w:szCs w:val="96"/>
          <w:highlight w:val="none"/>
          <w:shd w:val="clear" w:color="auto" w:fill="FFFFFF"/>
          <w14:textFill>
            <w14:solidFill>
              <w14:schemeClr w14:val="tx1"/>
            </w14:solidFill>
          </w14:textFill>
        </w:rPr>
        <w:t>招标公告</w:t>
      </w:r>
    </w:p>
    <w:p w14:paraId="2B6B8312">
      <w:pPr>
        <w:spacing w:line="400" w:lineRule="exact"/>
        <w:rPr>
          <w:rFonts w:ascii="宋体" w:hAnsi="宋体"/>
          <w:b/>
          <w:color w:val="000000" w:themeColor="text1"/>
          <w:highlight w:val="none"/>
          <w:shd w:val="clear" w:color="auto" w:fill="FFFFFF"/>
          <w14:textFill>
            <w14:solidFill>
              <w14:schemeClr w14:val="tx1"/>
            </w14:solidFill>
          </w14:textFill>
        </w:rPr>
      </w:pPr>
    </w:p>
    <w:p w14:paraId="5E27402D">
      <w:pPr>
        <w:spacing w:line="400" w:lineRule="exact"/>
        <w:rPr>
          <w:rFonts w:ascii="宋体" w:hAnsi="宋体"/>
          <w:color w:val="000000" w:themeColor="text1"/>
          <w:highlight w:val="none"/>
          <w:shd w:val="clear" w:color="auto" w:fill="FFFFFF"/>
          <w14:textFill>
            <w14:solidFill>
              <w14:schemeClr w14:val="tx1"/>
            </w14:solidFill>
          </w14:textFill>
        </w:rPr>
      </w:pPr>
    </w:p>
    <w:p w14:paraId="68AB3552">
      <w:pPr>
        <w:spacing w:line="400" w:lineRule="exact"/>
        <w:rPr>
          <w:rFonts w:ascii="宋体" w:hAnsi="宋体"/>
          <w:color w:val="000000" w:themeColor="text1"/>
          <w:highlight w:val="none"/>
          <w:shd w:val="clear" w:color="auto" w:fill="FFFFFF"/>
          <w14:textFill>
            <w14:solidFill>
              <w14:schemeClr w14:val="tx1"/>
            </w14:solidFill>
          </w14:textFill>
        </w:rPr>
      </w:pPr>
    </w:p>
    <w:p w14:paraId="70F23070">
      <w:pPr>
        <w:spacing w:line="400" w:lineRule="exact"/>
        <w:rPr>
          <w:rFonts w:ascii="宋体" w:hAnsi="宋体"/>
          <w:color w:val="000000" w:themeColor="text1"/>
          <w:highlight w:val="none"/>
          <w:shd w:val="clear" w:color="auto" w:fill="FFFFFF"/>
          <w14:textFill>
            <w14:solidFill>
              <w14:schemeClr w14:val="tx1"/>
            </w14:solidFill>
          </w14:textFill>
        </w:rPr>
      </w:pPr>
    </w:p>
    <w:p w14:paraId="0A96CB87">
      <w:pPr>
        <w:spacing w:line="360" w:lineRule="auto"/>
        <w:jc w:val="center"/>
        <w:rPr>
          <w:rFonts w:ascii="宋体" w:hAnsi="宋体"/>
          <w:color w:val="000000" w:themeColor="text1"/>
          <w:highlight w:val="none"/>
          <w:shd w:val="clear" w:color="auto" w:fill="FFFFFF"/>
          <w14:textFill>
            <w14:solidFill>
              <w14:schemeClr w14:val="tx1"/>
            </w14:solidFill>
          </w14:textFill>
        </w:rPr>
      </w:pPr>
    </w:p>
    <w:p w14:paraId="483D5719">
      <w:pPr>
        <w:spacing w:line="360" w:lineRule="auto"/>
        <w:jc w:val="center"/>
        <w:rPr>
          <w:rFonts w:ascii="宋体" w:hAnsi="宋体"/>
          <w:color w:val="000000" w:themeColor="text1"/>
          <w:highlight w:val="none"/>
          <w:shd w:val="clear" w:color="auto" w:fill="FFFFFF"/>
          <w14:textFill>
            <w14:solidFill>
              <w14:schemeClr w14:val="tx1"/>
            </w14:solidFill>
          </w14:textFill>
        </w:rPr>
      </w:pPr>
    </w:p>
    <w:p w14:paraId="13088F08">
      <w:pPr>
        <w:spacing w:line="360" w:lineRule="auto"/>
        <w:jc w:val="center"/>
        <w:rPr>
          <w:rFonts w:ascii="宋体" w:hAnsi="宋体"/>
          <w:color w:val="000000" w:themeColor="text1"/>
          <w:highlight w:val="none"/>
          <w:shd w:val="clear" w:color="auto" w:fill="FFFFFF"/>
          <w14:textFill>
            <w14:solidFill>
              <w14:schemeClr w14:val="tx1"/>
            </w14:solidFill>
          </w14:textFill>
        </w:rPr>
      </w:pPr>
    </w:p>
    <w:p w14:paraId="4D5539AF">
      <w:pPr>
        <w:spacing w:line="360" w:lineRule="auto"/>
        <w:jc w:val="center"/>
        <w:rPr>
          <w:rFonts w:ascii="宋体" w:hAnsi="宋体"/>
          <w:color w:val="000000" w:themeColor="text1"/>
          <w:highlight w:val="none"/>
          <w:shd w:val="clear" w:color="auto" w:fill="FFFFFF"/>
          <w14:textFill>
            <w14:solidFill>
              <w14:schemeClr w14:val="tx1"/>
            </w14:solidFill>
          </w14:textFill>
        </w:rPr>
      </w:pPr>
    </w:p>
    <w:p w14:paraId="7C85FB2E">
      <w:pPr>
        <w:spacing w:line="400" w:lineRule="exact"/>
        <w:rPr>
          <w:rFonts w:ascii="宋体" w:hAnsi="宋体"/>
          <w:color w:val="000000" w:themeColor="text1"/>
          <w:highlight w:val="none"/>
          <w:shd w:val="clear" w:color="auto" w:fill="FFFFFF"/>
          <w14:textFill>
            <w14:solidFill>
              <w14:schemeClr w14:val="tx1"/>
            </w14:solidFill>
          </w14:textFill>
        </w:rPr>
      </w:pPr>
    </w:p>
    <w:p w14:paraId="70742F04">
      <w:pPr>
        <w:spacing w:line="400" w:lineRule="exact"/>
        <w:rPr>
          <w:rFonts w:ascii="宋体" w:hAnsi="宋体"/>
          <w:color w:val="000000" w:themeColor="text1"/>
          <w:highlight w:val="none"/>
          <w:shd w:val="clear" w:color="auto" w:fill="FFFFFF"/>
          <w14:textFill>
            <w14:solidFill>
              <w14:schemeClr w14:val="tx1"/>
            </w14:solidFill>
          </w14:textFill>
        </w:rPr>
      </w:pPr>
    </w:p>
    <w:p w14:paraId="26FAABA5">
      <w:pPr>
        <w:spacing w:line="400" w:lineRule="exact"/>
        <w:rPr>
          <w:rFonts w:ascii="宋体" w:hAnsi="宋体"/>
          <w:color w:val="000000" w:themeColor="text1"/>
          <w:highlight w:val="none"/>
          <w:shd w:val="clear" w:color="auto" w:fill="FFFFFF"/>
          <w14:textFill>
            <w14:solidFill>
              <w14:schemeClr w14:val="tx1"/>
            </w14:solidFill>
          </w14:textFill>
        </w:rPr>
      </w:pPr>
    </w:p>
    <w:p w14:paraId="284B0BBD">
      <w:pPr>
        <w:spacing w:line="360" w:lineRule="auto"/>
        <w:ind w:firstLine="1002" w:firstLineChars="312"/>
        <w:rPr>
          <w:rFonts w:ascii="宋体" w:hAnsi="宋体"/>
          <w:b/>
          <w:bCs/>
          <w:color w:val="000000" w:themeColor="text1"/>
          <w:sz w:val="32"/>
          <w:szCs w:val="32"/>
          <w:highlight w:val="none"/>
          <w:shd w:val="clear" w:color="auto" w:fill="FFFFFF"/>
          <w14:textFill>
            <w14:solidFill>
              <w14:schemeClr w14:val="tx1"/>
            </w14:solidFill>
          </w14:textFill>
        </w:rPr>
      </w:pPr>
      <w:r>
        <w:rPr>
          <w:rFonts w:hint="eastAsia" w:ascii="宋体" w:hAnsi="宋体"/>
          <w:b/>
          <w:bCs/>
          <w:color w:val="000000" w:themeColor="text1"/>
          <w:sz w:val="32"/>
          <w:szCs w:val="32"/>
          <w:highlight w:val="none"/>
          <w:shd w:val="clear" w:color="auto" w:fill="FFFFFF"/>
          <w14:textFill>
            <w14:solidFill>
              <w14:schemeClr w14:val="tx1"/>
            </w14:solidFill>
          </w14:textFill>
        </w:rPr>
        <w:t xml:space="preserve">招  </w:t>
      </w:r>
      <w:r>
        <w:rPr>
          <w:rFonts w:ascii="宋体" w:hAnsi="宋体"/>
          <w:b/>
          <w:bCs/>
          <w:color w:val="000000" w:themeColor="text1"/>
          <w:sz w:val="32"/>
          <w:szCs w:val="32"/>
          <w:highlight w:val="none"/>
          <w:shd w:val="clear" w:color="auto" w:fill="FFFFFF"/>
          <w14:textFill>
            <w14:solidFill>
              <w14:schemeClr w14:val="tx1"/>
            </w14:solidFill>
          </w14:textFill>
        </w:rPr>
        <w:t xml:space="preserve"> </w:t>
      </w:r>
      <w:r>
        <w:rPr>
          <w:rFonts w:hint="eastAsia" w:ascii="宋体" w:hAnsi="宋体"/>
          <w:b/>
          <w:bCs/>
          <w:color w:val="000000" w:themeColor="text1"/>
          <w:sz w:val="32"/>
          <w:szCs w:val="32"/>
          <w:highlight w:val="none"/>
          <w:shd w:val="clear" w:color="auto" w:fill="FFFFFF"/>
          <w14:textFill>
            <w14:solidFill>
              <w14:schemeClr w14:val="tx1"/>
            </w14:solidFill>
          </w14:textFill>
        </w:rPr>
        <w:t xml:space="preserve">标  </w:t>
      </w:r>
      <w:r>
        <w:rPr>
          <w:rFonts w:ascii="宋体" w:hAnsi="宋体"/>
          <w:b/>
          <w:bCs/>
          <w:color w:val="000000" w:themeColor="text1"/>
          <w:sz w:val="32"/>
          <w:szCs w:val="32"/>
          <w:highlight w:val="none"/>
          <w:shd w:val="clear" w:color="auto" w:fill="FFFFFF"/>
          <w14:textFill>
            <w14:solidFill>
              <w14:schemeClr w14:val="tx1"/>
            </w14:solidFill>
          </w14:textFill>
        </w:rPr>
        <w:t xml:space="preserve"> </w:t>
      </w:r>
      <w:r>
        <w:rPr>
          <w:rFonts w:hint="eastAsia" w:ascii="宋体" w:hAnsi="宋体"/>
          <w:b/>
          <w:bCs/>
          <w:color w:val="000000" w:themeColor="text1"/>
          <w:sz w:val="32"/>
          <w:szCs w:val="32"/>
          <w:highlight w:val="none"/>
          <w:shd w:val="clear" w:color="auto" w:fill="FFFFFF"/>
          <w14:textFill>
            <w14:solidFill>
              <w14:schemeClr w14:val="tx1"/>
            </w14:solidFill>
          </w14:textFill>
        </w:rPr>
        <w:t>人：广州太平洋马口铁有限公司</w:t>
      </w:r>
    </w:p>
    <w:p w14:paraId="1816A6D6">
      <w:pPr>
        <w:spacing w:line="360" w:lineRule="auto"/>
        <w:ind w:firstLine="1002" w:firstLineChars="312"/>
        <w:rPr>
          <w:rFonts w:ascii="宋体" w:hAnsi="宋体"/>
          <w:b/>
          <w:bCs/>
          <w:color w:val="000000" w:themeColor="text1"/>
          <w:sz w:val="32"/>
          <w:szCs w:val="32"/>
          <w:highlight w:val="none"/>
          <w:shd w:val="clear" w:color="auto" w:fill="FFFFFF"/>
          <w14:textFill>
            <w14:solidFill>
              <w14:schemeClr w14:val="tx1"/>
            </w14:solidFill>
          </w14:textFill>
        </w:rPr>
      </w:pPr>
      <w:r>
        <w:rPr>
          <w:rFonts w:hint="eastAsia" w:ascii="宋体" w:hAnsi="宋体"/>
          <w:b/>
          <w:bCs/>
          <w:color w:val="000000" w:themeColor="text1"/>
          <w:sz w:val="32"/>
          <w:szCs w:val="32"/>
          <w:highlight w:val="none"/>
          <w:shd w:val="clear" w:color="auto" w:fill="FFFFFF"/>
          <w14:textFill>
            <w14:solidFill>
              <w14:schemeClr w14:val="tx1"/>
            </w14:solidFill>
          </w14:textFill>
        </w:rPr>
        <w:t>招标代理机构：广州新业建设管理有限公司</w:t>
      </w:r>
    </w:p>
    <w:p w14:paraId="60842450">
      <w:pPr>
        <w:spacing w:line="360" w:lineRule="auto"/>
        <w:ind w:firstLine="1002" w:firstLineChars="312"/>
        <w:rPr>
          <w:rFonts w:ascii="宋体" w:hAnsi="宋体"/>
          <w:b/>
          <w:bCs/>
          <w:color w:val="000000" w:themeColor="text1"/>
          <w:sz w:val="32"/>
          <w:szCs w:val="32"/>
          <w:highlight w:val="none"/>
          <w:shd w:val="clear" w:color="auto" w:fill="FFFFFF"/>
          <w14:textFill>
            <w14:solidFill>
              <w14:schemeClr w14:val="tx1"/>
            </w14:solidFill>
          </w14:textFill>
        </w:rPr>
      </w:pPr>
      <w:r>
        <w:rPr>
          <w:rFonts w:hint="eastAsia" w:ascii="宋体" w:hAnsi="宋体"/>
          <w:b/>
          <w:bCs/>
          <w:color w:val="000000" w:themeColor="text1"/>
          <w:sz w:val="32"/>
          <w:szCs w:val="32"/>
          <w:highlight w:val="none"/>
          <w:shd w:val="clear" w:color="auto" w:fill="FFFFFF"/>
          <w14:textFill>
            <w14:solidFill>
              <w14:schemeClr w14:val="tx1"/>
            </w14:solidFill>
          </w14:textFill>
        </w:rPr>
        <w:t>日        期：2025年7月</w:t>
      </w:r>
    </w:p>
    <w:p w14:paraId="29CC481C">
      <w:pPr>
        <w:rPr>
          <w:color w:val="000000" w:themeColor="text1"/>
          <w:highlight w:val="none"/>
          <w14:textFill>
            <w14:solidFill>
              <w14:schemeClr w14:val="tx1"/>
            </w14:solidFill>
          </w14:textFill>
        </w:rPr>
      </w:pPr>
    </w:p>
    <w:p w14:paraId="781A508B">
      <w:pPr>
        <w:rPr>
          <w:color w:val="000000" w:themeColor="text1"/>
          <w:highlight w:val="none"/>
          <w14:textFill>
            <w14:solidFill>
              <w14:schemeClr w14:val="tx1"/>
            </w14:solidFill>
          </w14:textFill>
        </w:rPr>
        <w:sectPr>
          <w:footerReference r:id="rId3" w:type="default"/>
          <w:pgSz w:w="11907" w:h="16840"/>
          <w:pgMar w:top="1417" w:right="1587" w:bottom="1417" w:left="1587" w:header="680" w:footer="680" w:gutter="0"/>
          <w:pgNumType w:start="0"/>
          <w:cols w:space="720" w:num="1"/>
          <w:titlePg/>
        </w:sectPr>
      </w:pPr>
    </w:p>
    <w:p w14:paraId="78BFFDDB">
      <w:pPr>
        <w:rPr>
          <w:color w:val="000000" w:themeColor="text1"/>
          <w:highlight w:val="none"/>
          <w14:textFill>
            <w14:solidFill>
              <w14:schemeClr w14:val="tx1"/>
            </w14:solidFill>
          </w14:textFill>
        </w:rPr>
      </w:pPr>
    </w:p>
    <w:p w14:paraId="7578E6CA">
      <w:pPr>
        <w:spacing w:line="360" w:lineRule="auto"/>
        <w:jc w:val="center"/>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粤港澳大湾区国际智能检测产业园一期项目检验监测招标公告</w:t>
      </w:r>
    </w:p>
    <w:p w14:paraId="49E5F812">
      <w:pPr>
        <w:rPr>
          <w:color w:val="000000" w:themeColor="text1"/>
          <w:highlight w:val="none"/>
          <w14:textFill>
            <w14:solidFill>
              <w14:schemeClr w14:val="tx1"/>
            </w14:solidFill>
          </w14:textFill>
        </w:rPr>
      </w:pPr>
    </w:p>
    <w:p w14:paraId="317EBE01">
      <w:pPr>
        <w:spacing w:line="360" w:lineRule="auto"/>
        <w:rPr>
          <w:rFonts w:ascii="宋体" w:hAnsi="宋体" w:cs="宋体"/>
          <w:b/>
          <w:color w:val="000000" w:themeColor="text1"/>
          <w:sz w:val="28"/>
          <w:szCs w:val="28"/>
          <w:highlight w:val="none"/>
          <w14:textFill>
            <w14:solidFill>
              <w14:schemeClr w14:val="tx1"/>
            </w14:solidFill>
          </w14:textFill>
        </w:rPr>
      </w:pPr>
      <w:bookmarkStart w:id="0" w:name="_Toc511557025"/>
      <w:bookmarkStart w:id="1" w:name="_Toc514099623"/>
      <w:r>
        <w:rPr>
          <w:rFonts w:hint="eastAsia" w:ascii="宋体" w:hAnsi="宋体" w:cs="宋体"/>
          <w:b/>
          <w:color w:val="000000" w:themeColor="text1"/>
          <w:sz w:val="28"/>
          <w:szCs w:val="28"/>
          <w:highlight w:val="none"/>
          <w14:textFill>
            <w14:solidFill>
              <w14:schemeClr w14:val="tx1"/>
            </w14:solidFill>
          </w14:textFill>
        </w:rPr>
        <w:t>1. 招标条件</w:t>
      </w:r>
      <w:bookmarkEnd w:id="0"/>
      <w:bookmarkEnd w:id="1"/>
    </w:p>
    <w:p w14:paraId="634277E9">
      <w:pPr>
        <w:wordWrap w:val="0"/>
        <w:spacing w:line="360" w:lineRule="auto"/>
        <w:ind w:firstLine="480" w:firstLineChars="200"/>
        <w:rPr>
          <w:rFonts w:ascii="宋体" w:hAnsi="宋体" w:cs="宋体"/>
          <w:color w:val="000000" w:themeColor="text1"/>
          <w:sz w:val="24"/>
          <w:highlight w:val="none"/>
          <w14:textFill>
            <w14:solidFill>
              <w14:schemeClr w14:val="tx1"/>
            </w14:solidFill>
          </w14:textFill>
        </w:rPr>
      </w:pPr>
      <w:bookmarkStart w:id="2" w:name="_Toc514099624"/>
      <w:bookmarkStart w:id="3" w:name="_Toc511557026"/>
      <w:r>
        <w:rPr>
          <w:rFonts w:ascii="宋体" w:hAnsi="宋体"/>
          <w:color w:val="000000" w:themeColor="text1"/>
          <w:sz w:val="24"/>
          <w:szCs w:val="24"/>
          <w:highlight w:val="none"/>
          <w14:textFill>
            <w14:solidFill>
              <w14:schemeClr w14:val="tx1"/>
            </w14:solidFill>
          </w14:textFill>
        </w:rPr>
        <w:t>本招标项目</w:t>
      </w:r>
      <w:r>
        <w:rPr>
          <w:rFonts w:hint="eastAsia" w:ascii="宋体" w:hAnsi="宋体"/>
          <w:color w:val="000000" w:themeColor="text1"/>
          <w:sz w:val="24"/>
          <w:szCs w:val="24"/>
          <w:highlight w:val="none"/>
          <w:u w:val="single"/>
          <w14:textFill>
            <w14:solidFill>
              <w14:schemeClr w14:val="tx1"/>
            </w14:solidFill>
          </w14:textFill>
        </w:rPr>
        <w:t>粤港澳大湾区国际智能检测产业园一期项目</w:t>
      </w:r>
      <w:r>
        <w:rPr>
          <w:rFonts w:ascii="宋体" w:hAnsi="宋体"/>
          <w:color w:val="000000" w:themeColor="text1"/>
          <w:sz w:val="24"/>
          <w:szCs w:val="24"/>
          <w:highlight w:val="none"/>
          <w14:textFill>
            <w14:solidFill>
              <w14:schemeClr w14:val="tx1"/>
            </w14:solidFill>
          </w14:textFill>
        </w:rPr>
        <w:t>已由</w:t>
      </w:r>
      <w:r>
        <w:rPr>
          <w:rFonts w:hint="eastAsia" w:ascii="宋体" w:hAnsi="宋体" w:cs="宋体"/>
          <w:bCs/>
          <w:snapToGrid w:val="0"/>
          <w:color w:val="000000" w:themeColor="text1"/>
          <w:sz w:val="24"/>
          <w:highlight w:val="none"/>
          <w:u w:val="single"/>
          <w14:textFill>
            <w14:solidFill>
              <w14:schemeClr w14:val="tx1"/>
            </w14:solidFill>
          </w14:textFill>
        </w:rPr>
        <w:t>广州市黄埔区发展和改革局</w:t>
      </w:r>
      <w:r>
        <w:rPr>
          <w:rFonts w:hint="eastAsia" w:ascii="宋体" w:hAnsi="宋体" w:cs="宋体"/>
          <w:bCs/>
          <w:snapToGrid w:val="0"/>
          <w:color w:val="000000" w:themeColor="text1"/>
          <w:sz w:val="24"/>
          <w:highlight w:val="none"/>
          <w14:textFill>
            <w14:solidFill>
              <w14:schemeClr w14:val="tx1"/>
            </w14:solidFill>
          </w14:textFill>
        </w:rPr>
        <w:t>以</w:t>
      </w:r>
      <w:r>
        <w:rPr>
          <w:rFonts w:hint="eastAsia" w:ascii="宋体" w:hAnsi="宋体" w:cs="宋体"/>
          <w:bCs/>
          <w:snapToGrid w:val="0"/>
          <w:color w:val="000000" w:themeColor="text1"/>
          <w:sz w:val="24"/>
          <w:highlight w:val="none"/>
          <w:u w:val="single"/>
          <w14:textFill>
            <w14:solidFill>
              <w14:schemeClr w14:val="tx1"/>
            </w14:solidFill>
          </w14:textFill>
        </w:rPr>
        <w:t>广东省企业投资项目备案证（</w:t>
      </w:r>
      <w:r>
        <w:rPr>
          <w:rFonts w:hint="eastAsia" w:ascii="宋体" w:hAnsi="宋体" w:cs="宋体"/>
          <w:color w:val="000000" w:themeColor="text1"/>
          <w:sz w:val="24"/>
          <w:highlight w:val="none"/>
          <w:u w:val="single"/>
          <w14:textFill>
            <w14:solidFill>
              <w14:schemeClr w14:val="tx1"/>
            </w14:solidFill>
          </w14:textFill>
        </w:rPr>
        <w:t>2503-440116-04-01-233146</w:t>
      </w:r>
      <w:r>
        <w:rPr>
          <w:rFonts w:hint="eastAsia" w:ascii="宋体" w:hAnsi="宋体" w:cs="宋体"/>
          <w:bCs/>
          <w:snapToGrid w:val="0"/>
          <w:color w:val="000000" w:themeColor="text1"/>
          <w:sz w:val="24"/>
          <w:highlight w:val="none"/>
          <w:u w:val="singl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备案</w:t>
      </w:r>
      <w:r>
        <w:rPr>
          <w:rFonts w:ascii="宋体" w:hAnsi="宋体"/>
          <w:color w:val="000000" w:themeColor="text1"/>
          <w:sz w:val="24"/>
          <w:szCs w:val="24"/>
          <w:highlight w:val="none"/>
          <w14:textFill>
            <w14:solidFill>
              <w14:schemeClr w14:val="tx1"/>
            </w14:solidFill>
          </w14:textFill>
        </w:rPr>
        <w:t>建设</w:t>
      </w:r>
      <w:r>
        <w:rPr>
          <w:rFonts w:hint="eastAsia" w:ascii="宋体" w:hAnsi="宋体" w:cs="宋体"/>
          <w:color w:val="000000" w:themeColor="text1"/>
          <w:sz w:val="24"/>
          <w:highlight w:val="none"/>
          <w14:textFill>
            <w14:solidFill>
              <w14:schemeClr w14:val="tx1"/>
            </w14:solidFill>
          </w14:textFill>
        </w:rPr>
        <w:t>，建设资金来自</w:t>
      </w:r>
      <w:r>
        <w:rPr>
          <w:rFonts w:hint="eastAsia" w:ascii="宋体" w:hAnsi="宋体" w:cs="黑体"/>
          <w:color w:val="000000" w:themeColor="text1"/>
          <w:sz w:val="24"/>
          <w:szCs w:val="24"/>
          <w:highlight w:val="none"/>
          <w:u w:val="single"/>
          <w14:textFill>
            <w14:solidFill>
              <w14:schemeClr w14:val="tx1"/>
            </w14:solidFill>
          </w14:textFill>
        </w:rPr>
        <w:t>企业自筹资金</w:t>
      </w:r>
      <w:r>
        <w:rPr>
          <w:rFonts w:hint="eastAsia" w:ascii="宋体" w:hAnsi="宋体" w:cs="宋体"/>
          <w:color w:val="000000" w:themeColor="text1"/>
          <w:sz w:val="24"/>
          <w:highlight w:val="none"/>
          <w14:textFill>
            <w14:solidFill>
              <w14:schemeClr w14:val="tx1"/>
            </w14:solidFill>
          </w14:textFill>
        </w:rPr>
        <w:t>，招标人为</w:t>
      </w:r>
      <w:r>
        <w:rPr>
          <w:rFonts w:hint="eastAsia" w:ascii="宋体" w:hAnsi="宋体"/>
          <w:snapToGrid w:val="0"/>
          <w:color w:val="000000" w:themeColor="text1"/>
          <w:sz w:val="24"/>
          <w:szCs w:val="24"/>
          <w:highlight w:val="none"/>
          <w:u w:val="single"/>
          <w:shd w:val="clear" w:color="auto" w:fill="FFFFFF"/>
          <w14:textFill>
            <w14:solidFill>
              <w14:schemeClr w14:val="tx1"/>
            </w14:solidFill>
          </w14:textFill>
        </w:rPr>
        <w:t>广州太平洋马口铁有限公司</w:t>
      </w:r>
      <w:r>
        <w:rPr>
          <w:rFonts w:hint="eastAsia" w:ascii="宋体" w:hAnsi="宋体" w:cs="宋体"/>
          <w:color w:val="000000" w:themeColor="text1"/>
          <w:sz w:val="24"/>
          <w:highlight w:val="none"/>
          <w14:textFill>
            <w14:solidFill>
              <w14:schemeClr w14:val="tx1"/>
            </w14:solidFill>
          </w14:textFill>
        </w:rPr>
        <w:t>。项目已具备招标条件，现对该项目的</w:t>
      </w:r>
      <w:r>
        <w:rPr>
          <w:rFonts w:hint="eastAsia" w:ascii="宋体" w:hAnsi="宋体" w:cs="宋体"/>
          <w:color w:val="000000" w:themeColor="text1"/>
          <w:sz w:val="24"/>
          <w:highlight w:val="none"/>
          <w:u w:val="single"/>
          <w14:textFill>
            <w14:solidFill>
              <w14:schemeClr w14:val="tx1"/>
            </w14:solidFill>
          </w14:textFill>
        </w:rPr>
        <w:t>第三方检测、监测服务</w:t>
      </w:r>
      <w:r>
        <w:rPr>
          <w:rFonts w:hint="eastAsia" w:ascii="宋体" w:hAnsi="宋体" w:cs="宋体"/>
          <w:color w:val="000000" w:themeColor="text1"/>
          <w:sz w:val="24"/>
          <w:highlight w:val="none"/>
          <w14:textFill>
            <w14:solidFill>
              <w14:schemeClr w14:val="tx1"/>
            </w14:solidFill>
          </w14:textFill>
        </w:rPr>
        <w:t>进行公开招标。</w:t>
      </w:r>
    </w:p>
    <w:p w14:paraId="075EEA23">
      <w:pPr>
        <w:spacing w:line="360" w:lineRule="auto"/>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2. 项目概况与招标范围</w:t>
      </w:r>
      <w:bookmarkEnd w:id="2"/>
      <w:bookmarkEnd w:id="3"/>
    </w:p>
    <w:p w14:paraId="1C7047D3">
      <w:pPr>
        <w:tabs>
          <w:tab w:val="left" w:pos="7513"/>
        </w:tabs>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2.1招标项目概况</w:t>
      </w:r>
    </w:p>
    <w:p w14:paraId="265E713D">
      <w:pPr>
        <w:tabs>
          <w:tab w:val="left" w:pos="7513"/>
        </w:tabs>
        <w:spacing w:line="360" w:lineRule="auto"/>
        <w:ind w:firstLine="480" w:firstLineChars="200"/>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2.1.1招标项目名称：</w:t>
      </w:r>
      <w:r>
        <w:rPr>
          <w:rFonts w:hint="eastAsia" w:ascii="宋体" w:hAnsi="宋体" w:cs="宋体"/>
          <w:bCs/>
          <w:color w:val="000000" w:themeColor="text1"/>
          <w:sz w:val="24"/>
          <w:szCs w:val="24"/>
          <w:highlight w:val="none"/>
          <w:u w:val="single"/>
          <w14:textFill>
            <w14:solidFill>
              <w14:schemeClr w14:val="tx1"/>
            </w14:solidFill>
          </w14:textFill>
        </w:rPr>
        <w:t>粤港澳大湾区国际智能检测产业园一期项目检验监测</w:t>
      </w:r>
    </w:p>
    <w:p w14:paraId="34A4AE46">
      <w:pPr>
        <w:widowControl/>
        <w:spacing w:line="360" w:lineRule="auto"/>
        <w:ind w:firstLine="480" w:firstLineChars="200"/>
        <w:jc w:val="lef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2.1.2建设地点：</w:t>
      </w:r>
      <w:r>
        <w:rPr>
          <w:rFonts w:hint="eastAsia" w:ascii="宋体" w:hAnsi="宋体" w:cs="黑体"/>
          <w:color w:val="000000" w:themeColor="text1"/>
          <w:sz w:val="24"/>
          <w:szCs w:val="24"/>
          <w:highlight w:val="none"/>
          <w:u w:val="single"/>
          <w14:textFill>
            <w14:solidFill>
              <w14:schemeClr w14:val="tx1"/>
            </w14:solidFill>
          </w14:textFill>
        </w:rPr>
        <w:t>广州市黄埔区夏港街道友谊路102号（广州经济技术开发区）。</w:t>
      </w:r>
    </w:p>
    <w:p w14:paraId="34C18532">
      <w:pPr>
        <w:spacing w:line="360" w:lineRule="auto"/>
        <w:ind w:firstLine="480" w:firstLineChars="200"/>
        <w:jc w:val="left"/>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2.1.3工程建设规模：</w:t>
      </w:r>
      <w:r>
        <w:rPr>
          <w:rFonts w:hint="eastAsia" w:ascii="宋体" w:hAnsi="宋体" w:cs="宋体"/>
          <w:color w:val="000000" w:themeColor="text1"/>
          <w:sz w:val="24"/>
          <w:szCs w:val="24"/>
          <w:highlight w:val="none"/>
          <w:u w:val="single"/>
          <w14:textFill>
            <w14:solidFill>
              <w14:schemeClr w14:val="tx1"/>
            </w14:solidFill>
          </w14:textFill>
        </w:rPr>
        <w:t>项目占地面积约2.8万平方米，总建筑面积约10.5万平方米，规划建设包括2栋中试车间、生产厂房及相关产业配套，建成后主要用于智能检测、医疗设备生产、检测设备生产等。（注：以上数据以最终控规审批方案为准。）</w:t>
      </w:r>
    </w:p>
    <w:p w14:paraId="461B99F2">
      <w:pPr>
        <w:adjustRightInd w:val="0"/>
        <w:snapToGrid w:val="0"/>
        <w:spacing w:line="460" w:lineRule="exact"/>
        <w:ind w:firstLine="480" w:firstLineChars="200"/>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2.1.4</w:t>
      </w:r>
      <w:r>
        <w:rPr>
          <w:rFonts w:hint="eastAsia" w:ascii="宋体" w:hAnsi="宋体" w:cs="宋体"/>
          <w:bCs/>
          <w:color w:val="000000" w:themeColor="text1"/>
          <w:sz w:val="24"/>
          <w:szCs w:val="24"/>
          <w:highlight w:val="none"/>
          <w:shd w:val="clear" w:color="auto" w:fill="FFFFFF"/>
          <w14:textFill>
            <w14:solidFill>
              <w14:schemeClr w14:val="tx1"/>
            </w14:solidFill>
          </w14:textFill>
        </w:rPr>
        <w:t>本项目总投资：</w:t>
      </w:r>
      <w:r>
        <w:rPr>
          <w:rFonts w:hint="eastAsia" w:ascii="宋体" w:hAnsi="宋体" w:cs="宋体"/>
          <w:color w:val="000000" w:themeColor="text1"/>
          <w:sz w:val="24"/>
          <w:szCs w:val="24"/>
          <w:highlight w:val="none"/>
          <w:u w:val="single"/>
          <w14:textFill>
            <w14:solidFill>
              <w14:schemeClr w14:val="tx1"/>
            </w14:solidFill>
          </w14:textFill>
        </w:rPr>
        <w:t>项目建设投资为 51474.11 万元。其中：工程费用 44078.88 万元，工程建设其他费 4944.08 万元，预备费 2451.15 万元。</w:t>
      </w:r>
      <w:r>
        <w:rPr>
          <w:rFonts w:hint="eastAsia" w:ascii="宋体" w:hAnsi="宋体" w:cs="宋体"/>
          <w:color w:val="000000" w:themeColor="text1"/>
          <w:sz w:val="24"/>
          <w:highlight w:val="none"/>
          <w:u w:val="single"/>
          <w14:textFill>
            <w14:solidFill>
              <w14:schemeClr w14:val="tx1"/>
            </w14:solidFill>
          </w14:textFill>
        </w:rPr>
        <w:t>（最终以相关职能部门审定的结果为准)</w:t>
      </w:r>
      <w:r>
        <w:rPr>
          <w:rFonts w:hint="eastAsia" w:ascii="宋体" w:hAnsi="宋体" w:cs="宋体"/>
          <w:color w:val="000000" w:themeColor="text1"/>
          <w:sz w:val="24"/>
          <w:szCs w:val="24"/>
          <w:highlight w:val="none"/>
          <w:u w:val="single"/>
          <w14:textFill>
            <w14:solidFill>
              <w14:schemeClr w14:val="tx1"/>
            </w14:solidFill>
          </w14:textFill>
        </w:rPr>
        <w:t>。</w:t>
      </w:r>
    </w:p>
    <w:p w14:paraId="0039C85B">
      <w:pPr>
        <w:spacing w:line="56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2.1.5</w:t>
      </w:r>
      <w:r>
        <w:rPr>
          <w:rFonts w:hint="eastAsia" w:ascii="宋体" w:hAnsi="宋体" w:cs="宋体"/>
          <w:color w:val="000000" w:themeColor="text1"/>
          <w:sz w:val="24"/>
          <w:szCs w:val="24"/>
          <w:highlight w:val="none"/>
          <w14:textFill>
            <w14:solidFill>
              <w14:schemeClr w14:val="tx1"/>
            </w14:solidFill>
          </w14:textFill>
        </w:rPr>
        <w:t>如在工程实施期间，因国家政策变化、政府部门对本合同工程的计划调整或不可抗力等非委托人原因造成本合同工程停止的，则监理人必须接受终止服务并积极配合发包人做好善后工作，按已实际完成的工作内容和本合同的相关约定结清相应的报酬，其他内容均不得索赔，中标人不得有异议。</w:t>
      </w:r>
    </w:p>
    <w:p w14:paraId="63ADF71E">
      <w:pPr>
        <w:tabs>
          <w:tab w:val="left" w:pos="7513"/>
        </w:tabs>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2.2招标范围</w:t>
      </w:r>
    </w:p>
    <w:p w14:paraId="0C986E80">
      <w:pPr>
        <w:adjustRightIn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2.2.1标段划分：</w:t>
      </w:r>
      <w:r>
        <w:rPr>
          <w:rFonts w:hint="eastAsia" w:ascii="宋体" w:hAnsi="宋体" w:cs="宋体"/>
          <w:bCs/>
          <w:color w:val="000000" w:themeColor="text1"/>
          <w:sz w:val="24"/>
          <w:szCs w:val="24"/>
          <w:highlight w:val="none"/>
          <w:u w:val="single"/>
          <w14:textFill>
            <w14:solidFill>
              <w14:schemeClr w14:val="tx1"/>
            </w14:solidFill>
          </w14:textFill>
        </w:rPr>
        <w:t>本项目共划分1个标段</w:t>
      </w:r>
    </w:p>
    <w:p w14:paraId="1B8557E7">
      <w:pPr>
        <w:wordWrap w:val="0"/>
        <w:spacing w:line="360" w:lineRule="auto"/>
        <w:ind w:firstLine="480" w:firstLineChars="200"/>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2.2.2服务范围：</w:t>
      </w:r>
      <w:r>
        <w:rPr>
          <w:rFonts w:hint="eastAsia" w:ascii="宋体" w:hAnsi="宋体" w:cs="宋体"/>
          <w:bCs/>
          <w:color w:val="000000" w:themeColor="text1"/>
          <w:sz w:val="24"/>
          <w:szCs w:val="24"/>
          <w:highlight w:val="none"/>
          <w:u w:val="single"/>
          <w14:textFill>
            <w14:solidFill>
              <w14:schemeClr w14:val="tx1"/>
            </w14:solidFill>
          </w14:textFill>
        </w:rPr>
        <w:t>为粤港澳大湾区国际智能检测产业园一期项目提供包括但不限于：基坑监测、高支模自动化监测、主体沉降观测、地基基础检测、支护结构检测、现场见证取样（现场材料进场检验检测）、幕墙门窗检测、主体结构实体检测、人防结构实体及人防设备安装质量检测、消防检测、防雷检测（含发电机组负载检测）、智能检测（光纤入户）、室内环境检测、钢结构检测、海绵城市建设评估、建筑节能检测等施工及验收阶段相关的所有第三方检测及监测项目，并提供合格的检测/监测报告。具体检测/监测项目及工程量以清单报价表、设计图纸及有关规范要求、经审批的检测/监测方案、具体实施成果为准。</w:t>
      </w:r>
    </w:p>
    <w:p w14:paraId="4FA42408">
      <w:pPr>
        <w:wordWrap w:val="0"/>
        <w:spacing w:line="360" w:lineRule="auto"/>
        <w:ind w:firstLine="480" w:firstLineChars="200"/>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u w:val="single"/>
          <w14:textFill>
            <w14:solidFill>
              <w14:schemeClr w14:val="tx1"/>
            </w14:solidFill>
          </w14:textFill>
        </w:rPr>
        <w:t>服务范围除以上工作内容外，还包括但不限于以下工作：</w:t>
      </w:r>
    </w:p>
    <w:p w14:paraId="23CA807F">
      <w:pPr>
        <w:wordWrap w:val="0"/>
        <w:spacing w:line="360" w:lineRule="auto"/>
        <w:ind w:firstLine="480" w:firstLineChars="200"/>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u w:val="single"/>
          <w14:textFill>
            <w14:solidFill>
              <w14:schemeClr w14:val="tx1"/>
            </w14:solidFill>
          </w14:textFill>
        </w:rPr>
        <w:t>（1）具体检测/监测项目及工程量以清单报价表、设计图纸及有关规范要求、经审批的检测/监测方案、具体实施成果为准。检测/监测工作须满足工程建设实际需要及质量要求。</w:t>
      </w:r>
    </w:p>
    <w:p w14:paraId="39F365BB">
      <w:pPr>
        <w:wordWrap w:val="0"/>
        <w:spacing w:line="360" w:lineRule="auto"/>
        <w:ind w:firstLine="480" w:firstLineChars="200"/>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u w:val="single"/>
          <w14:textFill>
            <w14:solidFill>
              <w14:schemeClr w14:val="tx1"/>
            </w14:solidFill>
          </w14:textFill>
        </w:rPr>
        <w:t>（2）根据设计文件、施工组织设计、相关规范和相关行政职能部门及招标人要求，结合项目实际情况，编制检测/监测方案，并确保检测/监测方案符合有关规范要求及通过工程所在行政区域的相关建设行政主管部门和监督部门的审批，同时负责协调相关工作，申报检测/监测技术成果的审批，保证技术成果能够通过相关部门认可，确保不因检测/监测工作影响本工程项目的建设进度和竣工验收，由此发生的费用由投标人在投标报价中综合考虑，不再另外计取。</w:t>
      </w:r>
    </w:p>
    <w:p w14:paraId="75D40318">
      <w:pPr>
        <w:wordWrap w:val="0"/>
        <w:spacing w:line="360" w:lineRule="auto"/>
        <w:ind w:firstLine="480" w:firstLineChars="200"/>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u w:val="single"/>
          <w14:textFill>
            <w14:solidFill>
              <w14:schemeClr w14:val="tx1"/>
            </w14:solidFill>
          </w14:textFill>
        </w:rPr>
        <w:t>（3）在进行检测/监测服务过程中，与该工程相关的施工、监理、设计、咨询、代建、业主等相关单位及建设行政主管部门和监督部门协调工作，由此发生的费用由投标人在投标报价中综合考虑，不再另外计取。</w:t>
      </w:r>
    </w:p>
    <w:p w14:paraId="3FE7B08B">
      <w:pPr>
        <w:wordWrap w:val="0"/>
        <w:spacing w:line="360" w:lineRule="auto"/>
        <w:ind w:firstLine="480" w:firstLineChars="200"/>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u w:val="single"/>
          <w14:textFill>
            <w14:solidFill>
              <w14:schemeClr w14:val="tx1"/>
            </w14:solidFill>
          </w14:textFill>
        </w:rPr>
        <w:t>（4）本检测/监测项目已包含监督抽检的工作内容，监督抽检数量按建设行政主管部门要求实施，由此发生的费用由投标人在投标报价中综合考虑，不再另外计取。</w:t>
      </w:r>
    </w:p>
    <w:p w14:paraId="5B688214">
      <w:pPr>
        <w:wordWrap w:val="0"/>
        <w:spacing w:line="360" w:lineRule="auto"/>
        <w:ind w:firstLine="480" w:firstLineChars="200"/>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u w:val="single"/>
          <w14:textFill>
            <w14:solidFill>
              <w14:schemeClr w14:val="tx1"/>
            </w14:solidFill>
          </w14:textFill>
        </w:rPr>
        <w:t>（5）检测/监测数据的有关信息（包括但不限于：合同、计划、方案等）须按当地政府规定上传至广州市建设工程质量检测监管平台及其</w:t>
      </w:r>
      <w:r>
        <w:rPr>
          <w:rFonts w:hint="eastAsia" w:ascii="宋体" w:hAnsi="宋体" w:cs="宋体"/>
          <w:bCs/>
          <w:color w:val="000000" w:themeColor="text1"/>
          <w:sz w:val="24"/>
          <w:highlight w:val="none"/>
          <w:u w:val="single"/>
          <w:lang w:val="en-US" w:eastAsia="zh-CN"/>
          <w14:textFill>
            <w14:solidFill>
              <w14:schemeClr w14:val="tx1"/>
            </w14:solidFill>
          </w14:textFill>
        </w:rPr>
        <w:t>他</w:t>
      </w:r>
      <w:r>
        <w:rPr>
          <w:rFonts w:hint="eastAsia" w:ascii="宋体" w:hAnsi="宋体" w:cs="宋体"/>
          <w:bCs/>
          <w:color w:val="000000" w:themeColor="text1"/>
          <w:sz w:val="24"/>
          <w:highlight w:val="none"/>
          <w:u w:val="single"/>
          <w14:textFill>
            <w14:solidFill>
              <w14:schemeClr w14:val="tx1"/>
            </w14:solidFill>
          </w14:textFill>
        </w:rPr>
        <w:t>政府指定的信息管理系统（如有），根据《广州市城乡建设委员会关于启用地下工程及深基坑安全监测信息管理系统的通知》《广州市住房和城乡建设委员会关于启用高大模板实时监测管理平台的通知》</w:t>
      </w:r>
      <w:r>
        <w:rPr>
          <w:rFonts w:hint="eastAsia" w:ascii="宋体" w:hAnsi="宋体" w:cs="宋体"/>
          <w:bCs/>
          <w:color w:val="000000" w:themeColor="text1"/>
          <w:sz w:val="24"/>
          <w:highlight w:val="none"/>
          <w:u w:val="single"/>
          <w:lang w:val="en-US" w:eastAsia="zh-CN"/>
          <w14:textFill>
            <w14:solidFill>
              <w14:schemeClr w14:val="tx1"/>
            </w14:solidFill>
          </w14:textFill>
        </w:rPr>
        <w:t>的</w:t>
      </w:r>
      <w:r>
        <w:rPr>
          <w:rFonts w:hint="eastAsia" w:ascii="宋体" w:hAnsi="宋体" w:cs="宋体"/>
          <w:bCs/>
          <w:color w:val="000000" w:themeColor="text1"/>
          <w:sz w:val="24"/>
          <w:highlight w:val="none"/>
          <w:u w:val="single"/>
          <w14:textFill>
            <w14:solidFill>
              <w14:schemeClr w14:val="tx1"/>
            </w14:solidFill>
          </w14:textFill>
        </w:rPr>
        <w:t>要求，需做好信息化管理工作（含电子数据上传）确保不因传输报送工作影响本工程项目的建设进度和竣工验收，由此发生的费用由投标人在投标报价中综合考虑，不再另外计取。</w:t>
      </w:r>
    </w:p>
    <w:p w14:paraId="5FC0A23D">
      <w:pPr>
        <w:wordWrap w:val="0"/>
        <w:spacing w:line="360" w:lineRule="auto"/>
        <w:ind w:firstLine="480" w:firstLineChars="200"/>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u w:val="single"/>
          <w14:textFill>
            <w14:solidFill>
              <w14:schemeClr w14:val="tx1"/>
            </w14:solidFill>
          </w14:textFill>
        </w:rPr>
        <w:t>（6）用于完成本项目检测/监测的仪器、设备和材料由中标人自行配备、运输、存管。仪器、设备和材料应有产品出厂合格证、检定/校准证书等合格证明，同时符合相关技术标准和检定要求，该费用由投标人在投标报价中综合考虑，不再另外计取。</w:t>
      </w:r>
    </w:p>
    <w:p w14:paraId="0FD0FBB8">
      <w:pPr>
        <w:wordWrap w:val="0"/>
        <w:spacing w:line="360" w:lineRule="auto"/>
        <w:ind w:firstLine="480" w:firstLineChars="200"/>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u w:val="single"/>
          <w14:textFill>
            <w14:solidFill>
              <w14:schemeClr w14:val="tx1"/>
            </w14:solidFill>
          </w14:textFill>
        </w:rPr>
        <w:t>（7）中标人提交的检测/监测报告在招标人项目实施竣工验收备案时发现因中标人原因有遗漏或错误或需补充提供的，中标人应无条件进行补充或修订直至完成竣工验收备案相应工作，由此发生的费用由投标人在投标报价中综合考虑，不再另外计取。</w:t>
      </w:r>
    </w:p>
    <w:p w14:paraId="7F731371">
      <w:pPr>
        <w:wordWrap w:val="0"/>
        <w:spacing w:line="360" w:lineRule="auto"/>
        <w:ind w:firstLine="480" w:firstLineChars="200"/>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u w:val="single"/>
          <w14:textFill>
            <w14:solidFill>
              <w14:schemeClr w14:val="tx1"/>
            </w14:solidFill>
          </w14:textFill>
        </w:rPr>
        <w:t>（8）监测/观测后，监测/观测数据报警或由于其他客观情况需要，招标人要求中标人进行复检时，中标人应负责进行监测/观测，由此发生的费用由投标人在投标报价中综合考虑，不再另行计取；基坑监测清单中观测费为传统监测费用，自动化监测费用已在观测点埋设中综合考虑，不再另外计取自动化监测费用。</w:t>
      </w:r>
    </w:p>
    <w:p w14:paraId="0495510A">
      <w:pPr>
        <w:wordWrap w:val="0"/>
        <w:spacing w:line="360" w:lineRule="auto"/>
        <w:ind w:firstLine="480" w:firstLineChars="200"/>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u w:val="single"/>
          <w14:textFill>
            <w14:solidFill>
              <w14:schemeClr w14:val="tx1"/>
            </w14:solidFill>
          </w14:textFill>
        </w:rPr>
        <w:t>（9）中标人应向招标人提供非驻场式的技术咨询、支持服务，包括参加本项目相关会议、安排技术人员到现场解决相关问题等服务，人员办公住宿等由中标人自行负责。</w:t>
      </w:r>
    </w:p>
    <w:p w14:paraId="54E2E04F">
      <w:pPr>
        <w:wordWrap w:val="0"/>
        <w:spacing w:line="360" w:lineRule="auto"/>
        <w:ind w:firstLine="480" w:firstLineChars="200"/>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u w:val="single"/>
          <w14:textFill>
            <w14:solidFill>
              <w14:schemeClr w14:val="tx1"/>
            </w14:solidFill>
          </w14:textFill>
        </w:rPr>
        <w:t>（10）中标人检测监测资质不能涵盖的项目，报招标人书面同意后可依法进行分包，由中标人委托具有相应资质的单位进行检测监测。</w:t>
      </w:r>
    </w:p>
    <w:p w14:paraId="0A294574">
      <w:pPr>
        <w:wordWrap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highlight w:val="none"/>
          <w:u w:val="single"/>
          <w14:textFill>
            <w14:solidFill>
              <w14:schemeClr w14:val="tx1"/>
            </w14:solidFill>
          </w14:textFill>
        </w:rPr>
        <w:t>具体详见合同条款。</w:t>
      </w:r>
    </w:p>
    <w:p w14:paraId="6BBABEEF">
      <w:pPr>
        <w:snapToGrid w:val="0"/>
        <w:spacing w:line="360" w:lineRule="auto"/>
        <w:ind w:firstLine="480" w:firstLineChars="200"/>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2.2.3服务期限：</w:t>
      </w:r>
      <w:r>
        <w:rPr>
          <w:rFonts w:hint="eastAsia" w:ascii="宋体" w:hAnsi="宋体" w:cs="宋体"/>
          <w:bCs/>
          <w:color w:val="000000" w:themeColor="text1"/>
          <w:sz w:val="24"/>
          <w:szCs w:val="24"/>
          <w:highlight w:val="none"/>
          <w:u w:val="single"/>
          <w14:textFill>
            <w14:solidFill>
              <w14:schemeClr w14:val="tx1"/>
            </w14:solidFill>
          </w14:textFill>
        </w:rPr>
        <w:t>从中标通知书发出之日起至所有服务项目完成并通过终审验收为止，服务周期必须满足实际施工要求，包括施工准备阶段及施工全过程及竣工验收后需完成的相关服务。具体按合同条款约定。</w:t>
      </w:r>
    </w:p>
    <w:p w14:paraId="4EE05B50">
      <w:pPr>
        <w:tabs>
          <w:tab w:val="left" w:pos="7513"/>
        </w:tabs>
        <w:spacing w:line="360" w:lineRule="auto"/>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2.2.</w:t>
      </w:r>
      <w:bookmarkStart w:id="4" w:name="_Toc514099625"/>
      <w:bookmarkStart w:id="5" w:name="_Toc511557027"/>
      <w:r>
        <w:rPr>
          <w:rFonts w:hint="eastAsia" w:ascii="宋体" w:hAnsi="宋体" w:cs="宋体"/>
          <w:bCs/>
          <w:color w:val="000000" w:themeColor="text1"/>
          <w:sz w:val="24"/>
          <w:szCs w:val="24"/>
          <w:highlight w:val="none"/>
          <w14:textFill>
            <w14:solidFill>
              <w14:schemeClr w14:val="tx1"/>
            </w14:solidFill>
          </w14:textFill>
        </w:rPr>
        <w:t>4最高投标限价（即招标控制价）：</w:t>
      </w:r>
      <w:r>
        <w:rPr>
          <w:rFonts w:hint="eastAsia" w:ascii="宋体" w:hAnsi="宋体" w:cs="宋体"/>
          <w:bCs/>
          <w:color w:val="000000" w:themeColor="text1"/>
          <w:sz w:val="24"/>
          <w:szCs w:val="24"/>
          <w:highlight w:val="none"/>
          <w:u w:val="single"/>
          <w:lang w:eastAsia="zh-CN"/>
          <w14:textFill>
            <w14:solidFill>
              <w14:schemeClr w14:val="tx1"/>
            </w14:solidFill>
          </w14:textFill>
        </w:rPr>
        <w:t xml:space="preserve">8811816.48 </w:t>
      </w:r>
      <w:r>
        <w:rPr>
          <w:rFonts w:hint="eastAsia" w:ascii="宋体" w:hAnsi="宋体" w:cs="宋体"/>
          <w:bCs/>
          <w:color w:val="000000" w:themeColor="text1"/>
          <w:sz w:val="24"/>
          <w:szCs w:val="24"/>
          <w:highlight w:val="none"/>
          <w14:textFill>
            <w14:solidFill>
              <w14:schemeClr w14:val="tx1"/>
            </w14:solidFill>
          </w14:textFill>
        </w:rPr>
        <w:t>元。</w:t>
      </w:r>
    </w:p>
    <w:p w14:paraId="0ABBCF6F">
      <w:pPr>
        <w:spacing w:line="360" w:lineRule="auto"/>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3. 投标人资格要求</w:t>
      </w:r>
      <w:bookmarkEnd w:id="4"/>
      <w:bookmarkEnd w:id="5"/>
    </w:p>
    <w:p w14:paraId="74D8041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bookmarkStart w:id="6" w:name="_Toc511557028"/>
      <w:bookmarkStart w:id="7" w:name="_Toc514099626"/>
      <w:r>
        <w:rPr>
          <w:rFonts w:hint="eastAsia" w:ascii="宋体" w:hAnsi="宋体" w:cs="宋体"/>
          <w:color w:val="000000" w:themeColor="text1"/>
          <w:sz w:val="24"/>
          <w:szCs w:val="24"/>
          <w:highlight w:val="none"/>
          <w14:textFill>
            <w14:solidFill>
              <w14:schemeClr w14:val="tx1"/>
            </w14:solidFill>
          </w14:textFill>
        </w:rPr>
        <w:t>3.1投标人（如为联合体，指联合体各方）参加投标的意思表达清楚，投标人代表被授权有效。</w:t>
      </w:r>
    </w:p>
    <w:p w14:paraId="212468B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3.2投标人（如为联合体，指联合体各方）具有独立法人资格，持有事业单位登记管理部门核发的事业单位法人证书或工商行政管理部门核发的企业法人营业执照，且在有效期内。</w:t>
      </w:r>
    </w:p>
    <w:p w14:paraId="2021A65B">
      <w:pPr>
        <w:pStyle w:val="17"/>
        <w:spacing w:after="0" w:line="360" w:lineRule="auto"/>
        <w:ind w:left="0" w:leftChars="0"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 投标人须具有以下两种资质：</w:t>
      </w:r>
    </w:p>
    <w:p w14:paraId="661D065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①投标人（若为联合体投标，指联合体承担检测任务的单位）具备建设行政主管部门颁发的建设工程质量检测机构资质证书（检测范围覆盖见证取样检测、地基基础检测、主体结构检测，钢结构工程检测、建筑幕墙工程检测），且证书在有效期内；或根据《住房和城乡建设部关于印发《建设工程质量检测机构资质标准》的通知》（建质规〔2023〕1号，以下简称新资质标准）具有有效的建设行政主管部门颁发的建设工程质量检测机构综合资质证书或专项资质证书（专项资质证书包括：建筑材料及构配件、主体结构及装饰装修、地基基础、钢结构、建筑节能、建筑幕墙）。香港企业参加投标的，须在广东省住房和城乡建设主管部门备案且备案的业务范围满足本项目招标文件要求。</w:t>
      </w:r>
    </w:p>
    <w:p w14:paraId="3DFED67D">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[注：依据《广东省住房和城乡建设厅关于印发香港工程建设咨询企业和专业人士在粤港澳大湾区内地城市开业执业试点管理暂行办法的通知》（粤建规范[2020]1号）确定]。 注：旧资质标准按《住房和城乡建设部办公厅关于做好建设工程质量检测机构新旧资质标准过渡工作的通知》（建办质函〔2023〕100号）执行；新资质标准按《住房和城乡建设部关于印发〈建设工程质量检测机构资质标准〉的通知》（建质规〔2023〕1号）执行。</w:t>
      </w:r>
    </w:p>
    <w:p w14:paraId="3FD0EF54">
      <w:pPr>
        <w:pStyle w:val="17"/>
        <w:spacing w:after="0" w:line="360" w:lineRule="auto"/>
        <w:ind w:left="0" w:leftChars="0" w:firstLine="638" w:firstLineChars="26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②投标人（若为联合体投标，指联合体承担监测任务的单位）具有以下（1）、（2）（3）项其中之一资质：</w:t>
      </w:r>
    </w:p>
    <w:p w14:paraId="4A65FF8C">
      <w:pPr>
        <w:pStyle w:val="17"/>
        <w:spacing w:after="0" w:line="360" w:lineRule="auto"/>
        <w:ind w:left="0" w:leftChars="0"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（1）工程勘察综合甲级资质；</w:t>
      </w:r>
    </w:p>
    <w:p w14:paraId="03FBEC1F">
      <w:pPr>
        <w:pStyle w:val="17"/>
        <w:spacing w:after="0" w:line="360" w:lineRule="auto"/>
        <w:ind w:left="0" w:leftChars="0"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（2）工程勘察专业类岩土工程乙级（或以上）资质和工程勘察专业类工程测量乙级（或以上）资质；</w:t>
      </w:r>
    </w:p>
    <w:p w14:paraId="088E5889">
      <w:pPr>
        <w:pStyle w:val="17"/>
        <w:spacing w:after="0" w:line="360" w:lineRule="auto"/>
        <w:ind w:left="0" w:leftChars="0"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（3）工程勘察专业类岩土工程（分项）物探测试检测监测乙级（或以上）资质和工程勘察专业类工程测量乙级（或以上）资质。</w:t>
      </w:r>
    </w:p>
    <w:p w14:paraId="0C7AC81E">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3.4 投标人</w:t>
      </w:r>
      <w:r>
        <w:rPr>
          <w:rFonts w:hint="eastAsia" w:ascii="宋体" w:hAnsi="宋体" w:cs="宋体"/>
          <w:bCs/>
          <w:color w:val="000000" w:themeColor="text1"/>
          <w:sz w:val="24"/>
          <w:szCs w:val="24"/>
          <w:highlight w:val="none"/>
          <w14:textFill>
            <w14:solidFill>
              <w14:schemeClr w14:val="tx1"/>
            </w14:solidFill>
          </w14:textFill>
        </w:rPr>
        <w:t>须</w:t>
      </w:r>
      <w:r>
        <w:rPr>
          <w:rFonts w:hint="eastAsia" w:ascii="宋体" w:hAnsi="宋体" w:cs="宋体"/>
          <w:color w:val="000000" w:themeColor="text1"/>
          <w:sz w:val="24"/>
          <w:szCs w:val="24"/>
          <w:highlight w:val="none"/>
          <w14:textFill>
            <w14:solidFill>
              <w14:schemeClr w14:val="tx1"/>
            </w14:solidFill>
          </w14:textFill>
        </w:rPr>
        <w:t>具备质量技术监督管理部门颁发的CMA计量认证合格证书或CMA检验检测机构资质认定证书（①承担</w:t>
      </w:r>
      <w:r>
        <w:rPr>
          <w:rFonts w:hint="eastAsia" w:ascii="宋体" w:hAnsi="宋体" w:cs="宋体"/>
          <w:b/>
          <w:bCs/>
          <w:color w:val="000000" w:themeColor="text1"/>
          <w:sz w:val="24"/>
          <w:szCs w:val="24"/>
          <w:highlight w:val="none"/>
          <w14:textFill>
            <w14:solidFill>
              <w14:schemeClr w14:val="tx1"/>
            </w14:solidFill>
          </w14:textFill>
        </w:rPr>
        <w:t>检测</w:t>
      </w:r>
      <w:r>
        <w:rPr>
          <w:rFonts w:hint="eastAsia" w:ascii="宋体" w:hAnsi="宋体" w:cs="宋体"/>
          <w:color w:val="000000" w:themeColor="text1"/>
          <w:sz w:val="24"/>
          <w:szCs w:val="24"/>
          <w:highlight w:val="none"/>
          <w14:textFill>
            <w14:solidFill>
              <w14:schemeClr w14:val="tx1"/>
            </w14:solidFill>
          </w14:textFill>
        </w:rPr>
        <w:t>任务的单位认证范围需覆盖本次招标主要内容：</w:t>
      </w:r>
      <w:r>
        <w:rPr>
          <w:rFonts w:hint="eastAsia" w:ascii="宋体" w:hAnsi="宋体" w:cs="宋体"/>
          <w:bCs/>
          <w:color w:val="000000" w:themeColor="text1"/>
          <w:sz w:val="24"/>
          <w:szCs w:val="24"/>
          <w:highlight w:val="none"/>
          <w14:textFill>
            <w14:solidFill>
              <w14:schemeClr w14:val="tx1"/>
            </w14:solidFill>
          </w14:textFill>
        </w:rPr>
        <w:t>见证取样检测、地基基础工程检测、主体结构工程现场检测、建筑节能检测、钢结构、建筑幕墙检测</w:t>
      </w:r>
      <w:r>
        <w:rPr>
          <w:rFonts w:hint="eastAsia" w:ascii="宋体" w:hAnsi="宋体" w:cs="宋体"/>
          <w:color w:val="000000" w:themeColor="text1"/>
          <w:sz w:val="24"/>
          <w:szCs w:val="24"/>
          <w:highlight w:val="none"/>
          <w14:textFill>
            <w14:solidFill>
              <w14:schemeClr w14:val="tx1"/>
            </w14:solidFill>
          </w14:textFill>
        </w:rPr>
        <w:t>②承担</w:t>
      </w:r>
      <w:r>
        <w:rPr>
          <w:rFonts w:hint="eastAsia" w:ascii="宋体" w:hAnsi="宋体" w:cs="宋体"/>
          <w:b/>
          <w:bCs/>
          <w:color w:val="000000" w:themeColor="text1"/>
          <w:sz w:val="24"/>
          <w:szCs w:val="24"/>
          <w:highlight w:val="none"/>
          <w14:textFill>
            <w14:solidFill>
              <w14:schemeClr w14:val="tx1"/>
            </w14:solidFill>
          </w14:textFill>
        </w:rPr>
        <w:t>监测</w:t>
      </w:r>
      <w:r>
        <w:rPr>
          <w:rFonts w:hint="eastAsia" w:ascii="宋体" w:hAnsi="宋体" w:cs="宋体"/>
          <w:color w:val="000000" w:themeColor="text1"/>
          <w:sz w:val="24"/>
          <w:szCs w:val="24"/>
          <w:highlight w:val="none"/>
          <w14:textFill>
            <w14:solidFill>
              <w14:schemeClr w14:val="tx1"/>
            </w14:solidFill>
          </w14:textFill>
        </w:rPr>
        <w:t>任务的单位认证范围需覆盖本次招标主要内容：基坑监测、沉降观测、高支模监测）</w:t>
      </w:r>
      <w:r>
        <w:rPr>
          <w:rFonts w:hint="eastAsia" w:ascii="宋体" w:hAnsi="宋体" w:cs="宋体"/>
          <w:bCs/>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如投标人CMA计量认证合格证书或CMA检验检测机构资质认定证书中的项目与主要检测内容名称不同，但表达的意思一致也视为满足该项条件，且证书在有效期内。</w:t>
      </w:r>
    </w:p>
    <w:p w14:paraId="2E77E388">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3.5</w:t>
      </w:r>
      <w:r>
        <w:rPr>
          <w:rFonts w:hint="eastAsia" w:ascii="宋体" w:hAnsi="宋体" w:cs="宋体"/>
          <w:bCs/>
          <w:color w:val="000000" w:themeColor="text1"/>
          <w:sz w:val="24"/>
          <w:szCs w:val="24"/>
          <w:highlight w:val="none"/>
          <w14:textFill>
            <w14:solidFill>
              <w14:schemeClr w14:val="tx1"/>
            </w14:solidFill>
          </w14:textFill>
        </w:rPr>
        <w:t>投标人拟委派项目负责人要求具备工程类相关专业工程师或以上技术职称</w:t>
      </w:r>
      <w:r>
        <w:rPr>
          <w:rFonts w:hint="eastAsia" w:ascii="宋体" w:hAnsi="宋体" w:cs="宋体"/>
          <w:b/>
          <w:color w:val="000000" w:themeColor="text1"/>
          <w:sz w:val="24"/>
          <w:szCs w:val="24"/>
          <w:highlight w:val="none"/>
          <w14:textFill>
            <w14:solidFill>
              <w14:schemeClr w14:val="tx1"/>
            </w14:solidFill>
          </w14:textFill>
        </w:rPr>
        <w:t>（若为联合体投标，项目负责人须是联合体牵头人（主办方）正式员工）</w:t>
      </w:r>
      <w:r>
        <w:rPr>
          <w:rFonts w:hint="eastAsia" w:ascii="宋体" w:hAnsi="宋体" w:cs="宋体"/>
          <w:bCs/>
          <w:color w:val="000000" w:themeColor="text1"/>
          <w:sz w:val="24"/>
          <w:szCs w:val="24"/>
          <w:highlight w:val="none"/>
          <w14:textFill>
            <w14:solidFill>
              <w14:schemeClr w14:val="tx1"/>
            </w14:solidFill>
          </w14:textFill>
        </w:rPr>
        <w:t>。</w:t>
      </w:r>
    </w:p>
    <w:p w14:paraId="29ED113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3.6投标人（若为联合体，指联合体各方）已按照招标公告附件的格式签名盖章《投标人声明》。</w:t>
      </w:r>
    </w:p>
    <w:p w14:paraId="08207BB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3.7投标人（如为联合体，指联合体各方）在广州市住房和城乡建设局建立了企业信用档案，且拟担任本项目的项目负责人是本企业信用档案中的在册人员（信用档案办理详见《广州市住建行业信用管理平台检测企业信息录入指引》</w:t>
      </w:r>
    </w:p>
    <w:p w14:paraId="53018680">
      <w:pPr>
        <w:spacing w:line="360" w:lineRule="auto"/>
        <w:ind w:firstLine="420" w:firstLineChars="200"/>
        <w:rPr>
          <w:rFonts w:ascii="宋体" w:hAnsi="宋体" w:cs="宋体"/>
          <w:color w:val="000000" w:themeColor="text1"/>
          <w:sz w:val="24"/>
          <w:szCs w:val="24"/>
          <w:highlight w:val="none"/>
          <w14:textFill>
            <w14:solidFill>
              <w14:schemeClr w14:val="tx1"/>
            </w14:solidFill>
          </w14:textFill>
        </w:rPr>
      </w:pPr>
      <w:r>
        <w:rPr>
          <w:highlight w:val="none"/>
        </w:rPr>
        <w:fldChar w:fldCharType="begin"/>
      </w:r>
      <w:r>
        <w:rPr>
          <w:highlight w:val="none"/>
        </w:rPr>
        <w:instrText xml:space="preserve"> HYPERLINK "http://zfcj.gz.gov.cn/zwgk/zsdwxxgkzl/gzsjzyglfwzx/bszy/content/post_8077190.html" </w:instrText>
      </w:r>
      <w:r>
        <w:rPr>
          <w:highlight w:val="none"/>
        </w:rPr>
        <w:fldChar w:fldCharType="separate"/>
      </w:r>
      <w:r>
        <w:rPr>
          <w:rStyle w:val="22"/>
          <w:rFonts w:hint="eastAsia" w:ascii="宋体" w:hAnsi="宋体" w:cs="宋体"/>
          <w:color w:val="000000" w:themeColor="text1"/>
          <w:sz w:val="24"/>
          <w:szCs w:val="24"/>
          <w:highlight w:val="none"/>
          <w14:textFill>
            <w14:solidFill>
              <w14:schemeClr w14:val="tx1"/>
            </w14:solidFill>
          </w14:textFill>
        </w:rPr>
        <w:t>http://zfcj.gz.gov.cn/zwgk/zsdwxxgkzl/gzsjzyglfwzx/bszy/content/post_8077190.html</w:t>
      </w:r>
      <w:r>
        <w:rPr>
          <w:rStyle w:val="22"/>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w:t>
      </w:r>
    </w:p>
    <w:p w14:paraId="47A48D79">
      <w:pPr>
        <w:spacing w:line="360" w:lineRule="auto"/>
        <w:ind w:firstLine="424" w:firstLineChars="177"/>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3.8投标人（若为联合体投标，指联合体各方）未被列入拖欠农民工工资失信联合惩戒对象名单。【注：投标人无需提供资料，按广州公共资源交易中心交易系统比对结果进行评审】。</w:t>
      </w:r>
    </w:p>
    <w:p w14:paraId="0DD86827">
      <w:pPr>
        <w:spacing w:line="360" w:lineRule="auto"/>
        <w:ind w:firstLine="424" w:firstLineChars="177"/>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3.9投标人（如为联合体，指联合体各方）近二年（从2023年1月1日起至今）未因以往检测和监测工作中存在伪造检测和监测数据、出具虚假检测和监测报告的行为被各级建设行政主管部门或市场监督管理部门行政处罚或通报的。（按投标人提供的《投标申请人声明》第三条内容进行评审）。</w:t>
      </w:r>
    </w:p>
    <w:p w14:paraId="62E9A8E5">
      <w:pPr>
        <w:wordWrap w:val="0"/>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3.10关于联合体投标：</w:t>
      </w:r>
      <w:r>
        <w:rPr>
          <w:rFonts w:hint="eastAsia" w:ascii="宋体" w:hAnsi="宋体" w:cs="宋体"/>
          <w:b/>
          <w:color w:val="000000" w:themeColor="text1"/>
          <w:sz w:val="24"/>
          <w:szCs w:val="24"/>
          <w:highlight w:val="none"/>
          <w:u w:val="single"/>
          <w14:textFill>
            <w14:solidFill>
              <w14:schemeClr w14:val="tx1"/>
            </w14:solidFill>
          </w14:textFill>
        </w:rPr>
        <w:t>本项目接受联合体投标。</w:t>
      </w:r>
    </w:p>
    <w:p w14:paraId="2C215D21">
      <w:pPr>
        <w:widowControl/>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1）如投标人组成联合体，只接受不多于2家单位组成的联合体，应当在投标登记前组成，并按招标文件提供的格式签订联合体协议书，明确联合体牵头人（主办方）和各方权利义务，将该联合体协议书随投标文件一并提交招标人；</w:t>
      </w:r>
    </w:p>
    <w:p w14:paraId="0C03D9EE">
      <w:pPr>
        <w:widowControl/>
        <w:spacing w:line="360" w:lineRule="auto"/>
        <w:ind w:firstLine="484" w:firstLineChars="20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（2）联合体牵头人（主办方）的被授权人作为联合体各方的代表，承担责任和指令，并负责整个投标过程中的一切责任；</w:t>
      </w:r>
    </w:p>
    <w:p w14:paraId="040E981B">
      <w:pPr>
        <w:widowControl/>
        <w:spacing w:line="360" w:lineRule="auto"/>
        <w:ind w:firstLine="484" w:firstLineChars="20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（3）联合体各方不得再以自己名义单独或参加其他联合体在本招标项目中投标，否则各相关投标均无效；</w:t>
      </w:r>
    </w:p>
    <w:p w14:paraId="62C5D890">
      <w:pPr>
        <w:widowControl/>
        <w:spacing w:line="360" w:lineRule="auto"/>
        <w:ind w:firstLine="484" w:firstLineChars="20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联合体投标时，除“联合体协议书”需由联合体各方分别按要求进行签字或盖章外，其他资料若需要签字或盖章的均可由联合体牵头人（主办方）签字或盖章即可；投标资料封面及其他内容及落款中的“投标人”应填写联合体各方的单位全称【格式示例为：（主）单位全称（成）单位全称】，由联合体主办方按要求签字或盖章即可。电子签章由主办方进行签章即可。</w:t>
      </w:r>
    </w:p>
    <w:p w14:paraId="702897AC">
      <w:pPr>
        <w:widowControl/>
        <w:spacing w:line="360" w:lineRule="auto"/>
        <w:ind w:firstLine="484" w:firstLineChars="20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注：未在招标公告第3条投标人资格要求单列的条件，不作为资审不合格的依据。</w:t>
      </w:r>
    </w:p>
    <w:p w14:paraId="4D72EC8D">
      <w:pPr>
        <w:spacing w:line="360" w:lineRule="auto"/>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4. 招标文件的获取</w:t>
      </w:r>
      <w:bookmarkEnd w:id="6"/>
      <w:bookmarkEnd w:id="7"/>
    </w:p>
    <w:p w14:paraId="662C9168">
      <w:pPr>
        <w:spacing w:line="360" w:lineRule="auto"/>
        <w:ind w:firstLine="480" w:firstLineChars="200"/>
        <w:rPr>
          <w:rFonts w:ascii="宋体" w:hAnsi="宋体" w:cs="宋体"/>
          <w:color w:val="000000" w:themeColor="text1"/>
          <w:sz w:val="24"/>
          <w:highlight w:val="none"/>
          <w14:textFill>
            <w14:solidFill>
              <w14:schemeClr w14:val="tx1"/>
            </w14:solidFill>
          </w14:textFill>
        </w:rPr>
      </w:pPr>
      <w:bookmarkStart w:id="8" w:name="_Toc511557029"/>
      <w:bookmarkStart w:id="9" w:name="_Toc514099627"/>
      <w:r>
        <w:rPr>
          <w:rFonts w:hint="eastAsia" w:ascii="宋体" w:hAnsi="宋体" w:cs="宋体"/>
          <w:color w:val="000000" w:themeColor="text1"/>
          <w:sz w:val="24"/>
          <w:highlight w:val="none"/>
          <w14:textFill>
            <w14:solidFill>
              <w14:schemeClr w14:val="tx1"/>
            </w14:solidFill>
          </w14:textFill>
        </w:rPr>
        <w:t>4.1 凡有意参加投标者，请于</w:t>
      </w:r>
      <w:r>
        <w:rPr>
          <w:rFonts w:hint="eastAsia" w:ascii="宋体" w:hAnsi="宋体" w:cs="宋体"/>
          <w:color w:val="000000" w:themeColor="text1"/>
          <w:sz w:val="24"/>
          <w:highlight w:val="none"/>
          <w:u w:val="single"/>
          <w14:textFill>
            <w14:solidFill>
              <w14:schemeClr w14:val="tx1"/>
            </w14:solidFill>
          </w14:textFill>
        </w:rPr>
        <w:t>2025</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0</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时</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00</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分至</w:t>
      </w:r>
      <w:r>
        <w:rPr>
          <w:rFonts w:hint="eastAsia" w:ascii="宋体" w:hAnsi="宋体" w:cs="宋体"/>
          <w:color w:val="000000" w:themeColor="text1"/>
          <w:sz w:val="24"/>
          <w:highlight w:val="none"/>
          <w:u w:val="single"/>
          <w14:textFill>
            <w14:solidFill>
              <w14:schemeClr w14:val="tx1"/>
            </w14:solidFill>
          </w14:textFill>
        </w:rPr>
        <w:t>2025</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10</w:t>
      </w:r>
      <w:r>
        <w:rPr>
          <w:rFonts w:hint="eastAsia" w:ascii="宋体" w:hAnsi="宋体" w:cs="宋体"/>
          <w:color w:val="000000" w:themeColor="text1"/>
          <w:sz w:val="24"/>
          <w:highlight w:val="none"/>
          <w14:textFill>
            <w14:solidFill>
              <w14:schemeClr w14:val="tx1"/>
            </w14:solidFill>
          </w14:textFill>
        </w:rPr>
        <w:t>时</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00</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分(北京时间，下同)，登录广州交易集团有限公司（广州公共资源交易中心）网站（网址：http://www.gzggzy.cn）下载电子招标文件。</w:t>
      </w:r>
    </w:p>
    <w:p w14:paraId="0613CE8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4.2本项目设立投标登记环节，采取网上投标登记方式进行投标登记。</w:t>
      </w:r>
    </w:p>
    <w:p w14:paraId="630B5D7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注：电子招投标操作流程详见广州交易集团有限公司（广州公共资源交易中心）网站发布的最新版操作指引。</w:t>
      </w:r>
    </w:p>
    <w:p w14:paraId="337DD2F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4.3本项目采用资格后审方式。</w:t>
      </w:r>
    </w:p>
    <w:p w14:paraId="73894E8A">
      <w:pPr>
        <w:spacing w:line="360" w:lineRule="auto"/>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5. 发布招标公告、递交投标文件时间、开标时间</w:t>
      </w:r>
      <w:bookmarkEnd w:id="8"/>
      <w:bookmarkEnd w:id="9"/>
    </w:p>
    <w:p w14:paraId="786B296C">
      <w:pPr>
        <w:spacing w:line="360" w:lineRule="auto"/>
        <w:rPr>
          <w:rFonts w:ascii="宋体" w:hAnsi="宋体" w:cs="宋体"/>
          <w:color w:val="000000" w:themeColor="text1"/>
          <w:sz w:val="24"/>
          <w:highlight w:val="none"/>
          <w14:textFill>
            <w14:solidFill>
              <w14:schemeClr w14:val="tx1"/>
            </w14:solidFill>
          </w14:textFill>
        </w:rPr>
      </w:pPr>
      <w:bookmarkStart w:id="10" w:name="_Toc511557030"/>
      <w:bookmarkStart w:id="11" w:name="_Toc514099628"/>
      <w:r>
        <w:rPr>
          <w:rFonts w:hint="eastAsia" w:ascii="宋体" w:hAnsi="宋体" w:cs="宋体"/>
          <w:color w:val="000000" w:themeColor="text1"/>
          <w:sz w:val="24"/>
          <w:highlight w:val="none"/>
          <w14:textFill>
            <w14:solidFill>
              <w14:schemeClr w14:val="tx1"/>
            </w14:solidFill>
          </w14:textFill>
        </w:rPr>
        <w:t>5.1 发布招标公告时间（含本日）：</w:t>
      </w:r>
      <w:r>
        <w:rPr>
          <w:rFonts w:hint="eastAsia" w:ascii="宋体" w:hAnsi="宋体" w:cs="宋体"/>
          <w:color w:val="000000" w:themeColor="text1"/>
          <w:sz w:val="24"/>
          <w:highlight w:val="none"/>
          <w:u w:val="single"/>
          <w14:textFill>
            <w14:solidFill>
              <w14:schemeClr w14:val="tx1"/>
            </w14:solidFill>
          </w14:textFill>
        </w:rPr>
        <w:t>2025</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0</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时</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00</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分至</w:t>
      </w:r>
      <w:r>
        <w:rPr>
          <w:rFonts w:hint="eastAsia" w:ascii="宋体" w:hAnsi="宋体" w:cs="宋体"/>
          <w:color w:val="000000" w:themeColor="text1"/>
          <w:sz w:val="24"/>
          <w:highlight w:val="none"/>
          <w:u w:val="single"/>
          <w14:textFill>
            <w14:solidFill>
              <w14:schemeClr w14:val="tx1"/>
            </w14:solidFill>
          </w14:textFill>
        </w:rPr>
        <w:t>2025</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10</w:t>
      </w:r>
      <w:r>
        <w:rPr>
          <w:rFonts w:hint="eastAsia" w:ascii="宋体" w:hAnsi="宋体" w:cs="宋体"/>
          <w:color w:val="000000" w:themeColor="text1"/>
          <w:sz w:val="24"/>
          <w:highlight w:val="none"/>
          <w14:textFill>
            <w14:solidFill>
              <w14:schemeClr w14:val="tx1"/>
            </w14:solidFill>
          </w14:textFill>
        </w:rPr>
        <w:t>时</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00</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分。</w:t>
      </w:r>
    </w:p>
    <w:p w14:paraId="50410CF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注：发布招标公告的时间为招标公告发出之日起至递交投标文件截止时间止。</w:t>
      </w:r>
    </w:p>
    <w:p w14:paraId="47414BCF">
      <w:pPr>
        <w:wordWrap w:val="0"/>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5.2 递交投标文件时间：</w:t>
      </w:r>
      <w:r>
        <w:rPr>
          <w:rFonts w:hint="eastAsia" w:ascii="宋体" w:hAnsi="宋体" w:cs="宋体"/>
          <w:color w:val="000000" w:themeColor="text1"/>
          <w:sz w:val="24"/>
          <w:highlight w:val="none"/>
          <w:u w:val="single"/>
          <w14:textFill>
            <w14:solidFill>
              <w14:schemeClr w14:val="tx1"/>
            </w14:solidFill>
          </w14:textFill>
        </w:rPr>
        <w:t>2025</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0</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时</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00</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分至</w:t>
      </w:r>
      <w:r>
        <w:rPr>
          <w:rFonts w:hint="eastAsia" w:ascii="宋体" w:hAnsi="宋体" w:cs="宋体"/>
          <w:color w:val="000000" w:themeColor="text1"/>
          <w:sz w:val="24"/>
          <w:highlight w:val="none"/>
          <w:u w:val="single"/>
          <w14:textFill>
            <w14:solidFill>
              <w14:schemeClr w14:val="tx1"/>
            </w14:solidFill>
          </w14:textFill>
        </w:rPr>
        <w:t>2025</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10</w:t>
      </w:r>
      <w:r>
        <w:rPr>
          <w:rFonts w:hint="eastAsia" w:ascii="宋体" w:hAnsi="宋体" w:cs="宋体"/>
          <w:color w:val="000000" w:themeColor="text1"/>
          <w:sz w:val="24"/>
          <w:highlight w:val="none"/>
          <w14:textFill>
            <w14:solidFill>
              <w14:schemeClr w14:val="tx1"/>
            </w14:solidFill>
          </w14:textFill>
        </w:rPr>
        <w:t>时</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00</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分。投标人通过</w:t>
      </w:r>
      <w:r>
        <w:rPr>
          <w:rFonts w:hint="eastAsia" w:ascii="宋体" w:hAnsi="宋体" w:cs="宋体"/>
          <w:color w:val="000000" w:themeColor="text1"/>
          <w:sz w:val="24"/>
          <w:highlight w:val="none"/>
          <w:u w:val="single"/>
          <w14:textFill>
            <w14:solidFill>
              <w14:schemeClr w14:val="tx1"/>
            </w14:solidFill>
          </w14:textFill>
        </w:rPr>
        <w:t>广州交易集团有限公司（广州公共资源交易中心）网站（网址：http://www.gzggzy.cn/）</w:t>
      </w:r>
      <w:r>
        <w:rPr>
          <w:rFonts w:hint="eastAsia" w:ascii="宋体" w:hAnsi="宋体" w:cs="宋体"/>
          <w:color w:val="000000" w:themeColor="text1"/>
          <w:sz w:val="24"/>
          <w:highlight w:val="none"/>
          <w14:textFill>
            <w14:solidFill>
              <w14:schemeClr w14:val="tx1"/>
            </w14:solidFill>
          </w14:textFill>
        </w:rPr>
        <w:t>交易平台递交电子投标文件。投标人应在递交投标文件截止时间前，登录</w:t>
      </w:r>
      <w:r>
        <w:rPr>
          <w:rFonts w:hint="eastAsia" w:ascii="宋体" w:hAnsi="宋体" w:cs="宋体"/>
          <w:color w:val="000000" w:themeColor="text1"/>
          <w:sz w:val="24"/>
          <w:highlight w:val="none"/>
          <w:u w:val="single"/>
          <w14:textFill>
            <w14:solidFill>
              <w14:schemeClr w14:val="tx1"/>
            </w14:solidFill>
          </w14:textFill>
        </w:rPr>
        <w:t>广州交易集团有限公司（广州公共资源交易中心）网站</w:t>
      </w:r>
      <w:r>
        <w:rPr>
          <w:rFonts w:hint="eastAsia" w:ascii="宋体" w:hAnsi="宋体" w:cs="宋体"/>
          <w:color w:val="000000" w:themeColor="text1"/>
          <w:sz w:val="24"/>
          <w:highlight w:val="none"/>
          <w14:textFill>
            <w14:solidFill>
              <w14:schemeClr w14:val="tx1"/>
            </w14:solidFill>
          </w14:textFill>
        </w:rPr>
        <w:t>交易平台网站办理网上投标登记手续。按照交易平台关于全流程电子化项目的相关指南进行操作。详见：</w:t>
      </w:r>
      <w:r>
        <w:rPr>
          <w:rFonts w:hint="eastAsia" w:ascii="宋体" w:hAnsi="宋体" w:cs="宋体"/>
          <w:color w:val="000000" w:themeColor="text1"/>
          <w:sz w:val="24"/>
          <w:highlight w:val="none"/>
          <w:u w:val="single"/>
          <w14:textFill>
            <w14:solidFill>
              <w14:schemeClr w14:val="tx1"/>
            </w14:solidFill>
          </w14:textFill>
        </w:rPr>
        <w:t>广州交易集团有限公司（广州公共资源交易中心）网站首页-服务指南。</w:t>
      </w:r>
    </w:p>
    <w:p w14:paraId="67DDBBAF">
      <w:pPr>
        <w:tabs>
          <w:tab w:val="left" w:pos="360"/>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5.3递交备用投标文件电子光盘时间为：</w:t>
      </w:r>
      <w:r>
        <w:rPr>
          <w:rFonts w:hint="eastAsia" w:ascii="宋体" w:hAnsi="宋体" w:cs="宋体"/>
          <w:color w:val="000000" w:themeColor="text1"/>
          <w:sz w:val="24"/>
          <w:highlight w:val="none"/>
          <w:u w:val="single"/>
          <w14:textFill>
            <w14:solidFill>
              <w14:schemeClr w14:val="tx1"/>
            </w14:solidFill>
          </w14:textFill>
        </w:rPr>
        <w:t>2025</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9</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时</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45</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分至</w:t>
      </w:r>
      <w:r>
        <w:rPr>
          <w:rFonts w:hint="eastAsia" w:ascii="宋体" w:hAnsi="宋体" w:cs="宋体"/>
          <w:color w:val="000000" w:themeColor="text1"/>
          <w:sz w:val="24"/>
          <w:highlight w:val="none"/>
          <w:u w:val="single"/>
          <w14:textFill>
            <w14:solidFill>
              <w14:schemeClr w14:val="tx1"/>
            </w14:solidFill>
          </w14:textFill>
        </w:rPr>
        <w:t>2025</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10</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时</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00</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分；地点：</w:t>
      </w:r>
      <w:r>
        <w:rPr>
          <w:rFonts w:hint="eastAsia" w:ascii="宋体" w:hAnsi="宋体" w:cs="宋体"/>
          <w:color w:val="000000" w:themeColor="text1"/>
          <w:sz w:val="24"/>
          <w:highlight w:val="none"/>
          <w:u w:val="single"/>
          <w14:textFill>
            <w14:solidFill>
              <w14:schemeClr w14:val="tx1"/>
            </w14:solidFill>
          </w14:textFill>
        </w:rPr>
        <w:t>广州交易集团有限公司（广州公共资源交易中心）黄埔交易部指定开标室，具体开标室投标人可登录广州交易集团有限公司（广州公共资源交易中心）网站首页，点击“建设工程”专栏中的项目查询（日程安排、答疑纪要），输入项目编号或项目名称查询最新信息</w:t>
      </w:r>
      <w:r>
        <w:rPr>
          <w:rFonts w:hint="eastAsia" w:ascii="宋体" w:hAnsi="宋体" w:cs="宋体"/>
          <w:color w:val="000000" w:themeColor="text1"/>
          <w:sz w:val="24"/>
          <w:highlight w:val="none"/>
          <w14:textFill>
            <w14:solidFill>
              <w14:schemeClr w14:val="tx1"/>
            </w14:solidFill>
          </w14:textFill>
        </w:rPr>
        <w:t>。（电子光盘需按规定封装。投标人在将数据刻录到光盘之后，投标前自行检查文件是否可以读取）。</w:t>
      </w:r>
    </w:p>
    <w:p w14:paraId="6D756B1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5.4逾期送达的投标文件，电子招标投标交易平台将予以拒收。逾期未上传成功的电子投标文件，招标人拒绝接收。逾期或未在指定地点递交投标文件光盘的,招标人拒绝接收其投标文件光盘。</w:t>
      </w:r>
    </w:p>
    <w:p w14:paraId="07A78BE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5.5开标时间：</w:t>
      </w:r>
      <w:r>
        <w:rPr>
          <w:rFonts w:hint="eastAsia" w:ascii="宋体" w:hAnsi="宋体" w:cs="宋体"/>
          <w:color w:val="000000" w:themeColor="text1"/>
          <w:sz w:val="24"/>
          <w:highlight w:val="none"/>
          <w:u w:val="single"/>
          <w14:textFill>
            <w14:solidFill>
              <w14:schemeClr w14:val="tx1"/>
            </w14:solidFill>
          </w14:textFill>
        </w:rPr>
        <w:t>2025</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10</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时</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00</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分。地点：</w:t>
      </w:r>
      <w:r>
        <w:rPr>
          <w:rFonts w:hint="eastAsia" w:ascii="宋体" w:hAnsi="宋体" w:cs="宋体"/>
          <w:color w:val="000000" w:themeColor="text1"/>
          <w:sz w:val="24"/>
          <w:highlight w:val="none"/>
          <w:u w:val="single"/>
          <w14:textFill>
            <w14:solidFill>
              <w14:schemeClr w14:val="tx1"/>
            </w14:solidFill>
          </w14:textFill>
        </w:rPr>
        <w:t>广州交易集团有限公司（广州公共资源交易中心）黄埔交易部指定开标室，具体开标室投标人可登录广州交易集团有限公司（广州公共资源交易中心）网站首页，点击“建设工程”专栏中的项目查询（日程安排、答疑纪要），输入项目编号或项目名称查询最新信息</w:t>
      </w:r>
      <w:r>
        <w:rPr>
          <w:rFonts w:hint="eastAsia" w:ascii="宋体" w:hAnsi="宋体" w:cs="宋体"/>
          <w:color w:val="000000" w:themeColor="text1"/>
          <w:sz w:val="24"/>
          <w:highlight w:val="none"/>
          <w14:textFill>
            <w14:solidFill>
              <w14:schemeClr w14:val="tx1"/>
            </w14:solidFill>
          </w14:textFill>
        </w:rPr>
        <w:t>。</w:t>
      </w:r>
    </w:p>
    <w:p w14:paraId="412B50CE">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5.6本项目各项投标活动具体可通过广州公共资源交易中心网站查询具体的时间和场地安排。</w:t>
      </w:r>
    </w:p>
    <w:p w14:paraId="5F43689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递交投标文件截止时间后，投标文件评审时间因故推迟的，相关资审信息仍以原递交投标文件截止时间的信息为准。</w:t>
      </w:r>
    </w:p>
    <w:p w14:paraId="1750CB8C">
      <w:pPr>
        <w:spacing w:line="360" w:lineRule="auto"/>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6. 发布公告的媒介</w:t>
      </w:r>
      <w:bookmarkEnd w:id="10"/>
      <w:bookmarkEnd w:id="11"/>
    </w:p>
    <w:p w14:paraId="670BB4B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bookmarkStart w:id="12" w:name="_Toc514099629"/>
      <w:bookmarkStart w:id="13" w:name="_Toc511557031"/>
      <w:r>
        <w:rPr>
          <w:rFonts w:hint="eastAsia" w:ascii="宋体" w:hAnsi="宋体" w:cs="宋体"/>
          <w:color w:val="000000" w:themeColor="text1"/>
          <w:sz w:val="24"/>
          <w:szCs w:val="24"/>
          <w:highlight w:val="none"/>
          <w14:textFill>
            <w14:solidFill>
              <w14:schemeClr w14:val="tx1"/>
            </w14:solidFill>
          </w14:textFill>
        </w:rPr>
        <w:t>本次招标公告同时在</w:t>
      </w:r>
      <w:r>
        <w:rPr>
          <w:rFonts w:hint="eastAsia" w:ascii="宋体" w:hAnsi="宋体" w:cs="宋体"/>
          <w:color w:val="000000" w:themeColor="text1"/>
          <w:sz w:val="24"/>
          <w:highlight w:val="none"/>
          <w:u w:val="single"/>
          <w14:textFill>
            <w14:solidFill>
              <w14:schemeClr w14:val="tx1"/>
            </w14:solidFill>
          </w14:textFill>
        </w:rPr>
        <w:t>广州交易集团有限公司（广州公共资源交易中心）网（网址：http://www.gzggzy.cn）、</w:t>
      </w:r>
      <w:r>
        <w:rPr>
          <w:rFonts w:hint="eastAsia" w:ascii="宋体" w:hAnsi="宋体" w:cs="宋体"/>
          <w:color w:val="000000" w:themeColor="text1"/>
          <w:sz w:val="24"/>
          <w:szCs w:val="24"/>
          <w:highlight w:val="none"/>
          <w:u w:val="single"/>
          <w14:textFill>
            <w14:solidFill>
              <w14:schemeClr w14:val="tx1"/>
            </w14:solidFill>
          </w14:textFill>
        </w:rPr>
        <w:t>广东省招标投标监管网（网址：http://zbtb.gd.gov.cn/）和中国招标投标公共服务平台（网址：http://www.cebpubservice.com/）发布，本公告的修改、补充，在广州交易集团有限公司（广州公共资源交易中心）网、广东省招标投标监管网</w:t>
      </w:r>
      <w:r>
        <w:rPr>
          <w:rFonts w:hint="eastAsia" w:ascii="宋体" w:hAnsi="宋体" w:cs="宋体"/>
          <w:color w:val="000000" w:themeColor="text1"/>
          <w:sz w:val="24"/>
          <w:szCs w:val="24"/>
          <w:highlight w:val="none"/>
          <w14:textFill>
            <w14:solidFill>
              <w14:schemeClr w14:val="tx1"/>
            </w14:solidFill>
          </w14:textFill>
        </w:rPr>
        <w:t>上发布。本公告在各媒体发布的文本如有不同之处，以在</w:t>
      </w:r>
      <w:r>
        <w:rPr>
          <w:rFonts w:hint="eastAsia" w:ascii="宋体" w:hAnsi="宋体" w:cs="宋体"/>
          <w:color w:val="000000" w:themeColor="text1"/>
          <w:sz w:val="24"/>
          <w:szCs w:val="24"/>
          <w:highlight w:val="none"/>
          <w:u w:val="single"/>
          <w14:textFill>
            <w14:solidFill>
              <w14:schemeClr w14:val="tx1"/>
            </w14:solidFill>
          </w14:textFill>
        </w:rPr>
        <w:t>广州交易集团有限公司（广州公共资源交易中心）网站（网址：http://www.gzggzy.cn）</w:t>
      </w:r>
      <w:r>
        <w:rPr>
          <w:rFonts w:hint="eastAsia" w:ascii="宋体" w:hAnsi="宋体" w:cs="宋体"/>
          <w:color w:val="000000" w:themeColor="text1"/>
          <w:sz w:val="24"/>
          <w:szCs w:val="24"/>
          <w:highlight w:val="none"/>
          <w14:textFill>
            <w14:solidFill>
              <w14:schemeClr w14:val="tx1"/>
            </w14:solidFill>
          </w14:textFill>
        </w:rPr>
        <w:t>发布的文本为准。</w:t>
      </w:r>
    </w:p>
    <w:p w14:paraId="7A5D7D87">
      <w:pPr>
        <w:spacing w:line="360" w:lineRule="auto"/>
        <w:rPr>
          <w:rFonts w:ascii="宋体" w:hAnsi="宋体" w:cs="宋体"/>
          <w:b/>
          <w:color w:val="000000" w:themeColor="text1"/>
          <w:sz w:val="28"/>
          <w:szCs w:val="28"/>
          <w:highlight w:val="none"/>
          <w14:textFill>
            <w14:solidFill>
              <w14:schemeClr w14:val="tx1"/>
            </w14:solidFill>
          </w14:textFill>
        </w:rPr>
      </w:pPr>
      <w:bookmarkStart w:id="14" w:name="_Hlk54719669"/>
      <w:r>
        <w:rPr>
          <w:rFonts w:hint="eastAsia" w:ascii="宋体" w:hAnsi="宋体" w:cs="宋体"/>
          <w:b/>
          <w:color w:val="000000" w:themeColor="text1"/>
          <w:sz w:val="28"/>
          <w:szCs w:val="28"/>
          <w:highlight w:val="none"/>
          <w14:textFill>
            <w14:solidFill>
              <w14:schemeClr w14:val="tx1"/>
            </w14:solidFill>
          </w14:textFill>
        </w:rPr>
        <w:t>7. 异议受理</w:t>
      </w:r>
    </w:p>
    <w:p w14:paraId="1877001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潜在投标人或利害关系人对本招标公告及招标内容异议的，</w:t>
      </w:r>
      <w:r>
        <w:rPr>
          <w:rFonts w:hint="eastAsia" w:ascii="宋体" w:hAnsi="宋体" w:cs="宋体"/>
          <w:color w:val="000000" w:themeColor="text1"/>
          <w:sz w:val="24"/>
          <w:highlight w:val="none"/>
          <w:lang w:val="en-US" w:eastAsia="zh-CN"/>
          <w14:textFill>
            <w14:solidFill>
              <w14:schemeClr w14:val="tx1"/>
            </w14:solidFill>
          </w14:textFill>
        </w:rPr>
        <w:t>应</w:t>
      </w:r>
      <w:r>
        <w:rPr>
          <w:rFonts w:hint="eastAsia" w:ascii="宋体" w:hAnsi="宋体" w:cs="宋体"/>
          <w:color w:val="000000" w:themeColor="text1"/>
          <w:sz w:val="24"/>
          <w:szCs w:val="24"/>
          <w:highlight w:val="none"/>
          <w:lang w:bidi="ar"/>
          <w14:textFill>
            <w14:solidFill>
              <w14:schemeClr w14:val="tx1"/>
            </w14:solidFill>
          </w14:textFill>
        </w:rPr>
        <w:t>当在投标截止时间10日前</w:t>
      </w:r>
      <w:r>
        <w:rPr>
          <w:rFonts w:hint="eastAsia" w:ascii="宋体" w:hAnsi="宋体" w:cs="宋体"/>
          <w:color w:val="000000" w:themeColor="text1"/>
          <w:sz w:val="24"/>
          <w:highlight w:val="none"/>
          <w14:textFill>
            <w14:solidFill>
              <w14:schemeClr w14:val="tx1"/>
            </w14:solidFill>
          </w14:textFill>
        </w:rPr>
        <w:t>可向招标人书面提出。</w:t>
      </w:r>
    </w:p>
    <w:p w14:paraId="012A9E1C">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bookmarkStart w:id="15" w:name="_Hlk54720437"/>
      <w:r>
        <w:rPr>
          <w:rFonts w:hint="eastAsia" w:ascii="宋体" w:hAnsi="宋体" w:cs="宋体"/>
          <w:color w:val="000000" w:themeColor="text1"/>
          <w:sz w:val="24"/>
          <w:highlight w:val="none"/>
          <w14:textFill>
            <w14:solidFill>
              <w14:schemeClr w14:val="tx1"/>
            </w14:solidFill>
          </w14:textFill>
        </w:rPr>
        <w:t>异议受理部门：</w:t>
      </w:r>
      <w:r>
        <w:rPr>
          <w:rFonts w:hint="eastAsia" w:ascii="宋体" w:hAnsi="宋体" w:cs="宋体"/>
          <w:color w:val="000000" w:themeColor="text1"/>
          <w:sz w:val="24"/>
          <w:highlight w:val="none"/>
          <w:u w:val="single"/>
          <w14:textFill>
            <w14:solidFill>
              <w14:schemeClr w14:val="tx1"/>
            </w14:solidFill>
          </w14:textFill>
        </w:rPr>
        <w:t>广州太平洋马口铁有限公司</w:t>
      </w:r>
    </w:p>
    <w:p w14:paraId="2536517B">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single"/>
          <w14:textFill>
            <w14:solidFill>
              <w14:schemeClr w14:val="tx1"/>
            </w14:solidFill>
          </w14:textFill>
        </w:rPr>
        <w:t>广州经济技术开发区友谊路102号</w:t>
      </w:r>
    </w:p>
    <w:p w14:paraId="3206EA5F">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 系 人：</w:t>
      </w:r>
      <w:r>
        <w:rPr>
          <w:rFonts w:hint="eastAsia" w:ascii="宋体" w:hAnsi="宋体" w:cs="宋体"/>
          <w:color w:val="000000" w:themeColor="text1"/>
          <w:sz w:val="24"/>
          <w:highlight w:val="none"/>
          <w:u w:val="single"/>
          <w14:textFill>
            <w14:solidFill>
              <w14:schemeClr w14:val="tx1"/>
            </w14:solidFill>
          </w14:textFill>
        </w:rPr>
        <w:t>胡工</w:t>
      </w:r>
      <w:r>
        <w:rPr>
          <w:rFonts w:hint="eastAsia" w:ascii="宋体" w:hAnsi="宋体" w:cs="宋体"/>
          <w:color w:val="000000" w:themeColor="text1"/>
          <w:sz w:val="24"/>
          <w:highlight w:val="none"/>
          <w14:textFill>
            <w14:solidFill>
              <w14:schemeClr w14:val="tx1"/>
            </w14:solidFill>
          </w14:textFill>
        </w:rPr>
        <w:t xml:space="preserve">            电    话：</w:t>
      </w:r>
      <w:r>
        <w:rPr>
          <w:rFonts w:hint="eastAsia" w:ascii="宋体" w:hAnsi="宋体" w:cs="宋体"/>
          <w:color w:val="000000" w:themeColor="text1"/>
          <w:sz w:val="24"/>
          <w:szCs w:val="24"/>
          <w:highlight w:val="none"/>
          <w:u w:val="single"/>
          <w14:textFill>
            <w14:solidFill>
              <w14:schemeClr w14:val="tx1"/>
            </w14:solidFill>
          </w14:textFill>
        </w:rPr>
        <w:t>020-82282627</w:t>
      </w:r>
    </w:p>
    <w:bookmarkEnd w:id="14"/>
    <w:bookmarkEnd w:id="15"/>
    <w:p w14:paraId="256BA2BA">
      <w:pPr>
        <w:topLinePunct/>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1692E8BA">
      <w:pPr>
        <w:spacing w:line="360" w:lineRule="auto"/>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8. 联系方式</w:t>
      </w:r>
      <w:bookmarkEnd w:id="12"/>
      <w:bookmarkEnd w:id="13"/>
    </w:p>
    <w:p w14:paraId="33FD017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 标 人：</w:t>
      </w:r>
      <w:r>
        <w:rPr>
          <w:rFonts w:hint="eastAsia" w:ascii="宋体" w:hAnsi="宋体" w:cs="宋体"/>
          <w:color w:val="000000" w:themeColor="text1"/>
          <w:sz w:val="24"/>
          <w:highlight w:val="none"/>
          <w:u w:val="single"/>
          <w14:textFill>
            <w14:solidFill>
              <w14:schemeClr w14:val="tx1"/>
            </w14:solidFill>
          </w14:textFill>
        </w:rPr>
        <w:t>广州太平洋马口铁有限公司</w:t>
      </w:r>
    </w:p>
    <w:p w14:paraId="4BD7407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single"/>
          <w14:textFill>
            <w14:solidFill>
              <w14:schemeClr w14:val="tx1"/>
            </w14:solidFill>
          </w14:textFill>
        </w:rPr>
        <w:t>广州经济技术开发区友谊路 102 号</w:t>
      </w:r>
    </w:p>
    <w:p w14:paraId="7EA8E1F3">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 系 人：</w:t>
      </w:r>
      <w:r>
        <w:rPr>
          <w:rFonts w:hint="eastAsia" w:ascii="宋体" w:hAnsi="宋体" w:cs="宋体"/>
          <w:color w:val="000000" w:themeColor="text1"/>
          <w:sz w:val="24"/>
          <w:highlight w:val="none"/>
          <w:u w:val="single"/>
          <w14:textFill>
            <w14:solidFill>
              <w14:schemeClr w14:val="tx1"/>
            </w14:solidFill>
          </w14:textFill>
        </w:rPr>
        <w:t>胡工</w:t>
      </w:r>
      <w:r>
        <w:rPr>
          <w:rFonts w:hint="eastAsia" w:ascii="宋体" w:hAnsi="宋体" w:cs="宋体"/>
          <w:color w:val="000000" w:themeColor="text1"/>
          <w:sz w:val="24"/>
          <w:highlight w:val="none"/>
          <w14:textFill>
            <w14:solidFill>
              <w14:schemeClr w14:val="tx1"/>
            </w14:solidFill>
          </w14:textFill>
        </w:rPr>
        <w:t xml:space="preserve">            电    话：</w:t>
      </w:r>
      <w:r>
        <w:rPr>
          <w:rFonts w:hint="eastAsia" w:ascii="宋体" w:hAnsi="宋体" w:cs="宋体"/>
          <w:color w:val="000000" w:themeColor="text1"/>
          <w:sz w:val="24"/>
          <w:szCs w:val="24"/>
          <w:highlight w:val="none"/>
          <w:u w:val="single"/>
          <w14:textFill>
            <w14:solidFill>
              <w14:schemeClr w14:val="tx1"/>
            </w14:solidFill>
          </w14:textFill>
        </w:rPr>
        <w:t>020-82282627</w:t>
      </w:r>
    </w:p>
    <w:p w14:paraId="34327200">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7AA59C0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招标代理机构：</w:t>
      </w:r>
      <w:r>
        <w:rPr>
          <w:rFonts w:hint="eastAsia" w:ascii="宋体" w:hAnsi="宋体" w:cs="宋体"/>
          <w:color w:val="000000" w:themeColor="text1"/>
          <w:sz w:val="24"/>
          <w:highlight w:val="none"/>
          <w:u w:val="single"/>
          <w14:textFill>
            <w14:solidFill>
              <w14:schemeClr w14:val="tx1"/>
            </w14:solidFill>
          </w14:textFill>
        </w:rPr>
        <w:t>广州新业建设管理有限公司</w:t>
      </w:r>
    </w:p>
    <w:p w14:paraId="61338B7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szCs w:val="24"/>
          <w:highlight w:val="none"/>
          <w:u w:val="single"/>
          <w14:textFill>
            <w14:solidFill>
              <w14:schemeClr w14:val="tx1"/>
            </w14:solidFill>
          </w14:textFill>
        </w:rPr>
        <w:t>广州市白云区政通路5号</w:t>
      </w:r>
    </w:p>
    <w:p w14:paraId="2DFED893">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 系 人：</w:t>
      </w:r>
      <w:r>
        <w:rPr>
          <w:rFonts w:hint="eastAsia" w:ascii="宋体" w:hAnsi="宋体" w:cs="宋体"/>
          <w:color w:val="000000" w:themeColor="text1"/>
          <w:sz w:val="24"/>
          <w:highlight w:val="none"/>
          <w:u w:val="single"/>
          <w:lang w:eastAsia="zh-CN"/>
          <w14:textFill>
            <w14:solidFill>
              <w14:schemeClr w14:val="tx1"/>
            </w14:solidFill>
          </w14:textFill>
        </w:rPr>
        <w:t>徐</w:t>
      </w:r>
      <w:r>
        <w:rPr>
          <w:rFonts w:hint="eastAsia" w:ascii="宋体" w:hAnsi="宋体" w:cs="宋体"/>
          <w:color w:val="000000" w:themeColor="text1"/>
          <w:sz w:val="24"/>
          <w:highlight w:val="none"/>
          <w:u w:val="single"/>
          <w14:textFill>
            <w14:solidFill>
              <w14:schemeClr w14:val="tx1"/>
            </w14:solidFill>
          </w14:textFill>
        </w:rPr>
        <w:t>工</w:t>
      </w:r>
      <w:r>
        <w:rPr>
          <w:rFonts w:hint="eastAsia" w:ascii="宋体" w:hAnsi="宋体" w:cs="宋体"/>
          <w:color w:val="000000" w:themeColor="text1"/>
          <w:sz w:val="24"/>
          <w:highlight w:val="none"/>
          <w14:textFill>
            <w14:solidFill>
              <w14:schemeClr w14:val="tx1"/>
            </w14:solidFill>
          </w14:textFill>
        </w:rPr>
        <w:t xml:space="preserve">            电    话：</w:t>
      </w:r>
      <w:r>
        <w:rPr>
          <w:rFonts w:hint="eastAsia" w:ascii="宋体" w:hAnsi="宋体" w:cs="宋体"/>
          <w:color w:val="000000" w:themeColor="text1"/>
          <w:sz w:val="24"/>
          <w:highlight w:val="none"/>
          <w:u w:val="single"/>
          <w14:textFill>
            <w14:solidFill>
              <w14:schemeClr w14:val="tx1"/>
            </w14:solidFill>
          </w14:textFill>
        </w:rPr>
        <w:t>020-86588991-857</w:t>
      </w:r>
      <w:bookmarkStart w:id="16" w:name="_GoBack"/>
      <w:bookmarkEnd w:id="16"/>
    </w:p>
    <w:p w14:paraId="135497E6">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1F89DD0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招标监督机构：</w:t>
      </w:r>
      <w:r>
        <w:rPr>
          <w:rFonts w:hint="eastAsia" w:ascii="宋体" w:hAnsi="宋体" w:cs="宋体"/>
          <w:color w:val="000000" w:themeColor="text1"/>
          <w:sz w:val="24"/>
          <w:szCs w:val="24"/>
          <w:highlight w:val="none"/>
          <w:u w:val="single"/>
          <w14:textFill>
            <w14:solidFill>
              <w14:schemeClr w14:val="tx1"/>
            </w14:solidFill>
          </w14:textFill>
        </w:rPr>
        <w:t>广州太平洋马口铁有限公司</w:t>
      </w:r>
    </w:p>
    <w:p w14:paraId="5B730D85">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single"/>
          <w14:textFill>
            <w14:solidFill>
              <w14:schemeClr w14:val="tx1"/>
            </w14:solidFill>
          </w14:textFill>
        </w:rPr>
        <w:t>广州经济技术开发区友谊路102号</w:t>
      </w:r>
    </w:p>
    <w:p w14:paraId="27AF6306">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监管电话：</w:t>
      </w:r>
      <w:r>
        <w:rPr>
          <w:rFonts w:hint="eastAsia" w:ascii="宋体" w:hAnsi="宋体" w:cs="宋体"/>
          <w:color w:val="000000" w:themeColor="text1"/>
          <w:sz w:val="24"/>
          <w:szCs w:val="24"/>
          <w:highlight w:val="none"/>
          <w:u w:val="single"/>
          <w14:textFill>
            <w14:solidFill>
              <w14:schemeClr w14:val="tx1"/>
            </w14:solidFill>
          </w14:textFill>
        </w:rPr>
        <w:t>020-82282627</w:t>
      </w:r>
    </w:p>
    <w:p w14:paraId="6D409282">
      <w:pPr>
        <w:pStyle w:val="2"/>
        <w:rPr>
          <w:highlight w:val="none"/>
        </w:rPr>
      </w:pPr>
    </w:p>
    <w:p w14:paraId="69802811">
      <w:pPr>
        <w:topLinePunct/>
        <w:spacing w:line="360" w:lineRule="auto"/>
        <w:ind w:right="240" w:firstLine="4320" w:firstLineChars="18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招标人：广州太平洋马口铁有限公司</w:t>
      </w:r>
    </w:p>
    <w:p w14:paraId="42A77C1B">
      <w:pPr>
        <w:topLinePunct/>
        <w:spacing w:line="360" w:lineRule="auto"/>
        <w:ind w:right="240" w:firstLine="3600" w:firstLineChars="15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招标代理单位：广州新业建设管理有限公司</w:t>
      </w:r>
    </w:p>
    <w:p w14:paraId="4F72A238">
      <w:pPr>
        <w:topLinePunct/>
        <w:spacing w:line="360" w:lineRule="auto"/>
        <w:ind w:right="240" w:firstLine="4560" w:firstLineChars="1900"/>
        <w:jc w:val="left"/>
        <w:rPr>
          <w:rFonts w:ascii="宋体" w:hAnsi="宋体" w:cs="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日期</w:t>
      </w:r>
      <w:r>
        <w:rPr>
          <w:rFonts w:hint="eastAsia" w:ascii="宋体" w:hAnsi="宋体" w:cs="宋体"/>
          <w:color w:val="000000" w:themeColor="text1"/>
          <w:sz w:val="24"/>
          <w:highlight w:val="none"/>
          <w14:textFill>
            <w14:solidFill>
              <w14:schemeClr w14:val="tx1"/>
            </w14:solidFill>
          </w14:textFill>
        </w:rPr>
        <w:t xml:space="preserve">：2025年 </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 xml:space="preserve">月 </w:t>
      </w:r>
      <w:r>
        <w:rPr>
          <w:rFonts w:hint="eastAsia" w:ascii="宋体" w:hAnsi="宋体" w:cs="宋体"/>
          <w:color w:val="000000" w:themeColor="text1"/>
          <w:sz w:val="24"/>
          <w:highlight w:val="none"/>
          <w:lang w:val="en-US" w:eastAsia="zh-CN"/>
          <w14:textFill>
            <w14:solidFill>
              <w14:schemeClr w14:val="tx1"/>
            </w14:solidFill>
          </w14:textFill>
        </w:rPr>
        <w:t>18</w:t>
      </w:r>
      <w:r>
        <w:rPr>
          <w:rFonts w:hint="eastAsia" w:ascii="宋体" w:hAnsi="宋体" w:cs="宋体"/>
          <w:color w:val="000000" w:themeColor="text1"/>
          <w:sz w:val="24"/>
          <w:highlight w:val="none"/>
          <w14:textFill>
            <w14:solidFill>
              <w14:schemeClr w14:val="tx1"/>
            </w14:solidFill>
          </w14:textFill>
        </w:rPr>
        <w:t xml:space="preserve"> 日</w:t>
      </w:r>
    </w:p>
    <w:p w14:paraId="34468E26">
      <w:pPr>
        <w:spacing w:line="360" w:lineRule="auto"/>
        <w:rPr>
          <w:rFonts w:ascii="宋体" w:hAnsi="宋体" w:cs="宋体"/>
          <w:color w:val="000000" w:themeColor="text1"/>
          <w:sz w:val="24"/>
          <w:highlight w:val="none"/>
          <w14:textFill>
            <w14:solidFill>
              <w14:schemeClr w14:val="tx1"/>
            </w14:solidFill>
          </w14:textFill>
        </w:rPr>
      </w:pPr>
    </w:p>
    <w:p w14:paraId="64241C39">
      <w:pPr>
        <w:spacing w:line="360" w:lineRule="auto"/>
        <w:rPr>
          <w:rFonts w:ascii="宋体" w:hAnsi="宋体" w:cs="宋体"/>
          <w:color w:val="000000" w:themeColor="text1"/>
          <w:sz w:val="24"/>
          <w:highlight w:val="none"/>
          <w14:textFill>
            <w14:solidFill>
              <w14:schemeClr w14:val="tx1"/>
            </w14:solidFill>
          </w14:textFill>
        </w:rPr>
        <w:sectPr>
          <w:footerReference r:id="rId4" w:type="default"/>
          <w:pgSz w:w="11906" w:h="16838"/>
          <w:pgMar w:top="1161" w:right="1531" w:bottom="1361" w:left="1531" w:header="567" w:footer="850" w:gutter="0"/>
          <w:pgNumType w:start="1"/>
          <w:cols w:space="720" w:num="1"/>
          <w:docGrid w:type="lines" w:linePitch="312" w:charSpace="0"/>
        </w:sectPr>
      </w:pPr>
    </w:p>
    <w:p w14:paraId="0E747D40">
      <w:pPr>
        <w:spacing w:line="360" w:lineRule="auto"/>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附件一：</w:t>
      </w:r>
    </w:p>
    <w:p w14:paraId="2AEC5EA5">
      <w:pPr>
        <w:widowControl/>
        <w:spacing w:before="260" w:after="260"/>
        <w:ind w:right="384"/>
        <w:jc w:val="center"/>
        <w:rPr>
          <w:rFonts w:ascii="宋体" w:hAnsi="宋体"/>
          <w:color w:val="000000" w:themeColor="text1"/>
          <w:sz w:val="22"/>
          <w:szCs w:val="21"/>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投标人声明</w:t>
      </w:r>
    </w:p>
    <w:p w14:paraId="3441C647">
      <w:pPr>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本招标项目招标人及招标监管机构：</w:t>
      </w:r>
    </w:p>
    <w:p w14:paraId="38A9E17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本公司就参加</w:t>
      </w:r>
      <w:r>
        <w:rPr>
          <w:rFonts w:hint="eastAsia" w:ascii="宋体" w:hAnsi="宋体" w:cs="宋体"/>
          <w:color w:val="000000" w:themeColor="text1"/>
          <w:sz w:val="24"/>
          <w:szCs w:val="24"/>
          <w:highlight w:val="none"/>
          <w:u w:val="single"/>
          <w14:textFill>
            <w14:solidFill>
              <w14:schemeClr w14:val="tx1"/>
            </w14:solidFill>
          </w14:textFill>
        </w:rPr>
        <w:t>粤港澳大湾区国际智能检测产业园一期项目检验监测</w:t>
      </w:r>
      <w:r>
        <w:rPr>
          <w:rFonts w:hint="eastAsia" w:ascii="宋体" w:hAnsi="宋体" w:cs="宋体"/>
          <w:color w:val="000000" w:themeColor="text1"/>
          <w:sz w:val="24"/>
          <w:szCs w:val="24"/>
          <w:highlight w:val="none"/>
          <w14:textFill>
            <w14:solidFill>
              <w14:schemeClr w14:val="tx1"/>
            </w14:solidFill>
          </w14:textFill>
        </w:rPr>
        <w:t>投标工作，作出郑重声明：</w:t>
      </w:r>
    </w:p>
    <w:p w14:paraId="1640C025">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一、本公司保证投标文件材料及其后提供的一切材料都是真实的。如我司成为本项目中标候选人，我司同意并授权招标人将我司投标文件商务部分的人员、业绩、奖项等资料进行公开。</w:t>
      </w:r>
    </w:p>
    <w:p w14:paraId="1655D79F">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二、本公司保证不与其他单位围标、串标，不出让投标资格，不向招标人或评标委员会成员行贿。</w:t>
      </w:r>
    </w:p>
    <w:p w14:paraId="6FBE91EE">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本公司承诺遵循公平公正、公开、诚实信用原则，如实投标，真实反映企业实力，公平竞争，不弄虚作假，不以低于企业成本价竞标而降低服务质量，不与任何建设单位订立违背企业成本取费标准及相关规定的“阴阳合同”进行恶性竞争，扰乱市场秩序，不与其他单位串通投标或以行贿手段谋取中标，不出借资质、转包或违法分包业务。</w:t>
      </w:r>
    </w:p>
    <w:p w14:paraId="0E6B05BA">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四、本公司不存在招标文件第二章投标人须知第1.4.3项所规定的任何一种情形。</w:t>
      </w:r>
    </w:p>
    <w:p w14:paraId="166A6C7B">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五、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14:paraId="0C780742">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六、本公司承诺，中标后严格执行安全生产相关管理规定。</w:t>
      </w:r>
    </w:p>
    <w:p w14:paraId="6D5BCC01">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七、本公司没有处于被责令停业的状态；没有处于被建设行政主管部门取消投标资格的处罚期内；没有处于财产被接管、冻结、破产的状态；本公司没有在投标登记截止时间前三年内被人民法院判决犯有行贿罪的记录。投标登记截止日期前三年内，本公司没有弄虚作假骗取中标、围标串标行为（以行政主管部门或法院或检察院书面认定为准），本公司没有被人民法院列入失信被执行人名单。在投标登记截止日期前三年内没有建设行政主管部门已书面认定的重大工程质量问题。本公司未在以往工程中因不诚信行为或不充分履约行为被本项目招标人书面拒绝投标；本公司未被纳入联合惩戒范围；本公司近二年（从2023年1月1日起至投标截止时间止）未因以往检(监)测工作中存在伪造检(监)测数据、出具虚假检(监)测报告的行为被各级建设行政主管部门或市场监督管理部门行政处罚或通报的。</w:t>
      </w:r>
    </w:p>
    <w:p w14:paraId="1340C355">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八、与本公司单位负责人为同一人或者与本公司存在控股、管理关系的其他单位包括</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注：本条由投标人如实填写，如有，应列出全部满足招标公告资质要求的相关单位的名称；如无，则填写“无”。若投标人未列全符合相关条件的单位，但同时未列全的相关单位未参与本项目投标的，不视为该投标人违反了招标公告第九条第11点的规定，不作为对其投标文件进行无效标处理的依据。）</w:t>
      </w:r>
    </w:p>
    <w:p w14:paraId="450FF815">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九、本公司承诺，中标后将按招标人要求，积极响应广州市关于投身“百千万工程”的号召，主动参与建筑业结对帮扶。</w:t>
      </w:r>
    </w:p>
    <w:p w14:paraId="59EF561E">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十、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23B692C8">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公司违反上述保证，或本声明陈述与事实不符，经查实，本公司愿意接受公开通报，承担由此带来的法律后果（包括但不限于取消中标资格、解除合同、禁止本公司参加招标人或其关联公司今后任何招标项目的投标），并自愿停止参加广州市行政辖区内的招标投标活动三个月。</w:t>
      </w:r>
    </w:p>
    <w:p w14:paraId="6DA16955">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特此声明。</w:t>
      </w:r>
    </w:p>
    <w:p w14:paraId="534C9ED0">
      <w:pPr>
        <w:widowControl/>
        <w:snapToGrid w:val="0"/>
        <w:spacing w:line="360" w:lineRule="auto"/>
        <w:rPr>
          <w:rFonts w:ascii="宋体" w:cs="宋体"/>
          <w:color w:val="000000" w:themeColor="text1"/>
          <w:sz w:val="24"/>
          <w:szCs w:val="24"/>
          <w:highlight w:val="none"/>
          <w14:textFill>
            <w14:solidFill>
              <w14:schemeClr w14:val="tx1"/>
            </w14:solidFill>
          </w14:textFill>
        </w:rPr>
      </w:pPr>
    </w:p>
    <w:p w14:paraId="380E52DA">
      <w:pPr>
        <w:widowControl/>
        <w:snapToGrid w:val="0"/>
        <w:spacing w:line="360" w:lineRule="auto"/>
        <w:rPr>
          <w:rFonts w:ascii="宋体" w:cs="宋体"/>
          <w:color w:val="000000" w:themeColor="text1"/>
          <w:sz w:val="24"/>
          <w:szCs w:val="24"/>
          <w:highlight w:val="none"/>
          <w14:textFill>
            <w14:solidFill>
              <w14:schemeClr w14:val="tx1"/>
            </w14:solidFill>
          </w14:textFill>
        </w:rPr>
      </w:pPr>
    </w:p>
    <w:p w14:paraId="1430BA61">
      <w:pPr>
        <w:widowControl/>
        <w:snapToGrid w:val="0"/>
        <w:spacing w:line="360" w:lineRule="auto"/>
        <w:ind w:firstLine="3360" w:firstLineChars="14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声明企业</w:t>
      </w:r>
      <w:r>
        <w:rPr>
          <w:rFonts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盖公章</w:t>
      </w:r>
      <w:r>
        <w:rPr>
          <w:rFonts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w:t>
      </w:r>
    </w:p>
    <w:p w14:paraId="1DBD86DC">
      <w:pPr>
        <w:widowControl/>
        <w:snapToGrid w:val="0"/>
        <w:spacing w:line="360" w:lineRule="auto"/>
        <w:ind w:firstLine="3360" w:firstLineChars="14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法定代表人或授权委托人（签字或盖章）：</w:t>
      </w:r>
    </w:p>
    <w:p w14:paraId="5BEDBFA5">
      <w:pPr>
        <w:widowControl/>
        <w:snapToGrid w:val="0"/>
        <w:spacing w:line="360" w:lineRule="auto"/>
        <w:ind w:firstLine="3360" w:firstLineChars="1400"/>
        <w:rPr>
          <w:rFonts w:ascii="宋体" w:hAns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项目负责人</w:t>
      </w:r>
      <w:r>
        <w:rPr>
          <w:rFonts w:hint="eastAsia" w:ascii="宋体" w:hAnsi="宋体" w:cs="宋体"/>
          <w:color w:val="000000" w:themeColor="text1"/>
          <w:sz w:val="24"/>
          <w:szCs w:val="24"/>
          <w:highlight w:val="none"/>
          <w14:textFill>
            <w14:solidFill>
              <w14:schemeClr w14:val="tx1"/>
            </w14:solidFill>
          </w14:textFill>
        </w:rPr>
        <w:t>（签字）：</w:t>
      </w:r>
    </w:p>
    <w:p w14:paraId="73AB77D0">
      <w:pPr>
        <w:widowControl/>
        <w:snapToGrid w:val="0"/>
        <w:spacing w:line="360" w:lineRule="auto"/>
        <w:ind w:firstLine="5040" w:firstLineChars="2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年</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月  </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p>
    <w:p w14:paraId="580759B4">
      <w:pPr>
        <w:pStyle w:val="16"/>
        <w:ind w:firstLine="0"/>
        <w:rPr>
          <w:rFonts w:ascii="宋体" w:hAnsi="宋体" w:cs="宋体"/>
          <w:color w:val="000000" w:themeColor="text1"/>
          <w:sz w:val="24"/>
          <w:highlight w:val="none"/>
          <w14:textFill>
            <w14:solidFill>
              <w14:schemeClr w14:val="tx1"/>
            </w14:solidFill>
          </w14:textFill>
        </w:rPr>
      </w:pPr>
    </w:p>
    <w:p w14:paraId="64990804">
      <w:pPr>
        <w:pStyle w:val="16"/>
        <w:rPr>
          <w:rFonts w:ascii="宋体" w:hAnsi="宋体" w:cs="宋体"/>
          <w:color w:val="000000" w:themeColor="text1"/>
          <w:sz w:val="24"/>
          <w:highlight w:val="none"/>
          <w14:textFill>
            <w14:solidFill>
              <w14:schemeClr w14:val="tx1"/>
            </w14:solidFill>
          </w14:textFill>
        </w:rPr>
        <w:sectPr>
          <w:pgSz w:w="11906" w:h="16838"/>
          <w:pgMar w:top="1361" w:right="1531" w:bottom="1361" w:left="1531" w:header="567" w:footer="850" w:gutter="0"/>
          <w:cols w:space="720" w:num="1"/>
          <w:docGrid w:type="lines" w:linePitch="312" w:charSpace="0"/>
        </w:sectPr>
      </w:pPr>
    </w:p>
    <w:p w14:paraId="5397BBA4">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附件二：联合体协议书（参考格式）</w:t>
      </w:r>
    </w:p>
    <w:p w14:paraId="51E85970">
      <w:pPr>
        <w:spacing w:line="360" w:lineRule="auto"/>
        <w:jc w:val="center"/>
        <w:rPr>
          <w:rFonts w:ascii="宋体" w:hAnsi="宋体" w:cs="宋体"/>
          <w:b/>
          <w:bCs/>
          <w:color w:val="000000" w:themeColor="text1"/>
          <w:kern w:val="0"/>
          <w:sz w:val="28"/>
          <w:szCs w:val="28"/>
          <w:highlight w:val="none"/>
          <w14:textFill>
            <w14:solidFill>
              <w14:schemeClr w14:val="tx1"/>
            </w14:solidFill>
          </w14:textFill>
        </w:rPr>
      </w:pPr>
    </w:p>
    <w:p w14:paraId="2730B3F9">
      <w:pPr>
        <w:spacing w:line="360" w:lineRule="auto"/>
        <w:jc w:val="center"/>
        <w:rPr>
          <w:rFonts w:ascii="宋体" w:hAnsi="宋体" w:cs="宋体"/>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联合体协议书</w:t>
      </w:r>
    </w:p>
    <w:p w14:paraId="34B82ACE">
      <w:pPr>
        <w:spacing w:line="360" w:lineRule="auto"/>
        <w:rPr>
          <w:rFonts w:ascii="宋体" w:hAnsi="宋体" w:cs="宋体"/>
          <w:color w:val="000000" w:themeColor="text1"/>
          <w:kern w:val="0"/>
          <w:sz w:val="24"/>
          <w:szCs w:val="24"/>
          <w:highlight w:val="none"/>
          <w14:textFill>
            <w14:solidFill>
              <w14:schemeClr w14:val="tx1"/>
            </w14:solidFill>
          </w14:textFill>
        </w:rPr>
      </w:pPr>
    </w:p>
    <w:p w14:paraId="06D16A56">
      <w:pPr>
        <w:topLinePunct/>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主办方名称：</w:t>
      </w:r>
    </w:p>
    <w:p w14:paraId="5C2B4888">
      <w:pPr>
        <w:topLinePunct/>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w:t>
      </w:r>
    </w:p>
    <w:p w14:paraId="4F57EDA8">
      <w:pPr>
        <w:topLinePunct/>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法定地址：</w:t>
      </w:r>
    </w:p>
    <w:p w14:paraId="62B08842">
      <w:pPr>
        <w:topLinePunct/>
        <w:spacing w:before="156" w:beforeLines="50"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成员名称：</w:t>
      </w:r>
    </w:p>
    <w:p w14:paraId="6C3770A9">
      <w:pPr>
        <w:topLinePunct/>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w:t>
      </w:r>
    </w:p>
    <w:p w14:paraId="286A02DE">
      <w:pPr>
        <w:topLinePunct/>
        <w:spacing w:line="360" w:lineRule="auto"/>
        <w:ind w:firstLine="480" w:firstLineChars="200"/>
        <w:jc w:val="lef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法定地址：</w:t>
      </w:r>
    </w:p>
    <w:p w14:paraId="55E44AAC">
      <w:pPr>
        <w:topLinePunct/>
        <w:spacing w:line="360" w:lineRule="auto"/>
        <w:ind w:firstLine="480" w:firstLineChars="200"/>
        <w:jc w:val="left"/>
        <w:rPr>
          <w:rFonts w:ascii="宋体" w:hAnsi="宋体" w:cs="宋体"/>
          <w:color w:val="000000" w:themeColor="text1"/>
          <w:sz w:val="24"/>
          <w:szCs w:val="24"/>
          <w:highlight w:val="none"/>
          <w:u w:val="single"/>
          <w14:textFill>
            <w14:solidFill>
              <w14:schemeClr w14:val="tx1"/>
            </w14:solidFill>
          </w14:textFill>
        </w:rPr>
      </w:pPr>
    </w:p>
    <w:p w14:paraId="5F9ADD10">
      <w:pPr>
        <w:topLinePunct/>
        <w:spacing w:before="156" w:beforeLines="50"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本协议书各方遵循平等、自愿、公平和诚实信用的原则，共同愿意组成联合体，参加</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项目（以下简称“本项目”）的投标。现就下列有关事宜，订立本协议书。</w:t>
      </w:r>
    </w:p>
    <w:p w14:paraId="2939E6B7">
      <w:pPr>
        <w:numPr>
          <w:ilvl w:val="0"/>
          <w:numId w:val="1"/>
        </w:numPr>
        <w:topLinePunct/>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 xml:space="preserve">    （某成员单位名称）     </w:t>
      </w:r>
      <w:r>
        <w:rPr>
          <w:rFonts w:hint="eastAsia" w:ascii="宋体" w:hAnsi="宋体" w:cs="宋体"/>
          <w:color w:val="000000" w:themeColor="text1"/>
          <w:sz w:val="24"/>
          <w:szCs w:val="24"/>
          <w:highlight w:val="none"/>
          <w14:textFill>
            <w14:solidFill>
              <w14:schemeClr w14:val="tx1"/>
            </w14:solidFill>
          </w14:textFill>
        </w:rPr>
        <w:t>为</w:t>
      </w:r>
      <w:r>
        <w:rPr>
          <w:rFonts w:hint="eastAsia" w:ascii="宋体" w:hAnsi="宋体" w:cs="宋体"/>
          <w:color w:val="000000" w:themeColor="text1"/>
          <w:sz w:val="24"/>
          <w:szCs w:val="24"/>
          <w:highlight w:val="none"/>
          <w:u w:val="single"/>
          <w14:textFill>
            <w14:solidFill>
              <w14:schemeClr w14:val="tx1"/>
            </w14:solidFill>
          </w14:textFill>
        </w:rPr>
        <w:t>联合体</w:t>
      </w:r>
      <w:r>
        <w:rPr>
          <w:rFonts w:hint="eastAsia" w:ascii="宋体" w:hAnsi="宋体" w:cs="宋体"/>
          <w:color w:val="000000" w:themeColor="text1"/>
          <w:sz w:val="24"/>
          <w:szCs w:val="24"/>
          <w:highlight w:val="none"/>
          <w14:textFill>
            <w14:solidFill>
              <w14:schemeClr w14:val="tx1"/>
            </w14:solidFill>
          </w14:textFill>
        </w:rPr>
        <w:t>主办方。</w:t>
      </w:r>
    </w:p>
    <w:p w14:paraId="0BA649B3">
      <w:pPr>
        <w:topLinePunct/>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 在本工程投标阶段，联合体主办方合法代表联合体各成员负责本工程投标文件编制活动，代表联合体提交和接收相关的资料、信息及指示，并处理与投标和中标有关的一切事务；联合体中标后，联合体主办方负责合同订立和合同实施阶段的主办、组织和协调工作。</w:t>
      </w:r>
    </w:p>
    <w:p w14:paraId="55DC73B3">
      <w:pPr>
        <w:topLinePunct/>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联合体将严格按照招标文件的各项要求，递交投标文件，履行投标义务和中标后的合同，共同承担合同规定的一切义务和责任，联合体各成员单位按照内部职责的划分，承担各自所负的责任和风险，并向招标人承担连带责任。</w:t>
      </w:r>
    </w:p>
    <w:p w14:paraId="7E0078AB">
      <w:pPr>
        <w:topLinePunct/>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 联合体各成员单位内部的职责分工如下：</w:t>
      </w:r>
    </w:p>
    <w:p w14:paraId="1044F969">
      <w:pPr>
        <w:topLinePunct/>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①</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：为本项目的联合体主办方，具体负责本项目</w:t>
      </w:r>
      <w:r>
        <w:rPr>
          <w:rFonts w:hint="eastAsia" w:ascii="宋体" w:hAnsi="宋体" w:cs="宋体"/>
          <w:color w:val="000000" w:themeColor="text1"/>
          <w:sz w:val="24"/>
          <w:szCs w:val="24"/>
          <w:highlight w:val="none"/>
          <w:u w:val="single"/>
          <w14:textFill>
            <w14:solidFill>
              <w14:schemeClr w14:val="tx1"/>
            </w14:solidFill>
          </w14:textFill>
        </w:rPr>
        <w:t xml:space="preserve">          工作</w:t>
      </w:r>
      <w:r>
        <w:rPr>
          <w:rFonts w:hint="eastAsia" w:ascii="宋体" w:hAnsi="宋体" w:cs="宋体"/>
          <w:color w:val="000000" w:themeColor="text1"/>
          <w:sz w:val="24"/>
          <w:szCs w:val="24"/>
          <w:highlight w:val="none"/>
          <w14:textFill>
            <w14:solidFill>
              <w14:schemeClr w14:val="tx1"/>
            </w14:solidFill>
          </w14:textFill>
        </w:rPr>
        <w:t>，还负责管理的职责。若联合体成员方违约时，联合体主办方应承担连带责任，具体按合同要求。</w:t>
      </w:r>
    </w:p>
    <w:p w14:paraId="261FD759">
      <w:pPr>
        <w:topLinePunct/>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②</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：为本项目的联合体成员方，具体负责本项目</w:t>
      </w:r>
      <w:r>
        <w:rPr>
          <w:rFonts w:hint="eastAsia" w:ascii="宋体" w:hAnsi="宋体" w:cs="宋体"/>
          <w:color w:val="000000" w:themeColor="text1"/>
          <w:sz w:val="24"/>
          <w:szCs w:val="24"/>
          <w:highlight w:val="none"/>
          <w:u w:val="single"/>
          <w14:textFill>
            <w14:solidFill>
              <w14:schemeClr w14:val="tx1"/>
            </w14:solidFill>
          </w14:textFill>
        </w:rPr>
        <w:t xml:space="preserve">          工作</w:t>
      </w:r>
      <w:r>
        <w:rPr>
          <w:rFonts w:hint="eastAsia" w:ascii="宋体" w:hAnsi="宋体" w:cs="宋体"/>
          <w:color w:val="000000" w:themeColor="text1"/>
          <w:sz w:val="24"/>
          <w:szCs w:val="24"/>
          <w:highlight w:val="none"/>
          <w14:textFill>
            <w14:solidFill>
              <w14:schemeClr w14:val="tx1"/>
            </w14:solidFill>
          </w14:textFill>
        </w:rPr>
        <w:t>，具体按合同要求。</w:t>
      </w:r>
    </w:p>
    <w:p w14:paraId="53F8DD41">
      <w:pPr>
        <w:topLinePunct/>
        <w:spacing w:line="360" w:lineRule="auto"/>
        <w:ind w:firstLine="480" w:firstLineChars="200"/>
        <w:jc w:val="left"/>
        <w:rPr>
          <w:rFonts w:ascii="宋体" w:hAnsi="宋体" w:cs="宋体"/>
          <w:color w:val="000000" w:themeColor="text1"/>
          <w:sz w:val="24"/>
          <w:szCs w:val="24"/>
          <w:highlight w:val="none"/>
          <w:u w:val="single"/>
          <w14:textFill>
            <w14:solidFill>
              <w14:schemeClr w14:val="tx1"/>
            </w14:solidFill>
          </w14:textFill>
        </w:rPr>
      </w:pPr>
    </w:p>
    <w:p w14:paraId="3A5D5B6A">
      <w:pPr>
        <w:topLinePunct/>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 联合体中标后，本联合体协议是合同的附件，对联合体各成员单位有合同约束力。</w:t>
      </w:r>
    </w:p>
    <w:p w14:paraId="60FCA645">
      <w:pPr>
        <w:topLinePunct/>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 本协议书自签署之日起生效，联合体未中标或者中标时合同履行完毕后自动失效。</w:t>
      </w:r>
    </w:p>
    <w:p w14:paraId="73E46C4E">
      <w:pPr>
        <w:topLinePunct/>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 本协议书一式</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份，联合体成员和招标人各执壹份。</w:t>
      </w:r>
    </w:p>
    <w:p w14:paraId="5EB1C933">
      <w:pPr>
        <w:topLinePunct/>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p>
    <w:p w14:paraId="3DB6D52D">
      <w:pPr>
        <w:topLinePunct/>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p>
    <w:p w14:paraId="119E3185">
      <w:pPr>
        <w:topLinePunct/>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主办方名称：（盖公章）</w:t>
      </w:r>
    </w:p>
    <w:p w14:paraId="223E99D0">
      <w:pPr>
        <w:topLinePunct/>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法定代表人或授权委托人：（签字或盖私章）</w:t>
      </w:r>
    </w:p>
    <w:p w14:paraId="0E400246">
      <w:pPr>
        <w:topLinePunct/>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p>
    <w:p w14:paraId="59026A26">
      <w:pPr>
        <w:topLinePunct/>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成员名称：（盖公章）</w:t>
      </w:r>
    </w:p>
    <w:p w14:paraId="304DFEBC">
      <w:pPr>
        <w:topLinePunct/>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法定代表人或授权委托人：（签字或盖私章）</w:t>
      </w:r>
    </w:p>
    <w:p w14:paraId="1343B89C">
      <w:pPr>
        <w:topLinePunct/>
        <w:spacing w:line="360" w:lineRule="auto"/>
        <w:ind w:firstLine="1680" w:firstLineChars="700"/>
        <w:jc w:val="left"/>
        <w:rPr>
          <w:rFonts w:ascii="宋体" w:hAnsi="宋体" w:cs="宋体"/>
          <w:color w:val="000000" w:themeColor="text1"/>
          <w:sz w:val="24"/>
          <w:szCs w:val="24"/>
          <w:highlight w:val="none"/>
          <w14:textFill>
            <w14:solidFill>
              <w14:schemeClr w14:val="tx1"/>
            </w14:solidFill>
          </w14:textFill>
        </w:rPr>
      </w:pPr>
    </w:p>
    <w:p w14:paraId="2E648EB0">
      <w:pPr>
        <w:topLinePunct/>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p>
    <w:p w14:paraId="5893B2DD">
      <w:pPr>
        <w:topLinePunct/>
        <w:spacing w:line="360" w:lineRule="auto"/>
        <w:ind w:right="960" w:firstLine="480" w:firstLineChars="200"/>
        <w:jc w:val="righ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年     月    日</w:t>
      </w:r>
    </w:p>
    <w:p w14:paraId="5A8EC7F4">
      <w:pPr>
        <w:topLinePunct/>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p>
    <w:p w14:paraId="051787F2">
      <w:pPr>
        <w:topLinePunct/>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w:t>
      </w:r>
    </w:p>
    <w:p w14:paraId="3C828B2D">
      <w:pPr>
        <w:numPr>
          <w:ilvl w:val="0"/>
          <w:numId w:val="2"/>
        </w:numPr>
        <w:topLinePunct/>
        <w:spacing w:line="360" w:lineRule="auto"/>
        <w:ind w:firstLine="48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本协议书由授权委托人签字或盖私章的，应附法定代表人签字或盖私章的授权委托书。</w:t>
      </w:r>
    </w:p>
    <w:p w14:paraId="596867C9">
      <w:pPr>
        <w:numPr>
          <w:ilvl w:val="0"/>
          <w:numId w:val="2"/>
        </w:numPr>
        <w:topLinePunct/>
        <w:spacing w:line="360" w:lineRule="auto"/>
        <w:ind w:firstLine="48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对于联合体投标人，除联合体协议书必须联合体各方分别按要求进行签字或盖章外，其他资料若需要签字或盖章的均可由联合体主办方签字或盖章；投标文件封面及其他内容及落款中的“投标人”应填写联合体各方的单位全称【格式示例为：</w:t>
      </w:r>
      <w:r>
        <w:rPr>
          <w:rFonts w:ascii="宋体" w:hAnsi="宋体" w:cs="宋体"/>
          <w:color w:val="000000" w:themeColor="text1"/>
          <w:sz w:val="24"/>
          <w:szCs w:val="24"/>
          <w:highlight w:val="none"/>
          <w14:textFill>
            <w14:solidFill>
              <w14:schemeClr w14:val="tx1"/>
            </w14:solidFill>
          </w14:textFill>
        </w:rPr>
        <w:t>(主)单位全称(成)单位全称】，由联合体主办方</w:t>
      </w:r>
      <w:r>
        <w:rPr>
          <w:rFonts w:hint="eastAsia" w:ascii="宋体" w:hAnsi="宋体" w:cs="宋体"/>
          <w:color w:val="000000" w:themeColor="text1"/>
          <w:sz w:val="24"/>
          <w:szCs w:val="24"/>
          <w:highlight w:val="none"/>
          <w14:textFill>
            <w14:solidFill>
              <w14:schemeClr w14:val="tx1"/>
            </w14:solidFill>
          </w14:textFill>
        </w:rPr>
        <w:t>签字或盖章</w:t>
      </w:r>
      <w:r>
        <w:rPr>
          <w:rFonts w:ascii="宋体" w:hAnsi="宋体" w:cs="宋体"/>
          <w:color w:val="000000" w:themeColor="text1"/>
          <w:sz w:val="24"/>
          <w:szCs w:val="24"/>
          <w:highlight w:val="none"/>
          <w14:textFill>
            <w14:solidFill>
              <w14:schemeClr w14:val="tx1"/>
            </w14:solidFill>
          </w14:textFill>
        </w:rPr>
        <w:t>即可。</w:t>
      </w:r>
    </w:p>
    <w:p w14:paraId="74994278">
      <w:pPr>
        <w:pStyle w:val="16"/>
        <w:rPr>
          <w:rFonts w:ascii="宋体" w:hAnsi="宋体" w:cs="宋体"/>
          <w:color w:val="000000" w:themeColor="text1"/>
          <w:sz w:val="24"/>
          <w:highlight w:val="none"/>
          <w14:textFill>
            <w14:solidFill>
              <w14:schemeClr w14:val="tx1"/>
            </w14:solidFill>
          </w14:textFill>
        </w:rPr>
      </w:pPr>
    </w:p>
    <w:sectPr>
      <w:pgSz w:w="11906" w:h="16838"/>
      <w:pgMar w:top="1361" w:right="1531" w:bottom="1361" w:left="1531" w:header="567"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幼圆">
    <w:panose1 w:val="0201050906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FBE51">
    <w:pPr>
      <w:pStyle w:val="12"/>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CEF35">
    <w:pPr>
      <w:pStyle w:val="12"/>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D26152">
                          <w:pPr>
                            <w:pStyle w:val="12"/>
                          </w:pPr>
                          <w:r>
                            <w:fldChar w:fldCharType="begin"/>
                          </w:r>
                          <w:r>
                            <w:instrText xml:space="preserve"> PAGE  \* MERGEFORMAT </w:instrText>
                          </w:r>
                          <w:r>
                            <w:fldChar w:fldCharType="separate"/>
                          </w:r>
                          <w:r>
                            <w:t>3</w:t>
                          </w:r>
                          <w:r>
                            <w:fldChar w:fldCharType="end"/>
                          </w: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WaS1XXAQAAsgMAAA4AAAAAAAAAAQAgAAAA&#10;HgEAAGRycy9lMm9Eb2MueG1sUEsFBgAAAAAGAAYAWQEAAGcFAAAAAA==&#10;">
              <v:fill on="f" focussize="0,0"/>
              <v:stroke on="f"/>
              <v:imagedata o:title=""/>
              <o:lock v:ext="edit" aspectratio="f"/>
              <v:textbox inset="0mm,0mm,0mm,0mm" style="mso-fit-shape-to-text:t;">
                <w:txbxContent>
                  <w:p w14:paraId="70D26152">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E13BE"/>
    <w:multiLevelType w:val="singleLevel"/>
    <w:tmpl w:val="840E13BE"/>
    <w:lvl w:ilvl="0" w:tentative="0">
      <w:start w:val="1"/>
      <w:numFmt w:val="decimal"/>
      <w:suff w:val="nothing"/>
      <w:lvlText w:val="%1、"/>
      <w:lvlJc w:val="left"/>
    </w:lvl>
  </w:abstractNum>
  <w:abstractNum w:abstractNumId="1">
    <w:nsid w:val="4147EFAB"/>
    <w:multiLevelType w:val="singleLevel"/>
    <w:tmpl w:val="4147EFAB"/>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Q5ZTdmNTIzNjVhMzFjMmNmMDA0OGI2NjE3Y2UifQ=="/>
  </w:docVars>
  <w:rsids>
    <w:rsidRoot w:val="00172A27"/>
    <w:rsid w:val="000011E9"/>
    <w:rsid w:val="000020BB"/>
    <w:rsid w:val="000053E5"/>
    <w:rsid w:val="00010EDC"/>
    <w:rsid w:val="0001114A"/>
    <w:rsid w:val="000119B3"/>
    <w:rsid w:val="00012E8D"/>
    <w:rsid w:val="00014858"/>
    <w:rsid w:val="000163F4"/>
    <w:rsid w:val="00021E36"/>
    <w:rsid w:val="0002206F"/>
    <w:rsid w:val="00022F42"/>
    <w:rsid w:val="000273FF"/>
    <w:rsid w:val="00032825"/>
    <w:rsid w:val="00034C1F"/>
    <w:rsid w:val="00047EAE"/>
    <w:rsid w:val="00051572"/>
    <w:rsid w:val="0005167C"/>
    <w:rsid w:val="00064884"/>
    <w:rsid w:val="00067CA8"/>
    <w:rsid w:val="00080345"/>
    <w:rsid w:val="0008428D"/>
    <w:rsid w:val="00085F8F"/>
    <w:rsid w:val="00090030"/>
    <w:rsid w:val="0009008D"/>
    <w:rsid w:val="00092F6E"/>
    <w:rsid w:val="00096A5A"/>
    <w:rsid w:val="000A1EDC"/>
    <w:rsid w:val="000A30CB"/>
    <w:rsid w:val="000A3EC3"/>
    <w:rsid w:val="000A52A4"/>
    <w:rsid w:val="000A5991"/>
    <w:rsid w:val="000A7624"/>
    <w:rsid w:val="000A7DB2"/>
    <w:rsid w:val="000B0436"/>
    <w:rsid w:val="000C149E"/>
    <w:rsid w:val="000C5075"/>
    <w:rsid w:val="000C5643"/>
    <w:rsid w:val="000D314C"/>
    <w:rsid w:val="000D7EBC"/>
    <w:rsid w:val="000E072A"/>
    <w:rsid w:val="000E1236"/>
    <w:rsid w:val="000E12E1"/>
    <w:rsid w:val="000E7015"/>
    <w:rsid w:val="000F0AD8"/>
    <w:rsid w:val="000F1434"/>
    <w:rsid w:val="000F7A4A"/>
    <w:rsid w:val="0010165E"/>
    <w:rsid w:val="001016BC"/>
    <w:rsid w:val="001044D6"/>
    <w:rsid w:val="0010698B"/>
    <w:rsid w:val="00114505"/>
    <w:rsid w:val="001152C0"/>
    <w:rsid w:val="0011540C"/>
    <w:rsid w:val="00116DD6"/>
    <w:rsid w:val="00116F98"/>
    <w:rsid w:val="00117A35"/>
    <w:rsid w:val="0012308B"/>
    <w:rsid w:val="0012337D"/>
    <w:rsid w:val="001322A2"/>
    <w:rsid w:val="001432BE"/>
    <w:rsid w:val="00143332"/>
    <w:rsid w:val="001455B4"/>
    <w:rsid w:val="00150432"/>
    <w:rsid w:val="00151C32"/>
    <w:rsid w:val="00154E63"/>
    <w:rsid w:val="00156C7F"/>
    <w:rsid w:val="001703B8"/>
    <w:rsid w:val="001721E6"/>
    <w:rsid w:val="00172A27"/>
    <w:rsid w:val="001754DF"/>
    <w:rsid w:val="00184925"/>
    <w:rsid w:val="00191F7B"/>
    <w:rsid w:val="001924C7"/>
    <w:rsid w:val="00193CA1"/>
    <w:rsid w:val="001A016C"/>
    <w:rsid w:val="001A32A8"/>
    <w:rsid w:val="001B01F7"/>
    <w:rsid w:val="001B1D2C"/>
    <w:rsid w:val="001B5C11"/>
    <w:rsid w:val="001C1F2B"/>
    <w:rsid w:val="001C26FF"/>
    <w:rsid w:val="001C43FD"/>
    <w:rsid w:val="001C57F2"/>
    <w:rsid w:val="001D3E4D"/>
    <w:rsid w:val="001D56E9"/>
    <w:rsid w:val="001E01FE"/>
    <w:rsid w:val="001E278E"/>
    <w:rsid w:val="001F1864"/>
    <w:rsid w:val="001F3F7C"/>
    <w:rsid w:val="001F6236"/>
    <w:rsid w:val="00205A3A"/>
    <w:rsid w:val="00206838"/>
    <w:rsid w:val="00210C4A"/>
    <w:rsid w:val="00211C66"/>
    <w:rsid w:val="002138F4"/>
    <w:rsid w:val="0022168A"/>
    <w:rsid w:val="002219B9"/>
    <w:rsid w:val="00232593"/>
    <w:rsid w:val="00232A5B"/>
    <w:rsid w:val="00233EF5"/>
    <w:rsid w:val="002354E1"/>
    <w:rsid w:val="00235E7C"/>
    <w:rsid w:val="00241C5C"/>
    <w:rsid w:val="0024372C"/>
    <w:rsid w:val="00246224"/>
    <w:rsid w:val="00250444"/>
    <w:rsid w:val="0025096E"/>
    <w:rsid w:val="00252F2B"/>
    <w:rsid w:val="002552EB"/>
    <w:rsid w:val="0026748C"/>
    <w:rsid w:val="00267B99"/>
    <w:rsid w:val="00267DFE"/>
    <w:rsid w:val="00271F6C"/>
    <w:rsid w:val="00274D3A"/>
    <w:rsid w:val="002804EC"/>
    <w:rsid w:val="00280908"/>
    <w:rsid w:val="0028664A"/>
    <w:rsid w:val="0029481B"/>
    <w:rsid w:val="00295252"/>
    <w:rsid w:val="00295689"/>
    <w:rsid w:val="00297D64"/>
    <w:rsid w:val="002A0305"/>
    <w:rsid w:val="002A1799"/>
    <w:rsid w:val="002A4563"/>
    <w:rsid w:val="002A582E"/>
    <w:rsid w:val="002B0BD3"/>
    <w:rsid w:val="002B4881"/>
    <w:rsid w:val="002B5223"/>
    <w:rsid w:val="002C182E"/>
    <w:rsid w:val="002C7D54"/>
    <w:rsid w:val="002D1973"/>
    <w:rsid w:val="002D1A8F"/>
    <w:rsid w:val="002D1B51"/>
    <w:rsid w:val="002D266A"/>
    <w:rsid w:val="002D4B3D"/>
    <w:rsid w:val="002D5FDF"/>
    <w:rsid w:val="002D63B5"/>
    <w:rsid w:val="002E0066"/>
    <w:rsid w:val="002E47D3"/>
    <w:rsid w:val="002F005F"/>
    <w:rsid w:val="002F3671"/>
    <w:rsid w:val="00304727"/>
    <w:rsid w:val="00304FBB"/>
    <w:rsid w:val="00305085"/>
    <w:rsid w:val="00310926"/>
    <w:rsid w:val="00310A8B"/>
    <w:rsid w:val="00325042"/>
    <w:rsid w:val="00326170"/>
    <w:rsid w:val="00327CA0"/>
    <w:rsid w:val="00333A2A"/>
    <w:rsid w:val="003375C1"/>
    <w:rsid w:val="00337DE7"/>
    <w:rsid w:val="00342FD5"/>
    <w:rsid w:val="00343E77"/>
    <w:rsid w:val="0034410A"/>
    <w:rsid w:val="0034425F"/>
    <w:rsid w:val="00346813"/>
    <w:rsid w:val="00346BC2"/>
    <w:rsid w:val="00347513"/>
    <w:rsid w:val="00347A27"/>
    <w:rsid w:val="00351200"/>
    <w:rsid w:val="00351D49"/>
    <w:rsid w:val="00354892"/>
    <w:rsid w:val="00354F54"/>
    <w:rsid w:val="003609A2"/>
    <w:rsid w:val="0037024A"/>
    <w:rsid w:val="00370850"/>
    <w:rsid w:val="00370C4C"/>
    <w:rsid w:val="0037201A"/>
    <w:rsid w:val="00372FAE"/>
    <w:rsid w:val="003764F9"/>
    <w:rsid w:val="00376DAC"/>
    <w:rsid w:val="00380125"/>
    <w:rsid w:val="00381B56"/>
    <w:rsid w:val="003822D3"/>
    <w:rsid w:val="0038303B"/>
    <w:rsid w:val="00384233"/>
    <w:rsid w:val="00386DF7"/>
    <w:rsid w:val="00394B59"/>
    <w:rsid w:val="00397103"/>
    <w:rsid w:val="003A420B"/>
    <w:rsid w:val="003A615D"/>
    <w:rsid w:val="003A639A"/>
    <w:rsid w:val="003B2E9B"/>
    <w:rsid w:val="003B31EE"/>
    <w:rsid w:val="003B4DA6"/>
    <w:rsid w:val="003C3D88"/>
    <w:rsid w:val="003D4AA9"/>
    <w:rsid w:val="003D62C0"/>
    <w:rsid w:val="003E1E3D"/>
    <w:rsid w:val="003E2F60"/>
    <w:rsid w:val="003E3FF5"/>
    <w:rsid w:val="003E5D52"/>
    <w:rsid w:val="003F0E1E"/>
    <w:rsid w:val="004028B8"/>
    <w:rsid w:val="004037A0"/>
    <w:rsid w:val="004128DF"/>
    <w:rsid w:val="00421367"/>
    <w:rsid w:val="00422A4C"/>
    <w:rsid w:val="00431492"/>
    <w:rsid w:val="0043561B"/>
    <w:rsid w:val="004419D3"/>
    <w:rsid w:val="00450080"/>
    <w:rsid w:val="00450BC0"/>
    <w:rsid w:val="00452AC0"/>
    <w:rsid w:val="00455368"/>
    <w:rsid w:val="0045720F"/>
    <w:rsid w:val="00460E33"/>
    <w:rsid w:val="00466FB0"/>
    <w:rsid w:val="00470385"/>
    <w:rsid w:val="004717E7"/>
    <w:rsid w:val="00471BE0"/>
    <w:rsid w:val="004720FD"/>
    <w:rsid w:val="00472AC7"/>
    <w:rsid w:val="004862F3"/>
    <w:rsid w:val="00491154"/>
    <w:rsid w:val="004912AC"/>
    <w:rsid w:val="00491A98"/>
    <w:rsid w:val="0049257B"/>
    <w:rsid w:val="00493AB4"/>
    <w:rsid w:val="00494DAE"/>
    <w:rsid w:val="004977DB"/>
    <w:rsid w:val="004A0BD9"/>
    <w:rsid w:val="004A3C34"/>
    <w:rsid w:val="004A5076"/>
    <w:rsid w:val="004B330C"/>
    <w:rsid w:val="004E4AC8"/>
    <w:rsid w:val="004E4F0F"/>
    <w:rsid w:val="004F0C19"/>
    <w:rsid w:val="004F29E7"/>
    <w:rsid w:val="004F3CC9"/>
    <w:rsid w:val="005007EC"/>
    <w:rsid w:val="0050279C"/>
    <w:rsid w:val="0050659E"/>
    <w:rsid w:val="00507D1D"/>
    <w:rsid w:val="00513352"/>
    <w:rsid w:val="00515FC7"/>
    <w:rsid w:val="005220F1"/>
    <w:rsid w:val="00523784"/>
    <w:rsid w:val="00530683"/>
    <w:rsid w:val="005345F3"/>
    <w:rsid w:val="00534916"/>
    <w:rsid w:val="00534D04"/>
    <w:rsid w:val="005435C3"/>
    <w:rsid w:val="00555C25"/>
    <w:rsid w:val="00561DFA"/>
    <w:rsid w:val="00562E51"/>
    <w:rsid w:val="0056366E"/>
    <w:rsid w:val="00567A45"/>
    <w:rsid w:val="00571B8F"/>
    <w:rsid w:val="00572F42"/>
    <w:rsid w:val="00573894"/>
    <w:rsid w:val="00576633"/>
    <w:rsid w:val="00576784"/>
    <w:rsid w:val="005872A1"/>
    <w:rsid w:val="00594E59"/>
    <w:rsid w:val="005A1416"/>
    <w:rsid w:val="005A3CCA"/>
    <w:rsid w:val="005A4977"/>
    <w:rsid w:val="005B4CD8"/>
    <w:rsid w:val="005B6FAA"/>
    <w:rsid w:val="005B7CEA"/>
    <w:rsid w:val="005C4B4A"/>
    <w:rsid w:val="005C54B3"/>
    <w:rsid w:val="005C6930"/>
    <w:rsid w:val="005D155F"/>
    <w:rsid w:val="005D42A3"/>
    <w:rsid w:val="005D60D5"/>
    <w:rsid w:val="005E2960"/>
    <w:rsid w:val="005E62E2"/>
    <w:rsid w:val="005E652E"/>
    <w:rsid w:val="005E7E37"/>
    <w:rsid w:val="005F2DE7"/>
    <w:rsid w:val="005F44C1"/>
    <w:rsid w:val="005F67EB"/>
    <w:rsid w:val="005F7A92"/>
    <w:rsid w:val="006010C8"/>
    <w:rsid w:val="0060405E"/>
    <w:rsid w:val="00604873"/>
    <w:rsid w:val="0060685C"/>
    <w:rsid w:val="006169A6"/>
    <w:rsid w:val="00617DF5"/>
    <w:rsid w:val="00624B75"/>
    <w:rsid w:val="00627A96"/>
    <w:rsid w:val="00627B63"/>
    <w:rsid w:val="0063127B"/>
    <w:rsid w:val="00635071"/>
    <w:rsid w:val="00642E47"/>
    <w:rsid w:val="006518B1"/>
    <w:rsid w:val="00652946"/>
    <w:rsid w:val="00655292"/>
    <w:rsid w:val="00661F70"/>
    <w:rsid w:val="0066415B"/>
    <w:rsid w:val="0066568C"/>
    <w:rsid w:val="006702F6"/>
    <w:rsid w:val="00670D9C"/>
    <w:rsid w:val="006752C6"/>
    <w:rsid w:val="00675694"/>
    <w:rsid w:val="00677EC4"/>
    <w:rsid w:val="0068318B"/>
    <w:rsid w:val="00684FD3"/>
    <w:rsid w:val="006906F2"/>
    <w:rsid w:val="00691AF0"/>
    <w:rsid w:val="00693060"/>
    <w:rsid w:val="00694B71"/>
    <w:rsid w:val="00696F86"/>
    <w:rsid w:val="006A42C0"/>
    <w:rsid w:val="006B389C"/>
    <w:rsid w:val="006B5B7A"/>
    <w:rsid w:val="006B6360"/>
    <w:rsid w:val="006C0307"/>
    <w:rsid w:val="006C491A"/>
    <w:rsid w:val="006C566E"/>
    <w:rsid w:val="006C646C"/>
    <w:rsid w:val="006C6715"/>
    <w:rsid w:val="006D05E5"/>
    <w:rsid w:val="006D3259"/>
    <w:rsid w:val="006D4E4B"/>
    <w:rsid w:val="006D7722"/>
    <w:rsid w:val="006E080E"/>
    <w:rsid w:val="006E0A88"/>
    <w:rsid w:val="006E3DED"/>
    <w:rsid w:val="006E60BE"/>
    <w:rsid w:val="006E734D"/>
    <w:rsid w:val="006E765D"/>
    <w:rsid w:val="006F5044"/>
    <w:rsid w:val="00702FAE"/>
    <w:rsid w:val="00705B95"/>
    <w:rsid w:val="0071014B"/>
    <w:rsid w:val="00710339"/>
    <w:rsid w:val="00711066"/>
    <w:rsid w:val="007117D8"/>
    <w:rsid w:val="0071660D"/>
    <w:rsid w:val="00716DFB"/>
    <w:rsid w:val="007170A6"/>
    <w:rsid w:val="007238A4"/>
    <w:rsid w:val="007321F2"/>
    <w:rsid w:val="00733253"/>
    <w:rsid w:val="00733CAB"/>
    <w:rsid w:val="00735D70"/>
    <w:rsid w:val="00741E57"/>
    <w:rsid w:val="007426CD"/>
    <w:rsid w:val="00743C85"/>
    <w:rsid w:val="00747F35"/>
    <w:rsid w:val="0075720D"/>
    <w:rsid w:val="00757B9E"/>
    <w:rsid w:val="00760CA1"/>
    <w:rsid w:val="0076768D"/>
    <w:rsid w:val="007677D7"/>
    <w:rsid w:val="007678E4"/>
    <w:rsid w:val="00770ABE"/>
    <w:rsid w:val="007714B3"/>
    <w:rsid w:val="00777743"/>
    <w:rsid w:val="00777AF9"/>
    <w:rsid w:val="00793258"/>
    <w:rsid w:val="007932A8"/>
    <w:rsid w:val="007936F8"/>
    <w:rsid w:val="007972A5"/>
    <w:rsid w:val="007A2B5F"/>
    <w:rsid w:val="007A5B7F"/>
    <w:rsid w:val="007A5EEF"/>
    <w:rsid w:val="007B31F9"/>
    <w:rsid w:val="007B344B"/>
    <w:rsid w:val="007B5D1E"/>
    <w:rsid w:val="007B6E25"/>
    <w:rsid w:val="007C1223"/>
    <w:rsid w:val="007C1443"/>
    <w:rsid w:val="007C1E48"/>
    <w:rsid w:val="007C3B4D"/>
    <w:rsid w:val="007C6A41"/>
    <w:rsid w:val="007C6FB5"/>
    <w:rsid w:val="007D46F6"/>
    <w:rsid w:val="007D6A5F"/>
    <w:rsid w:val="007E44B4"/>
    <w:rsid w:val="007F1337"/>
    <w:rsid w:val="007F2883"/>
    <w:rsid w:val="0080334A"/>
    <w:rsid w:val="00807A4E"/>
    <w:rsid w:val="00814EA3"/>
    <w:rsid w:val="00817EED"/>
    <w:rsid w:val="008206F6"/>
    <w:rsid w:val="00822C4B"/>
    <w:rsid w:val="00822C95"/>
    <w:rsid w:val="008247AD"/>
    <w:rsid w:val="00824801"/>
    <w:rsid w:val="008277B5"/>
    <w:rsid w:val="00830A01"/>
    <w:rsid w:val="00830E3D"/>
    <w:rsid w:val="00833FB6"/>
    <w:rsid w:val="00837FD0"/>
    <w:rsid w:val="00842FC1"/>
    <w:rsid w:val="00850445"/>
    <w:rsid w:val="00852EAA"/>
    <w:rsid w:val="00856DC0"/>
    <w:rsid w:val="00860BFD"/>
    <w:rsid w:val="0086308F"/>
    <w:rsid w:val="00864854"/>
    <w:rsid w:val="00867A21"/>
    <w:rsid w:val="008734D5"/>
    <w:rsid w:val="00876338"/>
    <w:rsid w:val="008808AF"/>
    <w:rsid w:val="008852BB"/>
    <w:rsid w:val="0089027D"/>
    <w:rsid w:val="0089066C"/>
    <w:rsid w:val="00893FA4"/>
    <w:rsid w:val="00896E9A"/>
    <w:rsid w:val="008A0821"/>
    <w:rsid w:val="008A3C66"/>
    <w:rsid w:val="008B0ABB"/>
    <w:rsid w:val="008B1F2C"/>
    <w:rsid w:val="008B6BCD"/>
    <w:rsid w:val="008C7B28"/>
    <w:rsid w:val="008C7BF6"/>
    <w:rsid w:val="008C7E43"/>
    <w:rsid w:val="008D0B75"/>
    <w:rsid w:val="008D409E"/>
    <w:rsid w:val="008D5727"/>
    <w:rsid w:val="008D788E"/>
    <w:rsid w:val="008E027F"/>
    <w:rsid w:val="008E169F"/>
    <w:rsid w:val="008E6027"/>
    <w:rsid w:val="008E7E57"/>
    <w:rsid w:val="008F1516"/>
    <w:rsid w:val="008F1C88"/>
    <w:rsid w:val="008F1CA6"/>
    <w:rsid w:val="008F2C59"/>
    <w:rsid w:val="008F3486"/>
    <w:rsid w:val="008F35D4"/>
    <w:rsid w:val="008F494F"/>
    <w:rsid w:val="008F550A"/>
    <w:rsid w:val="008F718C"/>
    <w:rsid w:val="009046D0"/>
    <w:rsid w:val="0090488B"/>
    <w:rsid w:val="00913E87"/>
    <w:rsid w:val="009260C7"/>
    <w:rsid w:val="00930FDD"/>
    <w:rsid w:val="0093659B"/>
    <w:rsid w:val="009374F8"/>
    <w:rsid w:val="00937F46"/>
    <w:rsid w:val="009430CE"/>
    <w:rsid w:val="00943CA7"/>
    <w:rsid w:val="00944A9B"/>
    <w:rsid w:val="00947646"/>
    <w:rsid w:val="0095496C"/>
    <w:rsid w:val="00954F4A"/>
    <w:rsid w:val="0096076C"/>
    <w:rsid w:val="00962B72"/>
    <w:rsid w:val="009702FA"/>
    <w:rsid w:val="00972C6F"/>
    <w:rsid w:val="00972E49"/>
    <w:rsid w:val="0097543E"/>
    <w:rsid w:val="00975DE2"/>
    <w:rsid w:val="00976BB8"/>
    <w:rsid w:val="00976DB6"/>
    <w:rsid w:val="00977E52"/>
    <w:rsid w:val="009800C4"/>
    <w:rsid w:val="009821C3"/>
    <w:rsid w:val="009869E8"/>
    <w:rsid w:val="00986CCF"/>
    <w:rsid w:val="00995CC2"/>
    <w:rsid w:val="009961A4"/>
    <w:rsid w:val="009A06EF"/>
    <w:rsid w:val="009A359F"/>
    <w:rsid w:val="009A38BA"/>
    <w:rsid w:val="009A66E3"/>
    <w:rsid w:val="009B19FB"/>
    <w:rsid w:val="009B3AB1"/>
    <w:rsid w:val="009C283A"/>
    <w:rsid w:val="009C3888"/>
    <w:rsid w:val="009C71CF"/>
    <w:rsid w:val="009D12FA"/>
    <w:rsid w:val="009D2DC5"/>
    <w:rsid w:val="009D56C8"/>
    <w:rsid w:val="009E2F97"/>
    <w:rsid w:val="009E5108"/>
    <w:rsid w:val="009F0B7A"/>
    <w:rsid w:val="009F37E7"/>
    <w:rsid w:val="009F5272"/>
    <w:rsid w:val="009F5785"/>
    <w:rsid w:val="00A01E2F"/>
    <w:rsid w:val="00A032C7"/>
    <w:rsid w:val="00A033FD"/>
    <w:rsid w:val="00A03530"/>
    <w:rsid w:val="00A06583"/>
    <w:rsid w:val="00A13923"/>
    <w:rsid w:val="00A13FE0"/>
    <w:rsid w:val="00A16470"/>
    <w:rsid w:val="00A2214D"/>
    <w:rsid w:val="00A22F3F"/>
    <w:rsid w:val="00A240C0"/>
    <w:rsid w:val="00A2492E"/>
    <w:rsid w:val="00A26A8D"/>
    <w:rsid w:val="00A3041A"/>
    <w:rsid w:val="00A31512"/>
    <w:rsid w:val="00A32742"/>
    <w:rsid w:val="00A41252"/>
    <w:rsid w:val="00A42583"/>
    <w:rsid w:val="00A42761"/>
    <w:rsid w:val="00A458CF"/>
    <w:rsid w:val="00A479F6"/>
    <w:rsid w:val="00A50BEC"/>
    <w:rsid w:val="00A50C23"/>
    <w:rsid w:val="00A53547"/>
    <w:rsid w:val="00A62096"/>
    <w:rsid w:val="00A65B08"/>
    <w:rsid w:val="00A66598"/>
    <w:rsid w:val="00A70BA6"/>
    <w:rsid w:val="00A7441B"/>
    <w:rsid w:val="00A75653"/>
    <w:rsid w:val="00A75E4F"/>
    <w:rsid w:val="00A837E8"/>
    <w:rsid w:val="00A864DD"/>
    <w:rsid w:val="00A9068C"/>
    <w:rsid w:val="00A92561"/>
    <w:rsid w:val="00A93C64"/>
    <w:rsid w:val="00A95311"/>
    <w:rsid w:val="00A96C32"/>
    <w:rsid w:val="00A97B37"/>
    <w:rsid w:val="00AA13CE"/>
    <w:rsid w:val="00AA64D2"/>
    <w:rsid w:val="00AB17B4"/>
    <w:rsid w:val="00AB5142"/>
    <w:rsid w:val="00AC38DE"/>
    <w:rsid w:val="00AC3A07"/>
    <w:rsid w:val="00AC4D9A"/>
    <w:rsid w:val="00AD1B74"/>
    <w:rsid w:val="00AD5299"/>
    <w:rsid w:val="00AD6776"/>
    <w:rsid w:val="00AD67FB"/>
    <w:rsid w:val="00AD6D5A"/>
    <w:rsid w:val="00AE07FA"/>
    <w:rsid w:val="00AE41A6"/>
    <w:rsid w:val="00AE5908"/>
    <w:rsid w:val="00AF3478"/>
    <w:rsid w:val="00AF36CA"/>
    <w:rsid w:val="00AF531F"/>
    <w:rsid w:val="00AF58F4"/>
    <w:rsid w:val="00AF69F1"/>
    <w:rsid w:val="00B00F41"/>
    <w:rsid w:val="00B023F2"/>
    <w:rsid w:val="00B1133E"/>
    <w:rsid w:val="00B11FF3"/>
    <w:rsid w:val="00B12CF6"/>
    <w:rsid w:val="00B14A73"/>
    <w:rsid w:val="00B15177"/>
    <w:rsid w:val="00B268D4"/>
    <w:rsid w:val="00B26C61"/>
    <w:rsid w:val="00B3479D"/>
    <w:rsid w:val="00B37657"/>
    <w:rsid w:val="00B37EDE"/>
    <w:rsid w:val="00B40A89"/>
    <w:rsid w:val="00B41E4C"/>
    <w:rsid w:val="00B43E62"/>
    <w:rsid w:val="00B45FD5"/>
    <w:rsid w:val="00B46B30"/>
    <w:rsid w:val="00B46C65"/>
    <w:rsid w:val="00B54629"/>
    <w:rsid w:val="00B54819"/>
    <w:rsid w:val="00B60B29"/>
    <w:rsid w:val="00B6687D"/>
    <w:rsid w:val="00B672EE"/>
    <w:rsid w:val="00B67DF4"/>
    <w:rsid w:val="00B70FAA"/>
    <w:rsid w:val="00B735CA"/>
    <w:rsid w:val="00B736BA"/>
    <w:rsid w:val="00B75472"/>
    <w:rsid w:val="00B77B0D"/>
    <w:rsid w:val="00B807A6"/>
    <w:rsid w:val="00B8261E"/>
    <w:rsid w:val="00B83BA3"/>
    <w:rsid w:val="00B845AB"/>
    <w:rsid w:val="00B91D14"/>
    <w:rsid w:val="00B92159"/>
    <w:rsid w:val="00BA3112"/>
    <w:rsid w:val="00BA4A83"/>
    <w:rsid w:val="00BA7832"/>
    <w:rsid w:val="00BB5059"/>
    <w:rsid w:val="00BC0CDA"/>
    <w:rsid w:val="00BC4E00"/>
    <w:rsid w:val="00BC63C7"/>
    <w:rsid w:val="00BD49C9"/>
    <w:rsid w:val="00BD7F5C"/>
    <w:rsid w:val="00BE2CFC"/>
    <w:rsid w:val="00BE533C"/>
    <w:rsid w:val="00BE566C"/>
    <w:rsid w:val="00BF278A"/>
    <w:rsid w:val="00BF293D"/>
    <w:rsid w:val="00BF3203"/>
    <w:rsid w:val="00BF5168"/>
    <w:rsid w:val="00BF757C"/>
    <w:rsid w:val="00C00030"/>
    <w:rsid w:val="00C00668"/>
    <w:rsid w:val="00C02BE6"/>
    <w:rsid w:val="00C1276B"/>
    <w:rsid w:val="00C16A42"/>
    <w:rsid w:val="00C16F5E"/>
    <w:rsid w:val="00C17E04"/>
    <w:rsid w:val="00C21B7C"/>
    <w:rsid w:val="00C239B2"/>
    <w:rsid w:val="00C23CFC"/>
    <w:rsid w:val="00C25495"/>
    <w:rsid w:val="00C30A03"/>
    <w:rsid w:val="00C31C25"/>
    <w:rsid w:val="00C31C29"/>
    <w:rsid w:val="00C32E80"/>
    <w:rsid w:val="00C34CB6"/>
    <w:rsid w:val="00C367E6"/>
    <w:rsid w:val="00C37C0F"/>
    <w:rsid w:val="00C402C6"/>
    <w:rsid w:val="00C4318A"/>
    <w:rsid w:val="00C46128"/>
    <w:rsid w:val="00C5400C"/>
    <w:rsid w:val="00C573E9"/>
    <w:rsid w:val="00C60998"/>
    <w:rsid w:val="00C61638"/>
    <w:rsid w:val="00C62B17"/>
    <w:rsid w:val="00C62FF0"/>
    <w:rsid w:val="00C64C17"/>
    <w:rsid w:val="00C65664"/>
    <w:rsid w:val="00C6617D"/>
    <w:rsid w:val="00C66E1F"/>
    <w:rsid w:val="00C81C84"/>
    <w:rsid w:val="00C85C97"/>
    <w:rsid w:val="00C9014A"/>
    <w:rsid w:val="00C932A0"/>
    <w:rsid w:val="00C94589"/>
    <w:rsid w:val="00C9502C"/>
    <w:rsid w:val="00C961EA"/>
    <w:rsid w:val="00C968D3"/>
    <w:rsid w:val="00CA486F"/>
    <w:rsid w:val="00CB1436"/>
    <w:rsid w:val="00CB27C0"/>
    <w:rsid w:val="00CB310A"/>
    <w:rsid w:val="00CB4D68"/>
    <w:rsid w:val="00CB6F6F"/>
    <w:rsid w:val="00CB77F1"/>
    <w:rsid w:val="00CC2813"/>
    <w:rsid w:val="00CC4F56"/>
    <w:rsid w:val="00CC7A6E"/>
    <w:rsid w:val="00CD4DCE"/>
    <w:rsid w:val="00CD64F6"/>
    <w:rsid w:val="00CD657E"/>
    <w:rsid w:val="00CE394F"/>
    <w:rsid w:val="00CE50D0"/>
    <w:rsid w:val="00CF5EEC"/>
    <w:rsid w:val="00CF64EE"/>
    <w:rsid w:val="00D01DAA"/>
    <w:rsid w:val="00D11ED4"/>
    <w:rsid w:val="00D12104"/>
    <w:rsid w:val="00D15A6B"/>
    <w:rsid w:val="00D30CFB"/>
    <w:rsid w:val="00D31235"/>
    <w:rsid w:val="00D31352"/>
    <w:rsid w:val="00D31659"/>
    <w:rsid w:val="00D36023"/>
    <w:rsid w:val="00D365B8"/>
    <w:rsid w:val="00D404A7"/>
    <w:rsid w:val="00D45C9C"/>
    <w:rsid w:val="00D46A4D"/>
    <w:rsid w:val="00D51975"/>
    <w:rsid w:val="00D5352B"/>
    <w:rsid w:val="00D6259C"/>
    <w:rsid w:val="00D644E6"/>
    <w:rsid w:val="00D660D0"/>
    <w:rsid w:val="00D667DC"/>
    <w:rsid w:val="00D669B7"/>
    <w:rsid w:val="00D778C3"/>
    <w:rsid w:val="00D8019F"/>
    <w:rsid w:val="00D81F3B"/>
    <w:rsid w:val="00D82D77"/>
    <w:rsid w:val="00D86E4F"/>
    <w:rsid w:val="00D876EE"/>
    <w:rsid w:val="00D90C54"/>
    <w:rsid w:val="00D920DF"/>
    <w:rsid w:val="00D93ACF"/>
    <w:rsid w:val="00DA304C"/>
    <w:rsid w:val="00DA310A"/>
    <w:rsid w:val="00DA3DC1"/>
    <w:rsid w:val="00DB27A8"/>
    <w:rsid w:val="00DB5CE3"/>
    <w:rsid w:val="00DB5DE6"/>
    <w:rsid w:val="00DC40D5"/>
    <w:rsid w:val="00DE13ED"/>
    <w:rsid w:val="00DE2636"/>
    <w:rsid w:val="00DE4C57"/>
    <w:rsid w:val="00DE6C93"/>
    <w:rsid w:val="00DE726C"/>
    <w:rsid w:val="00DE7B01"/>
    <w:rsid w:val="00DF25FC"/>
    <w:rsid w:val="00DF4674"/>
    <w:rsid w:val="00E00622"/>
    <w:rsid w:val="00E00B58"/>
    <w:rsid w:val="00E11DC1"/>
    <w:rsid w:val="00E11ED6"/>
    <w:rsid w:val="00E12F0B"/>
    <w:rsid w:val="00E1422C"/>
    <w:rsid w:val="00E150CE"/>
    <w:rsid w:val="00E153FA"/>
    <w:rsid w:val="00E15BF4"/>
    <w:rsid w:val="00E17943"/>
    <w:rsid w:val="00E212C9"/>
    <w:rsid w:val="00E22CAB"/>
    <w:rsid w:val="00E23819"/>
    <w:rsid w:val="00E24672"/>
    <w:rsid w:val="00E24951"/>
    <w:rsid w:val="00E266AD"/>
    <w:rsid w:val="00E272E0"/>
    <w:rsid w:val="00E31269"/>
    <w:rsid w:val="00E33869"/>
    <w:rsid w:val="00E34A0E"/>
    <w:rsid w:val="00E35237"/>
    <w:rsid w:val="00E37C30"/>
    <w:rsid w:val="00E541F3"/>
    <w:rsid w:val="00E5643D"/>
    <w:rsid w:val="00E60325"/>
    <w:rsid w:val="00E619D1"/>
    <w:rsid w:val="00E722C9"/>
    <w:rsid w:val="00E757A5"/>
    <w:rsid w:val="00E96F0A"/>
    <w:rsid w:val="00E96F5F"/>
    <w:rsid w:val="00E97B5F"/>
    <w:rsid w:val="00EA1A68"/>
    <w:rsid w:val="00EA46A9"/>
    <w:rsid w:val="00EA5C58"/>
    <w:rsid w:val="00EB2604"/>
    <w:rsid w:val="00EB31A8"/>
    <w:rsid w:val="00EB3FC7"/>
    <w:rsid w:val="00EB43D7"/>
    <w:rsid w:val="00EB4C66"/>
    <w:rsid w:val="00EB5A89"/>
    <w:rsid w:val="00EC30A6"/>
    <w:rsid w:val="00EC3A14"/>
    <w:rsid w:val="00EC3A5F"/>
    <w:rsid w:val="00EC50AD"/>
    <w:rsid w:val="00ED26AA"/>
    <w:rsid w:val="00ED5322"/>
    <w:rsid w:val="00ED6FEC"/>
    <w:rsid w:val="00ED7F69"/>
    <w:rsid w:val="00EE1734"/>
    <w:rsid w:val="00EF05B8"/>
    <w:rsid w:val="00EF1755"/>
    <w:rsid w:val="00EF3EB1"/>
    <w:rsid w:val="00EF588A"/>
    <w:rsid w:val="00F0035E"/>
    <w:rsid w:val="00F00CB2"/>
    <w:rsid w:val="00F016DF"/>
    <w:rsid w:val="00F01C03"/>
    <w:rsid w:val="00F03454"/>
    <w:rsid w:val="00F05973"/>
    <w:rsid w:val="00F07E7B"/>
    <w:rsid w:val="00F11019"/>
    <w:rsid w:val="00F11930"/>
    <w:rsid w:val="00F11FD0"/>
    <w:rsid w:val="00F12227"/>
    <w:rsid w:val="00F12C23"/>
    <w:rsid w:val="00F13C13"/>
    <w:rsid w:val="00F23D8D"/>
    <w:rsid w:val="00F2666F"/>
    <w:rsid w:val="00F32D64"/>
    <w:rsid w:val="00F4272C"/>
    <w:rsid w:val="00F4634B"/>
    <w:rsid w:val="00F51BDC"/>
    <w:rsid w:val="00F52CD0"/>
    <w:rsid w:val="00F53DD6"/>
    <w:rsid w:val="00F54956"/>
    <w:rsid w:val="00F60470"/>
    <w:rsid w:val="00F62887"/>
    <w:rsid w:val="00F63528"/>
    <w:rsid w:val="00F711F4"/>
    <w:rsid w:val="00F71854"/>
    <w:rsid w:val="00F71F83"/>
    <w:rsid w:val="00F750D6"/>
    <w:rsid w:val="00F77041"/>
    <w:rsid w:val="00F77C3C"/>
    <w:rsid w:val="00F85604"/>
    <w:rsid w:val="00F9048B"/>
    <w:rsid w:val="00F90F74"/>
    <w:rsid w:val="00F937FB"/>
    <w:rsid w:val="00FA7044"/>
    <w:rsid w:val="00FA7DD8"/>
    <w:rsid w:val="00FB0085"/>
    <w:rsid w:val="00FB0F36"/>
    <w:rsid w:val="00FB1161"/>
    <w:rsid w:val="00FB2C19"/>
    <w:rsid w:val="00FB5D4F"/>
    <w:rsid w:val="00FB6E79"/>
    <w:rsid w:val="00FC1E59"/>
    <w:rsid w:val="00FC39DE"/>
    <w:rsid w:val="00FD00C3"/>
    <w:rsid w:val="00FD1FD3"/>
    <w:rsid w:val="00FD54D0"/>
    <w:rsid w:val="00FE2D13"/>
    <w:rsid w:val="00FE4470"/>
    <w:rsid w:val="00FF1032"/>
    <w:rsid w:val="00FF26D0"/>
    <w:rsid w:val="00FF5DCF"/>
    <w:rsid w:val="00FF6D9F"/>
    <w:rsid w:val="012E443B"/>
    <w:rsid w:val="01D017D4"/>
    <w:rsid w:val="02953A09"/>
    <w:rsid w:val="02D52B76"/>
    <w:rsid w:val="02D7578B"/>
    <w:rsid w:val="02D84414"/>
    <w:rsid w:val="02DC5445"/>
    <w:rsid w:val="02EA751E"/>
    <w:rsid w:val="030E722E"/>
    <w:rsid w:val="034A3564"/>
    <w:rsid w:val="03536A4B"/>
    <w:rsid w:val="03775745"/>
    <w:rsid w:val="03A03AB6"/>
    <w:rsid w:val="04C6297F"/>
    <w:rsid w:val="04E74098"/>
    <w:rsid w:val="05B77835"/>
    <w:rsid w:val="060A22DC"/>
    <w:rsid w:val="06B212F1"/>
    <w:rsid w:val="06C54213"/>
    <w:rsid w:val="073A3575"/>
    <w:rsid w:val="073A6148"/>
    <w:rsid w:val="073D0CEA"/>
    <w:rsid w:val="075A6C8D"/>
    <w:rsid w:val="07B45355"/>
    <w:rsid w:val="08004177"/>
    <w:rsid w:val="09DB029B"/>
    <w:rsid w:val="09F9652E"/>
    <w:rsid w:val="0A1B4424"/>
    <w:rsid w:val="0A242839"/>
    <w:rsid w:val="0B1D3115"/>
    <w:rsid w:val="0B5A7445"/>
    <w:rsid w:val="0BE300B2"/>
    <w:rsid w:val="0C057B12"/>
    <w:rsid w:val="0C0F70F9"/>
    <w:rsid w:val="0C206374"/>
    <w:rsid w:val="0C5145C5"/>
    <w:rsid w:val="0D2D19A9"/>
    <w:rsid w:val="0DF35C82"/>
    <w:rsid w:val="0E837C69"/>
    <w:rsid w:val="0F6D16A4"/>
    <w:rsid w:val="0FAB2BCD"/>
    <w:rsid w:val="108903C5"/>
    <w:rsid w:val="10ED3781"/>
    <w:rsid w:val="118E0AC0"/>
    <w:rsid w:val="11E51DBA"/>
    <w:rsid w:val="125C630A"/>
    <w:rsid w:val="126D2DCB"/>
    <w:rsid w:val="13414A47"/>
    <w:rsid w:val="135E6D53"/>
    <w:rsid w:val="138E4DA7"/>
    <w:rsid w:val="147850C7"/>
    <w:rsid w:val="1486082E"/>
    <w:rsid w:val="15063862"/>
    <w:rsid w:val="153E0A4F"/>
    <w:rsid w:val="15DF1981"/>
    <w:rsid w:val="16B02545"/>
    <w:rsid w:val="16DC4CF7"/>
    <w:rsid w:val="16DD58D9"/>
    <w:rsid w:val="172C3466"/>
    <w:rsid w:val="175005C5"/>
    <w:rsid w:val="179A60F6"/>
    <w:rsid w:val="186B60BB"/>
    <w:rsid w:val="191E7362"/>
    <w:rsid w:val="19666A28"/>
    <w:rsid w:val="19EF046D"/>
    <w:rsid w:val="1A3758F6"/>
    <w:rsid w:val="1A9D69B7"/>
    <w:rsid w:val="1AB23A71"/>
    <w:rsid w:val="1ACF6F2B"/>
    <w:rsid w:val="1B5E1C50"/>
    <w:rsid w:val="1BA0493F"/>
    <w:rsid w:val="1BA45078"/>
    <w:rsid w:val="1C165279"/>
    <w:rsid w:val="1C7A7D64"/>
    <w:rsid w:val="1DA23185"/>
    <w:rsid w:val="1DCD26B9"/>
    <w:rsid w:val="1E304F4B"/>
    <w:rsid w:val="1E535731"/>
    <w:rsid w:val="1EFA58D5"/>
    <w:rsid w:val="1F340F2F"/>
    <w:rsid w:val="204B7854"/>
    <w:rsid w:val="20D17E6B"/>
    <w:rsid w:val="20F010B4"/>
    <w:rsid w:val="2122788E"/>
    <w:rsid w:val="21A9773B"/>
    <w:rsid w:val="21CF63D1"/>
    <w:rsid w:val="220C2D0F"/>
    <w:rsid w:val="22E46910"/>
    <w:rsid w:val="246E07E6"/>
    <w:rsid w:val="247468E2"/>
    <w:rsid w:val="24A809B2"/>
    <w:rsid w:val="252E0198"/>
    <w:rsid w:val="25360ED3"/>
    <w:rsid w:val="25A505D0"/>
    <w:rsid w:val="26020A18"/>
    <w:rsid w:val="267D43E9"/>
    <w:rsid w:val="268B3CC3"/>
    <w:rsid w:val="27097897"/>
    <w:rsid w:val="27621B46"/>
    <w:rsid w:val="27E97AF2"/>
    <w:rsid w:val="28052DDA"/>
    <w:rsid w:val="28170A95"/>
    <w:rsid w:val="29A047A8"/>
    <w:rsid w:val="2AF30345"/>
    <w:rsid w:val="2B5841C1"/>
    <w:rsid w:val="2B6B252B"/>
    <w:rsid w:val="2C235A8C"/>
    <w:rsid w:val="2C420098"/>
    <w:rsid w:val="2C456197"/>
    <w:rsid w:val="2C7C1D20"/>
    <w:rsid w:val="2CE029A2"/>
    <w:rsid w:val="2CF83602"/>
    <w:rsid w:val="2D301DF2"/>
    <w:rsid w:val="2D470AD2"/>
    <w:rsid w:val="2DC3355D"/>
    <w:rsid w:val="2E036CDE"/>
    <w:rsid w:val="2E78509E"/>
    <w:rsid w:val="2F0E729B"/>
    <w:rsid w:val="2FB63E4F"/>
    <w:rsid w:val="31A20F6D"/>
    <w:rsid w:val="3210008F"/>
    <w:rsid w:val="32220BCC"/>
    <w:rsid w:val="326D4E0B"/>
    <w:rsid w:val="3349780D"/>
    <w:rsid w:val="33656A7C"/>
    <w:rsid w:val="34923739"/>
    <w:rsid w:val="35051200"/>
    <w:rsid w:val="35716BA6"/>
    <w:rsid w:val="357D00B7"/>
    <w:rsid w:val="35E27E68"/>
    <w:rsid w:val="36145014"/>
    <w:rsid w:val="36671C22"/>
    <w:rsid w:val="36B565EA"/>
    <w:rsid w:val="3748449D"/>
    <w:rsid w:val="374A7542"/>
    <w:rsid w:val="378B1BBF"/>
    <w:rsid w:val="37AD7642"/>
    <w:rsid w:val="37F27B04"/>
    <w:rsid w:val="37FE39FA"/>
    <w:rsid w:val="38303DCF"/>
    <w:rsid w:val="388B056F"/>
    <w:rsid w:val="38C067C5"/>
    <w:rsid w:val="39367BBE"/>
    <w:rsid w:val="39923840"/>
    <w:rsid w:val="3BBF5492"/>
    <w:rsid w:val="3BD67D92"/>
    <w:rsid w:val="3C37572C"/>
    <w:rsid w:val="3C6278D5"/>
    <w:rsid w:val="3D1D2581"/>
    <w:rsid w:val="3D491B53"/>
    <w:rsid w:val="3DBC7837"/>
    <w:rsid w:val="3DC06290"/>
    <w:rsid w:val="3E165EE0"/>
    <w:rsid w:val="3F0B06E4"/>
    <w:rsid w:val="3F3A354A"/>
    <w:rsid w:val="3F675313"/>
    <w:rsid w:val="3FEF138D"/>
    <w:rsid w:val="402E53DE"/>
    <w:rsid w:val="40337E8D"/>
    <w:rsid w:val="404D1D57"/>
    <w:rsid w:val="40DB73E5"/>
    <w:rsid w:val="40FE0840"/>
    <w:rsid w:val="42025F5C"/>
    <w:rsid w:val="420C3E39"/>
    <w:rsid w:val="429D3CFA"/>
    <w:rsid w:val="429D5161"/>
    <w:rsid w:val="42AE1497"/>
    <w:rsid w:val="432D6001"/>
    <w:rsid w:val="43932BFC"/>
    <w:rsid w:val="43A66451"/>
    <w:rsid w:val="4400523B"/>
    <w:rsid w:val="44024872"/>
    <w:rsid w:val="44093E52"/>
    <w:rsid w:val="4449752F"/>
    <w:rsid w:val="44877E79"/>
    <w:rsid w:val="44DC2B61"/>
    <w:rsid w:val="451F3201"/>
    <w:rsid w:val="452B0D3D"/>
    <w:rsid w:val="455F72E8"/>
    <w:rsid w:val="458838EA"/>
    <w:rsid w:val="45D032F5"/>
    <w:rsid w:val="45D464F8"/>
    <w:rsid w:val="45FF375F"/>
    <w:rsid w:val="469154CA"/>
    <w:rsid w:val="46EC2D82"/>
    <w:rsid w:val="47092C36"/>
    <w:rsid w:val="47600910"/>
    <w:rsid w:val="4771539C"/>
    <w:rsid w:val="47FB485B"/>
    <w:rsid w:val="487D096B"/>
    <w:rsid w:val="48B56357"/>
    <w:rsid w:val="48C52634"/>
    <w:rsid w:val="49411014"/>
    <w:rsid w:val="4966414C"/>
    <w:rsid w:val="496F0117"/>
    <w:rsid w:val="49EE637B"/>
    <w:rsid w:val="4AD8554B"/>
    <w:rsid w:val="4B126A62"/>
    <w:rsid w:val="4B255BC6"/>
    <w:rsid w:val="4C7800F8"/>
    <w:rsid w:val="4CDE5526"/>
    <w:rsid w:val="4D0E4287"/>
    <w:rsid w:val="4E7B6C46"/>
    <w:rsid w:val="4ED52807"/>
    <w:rsid w:val="4EF242E9"/>
    <w:rsid w:val="4F587A3C"/>
    <w:rsid w:val="4F806F93"/>
    <w:rsid w:val="503F2ADB"/>
    <w:rsid w:val="507C04D8"/>
    <w:rsid w:val="50BD18C7"/>
    <w:rsid w:val="50C06D56"/>
    <w:rsid w:val="51273B6A"/>
    <w:rsid w:val="51731DB5"/>
    <w:rsid w:val="52132006"/>
    <w:rsid w:val="52E80C1B"/>
    <w:rsid w:val="52EB4DEB"/>
    <w:rsid w:val="53163E96"/>
    <w:rsid w:val="53913780"/>
    <w:rsid w:val="546D2FA5"/>
    <w:rsid w:val="555166D3"/>
    <w:rsid w:val="56E01129"/>
    <w:rsid w:val="570A011A"/>
    <w:rsid w:val="570C7A8A"/>
    <w:rsid w:val="57802226"/>
    <w:rsid w:val="57A172E8"/>
    <w:rsid w:val="58A13CBE"/>
    <w:rsid w:val="58F8762C"/>
    <w:rsid w:val="590A4B9A"/>
    <w:rsid w:val="59D2488F"/>
    <w:rsid w:val="59D272AC"/>
    <w:rsid w:val="59EF71EF"/>
    <w:rsid w:val="5B400355"/>
    <w:rsid w:val="5B773940"/>
    <w:rsid w:val="5BE2525D"/>
    <w:rsid w:val="5C982399"/>
    <w:rsid w:val="5CFF1E3E"/>
    <w:rsid w:val="5D110251"/>
    <w:rsid w:val="5D410C3B"/>
    <w:rsid w:val="5D415F2B"/>
    <w:rsid w:val="5E6045E6"/>
    <w:rsid w:val="5EB33CDC"/>
    <w:rsid w:val="5F4C2CE0"/>
    <w:rsid w:val="5FB80DF0"/>
    <w:rsid w:val="607025C3"/>
    <w:rsid w:val="60AF1156"/>
    <w:rsid w:val="621B6861"/>
    <w:rsid w:val="627A7A2A"/>
    <w:rsid w:val="63B1226D"/>
    <w:rsid w:val="63FE623F"/>
    <w:rsid w:val="64F2371F"/>
    <w:rsid w:val="65605221"/>
    <w:rsid w:val="656A3BA9"/>
    <w:rsid w:val="657F58CB"/>
    <w:rsid w:val="659E5744"/>
    <w:rsid w:val="65BC6B1F"/>
    <w:rsid w:val="65D31C24"/>
    <w:rsid w:val="66054895"/>
    <w:rsid w:val="66332289"/>
    <w:rsid w:val="66376425"/>
    <w:rsid w:val="66A21D01"/>
    <w:rsid w:val="66A6344E"/>
    <w:rsid w:val="67333AE9"/>
    <w:rsid w:val="675134F6"/>
    <w:rsid w:val="67531DAD"/>
    <w:rsid w:val="67AB3833"/>
    <w:rsid w:val="68060525"/>
    <w:rsid w:val="68487253"/>
    <w:rsid w:val="68776764"/>
    <w:rsid w:val="68956622"/>
    <w:rsid w:val="690A7BA1"/>
    <w:rsid w:val="693764BC"/>
    <w:rsid w:val="696013F5"/>
    <w:rsid w:val="698E705F"/>
    <w:rsid w:val="69B541C5"/>
    <w:rsid w:val="69E17DA5"/>
    <w:rsid w:val="6A1600C7"/>
    <w:rsid w:val="6AC41FD2"/>
    <w:rsid w:val="6AE55CA1"/>
    <w:rsid w:val="6B45733D"/>
    <w:rsid w:val="6C0E1756"/>
    <w:rsid w:val="6C622C2C"/>
    <w:rsid w:val="6CC9782D"/>
    <w:rsid w:val="6D0B743B"/>
    <w:rsid w:val="6DC60059"/>
    <w:rsid w:val="6DCE6592"/>
    <w:rsid w:val="6E1E35D5"/>
    <w:rsid w:val="6EB81541"/>
    <w:rsid w:val="6EDE5F8B"/>
    <w:rsid w:val="6EF17EBC"/>
    <w:rsid w:val="6F237337"/>
    <w:rsid w:val="6FC224B4"/>
    <w:rsid w:val="70336E04"/>
    <w:rsid w:val="71040F6B"/>
    <w:rsid w:val="720A2454"/>
    <w:rsid w:val="72137E2E"/>
    <w:rsid w:val="72347A3D"/>
    <w:rsid w:val="747B20BB"/>
    <w:rsid w:val="74DE35AD"/>
    <w:rsid w:val="75C44EA2"/>
    <w:rsid w:val="76794932"/>
    <w:rsid w:val="76B64EC4"/>
    <w:rsid w:val="772C5091"/>
    <w:rsid w:val="774962CE"/>
    <w:rsid w:val="77610A58"/>
    <w:rsid w:val="77E048EF"/>
    <w:rsid w:val="78051B5E"/>
    <w:rsid w:val="78BF32A9"/>
    <w:rsid w:val="78E55A5C"/>
    <w:rsid w:val="798C7AC5"/>
    <w:rsid w:val="79B34D66"/>
    <w:rsid w:val="7A0B10A8"/>
    <w:rsid w:val="7A293EEB"/>
    <w:rsid w:val="7A45420C"/>
    <w:rsid w:val="7A520D37"/>
    <w:rsid w:val="7AA342E4"/>
    <w:rsid w:val="7BAD2677"/>
    <w:rsid w:val="7BDC25F1"/>
    <w:rsid w:val="7C07404F"/>
    <w:rsid w:val="7C2B628A"/>
    <w:rsid w:val="7C513345"/>
    <w:rsid w:val="7C9116DF"/>
    <w:rsid w:val="7E1C6AC3"/>
    <w:rsid w:val="7E221091"/>
    <w:rsid w:val="7EB96DF7"/>
    <w:rsid w:val="7F2722E2"/>
    <w:rsid w:val="7F502617"/>
    <w:rsid w:val="7FC06112"/>
    <w:rsid w:val="7FF55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5"/>
    <w:link w:val="24"/>
    <w:qFormat/>
    <w:uiPriority w:val="0"/>
    <w:pPr>
      <w:keepNext/>
      <w:keepLines/>
      <w:spacing w:before="260" w:after="260" w:line="412" w:lineRule="auto"/>
      <w:outlineLvl w:val="1"/>
    </w:pPr>
    <w:rPr>
      <w:rFonts w:ascii="Arial" w:hAnsi="Arial" w:eastAsia="黑体"/>
      <w:b/>
      <w:kern w:val="0"/>
      <w:sz w:val="32"/>
      <w:szCs w:val="20"/>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napToGrid w:val="0"/>
      <w:spacing w:line="360" w:lineRule="atLeast"/>
      <w:jc w:val="center"/>
    </w:pPr>
    <w:rPr>
      <w:rFonts w:ascii="宋体" w:eastAsia="幼圆"/>
      <w:szCs w:val="20"/>
    </w:rPr>
  </w:style>
  <w:style w:type="paragraph" w:styleId="5">
    <w:name w:val="Normal Indent"/>
    <w:basedOn w:val="1"/>
    <w:unhideWhenUsed/>
    <w:qFormat/>
    <w:uiPriority w:val="99"/>
    <w:pPr>
      <w:ind w:firstLine="420" w:firstLineChars="200"/>
    </w:pPr>
    <w:rPr>
      <w:szCs w:val="24"/>
    </w:rPr>
  </w:style>
  <w:style w:type="paragraph" w:styleId="6">
    <w:name w:val="Document Map"/>
    <w:basedOn w:val="1"/>
    <w:link w:val="26"/>
    <w:unhideWhenUsed/>
    <w:qFormat/>
    <w:uiPriority w:val="99"/>
    <w:rPr>
      <w:rFonts w:ascii="宋体"/>
      <w:sz w:val="18"/>
      <w:szCs w:val="18"/>
    </w:rPr>
  </w:style>
  <w:style w:type="paragraph" w:styleId="7">
    <w:name w:val="annotation text"/>
    <w:basedOn w:val="1"/>
    <w:link w:val="27"/>
    <w:unhideWhenUsed/>
    <w:qFormat/>
    <w:uiPriority w:val="99"/>
    <w:pPr>
      <w:jc w:val="left"/>
    </w:pPr>
  </w:style>
  <w:style w:type="paragraph" w:styleId="8">
    <w:name w:val="Body Text"/>
    <w:basedOn w:val="1"/>
    <w:link w:val="28"/>
    <w:unhideWhenUsed/>
    <w:qFormat/>
    <w:uiPriority w:val="99"/>
    <w:pPr>
      <w:spacing w:after="120"/>
    </w:pPr>
  </w:style>
  <w:style w:type="paragraph" w:styleId="9">
    <w:name w:val="Body Text Indent"/>
    <w:basedOn w:val="1"/>
    <w:qFormat/>
    <w:uiPriority w:val="0"/>
    <w:pPr>
      <w:autoSpaceDE w:val="0"/>
      <w:autoSpaceDN w:val="0"/>
      <w:adjustRightInd w:val="0"/>
      <w:spacing w:line="0" w:lineRule="atLeast"/>
      <w:ind w:firstLine="525"/>
    </w:pPr>
    <w:rPr>
      <w:rFonts w:ascii="宋体" w:hAnsi="宋体"/>
      <w:color w:val="000000"/>
      <w:kern w:val="0"/>
      <w:sz w:val="20"/>
      <w:szCs w:val="24"/>
    </w:rPr>
  </w:style>
  <w:style w:type="paragraph" w:styleId="10">
    <w:name w:val="Plain Text"/>
    <w:basedOn w:val="1"/>
    <w:qFormat/>
    <w:uiPriority w:val="0"/>
    <w:rPr>
      <w:rFonts w:ascii="等线" w:hAnsi="Courier New" w:eastAsia="等线"/>
    </w:rPr>
  </w:style>
  <w:style w:type="paragraph" w:styleId="11">
    <w:name w:val="Balloon Text"/>
    <w:basedOn w:val="1"/>
    <w:link w:val="29"/>
    <w:unhideWhenUsed/>
    <w:qFormat/>
    <w:uiPriority w:val="99"/>
    <w:rPr>
      <w:sz w:val="18"/>
      <w:szCs w:val="18"/>
    </w:rPr>
  </w:style>
  <w:style w:type="paragraph" w:styleId="12">
    <w:name w:val="footer"/>
    <w:basedOn w:val="1"/>
    <w:link w:val="30"/>
    <w:unhideWhenUsed/>
    <w:qFormat/>
    <w:uiPriority w:val="99"/>
    <w:pPr>
      <w:tabs>
        <w:tab w:val="center" w:pos="4153"/>
        <w:tab w:val="right" w:pos="8306"/>
      </w:tabs>
      <w:snapToGrid w:val="0"/>
      <w:jc w:val="left"/>
    </w:pPr>
    <w:rPr>
      <w:kern w:val="0"/>
      <w:sz w:val="18"/>
      <w:szCs w:val="18"/>
    </w:rPr>
  </w:style>
  <w:style w:type="paragraph" w:styleId="13">
    <w:name w:val="header"/>
    <w:basedOn w:val="1"/>
    <w:link w:val="3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toc 2"/>
    <w:basedOn w:val="1"/>
    <w:next w:val="1"/>
    <w:qFormat/>
    <w:uiPriority w:val="39"/>
    <w:pPr>
      <w:ind w:left="200" w:leftChars="200"/>
    </w:pPr>
  </w:style>
  <w:style w:type="paragraph" w:styleId="15">
    <w:name w:val="annotation subject"/>
    <w:basedOn w:val="7"/>
    <w:next w:val="7"/>
    <w:link w:val="32"/>
    <w:unhideWhenUsed/>
    <w:qFormat/>
    <w:uiPriority w:val="99"/>
    <w:rPr>
      <w:b/>
      <w:bCs/>
    </w:rPr>
  </w:style>
  <w:style w:type="paragraph" w:styleId="16">
    <w:name w:val="Body Text First Indent"/>
    <w:basedOn w:val="8"/>
    <w:link w:val="33"/>
    <w:qFormat/>
    <w:uiPriority w:val="0"/>
    <w:pPr>
      <w:spacing w:line="312" w:lineRule="auto"/>
      <w:ind w:firstLine="420"/>
    </w:pPr>
    <w:rPr>
      <w:szCs w:val="24"/>
    </w:rPr>
  </w:style>
  <w:style w:type="paragraph" w:styleId="17">
    <w:name w:val="Body Text First Indent 2"/>
    <w:basedOn w:val="9"/>
    <w:qFormat/>
    <w:uiPriority w:val="0"/>
    <w:pPr>
      <w:autoSpaceDE/>
      <w:autoSpaceDN/>
      <w:adjustRightInd/>
      <w:spacing w:after="120" w:line="240" w:lineRule="auto"/>
      <w:ind w:left="420" w:leftChars="200" w:firstLine="420" w:firstLineChars="200"/>
    </w:pPr>
    <w:rPr>
      <w:rFonts w:ascii="Times New Roman" w:hAnsi="Times New Roman"/>
      <w:color w:val="auto"/>
      <w:kern w:val="2"/>
      <w:sz w:val="21"/>
    </w:rPr>
  </w:style>
  <w:style w:type="character" w:styleId="20">
    <w:name w:val="FollowedHyperlink"/>
    <w:unhideWhenUsed/>
    <w:qFormat/>
    <w:uiPriority w:val="99"/>
    <w:rPr>
      <w:color w:val="000000"/>
      <w:u w:val="none"/>
    </w:rPr>
  </w:style>
  <w:style w:type="character" w:styleId="21">
    <w:name w:val="Emphasis"/>
    <w:qFormat/>
    <w:uiPriority w:val="0"/>
    <w:rPr>
      <w:i/>
    </w:rPr>
  </w:style>
  <w:style w:type="character" w:styleId="22">
    <w:name w:val="Hyperlink"/>
    <w:qFormat/>
    <w:uiPriority w:val="99"/>
    <w:rPr>
      <w:color w:val="000000"/>
      <w:u w:val="none"/>
    </w:rPr>
  </w:style>
  <w:style w:type="character" w:styleId="23">
    <w:name w:val="annotation reference"/>
    <w:unhideWhenUsed/>
    <w:qFormat/>
    <w:uiPriority w:val="99"/>
    <w:rPr>
      <w:sz w:val="21"/>
      <w:szCs w:val="21"/>
    </w:rPr>
  </w:style>
  <w:style w:type="character" w:customStyle="1" w:styleId="24">
    <w:name w:val="标题 2 Char"/>
    <w:link w:val="4"/>
    <w:qFormat/>
    <w:uiPriority w:val="0"/>
    <w:rPr>
      <w:rFonts w:ascii="Cambria" w:hAnsi="Cambria" w:eastAsia="宋体" w:cs="Times New Roman"/>
      <w:b/>
      <w:bCs/>
      <w:kern w:val="2"/>
      <w:sz w:val="32"/>
      <w:szCs w:val="32"/>
    </w:rPr>
  </w:style>
  <w:style w:type="character" w:customStyle="1" w:styleId="25">
    <w:name w:val="标题 2 字符"/>
    <w:qFormat/>
    <w:uiPriority w:val="0"/>
    <w:rPr>
      <w:rFonts w:ascii="Arial" w:hAnsi="Arial" w:eastAsia="黑体" w:cs="Times New Roman"/>
      <w:b/>
      <w:sz w:val="32"/>
      <w:szCs w:val="20"/>
    </w:rPr>
  </w:style>
  <w:style w:type="character" w:customStyle="1" w:styleId="26">
    <w:name w:val="文档结构图 Char"/>
    <w:link w:val="6"/>
    <w:semiHidden/>
    <w:qFormat/>
    <w:uiPriority w:val="99"/>
    <w:rPr>
      <w:rFonts w:ascii="宋体"/>
      <w:kern w:val="2"/>
      <w:sz w:val="18"/>
      <w:szCs w:val="18"/>
    </w:rPr>
  </w:style>
  <w:style w:type="character" w:customStyle="1" w:styleId="27">
    <w:name w:val="批注文字 Char"/>
    <w:link w:val="7"/>
    <w:qFormat/>
    <w:uiPriority w:val="99"/>
    <w:rPr>
      <w:kern w:val="2"/>
      <w:sz w:val="21"/>
      <w:szCs w:val="22"/>
    </w:rPr>
  </w:style>
  <w:style w:type="character" w:customStyle="1" w:styleId="28">
    <w:name w:val="正文文本 Char"/>
    <w:link w:val="8"/>
    <w:semiHidden/>
    <w:qFormat/>
    <w:uiPriority w:val="99"/>
    <w:rPr>
      <w:kern w:val="2"/>
      <w:sz w:val="21"/>
      <w:szCs w:val="22"/>
    </w:rPr>
  </w:style>
  <w:style w:type="character" w:customStyle="1" w:styleId="29">
    <w:name w:val="批注框文本 Char"/>
    <w:link w:val="11"/>
    <w:semiHidden/>
    <w:qFormat/>
    <w:uiPriority w:val="99"/>
    <w:rPr>
      <w:kern w:val="2"/>
      <w:sz w:val="18"/>
      <w:szCs w:val="18"/>
    </w:rPr>
  </w:style>
  <w:style w:type="character" w:customStyle="1" w:styleId="30">
    <w:name w:val="页脚 Char"/>
    <w:link w:val="12"/>
    <w:qFormat/>
    <w:uiPriority w:val="99"/>
    <w:rPr>
      <w:sz w:val="18"/>
      <w:szCs w:val="18"/>
    </w:rPr>
  </w:style>
  <w:style w:type="character" w:customStyle="1" w:styleId="31">
    <w:name w:val="页眉 Char"/>
    <w:link w:val="13"/>
    <w:qFormat/>
    <w:uiPriority w:val="99"/>
    <w:rPr>
      <w:sz w:val="18"/>
      <w:szCs w:val="18"/>
    </w:rPr>
  </w:style>
  <w:style w:type="character" w:customStyle="1" w:styleId="32">
    <w:name w:val="批注主题 Char"/>
    <w:link w:val="15"/>
    <w:semiHidden/>
    <w:qFormat/>
    <w:uiPriority w:val="99"/>
    <w:rPr>
      <w:b/>
      <w:bCs/>
      <w:kern w:val="2"/>
      <w:sz w:val="21"/>
      <w:szCs w:val="22"/>
    </w:rPr>
  </w:style>
  <w:style w:type="character" w:customStyle="1" w:styleId="33">
    <w:name w:val="正文首行缩进 Char"/>
    <w:link w:val="16"/>
    <w:qFormat/>
    <w:uiPriority w:val="0"/>
    <w:rPr>
      <w:kern w:val="2"/>
      <w:sz w:val="21"/>
      <w:szCs w:val="24"/>
    </w:rPr>
  </w:style>
  <w:style w:type="paragraph" w:customStyle="1" w:styleId="34">
    <w:name w:val="样式 宋体 行距: 1.5 倍行距"/>
    <w:basedOn w:val="1"/>
    <w:qFormat/>
    <w:uiPriority w:val="0"/>
    <w:pPr>
      <w:jc w:val="center"/>
    </w:pPr>
    <w:rPr>
      <w:b/>
    </w:rPr>
  </w:style>
  <w:style w:type="character" w:customStyle="1" w:styleId="35">
    <w:name w:val="times1"/>
    <w:qFormat/>
    <w:uiPriority w:val="0"/>
    <w:rPr>
      <w:color w:val="3399FF"/>
      <w:bdr w:val="single" w:color="D1EDF8" w:sz="6" w:space="0"/>
      <w:shd w:val="clear" w:color="auto" w:fill="EAF9FF"/>
    </w:rPr>
  </w:style>
  <w:style w:type="character" w:customStyle="1" w:styleId="36">
    <w:name w:val="正文首行缩进 Char1"/>
    <w:semiHidden/>
    <w:qFormat/>
    <w:uiPriority w:val="99"/>
  </w:style>
  <w:style w:type="character" w:customStyle="1" w:styleId="37">
    <w:name w:val="times"/>
    <w:qFormat/>
    <w:uiPriority w:val="0"/>
    <w:rPr>
      <w:color w:val="CDCDCD"/>
      <w:bdr w:val="single" w:color="CDCDCD" w:sz="6" w:space="0"/>
      <w:shd w:val="clear" w:color="auto" w:fill="EFEFEF"/>
    </w:rPr>
  </w:style>
  <w:style w:type="character" w:customStyle="1" w:styleId="38">
    <w:name w:val="hover36"/>
    <w:qFormat/>
    <w:uiPriority w:val="0"/>
  </w:style>
  <w:style w:type="character" w:customStyle="1" w:styleId="39">
    <w:name w:val="hover41"/>
    <w:qFormat/>
    <w:uiPriority w:val="0"/>
  </w:style>
  <w:style w:type="paragraph" w:customStyle="1" w:styleId="40">
    <w:name w:val="_Style 36"/>
    <w:unhideWhenUsed/>
    <w:qFormat/>
    <w:uiPriority w:val="99"/>
    <w:rPr>
      <w:rFonts w:ascii="Times New Roman" w:hAnsi="Times New Roman" w:eastAsia="宋体" w:cs="Times New Roman"/>
      <w:kern w:val="2"/>
      <w:sz w:val="21"/>
      <w:szCs w:val="22"/>
      <w:lang w:val="en-US" w:eastAsia="zh-CN" w:bidi="ar-SA"/>
    </w:rPr>
  </w:style>
  <w:style w:type="paragraph" w:customStyle="1" w:styleId="41">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42">
    <w:name w:val="p0"/>
    <w:basedOn w:val="1"/>
    <w:qFormat/>
    <w:uiPriority w:val="0"/>
    <w:pPr>
      <w:widowControl/>
      <w:jc w:val="left"/>
    </w:pPr>
    <w:rPr>
      <w:kern w:val="0"/>
      <w:sz w:val="20"/>
      <w:szCs w:val="20"/>
    </w:rPr>
  </w:style>
  <w:style w:type="paragraph" w:customStyle="1" w:styleId="43">
    <w:name w:val="SZX正文"/>
    <w:basedOn w:val="1"/>
    <w:qFormat/>
    <w:uiPriority w:val="0"/>
    <w:pPr>
      <w:ind w:firstLine="560" w:firstLineChars="200"/>
    </w:pPr>
    <w:rPr>
      <w:rFonts w:ascii="仿宋_GB2312" w:hAnsi="仿宋_GB2312" w:cs="仿宋_GB2312"/>
    </w:rPr>
  </w:style>
  <w:style w:type="paragraph" w:customStyle="1" w:styleId="44">
    <w:name w:val="首行缩进"/>
    <w:basedOn w:val="1"/>
    <w:qFormat/>
    <w:uiPriority w:val="0"/>
    <w:pPr>
      <w:spacing w:line="360" w:lineRule="auto"/>
      <w:ind w:firstLine="480" w:firstLineChars="200"/>
    </w:pPr>
    <w:rPr>
      <w:rFonts w:ascii="宋体" w:hAnsi="宋体" w:cs="宋体"/>
      <w:sz w:val="24"/>
      <w:szCs w:val="24"/>
    </w:rPr>
  </w:style>
  <w:style w:type="character" w:customStyle="1" w:styleId="45">
    <w:name w:val="1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7823</Words>
  <Characters>8327</Characters>
  <Lines>63</Lines>
  <Paragraphs>17</Paragraphs>
  <TotalTime>9</TotalTime>
  <ScaleCrop>false</ScaleCrop>
  <LinksUpToDate>false</LinksUpToDate>
  <CharactersWithSpaces>8692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Printed>2025-07-21T06:52:10Z</cp:lastPrinted>
  <dcterms:created xsi:type="dcterms:W3CDTF">2025-07-08T09:38:00Z</dcterms:created>
  <dcterms:modified xsi:type="dcterms:W3CDTF">2025-07-21T06:58:52Z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42F4A7F777404AE09F2FF0CC677D2E88_13</vt:lpwstr>
  </property>
  <property fmtid="{D5CDD505-2E9C-101B-9397-08002B2CF9AE}" pid="4" name="KSOTemplateDocerSaveRecord">
    <vt:lpwstr>eyJoZGlkIjoiMTRiNmE3YTMxY2RmMjNmOTllMzRjZWVlYmQ5N2UxMjgiLCJ1c2VySWQiOiI0NzIxMjgyODcifQ==</vt:lpwstr>
  </property>
</Properties>
</file>