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DFD5">
      <w:pPr>
        <w:jc w:val="right"/>
        <w:rPr>
          <w:rFonts w:ascii="宋体" w:hAnsi="宋体"/>
          <w:sz w:val="36"/>
          <w:szCs w:val="36"/>
        </w:rPr>
      </w:pPr>
      <w:bookmarkStart w:id="0" w:name="_Toc251569647"/>
      <w:bookmarkStart w:id="1" w:name="_Toc288578279"/>
      <w:bookmarkStart w:id="2" w:name="_Toc197843635"/>
    </w:p>
    <w:p w14:paraId="749F62F7">
      <w:pPr>
        <w:pStyle w:val="18"/>
        <w:jc w:val="right"/>
      </w:pPr>
    </w:p>
    <w:p w14:paraId="42B7C116">
      <w:pPr>
        <w:jc w:val="center"/>
        <w:rPr>
          <w:rFonts w:ascii="宋体" w:hAnsi="宋体"/>
          <w:sz w:val="52"/>
          <w:szCs w:val="52"/>
        </w:rPr>
      </w:pPr>
      <w:r>
        <w:rPr>
          <w:rFonts w:hint="eastAsia" w:ascii="宋体" w:hAnsi="宋体"/>
          <w:sz w:val="52"/>
          <w:szCs w:val="52"/>
        </w:rPr>
        <w:t>粤港澳大湾区国际智能检测产业园一期项目检验监测</w:t>
      </w:r>
    </w:p>
    <w:p w14:paraId="09D33336">
      <w:pPr>
        <w:spacing w:line="400" w:lineRule="exact"/>
        <w:jc w:val="center"/>
        <w:rPr>
          <w:rFonts w:ascii="宋体" w:hAnsi="宋体"/>
          <w:sz w:val="32"/>
          <w:szCs w:val="32"/>
        </w:rPr>
      </w:pPr>
    </w:p>
    <w:p w14:paraId="64402002">
      <w:pPr>
        <w:jc w:val="center"/>
        <w:rPr>
          <w:rFonts w:ascii="宋体" w:hAnsi="宋体"/>
          <w:sz w:val="32"/>
          <w:szCs w:val="32"/>
          <w:u w:val="single"/>
        </w:rPr>
      </w:pPr>
    </w:p>
    <w:p w14:paraId="641FE490">
      <w:pPr>
        <w:jc w:val="center"/>
        <w:rPr>
          <w:rFonts w:ascii="宋体" w:hAnsi="宋体"/>
          <w:sz w:val="32"/>
          <w:szCs w:val="32"/>
          <w:u w:val="single"/>
        </w:rPr>
      </w:pPr>
    </w:p>
    <w:p w14:paraId="2F393883">
      <w:pPr>
        <w:jc w:val="center"/>
        <w:rPr>
          <w:rFonts w:ascii="宋体" w:hAnsi="宋体"/>
          <w:sz w:val="32"/>
          <w:szCs w:val="32"/>
          <w:u w:val="single"/>
        </w:rPr>
      </w:pPr>
    </w:p>
    <w:p w14:paraId="55B7B081">
      <w:pPr>
        <w:spacing w:line="500" w:lineRule="atLeast"/>
        <w:jc w:val="center"/>
        <w:rPr>
          <w:rFonts w:ascii="宋体" w:hAnsi="宋体" w:cs="宋体"/>
          <w:b/>
          <w:bCs/>
          <w:sz w:val="72"/>
          <w:szCs w:val="72"/>
        </w:rPr>
      </w:pPr>
      <w:r>
        <w:rPr>
          <w:rFonts w:hint="eastAsia" w:ascii="宋体" w:hAnsi="宋体" w:cs="宋体"/>
          <w:b/>
          <w:bCs/>
          <w:sz w:val="72"/>
          <w:szCs w:val="72"/>
        </w:rPr>
        <w:t>招 标 文 件</w:t>
      </w:r>
    </w:p>
    <w:p w14:paraId="55257D18">
      <w:pPr>
        <w:jc w:val="center"/>
        <w:rPr>
          <w:rFonts w:ascii="宋体" w:hAnsi="宋体"/>
          <w:sz w:val="32"/>
          <w:szCs w:val="32"/>
          <w:u w:val="single"/>
        </w:rPr>
      </w:pPr>
    </w:p>
    <w:p w14:paraId="1D1A1471">
      <w:pPr>
        <w:jc w:val="center"/>
        <w:rPr>
          <w:rFonts w:ascii="宋体" w:hAnsi="宋体"/>
          <w:sz w:val="32"/>
          <w:szCs w:val="32"/>
          <w:u w:val="single"/>
        </w:rPr>
      </w:pPr>
    </w:p>
    <w:p w14:paraId="5E354F2F">
      <w:pPr>
        <w:jc w:val="center"/>
        <w:rPr>
          <w:rFonts w:ascii="宋体" w:hAnsi="宋体"/>
          <w:sz w:val="32"/>
          <w:szCs w:val="32"/>
          <w:u w:val="single"/>
        </w:rPr>
      </w:pPr>
    </w:p>
    <w:p w14:paraId="5C2D9377">
      <w:pPr>
        <w:jc w:val="center"/>
        <w:rPr>
          <w:rFonts w:ascii="宋体" w:hAnsi="宋体"/>
          <w:sz w:val="32"/>
          <w:szCs w:val="32"/>
          <w:u w:val="single"/>
        </w:rPr>
      </w:pPr>
    </w:p>
    <w:p w14:paraId="6046C140">
      <w:pPr>
        <w:rPr>
          <w:rFonts w:ascii="宋体" w:hAnsi="宋体"/>
          <w:sz w:val="32"/>
          <w:szCs w:val="32"/>
          <w:u w:val="single"/>
        </w:rPr>
      </w:pPr>
    </w:p>
    <w:p w14:paraId="2B5C9F43">
      <w:pPr>
        <w:rPr>
          <w:rFonts w:ascii="宋体" w:hAnsi="宋体"/>
          <w:sz w:val="32"/>
          <w:szCs w:val="32"/>
          <w:u w:val="single"/>
        </w:rPr>
      </w:pPr>
    </w:p>
    <w:p w14:paraId="5A6333A3">
      <w:pPr>
        <w:jc w:val="center"/>
        <w:rPr>
          <w:rFonts w:ascii="宋体" w:hAnsi="宋体"/>
          <w:sz w:val="32"/>
          <w:szCs w:val="32"/>
          <w:u w:val="single"/>
        </w:rPr>
      </w:pPr>
    </w:p>
    <w:p w14:paraId="486C44F9">
      <w:pPr>
        <w:spacing w:line="360" w:lineRule="auto"/>
        <w:ind w:firstLine="1002" w:firstLineChars="312"/>
        <w:rPr>
          <w:rFonts w:ascii="宋体" w:hAnsi="宋体"/>
          <w:b/>
          <w:bCs/>
          <w:sz w:val="32"/>
          <w:szCs w:val="32"/>
          <w:shd w:val="clear" w:color="auto" w:fill="FFFFFF"/>
        </w:rPr>
      </w:pPr>
      <w:r>
        <w:rPr>
          <w:rFonts w:hint="eastAsia" w:ascii="宋体" w:hAnsi="宋体"/>
          <w:b/>
          <w:bCs/>
          <w:sz w:val="32"/>
          <w:szCs w:val="32"/>
          <w:shd w:val="clear" w:color="auto" w:fill="FFFFFF"/>
        </w:rPr>
        <w:t xml:space="preserve">招  </w:t>
      </w:r>
      <w:r>
        <w:rPr>
          <w:rFonts w:ascii="宋体" w:hAnsi="宋体"/>
          <w:b/>
          <w:bCs/>
          <w:sz w:val="32"/>
          <w:szCs w:val="32"/>
          <w:shd w:val="clear" w:color="auto" w:fill="FFFFFF"/>
        </w:rPr>
        <w:t xml:space="preserve"> </w:t>
      </w:r>
      <w:r>
        <w:rPr>
          <w:rFonts w:hint="eastAsia" w:ascii="宋体" w:hAnsi="宋体"/>
          <w:b/>
          <w:bCs/>
          <w:sz w:val="32"/>
          <w:szCs w:val="32"/>
          <w:shd w:val="clear" w:color="auto" w:fill="FFFFFF"/>
        </w:rPr>
        <w:t xml:space="preserve">标  </w:t>
      </w:r>
      <w:r>
        <w:rPr>
          <w:rFonts w:ascii="宋体" w:hAnsi="宋体"/>
          <w:b/>
          <w:bCs/>
          <w:sz w:val="32"/>
          <w:szCs w:val="32"/>
          <w:shd w:val="clear" w:color="auto" w:fill="FFFFFF"/>
        </w:rPr>
        <w:t xml:space="preserve"> </w:t>
      </w:r>
      <w:r>
        <w:rPr>
          <w:rFonts w:hint="eastAsia" w:ascii="宋体" w:hAnsi="宋体"/>
          <w:b/>
          <w:bCs/>
          <w:sz w:val="32"/>
          <w:szCs w:val="32"/>
          <w:shd w:val="clear" w:color="auto" w:fill="FFFFFF"/>
        </w:rPr>
        <w:t>人：广州太平洋马口铁有限公司</w:t>
      </w:r>
    </w:p>
    <w:p w14:paraId="292D6B9B">
      <w:pPr>
        <w:spacing w:line="360" w:lineRule="auto"/>
        <w:ind w:firstLine="1002" w:firstLineChars="312"/>
        <w:rPr>
          <w:rFonts w:ascii="宋体" w:hAnsi="宋体"/>
          <w:b/>
          <w:bCs/>
          <w:sz w:val="32"/>
          <w:szCs w:val="32"/>
          <w:shd w:val="clear" w:color="auto" w:fill="FFFFFF"/>
        </w:rPr>
      </w:pPr>
      <w:r>
        <w:rPr>
          <w:rFonts w:hint="eastAsia" w:ascii="宋体" w:hAnsi="宋体"/>
          <w:b/>
          <w:bCs/>
          <w:sz w:val="32"/>
          <w:szCs w:val="32"/>
          <w:shd w:val="clear" w:color="auto" w:fill="FFFFFF"/>
        </w:rPr>
        <w:t>招标代理机构：广州新业建设管理有限公司</w:t>
      </w:r>
    </w:p>
    <w:p w14:paraId="6EDA698F">
      <w:pPr>
        <w:spacing w:line="360" w:lineRule="auto"/>
        <w:ind w:firstLine="1002" w:firstLineChars="312"/>
        <w:rPr>
          <w:rFonts w:ascii="宋体" w:hAnsi="宋体"/>
          <w:b/>
          <w:bCs/>
          <w:sz w:val="32"/>
          <w:szCs w:val="32"/>
          <w:shd w:val="clear" w:color="auto" w:fill="FFFFFF"/>
        </w:rPr>
      </w:pPr>
      <w:r>
        <w:rPr>
          <w:rFonts w:hint="eastAsia" w:ascii="宋体" w:hAnsi="宋体"/>
          <w:b/>
          <w:bCs/>
          <w:sz w:val="32"/>
          <w:szCs w:val="32"/>
          <w:shd w:val="clear" w:color="auto" w:fill="FFFFFF"/>
        </w:rPr>
        <w:t>日        期：2025年7月</w:t>
      </w:r>
    </w:p>
    <w:p w14:paraId="3C25ADCB">
      <w:pPr>
        <w:spacing w:line="360" w:lineRule="auto"/>
        <w:jc w:val="center"/>
        <w:rPr>
          <w:rFonts w:ascii="宋体" w:hAnsi="宋体" w:cs="宋体"/>
          <w:b/>
          <w:sz w:val="28"/>
        </w:rPr>
        <w:sectPr>
          <w:headerReference r:id="rId5" w:type="first"/>
          <w:headerReference r:id="rId3" w:type="default"/>
          <w:headerReference r:id="rId4" w:type="even"/>
          <w:footerReference r:id="rId6" w:type="even"/>
          <w:pgSz w:w="11906" w:h="16838"/>
          <w:pgMar w:top="1440" w:right="946" w:bottom="1440" w:left="1080" w:header="851" w:footer="850" w:gutter="0"/>
          <w:pgNumType w:start="0"/>
          <w:cols w:space="720" w:num="1"/>
          <w:titlePg/>
          <w:docGrid w:type="lines" w:linePitch="312" w:charSpace="0"/>
        </w:sectPr>
      </w:pPr>
    </w:p>
    <w:p w14:paraId="5B661FE4">
      <w:pPr>
        <w:spacing w:line="360" w:lineRule="auto"/>
        <w:jc w:val="center"/>
        <w:rPr>
          <w:rFonts w:ascii="宋体" w:hAnsi="宋体"/>
          <w:bCs/>
          <w:sz w:val="52"/>
        </w:rPr>
      </w:pPr>
      <w:r>
        <w:rPr>
          <w:rFonts w:hint="eastAsia" w:ascii="宋体" w:hAnsi="宋体"/>
          <w:bCs/>
          <w:sz w:val="52"/>
        </w:rPr>
        <w:t>重要提示</w:t>
      </w:r>
    </w:p>
    <w:p w14:paraId="06752231">
      <w:pPr>
        <w:spacing w:line="360" w:lineRule="auto"/>
        <w:ind w:firstLine="537" w:firstLineChars="224"/>
        <w:jc w:val="center"/>
        <w:rPr>
          <w:rFonts w:ascii="宋体" w:hAnsi="宋体"/>
          <w:bCs/>
          <w:sz w:val="24"/>
        </w:rPr>
      </w:pPr>
    </w:p>
    <w:p w14:paraId="6D5371B1">
      <w:pPr>
        <w:spacing w:line="360" w:lineRule="auto"/>
        <w:ind w:firstLine="480" w:firstLineChars="200"/>
        <w:rPr>
          <w:rFonts w:ascii="宋体" w:hAnsi="宋体"/>
          <w:sz w:val="24"/>
        </w:rPr>
      </w:pPr>
      <w:r>
        <w:rPr>
          <w:rFonts w:hint="eastAsia" w:ascii="宋体" w:hAnsi="宋体"/>
          <w:sz w:val="24"/>
        </w:rPr>
        <w:t>本项目实施电子招投标，投标人应先认真阅读</w:t>
      </w:r>
      <w:r>
        <w:rPr>
          <w:rFonts w:hint="eastAsia" w:ascii="宋体" w:hAnsi="宋体"/>
          <w:sz w:val="24"/>
          <w:szCs w:val="24"/>
        </w:rPr>
        <w:t>最新指引</w:t>
      </w:r>
      <w:r>
        <w:rPr>
          <w:rFonts w:hint="eastAsia" w:ascii="宋体" w:hAnsi="宋体"/>
          <w:sz w:val="24"/>
        </w:rPr>
        <w:t>。</w:t>
      </w:r>
    </w:p>
    <w:p w14:paraId="6A3856F1">
      <w:pPr>
        <w:jc w:val="center"/>
        <w:rPr>
          <w:rFonts w:ascii="宋体" w:hAnsi="宋体"/>
          <w:b/>
          <w:sz w:val="28"/>
          <w:szCs w:val="28"/>
        </w:rPr>
      </w:pPr>
    </w:p>
    <w:p w14:paraId="1A4F7EB3">
      <w:pPr>
        <w:spacing w:line="360" w:lineRule="auto"/>
        <w:ind w:firstLine="1164" w:firstLineChars="224"/>
        <w:jc w:val="center"/>
        <w:rPr>
          <w:rFonts w:ascii="宋体" w:hAnsi="宋体"/>
          <w:bCs/>
          <w:sz w:val="52"/>
        </w:rPr>
        <w:sectPr>
          <w:footerReference r:id="rId7" w:type="default"/>
          <w:pgSz w:w="11906" w:h="16838"/>
          <w:pgMar w:top="1440" w:right="1080" w:bottom="1440" w:left="1080" w:header="851" w:footer="1020" w:gutter="0"/>
          <w:pgNumType w:start="1"/>
          <w:cols w:space="720" w:num="1"/>
          <w:docGrid w:type="lines" w:linePitch="312" w:charSpace="0"/>
        </w:sectPr>
      </w:pPr>
    </w:p>
    <w:p w14:paraId="3613EDA0">
      <w:pPr>
        <w:jc w:val="center"/>
        <w:rPr>
          <w:rFonts w:ascii="宋体" w:hAnsi="宋体"/>
          <w:b/>
          <w:bCs/>
          <w:sz w:val="48"/>
          <w:szCs w:val="48"/>
        </w:rPr>
      </w:pPr>
      <w:r>
        <w:rPr>
          <w:rFonts w:hint="eastAsia" w:ascii="宋体" w:hAnsi="宋体"/>
          <w:b/>
          <w:bCs/>
          <w:sz w:val="48"/>
          <w:szCs w:val="48"/>
        </w:rPr>
        <w:t>目录</w:t>
      </w:r>
    </w:p>
    <w:p w14:paraId="047EA853">
      <w:pPr>
        <w:pStyle w:val="24"/>
        <w:tabs>
          <w:tab w:val="right" w:leader="dot" w:pos="9854"/>
        </w:tabs>
        <w:rPr>
          <w:sz w:val="28"/>
          <w:szCs w:val="28"/>
        </w:rPr>
      </w:pPr>
      <w:r>
        <w:rPr>
          <w:rFonts w:ascii="宋体" w:hAnsi="宋体"/>
          <w:sz w:val="28"/>
          <w:szCs w:val="28"/>
        </w:rPr>
        <w:fldChar w:fldCharType="begin"/>
      </w:r>
      <w:r>
        <w:rPr>
          <w:rFonts w:ascii="宋体" w:hAnsi="宋体"/>
          <w:sz w:val="28"/>
          <w:szCs w:val="28"/>
        </w:rPr>
        <w:instrText xml:space="preserve">TOC \o "1-3" \h \u </w:instrText>
      </w:r>
      <w:r>
        <w:rPr>
          <w:rFonts w:ascii="宋体" w:hAnsi="宋体"/>
          <w:sz w:val="28"/>
          <w:szCs w:val="28"/>
        </w:rPr>
        <w:fldChar w:fldCharType="separate"/>
      </w:r>
      <w:r>
        <w:fldChar w:fldCharType="begin"/>
      </w:r>
      <w:r>
        <w:instrText xml:space="preserve"> HYPERLINK \l "_Toc13196" </w:instrText>
      </w:r>
      <w:r>
        <w:fldChar w:fldCharType="separate"/>
      </w:r>
      <w:r>
        <w:rPr>
          <w:rFonts w:hint="eastAsia"/>
          <w:sz w:val="28"/>
          <w:szCs w:val="28"/>
        </w:rPr>
        <w:t>第一卷</w:t>
      </w:r>
      <w:r>
        <w:rPr>
          <w:sz w:val="28"/>
          <w:szCs w:val="28"/>
        </w:rPr>
        <w:tab/>
      </w:r>
      <w:r>
        <w:rPr>
          <w:sz w:val="28"/>
          <w:szCs w:val="28"/>
        </w:rPr>
        <w:fldChar w:fldCharType="begin"/>
      </w:r>
      <w:r>
        <w:rPr>
          <w:sz w:val="28"/>
          <w:szCs w:val="28"/>
        </w:rPr>
        <w:instrText xml:space="preserve"> PAGEREF _Toc13196 \h </w:instrText>
      </w:r>
      <w:r>
        <w:rPr>
          <w:sz w:val="28"/>
          <w:szCs w:val="28"/>
        </w:rPr>
        <w:fldChar w:fldCharType="separate"/>
      </w:r>
      <w:r>
        <w:rPr>
          <w:sz w:val="28"/>
          <w:szCs w:val="28"/>
        </w:rPr>
        <w:t>3</w:t>
      </w:r>
      <w:r>
        <w:rPr>
          <w:sz w:val="28"/>
          <w:szCs w:val="28"/>
        </w:rPr>
        <w:fldChar w:fldCharType="end"/>
      </w:r>
      <w:r>
        <w:rPr>
          <w:sz w:val="28"/>
          <w:szCs w:val="28"/>
        </w:rPr>
        <w:fldChar w:fldCharType="end"/>
      </w:r>
    </w:p>
    <w:p w14:paraId="664D6132">
      <w:pPr>
        <w:pStyle w:val="24"/>
        <w:tabs>
          <w:tab w:val="right" w:leader="dot" w:pos="9854"/>
        </w:tabs>
        <w:rPr>
          <w:sz w:val="28"/>
          <w:szCs w:val="28"/>
        </w:rPr>
      </w:pPr>
      <w:r>
        <w:fldChar w:fldCharType="begin"/>
      </w:r>
      <w:r>
        <w:instrText xml:space="preserve"> HYPERLINK \l "_Toc20783" </w:instrText>
      </w:r>
      <w:r>
        <w:fldChar w:fldCharType="separate"/>
      </w:r>
      <w:r>
        <w:rPr>
          <w:rFonts w:hint="eastAsia"/>
          <w:sz w:val="28"/>
          <w:szCs w:val="28"/>
        </w:rPr>
        <w:t>第一章  招标公告</w:t>
      </w:r>
      <w:r>
        <w:rPr>
          <w:sz w:val="28"/>
          <w:szCs w:val="28"/>
        </w:rPr>
        <w:tab/>
      </w:r>
      <w:r>
        <w:rPr>
          <w:sz w:val="28"/>
          <w:szCs w:val="28"/>
        </w:rPr>
        <w:fldChar w:fldCharType="begin"/>
      </w:r>
      <w:r>
        <w:rPr>
          <w:sz w:val="28"/>
          <w:szCs w:val="28"/>
        </w:rPr>
        <w:instrText xml:space="preserve"> PAGEREF _Toc20783 \h </w:instrText>
      </w:r>
      <w:r>
        <w:rPr>
          <w:sz w:val="28"/>
          <w:szCs w:val="28"/>
        </w:rPr>
        <w:fldChar w:fldCharType="separate"/>
      </w:r>
      <w:r>
        <w:rPr>
          <w:sz w:val="28"/>
          <w:szCs w:val="28"/>
        </w:rPr>
        <w:t>3</w:t>
      </w:r>
      <w:r>
        <w:rPr>
          <w:sz w:val="28"/>
          <w:szCs w:val="28"/>
        </w:rPr>
        <w:fldChar w:fldCharType="end"/>
      </w:r>
      <w:r>
        <w:rPr>
          <w:sz w:val="28"/>
          <w:szCs w:val="28"/>
        </w:rPr>
        <w:fldChar w:fldCharType="end"/>
      </w:r>
    </w:p>
    <w:p w14:paraId="7EFCF6C6">
      <w:pPr>
        <w:pStyle w:val="24"/>
        <w:tabs>
          <w:tab w:val="right" w:leader="dot" w:pos="9854"/>
        </w:tabs>
        <w:rPr>
          <w:sz w:val="28"/>
          <w:szCs w:val="28"/>
        </w:rPr>
      </w:pPr>
      <w:r>
        <w:fldChar w:fldCharType="begin"/>
      </w:r>
      <w:r>
        <w:instrText xml:space="preserve"> HYPERLINK \l "_Toc8221" </w:instrText>
      </w:r>
      <w:r>
        <w:fldChar w:fldCharType="separate"/>
      </w:r>
      <w:r>
        <w:rPr>
          <w:rFonts w:hint="eastAsia"/>
          <w:sz w:val="28"/>
          <w:szCs w:val="28"/>
        </w:rPr>
        <w:t>第二章  投标人须知</w:t>
      </w:r>
      <w:r>
        <w:rPr>
          <w:sz w:val="28"/>
          <w:szCs w:val="28"/>
        </w:rPr>
        <w:tab/>
      </w:r>
      <w:r>
        <w:rPr>
          <w:sz w:val="28"/>
          <w:szCs w:val="28"/>
        </w:rPr>
        <w:fldChar w:fldCharType="begin"/>
      </w:r>
      <w:r>
        <w:rPr>
          <w:sz w:val="28"/>
          <w:szCs w:val="28"/>
        </w:rPr>
        <w:instrText xml:space="preserve"> PAGEREF _Toc8221 \h </w:instrText>
      </w:r>
      <w:r>
        <w:rPr>
          <w:sz w:val="28"/>
          <w:szCs w:val="28"/>
        </w:rPr>
        <w:fldChar w:fldCharType="separate"/>
      </w:r>
      <w:r>
        <w:rPr>
          <w:sz w:val="28"/>
          <w:szCs w:val="28"/>
        </w:rPr>
        <w:t>4</w:t>
      </w:r>
      <w:r>
        <w:rPr>
          <w:sz w:val="28"/>
          <w:szCs w:val="28"/>
        </w:rPr>
        <w:fldChar w:fldCharType="end"/>
      </w:r>
      <w:r>
        <w:rPr>
          <w:sz w:val="28"/>
          <w:szCs w:val="28"/>
        </w:rPr>
        <w:fldChar w:fldCharType="end"/>
      </w:r>
    </w:p>
    <w:p w14:paraId="22C349CA">
      <w:pPr>
        <w:pStyle w:val="24"/>
        <w:tabs>
          <w:tab w:val="right" w:leader="dot" w:pos="9854"/>
        </w:tabs>
        <w:rPr>
          <w:sz w:val="28"/>
          <w:szCs w:val="28"/>
        </w:rPr>
      </w:pPr>
      <w:r>
        <w:fldChar w:fldCharType="begin"/>
      </w:r>
      <w:r>
        <w:instrText xml:space="preserve"> HYPERLINK \l "_Toc22754" </w:instrText>
      </w:r>
      <w:r>
        <w:fldChar w:fldCharType="separate"/>
      </w:r>
      <w:r>
        <w:rPr>
          <w:rFonts w:hint="eastAsia"/>
          <w:sz w:val="28"/>
          <w:szCs w:val="28"/>
        </w:rPr>
        <w:t>第三章  评标办法（综合评估法）</w:t>
      </w:r>
      <w:r>
        <w:rPr>
          <w:sz w:val="28"/>
          <w:szCs w:val="28"/>
        </w:rPr>
        <w:tab/>
      </w:r>
      <w:r>
        <w:rPr>
          <w:sz w:val="28"/>
          <w:szCs w:val="28"/>
        </w:rPr>
        <w:fldChar w:fldCharType="begin"/>
      </w:r>
      <w:r>
        <w:rPr>
          <w:sz w:val="28"/>
          <w:szCs w:val="28"/>
        </w:rPr>
        <w:instrText xml:space="preserve"> PAGEREF _Toc22754 \h </w:instrText>
      </w:r>
      <w:r>
        <w:rPr>
          <w:sz w:val="28"/>
          <w:szCs w:val="28"/>
        </w:rPr>
        <w:fldChar w:fldCharType="separate"/>
      </w:r>
      <w:r>
        <w:rPr>
          <w:sz w:val="28"/>
          <w:szCs w:val="28"/>
        </w:rPr>
        <w:t>30</w:t>
      </w:r>
      <w:r>
        <w:rPr>
          <w:sz w:val="28"/>
          <w:szCs w:val="28"/>
        </w:rPr>
        <w:fldChar w:fldCharType="end"/>
      </w:r>
      <w:r>
        <w:rPr>
          <w:sz w:val="28"/>
          <w:szCs w:val="28"/>
        </w:rPr>
        <w:fldChar w:fldCharType="end"/>
      </w:r>
    </w:p>
    <w:p w14:paraId="71F20800">
      <w:pPr>
        <w:pStyle w:val="24"/>
        <w:tabs>
          <w:tab w:val="right" w:leader="dot" w:pos="9854"/>
        </w:tabs>
        <w:rPr>
          <w:sz w:val="28"/>
          <w:szCs w:val="28"/>
        </w:rPr>
      </w:pPr>
      <w:r>
        <w:fldChar w:fldCharType="begin"/>
      </w:r>
      <w:r>
        <w:instrText xml:space="preserve"> HYPERLINK \l "_Toc16015" </w:instrText>
      </w:r>
      <w:r>
        <w:fldChar w:fldCharType="separate"/>
      </w:r>
      <w:r>
        <w:rPr>
          <w:rFonts w:hint="eastAsia"/>
          <w:sz w:val="28"/>
          <w:szCs w:val="28"/>
        </w:rPr>
        <w:t>第四章  合同条款及格式</w:t>
      </w:r>
      <w:r>
        <w:rPr>
          <w:sz w:val="28"/>
          <w:szCs w:val="28"/>
        </w:rPr>
        <w:tab/>
      </w:r>
      <w:r>
        <w:rPr>
          <w:sz w:val="28"/>
          <w:szCs w:val="28"/>
        </w:rPr>
        <w:fldChar w:fldCharType="begin"/>
      </w:r>
      <w:r>
        <w:rPr>
          <w:sz w:val="28"/>
          <w:szCs w:val="28"/>
        </w:rPr>
        <w:instrText xml:space="preserve"> PAGEREF _Toc16015 \h </w:instrText>
      </w:r>
      <w:r>
        <w:rPr>
          <w:sz w:val="28"/>
          <w:szCs w:val="28"/>
        </w:rPr>
        <w:fldChar w:fldCharType="separate"/>
      </w:r>
      <w:r>
        <w:rPr>
          <w:sz w:val="28"/>
          <w:szCs w:val="28"/>
        </w:rPr>
        <w:t>39</w:t>
      </w:r>
      <w:r>
        <w:rPr>
          <w:sz w:val="28"/>
          <w:szCs w:val="28"/>
        </w:rPr>
        <w:fldChar w:fldCharType="end"/>
      </w:r>
      <w:r>
        <w:rPr>
          <w:sz w:val="28"/>
          <w:szCs w:val="28"/>
        </w:rPr>
        <w:fldChar w:fldCharType="end"/>
      </w:r>
    </w:p>
    <w:p w14:paraId="6D93CA43">
      <w:pPr>
        <w:pStyle w:val="24"/>
        <w:tabs>
          <w:tab w:val="right" w:leader="dot" w:pos="9854"/>
        </w:tabs>
        <w:rPr>
          <w:sz w:val="28"/>
          <w:szCs w:val="28"/>
        </w:rPr>
      </w:pPr>
      <w:r>
        <w:fldChar w:fldCharType="begin"/>
      </w:r>
      <w:r>
        <w:instrText xml:space="preserve"> HYPERLINK \l "_Toc10110" </w:instrText>
      </w:r>
      <w:r>
        <w:fldChar w:fldCharType="separate"/>
      </w:r>
      <w:r>
        <w:rPr>
          <w:rFonts w:hint="eastAsia"/>
          <w:sz w:val="28"/>
          <w:szCs w:val="28"/>
        </w:rPr>
        <w:t>第二卷</w:t>
      </w:r>
      <w:r>
        <w:rPr>
          <w:sz w:val="28"/>
          <w:szCs w:val="28"/>
        </w:rPr>
        <w:tab/>
      </w:r>
      <w:r>
        <w:rPr>
          <w:sz w:val="28"/>
          <w:szCs w:val="28"/>
        </w:rPr>
        <w:fldChar w:fldCharType="begin"/>
      </w:r>
      <w:r>
        <w:rPr>
          <w:sz w:val="28"/>
          <w:szCs w:val="28"/>
        </w:rPr>
        <w:instrText xml:space="preserve"> PAGEREF _Toc10110 \h </w:instrText>
      </w:r>
      <w:r>
        <w:rPr>
          <w:sz w:val="28"/>
          <w:szCs w:val="28"/>
        </w:rPr>
        <w:fldChar w:fldCharType="separate"/>
      </w:r>
      <w:r>
        <w:rPr>
          <w:sz w:val="28"/>
          <w:szCs w:val="28"/>
        </w:rPr>
        <w:t>40</w:t>
      </w:r>
      <w:r>
        <w:rPr>
          <w:sz w:val="28"/>
          <w:szCs w:val="28"/>
        </w:rPr>
        <w:fldChar w:fldCharType="end"/>
      </w:r>
      <w:r>
        <w:rPr>
          <w:sz w:val="28"/>
          <w:szCs w:val="28"/>
        </w:rPr>
        <w:fldChar w:fldCharType="end"/>
      </w:r>
    </w:p>
    <w:p w14:paraId="3A7E63E9">
      <w:pPr>
        <w:pStyle w:val="24"/>
        <w:tabs>
          <w:tab w:val="right" w:leader="dot" w:pos="9854"/>
        </w:tabs>
        <w:rPr>
          <w:sz w:val="28"/>
          <w:szCs w:val="28"/>
        </w:rPr>
      </w:pPr>
      <w:r>
        <w:fldChar w:fldCharType="begin"/>
      </w:r>
      <w:r>
        <w:instrText xml:space="preserve"> HYPERLINK \l "_Toc3902" </w:instrText>
      </w:r>
      <w:r>
        <w:fldChar w:fldCharType="separate"/>
      </w:r>
      <w:r>
        <w:rPr>
          <w:rFonts w:hint="eastAsia"/>
          <w:sz w:val="28"/>
          <w:szCs w:val="28"/>
        </w:rPr>
        <w:t>第五章 委托人要求</w:t>
      </w:r>
      <w:r>
        <w:rPr>
          <w:sz w:val="28"/>
          <w:szCs w:val="28"/>
        </w:rPr>
        <w:tab/>
      </w:r>
      <w:r>
        <w:rPr>
          <w:sz w:val="28"/>
          <w:szCs w:val="28"/>
        </w:rPr>
        <w:fldChar w:fldCharType="begin"/>
      </w:r>
      <w:r>
        <w:rPr>
          <w:sz w:val="28"/>
          <w:szCs w:val="28"/>
        </w:rPr>
        <w:instrText xml:space="preserve"> PAGEREF _Toc3902 \h </w:instrText>
      </w:r>
      <w:r>
        <w:rPr>
          <w:sz w:val="28"/>
          <w:szCs w:val="28"/>
        </w:rPr>
        <w:fldChar w:fldCharType="separate"/>
      </w:r>
      <w:r>
        <w:rPr>
          <w:sz w:val="28"/>
          <w:szCs w:val="28"/>
        </w:rPr>
        <w:t>40</w:t>
      </w:r>
      <w:r>
        <w:rPr>
          <w:sz w:val="28"/>
          <w:szCs w:val="28"/>
        </w:rPr>
        <w:fldChar w:fldCharType="end"/>
      </w:r>
      <w:r>
        <w:rPr>
          <w:sz w:val="28"/>
          <w:szCs w:val="28"/>
        </w:rPr>
        <w:fldChar w:fldCharType="end"/>
      </w:r>
    </w:p>
    <w:p w14:paraId="0D815D13">
      <w:pPr>
        <w:pStyle w:val="24"/>
        <w:tabs>
          <w:tab w:val="right" w:leader="dot" w:pos="9854"/>
        </w:tabs>
        <w:rPr>
          <w:sz w:val="28"/>
          <w:szCs w:val="28"/>
        </w:rPr>
      </w:pPr>
      <w:r>
        <w:fldChar w:fldCharType="begin"/>
      </w:r>
      <w:r>
        <w:instrText xml:space="preserve"> HYPERLINK \l "_Toc22987" </w:instrText>
      </w:r>
      <w:r>
        <w:fldChar w:fldCharType="separate"/>
      </w:r>
      <w:r>
        <w:rPr>
          <w:rFonts w:hint="eastAsia"/>
          <w:sz w:val="28"/>
          <w:szCs w:val="28"/>
        </w:rPr>
        <w:t>第三卷</w:t>
      </w:r>
      <w:r>
        <w:rPr>
          <w:sz w:val="28"/>
          <w:szCs w:val="28"/>
        </w:rPr>
        <w:tab/>
      </w:r>
      <w:r>
        <w:rPr>
          <w:sz w:val="28"/>
          <w:szCs w:val="28"/>
        </w:rPr>
        <w:fldChar w:fldCharType="begin"/>
      </w:r>
      <w:r>
        <w:rPr>
          <w:sz w:val="28"/>
          <w:szCs w:val="28"/>
        </w:rPr>
        <w:instrText xml:space="preserve"> PAGEREF _Toc22987 \h </w:instrText>
      </w:r>
      <w:r>
        <w:rPr>
          <w:sz w:val="28"/>
          <w:szCs w:val="28"/>
        </w:rPr>
        <w:fldChar w:fldCharType="separate"/>
      </w:r>
      <w:r>
        <w:rPr>
          <w:sz w:val="28"/>
          <w:szCs w:val="28"/>
        </w:rPr>
        <w:t>47</w:t>
      </w:r>
      <w:r>
        <w:rPr>
          <w:sz w:val="28"/>
          <w:szCs w:val="28"/>
        </w:rPr>
        <w:fldChar w:fldCharType="end"/>
      </w:r>
      <w:r>
        <w:rPr>
          <w:sz w:val="28"/>
          <w:szCs w:val="28"/>
        </w:rPr>
        <w:fldChar w:fldCharType="end"/>
      </w:r>
    </w:p>
    <w:p w14:paraId="751B2B08">
      <w:pPr>
        <w:pStyle w:val="24"/>
        <w:tabs>
          <w:tab w:val="right" w:leader="dot" w:pos="9854"/>
        </w:tabs>
        <w:rPr>
          <w:sz w:val="28"/>
          <w:szCs w:val="28"/>
        </w:rPr>
      </w:pPr>
      <w:r>
        <w:fldChar w:fldCharType="begin"/>
      </w:r>
      <w:r>
        <w:instrText xml:space="preserve"> HYPERLINK \l "_Toc30827" </w:instrText>
      </w:r>
      <w:r>
        <w:fldChar w:fldCharType="separate"/>
      </w:r>
      <w:r>
        <w:rPr>
          <w:rFonts w:hint="eastAsia"/>
          <w:sz w:val="28"/>
          <w:szCs w:val="28"/>
        </w:rPr>
        <w:t>第六章  投标文件格式</w:t>
      </w:r>
      <w:r>
        <w:rPr>
          <w:sz w:val="28"/>
          <w:szCs w:val="28"/>
        </w:rPr>
        <w:tab/>
      </w:r>
      <w:r>
        <w:rPr>
          <w:sz w:val="28"/>
          <w:szCs w:val="28"/>
        </w:rPr>
        <w:fldChar w:fldCharType="begin"/>
      </w:r>
      <w:r>
        <w:rPr>
          <w:sz w:val="28"/>
          <w:szCs w:val="28"/>
        </w:rPr>
        <w:instrText xml:space="preserve"> PAGEREF _Toc30827 \h </w:instrText>
      </w:r>
      <w:r>
        <w:rPr>
          <w:sz w:val="28"/>
          <w:szCs w:val="28"/>
        </w:rPr>
        <w:fldChar w:fldCharType="separate"/>
      </w:r>
      <w:r>
        <w:rPr>
          <w:sz w:val="28"/>
          <w:szCs w:val="28"/>
        </w:rPr>
        <w:t>47</w:t>
      </w:r>
      <w:r>
        <w:rPr>
          <w:sz w:val="28"/>
          <w:szCs w:val="28"/>
        </w:rPr>
        <w:fldChar w:fldCharType="end"/>
      </w:r>
      <w:r>
        <w:rPr>
          <w:sz w:val="28"/>
          <w:szCs w:val="28"/>
        </w:rPr>
        <w:fldChar w:fldCharType="end"/>
      </w:r>
    </w:p>
    <w:p w14:paraId="03859C5A">
      <w:pPr>
        <w:spacing w:line="360" w:lineRule="auto"/>
        <w:ind w:firstLine="560" w:firstLineChars="200"/>
        <w:rPr>
          <w:rFonts w:ascii="宋体" w:hAnsi="宋体"/>
        </w:rPr>
      </w:pPr>
      <w:r>
        <w:rPr>
          <w:rFonts w:ascii="宋体" w:hAnsi="宋体"/>
          <w:sz w:val="28"/>
          <w:szCs w:val="28"/>
        </w:rPr>
        <w:fldChar w:fldCharType="end"/>
      </w:r>
      <w:r>
        <w:rPr>
          <w:rFonts w:ascii="宋体" w:hAnsi="宋体"/>
        </w:rPr>
        <w:br w:type="page"/>
      </w:r>
    </w:p>
    <w:p w14:paraId="03C5410D">
      <w:pPr>
        <w:pStyle w:val="3"/>
        <w:ind w:firstLine="470"/>
      </w:pPr>
      <w:bookmarkStart w:id="3" w:name="_Toc13196"/>
      <w:r>
        <w:rPr>
          <w:rFonts w:hint="eastAsia"/>
        </w:rPr>
        <w:t>第一卷</w:t>
      </w:r>
      <w:bookmarkEnd w:id="3"/>
    </w:p>
    <w:p w14:paraId="6BC272EA">
      <w:pPr>
        <w:pStyle w:val="3"/>
        <w:rPr>
          <w:sz w:val="28"/>
        </w:rPr>
      </w:pPr>
      <w:bookmarkStart w:id="4" w:name="_Toc20783"/>
      <w:bookmarkStart w:id="5" w:name="_Toc533357306"/>
      <w:r>
        <w:rPr>
          <w:rFonts w:hint="eastAsia"/>
        </w:rPr>
        <w:t>第一章  招标公告</w:t>
      </w:r>
      <w:bookmarkEnd w:id="4"/>
    </w:p>
    <w:p w14:paraId="24D7E0DB">
      <w:pPr>
        <w:spacing w:line="360" w:lineRule="auto"/>
        <w:jc w:val="center"/>
        <w:rPr>
          <w:rFonts w:ascii="宋体" w:hAnsi="宋体"/>
          <w:sz w:val="24"/>
          <w:szCs w:val="24"/>
        </w:rPr>
      </w:pPr>
      <w:r>
        <w:rPr>
          <w:rFonts w:hint="eastAsia" w:ascii="宋体" w:hAnsi="宋体"/>
          <w:bCs/>
          <w:sz w:val="24"/>
          <w:szCs w:val="24"/>
        </w:rPr>
        <w:t>（另册）</w:t>
      </w:r>
    </w:p>
    <w:p w14:paraId="35C2FA71">
      <w:pPr>
        <w:spacing w:line="360" w:lineRule="auto"/>
        <w:ind w:left="3986" w:firstLine="421"/>
        <w:rPr>
          <w:rFonts w:ascii="宋体" w:hAnsi="宋体"/>
        </w:rPr>
      </w:pPr>
    </w:p>
    <w:p w14:paraId="22B63751">
      <w:pPr>
        <w:pStyle w:val="3"/>
        <w:rPr>
          <w:sz w:val="28"/>
        </w:rPr>
      </w:pPr>
      <w:bookmarkStart w:id="6" w:name="_Toc511557031"/>
      <w:bookmarkStart w:id="7" w:name="_Toc514099629"/>
      <w:r>
        <w:rPr>
          <w:rFonts w:hint="eastAsia"/>
        </w:rPr>
        <w:br w:type="page"/>
      </w:r>
      <w:bookmarkEnd w:id="5"/>
      <w:bookmarkEnd w:id="6"/>
      <w:bookmarkEnd w:id="7"/>
      <w:bookmarkStart w:id="8" w:name="_Toc247527535"/>
      <w:bookmarkEnd w:id="8"/>
      <w:bookmarkStart w:id="9" w:name="_Toc152042288"/>
      <w:bookmarkEnd w:id="9"/>
      <w:bookmarkStart w:id="10" w:name="_Toc247527536"/>
      <w:bookmarkEnd w:id="10"/>
      <w:bookmarkStart w:id="11" w:name="_Toc144974481"/>
      <w:bookmarkEnd w:id="11"/>
      <w:bookmarkStart w:id="12" w:name="_Toc247513935"/>
      <w:bookmarkEnd w:id="12"/>
      <w:bookmarkStart w:id="13" w:name="_Toc152045512"/>
      <w:bookmarkEnd w:id="13"/>
      <w:bookmarkStart w:id="14" w:name="_Toc144974480"/>
      <w:bookmarkEnd w:id="14"/>
      <w:bookmarkStart w:id="15" w:name="_Toc17972"/>
      <w:bookmarkEnd w:id="15"/>
      <w:bookmarkStart w:id="16" w:name="_Toc152045513"/>
      <w:bookmarkEnd w:id="16"/>
      <w:bookmarkStart w:id="17" w:name="_Toc361508562"/>
      <w:bookmarkEnd w:id="17"/>
      <w:bookmarkStart w:id="18" w:name="_Toc384308188"/>
      <w:bookmarkEnd w:id="18"/>
      <w:bookmarkStart w:id="19" w:name="_Toc300834927"/>
      <w:bookmarkEnd w:id="19"/>
      <w:bookmarkStart w:id="20" w:name="_Toc152042289"/>
      <w:bookmarkEnd w:id="20"/>
      <w:bookmarkStart w:id="21" w:name="_Toc384308187"/>
      <w:bookmarkEnd w:id="21"/>
      <w:bookmarkStart w:id="22" w:name="_Toc384308185"/>
      <w:bookmarkEnd w:id="22"/>
      <w:bookmarkStart w:id="23" w:name="_Toc369531495"/>
      <w:bookmarkEnd w:id="23"/>
      <w:bookmarkStart w:id="24" w:name="_Toc361508560"/>
      <w:bookmarkEnd w:id="24"/>
      <w:bookmarkStart w:id="25" w:name="_Toc361508563"/>
      <w:bookmarkEnd w:id="25"/>
      <w:bookmarkStart w:id="26" w:name="_Toc247513934"/>
      <w:bookmarkEnd w:id="26"/>
      <w:bookmarkStart w:id="27" w:name="_Toc300834929"/>
      <w:bookmarkEnd w:id="27"/>
      <w:bookmarkStart w:id="28" w:name="_Toc10785"/>
      <w:bookmarkEnd w:id="28"/>
      <w:bookmarkStart w:id="29" w:name="_Toc352691455"/>
      <w:bookmarkEnd w:id="29"/>
      <w:bookmarkStart w:id="30" w:name="_Toc30817"/>
      <w:bookmarkEnd w:id="30"/>
      <w:bookmarkStart w:id="31" w:name="_Toc352691453"/>
      <w:bookmarkEnd w:id="31"/>
      <w:bookmarkStart w:id="32" w:name="_Toc369531498"/>
      <w:bookmarkEnd w:id="32"/>
      <w:bookmarkStart w:id="33" w:name="_Toc300834930"/>
      <w:bookmarkEnd w:id="33"/>
      <w:bookmarkStart w:id="34" w:name="_Toc369531497"/>
      <w:bookmarkEnd w:id="34"/>
      <w:bookmarkStart w:id="35" w:name="_Toc352691456"/>
      <w:bookmarkEnd w:id="35"/>
      <w:bookmarkStart w:id="36" w:name="_Toc8221"/>
      <w:r>
        <w:rPr>
          <w:rFonts w:hint="eastAsia"/>
        </w:rPr>
        <w:t>第二章  投标人须知</w:t>
      </w:r>
      <w:bookmarkEnd w:id="36"/>
    </w:p>
    <w:p w14:paraId="7F4908F8">
      <w:pPr>
        <w:pStyle w:val="5"/>
        <w:rPr>
          <w:rFonts w:ascii="宋体" w:hAnsi="宋体"/>
        </w:rPr>
      </w:pPr>
      <w:bookmarkStart w:id="37" w:name="_Toc31288"/>
      <w:bookmarkStart w:id="38" w:name="_Toc533357307"/>
      <w:bookmarkStart w:id="39" w:name="_Toc17791"/>
      <w:bookmarkStart w:id="40" w:name="_Toc30480"/>
      <w:r>
        <w:rPr>
          <w:rFonts w:hint="eastAsia" w:ascii="宋体" w:hAnsi="宋体"/>
        </w:rPr>
        <w:t>投标人须知前附表</w:t>
      </w:r>
      <w:bookmarkEnd w:id="37"/>
      <w:bookmarkEnd w:id="38"/>
      <w:bookmarkEnd w:id="39"/>
      <w:bookmarkEnd w:id="40"/>
    </w:p>
    <w:tbl>
      <w:tblPr>
        <w:tblStyle w:val="29"/>
        <w:tblpPr w:leftFromText="180" w:rightFromText="180" w:vertAnchor="text" w:horzAnchor="page" w:tblpX="1579" w:tblpY="9"/>
        <w:tblOverlap w:val="never"/>
        <w:tblW w:w="468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8"/>
        <w:gridCol w:w="1774"/>
        <w:gridCol w:w="6734"/>
      </w:tblGrid>
      <w:tr w14:paraId="13D62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487" w:type="pct"/>
            <w:tcBorders>
              <w:top w:val="single" w:color="auto" w:sz="4" w:space="0"/>
            </w:tcBorders>
            <w:vAlign w:val="center"/>
          </w:tcPr>
          <w:p w14:paraId="545A801F">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941" w:type="pct"/>
            <w:tcBorders>
              <w:top w:val="single" w:color="auto" w:sz="4" w:space="0"/>
            </w:tcBorders>
            <w:vAlign w:val="center"/>
          </w:tcPr>
          <w:p w14:paraId="720B2079">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条款名称</w:t>
            </w:r>
          </w:p>
        </w:tc>
        <w:tc>
          <w:tcPr>
            <w:tcW w:w="3571" w:type="pct"/>
            <w:tcBorders>
              <w:top w:val="single" w:color="auto" w:sz="4" w:space="0"/>
            </w:tcBorders>
            <w:vAlign w:val="center"/>
          </w:tcPr>
          <w:p w14:paraId="1E0DCD50">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编列内容</w:t>
            </w:r>
          </w:p>
        </w:tc>
      </w:tr>
      <w:tr w14:paraId="02EDA5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543D7BB">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p>
        </w:tc>
        <w:tc>
          <w:tcPr>
            <w:tcW w:w="941" w:type="pct"/>
            <w:vAlign w:val="center"/>
          </w:tcPr>
          <w:p w14:paraId="1913CB3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w:t>
            </w:r>
          </w:p>
        </w:tc>
        <w:tc>
          <w:tcPr>
            <w:tcW w:w="3571" w:type="pct"/>
            <w:vAlign w:val="center"/>
          </w:tcPr>
          <w:p w14:paraId="331DB2A9">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广州太平洋马口铁有限公司</w:t>
            </w:r>
          </w:p>
          <w:p w14:paraId="370A4E11">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广州经济技术开发区友谊路102号</w:t>
            </w:r>
          </w:p>
          <w:p w14:paraId="146B46B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胡工</w:t>
            </w:r>
          </w:p>
          <w:p w14:paraId="273715A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u w:val="single"/>
                <w14:textFill>
                  <w14:solidFill>
                    <w14:schemeClr w14:val="tx1"/>
                  </w14:solidFill>
                </w14:textFill>
              </w:rPr>
              <w:t>020-82282627</w:t>
            </w:r>
          </w:p>
        </w:tc>
      </w:tr>
      <w:tr w14:paraId="1EEC2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456E914">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w:t>
            </w:r>
          </w:p>
        </w:tc>
        <w:tc>
          <w:tcPr>
            <w:tcW w:w="941" w:type="pct"/>
            <w:vAlign w:val="center"/>
          </w:tcPr>
          <w:p w14:paraId="0630DADA">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w:t>
            </w:r>
          </w:p>
        </w:tc>
        <w:tc>
          <w:tcPr>
            <w:tcW w:w="3571" w:type="pct"/>
            <w:vAlign w:val="center"/>
          </w:tcPr>
          <w:p w14:paraId="5B01121F">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广州新业建设管理有限公司</w:t>
            </w:r>
          </w:p>
          <w:p w14:paraId="4DD497F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广州市白云区政通路5号</w:t>
            </w:r>
          </w:p>
          <w:p w14:paraId="2AE488E9">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徐工</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u w:val="single"/>
                <w14:textFill>
                  <w14:solidFill>
                    <w14:schemeClr w14:val="tx1"/>
                  </w14:solidFill>
                </w14:textFill>
              </w:rPr>
              <w:t>020-86588991-857</w:t>
            </w:r>
          </w:p>
        </w:tc>
      </w:tr>
      <w:tr w14:paraId="5D9D3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6D15B5C">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1.1.4</w:t>
            </w:r>
          </w:p>
        </w:tc>
        <w:tc>
          <w:tcPr>
            <w:tcW w:w="941" w:type="pct"/>
            <w:vAlign w:val="center"/>
          </w:tcPr>
          <w:p w14:paraId="73979644">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招标项目名称</w:t>
            </w:r>
          </w:p>
        </w:tc>
        <w:tc>
          <w:tcPr>
            <w:tcW w:w="3571" w:type="pct"/>
            <w:vAlign w:val="center"/>
          </w:tcPr>
          <w:p w14:paraId="7297B98E">
            <w:pPr>
              <w:snapToGrid w:val="0"/>
              <w:spacing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粤港澳大湾区国际智能检测产业园一期项目检验监测</w:t>
            </w:r>
          </w:p>
        </w:tc>
      </w:tr>
      <w:tr w14:paraId="3C8EF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B0BF2B5">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1.1.5</w:t>
            </w:r>
          </w:p>
        </w:tc>
        <w:tc>
          <w:tcPr>
            <w:tcW w:w="941" w:type="pct"/>
            <w:vAlign w:val="center"/>
          </w:tcPr>
          <w:p w14:paraId="36A0516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项目建设地点</w:t>
            </w:r>
          </w:p>
        </w:tc>
        <w:tc>
          <w:tcPr>
            <w:tcW w:w="3571" w:type="pct"/>
            <w:vAlign w:val="center"/>
          </w:tcPr>
          <w:p w14:paraId="76978F23">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3AD3BC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3893D8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1.1.6</w:t>
            </w:r>
          </w:p>
        </w:tc>
        <w:tc>
          <w:tcPr>
            <w:tcW w:w="941" w:type="pct"/>
            <w:vAlign w:val="center"/>
          </w:tcPr>
          <w:p w14:paraId="7580CC9C">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项目建设规模</w:t>
            </w:r>
          </w:p>
        </w:tc>
        <w:tc>
          <w:tcPr>
            <w:tcW w:w="3571" w:type="pct"/>
            <w:vAlign w:val="center"/>
          </w:tcPr>
          <w:p w14:paraId="701B4B25">
            <w:pPr>
              <w:snapToGrid w:val="0"/>
              <w:spacing w:line="360" w:lineRule="auto"/>
              <w:ind w:right="10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4E11D6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B2E2C2E">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1.1.7</w:t>
            </w:r>
          </w:p>
        </w:tc>
        <w:tc>
          <w:tcPr>
            <w:tcW w:w="941" w:type="pct"/>
            <w:vAlign w:val="center"/>
          </w:tcPr>
          <w:p w14:paraId="7749D43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工程项目施工预计开工日期和建设周期</w:t>
            </w:r>
          </w:p>
        </w:tc>
        <w:tc>
          <w:tcPr>
            <w:tcW w:w="3571" w:type="pct"/>
            <w:vAlign w:val="center"/>
          </w:tcPr>
          <w:p w14:paraId="1A357389">
            <w:pPr>
              <w:widowControl/>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施工工期为业主下达开工令或开工报告审批之日起按施工进度要求控制。</w:t>
            </w:r>
          </w:p>
          <w:p w14:paraId="52944CE3">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施工工期暂定</w:t>
            </w:r>
            <w:r>
              <w:rPr>
                <w:rFonts w:hint="eastAsia" w:ascii="宋体" w:hAnsi="宋体" w:cs="宋体"/>
                <w:color w:val="000000" w:themeColor="text1"/>
                <w:szCs w:val="21"/>
                <w:highlight w:val="none"/>
                <w:u w:val="single"/>
                <w:lang w:bidi="ar"/>
                <w14:textFill>
                  <w14:solidFill>
                    <w14:schemeClr w14:val="tx1"/>
                  </w14:solidFill>
                </w14:textFill>
              </w:rPr>
              <w:t>36</w:t>
            </w:r>
            <w:r>
              <w:rPr>
                <w:rFonts w:hint="eastAsia" w:ascii="宋体" w:hAnsi="宋体" w:cs="宋体"/>
                <w:color w:val="000000" w:themeColor="text1"/>
                <w:szCs w:val="21"/>
                <w:highlight w:val="none"/>
                <w:lang w:bidi="ar"/>
                <w14:textFill>
                  <w14:solidFill>
                    <w14:schemeClr w14:val="tx1"/>
                  </w14:solidFill>
                </w14:textFill>
              </w:rPr>
              <w:t>个月</w:t>
            </w:r>
            <w:r>
              <w:rPr>
                <w:rFonts w:hint="eastAsia" w:ascii="宋体" w:hAnsi="宋体" w:cs="宋体"/>
                <w:color w:val="000000" w:themeColor="text1"/>
                <w:szCs w:val="21"/>
                <w:highlight w:val="none"/>
                <w14:textFill>
                  <w14:solidFill>
                    <w14:schemeClr w14:val="tx1"/>
                  </w14:solidFill>
                </w14:textFill>
              </w:rPr>
              <w:t>。</w:t>
            </w:r>
          </w:p>
        </w:tc>
      </w:tr>
      <w:tr w14:paraId="1B963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954552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1.1.8</w:t>
            </w:r>
          </w:p>
        </w:tc>
        <w:tc>
          <w:tcPr>
            <w:tcW w:w="941" w:type="pct"/>
            <w:vAlign w:val="center"/>
          </w:tcPr>
          <w:p w14:paraId="4B0BCFF8">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建筑安装工程费</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工程概算</w:t>
            </w:r>
          </w:p>
        </w:tc>
        <w:tc>
          <w:tcPr>
            <w:tcW w:w="3571" w:type="pct"/>
            <w:vAlign w:val="center"/>
          </w:tcPr>
          <w:p w14:paraId="6A373EC0">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499E5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C31CF2E">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1.2.1</w:t>
            </w:r>
          </w:p>
        </w:tc>
        <w:tc>
          <w:tcPr>
            <w:tcW w:w="941" w:type="pct"/>
            <w:vAlign w:val="center"/>
          </w:tcPr>
          <w:p w14:paraId="3103F148">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资金来源及比例</w:t>
            </w:r>
          </w:p>
        </w:tc>
        <w:tc>
          <w:tcPr>
            <w:tcW w:w="3571" w:type="pct"/>
            <w:vAlign w:val="center"/>
          </w:tcPr>
          <w:p w14:paraId="10960F89">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1F48D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6D88E9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1.2.2</w:t>
            </w:r>
          </w:p>
        </w:tc>
        <w:tc>
          <w:tcPr>
            <w:tcW w:w="941" w:type="pct"/>
            <w:vAlign w:val="center"/>
          </w:tcPr>
          <w:p w14:paraId="3A35E8D4">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资金落实情况</w:t>
            </w:r>
          </w:p>
        </w:tc>
        <w:tc>
          <w:tcPr>
            <w:tcW w:w="3571" w:type="pct"/>
            <w:vAlign w:val="center"/>
          </w:tcPr>
          <w:p w14:paraId="57BD6660">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33CF7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D34CD00">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941" w:type="pct"/>
            <w:vAlign w:val="center"/>
          </w:tcPr>
          <w:p w14:paraId="51ED588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3571" w:type="pct"/>
            <w:vAlign w:val="center"/>
          </w:tcPr>
          <w:p w14:paraId="21F4B131">
            <w:pPr>
              <w:snapToGrid w:val="0"/>
              <w:spacing w:line="360" w:lineRule="auto"/>
              <w:ind w:right="10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7D409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9EF7FCC">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1.3.2</w:t>
            </w:r>
          </w:p>
        </w:tc>
        <w:tc>
          <w:tcPr>
            <w:tcW w:w="941" w:type="pct"/>
            <w:vAlign w:val="center"/>
          </w:tcPr>
          <w:p w14:paraId="5FEF3210">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w:t>
            </w:r>
          </w:p>
        </w:tc>
        <w:tc>
          <w:tcPr>
            <w:tcW w:w="3571" w:type="pct"/>
            <w:vAlign w:val="center"/>
          </w:tcPr>
          <w:p w14:paraId="2756F15F">
            <w:pPr>
              <w:pStyle w:val="2"/>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服务周期从中标通知书发出之日起至所有服务项目完成并通过终审验收为止，服务周期必须满足实际施工要求，包括施工准备阶段及施工全过程及竣工验收后需完成的相关服务。具体按合同条款约定。</w:t>
            </w:r>
          </w:p>
        </w:tc>
      </w:tr>
      <w:tr w14:paraId="105CCC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F9EF5A6">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1.3.3</w:t>
            </w:r>
          </w:p>
        </w:tc>
        <w:tc>
          <w:tcPr>
            <w:tcW w:w="941" w:type="pct"/>
            <w:vAlign w:val="center"/>
          </w:tcPr>
          <w:p w14:paraId="50DCA187">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3571" w:type="pct"/>
            <w:vAlign w:val="center"/>
          </w:tcPr>
          <w:p w14:paraId="60611581">
            <w:pPr>
              <w:pStyle w:val="27"/>
              <w:snapToGrid w:val="0"/>
              <w:spacing w:line="36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符合国家及省、市有关检测标准</w:t>
            </w:r>
          </w:p>
        </w:tc>
      </w:tr>
      <w:tr w14:paraId="3AE6A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C010D14">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1.4.1</w:t>
            </w:r>
          </w:p>
        </w:tc>
        <w:tc>
          <w:tcPr>
            <w:tcW w:w="941" w:type="pct"/>
            <w:vAlign w:val="center"/>
          </w:tcPr>
          <w:p w14:paraId="28561FB7">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投标人资质条件、能力、信誉</w:t>
            </w:r>
          </w:p>
        </w:tc>
        <w:tc>
          <w:tcPr>
            <w:tcW w:w="3571" w:type="pct"/>
            <w:vAlign w:val="center"/>
          </w:tcPr>
          <w:p w14:paraId="676AB151">
            <w:pPr>
              <w:snapToGrid w:val="0"/>
              <w:spacing w:line="360" w:lineRule="exact"/>
              <w:ind w:firstLine="29" w:firstLineChars="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（1）资质要求：</w:t>
            </w:r>
            <w:r>
              <w:rPr>
                <w:rFonts w:hint="eastAsia" w:ascii="宋体" w:hAnsi="宋体" w:cs="宋体"/>
                <w:color w:val="000000" w:themeColor="text1"/>
                <w:szCs w:val="21"/>
                <w:highlight w:val="none"/>
                <w:u w:val="single"/>
                <w14:textFill>
                  <w14:solidFill>
                    <w14:schemeClr w14:val="tx1"/>
                  </w14:solidFill>
                </w14:textFill>
              </w:rPr>
              <w:t>详见招标公告投标人资格要求</w:t>
            </w:r>
            <w:r>
              <w:rPr>
                <w:rFonts w:hint="eastAsia" w:ascii="宋体" w:hAnsi="宋体" w:cs="宋体"/>
                <w:color w:val="000000" w:themeColor="text1"/>
                <w:szCs w:val="21"/>
                <w:highlight w:val="none"/>
                <w14:textFill>
                  <w14:solidFill>
                    <w14:schemeClr w14:val="tx1"/>
                  </w14:solidFill>
                </w14:textFill>
              </w:rPr>
              <w:t>。</w:t>
            </w:r>
          </w:p>
          <w:p w14:paraId="4944C353">
            <w:pPr>
              <w:snapToGrid w:val="0"/>
              <w:spacing w:line="360" w:lineRule="exact"/>
              <w:ind w:firstLine="29" w:firstLineChars="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（2）财务要求：</w:t>
            </w:r>
            <w:r>
              <w:rPr>
                <w:rStyle w:val="70"/>
                <w:rFonts w:hint="eastAsia" w:ascii="宋体" w:hAnsi="宋体" w:cs="宋体"/>
                <w:color w:val="000000" w:themeColor="text1"/>
                <w:sz w:val="20"/>
                <w:szCs w:val="20"/>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（不作为资格审查内容）</w:t>
            </w:r>
          </w:p>
          <w:p w14:paraId="7EE3E617">
            <w:pPr>
              <w:snapToGrid w:val="0"/>
              <w:spacing w:line="360" w:lineRule="exact"/>
              <w:ind w:firstLine="29" w:firstLineChars="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（3）业绩要求：</w:t>
            </w:r>
            <w:r>
              <w:rPr>
                <w:rStyle w:val="70"/>
                <w:rFonts w:hint="eastAsia" w:ascii="宋体" w:hAnsi="宋体" w:cs="宋体"/>
                <w:color w:val="000000" w:themeColor="text1"/>
                <w:sz w:val="20"/>
                <w:szCs w:val="20"/>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（不作为资格审查内容）</w:t>
            </w:r>
          </w:p>
          <w:p w14:paraId="04AD82B5">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（4）信誉要求：</w:t>
            </w:r>
            <w:r>
              <w:rPr>
                <w:rStyle w:val="70"/>
                <w:rFonts w:hint="eastAsia" w:ascii="宋体" w:hAnsi="宋体" w:cs="宋体"/>
                <w:color w:val="000000" w:themeColor="text1"/>
                <w:sz w:val="20"/>
                <w:szCs w:val="20"/>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（不作为资格审查内容）</w:t>
            </w:r>
          </w:p>
          <w:p w14:paraId="63DFCE25">
            <w:pPr>
              <w:snapToGrid w:val="0"/>
              <w:spacing w:line="360" w:lineRule="exact"/>
              <w:ind w:right="10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项目负责人</w:t>
            </w:r>
            <w:r>
              <w:rPr>
                <w:rFonts w:hint="eastAsia" w:ascii="宋体" w:hAnsi="宋体" w:cs="宋体"/>
                <w:color w:val="000000" w:themeColor="text1"/>
                <w:szCs w:val="21"/>
                <w:highlight w:val="none"/>
                <w14:textFill>
                  <w14:solidFill>
                    <w14:schemeClr w14:val="tx1"/>
                  </w14:solidFill>
                </w14:textFill>
              </w:rPr>
              <w:t>的资格要求：</w:t>
            </w:r>
            <w:r>
              <w:rPr>
                <w:rFonts w:hint="eastAsia" w:ascii="宋体" w:hAnsi="宋体" w:cs="宋体"/>
                <w:color w:val="000000" w:themeColor="text1"/>
                <w:szCs w:val="21"/>
                <w:highlight w:val="none"/>
                <w:u w:val="single"/>
                <w14:textFill>
                  <w14:solidFill>
                    <w14:schemeClr w14:val="tx1"/>
                  </w14:solidFill>
                </w14:textFill>
              </w:rPr>
              <w:t>详见招标公告投标人资格要求</w:t>
            </w:r>
            <w:r>
              <w:rPr>
                <w:rFonts w:hint="eastAsia" w:ascii="宋体" w:hAnsi="宋体" w:cs="宋体"/>
                <w:color w:val="000000" w:themeColor="text1"/>
                <w:szCs w:val="21"/>
                <w:highlight w:val="none"/>
                <w14:textFill>
                  <w14:solidFill>
                    <w14:schemeClr w14:val="tx1"/>
                  </w14:solidFill>
                </w14:textFill>
              </w:rPr>
              <w:t>。</w:t>
            </w:r>
          </w:p>
          <w:p w14:paraId="60B808D0">
            <w:pPr>
              <w:snapToGrid w:val="0"/>
              <w:spacing w:line="360" w:lineRule="exact"/>
              <w:ind w:right="10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（6）其他主要人员要求：</w:t>
            </w:r>
            <w:r>
              <w:rPr>
                <w:rStyle w:val="70"/>
                <w:rFonts w:hint="eastAsia" w:ascii="宋体" w:hAnsi="宋体" w:cs="宋体"/>
                <w:color w:val="000000" w:themeColor="text1"/>
                <w:sz w:val="20"/>
                <w:szCs w:val="20"/>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（不作为资格审查内容）</w:t>
            </w:r>
          </w:p>
          <w:p w14:paraId="6FB2DD8A">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）试验检测仪器设备要求：</w:t>
            </w:r>
            <w:r>
              <w:rPr>
                <w:rFonts w:ascii="宋体" w:hAnsi="宋体" w:cs="宋体"/>
                <w:color w:val="000000" w:themeColor="text1"/>
                <w:szCs w:val="21"/>
                <w:highlight w:val="none"/>
                <w14:textFill>
                  <w14:solidFill>
                    <w14:schemeClr w14:val="tx1"/>
                  </w14:solidFill>
                </w14:textFill>
              </w:rPr>
              <w:t>/</w:t>
            </w:r>
          </w:p>
          <w:p w14:paraId="7F3D034D">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）其他要求：见招标公告投标人资格要求。</w:t>
            </w:r>
          </w:p>
        </w:tc>
      </w:tr>
      <w:tr w14:paraId="6FAC0A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600ED1D">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1.4.2</w:t>
            </w:r>
          </w:p>
        </w:tc>
        <w:tc>
          <w:tcPr>
            <w:tcW w:w="941" w:type="pct"/>
            <w:vAlign w:val="center"/>
          </w:tcPr>
          <w:p w14:paraId="741ACA2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是否接受联合体投标</w:t>
            </w:r>
          </w:p>
        </w:tc>
        <w:tc>
          <w:tcPr>
            <w:tcW w:w="3571" w:type="pct"/>
            <w:vAlign w:val="center"/>
          </w:tcPr>
          <w:p w14:paraId="5AFC8A44">
            <w:pPr>
              <w:snapToGrid w:val="0"/>
              <w:spacing w:line="360" w:lineRule="auto"/>
              <w:ind w:right="-238"/>
              <w:rPr>
                <w:rFonts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int="eastAsia" w:ascii="宋体" w:hAnsi="宋体" w:cs="宋体"/>
                <w:color w:val="000000" w:themeColor="text1"/>
                <w:position w:val="3"/>
                <w:szCs w:val="21"/>
                <w:highlight w:val="none"/>
                <w14:textFill>
                  <w14:solidFill>
                    <w14:schemeClr w14:val="tx1"/>
                  </w14:solidFill>
                </w14:textFill>
              </w:rPr>
              <w:t>不接受</w:t>
            </w:r>
          </w:p>
          <w:p w14:paraId="02A3332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接受，应满足下列要求：详见招标公告</w:t>
            </w:r>
          </w:p>
        </w:tc>
      </w:tr>
      <w:tr w14:paraId="1B9FC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AC199B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1.4.3</w:t>
            </w:r>
          </w:p>
        </w:tc>
        <w:tc>
          <w:tcPr>
            <w:tcW w:w="941" w:type="pct"/>
            <w:vAlign w:val="center"/>
          </w:tcPr>
          <w:p w14:paraId="60084EFE">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投标人不得存在的其他情形</w:t>
            </w:r>
          </w:p>
        </w:tc>
        <w:tc>
          <w:tcPr>
            <w:tcW w:w="3571" w:type="pct"/>
            <w:vAlign w:val="center"/>
          </w:tcPr>
          <w:p w14:paraId="7FDD709A">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投标人不得存在下列情形之一：</w:t>
            </w:r>
          </w:p>
          <w:p w14:paraId="5A1FB990">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（1）为招标人不具有独立法人资格的附属机构（单位）；</w:t>
            </w:r>
          </w:p>
          <w:p w14:paraId="4570F870">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（2）与招标人存在利害关系且可能影响招标公正性；</w:t>
            </w:r>
          </w:p>
          <w:p w14:paraId="148299B9">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（3）与本招标项目的其他投标人为同一个单位负责人；</w:t>
            </w:r>
          </w:p>
          <w:p w14:paraId="564D0581">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（4）与本招标项目的其他投标人存在控股、管理关系；</w:t>
            </w:r>
          </w:p>
          <w:p w14:paraId="5CEC41F4">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（5）为本招标项目的代建人；</w:t>
            </w:r>
          </w:p>
          <w:p w14:paraId="5A9929B4">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（6）为本招标项目的招标代理机构；</w:t>
            </w:r>
          </w:p>
          <w:p w14:paraId="060D37C7">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（7）与本招标项目的代建人或招标代理机构同为一个法定代表人；</w:t>
            </w:r>
          </w:p>
          <w:p w14:paraId="0563E8B3">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（8）与本招标项目的代建人或招标代理机构存在控股或参股关系；</w:t>
            </w:r>
          </w:p>
          <w:p w14:paraId="332892FB">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（9）与本招标项目的施工承包人以及建筑材料、建筑构配件和设备供应商有隶属关系或者其他利害关系；</w:t>
            </w:r>
          </w:p>
          <w:p w14:paraId="189C04C8">
            <w:pPr>
              <w:adjustRightInd w:val="0"/>
              <w:snapToGrid w:val="0"/>
              <w:spacing w:line="320" w:lineRule="atLeas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B5534AA">
            <w:pPr>
              <w:adjustRightInd w:val="0"/>
              <w:snapToGrid w:val="0"/>
              <w:spacing w:line="320" w:lineRule="atLeas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（11）被责令停产停业、暂扣或者吊销许可证、暂扣或者吊销执照（本项事实应当以根据《中华人民共和国行政处罚法》依法作出并已经生效的行政处罚决定为认定依据。）；</w:t>
            </w:r>
          </w:p>
          <w:p w14:paraId="5E8B6362">
            <w:pPr>
              <w:adjustRightInd w:val="0"/>
              <w:snapToGrid w:val="0"/>
              <w:spacing w:line="320"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（12）进入清算程序，或被宣告破产，或其他丧失履约能力的情形；</w:t>
            </w:r>
          </w:p>
          <w:p w14:paraId="5664F8B5">
            <w:pPr>
              <w:adjustRightInd w:val="0"/>
              <w:snapToGrid w:val="0"/>
              <w:spacing w:line="320" w:lineRule="atLeas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13）在最近三年内发生重大检测质量问题（“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6964A62">
            <w:pPr>
              <w:topLinePunct/>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（14）法律法规或投标人须知前附表规定的其他情形。</w:t>
            </w:r>
          </w:p>
        </w:tc>
      </w:tr>
      <w:tr w14:paraId="71374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2DCA9C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1.9.1</w:t>
            </w:r>
          </w:p>
        </w:tc>
        <w:tc>
          <w:tcPr>
            <w:tcW w:w="941" w:type="pct"/>
            <w:vAlign w:val="center"/>
          </w:tcPr>
          <w:p w14:paraId="2ECE3BBD">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3571" w:type="pct"/>
            <w:vAlign w:val="center"/>
          </w:tcPr>
          <w:p w14:paraId="549A0DF9">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不组织，</w:t>
            </w:r>
            <w:r>
              <w:rPr>
                <w:rFonts w:hint="eastAsia" w:hAnsi="宋体"/>
                <w:color w:val="000000" w:themeColor="text1"/>
                <w:sz w:val="21"/>
                <w:szCs w:val="21"/>
                <w:highlight w:val="none"/>
                <w:u w:val="single"/>
                <w14:textFill>
                  <w14:solidFill>
                    <w14:schemeClr w14:val="tx1"/>
                  </w14:solidFill>
                </w14:textFill>
              </w:rPr>
              <w:t>由投标人自行现场考察。</w:t>
            </w:r>
          </w:p>
          <w:p w14:paraId="0F02B22B">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□组织，踏勘时间：</w:t>
            </w:r>
            <w:r>
              <w:rPr>
                <w:rFonts w:hAnsi="宋体"/>
                <w:color w:val="000000" w:themeColor="text1"/>
                <w:sz w:val="21"/>
                <w:szCs w:val="21"/>
                <w:highlight w:val="none"/>
                <w14:textFill>
                  <w14:solidFill>
                    <w14:schemeClr w14:val="tx1"/>
                  </w14:solidFill>
                </w14:textFill>
              </w:rPr>
              <w:t>/</w:t>
            </w:r>
          </w:p>
          <w:p w14:paraId="727ABD75">
            <w:pPr>
              <w:pStyle w:val="13"/>
              <w:topLinePunct/>
              <w:snapToGrid w:val="0"/>
              <w:spacing w:line="360" w:lineRule="auto"/>
              <w:ind w:firstLine="840" w:firstLineChars="4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踏勘集中地点：</w:t>
            </w:r>
            <w:r>
              <w:rPr>
                <w:rFonts w:hAnsi="宋体"/>
                <w:color w:val="000000" w:themeColor="text1"/>
                <w:sz w:val="21"/>
                <w:szCs w:val="21"/>
                <w:highlight w:val="none"/>
                <w14:textFill>
                  <w14:solidFill>
                    <w14:schemeClr w14:val="tx1"/>
                  </w14:solidFill>
                </w14:textFill>
              </w:rPr>
              <w:t>/</w:t>
            </w:r>
          </w:p>
        </w:tc>
      </w:tr>
      <w:tr w14:paraId="53507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8E1367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1.10.1</w:t>
            </w:r>
          </w:p>
        </w:tc>
        <w:tc>
          <w:tcPr>
            <w:tcW w:w="941" w:type="pct"/>
            <w:vAlign w:val="center"/>
          </w:tcPr>
          <w:p w14:paraId="36F7EBD5">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投标预备会</w:t>
            </w:r>
          </w:p>
        </w:tc>
        <w:tc>
          <w:tcPr>
            <w:tcW w:w="3571" w:type="pct"/>
            <w:vAlign w:val="center"/>
          </w:tcPr>
          <w:p w14:paraId="7394D5F4">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不召开</w:t>
            </w:r>
          </w:p>
          <w:p w14:paraId="250580BF">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□召开，召开时间：</w:t>
            </w:r>
            <w:r>
              <w:rPr>
                <w:rFonts w:ascii="宋体" w:hAnsi="宋体"/>
                <w:color w:val="000000" w:themeColor="text1"/>
                <w:szCs w:val="21"/>
                <w:highlight w:val="none"/>
                <w:u w:val="single"/>
                <w14:textFill>
                  <w14:solidFill>
                    <w14:schemeClr w14:val="tx1"/>
                  </w14:solidFill>
                </w14:textFill>
              </w:rPr>
              <w:t xml:space="preserve"> / </w:t>
            </w:r>
          </w:p>
          <w:p w14:paraId="262E3A61">
            <w:pPr>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召开地点：</w:t>
            </w:r>
            <w:r>
              <w:rPr>
                <w:rFonts w:ascii="宋体" w:hAnsi="宋体"/>
                <w:color w:val="000000" w:themeColor="text1"/>
                <w:szCs w:val="21"/>
                <w:highlight w:val="none"/>
                <w:u w:val="single"/>
                <w14:textFill>
                  <w14:solidFill>
                    <w14:schemeClr w14:val="tx1"/>
                  </w14:solidFill>
                </w14:textFill>
              </w:rPr>
              <w:t xml:space="preserve"> / </w:t>
            </w:r>
          </w:p>
        </w:tc>
      </w:tr>
      <w:tr w14:paraId="0CC7E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restart"/>
            <w:vAlign w:val="center"/>
          </w:tcPr>
          <w:p w14:paraId="4BED54A2">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1.10.2</w:t>
            </w:r>
          </w:p>
        </w:tc>
        <w:tc>
          <w:tcPr>
            <w:tcW w:w="941" w:type="pct"/>
            <w:vMerge w:val="restart"/>
            <w:vAlign w:val="center"/>
          </w:tcPr>
          <w:p w14:paraId="3EF920A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投标人在投标预备会前提出问题</w:t>
            </w:r>
          </w:p>
        </w:tc>
        <w:tc>
          <w:tcPr>
            <w:tcW w:w="3571" w:type="pct"/>
            <w:vAlign w:val="center"/>
          </w:tcPr>
          <w:p w14:paraId="4256EF2A">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ascii="宋体" w:hAnsi="宋体"/>
                <w:color w:val="000000" w:themeColor="text1"/>
                <w:szCs w:val="21"/>
                <w:highlight w:val="none"/>
                <w:u w:val="single"/>
                <w14:textFill>
                  <w14:solidFill>
                    <w14:schemeClr w14:val="tx1"/>
                  </w14:solidFill>
                </w14:textFill>
              </w:rPr>
              <w:t xml:space="preserve"> / </w:t>
            </w:r>
          </w:p>
        </w:tc>
      </w:tr>
      <w:tr w14:paraId="57330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continue"/>
            <w:vAlign w:val="center"/>
          </w:tcPr>
          <w:p w14:paraId="3262735B">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1" w:type="pct"/>
            <w:vMerge w:val="continue"/>
            <w:vAlign w:val="center"/>
          </w:tcPr>
          <w:p w14:paraId="4D228298">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3571" w:type="pct"/>
            <w:vAlign w:val="center"/>
          </w:tcPr>
          <w:p w14:paraId="38815E9F">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w:t>
            </w:r>
            <w:r>
              <w:rPr>
                <w:rFonts w:ascii="宋体" w:hAnsi="宋体"/>
                <w:color w:val="000000" w:themeColor="text1"/>
                <w:szCs w:val="21"/>
                <w:highlight w:val="none"/>
                <w:u w:val="single"/>
                <w14:textFill>
                  <w14:solidFill>
                    <w14:schemeClr w14:val="tx1"/>
                  </w14:solidFill>
                </w14:textFill>
              </w:rPr>
              <w:t xml:space="preserve"> / </w:t>
            </w:r>
          </w:p>
        </w:tc>
      </w:tr>
      <w:tr w14:paraId="60BFFF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7148D40">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1.10.3</w:t>
            </w:r>
          </w:p>
        </w:tc>
        <w:tc>
          <w:tcPr>
            <w:tcW w:w="941" w:type="pct"/>
            <w:vAlign w:val="center"/>
          </w:tcPr>
          <w:p w14:paraId="7CC14B6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招标文件澄清发出的形式</w:t>
            </w:r>
          </w:p>
        </w:tc>
        <w:tc>
          <w:tcPr>
            <w:tcW w:w="3571" w:type="pct"/>
            <w:vAlign w:val="center"/>
          </w:tcPr>
          <w:p w14:paraId="01B87677">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（此为投标预备会的答疑澄清）</w:t>
            </w:r>
          </w:p>
        </w:tc>
      </w:tr>
      <w:tr w14:paraId="62DD0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38FC8D6">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1.12.1</w:t>
            </w:r>
          </w:p>
        </w:tc>
        <w:tc>
          <w:tcPr>
            <w:tcW w:w="941" w:type="pct"/>
            <w:vAlign w:val="center"/>
          </w:tcPr>
          <w:p w14:paraId="21CBF29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实质性要求和条件</w:t>
            </w:r>
          </w:p>
        </w:tc>
        <w:tc>
          <w:tcPr>
            <w:tcW w:w="3571" w:type="pct"/>
            <w:vAlign w:val="center"/>
          </w:tcPr>
          <w:p w14:paraId="324D9D16">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p>
        </w:tc>
      </w:tr>
      <w:tr w14:paraId="70858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606E20E">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1.12.3</w:t>
            </w:r>
          </w:p>
        </w:tc>
        <w:tc>
          <w:tcPr>
            <w:tcW w:w="941" w:type="pct"/>
            <w:vAlign w:val="center"/>
          </w:tcPr>
          <w:p w14:paraId="07374880">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p>
        </w:tc>
        <w:tc>
          <w:tcPr>
            <w:tcW w:w="3571" w:type="pct"/>
            <w:vAlign w:val="center"/>
          </w:tcPr>
          <w:p w14:paraId="5A5DF57C">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w:t>
            </w:r>
          </w:p>
          <w:p w14:paraId="1DB5E302">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□允许，偏差范围：</w:t>
            </w:r>
            <w:r>
              <w:rPr>
                <w:rFonts w:hAnsi="宋体"/>
                <w:color w:val="000000" w:themeColor="text1"/>
                <w:sz w:val="21"/>
                <w:szCs w:val="21"/>
                <w:highlight w:val="none"/>
                <w14:textFill>
                  <w14:solidFill>
                    <w14:schemeClr w14:val="tx1"/>
                  </w14:solidFill>
                </w14:textFill>
              </w:rPr>
              <w:t>/</w:t>
            </w:r>
          </w:p>
          <w:p w14:paraId="1E9D20AC">
            <w:pPr>
              <w:pStyle w:val="13"/>
              <w:topLinePunct/>
              <w:snapToGrid w:val="0"/>
              <w:spacing w:line="360" w:lineRule="auto"/>
              <w:ind w:firstLine="840" w:firstLineChars="4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偏差幅度：</w:t>
            </w:r>
            <w:r>
              <w:rPr>
                <w:rFonts w:hAnsi="宋体"/>
                <w:color w:val="000000" w:themeColor="text1"/>
                <w:sz w:val="21"/>
                <w:szCs w:val="21"/>
                <w:highlight w:val="none"/>
                <w14:textFill>
                  <w14:solidFill>
                    <w14:schemeClr w14:val="tx1"/>
                  </w14:solidFill>
                </w14:textFill>
              </w:rPr>
              <w:t>/</w:t>
            </w:r>
          </w:p>
        </w:tc>
      </w:tr>
      <w:tr w14:paraId="6CFF9D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14FF62D">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p>
        </w:tc>
        <w:tc>
          <w:tcPr>
            <w:tcW w:w="941" w:type="pct"/>
            <w:vAlign w:val="center"/>
          </w:tcPr>
          <w:p w14:paraId="175FF9AD">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构成招标文件的其他资料</w:t>
            </w:r>
          </w:p>
        </w:tc>
        <w:tc>
          <w:tcPr>
            <w:tcW w:w="3571" w:type="pct"/>
            <w:vAlign w:val="center"/>
          </w:tcPr>
          <w:p w14:paraId="48C4A8FA">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 </w:t>
            </w:r>
          </w:p>
        </w:tc>
      </w:tr>
      <w:tr w14:paraId="4128F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restart"/>
            <w:vAlign w:val="center"/>
          </w:tcPr>
          <w:p w14:paraId="614A46B5">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2.2.1</w:t>
            </w:r>
          </w:p>
        </w:tc>
        <w:tc>
          <w:tcPr>
            <w:tcW w:w="941" w:type="pct"/>
            <w:vMerge w:val="restart"/>
            <w:vAlign w:val="center"/>
          </w:tcPr>
          <w:p w14:paraId="4EB1F54C">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投标人要求澄清招标文件</w:t>
            </w:r>
          </w:p>
        </w:tc>
        <w:tc>
          <w:tcPr>
            <w:tcW w:w="6734" w:type="dxa"/>
            <w:vAlign w:val="center"/>
          </w:tcPr>
          <w:p w14:paraId="31DB2CA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时间：在提交投标文件截止时间18天前提出。</w:t>
            </w:r>
          </w:p>
        </w:tc>
      </w:tr>
      <w:tr w14:paraId="529E6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continue"/>
            <w:vAlign w:val="center"/>
          </w:tcPr>
          <w:p w14:paraId="6302E18B">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1" w:type="pct"/>
            <w:vMerge w:val="continue"/>
            <w:vAlign w:val="center"/>
          </w:tcPr>
          <w:p w14:paraId="119FCBB8">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6734" w:type="dxa"/>
            <w:vAlign w:val="center"/>
          </w:tcPr>
          <w:p w14:paraId="64CE6996">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招标答疑采用网上答疑方式进行。投标人若对招标文件（包括图纸、合同版本、最高投标限价等）有疑问的，可在规定的时间内通过广州交易集团有限公司（广州公共资源交易中心）网站将问题提交给招标人或招标代理人，提交问题时一律不得署名。</w:t>
            </w:r>
          </w:p>
          <w:p w14:paraId="482BFAAF">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2138C8F8">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具体操作详见广州交易集团有限公司（广州公共资源交易中心）网站最新发布的《建设工程全流程电子化项目操作指南》。</w:t>
            </w:r>
          </w:p>
        </w:tc>
      </w:tr>
      <w:tr w14:paraId="01AA23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CADDD29">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p>
        </w:tc>
        <w:tc>
          <w:tcPr>
            <w:tcW w:w="941" w:type="pct"/>
            <w:vAlign w:val="center"/>
          </w:tcPr>
          <w:p w14:paraId="5962C312">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招标文件澄清发出的形式</w:t>
            </w:r>
          </w:p>
        </w:tc>
        <w:tc>
          <w:tcPr>
            <w:tcW w:w="3571" w:type="pct"/>
            <w:vAlign w:val="center"/>
          </w:tcPr>
          <w:p w14:paraId="7C5FFD20">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在递交投标文件截止时间</w:t>
            </w: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天前；在广州交易集团有限公司（广州公共资源交易中心）网站通过项目答疑专区网上公开发布。</w:t>
            </w:r>
          </w:p>
        </w:tc>
      </w:tr>
      <w:tr w14:paraId="4843A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restart"/>
            <w:vAlign w:val="center"/>
          </w:tcPr>
          <w:p w14:paraId="1FDC8C2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2.2.3</w:t>
            </w:r>
          </w:p>
        </w:tc>
        <w:tc>
          <w:tcPr>
            <w:tcW w:w="941" w:type="pct"/>
            <w:vMerge w:val="restart"/>
            <w:vAlign w:val="center"/>
          </w:tcPr>
          <w:p w14:paraId="5BFE4032">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投标人确认收到招标文件澄清</w:t>
            </w:r>
          </w:p>
        </w:tc>
        <w:tc>
          <w:tcPr>
            <w:tcW w:w="3571" w:type="pct"/>
            <w:vAlign w:val="center"/>
          </w:tcPr>
          <w:p w14:paraId="443515F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时间：发出即视作收到</w:t>
            </w:r>
          </w:p>
        </w:tc>
      </w:tr>
      <w:tr w14:paraId="7F472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continue"/>
            <w:vAlign w:val="center"/>
          </w:tcPr>
          <w:p w14:paraId="6E608B1E">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1" w:type="pct"/>
            <w:vMerge w:val="continue"/>
            <w:vAlign w:val="center"/>
          </w:tcPr>
          <w:p w14:paraId="4E32BCB8">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3571" w:type="pct"/>
            <w:vAlign w:val="center"/>
          </w:tcPr>
          <w:p w14:paraId="32A83CF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形式：招标文件澄清（招标答疑纪要）一经在广州交易集团有限公司（广州公共资源交易中心）网站发布，视作已发放给所有投标人。</w:t>
            </w:r>
          </w:p>
        </w:tc>
      </w:tr>
      <w:tr w14:paraId="7C5E21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C2B37F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2.3.1</w:t>
            </w:r>
          </w:p>
        </w:tc>
        <w:tc>
          <w:tcPr>
            <w:tcW w:w="941" w:type="pct"/>
            <w:vAlign w:val="center"/>
          </w:tcPr>
          <w:p w14:paraId="02436E58">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招标文件修改发出的形式</w:t>
            </w:r>
          </w:p>
        </w:tc>
        <w:tc>
          <w:tcPr>
            <w:tcW w:w="3571" w:type="pct"/>
            <w:vAlign w:val="center"/>
          </w:tcPr>
          <w:p w14:paraId="7B05230C">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以补充公告或项目答疑澄清的方式在广州交易集团有限公司（广州公共资源交易中心）网站发布</w:t>
            </w:r>
          </w:p>
        </w:tc>
      </w:tr>
      <w:tr w14:paraId="67200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restart"/>
            <w:vAlign w:val="center"/>
          </w:tcPr>
          <w:p w14:paraId="6612E550">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2.3.2</w:t>
            </w:r>
          </w:p>
        </w:tc>
        <w:tc>
          <w:tcPr>
            <w:tcW w:w="941" w:type="pct"/>
            <w:vMerge w:val="restart"/>
            <w:vAlign w:val="center"/>
          </w:tcPr>
          <w:p w14:paraId="13DF8CDE">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投标人确认收到招标文件修改</w:t>
            </w:r>
          </w:p>
        </w:tc>
        <w:tc>
          <w:tcPr>
            <w:tcW w:w="3571" w:type="pct"/>
            <w:vAlign w:val="center"/>
          </w:tcPr>
          <w:p w14:paraId="49D73A0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时间：发出即视作收到</w:t>
            </w:r>
          </w:p>
        </w:tc>
      </w:tr>
      <w:tr w14:paraId="49C6A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Merge w:val="continue"/>
            <w:vAlign w:val="center"/>
          </w:tcPr>
          <w:p w14:paraId="1BE99CAA">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1" w:type="pct"/>
            <w:vMerge w:val="continue"/>
            <w:vAlign w:val="center"/>
          </w:tcPr>
          <w:p w14:paraId="0F11F651">
            <w:pPr>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3571" w:type="pct"/>
            <w:vAlign w:val="center"/>
          </w:tcPr>
          <w:p w14:paraId="1B79222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04C1F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B02C11B">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3.1.1</w:t>
            </w:r>
          </w:p>
        </w:tc>
        <w:tc>
          <w:tcPr>
            <w:tcW w:w="941" w:type="pct"/>
            <w:vAlign w:val="center"/>
          </w:tcPr>
          <w:p w14:paraId="0C8CE59E">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构成投标文件的其他资料</w:t>
            </w:r>
          </w:p>
        </w:tc>
        <w:tc>
          <w:tcPr>
            <w:tcW w:w="3571" w:type="pct"/>
            <w:vAlign w:val="center"/>
          </w:tcPr>
          <w:p w14:paraId="41DA20CD">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详见第六章投标文件格式</w:t>
            </w:r>
          </w:p>
        </w:tc>
      </w:tr>
      <w:tr w14:paraId="08998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B7C761C">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w:t>
            </w:r>
          </w:p>
        </w:tc>
        <w:tc>
          <w:tcPr>
            <w:tcW w:w="941" w:type="pct"/>
            <w:vAlign w:val="center"/>
          </w:tcPr>
          <w:p w14:paraId="1D085DE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增值税税金的计算方法</w:t>
            </w:r>
          </w:p>
        </w:tc>
        <w:tc>
          <w:tcPr>
            <w:tcW w:w="3571" w:type="pct"/>
            <w:vAlign w:val="center"/>
          </w:tcPr>
          <w:p w14:paraId="50E3C3A6">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 </w:t>
            </w:r>
          </w:p>
        </w:tc>
      </w:tr>
      <w:tr w14:paraId="2718D1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8B01C6A">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w:t>
            </w:r>
          </w:p>
        </w:tc>
        <w:tc>
          <w:tcPr>
            <w:tcW w:w="941" w:type="pct"/>
            <w:vAlign w:val="center"/>
          </w:tcPr>
          <w:p w14:paraId="2E2461A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报价方式</w:t>
            </w:r>
          </w:p>
        </w:tc>
        <w:tc>
          <w:tcPr>
            <w:tcW w:w="3571" w:type="pct"/>
            <w:vAlign w:val="center"/>
          </w:tcPr>
          <w:p w14:paraId="352E13F0">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投标人按</w:t>
            </w:r>
            <w:r>
              <w:rPr>
                <w:rFonts w:hint="eastAsia" w:ascii="宋体" w:hAnsi="宋体" w:cs="宋体"/>
                <w:b/>
                <w:color w:val="000000" w:themeColor="text1"/>
                <w:szCs w:val="21"/>
                <w:highlight w:val="none"/>
                <w14:textFill>
                  <w14:solidFill>
                    <w14:schemeClr w14:val="tx1"/>
                  </w14:solidFill>
                </w14:textFill>
              </w:rPr>
              <w:t>投标下浮率（%）</w:t>
            </w:r>
            <w:r>
              <w:rPr>
                <w:rFonts w:hint="eastAsia" w:ascii="宋体" w:hAnsi="宋体" w:cs="宋体"/>
                <w:color w:val="000000" w:themeColor="text1"/>
                <w:szCs w:val="21"/>
                <w:highlight w:val="none"/>
                <w14:textFill>
                  <w14:solidFill>
                    <w14:schemeClr w14:val="tx1"/>
                  </w14:solidFill>
                </w14:textFill>
              </w:rPr>
              <w:t>进行报价。</w:t>
            </w:r>
            <w:bookmarkStart w:id="41" w:name="_Hlk50112849"/>
            <w:r>
              <w:rPr>
                <w:rFonts w:hint="eastAsia" w:ascii="宋体" w:hAnsi="宋体" w:cs="宋体"/>
                <w:color w:val="000000" w:themeColor="text1"/>
                <w:szCs w:val="21"/>
                <w:highlight w:val="none"/>
                <w14:textFill>
                  <w14:solidFill>
                    <w14:schemeClr w14:val="tx1"/>
                  </w14:solidFill>
                </w14:textFill>
              </w:rPr>
              <w:t>投标总价及各项综合单价均按同等投标下浮率执行，投标报价（含下浮率）精确到小数点后两位。本项目检测费、监测费采用综合单价包干，检测、监测数量按实结算。具体按合同相关条款约定。</w:t>
            </w:r>
            <w:bookmarkEnd w:id="41"/>
          </w:p>
        </w:tc>
      </w:tr>
      <w:tr w14:paraId="2640C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7CC1617">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w:t>
            </w:r>
          </w:p>
        </w:tc>
        <w:tc>
          <w:tcPr>
            <w:tcW w:w="941" w:type="pct"/>
            <w:vAlign w:val="center"/>
          </w:tcPr>
          <w:p w14:paraId="26B9B875">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3571" w:type="pct"/>
            <w:vAlign w:val="center"/>
          </w:tcPr>
          <w:p w14:paraId="54ABB294">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78452965">
            <w:pPr>
              <w:tabs>
                <w:tab w:val="left" w:pos="7513"/>
              </w:tabs>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有，最高投标限价（总价）：</w:t>
            </w:r>
            <w:r>
              <w:rPr>
                <w:rFonts w:hint="eastAsia" w:ascii="宋体" w:hAnsi="宋体" w:cs="宋体"/>
                <w:b/>
                <w:color w:val="000000" w:themeColor="text1"/>
                <w:szCs w:val="21"/>
                <w:highlight w:val="none"/>
                <w:u w:val="single"/>
                <w:lang w:eastAsia="zh-CN"/>
                <w14:textFill>
                  <w14:solidFill>
                    <w14:schemeClr w14:val="tx1"/>
                  </w14:solidFill>
                </w14:textFill>
              </w:rPr>
              <w:t xml:space="preserve">8811816.48 </w:t>
            </w:r>
            <w:r>
              <w:rPr>
                <w:rFonts w:hint="eastAsia" w:ascii="宋体" w:hAnsi="宋体" w:cs="宋体"/>
                <w:b/>
                <w:color w:val="000000" w:themeColor="text1"/>
                <w:szCs w:val="21"/>
                <w:highlight w:val="none"/>
                <w14:textFill>
                  <w14:solidFill>
                    <w14:schemeClr w14:val="tx1"/>
                  </w14:solidFill>
                </w14:textFill>
              </w:rPr>
              <w:t>元。</w:t>
            </w:r>
          </w:p>
          <w:p w14:paraId="74A9F94D">
            <w:pPr>
              <w:tabs>
                <w:tab w:val="left" w:pos="7513"/>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注：检测、监测各项综合单价最高投标限价详见附件《招标控制价》。本项目投标报价不得超过对应最高投标限价。</w:t>
            </w:r>
          </w:p>
        </w:tc>
      </w:tr>
      <w:tr w14:paraId="5EEEA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0B24584">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3.2.5</w:t>
            </w:r>
          </w:p>
        </w:tc>
        <w:tc>
          <w:tcPr>
            <w:tcW w:w="941" w:type="pct"/>
            <w:vAlign w:val="center"/>
          </w:tcPr>
          <w:p w14:paraId="5A82A688">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投标报价的其他要求</w:t>
            </w:r>
          </w:p>
        </w:tc>
        <w:tc>
          <w:tcPr>
            <w:tcW w:w="3571" w:type="pct"/>
            <w:vAlign w:val="center"/>
          </w:tcPr>
          <w:p w14:paraId="54208A1B">
            <w:pPr>
              <w:pStyle w:val="12"/>
              <w:spacing w:line="36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1.投标人必须详细审阅全部招标文件及相关参考资料,充分考虑职责和义务,全面地理解招标文件对投标报价的要求,并按招标人提出的条件及内容进行报价。</w:t>
            </w:r>
          </w:p>
          <w:p w14:paraId="5328A08C">
            <w:pPr>
              <w:pStyle w:val="12"/>
              <w:spacing w:line="36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2.投标人对项目的各项报价必须以招标文件资料为依据。</w:t>
            </w:r>
          </w:p>
          <w:p w14:paraId="286B8DAA">
            <w:pPr>
              <w:pStyle w:val="12"/>
              <w:spacing w:line="36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3.投标人报价应包含检测监测单位在检测监测服务实施中应缴纳的一切税费。如果本工程能获得政府减免税费的政策，则招标人在支付中按照政府规定的税率扣减相应的税费。</w:t>
            </w:r>
          </w:p>
          <w:p w14:paraId="132B6801">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4.投标文件的报价全部用人民币表示。</w:t>
            </w:r>
          </w:p>
          <w:p w14:paraId="732B0EE0">
            <w:pPr>
              <w:pStyle w:val="28"/>
              <w:spacing w:after="0" w:line="360" w:lineRule="auto"/>
              <w:ind w:left="0" w:leftChars="0" w:firstLine="0" w:firstLineChars="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5．最终结算金额以招标人审定结算价为准；如遇招标人财务部门或审计部门等发现本项目合同结算价款存在超付情形，招标人有权要求中标人在一定时限内返还该部分款项。具体按合同条款约定</w:t>
            </w:r>
          </w:p>
        </w:tc>
      </w:tr>
      <w:tr w14:paraId="684CD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318A5FD">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3.3.1</w:t>
            </w:r>
          </w:p>
        </w:tc>
        <w:tc>
          <w:tcPr>
            <w:tcW w:w="941" w:type="pct"/>
            <w:vAlign w:val="center"/>
          </w:tcPr>
          <w:p w14:paraId="00A6DFE1">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3571" w:type="pct"/>
            <w:vAlign w:val="center"/>
          </w:tcPr>
          <w:p w14:paraId="6E083FBE">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日历天（从投标截止之日算起。如出现异议或投诉，则投标有效期自动延长至异议或投诉处理结束。）</w:t>
            </w:r>
          </w:p>
        </w:tc>
      </w:tr>
      <w:tr w14:paraId="6B734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0716A1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3.4.1</w:t>
            </w:r>
          </w:p>
        </w:tc>
        <w:tc>
          <w:tcPr>
            <w:tcW w:w="941" w:type="pct"/>
            <w:vAlign w:val="center"/>
          </w:tcPr>
          <w:p w14:paraId="0CB4D09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3571" w:type="pct"/>
            <w:vAlign w:val="center"/>
          </w:tcPr>
          <w:p w14:paraId="1EE5A104">
            <w:pPr>
              <w:pStyle w:val="13"/>
              <w:spacing w:line="360" w:lineRule="auto"/>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u w:val="single"/>
                <w14:textFill>
                  <w14:solidFill>
                    <w14:schemeClr w14:val="tx1"/>
                  </w14:solidFill>
                </w14:textFill>
              </w:rPr>
              <w:t>是否要求投标人递交投标保证金：</w:t>
            </w:r>
          </w:p>
          <w:p w14:paraId="7AE6E34D">
            <w:pPr>
              <w:pStyle w:val="13"/>
              <w:spacing w:line="360" w:lineRule="auto"/>
              <w:rPr>
                <w:rFonts w:hAnsi="宋体"/>
                <w:color w:val="000000" w:themeColor="text1"/>
                <w:szCs w:val="21"/>
                <w:highlight w:val="none"/>
                <w:u w:val="single"/>
                <w14:textFill>
                  <w14:solidFill>
                    <w14:schemeClr w14:val="tx1"/>
                  </w14:solidFill>
                </w14:textFill>
              </w:rPr>
            </w:pPr>
            <w:r>
              <w:rPr>
                <w:rFonts w:hint="eastAsia" w:hAnsi="宋体"/>
                <w:color w:val="000000" w:themeColor="text1"/>
                <w:sz w:val="21"/>
                <w:szCs w:val="21"/>
                <w:highlight w:val="none"/>
                <w:u w:val="single"/>
                <w14:textFill>
                  <w14:solidFill>
                    <w14:schemeClr w14:val="tx1"/>
                  </w14:solidFill>
                </w14:textFill>
              </w:rPr>
              <w:t>☑不要求</w:t>
            </w:r>
          </w:p>
        </w:tc>
      </w:tr>
      <w:tr w14:paraId="7F2B0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0837BF5">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w:t>
            </w:r>
          </w:p>
        </w:tc>
        <w:tc>
          <w:tcPr>
            <w:tcW w:w="941" w:type="pct"/>
            <w:vAlign w:val="center"/>
          </w:tcPr>
          <w:p w14:paraId="7BAD3C2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资格审查资料的特殊要求</w:t>
            </w:r>
          </w:p>
        </w:tc>
        <w:tc>
          <w:tcPr>
            <w:tcW w:w="3571" w:type="pct"/>
            <w:vAlign w:val="center"/>
          </w:tcPr>
          <w:p w14:paraId="39EBB959">
            <w:pPr>
              <w:pStyle w:val="13"/>
              <w:topLinePunct/>
              <w:snapToGrid w:val="0"/>
              <w:spacing w:line="360" w:lineRule="auto"/>
              <w:rPr>
                <w:rFonts w:hAnsi="宋体"/>
                <w:color w:val="000000" w:themeColor="text1"/>
                <w:spacing w:val="-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■无</w:t>
            </w:r>
          </w:p>
          <w:p w14:paraId="76D37A0A">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□有，具体要求：/</w:t>
            </w:r>
          </w:p>
        </w:tc>
      </w:tr>
      <w:tr w14:paraId="23D2F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BC9E922">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3.5.2</w:t>
            </w:r>
          </w:p>
        </w:tc>
        <w:tc>
          <w:tcPr>
            <w:tcW w:w="941" w:type="pct"/>
            <w:vAlign w:val="center"/>
          </w:tcPr>
          <w:p w14:paraId="65E32722">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近年财务状</w:t>
            </w:r>
            <w:bookmarkStart w:id="256" w:name="_GoBack"/>
            <w:bookmarkEnd w:id="256"/>
            <w:r>
              <w:rPr>
                <w:rFonts w:hint="eastAsia" w:ascii="宋体" w:hAnsi="宋体"/>
                <w:color w:val="000000" w:themeColor="text1"/>
                <w:szCs w:val="21"/>
                <w:highlight w:val="none"/>
                <w14:textFill>
                  <w14:solidFill>
                    <w14:schemeClr w14:val="tx1"/>
                  </w14:solidFill>
                </w14:textFill>
              </w:rPr>
              <w:t>况的年份要求</w:t>
            </w:r>
          </w:p>
        </w:tc>
        <w:tc>
          <w:tcPr>
            <w:tcW w:w="3571" w:type="pct"/>
            <w:vAlign w:val="center"/>
          </w:tcPr>
          <w:p w14:paraId="3DE1E244">
            <w:pPr>
              <w:spacing w:line="360" w:lineRule="auto"/>
              <w:ind w:firstLine="105" w:firstLineChars="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年至</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年</w:t>
            </w:r>
          </w:p>
        </w:tc>
      </w:tr>
      <w:tr w14:paraId="14083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9F237D7">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3.5.3</w:t>
            </w:r>
          </w:p>
        </w:tc>
        <w:tc>
          <w:tcPr>
            <w:tcW w:w="941" w:type="pct"/>
            <w:vAlign w:val="center"/>
          </w:tcPr>
          <w:p w14:paraId="44CCA784">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近年完成的类似项目情况的时间要求</w:t>
            </w:r>
          </w:p>
        </w:tc>
        <w:tc>
          <w:tcPr>
            <w:tcW w:w="3571" w:type="pct"/>
            <w:vAlign w:val="center"/>
          </w:tcPr>
          <w:p w14:paraId="62E7561C">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日至今（</w:t>
            </w:r>
            <w:r>
              <w:rPr>
                <w:rFonts w:hint="eastAsia" w:ascii="宋体" w:hAnsi="宋体" w:cs="宋体"/>
                <w:color w:val="000000" w:themeColor="text1"/>
                <w:szCs w:val="21"/>
                <w:highlight w:val="none"/>
                <w14:textFill>
                  <w14:solidFill>
                    <w14:schemeClr w14:val="tx1"/>
                  </w14:solidFill>
                </w14:textFill>
              </w:rPr>
              <w:t>完成时间以检测报告为准）</w:t>
            </w:r>
          </w:p>
        </w:tc>
      </w:tr>
      <w:tr w14:paraId="7A130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7951F0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3.5.5</w:t>
            </w:r>
          </w:p>
        </w:tc>
        <w:tc>
          <w:tcPr>
            <w:tcW w:w="941" w:type="pct"/>
            <w:vAlign w:val="center"/>
          </w:tcPr>
          <w:p w14:paraId="2714A538">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近年发生的诉讼及仲裁情况的时间要求</w:t>
            </w:r>
          </w:p>
        </w:tc>
        <w:tc>
          <w:tcPr>
            <w:tcW w:w="3571" w:type="pct"/>
            <w:vAlign w:val="center"/>
          </w:tcPr>
          <w:p w14:paraId="75F2505C">
            <w:pPr>
              <w:snapToGrid w:val="0"/>
              <w:spacing w:line="360" w:lineRule="auto"/>
              <w:ind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日至</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日</w:t>
            </w:r>
          </w:p>
        </w:tc>
      </w:tr>
      <w:tr w14:paraId="786C24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EC1F41B">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3.6.1</w:t>
            </w:r>
          </w:p>
        </w:tc>
        <w:tc>
          <w:tcPr>
            <w:tcW w:w="941" w:type="pct"/>
            <w:vAlign w:val="center"/>
          </w:tcPr>
          <w:p w14:paraId="08915CD1">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是否允许递交备选投标方案</w:t>
            </w:r>
          </w:p>
        </w:tc>
        <w:tc>
          <w:tcPr>
            <w:tcW w:w="3571" w:type="pct"/>
            <w:vAlign w:val="center"/>
          </w:tcPr>
          <w:p w14:paraId="3FE1BF79">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不允许</w:t>
            </w:r>
          </w:p>
          <w:p w14:paraId="10BC0178">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w:t>
            </w:r>
          </w:p>
        </w:tc>
      </w:tr>
      <w:tr w14:paraId="63FA70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D4B37F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3.7.3</w:t>
            </w:r>
          </w:p>
        </w:tc>
        <w:tc>
          <w:tcPr>
            <w:tcW w:w="941" w:type="pct"/>
            <w:vAlign w:val="center"/>
          </w:tcPr>
          <w:p w14:paraId="63E11065">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投标文件所附证书证件要求</w:t>
            </w:r>
          </w:p>
        </w:tc>
        <w:tc>
          <w:tcPr>
            <w:tcW w:w="3571" w:type="pct"/>
            <w:vAlign w:val="center"/>
          </w:tcPr>
          <w:p w14:paraId="10C3C3F4">
            <w:pPr>
              <w:pStyle w:val="13"/>
              <w:topLinePunct/>
              <w:ind w:right="174" w:rightChars="83"/>
              <w:rPr>
                <w:rFonts w:hAnsi="宋体"/>
                <w:color w:val="000000" w:themeColor="text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投标文件所附证书证件需为</w:t>
            </w:r>
            <w:r>
              <w:rPr>
                <w:rFonts w:hint="eastAsia" w:hAnsi="宋体" w:cs="宋体"/>
                <w:b/>
                <w:bCs/>
                <w:color w:val="000000" w:themeColor="text1"/>
                <w:sz w:val="21"/>
                <w:szCs w:val="21"/>
                <w:highlight w:val="none"/>
                <w14:textFill>
                  <w14:solidFill>
                    <w14:schemeClr w14:val="tx1"/>
                  </w14:solidFill>
                </w14:textFill>
              </w:rPr>
              <w:t>原件清晰扫描件</w:t>
            </w:r>
            <w:r>
              <w:rPr>
                <w:rFonts w:hint="eastAsia" w:hAnsi="宋体" w:cs="宋体"/>
                <w:color w:val="000000" w:themeColor="text1"/>
                <w:sz w:val="21"/>
                <w:szCs w:val="21"/>
                <w:highlight w:val="none"/>
                <w14:textFill>
                  <w14:solidFill>
                    <w14:schemeClr w14:val="tx1"/>
                  </w14:solidFill>
                </w14:textFill>
              </w:rPr>
              <w:t>或电子证照，并采用单位数字证书,按照招标文件要求在相应位置加盖电子印章。具体操作详见广州交易集团有限公司（广州公共资源交易中心）最新指引。</w:t>
            </w:r>
          </w:p>
        </w:tc>
      </w:tr>
      <w:tr w14:paraId="6154A4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839DCC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3.7.3</w:t>
            </w:r>
          </w:p>
        </w:tc>
        <w:tc>
          <w:tcPr>
            <w:tcW w:w="941" w:type="pct"/>
            <w:vAlign w:val="center"/>
          </w:tcPr>
          <w:p w14:paraId="2AB4E66C">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投标文件签字或盖章要求</w:t>
            </w:r>
          </w:p>
        </w:tc>
        <w:tc>
          <w:tcPr>
            <w:tcW w:w="3571" w:type="pct"/>
            <w:vAlign w:val="center"/>
          </w:tcPr>
          <w:p w14:paraId="135D8E0F">
            <w:pPr>
              <w:pStyle w:val="13"/>
              <w:topLinePunct/>
              <w:snapToGrid w:val="0"/>
              <w:spacing w:line="360" w:lineRule="auto"/>
              <w:ind w:right="174" w:rightChars="83"/>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投标文件全部采用电子文档，投标文件所附证书证件均为清晰扫描件，并采用单位数字证书，按招标文件要求在相应位置加盖电子印章。投标文件中需个人签字或盖章的，应加盖个人电子印章或在线下完成后扫描上传。相关操作详见广州交易集团有限公司（广州公共资源交易中心）网站最新发布的最新指引。</w:t>
            </w:r>
          </w:p>
          <w:p w14:paraId="0A9523C9">
            <w:pPr>
              <w:pStyle w:val="13"/>
              <w:topLinePunct/>
              <w:snapToGrid w:val="0"/>
              <w:spacing w:line="360" w:lineRule="auto"/>
              <w:ind w:right="174" w:rightChars="83"/>
              <w:rPr>
                <w:rFonts w:hAnsi="宋体" w:cs="宋体"/>
                <w:color w:val="000000" w:themeColor="text1"/>
                <w:sz w:val="21"/>
                <w:szCs w:val="21"/>
                <w:highlight w:val="none"/>
                <w:u w:val="single"/>
                <w14:textFill>
                  <w14:solidFill>
                    <w14:schemeClr w14:val="tx1"/>
                  </w14:solidFill>
                </w14:textFill>
              </w:rPr>
            </w:pPr>
            <w:r>
              <w:rPr>
                <w:rFonts w:hint="eastAsia" w:hAnsi="宋体" w:cs="宋体"/>
                <w:b/>
                <w:bCs/>
                <w:color w:val="000000" w:themeColor="text1"/>
                <w:sz w:val="21"/>
                <w:szCs w:val="21"/>
                <w:highlight w:val="none"/>
                <w:u w:val="single"/>
                <w14:textFill>
                  <w14:solidFill>
                    <w14:schemeClr w14:val="tx1"/>
                  </w14:solidFill>
                </w14:textFill>
              </w:rPr>
              <w:t>联合体投标时，除“联合体协议书”需由联合体各成员分别按要求进行签字或盖章外，其他资料若需要签字或盖章的均可由联合体牵头人（主办方）签字或盖章即可；投标资料封面及其他内容及落款中的“投标人”应填写联合体各成员的单位全称【格式示例为：（主）单位全称（成）单位全称】，由联合体主办方按要求签字或盖章即可。电子签章由主办方进行签章即可。</w:t>
            </w:r>
          </w:p>
        </w:tc>
      </w:tr>
      <w:tr w14:paraId="173DA2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588B614">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4.1.1</w:t>
            </w:r>
          </w:p>
        </w:tc>
        <w:tc>
          <w:tcPr>
            <w:tcW w:w="941" w:type="pct"/>
            <w:vAlign w:val="center"/>
          </w:tcPr>
          <w:p w14:paraId="483DAB0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投标文件加密要求</w:t>
            </w:r>
          </w:p>
        </w:tc>
        <w:tc>
          <w:tcPr>
            <w:tcW w:w="3571" w:type="pct"/>
            <w:vAlign w:val="center"/>
          </w:tcPr>
          <w:p w14:paraId="71B18E10">
            <w:pPr>
              <w:pStyle w:val="13"/>
              <w:topLinePunct/>
              <w:snapToGrid w:val="0"/>
              <w:spacing w:line="360" w:lineRule="auto"/>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网上递交的电子投标文件须进行加密。具体操作</w:t>
            </w:r>
            <w:r>
              <w:rPr>
                <w:rFonts w:hint="eastAsia" w:hAnsi="宋体" w:cs="宋体"/>
                <w:color w:val="000000" w:themeColor="text1"/>
                <w:sz w:val="21"/>
                <w:szCs w:val="21"/>
                <w:highlight w:val="none"/>
                <w:u w:val="single"/>
                <w14:textFill>
                  <w14:solidFill>
                    <w14:schemeClr w14:val="tx1"/>
                  </w14:solidFill>
                </w14:textFill>
              </w:rPr>
              <w:t>详见广州交易集团有限公司（广州公共资源交易中心）网站最新发布的最新指引。</w:t>
            </w:r>
          </w:p>
        </w:tc>
      </w:tr>
      <w:tr w14:paraId="17D5A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3FD50F0">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4.1.2</w:t>
            </w:r>
          </w:p>
        </w:tc>
        <w:tc>
          <w:tcPr>
            <w:tcW w:w="941" w:type="pct"/>
            <w:vAlign w:val="center"/>
          </w:tcPr>
          <w:p w14:paraId="461AF5C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封套上应载明的信息</w:t>
            </w:r>
          </w:p>
        </w:tc>
        <w:tc>
          <w:tcPr>
            <w:tcW w:w="3571" w:type="pct"/>
            <w:vAlign w:val="center"/>
          </w:tcPr>
          <w:p w14:paraId="3E92248F">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如有提交投标文件光盘备用，封套上应注明如下信息：</w:t>
            </w:r>
          </w:p>
          <w:p w14:paraId="3ACA87BE">
            <w:pPr>
              <w:pStyle w:val="13"/>
              <w:topLinePunct/>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招标人名称：</w:t>
            </w:r>
            <w:r>
              <w:rPr>
                <w:rFonts w:hint="eastAsia" w:hAnsi="宋体"/>
                <w:color w:val="000000" w:themeColor="text1"/>
                <w:sz w:val="21"/>
                <w:szCs w:val="21"/>
                <w:highlight w:val="none"/>
                <w:u w:val="single"/>
                <w14:textFill>
                  <w14:solidFill>
                    <w14:schemeClr w14:val="tx1"/>
                  </w14:solidFill>
                </w14:textFill>
              </w:rPr>
              <w:t>广州太平洋马口铁有限公司</w:t>
            </w:r>
          </w:p>
          <w:p w14:paraId="52029EBB">
            <w:pPr>
              <w:pStyle w:val="13"/>
              <w:topLinePunct/>
              <w:spacing w:line="360" w:lineRule="auto"/>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招标人地址：</w:t>
            </w:r>
            <w:r>
              <w:rPr>
                <w:rFonts w:hint="eastAsia" w:hAnsi="宋体"/>
                <w:color w:val="000000" w:themeColor="text1"/>
                <w:sz w:val="21"/>
                <w:szCs w:val="21"/>
                <w:highlight w:val="none"/>
                <w:u w:val="single"/>
                <w14:textFill>
                  <w14:solidFill>
                    <w14:schemeClr w14:val="tx1"/>
                  </w14:solidFill>
                </w14:textFill>
              </w:rPr>
              <w:t>广州经济技术开发区友谊路102号</w:t>
            </w:r>
          </w:p>
          <w:p w14:paraId="355C72C7">
            <w:pPr>
              <w:pStyle w:val="13"/>
              <w:topLinePunct/>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u w:val="single"/>
                <w14:textFill>
                  <w14:solidFill>
                    <w14:schemeClr w14:val="tx1"/>
                  </w14:solidFill>
                </w14:textFill>
              </w:rPr>
              <w:t>（项目名称）</w:t>
            </w:r>
            <w:r>
              <w:rPr>
                <w:rFonts w:hint="eastAsia" w:hAnsi="宋体"/>
                <w:color w:val="000000" w:themeColor="text1"/>
                <w:sz w:val="21"/>
                <w:szCs w:val="21"/>
                <w:highlight w:val="none"/>
                <w14:textFill>
                  <w14:solidFill>
                    <w14:schemeClr w14:val="tx1"/>
                  </w14:solidFill>
                </w14:textFill>
              </w:rPr>
              <w:t>招标项目投标文件</w:t>
            </w:r>
          </w:p>
          <w:p w14:paraId="057BF786">
            <w:pPr>
              <w:pStyle w:val="13"/>
              <w:topLinePunct/>
              <w:spacing w:line="360" w:lineRule="auto"/>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招标项目编号：</w:t>
            </w:r>
            <w:r>
              <w:rPr>
                <w:rFonts w:hint="eastAsia" w:hAnsi="宋体"/>
                <w:color w:val="000000" w:themeColor="text1"/>
                <w:sz w:val="21"/>
                <w:szCs w:val="21"/>
                <w:highlight w:val="none"/>
                <w:u w:val="single"/>
                <w14:textFill>
                  <w14:solidFill>
                    <w14:schemeClr w14:val="tx1"/>
                  </w14:solidFill>
                </w14:textFill>
              </w:rPr>
              <w:t xml:space="preserve">      </w:t>
            </w:r>
          </w:p>
          <w:p w14:paraId="487D0D5D">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在</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月</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日</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时前不得开启</w:t>
            </w:r>
          </w:p>
        </w:tc>
      </w:tr>
      <w:tr w14:paraId="000BA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7CBAC6C">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4.2.1</w:t>
            </w:r>
          </w:p>
        </w:tc>
        <w:tc>
          <w:tcPr>
            <w:tcW w:w="941" w:type="pct"/>
            <w:vAlign w:val="center"/>
          </w:tcPr>
          <w:p w14:paraId="7DCD9C36">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3571" w:type="pct"/>
            <w:vAlign w:val="center"/>
          </w:tcPr>
          <w:p w14:paraId="7F6B209F">
            <w:pPr>
              <w:snapToGrid w:val="0"/>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时  分（北京时间）</w:t>
            </w:r>
          </w:p>
          <w:p w14:paraId="24CE2E75">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（详见广州交易集团有限公司（广州公共资源交易中心）网站信息）</w:t>
            </w:r>
          </w:p>
        </w:tc>
      </w:tr>
      <w:tr w14:paraId="58C5F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1EACC8A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4.2.2</w:t>
            </w:r>
          </w:p>
        </w:tc>
        <w:tc>
          <w:tcPr>
            <w:tcW w:w="941" w:type="pct"/>
            <w:vAlign w:val="center"/>
          </w:tcPr>
          <w:p w14:paraId="1B1ED2C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递交电子投标文件交易平台</w:t>
            </w:r>
          </w:p>
        </w:tc>
        <w:tc>
          <w:tcPr>
            <w:tcW w:w="3571" w:type="pct"/>
            <w:vAlign w:val="center"/>
          </w:tcPr>
          <w:p w14:paraId="46A85557">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递交方式：网上递交投标文件</w:t>
            </w:r>
            <w:r>
              <w:rPr>
                <w:rFonts w:ascii="宋体" w:hAnsi="宋体"/>
                <w:color w:val="000000" w:themeColor="text1"/>
                <w:szCs w:val="21"/>
                <w:highlight w:val="none"/>
                <w:u w:val="single"/>
                <w14:textFill>
                  <w14:solidFill>
                    <w14:schemeClr w14:val="tx1"/>
                  </w14:solidFill>
                </w14:textFill>
              </w:rPr>
              <w:t xml:space="preserve"> </w:t>
            </w:r>
          </w:p>
          <w:p w14:paraId="52EB274A">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递交投标文件的起始时间：（详见广州交易集团有限公司（广州公共资源交易中心）网站信息）。</w:t>
            </w:r>
          </w:p>
          <w:p w14:paraId="1F9A1A55">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截止时间：（详见广州交易集团有限公司（广州公共资源交易中心）网站信息）</w:t>
            </w:r>
          </w:p>
          <w:p w14:paraId="29051E17">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地点：广州交易集团有限公司（广州公共资源交易中心）网站。</w:t>
            </w:r>
          </w:p>
          <w:p w14:paraId="5FA10DA0">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上述时间及地点是否有改变，请密切留意招标答疑纪要的相关信息。</w:t>
            </w:r>
          </w:p>
        </w:tc>
      </w:tr>
      <w:tr w14:paraId="2015C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B354896">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4.2.3</w:t>
            </w:r>
          </w:p>
        </w:tc>
        <w:tc>
          <w:tcPr>
            <w:tcW w:w="941" w:type="pct"/>
            <w:vAlign w:val="center"/>
          </w:tcPr>
          <w:p w14:paraId="777A900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投标文件是否退还</w:t>
            </w:r>
          </w:p>
        </w:tc>
        <w:tc>
          <w:tcPr>
            <w:tcW w:w="3571" w:type="pct"/>
            <w:vAlign w:val="center"/>
          </w:tcPr>
          <w:p w14:paraId="2C0F8B71">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pacing w:val="-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否</w:t>
            </w:r>
          </w:p>
          <w:p w14:paraId="7B72D6E0">
            <w:pPr>
              <w:pStyle w:val="13"/>
              <w:topLinePunct/>
              <w:snapToGrid w:val="0"/>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□是，退还时间：</w:t>
            </w:r>
          </w:p>
        </w:tc>
      </w:tr>
      <w:tr w14:paraId="0CFC1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619A3FEA">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p>
        </w:tc>
        <w:tc>
          <w:tcPr>
            <w:tcW w:w="941" w:type="pct"/>
            <w:vAlign w:val="center"/>
          </w:tcPr>
          <w:p w14:paraId="04436C7D">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开标时间和地点</w:t>
            </w:r>
          </w:p>
        </w:tc>
        <w:tc>
          <w:tcPr>
            <w:tcW w:w="3571" w:type="pct"/>
            <w:vAlign w:val="center"/>
          </w:tcPr>
          <w:p w14:paraId="3E854CCA">
            <w:pPr>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开标时间：同投标截止时间</w:t>
            </w:r>
          </w:p>
          <w:p w14:paraId="3AB81327">
            <w:pPr>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开标地点：广州交易集团有限公司（广州公共资源交易中心）黄埔交易部（黄埔区水西路32号四楼）指定开标室（详见广州交易集团有限公司（广州公共资源交易中心）网站信息）</w:t>
            </w:r>
          </w:p>
          <w:p w14:paraId="4D4BF526">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电子招投标项目在广州交易集团有限公司（广州公共资源交易中心）公开开标，并邀请所有投标人的法定代表人（单位负责人）或其委托代理人准时参加。投标人也可选择参加在线开标，具体按照交易平台相关指南进行操作。详见：广州交易集团有限公司（广州公共资源交易中心）网站最新指引。</w:t>
            </w:r>
          </w:p>
        </w:tc>
      </w:tr>
      <w:tr w14:paraId="1404E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866347B">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p>
        </w:tc>
        <w:tc>
          <w:tcPr>
            <w:tcW w:w="941" w:type="pct"/>
            <w:vAlign w:val="center"/>
          </w:tcPr>
          <w:p w14:paraId="69069230">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开标程序</w:t>
            </w:r>
          </w:p>
        </w:tc>
        <w:tc>
          <w:tcPr>
            <w:tcW w:w="3571" w:type="pct"/>
            <w:vAlign w:val="center"/>
          </w:tcPr>
          <w:p w14:paraId="264BB327">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电子招投标项目开标按下列程序进行：</w:t>
            </w:r>
          </w:p>
          <w:p w14:paraId="46C5FBC9">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5.2.1</w:t>
            </w:r>
            <w:r>
              <w:rPr>
                <w:rFonts w:hint="eastAsia" w:ascii="宋体" w:hAnsi="宋体"/>
                <w:color w:val="000000" w:themeColor="text1"/>
                <w:szCs w:val="21"/>
                <w:highlight w:val="none"/>
                <w:u w:val="single"/>
                <w14:textFill>
                  <w14:solidFill>
                    <w14:schemeClr w14:val="tx1"/>
                  </w14:solidFill>
                </w14:textFill>
              </w:rPr>
              <w:t>主持人按下列程序进行开标：</w:t>
            </w:r>
          </w:p>
          <w:p w14:paraId="04C2329B">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）宣布开标纪律；</w:t>
            </w:r>
          </w:p>
          <w:p w14:paraId="7957F8B0">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）公布在投标截止时间前递交投标文件的投标人名称；</w:t>
            </w:r>
          </w:p>
          <w:p w14:paraId="6D17BA68">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）宣布开标人、唱标人、记录人、监标人等有关人员姓名；</w:t>
            </w:r>
          </w:p>
          <w:p w14:paraId="16E9DDF9">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）投标人通过电子招标投标交易平台对已递交的电子投标文件进行解密，公布招标项目名称、投标人名称、投标报价、服务期限及其他内容，并记录在案；</w:t>
            </w:r>
          </w:p>
          <w:p w14:paraId="66FD5548">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）投标人代表、招标人代表、监标人、记录人等有关人员在开标记录上签字确认；若有关人员不签字的，不影响开标程序；</w:t>
            </w:r>
          </w:p>
          <w:p w14:paraId="68038B0D">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）开标结束。</w:t>
            </w:r>
          </w:p>
          <w:p w14:paraId="686BE7F8">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5.2.2</w:t>
            </w:r>
            <w:r>
              <w:rPr>
                <w:rFonts w:hint="eastAsia" w:ascii="宋体" w:hAnsi="宋体"/>
                <w:color w:val="000000" w:themeColor="text1"/>
                <w:szCs w:val="21"/>
                <w:highlight w:val="none"/>
                <w:u w:val="single"/>
                <w14:textFill>
                  <w14:solidFill>
                    <w14:schemeClr w14:val="tx1"/>
                  </w14:solidFill>
                </w14:textFill>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F11994C">
            <w:pPr>
              <w:snapToGrid w:val="0"/>
              <w:spacing w:line="360"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5.2.3</w:t>
            </w:r>
            <w:r>
              <w:rPr>
                <w:rFonts w:hint="eastAsia" w:ascii="宋体" w:hAnsi="宋体"/>
                <w:color w:val="000000" w:themeColor="text1"/>
                <w:szCs w:val="21"/>
                <w:highlight w:val="none"/>
                <w:u w:val="single"/>
                <w14:textFill>
                  <w14:solidFill>
                    <w14:schemeClr w14:val="tx1"/>
                  </w14:solidFill>
                </w14:textFill>
              </w:rPr>
              <w:t>开标时，两个（含两个）以上的投标人加密打包投标文件电脑机器特征码一致的，不参与下一程序，并由评标委员会否决其投标。</w:t>
            </w:r>
          </w:p>
        </w:tc>
      </w:tr>
      <w:tr w14:paraId="7095B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3510D06">
            <w:pPr>
              <w:spacing w:line="276"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w:t>
            </w:r>
          </w:p>
          <w:p w14:paraId="7C1314F8">
            <w:pPr>
              <w:snapToGrid w:val="0"/>
              <w:spacing w:line="276"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（新增）</w:t>
            </w:r>
          </w:p>
        </w:tc>
        <w:tc>
          <w:tcPr>
            <w:tcW w:w="941" w:type="pct"/>
            <w:vAlign w:val="center"/>
          </w:tcPr>
          <w:p w14:paraId="2E454298">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开标异议</w:t>
            </w:r>
          </w:p>
        </w:tc>
        <w:tc>
          <w:tcPr>
            <w:tcW w:w="3571" w:type="pct"/>
            <w:vAlign w:val="center"/>
          </w:tcPr>
          <w:p w14:paraId="6E24FA4E">
            <w:pPr>
              <w:snapToGrid w:val="0"/>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5.3.1参加现场开标的投标人对开标结果有异议的，应当在开标现场提出，同时出示本人身份证原件，招标人应当当场作出答复，并制作记录。</w:t>
            </w:r>
          </w:p>
          <w:p w14:paraId="6D1D626A">
            <w:pPr>
              <w:snapToGrid w:val="0"/>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03F0CA44">
            <w:pPr>
              <w:snapToGrid w:val="0"/>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5.3.3投标人未参加开标或在规定的时间内未提出异议的，视为对开标无异议。</w:t>
            </w:r>
          </w:p>
        </w:tc>
      </w:tr>
      <w:tr w14:paraId="66236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E747108">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6.1.1</w:t>
            </w:r>
          </w:p>
        </w:tc>
        <w:tc>
          <w:tcPr>
            <w:tcW w:w="941" w:type="pct"/>
            <w:vAlign w:val="center"/>
          </w:tcPr>
          <w:p w14:paraId="0AC0C4B4">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评标委员会的组建</w:t>
            </w:r>
          </w:p>
        </w:tc>
        <w:tc>
          <w:tcPr>
            <w:tcW w:w="3571" w:type="pct"/>
            <w:vAlign w:val="center"/>
          </w:tcPr>
          <w:p w14:paraId="64550382">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评标委员会由招标人依法组建。</w:t>
            </w:r>
          </w:p>
        </w:tc>
      </w:tr>
      <w:tr w14:paraId="61BCA2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C60488D">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6.3.2</w:t>
            </w:r>
          </w:p>
        </w:tc>
        <w:tc>
          <w:tcPr>
            <w:tcW w:w="941" w:type="pct"/>
            <w:vAlign w:val="center"/>
          </w:tcPr>
          <w:p w14:paraId="22235D40">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评标委员会推荐中标候选人的人数</w:t>
            </w:r>
          </w:p>
        </w:tc>
        <w:tc>
          <w:tcPr>
            <w:tcW w:w="3571" w:type="pct"/>
            <w:vAlign w:val="center"/>
          </w:tcPr>
          <w:p w14:paraId="375CC45C">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推荐中标候选人：</w:t>
            </w:r>
            <w:r>
              <w:rPr>
                <w:rFonts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人</w:t>
            </w:r>
          </w:p>
        </w:tc>
      </w:tr>
      <w:tr w14:paraId="0987FC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DEA0942">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p>
        </w:tc>
        <w:tc>
          <w:tcPr>
            <w:tcW w:w="941" w:type="pct"/>
            <w:vAlign w:val="center"/>
          </w:tcPr>
          <w:p w14:paraId="75069CF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中标候选人公示媒介及期限</w:t>
            </w:r>
          </w:p>
        </w:tc>
        <w:tc>
          <w:tcPr>
            <w:tcW w:w="3571" w:type="pct"/>
            <w:vAlign w:val="center"/>
          </w:tcPr>
          <w:p w14:paraId="328B5D5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广州交易集团有限公司（广州公共资源交易中心）网站、广东省招标投标监管网、中国招标投标公共服务平台</w:t>
            </w:r>
          </w:p>
          <w:p w14:paraId="4947E595">
            <w:pPr>
              <w:snapToGrid w:val="0"/>
              <w:spacing w:line="360" w:lineRule="auto"/>
              <w:ind w:right="10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公示期限：</w:t>
            </w:r>
            <w:r>
              <w:rPr>
                <w:rFonts w:hint="eastAsia" w:ascii="宋体" w:hAnsi="宋体"/>
                <w:color w:val="000000" w:themeColor="text1"/>
                <w:szCs w:val="21"/>
                <w:highlight w:val="none"/>
                <w:u w:val="single"/>
                <w14:textFill>
                  <w14:solidFill>
                    <w14:schemeClr w14:val="tx1"/>
                  </w14:solidFill>
                </w14:textFill>
              </w:rPr>
              <w:t>不得少于3日</w:t>
            </w:r>
          </w:p>
          <w:p w14:paraId="2E087056">
            <w:pPr>
              <w:pStyle w:val="18"/>
              <w:rPr>
                <w:color w:val="000000" w:themeColor="text1"/>
                <w:highlight w:val="non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投标人或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作出答复前，应当暂停招标投标活动。</w:t>
            </w:r>
          </w:p>
        </w:tc>
      </w:tr>
      <w:tr w14:paraId="65073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1C8EB0A">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7.4</w:t>
            </w:r>
          </w:p>
        </w:tc>
        <w:tc>
          <w:tcPr>
            <w:tcW w:w="941" w:type="pct"/>
            <w:vAlign w:val="center"/>
          </w:tcPr>
          <w:p w14:paraId="2E1D7DA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是否授权评标委员会确定中标人</w:t>
            </w:r>
          </w:p>
        </w:tc>
        <w:tc>
          <w:tcPr>
            <w:tcW w:w="3571" w:type="pct"/>
            <w:vAlign w:val="center"/>
          </w:tcPr>
          <w:p w14:paraId="5444FB8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p w14:paraId="47936D1B">
            <w:pPr>
              <w:pStyle w:val="18"/>
              <w:rPr>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■否</w:t>
            </w:r>
          </w:p>
        </w:tc>
      </w:tr>
      <w:tr w14:paraId="58828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74F5FB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7.6.1</w:t>
            </w:r>
          </w:p>
        </w:tc>
        <w:tc>
          <w:tcPr>
            <w:tcW w:w="941" w:type="pct"/>
            <w:vAlign w:val="center"/>
          </w:tcPr>
          <w:p w14:paraId="73F99BB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3571" w:type="pct"/>
            <w:vAlign w:val="center"/>
          </w:tcPr>
          <w:p w14:paraId="5DA85026">
            <w:pPr>
              <w:pStyle w:val="13"/>
              <w:topLinePunct/>
              <w:spacing w:line="360" w:lineRule="auto"/>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是否要求中标人提交履约保证金：</w:t>
            </w:r>
          </w:p>
          <w:p w14:paraId="6A520932">
            <w:pPr>
              <w:pStyle w:val="13"/>
              <w:topLinePunct/>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int="eastAsia" w:hAnsi="宋体"/>
                <w:b/>
                <w:color w:val="000000" w:themeColor="text1"/>
                <w:sz w:val="21"/>
                <w:szCs w:val="21"/>
                <w:highlight w:val="none"/>
                <w14:textFill>
                  <w14:solidFill>
                    <w14:schemeClr w14:val="tx1"/>
                  </w14:solidFill>
                </w14:textFill>
              </w:rPr>
              <w:t>要求，履约保证金的形式：</w:t>
            </w:r>
            <w:r>
              <w:rPr>
                <w:rFonts w:hint="eastAsia" w:hAnsi="宋体"/>
                <w:color w:val="000000" w:themeColor="text1"/>
                <w:sz w:val="21"/>
                <w:szCs w:val="21"/>
                <w:highlight w:val="none"/>
                <w:u w:val="single"/>
                <w14:textFill>
                  <w14:solidFill>
                    <w14:schemeClr w14:val="tx1"/>
                  </w14:solidFill>
                </w14:textFill>
              </w:rPr>
              <w:t>《履约银行保函》</w:t>
            </w:r>
          </w:p>
          <w:p w14:paraId="5C0E1BE7">
            <w:pPr>
              <w:spacing w:line="360" w:lineRule="auto"/>
              <w:ind w:firstLine="843"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履约保证金的金额：</w:t>
            </w:r>
            <w:r>
              <w:rPr>
                <w:rFonts w:hint="eastAsia" w:ascii="宋体" w:hAnsi="宋体"/>
                <w:color w:val="000000" w:themeColor="text1"/>
                <w:szCs w:val="21"/>
                <w:highlight w:val="none"/>
                <w:u w:val="single"/>
                <w14:textFill>
                  <w14:solidFill>
                    <w14:schemeClr w14:val="tx1"/>
                  </w14:solidFill>
                </w14:textFill>
              </w:rPr>
              <w:t>中标价款的</w:t>
            </w:r>
            <w:r>
              <w:rPr>
                <w:rFonts w:ascii="宋体" w:hAnsi="宋体"/>
                <w:color w:val="000000" w:themeColor="text1"/>
                <w:szCs w:val="21"/>
                <w:highlight w:val="none"/>
                <w:u w:val="single"/>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w:t>
            </w:r>
          </w:p>
          <w:p w14:paraId="66350A23">
            <w:pPr>
              <w:pStyle w:val="13"/>
              <w:topLinePunct/>
              <w:spacing w:line="360" w:lineRule="auto"/>
              <w:rPr>
                <w:rFonts w:hAnsi="宋体"/>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■不要求</w:t>
            </w:r>
          </w:p>
        </w:tc>
      </w:tr>
      <w:tr w14:paraId="26892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1A77AF3">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41" w:type="pct"/>
            <w:vAlign w:val="center"/>
          </w:tcPr>
          <w:p w14:paraId="58F72A99">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是否采用电子招标投标</w:t>
            </w:r>
          </w:p>
        </w:tc>
        <w:tc>
          <w:tcPr>
            <w:tcW w:w="3571" w:type="pct"/>
            <w:vAlign w:val="center"/>
          </w:tcPr>
          <w:p w14:paraId="7B84655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否</w:t>
            </w:r>
          </w:p>
          <w:p w14:paraId="267D3B83">
            <w:pPr>
              <w:spacing w:line="360" w:lineRule="auto"/>
              <w:ind w:left="2099" w:leftChars="3" w:hanging="2093" w:hangingChars="99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■是，具体要求：</w:t>
            </w:r>
          </w:p>
          <w:p w14:paraId="40D9DFAC">
            <w:pPr>
              <w:spacing w:line="276"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s="Courier New"/>
                <w:color w:val="000000" w:themeColor="text1"/>
                <w:szCs w:val="21"/>
                <w:highlight w:val="none"/>
                <w:u w:val="single"/>
                <w14:textFill>
                  <w14:solidFill>
                    <w14:schemeClr w14:val="tx1"/>
                  </w14:solidFill>
                </w14:textFill>
              </w:rPr>
              <w:t>1.具体操作详见广州交易集团有限公司（广州公共资源交易中心）网站最新指引。</w:t>
            </w:r>
          </w:p>
          <w:p w14:paraId="2A0DC1BC">
            <w:pPr>
              <w:spacing w:line="276" w:lineRule="auto"/>
              <w:rPr>
                <w:rFonts w:ascii="宋体" w:hAnsi="宋体" w:cs="Courier New"/>
                <w:color w:val="000000" w:themeColor="text1"/>
                <w:szCs w:val="21"/>
                <w:highlight w:val="none"/>
                <w:u w:val="single"/>
                <w14:textFill>
                  <w14:solidFill>
                    <w14:schemeClr w14:val="tx1"/>
                  </w14:solidFill>
                </w14:textFill>
              </w:rPr>
            </w:pPr>
            <w:r>
              <w:rPr>
                <w:rFonts w:hint="eastAsia" w:ascii="宋体" w:hAnsi="宋体" w:cs="Courier New"/>
                <w:color w:val="000000" w:themeColor="text1"/>
                <w:szCs w:val="21"/>
                <w:highlight w:val="none"/>
                <w:u w:val="single"/>
                <w14:textFill>
                  <w14:solidFill>
                    <w14:schemeClr w14:val="tx1"/>
                  </w14:solidFill>
                </w14:textFill>
              </w:rPr>
              <w:t>2.提交投标文件光盘（或U盘）备用</w:t>
            </w:r>
          </w:p>
          <w:p w14:paraId="3482488D">
            <w:pPr>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投标人将按广州交易集团有限公司（广州公共资源交易中心）最新指引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如果投标人没有按规定通过交易平台网上递交电子投标文件的，不再接受现场提交的光盘。投标人也可不提交备用光盘。</w:t>
            </w:r>
          </w:p>
          <w:p w14:paraId="2865E141">
            <w:pPr>
              <w:spacing w:line="276" w:lineRule="auto"/>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补救方案</w:t>
            </w:r>
          </w:p>
          <w:p w14:paraId="473296B0">
            <w:pPr>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）投标文件解密失败的补救方案：</w:t>
            </w:r>
          </w:p>
          <w:p w14:paraId="7C1CB59C">
            <w:pPr>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在规定时间内，因投标人之外原因（指网络瘫痪、服务器损坏、交易系统故障短期无法恢复等因素）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0DCBB5B5">
            <w:pPr>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）评标时突发情况的补救方案</w:t>
            </w:r>
          </w:p>
          <w:p w14:paraId="311C04B6">
            <w:pPr>
              <w:spacing w:line="276"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若遇不可抗力发生（如：网络瘫痪、服务器损坏、交易系统故障短期无法恢复等因素），由评标委员会开启递交的全部投标文件光盘，并按光盘（或U盘）内容进行评审。</w:t>
            </w:r>
          </w:p>
          <w:p w14:paraId="26B53D55">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）除发生上述情况外，开标评标均以投标人通过交易平台网上递交的电子投标文件为准。</w:t>
            </w:r>
          </w:p>
        </w:tc>
      </w:tr>
      <w:tr w14:paraId="309F03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3CC1EBE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4512" w:type="pct"/>
            <w:gridSpan w:val="2"/>
            <w:vAlign w:val="center"/>
          </w:tcPr>
          <w:p w14:paraId="0A59CD2D">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需要补充的其他内容</w:t>
            </w:r>
          </w:p>
        </w:tc>
      </w:tr>
      <w:tr w14:paraId="0CD0D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5F3EB775">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10.1</w:t>
            </w:r>
          </w:p>
        </w:tc>
        <w:tc>
          <w:tcPr>
            <w:tcW w:w="941" w:type="pct"/>
            <w:vAlign w:val="center"/>
          </w:tcPr>
          <w:p w14:paraId="761CAF93">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特别提示</w:t>
            </w:r>
          </w:p>
        </w:tc>
        <w:tc>
          <w:tcPr>
            <w:tcW w:w="3571" w:type="pct"/>
            <w:vAlign w:val="center"/>
          </w:tcPr>
          <w:p w14:paraId="231181B9">
            <w:pPr>
              <w:widowControl/>
              <w:shd w:val="clear" w:color="auto" w:fill="FFFFFF"/>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14:paraId="3EDF651A">
            <w:pPr>
              <w:widowControl/>
              <w:shd w:val="clear" w:color="auto" w:fill="FFFFFF"/>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1.将中标工程转包或者违法分包的；</w:t>
            </w:r>
          </w:p>
          <w:p w14:paraId="24F2A034">
            <w:pPr>
              <w:widowControl/>
              <w:shd w:val="clear" w:color="auto" w:fill="FFFFFF"/>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2.在中标工程中不执行质量、安全生产相关规定的，造成质量或安全事故的；</w:t>
            </w:r>
          </w:p>
          <w:p w14:paraId="75198E57">
            <w:pPr>
              <w:widowControl/>
              <w:shd w:val="clear" w:color="auto" w:fill="FFFFFF"/>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3.存在围标或串标情形的；</w:t>
            </w:r>
          </w:p>
          <w:p w14:paraId="532C3DAD">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4.存在弄虚作假骗取中标情形的；</w:t>
            </w:r>
          </w:p>
        </w:tc>
      </w:tr>
      <w:tr w14:paraId="1B40A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4A4D30CD">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w:t>
            </w:r>
          </w:p>
        </w:tc>
        <w:tc>
          <w:tcPr>
            <w:tcW w:w="941" w:type="pct"/>
            <w:vAlign w:val="center"/>
          </w:tcPr>
          <w:p w14:paraId="24A09E04">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投标报价得分评审优惠政策</w:t>
            </w:r>
          </w:p>
        </w:tc>
        <w:tc>
          <w:tcPr>
            <w:tcW w:w="3571" w:type="pct"/>
            <w:vAlign w:val="center"/>
          </w:tcPr>
          <w:p w14:paraId="698A7ACB">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1、根据《广东省政府采购促进中小企业发展实施细则(试行)》要求，对符合《政府采购促进中小企业发展管理办法》的投标人，给予相应的价格评审优惠。</w:t>
            </w:r>
          </w:p>
          <w:p w14:paraId="1A685423">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14:paraId="20B43AE9">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应按《政府采购促进中小企业发展管理办法》规定出具《中小企业声明函》(格式详见招标文件)，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7D22001">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E2D61EF">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08CD36C0">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(2)公示期间如有异议、投诉的，被异议、投诉单位需提供注册登记所在地的县级以上人民政府中小企业主管部门规定的认定流程或联系方式。</w:t>
            </w:r>
          </w:p>
        </w:tc>
      </w:tr>
      <w:tr w14:paraId="45444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0FC9A3B1">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3</w:t>
            </w:r>
          </w:p>
        </w:tc>
        <w:tc>
          <w:tcPr>
            <w:tcW w:w="941" w:type="pct"/>
            <w:vAlign w:val="center"/>
          </w:tcPr>
          <w:p w14:paraId="18A6BDBC">
            <w:pPr>
              <w:widowControl/>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招标失败情形</w:t>
            </w:r>
          </w:p>
        </w:tc>
        <w:tc>
          <w:tcPr>
            <w:tcW w:w="3571" w:type="pct"/>
            <w:vAlign w:val="center"/>
          </w:tcPr>
          <w:p w14:paraId="7F6000D4">
            <w:pPr>
              <w:spacing w:line="360" w:lineRule="auto"/>
              <w:ind w:left="1" w:hanging="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本项目采用资格后审方式</w:t>
            </w:r>
            <w:r>
              <w:rPr>
                <w:rFonts w:hint="eastAsia" w:ascii="宋体" w:hAnsi="宋体" w:cs="仿宋"/>
                <w:color w:val="000000" w:themeColor="text1"/>
                <w:szCs w:val="21"/>
                <w:highlight w:val="none"/>
                <w14:textFill>
                  <w14:solidFill>
                    <w14:schemeClr w14:val="tx1"/>
                  </w14:solidFill>
                </w14:textFill>
              </w:rPr>
              <w:t>。若投标登记或递交投标文件或通过初步评审（含形式评审、资格评审、响应性评审）的合格投标人不足3家的，</w:t>
            </w:r>
            <w:r>
              <w:rPr>
                <w:rFonts w:hint="eastAsia" w:ascii="宋体" w:hAnsi="宋体"/>
                <w:color w:val="000000" w:themeColor="text1"/>
                <w:szCs w:val="21"/>
                <w:highlight w:val="none"/>
                <w:u w:val="single"/>
                <w14:textFill>
                  <w14:solidFill>
                    <w14:schemeClr w14:val="tx1"/>
                  </w14:solidFill>
                </w14:textFill>
              </w:rPr>
              <w:t>则该项目招标失败</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招标人分析招标失败原因，修正招标方案，重新组织招标。</w:t>
            </w:r>
          </w:p>
        </w:tc>
      </w:tr>
      <w:tr w14:paraId="7D790C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tcBorders>
              <w:bottom w:val="single" w:color="auto" w:sz="4" w:space="0"/>
            </w:tcBorders>
            <w:vAlign w:val="center"/>
          </w:tcPr>
          <w:p w14:paraId="024E669E">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4</w:t>
            </w:r>
          </w:p>
        </w:tc>
        <w:tc>
          <w:tcPr>
            <w:tcW w:w="941" w:type="pct"/>
            <w:tcBorders>
              <w:bottom w:val="single" w:color="auto" w:sz="4" w:space="0"/>
            </w:tcBorders>
            <w:vAlign w:val="center"/>
          </w:tcPr>
          <w:p w14:paraId="522CD89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其他费用</w:t>
            </w:r>
          </w:p>
        </w:tc>
        <w:tc>
          <w:tcPr>
            <w:tcW w:w="3571" w:type="pct"/>
            <w:tcBorders>
              <w:bottom w:val="single" w:color="auto" w:sz="4" w:space="0"/>
            </w:tcBorders>
            <w:vAlign w:val="center"/>
          </w:tcPr>
          <w:p w14:paraId="0225D23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交易服务费：中标人按规定，向广州交易集团有限公司（广州公共资源交易中心）缴纳交易服务费，其费用包含在中标人投标报价中，招标人不另行支付。</w:t>
            </w:r>
          </w:p>
        </w:tc>
      </w:tr>
      <w:tr w14:paraId="798F0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tcBorders>
              <w:bottom w:val="single" w:color="auto" w:sz="4" w:space="0"/>
            </w:tcBorders>
            <w:vAlign w:val="center"/>
          </w:tcPr>
          <w:p w14:paraId="7D815025">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5</w:t>
            </w:r>
          </w:p>
        </w:tc>
        <w:tc>
          <w:tcPr>
            <w:tcW w:w="941" w:type="pct"/>
            <w:tcBorders>
              <w:bottom w:val="single" w:color="auto" w:sz="4" w:space="0"/>
            </w:tcBorders>
            <w:vAlign w:val="center"/>
          </w:tcPr>
          <w:p w14:paraId="75A435A2">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招标人拒绝接收其投标文件备用光盘（或U盘）情况</w:t>
            </w:r>
          </w:p>
        </w:tc>
        <w:tc>
          <w:tcPr>
            <w:tcW w:w="3571" w:type="pct"/>
            <w:tcBorders>
              <w:bottom w:val="single" w:color="auto" w:sz="4" w:space="0"/>
            </w:tcBorders>
            <w:vAlign w:val="center"/>
          </w:tcPr>
          <w:p w14:paraId="5B7BA03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1、投标人在投标截止期后逾期或未在指定地点递交备用投标文件电子光盘（或U盘）的；</w:t>
            </w:r>
          </w:p>
          <w:p w14:paraId="6B019F6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2、投标人递交的备用投标文件电子光盘（或U盘）未按招标文件要求密封或未在密封处盖章的；</w:t>
            </w:r>
          </w:p>
          <w:p w14:paraId="0CE4E91D">
            <w:pPr>
              <w:pStyle w:val="27"/>
              <w:spacing w:line="276" w:lineRule="auto"/>
              <w:ind w:hanging="5"/>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3、投标人代表未凭法定代表人证明书原件、授权委托书原件（仅限于非法定代表人）、本人身份证原件按要求递交备用投标文件电子光盘（或U盘）的；</w:t>
            </w:r>
          </w:p>
        </w:tc>
      </w:tr>
      <w:tr w14:paraId="39CA5B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tcBorders>
              <w:bottom w:val="single" w:color="auto" w:sz="4" w:space="0"/>
            </w:tcBorders>
            <w:vAlign w:val="center"/>
          </w:tcPr>
          <w:p w14:paraId="502FE95A">
            <w:pPr>
              <w:snapToGrid w:val="0"/>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6</w:t>
            </w:r>
          </w:p>
        </w:tc>
        <w:tc>
          <w:tcPr>
            <w:tcW w:w="941" w:type="pct"/>
            <w:tcBorders>
              <w:bottom w:val="single" w:color="auto" w:sz="4" w:space="0"/>
            </w:tcBorders>
            <w:vAlign w:val="center"/>
          </w:tcPr>
          <w:p w14:paraId="0081D00F">
            <w:pPr>
              <w:widowControl/>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w:t>
            </w:r>
          </w:p>
        </w:tc>
        <w:tc>
          <w:tcPr>
            <w:tcW w:w="3571" w:type="pct"/>
            <w:tcBorders>
              <w:bottom w:val="single" w:color="auto" w:sz="4" w:space="0"/>
            </w:tcBorders>
            <w:vAlign w:val="center"/>
          </w:tcPr>
          <w:p w14:paraId="0EAC0D49">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1．在产生中标候选人后，招标人将中标候选人的投标文件商务部分的电子版（报价清单、方案等涉及商业秘密的内容除外）在广州交易集团有限公司（广州公共资源交易中心）网站公开。</w:t>
            </w:r>
          </w:p>
          <w:p w14:paraId="694994E9">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2.招标公告、招标文件、答疑纪要、图纸等招标资料全部发布在广州交易集团有限公司（广州公共资源交易中心）网站，由投标人自行下载查阅。</w:t>
            </w:r>
          </w:p>
          <w:p w14:paraId="327F34C0">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3.投标截止时间、开标时间和地点：发布在广州交易集团有限公司（广州公共资源交易中心）网站（具体在网站主页“服务指南”中“交易活动安排”栏目上以“项目名称”或“项目编号”进行查询）。</w:t>
            </w:r>
          </w:p>
          <w:p w14:paraId="4C8679AE">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4．中标单位在中标通知书发出后3个工作日内，提交与网上上传电子投标人间完全一致的纸质投标文件（一正二副，加盖公章）及电子文件光盘给招标人。</w:t>
            </w:r>
          </w:p>
          <w:p w14:paraId="58742DEB">
            <w:pPr>
              <w:pStyle w:val="27"/>
              <w:spacing w:line="360" w:lineRule="auto"/>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5.招标人将时时核对以下内容：</w:t>
            </w:r>
          </w:p>
          <w:p w14:paraId="149A6257">
            <w:pPr>
              <w:pStyle w:val="27"/>
              <w:spacing w:line="360" w:lineRule="auto"/>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5B8C6B4F">
            <w:pPr>
              <w:pStyle w:val="27"/>
              <w:spacing w:line="360" w:lineRule="auto"/>
              <w:ind w:firstLine="0"/>
              <w:rPr>
                <w:rStyle w:val="30"/>
                <w:color w:val="000000" w:themeColor="text1"/>
                <w:highlight w:val="none"/>
                <w14:textFill>
                  <w14:solidFill>
                    <w14:schemeClr w14:val="tx1"/>
                  </w14:solidFill>
                </w14:textFill>
                <w:woUserID w:val="0"/>
              </w:rPr>
            </w:pPr>
            <w:r>
              <w:rPr>
                <w:rFonts w:hint="eastAsia" w:ascii="宋体" w:hAnsi="宋体"/>
                <w:color w:val="000000" w:themeColor="text1"/>
                <w:szCs w:val="21"/>
                <w:highlight w:val="none"/>
                <w14:textFill>
                  <w14:solidFill>
                    <w14:schemeClr w14:val="tx1"/>
                  </w14:solidFill>
                </w14:textFill>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48950258">
            <w:pPr>
              <w:pStyle w:val="27"/>
              <w:spacing w:line="360" w:lineRule="auto"/>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如核实存在上述任一情况，招标人有权取消中标人的中标资格或终止合同。</w:t>
            </w:r>
          </w:p>
        </w:tc>
      </w:tr>
      <w:tr w14:paraId="446411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tcBorders>
              <w:bottom w:val="single" w:color="auto" w:sz="4" w:space="0"/>
            </w:tcBorders>
            <w:vAlign w:val="center"/>
          </w:tcPr>
          <w:p w14:paraId="47DBCB41">
            <w:pPr>
              <w:snapToGrid w:val="0"/>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10.6</w:t>
            </w:r>
          </w:p>
        </w:tc>
        <w:tc>
          <w:tcPr>
            <w:tcW w:w="941" w:type="pct"/>
            <w:tcBorders>
              <w:bottom w:val="single" w:color="auto" w:sz="4" w:space="0"/>
            </w:tcBorders>
            <w:vAlign w:val="center"/>
          </w:tcPr>
          <w:p w14:paraId="2AD97DB6">
            <w:pPr>
              <w:widowControl/>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其他2</w:t>
            </w:r>
          </w:p>
        </w:tc>
        <w:tc>
          <w:tcPr>
            <w:tcW w:w="3571" w:type="pct"/>
            <w:tcBorders>
              <w:bottom w:val="single" w:color="auto" w:sz="4" w:space="0"/>
            </w:tcBorders>
            <w:vAlign w:val="center"/>
          </w:tcPr>
          <w:p w14:paraId="5760AD4F">
            <w:pPr>
              <w:pStyle w:val="27"/>
              <w:spacing w:line="360" w:lineRule="auto"/>
              <w:ind w:firstLine="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本项目要求提供驻场服务，具体要求详见第五章委托人要求。</w:t>
            </w:r>
          </w:p>
        </w:tc>
      </w:tr>
      <w:tr w14:paraId="739A3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775B2530">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10.7</w:t>
            </w:r>
          </w:p>
        </w:tc>
        <w:tc>
          <w:tcPr>
            <w:tcW w:w="941" w:type="pct"/>
            <w:vAlign w:val="center"/>
          </w:tcPr>
          <w:p w14:paraId="634F649E">
            <w:pPr>
              <w:widowControl/>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投标人是否参加开标</w:t>
            </w:r>
          </w:p>
        </w:tc>
        <w:tc>
          <w:tcPr>
            <w:tcW w:w="3571" w:type="pct"/>
            <w:vAlign w:val="center"/>
          </w:tcPr>
          <w:p w14:paraId="74BA8425">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14:paraId="6D97FF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vAlign w:val="center"/>
          </w:tcPr>
          <w:p w14:paraId="2C3380B4">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8</w:t>
            </w:r>
          </w:p>
        </w:tc>
        <w:tc>
          <w:tcPr>
            <w:tcW w:w="941" w:type="pct"/>
            <w:vAlign w:val="center"/>
          </w:tcPr>
          <w:p w14:paraId="499C28D3">
            <w:pPr>
              <w:widowControl/>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571" w:type="pct"/>
            <w:vAlign w:val="center"/>
          </w:tcPr>
          <w:p w14:paraId="66F86AA5">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如本工程委托代建单位（项目建设管理单位），则可由代建单位作为发包人与中标人签订合同。</w:t>
            </w:r>
          </w:p>
        </w:tc>
      </w:tr>
      <w:tr w14:paraId="7A2011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87" w:type="pct"/>
            <w:tcBorders>
              <w:bottom w:val="single" w:color="auto" w:sz="4" w:space="0"/>
            </w:tcBorders>
            <w:vAlign w:val="center"/>
          </w:tcPr>
          <w:p w14:paraId="53EA6662">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10.9</w:t>
            </w:r>
          </w:p>
        </w:tc>
        <w:tc>
          <w:tcPr>
            <w:tcW w:w="941" w:type="pct"/>
            <w:tcBorders>
              <w:bottom w:val="single" w:color="auto" w:sz="4" w:space="0"/>
            </w:tcBorders>
            <w:vAlign w:val="center"/>
          </w:tcPr>
          <w:p w14:paraId="5D632680">
            <w:pPr>
              <w:jc w:val="lef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否决性条款</w:t>
            </w:r>
          </w:p>
        </w:tc>
        <w:tc>
          <w:tcPr>
            <w:tcW w:w="3571" w:type="pct"/>
            <w:tcBorders>
              <w:bottom w:val="single" w:color="auto" w:sz="4" w:space="0"/>
            </w:tcBorders>
            <w:vAlign w:val="center"/>
          </w:tcPr>
          <w:p w14:paraId="22CC064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一、拒绝受理投标文件的情形</w:t>
            </w:r>
          </w:p>
          <w:p w14:paraId="18C471E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1、投标人未在投标截止时间（开标时间）前，通过电子招标投标交易平台投标登记并上传电子投标文件的；</w:t>
            </w:r>
          </w:p>
          <w:p w14:paraId="79E536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2、投标人未在规定时间内通过电子招标投标交易平台对已递交的电子投标文件进行解密的；</w:t>
            </w:r>
          </w:p>
          <w:p w14:paraId="621F55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二、作无效投标的情形</w:t>
            </w:r>
          </w:p>
          <w:p w14:paraId="6AE880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1、投标文件不符合招标文件评标办法中形式评审标准、资格评审标准、响应性评审标准的要求。</w:t>
            </w:r>
          </w:p>
          <w:p w14:paraId="788BE9E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三、否决投标的情形</w:t>
            </w:r>
          </w:p>
          <w:p w14:paraId="2D79F7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9F2590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2、开标时，两个（含两个）以上的投标人加密打包投标文件电脑机器特征码一致的</w:t>
            </w:r>
            <w:r>
              <w:rPr>
                <w:rFonts w:hint="eastAsia"/>
                <w:color w:val="000000" w:themeColor="text1"/>
                <w:highlight w:val="none"/>
                <w14:textFill>
                  <w14:solidFill>
                    <w14:schemeClr w14:val="tx1"/>
                  </w14:solidFill>
                </w14:textFill>
              </w:rPr>
              <w:t>，不参与下一程序，</w:t>
            </w:r>
            <w:r>
              <w:rPr>
                <w:color w:val="000000" w:themeColor="text1"/>
                <w:highlight w:val="none"/>
                <w14:textFill>
                  <w14:solidFill>
                    <w14:schemeClr w14:val="tx1"/>
                  </w14:solidFill>
                </w14:textFill>
              </w:rPr>
              <w:t>并由评标委员会否决其投标。</w:t>
            </w:r>
          </w:p>
          <w:p w14:paraId="494F23F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3、投标文件没有对招标文件的实质性要求和条件作出响应，或者对招标</w:t>
            </w:r>
            <w:r>
              <w:rPr>
                <w:rFonts w:hint="eastAsia"/>
                <w:color w:val="000000" w:themeColor="text1"/>
                <w:highlight w:val="none"/>
                <w14:textFill>
                  <w14:solidFill>
                    <w14:schemeClr w14:val="tx1"/>
                  </w14:solidFill>
                </w14:textFill>
              </w:rPr>
              <w:t>文件的偏差超出招标文件规定的偏差范围或最高项数</w:t>
            </w:r>
            <w:r>
              <w:rPr>
                <w:color w:val="000000" w:themeColor="text1"/>
                <w:highlight w:val="none"/>
                <w14:textFill>
                  <w14:solidFill>
                    <w14:schemeClr w14:val="tx1"/>
                  </w14:solidFill>
                </w14:textFill>
              </w:rPr>
              <w:t>。</w:t>
            </w:r>
          </w:p>
          <w:p w14:paraId="382EF67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4、投标人不得递交备选投标方案，否则其投标将被否决。</w:t>
            </w:r>
          </w:p>
          <w:p w14:paraId="6C06CF9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5、有串通投标、弄虚作假、行贿等违法行为。</w:t>
            </w:r>
          </w:p>
          <w:p w14:paraId="2E1C28E5">
            <w:pPr>
              <w:rPr>
                <w:rFonts w:ascii="宋体" w:hAnsi="宋体" w:cs="宋体"/>
                <w:color w:val="000000" w:themeColor="text1"/>
                <w:szCs w:val="21"/>
                <w:highlight w:val="none"/>
                <w:u w:val="single"/>
                <w14:textFill>
                  <w14:solidFill>
                    <w14:schemeClr w14:val="tx1"/>
                  </w14:solidFill>
                </w14:textFill>
              </w:rPr>
            </w:pPr>
            <w:r>
              <w:rPr>
                <w:color w:val="000000" w:themeColor="text1"/>
                <w:highlight w:val="none"/>
                <w14:textFill>
                  <w14:solidFill>
                    <w14:schemeClr w14:val="tx1"/>
                  </w14:solidFill>
                </w14:textFill>
              </w:rPr>
              <w:t>6、投标报价有算术错误及其他错误的，评标委员会按以下原则要求投标人对投标报价进行修正，并要求投标人书面澄清确认。投标人拒不澄清确认的</w:t>
            </w:r>
            <w:r>
              <w:rPr>
                <w:rFonts w:hint="eastAsia"/>
                <w:color w:val="000000" w:themeColor="text1"/>
                <w:highlight w:val="none"/>
                <w14:textFill>
                  <w14:solidFill>
                    <w14:schemeClr w14:val="tx1"/>
                  </w14:solidFill>
                </w14:textFill>
              </w:rPr>
              <w:t>，评标委员会应当否决其投标。</w:t>
            </w:r>
          </w:p>
        </w:tc>
      </w:tr>
    </w:tbl>
    <w:p w14:paraId="411E4CE2">
      <w:pPr>
        <w:rPr>
          <w:rFonts w:ascii="宋体" w:hAnsi="宋体"/>
        </w:rPr>
      </w:pPr>
    </w:p>
    <w:p w14:paraId="141874A2">
      <w:pPr>
        <w:pStyle w:val="6"/>
      </w:pPr>
      <w:bookmarkStart w:id="42" w:name="_Toc533357308"/>
      <w:r>
        <w:br w:type="page"/>
      </w:r>
      <w:bookmarkStart w:id="43" w:name="_Toc16839"/>
      <w:bookmarkStart w:id="44" w:name="_Toc11550"/>
      <w:bookmarkStart w:id="45" w:name="_Toc12681"/>
      <w:r>
        <w:t xml:space="preserve">1. </w:t>
      </w:r>
      <w:r>
        <w:rPr>
          <w:rFonts w:hint="eastAsia"/>
        </w:rPr>
        <w:t>总则</w:t>
      </w:r>
      <w:bookmarkEnd w:id="42"/>
      <w:bookmarkEnd w:id="43"/>
      <w:bookmarkEnd w:id="44"/>
      <w:bookmarkEnd w:id="45"/>
    </w:p>
    <w:p w14:paraId="66FD2621">
      <w:pPr>
        <w:pStyle w:val="8"/>
        <w:spacing w:line="360" w:lineRule="auto"/>
      </w:pPr>
      <w:r>
        <w:t xml:space="preserve">1.1 </w:t>
      </w:r>
      <w:r>
        <w:rPr>
          <w:rFonts w:hint="eastAsia"/>
        </w:rPr>
        <w:t>招标项目概况</w:t>
      </w:r>
    </w:p>
    <w:p w14:paraId="40612569">
      <w:pPr>
        <w:pStyle w:val="14"/>
        <w:kinsoku w:val="0"/>
        <w:overflowPunct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根据《中华人民共和国招标投标法》、《中华人民共和国招标投标法实施条例》等有关法律、法规和规章的规定，本招标项目已具备招标条件，现对检测服务进行招标。</w:t>
      </w:r>
    </w:p>
    <w:p w14:paraId="12FF4DBA">
      <w:pPr>
        <w:pStyle w:val="14"/>
        <w:kinsoku w:val="0"/>
        <w:overflowPunct w:val="0"/>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招标人：见投标人须知前附表。</w:t>
      </w:r>
    </w:p>
    <w:p w14:paraId="3183D98C">
      <w:pPr>
        <w:pStyle w:val="14"/>
        <w:kinsoku w:val="0"/>
        <w:overflowPunct w:val="0"/>
        <w:spacing w:line="360" w:lineRule="auto"/>
        <w:ind w:firstLine="420" w:firstLineChars="200"/>
        <w:rPr>
          <w:rFonts w:ascii="宋体" w:hAnsi="宋体"/>
          <w:szCs w:val="21"/>
        </w:rPr>
      </w:pPr>
      <w:r>
        <w:rPr>
          <w:rFonts w:ascii="宋体" w:hAnsi="宋体"/>
          <w:szCs w:val="21"/>
        </w:rPr>
        <w:t>1.1.3</w:t>
      </w:r>
      <w:r>
        <w:rPr>
          <w:rFonts w:hint="eastAsia" w:ascii="宋体" w:hAnsi="宋体"/>
          <w:szCs w:val="21"/>
        </w:rPr>
        <w:t>招标代理机构：见投标人须知前附表。</w:t>
      </w:r>
    </w:p>
    <w:p w14:paraId="0B4AF9E1">
      <w:pPr>
        <w:pStyle w:val="14"/>
        <w:kinsoku w:val="0"/>
        <w:overflowPunct w:val="0"/>
        <w:spacing w:line="360" w:lineRule="auto"/>
        <w:ind w:firstLine="420" w:firstLineChars="200"/>
        <w:rPr>
          <w:rFonts w:ascii="宋体" w:hAnsi="宋体"/>
          <w:szCs w:val="21"/>
        </w:rPr>
      </w:pPr>
      <w:r>
        <w:rPr>
          <w:rFonts w:ascii="宋体" w:hAnsi="宋体"/>
          <w:szCs w:val="21"/>
        </w:rPr>
        <w:t>1.1.4</w:t>
      </w:r>
      <w:r>
        <w:rPr>
          <w:rFonts w:hint="eastAsia" w:ascii="宋体" w:hAnsi="宋体"/>
          <w:szCs w:val="21"/>
        </w:rPr>
        <w:t>招标项目名称：见投标人须知前附表。</w:t>
      </w:r>
    </w:p>
    <w:p w14:paraId="19D81EED">
      <w:pPr>
        <w:pStyle w:val="14"/>
        <w:kinsoku w:val="0"/>
        <w:overflowPunct w:val="0"/>
        <w:spacing w:line="360" w:lineRule="auto"/>
        <w:ind w:firstLine="420" w:firstLineChars="200"/>
        <w:rPr>
          <w:rFonts w:ascii="宋体" w:hAnsi="宋体"/>
          <w:szCs w:val="21"/>
        </w:rPr>
      </w:pPr>
      <w:r>
        <w:rPr>
          <w:rFonts w:ascii="宋体" w:hAnsi="宋体"/>
          <w:szCs w:val="21"/>
        </w:rPr>
        <w:t>1.1.5</w:t>
      </w:r>
      <w:r>
        <w:rPr>
          <w:rFonts w:hint="eastAsia" w:ascii="宋体" w:hAnsi="宋体"/>
          <w:szCs w:val="21"/>
        </w:rPr>
        <w:t>项目建设地点：见投标人须知前附表。</w:t>
      </w:r>
    </w:p>
    <w:p w14:paraId="4A8735EC">
      <w:pPr>
        <w:pStyle w:val="14"/>
        <w:kinsoku w:val="0"/>
        <w:overflowPunct w:val="0"/>
        <w:spacing w:line="360" w:lineRule="auto"/>
        <w:ind w:firstLine="420" w:firstLineChars="200"/>
        <w:rPr>
          <w:rFonts w:ascii="宋体" w:hAnsi="宋体"/>
          <w:szCs w:val="21"/>
        </w:rPr>
      </w:pPr>
      <w:r>
        <w:rPr>
          <w:rFonts w:ascii="宋体" w:hAnsi="宋体"/>
          <w:szCs w:val="21"/>
        </w:rPr>
        <w:t>1.1.6</w:t>
      </w:r>
      <w:r>
        <w:rPr>
          <w:rFonts w:hint="eastAsia" w:ascii="宋体" w:hAnsi="宋体"/>
          <w:szCs w:val="21"/>
        </w:rPr>
        <w:t>项目建设规模：见投标人须知前附表。</w:t>
      </w:r>
    </w:p>
    <w:p w14:paraId="0B2EC53F">
      <w:pPr>
        <w:pStyle w:val="14"/>
        <w:kinsoku w:val="0"/>
        <w:overflowPunct w:val="0"/>
        <w:spacing w:line="360" w:lineRule="auto"/>
        <w:ind w:firstLine="420" w:firstLineChars="200"/>
        <w:rPr>
          <w:rFonts w:ascii="宋体" w:hAnsi="宋体"/>
          <w:szCs w:val="21"/>
        </w:rPr>
      </w:pPr>
      <w:r>
        <w:rPr>
          <w:rFonts w:ascii="宋体" w:hAnsi="宋体"/>
          <w:szCs w:val="21"/>
        </w:rPr>
        <w:t>1.1.7</w:t>
      </w:r>
      <w:r>
        <w:rPr>
          <w:rFonts w:hint="eastAsia" w:ascii="宋体" w:hAnsi="宋体"/>
          <w:szCs w:val="21"/>
        </w:rPr>
        <w:t>工程项目施工预计开工日期和建设周期：见投标人须知前附表。</w:t>
      </w:r>
    </w:p>
    <w:p w14:paraId="1B64C854">
      <w:pPr>
        <w:pStyle w:val="27"/>
        <w:spacing w:line="360" w:lineRule="auto"/>
        <w:ind w:firstLineChars="200"/>
        <w:rPr>
          <w:rFonts w:ascii="宋体" w:hAnsi="宋体"/>
          <w:szCs w:val="21"/>
        </w:rPr>
      </w:pPr>
      <w:r>
        <w:rPr>
          <w:rFonts w:ascii="宋体" w:hAnsi="宋体"/>
          <w:szCs w:val="21"/>
        </w:rPr>
        <w:t>1.1.8</w:t>
      </w:r>
      <w:r>
        <w:rPr>
          <w:rFonts w:hint="eastAsia" w:ascii="宋体" w:hAnsi="宋体"/>
          <w:szCs w:val="21"/>
        </w:rPr>
        <w:t>建筑安装工程费</w:t>
      </w:r>
      <w:r>
        <w:rPr>
          <w:rFonts w:ascii="宋体" w:hAnsi="宋体"/>
          <w:szCs w:val="21"/>
        </w:rPr>
        <w:t>/</w:t>
      </w:r>
      <w:r>
        <w:rPr>
          <w:rFonts w:hint="eastAsia" w:ascii="宋体" w:hAnsi="宋体"/>
          <w:szCs w:val="21"/>
        </w:rPr>
        <w:t>工程概算：见投标人须知前附表。</w:t>
      </w:r>
    </w:p>
    <w:p w14:paraId="6E4CF848">
      <w:pPr>
        <w:pStyle w:val="14"/>
        <w:kinsoku w:val="0"/>
        <w:overflowPunct w:val="0"/>
        <w:spacing w:line="360" w:lineRule="auto"/>
        <w:ind w:firstLine="420" w:firstLineChars="200"/>
        <w:rPr>
          <w:rFonts w:ascii="宋体" w:hAnsi="宋体"/>
          <w:szCs w:val="21"/>
        </w:rPr>
      </w:pPr>
    </w:p>
    <w:p w14:paraId="40749CF4">
      <w:pPr>
        <w:pStyle w:val="8"/>
        <w:spacing w:line="360" w:lineRule="auto"/>
      </w:pPr>
      <w:r>
        <w:t xml:space="preserve">1.2 </w:t>
      </w:r>
      <w:r>
        <w:rPr>
          <w:rFonts w:hint="eastAsia"/>
        </w:rPr>
        <w:t>招标项目的资金来源和落实情况</w:t>
      </w:r>
    </w:p>
    <w:p w14:paraId="0AD6BB9B">
      <w:pPr>
        <w:pStyle w:val="14"/>
        <w:kinsoku w:val="0"/>
        <w:overflowPunct w:val="0"/>
        <w:spacing w:line="360" w:lineRule="auto"/>
        <w:ind w:firstLine="420" w:firstLineChars="200"/>
        <w:rPr>
          <w:rFonts w:ascii="宋体" w:hAnsi="宋体"/>
          <w:szCs w:val="21"/>
        </w:rPr>
      </w:pPr>
      <w:r>
        <w:rPr>
          <w:rFonts w:ascii="宋体" w:hAnsi="宋体"/>
          <w:szCs w:val="21"/>
        </w:rPr>
        <w:t>1.2.1</w:t>
      </w:r>
      <w:r>
        <w:rPr>
          <w:rFonts w:hint="eastAsia" w:ascii="宋体" w:hAnsi="宋体"/>
          <w:szCs w:val="21"/>
        </w:rPr>
        <w:t>资金来源及比例：见投标人须知前附表。</w:t>
      </w:r>
    </w:p>
    <w:p w14:paraId="53239D80">
      <w:pPr>
        <w:pStyle w:val="14"/>
        <w:kinsoku w:val="0"/>
        <w:overflowPunct w:val="0"/>
        <w:spacing w:line="360" w:lineRule="auto"/>
        <w:ind w:firstLine="420" w:firstLineChars="200"/>
        <w:rPr>
          <w:rFonts w:ascii="宋体" w:hAnsi="宋体"/>
          <w:szCs w:val="21"/>
        </w:rPr>
      </w:pPr>
      <w:r>
        <w:rPr>
          <w:rFonts w:ascii="宋体" w:hAnsi="宋体"/>
          <w:szCs w:val="21"/>
        </w:rPr>
        <w:t>1.2.2</w:t>
      </w:r>
      <w:r>
        <w:rPr>
          <w:rFonts w:hint="eastAsia" w:ascii="宋体" w:hAnsi="宋体"/>
          <w:szCs w:val="21"/>
        </w:rPr>
        <w:t>资金落实情况：见投标人须知前附表。</w:t>
      </w:r>
    </w:p>
    <w:p w14:paraId="3DE77C6D">
      <w:pPr>
        <w:pStyle w:val="14"/>
        <w:kinsoku w:val="0"/>
        <w:overflowPunct w:val="0"/>
        <w:spacing w:line="360" w:lineRule="auto"/>
        <w:ind w:firstLine="420" w:firstLineChars="200"/>
        <w:rPr>
          <w:rFonts w:ascii="宋体" w:hAnsi="宋体"/>
          <w:szCs w:val="21"/>
        </w:rPr>
      </w:pPr>
    </w:p>
    <w:p w14:paraId="56B1A9B1">
      <w:pPr>
        <w:pStyle w:val="8"/>
        <w:spacing w:line="360" w:lineRule="auto"/>
      </w:pPr>
      <w:r>
        <w:t xml:space="preserve">1.3 </w:t>
      </w:r>
      <w:r>
        <w:rPr>
          <w:rFonts w:hint="eastAsia"/>
        </w:rPr>
        <w:t>招标范围、服务期限和质量标准</w:t>
      </w:r>
    </w:p>
    <w:p w14:paraId="6ADA0F3F">
      <w:pPr>
        <w:pStyle w:val="14"/>
        <w:kinsoku w:val="0"/>
        <w:overflowPunct w:val="0"/>
        <w:spacing w:line="360" w:lineRule="auto"/>
        <w:ind w:firstLine="420" w:firstLineChars="200"/>
        <w:rPr>
          <w:rFonts w:ascii="宋体" w:hAnsi="宋体"/>
          <w:szCs w:val="21"/>
        </w:rPr>
      </w:pPr>
      <w:r>
        <w:rPr>
          <w:rFonts w:ascii="宋体" w:hAnsi="宋体"/>
          <w:szCs w:val="21"/>
        </w:rPr>
        <w:t>1.3.1</w:t>
      </w:r>
      <w:r>
        <w:rPr>
          <w:rFonts w:hint="eastAsia" w:ascii="宋体" w:hAnsi="宋体"/>
          <w:szCs w:val="21"/>
        </w:rPr>
        <w:t>招标范围：见投标人须知前附表。</w:t>
      </w:r>
    </w:p>
    <w:p w14:paraId="42B9E9B2">
      <w:pPr>
        <w:pStyle w:val="14"/>
        <w:kinsoku w:val="0"/>
        <w:overflowPunct w:val="0"/>
        <w:spacing w:line="360" w:lineRule="auto"/>
        <w:ind w:firstLine="420" w:firstLineChars="200"/>
        <w:rPr>
          <w:rFonts w:ascii="宋体" w:hAnsi="宋体"/>
          <w:szCs w:val="21"/>
        </w:rPr>
      </w:pPr>
      <w:r>
        <w:rPr>
          <w:rFonts w:ascii="宋体" w:hAnsi="宋体"/>
          <w:szCs w:val="21"/>
        </w:rPr>
        <w:t>1.3.2</w:t>
      </w:r>
      <w:r>
        <w:rPr>
          <w:rFonts w:hint="eastAsia" w:ascii="宋体" w:hAnsi="宋体"/>
          <w:szCs w:val="21"/>
        </w:rPr>
        <w:t>服务期：见投标人须知前附表。</w:t>
      </w:r>
    </w:p>
    <w:p w14:paraId="1D89AF50">
      <w:pPr>
        <w:pStyle w:val="14"/>
        <w:kinsoku w:val="0"/>
        <w:overflowPunct w:val="0"/>
        <w:spacing w:line="360" w:lineRule="auto"/>
        <w:ind w:firstLine="420" w:firstLineChars="200"/>
        <w:rPr>
          <w:rFonts w:ascii="宋体" w:hAnsi="宋体"/>
          <w:szCs w:val="21"/>
        </w:rPr>
      </w:pPr>
      <w:r>
        <w:rPr>
          <w:rFonts w:ascii="宋体" w:hAnsi="宋体"/>
          <w:szCs w:val="21"/>
        </w:rPr>
        <w:t>1.3.3</w:t>
      </w:r>
      <w:r>
        <w:rPr>
          <w:rFonts w:hint="eastAsia" w:ascii="宋体" w:hAnsi="宋体"/>
        </w:rPr>
        <w:t>质量标准</w:t>
      </w:r>
      <w:r>
        <w:rPr>
          <w:rFonts w:hint="eastAsia" w:ascii="宋体" w:hAnsi="宋体"/>
          <w:szCs w:val="21"/>
        </w:rPr>
        <w:t>：见投标人须知前附表。</w:t>
      </w:r>
    </w:p>
    <w:p w14:paraId="0F9AEA8D">
      <w:pPr>
        <w:pStyle w:val="14"/>
        <w:kinsoku w:val="0"/>
        <w:overflowPunct w:val="0"/>
        <w:spacing w:line="360" w:lineRule="auto"/>
        <w:ind w:firstLine="420" w:firstLineChars="200"/>
        <w:rPr>
          <w:rFonts w:ascii="宋体" w:hAnsi="宋体"/>
          <w:szCs w:val="21"/>
        </w:rPr>
      </w:pPr>
    </w:p>
    <w:p w14:paraId="3859F1A5">
      <w:pPr>
        <w:pStyle w:val="8"/>
        <w:spacing w:line="360" w:lineRule="auto"/>
      </w:pPr>
      <w:r>
        <w:t xml:space="preserve">1.4 </w:t>
      </w:r>
      <w:r>
        <w:rPr>
          <w:rFonts w:hint="eastAsia"/>
        </w:rPr>
        <w:t>投标人资格要求</w:t>
      </w:r>
    </w:p>
    <w:p w14:paraId="43A06791">
      <w:pPr>
        <w:pStyle w:val="14"/>
        <w:kinsoku w:val="0"/>
        <w:overflowPunct w:val="0"/>
        <w:spacing w:line="360" w:lineRule="auto"/>
        <w:ind w:firstLine="420" w:firstLineChars="200"/>
        <w:rPr>
          <w:rFonts w:ascii="宋体" w:hAnsi="宋体"/>
          <w:szCs w:val="21"/>
          <w:u w:val="single"/>
        </w:rPr>
      </w:pPr>
      <w:r>
        <w:rPr>
          <w:rFonts w:ascii="宋体" w:hAnsi="宋体"/>
          <w:szCs w:val="21"/>
        </w:rPr>
        <w:t>1.4.1</w:t>
      </w:r>
      <w:r>
        <w:rPr>
          <w:rFonts w:hint="eastAsia" w:ascii="宋体" w:hAnsi="宋体"/>
          <w:szCs w:val="21"/>
        </w:rPr>
        <w:t>投标人应具备承担本招标项目</w:t>
      </w:r>
      <w:r>
        <w:rPr>
          <w:rFonts w:hint="eastAsia" w:ascii="宋体" w:hAnsi="宋体"/>
          <w:szCs w:val="21"/>
          <w:lang w:val="en-US" w:eastAsia="zh-CN"/>
        </w:rPr>
        <w:t>的</w:t>
      </w:r>
      <w:r>
        <w:rPr>
          <w:rFonts w:hint="eastAsia" w:ascii="宋体" w:hAnsi="宋体"/>
          <w:szCs w:val="21"/>
        </w:rPr>
        <w:t>资质条件、能力和信誉：</w:t>
      </w:r>
      <w:r>
        <w:rPr>
          <w:rFonts w:hint="eastAsia" w:ascii="宋体" w:hAnsi="宋体"/>
          <w:szCs w:val="21"/>
          <w:u w:val="single"/>
        </w:rPr>
        <w:t>详见招标公告。</w:t>
      </w:r>
    </w:p>
    <w:p w14:paraId="3EE995B0">
      <w:pPr>
        <w:pStyle w:val="14"/>
        <w:kinsoku w:val="0"/>
        <w:overflowPunct w:val="0"/>
        <w:spacing w:line="360" w:lineRule="auto"/>
        <w:ind w:firstLine="420" w:firstLineChars="200"/>
        <w:rPr>
          <w:rFonts w:ascii="宋体" w:hAnsi="宋体"/>
          <w:szCs w:val="21"/>
        </w:rPr>
      </w:pPr>
      <w:r>
        <w:rPr>
          <w:rFonts w:ascii="宋体" w:hAnsi="宋体"/>
          <w:szCs w:val="21"/>
        </w:rPr>
        <w:t>1.4.2</w:t>
      </w:r>
      <w:r>
        <w:rPr>
          <w:rFonts w:hint="eastAsia" w:ascii="宋体" w:hAnsi="宋体"/>
          <w:szCs w:val="21"/>
        </w:rPr>
        <w:t>投标人须知前附表规定接受联合体投标的，联合体除应符合本章第</w:t>
      </w:r>
      <w:r>
        <w:rPr>
          <w:rFonts w:ascii="宋体" w:hAnsi="宋体"/>
          <w:szCs w:val="21"/>
        </w:rPr>
        <w:t>1.4.</w:t>
      </w:r>
      <w:r>
        <w:rPr>
          <w:rFonts w:hint="eastAsia" w:ascii="宋体" w:hAnsi="宋体"/>
          <w:szCs w:val="21"/>
        </w:rPr>
        <w:t>1项和投标人须知前附表的要求外，还应遵守以下规定：</w:t>
      </w:r>
    </w:p>
    <w:p w14:paraId="5132D639">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）如投标人由联合体组成，应当以联合体完成投标登记，联合体各方应按招标文件提供的格式签订联合体协议书，明确联合体牵头人和各方权利义务，并承诺就中标项目向招标人承担连带责任；</w:t>
      </w:r>
    </w:p>
    <w:p w14:paraId="72B08CCA">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）联合体各方不得再以自己名义单独或参加其他联合体在本招标项目中投标，否则各相关投标均无效。</w:t>
      </w:r>
    </w:p>
    <w:p w14:paraId="60220706">
      <w:pPr>
        <w:spacing w:line="360" w:lineRule="auto"/>
        <w:ind w:firstLine="420" w:firstLineChars="200"/>
      </w:pPr>
      <w:r>
        <w:rPr>
          <w:rFonts w:hint="eastAsia"/>
        </w:rPr>
        <w:t>（3）拟任本工程项目负责人需为牵头人（主办方）正式员工（以参保证明上标注的最新缴纳单位为准）。</w:t>
      </w:r>
    </w:p>
    <w:p w14:paraId="74E827E3">
      <w:pPr>
        <w:spacing w:line="360" w:lineRule="auto"/>
      </w:pPr>
    </w:p>
    <w:p w14:paraId="19661A98">
      <w:pPr>
        <w:pStyle w:val="14"/>
        <w:kinsoku w:val="0"/>
        <w:overflowPunct w:val="0"/>
        <w:spacing w:line="360" w:lineRule="auto"/>
        <w:ind w:firstLine="420" w:firstLineChars="200"/>
        <w:rPr>
          <w:rFonts w:ascii="宋体" w:hAnsi="宋体"/>
          <w:szCs w:val="21"/>
        </w:rPr>
      </w:pPr>
      <w:r>
        <w:rPr>
          <w:rFonts w:ascii="宋体" w:hAnsi="宋体"/>
          <w:szCs w:val="21"/>
        </w:rPr>
        <w:t>1.4.3</w:t>
      </w:r>
      <w:r>
        <w:rPr>
          <w:rFonts w:hint="eastAsia" w:ascii="宋体" w:hAnsi="宋体"/>
          <w:szCs w:val="21"/>
        </w:rPr>
        <w:t>投标人不得存在下列情形之一：</w:t>
      </w:r>
    </w:p>
    <w:p w14:paraId="17FB9CBB">
      <w:pPr>
        <w:pStyle w:val="14"/>
        <w:kinsoku w:val="0"/>
        <w:overflowPunct w:val="0"/>
        <w:spacing w:line="288" w:lineRule="auto"/>
        <w:ind w:firstLine="420" w:firstLineChars="200"/>
        <w:rPr>
          <w:rFonts w:ascii="宋体" w:hAnsi="宋体"/>
          <w:szCs w:val="21"/>
        </w:rPr>
      </w:pPr>
      <w:r>
        <w:rPr>
          <w:rFonts w:hint="eastAsia" w:ascii="宋体" w:hAnsi="宋体"/>
          <w:szCs w:val="21"/>
        </w:rPr>
        <w:t>（1）为招标人不具有独立法人资格的附属机构（单位）；</w:t>
      </w:r>
    </w:p>
    <w:p w14:paraId="736C294F">
      <w:pPr>
        <w:pStyle w:val="14"/>
        <w:kinsoku w:val="0"/>
        <w:overflowPunct w:val="0"/>
        <w:spacing w:line="288" w:lineRule="auto"/>
        <w:ind w:firstLine="420" w:firstLineChars="200"/>
        <w:rPr>
          <w:rFonts w:ascii="宋体" w:hAnsi="宋体"/>
          <w:szCs w:val="21"/>
        </w:rPr>
      </w:pPr>
      <w:r>
        <w:rPr>
          <w:rFonts w:hint="eastAsia" w:ascii="宋体" w:hAnsi="宋体"/>
          <w:szCs w:val="21"/>
        </w:rPr>
        <w:t>（2）与招标人存在利害关系且可能影响招标公正性；</w:t>
      </w:r>
    </w:p>
    <w:p w14:paraId="0502F73E">
      <w:pPr>
        <w:pStyle w:val="14"/>
        <w:kinsoku w:val="0"/>
        <w:overflowPunct w:val="0"/>
        <w:spacing w:line="288" w:lineRule="auto"/>
        <w:ind w:firstLine="420" w:firstLineChars="200"/>
        <w:rPr>
          <w:rFonts w:ascii="宋体" w:hAnsi="宋体"/>
          <w:szCs w:val="21"/>
        </w:rPr>
      </w:pPr>
      <w:r>
        <w:rPr>
          <w:rFonts w:hint="eastAsia" w:ascii="宋体" w:hAnsi="宋体"/>
          <w:szCs w:val="21"/>
        </w:rPr>
        <w:t>（3）与本</w:t>
      </w:r>
      <w:r>
        <w:rPr>
          <w:rFonts w:hint="eastAsia" w:ascii="宋体" w:hAnsi="宋体"/>
          <w:szCs w:val="24"/>
        </w:rPr>
        <w:t>招标项目</w:t>
      </w:r>
      <w:r>
        <w:rPr>
          <w:rFonts w:hint="eastAsia" w:ascii="宋体" w:hAnsi="宋体"/>
          <w:szCs w:val="21"/>
        </w:rPr>
        <w:t>的其他投标人为同一个单位负责人；</w:t>
      </w:r>
    </w:p>
    <w:p w14:paraId="3AE93E92">
      <w:pPr>
        <w:pStyle w:val="14"/>
        <w:kinsoku w:val="0"/>
        <w:overflowPunct w:val="0"/>
        <w:spacing w:line="288" w:lineRule="auto"/>
        <w:ind w:firstLine="420" w:firstLineChars="200"/>
        <w:rPr>
          <w:rFonts w:ascii="宋体" w:hAnsi="宋体"/>
          <w:szCs w:val="21"/>
        </w:rPr>
      </w:pPr>
      <w:r>
        <w:rPr>
          <w:rFonts w:hint="eastAsia" w:ascii="宋体" w:hAnsi="宋体"/>
          <w:szCs w:val="21"/>
        </w:rPr>
        <w:t>（4）与本</w:t>
      </w:r>
      <w:r>
        <w:rPr>
          <w:rFonts w:hint="eastAsia" w:ascii="宋体" w:hAnsi="宋体"/>
          <w:szCs w:val="24"/>
        </w:rPr>
        <w:t>招标项目</w:t>
      </w:r>
      <w:r>
        <w:rPr>
          <w:rFonts w:hint="eastAsia" w:ascii="宋体" w:hAnsi="宋体"/>
          <w:szCs w:val="21"/>
        </w:rPr>
        <w:t>的其他投标人存在控股、管理关系；</w:t>
      </w:r>
    </w:p>
    <w:p w14:paraId="3B229FCE">
      <w:pPr>
        <w:pStyle w:val="14"/>
        <w:kinsoku w:val="0"/>
        <w:overflowPunct w:val="0"/>
        <w:spacing w:line="288" w:lineRule="auto"/>
        <w:ind w:firstLine="420" w:firstLineChars="200"/>
        <w:rPr>
          <w:rFonts w:ascii="宋体" w:hAnsi="宋体"/>
          <w:szCs w:val="21"/>
        </w:rPr>
      </w:pPr>
      <w:r>
        <w:rPr>
          <w:rFonts w:hint="eastAsia" w:ascii="宋体" w:hAnsi="宋体"/>
          <w:szCs w:val="21"/>
        </w:rPr>
        <w:t>（5）为本</w:t>
      </w:r>
      <w:r>
        <w:rPr>
          <w:rFonts w:hint="eastAsia" w:ascii="宋体" w:hAnsi="宋体"/>
          <w:szCs w:val="24"/>
        </w:rPr>
        <w:t>招标项目</w:t>
      </w:r>
      <w:r>
        <w:rPr>
          <w:rFonts w:hint="eastAsia" w:ascii="宋体" w:hAnsi="宋体"/>
          <w:szCs w:val="21"/>
        </w:rPr>
        <w:t>的代建人；</w:t>
      </w:r>
    </w:p>
    <w:p w14:paraId="47AB8ACB">
      <w:pPr>
        <w:pStyle w:val="14"/>
        <w:kinsoku w:val="0"/>
        <w:overflowPunct w:val="0"/>
        <w:spacing w:line="288" w:lineRule="auto"/>
        <w:ind w:firstLine="420" w:firstLineChars="200"/>
        <w:rPr>
          <w:rFonts w:ascii="宋体" w:hAnsi="宋体"/>
          <w:szCs w:val="21"/>
        </w:rPr>
      </w:pPr>
      <w:r>
        <w:rPr>
          <w:rFonts w:hint="eastAsia" w:ascii="宋体" w:hAnsi="宋体"/>
          <w:szCs w:val="21"/>
        </w:rPr>
        <w:t>（6）为本</w:t>
      </w:r>
      <w:r>
        <w:rPr>
          <w:rFonts w:hint="eastAsia" w:ascii="宋体" w:hAnsi="宋体"/>
          <w:szCs w:val="24"/>
        </w:rPr>
        <w:t>招标项目</w:t>
      </w:r>
      <w:r>
        <w:rPr>
          <w:rFonts w:hint="eastAsia" w:ascii="宋体" w:hAnsi="宋体"/>
          <w:szCs w:val="21"/>
        </w:rPr>
        <w:t>的招标代理机构；</w:t>
      </w:r>
    </w:p>
    <w:p w14:paraId="2133693B">
      <w:pPr>
        <w:pStyle w:val="14"/>
        <w:kinsoku w:val="0"/>
        <w:overflowPunct w:val="0"/>
        <w:spacing w:line="288" w:lineRule="auto"/>
        <w:ind w:firstLine="420" w:firstLineChars="200"/>
        <w:rPr>
          <w:rFonts w:ascii="宋体" w:hAnsi="宋体"/>
          <w:szCs w:val="21"/>
        </w:rPr>
      </w:pPr>
      <w:r>
        <w:rPr>
          <w:rFonts w:hint="eastAsia" w:ascii="宋体" w:hAnsi="宋体"/>
          <w:szCs w:val="21"/>
        </w:rPr>
        <w:t>（7）与本</w:t>
      </w:r>
      <w:r>
        <w:rPr>
          <w:rFonts w:hint="eastAsia" w:ascii="宋体" w:hAnsi="宋体"/>
          <w:szCs w:val="24"/>
        </w:rPr>
        <w:t>招标项目</w:t>
      </w:r>
      <w:r>
        <w:rPr>
          <w:rFonts w:hint="eastAsia" w:ascii="宋体" w:hAnsi="宋体"/>
          <w:szCs w:val="21"/>
        </w:rPr>
        <w:t>的代建人或招标代理机构同为一个法定代表人；</w:t>
      </w:r>
    </w:p>
    <w:p w14:paraId="5FDC435C">
      <w:pPr>
        <w:pStyle w:val="14"/>
        <w:kinsoku w:val="0"/>
        <w:overflowPunct w:val="0"/>
        <w:spacing w:line="288" w:lineRule="auto"/>
        <w:ind w:firstLine="420" w:firstLineChars="200"/>
        <w:rPr>
          <w:rFonts w:ascii="宋体" w:hAnsi="宋体"/>
          <w:szCs w:val="21"/>
        </w:rPr>
      </w:pPr>
      <w:r>
        <w:rPr>
          <w:rFonts w:hint="eastAsia" w:ascii="宋体" w:hAnsi="宋体"/>
          <w:szCs w:val="21"/>
        </w:rPr>
        <w:t>（8）与本</w:t>
      </w:r>
      <w:r>
        <w:rPr>
          <w:rFonts w:hint="eastAsia" w:ascii="宋体" w:hAnsi="宋体"/>
          <w:szCs w:val="24"/>
        </w:rPr>
        <w:t>招标项目</w:t>
      </w:r>
      <w:r>
        <w:rPr>
          <w:rFonts w:hint="eastAsia" w:ascii="宋体" w:hAnsi="宋体"/>
          <w:szCs w:val="21"/>
        </w:rPr>
        <w:t>的代建人或招标代理机构存在控股或参股关系；</w:t>
      </w:r>
    </w:p>
    <w:p w14:paraId="6F2260A3">
      <w:pPr>
        <w:pStyle w:val="14"/>
        <w:kinsoku w:val="0"/>
        <w:overflowPunct w:val="0"/>
        <w:spacing w:line="288" w:lineRule="auto"/>
        <w:ind w:firstLine="420" w:firstLineChars="200"/>
        <w:rPr>
          <w:rFonts w:ascii="宋体" w:hAnsi="宋体"/>
          <w:szCs w:val="21"/>
        </w:rPr>
      </w:pPr>
      <w:r>
        <w:rPr>
          <w:rFonts w:hint="eastAsia" w:ascii="宋体" w:hAnsi="宋体"/>
          <w:szCs w:val="21"/>
        </w:rPr>
        <w:t>（9）与本</w:t>
      </w:r>
      <w:r>
        <w:rPr>
          <w:rFonts w:hint="eastAsia" w:ascii="宋体" w:hAnsi="宋体"/>
          <w:szCs w:val="24"/>
        </w:rPr>
        <w:t>招标项目</w:t>
      </w:r>
      <w:r>
        <w:rPr>
          <w:rFonts w:hint="eastAsia" w:ascii="宋体" w:hAnsi="宋体"/>
          <w:szCs w:val="21"/>
        </w:rPr>
        <w:t>的施工承包人以及建筑材料、建筑构配件和设备供应商有隶属关系或者其他利害关系；</w:t>
      </w:r>
    </w:p>
    <w:p w14:paraId="5D69997C">
      <w:pPr>
        <w:pStyle w:val="14"/>
        <w:kinsoku w:val="0"/>
        <w:overflowPunct w:val="0"/>
        <w:spacing w:line="288" w:lineRule="auto"/>
        <w:ind w:firstLine="420" w:firstLineChars="200"/>
        <w:rPr>
          <w:rFonts w:ascii="宋体" w:hAnsi="宋体"/>
          <w:szCs w:val="21"/>
        </w:rPr>
      </w:pPr>
      <w:r>
        <w:rPr>
          <w:rFonts w:hint="eastAsia" w:ascii="宋体" w:hAnsi="宋体"/>
          <w:szCs w:val="21"/>
        </w:rPr>
        <w:t>（10）被依法暂停或者取消投标资格；</w:t>
      </w:r>
      <w:r>
        <w:rPr>
          <w:rFonts w:hint="eastAsia" w:ascii="宋体" w:hAnsi="宋体"/>
          <w:szCs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FAA23C7">
      <w:pPr>
        <w:pStyle w:val="14"/>
        <w:kinsoku w:val="0"/>
        <w:overflowPunct w:val="0"/>
        <w:spacing w:line="288" w:lineRule="auto"/>
        <w:ind w:firstLine="420" w:firstLineChars="200"/>
        <w:rPr>
          <w:rFonts w:ascii="宋体" w:hAnsi="宋体"/>
          <w:szCs w:val="21"/>
        </w:rPr>
      </w:pPr>
      <w:r>
        <w:rPr>
          <w:rFonts w:hint="eastAsia" w:ascii="宋体" w:hAnsi="宋体"/>
          <w:szCs w:val="21"/>
        </w:rPr>
        <w:t>（11）被责令停产停业、暂扣或者吊销许可证、暂扣或者吊销执照；</w:t>
      </w:r>
      <w:r>
        <w:rPr>
          <w:rFonts w:hint="eastAsia" w:ascii="宋体" w:hAnsi="宋体"/>
          <w:szCs w:val="24"/>
          <w:u w:val="single"/>
        </w:rPr>
        <w:t>（本项事实应当以根据《中华人民共和国行政处罚法》依法作出并已经生效的行政处罚决定为认定依据。）</w:t>
      </w:r>
    </w:p>
    <w:p w14:paraId="074BB7CE">
      <w:pPr>
        <w:pStyle w:val="14"/>
        <w:kinsoku w:val="0"/>
        <w:overflowPunct w:val="0"/>
        <w:spacing w:line="288" w:lineRule="auto"/>
        <w:ind w:firstLine="420" w:firstLineChars="200"/>
        <w:rPr>
          <w:rFonts w:ascii="宋体" w:hAnsi="宋体"/>
          <w:szCs w:val="21"/>
        </w:rPr>
      </w:pPr>
      <w:r>
        <w:rPr>
          <w:rFonts w:hint="eastAsia" w:ascii="宋体" w:hAnsi="宋体"/>
          <w:szCs w:val="21"/>
        </w:rPr>
        <w:t>（12）进入清算程序，或被宣告破产，或其他丧失履约能力的情形；</w:t>
      </w:r>
    </w:p>
    <w:p w14:paraId="7707B6CC">
      <w:pPr>
        <w:pStyle w:val="14"/>
        <w:kinsoku w:val="0"/>
        <w:overflowPunct w:val="0"/>
        <w:spacing w:line="288" w:lineRule="auto"/>
        <w:ind w:firstLine="420" w:firstLineChars="200"/>
        <w:rPr>
          <w:rFonts w:ascii="宋体" w:hAnsi="宋体"/>
          <w:szCs w:val="21"/>
        </w:rPr>
      </w:pPr>
      <w:r>
        <w:rPr>
          <w:rFonts w:hint="eastAsia" w:ascii="宋体" w:hAnsi="宋体"/>
          <w:szCs w:val="21"/>
        </w:rPr>
        <w:t>（13）在最近三年内发生重大检测质量问题（</w:t>
      </w:r>
      <w:r>
        <w:rPr>
          <w:rFonts w:hint="eastAsia" w:ascii="宋体" w:hAnsi="宋体"/>
          <w:szCs w:val="24"/>
          <w:u w:val="single"/>
        </w:rPr>
        <w:t>“重大检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szCs w:val="21"/>
        </w:rPr>
        <w:t>）；</w:t>
      </w:r>
    </w:p>
    <w:p w14:paraId="5B9A5457">
      <w:pPr>
        <w:pStyle w:val="14"/>
        <w:kinsoku w:val="0"/>
        <w:overflowPunct w:val="0"/>
        <w:spacing w:line="288" w:lineRule="auto"/>
        <w:ind w:firstLine="420" w:firstLineChars="200"/>
        <w:rPr>
          <w:rFonts w:ascii="宋体" w:hAnsi="宋体"/>
          <w:szCs w:val="21"/>
        </w:rPr>
      </w:pPr>
      <w:r>
        <w:rPr>
          <w:rFonts w:hint="eastAsia" w:ascii="宋体" w:hAnsi="宋体"/>
          <w:szCs w:val="21"/>
        </w:rPr>
        <w:t>（14）被工商行政</w:t>
      </w:r>
      <w:r>
        <w:rPr>
          <w:rFonts w:hint="eastAsia" w:ascii="宋体" w:hAnsi="宋体"/>
          <w:szCs w:val="24"/>
          <w:u w:val="single"/>
        </w:rPr>
        <w:t>（市场监管）</w:t>
      </w:r>
      <w:r>
        <w:rPr>
          <w:rFonts w:hint="eastAsia" w:ascii="宋体" w:hAnsi="宋体"/>
          <w:szCs w:val="21"/>
        </w:rPr>
        <w:t>管理机关在全国企业信用信息公示系统中列入严重违法失信企业名单；</w:t>
      </w:r>
    </w:p>
    <w:p w14:paraId="710C87F7">
      <w:pPr>
        <w:pStyle w:val="14"/>
        <w:kinsoku w:val="0"/>
        <w:overflowPunct w:val="0"/>
        <w:spacing w:line="288" w:lineRule="auto"/>
        <w:ind w:firstLine="420" w:firstLineChars="200"/>
        <w:rPr>
          <w:rFonts w:ascii="宋体" w:hAnsi="宋体"/>
          <w:szCs w:val="21"/>
        </w:rPr>
      </w:pPr>
      <w:r>
        <w:rPr>
          <w:rFonts w:hint="eastAsia" w:ascii="宋体" w:hAnsi="宋体"/>
          <w:szCs w:val="21"/>
        </w:rPr>
        <w:t>（15）被最高人民法院在“信用中国”网站（www.creditchina.gov.cn）或各级信用信息共享平台中列入失信被执行人名单；</w:t>
      </w:r>
    </w:p>
    <w:p w14:paraId="242BB0E1">
      <w:pPr>
        <w:pStyle w:val="14"/>
        <w:kinsoku w:val="0"/>
        <w:overflowPunct w:val="0"/>
        <w:spacing w:line="288" w:lineRule="auto"/>
        <w:ind w:firstLine="420" w:firstLineChars="200"/>
        <w:rPr>
          <w:rFonts w:ascii="宋体" w:hAnsi="宋体"/>
          <w:szCs w:val="21"/>
        </w:rPr>
      </w:pPr>
      <w:r>
        <w:rPr>
          <w:rFonts w:hint="eastAsia" w:ascii="宋体" w:hAnsi="宋体"/>
          <w:szCs w:val="21"/>
        </w:rPr>
        <w:t>（16）</w:t>
      </w:r>
      <w:r>
        <w:rPr>
          <w:rFonts w:hint="eastAsia" w:ascii="宋体" w:hAnsi="宋体"/>
          <w:szCs w:val="21"/>
          <w:u w:val="single"/>
        </w:rPr>
        <w:t>在近三年内投标人或其法定代表人、拟委任的项目负责人有行贿犯罪行为的；</w:t>
      </w:r>
    </w:p>
    <w:p w14:paraId="11A0F589">
      <w:pPr>
        <w:pStyle w:val="14"/>
        <w:kinsoku w:val="0"/>
        <w:overflowPunct w:val="0"/>
        <w:spacing w:line="288" w:lineRule="auto"/>
        <w:ind w:firstLine="420" w:firstLineChars="200"/>
        <w:rPr>
          <w:rFonts w:ascii="宋体" w:hAnsi="宋体"/>
          <w:szCs w:val="21"/>
        </w:rPr>
      </w:pPr>
      <w:r>
        <w:rPr>
          <w:rFonts w:hint="eastAsia" w:ascii="宋体" w:hAnsi="宋体"/>
          <w:szCs w:val="21"/>
        </w:rPr>
        <w:t>（17）法律法规或投标人须知前附表规定的其他情形。</w:t>
      </w:r>
    </w:p>
    <w:p w14:paraId="7097AB75">
      <w:pPr>
        <w:pStyle w:val="8"/>
        <w:spacing w:line="360" w:lineRule="auto"/>
      </w:pPr>
      <w:r>
        <w:t xml:space="preserve">1.5 </w:t>
      </w:r>
      <w:r>
        <w:rPr>
          <w:rFonts w:hint="eastAsia"/>
        </w:rPr>
        <w:t>费用承担</w:t>
      </w:r>
    </w:p>
    <w:p w14:paraId="23522519">
      <w:pPr>
        <w:pStyle w:val="14"/>
        <w:kinsoku w:val="0"/>
        <w:overflowPunct w:val="0"/>
        <w:spacing w:line="360" w:lineRule="auto"/>
        <w:ind w:firstLine="420" w:firstLineChars="200"/>
        <w:rPr>
          <w:rFonts w:ascii="宋体" w:hAnsi="宋体"/>
          <w:szCs w:val="21"/>
          <w:u w:val="single"/>
        </w:rPr>
      </w:pPr>
      <w:r>
        <w:rPr>
          <w:rFonts w:hint="eastAsia" w:ascii="宋体" w:hAnsi="宋体"/>
          <w:szCs w:val="21"/>
          <w:u w:val="single"/>
        </w:rPr>
        <w:t>投标人准备和参加投标活动发生的费用自理，中标人支付广州交易集团有限公司（广州公共资源交易中心）服务费。</w:t>
      </w:r>
    </w:p>
    <w:p w14:paraId="08093D9B">
      <w:pPr>
        <w:pStyle w:val="14"/>
        <w:kinsoku w:val="0"/>
        <w:overflowPunct w:val="0"/>
        <w:spacing w:line="360" w:lineRule="auto"/>
        <w:ind w:firstLine="420" w:firstLineChars="200"/>
        <w:rPr>
          <w:rFonts w:ascii="宋体" w:hAnsi="宋体"/>
          <w:szCs w:val="21"/>
        </w:rPr>
      </w:pPr>
    </w:p>
    <w:p w14:paraId="303883FF">
      <w:pPr>
        <w:pStyle w:val="8"/>
        <w:spacing w:line="360" w:lineRule="auto"/>
      </w:pPr>
      <w:bookmarkStart w:id="46" w:name="bookmark26"/>
      <w:bookmarkEnd w:id="46"/>
      <w:r>
        <w:t xml:space="preserve">1.6 </w:t>
      </w:r>
      <w:r>
        <w:rPr>
          <w:rFonts w:hint="eastAsia"/>
        </w:rPr>
        <w:t>保密</w:t>
      </w:r>
    </w:p>
    <w:p w14:paraId="0EC96FE7">
      <w:pPr>
        <w:pStyle w:val="14"/>
        <w:kinsoku w:val="0"/>
        <w:overflowPunct w:val="0"/>
        <w:spacing w:line="360" w:lineRule="auto"/>
        <w:ind w:firstLine="420" w:firstLineChars="200"/>
        <w:rPr>
          <w:rFonts w:ascii="宋体" w:hAnsi="宋体"/>
          <w:szCs w:val="21"/>
        </w:rPr>
      </w:pPr>
      <w:r>
        <w:rPr>
          <w:rFonts w:hint="eastAsia" w:ascii="宋体" w:hAnsi="宋体"/>
          <w:szCs w:val="21"/>
        </w:rPr>
        <w:t>参与招标投标活动的各方应对招标文件和投标文件中的商业和技术等秘密保密，否则应承担相应的法律责任。</w:t>
      </w:r>
    </w:p>
    <w:p w14:paraId="40CDA6B2">
      <w:pPr>
        <w:pStyle w:val="14"/>
        <w:kinsoku w:val="0"/>
        <w:overflowPunct w:val="0"/>
        <w:spacing w:line="360" w:lineRule="auto"/>
        <w:ind w:firstLine="420" w:firstLineChars="200"/>
        <w:rPr>
          <w:rFonts w:ascii="宋体" w:hAnsi="宋体"/>
          <w:szCs w:val="21"/>
        </w:rPr>
      </w:pPr>
    </w:p>
    <w:p w14:paraId="12B7BD5D">
      <w:pPr>
        <w:pStyle w:val="8"/>
        <w:spacing w:line="360" w:lineRule="auto"/>
      </w:pPr>
      <w:bookmarkStart w:id="47" w:name="bookmark27"/>
      <w:bookmarkEnd w:id="47"/>
      <w:r>
        <w:t xml:space="preserve">1.7 </w:t>
      </w:r>
      <w:r>
        <w:rPr>
          <w:rFonts w:hint="eastAsia"/>
        </w:rPr>
        <w:t>语言文字</w:t>
      </w:r>
    </w:p>
    <w:p w14:paraId="5128A685">
      <w:pPr>
        <w:pStyle w:val="14"/>
        <w:kinsoku w:val="0"/>
        <w:overflowPunct w:val="0"/>
        <w:spacing w:line="360" w:lineRule="auto"/>
        <w:ind w:firstLine="420" w:firstLineChars="200"/>
        <w:rPr>
          <w:rFonts w:ascii="宋体" w:hAnsi="宋体"/>
          <w:szCs w:val="21"/>
        </w:rPr>
      </w:pPr>
      <w:r>
        <w:rPr>
          <w:rFonts w:hint="eastAsia" w:ascii="宋体" w:hAnsi="宋体"/>
          <w:szCs w:val="21"/>
        </w:rPr>
        <w:t>招标投标文件使用的语言文字为中文。专用术语使用外文的，应附有中文注释。</w:t>
      </w:r>
    </w:p>
    <w:p w14:paraId="2455F3B1">
      <w:pPr>
        <w:pStyle w:val="14"/>
        <w:kinsoku w:val="0"/>
        <w:overflowPunct w:val="0"/>
        <w:spacing w:line="360" w:lineRule="auto"/>
        <w:ind w:firstLine="420" w:firstLineChars="200"/>
        <w:rPr>
          <w:rFonts w:ascii="宋体" w:hAnsi="宋体"/>
          <w:szCs w:val="21"/>
        </w:rPr>
      </w:pPr>
    </w:p>
    <w:p w14:paraId="42B3CD1C">
      <w:pPr>
        <w:pStyle w:val="8"/>
        <w:spacing w:line="360" w:lineRule="auto"/>
      </w:pPr>
      <w:bookmarkStart w:id="48" w:name="bookmark28"/>
      <w:bookmarkEnd w:id="48"/>
      <w:r>
        <w:t xml:space="preserve">1.8 </w:t>
      </w:r>
      <w:r>
        <w:rPr>
          <w:rFonts w:hint="eastAsia"/>
        </w:rPr>
        <w:t>计量单位</w:t>
      </w:r>
    </w:p>
    <w:p w14:paraId="16E680A7">
      <w:pPr>
        <w:pStyle w:val="14"/>
        <w:kinsoku w:val="0"/>
        <w:overflowPunct w:val="0"/>
        <w:spacing w:line="360" w:lineRule="auto"/>
        <w:ind w:firstLine="420" w:firstLineChars="200"/>
        <w:rPr>
          <w:rFonts w:ascii="宋体" w:hAnsi="宋体"/>
          <w:szCs w:val="21"/>
        </w:rPr>
      </w:pPr>
      <w:r>
        <w:rPr>
          <w:rFonts w:hint="eastAsia" w:ascii="宋体" w:hAnsi="宋体"/>
          <w:szCs w:val="21"/>
        </w:rPr>
        <w:t>所有计量均采用中华人民共和国法定计量单位。</w:t>
      </w:r>
    </w:p>
    <w:p w14:paraId="326C69D6">
      <w:pPr>
        <w:pStyle w:val="14"/>
        <w:kinsoku w:val="0"/>
        <w:overflowPunct w:val="0"/>
        <w:spacing w:line="360" w:lineRule="auto"/>
        <w:ind w:firstLine="420" w:firstLineChars="200"/>
        <w:rPr>
          <w:rFonts w:ascii="宋体" w:hAnsi="宋体"/>
          <w:szCs w:val="21"/>
        </w:rPr>
      </w:pPr>
    </w:p>
    <w:p w14:paraId="2DD3B830">
      <w:pPr>
        <w:pStyle w:val="8"/>
        <w:spacing w:line="360" w:lineRule="auto"/>
      </w:pPr>
      <w:bookmarkStart w:id="49" w:name="bookmark29"/>
      <w:bookmarkEnd w:id="49"/>
      <w:r>
        <w:t xml:space="preserve">1.9 </w:t>
      </w:r>
      <w:r>
        <w:rPr>
          <w:rFonts w:hint="eastAsia"/>
        </w:rPr>
        <w:t>踏勘现场</w:t>
      </w:r>
    </w:p>
    <w:p w14:paraId="79EC4332">
      <w:pPr>
        <w:pStyle w:val="14"/>
        <w:kinsoku w:val="0"/>
        <w:overflowPunct w:val="0"/>
        <w:spacing w:line="360" w:lineRule="auto"/>
        <w:ind w:firstLine="420" w:firstLineChars="200"/>
        <w:rPr>
          <w:rFonts w:ascii="宋体" w:hAnsi="宋体"/>
          <w:szCs w:val="21"/>
        </w:rPr>
      </w:pPr>
      <w:r>
        <w:rPr>
          <w:rFonts w:ascii="宋体" w:hAnsi="宋体"/>
          <w:szCs w:val="21"/>
        </w:rPr>
        <w:t>1.9.1</w:t>
      </w:r>
      <w:r>
        <w:rPr>
          <w:rFonts w:hint="eastAsia" w:ascii="宋体" w:hAnsi="宋体"/>
          <w:szCs w:val="21"/>
        </w:rPr>
        <w:t>投标人须知前附表规定组织踏勘现场的，招标人按投标人须知前附表规定的时间、地点组织投标人踏勘项目现场。部分投标人未按时参加踏勘现场的，不影响踏勘现场的正常进行。</w:t>
      </w:r>
    </w:p>
    <w:p w14:paraId="127F093E">
      <w:pPr>
        <w:pStyle w:val="14"/>
        <w:kinsoku w:val="0"/>
        <w:overflowPunct w:val="0"/>
        <w:spacing w:line="360" w:lineRule="auto"/>
        <w:ind w:firstLine="420" w:firstLineChars="200"/>
        <w:rPr>
          <w:rFonts w:ascii="宋体" w:hAnsi="宋体"/>
          <w:szCs w:val="21"/>
        </w:rPr>
      </w:pPr>
      <w:r>
        <w:rPr>
          <w:rFonts w:ascii="宋体" w:hAnsi="宋体"/>
          <w:szCs w:val="21"/>
        </w:rPr>
        <w:t>1.9.2</w:t>
      </w:r>
      <w:r>
        <w:rPr>
          <w:rFonts w:hint="eastAsia" w:ascii="宋体" w:hAnsi="宋体"/>
          <w:szCs w:val="21"/>
        </w:rPr>
        <w:t>投标人踏勘现场发生的费用自理。</w:t>
      </w:r>
    </w:p>
    <w:p w14:paraId="1C119F8D">
      <w:pPr>
        <w:pStyle w:val="14"/>
        <w:kinsoku w:val="0"/>
        <w:overflowPunct w:val="0"/>
        <w:spacing w:line="360" w:lineRule="auto"/>
        <w:ind w:firstLine="420" w:firstLineChars="200"/>
        <w:rPr>
          <w:rFonts w:ascii="宋体" w:hAnsi="宋体"/>
          <w:szCs w:val="21"/>
        </w:rPr>
      </w:pPr>
      <w:r>
        <w:rPr>
          <w:rFonts w:ascii="宋体" w:hAnsi="宋体"/>
          <w:szCs w:val="21"/>
        </w:rPr>
        <w:t>1.9.3</w:t>
      </w:r>
      <w:r>
        <w:rPr>
          <w:rFonts w:hint="eastAsia" w:ascii="宋体" w:hAnsi="宋体"/>
          <w:szCs w:val="21"/>
        </w:rPr>
        <w:t>除招标人的原因外，投标人自行负责在踏勘现场中所发生的人员伤亡和财产损失。</w:t>
      </w:r>
    </w:p>
    <w:p w14:paraId="2A9CFBBC">
      <w:pPr>
        <w:pStyle w:val="14"/>
        <w:kinsoku w:val="0"/>
        <w:overflowPunct w:val="0"/>
        <w:spacing w:line="360" w:lineRule="auto"/>
        <w:ind w:firstLine="420" w:firstLineChars="200"/>
        <w:rPr>
          <w:rFonts w:ascii="宋体" w:hAnsi="宋体"/>
          <w:szCs w:val="21"/>
        </w:rPr>
      </w:pPr>
      <w:r>
        <w:rPr>
          <w:rFonts w:ascii="宋体" w:hAnsi="宋体"/>
          <w:szCs w:val="21"/>
        </w:rPr>
        <w:t>1.9.4</w:t>
      </w:r>
      <w:r>
        <w:rPr>
          <w:rFonts w:hint="eastAsia" w:ascii="宋体" w:hAnsi="宋体"/>
          <w:szCs w:val="21"/>
        </w:rPr>
        <w:t>招标人在踏勘现场中介绍的工程场地和相关的周边环境情况，供投标人在编制投标文件时参考，招标人不对投标人据此作出的判断和决策负责。</w:t>
      </w:r>
    </w:p>
    <w:p w14:paraId="4E30B825">
      <w:pPr>
        <w:pStyle w:val="14"/>
        <w:kinsoku w:val="0"/>
        <w:overflowPunct w:val="0"/>
        <w:spacing w:line="360" w:lineRule="auto"/>
        <w:ind w:firstLine="420" w:firstLineChars="200"/>
        <w:rPr>
          <w:rFonts w:ascii="宋体" w:hAnsi="宋体"/>
          <w:szCs w:val="21"/>
        </w:rPr>
      </w:pPr>
    </w:p>
    <w:p w14:paraId="2030899A">
      <w:pPr>
        <w:pStyle w:val="8"/>
        <w:spacing w:line="360" w:lineRule="auto"/>
      </w:pPr>
      <w:bookmarkStart w:id="50" w:name="bookmark30"/>
      <w:bookmarkEnd w:id="50"/>
      <w:r>
        <w:t xml:space="preserve">1.10 </w:t>
      </w:r>
      <w:r>
        <w:rPr>
          <w:rFonts w:hint="eastAsia"/>
        </w:rPr>
        <w:t>投标预备会</w:t>
      </w:r>
    </w:p>
    <w:p w14:paraId="4B033AB3">
      <w:pPr>
        <w:pStyle w:val="14"/>
        <w:kinsoku w:val="0"/>
        <w:overflowPunct w:val="0"/>
        <w:spacing w:line="360" w:lineRule="auto"/>
        <w:ind w:firstLine="420" w:firstLineChars="200"/>
        <w:rPr>
          <w:rFonts w:ascii="宋体" w:hAnsi="宋体"/>
          <w:szCs w:val="21"/>
        </w:rPr>
      </w:pPr>
      <w:r>
        <w:rPr>
          <w:rFonts w:ascii="宋体" w:hAnsi="宋体"/>
          <w:szCs w:val="21"/>
        </w:rPr>
        <w:t>1.10.1</w:t>
      </w:r>
      <w:r>
        <w:rPr>
          <w:rFonts w:hint="eastAsia" w:ascii="宋体" w:hAnsi="宋体"/>
          <w:szCs w:val="21"/>
        </w:rPr>
        <w:t>投标人须知前附表规定召开投标预备会的，招标人按投标人须知前附表规定的时间和地点召开投标预备会，澄清投标人提出的问题。</w:t>
      </w:r>
    </w:p>
    <w:p w14:paraId="0CAF8E1D">
      <w:pPr>
        <w:pStyle w:val="14"/>
        <w:kinsoku w:val="0"/>
        <w:overflowPunct w:val="0"/>
        <w:spacing w:line="360" w:lineRule="auto"/>
        <w:ind w:firstLine="420" w:firstLineChars="200"/>
        <w:rPr>
          <w:rFonts w:ascii="宋体" w:hAnsi="宋体"/>
          <w:szCs w:val="21"/>
        </w:rPr>
      </w:pPr>
      <w:r>
        <w:rPr>
          <w:rFonts w:ascii="宋体" w:hAnsi="宋体"/>
          <w:szCs w:val="21"/>
        </w:rPr>
        <w:t>1.10.2</w:t>
      </w:r>
      <w:r>
        <w:rPr>
          <w:rFonts w:hint="eastAsia" w:ascii="宋体" w:hAnsi="宋体"/>
          <w:szCs w:val="21"/>
        </w:rPr>
        <w:t>投标人应按投标人须知前附表规定的时间和形式将提出的问题送达招标人，以便招标人在会议期间澄清。</w:t>
      </w:r>
    </w:p>
    <w:p w14:paraId="3A975221">
      <w:pPr>
        <w:pStyle w:val="14"/>
        <w:kinsoku w:val="0"/>
        <w:overflowPunct w:val="0"/>
        <w:spacing w:line="360" w:lineRule="auto"/>
        <w:ind w:firstLine="420" w:firstLineChars="200"/>
        <w:rPr>
          <w:rFonts w:ascii="宋体" w:hAnsi="宋体"/>
          <w:szCs w:val="21"/>
        </w:rPr>
      </w:pPr>
      <w:r>
        <w:rPr>
          <w:rFonts w:ascii="宋体" w:hAnsi="宋体"/>
          <w:szCs w:val="21"/>
        </w:rPr>
        <w:t>1.10.3</w:t>
      </w:r>
      <w:r>
        <w:rPr>
          <w:rFonts w:hint="eastAsia" w:ascii="宋体" w:hAnsi="宋体"/>
          <w:szCs w:val="21"/>
        </w:rPr>
        <w:t>投标预备会后，招标人将对投标人所提问题的澄清，以投标人须知前附表规定的形式通知所有潜在投标人。该澄清内容为招标文件的组成部分。</w:t>
      </w:r>
      <w:bookmarkStart w:id="51" w:name="bookmark31"/>
      <w:bookmarkEnd w:id="51"/>
    </w:p>
    <w:p w14:paraId="0CE34011">
      <w:pPr>
        <w:pStyle w:val="14"/>
        <w:kinsoku w:val="0"/>
        <w:overflowPunct w:val="0"/>
        <w:spacing w:line="360" w:lineRule="auto"/>
        <w:ind w:firstLine="420" w:firstLineChars="200"/>
        <w:rPr>
          <w:rFonts w:ascii="宋体" w:hAnsi="宋体"/>
          <w:szCs w:val="21"/>
        </w:rPr>
      </w:pPr>
    </w:p>
    <w:p w14:paraId="0292999E">
      <w:pPr>
        <w:pStyle w:val="8"/>
        <w:spacing w:line="360" w:lineRule="auto"/>
      </w:pPr>
      <w:r>
        <w:t xml:space="preserve">1.11 </w:t>
      </w:r>
      <w:r>
        <w:rPr>
          <w:rFonts w:hint="eastAsia"/>
        </w:rPr>
        <w:t>分包</w:t>
      </w:r>
    </w:p>
    <w:p w14:paraId="5AEF1169">
      <w:pPr>
        <w:pStyle w:val="14"/>
        <w:kinsoku w:val="0"/>
        <w:overflowPunct w:val="0"/>
        <w:spacing w:line="360" w:lineRule="auto"/>
        <w:ind w:firstLine="420" w:firstLineChars="200"/>
        <w:rPr>
          <w:rFonts w:ascii="宋体" w:hAnsi="宋体"/>
          <w:szCs w:val="21"/>
          <w:u w:val="single"/>
        </w:rPr>
      </w:pPr>
      <w:r>
        <w:rPr>
          <w:rFonts w:hint="eastAsia" w:ascii="宋体" w:hAnsi="宋体"/>
          <w:szCs w:val="21"/>
          <w:u w:val="single"/>
        </w:rPr>
        <w:t>本项目严禁非法分包。对于本工程招标文件没有列明但按国家规定需实施的检测项目工作，如中标人不具备资质的，经招标人同意后可依法分包给具备相关资质的检测单位，分包的检测工作不得再次分包，且中标人与第三方检测单位应对该检测结果向招标人承担连带责任。</w:t>
      </w:r>
    </w:p>
    <w:p w14:paraId="03C2B5BB">
      <w:pPr>
        <w:pStyle w:val="8"/>
        <w:spacing w:line="360" w:lineRule="auto"/>
      </w:pPr>
      <w:bookmarkStart w:id="52" w:name="bookmark32"/>
      <w:bookmarkEnd w:id="52"/>
      <w:r>
        <w:t xml:space="preserve">1.12 </w:t>
      </w:r>
      <w:r>
        <w:rPr>
          <w:rFonts w:hint="eastAsia"/>
        </w:rPr>
        <w:t>响应和偏差</w:t>
      </w:r>
    </w:p>
    <w:p w14:paraId="7E347151">
      <w:pPr>
        <w:pStyle w:val="14"/>
        <w:kinsoku w:val="0"/>
        <w:overflowPunct w:val="0"/>
        <w:spacing w:line="360" w:lineRule="auto"/>
        <w:ind w:firstLine="420" w:firstLineChars="200"/>
        <w:rPr>
          <w:rFonts w:ascii="宋体" w:hAnsi="宋体"/>
          <w:szCs w:val="21"/>
        </w:rPr>
      </w:pPr>
      <w:r>
        <w:rPr>
          <w:rFonts w:ascii="宋体" w:hAnsi="宋体"/>
          <w:szCs w:val="21"/>
        </w:rPr>
        <w:t>1.12.1</w:t>
      </w:r>
      <w:r>
        <w:rPr>
          <w:rFonts w:hint="eastAsia" w:ascii="宋体" w:hAnsi="宋体"/>
          <w:szCs w:val="21"/>
        </w:rPr>
        <w:t>投标文件应当对招标文件的实质性要求和条件作出满足或更有利于招标人的响应，否则，投标人的投标将被否决。实质性要求和条件见投标人须知前附表。</w:t>
      </w:r>
    </w:p>
    <w:p w14:paraId="244DE00C">
      <w:pPr>
        <w:pStyle w:val="14"/>
        <w:kinsoku w:val="0"/>
        <w:overflowPunct w:val="0"/>
        <w:spacing w:line="360" w:lineRule="auto"/>
        <w:ind w:firstLine="420" w:firstLineChars="200"/>
        <w:rPr>
          <w:rFonts w:ascii="宋体" w:hAnsi="宋体"/>
          <w:szCs w:val="21"/>
        </w:rPr>
      </w:pPr>
      <w:r>
        <w:rPr>
          <w:rFonts w:ascii="宋体" w:hAnsi="宋体"/>
          <w:szCs w:val="21"/>
        </w:rPr>
        <w:t>1.12.2</w:t>
      </w:r>
      <w:r>
        <w:rPr>
          <w:rFonts w:hint="eastAsia" w:ascii="宋体" w:hAnsi="宋体"/>
          <w:szCs w:val="21"/>
        </w:rPr>
        <w:t>投标人应根据招标文件的要求提供技术方案等内容以对招标文件作出响应。</w:t>
      </w:r>
    </w:p>
    <w:p w14:paraId="0375D390">
      <w:pPr>
        <w:pStyle w:val="14"/>
        <w:kinsoku w:val="0"/>
        <w:overflowPunct w:val="0"/>
        <w:spacing w:line="360" w:lineRule="auto"/>
        <w:ind w:firstLine="420" w:firstLineChars="200"/>
        <w:rPr>
          <w:rFonts w:ascii="宋体" w:hAnsi="宋体"/>
          <w:szCs w:val="21"/>
        </w:rPr>
      </w:pPr>
      <w:r>
        <w:rPr>
          <w:rFonts w:ascii="宋体" w:hAnsi="宋体"/>
          <w:szCs w:val="21"/>
        </w:rPr>
        <w:t>1.12.3</w:t>
      </w:r>
      <w:r>
        <w:rPr>
          <w:rFonts w:hint="eastAsia" w:ascii="宋体" w:hAnsi="宋体"/>
          <w:szCs w:val="21"/>
        </w:rPr>
        <w:t>投标人须知前附表允许投标文件偏离招标文件某些要求的，偏差应当符合招标文件规定的偏差范围和幅度。</w:t>
      </w:r>
    </w:p>
    <w:p w14:paraId="2AC38A55">
      <w:bookmarkStart w:id="53" w:name="_Toc533357309"/>
    </w:p>
    <w:p w14:paraId="3630099B">
      <w:pPr>
        <w:pStyle w:val="6"/>
      </w:pPr>
      <w:bookmarkStart w:id="54" w:name="_Toc29664"/>
      <w:bookmarkStart w:id="55" w:name="_Toc27703"/>
      <w:bookmarkStart w:id="56" w:name="_Toc24282"/>
      <w:r>
        <w:t xml:space="preserve">2. </w:t>
      </w:r>
      <w:r>
        <w:rPr>
          <w:rFonts w:hint="eastAsia"/>
        </w:rPr>
        <w:t>招标文件</w:t>
      </w:r>
      <w:bookmarkEnd w:id="53"/>
      <w:bookmarkEnd w:id="54"/>
      <w:bookmarkEnd w:id="55"/>
      <w:bookmarkEnd w:id="56"/>
    </w:p>
    <w:p w14:paraId="522F32BF">
      <w:pPr>
        <w:pStyle w:val="8"/>
        <w:spacing w:line="360" w:lineRule="auto"/>
      </w:pPr>
      <w:bookmarkStart w:id="57" w:name="bookmark34"/>
      <w:bookmarkEnd w:id="57"/>
      <w:r>
        <w:t xml:space="preserve">2.1 </w:t>
      </w:r>
      <w:r>
        <w:rPr>
          <w:rFonts w:hint="eastAsia"/>
        </w:rPr>
        <w:t>招标文件的组成</w:t>
      </w:r>
    </w:p>
    <w:p w14:paraId="6B92A0DA">
      <w:pPr>
        <w:pStyle w:val="14"/>
        <w:kinsoku w:val="0"/>
        <w:overflowPunct w:val="0"/>
        <w:spacing w:line="360" w:lineRule="auto"/>
        <w:ind w:firstLine="420" w:firstLineChars="200"/>
        <w:rPr>
          <w:rFonts w:ascii="宋体" w:hAnsi="宋体"/>
          <w:szCs w:val="21"/>
        </w:rPr>
      </w:pPr>
      <w:r>
        <w:rPr>
          <w:rFonts w:hint="eastAsia" w:ascii="宋体" w:hAnsi="宋体"/>
          <w:szCs w:val="21"/>
        </w:rPr>
        <w:t>本招标文件包括：</w:t>
      </w:r>
    </w:p>
    <w:p w14:paraId="480CEBD3">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14:paraId="246DD170">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）投标人须知；</w:t>
      </w:r>
    </w:p>
    <w:p w14:paraId="0D92B7C4">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）评标办法；</w:t>
      </w:r>
    </w:p>
    <w:p w14:paraId="11349AA8">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）合同条款及格式；</w:t>
      </w:r>
    </w:p>
    <w:p w14:paraId="525D8DF8">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）委托人要求；</w:t>
      </w:r>
    </w:p>
    <w:p w14:paraId="6E163722">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）投标文件格式；</w:t>
      </w:r>
    </w:p>
    <w:p w14:paraId="73A82218">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）投标人须知前附表规定的其他资料。</w:t>
      </w:r>
    </w:p>
    <w:p w14:paraId="06F728AC">
      <w:pPr>
        <w:pStyle w:val="14"/>
        <w:kinsoku w:val="0"/>
        <w:overflowPunct w:val="0"/>
        <w:spacing w:line="360" w:lineRule="auto"/>
        <w:rPr>
          <w:rFonts w:ascii="宋体" w:hAnsi="宋体"/>
          <w:szCs w:val="21"/>
        </w:rPr>
      </w:pPr>
      <w:r>
        <w:rPr>
          <w:rFonts w:hint="eastAsia" w:ascii="宋体" w:hAnsi="宋体"/>
          <w:szCs w:val="21"/>
        </w:rPr>
        <w:t>根据本章第</w:t>
      </w:r>
      <w:r>
        <w:rPr>
          <w:rFonts w:ascii="宋体" w:hAnsi="宋体"/>
          <w:szCs w:val="21"/>
        </w:rPr>
        <w:t>1.10</w:t>
      </w:r>
      <w:r>
        <w:rPr>
          <w:rFonts w:hint="eastAsia" w:ascii="宋体" w:hAnsi="宋体"/>
          <w:szCs w:val="21"/>
        </w:rPr>
        <w:t>款、第</w:t>
      </w:r>
      <w:r>
        <w:rPr>
          <w:rFonts w:ascii="宋体" w:hAnsi="宋体"/>
          <w:szCs w:val="21"/>
        </w:rPr>
        <w:t>2.2</w:t>
      </w:r>
      <w:r>
        <w:rPr>
          <w:rFonts w:hint="eastAsia" w:ascii="宋体" w:hAnsi="宋体"/>
          <w:szCs w:val="21"/>
        </w:rPr>
        <w:t>款和第</w:t>
      </w:r>
      <w:r>
        <w:rPr>
          <w:rFonts w:ascii="宋体" w:hAnsi="宋体"/>
          <w:szCs w:val="21"/>
        </w:rPr>
        <w:t>2.3</w:t>
      </w:r>
      <w:r>
        <w:rPr>
          <w:rFonts w:hint="eastAsia" w:ascii="宋体" w:hAnsi="宋体"/>
          <w:szCs w:val="21"/>
        </w:rPr>
        <w:t>款对招标文件所作的澄清、修改，构成招标文件的组成部分。</w:t>
      </w:r>
    </w:p>
    <w:p w14:paraId="06C01A1E">
      <w:pPr>
        <w:pStyle w:val="8"/>
        <w:spacing w:line="360" w:lineRule="auto"/>
      </w:pPr>
      <w:bookmarkStart w:id="58" w:name="bookmark35"/>
      <w:bookmarkEnd w:id="58"/>
      <w:r>
        <w:t xml:space="preserve">2.2 </w:t>
      </w:r>
      <w:r>
        <w:rPr>
          <w:rFonts w:hint="eastAsia"/>
        </w:rPr>
        <w:t>招标文件的澄清</w:t>
      </w:r>
    </w:p>
    <w:p w14:paraId="488D5782">
      <w:pPr>
        <w:pStyle w:val="14"/>
        <w:kinsoku w:val="0"/>
        <w:overflowPunct w:val="0"/>
        <w:spacing w:line="360" w:lineRule="auto"/>
        <w:ind w:firstLine="420" w:firstLineChars="200"/>
        <w:rPr>
          <w:rFonts w:ascii="宋体" w:hAnsi="宋体"/>
          <w:szCs w:val="21"/>
        </w:rPr>
      </w:pPr>
      <w:r>
        <w:rPr>
          <w:rFonts w:ascii="宋体" w:hAnsi="宋体"/>
          <w:szCs w:val="21"/>
        </w:rPr>
        <w:t>2.2.1</w:t>
      </w:r>
      <w:r>
        <w:rPr>
          <w:rFonts w:hint="eastAsia" w:ascii="宋体" w:hAnsi="宋体"/>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0F9447C">
      <w:pPr>
        <w:pStyle w:val="14"/>
        <w:kinsoku w:val="0"/>
        <w:overflowPunct w:val="0"/>
        <w:spacing w:line="360" w:lineRule="auto"/>
        <w:ind w:firstLine="420" w:firstLineChars="200"/>
        <w:rPr>
          <w:rFonts w:ascii="宋体" w:hAnsi="宋体"/>
          <w:szCs w:val="21"/>
        </w:rPr>
      </w:pPr>
      <w:r>
        <w:rPr>
          <w:rFonts w:ascii="宋体" w:hAnsi="宋体"/>
          <w:szCs w:val="21"/>
        </w:rPr>
        <w:t>2.2.2</w:t>
      </w:r>
      <w:r>
        <w:rPr>
          <w:rFonts w:hint="eastAsia" w:ascii="宋体" w:hAnsi="宋体"/>
          <w:szCs w:val="21"/>
        </w:rPr>
        <w:t>招标文件的澄清以投标人须知前附表规定的形式发给所有潜在投标人，但不指明澄清问题的来源。澄清发出的时间距本章第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日的，并且澄清内容可能影响投标文件编制的，将相应延长投标截止时间。</w:t>
      </w:r>
    </w:p>
    <w:p w14:paraId="2537AA70">
      <w:pPr>
        <w:pStyle w:val="14"/>
        <w:kinsoku w:val="0"/>
        <w:overflowPunct w:val="0"/>
        <w:spacing w:line="360" w:lineRule="auto"/>
        <w:ind w:firstLine="420" w:firstLineChars="200"/>
        <w:rPr>
          <w:rFonts w:ascii="宋体" w:hAnsi="宋体"/>
          <w:szCs w:val="21"/>
        </w:rPr>
      </w:pPr>
      <w:r>
        <w:rPr>
          <w:rFonts w:ascii="宋体" w:hAnsi="宋体"/>
          <w:szCs w:val="21"/>
        </w:rPr>
        <w:t xml:space="preserve">2.2.3 </w:t>
      </w:r>
      <w:r>
        <w:rPr>
          <w:rFonts w:hint="eastAsia" w:ascii="宋体" w:hAnsi="宋体"/>
          <w:szCs w:val="21"/>
        </w:rPr>
        <w:t>投标人在收到澄清后，应按投标人须知前附表规定的时间和形式通知</w:t>
      </w:r>
      <w:r>
        <w:rPr>
          <w:rFonts w:hint="eastAsia" w:ascii="宋体" w:hAnsi="宋体"/>
          <w:sz w:val="24"/>
          <w:szCs w:val="24"/>
        </w:rPr>
        <w:t>招标人，</w:t>
      </w:r>
      <w:r>
        <w:rPr>
          <w:rFonts w:hint="eastAsia" w:ascii="宋体" w:hAnsi="宋体"/>
          <w:szCs w:val="21"/>
        </w:rPr>
        <w:t>确认已收到该澄清。</w:t>
      </w:r>
    </w:p>
    <w:p w14:paraId="262A509A">
      <w:pPr>
        <w:pStyle w:val="14"/>
        <w:kinsoku w:val="0"/>
        <w:overflowPunct w:val="0"/>
        <w:spacing w:line="360" w:lineRule="auto"/>
        <w:ind w:firstLine="420" w:firstLineChars="200"/>
        <w:rPr>
          <w:rFonts w:ascii="宋体" w:hAnsi="宋体"/>
          <w:szCs w:val="21"/>
        </w:rPr>
      </w:pPr>
      <w:r>
        <w:rPr>
          <w:rFonts w:ascii="宋体" w:hAnsi="宋体"/>
          <w:szCs w:val="21"/>
        </w:rPr>
        <w:t>2.2.4</w:t>
      </w:r>
      <w:r>
        <w:rPr>
          <w:rFonts w:hint="eastAsia" w:ascii="宋体" w:hAnsi="宋体"/>
          <w:szCs w:val="21"/>
        </w:rPr>
        <w:t>除非招标人认为确有必要答复，否则，招标人有权拒绝回复投标人在本章第</w:t>
      </w:r>
      <w:r>
        <w:rPr>
          <w:rFonts w:ascii="宋体" w:hAnsi="宋体"/>
          <w:szCs w:val="21"/>
        </w:rPr>
        <w:t>2.2.1</w:t>
      </w:r>
      <w:r>
        <w:rPr>
          <w:rFonts w:hint="eastAsia" w:ascii="宋体" w:hAnsi="宋体"/>
          <w:szCs w:val="21"/>
        </w:rPr>
        <w:t>项规定的时间后的任何澄清要求。</w:t>
      </w:r>
    </w:p>
    <w:p w14:paraId="3A6E3FFD">
      <w:pPr>
        <w:pStyle w:val="14"/>
        <w:kinsoku w:val="0"/>
        <w:overflowPunct w:val="0"/>
        <w:spacing w:line="360" w:lineRule="auto"/>
        <w:ind w:firstLine="420" w:firstLineChars="200"/>
        <w:rPr>
          <w:rFonts w:ascii="宋体" w:hAnsi="宋体"/>
          <w:szCs w:val="21"/>
        </w:rPr>
      </w:pPr>
    </w:p>
    <w:p w14:paraId="492B52F0">
      <w:pPr>
        <w:pStyle w:val="8"/>
        <w:spacing w:line="360" w:lineRule="auto"/>
      </w:pPr>
      <w:bookmarkStart w:id="59" w:name="bookmark36"/>
      <w:bookmarkEnd w:id="59"/>
      <w:r>
        <w:t xml:space="preserve">2.3 </w:t>
      </w:r>
      <w:r>
        <w:rPr>
          <w:rFonts w:hint="eastAsia"/>
        </w:rPr>
        <w:t>招标文件的修改</w:t>
      </w:r>
    </w:p>
    <w:p w14:paraId="41F6C8CD">
      <w:pPr>
        <w:pStyle w:val="14"/>
        <w:kinsoku w:val="0"/>
        <w:overflowPunct w:val="0"/>
        <w:spacing w:line="360" w:lineRule="auto"/>
        <w:ind w:firstLine="420" w:firstLineChars="200"/>
        <w:rPr>
          <w:rFonts w:ascii="宋体" w:hAnsi="宋体"/>
          <w:szCs w:val="21"/>
        </w:rPr>
      </w:pPr>
      <w:r>
        <w:rPr>
          <w:rFonts w:ascii="宋体" w:hAnsi="宋体"/>
          <w:szCs w:val="21"/>
        </w:rPr>
        <w:t>2.3.1</w:t>
      </w:r>
      <w:r>
        <w:rPr>
          <w:rFonts w:hint="eastAsia" w:ascii="宋体" w:hAnsi="宋体"/>
          <w:szCs w:val="21"/>
        </w:rPr>
        <w:t>招标人以投标人须知前附表规定的形式修改招标文件，并通知所有潜在投标人。修改招标文件的时间距本章第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日的，并且修改内容可能影响投标文件编制的，将相应延长投标截止时间。</w:t>
      </w:r>
    </w:p>
    <w:p w14:paraId="065F66D9">
      <w:pPr>
        <w:pStyle w:val="14"/>
        <w:kinsoku w:val="0"/>
        <w:overflowPunct w:val="0"/>
        <w:spacing w:line="360" w:lineRule="auto"/>
        <w:ind w:firstLine="420" w:firstLineChars="200"/>
        <w:rPr>
          <w:rFonts w:ascii="宋体" w:hAnsi="宋体"/>
          <w:szCs w:val="21"/>
        </w:rPr>
      </w:pPr>
      <w:r>
        <w:rPr>
          <w:rFonts w:ascii="宋体" w:hAnsi="宋体"/>
          <w:szCs w:val="21"/>
        </w:rPr>
        <w:t>2.3.2</w:t>
      </w:r>
      <w:r>
        <w:rPr>
          <w:rFonts w:hint="eastAsia" w:ascii="宋体" w:hAnsi="宋体"/>
          <w:szCs w:val="21"/>
        </w:rPr>
        <w:t>投标人收到修改内容后，应按投标人须知前附表规定的时间和形式通知招标人，确认已收到该修改。</w:t>
      </w:r>
    </w:p>
    <w:p w14:paraId="31A09C40">
      <w:pPr>
        <w:pStyle w:val="14"/>
        <w:kinsoku w:val="0"/>
        <w:overflowPunct w:val="0"/>
        <w:spacing w:line="360" w:lineRule="auto"/>
        <w:ind w:firstLine="420" w:firstLineChars="200"/>
        <w:rPr>
          <w:rFonts w:ascii="宋体" w:hAnsi="宋体"/>
          <w:szCs w:val="21"/>
        </w:rPr>
      </w:pPr>
    </w:p>
    <w:p w14:paraId="7DEB8C04">
      <w:pPr>
        <w:pStyle w:val="8"/>
        <w:spacing w:line="360" w:lineRule="auto"/>
      </w:pPr>
      <w:bookmarkStart w:id="60" w:name="bookmark37"/>
      <w:bookmarkEnd w:id="60"/>
      <w:r>
        <w:t xml:space="preserve">2.4 </w:t>
      </w:r>
      <w:r>
        <w:rPr>
          <w:rFonts w:hint="eastAsia"/>
        </w:rPr>
        <w:t>招标文件的异议</w:t>
      </w:r>
    </w:p>
    <w:p w14:paraId="4BB4D10B">
      <w:pPr>
        <w:pStyle w:val="14"/>
        <w:kinsoku w:val="0"/>
        <w:overflowPunct w:val="0"/>
        <w:spacing w:line="360" w:lineRule="auto"/>
        <w:ind w:firstLine="420" w:firstLineChars="200"/>
        <w:rPr>
          <w:rFonts w:ascii="宋体" w:hAnsi="宋体"/>
          <w:szCs w:val="21"/>
        </w:rPr>
      </w:pPr>
      <w:r>
        <w:rPr>
          <w:rFonts w:hint="eastAsia" w:ascii="宋体" w:hAnsi="宋体"/>
          <w:szCs w:val="21"/>
        </w:rPr>
        <w:t>投标人或者其他利害关系人对招标文件有异议的，应当在投标截止时间</w:t>
      </w:r>
      <w:r>
        <w:rPr>
          <w:rFonts w:ascii="宋体" w:hAnsi="宋体"/>
          <w:szCs w:val="21"/>
        </w:rPr>
        <w:t>10</w:t>
      </w:r>
      <w:r>
        <w:rPr>
          <w:rFonts w:hint="eastAsia" w:ascii="宋体" w:hAnsi="宋体"/>
          <w:szCs w:val="21"/>
        </w:rPr>
        <w:t>日前以书面形式提出。招标人将在收到异议之日起</w:t>
      </w:r>
      <w:r>
        <w:rPr>
          <w:rFonts w:ascii="宋体" w:hAnsi="宋体"/>
          <w:szCs w:val="21"/>
        </w:rPr>
        <w:t>3</w:t>
      </w:r>
      <w:r>
        <w:rPr>
          <w:rFonts w:hint="eastAsia" w:ascii="宋体" w:hAnsi="宋体"/>
          <w:szCs w:val="21"/>
        </w:rPr>
        <w:t>日内作出答复;作出答复前,将暂停招标投标活动。</w:t>
      </w:r>
    </w:p>
    <w:p w14:paraId="7742B1EA">
      <w:pPr>
        <w:pStyle w:val="14"/>
        <w:kinsoku w:val="0"/>
        <w:overflowPunct w:val="0"/>
        <w:spacing w:line="360" w:lineRule="auto"/>
        <w:ind w:firstLine="420" w:firstLineChars="200"/>
        <w:rPr>
          <w:rFonts w:ascii="宋体" w:hAnsi="宋体"/>
          <w:szCs w:val="21"/>
        </w:rPr>
      </w:pPr>
    </w:p>
    <w:p w14:paraId="09F9FB05">
      <w:pPr>
        <w:pStyle w:val="6"/>
      </w:pPr>
      <w:bookmarkStart w:id="61" w:name="_Toc648"/>
      <w:bookmarkStart w:id="62" w:name="_Toc31485"/>
      <w:bookmarkStart w:id="63" w:name="_Toc533357310"/>
      <w:bookmarkStart w:id="64" w:name="_Toc3150"/>
      <w:r>
        <w:t xml:space="preserve">3. </w:t>
      </w:r>
      <w:r>
        <w:rPr>
          <w:rFonts w:hint="eastAsia"/>
        </w:rPr>
        <w:t>投标文件</w:t>
      </w:r>
      <w:bookmarkEnd w:id="61"/>
      <w:bookmarkEnd w:id="62"/>
      <w:bookmarkEnd w:id="63"/>
      <w:bookmarkEnd w:id="64"/>
    </w:p>
    <w:p w14:paraId="4FBD529D">
      <w:pPr>
        <w:pStyle w:val="8"/>
        <w:spacing w:line="360" w:lineRule="auto"/>
        <w:ind w:firstLine="420"/>
      </w:pPr>
      <w:bookmarkStart w:id="65" w:name="bookmark39"/>
      <w:bookmarkEnd w:id="65"/>
      <w:r>
        <w:t xml:space="preserve">3.1 </w:t>
      </w:r>
      <w:r>
        <w:rPr>
          <w:rFonts w:hint="eastAsia"/>
        </w:rPr>
        <w:t>投标文件的组成</w:t>
      </w:r>
    </w:p>
    <w:p w14:paraId="43086D67">
      <w:pPr>
        <w:pStyle w:val="14"/>
        <w:kinsoku w:val="0"/>
        <w:overflowPunct w:val="0"/>
        <w:spacing w:line="360" w:lineRule="auto"/>
        <w:ind w:firstLine="420" w:firstLineChars="200"/>
        <w:rPr>
          <w:rFonts w:ascii="宋体" w:hAnsi="宋体"/>
          <w:szCs w:val="21"/>
        </w:rPr>
      </w:pPr>
      <w:r>
        <w:rPr>
          <w:rFonts w:ascii="宋体" w:hAnsi="宋体"/>
          <w:szCs w:val="21"/>
        </w:rPr>
        <w:t>3.1.1</w:t>
      </w:r>
      <w:r>
        <w:rPr>
          <w:rFonts w:hint="eastAsia" w:ascii="宋体" w:hAnsi="宋体"/>
          <w:szCs w:val="21"/>
        </w:rPr>
        <w:t>投标文件应包括下列内容：</w:t>
      </w:r>
    </w:p>
    <w:p w14:paraId="097FE558">
      <w:pPr>
        <w:pStyle w:val="14"/>
        <w:kinsoku w:val="0"/>
        <w:overflowPunct w:val="0"/>
        <w:spacing w:line="360" w:lineRule="auto"/>
        <w:ind w:firstLine="420" w:firstLineChars="200"/>
        <w:rPr>
          <w:rFonts w:ascii="宋体" w:hAnsi="宋体"/>
          <w:szCs w:val="21"/>
        </w:rPr>
      </w:pPr>
      <w:r>
        <w:rPr>
          <w:rFonts w:hint="eastAsia" w:ascii="宋体" w:hAnsi="宋体"/>
          <w:szCs w:val="21"/>
        </w:rPr>
        <w:t>（1）投标函及其附表；</w:t>
      </w:r>
    </w:p>
    <w:p w14:paraId="56E98882">
      <w:pPr>
        <w:pStyle w:val="14"/>
        <w:kinsoku w:val="0"/>
        <w:overflowPunct w:val="0"/>
        <w:spacing w:line="360" w:lineRule="auto"/>
        <w:ind w:firstLine="420" w:firstLineChars="200"/>
        <w:rPr>
          <w:rFonts w:ascii="宋体" w:hAnsi="宋体"/>
          <w:szCs w:val="21"/>
        </w:rPr>
      </w:pPr>
      <w:r>
        <w:rPr>
          <w:rFonts w:hint="eastAsia" w:ascii="宋体" w:hAnsi="宋体"/>
          <w:szCs w:val="21"/>
        </w:rPr>
        <w:t>（2）法定代表人证明书及授权委托书；</w:t>
      </w:r>
    </w:p>
    <w:p w14:paraId="41D3DF8A">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）投标报价书；</w:t>
      </w:r>
    </w:p>
    <w:p w14:paraId="07097D91">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）资格审查资料；</w:t>
      </w:r>
    </w:p>
    <w:p w14:paraId="54E5ACEE">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）类似项目情况表；</w:t>
      </w:r>
    </w:p>
    <w:p w14:paraId="3365859E">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）拟投入本项目的检测人员一览表；</w:t>
      </w:r>
    </w:p>
    <w:p w14:paraId="4259575A">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）拟投入本项目的检测人员简历表；</w:t>
      </w:r>
    </w:p>
    <w:p w14:paraId="40313236">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）拟投入本项目的主要仪器设备一览表；</w:t>
      </w:r>
    </w:p>
    <w:p w14:paraId="4116A961">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）检测方案；</w:t>
      </w:r>
    </w:p>
    <w:p w14:paraId="418AD867">
      <w:pPr>
        <w:pStyle w:val="14"/>
        <w:kinsoku w:val="0"/>
        <w:overflowPunct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）中小企业声明函（如有）</w:t>
      </w:r>
    </w:p>
    <w:p w14:paraId="4C14B95F">
      <w:pPr>
        <w:pStyle w:val="14"/>
        <w:kinsoku w:val="0"/>
        <w:overflowPunct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）其他资料。投标人须知前附表规定的其他资料，投标人认为有必要提交的其他资料。投标人在评标过程中作出的符合法律法规和招标文件规定的澄清确认，构成投标文件的组成部分。</w:t>
      </w:r>
    </w:p>
    <w:p w14:paraId="465BC6D8">
      <w:pPr>
        <w:pStyle w:val="14"/>
        <w:kinsoku w:val="0"/>
        <w:overflowPunct w:val="0"/>
        <w:spacing w:line="360" w:lineRule="auto"/>
        <w:ind w:firstLine="420" w:firstLineChars="200"/>
        <w:rPr>
          <w:rFonts w:ascii="宋体" w:hAnsi="宋体"/>
          <w:szCs w:val="21"/>
        </w:rPr>
      </w:pPr>
      <w:r>
        <w:rPr>
          <w:rFonts w:ascii="宋体" w:hAnsi="宋体"/>
          <w:szCs w:val="21"/>
        </w:rPr>
        <w:t>3.1.2</w:t>
      </w:r>
      <w:r>
        <w:rPr>
          <w:rFonts w:hint="eastAsia" w:ascii="宋体" w:hAnsi="宋体"/>
          <w:szCs w:val="21"/>
        </w:rPr>
        <w:t>投标人须知前附表规定不接受联合体投标的，或投标人没有组成联合体的，投标文件不包括本章第</w:t>
      </w:r>
      <w:r>
        <w:rPr>
          <w:rFonts w:ascii="宋体" w:hAnsi="宋体"/>
          <w:szCs w:val="21"/>
        </w:rPr>
        <w:t>3.1.1</w:t>
      </w:r>
      <w:r>
        <w:rPr>
          <w:rFonts w:hint="eastAsia" w:ascii="宋体" w:hAnsi="宋体"/>
          <w:szCs w:val="21"/>
        </w:rPr>
        <w:t>所指的联合体协议书。</w:t>
      </w:r>
    </w:p>
    <w:p w14:paraId="0C4E6409">
      <w:pPr>
        <w:pStyle w:val="14"/>
        <w:kinsoku w:val="0"/>
        <w:overflowPunct w:val="0"/>
        <w:spacing w:line="360" w:lineRule="auto"/>
        <w:ind w:firstLine="420" w:firstLineChars="200"/>
        <w:rPr>
          <w:rFonts w:ascii="宋体" w:hAnsi="宋体"/>
          <w:szCs w:val="21"/>
        </w:rPr>
      </w:pPr>
    </w:p>
    <w:p w14:paraId="7DF8B549">
      <w:pPr>
        <w:pStyle w:val="14"/>
        <w:kinsoku w:val="0"/>
        <w:overflowPunct w:val="0"/>
        <w:spacing w:line="360" w:lineRule="auto"/>
        <w:ind w:firstLine="420" w:firstLineChars="200"/>
        <w:rPr>
          <w:rFonts w:ascii="宋体" w:hAnsi="宋体"/>
          <w:szCs w:val="21"/>
        </w:rPr>
      </w:pPr>
    </w:p>
    <w:p w14:paraId="129D5A61">
      <w:pPr>
        <w:pStyle w:val="8"/>
        <w:spacing w:line="360" w:lineRule="auto"/>
      </w:pPr>
      <w:bookmarkStart w:id="66" w:name="bookmark40"/>
      <w:bookmarkEnd w:id="66"/>
      <w:r>
        <w:t xml:space="preserve">3.2 </w:t>
      </w:r>
      <w:r>
        <w:rPr>
          <w:rFonts w:hint="eastAsia"/>
        </w:rPr>
        <w:t>投标报价</w:t>
      </w:r>
    </w:p>
    <w:p w14:paraId="699CF52C">
      <w:pPr>
        <w:pStyle w:val="14"/>
        <w:kinsoku w:val="0"/>
        <w:overflowPunct w:val="0"/>
        <w:spacing w:line="360" w:lineRule="auto"/>
        <w:ind w:firstLine="420" w:firstLineChars="200"/>
        <w:rPr>
          <w:rFonts w:ascii="宋体" w:hAnsi="宋体"/>
          <w:szCs w:val="21"/>
        </w:rPr>
      </w:pPr>
      <w:r>
        <w:rPr>
          <w:rFonts w:ascii="宋体" w:hAnsi="宋体"/>
          <w:szCs w:val="21"/>
        </w:rPr>
        <w:t>3.2.1</w:t>
      </w:r>
      <w:r>
        <w:rPr>
          <w:rFonts w:hint="eastAsia" w:ascii="宋体" w:hAnsi="宋体"/>
          <w:szCs w:val="21"/>
        </w:rPr>
        <w:t>投标报价应包括国家规定的增值税税金，除投标人须知前附表另有规定外，增值税税金按一般计税方法计算。投标人应按第六章“投标文件格式”的要求在投标函中进行报价并填写报价书。</w:t>
      </w:r>
    </w:p>
    <w:p w14:paraId="141CB1B4">
      <w:pPr>
        <w:pStyle w:val="14"/>
        <w:kinsoku w:val="0"/>
        <w:overflowPunct w:val="0"/>
        <w:spacing w:line="360" w:lineRule="auto"/>
        <w:ind w:firstLine="420" w:firstLineChars="200"/>
        <w:rPr>
          <w:rFonts w:ascii="宋体" w:hAnsi="宋体"/>
          <w:szCs w:val="21"/>
        </w:rPr>
      </w:pPr>
      <w:r>
        <w:rPr>
          <w:rFonts w:ascii="宋体" w:hAnsi="宋体"/>
          <w:szCs w:val="21"/>
        </w:rPr>
        <w:t>3.2.2</w:t>
      </w:r>
      <w:r>
        <w:rPr>
          <w:rFonts w:hint="eastAsia" w:ascii="宋体" w:hAnsi="宋体"/>
          <w:szCs w:val="21"/>
        </w:rPr>
        <w:t>投标人应充分了解该项目的总体情况以及影响投标报价的其他要素。</w:t>
      </w:r>
    </w:p>
    <w:p w14:paraId="254132F3">
      <w:pPr>
        <w:pStyle w:val="14"/>
        <w:kinsoku w:val="0"/>
        <w:overflowPunct w:val="0"/>
        <w:spacing w:line="360" w:lineRule="auto"/>
        <w:ind w:firstLine="420" w:firstLineChars="200"/>
        <w:rPr>
          <w:rFonts w:ascii="宋体" w:hAnsi="宋体"/>
          <w:szCs w:val="21"/>
        </w:rPr>
      </w:pPr>
      <w:r>
        <w:rPr>
          <w:rFonts w:ascii="宋体" w:hAnsi="宋体"/>
          <w:szCs w:val="21"/>
        </w:rPr>
        <w:t>3.2.3</w:t>
      </w:r>
      <w:r>
        <w:rPr>
          <w:rFonts w:hint="eastAsia" w:ascii="宋体" w:hAnsi="宋体"/>
          <w:szCs w:val="21"/>
        </w:rPr>
        <w:t>本项目的报价方式见投标人须知前附表。投标人在投标截止时间前修改投标函中的投标报价总额，应同时修改投标文件“报价书”中的相应报价。此修改须符合本章第</w:t>
      </w:r>
      <w:r>
        <w:rPr>
          <w:rFonts w:ascii="宋体" w:hAnsi="宋体"/>
          <w:szCs w:val="21"/>
        </w:rPr>
        <w:t>4.3</w:t>
      </w:r>
      <w:r>
        <w:rPr>
          <w:rFonts w:hint="eastAsia" w:ascii="宋体" w:hAnsi="宋体"/>
          <w:szCs w:val="21"/>
        </w:rPr>
        <w:t>款的有关要求。</w:t>
      </w:r>
    </w:p>
    <w:p w14:paraId="7844FBE0">
      <w:pPr>
        <w:pStyle w:val="14"/>
        <w:kinsoku w:val="0"/>
        <w:overflowPunct w:val="0"/>
        <w:spacing w:line="360" w:lineRule="auto"/>
        <w:ind w:firstLine="420" w:firstLineChars="200"/>
        <w:rPr>
          <w:rFonts w:ascii="宋体" w:hAnsi="宋体"/>
          <w:szCs w:val="21"/>
        </w:rPr>
      </w:pPr>
      <w:r>
        <w:rPr>
          <w:rFonts w:ascii="宋体" w:hAnsi="宋体"/>
          <w:szCs w:val="21"/>
        </w:rPr>
        <w:t>3.2.4</w:t>
      </w:r>
      <w:r>
        <w:rPr>
          <w:rFonts w:hint="eastAsia" w:ascii="宋体" w:hAnsi="宋体"/>
          <w:szCs w:val="21"/>
        </w:rPr>
        <w:t>招标人设有最高投标限价的，投标人的投标报价不得超过最高投标限价，最高投标限价在投标人须知前附表中载明。</w:t>
      </w:r>
    </w:p>
    <w:p w14:paraId="191ECA05">
      <w:pPr>
        <w:pStyle w:val="14"/>
        <w:kinsoku w:val="0"/>
        <w:overflowPunct w:val="0"/>
        <w:spacing w:line="360" w:lineRule="auto"/>
        <w:ind w:firstLine="420" w:firstLineChars="200"/>
        <w:rPr>
          <w:rFonts w:ascii="宋体" w:hAnsi="宋体"/>
          <w:szCs w:val="21"/>
        </w:rPr>
      </w:pPr>
      <w:r>
        <w:rPr>
          <w:rFonts w:ascii="宋体" w:hAnsi="宋体"/>
          <w:szCs w:val="21"/>
        </w:rPr>
        <w:t>3.2.5</w:t>
      </w:r>
      <w:r>
        <w:rPr>
          <w:rFonts w:hint="eastAsia" w:ascii="宋体" w:hAnsi="宋体"/>
          <w:szCs w:val="21"/>
        </w:rPr>
        <w:t>投标报价的其他要求见投标人须知前附表。</w:t>
      </w:r>
    </w:p>
    <w:p w14:paraId="12F9FD0E">
      <w:pPr>
        <w:pStyle w:val="14"/>
        <w:kinsoku w:val="0"/>
        <w:overflowPunct w:val="0"/>
        <w:spacing w:line="360" w:lineRule="auto"/>
        <w:ind w:firstLine="420" w:firstLineChars="200"/>
        <w:rPr>
          <w:rFonts w:ascii="宋体" w:hAnsi="宋体"/>
          <w:szCs w:val="21"/>
        </w:rPr>
      </w:pPr>
    </w:p>
    <w:p w14:paraId="5270A9AA">
      <w:pPr>
        <w:pStyle w:val="8"/>
        <w:spacing w:line="360" w:lineRule="auto"/>
      </w:pPr>
      <w:bookmarkStart w:id="67" w:name="bookmark41"/>
      <w:bookmarkEnd w:id="67"/>
      <w:r>
        <w:t xml:space="preserve">3.3 </w:t>
      </w:r>
      <w:r>
        <w:rPr>
          <w:rFonts w:hint="eastAsia"/>
        </w:rPr>
        <w:t>投标有效期</w:t>
      </w:r>
    </w:p>
    <w:p w14:paraId="77E37F6E">
      <w:pPr>
        <w:pStyle w:val="14"/>
        <w:kinsoku w:val="0"/>
        <w:overflowPunct w:val="0"/>
        <w:spacing w:line="360" w:lineRule="auto"/>
        <w:ind w:firstLine="420" w:firstLineChars="200"/>
        <w:rPr>
          <w:rFonts w:ascii="宋体" w:hAnsi="宋体"/>
          <w:szCs w:val="21"/>
        </w:rPr>
      </w:pPr>
      <w:r>
        <w:rPr>
          <w:rFonts w:ascii="宋体" w:hAnsi="宋体"/>
          <w:szCs w:val="21"/>
        </w:rPr>
        <w:t>3.3.1</w:t>
      </w:r>
      <w:r>
        <w:rPr>
          <w:rFonts w:hint="eastAsia" w:ascii="宋体" w:hAnsi="宋体"/>
          <w:szCs w:val="21"/>
        </w:rPr>
        <w:t>除投标人须知前附表另有规定外，投标有效期为</w:t>
      </w:r>
      <w:r>
        <w:rPr>
          <w:rFonts w:ascii="宋体" w:hAnsi="宋体"/>
          <w:szCs w:val="21"/>
        </w:rPr>
        <w:t>90</w:t>
      </w:r>
      <w:r>
        <w:rPr>
          <w:rFonts w:hint="eastAsia" w:ascii="宋体" w:hAnsi="宋体"/>
          <w:szCs w:val="21"/>
        </w:rPr>
        <w:t>天。</w:t>
      </w:r>
    </w:p>
    <w:p w14:paraId="5BCB4850">
      <w:pPr>
        <w:pStyle w:val="14"/>
        <w:kinsoku w:val="0"/>
        <w:overflowPunct w:val="0"/>
        <w:spacing w:line="360" w:lineRule="auto"/>
        <w:ind w:firstLine="420" w:firstLineChars="200"/>
        <w:rPr>
          <w:rFonts w:ascii="宋体" w:hAnsi="宋体"/>
          <w:szCs w:val="21"/>
        </w:rPr>
      </w:pPr>
      <w:r>
        <w:rPr>
          <w:rFonts w:ascii="宋体" w:hAnsi="宋体"/>
          <w:szCs w:val="21"/>
        </w:rPr>
        <w:t>3.3.2</w:t>
      </w:r>
      <w:r>
        <w:rPr>
          <w:rFonts w:hint="eastAsia" w:ascii="宋体" w:hAnsi="宋体"/>
          <w:szCs w:val="21"/>
        </w:rPr>
        <w:t>在投标有效期内，投标人撤销投标文件的，应承担招标文件和法律规定的责任。</w:t>
      </w:r>
    </w:p>
    <w:p w14:paraId="097D240E">
      <w:pPr>
        <w:pStyle w:val="14"/>
        <w:kinsoku w:val="0"/>
        <w:overflowPunct w:val="0"/>
        <w:spacing w:line="360" w:lineRule="auto"/>
        <w:ind w:firstLine="420" w:firstLineChars="200"/>
        <w:rPr>
          <w:rFonts w:ascii="宋体" w:hAnsi="宋体"/>
          <w:szCs w:val="21"/>
        </w:rPr>
      </w:pPr>
    </w:p>
    <w:p w14:paraId="6941AA18">
      <w:pPr>
        <w:pStyle w:val="8"/>
        <w:spacing w:line="360" w:lineRule="auto"/>
      </w:pPr>
      <w:bookmarkStart w:id="68" w:name="bookmark42"/>
      <w:bookmarkEnd w:id="68"/>
      <w:r>
        <w:t xml:space="preserve">3.4 </w:t>
      </w:r>
      <w:r>
        <w:rPr>
          <w:rFonts w:hint="eastAsia"/>
        </w:rPr>
        <w:t>投标保证金</w:t>
      </w:r>
    </w:p>
    <w:p w14:paraId="13D0BFA1">
      <w:pPr>
        <w:pStyle w:val="14"/>
        <w:kinsoku w:val="0"/>
        <w:overflowPunct w:val="0"/>
        <w:spacing w:line="360" w:lineRule="auto"/>
        <w:ind w:firstLine="420" w:firstLineChars="200"/>
        <w:rPr>
          <w:rFonts w:ascii="宋体" w:hAnsi="宋体"/>
          <w:szCs w:val="21"/>
        </w:rPr>
      </w:pPr>
      <w:r>
        <w:rPr>
          <w:rFonts w:ascii="宋体" w:hAnsi="宋体"/>
          <w:szCs w:val="21"/>
        </w:rPr>
        <w:t>3.4.1</w:t>
      </w:r>
      <w:bookmarkStart w:id="69" w:name="bookmark43"/>
      <w:bookmarkEnd w:id="69"/>
      <w:r>
        <w:rPr>
          <w:rFonts w:hint="eastAsia" w:ascii="宋体" w:hAnsi="宋体"/>
          <w:szCs w:val="21"/>
        </w:rPr>
        <w:t xml:space="preserve"> 不要求投标人递交投标保证金</w:t>
      </w:r>
    </w:p>
    <w:p w14:paraId="6CA09F08">
      <w:pPr>
        <w:pStyle w:val="14"/>
        <w:kinsoku w:val="0"/>
        <w:overflowPunct w:val="0"/>
        <w:spacing w:line="360" w:lineRule="auto"/>
        <w:ind w:firstLine="420" w:firstLineChars="200"/>
        <w:rPr>
          <w:rFonts w:ascii="宋体" w:hAnsi="宋体"/>
          <w:szCs w:val="21"/>
        </w:rPr>
      </w:pPr>
    </w:p>
    <w:p w14:paraId="537A32BB">
      <w:pPr>
        <w:pStyle w:val="8"/>
        <w:spacing w:line="360" w:lineRule="auto"/>
      </w:pPr>
      <w:bookmarkStart w:id="70" w:name="bookmark44"/>
      <w:bookmarkEnd w:id="70"/>
      <w:r>
        <w:t xml:space="preserve">3.5 </w:t>
      </w:r>
      <w:r>
        <w:rPr>
          <w:rFonts w:hint="eastAsia"/>
        </w:rPr>
        <w:t>资格审查资料</w:t>
      </w:r>
    </w:p>
    <w:p w14:paraId="1490F65B">
      <w:pPr>
        <w:pStyle w:val="14"/>
        <w:kinsoku w:val="0"/>
        <w:overflowPunct w:val="0"/>
        <w:spacing w:line="360" w:lineRule="auto"/>
        <w:ind w:firstLine="420" w:firstLineChars="200"/>
        <w:rPr>
          <w:rFonts w:ascii="宋体" w:hAnsi="宋体"/>
          <w:szCs w:val="21"/>
        </w:rPr>
      </w:pPr>
      <w:bookmarkStart w:id="71" w:name="bookmark45"/>
      <w:bookmarkEnd w:id="71"/>
      <w:r>
        <w:rPr>
          <w:rFonts w:hint="eastAsia" w:ascii="宋体" w:hAnsi="宋体"/>
          <w:szCs w:val="21"/>
        </w:rPr>
        <w:t>除投标人须知前附表另有规定外，投标人应按下列规定提供资格审查资料，以证明其满足本章第</w:t>
      </w:r>
      <w:r>
        <w:rPr>
          <w:rFonts w:ascii="宋体" w:hAnsi="宋体"/>
          <w:szCs w:val="21"/>
        </w:rPr>
        <w:t>1.4</w:t>
      </w:r>
      <w:r>
        <w:rPr>
          <w:rFonts w:hint="eastAsia" w:ascii="宋体" w:hAnsi="宋体"/>
          <w:szCs w:val="21"/>
        </w:rPr>
        <w:t>款规定的资质、信誉等要求。</w:t>
      </w:r>
    </w:p>
    <w:p w14:paraId="059D79A5">
      <w:pPr>
        <w:pStyle w:val="14"/>
        <w:kinsoku w:val="0"/>
        <w:overflowPunct w:val="0"/>
        <w:spacing w:line="360" w:lineRule="auto"/>
        <w:ind w:firstLine="420" w:firstLineChars="200"/>
        <w:rPr>
          <w:rFonts w:ascii="宋体" w:hAnsi="宋体"/>
          <w:szCs w:val="21"/>
        </w:rPr>
      </w:pPr>
      <w:r>
        <w:rPr>
          <w:rFonts w:ascii="宋体" w:hAnsi="宋体"/>
          <w:szCs w:val="21"/>
        </w:rPr>
        <w:t>3.5.1</w:t>
      </w:r>
      <w:r>
        <w:rPr>
          <w:rFonts w:hint="eastAsia" w:ascii="宋体" w:hAnsi="宋体"/>
          <w:szCs w:val="21"/>
        </w:rPr>
        <w:t>“投标人基本情况表”应附检测投标单位的营业执照副本或事业单位法人证书副本、建设行政主管部门颁发的建设工程质量检测机构资质证书、质量技术监督部门颁发的</w:t>
      </w:r>
      <w:r>
        <w:rPr>
          <w:rFonts w:ascii="宋体" w:hAnsi="宋体"/>
          <w:szCs w:val="21"/>
        </w:rPr>
        <w:t>CMA</w:t>
      </w:r>
      <w:r>
        <w:rPr>
          <w:rFonts w:hint="eastAsia" w:ascii="宋体" w:hAnsi="宋体"/>
          <w:szCs w:val="21"/>
        </w:rPr>
        <w:t>计量认证合格证书（或CMA检验检测机构资质认定证书）以及其他相关资料的清晰扫描件。</w:t>
      </w:r>
    </w:p>
    <w:p w14:paraId="63692A93">
      <w:pPr>
        <w:pStyle w:val="14"/>
        <w:kinsoku w:val="0"/>
        <w:overflowPunct w:val="0"/>
        <w:spacing w:line="360" w:lineRule="auto"/>
        <w:ind w:firstLine="420" w:firstLineChars="200"/>
        <w:rPr>
          <w:rFonts w:ascii="宋体" w:hAnsi="宋体"/>
          <w:szCs w:val="21"/>
        </w:rPr>
      </w:pPr>
      <w:r>
        <w:rPr>
          <w:rFonts w:hint="eastAsia" w:ascii="宋体" w:hAnsi="宋体"/>
          <w:szCs w:val="21"/>
        </w:rPr>
        <w:t>3.5.2其他满足本章第</w:t>
      </w:r>
      <w:r>
        <w:rPr>
          <w:rFonts w:ascii="宋体" w:hAnsi="宋体"/>
          <w:szCs w:val="21"/>
        </w:rPr>
        <w:t>1.4.1</w:t>
      </w:r>
      <w:r>
        <w:rPr>
          <w:rFonts w:hint="eastAsia" w:ascii="宋体" w:hAnsi="宋体"/>
          <w:szCs w:val="21"/>
        </w:rPr>
        <w:t>项规定的要求的相关资料。</w:t>
      </w:r>
    </w:p>
    <w:p w14:paraId="25AE75B6">
      <w:pPr>
        <w:spacing w:line="360" w:lineRule="auto"/>
        <w:ind w:firstLine="420" w:firstLineChars="200"/>
      </w:pPr>
      <w:r>
        <w:rPr>
          <w:rFonts w:hint="eastAsia" w:ascii="宋体" w:hAnsi="宋体"/>
          <w:szCs w:val="21"/>
        </w:rPr>
        <w:t>3.5.3</w:t>
      </w:r>
      <w:r>
        <w:rPr>
          <w:rFonts w:hint="eastAsia"/>
        </w:rPr>
        <w:t>投标人须知前附表规定接受联合体投标的，本章第 3.5.1 项至第 3.5.2 项规定的表格和资料应包括联合体各方相关情况。</w:t>
      </w:r>
    </w:p>
    <w:p w14:paraId="0BA6A2D2">
      <w:pPr>
        <w:spacing w:line="360" w:lineRule="auto"/>
        <w:rPr>
          <w:rFonts w:ascii="宋体" w:hAnsi="宋体"/>
        </w:rPr>
      </w:pPr>
    </w:p>
    <w:p w14:paraId="7F223634">
      <w:pPr>
        <w:pStyle w:val="8"/>
        <w:spacing w:line="360" w:lineRule="auto"/>
      </w:pPr>
      <w:r>
        <w:t xml:space="preserve">3.6 </w:t>
      </w:r>
      <w:r>
        <w:rPr>
          <w:rFonts w:hint="eastAsia"/>
        </w:rPr>
        <w:t>备选投标方案</w:t>
      </w:r>
    </w:p>
    <w:p w14:paraId="52173A0C">
      <w:pPr>
        <w:pStyle w:val="14"/>
        <w:kinsoku w:val="0"/>
        <w:overflowPunct w:val="0"/>
        <w:spacing w:line="360" w:lineRule="auto"/>
        <w:ind w:firstLine="420" w:firstLineChars="200"/>
        <w:rPr>
          <w:rFonts w:ascii="宋体" w:hAnsi="宋体"/>
          <w:szCs w:val="21"/>
        </w:rPr>
      </w:pPr>
      <w:r>
        <w:rPr>
          <w:rFonts w:ascii="宋体" w:hAnsi="宋体"/>
          <w:szCs w:val="21"/>
        </w:rPr>
        <w:t>3.6.1</w:t>
      </w:r>
      <w:r>
        <w:rPr>
          <w:rFonts w:hint="eastAsia" w:ascii="宋体" w:hAnsi="宋体"/>
          <w:szCs w:val="21"/>
        </w:rPr>
        <w:t>除投标人须知前附表规定允许外，投标人不得递交备选投标方案，否则其投标将被否决。</w:t>
      </w:r>
    </w:p>
    <w:p w14:paraId="7DCF0E12">
      <w:pPr>
        <w:pStyle w:val="14"/>
        <w:kinsoku w:val="0"/>
        <w:overflowPunct w:val="0"/>
        <w:spacing w:line="360" w:lineRule="auto"/>
        <w:ind w:firstLine="420" w:firstLineChars="200"/>
        <w:rPr>
          <w:rFonts w:ascii="宋体" w:hAnsi="宋体"/>
          <w:szCs w:val="21"/>
        </w:rPr>
      </w:pPr>
      <w:r>
        <w:rPr>
          <w:rFonts w:ascii="宋体" w:hAnsi="宋体"/>
          <w:szCs w:val="21"/>
        </w:rPr>
        <w:t>3.6.2</w:t>
      </w:r>
      <w:r>
        <w:rPr>
          <w:rFonts w:hint="eastAsia" w:ascii="宋体" w:hAns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75A3613">
      <w:pPr>
        <w:pStyle w:val="14"/>
        <w:kinsoku w:val="0"/>
        <w:overflowPunct w:val="0"/>
        <w:spacing w:line="360" w:lineRule="auto"/>
        <w:ind w:firstLine="420" w:firstLineChars="200"/>
        <w:rPr>
          <w:rFonts w:ascii="宋体" w:hAnsi="宋体"/>
          <w:szCs w:val="21"/>
        </w:rPr>
      </w:pPr>
      <w:r>
        <w:rPr>
          <w:rFonts w:ascii="宋体" w:hAnsi="宋体"/>
          <w:szCs w:val="21"/>
        </w:rPr>
        <w:t>3.6.3</w:t>
      </w:r>
      <w:r>
        <w:rPr>
          <w:rFonts w:hint="eastAsia" w:ascii="宋体" w:hAnsi="宋体"/>
          <w:szCs w:val="21"/>
        </w:rPr>
        <w:t>投标人提供两个或两个以上投标报价，或者在投标文件中提供一个报价，但同时提供两个或两个以上服务方案的，视为提供备选方案。</w:t>
      </w:r>
    </w:p>
    <w:p w14:paraId="142E1DDF">
      <w:pPr>
        <w:pStyle w:val="14"/>
        <w:kinsoku w:val="0"/>
        <w:overflowPunct w:val="0"/>
        <w:spacing w:line="360" w:lineRule="auto"/>
        <w:ind w:firstLine="420" w:firstLineChars="200"/>
        <w:rPr>
          <w:rFonts w:ascii="宋体" w:hAnsi="宋体"/>
          <w:szCs w:val="21"/>
        </w:rPr>
      </w:pPr>
    </w:p>
    <w:p w14:paraId="5D5DB964">
      <w:pPr>
        <w:pStyle w:val="8"/>
        <w:spacing w:line="360" w:lineRule="auto"/>
      </w:pPr>
      <w:bookmarkStart w:id="72" w:name="bookmark46"/>
      <w:bookmarkEnd w:id="72"/>
      <w:r>
        <w:t xml:space="preserve">3.7 </w:t>
      </w:r>
      <w:r>
        <w:rPr>
          <w:rFonts w:hint="eastAsia"/>
        </w:rPr>
        <w:t>投标文件的编制</w:t>
      </w:r>
    </w:p>
    <w:p w14:paraId="2E03C060">
      <w:pPr>
        <w:pStyle w:val="14"/>
        <w:kinsoku w:val="0"/>
        <w:overflowPunct w:val="0"/>
        <w:spacing w:line="360" w:lineRule="auto"/>
        <w:ind w:firstLine="420" w:firstLineChars="200"/>
        <w:rPr>
          <w:rFonts w:ascii="宋体" w:hAnsi="宋体"/>
          <w:szCs w:val="21"/>
        </w:rPr>
      </w:pPr>
      <w:r>
        <w:rPr>
          <w:rFonts w:ascii="宋体" w:hAnsi="宋体"/>
          <w:szCs w:val="21"/>
        </w:rPr>
        <w:t>3.7.1</w:t>
      </w:r>
      <w:r>
        <w:rPr>
          <w:rFonts w:hint="eastAsia" w:ascii="宋体" w:hAnsi="宋体"/>
          <w:szCs w:val="21"/>
        </w:rPr>
        <w:t>投标文件应按第六章“投标文件格式”进行编写，如有必要，可以增加附页，作为投标文件的组成部分。</w:t>
      </w:r>
    </w:p>
    <w:p w14:paraId="3048B9B6">
      <w:pPr>
        <w:pStyle w:val="14"/>
        <w:kinsoku w:val="0"/>
        <w:overflowPunct w:val="0"/>
        <w:spacing w:line="360" w:lineRule="auto"/>
        <w:ind w:firstLine="420" w:firstLineChars="200"/>
        <w:rPr>
          <w:rFonts w:ascii="宋体" w:hAnsi="宋体"/>
          <w:szCs w:val="21"/>
        </w:rPr>
      </w:pPr>
      <w:r>
        <w:rPr>
          <w:rFonts w:ascii="宋体" w:hAnsi="宋体"/>
          <w:szCs w:val="21"/>
        </w:rPr>
        <w:t>3.7.2</w:t>
      </w:r>
      <w:r>
        <w:rPr>
          <w:rFonts w:hint="eastAsia" w:ascii="宋体" w:hAnsi="宋体"/>
          <w:szCs w:val="21"/>
        </w:rPr>
        <w:t>投标文件应当对招标文件有关服务期限、投标有效期、委托人要求、招标范围等实质性内容作出响应。</w:t>
      </w:r>
    </w:p>
    <w:p w14:paraId="11466D3B">
      <w:pPr>
        <w:pStyle w:val="14"/>
        <w:kinsoku w:val="0"/>
        <w:overflowPunct w:val="0"/>
        <w:spacing w:line="360" w:lineRule="auto"/>
        <w:ind w:firstLine="420" w:firstLineChars="200"/>
        <w:rPr>
          <w:rFonts w:ascii="宋体" w:hAnsi="宋体"/>
          <w:szCs w:val="21"/>
        </w:rPr>
      </w:pPr>
      <w:r>
        <w:rPr>
          <w:rFonts w:ascii="宋体" w:hAnsi="宋体"/>
          <w:szCs w:val="21"/>
        </w:rPr>
        <w:t>3.7.3</w:t>
      </w:r>
      <w:r>
        <w:rPr>
          <w:rFonts w:hint="eastAsia" w:ascii="宋体" w:hAnsi="宋体"/>
          <w:szCs w:val="21"/>
        </w:rPr>
        <w:t>投标文件全部采用电子文档，除投标人须知前附表另有规定外，投标文件所附证书证件均为原件清晰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65C82DE">
      <w:pPr>
        <w:pStyle w:val="6"/>
      </w:pPr>
      <w:bookmarkStart w:id="73" w:name="_Toc533357311"/>
    </w:p>
    <w:p w14:paraId="03455EF4">
      <w:pPr>
        <w:pStyle w:val="6"/>
      </w:pPr>
      <w:bookmarkStart w:id="74" w:name="_Toc12334"/>
      <w:bookmarkStart w:id="75" w:name="_Toc5304"/>
      <w:bookmarkStart w:id="76" w:name="_Toc1691"/>
      <w:r>
        <w:t xml:space="preserve">4. </w:t>
      </w:r>
      <w:r>
        <w:rPr>
          <w:rFonts w:hint="eastAsia"/>
        </w:rPr>
        <w:t>投标</w:t>
      </w:r>
      <w:bookmarkEnd w:id="73"/>
      <w:bookmarkEnd w:id="74"/>
      <w:bookmarkEnd w:id="75"/>
      <w:bookmarkEnd w:id="76"/>
    </w:p>
    <w:p w14:paraId="66B14D71">
      <w:pPr>
        <w:pStyle w:val="8"/>
        <w:spacing w:line="360" w:lineRule="auto"/>
        <w:ind w:firstLine="0"/>
      </w:pPr>
      <w:bookmarkStart w:id="77" w:name="bookmark48"/>
      <w:bookmarkEnd w:id="77"/>
      <w:r>
        <w:t xml:space="preserve">4.1 </w:t>
      </w:r>
      <w:r>
        <w:rPr>
          <w:rFonts w:hint="eastAsia"/>
        </w:rPr>
        <w:t>投标文件的密封和标记</w:t>
      </w:r>
    </w:p>
    <w:p w14:paraId="0F4DB6B4">
      <w:pPr>
        <w:pStyle w:val="14"/>
        <w:kinsoku w:val="0"/>
        <w:overflowPunct w:val="0"/>
        <w:spacing w:line="360" w:lineRule="auto"/>
        <w:ind w:firstLine="420" w:firstLineChars="200"/>
        <w:rPr>
          <w:rFonts w:ascii="宋体" w:hAnsi="宋体"/>
          <w:szCs w:val="21"/>
        </w:rPr>
      </w:pPr>
      <w:r>
        <w:rPr>
          <w:rFonts w:ascii="宋体" w:hAnsi="宋体"/>
          <w:szCs w:val="21"/>
        </w:rPr>
        <w:t>4.1.1</w:t>
      </w:r>
      <w:r>
        <w:rPr>
          <w:rFonts w:hint="eastAsia" w:ascii="宋体" w:hAnsi="宋体"/>
          <w:szCs w:val="21"/>
        </w:rPr>
        <w:t>投标人应当按照招标文件和电子招标投标交易平台的要求加密投标文件，具体要求见投标人须知前附表。</w:t>
      </w:r>
    </w:p>
    <w:p w14:paraId="6F1592DF">
      <w:pPr>
        <w:pStyle w:val="14"/>
        <w:kinsoku w:val="0"/>
        <w:overflowPunct w:val="0"/>
        <w:spacing w:line="360" w:lineRule="auto"/>
        <w:ind w:firstLine="420" w:firstLineChars="200"/>
        <w:rPr>
          <w:rFonts w:ascii="宋体" w:hAnsi="宋体"/>
          <w:szCs w:val="21"/>
        </w:rPr>
      </w:pPr>
      <w:r>
        <w:rPr>
          <w:rFonts w:ascii="宋体" w:hAnsi="宋体"/>
          <w:szCs w:val="21"/>
        </w:rPr>
        <w:t>4.1.2</w:t>
      </w:r>
      <w:r>
        <w:rPr>
          <w:rFonts w:hint="eastAsia" w:ascii="宋体" w:hAnsi="宋体"/>
          <w:szCs w:val="21"/>
        </w:rPr>
        <w:t>投标文件封套上应写明的内容见投标人须知前附表。</w:t>
      </w:r>
    </w:p>
    <w:p w14:paraId="773257F0">
      <w:pPr>
        <w:pStyle w:val="14"/>
        <w:kinsoku w:val="0"/>
        <w:overflowPunct w:val="0"/>
        <w:spacing w:line="360" w:lineRule="auto"/>
        <w:ind w:firstLine="420" w:firstLineChars="200"/>
        <w:rPr>
          <w:rFonts w:ascii="宋体" w:hAnsi="宋体"/>
          <w:szCs w:val="21"/>
        </w:rPr>
      </w:pPr>
    </w:p>
    <w:p w14:paraId="443432D1">
      <w:pPr>
        <w:pStyle w:val="8"/>
        <w:spacing w:line="360" w:lineRule="auto"/>
      </w:pPr>
      <w:bookmarkStart w:id="78" w:name="bookmark49"/>
      <w:bookmarkEnd w:id="78"/>
      <w:r>
        <w:t xml:space="preserve">4.2 </w:t>
      </w:r>
      <w:r>
        <w:rPr>
          <w:rFonts w:hint="eastAsia"/>
        </w:rPr>
        <w:t>投标文件的递交</w:t>
      </w:r>
    </w:p>
    <w:p w14:paraId="05EDE744">
      <w:pPr>
        <w:pStyle w:val="14"/>
        <w:kinsoku w:val="0"/>
        <w:overflowPunct w:val="0"/>
        <w:spacing w:line="360" w:lineRule="auto"/>
        <w:ind w:firstLine="420" w:firstLineChars="200"/>
        <w:rPr>
          <w:rFonts w:ascii="宋体" w:hAnsi="宋体"/>
          <w:szCs w:val="21"/>
        </w:rPr>
      </w:pPr>
      <w:r>
        <w:rPr>
          <w:rFonts w:ascii="宋体" w:hAnsi="宋体"/>
          <w:szCs w:val="21"/>
        </w:rPr>
        <w:t>4.2.1</w:t>
      </w:r>
      <w:r>
        <w:rPr>
          <w:rFonts w:hint="eastAsia" w:ascii="宋体" w:hAnsi="宋体"/>
          <w:szCs w:val="21"/>
        </w:rPr>
        <w:t>投标人应在投标人须知前附表规定的投标截止时间前递交投标文件。</w:t>
      </w:r>
    </w:p>
    <w:p w14:paraId="6398892F">
      <w:pPr>
        <w:pStyle w:val="14"/>
        <w:kinsoku w:val="0"/>
        <w:overflowPunct w:val="0"/>
        <w:spacing w:line="360" w:lineRule="auto"/>
        <w:ind w:firstLine="420" w:firstLineChars="200"/>
        <w:rPr>
          <w:rFonts w:ascii="宋体" w:hAnsi="宋体"/>
          <w:szCs w:val="21"/>
        </w:rPr>
      </w:pPr>
      <w:r>
        <w:rPr>
          <w:rFonts w:ascii="宋体" w:hAnsi="宋体"/>
          <w:szCs w:val="21"/>
        </w:rPr>
        <w:t>4.2.2</w:t>
      </w:r>
      <w:r>
        <w:rPr>
          <w:rFonts w:hint="eastAsia" w:ascii="宋体" w:hAnsi="宋体"/>
          <w:szCs w:val="21"/>
        </w:rPr>
        <w:t>投标人通过下载招标文件的电子招标投标交易平台递交电子投标文件。</w:t>
      </w:r>
    </w:p>
    <w:p w14:paraId="42F7E649">
      <w:pPr>
        <w:pStyle w:val="14"/>
        <w:kinsoku w:val="0"/>
        <w:overflowPunct w:val="0"/>
        <w:spacing w:line="360" w:lineRule="auto"/>
        <w:ind w:firstLine="420" w:firstLineChars="200"/>
        <w:rPr>
          <w:rFonts w:ascii="宋体" w:hAnsi="宋体"/>
          <w:szCs w:val="21"/>
        </w:rPr>
      </w:pPr>
      <w:r>
        <w:rPr>
          <w:rFonts w:ascii="宋体" w:hAnsi="宋体"/>
          <w:szCs w:val="21"/>
        </w:rPr>
        <w:t>4.2.3</w:t>
      </w:r>
      <w:r>
        <w:rPr>
          <w:rFonts w:hint="eastAsia" w:ascii="宋体" w:hAnsi="宋体"/>
          <w:szCs w:val="21"/>
        </w:rPr>
        <w:t>除投标人须知前附表另有规定外，投标人所递交的投标文件不予退还。</w:t>
      </w:r>
    </w:p>
    <w:p w14:paraId="07A30F4C">
      <w:pPr>
        <w:pStyle w:val="14"/>
        <w:kinsoku w:val="0"/>
        <w:overflowPunct w:val="0"/>
        <w:spacing w:line="360" w:lineRule="auto"/>
        <w:ind w:firstLine="420" w:firstLineChars="200"/>
        <w:rPr>
          <w:rFonts w:ascii="宋体" w:hAnsi="宋体"/>
          <w:szCs w:val="21"/>
        </w:rPr>
      </w:pPr>
      <w:r>
        <w:rPr>
          <w:rFonts w:ascii="宋体" w:hAnsi="宋体"/>
          <w:szCs w:val="21"/>
        </w:rPr>
        <w:t>4.2.4</w:t>
      </w:r>
      <w:r>
        <w:rPr>
          <w:rFonts w:hint="eastAsia" w:ascii="宋体" w:hAnsi="宋体"/>
          <w:szCs w:val="21"/>
        </w:rPr>
        <w:t>投标人完成电子投标文件上传后，电子招标投标交易平台即时向投标人发出递交回执通知。递交时间以递交回执通知载明的传输完成时间为准。</w:t>
      </w:r>
    </w:p>
    <w:p w14:paraId="54ABC266">
      <w:pPr>
        <w:pStyle w:val="14"/>
        <w:kinsoku w:val="0"/>
        <w:overflowPunct w:val="0"/>
        <w:spacing w:line="360" w:lineRule="auto"/>
        <w:ind w:firstLine="420" w:firstLineChars="200"/>
        <w:rPr>
          <w:rFonts w:ascii="宋体" w:hAnsi="宋体"/>
          <w:szCs w:val="21"/>
        </w:rPr>
      </w:pPr>
      <w:r>
        <w:rPr>
          <w:rFonts w:ascii="宋体" w:hAnsi="宋体"/>
          <w:szCs w:val="21"/>
        </w:rPr>
        <w:t>4.2.5</w:t>
      </w:r>
      <w:r>
        <w:rPr>
          <w:rFonts w:hint="eastAsia" w:ascii="宋体" w:hAnsi="宋体"/>
          <w:szCs w:val="21"/>
        </w:rPr>
        <w:t>逾期送达的投标文件，电子招标投标交易平台将予以拒收。</w:t>
      </w:r>
      <w:bookmarkStart w:id="79" w:name="bookmark50"/>
      <w:bookmarkEnd w:id="79"/>
    </w:p>
    <w:p w14:paraId="6C365F9A">
      <w:pPr>
        <w:pStyle w:val="14"/>
        <w:kinsoku w:val="0"/>
        <w:overflowPunct w:val="0"/>
        <w:spacing w:line="360" w:lineRule="auto"/>
        <w:ind w:firstLine="420" w:firstLineChars="200"/>
        <w:rPr>
          <w:rFonts w:ascii="宋体" w:hAnsi="宋体"/>
          <w:szCs w:val="21"/>
        </w:rPr>
      </w:pPr>
    </w:p>
    <w:p w14:paraId="5921ED0B">
      <w:pPr>
        <w:pStyle w:val="8"/>
        <w:spacing w:line="360" w:lineRule="auto"/>
      </w:pPr>
      <w:r>
        <w:t xml:space="preserve">4.3 </w:t>
      </w:r>
      <w:r>
        <w:rPr>
          <w:rFonts w:hint="eastAsia"/>
        </w:rPr>
        <w:t>投标文件的修改与撤回</w:t>
      </w:r>
    </w:p>
    <w:p w14:paraId="2F6F8A23">
      <w:pPr>
        <w:pStyle w:val="14"/>
        <w:kinsoku w:val="0"/>
        <w:overflowPunct w:val="0"/>
        <w:spacing w:line="360" w:lineRule="auto"/>
        <w:ind w:firstLine="420" w:firstLineChars="200"/>
        <w:rPr>
          <w:rFonts w:ascii="宋体" w:hAnsi="宋体"/>
          <w:szCs w:val="21"/>
        </w:rPr>
      </w:pPr>
      <w:r>
        <w:rPr>
          <w:rFonts w:ascii="宋体" w:hAnsi="宋体"/>
          <w:szCs w:val="21"/>
        </w:rPr>
        <w:t>4.3.1</w:t>
      </w:r>
      <w:r>
        <w:rPr>
          <w:rFonts w:hint="eastAsia" w:ascii="宋体" w:hAnsi="宋体"/>
          <w:szCs w:val="21"/>
        </w:rPr>
        <w:t>在本章第</w:t>
      </w:r>
      <w:r>
        <w:rPr>
          <w:rFonts w:ascii="宋体" w:hAnsi="宋体"/>
          <w:szCs w:val="21"/>
        </w:rPr>
        <w:t>4.2.1</w:t>
      </w:r>
      <w:r>
        <w:rPr>
          <w:rFonts w:hint="eastAsia" w:ascii="宋体" w:hAnsi="宋体"/>
          <w:szCs w:val="21"/>
        </w:rPr>
        <w:t>项规定的投标截止时间前，投标人可以修改或撤回已递交的投标文件，但应以书面形式通知招标人。</w:t>
      </w:r>
    </w:p>
    <w:p w14:paraId="0BADE4D3">
      <w:pPr>
        <w:pStyle w:val="14"/>
        <w:kinsoku w:val="0"/>
        <w:overflowPunct w:val="0"/>
        <w:spacing w:line="360" w:lineRule="auto"/>
        <w:ind w:firstLine="420" w:firstLineChars="200"/>
        <w:rPr>
          <w:rFonts w:ascii="宋体" w:hAnsi="宋体"/>
          <w:szCs w:val="21"/>
        </w:rPr>
      </w:pPr>
      <w:r>
        <w:rPr>
          <w:rFonts w:ascii="宋体" w:hAnsi="宋体"/>
          <w:szCs w:val="21"/>
        </w:rPr>
        <w:t>4.3.2</w:t>
      </w:r>
      <w:r>
        <w:rPr>
          <w:rFonts w:hint="eastAsia" w:ascii="宋体" w:hAnsi="宋体"/>
          <w:szCs w:val="21"/>
        </w:rPr>
        <w:t>投标人修改或撤回已递交投标文件的通知，应按照本章第</w:t>
      </w:r>
      <w:r>
        <w:rPr>
          <w:rFonts w:ascii="宋体" w:hAnsi="宋体"/>
          <w:szCs w:val="21"/>
        </w:rPr>
        <w:t>3.7.3</w:t>
      </w:r>
      <w:r>
        <w:rPr>
          <w:rFonts w:hint="eastAsia" w:ascii="宋体" w:hAnsi="宋体"/>
          <w:szCs w:val="21"/>
        </w:rPr>
        <w:t>项的要求加盖电子印章。电子招标投标交易平台收到通知后，即时向投标人发出确认回执通知。</w:t>
      </w:r>
    </w:p>
    <w:p w14:paraId="4AD02705">
      <w:pPr>
        <w:pStyle w:val="14"/>
        <w:kinsoku w:val="0"/>
        <w:overflowPunct w:val="0"/>
        <w:spacing w:line="360" w:lineRule="auto"/>
        <w:ind w:firstLine="420" w:firstLineChars="200"/>
        <w:rPr>
          <w:rFonts w:ascii="宋体" w:hAnsi="宋体"/>
          <w:szCs w:val="21"/>
        </w:rPr>
      </w:pPr>
      <w:r>
        <w:rPr>
          <w:rFonts w:ascii="宋体" w:hAnsi="宋体"/>
          <w:szCs w:val="21"/>
        </w:rPr>
        <w:t>4.3.</w:t>
      </w:r>
      <w:r>
        <w:rPr>
          <w:rFonts w:hint="eastAsia" w:ascii="宋体" w:hAnsi="宋体"/>
          <w:szCs w:val="21"/>
          <w:lang w:val="en-US" w:eastAsia="zh-CN"/>
        </w:rPr>
        <w:t>3</w:t>
      </w:r>
      <w:r>
        <w:rPr>
          <w:rFonts w:hint="eastAsia" w:ascii="宋体" w:hAnsi="宋体"/>
          <w:szCs w:val="21"/>
        </w:rPr>
        <w:t>修改的内容为投标文件的组成部分。修改的投标文件应按照本章第</w:t>
      </w:r>
      <w:r>
        <w:rPr>
          <w:rFonts w:ascii="宋体" w:hAnsi="宋体"/>
          <w:szCs w:val="21"/>
        </w:rPr>
        <w:t>3</w:t>
      </w:r>
      <w:r>
        <w:rPr>
          <w:rFonts w:hint="eastAsia" w:ascii="宋体" w:hAnsi="宋体"/>
          <w:szCs w:val="21"/>
        </w:rPr>
        <w:t>条、第</w:t>
      </w:r>
      <w:r>
        <w:rPr>
          <w:rFonts w:ascii="宋体" w:hAnsi="宋体"/>
          <w:szCs w:val="21"/>
        </w:rPr>
        <w:t>4</w:t>
      </w:r>
      <w:r>
        <w:rPr>
          <w:rFonts w:hint="eastAsia" w:ascii="宋体" w:hAnsi="宋体"/>
          <w:szCs w:val="21"/>
        </w:rPr>
        <w:t>条的规定进行编制、密封、标记和递交，并标明“修改”字样。</w:t>
      </w:r>
    </w:p>
    <w:p w14:paraId="1F212ADE">
      <w:bookmarkStart w:id="80" w:name="_Toc533357312"/>
    </w:p>
    <w:p w14:paraId="54923F1F">
      <w:pPr>
        <w:pStyle w:val="6"/>
      </w:pPr>
      <w:bookmarkStart w:id="81" w:name="_Toc7590"/>
      <w:bookmarkStart w:id="82" w:name="_Toc11998"/>
      <w:bookmarkStart w:id="83" w:name="_Toc21054"/>
      <w:r>
        <w:t xml:space="preserve">5. </w:t>
      </w:r>
      <w:r>
        <w:rPr>
          <w:rFonts w:hint="eastAsia"/>
        </w:rPr>
        <w:t>开标</w:t>
      </w:r>
      <w:bookmarkEnd w:id="80"/>
      <w:bookmarkEnd w:id="81"/>
      <w:bookmarkEnd w:id="82"/>
      <w:bookmarkEnd w:id="83"/>
    </w:p>
    <w:p w14:paraId="08760A3C">
      <w:pPr>
        <w:pStyle w:val="8"/>
        <w:spacing w:line="360" w:lineRule="auto"/>
        <w:ind w:firstLine="0"/>
      </w:pPr>
      <w:bookmarkStart w:id="84" w:name="bookmark52"/>
      <w:bookmarkEnd w:id="84"/>
      <w:bookmarkStart w:id="85" w:name="bookmark53"/>
      <w:bookmarkEnd w:id="85"/>
      <w:r>
        <w:t xml:space="preserve">5.1 </w:t>
      </w:r>
      <w:r>
        <w:rPr>
          <w:rFonts w:hint="eastAsia"/>
        </w:rPr>
        <w:t>开标时间和地点</w:t>
      </w:r>
    </w:p>
    <w:p w14:paraId="552A660E">
      <w:pPr>
        <w:pStyle w:val="14"/>
        <w:kinsoku w:val="0"/>
        <w:overflowPunct w:val="0"/>
        <w:spacing w:line="360" w:lineRule="auto"/>
        <w:ind w:firstLine="420" w:firstLineChars="200"/>
        <w:rPr>
          <w:rFonts w:ascii="宋体" w:hAnsi="宋体"/>
          <w:szCs w:val="21"/>
        </w:rPr>
      </w:pPr>
      <w:r>
        <w:rPr>
          <w:rFonts w:hint="eastAsia" w:ascii="宋体" w:hAnsi="宋体"/>
          <w:szCs w:val="21"/>
        </w:rPr>
        <w:t>招标人在本章第</w:t>
      </w:r>
      <w:r>
        <w:rPr>
          <w:rFonts w:ascii="宋体" w:hAnsi="宋体"/>
          <w:szCs w:val="21"/>
        </w:rPr>
        <w:t>4.2.1</w:t>
      </w:r>
      <w:r>
        <w:rPr>
          <w:rFonts w:hint="eastAsia" w:ascii="宋体" w:hAnsi="宋体"/>
          <w:szCs w:val="21"/>
        </w:rPr>
        <w:t>项规定的投标截止时间（开标时间）</w:t>
      </w:r>
      <w:r>
        <w:rPr>
          <w:rFonts w:ascii="宋体" w:hAnsi="宋体"/>
          <w:szCs w:val="21"/>
        </w:rPr>
        <w:t>,</w:t>
      </w:r>
      <w:r>
        <w:rPr>
          <w:rFonts w:hint="eastAsia" w:ascii="宋体" w:hAnsi="宋体"/>
          <w:szCs w:val="21"/>
        </w:rPr>
        <w:t>通过电子招标投标交易平台公开开标。开标时，投标人代表有权出席开标会，也可以自主决定不参加开标会。</w:t>
      </w:r>
    </w:p>
    <w:p w14:paraId="06B8A494">
      <w:pPr>
        <w:spacing w:line="360" w:lineRule="auto"/>
        <w:rPr>
          <w:rFonts w:ascii="宋体" w:hAnsi="宋体"/>
        </w:rPr>
      </w:pPr>
    </w:p>
    <w:p w14:paraId="4CD2F76C">
      <w:pPr>
        <w:pStyle w:val="8"/>
        <w:spacing w:line="360" w:lineRule="auto"/>
        <w:ind w:left="0" w:leftChars="0"/>
      </w:pPr>
      <w:bookmarkStart w:id="86" w:name="bookmark54"/>
      <w:bookmarkEnd w:id="86"/>
      <w:r>
        <w:t xml:space="preserve">5.2 </w:t>
      </w:r>
      <w:r>
        <w:rPr>
          <w:rFonts w:hint="eastAsia"/>
        </w:rPr>
        <w:t>开标程序</w:t>
      </w:r>
    </w:p>
    <w:p w14:paraId="221ACB82">
      <w:pPr>
        <w:pStyle w:val="14"/>
        <w:kinsoku w:val="0"/>
        <w:overflowPunct w:val="0"/>
        <w:spacing w:line="360" w:lineRule="auto"/>
        <w:ind w:firstLine="420" w:firstLineChars="200"/>
        <w:rPr>
          <w:rFonts w:ascii="宋体" w:hAnsi="宋体"/>
          <w:szCs w:val="21"/>
        </w:rPr>
      </w:pPr>
      <w:r>
        <w:rPr>
          <w:rFonts w:ascii="宋体" w:hAnsi="宋体"/>
          <w:szCs w:val="21"/>
        </w:rPr>
        <w:t>5.2.1</w:t>
      </w:r>
      <w:r>
        <w:rPr>
          <w:rFonts w:hint="eastAsia" w:ascii="宋体" w:hAnsi="宋体"/>
          <w:szCs w:val="21"/>
        </w:rPr>
        <w:t>主持人按下列程序进行开标：</w:t>
      </w:r>
    </w:p>
    <w:p w14:paraId="32AC8B36">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）宣布开标纪律；</w:t>
      </w:r>
    </w:p>
    <w:p w14:paraId="49C03DE9">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）公布在投标截止时间前递交投标文件的投标人名称；</w:t>
      </w:r>
    </w:p>
    <w:p w14:paraId="07CE61CC">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）宣布开标人、唱标人、记录人、监标人等有关人员姓名；</w:t>
      </w:r>
    </w:p>
    <w:p w14:paraId="732AC174">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）投标人通过电子招标投标交易平台对已递交的电子投标文件进行解密，公布招标项目名称、投标人名称、投标报价、服务期限及其他内容，并记录在案；</w:t>
      </w:r>
    </w:p>
    <w:p w14:paraId="3349D8EA">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）投标人代表、招标人代表、监标人、记录人等有关人员在开标记录上签字确认；若有关人员不签字的，不影响开标程序；</w:t>
      </w:r>
    </w:p>
    <w:p w14:paraId="0CBB936E">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）开标结束。</w:t>
      </w:r>
    </w:p>
    <w:p w14:paraId="1B0B3899">
      <w:pPr>
        <w:pStyle w:val="14"/>
        <w:kinsoku w:val="0"/>
        <w:overflowPunct w:val="0"/>
        <w:spacing w:line="360" w:lineRule="auto"/>
        <w:ind w:firstLine="420" w:firstLineChars="200"/>
        <w:rPr>
          <w:rFonts w:ascii="宋体" w:hAnsi="宋体"/>
          <w:szCs w:val="21"/>
        </w:rPr>
      </w:pPr>
      <w:r>
        <w:rPr>
          <w:rFonts w:ascii="宋体" w:hAnsi="宋体"/>
          <w:szCs w:val="21"/>
        </w:rPr>
        <w:t>5.2.2</w:t>
      </w:r>
      <w:r>
        <w:rPr>
          <w:rFonts w:hint="eastAsia" w:ascii="宋体" w:hAnsi="宋体"/>
          <w:szCs w:val="21"/>
          <w:u w:val="single"/>
        </w:rPr>
        <w:t>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77C45990">
      <w:pPr>
        <w:pStyle w:val="14"/>
        <w:kinsoku w:val="0"/>
        <w:overflowPunct w:val="0"/>
        <w:spacing w:line="360" w:lineRule="auto"/>
        <w:ind w:firstLine="420" w:firstLineChars="200"/>
        <w:rPr>
          <w:rFonts w:ascii="宋体" w:hAnsi="宋体"/>
          <w:szCs w:val="21"/>
          <w:u w:val="single"/>
        </w:rPr>
      </w:pPr>
      <w:r>
        <w:rPr>
          <w:rFonts w:ascii="宋体" w:hAnsi="宋体"/>
          <w:szCs w:val="21"/>
          <w:u w:val="single"/>
        </w:rPr>
        <w:t>5.2.3</w:t>
      </w:r>
      <w:r>
        <w:rPr>
          <w:rFonts w:hint="eastAsia" w:ascii="宋体" w:hAnsi="宋体"/>
          <w:szCs w:val="21"/>
          <w:u w:val="single"/>
        </w:rPr>
        <w:t>开标时，两个（含两个）以上的投标人加密打包投标文件电脑机器特征码一致的，不参与下一程序，并由评标委员会否决其投标。</w:t>
      </w:r>
    </w:p>
    <w:p w14:paraId="56A035DB">
      <w:pPr>
        <w:pStyle w:val="14"/>
        <w:kinsoku w:val="0"/>
        <w:overflowPunct w:val="0"/>
        <w:spacing w:line="360" w:lineRule="auto"/>
        <w:ind w:firstLine="420" w:firstLineChars="200"/>
        <w:rPr>
          <w:rFonts w:ascii="宋体" w:hAnsi="宋体"/>
          <w:szCs w:val="21"/>
        </w:rPr>
      </w:pPr>
    </w:p>
    <w:p w14:paraId="2EBC4725">
      <w:pPr>
        <w:pStyle w:val="8"/>
        <w:spacing w:line="360" w:lineRule="auto"/>
        <w:ind w:left="0" w:leftChars="0"/>
      </w:pPr>
      <w:bookmarkStart w:id="87" w:name="bookmark55"/>
      <w:bookmarkEnd w:id="87"/>
      <w:r>
        <w:t xml:space="preserve">5.3 </w:t>
      </w:r>
      <w:r>
        <w:rPr>
          <w:rFonts w:hint="eastAsia"/>
        </w:rPr>
        <w:t>开标异议</w:t>
      </w:r>
    </w:p>
    <w:p w14:paraId="56A7C9CC">
      <w:pPr>
        <w:pStyle w:val="14"/>
        <w:kinsoku w:val="0"/>
        <w:overflowPunct w:val="0"/>
        <w:spacing w:line="288" w:lineRule="auto"/>
        <w:ind w:firstLine="420" w:firstLineChars="200"/>
        <w:rPr>
          <w:rFonts w:ascii="宋体" w:hAnsi="宋体"/>
          <w:szCs w:val="21"/>
        </w:rPr>
      </w:pPr>
      <w:r>
        <w:rPr>
          <w:rFonts w:hint="eastAsia" w:ascii="宋体" w:hAnsi="宋体"/>
          <w:szCs w:val="21"/>
        </w:rPr>
        <w:t>5.3.1参加现场开标的投标人对开标结果有异议的，应当在开标现场提出，同时出示本人身份证原件，招标人应当当场作出答复，并制作记录。</w:t>
      </w:r>
    </w:p>
    <w:p w14:paraId="1BABCAD9">
      <w:pPr>
        <w:pStyle w:val="14"/>
        <w:kinsoku w:val="0"/>
        <w:overflowPunct w:val="0"/>
        <w:spacing w:line="360" w:lineRule="auto"/>
        <w:ind w:firstLine="420" w:firstLineChars="200"/>
        <w:rPr>
          <w:rFonts w:ascii="宋体" w:hAnsi="宋体"/>
          <w:szCs w:val="21"/>
          <w:u w:val="single"/>
        </w:rPr>
      </w:pPr>
      <w:r>
        <w:rPr>
          <w:rFonts w:hint="eastAsia" w:ascii="宋体" w:hAnsi="宋体"/>
          <w:szCs w:val="21"/>
          <w:u w:val="singl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6B11F471">
      <w:pPr>
        <w:pStyle w:val="14"/>
        <w:kinsoku w:val="0"/>
        <w:overflowPunct w:val="0"/>
        <w:spacing w:line="360" w:lineRule="auto"/>
        <w:ind w:firstLine="420" w:firstLineChars="200"/>
        <w:rPr>
          <w:rFonts w:ascii="宋体" w:hAnsi="宋体"/>
          <w:szCs w:val="21"/>
          <w:u w:val="single"/>
        </w:rPr>
      </w:pPr>
      <w:r>
        <w:rPr>
          <w:rFonts w:hint="eastAsia" w:ascii="宋体" w:hAnsi="宋体"/>
          <w:szCs w:val="21"/>
          <w:u w:val="single"/>
        </w:rPr>
        <w:t>5.3.3投标人未参加开标或在规定的时间内未提出异议的，视为对开标无异议。</w:t>
      </w:r>
    </w:p>
    <w:p w14:paraId="3FF85E18">
      <w:bookmarkStart w:id="88" w:name="_Toc533357313"/>
    </w:p>
    <w:p w14:paraId="2AE9EA38">
      <w:pPr>
        <w:pStyle w:val="6"/>
      </w:pPr>
      <w:bookmarkStart w:id="89" w:name="_Toc13456"/>
      <w:bookmarkStart w:id="90" w:name="_Toc3261"/>
      <w:bookmarkStart w:id="91" w:name="_Toc23781"/>
      <w:r>
        <w:t xml:space="preserve">6. </w:t>
      </w:r>
      <w:r>
        <w:rPr>
          <w:rFonts w:hint="eastAsia"/>
        </w:rPr>
        <w:t>评标</w:t>
      </w:r>
      <w:bookmarkEnd w:id="88"/>
      <w:bookmarkEnd w:id="89"/>
      <w:bookmarkEnd w:id="90"/>
      <w:bookmarkEnd w:id="91"/>
    </w:p>
    <w:p w14:paraId="1B15A149">
      <w:pPr>
        <w:pStyle w:val="8"/>
        <w:spacing w:line="360" w:lineRule="auto"/>
        <w:ind w:firstLine="0"/>
      </w:pPr>
      <w:bookmarkStart w:id="92" w:name="bookmark57"/>
      <w:bookmarkEnd w:id="92"/>
      <w:r>
        <w:t xml:space="preserve">6.1 </w:t>
      </w:r>
      <w:r>
        <w:rPr>
          <w:rFonts w:hint="eastAsia"/>
        </w:rPr>
        <w:t>评标委员会</w:t>
      </w:r>
    </w:p>
    <w:p w14:paraId="1AEF5317">
      <w:pPr>
        <w:pStyle w:val="14"/>
        <w:kinsoku w:val="0"/>
        <w:overflowPunct w:val="0"/>
        <w:spacing w:line="360" w:lineRule="auto"/>
        <w:ind w:firstLine="420" w:firstLineChars="200"/>
        <w:rPr>
          <w:rFonts w:ascii="宋体" w:hAnsi="宋体"/>
          <w:szCs w:val="21"/>
        </w:rPr>
      </w:pPr>
      <w:r>
        <w:rPr>
          <w:rFonts w:ascii="宋体" w:hAnsi="宋体"/>
          <w:szCs w:val="21"/>
        </w:rPr>
        <w:t>6.1.1</w:t>
      </w:r>
      <w:r>
        <w:rPr>
          <w:rFonts w:hint="eastAsia" w:ascii="宋体" w:hAnsi="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4F10C88">
      <w:pPr>
        <w:pStyle w:val="14"/>
        <w:kinsoku w:val="0"/>
        <w:overflowPunct w:val="0"/>
        <w:spacing w:line="360" w:lineRule="auto"/>
        <w:ind w:firstLine="420" w:firstLineChars="200"/>
        <w:rPr>
          <w:rFonts w:ascii="宋体" w:hAnsi="宋体"/>
          <w:szCs w:val="21"/>
        </w:rPr>
      </w:pPr>
      <w:r>
        <w:rPr>
          <w:rFonts w:ascii="宋体" w:hAnsi="宋体"/>
          <w:szCs w:val="21"/>
        </w:rPr>
        <w:t>6.1.2</w:t>
      </w:r>
      <w:r>
        <w:rPr>
          <w:rFonts w:hint="eastAsia" w:ascii="宋体" w:hAnsi="宋体"/>
          <w:szCs w:val="21"/>
        </w:rPr>
        <w:t>评标委员会成员有下列情形之一的，应当回避：</w:t>
      </w:r>
    </w:p>
    <w:p w14:paraId="7E48D765">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）投标人或投标人主要负责人的近亲属；</w:t>
      </w:r>
    </w:p>
    <w:p w14:paraId="56E46971">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）项目主管部门或者行政监督部门的人员；</w:t>
      </w:r>
    </w:p>
    <w:p w14:paraId="066A59DF">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）与投标人有经济利益关系，可能影响对投标公正评审的；</w:t>
      </w:r>
    </w:p>
    <w:p w14:paraId="77079CE6">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）曾因在招标、评标以及其他与招标投标有关活动中从事违法行为而受过行政处罚或刑事处罚的</w:t>
      </w:r>
    </w:p>
    <w:p w14:paraId="1C0FCE26">
      <w:pPr>
        <w:pStyle w:val="14"/>
        <w:kinsoku w:val="0"/>
        <w:overflowPunct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）与投标人有其他利害关系。</w:t>
      </w:r>
    </w:p>
    <w:p w14:paraId="518A9FE7">
      <w:pPr>
        <w:pStyle w:val="14"/>
        <w:kinsoku w:val="0"/>
        <w:overflowPunct w:val="0"/>
        <w:spacing w:line="360" w:lineRule="auto"/>
        <w:ind w:firstLine="420" w:firstLineChars="200"/>
        <w:rPr>
          <w:rFonts w:ascii="宋体" w:hAnsi="宋体"/>
          <w:szCs w:val="21"/>
        </w:rPr>
      </w:pPr>
      <w:r>
        <w:rPr>
          <w:rFonts w:ascii="宋体" w:hAnsi="宋体"/>
          <w:szCs w:val="21"/>
        </w:rPr>
        <w:t>6.1.3</w:t>
      </w:r>
      <w:r>
        <w:rPr>
          <w:rFonts w:hint="eastAsia" w:ascii="宋体" w:hAnsi="宋体"/>
          <w:szCs w:val="21"/>
        </w:rPr>
        <w:t>评标过程中，评标委员会成员有回避事由、擅离职守或者因健康等原因不能继续评标的，招标人有权更换。被更换的评标委员会成员作出的评审结论无效，由更换后的评标委员会成员重新进行评审。</w:t>
      </w:r>
    </w:p>
    <w:p w14:paraId="2FA22A8D">
      <w:pPr>
        <w:pStyle w:val="14"/>
        <w:kinsoku w:val="0"/>
        <w:overflowPunct w:val="0"/>
        <w:spacing w:line="360" w:lineRule="auto"/>
        <w:ind w:firstLine="420" w:firstLineChars="200"/>
        <w:rPr>
          <w:rFonts w:ascii="宋体" w:hAnsi="宋体"/>
          <w:szCs w:val="21"/>
        </w:rPr>
      </w:pPr>
    </w:p>
    <w:p w14:paraId="500A1D4E">
      <w:pPr>
        <w:pStyle w:val="8"/>
        <w:spacing w:line="360" w:lineRule="auto"/>
        <w:ind w:left="0" w:leftChars="0"/>
      </w:pPr>
      <w:bookmarkStart w:id="93" w:name="bookmark58"/>
      <w:bookmarkEnd w:id="93"/>
      <w:r>
        <w:t xml:space="preserve">6.2 </w:t>
      </w:r>
      <w:r>
        <w:rPr>
          <w:rFonts w:hint="eastAsia"/>
        </w:rPr>
        <w:t>评标原则</w:t>
      </w:r>
    </w:p>
    <w:p w14:paraId="2CDEF1D6">
      <w:pPr>
        <w:pStyle w:val="14"/>
        <w:kinsoku w:val="0"/>
        <w:overflowPunct w:val="0"/>
        <w:spacing w:line="360" w:lineRule="auto"/>
        <w:ind w:firstLine="420" w:firstLineChars="200"/>
        <w:rPr>
          <w:rFonts w:ascii="宋体" w:hAnsi="宋体"/>
          <w:szCs w:val="21"/>
        </w:rPr>
      </w:pPr>
      <w:r>
        <w:rPr>
          <w:rFonts w:hint="eastAsia" w:ascii="宋体" w:hAnsi="宋体"/>
          <w:szCs w:val="21"/>
        </w:rPr>
        <w:t>评标活动遵循公平、公正、科学和择优的原则。</w:t>
      </w:r>
    </w:p>
    <w:p w14:paraId="09E53A52">
      <w:pPr>
        <w:pStyle w:val="14"/>
        <w:kinsoku w:val="0"/>
        <w:overflowPunct w:val="0"/>
        <w:spacing w:line="360" w:lineRule="auto"/>
        <w:ind w:firstLine="420" w:firstLineChars="200"/>
        <w:rPr>
          <w:rFonts w:ascii="宋体" w:hAnsi="宋体"/>
          <w:szCs w:val="21"/>
        </w:rPr>
      </w:pPr>
    </w:p>
    <w:p w14:paraId="6C3BBCC5">
      <w:pPr>
        <w:pStyle w:val="8"/>
        <w:spacing w:line="360" w:lineRule="auto"/>
        <w:ind w:left="0" w:leftChars="0"/>
      </w:pPr>
      <w:bookmarkStart w:id="94" w:name="bookmark59"/>
      <w:bookmarkEnd w:id="94"/>
      <w:r>
        <w:t xml:space="preserve">6.3 </w:t>
      </w:r>
      <w:r>
        <w:rPr>
          <w:rFonts w:hint="eastAsia"/>
        </w:rPr>
        <w:t>评标</w:t>
      </w:r>
    </w:p>
    <w:p w14:paraId="31256DC2">
      <w:pPr>
        <w:pStyle w:val="14"/>
        <w:kinsoku w:val="0"/>
        <w:overflowPunct w:val="0"/>
        <w:spacing w:line="360" w:lineRule="auto"/>
        <w:ind w:firstLine="420" w:firstLineChars="200"/>
        <w:rPr>
          <w:rFonts w:ascii="宋体" w:hAnsi="宋体"/>
          <w:szCs w:val="21"/>
        </w:rPr>
      </w:pPr>
      <w:r>
        <w:rPr>
          <w:rFonts w:ascii="宋体" w:hAnsi="宋体"/>
          <w:szCs w:val="21"/>
        </w:rPr>
        <w:t>6.3.1</w:t>
      </w: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14:paraId="5EC68EB4">
      <w:pPr>
        <w:pStyle w:val="14"/>
        <w:kinsoku w:val="0"/>
        <w:overflowPunct w:val="0"/>
        <w:spacing w:line="360" w:lineRule="auto"/>
        <w:ind w:firstLine="420" w:firstLineChars="200"/>
        <w:rPr>
          <w:rFonts w:ascii="宋体" w:hAnsi="宋体"/>
          <w:szCs w:val="21"/>
        </w:rPr>
      </w:pPr>
      <w:r>
        <w:rPr>
          <w:rFonts w:ascii="宋体" w:hAnsi="宋体"/>
          <w:szCs w:val="21"/>
        </w:rPr>
        <w:t>6.3.2</w:t>
      </w:r>
      <w:r>
        <w:rPr>
          <w:rFonts w:hint="eastAsia" w:ascii="宋体" w:hAnsi="宋体"/>
          <w:szCs w:val="21"/>
        </w:rPr>
        <w:t>评标完成后，评标委员会应当向招标人提交书面评标报告和中标候选人名单。评标委员会推荐中标候选人的人数见投标人须知前附表。</w:t>
      </w:r>
    </w:p>
    <w:p w14:paraId="34E33335">
      <w:bookmarkStart w:id="95" w:name="bookmark60"/>
      <w:bookmarkEnd w:id="95"/>
      <w:bookmarkStart w:id="96" w:name="_Toc533357314"/>
    </w:p>
    <w:p w14:paraId="48BBEAC4">
      <w:pPr>
        <w:pStyle w:val="6"/>
      </w:pPr>
      <w:bookmarkStart w:id="97" w:name="_Toc21212"/>
      <w:bookmarkStart w:id="98" w:name="_Toc19396"/>
      <w:bookmarkStart w:id="99" w:name="_Toc3957"/>
      <w:r>
        <w:t xml:space="preserve">7. </w:t>
      </w:r>
      <w:r>
        <w:rPr>
          <w:rFonts w:hint="eastAsia"/>
        </w:rPr>
        <w:t>合同授予</w:t>
      </w:r>
      <w:bookmarkEnd w:id="96"/>
      <w:bookmarkEnd w:id="97"/>
      <w:bookmarkEnd w:id="98"/>
      <w:bookmarkEnd w:id="99"/>
    </w:p>
    <w:p w14:paraId="18FC15E3">
      <w:pPr>
        <w:pStyle w:val="8"/>
        <w:spacing w:line="360" w:lineRule="auto"/>
        <w:ind w:firstLine="0"/>
      </w:pPr>
      <w:bookmarkStart w:id="100" w:name="bookmark61"/>
      <w:bookmarkEnd w:id="100"/>
      <w:r>
        <w:t xml:space="preserve">7.1 </w:t>
      </w:r>
      <w:r>
        <w:rPr>
          <w:rFonts w:hint="eastAsia"/>
        </w:rPr>
        <w:t>中标候选人公示</w:t>
      </w:r>
    </w:p>
    <w:p w14:paraId="5E3A2046">
      <w:pPr>
        <w:pStyle w:val="14"/>
        <w:kinsoku w:val="0"/>
        <w:overflowPunct w:val="0"/>
        <w:spacing w:line="360" w:lineRule="auto"/>
        <w:ind w:firstLine="420" w:firstLineChars="200"/>
        <w:rPr>
          <w:rFonts w:ascii="宋体" w:hAnsi="宋体"/>
          <w:szCs w:val="21"/>
        </w:rPr>
      </w:pPr>
      <w:r>
        <w:rPr>
          <w:rFonts w:hint="eastAsia" w:ascii="宋体" w:hAnsi="宋体"/>
          <w:szCs w:val="21"/>
        </w:rPr>
        <w:t>招标人在收到评标报告之日起</w:t>
      </w:r>
      <w:r>
        <w:rPr>
          <w:rFonts w:ascii="宋体" w:hAnsi="宋体"/>
          <w:szCs w:val="21"/>
        </w:rPr>
        <w:t>3</w:t>
      </w:r>
      <w:r>
        <w:rPr>
          <w:rFonts w:hint="eastAsia" w:ascii="宋体" w:hAnsi="宋体"/>
          <w:szCs w:val="21"/>
        </w:rPr>
        <w:t>日内，按照投标人须知前附表规定的公示媒介和期限公示中标候选人，公示期不得少于</w:t>
      </w:r>
      <w:r>
        <w:rPr>
          <w:rFonts w:ascii="宋体" w:hAnsi="宋体"/>
          <w:szCs w:val="21"/>
        </w:rPr>
        <w:t>3</w:t>
      </w:r>
      <w:r>
        <w:rPr>
          <w:rFonts w:hint="eastAsia" w:ascii="宋体" w:hAnsi="宋体"/>
          <w:szCs w:val="21"/>
        </w:rPr>
        <w:t>天。</w:t>
      </w:r>
    </w:p>
    <w:p w14:paraId="216404CD">
      <w:pPr>
        <w:pStyle w:val="8"/>
        <w:spacing w:line="360" w:lineRule="auto"/>
        <w:ind w:left="0" w:leftChars="0"/>
      </w:pPr>
      <w:bookmarkStart w:id="101" w:name="bookmark62"/>
      <w:bookmarkEnd w:id="101"/>
      <w:r>
        <w:t xml:space="preserve">7.2 </w:t>
      </w:r>
      <w:r>
        <w:rPr>
          <w:rFonts w:hint="eastAsia"/>
        </w:rPr>
        <w:t>评标结果异议</w:t>
      </w:r>
    </w:p>
    <w:p w14:paraId="02A06626">
      <w:pPr>
        <w:pStyle w:val="14"/>
        <w:kinsoku w:val="0"/>
        <w:overflowPunct w:val="0"/>
        <w:spacing w:line="360" w:lineRule="auto"/>
        <w:ind w:firstLine="420" w:firstLineChars="200"/>
        <w:rPr>
          <w:rFonts w:ascii="宋体" w:hAnsi="宋体"/>
          <w:szCs w:val="21"/>
        </w:rPr>
      </w:pPr>
      <w:r>
        <w:rPr>
          <w:rFonts w:hint="eastAsia" w:ascii="宋体" w:hAnsi="宋体"/>
          <w:szCs w:val="21"/>
          <w:u w:val="single"/>
        </w:rPr>
        <w:t>投标人或者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招标人将在收到异议之日起3日内作出答复；作出答复前，将暂停招标投标活动。</w:t>
      </w:r>
    </w:p>
    <w:p w14:paraId="2D66D1B2">
      <w:pPr>
        <w:pStyle w:val="8"/>
        <w:spacing w:line="360" w:lineRule="auto"/>
        <w:ind w:left="0" w:leftChars="0"/>
      </w:pPr>
      <w:bookmarkStart w:id="102" w:name="bookmark63"/>
      <w:bookmarkEnd w:id="102"/>
      <w:r>
        <w:t xml:space="preserve">7.3 </w:t>
      </w:r>
      <w:r>
        <w:rPr>
          <w:rFonts w:hint="eastAsia"/>
        </w:rPr>
        <w:t>中标候选人履约能力审查</w:t>
      </w:r>
    </w:p>
    <w:p w14:paraId="6D94CF9D">
      <w:pPr>
        <w:pStyle w:val="14"/>
        <w:kinsoku w:val="0"/>
        <w:overflowPunct w:val="0"/>
        <w:spacing w:line="360" w:lineRule="auto"/>
        <w:ind w:firstLine="420" w:firstLineChars="200"/>
        <w:rPr>
          <w:rFonts w:ascii="宋体" w:hAnsi="宋体"/>
          <w:szCs w:val="21"/>
        </w:rPr>
      </w:pPr>
      <w:r>
        <w:rPr>
          <w:rFonts w:hint="eastAsia" w:ascii="宋体" w:hAnsi="宋体"/>
          <w:szCs w:val="21"/>
        </w:rPr>
        <w:t>中标候选人的经营、财务状况发生较大变化或存在违法行为，招标人认为可能影响其履约能力的，将在发出中标通知书前提请原评标委员会按照招标文件规定的标准和方法进行审查确认。</w:t>
      </w:r>
    </w:p>
    <w:p w14:paraId="2BBA501C">
      <w:pPr>
        <w:pStyle w:val="8"/>
        <w:spacing w:line="360" w:lineRule="auto"/>
        <w:ind w:left="0" w:leftChars="0"/>
      </w:pPr>
      <w:bookmarkStart w:id="103" w:name="bookmark64"/>
      <w:bookmarkEnd w:id="103"/>
      <w:r>
        <w:t xml:space="preserve">7.4 </w:t>
      </w:r>
      <w:r>
        <w:rPr>
          <w:rFonts w:hint="eastAsia"/>
        </w:rPr>
        <w:t>定标</w:t>
      </w:r>
    </w:p>
    <w:p w14:paraId="0CB70890">
      <w:pPr>
        <w:pStyle w:val="14"/>
        <w:kinsoku w:val="0"/>
        <w:overflowPunct w:val="0"/>
        <w:spacing w:line="360" w:lineRule="auto"/>
        <w:ind w:firstLine="420" w:firstLineChars="200"/>
        <w:rPr>
          <w:rFonts w:ascii="宋体" w:hAnsi="宋体"/>
          <w:szCs w:val="21"/>
        </w:rPr>
      </w:pPr>
      <w:r>
        <w:rPr>
          <w:rFonts w:hint="eastAsia" w:ascii="宋体" w:hAnsi="宋体"/>
          <w:szCs w:val="21"/>
        </w:rPr>
        <w:t>按照投标人须知前附表的规定，招标人或招标人授权的评标委员会依法确定中标人。</w:t>
      </w:r>
    </w:p>
    <w:p w14:paraId="6021F872">
      <w:pPr>
        <w:pStyle w:val="8"/>
        <w:spacing w:line="360" w:lineRule="auto"/>
        <w:ind w:left="0" w:leftChars="0"/>
      </w:pPr>
      <w:bookmarkStart w:id="104" w:name="bookmark65"/>
      <w:bookmarkEnd w:id="104"/>
      <w:r>
        <w:t xml:space="preserve">7.5 </w:t>
      </w:r>
      <w:r>
        <w:rPr>
          <w:rFonts w:hint="eastAsia"/>
        </w:rPr>
        <w:t>中标通知</w:t>
      </w:r>
    </w:p>
    <w:p w14:paraId="01FD07DD">
      <w:pPr>
        <w:pStyle w:val="14"/>
        <w:kinsoku w:val="0"/>
        <w:overflowPunct w:val="0"/>
        <w:spacing w:line="360" w:lineRule="auto"/>
        <w:ind w:firstLine="420" w:firstLineChars="200"/>
        <w:rPr>
          <w:rFonts w:ascii="宋体" w:hAnsi="宋体"/>
          <w:szCs w:val="21"/>
        </w:rPr>
      </w:pPr>
      <w:r>
        <w:rPr>
          <w:rFonts w:hint="eastAsia" w:ascii="宋体" w:hAnsi="宋体"/>
          <w:szCs w:val="21"/>
        </w:rPr>
        <w:t>在本章第</w:t>
      </w:r>
      <w:r>
        <w:rPr>
          <w:rFonts w:ascii="宋体" w:hAnsi="宋体"/>
          <w:szCs w:val="21"/>
        </w:rPr>
        <w:t>3.3</w:t>
      </w:r>
      <w:r>
        <w:rPr>
          <w:rFonts w:hint="eastAsia" w:ascii="宋体" w:hAnsi="宋体"/>
          <w:szCs w:val="21"/>
        </w:rPr>
        <w:t>款规定的投标有效期内，招标人以书面形式向中标人发出中标通知书，同时将中标结果通知未中标的投标人。</w:t>
      </w:r>
    </w:p>
    <w:p w14:paraId="47B60BAA">
      <w:pPr>
        <w:pStyle w:val="8"/>
        <w:spacing w:line="360" w:lineRule="auto"/>
        <w:ind w:left="0" w:leftChars="0"/>
      </w:pPr>
      <w:bookmarkStart w:id="105" w:name="bookmark66"/>
      <w:bookmarkEnd w:id="105"/>
      <w:bookmarkStart w:id="106" w:name="bookmark67"/>
      <w:bookmarkEnd w:id="106"/>
      <w:r>
        <w:t>7.</w:t>
      </w:r>
      <w:r>
        <w:rPr>
          <w:rFonts w:hint="eastAsia"/>
          <w:lang w:val="en-US" w:eastAsia="zh-CN"/>
        </w:rPr>
        <w:t>6</w:t>
      </w:r>
      <w:r>
        <w:t xml:space="preserve"> </w:t>
      </w:r>
      <w:r>
        <w:rPr>
          <w:rFonts w:hint="eastAsia"/>
        </w:rPr>
        <w:t>签订合同</w:t>
      </w:r>
    </w:p>
    <w:p w14:paraId="0B551DE5">
      <w:pPr>
        <w:pStyle w:val="14"/>
        <w:kinsoku w:val="0"/>
        <w:overflowPunct w:val="0"/>
        <w:spacing w:line="360" w:lineRule="auto"/>
        <w:ind w:firstLine="420" w:firstLineChars="200"/>
        <w:rPr>
          <w:rFonts w:ascii="宋体" w:hAnsi="宋体"/>
          <w:szCs w:val="21"/>
        </w:rPr>
      </w:pPr>
      <w:r>
        <w:rPr>
          <w:rFonts w:ascii="宋体" w:hAnsi="宋体"/>
          <w:szCs w:val="21"/>
        </w:rPr>
        <w:t>7.</w:t>
      </w:r>
      <w:r>
        <w:rPr>
          <w:rFonts w:hint="eastAsia" w:ascii="宋体" w:hAnsi="宋体"/>
          <w:szCs w:val="21"/>
          <w:lang w:val="en-US" w:eastAsia="zh-CN"/>
        </w:rPr>
        <w:t>6</w:t>
      </w:r>
      <w:r>
        <w:rPr>
          <w:rFonts w:ascii="宋体" w:hAnsi="宋体"/>
          <w:szCs w:val="21"/>
        </w:rPr>
        <w:t>.1</w:t>
      </w:r>
      <w:r>
        <w:rPr>
          <w:rFonts w:hint="eastAsia" w:ascii="宋体" w:hAnsi="宋体"/>
          <w:szCs w:val="21"/>
        </w:rPr>
        <w:t>招标人和中标人应当在中标通知书发出之日起</w:t>
      </w:r>
      <w:r>
        <w:rPr>
          <w:rFonts w:ascii="宋体" w:hAnsi="宋体"/>
          <w:szCs w:val="21"/>
        </w:rPr>
        <w:t>30</w:t>
      </w:r>
      <w:r>
        <w:rPr>
          <w:rFonts w:hint="eastAsia" w:ascii="宋体" w:hAnsi="宋体"/>
          <w:szCs w:val="21"/>
        </w:rPr>
        <w:t>日内，根据招标文件和中标人的投标文件订立书面合同。中标人无正当理由拒签合同，在签订合同时向招标人提出附加条件，招标人有权取消其中标资格；给招标人造成的损失，中标人还应当予以赔偿。</w:t>
      </w:r>
    </w:p>
    <w:p w14:paraId="5D17734F">
      <w:pPr>
        <w:pStyle w:val="14"/>
        <w:kinsoku w:val="0"/>
        <w:overflowPunct w:val="0"/>
        <w:spacing w:line="360" w:lineRule="auto"/>
        <w:ind w:firstLine="420" w:firstLineChars="200"/>
        <w:rPr>
          <w:rFonts w:ascii="宋体" w:hAnsi="宋体"/>
          <w:szCs w:val="21"/>
        </w:rPr>
      </w:pPr>
      <w:r>
        <w:rPr>
          <w:rFonts w:ascii="宋体" w:hAnsi="宋体"/>
          <w:szCs w:val="21"/>
        </w:rPr>
        <w:t>7.</w:t>
      </w:r>
      <w:r>
        <w:rPr>
          <w:rFonts w:hint="eastAsia" w:ascii="宋体" w:hAnsi="宋体"/>
          <w:szCs w:val="21"/>
          <w:lang w:val="en-US" w:eastAsia="zh-CN"/>
        </w:rPr>
        <w:t>6</w:t>
      </w:r>
      <w:r>
        <w:rPr>
          <w:rFonts w:ascii="宋体" w:hAnsi="宋体"/>
          <w:szCs w:val="21"/>
        </w:rPr>
        <w:t>.2</w:t>
      </w:r>
      <w:r>
        <w:rPr>
          <w:rFonts w:hint="eastAsia" w:ascii="宋体" w:hAnsi="宋体"/>
          <w:szCs w:val="21"/>
        </w:rPr>
        <w:t>发出中标通知书后，招标人无正当理由拒签合同，或者在签订合同时向中标人提出附加条件的，给中标人造成损失的，还应当赔偿损失。</w:t>
      </w:r>
    </w:p>
    <w:p w14:paraId="15E86DDC">
      <w:pPr>
        <w:pStyle w:val="14"/>
        <w:kinsoku w:val="0"/>
        <w:overflowPunct w:val="0"/>
        <w:spacing w:line="360" w:lineRule="auto"/>
        <w:ind w:firstLine="420" w:firstLineChars="200"/>
        <w:rPr>
          <w:rFonts w:ascii="宋体" w:hAnsi="宋体"/>
          <w:szCs w:val="21"/>
        </w:rPr>
      </w:pPr>
      <w:r>
        <w:rPr>
          <w:rFonts w:ascii="宋体" w:hAnsi="宋体"/>
          <w:szCs w:val="21"/>
        </w:rPr>
        <w:t>7.</w:t>
      </w:r>
      <w:r>
        <w:rPr>
          <w:rFonts w:hint="eastAsia" w:ascii="宋体" w:hAnsi="宋体"/>
          <w:szCs w:val="21"/>
          <w:lang w:val="en-US" w:eastAsia="zh-CN"/>
        </w:rPr>
        <w:t>6</w:t>
      </w:r>
      <w:r>
        <w:rPr>
          <w:rFonts w:ascii="宋体" w:hAnsi="宋体"/>
          <w:szCs w:val="21"/>
        </w:rPr>
        <w:t>.3</w:t>
      </w:r>
      <w:r>
        <w:rPr>
          <w:rFonts w:hint="eastAsia" w:ascii="宋体" w:hAnsi="宋体"/>
          <w:szCs w:val="21"/>
        </w:rPr>
        <w:t>联合体中标的，联合体各方应当共同与招标人签订合同，就中标项目向招标人承担连带责任。</w:t>
      </w:r>
    </w:p>
    <w:p w14:paraId="77E1BEA2">
      <w:bookmarkStart w:id="107" w:name="bookmark68"/>
      <w:bookmarkEnd w:id="107"/>
      <w:bookmarkStart w:id="108" w:name="_Toc533357315"/>
    </w:p>
    <w:p w14:paraId="2BA56BBB">
      <w:pPr>
        <w:pStyle w:val="6"/>
      </w:pPr>
      <w:bookmarkStart w:id="109" w:name="_Toc29500"/>
      <w:bookmarkStart w:id="110" w:name="_Toc17566"/>
      <w:bookmarkStart w:id="111" w:name="_Toc28299"/>
      <w:r>
        <w:t xml:space="preserve">8. </w:t>
      </w:r>
      <w:r>
        <w:rPr>
          <w:rFonts w:hint="eastAsia"/>
        </w:rPr>
        <w:t>纪律和监督</w:t>
      </w:r>
      <w:bookmarkEnd w:id="108"/>
      <w:bookmarkEnd w:id="109"/>
      <w:bookmarkEnd w:id="110"/>
      <w:bookmarkEnd w:id="111"/>
    </w:p>
    <w:p w14:paraId="5EFA3161">
      <w:pPr>
        <w:pStyle w:val="8"/>
        <w:spacing w:line="360" w:lineRule="auto"/>
      </w:pPr>
      <w:bookmarkStart w:id="112" w:name="bookmark69"/>
      <w:bookmarkEnd w:id="112"/>
      <w:r>
        <w:t xml:space="preserve">8.1 </w:t>
      </w:r>
      <w:r>
        <w:rPr>
          <w:rFonts w:hint="eastAsia"/>
        </w:rPr>
        <w:t>对招标人的纪律要求</w:t>
      </w:r>
    </w:p>
    <w:p w14:paraId="7E9EAD66">
      <w:pPr>
        <w:pStyle w:val="14"/>
        <w:kinsoku w:val="0"/>
        <w:overflowPunct w:val="0"/>
        <w:spacing w:line="360" w:lineRule="auto"/>
        <w:ind w:firstLine="420" w:firstLineChars="200"/>
        <w:rPr>
          <w:rFonts w:ascii="宋体" w:hAnsi="宋体"/>
          <w:szCs w:val="21"/>
        </w:rPr>
      </w:pPr>
      <w:r>
        <w:rPr>
          <w:rFonts w:hint="eastAsia" w:ascii="宋体" w:hAnsi="宋体"/>
          <w:szCs w:val="21"/>
        </w:rPr>
        <w:t>招标人不得泄露招标投标活动中应当保密的情况和资料，不得与投标人串通损害国家利益、社会公共利益或者他人合法权益。</w:t>
      </w:r>
    </w:p>
    <w:p w14:paraId="5FAC628F">
      <w:pPr>
        <w:pStyle w:val="14"/>
        <w:kinsoku w:val="0"/>
        <w:overflowPunct w:val="0"/>
        <w:spacing w:line="360" w:lineRule="auto"/>
        <w:ind w:firstLine="420" w:firstLineChars="200"/>
        <w:rPr>
          <w:rFonts w:ascii="宋体" w:hAnsi="宋体"/>
          <w:szCs w:val="21"/>
        </w:rPr>
      </w:pPr>
    </w:p>
    <w:p w14:paraId="3B2CB48A">
      <w:pPr>
        <w:pStyle w:val="8"/>
        <w:spacing w:line="360" w:lineRule="auto"/>
      </w:pPr>
      <w:bookmarkStart w:id="113" w:name="bookmark70"/>
      <w:bookmarkEnd w:id="113"/>
      <w:r>
        <w:t xml:space="preserve">8.2 </w:t>
      </w:r>
      <w:r>
        <w:rPr>
          <w:rFonts w:hint="eastAsia"/>
        </w:rPr>
        <w:t>对投标人的纪律要求</w:t>
      </w:r>
    </w:p>
    <w:p w14:paraId="131BF4B6">
      <w:pPr>
        <w:pStyle w:val="14"/>
        <w:kinsoku w:val="0"/>
        <w:overflowPunct w:val="0"/>
        <w:spacing w:line="360" w:lineRule="auto"/>
        <w:ind w:firstLine="420" w:firstLineChars="200"/>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7ED2C76">
      <w:pPr>
        <w:pStyle w:val="14"/>
        <w:kinsoku w:val="0"/>
        <w:overflowPunct w:val="0"/>
        <w:spacing w:line="360" w:lineRule="auto"/>
        <w:ind w:firstLine="420" w:firstLineChars="200"/>
        <w:rPr>
          <w:rFonts w:ascii="宋体" w:hAnsi="宋体"/>
          <w:szCs w:val="21"/>
        </w:rPr>
      </w:pPr>
    </w:p>
    <w:p w14:paraId="31E532D9">
      <w:pPr>
        <w:pStyle w:val="8"/>
        <w:spacing w:line="360" w:lineRule="auto"/>
      </w:pPr>
      <w:bookmarkStart w:id="114" w:name="bookmark71"/>
      <w:bookmarkEnd w:id="114"/>
      <w:r>
        <w:t xml:space="preserve">8.3 </w:t>
      </w:r>
      <w:r>
        <w:rPr>
          <w:rFonts w:hint="eastAsia"/>
        </w:rPr>
        <w:t>对评标委员会成员的纪律要求</w:t>
      </w:r>
    </w:p>
    <w:p w14:paraId="0C7EF489">
      <w:pPr>
        <w:pStyle w:val="14"/>
        <w:kinsoku w:val="0"/>
        <w:overflowPunct w:val="0"/>
        <w:spacing w:line="360" w:lineRule="auto"/>
        <w:ind w:firstLine="420" w:firstLineChars="200"/>
        <w:rPr>
          <w:rFonts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DC88A02">
      <w:pPr>
        <w:pStyle w:val="14"/>
        <w:kinsoku w:val="0"/>
        <w:overflowPunct w:val="0"/>
        <w:spacing w:line="360" w:lineRule="auto"/>
        <w:ind w:firstLine="420" w:firstLineChars="200"/>
        <w:rPr>
          <w:rFonts w:ascii="宋体" w:hAnsi="宋体"/>
          <w:szCs w:val="21"/>
        </w:rPr>
      </w:pPr>
    </w:p>
    <w:p w14:paraId="3F7CB775">
      <w:pPr>
        <w:pStyle w:val="8"/>
        <w:spacing w:line="360" w:lineRule="auto"/>
      </w:pPr>
      <w:bookmarkStart w:id="115" w:name="bookmark72"/>
      <w:bookmarkEnd w:id="115"/>
      <w:r>
        <w:t xml:space="preserve">8.4 </w:t>
      </w:r>
      <w:r>
        <w:rPr>
          <w:rFonts w:hint="eastAsia"/>
        </w:rPr>
        <w:t>对与评标活动有关的工作人员的纪律要求</w:t>
      </w:r>
    </w:p>
    <w:p w14:paraId="19DA435E">
      <w:pPr>
        <w:pStyle w:val="14"/>
        <w:kinsoku w:val="0"/>
        <w:overflowPunct w:val="0"/>
        <w:spacing w:line="360" w:lineRule="auto"/>
        <w:ind w:firstLine="420" w:firstLineChars="200"/>
        <w:rPr>
          <w:rFonts w:ascii="宋体" w:hAnsi="宋体"/>
          <w:szCs w:val="21"/>
        </w:rPr>
      </w:pPr>
      <w:r>
        <w:rPr>
          <w:rFonts w:hint="eastAsia" w:ascii="宋体"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99A7E90">
      <w:pPr>
        <w:pStyle w:val="14"/>
        <w:kinsoku w:val="0"/>
        <w:overflowPunct w:val="0"/>
        <w:spacing w:line="360" w:lineRule="auto"/>
        <w:ind w:firstLine="420" w:firstLineChars="200"/>
        <w:rPr>
          <w:rFonts w:ascii="宋体" w:hAnsi="宋体"/>
          <w:szCs w:val="21"/>
        </w:rPr>
      </w:pPr>
    </w:p>
    <w:p w14:paraId="353F0CD5">
      <w:pPr>
        <w:pStyle w:val="8"/>
        <w:spacing w:line="360" w:lineRule="auto"/>
      </w:pPr>
      <w:bookmarkStart w:id="116" w:name="bookmark73"/>
      <w:bookmarkEnd w:id="116"/>
      <w:r>
        <w:t xml:space="preserve">8.5 </w:t>
      </w:r>
      <w:r>
        <w:rPr>
          <w:rFonts w:hint="eastAsia"/>
        </w:rPr>
        <w:t>投诉</w:t>
      </w:r>
    </w:p>
    <w:p w14:paraId="24D1F09B">
      <w:pPr>
        <w:pStyle w:val="14"/>
        <w:kinsoku w:val="0"/>
        <w:overflowPunct w:val="0"/>
        <w:spacing w:line="360" w:lineRule="auto"/>
        <w:ind w:firstLine="420" w:firstLineChars="200"/>
        <w:rPr>
          <w:rFonts w:ascii="宋体" w:hAnsi="宋体"/>
          <w:szCs w:val="21"/>
        </w:rPr>
      </w:pPr>
      <w:r>
        <w:rPr>
          <w:rFonts w:ascii="宋体" w:hAnsi="宋体"/>
          <w:szCs w:val="21"/>
        </w:rPr>
        <w:t>8.5.1</w:t>
      </w:r>
      <w:r>
        <w:rPr>
          <w:rFonts w:hint="eastAsia" w:ascii="宋体" w:hAnsi="宋体"/>
          <w:szCs w:val="21"/>
        </w:rPr>
        <w:t>投标人或者其他利害关系人认为招标投标活动不符合法律、行政法规规定的，可以自知道或者应当知道之日起</w:t>
      </w:r>
      <w:r>
        <w:rPr>
          <w:rFonts w:ascii="宋体" w:hAnsi="宋体"/>
          <w:szCs w:val="21"/>
        </w:rPr>
        <w:t>10</w:t>
      </w:r>
      <w:r>
        <w:rPr>
          <w:rFonts w:hint="eastAsia" w:ascii="宋体" w:hAnsi="宋体"/>
          <w:szCs w:val="21"/>
        </w:rPr>
        <w:t>日内向有关行政监督部门投诉。投诉应当有明确的请求和必要的证明材料。</w:t>
      </w:r>
    </w:p>
    <w:p w14:paraId="357FF88E">
      <w:pPr>
        <w:pStyle w:val="14"/>
        <w:kinsoku w:val="0"/>
        <w:overflowPunct w:val="0"/>
        <w:spacing w:line="360" w:lineRule="auto"/>
        <w:ind w:firstLine="420" w:firstLineChars="200"/>
        <w:rPr>
          <w:rFonts w:ascii="宋体" w:hAnsi="宋体"/>
          <w:szCs w:val="21"/>
        </w:rPr>
      </w:pPr>
      <w:r>
        <w:rPr>
          <w:rFonts w:ascii="宋体" w:hAnsi="宋体"/>
          <w:szCs w:val="21"/>
        </w:rPr>
        <w:t>8.5.2</w:t>
      </w:r>
      <w:r>
        <w:rPr>
          <w:rFonts w:hint="eastAsia" w:ascii="宋体" w:hAnsi="宋体"/>
          <w:szCs w:val="21"/>
        </w:rPr>
        <w:t>投标人或者其他利害关系人对招标文件、开标和评标结果提出投诉的，应当按照投标人须知第</w:t>
      </w:r>
      <w:r>
        <w:rPr>
          <w:rFonts w:ascii="宋体" w:hAnsi="宋体"/>
          <w:szCs w:val="21"/>
        </w:rPr>
        <w:t>2.4</w:t>
      </w:r>
      <w:r>
        <w:rPr>
          <w:rFonts w:hint="eastAsia" w:ascii="宋体" w:hAnsi="宋体"/>
          <w:szCs w:val="21"/>
        </w:rPr>
        <w:t>款、第</w:t>
      </w:r>
      <w:r>
        <w:rPr>
          <w:rFonts w:ascii="宋体" w:hAnsi="宋体"/>
          <w:szCs w:val="21"/>
        </w:rPr>
        <w:t>5.3</w:t>
      </w:r>
      <w:r>
        <w:rPr>
          <w:rFonts w:hint="eastAsia" w:ascii="宋体" w:hAnsi="宋体"/>
          <w:szCs w:val="21"/>
        </w:rPr>
        <w:t>款和第</w:t>
      </w:r>
      <w:r>
        <w:rPr>
          <w:rFonts w:ascii="宋体" w:hAnsi="宋体"/>
          <w:szCs w:val="21"/>
        </w:rPr>
        <w:t>7.2</w:t>
      </w:r>
      <w:r>
        <w:rPr>
          <w:rFonts w:hint="eastAsia" w:ascii="宋体" w:hAnsi="宋体"/>
          <w:szCs w:val="21"/>
        </w:rPr>
        <w:t>款的规定先向招标人提出异议。异议答复期间不计算在第</w:t>
      </w:r>
      <w:r>
        <w:rPr>
          <w:rFonts w:ascii="宋体" w:hAnsi="宋体"/>
          <w:szCs w:val="21"/>
        </w:rPr>
        <w:t>8.5.1</w:t>
      </w:r>
      <w:r>
        <w:rPr>
          <w:rFonts w:hint="eastAsia" w:ascii="宋体" w:hAnsi="宋体"/>
          <w:szCs w:val="21"/>
        </w:rPr>
        <w:t>项规定的期限内。</w:t>
      </w:r>
    </w:p>
    <w:p w14:paraId="5B11A586">
      <w:bookmarkStart w:id="117" w:name="bookmark74"/>
      <w:bookmarkEnd w:id="117"/>
    </w:p>
    <w:p w14:paraId="52637820">
      <w:pPr>
        <w:pStyle w:val="6"/>
      </w:pPr>
      <w:bookmarkStart w:id="118" w:name="_Toc17430"/>
      <w:bookmarkStart w:id="119" w:name="_Toc21991"/>
      <w:bookmarkStart w:id="120" w:name="_Toc29668"/>
      <w:r>
        <w:t xml:space="preserve">9. </w:t>
      </w:r>
      <w:r>
        <w:rPr>
          <w:rFonts w:hint="eastAsia"/>
        </w:rPr>
        <w:t>是否采用电子招标投标</w:t>
      </w:r>
      <w:bookmarkEnd w:id="118"/>
      <w:bookmarkEnd w:id="119"/>
      <w:bookmarkEnd w:id="120"/>
    </w:p>
    <w:p w14:paraId="70371FC9">
      <w:pPr>
        <w:pStyle w:val="14"/>
        <w:kinsoku w:val="0"/>
        <w:overflowPunct w:val="0"/>
        <w:spacing w:line="360" w:lineRule="auto"/>
        <w:ind w:firstLine="420" w:firstLineChars="200"/>
        <w:rPr>
          <w:rFonts w:ascii="宋体" w:hAnsi="宋体"/>
          <w:szCs w:val="21"/>
        </w:rPr>
      </w:pPr>
      <w:r>
        <w:rPr>
          <w:rFonts w:hint="eastAsia" w:ascii="宋体" w:hAnsi="宋体"/>
          <w:szCs w:val="21"/>
        </w:rPr>
        <w:t>本招标项目采用电子招标投标方式，具体要求见投标人须知前附表。</w:t>
      </w:r>
    </w:p>
    <w:p w14:paraId="5F278AB5">
      <w:bookmarkStart w:id="121" w:name="bookmark75"/>
      <w:bookmarkEnd w:id="121"/>
    </w:p>
    <w:p w14:paraId="3DBA98CD">
      <w:pPr>
        <w:pStyle w:val="6"/>
      </w:pPr>
      <w:bookmarkStart w:id="122" w:name="_Toc5926"/>
      <w:bookmarkStart w:id="123" w:name="_Toc23817"/>
      <w:bookmarkStart w:id="124" w:name="_Toc22785"/>
      <w:r>
        <w:t xml:space="preserve">10. </w:t>
      </w:r>
      <w:r>
        <w:rPr>
          <w:rFonts w:hint="eastAsia"/>
        </w:rPr>
        <w:t>需要补充的其他内容</w:t>
      </w:r>
      <w:bookmarkEnd w:id="122"/>
      <w:bookmarkEnd w:id="123"/>
      <w:bookmarkEnd w:id="124"/>
    </w:p>
    <w:p w14:paraId="65B8640F">
      <w:pPr>
        <w:spacing w:line="360" w:lineRule="auto"/>
        <w:ind w:firstLine="424" w:firstLineChars="202"/>
        <w:rPr>
          <w:rFonts w:ascii="宋体" w:hAnsi="宋体"/>
        </w:rPr>
      </w:pPr>
      <w:r>
        <w:rPr>
          <w:rFonts w:hint="eastAsia" w:ascii="宋体" w:hAnsi="宋体"/>
        </w:rPr>
        <w:t>需要补充的其他内容：见投标人须知前附表。</w:t>
      </w:r>
    </w:p>
    <w:p w14:paraId="30C688F2">
      <w:pPr>
        <w:ind w:firstLine="424" w:firstLineChars="202"/>
        <w:rPr>
          <w:rFonts w:ascii="宋体" w:hAnsi="宋体"/>
        </w:rPr>
      </w:pPr>
    </w:p>
    <w:p w14:paraId="3541C578">
      <w:pPr>
        <w:ind w:firstLine="424" w:firstLineChars="202"/>
        <w:rPr>
          <w:rFonts w:ascii="宋体" w:hAnsi="宋体"/>
        </w:rPr>
      </w:pPr>
    </w:p>
    <w:p w14:paraId="182881B1">
      <w:pPr>
        <w:rPr>
          <w:szCs w:val="24"/>
        </w:rPr>
      </w:pPr>
      <w:r>
        <w:rPr>
          <w:szCs w:val="24"/>
        </w:rPr>
        <w:br w:type="page"/>
      </w:r>
    </w:p>
    <w:p w14:paraId="617CE3B6">
      <w:pPr>
        <w:spacing w:line="400" w:lineRule="exact"/>
        <w:outlineLvl w:val="0"/>
        <w:rPr>
          <w:rFonts w:ascii="黑体" w:hAnsi="黑体" w:eastAsia="黑体" w:cs="黑体"/>
          <w:sz w:val="28"/>
          <w:szCs w:val="28"/>
        </w:rPr>
      </w:pPr>
      <w:bookmarkStart w:id="125" w:name="_Toc492300620"/>
      <w:bookmarkStart w:id="126" w:name="_Toc14997"/>
      <w:bookmarkStart w:id="127" w:name="_Toc30873"/>
      <w:bookmarkStart w:id="128" w:name="_Toc20362"/>
      <w:bookmarkStart w:id="129" w:name="_Toc23427"/>
      <w:bookmarkStart w:id="130" w:name="_Toc7654"/>
      <w:bookmarkStart w:id="131" w:name="_Toc32331"/>
      <w:bookmarkStart w:id="132" w:name="_Toc19469"/>
      <w:bookmarkStart w:id="133" w:name="_Toc2276"/>
      <w:bookmarkStart w:id="134" w:name="_Toc19287"/>
      <w:r>
        <w:rPr>
          <w:rFonts w:hint="eastAsia" w:ascii="黑体" w:hAnsi="黑体" w:eastAsia="黑体" w:cs="黑体"/>
          <w:sz w:val="28"/>
          <w:szCs w:val="28"/>
        </w:rPr>
        <w:t>附件一：开标记录表</w:t>
      </w:r>
      <w:bookmarkEnd w:id="125"/>
      <w:bookmarkEnd w:id="126"/>
      <w:bookmarkEnd w:id="127"/>
      <w:bookmarkEnd w:id="128"/>
      <w:bookmarkEnd w:id="129"/>
      <w:bookmarkEnd w:id="130"/>
      <w:bookmarkEnd w:id="131"/>
      <w:bookmarkEnd w:id="132"/>
      <w:bookmarkEnd w:id="133"/>
      <w:bookmarkEnd w:id="134"/>
    </w:p>
    <w:p w14:paraId="35A95870">
      <w:pPr>
        <w:spacing w:line="440" w:lineRule="exact"/>
        <w:jc w:val="center"/>
        <w:rPr>
          <w:rFonts w:eastAsia="黑体"/>
          <w:sz w:val="28"/>
        </w:rPr>
      </w:pPr>
      <w:r>
        <w:rPr>
          <w:rFonts w:eastAsia="黑体"/>
          <w:sz w:val="32"/>
          <w:szCs w:val="24"/>
        </w:rPr>
        <w:t>开标记录表</w:t>
      </w:r>
    </w:p>
    <w:p w14:paraId="61945318">
      <w:pPr>
        <w:pStyle w:val="14"/>
        <w:tabs>
          <w:tab w:val="left" w:pos="3614"/>
          <w:tab w:val="left" w:pos="4768"/>
          <w:tab w:val="left" w:pos="5923"/>
          <w:tab w:val="left" w:pos="7078"/>
          <w:tab w:val="left" w:pos="8233"/>
        </w:tabs>
        <w:kinsoku w:val="0"/>
        <w:overflowPunct w:val="0"/>
        <w:spacing w:line="360" w:lineRule="auto"/>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7F9DE681">
      <w:pPr>
        <w:pStyle w:val="14"/>
        <w:tabs>
          <w:tab w:val="left" w:pos="3614"/>
          <w:tab w:val="left" w:pos="4768"/>
          <w:tab w:val="left" w:pos="5923"/>
          <w:tab w:val="left" w:pos="7078"/>
          <w:tab w:val="left" w:pos="8233"/>
        </w:tabs>
        <w:kinsoku w:val="0"/>
        <w:overflowPunct w:val="0"/>
        <w:spacing w:line="360" w:lineRule="auto"/>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p>
    <w:p w14:paraId="76BE890C">
      <w:pPr>
        <w:spacing w:line="440" w:lineRule="exact"/>
        <w:rPr>
          <w:rFonts w:ascii="宋体" w:hAnsi="宋体" w:cs="宋体"/>
          <w:sz w:val="24"/>
          <w:szCs w:val="24"/>
        </w:rPr>
      </w:pPr>
      <w:r>
        <w:rPr>
          <w:rFonts w:hint="eastAsia" w:ascii="宋体" w:hAnsi="宋体" w:cs="宋体"/>
          <w:sz w:val="24"/>
          <w:szCs w:val="24"/>
        </w:rPr>
        <w:t>开标</w:t>
      </w:r>
      <w:r>
        <w:rPr>
          <w:rFonts w:hint="eastAsia" w:ascii="宋体" w:hAnsi="宋体" w:cs="宋体"/>
          <w:spacing w:val="-3"/>
          <w:sz w:val="24"/>
          <w:szCs w:val="24"/>
        </w:rPr>
        <w:t>时</w:t>
      </w:r>
      <w:r>
        <w:rPr>
          <w:rFonts w:hint="eastAsia" w:ascii="宋体" w:hAnsi="宋体" w:cs="宋体"/>
          <w:sz w:val="24"/>
          <w:szCs w:val="24"/>
        </w:rPr>
        <w:t>间</w:t>
      </w:r>
      <w:r>
        <w:rPr>
          <w:rFonts w:hint="eastAsia" w:ascii="宋体" w:hAnsi="宋体" w:cs="宋体"/>
          <w:spacing w:val="-2"/>
          <w:sz w:val="24"/>
          <w:szCs w:val="24"/>
        </w:rPr>
        <w:t>：</w:t>
      </w:r>
      <w:r>
        <w:rPr>
          <w:rFonts w:hint="eastAsia" w:ascii="宋体" w:hAnsi="宋体" w:cs="宋体"/>
          <w:spacing w:val="-2"/>
          <w:sz w:val="24"/>
          <w:szCs w:val="24"/>
          <w:u w:val="single"/>
        </w:rPr>
        <w:tab/>
      </w:r>
      <w:r>
        <w:rPr>
          <w:rFonts w:hint="eastAsia" w:ascii="宋体" w:hAnsi="宋体" w:cs="宋体"/>
          <w:spacing w:val="-2"/>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ab/>
      </w:r>
      <w:r>
        <w:rPr>
          <w:rFonts w:hint="eastAsia" w:ascii="宋体" w:hAnsi="宋体" w:cs="宋体"/>
          <w:sz w:val="24"/>
          <w:szCs w:val="24"/>
        </w:rPr>
        <w:t>日</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分</w:t>
      </w:r>
    </w:p>
    <w:p w14:paraId="6EB53B67">
      <w:pPr>
        <w:pStyle w:val="27"/>
      </w:pPr>
    </w:p>
    <w:tbl>
      <w:tblPr>
        <w:tblStyle w:val="29"/>
        <w:tblW w:w="9819" w:type="dxa"/>
        <w:jc w:val="center"/>
        <w:tblLayout w:type="fixed"/>
        <w:tblCellMar>
          <w:top w:w="0" w:type="dxa"/>
          <w:left w:w="108" w:type="dxa"/>
          <w:bottom w:w="0" w:type="dxa"/>
          <w:right w:w="108" w:type="dxa"/>
        </w:tblCellMar>
      </w:tblPr>
      <w:tblGrid>
        <w:gridCol w:w="706"/>
        <w:gridCol w:w="1235"/>
        <w:gridCol w:w="1209"/>
        <w:gridCol w:w="1275"/>
        <w:gridCol w:w="968"/>
        <w:gridCol w:w="1162"/>
        <w:gridCol w:w="1005"/>
        <w:gridCol w:w="984"/>
        <w:gridCol w:w="120"/>
        <w:gridCol w:w="1155"/>
      </w:tblGrid>
      <w:tr w14:paraId="0B8C020B">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EFCF039">
            <w:pPr>
              <w:jc w:val="center"/>
              <w:rPr>
                <w:rFonts w:ascii="宋体" w:hAnsi="宋体" w:cs="宋体"/>
                <w:sz w:val="24"/>
                <w:szCs w:val="24"/>
              </w:rPr>
            </w:pPr>
            <w:r>
              <w:rPr>
                <w:rFonts w:hint="eastAsia" w:ascii="宋体" w:hAnsi="宋体" w:cs="宋体"/>
                <w:sz w:val="24"/>
                <w:szCs w:val="24"/>
              </w:rPr>
              <w:t>序号</w:t>
            </w:r>
          </w:p>
        </w:tc>
        <w:tc>
          <w:tcPr>
            <w:tcW w:w="1235" w:type="dxa"/>
            <w:tcBorders>
              <w:top w:val="single" w:color="auto" w:sz="4" w:space="0"/>
              <w:left w:val="nil"/>
              <w:bottom w:val="single" w:color="auto" w:sz="4" w:space="0"/>
              <w:right w:val="single" w:color="auto" w:sz="4" w:space="0"/>
            </w:tcBorders>
            <w:vAlign w:val="center"/>
          </w:tcPr>
          <w:p w14:paraId="5E68950A">
            <w:pPr>
              <w:jc w:val="center"/>
              <w:rPr>
                <w:rFonts w:ascii="宋体" w:hAnsi="宋体" w:cs="宋体"/>
                <w:sz w:val="24"/>
                <w:szCs w:val="24"/>
              </w:rPr>
            </w:pPr>
            <w:r>
              <w:rPr>
                <w:rFonts w:hint="eastAsia" w:ascii="宋体" w:hAnsi="宋体" w:cs="宋体"/>
                <w:sz w:val="24"/>
                <w:szCs w:val="24"/>
              </w:rPr>
              <w:t>投标人</w:t>
            </w:r>
          </w:p>
        </w:tc>
        <w:tc>
          <w:tcPr>
            <w:tcW w:w="1209" w:type="dxa"/>
            <w:tcBorders>
              <w:top w:val="single" w:color="auto" w:sz="4" w:space="0"/>
              <w:left w:val="nil"/>
              <w:bottom w:val="single" w:color="auto" w:sz="4" w:space="0"/>
              <w:right w:val="single" w:color="auto" w:sz="4" w:space="0"/>
            </w:tcBorders>
            <w:vAlign w:val="center"/>
          </w:tcPr>
          <w:p w14:paraId="73EBD111">
            <w:pPr>
              <w:jc w:val="center"/>
              <w:rPr>
                <w:rFonts w:ascii="宋体" w:hAnsi="宋体" w:cs="宋体"/>
                <w:sz w:val="24"/>
                <w:szCs w:val="24"/>
              </w:rPr>
            </w:pPr>
            <w:r>
              <w:rPr>
                <w:rFonts w:hint="eastAsia" w:ascii="宋体" w:hAnsi="宋体" w:cs="宋体"/>
                <w:sz w:val="24"/>
                <w:szCs w:val="24"/>
              </w:rPr>
              <w:t>投标文件解密情况</w:t>
            </w:r>
          </w:p>
        </w:tc>
        <w:tc>
          <w:tcPr>
            <w:tcW w:w="1275" w:type="dxa"/>
            <w:tcBorders>
              <w:top w:val="single" w:color="auto" w:sz="4" w:space="0"/>
              <w:left w:val="nil"/>
              <w:bottom w:val="single" w:color="auto" w:sz="4" w:space="0"/>
              <w:right w:val="single" w:color="auto" w:sz="4" w:space="0"/>
            </w:tcBorders>
            <w:vAlign w:val="center"/>
          </w:tcPr>
          <w:p w14:paraId="51C42817">
            <w:pPr>
              <w:jc w:val="center"/>
              <w:rPr>
                <w:rFonts w:ascii="宋体" w:hAnsi="宋体" w:cs="宋体"/>
                <w:sz w:val="24"/>
                <w:szCs w:val="24"/>
              </w:rPr>
            </w:pPr>
            <w:r>
              <w:rPr>
                <w:rFonts w:hint="eastAsia" w:ascii="宋体" w:hAnsi="宋体" w:cs="宋体"/>
                <w:sz w:val="24"/>
                <w:szCs w:val="24"/>
              </w:rPr>
              <w:t>投标报价（元）</w:t>
            </w:r>
          </w:p>
        </w:tc>
        <w:tc>
          <w:tcPr>
            <w:tcW w:w="968" w:type="dxa"/>
            <w:tcBorders>
              <w:top w:val="single" w:color="auto" w:sz="4" w:space="0"/>
              <w:left w:val="nil"/>
              <w:bottom w:val="single" w:color="auto" w:sz="4" w:space="0"/>
              <w:right w:val="single" w:color="auto" w:sz="4" w:space="0"/>
            </w:tcBorders>
            <w:vAlign w:val="center"/>
          </w:tcPr>
          <w:p w14:paraId="707F5343">
            <w:pPr>
              <w:jc w:val="center"/>
              <w:rPr>
                <w:rFonts w:hint="eastAsia" w:ascii="宋体" w:hAnsi="宋体" w:cs="宋体"/>
                <w:sz w:val="24"/>
                <w:szCs w:val="24"/>
              </w:rPr>
            </w:pPr>
            <w:r>
              <w:rPr>
                <w:rFonts w:hint="eastAsia" w:ascii="宋体" w:hAnsi="宋体" w:cs="宋体"/>
                <w:bCs/>
                <w:sz w:val="24"/>
                <w:szCs w:val="24"/>
              </w:rPr>
              <w:t>投标下浮率</w:t>
            </w:r>
          </w:p>
        </w:tc>
        <w:tc>
          <w:tcPr>
            <w:tcW w:w="1162" w:type="dxa"/>
            <w:tcBorders>
              <w:top w:val="single" w:color="auto" w:sz="4" w:space="0"/>
              <w:left w:val="nil"/>
              <w:bottom w:val="single" w:color="auto" w:sz="4" w:space="0"/>
              <w:right w:val="single" w:color="auto" w:sz="4" w:space="0"/>
            </w:tcBorders>
            <w:vAlign w:val="center"/>
          </w:tcPr>
          <w:p w14:paraId="59CA8F46">
            <w:pPr>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nil"/>
              <w:bottom w:val="single" w:color="auto" w:sz="4" w:space="0"/>
              <w:right w:val="single" w:color="auto" w:sz="4" w:space="0"/>
            </w:tcBorders>
            <w:vAlign w:val="center"/>
          </w:tcPr>
          <w:p w14:paraId="6B4E6CDB">
            <w:pPr>
              <w:jc w:val="center"/>
              <w:rPr>
                <w:rFonts w:ascii="宋体" w:hAnsi="宋体" w:cs="宋体"/>
                <w:sz w:val="24"/>
                <w:szCs w:val="24"/>
              </w:rPr>
            </w:pPr>
            <w:r>
              <w:rPr>
                <w:rFonts w:hint="eastAsia" w:ascii="宋体" w:hAnsi="宋体" w:cs="宋体"/>
                <w:sz w:val="24"/>
                <w:szCs w:val="24"/>
              </w:rPr>
              <w:t>检测服务期限</w:t>
            </w:r>
          </w:p>
        </w:tc>
        <w:tc>
          <w:tcPr>
            <w:tcW w:w="984" w:type="dxa"/>
            <w:tcBorders>
              <w:top w:val="single" w:color="auto" w:sz="4" w:space="0"/>
              <w:left w:val="nil"/>
              <w:bottom w:val="single" w:color="auto" w:sz="4" w:space="0"/>
              <w:right w:val="single" w:color="auto" w:sz="4" w:space="0"/>
            </w:tcBorders>
            <w:vAlign w:val="center"/>
          </w:tcPr>
          <w:p w14:paraId="74763710">
            <w:pPr>
              <w:jc w:val="center"/>
              <w:rPr>
                <w:rFonts w:ascii="宋体" w:hAnsi="宋体" w:cs="宋体"/>
                <w:sz w:val="24"/>
                <w:szCs w:val="24"/>
              </w:rPr>
            </w:pPr>
            <w:r>
              <w:rPr>
                <w:rFonts w:hint="eastAsia" w:ascii="宋体" w:hAnsi="宋体" w:cs="宋体"/>
                <w:sz w:val="24"/>
                <w:szCs w:val="24"/>
              </w:rPr>
              <w:t>备注</w:t>
            </w:r>
          </w:p>
        </w:tc>
        <w:tc>
          <w:tcPr>
            <w:tcW w:w="1275" w:type="dxa"/>
            <w:gridSpan w:val="2"/>
            <w:tcBorders>
              <w:top w:val="single" w:color="auto" w:sz="4" w:space="0"/>
              <w:left w:val="nil"/>
              <w:bottom w:val="single" w:color="auto" w:sz="4" w:space="0"/>
              <w:right w:val="single" w:color="auto" w:sz="4" w:space="0"/>
            </w:tcBorders>
            <w:vAlign w:val="center"/>
          </w:tcPr>
          <w:p w14:paraId="42C8691B">
            <w:pPr>
              <w:jc w:val="center"/>
              <w:rPr>
                <w:rFonts w:ascii="宋体" w:hAnsi="宋体" w:cs="宋体"/>
                <w:sz w:val="24"/>
                <w:szCs w:val="24"/>
              </w:rPr>
            </w:pPr>
            <w:r>
              <w:rPr>
                <w:rFonts w:hint="eastAsia" w:ascii="宋体" w:hAnsi="宋体" w:cs="宋体"/>
                <w:sz w:val="24"/>
                <w:szCs w:val="24"/>
              </w:rPr>
              <w:t>投标人代表签名</w:t>
            </w:r>
          </w:p>
        </w:tc>
      </w:tr>
      <w:tr w14:paraId="21EB5A98">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EC4BF8">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08A26A7C">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528C18CC">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23088B3D">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07F5F494">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78F8FAC2">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4B2F8E9F">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1DFE1793">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0E38D806">
            <w:pPr>
              <w:jc w:val="center"/>
              <w:rPr>
                <w:rFonts w:ascii="宋体" w:hAnsi="宋体" w:cs="宋体"/>
                <w:sz w:val="24"/>
                <w:szCs w:val="24"/>
              </w:rPr>
            </w:pPr>
          </w:p>
        </w:tc>
      </w:tr>
      <w:tr w14:paraId="0D214659">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F1060D6">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3C62BF56">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7ACCD8FC">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6D8B247C">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224AD766">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01A334D2">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3F152AB3">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2A630B27">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0DEAE3C4">
            <w:pPr>
              <w:jc w:val="center"/>
              <w:rPr>
                <w:rFonts w:ascii="宋体" w:hAnsi="宋体" w:cs="宋体"/>
                <w:sz w:val="24"/>
                <w:szCs w:val="24"/>
              </w:rPr>
            </w:pPr>
          </w:p>
        </w:tc>
      </w:tr>
      <w:tr w14:paraId="33C6868B">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09C0833">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13905A21">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1D7AF243">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2B57D3E6">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23AE9F8F">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02684E7B">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50FFD371">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0CB84A92">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4E9F8D7A">
            <w:pPr>
              <w:jc w:val="center"/>
              <w:rPr>
                <w:rFonts w:ascii="宋体" w:hAnsi="宋体" w:cs="宋体"/>
                <w:sz w:val="24"/>
                <w:szCs w:val="24"/>
              </w:rPr>
            </w:pPr>
          </w:p>
        </w:tc>
      </w:tr>
      <w:tr w14:paraId="413CA5A0">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19D7FE3">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51C88C83">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6E11BBAD">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6EA61BE8">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5C2C407B">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5E509D08">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40A6550A">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47F3FD9F">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6A6B916F">
            <w:pPr>
              <w:jc w:val="center"/>
              <w:rPr>
                <w:rFonts w:ascii="宋体" w:hAnsi="宋体" w:cs="宋体"/>
                <w:sz w:val="24"/>
                <w:szCs w:val="24"/>
              </w:rPr>
            </w:pPr>
          </w:p>
        </w:tc>
      </w:tr>
      <w:tr w14:paraId="191503CD">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1ED227F">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6F345BFF">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26E2CE84">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3541B443">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7E609BFF">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5B13A837">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497FC17A">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1FAFF404">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0F2421B7">
            <w:pPr>
              <w:jc w:val="center"/>
              <w:rPr>
                <w:rFonts w:ascii="宋体" w:hAnsi="宋体" w:cs="宋体"/>
                <w:sz w:val="24"/>
                <w:szCs w:val="24"/>
              </w:rPr>
            </w:pPr>
          </w:p>
        </w:tc>
      </w:tr>
      <w:tr w14:paraId="3CCFFAB5">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EE974F4">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617FD9B9">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6E4B4151">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47138B4B">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623359FF">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08DF2D41">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45EE477F">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51C934DA">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3B304629">
            <w:pPr>
              <w:jc w:val="center"/>
              <w:rPr>
                <w:rFonts w:ascii="宋体" w:hAnsi="宋体" w:cs="宋体"/>
                <w:sz w:val="24"/>
                <w:szCs w:val="24"/>
              </w:rPr>
            </w:pPr>
          </w:p>
        </w:tc>
      </w:tr>
      <w:tr w14:paraId="390DB162">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7079AC">
            <w:pPr>
              <w:jc w:val="center"/>
              <w:rPr>
                <w:rFonts w:ascii="宋体" w:hAnsi="宋体" w:cs="宋体"/>
                <w:sz w:val="24"/>
                <w:szCs w:val="24"/>
              </w:rPr>
            </w:pPr>
          </w:p>
        </w:tc>
        <w:tc>
          <w:tcPr>
            <w:tcW w:w="1235" w:type="dxa"/>
            <w:tcBorders>
              <w:top w:val="single" w:color="auto" w:sz="4" w:space="0"/>
              <w:left w:val="nil"/>
              <w:bottom w:val="single" w:color="auto" w:sz="4" w:space="0"/>
              <w:right w:val="single" w:color="auto" w:sz="4" w:space="0"/>
            </w:tcBorders>
            <w:vAlign w:val="center"/>
          </w:tcPr>
          <w:p w14:paraId="7D9A4E54">
            <w:pPr>
              <w:jc w:val="center"/>
              <w:rPr>
                <w:rFonts w:ascii="宋体" w:hAnsi="宋体" w:cs="宋体"/>
                <w:sz w:val="24"/>
                <w:szCs w:val="24"/>
              </w:rPr>
            </w:pPr>
          </w:p>
        </w:tc>
        <w:tc>
          <w:tcPr>
            <w:tcW w:w="1209" w:type="dxa"/>
            <w:tcBorders>
              <w:top w:val="single" w:color="auto" w:sz="4" w:space="0"/>
              <w:left w:val="nil"/>
              <w:bottom w:val="single" w:color="auto" w:sz="4" w:space="0"/>
              <w:right w:val="single" w:color="auto" w:sz="4" w:space="0"/>
            </w:tcBorders>
            <w:vAlign w:val="center"/>
          </w:tcPr>
          <w:p w14:paraId="11E42B97">
            <w:pPr>
              <w:jc w:val="center"/>
              <w:rPr>
                <w:rFonts w:ascii="宋体" w:hAnsi="宋体" w:cs="宋体"/>
                <w:sz w:val="24"/>
                <w:szCs w:val="24"/>
              </w:rPr>
            </w:pPr>
          </w:p>
        </w:tc>
        <w:tc>
          <w:tcPr>
            <w:tcW w:w="1275" w:type="dxa"/>
            <w:tcBorders>
              <w:top w:val="single" w:color="auto" w:sz="4" w:space="0"/>
              <w:left w:val="nil"/>
              <w:bottom w:val="single" w:color="auto" w:sz="4" w:space="0"/>
              <w:right w:val="single" w:color="auto" w:sz="4" w:space="0"/>
            </w:tcBorders>
            <w:vAlign w:val="center"/>
          </w:tcPr>
          <w:p w14:paraId="79549C61">
            <w:pPr>
              <w:jc w:val="center"/>
              <w:rPr>
                <w:rFonts w:ascii="宋体" w:hAnsi="宋体" w:cs="宋体"/>
                <w:sz w:val="24"/>
                <w:szCs w:val="24"/>
              </w:rPr>
            </w:pPr>
          </w:p>
        </w:tc>
        <w:tc>
          <w:tcPr>
            <w:tcW w:w="968" w:type="dxa"/>
            <w:tcBorders>
              <w:top w:val="single" w:color="auto" w:sz="4" w:space="0"/>
              <w:left w:val="nil"/>
              <w:bottom w:val="single" w:color="auto" w:sz="4" w:space="0"/>
              <w:right w:val="single" w:color="auto" w:sz="4" w:space="0"/>
            </w:tcBorders>
            <w:vAlign w:val="center"/>
          </w:tcPr>
          <w:p w14:paraId="2FCC98B1">
            <w:pPr>
              <w:jc w:val="center"/>
              <w:rPr>
                <w:rFonts w:ascii="宋体" w:hAnsi="宋体" w:cs="宋体"/>
                <w:sz w:val="24"/>
                <w:szCs w:val="24"/>
              </w:rPr>
            </w:pPr>
          </w:p>
        </w:tc>
        <w:tc>
          <w:tcPr>
            <w:tcW w:w="1162" w:type="dxa"/>
            <w:tcBorders>
              <w:top w:val="single" w:color="auto" w:sz="4" w:space="0"/>
              <w:left w:val="nil"/>
              <w:bottom w:val="single" w:color="auto" w:sz="4" w:space="0"/>
              <w:right w:val="single" w:color="auto" w:sz="4" w:space="0"/>
            </w:tcBorders>
            <w:vAlign w:val="center"/>
          </w:tcPr>
          <w:p w14:paraId="568F6B23">
            <w:pPr>
              <w:jc w:val="center"/>
              <w:rPr>
                <w:rFonts w:ascii="宋体" w:hAnsi="宋体" w:cs="宋体"/>
                <w:sz w:val="24"/>
                <w:szCs w:val="24"/>
              </w:rPr>
            </w:pPr>
          </w:p>
        </w:tc>
        <w:tc>
          <w:tcPr>
            <w:tcW w:w="1005" w:type="dxa"/>
            <w:tcBorders>
              <w:top w:val="single" w:color="auto" w:sz="4" w:space="0"/>
              <w:left w:val="nil"/>
              <w:bottom w:val="single" w:color="auto" w:sz="4" w:space="0"/>
              <w:right w:val="single" w:color="auto" w:sz="4" w:space="0"/>
            </w:tcBorders>
            <w:vAlign w:val="center"/>
          </w:tcPr>
          <w:p w14:paraId="487991D0">
            <w:pPr>
              <w:jc w:val="center"/>
              <w:rPr>
                <w:rFonts w:ascii="宋体" w:hAnsi="宋体" w:cs="宋体"/>
                <w:sz w:val="24"/>
                <w:szCs w:val="24"/>
              </w:rPr>
            </w:pPr>
          </w:p>
        </w:tc>
        <w:tc>
          <w:tcPr>
            <w:tcW w:w="984" w:type="dxa"/>
            <w:tcBorders>
              <w:top w:val="single" w:color="auto" w:sz="4" w:space="0"/>
              <w:left w:val="nil"/>
              <w:bottom w:val="single" w:color="auto" w:sz="4" w:space="0"/>
              <w:right w:val="single" w:color="auto" w:sz="4" w:space="0"/>
            </w:tcBorders>
            <w:vAlign w:val="center"/>
          </w:tcPr>
          <w:p w14:paraId="2B11D7F6">
            <w:pPr>
              <w:jc w:val="center"/>
              <w:rPr>
                <w:rFonts w:ascii="宋体" w:hAnsi="宋体" w:cs="宋体"/>
                <w:sz w:val="24"/>
                <w:szCs w:val="24"/>
              </w:rPr>
            </w:pPr>
          </w:p>
        </w:tc>
        <w:tc>
          <w:tcPr>
            <w:tcW w:w="1275" w:type="dxa"/>
            <w:gridSpan w:val="2"/>
            <w:tcBorders>
              <w:top w:val="single" w:color="auto" w:sz="4" w:space="0"/>
              <w:left w:val="nil"/>
              <w:bottom w:val="single" w:color="auto" w:sz="4" w:space="0"/>
              <w:right w:val="single" w:color="auto" w:sz="4" w:space="0"/>
            </w:tcBorders>
            <w:vAlign w:val="center"/>
          </w:tcPr>
          <w:p w14:paraId="1F65155A">
            <w:pPr>
              <w:jc w:val="center"/>
              <w:rPr>
                <w:rFonts w:ascii="宋体" w:hAnsi="宋体" w:cs="宋体"/>
                <w:sz w:val="24"/>
                <w:szCs w:val="24"/>
              </w:rPr>
            </w:pPr>
          </w:p>
        </w:tc>
      </w:tr>
      <w:tr w14:paraId="55377343">
        <w:tblPrEx>
          <w:tblCellMar>
            <w:top w:w="0" w:type="dxa"/>
            <w:left w:w="108" w:type="dxa"/>
            <w:bottom w:w="0" w:type="dxa"/>
            <w:right w:w="108" w:type="dxa"/>
          </w:tblCellMar>
        </w:tblPrEx>
        <w:trPr>
          <w:trHeight w:val="68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257FC9">
            <w:pPr>
              <w:jc w:val="center"/>
              <w:rPr>
                <w:rFonts w:ascii="宋体" w:hAnsi="宋体" w:cs="宋体"/>
                <w:sz w:val="24"/>
                <w:szCs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124406D8">
            <w:pPr>
              <w:jc w:val="center"/>
              <w:rPr>
                <w:rFonts w:ascii="宋体" w:hAnsi="宋体" w:cs="宋体"/>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14:paraId="4CAAE234">
            <w:pPr>
              <w:jc w:val="center"/>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70AA894">
            <w:pPr>
              <w:jc w:val="center"/>
              <w:rPr>
                <w:rFonts w:ascii="宋体" w:hAnsi="宋体" w:cs="宋体"/>
                <w:sz w:val="24"/>
                <w:szCs w:val="24"/>
              </w:rPr>
            </w:pPr>
          </w:p>
        </w:tc>
        <w:tc>
          <w:tcPr>
            <w:tcW w:w="968" w:type="dxa"/>
            <w:tcBorders>
              <w:top w:val="single" w:color="auto" w:sz="4" w:space="0"/>
              <w:left w:val="single" w:color="auto" w:sz="4" w:space="0"/>
              <w:bottom w:val="single" w:color="auto" w:sz="4" w:space="0"/>
              <w:right w:val="single" w:color="auto" w:sz="4" w:space="0"/>
            </w:tcBorders>
            <w:vAlign w:val="center"/>
          </w:tcPr>
          <w:p w14:paraId="29F6B84D">
            <w:pPr>
              <w:jc w:val="center"/>
              <w:rPr>
                <w:rFonts w:ascii="宋体" w:hAnsi="宋体" w:cs="宋体"/>
                <w:sz w:val="24"/>
                <w:szCs w:val="24"/>
              </w:rPr>
            </w:pPr>
          </w:p>
        </w:tc>
        <w:tc>
          <w:tcPr>
            <w:tcW w:w="1162" w:type="dxa"/>
            <w:tcBorders>
              <w:top w:val="single" w:color="auto" w:sz="4" w:space="0"/>
              <w:left w:val="single" w:color="auto" w:sz="4" w:space="0"/>
              <w:bottom w:val="single" w:color="auto" w:sz="4" w:space="0"/>
              <w:right w:val="single" w:color="auto" w:sz="4" w:space="0"/>
            </w:tcBorders>
            <w:vAlign w:val="center"/>
          </w:tcPr>
          <w:p w14:paraId="33D48782">
            <w:pPr>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2614A34B">
            <w:pPr>
              <w:jc w:val="center"/>
              <w:rPr>
                <w:rFonts w:ascii="宋体" w:hAnsi="宋体" w:cs="宋体"/>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04AC54A5">
            <w:pPr>
              <w:jc w:val="center"/>
              <w:rPr>
                <w:rFonts w:ascii="宋体" w:hAnsi="宋体" w:cs="宋体"/>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080762">
            <w:pPr>
              <w:jc w:val="center"/>
              <w:rPr>
                <w:rFonts w:ascii="宋体" w:hAnsi="宋体" w:cs="宋体"/>
                <w:sz w:val="24"/>
                <w:szCs w:val="24"/>
              </w:rPr>
            </w:pPr>
          </w:p>
        </w:tc>
      </w:tr>
      <w:tr w14:paraId="5DFC59CE">
        <w:tblPrEx>
          <w:tblCellMar>
            <w:top w:w="0" w:type="dxa"/>
            <w:left w:w="108" w:type="dxa"/>
            <w:bottom w:w="0" w:type="dxa"/>
            <w:right w:w="108" w:type="dxa"/>
          </w:tblCellMar>
        </w:tblPrEx>
        <w:trPr>
          <w:trHeight w:val="680" w:hRule="atLeast"/>
          <w:jc w:val="center"/>
        </w:trPr>
        <w:tc>
          <w:tcPr>
            <w:tcW w:w="3150" w:type="dxa"/>
            <w:gridSpan w:val="3"/>
            <w:tcBorders>
              <w:top w:val="single" w:color="auto" w:sz="4" w:space="0"/>
              <w:left w:val="single" w:color="auto" w:sz="4" w:space="0"/>
              <w:bottom w:val="single" w:color="auto" w:sz="4" w:space="0"/>
              <w:right w:val="single" w:color="auto" w:sz="4" w:space="0"/>
            </w:tcBorders>
            <w:vAlign w:val="center"/>
          </w:tcPr>
          <w:p w14:paraId="1154D14D">
            <w:pPr>
              <w:jc w:val="center"/>
              <w:rPr>
                <w:rFonts w:ascii="宋体" w:hAnsi="宋体" w:cs="宋体"/>
                <w:sz w:val="24"/>
                <w:szCs w:val="24"/>
              </w:rPr>
            </w:pPr>
            <w:r>
              <w:rPr>
                <w:rFonts w:hint="eastAsia"/>
                <w:sz w:val="24"/>
                <w:szCs w:val="24"/>
              </w:rPr>
              <w:t>最高投标限价：</w:t>
            </w:r>
          </w:p>
        </w:tc>
        <w:tc>
          <w:tcPr>
            <w:tcW w:w="5514" w:type="dxa"/>
            <w:gridSpan w:val="6"/>
            <w:tcBorders>
              <w:top w:val="single" w:color="auto" w:sz="4" w:space="0"/>
              <w:left w:val="single" w:color="auto" w:sz="4" w:space="0"/>
              <w:bottom w:val="single" w:color="auto" w:sz="4" w:space="0"/>
              <w:right w:val="single" w:color="auto" w:sz="4" w:space="0"/>
            </w:tcBorders>
            <w:vAlign w:val="center"/>
          </w:tcPr>
          <w:p w14:paraId="7AC5AD21">
            <w:pPr>
              <w:jc w:val="cente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6D2AF24">
            <w:pPr>
              <w:jc w:val="center"/>
              <w:rPr>
                <w:rFonts w:ascii="宋体" w:hAnsi="宋体" w:cs="宋体"/>
                <w:sz w:val="24"/>
                <w:szCs w:val="24"/>
              </w:rPr>
            </w:pPr>
          </w:p>
        </w:tc>
      </w:tr>
    </w:tbl>
    <w:p w14:paraId="1992AE7D">
      <w:pPr>
        <w:spacing w:line="440" w:lineRule="exact"/>
        <w:rPr>
          <w:sz w:val="24"/>
          <w:szCs w:val="24"/>
        </w:rPr>
      </w:pPr>
      <w:r>
        <w:rPr>
          <w:rFonts w:hint="eastAsia"/>
          <w:sz w:val="24"/>
          <w:szCs w:val="24"/>
        </w:rPr>
        <w:t xml:space="preserve"> </w:t>
      </w:r>
    </w:p>
    <w:p w14:paraId="70B2AF37">
      <w:pPr>
        <w:spacing w:line="620" w:lineRule="exact"/>
        <w:rPr>
          <w:sz w:val="24"/>
          <w:szCs w:val="24"/>
        </w:rPr>
      </w:pPr>
      <w:r>
        <w:rPr>
          <w:sz w:val="24"/>
          <w:szCs w:val="24"/>
        </w:rPr>
        <w:t xml:space="preserve">招标人代表：        </w:t>
      </w:r>
      <w:r>
        <w:rPr>
          <w:rFonts w:hint="eastAsia"/>
          <w:sz w:val="24"/>
          <w:szCs w:val="24"/>
        </w:rPr>
        <w:t xml:space="preserve">        </w:t>
      </w:r>
      <w:r>
        <w:rPr>
          <w:sz w:val="24"/>
          <w:szCs w:val="24"/>
        </w:rPr>
        <w:t xml:space="preserve">记录人：       </w:t>
      </w:r>
      <w:r>
        <w:rPr>
          <w:rFonts w:hint="eastAsia"/>
          <w:sz w:val="24"/>
          <w:szCs w:val="24"/>
        </w:rPr>
        <w:t xml:space="preserve">       </w:t>
      </w:r>
      <w:r>
        <w:rPr>
          <w:sz w:val="24"/>
          <w:szCs w:val="24"/>
        </w:rPr>
        <w:t>监标人：</w:t>
      </w:r>
    </w:p>
    <w:p w14:paraId="20A3D4E0">
      <w:pPr>
        <w:spacing w:line="620" w:lineRule="exact"/>
        <w:ind w:firstLine="1652" w:firstLineChars="700"/>
        <w:jc w:val="right"/>
        <w:rPr>
          <w:rFonts w:ascii="宋体" w:hAnsi="宋体" w:cs="宋体"/>
          <w:sz w:val="20"/>
        </w:rPr>
      </w:pPr>
      <w:r>
        <w:rPr>
          <w:rFonts w:hint="eastAsia" w:ascii="宋体" w:hAnsi="宋体" w:cs="宋体"/>
          <w:spacing w:val="-2"/>
          <w:sz w:val="24"/>
          <w:szCs w:val="24"/>
          <w:u w:val="single"/>
        </w:rPr>
        <w:tab/>
      </w:r>
      <w:r>
        <w:rPr>
          <w:rFonts w:hint="eastAsia" w:ascii="宋体" w:hAnsi="宋体" w:cs="宋体"/>
          <w:spacing w:val="-2"/>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ab/>
      </w:r>
      <w:r>
        <w:rPr>
          <w:rFonts w:hint="eastAsia" w:ascii="宋体" w:hAnsi="宋体" w:cs="宋体"/>
          <w:sz w:val="24"/>
          <w:szCs w:val="24"/>
        </w:rPr>
        <w:t>日</w:t>
      </w:r>
    </w:p>
    <w:p w14:paraId="60868114">
      <w:pPr>
        <w:spacing w:line="440" w:lineRule="exact"/>
      </w:pPr>
    </w:p>
    <w:p w14:paraId="6D99B459">
      <w:pPr>
        <w:spacing w:line="440" w:lineRule="exact"/>
        <w:rPr>
          <w:rFonts w:ascii="黑体" w:hAnsi="黑体" w:eastAsia="黑体" w:cs="黑体"/>
          <w:sz w:val="28"/>
          <w:szCs w:val="28"/>
        </w:rPr>
      </w:pPr>
      <w:r>
        <w:rPr>
          <w:rFonts w:hint="eastAsia"/>
        </w:rPr>
        <w:t>本表仅供参考，具体以开标时的开标记录表为准。</w:t>
      </w:r>
      <w:r>
        <w:rPr>
          <w:rFonts w:ascii="宋体" w:hAnsi="宋体" w:cs="宋体"/>
        </w:rPr>
        <w:br w:type="page"/>
      </w:r>
      <w:bookmarkStart w:id="135" w:name="_Toc492300621"/>
      <w:bookmarkStart w:id="136" w:name="_Toc7217"/>
      <w:bookmarkStart w:id="137" w:name="_Toc19300"/>
      <w:bookmarkStart w:id="138" w:name="_Toc12328"/>
      <w:bookmarkStart w:id="139" w:name="_Toc26367"/>
      <w:bookmarkStart w:id="140" w:name="_Toc5504"/>
      <w:r>
        <w:rPr>
          <w:rFonts w:hint="eastAsia" w:ascii="黑体" w:hAnsi="黑体" w:eastAsia="黑体" w:cs="黑体"/>
          <w:sz w:val="28"/>
          <w:szCs w:val="28"/>
        </w:rPr>
        <w:t>附件二：问题澄清通知</w:t>
      </w:r>
      <w:bookmarkEnd w:id="135"/>
      <w:bookmarkEnd w:id="136"/>
      <w:bookmarkEnd w:id="137"/>
      <w:bookmarkEnd w:id="138"/>
      <w:bookmarkEnd w:id="139"/>
      <w:bookmarkEnd w:id="140"/>
    </w:p>
    <w:p w14:paraId="2706E2C2">
      <w:pPr>
        <w:spacing w:line="360" w:lineRule="auto"/>
        <w:jc w:val="center"/>
        <w:rPr>
          <w:rFonts w:ascii="宋体" w:hAnsi="宋体" w:cs="宋体"/>
        </w:rPr>
      </w:pPr>
    </w:p>
    <w:p w14:paraId="5C7824C2">
      <w:pPr>
        <w:spacing w:line="360" w:lineRule="auto"/>
        <w:ind w:firstLine="3481"/>
        <w:rPr>
          <w:rFonts w:ascii="宋体" w:hAnsi="宋体" w:cs="宋体"/>
        </w:rPr>
      </w:pPr>
      <w:bookmarkStart w:id="141" w:name="_Toc152042355"/>
      <w:bookmarkStart w:id="142" w:name="_Toc144974546"/>
      <w:r>
        <w:rPr>
          <w:rFonts w:hint="eastAsia" w:eastAsia="黑体"/>
          <w:sz w:val="32"/>
          <w:szCs w:val="24"/>
        </w:rPr>
        <w:t>问题澄清通知</w:t>
      </w:r>
    </w:p>
    <w:p w14:paraId="6E3A6C8F">
      <w:pPr>
        <w:spacing w:line="360" w:lineRule="auto"/>
        <w:ind w:firstLine="3164" w:firstLineChars="1400"/>
        <w:rPr>
          <w:rFonts w:ascii="宋体" w:hAnsi="宋体" w:cs="宋体"/>
          <w:sz w:val="24"/>
          <w:szCs w:val="24"/>
        </w:rPr>
      </w:pPr>
      <w:r>
        <w:rPr>
          <w:rFonts w:hint="eastAsia" w:ascii="宋体" w:hAnsi="宋体" w:cs="宋体"/>
          <w:spacing w:val="-7"/>
          <w:sz w:val="24"/>
          <w:szCs w:val="24"/>
        </w:rPr>
        <w:t>（ 编号：</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pacing w:val="-2"/>
          <w:sz w:val="24"/>
          <w:szCs w:val="24"/>
        </w:rPr>
        <w:t>）</w:t>
      </w:r>
    </w:p>
    <w:p w14:paraId="34E0B079">
      <w:pPr>
        <w:spacing w:line="360" w:lineRule="auto"/>
        <w:rPr>
          <w:rFonts w:ascii="宋体" w:hAnsi="宋体" w:cs="宋体"/>
          <w:sz w:val="24"/>
          <w:szCs w:val="24"/>
        </w:rPr>
      </w:pPr>
    </w:p>
    <w:p w14:paraId="57B19999">
      <w:pPr>
        <w:spacing w:line="360" w:lineRule="auto"/>
        <w:rPr>
          <w:rFonts w:ascii="宋体" w:hAnsi="宋体" w:cs="宋体"/>
          <w:sz w:val="24"/>
          <w:szCs w:val="24"/>
        </w:rPr>
      </w:pPr>
      <w:r>
        <w:rPr>
          <w:rFonts w:hint="eastAsia" w:ascii="宋体" w:hAnsi="宋体" w:cs="宋体"/>
          <w:spacing w:val="-7"/>
          <w:sz w:val="24"/>
          <w:szCs w:val="24"/>
        </w:rPr>
        <w:t>_________________________（投标人名称）：</w:t>
      </w:r>
    </w:p>
    <w:p w14:paraId="0A202E20">
      <w:pPr>
        <w:spacing w:line="360" w:lineRule="auto"/>
        <w:rPr>
          <w:rFonts w:ascii="宋体" w:hAnsi="宋体" w:cs="宋体"/>
          <w:sz w:val="24"/>
          <w:szCs w:val="24"/>
        </w:rPr>
      </w:pPr>
    </w:p>
    <w:p w14:paraId="20CC08D8">
      <w:pPr>
        <w:spacing w:line="360" w:lineRule="auto"/>
        <w:ind w:firstLine="422"/>
        <w:rPr>
          <w:rFonts w:ascii="宋体" w:hAnsi="宋体" w:cs="宋体"/>
          <w:sz w:val="24"/>
          <w:szCs w:val="24"/>
        </w:rPr>
      </w:pPr>
      <w:r>
        <w:rPr>
          <w:rFonts w:hint="eastAsia" w:ascii="宋体" w:hAnsi="宋体" w:cs="宋体"/>
          <w:sz w:val="24"/>
          <w:szCs w:val="24"/>
        </w:rPr>
        <w:t>评标委员会对你方的投标文件进行了仔细的审查，现需你方对下列问题以书面形式予以澄清、说明或补正：</w:t>
      </w:r>
    </w:p>
    <w:p w14:paraId="5D4F7D93">
      <w:pPr>
        <w:spacing w:line="360" w:lineRule="auto"/>
        <w:ind w:firstLine="422"/>
        <w:rPr>
          <w:rFonts w:ascii="宋体" w:hAnsi="宋体" w:cs="宋体"/>
          <w:spacing w:val="-7"/>
          <w:sz w:val="24"/>
          <w:szCs w:val="24"/>
        </w:rPr>
      </w:pPr>
      <w:r>
        <w:rPr>
          <w:rFonts w:hint="eastAsia" w:ascii="宋体" w:hAnsi="宋体" w:cs="宋体"/>
          <w:spacing w:val="-7"/>
          <w:sz w:val="24"/>
          <w:szCs w:val="24"/>
        </w:rPr>
        <w:t>1.</w:t>
      </w:r>
    </w:p>
    <w:p w14:paraId="6B59AB46">
      <w:pPr>
        <w:spacing w:line="360" w:lineRule="auto"/>
        <w:ind w:firstLine="422"/>
        <w:rPr>
          <w:rFonts w:ascii="宋体" w:hAnsi="宋体" w:cs="宋体"/>
          <w:spacing w:val="-2"/>
          <w:sz w:val="24"/>
          <w:szCs w:val="24"/>
        </w:rPr>
      </w:pPr>
      <w:r>
        <w:rPr>
          <w:rFonts w:hint="eastAsia" w:ascii="宋体" w:hAnsi="宋体" w:cs="宋体"/>
          <w:spacing w:val="-7"/>
          <w:sz w:val="24"/>
          <w:szCs w:val="24"/>
        </w:rPr>
        <w:t>2.</w:t>
      </w:r>
    </w:p>
    <w:p w14:paraId="6EEA1A38">
      <w:pPr>
        <w:spacing w:line="360" w:lineRule="auto"/>
        <w:ind w:firstLine="528"/>
        <w:rPr>
          <w:rFonts w:ascii="宋体" w:hAnsi="宋体" w:cs="宋体"/>
          <w:spacing w:val="-2"/>
          <w:sz w:val="24"/>
          <w:szCs w:val="24"/>
        </w:rPr>
      </w:pPr>
      <w:r>
        <w:rPr>
          <w:rFonts w:hint="eastAsia" w:ascii="宋体" w:hAnsi="宋体" w:cs="宋体"/>
          <w:spacing w:val="-2"/>
          <w:sz w:val="24"/>
          <w:szCs w:val="24"/>
        </w:rPr>
        <w:t>......</w:t>
      </w:r>
    </w:p>
    <w:p w14:paraId="07135791">
      <w:pPr>
        <w:pStyle w:val="14"/>
      </w:pPr>
    </w:p>
    <w:p w14:paraId="29ECDB01">
      <w:pPr>
        <w:tabs>
          <w:tab w:val="left" w:pos="4963"/>
        </w:tabs>
        <w:spacing w:line="360" w:lineRule="auto"/>
        <w:ind w:firstLine="480" w:firstLineChars="200"/>
        <w:rPr>
          <w:rFonts w:ascii="宋体" w:hAnsi="宋体" w:cs="宋体"/>
          <w:sz w:val="24"/>
          <w:szCs w:val="24"/>
        </w:rPr>
      </w:pPr>
      <w:r>
        <w:rPr>
          <w:rFonts w:hint="eastAsia" w:ascii="宋体" w:hAnsi="宋体" w:cs="宋体"/>
          <w:sz w:val="24"/>
          <w:szCs w:val="24"/>
        </w:rPr>
        <w:t>请将上述问题的澄清、说明或补正于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时前递交至</w:t>
      </w:r>
      <w:r>
        <w:rPr>
          <w:rFonts w:hint="eastAsia" w:ascii="宋体" w:hAnsi="宋体" w:cs="宋体"/>
          <w:sz w:val="24"/>
          <w:szCs w:val="24"/>
          <w:u w:val="single"/>
        </w:rPr>
        <w:t xml:space="preserve">          </w:t>
      </w:r>
      <w:r>
        <w:rPr>
          <w:rFonts w:hint="eastAsia" w:ascii="宋体" w:hAnsi="宋体" w:cs="宋体"/>
          <w:sz w:val="24"/>
          <w:szCs w:val="24"/>
        </w:rPr>
        <w:t>（详细地址）或传真至</w:t>
      </w:r>
      <w:r>
        <w:rPr>
          <w:rFonts w:hint="eastAsia" w:ascii="宋体" w:hAnsi="宋体" w:cs="宋体"/>
          <w:sz w:val="24"/>
          <w:szCs w:val="24"/>
          <w:u w:val="single"/>
        </w:rPr>
        <w:t xml:space="preserve">              </w:t>
      </w:r>
      <w:r>
        <w:rPr>
          <w:rFonts w:hint="eastAsia" w:ascii="宋体" w:hAnsi="宋体" w:cs="宋体"/>
          <w:sz w:val="24"/>
          <w:szCs w:val="24"/>
        </w:rPr>
        <w:t>（传真号码）。采用传真方式的，应在</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时前将原件递交至</w:t>
      </w:r>
      <w:r>
        <w:rPr>
          <w:rFonts w:hint="eastAsia" w:ascii="宋体" w:hAnsi="宋体" w:cs="宋体"/>
          <w:sz w:val="24"/>
          <w:szCs w:val="24"/>
          <w:u w:val="single"/>
        </w:rPr>
        <w:t xml:space="preserve">           </w:t>
      </w:r>
      <w:r>
        <w:rPr>
          <w:rFonts w:hint="eastAsia" w:ascii="宋体" w:hAnsi="宋体" w:cs="宋体"/>
          <w:sz w:val="24"/>
          <w:szCs w:val="24"/>
        </w:rPr>
        <w:t>（详细地址）。</w:t>
      </w:r>
    </w:p>
    <w:p w14:paraId="2686127E">
      <w:pPr>
        <w:spacing w:line="360" w:lineRule="auto"/>
        <w:ind w:firstLine="737"/>
        <w:rPr>
          <w:rFonts w:ascii="宋体" w:hAnsi="宋体" w:cs="宋体"/>
          <w:sz w:val="24"/>
          <w:szCs w:val="24"/>
        </w:rPr>
      </w:pPr>
    </w:p>
    <w:p w14:paraId="6AA8D744">
      <w:pPr>
        <w:spacing w:line="360" w:lineRule="auto"/>
        <w:ind w:firstLine="737"/>
        <w:rPr>
          <w:rFonts w:ascii="宋体" w:hAnsi="宋体" w:cs="宋体"/>
          <w:sz w:val="24"/>
          <w:szCs w:val="24"/>
        </w:rPr>
      </w:pPr>
    </w:p>
    <w:p w14:paraId="7B5344AF">
      <w:pPr>
        <w:spacing w:line="360" w:lineRule="auto"/>
        <w:ind w:firstLine="2100"/>
        <w:rPr>
          <w:rFonts w:ascii="宋体" w:hAnsi="宋体" w:cs="宋体"/>
          <w:sz w:val="24"/>
          <w:szCs w:val="24"/>
        </w:rPr>
      </w:pPr>
      <w:r>
        <w:rPr>
          <w:rFonts w:hint="eastAsia" w:ascii="宋体" w:hAnsi="宋体" w:cs="宋体"/>
          <w:spacing w:val="-7"/>
          <w:sz w:val="24"/>
          <w:szCs w:val="24"/>
        </w:rPr>
        <w:t>评标委员会授权的招标人或招标代理机构：</w:t>
      </w:r>
      <w:r>
        <w:rPr>
          <w:rFonts w:hint="eastAsia" w:ascii="宋体" w:hAnsi="宋体" w:cs="宋体"/>
          <w:sz w:val="24"/>
          <w:szCs w:val="24"/>
          <w:u w:val="single"/>
        </w:rPr>
        <w:t xml:space="preserve">           </w:t>
      </w:r>
      <w:r>
        <w:rPr>
          <w:rFonts w:hint="eastAsia" w:ascii="宋体" w:hAnsi="宋体" w:cs="宋体"/>
          <w:spacing w:val="-7"/>
          <w:sz w:val="24"/>
          <w:szCs w:val="24"/>
        </w:rPr>
        <w:t>（签字或盖章）</w:t>
      </w:r>
    </w:p>
    <w:p w14:paraId="30150AA0">
      <w:pPr>
        <w:tabs>
          <w:tab w:val="left" w:pos="8447"/>
          <w:tab w:val="left" w:pos="9393"/>
        </w:tabs>
        <w:spacing w:line="360" w:lineRule="auto"/>
        <w:ind w:firstLine="5703"/>
        <w:rPr>
          <w:rFonts w:ascii="宋体" w:hAnsi="宋体" w:cs="宋体"/>
          <w:spacing w:val="-2"/>
          <w:sz w:val="24"/>
          <w:szCs w:val="24"/>
        </w:rPr>
      </w:pPr>
    </w:p>
    <w:p w14:paraId="7120D329">
      <w:pPr>
        <w:spacing w:line="360" w:lineRule="auto"/>
        <w:jc w:val="right"/>
        <w:rPr>
          <w:rFonts w:ascii="宋体" w:hAnsi="宋体" w:cs="宋体"/>
          <w:sz w:val="24"/>
          <w:szCs w:val="24"/>
        </w:rPr>
      </w:pPr>
      <w:r>
        <w:rPr>
          <w:rFonts w:hint="eastAsia" w:ascii="宋体" w:hAnsi="宋体" w:cs="宋体"/>
          <w:spacing w:val="-2"/>
          <w:sz w:val="24"/>
          <w:szCs w:val="24"/>
        </w:rPr>
        <w:t>_______年</w:t>
      </w:r>
      <w:r>
        <w:rPr>
          <w:rFonts w:hint="eastAsia" w:ascii="宋体" w:hAnsi="宋体" w:cs="宋体"/>
          <w:spacing w:val="-2"/>
          <w:sz w:val="24"/>
          <w:szCs w:val="24"/>
          <w:u w:val="single"/>
        </w:rPr>
        <w:t xml:space="preserve">     </w:t>
      </w:r>
      <w:r>
        <w:rPr>
          <w:rFonts w:hint="eastAsia" w:ascii="宋体" w:hAnsi="宋体" w:cs="宋体"/>
          <w:spacing w:val="-2"/>
          <w:sz w:val="24"/>
          <w:szCs w:val="24"/>
        </w:rPr>
        <w:t>月</w:t>
      </w:r>
      <w:r>
        <w:rPr>
          <w:rFonts w:hint="eastAsia" w:ascii="宋体" w:hAnsi="宋体" w:cs="宋体"/>
          <w:spacing w:val="-2"/>
          <w:sz w:val="24"/>
          <w:szCs w:val="24"/>
          <w:u w:val="single"/>
        </w:rPr>
        <w:t xml:space="preserve">    </w:t>
      </w:r>
      <w:r>
        <w:rPr>
          <w:rFonts w:hint="eastAsia" w:ascii="宋体" w:hAnsi="宋体" w:cs="宋体"/>
          <w:spacing w:val="-2"/>
          <w:sz w:val="24"/>
          <w:szCs w:val="24"/>
        </w:rPr>
        <w:t>日</w:t>
      </w:r>
    </w:p>
    <w:p w14:paraId="72C4B791">
      <w:pPr>
        <w:spacing w:line="360" w:lineRule="auto"/>
        <w:rPr>
          <w:rFonts w:ascii="宋体" w:hAnsi="宋体" w:cs="宋体"/>
        </w:rPr>
      </w:pPr>
    </w:p>
    <w:p w14:paraId="6DAA5D0C">
      <w:pPr>
        <w:spacing w:line="400" w:lineRule="exact"/>
        <w:rPr>
          <w:rFonts w:ascii="黑体" w:hAnsi="黑体" w:eastAsia="黑体" w:cs="黑体"/>
          <w:sz w:val="28"/>
          <w:szCs w:val="28"/>
        </w:rPr>
      </w:pPr>
      <w:r>
        <w:rPr>
          <w:rFonts w:ascii="宋体" w:hAnsi="宋体" w:cs="宋体"/>
        </w:rPr>
        <w:br w:type="page"/>
      </w:r>
      <w:bookmarkStart w:id="143" w:name="_Toc31902"/>
      <w:bookmarkStart w:id="144" w:name="_Toc11599"/>
      <w:bookmarkStart w:id="145" w:name="_Toc20730"/>
      <w:bookmarkStart w:id="146" w:name="_Toc3891"/>
      <w:bookmarkStart w:id="147" w:name="_Toc492300622"/>
      <w:bookmarkStart w:id="148" w:name="_Toc26273"/>
      <w:r>
        <w:rPr>
          <w:rFonts w:hint="eastAsia" w:ascii="黑体" w:hAnsi="黑体" w:eastAsia="黑体" w:cs="黑体"/>
          <w:sz w:val="28"/>
          <w:szCs w:val="28"/>
        </w:rPr>
        <w:t>附件三：问题的澄清</w:t>
      </w:r>
      <w:bookmarkEnd w:id="143"/>
      <w:bookmarkEnd w:id="144"/>
      <w:bookmarkEnd w:id="145"/>
      <w:bookmarkEnd w:id="146"/>
      <w:bookmarkEnd w:id="147"/>
      <w:bookmarkEnd w:id="148"/>
    </w:p>
    <w:p w14:paraId="19EE7607">
      <w:pPr>
        <w:spacing w:line="360" w:lineRule="auto"/>
        <w:jc w:val="center"/>
        <w:rPr>
          <w:rFonts w:ascii="宋体" w:hAnsi="宋体" w:cs="宋体"/>
          <w:sz w:val="28"/>
        </w:rPr>
      </w:pPr>
    </w:p>
    <w:bookmarkEnd w:id="141"/>
    <w:bookmarkEnd w:id="142"/>
    <w:p w14:paraId="6CF513D6">
      <w:pPr>
        <w:spacing w:line="360" w:lineRule="auto"/>
        <w:ind w:firstLine="3620"/>
        <w:rPr>
          <w:rFonts w:ascii="宋体" w:hAnsi="宋体" w:cs="宋体"/>
          <w:sz w:val="24"/>
          <w:szCs w:val="24"/>
        </w:rPr>
      </w:pPr>
      <w:r>
        <w:rPr>
          <w:rFonts w:hint="eastAsia" w:eastAsia="黑体"/>
          <w:sz w:val="32"/>
          <w:szCs w:val="24"/>
        </w:rPr>
        <w:t>问题的澄清</w:t>
      </w:r>
    </w:p>
    <w:p w14:paraId="7B354AA7">
      <w:pPr>
        <w:tabs>
          <w:tab w:val="left" w:pos="9008"/>
        </w:tabs>
        <w:spacing w:line="360" w:lineRule="auto"/>
        <w:jc w:val="center"/>
        <w:rPr>
          <w:rFonts w:ascii="宋体" w:hAnsi="宋体" w:cs="宋体"/>
          <w:sz w:val="24"/>
          <w:szCs w:val="24"/>
        </w:rPr>
      </w:pPr>
      <w:r>
        <w:rPr>
          <w:rFonts w:hint="eastAsia" w:ascii="宋体" w:hAnsi="宋体" w:cs="宋体"/>
          <w:spacing w:val="-7"/>
          <w:sz w:val="24"/>
          <w:szCs w:val="24"/>
        </w:rPr>
        <w:t>（ 编号：</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pacing w:val="-2"/>
          <w:sz w:val="24"/>
          <w:szCs w:val="24"/>
        </w:rPr>
        <w:t>）</w:t>
      </w:r>
    </w:p>
    <w:p w14:paraId="5F49AC80">
      <w:pPr>
        <w:spacing w:line="360" w:lineRule="auto"/>
        <w:ind w:left="1800" w:firstLine="3466"/>
        <w:rPr>
          <w:rFonts w:ascii="宋体" w:hAnsi="宋体" w:cs="宋体"/>
          <w:sz w:val="24"/>
          <w:szCs w:val="24"/>
        </w:rPr>
      </w:pPr>
    </w:p>
    <w:p w14:paraId="17BCDE50">
      <w:pPr>
        <w:spacing w:line="360" w:lineRule="auto"/>
        <w:rPr>
          <w:rFonts w:ascii="宋体" w:hAnsi="宋体" w:cs="宋体"/>
          <w:spacing w:val="-7"/>
          <w:sz w:val="24"/>
          <w:szCs w:val="24"/>
          <w:u w:val="single"/>
        </w:rPr>
      </w:pPr>
      <w:r>
        <w:rPr>
          <w:rFonts w:hint="eastAsia" w:ascii="宋体" w:hAnsi="宋体" w:cs="宋体"/>
          <w:spacing w:val="-7"/>
          <w:sz w:val="24"/>
          <w:szCs w:val="24"/>
        </w:rPr>
        <w:t>评标委员会：</w:t>
      </w:r>
      <w:r>
        <w:rPr>
          <w:rFonts w:hint="eastAsia" w:ascii="宋体" w:hAnsi="宋体" w:cs="宋体"/>
          <w:spacing w:val="-7"/>
          <w:sz w:val="24"/>
          <w:szCs w:val="24"/>
          <w:u w:val="single"/>
        </w:rPr>
        <w:t xml:space="preserve">                           </w:t>
      </w:r>
    </w:p>
    <w:p w14:paraId="4BB72DB8">
      <w:pPr>
        <w:spacing w:line="360" w:lineRule="auto"/>
        <w:ind w:left="1800"/>
        <w:rPr>
          <w:rFonts w:ascii="宋体" w:hAnsi="宋体" w:cs="宋体"/>
          <w:spacing w:val="-7"/>
          <w:sz w:val="24"/>
          <w:szCs w:val="24"/>
        </w:rPr>
      </w:pPr>
    </w:p>
    <w:p w14:paraId="4B7C20E0">
      <w:pPr>
        <w:tabs>
          <w:tab w:val="left" w:pos="5161"/>
        </w:tabs>
        <w:spacing w:line="360" w:lineRule="auto"/>
        <w:ind w:right="281" w:rightChars="134" w:firstLine="422"/>
        <w:rPr>
          <w:rFonts w:ascii="宋体" w:hAnsi="宋体" w:cs="宋体"/>
          <w:sz w:val="24"/>
          <w:szCs w:val="24"/>
        </w:rPr>
      </w:pPr>
      <w:r>
        <w:rPr>
          <w:rFonts w:hint="eastAsia" w:ascii="宋体" w:hAnsi="宋体" w:cs="宋体"/>
          <w:sz w:val="24"/>
          <w:szCs w:val="24"/>
        </w:rPr>
        <w:t>问题澄清通知（编号：</w:t>
      </w:r>
      <w:r>
        <w:rPr>
          <w:rFonts w:hint="eastAsia" w:ascii="宋体" w:hAnsi="宋体" w:cs="宋体"/>
          <w:sz w:val="24"/>
          <w:szCs w:val="24"/>
          <w:u w:val="single"/>
        </w:rPr>
        <w:tab/>
      </w:r>
      <w:r>
        <w:rPr>
          <w:rFonts w:hint="eastAsia" w:ascii="宋体" w:hAnsi="宋体" w:cs="宋体"/>
          <w:sz w:val="24"/>
          <w:szCs w:val="24"/>
        </w:rPr>
        <w:t>）已收悉，现澄清、说明或补正如下：</w:t>
      </w:r>
    </w:p>
    <w:p w14:paraId="2331DCE1">
      <w:pPr>
        <w:spacing w:line="360" w:lineRule="auto"/>
        <w:ind w:right="281" w:rightChars="134" w:firstLine="737"/>
        <w:rPr>
          <w:rFonts w:ascii="宋体" w:hAnsi="宋体" w:cs="宋体"/>
          <w:sz w:val="24"/>
          <w:szCs w:val="24"/>
        </w:rPr>
      </w:pPr>
      <w:r>
        <w:rPr>
          <w:rFonts w:hint="eastAsia" w:ascii="宋体" w:hAnsi="宋体" w:cs="宋体"/>
          <w:sz w:val="24"/>
          <w:szCs w:val="24"/>
        </w:rPr>
        <w:t>1.</w:t>
      </w:r>
    </w:p>
    <w:p w14:paraId="7849CA20">
      <w:pPr>
        <w:spacing w:line="360" w:lineRule="auto"/>
        <w:ind w:right="281" w:rightChars="134" w:firstLine="737"/>
        <w:rPr>
          <w:rFonts w:ascii="宋体" w:hAnsi="宋体" w:cs="宋体"/>
          <w:sz w:val="24"/>
          <w:szCs w:val="24"/>
        </w:rPr>
      </w:pPr>
      <w:r>
        <w:rPr>
          <w:rFonts w:hint="eastAsia" w:ascii="宋体" w:hAnsi="宋体" w:cs="宋体"/>
          <w:sz w:val="24"/>
          <w:szCs w:val="24"/>
        </w:rPr>
        <w:t>2.</w:t>
      </w:r>
    </w:p>
    <w:p w14:paraId="2ABA8C5C">
      <w:pPr>
        <w:spacing w:line="360" w:lineRule="auto"/>
        <w:ind w:right="281" w:rightChars="134" w:firstLine="631"/>
        <w:rPr>
          <w:rFonts w:ascii="宋体" w:hAnsi="宋体" w:cs="宋体"/>
          <w:sz w:val="24"/>
          <w:szCs w:val="24"/>
        </w:rPr>
      </w:pPr>
      <w:r>
        <w:rPr>
          <w:rFonts w:hint="eastAsia" w:ascii="宋体" w:hAnsi="宋体" w:cs="宋体"/>
          <w:sz w:val="24"/>
          <w:szCs w:val="24"/>
        </w:rPr>
        <w:t>.....</w:t>
      </w:r>
    </w:p>
    <w:p w14:paraId="771CBDEF">
      <w:pPr>
        <w:spacing w:line="360" w:lineRule="auto"/>
        <w:ind w:right="281" w:rightChars="134"/>
        <w:rPr>
          <w:rFonts w:ascii="宋体" w:hAnsi="宋体" w:cs="宋体"/>
          <w:sz w:val="24"/>
          <w:szCs w:val="24"/>
        </w:rPr>
      </w:pPr>
    </w:p>
    <w:p w14:paraId="5FDACB8C">
      <w:pPr>
        <w:spacing w:line="360" w:lineRule="auto"/>
        <w:ind w:right="281" w:rightChars="134" w:firstLine="420"/>
        <w:rPr>
          <w:rFonts w:ascii="宋体" w:hAnsi="宋体" w:cs="宋体"/>
          <w:sz w:val="24"/>
          <w:szCs w:val="24"/>
        </w:rPr>
      </w:pPr>
      <w:r>
        <w:rPr>
          <w:rFonts w:hint="eastAsia" w:ascii="宋体" w:hAnsi="宋体" w:cs="宋体"/>
          <w:sz w:val="24"/>
          <w:szCs w:val="24"/>
        </w:rPr>
        <w:t>上述问题澄清、说明或补正，不改变我方投标文件的实质性内容，构成我方投标文件的组成部分。</w:t>
      </w:r>
    </w:p>
    <w:p w14:paraId="026BC099">
      <w:pPr>
        <w:spacing w:line="360" w:lineRule="auto"/>
        <w:ind w:right="281" w:rightChars="134"/>
        <w:rPr>
          <w:rFonts w:ascii="宋体" w:hAnsi="宋体" w:cs="宋体"/>
          <w:sz w:val="24"/>
          <w:szCs w:val="24"/>
        </w:rPr>
      </w:pPr>
    </w:p>
    <w:p w14:paraId="1A00B2E7">
      <w:pPr>
        <w:tabs>
          <w:tab w:val="left" w:pos="9083"/>
        </w:tabs>
        <w:spacing w:line="360" w:lineRule="auto"/>
        <w:ind w:right="281" w:rightChars="134" w:firstLine="2943"/>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（盖单位章）</w:t>
      </w:r>
    </w:p>
    <w:p w14:paraId="35D3C0C0">
      <w:pPr>
        <w:spacing w:line="360" w:lineRule="auto"/>
        <w:ind w:right="281" w:rightChars="134" w:firstLine="2943"/>
        <w:rPr>
          <w:rFonts w:ascii="宋体" w:hAnsi="宋体" w:cs="宋体"/>
          <w:sz w:val="24"/>
          <w:szCs w:val="24"/>
        </w:rPr>
      </w:pPr>
    </w:p>
    <w:p w14:paraId="1E3FBB23">
      <w:pPr>
        <w:spacing w:line="360" w:lineRule="auto"/>
        <w:ind w:right="281" w:rightChars="134" w:firstLine="2941"/>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r>
        <w:rPr>
          <w:rFonts w:hint="eastAsia" w:ascii="宋体" w:hAnsi="宋体" w:cs="宋体"/>
          <w:spacing w:val="-7"/>
          <w:sz w:val="24"/>
          <w:szCs w:val="24"/>
        </w:rPr>
        <w:t>或盖章</w:t>
      </w:r>
      <w:r>
        <w:rPr>
          <w:rFonts w:hint="eastAsia" w:ascii="宋体" w:hAnsi="宋体" w:cs="宋体"/>
          <w:sz w:val="24"/>
          <w:szCs w:val="24"/>
        </w:rPr>
        <w:t>）</w:t>
      </w:r>
    </w:p>
    <w:p w14:paraId="0FF9B1AE">
      <w:pPr>
        <w:spacing w:line="360" w:lineRule="auto"/>
        <w:jc w:val="center"/>
        <w:rPr>
          <w:rFonts w:ascii="宋体" w:hAnsi="宋体" w:cs="宋体"/>
          <w:sz w:val="24"/>
          <w:szCs w:val="24"/>
          <w:u w:val="single"/>
        </w:rPr>
      </w:pPr>
    </w:p>
    <w:p w14:paraId="084D7955">
      <w:pPr>
        <w:ind w:firstLine="484" w:firstLineChars="202"/>
        <w:jc w:val="righ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日 </w:t>
      </w:r>
    </w:p>
    <w:p w14:paraId="6B36D9E0">
      <w:pPr>
        <w:pStyle w:val="38"/>
        <w:jc w:val="left"/>
        <w:rPr>
          <w:rFonts w:ascii="黑体" w:hAnsi="黑体" w:eastAsia="黑体" w:cs="黑体"/>
          <w:sz w:val="28"/>
          <w:szCs w:val="28"/>
        </w:rPr>
      </w:pPr>
      <w:r>
        <w:rPr>
          <w:rFonts w:hint="eastAsia" w:ascii="宋体" w:hAnsi="宋体" w:cs="宋体"/>
          <w:sz w:val="24"/>
          <w:szCs w:val="24"/>
          <w:u w:val="single"/>
        </w:rPr>
        <w:br w:type="page"/>
      </w:r>
      <w:r>
        <w:rPr>
          <w:rFonts w:hint="eastAsia" w:ascii="黑体" w:hAnsi="黑体" w:eastAsia="黑体" w:cs="黑体"/>
          <w:sz w:val="28"/>
          <w:szCs w:val="28"/>
        </w:rPr>
        <w:t>附件四：评标委员会成员声明</w:t>
      </w:r>
    </w:p>
    <w:p w14:paraId="1FCC6AF8">
      <w:pPr>
        <w:pStyle w:val="38"/>
        <w:jc w:val="left"/>
        <w:rPr>
          <w:rFonts w:ascii="黑体" w:hAnsi="黑体" w:eastAsia="黑体" w:cs="黑体"/>
          <w:sz w:val="28"/>
          <w:szCs w:val="28"/>
        </w:rPr>
      </w:pPr>
    </w:p>
    <w:p w14:paraId="4200418D">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14:paraId="05CF2514">
      <w:pPr>
        <w:spacing w:line="420" w:lineRule="atLeast"/>
        <w:rPr>
          <w:rFonts w:ascii="宋体" w:hAnsi="宋体"/>
          <w:sz w:val="24"/>
        </w:rPr>
      </w:pPr>
      <w:r>
        <w:rPr>
          <w:rFonts w:hint="eastAsia" w:ascii="宋体" w:hAnsi="宋体"/>
          <w:sz w:val="24"/>
          <w:u w:val="single"/>
        </w:rPr>
        <w:t>广州太平洋马口铁有限公司</w:t>
      </w:r>
      <w:r>
        <w:rPr>
          <w:rFonts w:hint="eastAsia" w:ascii="宋体" w:hAnsi="宋体"/>
          <w:sz w:val="24"/>
        </w:rPr>
        <w:t>：</w:t>
      </w:r>
    </w:p>
    <w:p w14:paraId="49EA895C">
      <w:pPr>
        <w:spacing w:line="420" w:lineRule="atLeast"/>
        <w:ind w:firstLine="480" w:firstLineChars="200"/>
        <w:rPr>
          <w:rFonts w:ascii="宋体" w:hAnsi="宋体"/>
          <w:sz w:val="24"/>
        </w:rPr>
      </w:pPr>
      <w:r>
        <w:rPr>
          <w:rFonts w:hint="eastAsia" w:ascii="宋体" w:hAnsi="宋体"/>
          <w:sz w:val="24"/>
        </w:rPr>
        <w:t>本人就参与</w:t>
      </w:r>
      <w:r>
        <w:rPr>
          <w:rFonts w:hint="eastAsia" w:ascii="宋体" w:hAnsi="宋体"/>
          <w:sz w:val="24"/>
          <w:u w:val="single"/>
        </w:rPr>
        <w:t>粤港澳大湾区国际智能检测产业园一期项目检验监测</w:t>
      </w:r>
      <w:r>
        <w:rPr>
          <w:rFonts w:hint="eastAsia" w:ascii="宋体" w:hAnsi="宋体"/>
          <w:sz w:val="24"/>
        </w:rPr>
        <w:t>的评标工作，作出郑重声明：</w:t>
      </w:r>
    </w:p>
    <w:p w14:paraId="1EDE5CD9">
      <w:pPr>
        <w:spacing w:line="420" w:lineRule="atLeast"/>
        <w:ind w:firstLine="480" w:firstLineChars="200"/>
        <w:rPr>
          <w:rFonts w:ascii="宋体" w:hAnsi="宋体"/>
          <w:sz w:val="24"/>
        </w:rPr>
      </w:pPr>
      <w:r>
        <w:rPr>
          <w:rFonts w:hint="eastAsia" w:ascii="宋体" w:hAnsi="宋体"/>
          <w:sz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D58F5BE">
      <w:pPr>
        <w:spacing w:line="420" w:lineRule="atLeast"/>
        <w:ind w:firstLine="480" w:firstLineChars="200"/>
        <w:rPr>
          <w:rFonts w:ascii="宋体" w:hAnsi="宋体"/>
          <w:sz w:val="24"/>
        </w:rPr>
      </w:pPr>
      <w:r>
        <w:rPr>
          <w:rFonts w:hint="eastAsia" w:ascii="宋体" w:hAnsi="宋体"/>
          <w:sz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3A65363">
      <w:pPr>
        <w:spacing w:line="420" w:lineRule="atLeast"/>
        <w:ind w:firstLine="480" w:firstLineChars="200"/>
        <w:rPr>
          <w:rFonts w:ascii="宋体" w:hAnsi="宋体"/>
          <w:sz w:val="24"/>
        </w:rPr>
      </w:pPr>
      <w:r>
        <w:rPr>
          <w:rFonts w:hint="eastAsia" w:ascii="宋体" w:hAnsi="宋体"/>
          <w:sz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104EA0D">
      <w:pPr>
        <w:spacing w:line="420" w:lineRule="atLeast"/>
        <w:ind w:firstLine="480" w:firstLineChars="200"/>
        <w:rPr>
          <w:rFonts w:ascii="宋体" w:hAnsi="宋体"/>
          <w:sz w:val="24"/>
        </w:rPr>
      </w:pPr>
      <w:r>
        <w:rPr>
          <w:rFonts w:hint="eastAsia" w:ascii="宋体" w:hAnsi="宋体"/>
          <w:sz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调查。如果本人存在评审错误的，本人将主动改正错误，配合招标人挽回损失。</w:t>
      </w:r>
    </w:p>
    <w:p w14:paraId="50CFDFA9">
      <w:pPr>
        <w:spacing w:line="420" w:lineRule="atLeast"/>
        <w:ind w:firstLine="480" w:firstLineChars="200"/>
        <w:rPr>
          <w:rFonts w:ascii="宋体" w:hAnsi="宋体"/>
          <w:sz w:val="24"/>
        </w:rPr>
      </w:pPr>
      <w:r>
        <w:rPr>
          <w:rFonts w:hint="eastAsia" w:ascii="宋体" w:hAnsi="宋体"/>
          <w:sz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9D03B9F">
      <w:pPr>
        <w:spacing w:line="420" w:lineRule="atLeast"/>
        <w:ind w:firstLine="480" w:firstLineChars="200"/>
        <w:rPr>
          <w:rFonts w:ascii="宋体" w:hAnsi="宋体"/>
          <w:sz w:val="24"/>
        </w:rPr>
      </w:pPr>
      <w:r>
        <w:rPr>
          <w:rFonts w:hint="eastAsia" w:ascii="宋体" w:hAnsi="宋体"/>
          <w:sz w:val="24"/>
        </w:rPr>
        <w:t>如果本人违反上述声明内容，造成的后果由本人自行承担。</w:t>
      </w:r>
    </w:p>
    <w:p w14:paraId="6F18D018">
      <w:pPr>
        <w:spacing w:line="420" w:lineRule="atLeast"/>
        <w:ind w:firstLine="480" w:firstLineChars="200"/>
        <w:rPr>
          <w:rFonts w:ascii="宋体" w:hAnsi="宋体"/>
          <w:sz w:val="24"/>
        </w:rPr>
      </w:pPr>
      <w:r>
        <w:rPr>
          <w:rFonts w:hint="eastAsia" w:ascii="宋体" w:hAnsi="宋体"/>
          <w:sz w:val="24"/>
        </w:rPr>
        <w:t xml:space="preserve">                                               </w:t>
      </w:r>
    </w:p>
    <w:p w14:paraId="7F1BA39A">
      <w:pPr>
        <w:spacing w:line="420" w:lineRule="atLeast"/>
        <w:ind w:firstLine="6120" w:firstLineChars="2550"/>
        <w:rPr>
          <w:rFonts w:ascii="宋体" w:hAnsi="宋体"/>
          <w:sz w:val="24"/>
          <w:u w:val="single"/>
        </w:rPr>
      </w:pPr>
      <w:r>
        <w:rPr>
          <w:rFonts w:hint="eastAsia" w:ascii="宋体" w:hAnsi="宋体"/>
          <w:sz w:val="24"/>
        </w:rPr>
        <w:t>声明人：</w:t>
      </w:r>
      <w:r>
        <w:rPr>
          <w:rFonts w:hint="eastAsia" w:ascii="宋体" w:hAnsi="宋体"/>
          <w:sz w:val="24"/>
          <w:u w:val="single"/>
        </w:rPr>
        <w:t xml:space="preserve">（签名）  </w:t>
      </w:r>
    </w:p>
    <w:p w14:paraId="0B1454FD">
      <w:pPr>
        <w:ind w:firstLine="484" w:firstLineChars="202"/>
        <w:jc w:val="righ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BD7A063">
      <w:pPr>
        <w:jc w:val="left"/>
        <w:rPr>
          <w:rFonts w:ascii="宋体" w:hAnsi="宋体"/>
          <w:sz w:val="24"/>
        </w:rPr>
      </w:pPr>
      <w:r>
        <w:rPr>
          <w:rFonts w:hint="eastAsia" w:ascii="宋体" w:hAnsi="宋体"/>
          <w:sz w:val="24"/>
        </w:rPr>
        <w:br w:type="page"/>
      </w:r>
    </w:p>
    <w:p w14:paraId="69B7EE24">
      <w:pPr>
        <w:pStyle w:val="3"/>
        <w:sectPr>
          <w:pgSz w:w="11906" w:h="16838"/>
          <w:pgMar w:top="1183" w:right="1026" w:bottom="1155" w:left="1026" w:header="851" w:footer="1021" w:gutter="0"/>
          <w:cols w:space="720" w:num="1"/>
          <w:docGrid w:type="lines" w:linePitch="312" w:charSpace="0"/>
        </w:sectPr>
      </w:pPr>
    </w:p>
    <w:p w14:paraId="6A2296B9">
      <w:pPr>
        <w:pStyle w:val="3"/>
      </w:pPr>
      <w:bookmarkStart w:id="149" w:name="_Toc22754"/>
      <w:bookmarkStart w:id="150" w:name="_Toc533357317"/>
      <w:r>
        <w:rPr>
          <w:rFonts w:hint="eastAsia"/>
        </w:rPr>
        <w:t xml:space="preserve">第三章  </w:t>
      </w:r>
      <w:bookmarkStart w:id="151" w:name="_Hlk129012851"/>
      <w:r>
        <w:rPr>
          <w:rFonts w:hint="eastAsia"/>
        </w:rPr>
        <w:t>评标办法</w:t>
      </w:r>
      <w:bookmarkEnd w:id="151"/>
      <w:r>
        <w:rPr>
          <w:rFonts w:hint="eastAsia"/>
        </w:rPr>
        <w:t>（综合评估法）</w:t>
      </w:r>
      <w:bookmarkEnd w:id="149"/>
      <w:bookmarkEnd w:id="150"/>
    </w:p>
    <w:p w14:paraId="10FA5342">
      <w:pPr>
        <w:pStyle w:val="5"/>
        <w:rPr>
          <w:rFonts w:ascii="宋体" w:hAnsi="宋体"/>
        </w:rPr>
      </w:pPr>
      <w:bookmarkStart w:id="152" w:name="_Toc17897"/>
      <w:bookmarkStart w:id="153" w:name="_Toc533357318"/>
      <w:bookmarkStart w:id="154" w:name="_Toc103592020"/>
      <w:bookmarkStart w:id="155" w:name="_Toc21109"/>
      <w:bookmarkStart w:id="156" w:name="_Toc14986"/>
      <w:bookmarkStart w:id="157" w:name="_Toc19015"/>
      <w:bookmarkStart w:id="158" w:name="_Toc18337"/>
      <w:bookmarkStart w:id="159" w:name="_Toc19098"/>
      <w:bookmarkStart w:id="160" w:name="_Toc2105"/>
      <w:bookmarkStart w:id="161" w:name="_Toc32727"/>
      <w:bookmarkStart w:id="162" w:name="_Toc22048"/>
      <w:r>
        <w:rPr>
          <w:rFonts w:hint="eastAsia" w:ascii="宋体" w:hAnsi="宋体"/>
        </w:rPr>
        <w:t>评标办法前附表</w:t>
      </w:r>
      <w:bookmarkEnd w:id="152"/>
      <w:bookmarkEnd w:id="153"/>
      <w:bookmarkEnd w:id="154"/>
    </w:p>
    <w:tbl>
      <w:tblPr>
        <w:tblStyle w:val="29"/>
        <w:tblW w:w="97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646"/>
        <w:gridCol w:w="2596"/>
        <w:gridCol w:w="6019"/>
      </w:tblGrid>
      <w:tr w14:paraId="7A381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5" w:type="dxa"/>
            <w:gridSpan w:val="2"/>
            <w:tcBorders>
              <w:top w:val="single" w:color="auto" w:sz="4" w:space="0"/>
              <w:bottom w:val="single" w:color="auto" w:sz="4" w:space="0"/>
              <w:right w:val="single" w:color="auto" w:sz="4" w:space="0"/>
            </w:tcBorders>
            <w:vAlign w:val="center"/>
          </w:tcPr>
          <w:p w14:paraId="6BBCFF7E">
            <w:pPr>
              <w:spacing w:line="360" w:lineRule="auto"/>
              <w:jc w:val="center"/>
              <w:rPr>
                <w:b/>
                <w:szCs w:val="21"/>
              </w:rPr>
            </w:pPr>
            <w:r>
              <w:rPr>
                <w:rFonts w:hint="eastAsia"/>
                <w:b/>
                <w:szCs w:val="21"/>
              </w:rPr>
              <w:t>条款号</w:t>
            </w:r>
          </w:p>
        </w:tc>
        <w:tc>
          <w:tcPr>
            <w:tcW w:w="2596" w:type="dxa"/>
            <w:tcBorders>
              <w:top w:val="single" w:color="auto" w:sz="4" w:space="0"/>
              <w:left w:val="single" w:color="auto" w:sz="4" w:space="0"/>
              <w:bottom w:val="single" w:color="auto" w:sz="4" w:space="0"/>
              <w:right w:val="single" w:color="auto" w:sz="4" w:space="0"/>
            </w:tcBorders>
            <w:vAlign w:val="center"/>
          </w:tcPr>
          <w:p w14:paraId="136B1FD3">
            <w:pPr>
              <w:spacing w:line="360" w:lineRule="auto"/>
              <w:jc w:val="center"/>
              <w:rPr>
                <w:b/>
                <w:szCs w:val="21"/>
              </w:rPr>
            </w:pPr>
            <w:r>
              <w:rPr>
                <w:rFonts w:hint="eastAsia"/>
                <w:b/>
                <w:szCs w:val="21"/>
              </w:rPr>
              <w:t>评审因素</w:t>
            </w:r>
          </w:p>
        </w:tc>
        <w:tc>
          <w:tcPr>
            <w:tcW w:w="6019" w:type="dxa"/>
            <w:tcBorders>
              <w:top w:val="single" w:color="auto" w:sz="4" w:space="0"/>
              <w:left w:val="single" w:color="auto" w:sz="4" w:space="0"/>
              <w:bottom w:val="single" w:color="auto" w:sz="4" w:space="0"/>
            </w:tcBorders>
            <w:vAlign w:val="center"/>
          </w:tcPr>
          <w:p w14:paraId="7A5D662A">
            <w:pPr>
              <w:spacing w:line="360" w:lineRule="auto"/>
              <w:jc w:val="center"/>
              <w:rPr>
                <w:b/>
                <w:szCs w:val="21"/>
              </w:rPr>
            </w:pPr>
            <w:r>
              <w:rPr>
                <w:rFonts w:hint="eastAsia"/>
                <w:b/>
                <w:szCs w:val="21"/>
              </w:rPr>
              <w:t>评审标准</w:t>
            </w:r>
          </w:p>
        </w:tc>
      </w:tr>
      <w:tr w14:paraId="6307C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6" w:hRule="atLeast"/>
          <w:jc w:val="center"/>
        </w:trPr>
        <w:tc>
          <w:tcPr>
            <w:tcW w:w="529" w:type="dxa"/>
            <w:tcBorders>
              <w:top w:val="single" w:color="auto" w:sz="4" w:space="0"/>
              <w:bottom w:val="single" w:color="auto" w:sz="4" w:space="0"/>
              <w:right w:val="single" w:color="auto" w:sz="4" w:space="0"/>
            </w:tcBorders>
            <w:vAlign w:val="center"/>
          </w:tcPr>
          <w:p w14:paraId="361E3CA8">
            <w:pPr>
              <w:spacing w:line="360" w:lineRule="auto"/>
              <w:jc w:val="center"/>
              <w:rPr>
                <w:szCs w:val="21"/>
              </w:rPr>
            </w:pPr>
            <w:r>
              <w:rPr>
                <w:szCs w:val="21"/>
              </w:rPr>
              <w:t>1</w:t>
            </w:r>
          </w:p>
        </w:tc>
        <w:tc>
          <w:tcPr>
            <w:tcW w:w="646" w:type="dxa"/>
            <w:tcBorders>
              <w:top w:val="single" w:color="auto" w:sz="4" w:space="0"/>
              <w:left w:val="single" w:color="auto" w:sz="4" w:space="0"/>
              <w:bottom w:val="single" w:color="auto" w:sz="4" w:space="0"/>
              <w:right w:val="single" w:color="auto" w:sz="4" w:space="0"/>
            </w:tcBorders>
            <w:vAlign w:val="center"/>
          </w:tcPr>
          <w:p w14:paraId="6B2AD13B">
            <w:pPr>
              <w:spacing w:line="360" w:lineRule="auto"/>
              <w:jc w:val="center"/>
              <w:rPr>
                <w:szCs w:val="21"/>
              </w:rPr>
            </w:pPr>
            <w:r>
              <w:rPr>
                <w:rFonts w:hint="eastAsia"/>
                <w:szCs w:val="21"/>
              </w:rPr>
              <w:t>评标方法</w:t>
            </w:r>
          </w:p>
        </w:tc>
        <w:tc>
          <w:tcPr>
            <w:tcW w:w="2596" w:type="dxa"/>
            <w:tcBorders>
              <w:top w:val="single" w:color="auto" w:sz="4" w:space="0"/>
              <w:left w:val="single" w:color="auto" w:sz="4" w:space="0"/>
              <w:bottom w:val="single" w:color="auto" w:sz="4" w:space="0"/>
              <w:right w:val="single" w:color="auto" w:sz="4" w:space="0"/>
            </w:tcBorders>
            <w:vAlign w:val="center"/>
          </w:tcPr>
          <w:p w14:paraId="73F8DD58">
            <w:pPr>
              <w:spacing w:line="360" w:lineRule="auto"/>
              <w:jc w:val="center"/>
              <w:rPr>
                <w:szCs w:val="21"/>
              </w:rPr>
            </w:pPr>
            <w:r>
              <w:rPr>
                <w:rFonts w:hint="eastAsia"/>
                <w:szCs w:val="21"/>
              </w:rPr>
              <w:t>中标候选人排序方法</w:t>
            </w:r>
          </w:p>
        </w:tc>
        <w:tc>
          <w:tcPr>
            <w:tcW w:w="6019" w:type="dxa"/>
            <w:tcBorders>
              <w:top w:val="single" w:color="auto" w:sz="4" w:space="0"/>
              <w:left w:val="single" w:color="auto" w:sz="4" w:space="0"/>
              <w:bottom w:val="single" w:color="auto" w:sz="4" w:space="0"/>
            </w:tcBorders>
            <w:vAlign w:val="center"/>
          </w:tcPr>
          <w:p w14:paraId="3D5AD9A8">
            <w:pPr>
              <w:spacing w:line="400" w:lineRule="exact"/>
              <w:rPr>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w:t>
            </w:r>
            <w:r>
              <w:rPr>
                <w:rFonts w:hint="eastAsia" w:ascii="宋体" w:hAnsi="宋体" w:cs="宋体"/>
                <w:szCs w:val="21"/>
              </w:rPr>
              <w:t>总得分相等时，</w:t>
            </w:r>
            <w:r>
              <w:rPr>
                <w:rFonts w:hint="eastAsia"/>
                <w:szCs w:val="21"/>
              </w:rPr>
              <w:t>以投标人资信业绩得分高的优先；如果投标人资信业绩得分也相等，以检测服务方案得分高的优先。如果检测服务方案得分也相等，由评标委员会采用记名投票方式，以得票多的优先。</w:t>
            </w:r>
          </w:p>
        </w:tc>
      </w:tr>
      <w:tr w14:paraId="36644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restart"/>
            <w:tcBorders>
              <w:top w:val="single" w:color="auto" w:sz="4" w:space="0"/>
              <w:bottom w:val="single" w:color="auto" w:sz="4" w:space="0"/>
              <w:right w:val="single" w:color="auto" w:sz="4" w:space="0"/>
            </w:tcBorders>
            <w:vAlign w:val="center"/>
          </w:tcPr>
          <w:p w14:paraId="0E1BBC93">
            <w:pPr>
              <w:spacing w:line="360" w:lineRule="auto"/>
              <w:jc w:val="center"/>
              <w:rPr>
                <w:szCs w:val="21"/>
              </w:rPr>
            </w:pPr>
            <w:r>
              <w:rPr>
                <w:szCs w:val="21"/>
              </w:rPr>
              <w:t>2.1.1</w:t>
            </w:r>
          </w:p>
        </w:tc>
        <w:tc>
          <w:tcPr>
            <w:tcW w:w="646" w:type="dxa"/>
            <w:vMerge w:val="restart"/>
            <w:tcBorders>
              <w:top w:val="single" w:color="auto" w:sz="4" w:space="0"/>
              <w:right w:val="single" w:color="auto" w:sz="4" w:space="0"/>
            </w:tcBorders>
            <w:vAlign w:val="center"/>
          </w:tcPr>
          <w:p w14:paraId="490BF5B6">
            <w:pPr>
              <w:spacing w:line="360" w:lineRule="auto"/>
              <w:jc w:val="center"/>
              <w:rPr>
                <w:szCs w:val="21"/>
              </w:rPr>
            </w:pPr>
            <w:r>
              <w:rPr>
                <w:rFonts w:hint="eastAsia"/>
                <w:szCs w:val="21"/>
              </w:rPr>
              <w:t>形式评审标准</w:t>
            </w:r>
          </w:p>
        </w:tc>
        <w:tc>
          <w:tcPr>
            <w:tcW w:w="2596" w:type="dxa"/>
            <w:tcBorders>
              <w:top w:val="single" w:color="auto" w:sz="4" w:space="0"/>
              <w:left w:val="single" w:color="auto" w:sz="4" w:space="0"/>
              <w:bottom w:val="single" w:color="auto" w:sz="4" w:space="0"/>
              <w:right w:val="single" w:color="auto" w:sz="4" w:space="0"/>
            </w:tcBorders>
            <w:vAlign w:val="center"/>
          </w:tcPr>
          <w:p w14:paraId="2CB01318">
            <w:pPr>
              <w:spacing w:line="360" w:lineRule="auto"/>
              <w:jc w:val="center"/>
              <w:rPr>
                <w:szCs w:val="21"/>
              </w:rPr>
            </w:pPr>
            <w:r>
              <w:rPr>
                <w:rFonts w:hint="eastAsia"/>
                <w:szCs w:val="21"/>
              </w:rPr>
              <w:t>投标人名称</w:t>
            </w:r>
          </w:p>
        </w:tc>
        <w:tc>
          <w:tcPr>
            <w:tcW w:w="6019" w:type="dxa"/>
            <w:tcBorders>
              <w:top w:val="single" w:color="auto" w:sz="4" w:space="0"/>
              <w:left w:val="single" w:color="auto" w:sz="4" w:space="0"/>
              <w:bottom w:val="single" w:color="auto" w:sz="4" w:space="0"/>
            </w:tcBorders>
            <w:vAlign w:val="center"/>
          </w:tcPr>
          <w:p w14:paraId="6128B678">
            <w:pPr>
              <w:spacing w:line="360" w:lineRule="auto"/>
              <w:rPr>
                <w:szCs w:val="21"/>
              </w:rPr>
            </w:pPr>
            <w:r>
              <w:rPr>
                <w:rFonts w:hint="eastAsia"/>
                <w:szCs w:val="21"/>
              </w:rPr>
              <w:t>与营业执照（或事业单位法人证书）、资质证书一致；</w:t>
            </w:r>
          </w:p>
        </w:tc>
      </w:tr>
      <w:tr w14:paraId="18CF1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top w:val="nil"/>
              <w:bottom w:val="single" w:color="auto" w:sz="4" w:space="0"/>
              <w:right w:val="single" w:color="auto" w:sz="4" w:space="0"/>
            </w:tcBorders>
            <w:vAlign w:val="center"/>
          </w:tcPr>
          <w:p w14:paraId="21E1BF4D">
            <w:pPr>
              <w:spacing w:line="360" w:lineRule="auto"/>
              <w:rPr>
                <w:szCs w:val="21"/>
              </w:rPr>
            </w:pPr>
          </w:p>
        </w:tc>
        <w:tc>
          <w:tcPr>
            <w:tcW w:w="646" w:type="dxa"/>
            <w:vMerge w:val="continue"/>
            <w:tcBorders>
              <w:right w:val="single" w:color="auto" w:sz="4" w:space="0"/>
            </w:tcBorders>
            <w:vAlign w:val="center"/>
          </w:tcPr>
          <w:p w14:paraId="2EF2E4BF">
            <w:pPr>
              <w:spacing w:line="360" w:lineRule="auto"/>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518F217B">
            <w:pPr>
              <w:spacing w:line="360" w:lineRule="auto"/>
              <w:jc w:val="center"/>
              <w:rPr>
                <w:szCs w:val="21"/>
              </w:rPr>
            </w:pPr>
            <w:r>
              <w:rPr>
                <w:rFonts w:hint="eastAsia"/>
                <w:szCs w:val="21"/>
              </w:rPr>
              <w:t>投标函及投标函附表签字盖章</w:t>
            </w:r>
          </w:p>
        </w:tc>
        <w:tc>
          <w:tcPr>
            <w:tcW w:w="6019" w:type="dxa"/>
            <w:tcBorders>
              <w:top w:val="single" w:color="auto" w:sz="4" w:space="0"/>
              <w:left w:val="single" w:color="auto" w:sz="4" w:space="0"/>
              <w:bottom w:val="single" w:color="auto" w:sz="4" w:space="0"/>
            </w:tcBorders>
            <w:vAlign w:val="center"/>
          </w:tcPr>
          <w:p w14:paraId="6CE81A3A">
            <w:pPr>
              <w:spacing w:line="360" w:lineRule="auto"/>
              <w:rPr>
                <w:szCs w:val="21"/>
              </w:rPr>
            </w:pPr>
            <w:r>
              <w:rPr>
                <w:rFonts w:hint="eastAsia"/>
                <w:szCs w:val="21"/>
              </w:rPr>
              <w:t>有法定代表人或被授权人签字或盖章并加盖单位章。由法定代表人签字或盖章的，应附法定代表人身份证明；由被授权人签字或盖章的，应附法定代表人身份证明及授权委托书。</w:t>
            </w:r>
          </w:p>
        </w:tc>
      </w:tr>
      <w:tr w14:paraId="3965C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top w:val="nil"/>
              <w:bottom w:val="single" w:color="auto" w:sz="4" w:space="0"/>
              <w:right w:val="single" w:color="auto" w:sz="4" w:space="0"/>
            </w:tcBorders>
            <w:vAlign w:val="center"/>
          </w:tcPr>
          <w:p w14:paraId="4DDF6DD9">
            <w:pPr>
              <w:spacing w:line="360" w:lineRule="auto"/>
              <w:rPr>
                <w:szCs w:val="21"/>
              </w:rPr>
            </w:pPr>
          </w:p>
        </w:tc>
        <w:tc>
          <w:tcPr>
            <w:tcW w:w="646" w:type="dxa"/>
            <w:vMerge w:val="continue"/>
            <w:tcBorders>
              <w:right w:val="single" w:color="auto" w:sz="4" w:space="0"/>
            </w:tcBorders>
            <w:vAlign w:val="center"/>
          </w:tcPr>
          <w:p w14:paraId="292D4921">
            <w:pPr>
              <w:spacing w:line="360" w:lineRule="auto"/>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3CD49F4D">
            <w:pPr>
              <w:spacing w:line="360" w:lineRule="auto"/>
              <w:jc w:val="center"/>
              <w:rPr>
                <w:szCs w:val="21"/>
              </w:rPr>
            </w:pPr>
            <w:r>
              <w:rPr>
                <w:rFonts w:hint="eastAsia"/>
                <w:szCs w:val="21"/>
              </w:rPr>
              <w:t>投标文件格式</w:t>
            </w:r>
          </w:p>
        </w:tc>
        <w:tc>
          <w:tcPr>
            <w:tcW w:w="6019" w:type="dxa"/>
            <w:tcBorders>
              <w:top w:val="single" w:color="auto" w:sz="4" w:space="0"/>
              <w:left w:val="single" w:color="auto" w:sz="4" w:space="0"/>
              <w:bottom w:val="single" w:color="auto" w:sz="4" w:space="0"/>
            </w:tcBorders>
            <w:vAlign w:val="center"/>
          </w:tcPr>
          <w:p w14:paraId="03B9DF82">
            <w:pPr>
              <w:spacing w:line="360" w:lineRule="auto"/>
              <w:rPr>
                <w:rFonts w:cs="楷体"/>
                <w:kern w:val="0"/>
                <w:szCs w:val="21"/>
              </w:rPr>
            </w:pPr>
            <w:r>
              <w:rPr>
                <w:rFonts w:hint="eastAsia" w:cs="楷体"/>
                <w:kern w:val="0"/>
                <w:szCs w:val="21"/>
              </w:rPr>
              <w:t>符合第六章“投标文件格式”的规定；</w:t>
            </w:r>
          </w:p>
        </w:tc>
      </w:tr>
      <w:tr w14:paraId="20A0A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top w:val="nil"/>
              <w:bottom w:val="single" w:color="auto" w:sz="4" w:space="0"/>
              <w:right w:val="single" w:color="auto" w:sz="4" w:space="0"/>
            </w:tcBorders>
            <w:vAlign w:val="center"/>
          </w:tcPr>
          <w:p w14:paraId="777BD419">
            <w:pPr>
              <w:spacing w:line="360" w:lineRule="auto"/>
              <w:rPr>
                <w:szCs w:val="21"/>
              </w:rPr>
            </w:pPr>
          </w:p>
        </w:tc>
        <w:tc>
          <w:tcPr>
            <w:tcW w:w="646" w:type="dxa"/>
            <w:vMerge w:val="continue"/>
            <w:tcBorders>
              <w:right w:val="single" w:color="auto" w:sz="4" w:space="0"/>
            </w:tcBorders>
            <w:vAlign w:val="center"/>
          </w:tcPr>
          <w:p w14:paraId="264A2A98">
            <w:pPr>
              <w:spacing w:line="360" w:lineRule="auto"/>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001255D1">
            <w:pPr>
              <w:widowControl/>
              <w:spacing w:before="100" w:beforeAutospacing="1" w:after="100" w:afterAutospacing="1" w:line="360" w:lineRule="auto"/>
              <w:jc w:val="center"/>
              <w:rPr>
                <w:rFonts w:cs="楷体"/>
                <w:spacing w:val="-7"/>
                <w:szCs w:val="21"/>
              </w:rPr>
            </w:pPr>
            <w:r>
              <w:rPr>
                <w:rFonts w:cs="楷体"/>
                <w:spacing w:val="-7"/>
                <w:szCs w:val="21"/>
              </w:rPr>
              <w:t>联合体投标</w:t>
            </w:r>
          </w:p>
        </w:tc>
        <w:tc>
          <w:tcPr>
            <w:tcW w:w="6019" w:type="dxa"/>
            <w:tcBorders>
              <w:top w:val="single" w:color="auto" w:sz="4" w:space="0"/>
              <w:left w:val="single" w:color="auto" w:sz="4" w:space="0"/>
              <w:bottom w:val="single" w:color="auto" w:sz="4" w:space="0"/>
            </w:tcBorders>
            <w:vAlign w:val="center"/>
          </w:tcPr>
          <w:p w14:paraId="47860837">
            <w:pPr>
              <w:widowControl/>
              <w:spacing w:before="100" w:beforeAutospacing="1" w:after="100" w:afterAutospacing="1" w:line="360" w:lineRule="auto"/>
              <w:jc w:val="left"/>
              <w:rPr>
                <w:rFonts w:cs="宋体"/>
                <w:szCs w:val="21"/>
              </w:rPr>
            </w:pPr>
            <w:r>
              <w:rPr>
                <w:rFonts w:hint="eastAsia" w:eastAsia="Times New Roman"/>
                <w:szCs w:val="21"/>
                <w:lang w:bidi="ar"/>
              </w:rPr>
              <w:t>按招标文件要求</w:t>
            </w:r>
            <w:r>
              <w:rPr>
                <w:szCs w:val="21"/>
                <w:lang w:bidi="ar"/>
              </w:rPr>
              <w:t>提供</w:t>
            </w:r>
            <w:r>
              <w:rPr>
                <w:rFonts w:hint="eastAsia"/>
                <w:szCs w:val="21"/>
                <w:lang w:bidi="ar"/>
              </w:rPr>
              <w:t>联合体协议书</w:t>
            </w:r>
            <w:r>
              <w:rPr>
                <w:rFonts w:hint="eastAsia" w:eastAsia="Times New Roman"/>
                <w:szCs w:val="21"/>
                <w:lang w:bidi="ar"/>
              </w:rPr>
              <w:t>（适用于联合体投标人，格式见招标公告附件二）。</w:t>
            </w:r>
          </w:p>
        </w:tc>
      </w:tr>
      <w:tr w14:paraId="6EF91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top w:val="nil"/>
              <w:bottom w:val="single" w:color="auto" w:sz="4" w:space="0"/>
              <w:right w:val="single" w:color="auto" w:sz="4" w:space="0"/>
            </w:tcBorders>
            <w:vAlign w:val="center"/>
          </w:tcPr>
          <w:p w14:paraId="4AB9E0AC">
            <w:pPr>
              <w:spacing w:line="360" w:lineRule="auto"/>
              <w:rPr>
                <w:szCs w:val="21"/>
              </w:rPr>
            </w:pPr>
          </w:p>
        </w:tc>
        <w:tc>
          <w:tcPr>
            <w:tcW w:w="646" w:type="dxa"/>
            <w:vMerge w:val="continue"/>
            <w:tcBorders>
              <w:right w:val="single" w:color="auto" w:sz="4" w:space="0"/>
            </w:tcBorders>
            <w:vAlign w:val="center"/>
          </w:tcPr>
          <w:p w14:paraId="683F4D7B">
            <w:pPr>
              <w:spacing w:line="360" w:lineRule="auto"/>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59A6AF4B">
            <w:pPr>
              <w:widowControl/>
              <w:spacing w:before="100" w:beforeAutospacing="1" w:after="100" w:afterAutospacing="1" w:line="360" w:lineRule="auto"/>
              <w:jc w:val="center"/>
              <w:rPr>
                <w:rFonts w:cs="楷体"/>
                <w:kern w:val="0"/>
                <w:szCs w:val="21"/>
              </w:rPr>
            </w:pPr>
            <w:r>
              <w:rPr>
                <w:rFonts w:hint="eastAsia" w:cs="楷体"/>
                <w:spacing w:val="-7"/>
                <w:szCs w:val="21"/>
              </w:rPr>
              <w:t>备选投标方案</w:t>
            </w:r>
          </w:p>
        </w:tc>
        <w:tc>
          <w:tcPr>
            <w:tcW w:w="6019" w:type="dxa"/>
            <w:tcBorders>
              <w:top w:val="single" w:color="auto" w:sz="4" w:space="0"/>
              <w:left w:val="single" w:color="auto" w:sz="4" w:space="0"/>
              <w:bottom w:val="single" w:color="auto" w:sz="4" w:space="0"/>
            </w:tcBorders>
            <w:vAlign w:val="center"/>
          </w:tcPr>
          <w:p w14:paraId="4FA6F026">
            <w:pPr>
              <w:widowControl/>
              <w:spacing w:before="100" w:beforeAutospacing="1" w:after="100" w:afterAutospacing="1" w:line="360" w:lineRule="auto"/>
              <w:jc w:val="left"/>
              <w:rPr>
                <w:rFonts w:cs="楷体"/>
                <w:kern w:val="0"/>
                <w:szCs w:val="21"/>
              </w:rPr>
            </w:pPr>
            <w:r>
              <w:rPr>
                <w:rFonts w:hint="eastAsia" w:cs="宋体"/>
                <w:szCs w:val="21"/>
              </w:rPr>
              <w:t>不允许。</w:t>
            </w:r>
          </w:p>
        </w:tc>
      </w:tr>
      <w:tr w14:paraId="48AC5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529" w:type="dxa"/>
            <w:vMerge w:val="continue"/>
            <w:tcBorders>
              <w:top w:val="nil"/>
              <w:bottom w:val="single" w:color="auto" w:sz="4" w:space="0"/>
              <w:right w:val="single" w:color="auto" w:sz="4" w:space="0"/>
            </w:tcBorders>
            <w:vAlign w:val="center"/>
          </w:tcPr>
          <w:p w14:paraId="472F7EFA">
            <w:pPr>
              <w:spacing w:line="360" w:lineRule="auto"/>
              <w:rPr>
                <w:szCs w:val="21"/>
              </w:rPr>
            </w:pPr>
          </w:p>
        </w:tc>
        <w:tc>
          <w:tcPr>
            <w:tcW w:w="646" w:type="dxa"/>
            <w:vMerge w:val="continue"/>
            <w:tcBorders>
              <w:right w:val="single" w:color="auto" w:sz="4" w:space="0"/>
            </w:tcBorders>
            <w:vAlign w:val="center"/>
          </w:tcPr>
          <w:p w14:paraId="3C45AD10">
            <w:pPr>
              <w:spacing w:line="360" w:lineRule="auto"/>
              <w:rPr>
                <w:szCs w:val="21"/>
              </w:rPr>
            </w:pPr>
          </w:p>
        </w:tc>
        <w:tc>
          <w:tcPr>
            <w:tcW w:w="2596" w:type="dxa"/>
            <w:tcBorders>
              <w:top w:val="single" w:color="auto" w:sz="4" w:space="0"/>
              <w:left w:val="single" w:color="auto" w:sz="4" w:space="0"/>
              <w:right w:val="single" w:color="auto" w:sz="4" w:space="0"/>
            </w:tcBorders>
            <w:vAlign w:val="center"/>
          </w:tcPr>
          <w:p w14:paraId="0CA95C82">
            <w:pPr>
              <w:spacing w:line="360" w:lineRule="auto"/>
              <w:jc w:val="center"/>
              <w:rPr>
                <w:szCs w:val="21"/>
              </w:rPr>
            </w:pPr>
            <w:r>
              <w:rPr>
                <w:rFonts w:hint="eastAsia"/>
                <w:szCs w:val="21"/>
              </w:rPr>
              <w:t>投标人机器码</w:t>
            </w:r>
          </w:p>
        </w:tc>
        <w:tc>
          <w:tcPr>
            <w:tcW w:w="6019" w:type="dxa"/>
            <w:tcBorders>
              <w:top w:val="single" w:color="auto" w:sz="4" w:space="0"/>
              <w:left w:val="single" w:color="auto" w:sz="4" w:space="0"/>
            </w:tcBorders>
            <w:vAlign w:val="center"/>
          </w:tcPr>
          <w:p w14:paraId="2D071FFC">
            <w:pPr>
              <w:spacing w:line="360" w:lineRule="auto"/>
              <w:rPr>
                <w:szCs w:val="21"/>
              </w:rPr>
            </w:pPr>
            <w:r>
              <w:rPr>
                <w:rFonts w:hint="eastAsia"/>
                <w:szCs w:val="21"/>
              </w:rPr>
              <w:t>投标人与本项目其他投标人加密打包投标文件电脑机器特征码一致的(以广州公共资源交易中心评标系统的检索信息为准)将被否决。</w:t>
            </w:r>
          </w:p>
        </w:tc>
      </w:tr>
      <w:tr w14:paraId="25939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restart"/>
            <w:tcBorders>
              <w:top w:val="single" w:color="auto" w:sz="4" w:space="0"/>
              <w:right w:val="single" w:color="auto" w:sz="4" w:space="0"/>
            </w:tcBorders>
            <w:vAlign w:val="center"/>
          </w:tcPr>
          <w:p w14:paraId="4E077A5B">
            <w:pPr>
              <w:spacing w:line="360" w:lineRule="auto"/>
              <w:jc w:val="center"/>
              <w:rPr>
                <w:szCs w:val="21"/>
              </w:rPr>
            </w:pPr>
            <w:r>
              <w:rPr>
                <w:szCs w:val="21"/>
              </w:rPr>
              <w:t>2.1.2</w:t>
            </w:r>
          </w:p>
        </w:tc>
        <w:tc>
          <w:tcPr>
            <w:tcW w:w="646" w:type="dxa"/>
            <w:vMerge w:val="restart"/>
            <w:tcBorders>
              <w:top w:val="single" w:color="auto" w:sz="4" w:space="0"/>
              <w:left w:val="single" w:color="auto" w:sz="4" w:space="0"/>
              <w:right w:val="single" w:color="auto" w:sz="4" w:space="0"/>
            </w:tcBorders>
            <w:vAlign w:val="center"/>
          </w:tcPr>
          <w:p w14:paraId="2B9D5982">
            <w:pPr>
              <w:spacing w:line="360" w:lineRule="auto"/>
              <w:jc w:val="center"/>
              <w:rPr>
                <w:szCs w:val="21"/>
              </w:rPr>
            </w:pPr>
            <w:r>
              <w:rPr>
                <w:rFonts w:hint="eastAsia" w:cs="楷体"/>
                <w:kern w:val="0"/>
                <w:szCs w:val="21"/>
              </w:rPr>
              <w:t>资格评审标准</w:t>
            </w:r>
          </w:p>
        </w:tc>
        <w:tc>
          <w:tcPr>
            <w:tcW w:w="2596" w:type="dxa"/>
            <w:tcBorders>
              <w:top w:val="single" w:color="auto" w:sz="4" w:space="0"/>
              <w:left w:val="single" w:color="auto" w:sz="4" w:space="0"/>
              <w:bottom w:val="single" w:color="auto" w:sz="4" w:space="0"/>
              <w:right w:val="single" w:color="auto" w:sz="4" w:space="0"/>
            </w:tcBorders>
            <w:vAlign w:val="center"/>
          </w:tcPr>
          <w:p w14:paraId="7369F4F7">
            <w:pPr>
              <w:widowControl/>
              <w:spacing w:before="100" w:beforeAutospacing="1" w:after="100" w:afterAutospacing="1" w:line="360" w:lineRule="auto"/>
              <w:jc w:val="center"/>
              <w:rPr>
                <w:rFonts w:cs="楷体"/>
                <w:kern w:val="0"/>
                <w:szCs w:val="21"/>
                <w:u w:val="single"/>
              </w:rPr>
            </w:pPr>
            <w:r>
              <w:rPr>
                <w:rFonts w:hint="eastAsia" w:cs="楷体"/>
                <w:szCs w:val="21"/>
              </w:rPr>
              <w:t>营业执照（或事业单位法人证书）</w:t>
            </w:r>
          </w:p>
        </w:tc>
        <w:tc>
          <w:tcPr>
            <w:tcW w:w="6019" w:type="dxa"/>
            <w:tcBorders>
              <w:top w:val="single" w:color="auto" w:sz="4" w:space="0"/>
              <w:left w:val="single" w:color="auto" w:sz="4" w:space="0"/>
              <w:bottom w:val="single" w:color="auto" w:sz="4" w:space="0"/>
            </w:tcBorders>
            <w:vAlign w:val="center"/>
          </w:tcPr>
          <w:p w14:paraId="0B6C650E">
            <w:pPr>
              <w:widowControl/>
              <w:spacing w:before="100" w:beforeAutospacing="1" w:after="100" w:afterAutospacing="1" w:line="360" w:lineRule="auto"/>
              <w:ind w:right="71" w:rightChars="34"/>
              <w:rPr>
                <w:rFonts w:cs="楷体"/>
                <w:kern w:val="0"/>
                <w:szCs w:val="21"/>
              </w:rPr>
            </w:pPr>
            <w:r>
              <w:rPr>
                <w:rFonts w:hint="eastAsia" w:ascii="宋体" w:hAnsi="宋体" w:cs="宋体"/>
                <w:szCs w:val="21"/>
              </w:rPr>
              <w:t>投标人（若为联合体投标，指联合体各方）具有独立法人资格，持有事业单位登记管理部门核发的事业单位法人证书或工商行政管理部门核发的企业法人营业执照，且在营业期限内。</w:t>
            </w:r>
          </w:p>
        </w:tc>
      </w:tr>
      <w:tr w14:paraId="3AADC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5A41D7A9">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777F3032">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79E6D9AC">
            <w:pPr>
              <w:widowControl/>
              <w:spacing w:before="100" w:beforeAutospacing="1" w:after="100" w:afterAutospacing="1" w:line="360" w:lineRule="auto"/>
              <w:jc w:val="center"/>
              <w:rPr>
                <w:rFonts w:cs="楷体"/>
                <w:kern w:val="0"/>
                <w:szCs w:val="21"/>
              </w:rPr>
            </w:pPr>
            <w:r>
              <w:rPr>
                <w:rFonts w:hint="eastAsia" w:cs="楷体"/>
                <w:szCs w:val="21"/>
              </w:rPr>
              <w:t>资质要求</w:t>
            </w:r>
          </w:p>
        </w:tc>
        <w:tc>
          <w:tcPr>
            <w:tcW w:w="6019" w:type="dxa"/>
            <w:tcBorders>
              <w:top w:val="single" w:color="auto" w:sz="4" w:space="0"/>
              <w:left w:val="single" w:color="auto" w:sz="4" w:space="0"/>
              <w:bottom w:val="single" w:color="auto" w:sz="4" w:space="0"/>
            </w:tcBorders>
            <w:vAlign w:val="center"/>
          </w:tcPr>
          <w:p w14:paraId="70DCB2CF">
            <w:pPr>
              <w:widowControl/>
              <w:spacing w:before="100" w:beforeAutospacing="1" w:after="100" w:afterAutospacing="1" w:line="360" w:lineRule="auto"/>
              <w:rPr>
                <w:rFonts w:cs="楷体"/>
                <w:kern w:val="0"/>
                <w:szCs w:val="21"/>
              </w:rPr>
            </w:pPr>
            <w:r>
              <w:rPr>
                <w:rFonts w:hint="eastAsia" w:cs="宋体"/>
                <w:kern w:val="0"/>
                <w:szCs w:val="21"/>
              </w:rPr>
              <w:t>符合第二章“投标人须知”第1.4.1项规定。</w:t>
            </w:r>
          </w:p>
        </w:tc>
      </w:tr>
      <w:tr w14:paraId="0D04B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30B48EDB">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7DF5EF06">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2FF64B69">
            <w:pPr>
              <w:widowControl/>
              <w:spacing w:before="100" w:beforeAutospacing="1" w:after="100" w:afterAutospacing="1" w:line="360" w:lineRule="auto"/>
              <w:jc w:val="center"/>
              <w:rPr>
                <w:rFonts w:cs="楷体"/>
                <w:kern w:val="0"/>
                <w:szCs w:val="21"/>
              </w:rPr>
            </w:pPr>
            <w:r>
              <w:rPr>
                <w:rFonts w:hint="eastAsia" w:cs="楷体"/>
                <w:szCs w:val="21"/>
              </w:rPr>
              <w:t>项目负责人</w:t>
            </w:r>
          </w:p>
        </w:tc>
        <w:tc>
          <w:tcPr>
            <w:tcW w:w="6019" w:type="dxa"/>
            <w:tcBorders>
              <w:top w:val="single" w:color="auto" w:sz="4" w:space="0"/>
              <w:left w:val="single" w:color="auto" w:sz="4" w:space="0"/>
              <w:bottom w:val="single" w:color="auto" w:sz="4" w:space="0"/>
            </w:tcBorders>
            <w:vAlign w:val="center"/>
          </w:tcPr>
          <w:p w14:paraId="16FDBA4A">
            <w:pPr>
              <w:widowControl/>
              <w:spacing w:before="100" w:beforeAutospacing="1" w:after="100" w:afterAutospacing="1" w:line="360" w:lineRule="auto"/>
              <w:rPr>
                <w:rFonts w:cs="楷体"/>
                <w:kern w:val="0"/>
                <w:szCs w:val="21"/>
              </w:rPr>
            </w:pPr>
            <w:r>
              <w:rPr>
                <w:rFonts w:hint="eastAsia" w:cs="宋体"/>
                <w:kern w:val="0"/>
                <w:szCs w:val="21"/>
              </w:rPr>
              <w:t>符合第二章“投标人须知”第1.4.1项规定。</w:t>
            </w:r>
          </w:p>
        </w:tc>
      </w:tr>
      <w:tr w14:paraId="13256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2CBF47DD">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11C987BA">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0C8AF72D">
            <w:pPr>
              <w:widowControl/>
              <w:spacing w:before="100" w:beforeAutospacing="1" w:after="100" w:afterAutospacing="1" w:line="360" w:lineRule="auto"/>
              <w:jc w:val="center"/>
              <w:rPr>
                <w:rFonts w:cs="楷体"/>
                <w:kern w:val="0"/>
                <w:szCs w:val="21"/>
              </w:rPr>
            </w:pPr>
            <w:r>
              <w:rPr>
                <w:rFonts w:hint="eastAsia" w:cs="楷体"/>
                <w:szCs w:val="21"/>
              </w:rPr>
              <w:t>其他要求</w:t>
            </w:r>
          </w:p>
        </w:tc>
        <w:tc>
          <w:tcPr>
            <w:tcW w:w="6019" w:type="dxa"/>
            <w:tcBorders>
              <w:top w:val="single" w:color="auto" w:sz="4" w:space="0"/>
              <w:left w:val="single" w:color="auto" w:sz="4" w:space="0"/>
              <w:bottom w:val="single" w:color="auto" w:sz="4" w:space="0"/>
            </w:tcBorders>
            <w:vAlign w:val="center"/>
          </w:tcPr>
          <w:p w14:paraId="34AB5BE6">
            <w:pPr>
              <w:widowControl/>
              <w:spacing w:before="100" w:beforeAutospacing="1" w:after="100" w:afterAutospacing="1" w:line="360" w:lineRule="auto"/>
              <w:rPr>
                <w:rFonts w:cs="楷体"/>
                <w:kern w:val="0"/>
                <w:szCs w:val="21"/>
              </w:rPr>
            </w:pPr>
            <w:r>
              <w:rPr>
                <w:rFonts w:hint="eastAsia" w:cs="宋体"/>
                <w:kern w:val="0"/>
                <w:szCs w:val="21"/>
              </w:rPr>
              <w:t>符合第二章“投标人须知”第1.4.1项规定。</w:t>
            </w:r>
          </w:p>
        </w:tc>
      </w:tr>
      <w:tr w14:paraId="5BA3E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bottom w:val="single" w:color="auto" w:sz="4" w:space="0"/>
              <w:right w:val="single" w:color="auto" w:sz="4" w:space="0"/>
            </w:tcBorders>
            <w:vAlign w:val="center"/>
          </w:tcPr>
          <w:p w14:paraId="2665EDC3">
            <w:pPr>
              <w:spacing w:line="360" w:lineRule="auto"/>
              <w:jc w:val="center"/>
              <w:rPr>
                <w:szCs w:val="21"/>
              </w:rPr>
            </w:pPr>
          </w:p>
        </w:tc>
        <w:tc>
          <w:tcPr>
            <w:tcW w:w="646" w:type="dxa"/>
            <w:vMerge w:val="continue"/>
            <w:tcBorders>
              <w:left w:val="single" w:color="auto" w:sz="4" w:space="0"/>
              <w:bottom w:val="single" w:color="auto" w:sz="4" w:space="0"/>
              <w:right w:val="single" w:color="auto" w:sz="4" w:space="0"/>
            </w:tcBorders>
            <w:vAlign w:val="center"/>
          </w:tcPr>
          <w:p w14:paraId="3ADE1758">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685BD8F5">
            <w:pPr>
              <w:widowControl/>
              <w:spacing w:before="100" w:beforeAutospacing="1" w:after="100" w:afterAutospacing="1" w:line="360" w:lineRule="auto"/>
              <w:jc w:val="center"/>
              <w:rPr>
                <w:rFonts w:cs="楷体"/>
                <w:kern w:val="0"/>
                <w:szCs w:val="21"/>
              </w:rPr>
            </w:pPr>
            <w:r>
              <w:rPr>
                <w:rFonts w:hint="eastAsia" w:cs="楷体"/>
                <w:szCs w:val="21"/>
              </w:rPr>
              <w:t>不存在禁止投标的情形</w:t>
            </w:r>
          </w:p>
        </w:tc>
        <w:tc>
          <w:tcPr>
            <w:tcW w:w="6019" w:type="dxa"/>
            <w:tcBorders>
              <w:top w:val="single" w:color="auto" w:sz="4" w:space="0"/>
              <w:left w:val="single" w:color="auto" w:sz="4" w:space="0"/>
              <w:bottom w:val="single" w:color="auto" w:sz="4" w:space="0"/>
            </w:tcBorders>
            <w:vAlign w:val="center"/>
          </w:tcPr>
          <w:p w14:paraId="6767B04C">
            <w:pPr>
              <w:widowControl/>
              <w:spacing w:before="100" w:beforeAutospacing="1" w:after="100" w:afterAutospacing="1" w:line="360" w:lineRule="auto"/>
              <w:jc w:val="left"/>
              <w:rPr>
                <w:rFonts w:cs="楷体"/>
                <w:kern w:val="0"/>
                <w:szCs w:val="21"/>
              </w:rPr>
            </w:pPr>
            <w:r>
              <w:rPr>
                <w:rFonts w:hint="eastAsia" w:cs="楷体"/>
                <w:szCs w:val="21"/>
              </w:rPr>
              <w:t>不存在第二章“投标人须知”第1.4.3项规定的任何一种情形</w:t>
            </w:r>
            <w:r>
              <w:rPr>
                <w:rFonts w:hint="eastAsia"/>
                <w:szCs w:val="21"/>
              </w:rPr>
              <w:t>（详见《投标申请人声明》）</w:t>
            </w:r>
            <w:r>
              <w:rPr>
                <w:rFonts w:hint="eastAsia" w:cs="楷体"/>
                <w:szCs w:val="21"/>
              </w:rPr>
              <w:t>。</w:t>
            </w:r>
          </w:p>
        </w:tc>
      </w:tr>
      <w:tr w14:paraId="55BB2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29" w:type="dxa"/>
            <w:vMerge w:val="restart"/>
            <w:tcBorders>
              <w:top w:val="single" w:color="auto" w:sz="4" w:space="0"/>
              <w:right w:val="single" w:color="auto" w:sz="4" w:space="0"/>
            </w:tcBorders>
            <w:vAlign w:val="center"/>
          </w:tcPr>
          <w:p w14:paraId="41221CDA">
            <w:pPr>
              <w:spacing w:line="360" w:lineRule="auto"/>
              <w:jc w:val="center"/>
              <w:rPr>
                <w:szCs w:val="21"/>
              </w:rPr>
            </w:pPr>
            <w:r>
              <w:rPr>
                <w:szCs w:val="21"/>
              </w:rPr>
              <w:t>2.1.3</w:t>
            </w:r>
          </w:p>
        </w:tc>
        <w:tc>
          <w:tcPr>
            <w:tcW w:w="646" w:type="dxa"/>
            <w:vMerge w:val="restart"/>
            <w:tcBorders>
              <w:top w:val="single" w:color="auto" w:sz="4" w:space="0"/>
              <w:left w:val="single" w:color="auto" w:sz="4" w:space="0"/>
              <w:right w:val="single" w:color="auto" w:sz="4" w:space="0"/>
            </w:tcBorders>
            <w:vAlign w:val="center"/>
          </w:tcPr>
          <w:p w14:paraId="6F45313D">
            <w:pPr>
              <w:spacing w:line="360" w:lineRule="auto"/>
              <w:jc w:val="center"/>
              <w:rPr>
                <w:szCs w:val="21"/>
              </w:rPr>
            </w:pPr>
            <w:r>
              <w:rPr>
                <w:rFonts w:hint="eastAsia"/>
                <w:szCs w:val="21"/>
              </w:rPr>
              <w:t>响应性评审标准</w:t>
            </w:r>
          </w:p>
        </w:tc>
        <w:tc>
          <w:tcPr>
            <w:tcW w:w="2596" w:type="dxa"/>
            <w:tcBorders>
              <w:top w:val="single" w:color="auto" w:sz="4" w:space="0"/>
              <w:left w:val="single" w:color="auto" w:sz="4" w:space="0"/>
              <w:bottom w:val="single" w:color="auto" w:sz="4" w:space="0"/>
              <w:right w:val="single" w:color="auto" w:sz="4" w:space="0"/>
            </w:tcBorders>
            <w:vAlign w:val="center"/>
          </w:tcPr>
          <w:p w14:paraId="09773148">
            <w:pPr>
              <w:spacing w:line="360" w:lineRule="auto"/>
              <w:jc w:val="center"/>
              <w:rPr>
                <w:szCs w:val="21"/>
              </w:rPr>
            </w:pPr>
            <w:r>
              <w:rPr>
                <w:rFonts w:hint="eastAsia"/>
                <w:szCs w:val="21"/>
              </w:rPr>
              <w:t>投标文件</w:t>
            </w:r>
          </w:p>
        </w:tc>
        <w:tc>
          <w:tcPr>
            <w:tcW w:w="6019" w:type="dxa"/>
            <w:tcBorders>
              <w:top w:val="single" w:color="auto" w:sz="4" w:space="0"/>
              <w:left w:val="single" w:color="auto" w:sz="4" w:space="0"/>
              <w:bottom w:val="single" w:color="auto" w:sz="4" w:space="0"/>
            </w:tcBorders>
            <w:vAlign w:val="center"/>
          </w:tcPr>
          <w:p w14:paraId="1B9EB6D8">
            <w:pPr>
              <w:spacing w:line="360" w:lineRule="auto"/>
              <w:rPr>
                <w:szCs w:val="21"/>
              </w:rPr>
            </w:pPr>
            <w:r>
              <w:rPr>
                <w:rFonts w:hint="eastAsia"/>
                <w:szCs w:val="21"/>
              </w:rPr>
              <w:t>投标文件所列投标人名称与投标登记时一致；</w:t>
            </w:r>
          </w:p>
        </w:tc>
      </w:tr>
      <w:tr w14:paraId="22337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50F8DE42">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234BC76A">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5174859E">
            <w:pPr>
              <w:spacing w:line="360" w:lineRule="auto"/>
              <w:jc w:val="center"/>
              <w:rPr>
                <w:szCs w:val="21"/>
              </w:rPr>
            </w:pPr>
            <w:r>
              <w:rPr>
                <w:rFonts w:hint="eastAsia"/>
                <w:szCs w:val="21"/>
              </w:rPr>
              <w:t>投标报价</w:t>
            </w:r>
          </w:p>
        </w:tc>
        <w:tc>
          <w:tcPr>
            <w:tcW w:w="6019" w:type="dxa"/>
            <w:tcBorders>
              <w:top w:val="single" w:color="auto" w:sz="4" w:space="0"/>
              <w:left w:val="single" w:color="auto" w:sz="4" w:space="0"/>
              <w:bottom w:val="single" w:color="auto" w:sz="4" w:space="0"/>
            </w:tcBorders>
            <w:vAlign w:val="center"/>
          </w:tcPr>
          <w:p w14:paraId="367186F3">
            <w:pPr>
              <w:spacing w:line="360" w:lineRule="auto"/>
              <w:rPr>
                <w:szCs w:val="21"/>
              </w:rPr>
            </w:pPr>
            <w:r>
              <w:rPr>
                <w:rFonts w:hint="eastAsia"/>
                <w:szCs w:val="21"/>
              </w:rPr>
              <w:t>符合第二章</w:t>
            </w:r>
            <w:r>
              <w:rPr>
                <w:szCs w:val="21"/>
              </w:rPr>
              <w:t>“</w:t>
            </w:r>
            <w:r>
              <w:rPr>
                <w:rFonts w:hint="eastAsia"/>
                <w:szCs w:val="21"/>
              </w:rPr>
              <w:t>投标人须知</w:t>
            </w:r>
            <w:r>
              <w:rPr>
                <w:szCs w:val="21"/>
              </w:rPr>
              <w:t>”</w:t>
            </w:r>
            <w:r>
              <w:rPr>
                <w:rFonts w:hint="eastAsia"/>
                <w:szCs w:val="21"/>
              </w:rPr>
              <w:t>第</w:t>
            </w:r>
            <w:r>
              <w:rPr>
                <w:szCs w:val="21"/>
              </w:rPr>
              <w:t>3.2</w:t>
            </w:r>
            <w:r>
              <w:rPr>
                <w:rFonts w:hint="eastAsia"/>
                <w:szCs w:val="21"/>
              </w:rPr>
              <w:t>款规定进行投标报价的；</w:t>
            </w:r>
          </w:p>
        </w:tc>
      </w:tr>
      <w:tr w14:paraId="341D2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60966964">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09D03AE5">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63220700">
            <w:pPr>
              <w:spacing w:line="360" w:lineRule="auto"/>
              <w:jc w:val="center"/>
              <w:rPr>
                <w:szCs w:val="21"/>
              </w:rPr>
            </w:pPr>
            <w:r>
              <w:rPr>
                <w:rFonts w:hint="eastAsia"/>
                <w:szCs w:val="21"/>
              </w:rPr>
              <w:t>投标内容</w:t>
            </w:r>
          </w:p>
        </w:tc>
        <w:tc>
          <w:tcPr>
            <w:tcW w:w="6019" w:type="dxa"/>
            <w:tcBorders>
              <w:top w:val="single" w:color="auto" w:sz="4" w:space="0"/>
              <w:left w:val="single" w:color="auto" w:sz="4" w:space="0"/>
              <w:bottom w:val="single" w:color="auto" w:sz="4" w:space="0"/>
            </w:tcBorders>
            <w:vAlign w:val="center"/>
          </w:tcPr>
          <w:p w14:paraId="416E328F">
            <w:pPr>
              <w:spacing w:line="360" w:lineRule="auto"/>
              <w:rPr>
                <w:szCs w:val="21"/>
              </w:rPr>
            </w:pPr>
            <w:r>
              <w:rPr>
                <w:rFonts w:hint="eastAsia"/>
                <w:szCs w:val="21"/>
              </w:rPr>
              <w:t>符合第二章</w:t>
            </w:r>
            <w:r>
              <w:rPr>
                <w:szCs w:val="21"/>
              </w:rPr>
              <w:t>“</w:t>
            </w:r>
            <w:r>
              <w:rPr>
                <w:rFonts w:hint="eastAsia"/>
                <w:szCs w:val="21"/>
              </w:rPr>
              <w:t>投标人须知</w:t>
            </w:r>
            <w:r>
              <w:rPr>
                <w:szCs w:val="21"/>
              </w:rPr>
              <w:t>”</w:t>
            </w:r>
            <w:r>
              <w:rPr>
                <w:rFonts w:hint="eastAsia"/>
                <w:szCs w:val="21"/>
              </w:rPr>
              <w:t>第</w:t>
            </w:r>
            <w:r>
              <w:rPr>
                <w:szCs w:val="21"/>
              </w:rPr>
              <w:t>1.3.1</w:t>
            </w:r>
            <w:r>
              <w:rPr>
                <w:rFonts w:hint="eastAsia"/>
                <w:szCs w:val="21"/>
              </w:rPr>
              <w:t>项规定；</w:t>
            </w:r>
          </w:p>
        </w:tc>
      </w:tr>
      <w:tr w14:paraId="20F0E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30AF04C0">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503D1F1E">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20208329">
            <w:pPr>
              <w:spacing w:line="360" w:lineRule="auto"/>
              <w:jc w:val="center"/>
              <w:rPr>
                <w:szCs w:val="21"/>
              </w:rPr>
            </w:pPr>
            <w:r>
              <w:rPr>
                <w:rFonts w:hint="eastAsia"/>
                <w:szCs w:val="21"/>
              </w:rPr>
              <w:t>服务期限</w:t>
            </w:r>
          </w:p>
        </w:tc>
        <w:tc>
          <w:tcPr>
            <w:tcW w:w="6019" w:type="dxa"/>
            <w:tcBorders>
              <w:top w:val="single" w:color="auto" w:sz="4" w:space="0"/>
              <w:left w:val="single" w:color="auto" w:sz="4" w:space="0"/>
              <w:bottom w:val="single" w:color="auto" w:sz="4" w:space="0"/>
            </w:tcBorders>
            <w:vAlign w:val="center"/>
          </w:tcPr>
          <w:p w14:paraId="735D056A">
            <w:pPr>
              <w:spacing w:line="360" w:lineRule="auto"/>
              <w:rPr>
                <w:szCs w:val="21"/>
              </w:rPr>
            </w:pPr>
            <w:r>
              <w:rPr>
                <w:rFonts w:hint="eastAsia"/>
                <w:szCs w:val="21"/>
              </w:rPr>
              <w:t>符合第二章</w:t>
            </w:r>
            <w:r>
              <w:rPr>
                <w:szCs w:val="21"/>
              </w:rPr>
              <w:t>“</w:t>
            </w:r>
            <w:r>
              <w:rPr>
                <w:rFonts w:hint="eastAsia"/>
                <w:szCs w:val="21"/>
              </w:rPr>
              <w:t>投标人须知</w:t>
            </w:r>
            <w:r>
              <w:rPr>
                <w:szCs w:val="21"/>
              </w:rPr>
              <w:t>”</w:t>
            </w:r>
            <w:r>
              <w:rPr>
                <w:rFonts w:hint="eastAsia"/>
                <w:szCs w:val="21"/>
              </w:rPr>
              <w:t>第</w:t>
            </w:r>
            <w:r>
              <w:rPr>
                <w:szCs w:val="21"/>
              </w:rPr>
              <w:t>1.3.2</w:t>
            </w:r>
            <w:r>
              <w:rPr>
                <w:rFonts w:hint="eastAsia"/>
                <w:szCs w:val="21"/>
              </w:rPr>
              <w:t>项规定；</w:t>
            </w:r>
          </w:p>
        </w:tc>
      </w:tr>
      <w:tr w14:paraId="2D4F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5C6AA135">
            <w:pPr>
              <w:spacing w:line="360" w:lineRule="auto"/>
              <w:jc w:val="center"/>
              <w:rPr>
                <w:szCs w:val="21"/>
              </w:rPr>
            </w:pPr>
          </w:p>
        </w:tc>
        <w:tc>
          <w:tcPr>
            <w:tcW w:w="646" w:type="dxa"/>
            <w:vMerge w:val="continue"/>
            <w:tcBorders>
              <w:left w:val="single" w:color="auto" w:sz="4" w:space="0"/>
              <w:right w:val="single" w:color="auto" w:sz="4" w:space="0"/>
            </w:tcBorders>
            <w:vAlign w:val="center"/>
          </w:tcPr>
          <w:p w14:paraId="53070B9C">
            <w:pPr>
              <w:spacing w:line="360" w:lineRule="auto"/>
              <w:jc w:val="center"/>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25D802A1">
            <w:pPr>
              <w:spacing w:line="360" w:lineRule="auto"/>
              <w:jc w:val="center"/>
              <w:rPr>
                <w:szCs w:val="21"/>
              </w:rPr>
            </w:pPr>
            <w:r>
              <w:rPr>
                <w:rFonts w:hint="eastAsia"/>
                <w:szCs w:val="21"/>
              </w:rPr>
              <w:t>质量标准</w:t>
            </w:r>
          </w:p>
        </w:tc>
        <w:tc>
          <w:tcPr>
            <w:tcW w:w="6019" w:type="dxa"/>
            <w:tcBorders>
              <w:top w:val="single" w:color="auto" w:sz="4" w:space="0"/>
              <w:left w:val="single" w:color="auto" w:sz="4" w:space="0"/>
              <w:bottom w:val="single" w:color="auto" w:sz="4" w:space="0"/>
            </w:tcBorders>
            <w:vAlign w:val="center"/>
          </w:tcPr>
          <w:p w14:paraId="6442B561">
            <w:pPr>
              <w:spacing w:line="360" w:lineRule="auto"/>
              <w:rPr>
                <w:szCs w:val="21"/>
              </w:rPr>
            </w:pPr>
            <w:r>
              <w:rPr>
                <w:rFonts w:hint="eastAsia"/>
                <w:szCs w:val="21"/>
              </w:rPr>
              <w:t>符合第二章</w:t>
            </w:r>
            <w:r>
              <w:rPr>
                <w:szCs w:val="21"/>
              </w:rPr>
              <w:t>“</w:t>
            </w:r>
            <w:r>
              <w:rPr>
                <w:rFonts w:hint="eastAsia"/>
                <w:szCs w:val="21"/>
              </w:rPr>
              <w:t>投标人须知</w:t>
            </w:r>
            <w:r>
              <w:rPr>
                <w:szCs w:val="21"/>
              </w:rPr>
              <w:t>”</w:t>
            </w:r>
            <w:r>
              <w:rPr>
                <w:rFonts w:hint="eastAsia"/>
                <w:szCs w:val="21"/>
              </w:rPr>
              <w:t>第</w:t>
            </w:r>
            <w:r>
              <w:rPr>
                <w:szCs w:val="21"/>
              </w:rPr>
              <w:t>1.3.3</w:t>
            </w:r>
            <w:r>
              <w:rPr>
                <w:rFonts w:hint="eastAsia"/>
                <w:szCs w:val="21"/>
              </w:rPr>
              <w:t>项规定；</w:t>
            </w:r>
          </w:p>
        </w:tc>
      </w:tr>
      <w:tr w14:paraId="66DB2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29" w:type="dxa"/>
            <w:vMerge w:val="continue"/>
            <w:tcBorders>
              <w:right w:val="single" w:color="auto" w:sz="4" w:space="0"/>
            </w:tcBorders>
            <w:vAlign w:val="center"/>
          </w:tcPr>
          <w:p w14:paraId="4B802073">
            <w:pPr>
              <w:spacing w:line="360" w:lineRule="auto"/>
              <w:rPr>
                <w:szCs w:val="21"/>
              </w:rPr>
            </w:pPr>
          </w:p>
        </w:tc>
        <w:tc>
          <w:tcPr>
            <w:tcW w:w="646" w:type="dxa"/>
            <w:vMerge w:val="continue"/>
            <w:tcBorders>
              <w:left w:val="single" w:color="auto" w:sz="4" w:space="0"/>
              <w:right w:val="single" w:color="auto" w:sz="4" w:space="0"/>
            </w:tcBorders>
            <w:vAlign w:val="center"/>
          </w:tcPr>
          <w:p w14:paraId="0350AA8F">
            <w:pPr>
              <w:spacing w:line="360" w:lineRule="auto"/>
              <w:rPr>
                <w:szCs w:val="21"/>
              </w:rPr>
            </w:pPr>
          </w:p>
        </w:tc>
        <w:tc>
          <w:tcPr>
            <w:tcW w:w="2596" w:type="dxa"/>
            <w:tcBorders>
              <w:top w:val="single" w:color="auto" w:sz="4" w:space="0"/>
              <w:left w:val="single" w:color="auto" w:sz="4" w:space="0"/>
              <w:bottom w:val="single" w:color="auto" w:sz="4" w:space="0"/>
              <w:right w:val="single" w:color="auto" w:sz="4" w:space="0"/>
            </w:tcBorders>
            <w:vAlign w:val="center"/>
          </w:tcPr>
          <w:p w14:paraId="0E4B9148">
            <w:pPr>
              <w:spacing w:line="360" w:lineRule="auto"/>
              <w:jc w:val="center"/>
              <w:rPr>
                <w:szCs w:val="21"/>
              </w:rPr>
            </w:pPr>
            <w:r>
              <w:rPr>
                <w:rFonts w:hint="eastAsia"/>
                <w:szCs w:val="21"/>
              </w:rPr>
              <w:t>投标有效期</w:t>
            </w:r>
          </w:p>
        </w:tc>
        <w:tc>
          <w:tcPr>
            <w:tcW w:w="6019" w:type="dxa"/>
            <w:tcBorders>
              <w:top w:val="single" w:color="auto" w:sz="4" w:space="0"/>
              <w:left w:val="single" w:color="auto" w:sz="4" w:space="0"/>
              <w:bottom w:val="single" w:color="auto" w:sz="4" w:space="0"/>
            </w:tcBorders>
          </w:tcPr>
          <w:p w14:paraId="0B5DD1D4">
            <w:pPr>
              <w:spacing w:line="360" w:lineRule="auto"/>
              <w:rPr>
                <w:szCs w:val="21"/>
              </w:rPr>
            </w:pPr>
            <w:r>
              <w:rPr>
                <w:rFonts w:hint="eastAsia"/>
                <w:szCs w:val="21"/>
              </w:rPr>
              <w:t>符合第二章</w:t>
            </w:r>
            <w:r>
              <w:rPr>
                <w:szCs w:val="21"/>
              </w:rPr>
              <w:t>“</w:t>
            </w:r>
            <w:r>
              <w:rPr>
                <w:rFonts w:hint="eastAsia"/>
                <w:szCs w:val="21"/>
              </w:rPr>
              <w:t>投标人须知</w:t>
            </w:r>
            <w:r>
              <w:rPr>
                <w:szCs w:val="21"/>
              </w:rPr>
              <w:t>”</w:t>
            </w:r>
            <w:r>
              <w:rPr>
                <w:rFonts w:hint="eastAsia"/>
                <w:szCs w:val="21"/>
              </w:rPr>
              <w:t>第</w:t>
            </w:r>
            <w:r>
              <w:rPr>
                <w:szCs w:val="21"/>
              </w:rPr>
              <w:t>3.3.1</w:t>
            </w:r>
            <w:r>
              <w:rPr>
                <w:rFonts w:hint="eastAsia"/>
                <w:szCs w:val="21"/>
              </w:rPr>
              <w:t>项规定；</w:t>
            </w:r>
          </w:p>
        </w:tc>
      </w:tr>
      <w:tr w14:paraId="3852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7" w:hRule="atLeast"/>
          <w:jc w:val="center"/>
        </w:trPr>
        <w:tc>
          <w:tcPr>
            <w:tcW w:w="529" w:type="dxa"/>
            <w:vMerge w:val="continue"/>
            <w:tcBorders>
              <w:bottom w:val="single" w:color="auto" w:sz="4" w:space="0"/>
              <w:right w:val="single" w:color="auto" w:sz="4" w:space="0"/>
            </w:tcBorders>
            <w:vAlign w:val="center"/>
          </w:tcPr>
          <w:p w14:paraId="48097422">
            <w:pPr>
              <w:spacing w:line="360" w:lineRule="auto"/>
              <w:rPr>
                <w:szCs w:val="21"/>
              </w:rPr>
            </w:pPr>
          </w:p>
        </w:tc>
        <w:tc>
          <w:tcPr>
            <w:tcW w:w="646" w:type="dxa"/>
            <w:vMerge w:val="continue"/>
            <w:tcBorders>
              <w:left w:val="single" w:color="auto" w:sz="4" w:space="0"/>
              <w:bottom w:val="single" w:color="auto" w:sz="4" w:space="0"/>
              <w:right w:val="single" w:color="auto" w:sz="4" w:space="0"/>
            </w:tcBorders>
            <w:vAlign w:val="center"/>
          </w:tcPr>
          <w:p w14:paraId="088508A8">
            <w:pPr>
              <w:spacing w:line="360" w:lineRule="auto"/>
              <w:rPr>
                <w:szCs w:val="21"/>
              </w:rPr>
            </w:pPr>
          </w:p>
        </w:tc>
        <w:tc>
          <w:tcPr>
            <w:tcW w:w="2596" w:type="dxa"/>
            <w:tcBorders>
              <w:top w:val="single" w:color="auto" w:sz="4" w:space="0"/>
              <w:left w:val="single" w:color="auto" w:sz="4" w:space="0"/>
              <w:right w:val="single" w:color="auto" w:sz="4" w:space="0"/>
            </w:tcBorders>
            <w:vAlign w:val="center"/>
          </w:tcPr>
          <w:p w14:paraId="22227B8D">
            <w:pPr>
              <w:widowControl/>
              <w:spacing w:before="100" w:beforeAutospacing="1" w:after="100" w:afterAutospacing="1" w:line="360" w:lineRule="auto"/>
              <w:jc w:val="center"/>
              <w:rPr>
                <w:szCs w:val="21"/>
              </w:rPr>
            </w:pPr>
            <w:r>
              <w:rPr>
                <w:rFonts w:hint="eastAsia" w:cs="楷体"/>
                <w:kern w:val="0"/>
                <w:szCs w:val="21"/>
              </w:rPr>
              <w:t>串通投标情形</w:t>
            </w:r>
          </w:p>
        </w:tc>
        <w:tc>
          <w:tcPr>
            <w:tcW w:w="6019" w:type="dxa"/>
            <w:tcBorders>
              <w:top w:val="single" w:color="auto" w:sz="4" w:space="0"/>
              <w:left w:val="single" w:color="auto" w:sz="4" w:space="0"/>
            </w:tcBorders>
          </w:tcPr>
          <w:p w14:paraId="7E8B9771">
            <w:pPr>
              <w:widowControl/>
              <w:spacing w:before="100" w:beforeAutospacing="1" w:after="100" w:afterAutospacing="1" w:line="360" w:lineRule="auto"/>
              <w:jc w:val="left"/>
              <w:rPr>
                <w:szCs w:val="21"/>
              </w:rPr>
            </w:pPr>
            <w:r>
              <w:rPr>
                <w:rFonts w:hint="eastAsia" w:cs="楷体"/>
                <w:kern w:val="0"/>
                <w:szCs w:val="21"/>
              </w:rPr>
              <w:t>不存在串通投标情形（串通投标情形以《中华人民共和国招标投标法实施条例》的规定为准）。</w:t>
            </w:r>
          </w:p>
        </w:tc>
      </w:tr>
      <w:bookmarkEnd w:id="155"/>
      <w:bookmarkEnd w:id="156"/>
      <w:bookmarkEnd w:id="157"/>
      <w:tr w14:paraId="0F403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top w:val="single" w:color="auto" w:sz="4" w:space="0"/>
              <w:bottom w:val="single" w:color="auto" w:sz="4" w:space="0"/>
              <w:right w:val="single" w:color="auto" w:sz="4" w:space="0"/>
            </w:tcBorders>
            <w:vAlign w:val="center"/>
          </w:tcPr>
          <w:p w14:paraId="2F022BE1">
            <w:pPr>
              <w:adjustRightInd w:val="0"/>
              <w:snapToGrid w:val="0"/>
              <w:spacing w:line="380" w:lineRule="exact"/>
              <w:jc w:val="center"/>
              <w:rPr>
                <w:rFonts w:ascii="宋体" w:hAnsi="宋体" w:cs="宋体"/>
                <w:b/>
                <w:szCs w:val="21"/>
              </w:rPr>
            </w:pPr>
            <w:r>
              <w:rPr>
                <w:rFonts w:hint="eastAsia" w:ascii="宋体" w:hAnsi="宋体" w:cs="宋体"/>
                <w:b/>
                <w:szCs w:val="21"/>
              </w:rPr>
              <w:t>条款号</w:t>
            </w:r>
          </w:p>
        </w:tc>
        <w:tc>
          <w:tcPr>
            <w:tcW w:w="2596" w:type="dxa"/>
            <w:tcBorders>
              <w:top w:val="single" w:color="auto" w:sz="4" w:space="0"/>
              <w:left w:val="single" w:color="auto" w:sz="4" w:space="0"/>
              <w:bottom w:val="single" w:color="auto" w:sz="4" w:space="0"/>
              <w:right w:val="single" w:color="auto" w:sz="4" w:space="0"/>
            </w:tcBorders>
            <w:vAlign w:val="center"/>
          </w:tcPr>
          <w:p w14:paraId="0178F45F">
            <w:pPr>
              <w:adjustRightInd w:val="0"/>
              <w:snapToGrid w:val="0"/>
              <w:spacing w:line="380" w:lineRule="exact"/>
              <w:jc w:val="center"/>
              <w:rPr>
                <w:rFonts w:ascii="宋体" w:hAnsi="宋体" w:cs="宋体"/>
                <w:b/>
                <w:szCs w:val="21"/>
              </w:rPr>
            </w:pPr>
            <w:r>
              <w:rPr>
                <w:rFonts w:hint="eastAsia" w:ascii="宋体" w:hAnsi="宋体" w:cs="宋体"/>
                <w:b/>
                <w:szCs w:val="21"/>
              </w:rPr>
              <w:t>条款内容</w:t>
            </w:r>
          </w:p>
        </w:tc>
        <w:tc>
          <w:tcPr>
            <w:tcW w:w="6019" w:type="dxa"/>
            <w:tcBorders>
              <w:top w:val="single" w:color="auto" w:sz="4" w:space="0"/>
              <w:left w:val="single" w:color="auto" w:sz="4" w:space="0"/>
              <w:bottom w:val="single" w:color="auto" w:sz="4" w:space="0"/>
              <w:right w:val="single" w:color="auto" w:sz="4" w:space="0"/>
            </w:tcBorders>
            <w:vAlign w:val="center"/>
          </w:tcPr>
          <w:p w14:paraId="5E3DD65C">
            <w:pPr>
              <w:adjustRightInd w:val="0"/>
              <w:snapToGrid w:val="0"/>
              <w:spacing w:line="380" w:lineRule="exact"/>
              <w:jc w:val="center"/>
              <w:rPr>
                <w:rFonts w:ascii="宋体" w:hAnsi="宋体" w:cs="宋体"/>
                <w:b/>
                <w:szCs w:val="21"/>
              </w:rPr>
            </w:pPr>
            <w:r>
              <w:rPr>
                <w:rFonts w:hint="eastAsia" w:ascii="宋体" w:hAnsi="宋体" w:cs="宋体"/>
                <w:b/>
                <w:szCs w:val="21"/>
              </w:rPr>
              <w:t>编列内容</w:t>
            </w:r>
          </w:p>
        </w:tc>
      </w:tr>
      <w:tr w14:paraId="1266C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bottom w:val="single" w:color="auto" w:sz="4" w:space="0"/>
              <w:right w:val="single" w:color="auto" w:sz="4" w:space="0"/>
            </w:tcBorders>
            <w:vAlign w:val="center"/>
          </w:tcPr>
          <w:p w14:paraId="08025A08">
            <w:pPr>
              <w:adjustRightInd w:val="0"/>
              <w:snapToGrid w:val="0"/>
              <w:spacing w:line="380" w:lineRule="exact"/>
              <w:jc w:val="center"/>
              <w:rPr>
                <w:rFonts w:ascii="宋体" w:hAnsi="宋体" w:cs="宋体"/>
                <w:szCs w:val="21"/>
              </w:rPr>
            </w:pPr>
            <w:r>
              <w:rPr>
                <w:rFonts w:hint="eastAsia" w:ascii="宋体" w:hAnsi="宋体" w:cs="宋体"/>
                <w:szCs w:val="21"/>
              </w:rPr>
              <w:t>2.2.1</w:t>
            </w:r>
          </w:p>
        </w:tc>
        <w:tc>
          <w:tcPr>
            <w:tcW w:w="2596" w:type="dxa"/>
            <w:tcBorders>
              <w:top w:val="single" w:color="auto" w:sz="4" w:space="0"/>
              <w:left w:val="single" w:color="auto" w:sz="4" w:space="0"/>
              <w:bottom w:val="single" w:color="auto" w:sz="4" w:space="0"/>
              <w:right w:val="single" w:color="auto" w:sz="4" w:space="0"/>
            </w:tcBorders>
            <w:vAlign w:val="center"/>
          </w:tcPr>
          <w:p w14:paraId="4DA64A49">
            <w:pPr>
              <w:adjustRightInd w:val="0"/>
              <w:snapToGrid w:val="0"/>
              <w:spacing w:line="380" w:lineRule="exact"/>
              <w:jc w:val="center"/>
              <w:rPr>
                <w:rFonts w:ascii="宋体" w:hAnsi="宋体" w:cs="宋体"/>
                <w:szCs w:val="21"/>
              </w:rPr>
            </w:pPr>
            <w:r>
              <w:rPr>
                <w:rFonts w:hint="eastAsia" w:ascii="宋体" w:hAnsi="宋体" w:cs="宋体"/>
                <w:szCs w:val="21"/>
              </w:rPr>
              <w:t>分值构成</w:t>
            </w:r>
          </w:p>
          <w:p w14:paraId="709305BF">
            <w:pPr>
              <w:adjustRightInd w:val="0"/>
              <w:snapToGrid w:val="0"/>
              <w:spacing w:line="380" w:lineRule="exact"/>
              <w:jc w:val="center"/>
              <w:rPr>
                <w:rFonts w:ascii="宋体" w:hAnsi="宋体" w:cs="宋体"/>
                <w:szCs w:val="21"/>
              </w:rPr>
            </w:pPr>
            <w:r>
              <w:rPr>
                <w:rFonts w:hint="eastAsia" w:ascii="宋体" w:hAnsi="宋体" w:cs="宋体"/>
                <w:szCs w:val="21"/>
              </w:rPr>
              <w:t>(总分100分)</w:t>
            </w:r>
          </w:p>
        </w:tc>
        <w:tc>
          <w:tcPr>
            <w:tcW w:w="6019" w:type="dxa"/>
            <w:tcBorders>
              <w:top w:val="single" w:color="auto" w:sz="4" w:space="0"/>
              <w:left w:val="single" w:color="auto" w:sz="4" w:space="0"/>
              <w:bottom w:val="single" w:color="auto" w:sz="4" w:space="0"/>
              <w:right w:val="single" w:color="auto" w:sz="4" w:space="0"/>
            </w:tcBorders>
            <w:vAlign w:val="center"/>
          </w:tcPr>
          <w:p w14:paraId="012ACE35">
            <w:r>
              <w:rPr>
                <w:rFonts w:hint="eastAsia"/>
              </w:rPr>
              <w:t>A：资信业绩部分</w:t>
            </w:r>
            <w:r>
              <w:rPr>
                <w:rFonts w:hint="eastAsia"/>
                <w:u w:val="single"/>
              </w:rPr>
              <w:t>65</w:t>
            </w:r>
            <w:r>
              <w:rPr>
                <w:rFonts w:hint="eastAsia"/>
              </w:rPr>
              <w:t>分</w:t>
            </w:r>
          </w:p>
          <w:p w14:paraId="438F4DC3">
            <w:r>
              <w:rPr>
                <w:rFonts w:hint="eastAsia"/>
              </w:rPr>
              <w:t>B：检测方案部分：</w:t>
            </w:r>
            <w:r>
              <w:rPr>
                <w:rFonts w:hint="eastAsia"/>
                <w:u w:val="single"/>
              </w:rPr>
              <w:t>15</w:t>
            </w:r>
            <w:r>
              <w:rPr>
                <w:rFonts w:hint="eastAsia"/>
              </w:rPr>
              <w:t>分</w:t>
            </w:r>
          </w:p>
          <w:p w14:paraId="650289E8">
            <w:r>
              <w:rPr>
                <w:rFonts w:hint="eastAsia"/>
              </w:rPr>
              <w:t>C：报价部分：</w:t>
            </w:r>
            <w:r>
              <w:rPr>
                <w:rFonts w:hint="eastAsia"/>
                <w:u w:val="single"/>
              </w:rPr>
              <w:t>20</w:t>
            </w:r>
            <w:r>
              <w:rPr>
                <w:rFonts w:hint="eastAsia"/>
              </w:rPr>
              <w:t>分</w:t>
            </w:r>
          </w:p>
          <w:p w14:paraId="3E5C7374">
            <w:pPr>
              <w:adjustRightInd w:val="0"/>
              <w:snapToGrid w:val="0"/>
              <w:spacing w:line="380" w:lineRule="exact"/>
              <w:rPr>
                <w:rFonts w:ascii="宋体" w:hAnsi="宋体" w:cs="宋体"/>
                <w:b/>
                <w:szCs w:val="21"/>
              </w:rPr>
            </w:pPr>
            <w:r>
              <w:rPr>
                <w:rFonts w:hint="eastAsia"/>
              </w:rPr>
              <w:t>投标人综合得分=A+B+C，A、B、C得分为各评委的评分汇总的算术平均分。分数出现小数点时，保留小数点后二位，第三位小数四舍五入）；</w:t>
            </w:r>
          </w:p>
        </w:tc>
      </w:tr>
      <w:tr w14:paraId="5C9F9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top w:val="single" w:color="auto" w:sz="4" w:space="0"/>
              <w:bottom w:val="single" w:color="auto" w:sz="4" w:space="0"/>
              <w:right w:val="single" w:color="auto" w:sz="4" w:space="0"/>
            </w:tcBorders>
            <w:vAlign w:val="center"/>
          </w:tcPr>
          <w:p w14:paraId="4A59C128">
            <w:pPr>
              <w:adjustRightInd w:val="0"/>
              <w:snapToGrid w:val="0"/>
              <w:spacing w:line="380" w:lineRule="exact"/>
              <w:jc w:val="center"/>
              <w:rPr>
                <w:rFonts w:ascii="宋体" w:hAnsi="宋体" w:cs="宋体"/>
                <w:szCs w:val="21"/>
              </w:rPr>
            </w:pPr>
            <w:r>
              <w:rPr>
                <w:rFonts w:hint="eastAsia" w:ascii="宋体" w:hAnsi="宋体" w:cs="宋体"/>
                <w:szCs w:val="21"/>
              </w:rPr>
              <w:t>2.2.2</w:t>
            </w:r>
          </w:p>
        </w:tc>
        <w:tc>
          <w:tcPr>
            <w:tcW w:w="2596" w:type="dxa"/>
            <w:tcBorders>
              <w:top w:val="single" w:color="auto" w:sz="4" w:space="0"/>
              <w:left w:val="single" w:color="auto" w:sz="4" w:space="0"/>
              <w:bottom w:val="single" w:color="auto" w:sz="4" w:space="0"/>
              <w:right w:val="single" w:color="auto" w:sz="4" w:space="0"/>
            </w:tcBorders>
            <w:vAlign w:val="center"/>
          </w:tcPr>
          <w:p w14:paraId="400B3419">
            <w:pPr>
              <w:adjustRightInd w:val="0"/>
              <w:snapToGrid w:val="0"/>
              <w:spacing w:line="380" w:lineRule="exact"/>
              <w:jc w:val="center"/>
              <w:rPr>
                <w:rFonts w:ascii="宋体" w:hAnsi="宋体" w:cs="宋体"/>
                <w:szCs w:val="21"/>
              </w:rPr>
            </w:pPr>
            <w:r>
              <w:rPr>
                <w:rFonts w:hint="eastAsia" w:ascii="宋体" w:hAnsi="宋体" w:cs="宋体"/>
                <w:szCs w:val="21"/>
              </w:rPr>
              <w:t>评标基准价</w:t>
            </w:r>
          </w:p>
          <w:p w14:paraId="1F456AEA">
            <w:pPr>
              <w:adjustRightInd w:val="0"/>
              <w:snapToGrid w:val="0"/>
              <w:spacing w:line="380" w:lineRule="exact"/>
              <w:jc w:val="center"/>
              <w:rPr>
                <w:rFonts w:ascii="宋体" w:hAnsi="宋体" w:cs="宋体"/>
                <w:szCs w:val="21"/>
              </w:rPr>
            </w:pPr>
            <w:r>
              <w:rPr>
                <w:rFonts w:hint="eastAsia" w:ascii="宋体" w:hAnsi="宋体" w:cs="宋体"/>
                <w:szCs w:val="21"/>
              </w:rPr>
              <w:t>计算方法</w:t>
            </w:r>
          </w:p>
        </w:tc>
        <w:tc>
          <w:tcPr>
            <w:tcW w:w="6019" w:type="dxa"/>
            <w:tcBorders>
              <w:top w:val="single" w:color="auto" w:sz="4" w:space="0"/>
              <w:left w:val="single" w:color="auto" w:sz="4" w:space="0"/>
              <w:bottom w:val="single" w:color="auto" w:sz="4" w:space="0"/>
              <w:right w:val="single" w:color="auto" w:sz="4" w:space="0"/>
            </w:tcBorders>
            <w:vAlign w:val="center"/>
          </w:tcPr>
          <w:p w14:paraId="2727D430">
            <w:pPr>
              <w:adjustRightInd w:val="0"/>
              <w:snapToGrid w:val="0"/>
              <w:spacing w:line="380" w:lineRule="exact"/>
              <w:jc w:val="left"/>
              <w:rPr>
                <w:rFonts w:ascii="宋体" w:hAnsi="宋体" w:cs="宋体"/>
                <w:szCs w:val="21"/>
              </w:rPr>
            </w:pPr>
            <w:r>
              <w:rPr>
                <w:rFonts w:hint="eastAsia" w:ascii="宋体" w:hAnsi="宋体" w:cs="楷体"/>
                <w:kern w:val="0"/>
                <w:szCs w:val="21"/>
              </w:rPr>
              <w:t>若当通过资格审查及有效性审查在位于[最高投标限价×90%，最高投标限价]区间的投标价中的有效投标人大于5名时，去掉一个最高价和一个最低价，取余下有效投标价的算术平均值作为评标参考价。若当通过资格审查及有效性审查在位于[最高投标限价×90%，最高投标限价]区间的投标价中的有效投标人小于或等于5名时，取所有入围的有效投标价的算术平均值作为评标参考价。若当通过资格审查及有效性审查没有投标价位于[最高投标限价×90%，最高投标限价]区间的有效投标人，所有投标人的报价得分为0分。</w:t>
            </w:r>
          </w:p>
        </w:tc>
      </w:tr>
      <w:tr w14:paraId="3C33D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175" w:type="dxa"/>
            <w:gridSpan w:val="2"/>
            <w:tcBorders>
              <w:top w:val="single" w:color="auto" w:sz="4" w:space="0"/>
              <w:bottom w:val="single" w:color="auto" w:sz="4" w:space="0"/>
              <w:right w:val="single" w:color="auto" w:sz="4" w:space="0"/>
            </w:tcBorders>
            <w:vAlign w:val="center"/>
          </w:tcPr>
          <w:p w14:paraId="6E66A151">
            <w:pPr>
              <w:adjustRightInd w:val="0"/>
              <w:snapToGrid w:val="0"/>
              <w:spacing w:line="380" w:lineRule="exact"/>
              <w:jc w:val="center"/>
              <w:rPr>
                <w:rFonts w:ascii="宋体" w:hAnsi="宋体" w:cs="宋体"/>
                <w:szCs w:val="21"/>
              </w:rPr>
            </w:pPr>
            <w:r>
              <w:rPr>
                <w:rFonts w:hint="eastAsia" w:ascii="宋体" w:hAnsi="宋体" w:cs="宋体"/>
                <w:szCs w:val="21"/>
              </w:rPr>
              <w:t>2.2.3</w:t>
            </w:r>
          </w:p>
        </w:tc>
        <w:tc>
          <w:tcPr>
            <w:tcW w:w="2596" w:type="dxa"/>
            <w:tcBorders>
              <w:top w:val="single" w:color="auto" w:sz="4" w:space="0"/>
              <w:left w:val="single" w:color="auto" w:sz="4" w:space="0"/>
              <w:bottom w:val="single" w:color="auto" w:sz="4" w:space="0"/>
              <w:right w:val="single" w:color="auto" w:sz="4" w:space="0"/>
            </w:tcBorders>
            <w:vAlign w:val="center"/>
          </w:tcPr>
          <w:p w14:paraId="55EA6044">
            <w:pPr>
              <w:adjustRightInd w:val="0"/>
              <w:snapToGrid w:val="0"/>
              <w:spacing w:line="380" w:lineRule="exact"/>
              <w:jc w:val="center"/>
              <w:rPr>
                <w:rFonts w:ascii="宋体" w:hAnsi="宋体" w:cs="宋体"/>
                <w:szCs w:val="21"/>
              </w:rPr>
            </w:pPr>
            <w:r>
              <w:rPr>
                <w:rFonts w:hint="eastAsia" w:ascii="宋体" w:hAnsi="宋体" w:cs="宋体"/>
                <w:szCs w:val="21"/>
              </w:rPr>
              <w:t>投标报价的</w:t>
            </w:r>
          </w:p>
          <w:p w14:paraId="56864156">
            <w:pPr>
              <w:adjustRightInd w:val="0"/>
              <w:snapToGrid w:val="0"/>
              <w:spacing w:line="380" w:lineRule="exact"/>
              <w:jc w:val="center"/>
              <w:rPr>
                <w:rFonts w:ascii="宋体" w:hAnsi="宋体" w:cs="宋体"/>
                <w:szCs w:val="21"/>
              </w:rPr>
            </w:pPr>
            <w:r>
              <w:rPr>
                <w:rFonts w:hint="eastAsia" w:ascii="宋体" w:hAnsi="宋体" w:cs="宋体"/>
                <w:szCs w:val="21"/>
              </w:rPr>
              <w:t>偏差率计算公式</w:t>
            </w:r>
          </w:p>
        </w:tc>
        <w:tc>
          <w:tcPr>
            <w:tcW w:w="6019" w:type="dxa"/>
            <w:tcBorders>
              <w:top w:val="single" w:color="auto" w:sz="4" w:space="0"/>
              <w:left w:val="single" w:color="auto" w:sz="4" w:space="0"/>
              <w:bottom w:val="single" w:color="auto" w:sz="4" w:space="0"/>
              <w:right w:val="single" w:color="auto" w:sz="4" w:space="0"/>
            </w:tcBorders>
            <w:vAlign w:val="center"/>
          </w:tcPr>
          <w:p w14:paraId="52EF0D99">
            <w:pPr>
              <w:adjustRightInd w:val="0"/>
              <w:snapToGrid w:val="0"/>
              <w:spacing w:line="380" w:lineRule="exact"/>
              <w:jc w:val="left"/>
              <w:rPr>
                <w:rFonts w:ascii="宋体" w:hAnsi="宋体" w:cs="宋体"/>
                <w:szCs w:val="21"/>
              </w:rPr>
            </w:pPr>
            <w:r>
              <w:rPr>
                <w:rFonts w:hint="eastAsia" w:ascii="宋体" w:hAnsi="宋体" w:cs="楷体"/>
                <w:kern w:val="0"/>
                <w:szCs w:val="21"/>
              </w:rPr>
              <w:t>偏差率=100% ×|（投标人有效投标报价-评标基准价）|/评标基准价（偏差率以四舍五入保留2位小数点，报价偏差率不足1%的，按直线内插法计算投标报价得分）</w:t>
            </w:r>
          </w:p>
        </w:tc>
      </w:tr>
      <w:tr w14:paraId="55BE1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top w:val="single" w:color="auto" w:sz="4" w:space="0"/>
              <w:bottom w:val="single" w:color="auto" w:sz="4" w:space="0"/>
              <w:right w:val="single" w:color="auto" w:sz="4" w:space="0"/>
            </w:tcBorders>
            <w:vAlign w:val="center"/>
          </w:tcPr>
          <w:p w14:paraId="17BA950C">
            <w:pPr>
              <w:adjustRightInd w:val="0"/>
              <w:snapToGrid w:val="0"/>
              <w:spacing w:line="380" w:lineRule="exact"/>
              <w:jc w:val="center"/>
              <w:rPr>
                <w:rFonts w:ascii="宋体" w:hAnsi="宋体" w:cs="宋体"/>
                <w:szCs w:val="21"/>
              </w:rPr>
            </w:pPr>
            <w:r>
              <w:rPr>
                <w:rFonts w:hint="eastAsia" w:ascii="宋体"/>
                <w:szCs w:val="21"/>
              </w:rPr>
              <w:t>2.2.4（1）</w:t>
            </w:r>
          </w:p>
        </w:tc>
        <w:tc>
          <w:tcPr>
            <w:tcW w:w="2596" w:type="dxa"/>
            <w:tcBorders>
              <w:top w:val="single" w:color="auto" w:sz="4" w:space="0"/>
              <w:left w:val="single" w:color="auto" w:sz="4" w:space="0"/>
              <w:bottom w:val="single" w:color="auto" w:sz="4" w:space="0"/>
              <w:right w:val="single" w:color="auto" w:sz="4" w:space="0"/>
            </w:tcBorders>
            <w:vAlign w:val="center"/>
          </w:tcPr>
          <w:p w14:paraId="16FEF3C2">
            <w:pPr>
              <w:adjustRightInd w:val="0"/>
              <w:snapToGrid w:val="0"/>
              <w:spacing w:line="380" w:lineRule="exact"/>
              <w:jc w:val="center"/>
              <w:rPr>
                <w:rFonts w:ascii="宋体" w:cs="宋体"/>
                <w:szCs w:val="21"/>
              </w:rPr>
            </w:pPr>
            <w:r>
              <w:rPr>
                <w:rFonts w:hint="eastAsia" w:ascii="宋体" w:cs="宋体"/>
                <w:szCs w:val="21"/>
              </w:rPr>
              <w:t>资信业绩评分</w:t>
            </w:r>
          </w:p>
          <w:p w14:paraId="11838635">
            <w:pPr>
              <w:adjustRightInd w:val="0"/>
              <w:snapToGrid w:val="0"/>
              <w:spacing w:line="380" w:lineRule="exact"/>
              <w:jc w:val="center"/>
              <w:rPr>
                <w:rFonts w:ascii="宋体" w:hAnsi="宋体" w:cs="宋体"/>
                <w:szCs w:val="21"/>
              </w:rPr>
            </w:pPr>
            <w:r>
              <w:rPr>
                <w:rFonts w:hint="eastAsia" w:ascii="宋体" w:cs="宋体"/>
                <w:szCs w:val="21"/>
              </w:rPr>
              <w:t>标准</w:t>
            </w:r>
          </w:p>
        </w:tc>
        <w:tc>
          <w:tcPr>
            <w:tcW w:w="6019" w:type="dxa"/>
            <w:tcBorders>
              <w:top w:val="single" w:color="auto" w:sz="4" w:space="0"/>
              <w:left w:val="single" w:color="auto" w:sz="4" w:space="0"/>
              <w:bottom w:val="single" w:color="auto" w:sz="4" w:space="0"/>
              <w:right w:val="single" w:color="auto" w:sz="4" w:space="0"/>
            </w:tcBorders>
            <w:vAlign w:val="center"/>
          </w:tcPr>
          <w:p w14:paraId="5D68D360">
            <w:pPr>
              <w:adjustRightInd w:val="0"/>
              <w:snapToGrid w:val="0"/>
              <w:spacing w:line="380" w:lineRule="exact"/>
              <w:jc w:val="left"/>
              <w:rPr>
                <w:rFonts w:ascii="宋体" w:hAnsi="宋体"/>
                <w:szCs w:val="21"/>
              </w:rPr>
            </w:pPr>
            <w:r>
              <w:rPr>
                <w:rFonts w:hint="eastAsia" w:ascii="宋体" w:cs="宋体"/>
                <w:szCs w:val="21"/>
              </w:rPr>
              <w:t>详见本章附表：综合评分表</w:t>
            </w:r>
          </w:p>
        </w:tc>
      </w:tr>
      <w:tr w14:paraId="20EA8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top w:val="single" w:color="auto" w:sz="4" w:space="0"/>
              <w:bottom w:val="single" w:color="auto" w:sz="4" w:space="0"/>
              <w:right w:val="single" w:color="auto" w:sz="4" w:space="0"/>
            </w:tcBorders>
            <w:vAlign w:val="center"/>
          </w:tcPr>
          <w:p w14:paraId="131E28A4">
            <w:pPr>
              <w:adjustRightInd w:val="0"/>
              <w:snapToGrid w:val="0"/>
              <w:spacing w:line="380" w:lineRule="exact"/>
              <w:jc w:val="center"/>
              <w:rPr>
                <w:rFonts w:ascii="宋体" w:hAnsi="宋体" w:cs="宋体"/>
                <w:szCs w:val="21"/>
              </w:rPr>
            </w:pPr>
            <w:r>
              <w:rPr>
                <w:rFonts w:hint="eastAsia" w:ascii="宋体"/>
                <w:szCs w:val="21"/>
              </w:rPr>
              <w:t>2.2.4（2）</w:t>
            </w:r>
          </w:p>
        </w:tc>
        <w:tc>
          <w:tcPr>
            <w:tcW w:w="2596" w:type="dxa"/>
            <w:tcBorders>
              <w:top w:val="single" w:color="auto" w:sz="4" w:space="0"/>
              <w:left w:val="single" w:color="auto" w:sz="4" w:space="0"/>
              <w:bottom w:val="single" w:color="auto" w:sz="4" w:space="0"/>
              <w:right w:val="single" w:color="auto" w:sz="4" w:space="0"/>
            </w:tcBorders>
            <w:vAlign w:val="center"/>
          </w:tcPr>
          <w:p w14:paraId="7D95CB92">
            <w:pPr>
              <w:adjustRightInd w:val="0"/>
              <w:snapToGrid w:val="0"/>
              <w:spacing w:line="380" w:lineRule="exact"/>
              <w:jc w:val="center"/>
              <w:rPr>
                <w:rFonts w:ascii="宋体" w:hAnsi="宋体" w:cs="宋体"/>
                <w:szCs w:val="21"/>
              </w:rPr>
            </w:pPr>
            <w:r>
              <w:rPr>
                <w:rFonts w:hint="eastAsia" w:ascii="宋体" w:cs="宋体"/>
                <w:szCs w:val="21"/>
              </w:rPr>
              <w:t>检测监测方案评分标准</w:t>
            </w:r>
          </w:p>
        </w:tc>
        <w:tc>
          <w:tcPr>
            <w:tcW w:w="6019" w:type="dxa"/>
            <w:tcBorders>
              <w:top w:val="single" w:color="auto" w:sz="4" w:space="0"/>
              <w:left w:val="single" w:color="auto" w:sz="4" w:space="0"/>
              <w:bottom w:val="single" w:color="auto" w:sz="4" w:space="0"/>
              <w:right w:val="single" w:color="auto" w:sz="4" w:space="0"/>
            </w:tcBorders>
            <w:vAlign w:val="center"/>
          </w:tcPr>
          <w:p w14:paraId="0B208325">
            <w:pPr>
              <w:adjustRightInd w:val="0"/>
              <w:snapToGrid w:val="0"/>
              <w:spacing w:line="380" w:lineRule="exact"/>
              <w:jc w:val="left"/>
              <w:rPr>
                <w:rFonts w:ascii="宋体" w:hAnsi="宋体"/>
                <w:szCs w:val="21"/>
              </w:rPr>
            </w:pPr>
            <w:r>
              <w:rPr>
                <w:rFonts w:hint="eastAsia" w:ascii="宋体" w:cs="宋体"/>
                <w:szCs w:val="21"/>
              </w:rPr>
              <w:t>详见本章附表：综合评分表</w:t>
            </w:r>
          </w:p>
        </w:tc>
      </w:tr>
      <w:tr w14:paraId="58D6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75" w:type="dxa"/>
            <w:gridSpan w:val="2"/>
            <w:tcBorders>
              <w:top w:val="single" w:color="auto" w:sz="4" w:space="0"/>
              <w:bottom w:val="single" w:color="auto" w:sz="4" w:space="0"/>
              <w:right w:val="single" w:color="auto" w:sz="4" w:space="0"/>
            </w:tcBorders>
            <w:vAlign w:val="center"/>
          </w:tcPr>
          <w:p w14:paraId="0E2296C2">
            <w:pPr>
              <w:adjustRightInd w:val="0"/>
              <w:snapToGrid w:val="0"/>
              <w:spacing w:line="380" w:lineRule="exact"/>
              <w:jc w:val="center"/>
              <w:rPr>
                <w:rFonts w:ascii="宋体" w:hAnsi="宋体" w:cs="宋体"/>
                <w:szCs w:val="21"/>
              </w:rPr>
            </w:pPr>
            <w:r>
              <w:rPr>
                <w:rFonts w:hint="eastAsia" w:ascii="宋体"/>
                <w:szCs w:val="21"/>
              </w:rPr>
              <w:t>2.2.4（3）</w:t>
            </w:r>
          </w:p>
        </w:tc>
        <w:tc>
          <w:tcPr>
            <w:tcW w:w="2596" w:type="dxa"/>
            <w:tcBorders>
              <w:top w:val="single" w:color="auto" w:sz="4" w:space="0"/>
              <w:left w:val="single" w:color="auto" w:sz="4" w:space="0"/>
              <w:bottom w:val="single" w:color="auto" w:sz="4" w:space="0"/>
              <w:right w:val="single" w:color="auto" w:sz="4" w:space="0"/>
            </w:tcBorders>
            <w:vAlign w:val="center"/>
          </w:tcPr>
          <w:p w14:paraId="0EC9EC90">
            <w:pPr>
              <w:adjustRightInd w:val="0"/>
              <w:snapToGrid w:val="0"/>
              <w:spacing w:line="380" w:lineRule="exact"/>
              <w:jc w:val="center"/>
              <w:rPr>
                <w:rFonts w:ascii="宋体" w:cs="宋体"/>
                <w:szCs w:val="21"/>
              </w:rPr>
            </w:pPr>
            <w:r>
              <w:rPr>
                <w:rFonts w:hint="eastAsia" w:ascii="宋体" w:cs="宋体"/>
                <w:szCs w:val="21"/>
              </w:rPr>
              <w:t>投标报价评分</w:t>
            </w:r>
          </w:p>
          <w:p w14:paraId="587B2213">
            <w:pPr>
              <w:adjustRightInd w:val="0"/>
              <w:snapToGrid w:val="0"/>
              <w:spacing w:line="380" w:lineRule="exact"/>
              <w:jc w:val="center"/>
              <w:rPr>
                <w:rFonts w:ascii="宋体" w:hAnsi="宋体" w:cs="宋体"/>
                <w:szCs w:val="21"/>
              </w:rPr>
            </w:pPr>
            <w:r>
              <w:rPr>
                <w:rFonts w:hint="eastAsia" w:ascii="宋体" w:cs="宋体"/>
                <w:szCs w:val="21"/>
              </w:rPr>
              <w:t>标准</w:t>
            </w:r>
          </w:p>
        </w:tc>
        <w:tc>
          <w:tcPr>
            <w:tcW w:w="6019" w:type="dxa"/>
            <w:tcBorders>
              <w:top w:val="single" w:color="auto" w:sz="4" w:space="0"/>
              <w:left w:val="single" w:color="auto" w:sz="4" w:space="0"/>
              <w:bottom w:val="single" w:color="auto" w:sz="4" w:space="0"/>
              <w:right w:val="single" w:color="auto" w:sz="4" w:space="0"/>
            </w:tcBorders>
            <w:vAlign w:val="center"/>
          </w:tcPr>
          <w:p w14:paraId="3AB1020D">
            <w:pPr>
              <w:adjustRightInd w:val="0"/>
              <w:snapToGrid w:val="0"/>
              <w:spacing w:line="380" w:lineRule="exact"/>
              <w:jc w:val="left"/>
              <w:rPr>
                <w:rFonts w:ascii="宋体" w:hAnsi="宋体"/>
                <w:szCs w:val="21"/>
              </w:rPr>
            </w:pPr>
            <w:r>
              <w:rPr>
                <w:rFonts w:hint="eastAsia" w:ascii="宋体" w:cs="宋体"/>
                <w:szCs w:val="21"/>
              </w:rPr>
              <w:t>详见本章附表：综合评分表</w:t>
            </w:r>
          </w:p>
        </w:tc>
      </w:tr>
    </w:tbl>
    <w:p w14:paraId="265A948C">
      <w:pPr>
        <w:pStyle w:val="6"/>
        <w:ind w:firstLine="281" w:firstLineChars="100"/>
      </w:pPr>
      <w:r>
        <w:rPr>
          <w:rFonts w:hint="eastAsia"/>
        </w:rPr>
        <w:t>附表一：综合评分表</w:t>
      </w:r>
      <w:bookmarkEnd w:id="158"/>
      <w:bookmarkEnd w:id="159"/>
      <w:bookmarkEnd w:id="160"/>
      <w:bookmarkEnd w:id="161"/>
      <w:bookmarkEnd w:id="162"/>
    </w:p>
    <w:p w14:paraId="0C79E60C">
      <w:pPr>
        <w:keepNext/>
        <w:keepLines/>
        <w:jc w:val="center"/>
        <w:rPr>
          <w:rFonts w:hAnsi="宋体"/>
          <w:b/>
          <w:sz w:val="30"/>
          <w:szCs w:val="30"/>
        </w:rPr>
      </w:pPr>
      <w:r>
        <w:rPr>
          <w:rFonts w:hint="eastAsia" w:hAnsi="宋体"/>
          <w:b/>
          <w:sz w:val="30"/>
          <w:szCs w:val="30"/>
        </w:rPr>
        <w:t>综合评分表</w:t>
      </w:r>
    </w:p>
    <w:p w14:paraId="7BC888CD">
      <w:pPr>
        <w:spacing w:line="360" w:lineRule="auto"/>
        <w:rPr>
          <w:rFonts w:ascii="宋体" w:hAnsi="宋体" w:cs="宋体"/>
          <w:bCs/>
          <w:szCs w:val="21"/>
        </w:rPr>
      </w:pPr>
      <w:r>
        <w:rPr>
          <w:rFonts w:hint="eastAsia" w:ascii="宋体" w:hAnsi="宋体" w:cs="宋体"/>
          <w:bCs/>
          <w:szCs w:val="21"/>
        </w:rPr>
        <w:t>项目名称：</w:t>
      </w:r>
    </w:p>
    <w:tbl>
      <w:tblPr>
        <w:tblStyle w:val="29"/>
        <w:tblW w:w="9959" w:type="dxa"/>
        <w:tblInd w:w="-1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019"/>
        <w:gridCol w:w="8146"/>
      </w:tblGrid>
      <w:tr w14:paraId="15775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794" w:type="dxa"/>
            <w:tcBorders>
              <w:top w:val="single" w:color="auto" w:sz="4" w:space="0"/>
              <w:bottom w:val="single" w:color="auto" w:sz="4" w:space="0"/>
              <w:right w:val="single" w:color="auto" w:sz="4" w:space="0"/>
            </w:tcBorders>
            <w:vAlign w:val="center"/>
          </w:tcPr>
          <w:p w14:paraId="3D215B21">
            <w:pPr>
              <w:jc w:val="center"/>
              <w:rPr>
                <w:b/>
              </w:rPr>
            </w:pPr>
            <w:r>
              <w:rPr>
                <w:rFonts w:hint="eastAsia"/>
                <w:b/>
              </w:rPr>
              <w:t>条款号</w:t>
            </w:r>
          </w:p>
        </w:tc>
        <w:tc>
          <w:tcPr>
            <w:tcW w:w="1019" w:type="dxa"/>
            <w:tcBorders>
              <w:top w:val="single" w:color="auto" w:sz="4" w:space="0"/>
              <w:left w:val="single" w:color="auto" w:sz="4" w:space="0"/>
              <w:bottom w:val="single" w:color="auto" w:sz="4" w:space="0"/>
              <w:right w:val="single" w:color="auto" w:sz="4" w:space="0"/>
            </w:tcBorders>
            <w:vAlign w:val="center"/>
          </w:tcPr>
          <w:p w14:paraId="7376A20E">
            <w:pPr>
              <w:jc w:val="center"/>
              <w:rPr>
                <w:b/>
              </w:rPr>
            </w:pPr>
            <w:r>
              <w:rPr>
                <w:rFonts w:hint="eastAsia"/>
                <w:b/>
              </w:rPr>
              <w:t>评审因素</w:t>
            </w:r>
          </w:p>
        </w:tc>
        <w:tc>
          <w:tcPr>
            <w:tcW w:w="8146" w:type="dxa"/>
            <w:tcBorders>
              <w:top w:val="single" w:color="auto" w:sz="4" w:space="0"/>
              <w:left w:val="single" w:color="auto" w:sz="4" w:space="0"/>
              <w:bottom w:val="single" w:color="auto" w:sz="4" w:space="0"/>
              <w:right w:val="single" w:color="auto" w:sz="4" w:space="0"/>
            </w:tcBorders>
            <w:vAlign w:val="center"/>
          </w:tcPr>
          <w:p w14:paraId="052EE91E">
            <w:pPr>
              <w:adjustRightInd w:val="0"/>
              <w:snapToGrid w:val="0"/>
              <w:jc w:val="center"/>
              <w:rPr>
                <w:rFonts w:ascii="宋体" w:hAnsi="宋体"/>
                <w:b/>
              </w:rPr>
            </w:pPr>
            <w:r>
              <w:rPr>
                <w:rFonts w:hint="eastAsia" w:ascii="宋体" w:hAnsi="宋体"/>
                <w:b/>
              </w:rPr>
              <w:t>评审标准</w:t>
            </w:r>
          </w:p>
        </w:tc>
      </w:tr>
      <w:tr w14:paraId="6EAB7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8" w:hRule="atLeast"/>
        </w:trPr>
        <w:tc>
          <w:tcPr>
            <w:tcW w:w="794" w:type="dxa"/>
            <w:vMerge w:val="restart"/>
            <w:tcBorders>
              <w:top w:val="single" w:color="auto" w:sz="4" w:space="0"/>
              <w:right w:val="single" w:color="auto" w:sz="4" w:space="0"/>
            </w:tcBorders>
            <w:vAlign w:val="center"/>
          </w:tcPr>
          <w:p w14:paraId="05EEB8CD">
            <w:pPr>
              <w:pStyle w:val="73"/>
              <w:kinsoku w:val="0"/>
              <w:overflowPunct w:val="0"/>
              <w:ind w:left="-115" w:leftChars="-55" w:right="-122" w:rightChars="-58"/>
              <w:jc w:val="center"/>
              <w:rPr>
                <w:rFonts w:ascii="宋体" w:hAnsi="宋体"/>
              </w:rPr>
            </w:pPr>
            <w:r>
              <w:rPr>
                <w:rFonts w:hint="eastAsia" w:ascii="宋体" w:hAnsi="宋体"/>
              </w:rPr>
              <w:t>资信业绩</w:t>
            </w:r>
          </w:p>
          <w:p w14:paraId="6CE19F32">
            <w:pPr>
              <w:pStyle w:val="73"/>
              <w:kinsoku w:val="0"/>
              <w:overflowPunct w:val="0"/>
              <w:ind w:left="-115" w:leftChars="-55" w:right="-122" w:rightChars="-58"/>
              <w:jc w:val="center"/>
              <w:rPr>
                <w:rFonts w:ascii="宋体" w:hAnsi="宋体"/>
              </w:rPr>
            </w:pPr>
            <w:r>
              <w:rPr>
                <w:rFonts w:hint="eastAsia" w:ascii="宋体" w:hAnsi="宋体"/>
              </w:rPr>
              <w:t>部分评分</w:t>
            </w:r>
          </w:p>
          <w:p w14:paraId="4ACBAC90">
            <w:pPr>
              <w:pStyle w:val="73"/>
              <w:kinsoku w:val="0"/>
              <w:overflowPunct w:val="0"/>
              <w:ind w:left="-115" w:leftChars="-55" w:right="-122" w:rightChars="-58"/>
              <w:jc w:val="center"/>
              <w:rPr>
                <w:rFonts w:ascii="宋体" w:hAnsi="宋体"/>
              </w:rPr>
            </w:pPr>
            <w:r>
              <w:rPr>
                <w:rFonts w:hint="eastAsia" w:ascii="宋体" w:hAnsi="宋体"/>
              </w:rPr>
              <w:t>标准</w:t>
            </w:r>
          </w:p>
          <w:p w14:paraId="144617D2">
            <w:pPr>
              <w:pStyle w:val="73"/>
              <w:kinsoku w:val="0"/>
              <w:overflowPunct w:val="0"/>
              <w:ind w:left="-115" w:leftChars="-55" w:right="-122" w:rightChars="-58"/>
              <w:jc w:val="center"/>
              <w:rPr>
                <w:szCs w:val="21"/>
              </w:rPr>
            </w:pPr>
            <w:r>
              <w:rPr>
                <w:rFonts w:hint="eastAsia" w:ascii="宋体" w:hAnsi="宋体"/>
              </w:rPr>
              <w:t>（65分）</w:t>
            </w:r>
          </w:p>
        </w:tc>
        <w:tc>
          <w:tcPr>
            <w:tcW w:w="1019" w:type="dxa"/>
            <w:tcBorders>
              <w:top w:val="single" w:color="auto" w:sz="4" w:space="0"/>
              <w:left w:val="single" w:color="auto" w:sz="4" w:space="0"/>
              <w:bottom w:val="single" w:color="auto" w:sz="4" w:space="0"/>
              <w:right w:val="single" w:color="auto" w:sz="4" w:space="0"/>
            </w:tcBorders>
            <w:vAlign w:val="center"/>
          </w:tcPr>
          <w:p w14:paraId="407AF6DF">
            <w:pPr>
              <w:jc w:val="center"/>
              <w:rPr>
                <w:rFonts w:ascii="宋体" w:hAnsi="宋体" w:cs="宋体"/>
                <w:b/>
              </w:rPr>
            </w:pPr>
            <w:r>
              <w:rPr>
                <w:rFonts w:hint="eastAsia" w:ascii="宋体" w:hAnsi="宋体" w:cs="宋体"/>
                <w:szCs w:val="21"/>
              </w:rPr>
              <w:t>工程业绩（5分）</w:t>
            </w:r>
          </w:p>
        </w:tc>
        <w:tc>
          <w:tcPr>
            <w:tcW w:w="8146" w:type="dxa"/>
            <w:tcBorders>
              <w:top w:val="single" w:color="auto" w:sz="4" w:space="0"/>
              <w:left w:val="single" w:color="auto" w:sz="4" w:space="0"/>
              <w:bottom w:val="single" w:color="auto" w:sz="4" w:space="0"/>
              <w:right w:val="single" w:color="auto" w:sz="4" w:space="0"/>
            </w:tcBorders>
            <w:vAlign w:val="center"/>
          </w:tcPr>
          <w:p w14:paraId="211E77DA">
            <w:pPr>
              <w:pStyle w:val="10"/>
              <w:ind w:firstLine="0"/>
              <w:rPr>
                <w:rFonts w:ascii="宋体" w:hAnsi="宋体" w:cs="宋体"/>
                <w:szCs w:val="21"/>
              </w:rPr>
            </w:pPr>
            <w:r>
              <w:rPr>
                <w:rFonts w:hint="eastAsia" w:ascii="宋体" w:hAnsi="宋体" w:cs="宋体"/>
                <w:szCs w:val="21"/>
              </w:rPr>
              <w:t>投标人（如为联合体，</w:t>
            </w:r>
            <w:r>
              <w:rPr>
                <w:rFonts w:hint="eastAsia" w:ascii="宋体" w:hAnsi="宋体"/>
              </w:rPr>
              <w:t>组成联合体的各方的业绩可合并计算</w:t>
            </w:r>
            <w:r>
              <w:rPr>
                <w:rFonts w:hint="eastAsia" w:ascii="宋体" w:hAnsi="宋体" w:cs="宋体"/>
                <w:szCs w:val="21"/>
              </w:rPr>
              <w:t>）近年来投标人承接过的合同金额400万元或以上类似检测或监测项目业绩，每项得1分，最高得5分。</w:t>
            </w:r>
          </w:p>
          <w:p w14:paraId="095C8B2A">
            <w:pPr>
              <w:pStyle w:val="10"/>
              <w:ind w:firstLine="0"/>
              <w:rPr>
                <w:rFonts w:ascii="宋体" w:hAnsi="宋体" w:cs="宋体"/>
              </w:rPr>
            </w:pPr>
            <w:r>
              <w:rPr>
                <w:rFonts w:hint="eastAsia" w:ascii="宋体" w:hAnsi="宋体" w:cs="宋体"/>
                <w:szCs w:val="21"/>
              </w:rPr>
              <w:t>注：类似项目业绩：是指包含本次招标内容中的一项或多项的建设工程质量检测类或监测类业绩，需同时提供技术服务合同证明材料彩色扫描件，业绩时间以合同签订时间为准、金额以合同为准。</w:t>
            </w:r>
          </w:p>
        </w:tc>
      </w:tr>
      <w:tr w14:paraId="6CA5F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4" w:type="dxa"/>
            <w:vMerge w:val="continue"/>
            <w:tcBorders>
              <w:right w:val="single" w:color="auto" w:sz="4" w:space="0"/>
            </w:tcBorders>
            <w:vAlign w:val="center"/>
          </w:tcPr>
          <w:p w14:paraId="463EF686">
            <w:pPr>
              <w:pStyle w:val="73"/>
              <w:kinsoku w:val="0"/>
              <w:overflowPunct w:val="0"/>
              <w:ind w:left="-115" w:leftChars="-55" w:right="-122" w:rightChars="-58"/>
              <w:jc w:val="center"/>
              <w:rPr>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08F01B38">
            <w:pPr>
              <w:jc w:val="center"/>
              <w:rPr>
                <w:rFonts w:ascii="宋体" w:hAnsi="宋体" w:cs="宋体"/>
                <w:szCs w:val="21"/>
              </w:rPr>
            </w:pPr>
            <w:r>
              <w:rPr>
                <w:rFonts w:hint="eastAsia" w:ascii="宋体" w:hAnsi="宋体" w:cs="宋体"/>
                <w:szCs w:val="21"/>
                <w:lang w:bidi="ar"/>
              </w:rPr>
              <w:t>企业资信（</w:t>
            </w:r>
            <w:r>
              <w:rPr>
                <w:rFonts w:ascii="宋体" w:hAnsi="宋体" w:cs="宋体"/>
                <w:szCs w:val="21"/>
                <w:lang w:bidi="ar"/>
              </w:rPr>
              <w:t>30</w:t>
            </w:r>
            <w:r>
              <w:rPr>
                <w:rFonts w:hint="eastAsia" w:ascii="宋体" w:hAnsi="宋体" w:cs="宋体"/>
                <w:szCs w:val="21"/>
                <w:lang w:bidi="ar"/>
              </w:rPr>
              <w:t>分）</w:t>
            </w:r>
          </w:p>
        </w:tc>
        <w:tc>
          <w:tcPr>
            <w:tcW w:w="8146" w:type="dxa"/>
            <w:tcBorders>
              <w:top w:val="single" w:color="auto" w:sz="4" w:space="0"/>
              <w:left w:val="single" w:color="auto" w:sz="4" w:space="0"/>
              <w:bottom w:val="single" w:color="auto" w:sz="4" w:space="0"/>
              <w:right w:val="single" w:color="auto" w:sz="4" w:space="0"/>
            </w:tcBorders>
            <w:vAlign w:val="center"/>
          </w:tcPr>
          <w:p w14:paraId="6692218E">
            <w:pPr>
              <w:jc w:val="left"/>
              <w:rPr>
                <w:rFonts w:ascii="宋体" w:hAnsi="宋体" w:cs="宋体"/>
                <w:szCs w:val="21"/>
              </w:rPr>
            </w:pPr>
            <w:r>
              <w:rPr>
                <w:rFonts w:hint="eastAsia" w:ascii="宋体" w:hAnsi="宋体" w:cs="宋体"/>
                <w:szCs w:val="21"/>
              </w:rPr>
              <w:t>1、投标人（如为联合体，指联合体主办方）具有工程检测或工程监测类的发明专利，每提供一项得1分，最多得8分。</w:t>
            </w:r>
          </w:p>
          <w:p w14:paraId="7CA5EC56">
            <w:pPr>
              <w:jc w:val="left"/>
              <w:rPr>
                <w:rFonts w:ascii="宋体" w:hAnsi="宋体" w:cs="宋体"/>
                <w:szCs w:val="21"/>
              </w:rPr>
            </w:pPr>
            <w:r>
              <w:rPr>
                <w:rFonts w:hint="eastAsia" w:ascii="宋体" w:hAnsi="宋体" w:cs="宋体"/>
                <w:szCs w:val="21"/>
              </w:rPr>
              <w:t>【注：须提供相关证书的清晰扫描件，没有提供的不得分。】</w:t>
            </w:r>
          </w:p>
          <w:p w14:paraId="27DCC206">
            <w:pPr>
              <w:jc w:val="left"/>
              <w:rPr>
                <w:rFonts w:ascii="宋体" w:hAnsi="宋体" w:cs="宋体"/>
                <w:szCs w:val="21"/>
              </w:rPr>
            </w:pPr>
            <w:r>
              <w:rPr>
                <w:rFonts w:hint="eastAsia" w:ascii="宋体" w:hAnsi="宋体" w:cs="宋体"/>
                <w:szCs w:val="21"/>
              </w:rPr>
              <w:t>2、投标人（如为联合体，指联合体主办方）自2022年1月1日至投标截止时间止，投标人获得过政府或协会颁发的科学技术奖，每项得2分；本项最多得4分。</w:t>
            </w:r>
          </w:p>
          <w:p w14:paraId="0D5C1F61">
            <w:pPr>
              <w:jc w:val="left"/>
              <w:rPr>
                <w:rFonts w:ascii="宋体" w:hAnsi="宋体" w:cs="宋体"/>
                <w:szCs w:val="21"/>
              </w:rPr>
            </w:pPr>
            <w:r>
              <w:rPr>
                <w:rFonts w:hint="eastAsia" w:ascii="宋体" w:hAnsi="宋体" w:cs="宋体"/>
                <w:szCs w:val="21"/>
              </w:rPr>
              <w:t>【注：须提供相关证书的清晰扫描件，没有提供的不得分。】</w:t>
            </w:r>
          </w:p>
          <w:p w14:paraId="7D92F52A">
            <w:pPr>
              <w:spacing w:line="360" w:lineRule="auto"/>
              <w:rPr>
                <w:rFonts w:ascii="宋体" w:hAnsi="宋体" w:cs="宋体"/>
                <w:color w:val="000000"/>
                <w:szCs w:val="21"/>
              </w:rPr>
            </w:pPr>
            <w:r>
              <w:rPr>
                <w:rFonts w:hint="eastAsia" w:ascii="宋体" w:hAnsi="宋体" w:cs="宋体"/>
                <w:color w:val="000000"/>
                <w:szCs w:val="21"/>
              </w:rPr>
              <w:t>3、投标人（如为联合体，指联合体主办方）至投标截止时间止（须含2024年度），连续获得“纳税信用A级” 证书5年的，得5分；连续5年基础上每递增1年得1.5分。不符合上述条件的不得分，本项最高得8分。</w:t>
            </w:r>
          </w:p>
          <w:p w14:paraId="70404123">
            <w:pPr>
              <w:jc w:val="left"/>
              <w:rPr>
                <w:rFonts w:ascii="宋体" w:hAnsi="宋体" w:cs="宋体"/>
                <w:szCs w:val="21"/>
              </w:rPr>
            </w:pPr>
            <w:r>
              <w:rPr>
                <w:rFonts w:hint="eastAsia" w:ascii="宋体" w:hAnsi="宋体" w:cs="宋体"/>
                <w:b/>
                <w:bCs/>
                <w:color w:val="000000"/>
                <w:szCs w:val="21"/>
              </w:rPr>
              <w:t>注：“纳税信用等级”以国家税务总局网站“纳税信用A级纳税人名单公布栏”查询结果为准，须提交国家税务总局网站“纳税信用A级纳税人名单公布栏(http://hd.chinatax.gov.cn/nszx/InitCredit.html)”查询结果(查询结果不包括子公司、分公司)的网页截图并加盖投标人企业电子印章，不符合条件或无提供查询结果网页截图的不计分。</w:t>
            </w:r>
          </w:p>
          <w:p w14:paraId="4B9CD1D9">
            <w:pPr>
              <w:pStyle w:val="10"/>
              <w:ind w:firstLine="0"/>
              <w:rPr>
                <w:rFonts w:ascii="宋体" w:hAnsi="宋体" w:cs="宋体"/>
                <w:szCs w:val="21"/>
              </w:rPr>
            </w:pPr>
            <w:r>
              <w:rPr>
                <w:rFonts w:hint="eastAsia" w:ascii="宋体" w:hAnsi="宋体" w:cs="宋体"/>
                <w:szCs w:val="21"/>
              </w:rPr>
              <w:t>4、投标人（如为联合体，指联合体主办方）同时具有有效期内的信息安全管理体系、知识产权管理体系、测量管理体系、信息技术服务管理体系、诚信管理体系、企业履约能力评价的认证证书的，得10分；同时具有以上任意4-5项认证证书的，得7分；同时具有以上任意2-3项认证证书的，得4分；具有以上任意1项认证证书的，得1分。</w:t>
            </w:r>
          </w:p>
          <w:p w14:paraId="2199DE3E">
            <w:pPr>
              <w:jc w:val="left"/>
              <w:rPr>
                <w:rFonts w:ascii="宋体"/>
                <w:szCs w:val="21"/>
              </w:rPr>
            </w:pPr>
            <w:r>
              <w:rPr>
                <w:rFonts w:hint="eastAsia" w:ascii="宋体" w:hAnsi="宋体" w:cs="宋体"/>
                <w:szCs w:val="21"/>
              </w:rPr>
              <w:t>【注：须提供相关证书的清晰扫描件，没有提供的不得分。】</w:t>
            </w:r>
          </w:p>
        </w:tc>
      </w:tr>
      <w:tr w14:paraId="4C1F8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4" w:type="dxa"/>
            <w:vMerge w:val="continue"/>
            <w:tcBorders>
              <w:right w:val="single" w:color="auto" w:sz="4" w:space="0"/>
            </w:tcBorders>
            <w:vAlign w:val="center"/>
          </w:tcPr>
          <w:p w14:paraId="1ADEA225">
            <w:pPr>
              <w:jc w:val="center"/>
              <w:rPr>
                <w:b/>
              </w:rPr>
            </w:pPr>
          </w:p>
        </w:tc>
        <w:tc>
          <w:tcPr>
            <w:tcW w:w="1019" w:type="dxa"/>
            <w:tcBorders>
              <w:top w:val="single" w:color="auto" w:sz="4" w:space="0"/>
              <w:left w:val="single" w:color="auto" w:sz="4" w:space="0"/>
              <w:right w:val="single" w:color="auto" w:sz="4" w:space="0"/>
            </w:tcBorders>
            <w:vAlign w:val="center"/>
          </w:tcPr>
          <w:p w14:paraId="6F9BB159">
            <w:pPr>
              <w:spacing w:line="360" w:lineRule="auto"/>
              <w:jc w:val="center"/>
              <w:rPr>
                <w:rFonts w:ascii="宋体" w:hAnsi="宋体" w:cs="宋体"/>
                <w:bCs/>
                <w:color w:val="000000"/>
                <w:szCs w:val="21"/>
              </w:rPr>
            </w:pPr>
            <w:r>
              <w:rPr>
                <w:rFonts w:hint="eastAsia" w:ascii="宋体" w:hAnsi="宋体" w:cs="宋体"/>
                <w:bCs/>
                <w:color w:val="000000"/>
                <w:szCs w:val="21"/>
              </w:rPr>
              <w:t>项目负责人</w:t>
            </w:r>
          </w:p>
          <w:p w14:paraId="3A116AD3">
            <w:pPr>
              <w:spacing w:line="360" w:lineRule="auto"/>
              <w:jc w:val="center"/>
              <w:rPr>
                <w:rFonts w:ascii="宋体" w:hAnsi="宋体" w:cs="宋体"/>
                <w:bCs/>
                <w:color w:val="000000"/>
                <w:szCs w:val="21"/>
              </w:rPr>
            </w:pPr>
            <w:r>
              <w:rPr>
                <w:rFonts w:hint="eastAsia" w:ascii="宋体" w:hAnsi="宋体" w:cs="宋体"/>
                <w:bCs/>
                <w:color w:val="000000"/>
                <w:szCs w:val="21"/>
              </w:rPr>
              <w:t>（9分）</w:t>
            </w:r>
          </w:p>
        </w:tc>
        <w:tc>
          <w:tcPr>
            <w:tcW w:w="8146" w:type="dxa"/>
            <w:tcBorders>
              <w:top w:val="single" w:color="auto" w:sz="4" w:space="0"/>
              <w:left w:val="single" w:color="auto" w:sz="4" w:space="0"/>
              <w:right w:val="single" w:color="auto" w:sz="4" w:space="0"/>
            </w:tcBorders>
            <w:vAlign w:val="center"/>
          </w:tcPr>
          <w:p w14:paraId="31D60962">
            <w:pPr>
              <w:spacing w:line="280" w:lineRule="exact"/>
              <w:rPr>
                <w:rFonts w:ascii="宋体" w:hAnsi="宋体" w:cs="宋体"/>
                <w:szCs w:val="21"/>
              </w:rPr>
            </w:pPr>
            <w:r>
              <w:rPr>
                <w:rFonts w:hint="eastAsia" w:ascii="宋体" w:hAnsi="宋体"/>
              </w:rPr>
              <w:t>投标人（如为联合体，指联合体主办方）拟派</w:t>
            </w:r>
            <w:r>
              <w:rPr>
                <w:rFonts w:hint="eastAsia" w:ascii="宋体" w:hAnsi="宋体" w:cs="宋体"/>
                <w:szCs w:val="21"/>
              </w:rPr>
              <w:t>项目负责人:</w:t>
            </w:r>
          </w:p>
          <w:p w14:paraId="494CF14F">
            <w:pPr>
              <w:spacing w:line="280" w:lineRule="exact"/>
              <w:rPr>
                <w:rFonts w:ascii="宋体" w:hAnsi="宋体" w:cs="宋体"/>
                <w:szCs w:val="21"/>
              </w:rPr>
            </w:pPr>
            <w:r>
              <w:rPr>
                <w:rFonts w:hint="eastAsia" w:ascii="宋体" w:hAnsi="宋体" w:cs="宋体"/>
                <w:szCs w:val="21"/>
              </w:rPr>
              <w:t>1、具有注册土木工程师（岩土）执业资格证书，得1.5分；</w:t>
            </w:r>
          </w:p>
          <w:p w14:paraId="05D66F9F">
            <w:pPr>
              <w:spacing w:line="280" w:lineRule="exact"/>
              <w:rPr>
                <w:rFonts w:ascii="宋体" w:hAnsi="宋体" w:cs="宋体"/>
                <w:szCs w:val="21"/>
              </w:rPr>
            </w:pPr>
            <w:r>
              <w:rPr>
                <w:rFonts w:hint="eastAsia" w:ascii="宋体" w:hAnsi="宋体" w:cs="宋体"/>
                <w:szCs w:val="21"/>
              </w:rPr>
              <w:t>2、具有一级注册结构工程师执业资格证书，得1.5分；</w:t>
            </w:r>
          </w:p>
          <w:p w14:paraId="2922039A">
            <w:pPr>
              <w:spacing w:line="280" w:lineRule="exact"/>
              <w:rPr>
                <w:rFonts w:ascii="宋体" w:hAnsi="宋体" w:cs="宋体"/>
                <w:szCs w:val="21"/>
              </w:rPr>
            </w:pPr>
            <w:r>
              <w:rPr>
                <w:rFonts w:hint="eastAsia" w:ascii="宋体" w:hAnsi="宋体" w:cs="宋体"/>
                <w:szCs w:val="21"/>
              </w:rPr>
              <w:t>3、具备建筑工程检测或工程类相关专业高级工程师（或以上）职称，得2分；</w:t>
            </w:r>
          </w:p>
          <w:p w14:paraId="4B152A4B">
            <w:pPr>
              <w:spacing w:line="280" w:lineRule="exact"/>
              <w:rPr>
                <w:rFonts w:ascii="宋体" w:hAnsi="宋体" w:cs="宋体"/>
                <w:szCs w:val="21"/>
              </w:rPr>
            </w:pPr>
            <w:r>
              <w:rPr>
                <w:rFonts w:hint="eastAsia" w:ascii="宋体" w:hAnsi="宋体" w:cs="宋体"/>
                <w:szCs w:val="21"/>
              </w:rPr>
              <w:t>4、具有建设行政主管部门或其委托的机构、行业协会颁发的地基与基桩承载力检测(静载荷试验)、岩土工程原位测试、桩身完整性检测（低应变）、混凝土结构实体检测、砌体结构检测的检测员证或检测上岗证或培训合格证，每项得1分，最高得4分。</w:t>
            </w:r>
          </w:p>
          <w:p w14:paraId="2566C082">
            <w:pPr>
              <w:spacing w:line="280" w:lineRule="exact"/>
              <w:rPr>
                <w:rFonts w:ascii="宋体" w:hAnsi="宋体" w:cs="宋体"/>
                <w:szCs w:val="21"/>
              </w:rPr>
            </w:pPr>
            <w:r>
              <w:rPr>
                <w:rFonts w:hint="eastAsia" w:ascii="宋体" w:hAnsi="宋体" w:cs="宋体"/>
                <w:szCs w:val="21"/>
              </w:rPr>
              <w:t>上述四项合计最高得9分。</w:t>
            </w:r>
          </w:p>
          <w:p w14:paraId="4978212E">
            <w:pPr>
              <w:spacing w:line="360" w:lineRule="auto"/>
              <w:rPr>
                <w:rFonts w:ascii="宋体" w:hAnsi="宋体" w:cs="宋体"/>
                <w:color w:val="000000"/>
                <w:szCs w:val="21"/>
              </w:rPr>
            </w:pPr>
            <w:r>
              <w:rPr>
                <w:rFonts w:hint="eastAsia" w:ascii="宋体" w:hAnsi="宋体" w:cs="宋体"/>
                <w:b/>
                <w:szCs w:val="21"/>
              </w:rPr>
              <w:t>注：项目负责人、项目技术负责人不能为同一人,提供近半年（公告当月不算）社</w:t>
            </w:r>
            <w:r>
              <w:rPr>
                <w:rFonts w:hint="eastAsia" w:ascii="宋体" w:hAnsi="宋体" w:cs="宋体"/>
                <w:b/>
                <w:color w:val="000000"/>
                <w:szCs w:val="21"/>
              </w:rPr>
              <w:t>保证明材料及相关证书扫描件。</w:t>
            </w:r>
          </w:p>
        </w:tc>
      </w:tr>
      <w:tr w14:paraId="4B55C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794" w:type="dxa"/>
            <w:vMerge w:val="continue"/>
            <w:tcBorders>
              <w:right w:val="single" w:color="auto" w:sz="4" w:space="0"/>
            </w:tcBorders>
            <w:vAlign w:val="center"/>
          </w:tcPr>
          <w:p w14:paraId="3E03B4A9">
            <w:pPr>
              <w:jc w:val="center"/>
              <w:rPr>
                <w:b/>
              </w:rPr>
            </w:pPr>
          </w:p>
        </w:tc>
        <w:tc>
          <w:tcPr>
            <w:tcW w:w="1019" w:type="dxa"/>
            <w:tcBorders>
              <w:top w:val="single" w:color="auto" w:sz="4" w:space="0"/>
              <w:left w:val="single" w:color="auto" w:sz="4" w:space="0"/>
              <w:right w:val="single" w:color="auto" w:sz="4" w:space="0"/>
            </w:tcBorders>
            <w:vAlign w:val="center"/>
          </w:tcPr>
          <w:p w14:paraId="46CECCFF">
            <w:pPr>
              <w:spacing w:line="360" w:lineRule="auto"/>
              <w:jc w:val="center"/>
              <w:rPr>
                <w:rFonts w:ascii="宋体" w:hAnsi="宋体" w:cs="宋体"/>
                <w:bCs/>
                <w:color w:val="000000"/>
                <w:szCs w:val="21"/>
              </w:rPr>
            </w:pPr>
            <w:r>
              <w:rPr>
                <w:rFonts w:hint="eastAsia" w:ascii="宋体" w:hAnsi="宋体" w:cs="宋体"/>
                <w:bCs/>
                <w:color w:val="000000"/>
                <w:szCs w:val="21"/>
              </w:rPr>
              <w:t>项目技术负责人</w:t>
            </w:r>
          </w:p>
          <w:p w14:paraId="6AF7F844">
            <w:pPr>
              <w:spacing w:line="360" w:lineRule="auto"/>
              <w:jc w:val="center"/>
              <w:rPr>
                <w:rFonts w:ascii="宋体" w:hAnsi="宋体" w:cs="宋体"/>
                <w:szCs w:val="21"/>
              </w:rPr>
            </w:pPr>
            <w:r>
              <w:rPr>
                <w:rFonts w:hint="eastAsia" w:ascii="宋体" w:hAnsi="宋体" w:cs="宋体"/>
                <w:bCs/>
                <w:color w:val="000000"/>
                <w:szCs w:val="21"/>
              </w:rPr>
              <w:t>(8分）</w:t>
            </w:r>
          </w:p>
        </w:tc>
        <w:tc>
          <w:tcPr>
            <w:tcW w:w="8146" w:type="dxa"/>
            <w:tcBorders>
              <w:top w:val="single" w:color="auto" w:sz="4" w:space="0"/>
              <w:left w:val="single" w:color="auto" w:sz="4" w:space="0"/>
              <w:right w:val="single" w:color="auto" w:sz="4" w:space="0"/>
            </w:tcBorders>
            <w:vAlign w:val="center"/>
          </w:tcPr>
          <w:p w14:paraId="165E13C9">
            <w:pPr>
              <w:spacing w:line="280" w:lineRule="exact"/>
              <w:rPr>
                <w:rFonts w:ascii="宋体" w:hAnsi="宋体" w:cs="宋体"/>
                <w:szCs w:val="21"/>
              </w:rPr>
            </w:pPr>
            <w:r>
              <w:rPr>
                <w:rFonts w:hint="eastAsia" w:ascii="宋体" w:hAnsi="宋体"/>
              </w:rPr>
              <w:t>投标人（如为联合体，指联合体主办方）拟派</w:t>
            </w:r>
            <w:r>
              <w:rPr>
                <w:rFonts w:hint="eastAsia" w:ascii="宋体" w:hAnsi="宋体" w:cs="宋体"/>
                <w:szCs w:val="21"/>
              </w:rPr>
              <w:t>项目技术负责人:</w:t>
            </w:r>
          </w:p>
          <w:p w14:paraId="4D2EEF0C">
            <w:pPr>
              <w:spacing w:line="280" w:lineRule="exact"/>
              <w:rPr>
                <w:rFonts w:ascii="宋体" w:hAnsi="宋体" w:cs="宋体"/>
                <w:szCs w:val="21"/>
              </w:rPr>
            </w:pPr>
            <w:r>
              <w:rPr>
                <w:rFonts w:hint="eastAsia" w:ascii="宋体" w:hAnsi="宋体" w:cs="宋体"/>
                <w:szCs w:val="21"/>
              </w:rPr>
              <w:t>1、具备建筑工程检测或工程类相关专业高级工程师（或以上）职称，得2分；具备建筑工程检测或工程类相关专业中级工程师职称，得1分。</w:t>
            </w:r>
          </w:p>
          <w:p w14:paraId="1E76EB63">
            <w:pPr>
              <w:spacing w:line="280" w:lineRule="exact"/>
              <w:rPr>
                <w:rFonts w:ascii="宋体" w:hAnsi="宋体" w:cs="宋体"/>
                <w:szCs w:val="21"/>
              </w:rPr>
            </w:pPr>
            <w:r>
              <w:rPr>
                <w:rFonts w:hint="eastAsia" w:ascii="宋体" w:hAnsi="宋体" w:cs="宋体"/>
                <w:szCs w:val="21"/>
              </w:rPr>
              <w:t>2、持有省级或以上建设工程质量安全检测和鉴定协会颁发的检测鉴定培训合格证：</w:t>
            </w:r>
          </w:p>
          <w:p w14:paraId="0E57AE79">
            <w:pPr>
              <w:spacing w:line="280" w:lineRule="exact"/>
              <w:rPr>
                <w:rFonts w:ascii="宋体" w:hAnsi="宋体" w:cs="宋体"/>
                <w:szCs w:val="21"/>
              </w:rPr>
            </w:pPr>
            <w:r>
              <w:rPr>
                <w:rFonts w:hint="eastAsia" w:ascii="宋体" w:hAnsi="宋体" w:cs="宋体"/>
                <w:szCs w:val="21"/>
              </w:rPr>
              <w:t>（1）20项（含）以上的，得6分；</w:t>
            </w:r>
          </w:p>
          <w:p w14:paraId="57AB743E">
            <w:pPr>
              <w:spacing w:line="280" w:lineRule="exact"/>
              <w:rPr>
                <w:rFonts w:ascii="宋体" w:hAnsi="宋体" w:cs="宋体"/>
                <w:szCs w:val="21"/>
              </w:rPr>
            </w:pPr>
            <w:r>
              <w:rPr>
                <w:rFonts w:hint="eastAsia" w:ascii="宋体" w:hAnsi="宋体" w:cs="宋体"/>
                <w:szCs w:val="21"/>
              </w:rPr>
              <w:t>（2）11项-19项的，得3分；</w:t>
            </w:r>
          </w:p>
          <w:p w14:paraId="6BB7E3D4">
            <w:pPr>
              <w:spacing w:line="280" w:lineRule="exact"/>
              <w:rPr>
                <w:rFonts w:ascii="宋体" w:hAnsi="宋体" w:cs="宋体"/>
                <w:szCs w:val="21"/>
              </w:rPr>
            </w:pPr>
            <w:r>
              <w:rPr>
                <w:rFonts w:hint="eastAsia" w:ascii="宋体" w:hAnsi="宋体" w:cs="宋体"/>
                <w:szCs w:val="21"/>
              </w:rPr>
              <w:t>（3）10项及以下得1分，</w:t>
            </w:r>
          </w:p>
          <w:p w14:paraId="74FDF6AB">
            <w:pPr>
              <w:spacing w:line="280" w:lineRule="exact"/>
              <w:rPr>
                <w:rFonts w:ascii="宋体" w:hAnsi="宋体" w:cs="宋体"/>
                <w:szCs w:val="21"/>
              </w:rPr>
            </w:pPr>
            <w:r>
              <w:rPr>
                <w:rFonts w:hint="eastAsia" w:ascii="宋体" w:hAnsi="宋体" w:cs="宋体"/>
                <w:szCs w:val="21"/>
              </w:rPr>
              <w:t>（4）没有不得分。</w:t>
            </w:r>
          </w:p>
          <w:p w14:paraId="7129F776">
            <w:pPr>
              <w:spacing w:line="280" w:lineRule="exact"/>
              <w:rPr>
                <w:rFonts w:ascii="宋体" w:hAnsi="宋体" w:cs="宋体"/>
                <w:szCs w:val="21"/>
              </w:rPr>
            </w:pPr>
            <w:r>
              <w:rPr>
                <w:rFonts w:hint="eastAsia" w:ascii="宋体" w:hAnsi="宋体" w:cs="宋体"/>
                <w:b/>
                <w:szCs w:val="21"/>
              </w:rPr>
              <w:t>注：项目负责人、项目技术负责人不能为同一人,提供近半年（公告当月不算）社保证明材料及相关证书扫描件。</w:t>
            </w:r>
          </w:p>
        </w:tc>
      </w:tr>
      <w:tr w14:paraId="356F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794" w:type="dxa"/>
            <w:vMerge w:val="continue"/>
            <w:tcBorders>
              <w:right w:val="single" w:color="auto" w:sz="4" w:space="0"/>
            </w:tcBorders>
            <w:vAlign w:val="center"/>
          </w:tcPr>
          <w:p w14:paraId="55E28809">
            <w:pPr>
              <w:jc w:val="center"/>
              <w:rPr>
                <w:b/>
              </w:rPr>
            </w:pPr>
          </w:p>
        </w:tc>
        <w:tc>
          <w:tcPr>
            <w:tcW w:w="1019" w:type="dxa"/>
            <w:tcBorders>
              <w:top w:val="single" w:color="auto" w:sz="4" w:space="0"/>
              <w:left w:val="single" w:color="auto" w:sz="4" w:space="0"/>
              <w:right w:val="single" w:color="auto" w:sz="4" w:space="0"/>
            </w:tcBorders>
            <w:vAlign w:val="center"/>
          </w:tcPr>
          <w:p w14:paraId="412A3BA0">
            <w:pPr>
              <w:spacing w:line="360" w:lineRule="auto"/>
              <w:jc w:val="center"/>
              <w:rPr>
                <w:rFonts w:ascii="宋体" w:hAnsi="宋体" w:cs="宋体"/>
                <w:bCs/>
                <w:color w:val="000000"/>
                <w:szCs w:val="21"/>
              </w:rPr>
            </w:pPr>
            <w:r>
              <w:rPr>
                <w:rFonts w:hint="eastAsia" w:ascii="宋体" w:hAnsi="宋体" w:cs="宋体"/>
                <w:bCs/>
                <w:color w:val="000000"/>
                <w:szCs w:val="21"/>
              </w:rPr>
              <w:t>项目质量负责人</w:t>
            </w:r>
          </w:p>
          <w:p w14:paraId="4952593D">
            <w:pPr>
              <w:spacing w:line="360" w:lineRule="auto"/>
              <w:jc w:val="center"/>
              <w:rPr>
                <w:rFonts w:ascii="宋体" w:hAnsi="宋体" w:cs="宋体"/>
                <w:bCs/>
                <w:color w:val="000000"/>
                <w:szCs w:val="21"/>
              </w:rPr>
            </w:pPr>
            <w:r>
              <w:rPr>
                <w:rFonts w:hint="eastAsia" w:ascii="宋体" w:hAnsi="宋体" w:cs="宋体"/>
                <w:bCs/>
                <w:color w:val="000000"/>
                <w:szCs w:val="21"/>
              </w:rPr>
              <w:t>（8分）</w:t>
            </w:r>
          </w:p>
        </w:tc>
        <w:tc>
          <w:tcPr>
            <w:tcW w:w="8146" w:type="dxa"/>
            <w:tcBorders>
              <w:top w:val="single" w:color="auto" w:sz="4" w:space="0"/>
              <w:left w:val="single" w:color="auto" w:sz="4" w:space="0"/>
              <w:right w:val="single" w:color="auto" w:sz="4" w:space="0"/>
            </w:tcBorders>
            <w:vAlign w:val="center"/>
          </w:tcPr>
          <w:p w14:paraId="39E2F58F">
            <w:pPr>
              <w:spacing w:line="280" w:lineRule="exact"/>
              <w:rPr>
                <w:rFonts w:ascii="宋体" w:hAnsi="宋体" w:cs="宋体"/>
                <w:szCs w:val="21"/>
              </w:rPr>
            </w:pPr>
            <w:r>
              <w:rPr>
                <w:rFonts w:hint="eastAsia" w:ascii="宋体" w:hAnsi="宋体"/>
              </w:rPr>
              <w:t>投标人（如为联合体，指联合体主办方）拟派</w:t>
            </w:r>
            <w:r>
              <w:rPr>
                <w:rFonts w:hint="eastAsia" w:ascii="宋体" w:hAnsi="宋体" w:cs="宋体"/>
                <w:szCs w:val="21"/>
              </w:rPr>
              <w:t>项目质量负责人:</w:t>
            </w:r>
          </w:p>
          <w:p w14:paraId="6D1557D1">
            <w:pPr>
              <w:spacing w:line="280" w:lineRule="exact"/>
              <w:rPr>
                <w:rFonts w:ascii="宋体" w:hAnsi="宋体" w:cs="宋体"/>
                <w:szCs w:val="21"/>
              </w:rPr>
            </w:pPr>
            <w:r>
              <w:rPr>
                <w:rFonts w:hint="eastAsia" w:ascii="宋体" w:hAnsi="宋体" w:cs="宋体"/>
                <w:szCs w:val="21"/>
              </w:rPr>
              <w:t>1、具备建筑工程检测专业中级工程师</w:t>
            </w:r>
            <w:bookmarkStart w:id="163" w:name="OLE_LINK1"/>
            <w:r>
              <w:rPr>
                <w:rFonts w:hint="eastAsia" w:ascii="宋体" w:hAnsi="宋体" w:cs="宋体"/>
                <w:szCs w:val="21"/>
              </w:rPr>
              <w:t>或以上职称</w:t>
            </w:r>
            <w:bookmarkEnd w:id="163"/>
            <w:r>
              <w:rPr>
                <w:rFonts w:hint="eastAsia" w:ascii="宋体" w:hAnsi="宋体" w:cs="宋体"/>
                <w:szCs w:val="21"/>
              </w:rPr>
              <w:t>，得2分；</w:t>
            </w:r>
          </w:p>
          <w:p w14:paraId="245C17C5">
            <w:pPr>
              <w:spacing w:line="280" w:lineRule="exact"/>
              <w:rPr>
                <w:rFonts w:ascii="宋体" w:hAnsi="宋体" w:cs="宋体"/>
                <w:szCs w:val="21"/>
              </w:rPr>
            </w:pPr>
            <w:r>
              <w:rPr>
                <w:rFonts w:hint="eastAsia" w:ascii="宋体" w:hAnsi="宋体" w:cs="宋体"/>
                <w:szCs w:val="21"/>
              </w:rPr>
              <w:t>2、具备建筑工程测量专业中级工程师或以上职称，得2分。</w:t>
            </w:r>
          </w:p>
          <w:p w14:paraId="007BA111">
            <w:pPr>
              <w:spacing w:line="280" w:lineRule="exact"/>
              <w:rPr>
                <w:rFonts w:ascii="宋体" w:hAnsi="宋体" w:cs="宋体"/>
                <w:szCs w:val="21"/>
              </w:rPr>
            </w:pPr>
            <w:r>
              <w:rPr>
                <w:rFonts w:hint="eastAsia" w:ascii="宋体" w:hAnsi="宋体" w:cs="宋体"/>
                <w:szCs w:val="21"/>
              </w:rPr>
              <w:t>3、持有注册测绘师证书得2分；</w:t>
            </w:r>
          </w:p>
          <w:p w14:paraId="2DC3E74A">
            <w:pPr>
              <w:spacing w:line="280" w:lineRule="exact"/>
              <w:rPr>
                <w:rFonts w:ascii="宋体" w:hAnsi="宋体" w:cs="宋体"/>
                <w:szCs w:val="21"/>
              </w:rPr>
            </w:pPr>
            <w:r>
              <w:rPr>
                <w:rFonts w:hint="eastAsia" w:ascii="宋体" w:hAnsi="宋体" w:cs="宋体"/>
                <w:szCs w:val="21"/>
              </w:rPr>
              <w:t>4、具有建设行政主管部门或其委托的机构、行业协会颁发的混凝土结构实体检测（回弹法）、常用非金属材料检测、常用金属材料检测、基坑监测、建筑变形测量检测员证或检测上岗证或培训合格证，每项得0.5分，最高得2分。</w:t>
            </w:r>
          </w:p>
          <w:p w14:paraId="5A371082">
            <w:pPr>
              <w:pStyle w:val="2"/>
            </w:pPr>
            <w:r>
              <w:rPr>
                <w:rFonts w:hint="eastAsia" w:ascii="宋体" w:hAnsi="宋体" w:cs="宋体"/>
                <w:b/>
                <w:szCs w:val="21"/>
              </w:rPr>
              <w:t>注：项目负责人、项目技术负责人、项目质量负责人不能为同一人,提供近半年（公告当月不算）社保证明材料及相关证书扫描件。</w:t>
            </w:r>
          </w:p>
        </w:tc>
      </w:tr>
      <w:tr w14:paraId="6CB03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94" w:type="dxa"/>
            <w:vMerge w:val="continue"/>
            <w:tcBorders>
              <w:right w:val="single" w:color="auto" w:sz="4" w:space="0"/>
            </w:tcBorders>
            <w:vAlign w:val="center"/>
          </w:tcPr>
          <w:p w14:paraId="65BC773A">
            <w:pPr>
              <w:jc w:val="center"/>
              <w:rPr>
                <w:b/>
              </w:rPr>
            </w:pPr>
          </w:p>
        </w:tc>
        <w:tc>
          <w:tcPr>
            <w:tcW w:w="1019" w:type="dxa"/>
            <w:tcBorders>
              <w:top w:val="single" w:color="auto" w:sz="4" w:space="0"/>
              <w:left w:val="single" w:color="auto" w:sz="4" w:space="0"/>
              <w:right w:val="single" w:color="auto" w:sz="4" w:space="0"/>
            </w:tcBorders>
            <w:vAlign w:val="center"/>
          </w:tcPr>
          <w:p w14:paraId="3C7C4432">
            <w:pPr>
              <w:spacing w:line="360" w:lineRule="auto"/>
              <w:jc w:val="center"/>
              <w:rPr>
                <w:rFonts w:ascii="宋体" w:hAnsi="宋体" w:cs="宋体"/>
                <w:bCs/>
                <w:color w:val="000000"/>
                <w:szCs w:val="21"/>
              </w:rPr>
            </w:pPr>
            <w:r>
              <w:rPr>
                <w:rFonts w:hint="eastAsia" w:ascii="宋体" w:hAnsi="宋体" w:cs="宋体"/>
                <w:bCs/>
                <w:color w:val="000000"/>
                <w:szCs w:val="21"/>
              </w:rPr>
              <w:t>项目管理团队</w:t>
            </w:r>
          </w:p>
          <w:p w14:paraId="017678AE">
            <w:pPr>
              <w:spacing w:line="360" w:lineRule="auto"/>
              <w:jc w:val="center"/>
              <w:rPr>
                <w:rFonts w:ascii="宋体" w:hAnsi="宋体" w:cs="宋体"/>
                <w:szCs w:val="21"/>
              </w:rPr>
            </w:pPr>
            <w:r>
              <w:rPr>
                <w:rFonts w:hint="eastAsia" w:ascii="宋体" w:hAnsi="宋体" w:cs="宋体"/>
                <w:bCs/>
                <w:color w:val="000000"/>
                <w:szCs w:val="21"/>
              </w:rPr>
              <w:t>（5分）</w:t>
            </w:r>
          </w:p>
        </w:tc>
        <w:tc>
          <w:tcPr>
            <w:tcW w:w="8146" w:type="dxa"/>
            <w:tcBorders>
              <w:top w:val="single" w:color="auto" w:sz="4" w:space="0"/>
              <w:left w:val="single" w:color="auto" w:sz="4" w:space="0"/>
              <w:right w:val="single" w:color="auto" w:sz="4" w:space="0"/>
            </w:tcBorders>
            <w:vAlign w:val="center"/>
          </w:tcPr>
          <w:p w14:paraId="69D20FF5">
            <w:pPr>
              <w:rPr>
                <w:rFonts w:ascii="宋体" w:hAnsi="宋体" w:cs="宋体"/>
                <w:szCs w:val="21"/>
              </w:rPr>
            </w:pPr>
            <w:r>
              <w:rPr>
                <w:rFonts w:hint="eastAsia" w:ascii="宋体" w:hAnsi="宋体"/>
              </w:rPr>
              <w:t>投标人（如为联合体，组成联合体的各方的人员可合并计算）</w:t>
            </w:r>
            <w:r>
              <w:rPr>
                <w:rFonts w:hint="eastAsia" w:ascii="宋体" w:hAnsi="宋体" w:cs="宋体"/>
                <w:color w:val="000000"/>
                <w:szCs w:val="21"/>
              </w:rPr>
              <w:t>1、具有建设工程质量安全监督部门或其</w:t>
            </w:r>
            <w:r>
              <w:rPr>
                <w:rFonts w:hint="eastAsia" w:ascii="宋体" w:hAnsi="宋体" w:cs="宋体"/>
                <w:szCs w:val="21"/>
              </w:rPr>
              <w:t>委托的机构、行业协会颁发的检测鉴定培训合格证且有高级工程师（或以上）职称，每人得0.25分；</w:t>
            </w:r>
          </w:p>
          <w:p w14:paraId="36556619">
            <w:pPr>
              <w:rPr>
                <w:rFonts w:ascii="宋体" w:hAnsi="宋体" w:cs="宋体"/>
                <w:szCs w:val="21"/>
              </w:rPr>
            </w:pPr>
            <w:r>
              <w:rPr>
                <w:rFonts w:hint="eastAsia" w:ascii="宋体" w:hAnsi="宋体" w:cs="宋体"/>
                <w:szCs w:val="21"/>
              </w:rPr>
              <w:t>2、具有建设工程质量安全监督部门或其委托的机构、行业协会颁发的检测鉴定培训合格证且有工程师职称，每人得0.20分；</w:t>
            </w:r>
          </w:p>
          <w:p w14:paraId="616B6228">
            <w:pPr>
              <w:spacing w:line="280" w:lineRule="exact"/>
              <w:rPr>
                <w:rFonts w:ascii="宋体" w:hAnsi="宋体" w:cs="宋体"/>
                <w:szCs w:val="21"/>
              </w:rPr>
            </w:pPr>
          </w:p>
          <w:p w14:paraId="234F6318">
            <w:pPr>
              <w:spacing w:line="280" w:lineRule="exact"/>
              <w:rPr>
                <w:rFonts w:ascii="宋体" w:hAnsi="宋体" w:cs="宋体"/>
                <w:szCs w:val="21"/>
              </w:rPr>
            </w:pPr>
            <w:r>
              <w:rPr>
                <w:rFonts w:hint="eastAsia" w:ascii="宋体" w:hAnsi="宋体" w:cs="宋体"/>
                <w:szCs w:val="21"/>
              </w:rPr>
              <w:t>本项最多得5分。</w:t>
            </w:r>
          </w:p>
          <w:p w14:paraId="1C7947D0">
            <w:pPr>
              <w:spacing w:line="280" w:lineRule="exact"/>
              <w:rPr>
                <w:rFonts w:ascii="宋体" w:hAnsi="宋体" w:cs="宋体"/>
                <w:szCs w:val="21"/>
              </w:rPr>
            </w:pPr>
            <w:r>
              <w:rPr>
                <w:rFonts w:hint="eastAsia" w:ascii="宋体" w:hAnsi="宋体" w:cs="宋体"/>
                <w:szCs w:val="21"/>
              </w:rPr>
              <w:t>注：提供人员</w:t>
            </w:r>
            <w:r>
              <w:rPr>
                <w:rFonts w:hint="eastAsia" w:ascii="宋体" w:hAnsi="宋体" w:cs="宋体"/>
                <w:b/>
                <w:szCs w:val="21"/>
              </w:rPr>
              <w:t>近半年（公告当月不算）</w:t>
            </w:r>
            <w:r>
              <w:rPr>
                <w:rFonts w:hint="eastAsia" w:ascii="宋体" w:hAnsi="宋体" w:cs="宋体"/>
                <w:szCs w:val="21"/>
              </w:rPr>
              <w:t>社保证明材料及相关证书扫描件。</w:t>
            </w:r>
          </w:p>
        </w:tc>
      </w:tr>
      <w:tr w14:paraId="7B8DF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94" w:type="dxa"/>
            <w:tcBorders>
              <w:top w:val="single" w:color="auto" w:sz="4" w:space="0"/>
              <w:right w:val="single" w:color="auto" w:sz="4" w:space="0"/>
            </w:tcBorders>
            <w:vAlign w:val="center"/>
          </w:tcPr>
          <w:p w14:paraId="09D77324">
            <w:pPr>
              <w:jc w:val="center"/>
              <w:rPr>
                <w:rFonts w:ascii="宋体" w:hAnsi="宋体" w:cs="宋体"/>
                <w:szCs w:val="21"/>
              </w:rPr>
            </w:pPr>
            <w:r>
              <w:rPr>
                <w:rFonts w:hint="eastAsia"/>
              </w:rPr>
              <w:t>检测</w:t>
            </w:r>
            <w:r>
              <w:rPr>
                <w:rFonts w:hint="eastAsia" w:ascii="宋体" w:hAnsi="宋体" w:cs="宋体"/>
                <w:szCs w:val="21"/>
              </w:rPr>
              <w:t>方案评分标准（15分）</w:t>
            </w:r>
          </w:p>
        </w:tc>
        <w:tc>
          <w:tcPr>
            <w:tcW w:w="1019" w:type="dxa"/>
            <w:tcBorders>
              <w:top w:val="single" w:color="auto" w:sz="4" w:space="0"/>
              <w:left w:val="single" w:color="auto" w:sz="4" w:space="0"/>
              <w:bottom w:val="single" w:color="auto" w:sz="4" w:space="0"/>
              <w:right w:val="single" w:color="auto" w:sz="4" w:space="0"/>
            </w:tcBorders>
            <w:vAlign w:val="center"/>
          </w:tcPr>
          <w:p w14:paraId="4F63B56A">
            <w:pPr>
              <w:jc w:val="center"/>
              <w:rPr>
                <w:rFonts w:ascii="宋体" w:hAnsi="宋体" w:cs="宋体"/>
                <w:szCs w:val="21"/>
              </w:rPr>
            </w:pPr>
            <w:r>
              <w:rPr>
                <w:rFonts w:hint="eastAsia" w:ascii="宋体" w:hAnsi="宋体" w:cs="宋体"/>
                <w:szCs w:val="21"/>
              </w:rPr>
              <w:t>检测方案</w:t>
            </w:r>
          </w:p>
          <w:p w14:paraId="76111CDD">
            <w:pPr>
              <w:jc w:val="center"/>
              <w:rPr>
                <w:rFonts w:ascii="宋体" w:hAnsi="宋体" w:cs="宋体"/>
                <w:szCs w:val="21"/>
              </w:rPr>
            </w:pPr>
            <w:r>
              <w:rPr>
                <w:rFonts w:hint="eastAsia" w:ascii="宋体" w:hAnsi="宋体" w:cs="宋体"/>
                <w:szCs w:val="21"/>
              </w:rPr>
              <w:t>（15分）</w:t>
            </w:r>
          </w:p>
        </w:tc>
        <w:tc>
          <w:tcPr>
            <w:tcW w:w="8146" w:type="dxa"/>
            <w:tcBorders>
              <w:top w:val="single" w:color="auto" w:sz="4" w:space="0"/>
              <w:left w:val="single" w:color="auto" w:sz="4" w:space="0"/>
              <w:right w:val="single" w:color="auto" w:sz="4" w:space="0"/>
            </w:tcBorders>
            <w:vAlign w:val="center"/>
          </w:tcPr>
          <w:p w14:paraId="4FA22981">
            <w:pPr>
              <w:jc w:val="left"/>
              <w:rPr>
                <w:rFonts w:ascii="宋体" w:hAnsi="宋体" w:cs="宋体"/>
                <w:szCs w:val="21"/>
              </w:rPr>
            </w:pPr>
            <w:r>
              <w:rPr>
                <w:rFonts w:hint="eastAsia" w:ascii="宋体" w:hAnsi="宋体" w:cs="宋体"/>
                <w:szCs w:val="21"/>
              </w:rPr>
              <w:t>1、优：检测方案详细、具体，内容齐全，能满足本工程提出的所有项目，有合理可行的保证通过相关验收、满足工程进度确保措施，得13-15分；</w:t>
            </w:r>
          </w:p>
          <w:p w14:paraId="4E015264">
            <w:pPr>
              <w:jc w:val="left"/>
              <w:rPr>
                <w:rFonts w:ascii="宋体" w:hAnsi="宋体" w:cs="宋体"/>
                <w:szCs w:val="21"/>
              </w:rPr>
            </w:pPr>
            <w:r>
              <w:rPr>
                <w:rFonts w:hint="eastAsia" w:ascii="宋体" w:hAnsi="宋体" w:cs="宋体"/>
                <w:szCs w:val="21"/>
              </w:rPr>
              <w:t>2、良：检测方案较详细、较具体，内容较齐全，有比较可行的保证通过相关验收、满足工程进度确保措施，得10-12分；</w:t>
            </w:r>
          </w:p>
          <w:p w14:paraId="06787163">
            <w:pPr>
              <w:jc w:val="left"/>
              <w:rPr>
                <w:rFonts w:ascii="宋体" w:hAnsi="宋体" w:cs="宋体"/>
                <w:szCs w:val="21"/>
              </w:rPr>
            </w:pPr>
            <w:r>
              <w:rPr>
                <w:rFonts w:hint="eastAsia" w:ascii="宋体" w:hAnsi="宋体" w:cs="宋体"/>
                <w:szCs w:val="21"/>
              </w:rPr>
              <w:t>3、中：检测方案基本内容满足要求，方法符合规范要求，有能通过相关验收、满足工程进度的确保措施，得7-9分；</w:t>
            </w:r>
          </w:p>
          <w:p w14:paraId="4CD4978E">
            <w:pPr>
              <w:jc w:val="left"/>
              <w:rPr>
                <w:rFonts w:ascii="宋体" w:hAnsi="宋体" w:cs="宋体"/>
                <w:szCs w:val="21"/>
              </w:rPr>
            </w:pPr>
            <w:r>
              <w:rPr>
                <w:rFonts w:hint="eastAsia" w:ascii="宋体" w:hAnsi="宋体" w:cs="宋体"/>
                <w:szCs w:val="21"/>
              </w:rPr>
              <w:t>4、及格：技术方案基本内容阐述存在缺项，方法基本能满足部分检测要求，得0-6分；</w:t>
            </w:r>
          </w:p>
          <w:p w14:paraId="549C1E05">
            <w:pPr>
              <w:jc w:val="left"/>
              <w:rPr>
                <w:rFonts w:ascii="宋体" w:hAnsi="宋体" w:cs="宋体"/>
                <w:szCs w:val="21"/>
              </w:rPr>
            </w:pPr>
            <w:r>
              <w:rPr>
                <w:rFonts w:hint="eastAsia" w:ascii="宋体" w:hAnsi="宋体" w:cs="宋体"/>
                <w:szCs w:val="21"/>
              </w:rPr>
              <w:t>5、不提供检测方案不得分。</w:t>
            </w:r>
          </w:p>
        </w:tc>
      </w:tr>
      <w:tr w14:paraId="01304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794" w:type="dxa"/>
            <w:tcBorders>
              <w:top w:val="single" w:color="auto" w:sz="4" w:space="0"/>
              <w:bottom w:val="single" w:color="auto" w:sz="4" w:space="0"/>
              <w:right w:val="single" w:color="auto" w:sz="4" w:space="0"/>
            </w:tcBorders>
            <w:shd w:val="clear" w:color="auto" w:fill="auto"/>
            <w:vAlign w:val="center"/>
          </w:tcPr>
          <w:p w14:paraId="2610DDD5">
            <w:pPr>
              <w:pStyle w:val="73"/>
              <w:kinsoku w:val="0"/>
              <w:overflowPunct w:val="0"/>
              <w:ind w:left="-115" w:leftChars="-55" w:right="-122" w:rightChars="-58"/>
              <w:jc w:val="center"/>
              <w:rPr>
                <w:rFonts w:ascii="宋体" w:hAnsi="宋体"/>
              </w:rPr>
            </w:pPr>
            <w:r>
              <w:rPr>
                <w:rFonts w:hint="eastAsia" w:ascii="宋体" w:hAnsi="宋体" w:cs="宋体"/>
                <w:szCs w:val="21"/>
              </w:rPr>
              <w:t>投标报价</w:t>
            </w:r>
            <w:r>
              <w:rPr>
                <w:rFonts w:hint="eastAsia" w:ascii="宋体" w:hAnsi="宋体"/>
              </w:rPr>
              <w:t>评分标准</w:t>
            </w:r>
            <w:r>
              <w:rPr>
                <w:rFonts w:hint="eastAsia" w:ascii="宋体" w:hAnsi="宋体" w:cs="宋体"/>
                <w:szCs w:val="21"/>
              </w:rPr>
              <w:t>（2</w:t>
            </w:r>
            <w:r>
              <w:rPr>
                <w:rFonts w:ascii="宋体" w:hAnsi="宋体" w:cs="宋体"/>
                <w:szCs w:val="21"/>
              </w:rPr>
              <w:t>0</w:t>
            </w:r>
            <w:r>
              <w:rPr>
                <w:rFonts w:hint="eastAsia" w:ascii="宋体" w:hAnsi="宋体" w:cs="宋体"/>
                <w:szCs w:val="21"/>
              </w:rPr>
              <w:t>分）</w:t>
            </w:r>
          </w:p>
        </w:tc>
        <w:tc>
          <w:tcPr>
            <w:tcW w:w="1019" w:type="dxa"/>
            <w:tcBorders>
              <w:top w:val="single" w:color="auto" w:sz="4" w:space="0"/>
              <w:left w:val="single" w:color="auto" w:sz="4" w:space="0"/>
              <w:bottom w:val="single" w:color="auto" w:sz="4" w:space="0"/>
              <w:right w:val="single" w:color="auto" w:sz="4" w:space="0"/>
            </w:tcBorders>
            <w:vAlign w:val="center"/>
          </w:tcPr>
          <w:p w14:paraId="5C42CDF4">
            <w:pPr>
              <w:jc w:val="center"/>
              <w:rPr>
                <w:rFonts w:ascii="宋体" w:hAnsi="宋体" w:cs="宋体"/>
                <w:szCs w:val="21"/>
              </w:rPr>
            </w:pPr>
            <w:r>
              <w:rPr>
                <w:rFonts w:hint="eastAsia" w:ascii="宋体" w:hAnsi="宋体" w:cs="宋体"/>
                <w:szCs w:val="21"/>
              </w:rPr>
              <w:t>投标报价（20分）</w:t>
            </w:r>
          </w:p>
        </w:tc>
        <w:tc>
          <w:tcPr>
            <w:tcW w:w="8146" w:type="dxa"/>
            <w:tcBorders>
              <w:top w:val="single" w:color="auto" w:sz="4" w:space="0"/>
              <w:left w:val="single" w:color="auto" w:sz="4" w:space="0"/>
              <w:bottom w:val="single" w:color="auto" w:sz="4" w:space="0"/>
              <w:right w:val="single" w:color="auto" w:sz="4" w:space="0"/>
            </w:tcBorders>
            <w:vAlign w:val="center"/>
          </w:tcPr>
          <w:p w14:paraId="15CD404B">
            <w:pPr>
              <w:rPr>
                <w:rFonts w:ascii="宋体" w:hAnsi="宋体" w:cs="宋体"/>
                <w:szCs w:val="21"/>
              </w:rPr>
            </w:pPr>
            <w:r>
              <w:rPr>
                <w:rFonts w:hint="eastAsia" w:ascii="宋体" w:hAnsi="宋体" w:cs="宋体"/>
                <w:szCs w:val="21"/>
              </w:rPr>
              <w:t>以评标基准价作为计算各有效投标价得分的基础，当有效投标报价等于评标基准价时得2</w:t>
            </w:r>
            <w:r>
              <w:rPr>
                <w:rFonts w:ascii="宋体" w:hAnsi="宋体" w:cs="宋体"/>
                <w:szCs w:val="21"/>
              </w:rPr>
              <w:t>0</w:t>
            </w:r>
            <w:r>
              <w:rPr>
                <w:rFonts w:hint="eastAsia" w:ascii="宋体" w:hAnsi="宋体" w:cs="宋体"/>
                <w:szCs w:val="21"/>
              </w:rPr>
              <w:t>分；投标有效报价与评标基准价之差，每上偏1%扣0.6分，下偏1%扣0.3分，本项最高分为2</w:t>
            </w:r>
            <w:r>
              <w:rPr>
                <w:rFonts w:ascii="宋体" w:hAnsi="宋体" w:cs="宋体"/>
                <w:szCs w:val="21"/>
              </w:rPr>
              <w:t>0</w:t>
            </w:r>
            <w:r>
              <w:rPr>
                <w:rFonts w:hint="eastAsia" w:ascii="宋体" w:hAnsi="宋体" w:cs="宋体"/>
                <w:szCs w:val="21"/>
              </w:rPr>
              <w:t>分，最低分为0分。</w:t>
            </w:r>
          </w:p>
        </w:tc>
      </w:tr>
      <w:tr w14:paraId="7E741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959" w:type="dxa"/>
            <w:gridSpan w:val="3"/>
            <w:tcBorders>
              <w:top w:val="single" w:color="auto" w:sz="4" w:space="0"/>
              <w:bottom w:val="single" w:color="auto" w:sz="4" w:space="0"/>
              <w:right w:val="single" w:color="auto" w:sz="4" w:space="0"/>
            </w:tcBorders>
            <w:vAlign w:val="center"/>
          </w:tcPr>
          <w:p w14:paraId="4975D600">
            <w:pPr>
              <w:rPr>
                <w:rFonts w:ascii="宋体" w:hAnsi="宋体" w:cs="宋体"/>
                <w:szCs w:val="21"/>
              </w:rPr>
            </w:pPr>
            <w:r>
              <w:rPr>
                <w:rFonts w:hint="eastAsia" w:ascii="宋体" w:hAnsi="宋体" w:cs="宋体"/>
                <w:szCs w:val="21"/>
              </w:rPr>
              <w:t>说明：1、类似项目业绩需提供技术服务合同证明材料。类似项目业绩金额以合同为准，类似项目业绩时间以合同签订时间为准。</w:t>
            </w:r>
          </w:p>
          <w:p w14:paraId="09695EDF">
            <w:pPr>
              <w:rPr>
                <w:rFonts w:ascii="宋体" w:hAnsi="宋体" w:cs="宋体"/>
                <w:szCs w:val="21"/>
              </w:rPr>
            </w:pPr>
            <w:r>
              <w:rPr>
                <w:rFonts w:hint="eastAsia" w:ascii="宋体" w:hAnsi="宋体" w:cs="宋体"/>
                <w:szCs w:val="21"/>
              </w:rPr>
              <w:t>2、拟投入本项目人员：须提供身份证、职称证（如有）、注册证（如有）和</w:t>
            </w:r>
            <w:r>
              <w:rPr>
                <w:rFonts w:hint="eastAsia" w:ascii="宋体" w:hAnsi="宋体" w:cs="宋体"/>
                <w:b/>
                <w:szCs w:val="21"/>
              </w:rPr>
              <w:t>近半年（公告当月不算）</w:t>
            </w:r>
            <w:r>
              <w:rPr>
                <w:rFonts w:hint="eastAsia" w:ascii="宋体" w:hAnsi="宋体" w:cs="宋体"/>
                <w:szCs w:val="21"/>
              </w:rPr>
              <w:t>的社保证明（社保证明需能反映参保人在该投标单位缴纳社保）。</w:t>
            </w:r>
          </w:p>
          <w:p w14:paraId="0402CC46">
            <w:pPr>
              <w:rPr>
                <w:rFonts w:ascii="宋体" w:hAnsi="宋体" w:cs="宋体"/>
                <w:szCs w:val="21"/>
              </w:rPr>
            </w:pPr>
            <w:r>
              <w:rPr>
                <w:rFonts w:hint="eastAsia" w:ascii="宋体" w:hAnsi="宋体" w:cs="宋体"/>
                <w:szCs w:val="21"/>
              </w:rPr>
              <w:t>4、相关检测项目的上岗证是指涉及招标范围内的检测项目的上岗证。</w:t>
            </w:r>
          </w:p>
          <w:p w14:paraId="0B6F8A85">
            <w:pPr>
              <w:rPr>
                <w:rFonts w:ascii="宋体" w:hAnsi="宋体" w:cs="宋体"/>
                <w:sz w:val="18"/>
                <w:szCs w:val="18"/>
              </w:rPr>
            </w:pPr>
            <w:r>
              <w:rPr>
                <w:rFonts w:hint="eastAsia" w:ascii="宋体" w:hAnsi="宋体" w:cs="宋体"/>
                <w:szCs w:val="21"/>
              </w:rPr>
              <w:t>5、投标人的综合得分为各评委的评分汇总的算术平均分（分数出现小数点时，保留小数点后二位，第三位小数四舍五入）。</w:t>
            </w:r>
          </w:p>
        </w:tc>
      </w:tr>
    </w:tbl>
    <w:p w14:paraId="272C8BC2"/>
    <w:p w14:paraId="73C9F81E">
      <w:pPr>
        <w:rPr>
          <w:rFonts w:hAnsi="宋体" w:cs="宋体"/>
          <w:sz w:val="22"/>
        </w:rPr>
      </w:pPr>
    </w:p>
    <w:p w14:paraId="6544D61A"/>
    <w:p w14:paraId="5E0CCE85"/>
    <w:p w14:paraId="34F76FE9">
      <w:pPr>
        <w:pStyle w:val="6"/>
        <w:rPr>
          <w:szCs w:val="21"/>
        </w:rPr>
      </w:pPr>
      <w:bookmarkStart w:id="164" w:name="_Toc11383"/>
      <w:bookmarkStart w:id="165" w:name="_Toc4504"/>
      <w:bookmarkStart w:id="166" w:name="_Toc10685"/>
      <w:r>
        <w:rPr>
          <w:rFonts w:hint="eastAsia"/>
        </w:rPr>
        <w:t>附表二：算术复核表</w:t>
      </w:r>
      <w:bookmarkEnd w:id="164"/>
      <w:bookmarkEnd w:id="165"/>
      <w:bookmarkEnd w:id="166"/>
    </w:p>
    <w:p w14:paraId="58DA7AFF">
      <w:pPr>
        <w:spacing w:line="360" w:lineRule="auto"/>
        <w:jc w:val="center"/>
        <w:rPr>
          <w:rFonts w:ascii="宋体" w:hAnsi="宋体"/>
          <w:b/>
          <w:sz w:val="36"/>
          <w:szCs w:val="36"/>
        </w:rPr>
      </w:pPr>
      <w:r>
        <w:rPr>
          <w:rFonts w:hint="eastAsia" w:ascii="宋体" w:hAnsi="宋体" w:cs="宋体"/>
          <w:sz w:val="28"/>
          <w:szCs w:val="28"/>
        </w:rPr>
        <w:t>算术复核表</w:t>
      </w:r>
    </w:p>
    <w:p w14:paraId="6608F59D">
      <w:pPr>
        <w:adjustRightInd w:val="0"/>
        <w:snapToGrid w:val="0"/>
        <w:spacing w:line="360" w:lineRule="auto"/>
        <w:rPr>
          <w:rFonts w:ascii="宋体" w:hAnsi="宋体"/>
          <w:szCs w:val="36"/>
          <w:u w:val="single"/>
        </w:rPr>
      </w:pPr>
      <w:r>
        <w:rPr>
          <w:rFonts w:hint="eastAsia" w:ascii="宋体" w:hAnsi="宋体"/>
          <w:szCs w:val="21"/>
        </w:rPr>
        <w:t>项目名称：</w:t>
      </w:r>
      <w:r>
        <w:rPr>
          <w:rFonts w:hint="eastAsia" w:ascii="宋体" w:hAnsi="宋体"/>
          <w:szCs w:val="21"/>
          <w:u w:val="single"/>
        </w:rPr>
        <w:t xml:space="preserve">                 </w:t>
      </w:r>
    </w:p>
    <w:tbl>
      <w:tblPr>
        <w:tblStyle w:val="29"/>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71D52057">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1150F7D0">
            <w:pPr>
              <w:snapToGrid w:val="0"/>
              <w:spacing w:line="240" w:lineRule="atLeast"/>
              <w:jc w:val="center"/>
              <w:rPr>
                <w:rFonts w:ascii="宋体" w:hAnsi="宋体"/>
                <w:szCs w:val="21"/>
              </w:rPr>
            </w:pPr>
            <w:r>
              <w:rPr>
                <w:rFonts w:hint="eastAsia" w:ascii="宋体" w:hAnsi="宋体"/>
                <w:szCs w:val="21"/>
              </w:rPr>
              <w:t>编号</w:t>
            </w:r>
          </w:p>
        </w:tc>
        <w:tc>
          <w:tcPr>
            <w:tcW w:w="2057" w:type="dxa"/>
            <w:tcBorders>
              <w:top w:val="single" w:color="auto" w:sz="4" w:space="0"/>
              <w:left w:val="nil"/>
              <w:bottom w:val="single" w:color="auto" w:sz="4" w:space="0"/>
              <w:right w:val="single" w:color="auto" w:sz="4" w:space="0"/>
            </w:tcBorders>
            <w:vAlign w:val="center"/>
          </w:tcPr>
          <w:p w14:paraId="26DE94F1">
            <w:pPr>
              <w:snapToGrid w:val="0"/>
              <w:spacing w:line="240" w:lineRule="atLeast"/>
              <w:jc w:val="center"/>
              <w:rPr>
                <w:rFonts w:ascii="宋体" w:hAnsi="宋体"/>
                <w:szCs w:val="21"/>
              </w:rPr>
            </w:pPr>
            <w:r>
              <w:rPr>
                <w:rFonts w:hint="eastAsia" w:ascii="宋体" w:hAnsi="宋体"/>
                <w:szCs w:val="21"/>
              </w:rPr>
              <w:t>投标人名称</w:t>
            </w:r>
          </w:p>
        </w:tc>
        <w:tc>
          <w:tcPr>
            <w:tcW w:w="1701" w:type="dxa"/>
            <w:tcBorders>
              <w:top w:val="single" w:color="auto" w:sz="4" w:space="0"/>
              <w:left w:val="nil"/>
              <w:bottom w:val="single" w:color="auto" w:sz="4" w:space="0"/>
              <w:right w:val="single" w:color="auto" w:sz="4" w:space="0"/>
            </w:tcBorders>
            <w:vAlign w:val="center"/>
          </w:tcPr>
          <w:p w14:paraId="075D2208">
            <w:pPr>
              <w:snapToGrid w:val="0"/>
              <w:spacing w:line="240" w:lineRule="atLeast"/>
              <w:jc w:val="center"/>
              <w:rPr>
                <w:rFonts w:ascii="宋体" w:hAnsi="宋体"/>
                <w:szCs w:val="21"/>
              </w:rPr>
            </w:pPr>
            <w:r>
              <w:rPr>
                <w:rFonts w:hint="eastAsia" w:ascii="宋体" w:hAnsi="宋体"/>
                <w:szCs w:val="21"/>
              </w:rPr>
              <w:t>原投标报价</w:t>
            </w:r>
            <w:r>
              <w:rPr>
                <w:rFonts w:ascii="宋体" w:hAnsi="宋体"/>
                <w:szCs w:val="21"/>
              </w:rPr>
              <w:t>A</w:t>
            </w:r>
          </w:p>
        </w:tc>
        <w:tc>
          <w:tcPr>
            <w:tcW w:w="2410" w:type="dxa"/>
            <w:tcBorders>
              <w:top w:val="single" w:color="auto" w:sz="4" w:space="0"/>
              <w:left w:val="nil"/>
              <w:bottom w:val="single" w:color="auto" w:sz="4" w:space="0"/>
              <w:right w:val="single" w:color="auto" w:sz="4" w:space="0"/>
            </w:tcBorders>
            <w:vAlign w:val="center"/>
          </w:tcPr>
          <w:p w14:paraId="5DE7C90A">
            <w:pPr>
              <w:snapToGrid w:val="0"/>
              <w:spacing w:line="240" w:lineRule="atLeast"/>
              <w:jc w:val="center"/>
              <w:rPr>
                <w:rFonts w:ascii="宋体" w:hAnsi="宋体"/>
                <w:szCs w:val="21"/>
              </w:rPr>
            </w:pPr>
            <w:r>
              <w:rPr>
                <w:rFonts w:hint="eastAsia" w:ascii="宋体" w:hAnsi="宋体"/>
                <w:szCs w:val="21"/>
              </w:rPr>
              <w:t>算术复核后投标报价</w:t>
            </w:r>
            <w:r>
              <w:rPr>
                <w:rFonts w:ascii="宋体" w:hAnsi="宋体"/>
                <w:szCs w:val="21"/>
              </w:rPr>
              <w:t>B</w:t>
            </w:r>
          </w:p>
        </w:tc>
        <w:tc>
          <w:tcPr>
            <w:tcW w:w="2866" w:type="dxa"/>
            <w:tcBorders>
              <w:top w:val="single" w:color="auto" w:sz="4" w:space="0"/>
              <w:left w:val="nil"/>
              <w:bottom w:val="single" w:color="auto" w:sz="4" w:space="0"/>
              <w:right w:val="single" w:color="auto" w:sz="4" w:space="0"/>
            </w:tcBorders>
            <w:vAlign w:val="center"/>
          </w:tcPr>
          <w:p w14:paraId="3AF26B84">
            <w:pPr>
              <w:snapToGrid w:val="0"/>
              <w:spacing w:line="240" w:lineRule="atLeast"/>
              <w:jc w:val="center"/>
              <w:rPr>
                <w:rFonts w:ascii="宋体" w:hAnsi="宋体"/>
                <w:szCs w:val="21"/>
              </w:rPr>
            </w:pPr>
            <w:r>
              <w:rPr>
                <w:rFonts w:hint="eastAsia" w:ascii="宋体" w:hAnsi="宋体"/>
                <w:szCs w:val="21"/>
              </w:rPr>
              <w:t>误差率</w:t>
            </w:r>
            <w:r>
              <w:rPr>
                <w:rFonts w:ascii="宋体" w:hAnsi="宋体"/>
                <w:szCs w:val="21"/>
              </w:rPr>
              <w:t>r=</w:t>
            </w:r>
            <w:r>
              <w:rPr>
                <w:rFonts w:hint="eastAsia" w:ascii="宋体" w:hAnsi="宋体"/>
                <w:szCs w:val="21"/>
              </w:rPr>
              <w:t>︱</w:t>
            </w:r>
            <w:r>
              <w:rPr>
                <w:rFonts w:ascii="宋体" w:hAnsi="宋体"/>
                <w:szCs w:val="21"/>
              </w:rPr>
              <w:t>A-B</w:t>
            </w:r>
            <w:r>
              <w:rPr>
                <w:rFonts w:hint="eastAsia" w:ascii="宋体" w:hAnsi="宋体"/>
                <w:szCs w:val="21"/>
              </w:rPr>
              <w:t>︳</w:t>
            </w:r>
            <w:r>
              <w:rPr>
                <w:rFonts w:ascii="宋体" w:hAnsi="宋体"/>
                <w:szCs w:val="21"/>
              </w:rPr>
              <w:t>/ A *100%</w:t>
            </w:r>
          </w:p>
        </w:tc>
      </w:tr>
      <w:tr w14:paraId="662C7B98">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46DF62E">
            <w:pPr>
              <w:snapToGrid w:val="0"/>
              <w:spacing w:line="240" w:lineRule="atLeast"/>
              <w:jc w:val="center"/>
              <w:rPr>
                <w:rFonts w:ascii="宋体" w:hAnsi="宋体"/>
                <w:szCs w:val="21"/>
              </w:rPr>
            </w:pPr>
            <w:r>
              <w:rPr>
                <w:rFonts w:hint="eastAsia" w:ascii="宋体" w:hAnsi="宋体"/>
                <w:szCs w:val="21"/>
              </w:rPr>
              <w:t>1</w:t>
            </w:r>
          </w:p>
        </w:tc>
        <w:tc>
          <w:tcPr>
            <w:tcW w:w="2057" w:type="dxa"/>
            <w:tcBorders>
              <w:top w:val="nil"/>
              <w:left w:val="nil"/>
              <w:bottom w:val="single" w:color="auto" w:sz="4" w:space="0"/>
              <w:right w:val="single" w:color="auto" w:sz="4" w:space="0"/>
            </w:tcBorders>
            <w:vAlign w:val="center"/>
          </w:tcPr>
          <w:p w14:paraId="588CDA36">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5825E950">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03911A04">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25EF3C5B">
            <w:pPr>
              <w:snapToGrid w:val="0"/>
              <w:spacing w:line="240" w:lineRule="atLeast"/>
              <w:jc w:val="center"/>
              <w:rPr>
                <w:rFonts w:ascii="宋体" w:hAnsi="宋体"/>
                <w:szCs w:val="21"/>
              </w:rPr>
            </w:pPr>
          </w:p>
        </w:tc>
      </w:tr>
      <w:tr w14:paraId="0C21901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1466B47">
            <w:pPr>
              <w:snapToGrid w:val="0"/>
              <w:spacing w:line="240" w:lineRule="atLeast"/>
              <w:jc w:val="center"/>
              <w:rPr>
                <w:rFonts w:ascii="宋体" w:hAnsi="宋体"/>
                <w:szCs w:val="21"/>
              </w:rPr>
            </w:pPr>
            <w:r>
              <w:rPr>
                <w:rFonts w:hint="eastAsia" w:ascii="宋体" w:hAnsi="宋体"/>
                <w:szCs w:val="21"/>
              </w:rPr>
              <w:t>2</w:t>
            </w:r>
          </w:p>
        </w:tc>
        <w:tc>
          <w:tcPr>
            <w:tcW w:w="2057" w:type="dxa"/>
            <w:tcBorders>
              <w:top w:val="nil"/>
              <w:left w:val="nil"/>
              <w:bottom w:val="single" w:color="auto" w:sz="4" w:space="0"/>
              <w:right w:val="single" w:color="auto" w:sz="4" w:space="0"/>
            </w:tcBorders>
            <w:vAlign w:val="center"/>
          </w:tcPr>
          <w:p w14:paraId="7570BD7A">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EF34C0B">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197AB047">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26FFA90A">
            <w:pPr>
              <w:snapToGrid w:val="0"/>
              <w:spacing w:line="240" w:lineRule="atLeast"/>
              <w:jc w:val="center"/>
              <w:rPr>
                <w:rFonts w:ascii="宋体" w:hAnsi="宋体"/>
                <w:szCs w:val="21"/>
              </w:rPr>
            </w:pPr>
          </w:p>
        </w:tc>
      </w:tr>
      <w:tr w14:paraId="7FD958B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03207B8">
            <w:pPr>
              <w:snapToGrid w:val="0"/>
              <w:spacing w:line="240" w:lineRule="atLeast"/>
              <w:jc w:val="center"/>
              <w:rPr>
                <w:rFonts w:ascii="宋体" w:hAnsi="宋体"/>
                <w:szCs w:val="21"/>
              </w:rPr>
            </w:pPr>
            <w:r>
              <w:rPr>
                <w:rFonts w:hint="eastAsia" w:ascii="宋体" w:hAnsi="宋体"/>
                <w:szCs w:val="21"/>
              </w:rPr>
              <w:t>3</w:t>
            </w:r>
          </w:p>
        </w:tc>
        <w:tc>
          <w:tcPr>
            <w:tcW w:w="2057" w:type="dxa"/>
            <w:tcBorders>
              <w:top w:val="nil"/>
              <w:left w:val="nil"/>
              <w:bottom w:val="single" w:color="auto" w:sz="4" w:space="0"/>
              <w:right w:val="single" w:color="auto" w:sz="4" w:space="0"/>
            </w:tcBorders>
            <w:vAlign w:val="center"/>
          </w:tcPr>
          <w:p w14:paraId="1E4A3DFD">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50183A4C">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4EE3D481">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03263C97">
            <w:pPr>
              <w:snapToGrid w:val="0"/>
              <w:spacing w:line="240" w:lineRule="atLeast"/>
              <w:jc w:val="center"/>
              <w:rPr>
                <w:rFonts w:ascii="宋体" w:hAnsi="宋体"/>
                <w:szCs w:val="21"/>
              </w:rPr>
            </w:pPr>
          </w:p>
        </w:tc>
      </w:tr>
      <w:tr w14:paraId="09A36DF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76C2EA">
            <w:pPr>
              <w:snapToGrid w:val="0"/>
              <w:spacing w:line="240" w:lineRule="atLeast"/>
              <w:jc w:val="center"/>
              <w:rPr>
                <w:rFonts w:ascii="宋体" w:hAnsi="宋体"/>
                <w:szCs w:val="21"/>
              </w:rPr>
            </w:pPr>
            <w:r>
              <w:rPr>
                <w:rFonts w:hint="eastAsia" w:ascii="宋体" w:hAnsi="宋体"/>
                <w:szCs w:val="21"/>
              </w:rPr>
              <w:t>4</w:t>
            </w:r>
          </w:p>
        </w:tc>
        <w:tc>
          <w:tcPr>
            <w:tcW w:w="2057" w:type="dxa"/>
            <w:tcBorders>
              <w:top w:val="nil"/>
              <w:left w:val="nil"/>
              <w:bottom w:val="single" w:color="auto" w:sz="4" w:space="0"/>
              <w:right w:val="single" w:color="auto" w:sz="4" w:space="0"/>
            </w:tcBorders>
            <w:vAlign w:val="center"/>
          </w:tcPr>
          <w:p w14:paraId="02FA0093">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680DFDC2">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0658462B">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3A883E21">
            <w:pPr>
              <w:snapToGrid w:val="0"/>
              <w:spacing w:line="240" w:lineRule="atLeast"/>
              <w:jc w:val="center"/>
              <w:rPr>
                <w:rFonts w:ascii="宋体" w:hAnsi="宋体"/>
                <w:szCs w:val="21"/>
              </w:rPr>
            </w:pPr>
          </w:p>
        </w:tc>
      </w:tr>
      <w:tr w14:paraId="202CAC1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EE5C4C3">
            <w:pPr>
              <w:snapToGrid w:val="0"/>
              <w:spacing w:line="240" w:lineRule="atLeast"/>
              <w:jc w:val="center"/>
              <w:rPr>
                <w:rFonts w:ascii="宋体" w:hAnsi="宋体"/>
                <w:szCs w:val="21"/>
              </w:rPr>
            </w:pPr>
            <w:r>
              <w:rPr>
                <w:rFonts w:hint="eastAsia" w:ascii="宋体" w:hAnsi="宋体"/>
                <w:szCs w:val="21"/>
              </w:rPr>
              <w:t>5</w:t>
            </w:r>
          </w:p>
        </w:tc>
        <w:tc>
          <w:tcPr>
            <w:tcW w:w="2057" w:type="dxa"/>
            <w:tcBorders>
              <w:top w:val="nil"/>
              <w:left w:val="nil"/>
              <w:bottom w:val="single" w:color="auto" w:sz="4" w:space="0"/>
              <w:right w:val="single" w:color="auto" w:sz="4" w:space="0"/>
            </w:tcBorders>
            <w:vAlign w:val="center"/>
          </w:tcPr>
          <w:p w14:paraId="5903F32C">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61D0FB9">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4F5252C8">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51406873">
            <w:pPr>
              <w:snapToGrid w:val="0"/>
              <w:spacing w:line="240" w:lineRule="atLeast"/>
              <w:jc w:val="center"/>
              <w:rPr>
                <w:rFonts w:ascii="宋体" w:hAnsi="宋体"/>
                <w:szCs w:val="21"/>
              </w:rPr>
            </w:pPr>
          </w:p>
        </w:tc>
      </w:tr>
      <w:tr w14:paraId="48AC20F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8B5154D">
            <w:pPr>
              <w:snapToGrid w:val="0"/>
              <w:spacing w:line="240" w:lineRule="atLeast"/>
              <w:jc w:val="center"/>
              <w:rPr>
                <w:rFonts w:ascii="宋体" w:hAnsi="宋体"/>
                <w:szCs w:val="21"/>
              </w:rPr>
            </w:pPr>
            <w:r>
              <w:rPr>
                <w:rFonts w:hint="eastAsia" w:ascii="宋体" w:hAnsi="宋体"/>
                <w:szCs w:val="21"/>
              </w:rPr>
              <w:t>6</w:t>
            </w:r>
          </w:p>
        </w:tc>
        <w:tc>
          <w:tcPr>
            <w:tcW w:w="2057" w:type="dxa"/>
            <w:tcBorders>
              <w:top w:val="nil"/>
              <w:left w:val="nil"/>
              <w:bottom w:val="single" w:color="auto" w:sz="4" w:space="0"/>
              <w:right w:val="single" w:color="auto" w:sz="4" w:space="0"/>
            </w:tcBorders>
            <w:vAlign w:val="center"/>
          </w:tcPr>
          <w:p w14:paraId="0E94AA86">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79216658">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33B55D1C">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754833AC">
            <w:pPr>
              <w:snapToGrid w:val="0"/>
              <w:spacing w:line="240" w:lineRule="atLeast"/>
              <w:jc w:val="center"/>
              <w:rPr>
                <w:rFonts w:ascii="宋体" w:hAnsi="宋体"/>
                <w:szCs w:val="21"/>
              </w:rPr>
            </w:pPr>
          </w:p>
        </w:tc>
      </w:tr>
      <w:tr w14:paraId="7C09ACA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F7CA8D3">
            <w:pPr>
              <w:snapToGrid w:val="0"/>
              <w:spacing w:line="240" w:lineRule="atLeast"/>
              <w:jc w:val="center"/>
              <w:rPr>
                <w:rFonts w:ascii="宋体" w:hAnsi="宋体"/>
                <w:szCs w:val="21"/>
              </w:rPr>
            </w:pPr>
            <w:r>
              <w:rPr>
                <w:rFonts w:hint="eastAsia" w:ascii="宋体" w:hAnsi="宋体"/>
                <w:szCs w:val="21"/>
              </w:rPr>
              <w:t>7</w:t>
            </w:r>
          </w:p>
        </w:tc>
        <w:tc>
          <w:tcPr>
            <w:tcW w:w="2057" w:type="dxa"/>
            <w:tcBorders>
              <w:top w:val="nil"/>
              <w:left w:val="nil"/>
              <w:bottom w:val="single" w:color="auto" w:sz="4" w:space="0"/>
              <w:right w:val="single" w:color="auto" w:sz="4" w:space="0"/>
            </w:tcBorders>
            <w:vAlign w:val="center"/>
          </w:tcPr>
          <w:p w14:paraId="4B9D723F">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4642CB0">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7B48B863">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3A1B0073">
            <w:pPr>
              <w:snapToGrid w:val="0"/>
              <w:spacing w:line="240" w:lineRule="atLeast"/>
              <w:jc w:val="center"/>
              <w:rPr>
                <w:rFonts w:ascii="宋体" w:hAnsi="宋体"/>
                <w:szCs w:val="21"/>
              </w:rPr>
            </w:pPr>
          </w:p>
        </w:tc>
      </w:tr>
      <w:tr w14:paraId="42F3197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3745C51">
            <w:pPr>
              <w:snapToGrid w:val="0"/>
              <w:spacing w:line="240" w:lineRule="atLeast"/>
              <w:jc w:val="center"/>
              <w:rPr>
                <w:rFonts w:ascii="宋体" w:hAnsi="宋体"/>
                <w:szCs w:val="21"/>
              </w:rPr>
            </w:pPr>
            <w:r>
              <w:rPr>
                <w:rFonts w:hint="eastAsia" w:ascii="宋体" w:hAnsi="宋体"/>
                <w:szCs w:val="21"/>
              </w:rPr>
              <w:t>8</w:t>
            </w:r>
          </w:p>
        </w:tc>
        <w:tc>
          <w:tcPr>
            <w:tcW w:w="2057" w:type="dxa"/>
            <w:tcBorders>
              <w:top w:val="nil"/>
              <w:left w:val="nil"/>
              <w:bottom w:val="single" w:color="auto" w:sz="4" w:space="0"/>
              <w:right w:val="single" w:color="auto" w:sz="4" w:space="0"/>
            </w:tcBorders>
            <w:vAlign w:val="center"/>
          </w:tcPr>
          <w:p w14:paraId="5BFF41D7">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5C31E470">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2769396C">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671C9DBE">
            <w:pPr>
              <w:snapToGrid w:val="0"/>
              <w:spacing w:line="240" w:lineRule="atLeast"/>
              <w:jc w:val="center"/>
              <w:rPr>
                <w:rFonts w:ascii="宋体" w:hAnsi="宋体"/>
                <w:szCs w:val="21"/>
              </w:rPr>
            </w:pPr>
          </w:p>
        </w:tc>
      </w:tr>
      <w:tr w14:paraId="663CD37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3360262">
            <w:pPr>
              <w:snapToGrid w:val="0"/>
              <w:spacing w:line="240" w:lineRule="atLeast"/>
              <w:jc w:val="center"/>
              <w:rPr>
                <w:rFonts w:ascii="宋体" w:hAnsi="宋体"/>
                <w:szCs w:val="21"/>
              </w:rPr>
            </w:pPr>
            <w:r>
              <w:rPr>
                <w:rFonts w:hint="eastAsia" w:ascii="宋体" w:hAnsi="宋体"/>
                <w:szCs w:val="21"/>
              </w:rPr>
              <w:t>9</w:t>
            </w:r>
          </w:p>
        </w:tc>
        <w:tc>
          <w:tcPr>
            <w:tcW w:w="2057" w:type="dxa"/>
            <w:tcBorders>
              <w:top w:val="nil"/>
              <w:left w:val="nil"/>
              <w:bottom w:val="single" w:color="auto" w:sz="4" w:space="0"/>
              <w:right w:val="single" w:color="auto" w:sz="4" w:space="0"/>
            </w:tcBorders>
            <w:vAlign w:val="center"/>
          </w:tcPr>
          <w:p w14:paraId="01F822A7">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037583CE">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4209CF9D">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6796C0B1">
            <w:pPr>
              <w:snapToGrid w:val="0"/>
              <w:spacing w:line="240" w:lineRule="atLeast"/>
              <w:jc w:val="center"/>
              <w:rPr>
                <w:rFonts w:ascii="宋体" w:hAnsi="宋体"/>
                <w:szCs w:val="21"/>
              </w:rPr>
            </w:pPr>
          </w:p>
        </w:tc>
      </w:tr>
      <w:tr w14:paraId="6BB8D62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332C785">
            <w:pPr>
              <w:snapToGrid w:val="0"/>
              <w:spacing w:line="240" w:lineRule="atLeast"/>
              <w:jc w:val="center"/>
              <w:rPr>
                <w:rFonts w:ascii="宋体" w:hAnsi="宋体"/>
                <w:szCs w:val="21"/>
              </w:rPr>
            </w:pPr>
            <w:r>
              <w:rPr>
                <w:rFonts w:hint="eastAsia" w:ascii="宋体" w:hAnsi="宋体"/>
                <w:szCs w:val="21"/>
              </w:rPr>
              <w:t>10</w:t>
            </w:r>
          </w:p>
        </w:tc>
        <w:tc>
          <w:tcPr>
            <w:tcW w:w="2057" w:type="dxa"/>
            <w:tcBorders>
              <w:top w:val="nil"/>
              <w:left w:val="nil"/>
              <w:bottom w:val="single" w:color="auto" w:sz="4" w:space="0"/>
              <w:right w:val="single" w:color="auto" w:sz="4" w:space="0"/>
            </w:tcBorders>
            <w:vAlign w:val="center"/>
          </w:tcPr>
          <w:p w14:paraId="40F97A88">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2FDE43BD">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182DB0F7">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5BE74067">
            <w:pPr>
              <w:snapToGrid w:val="0"/>
              <w:spacing w:line="240" w:lineRule="atLeast"/>
              <w:jc w:val="center"/>
              <w:rPr>
                <w:rFonts w:ascii="宋体" w:hAnsi="宋体"/>
                <w:szCs w:val="21"/>
              </w:rPr>
            </w:pPr>
          </w:p>
        </w:tc>
      </w:tr>
      <w:tr w14:paraId="440F0D5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99096B7">
            <w:pPr>
              <w:snapToGrid w:val="0"/>
              <w:spacing w:line="240" w:lineRule="atLeast"/>
              <w:jc w:val="center"/>
              <w:rPr>
                <w:rFonts w:ascii="宋体" w:hAnsi="宋体"/>
                <w:szCs w:val="21"/>
              </w:rPr>
            </w:pPr>
            <w:r>
              <w:rPr>
                <w:rFonts w:hint="eastAsia" w:ascii="宋体" w:hAnsi="宋体"/>
                <w:szCs w:val="21"/>
              </w:rPr>
              <w:t>……</w:t>
            </w:r>
          </w:p>
        </w:tc>
        <w:tc>
          <w:tcPr>
            <w:tcW w:w="2057" w:type="dxa"/>
            <w:tcBorders>
              <w:top w:val="nil"/>
              <w:left w:val="nil"/>
              <w:bottom w:val="single" w:color="auto" w:sz="4" w:space="0"/>
              <w:right w:val="single" w:color="auto" w:sz="4" w:space="0"/>
            </w:tcBorders>
            <w:vAlign w:val="center"/>
          </w:tcPr>
          <w:p w14:paraId="5188E25E">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DB4C154">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3C7F2025">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61940933">
            <w:pPr>
              <w:snapToGrid w:val="0"/>
              <w:spacing w:line="240" w:lineRule="atLeast"/>
              <w:jc w:val="center"/>
              <w:rPr>
                <w:rFonts w:ascii="宋体" w:hAnsi="宋体"/>
                <w:szCs w:val="21"/>
              </w:rPr>
            </w:pPr>
          </w:p>
        </w:tc>
      </w:tr>
    </w:tbl>
    <w:p w14:paraId="6E5DDFB9">
      <w:pPr>
        <w:snapToGrid w:val="0"/>
        <w:spacing w:line="240" w:lineRule="atLeast"/>
        <w:jc w:val="center"/>
        <w:rPr>
          <w:rFonts w:ascii="宋体" w:hAnsi="宋体"/>
          <w:szCs w:val="21"/>
        </w:rPr>
      </w:pPr>
    </w:p>
    <w:p w14:paraId="39C0D2E5">
      <w:pPr>
        <w:pStyle w:val="27"/>
        <w:adjustRightInd w:val="0"/>
        <w:snapToGrid w:val="0"/>
        <w:spacing w:line="360" w:lineRule="auto"/>
        <w:ind w:firstLine="0"/>
        <w:rPr>
          <w:rFonts w:ascii="宋体" w:hAnsi="宋体"/>
        </w:rPr>
      </w:pPr>
    </w:p>
    <w:p w14:paraId="2C8B40D1">
      <w:pPr>
        <w:pStyle w:val="6"/>
      </w:pPr>
      <w:r>
        <w:rPr>
          <w:bCs/>
        </w:rPr>
        <w:br w:type="page"/>
      </w:r>
      <w:bookmarkStart w:id="167" w:name="_Toc412"/>
      <w:bookmarkStart w:id="168" w:name="_Toc14987"/>
      <w:bookmarkStart w:id="169" w:name="_Toc21723"/>
      <w:r>
        <w:rPr>
          <w:rFonts w:hint="eastAsia"/>
          <w:bCs/>
        </w:rPr>
        <w:t>附表三：</w:t>
      </w:r>
      <w:r>
        <w:rPr>
          <w:rFonts w:hint="eastAsia"/>
        </w:rPr>
        <w:t>报价得分计算表</w:t>
      </w:r>
      <w:bookmarkEnd w:id="167"/>
      <w:bookmarkEnd w:id="168"/>
      <w:bookmarkEnd w:id="169"/>
    </w:p>
    <w:p w14:paraId="1509C10B">
      <w:pPr>
        <w:spacing w:line="360" w:lineRule="auto"/>
        <w:jc w:val="center"/>
        <w:rPr>
          <w:rFonts w:ascii="宋体" w:hAnsi="宋体"/>
          <w:b/>
          <w:sz w:val="36"/>
          <w:szCs w:val="36"/>
        </w:rPr>
      </w:pPr>
      <w:r>
        <w:rPr>
          <w:rFonts w:hint="eastAsia" w:ascii="宋体" w:hAnsi="宋体" w:cs="宋体"/>
          <w:sz w:val="28"/>
          <w:szCs w:val="28"/>
        </w:rPr>
        <w:t>报价得分计算表</w:t>
      </w:r>
    </w:p>
    <w:p w14:paraId="0B42B284">
      <w:pPr>
        <w:adjustRightInd w:val="0"/>
        <w:snapToGrid w:val="0"/>
        <w:spacing w:line="360" w:lineRule="auto"/>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65"/>
        <w:gridCol w:w="664"/>
        <w:gridCol w:w="664"/>
        <w:gridCol w:w="664"/>
        <w:gridCol w:w="664"/>
        <w:gridCol w:w="664"/>
        <w:gridCol w:w="664"/>
        <w:gridCol w:w="664"/>
        <w:gridCol w:w="664"/>
        <w:gridCol w:w="664"/>
        <w:gridCol w:w="664"/>
        <w:gridCol w:w="665"/>
      </w:tblGrid>
      <w:tr w14:paraId="4082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2C7C92C9">
            <w:pPr>
              <w:snapToGrid w:val="0"/>
              <w:spacing w:line="240" w:lineRule="atLeast"/>
              <w:jc w:val="center"/>
              <w:rPr>
                <w:rFonts w:ascii="宋体" w:hAnsi="宋体"/>
                <w:szCs w:val="21"/>
              </w:rPr>
            </w:pPr>
            <w:r>
              <w:rPr>
                <w:rFonts w:hint="eastAsia" w:ascii="宋体" w:hAnsi="宋体"/>
                <w:szCs w:val="21"/>
              </w:rPr>
              <w:t>投标人名称</w:t>
            </w:r>
          </w:p>
        </w:tc>
        <w:tc>
          <w:tcPr>
            <w:tcW w:w="665" w:type="dxa"/>
            <w:vAlign w:val="center"/>
          </w:tcPr>
          <w:p w14:paraId="5FC89850">
            <w:pPr>
              <w:snapToGrid w:val="0"/>
              <w:spacing w:line="240" w:lineRule="atLeast"/>
              <w:jc w:val="center"/>
              <w:rPr>
                <w:rFonts w:ascii="宋体" w:hAnsi="宋体"/>
                <w:szCs w:val="21"/>
              </w:rPr>
            </w:pPr>
          </w:p>
        </w:tc>
        <w:tc>
          <w:tcPr>
            <w:tcW w:w="664" w:type="dxa"/>
            <w:vAlign w:val="center"/>
          </w:tcPr>
          <w:p w14:paraId="7F30CF96">
            <w:pPr>
              <w:snapToGrid w:val="0"/>
              <w:spacing w:line="240" w:lineRule="atLeast"/>
              <w:jc w:val="center"/>
              <w:rPr>
                <w:rFonts w:ascii="宋体" w:hAnsi="宋体"/>
                <w:szCs w:val="21"/>
              </w:rPr>
            </w:pPr>
          </w:p>
        </w:tc>
        <w:tc>
          <w:tcPr>
            <w:tcW w:w="664" w:type="dxa"/>
            <w:vAlign w:val="center"/>
          </w:tcPr>
          <w:p w14:paraId="3E882239">
            <w:pPr>
              <w:snapToGrid w:val="0"/>
              <w:spacing w:line="240" w:lineRule="atLeast"/>
              <w:jc w:val="center"/>
              <w:rPr>
                <w:rFonts w:ascii="宋体" w:hAnsi="宋体"/>
                <w:szCs w:val="21"/>
              </w:rPr>
            </w:pPr>
          </w:p>
        </w:tc>
        <w:tc>
          <w:tcPr>
            <w:tcW w:w="664" w:type="dxa"/>
            <w:vAlign w:val="center"/>
          </w:tcPr>
          <w:p w14:paraId="7DC750EB">
            <w:pPr>
              <w:snapToGrid w:val="0"/>
              <w:spacing w:line="240" w:lineRule="atLeast"/>
              <w:jc w:val="center"/>
              <w:rPr>
                <w:rFonts w:ascii="宋体" w:hAnsi="宋体"/>
                <w:szCs w:val="21"/>
              </w:rPr>
            </w:pPr>
          </w:p>
        </w:tc>
        <w:tc>
          <w:tcPr>
            <w:tcW w:w="664" w:type="dxa"/>
            <w:vAlign w:val="center"/>
          </w:tcPr>
          <w:p w14:paraId="7B83500F">
            <w:pPr>
              <w:snapToGrid w:val="0"/>
              <w:spacing w:line="240" w:lineRule="atLeast"/>
              <w:jc w:val="center"/>
              <w:rPr>
                <w:rFonts w:ascii="宋体" w:hAnsi="宋体"/>
                <w:szCs w:val="21"/>
              </w:rPr>
            </w:pPr>
          </w:p>
        </w:tc>
        <w:tc>
          <w:tcPr>
            <w:tcW w:w="664" w:type="dxa"/>
            <w:vAlign w:val="center"/>
          </w:tcPr>
          <w:p w14:paraId="162851C5">
            <w:pPr>
              <w:snapToGrid w:val="0"/>
              <w:spacing w:line="240" w:lineRule="atLeast"/>
              <w:jc w:val="center"/>
              <w:rPr>
                <w:rFonts w:ascii="宋体" w:hAnsi="宋体"/>
                <w:szCs w:val="21"/>
              </w:rPr>
            </w:pPr>
          </w:p>
        </w:tc>
        <w:tc>
          <w:tcPr>
            <w:tcW w:w="664" w:type="dxa"/>
            <w:vAlign w:val="center"/>
          </w:tcPr>
          <w:p w14:paraId="79BB31F5">
            <w:pPr>
              <w:snapToGrid w:val="0"/>
              <w:spacing w:line="240" w:lineRule="atLeast"/>
              <w:jc w:val="center"/>
              <w:rPr>
                <w:rFonts w:ascii="宋体" w:hAnsi="宋体"/>
                <w:szCs w:val="21"/>
              </w:rPr>
            </w:pPr>
          </w:p>
        </w:tc>
        <w:tc>
          <w:tcPr>
            <w:tcW w:w="664" w:type="dxa"/>
            <w:vAlign w:val="center"/>
          </w:tcPr>
          <w:p w14:paraId="60A0BE8B">
            <w:pPr>
              <w:snapToGrid w:val="0"/>
              <w:spacing w:line="240" w:lineRule="atLeast"/>
              <w:jc w:val="center"/>
              <w:rPr>
                <w:rFonts w:ascii="宋体" w:hAnsi="宋体"/>
                <w:szCs w:val="21"/>
              </w:rPr>
            </w:pPr>
          </w:p>
        </w:tc>
        <w:tc>
          <w:tcPr>
            <w:tcW w:w="664" w:type="dxa"/>
            <w:vAlign w:val="center"/>
          </w:tcPr>
          <w:p w14:paraId="53D18717">
            <w:pPr>
              <w:snapToGrid w:val="0"/>
              <w:spacing w:line="240" w:lineRule="atLeast"/>
              <w:jc w:val="center"/>
              <w:rPr>
                <w:rFonts w:ascii="宋体" w:hAnsi="宋体"/>
                <w:szCs w:val="21"/>
              </w:rPr>
            </w:pPr>
          </w:p>
        </w:tc>
        <w:tc>
          <w:tcPr>
            <w:tcW w:w="664" w:type="dxa"/>
            <w:vAlign w:val="center"/>
          </w:tcPr>
          <w:p w14:paraId="4507D57B">
            <w:pPr>
              <w:snapToGrid w:val="0"/>
              <w:spacing w:line="240" w:lineRule="atLeast"/>
              <w:jc w:val="center"/>
              <w:rPr>
                <w:rFonts w:ascii="宋体" w:hAnsi="宋体"/>
                <w:szCs w:val="21"/>
              </w:rPr>
            </w:pPr>
          </w:p>
        </w:tc>
        <w:tc>
          <w:tcPr>
            <w:tcW w:w="664" w:type="dxa"/>
            <w:vAlign w:val="center"/>
          </w:tcPr>
          <w:p w14:paraId="3883A909">
            <w:pPr>
              <w:snapToGrid w:val="0"/>
              <w:spacing w:line="240" w:lineRule="atLeast"/>
              <w:jc w:val="center"/>
              <w:rPr>
                <w:rFonts w:ascii="宋体" w:hAnsi="宋体"/>
                <w:szCs w:val="21"/>
              </w:rPr>
            </w:pPr>
          </w:p>
        </w:tc>
        <w:tc>
          <w:tcPr>
            <w:tcW w:w="665" w:type="dxa"/>
            <w:vAlign w:val="center"/>
          </w:tcPr>
          <w:p w14:paraId="4E35742B">
            <w:pPr>
              <w:snapToGrid w:val="0"/>
              <w:spacing w:line="240" w:lineRule="atLeast"/>
              <w:jc w:val="center"/>
              <w:rPr>
                <w:rFonts w:ascii="宋体" w:hAnsi="宋体"/>
                <w:szCs w:val="21"/>
              </w:rPr>
            </w:pPr>
          </w:p>
        </w:tc>
      </w:tr>
      <w:tr w14:paraId="2BBE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08B66E28">
            <w:pPr>
              <w:snapToGrid w:val="0"/>
              <w:spacing w:line="240" w:lineRule="atLeast"/>
              <w:jc w:val="center"/>
              <w:rPr>
                <w:rFonts w:ascii="宋体" w:hAnsi="宋体"/>
                <w:szCs w:val="21"/>
              </w:rPr>
            </w:pPr>
            <w:r>
              <w:rPr>
                <w:rFonts w:hint="eastAsia" w:ascii="宋体" w:hAnsi="宋体"/>
                <w:szCs w:val="21"/>
              </w:rPr>
              <w:t>投标报价（元）</w:t>
            </w:r>
          </w:p>
        </w:tc>
        <w:tc>
          <w:tcPr>
            <w:tcW w:w="665" w:type="dxa"/>
            <w:vAlign w:val="center"/>
          </w:tcPr>
          <w:p w14:paraId="38AB68D6">
            <w:pPr>
              <w:snapToGrid w:val="0"/>
              <w:spacing w:line="240" w:lineRule="atLeast"/>
              <w:jc w:val="center"/>
              <w:rPr>
                <w:rFonts w:ascii="宋体" w:hAnsi="宋体"/>
                <w:szCs w:val="21"/>
              </w:rPr>
            </w:pPr>
          </w:p>
        </w:tc>
        <w:tc>
          <w:tcPr>
            <w:tcW w:w="664" w:type="dxa"/>
            <w:vAlign w:val="center"/>
          </w:tcPr>
          <w:p w14:paraId="0F048D4E">
            <w:pPr>
              <w:snapToGrid w:val="0"/>
              <w:spacing w:line="240" w:lineRule="atLeast"/>
              <w:jc w:val="center"/>
              <w:rPr>
                <w:rFonts w:ascii="宋体" w:hAnsi="宋体"/>
                <w:szCs w:val="21"/>
              </w:rPr>
            </w:pPr>
          </w:p>
        </w:tc>
        <w:tc>
          <w:tcPr>
            <w:tcW w:w="664" w:type="dxa"/>
            <w:vAlign w:val="center"/>
          </w:tcPr>
          <w:p w14:paraId="61662B4C">
            <w:pPr>
              <w:snapToGrid w:val="0"/>
              <w:spacing w:line="240" w:lineRule="atLeast"/>
              <w:jc w:val="center"/>
              <w:rPr>
                <w:rFonts w:ascii="宋体" w:hAnsi="宋体"/>
                <w:szCs w:val="21"/>
              </w:rPr>
            </w:pPr>
          </w:p>
        </w:tc>
        <w:tc>
          <w:tcPr>
            <w:tcW w:w="664" w:type="dxa"/>
            <w:vAlign w:val="center"/>
          </w:tcPr>
          <w:p w14:paraId="530AB074">
            <w:pPr>
              <w:snapToGrid w:val="0"/>
              <w:spacing w:line="240" w:lineRule="atLeast"/>
              <w:jc w:val="center"/>
              <w:rPr>
                <w:rFonts w:ascii="宋体" w:hAnsi="宋体"/>
                <w:szCs w:val="21"/>
              </w:rPr>
            </w:pPr>
          </w:p>
        </w:tc>
        <w:tc>
          <w:tcPr>
            <w:tcW w:w="664" w:type="dxa"/>
            <w:vAlign w:val="center"/>
          </w:tcPr>
          <w:p w14:paraId="3DD68B71">
            <w:pPr>
              <w:snapToGrid w:val="0"/>
              <w:spacing w:line="240" w:lineRule="atLeast"/>
              <w:jc w:val="center"/>
              <w:rPr>
                <w:rFonts w:ascii="宋体" w:hAnsi="宋体"/>
                <w:szCs w:val="21"/>
              </w:rPr>
            </w:pPr>
          </w:p>
        </w:tc>
        <w:tc>
          <w:tcPr>
            <w:tcW w:w="664" w:type="dxa"/>
            <w:vAlign w:val="center"/>
          </w:tcPr>
          <w:p w14:paraId="4B238860">
            <w:pPr>
              <w:snapToGrid w:val="0"/>
              <w:spacing w:line="240" w:lineRule="atLeast"/>
              <w:jc w:val="center"/>
              <w:rPr>
                <w:rFonts w:ascii="宋体" w:hAnsi="宋体"/>
                <w:szCs w:val="21"/>
              </w:rPr>
            </w:pPr>
          </w:p>
        </w:tc>
        <w:tc>
          <w:tcPr>
            <w:tcW w:w="664" w:type="dxa"/>
            <w:vAlign w:val="center"/>
          </w:tcPr>
          <w:p w14:paraId="155291B6">
            <w:pPr>
              <w:snapToGrid w:val="0"/>
              <w:spacing w:line="240" w:lineRule="atLeast"/>
              <w:jc w:val="center"/>
              <w:rPr>
                <w:rFonts w:ascii="宋体" w:hAnsi="宋体"/>
                <w:szCs w:val="21"/>
              </w:rPr>
            </w:pPr>
          </w:p>
        </w:tc>
        <w:tc>
          <w:tcPr>
            <w:tcW w:w="664" w:type="dxa"/>
            <w:vAlign w:val="center"/>
          </w:tcPr>
          <w:p w14:paraId="27A9912D">
            <w:pPr>
              <w:snapToGrid w:val="0"/>
              <w:spacing w:line="240" w:lineRule="atLeast"/>
              <w:jc w:val="center"/>
              <w:rPr>
                <w:rFonts w:ascii="宋体" w:hAnsi="宋体"/>
                <w:szCs w:val="21"/>
              </w:rPr>
            </w:pPr>
          </w:p>
        </w:tc>
        <w:tc>
          <w:tcPr>
            <w:tcW w:w="664" w:type="dxa"/>
            <w:vAlign w:val="center"/>
          </w:tcPr>
          <w:p w14:paraId="7DEA775F">
            <w:pPr>
              <w:snapToGrid w:val="0"/>
              <w:spacing w:line="240" w:lineRule="atLeast"/>
              <w:jc w:val="center"/>
              <w:rPr>
                <w:rFonts w:ascii="宋体" w:hAnsi="宋体"/>
                <w:szCs w:val="21"/>
              </w:rPr>
            </w:pPr>
          </w:p>
        </w:tc>
        <w:tc>
          <w:tcPr>
            <w:tcW w:w="664" w:type="dxa"/>
            <w:vAlign w:val="center"/>
          </w:tcPr>
          <w:p w14:paraId="6D13D92A">
            <w:pPr>
              <w:snapToGrid w:val="0"/>
              <w:spacing w:line="240" w:lineRule="atLeast"/>
              <w:jc w:val="center"/>
              <w:rPr>
                <w:rFonts w:ascii="宋体" w:hAnsi="宋体"/>
                <w:szCs w:val="21"/>
              </w:rPr>
            </w:pPr>
          </w:p>
        </w:tc>
        <w:tc>
          <w:tcPr>
            <w:tcW w:w="664" w:type="dxa"/>
            <w:vAlign w:val="center"/>
          </w:tcPr>
          <w:p w14:paraId="4E28E7CA">
            <w:pPr>
              <w:snapToGrid w:val="0"/>
              <w:spacing w:line="240" w:lineRule="atLeast"/>
              <w:jc w:val="center"/>
              <w:rPr>
                <w:rFonts w:ascii="宋体" w:hAnsi="宋体"/>
                <w:szCs w:val="21"/>
              </w:rPr>
            </w:pPr>
          </w:p>
        </w:tc>
        <w:tc>
          <w:tcPr>
            <w:tcW w:w="665" w:type="dxa"/>
            <w:vAlign w:val="center"/>
          </w:tcPr>
          <w:p w14:paraId="29325AFE">
            <w:pPr>
              <w:snapToGrid w:val="0"/>
              <w:spacing w:line="240" w:lineRule="atLeast"/>
              <w:jc w:val="center"/>
              <w:rPr>
                <w:rFonts w:ascii="宋体" w:hAnsi="宋体"/>
                <w:szCs w:val="21"/>
              </w:rPr>
            </w:pPr>
          </w:p>
        </w:tc>
      </w:tr>
      <w:tr w14:paraId="00E5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6BB34A64">
            <w:pPr>
              <w:snapToGrid w:val="0"/>
              <w:spacing w:line="240" w:lineRule="atLeast"/>
              <w:jc w:val="center"/>
              <w:rPr>
                <w:rFonts w:ascii="宋体" w:hAnsi="宋体"/>
                <w:szCs w:val="21"/>
              </w:rPr>
            </w:pPr>
            <w:r>
              <w:rPr>
                <w:rFonts w:hint="eastAsia" w:ascii="宋体" w:hAnsi="宋体"/>
                <w:szCs w:val="21"/>
              </w:rPr>
              <w:t>评标参考价</w:t>
            </w:r>
          </w:p>
        </w:tc>
        <w:tc>
          <w:tcPr>
            <w:tcW w:w="7970" w:type="dxa"/>
            <w:gridSpan w:val="12"/>
            <w:vAlign w:val="center"/>
          </w:tcPr>
          <w:p w14:paraId="559AB561">
            <w:pPr>
              <w:snapToGrid w:val="0"/>
              <w:spacing w:line="240" w:lineRule="atLeast"/>
              <w:jc w:val="center"/>
              <w:rPr>
                <w:rFonts w:ascii="宋体" w:hAnsi="宋体"/>
                <w:szCs w:val="21"/>
              </w:rPr>
            </w:pPr>
          </w:p>
        </w:tc>
      </w:tr>
      <w:tr w14:paraId="2D6A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3F93C021">
            <w:pPr>
              <w:snapToGrid w:val="0"/>
              <w:spacing w:line="240" w:lineRule="atLeast"/>
              <w:jc w:val="center"/>
              <w:rPr>
                <w:rFonts w:ascii="宋体" w:hAnsi="宋体"/>
                <w:szCs w:val="21"/>
              </w:rPr>
            </w:pPr>
            <w:r>
              <w:rPr>
                <w:rFonts w:hint="eastAsia" w:ascii="宋体" w:hAnsi="宋体"/>
                <w:szCs w:val="21"/>
              </w:rPr>
              <w:t>偏差（%）</w:t>
            </w:r>
          </w:p>
        </w:tc>
        <w:tc>
          <w:tcPr>
            <w:tcW w:w="665" w:type="dxa"/>
            <w:vAlign w:val="center"/>
          </w:tcPr>
          <w:p w14:paraId="42427D6D">
            <w:pPr>
              <w:snapToGrid w:val="0"/>
              <w:spacing w:line="240" w:lineRule="atLeast"/>
              <w:jc w:val="center"/>
              <w:rPr>
                <w:rFonts w:ascii="宋体" w:hAnsi="宋体"/>
                <w:szCs w:val="21"/>
              </w:rPr>
            </w:pPr>
          </w:p>
        </w:tc>
        <w:tc>
          <w:tcPr>
            <w:tcW w:w="664" w:type="dxa"/>
            <w:vAlign w:val="center"/>
          </w:tcPr>
          <w:p w14:paraId="21E4A68B">
            <w:pPr>
              <w:snapToGrid w:val="0"/>
              <w:spacing w:line="240" w:lineRule="atLeast"/>
              <w:jc w:val="center"/>
              <w:rPr>
                <w:rFonts w:ascii="宋体" w:hAnsi="宋体"/>
                <w:szCs w:val="21"/>
              </w:rPr>
            </w:pPr>
          </w:p>
        </w:tc>
        <w:tc>
          <w:tcPr>
            <w:tcW w:w="664" w:type="dxa"/>
            <w:vAlign w:val="center"/>
          </w:tcPr>
          <w:p w14:paraId="24F05F94">
            <w:pPr>
              <w:snapToGrid w:val="0"/>
              <w:spacing w:line="240" w:lineRule="atLeast"/>
              <w:jc w:val="center"/>
              <w:rPr>
                <w:rFonts w:ascii="宋体" w:hAnsi="宋体"/>
                <w:szCs w:val="21"/>
              </w:rPr>
            </w:pPr>
          </w:p>
        </w:tc>
        <w:tc>
          <w:tcPr>
            <w:tcW w:w="664" w:type="dxa"/>
            <w:vAlign w:val="center"/>
          </w:tcPr>
          <w:p w14:paraId="57E2D93F">
            <w:pPr>
              <w:snapToGrid w:val="0"/>
              <w:spacing w:line="240" w:lineRule="atLeast"/>
              <w:jc w:val="center"/>
              <w:rPr>
                <w:rFonts w:ascii="宋体" w:hAnsi="宋体"/>
                <w:szCs w:val="21"/>
              </w:rPr>
            </w:pPr>
          </w:p>
        </w:tc>
        <w:tc>
          <w:tcPr>
            <w:tcW w:w="664" w:type="dxa"/>
            <w:vAlign w:val="center"/>
          </w:tcPr>
          <w:p w14:paraId="7B6C3CE4">
            <w:pPr>
              <w:snapToGrid w:val="0"/>
              <w:spacing w:line="240" w:lineRule="atLeast"/>
              <w:jc w:val="center"/>
              <w:rPr>
                <w:rFonts w:ascii="宋体" w:hAnsi="宋体"/>
                <w:szCs w:val="21"/>
              </w:rPr>
            </w:pPr>
          </w:p>
        </w:tc>
        <w:tc>
          <w:tcPr>
            <w:tcW w:w="664" w:type="dxa"/>
            <w:vAlign w:val="center"/>
          </w:tcPr>
          <w:p w14:paraId="4835D24A">
            <w:pPr>
              <w:snapToGrid w:val="0"/>
              <w:spacing w:line="240" w:lineRule="atLeast"/>
              <w:jc w:val="center"/>
              <w:rPr>
                <w:rFonts w:ascii="宋体" w:hAnsi="宋体"/>
                <w:szCs w:val="21"/>
              </w:rPr>
            </w:pPr>
          </w:p>
        </w:tc>
        <w:tc>
          <w:tcPr>
            <w:tcW w:w="664" w:type="dxa"/>
            <w:vAlign w:val="center"/>
          </w:tcPr>
          <w:p w14:paraId="39AFB08C">
            <w:pPr>
              <w:snapToGrid w:val="0"/>
              <w:spacing w:line="240" w:lineRule="atLeast"/>
              <w:jc w:val="center"/>
              <w:rPr>
                <w:rFonts w:ascii="宋体" w:hAnsi="宋体"/>
                <w:szCs w:val="21"/>
              </w:rPr>
            </w:pPr>
          </w:p>
        </w:tc>
        <w:tc>
          <w:tcPr>
            <w:tcW w:w="664" w:type="dxa"/>
            <w:vAlign w:val="center"/>
          </w:tcPr>
          <w:p w14:paraId="73675A66">
            <w:pPr>
              <w:snapToGrid w:val="0"/>
              <w:spacing w:line="240" w:lineRule="atLeast"/>
              <w:jc w:val="center"/>
              <w:rPr>
                <w:rFonts w:ascii="宋体" w:hAnsi="宋体"/>
                <w:szCs w:val="21"/>
              </w:rPr>
            </w:pPr>
          </w:p>
        </w:tc>
        <w:tc>
          <w:tcPr>
            <w:tcW w:w="664" w:type="dxa"/>
            <w:vAlign w:val="center"/>
          </w:tcPr>
          <w:p w14:paraId="060AB2A7">
            <w:pPr>
              <w:snapToGrid w:val="0"/>
              <w:spacing w:line="240" w:lineRule="atLeast"/>
              <w:jc w:val="center"/>
              <w:rPr>
                <w:rFonts w:ascii="宋体" w:hAnsi="宋体"/>
                <w:szCs w:val="21"/>
              </w:rPr>
            </w:pPr>
          </w:p>
        </w:tc>
        <w:tc>
          <w:tcPr>
            <w:tcW w:w="664" w:type="dxa"/>
            <w:vAlign w:val="center"/>
          </w:tcPr>
          <w:p w14:paraId="5BE2CEB0">
            <w:pPr>
              <w:snapToGrid w:val="0"/>
              <w:spacing w:line="240" w:lineRule="atLeast"/>
              <w:jc w:val="center"/>
              <w:rPr>
                <w:rFonts w:ascii="宋体" w:hAnsi="宋体"/>
                <w:szCs w:val="21"/>
              </w:rPr>
            </w:pPr>
          </w:p>
        </w:tc>
        <w:tc>
          <w:tcPr>
            <w:tcW w:w="664" w:type="dxa"/>
            <w:vAlign w:val="center"/>
          </w:tcPr>
          <w:p w14:paraId="7DE154FC">
            <w:pPr>
              <w:snapToGrid w:val="0"/>
              <w:spacing w:line="240" w:lineRule="atLeast"/>
              <w:jc w:val="center"/>
              <w:rPr>
                <w:rFonts w:ascii="宋体" w:hAnsi="宋体"/>
                <w:szCs w:val="21"/>
              </w:rPr>
            </w:pPr>
          </w:p>
        </w:tc>
        <w:tc>
          <w:tcPr>
            <w:tcW w:w="665" w:type="dxa"/>
            <w:vAlign w:val="center"/>
          </w:tcPr>
          <w:p w14:paraId="1F7638F9">
            <w:pPr>
              <w:snapToGrid w:val="0"/>
              <w:spacing w:line="240" w:lineRule="atLeast"/>
              <w:jc w:val="center"/>
              <w:rPr>
                <w:rFonts w:ascii="宋体" w:hAnsi="宋体"/>
                <w:szCs w:val="21"/>
              </w:rPr>
            </w:pPr>
          </w:p>
        </w:tc>
      </w:tr>
      <w:tr w14:paraId="5620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1BC6F4A5">
            <w:pPr>
              <w:snapToGrid w:val="0"/>
              <w:spacing w:line="240" w:lineRule="atLeast"/>
              <w:jc w:val="center"/>
              <w:rPr>
                <w:rFonts w:ascii="宋体" w:hAnsi="宋体"/>
                <w:szCs w:val="21"/>
              </w:rPr>
            </w:pPr>
            <w:r>
              <w:rPr>
                <w:rFonts w:hint="eastAsia" w:ascii="宋体" w:hAnsi="宋体"/>
                <w:szCs w:val="21"/>
              </w:rPr>
              <w:t>减分</w:t>
            </w:r>
          </w:p>
        </w:tc>
        <w:tc>
          <w:tcPr>
            <w:tcW w:w="665" w:type="dxa"/>
            <w:vAlign w:val="center"/>
          </w:tcPr>
          <w:p w14:paraId="60E24571">
            <w:pPr>
              <w:snapToGrid w:val="0"/>
              <w:spacing w:line="240" w:lineRule="atLeast"/>
              <w:jc w:val="center"/>
              <w:rPr>
                <w:rFonts w:ascii="宋体" w:hAnsi="宋体"/>
                <w:szCs w:val="21"/>
              </w:rPr>
            </w:pPr>
          </w:p>
        </w:tc>
        <w:tc>
          <w:tcPr>
            <w:tcW w:w="664" w:type="dxa"/>
            <w:vAlign w:val="center"/>
          </w:tcPr>
          <w:p w14:paraId="31325AE0">
            <w:pPr>
              <w:snapToGrid w:val="0"/>
              <w:spacing w:line="240" w:lineRule="atLeast"/>
              <w:jc w:val="center"/>
              <w:rPr>
                <w:rFonts w:ascii="宋体" w:hAnsi="宋体"/>
                <w:szCs w:val="21"/>
              </w:rPr>
            </w:pPr>
          </w:p>
        </w:tc>
        <w:tc>
          <w:tcPr>
            <w:tcW w:w="664" w:type="dxa"/>
            <w:vAlign w:val="center"/>
          </w:tcPr>
          <w:p w14:paraId="726F53F9">
            <w:pPr>
              <w:snapToGrid w:val="0"/>
              <w:spacing w:line="240" w:lineRule="atLeast"/>
              <w:jc w:val="center"/>
              <w:rPr>
                <w:rFonts w:ascii="宋体" w:hAnsi="宋体"/>
                <w:szCs w:val="21"/>
              </w:rPr>
            </w:pPr>
          </w:p>
        </w:tc>
        <w:tc>
          <w:tcPr>
            <w:tcW w:w="664" w:type="dxa"/>
            <w:vAlign w:val="center"/>
          </w:tcPr>
          <w:p w14:paraId="018DF159">
            <w:pPr>
              <w:snapToGrid w:val="0"/>
              <w:spacing w:line="240" w:lineRule="atLeast"/>
              <w:jc w:val="center"/>
              <w:rPr>
                <w:rFonts w:ascii="宋体" w:hAnsi="宋体"/>
                <w:szCs w:val="21"/>
              </w:rPr>
            </w:pPr>
          </w:p>
        </w:tc>
        <w:tc>
          <w:tcPr>
            <w:tcW w:w="664" w:type="dxa"/>
            <w:vAlign w:val="center"/>
          </w:tcPr>
          <w:p w14:paraId="65A6A4BB">
            <w:pPr>
              <w:snapToGrid w:val="0"/>
              <w:spacing w:line="240" w:lineRule="atLeast"/>
              <w:jc w:val="center"/>
              <w:rPr>
                <w:rFonts w:ascii="宋体" w:hAnsi="宋体"/>
                <w:szCs w:val="21"/>
              </w:rPr>
            </w:pPr>
          </w:p>
        </w:tc>
        <w:tc>
          <w:tcPr>
            <w:tcW w:w="664" w:type="dxa"/>
            <w:vAlign w:val="center"/>
          </w:tcPr>
          <w:p w14:paraId="3E490AC1">
            <w:pPr>
              <w:snapToGrid w:val="0"/>
              <w:spacing w:line="240" w:lineRule="atLeast"/>
              <w:jc w:val="center"/>
              <w:rPr>
                <w:rFonts w:ascii="宋体" w:hAnsi="宋体"/>
                <w:szCs w:val="21"/>
              </w:rPr>
            </w:pPr>
          </w:p>
        </w:tc>
        <w:tc>
          <w:tcPr>
            <w:tcW w:w="664" w:type="dxa"/>
            <w:vAlign w:val="center"/>
          </w:tcPr>
          <w:p w14:paraId="4BF4EFC8">
            <w:pPr>
              <w:snapToGrid w:val="0"/>
              <w:spacing w:line="240" w:lineRule="atLeast"/>
              <w:jc w:val="center"/>
              <w:rPr>
                <w:rFonts w:ascii="宋体" w:hAnsi="宋体"/>
                <w:szCs w:val="21"/>
              </w:rPr>
            </w:pPr>
          </w:p>
        </w:tc>
        <w:tc>
          <w:tcPr>
            <w:tcW w:w="664" w:type="dxa"/>
            <w:vAlign w:val="center"/>
          </w:tcPr>
          <w:p w14:paraId="021C31EB">
            <w:pPr>
              <w:snapToGrid w:val="0"/>
              <w:spacing w:line="240" w:lineRule="atLeast"/>
              <w:jc w:val="center"/>
              <w:rPr>
                <w:rFonts w:ascii="宋体" w:hAnsi="宋体"/>
                <w:szCs w:val="21"/>
              </w:rPr>
            </w:pPr>
          </w:p>
        </w:tc>
        <w:tc>
          <w:tcPr>
            <w:tcW w:w="664" w:type="dxa"/>
            <w:vAlign w:val="center"/>
          </w:tcPr>
          <w:p w14:paraId="71001A84">
            <w:pPr>
              <w:snapToGrid w:val="0"/>
              <w:spacing w:line="240" w:lineRule="atLeast"/>
              <w:jc w:val="center"/>
              <w:rPr>
                <w:rFonts w:ascii="宋体" w:hAnsi="宋体"/>
                <w:szCs w:val="21"/>
              </w:rPr>
            </w:pPr>
          </w:p>
        </w:tc>
        <w:tc>
          <w:tcPr>
            <w:tcW w:w="664" w:type="dxa"/>
            <w:vAlign w:val="center"/>
          </w:tcPr>
          <w:p w14:paraId="0BEED5DC">
            <w:pPr>
              <w:snapToGrid w:val="0"/>
              <w:spacing w:line="240" w:lineRule="atLeast"/>
              <w:jc w:val="center"/>
              <w:rPr>
                <w:rFonts w:ascii="宋体" w:hAnsi="宋体"/>
                <w:szCs w:val="21"/>
              </w:rPr>
            </w:pPr>
          </w:p>
        </w:tc>
        <w:tc>
          <w:tcPr>
            <w:tcW w:w="664" w:type="dxa"/>
            <w:vAlign w:val="center"/>
          </w:tcPr>
          <w:p w14:paraId="236CC232">
            <w:pPr>
              <w:snapToGrid w:val="0"/>
              <w:spacing w:line="240" w:lineRule="atLeast"/>
              <w:jc w:val="center"/>
              <w:rPr>
                <w:rFonts w:ascii="宋体" w:hAnsi="宋体"/>
                <w:szCs w:val="21"/>
              </w:rPr>
            </w:pPr>
          </w:p>
        </w:tc>
        <w:tc>
          <w:tcPr>
            <w:tcW w:w="665" w:type="dxa"/>
            <w:vAlign w:val="center"/>
          </w:tcPr>
          <w:p w14:paraId="14876928">
            <w:pPr>
              <w:snapToGrid w:val="0"/>
              <w:spacing w:line="240" w:lineRule="atLeast"/>
              <w:jc w:val="center"/>
              <w:rPr>
                <w:rFonts w:ascii="宋体" w:hAnsi="宋体"/>
                <w:szCs w:val="21"/>
              </w:rPr>
            </w:pPr>
          </w:p>
        </w:tc>
      </w:tr>
      <w:tr w14:paraId="2A8A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350BC41D">
            <w:pPr>
              <w:snapToGrid w:val="0"/>
              <w:spacing w:line="240" w:lineRule="atLeast"/>
              <w:jc w:val="center"/>
              <w:rPr>
                <w:rFonts w:ascii="宋体" w:hAnsi="宋体"/>
                <w:szCs w:val="21"/>
              </w:rPr>
            </w:pPr>
            <w:r>
              <w:rPr>
                <w:rFonts w:hint="eastAsia" w:ascii="宋体" w:hAnsi="宋体"/>
                <w:szCs w:val="21"/>
              </w:rPr>
              <w:t>得分</w:t>
            </w:r>
          </w:p>
        </w:tc>
        <w:tc>
          <w:tcPr>
            <w:tcW w:w="665" w:type="dxa"/>
            <w:vAlign w:val="center"/>
          </w:tcPr>
          <w:p w14:paraId="646A4A19">
            <w:pPr>
              <w:snapToGrid w:val="0"/>
              <w:spacing w:line="240" w:lineRule="atLeast"/>
              <w:jc w:val="center"/>
              <w:rPr>
                <w:rFonts w:ascii="宋体" w:hAnsi="宋体"/>
                <w:szCs w:val="21"/>
              </w:rPr>
            </w:pPr>
          </w:p>
        </w:tc>
        <w:tc>
          <w:tcPr>
            <w:tcW w:w="664" w:type="dxa"/>
            <w:vAlign w:val="center"/>
          </w:tcPr>
          <w:p w14:paraId="00728C24">
            <w:pPr>
              <w:snapToGrid w:val="0"/>
              <w:spacing w:line="240" w:lineRule="atLeast"/>
              <w:jc w:val="center"/>
              <w:rPr>
                <w:rFonts w:ascii="宋体" w:hAnsi="宋体"/>
                <w:szCs w:val="21"/>
              </w:rPr>
            </w:pPr>
          </w:p>
        </w:tc>
        <w:tc>
          <w:tcPr>
            <w:tcW w:w="664" w:type="dxa"/>
            <w:vAlign w:val="center"/>
          </w:tcPr>
          <w:p w14:paraId="511A4646">
            <w:pPr>
              <w:snapToGrid w:val="0"/>
              <w:spacing w:line="240" w:lineRule="atLeast"/>
              <w:jc w:val="center"/>
              <w:rPr>
                <w:rFonts w:ascii="宋体" w:hAnsi="宋体"/>
                <w:szCs w:val="21"/>
              </w:rPr>
            </w:pPr>
          </w:p>
        </w:tc>
        <w:tc>
          <w:tcPr>
            <w:tcW w:w="664" w:type="dxa"/>
            <w:vAlign w:val="center"/>
          </w:tcPr>
          <w:p w14:paraId="763AE520">
            <w:pPr>
              <w:snapToGrid w:val="0"/>
              <w:spacing w:line="240" w:lineRule="atLeast"/>
              <w:jc w:val="center"/>
              <w:rPr>
                <w:rFonts w:ascii="宋体" w:hAnsi="宋体"/>
                <w:szCs w:val="21"/>
              </w:rPr>
            </w:pPr>
          </w:p>
        </w:tc>
        <w:tc>
          <w:tcPr>
            <w:tcW w:w="664" w:type="dxa"/>
            <w:vAlign w:val="center"/>
          </w:tcPr>
          <w:p w14:paraId="1E491A16">
            <w:pPr>
              <w:snapToGrid w:val="0"/>
              <w:spacing w:line="240" w:lineRule="atLeast"/>
              <w:jc w:val="center"/>
              <w:rPr>
                <w:rFonts w:ascii="宋体" w:hAnsi="宋体"/>
                <w:szCs w:val="21"/>
              </w:rPr>
            </w:pPr>
          </w:p>
        </w:tc>
        <w:tc>
          <w:tcPr>
            <w:tcW w:w="664" w:type="dxa"/>
            <w:vAlign w:val="center"/>
          </w:tcPr>
          <w:p w14:paraId="503B27C2">
            <w:pPr>
              <w:snapToGrid w:val="0"/>
              <w:spacing w:line="240" w:lineRule="atLeast"/>
              <w:jc w:val="center"/>
              <w:rPr>
                <w:rFonts w:ascii="宋体" w:hAnsi="宋体"/>
                <w:szCs w:val="21"/>
              </w:rPr>
            </w:pPr>
          </w:p>
        </w:tc>
        <w:tc>
          <w:tcPr>
            <w:tcW w:w="664" w:type="dxa"/>
            <w:vAlign w:val="center"/>
          </w:tcPr>
          <w:p w14:paraId="1D0F42C5">
            <w:pPr>
              <w:snapToGrid w:val="0"/>
              <w:spacing w:line="240" w:lineRule="atLeast"/>
              <w:jc w:val="center"/>
              <w:rPr>
                <w:rFonts w:ascii="宋体" w:hAnsi="宋体"/>
                <w:szCs w:val="21"/>
              </w:rPr>
            </w:pPr>
          </w:p>
        </w:tc>
        <w:tc>
          <w:tcPr>
            <w:tcW w:w="664" w:type="dxa"/>
            <w:vAlign w:val="center"/>
          </w:tcPr>
          <w:p w14:paraId="56FAD985">
            <w:pPr>
              <w:snapToGrid w:val="0"/>
              <w:spacing w:line="240" w:lineRule="atLeast"/>
              <w:jc w:val="center"/>
              <w:rPr>
                <w:rFonts w:ascii="宋体" w:hAnsi="宋体"/>
                <w:szCs w:val="21"/>
              </w:rPr>
            </w:pPr>
          </w:p>
        </w:tc>
        <w:tc>
          <w:tcPr>
            <w:tcW w:w="664" w:type="dxa"/>
            <w:vAlign w:val="center"/>
          </w:tcPr>
          <w:p w14:paraId="1287ECC9">
            <w:pPr>
              <w:snapToGrid w:val="0"/>
              <w:spacing w:line="240" w:lineRule="atLeast"/>
              <w:jc w:val="center"/>
              <w:rPr>
                <w:rFonts w:ascii="宋体" w:hAnsi="宋体"/>
                <w:szCs w:val="21"/>
              </w:rPr>
            </w:pPr>
          </w:p>
        </w:tc>
        <w:tc>
          <w:tcPr>
            <w:tcW w:w="664" w:type="dxa"/>
            <w:vAlign w:val="center"/>
          </w:tcPr>
          <w:p w14:paraId="141589FB">
            <w:pPr>
              <w:snapToGrid w:val="0"/>
              <w:spacing w:line="240" w:lineRule="atLeast"/>
              <w:jc w:val="center"/>
              <w:rPr>
                <w:rFonts w:ascii="宋体" w:hAnsi="宋体"/>
                <w:szCs w:val="21"/>
              </w:rPr>
            </w:pPr>
          </w:p>
        </w:tc>
        <w:tc>
          <w:tcPr>
            <w:tcW w:w="664" w:type="dxa"/>
            <w:vAlign w:val="center"/>
          </w:tcPr>
          <w:p w14:paraId="341CA34E">
            <w:pPr>
              <w:snapToGrid w:val="0"/>
              <w:spacing w:line="240" w:lineRule="atLeast"/>
              <w:jc w:val="center"/>
              <w:rPr>
                <w:rFonts w:ascii="宋体" w:hAnsi="宋体"/>
                <w:szCs w:val="21"/>
              </w:rPr>
            </w:pPr>
          </w:p>
        </w:tc>
        <w:tc>
          <w:tcPr>
            <w:tcW w:w="665" w:type="dxa"/>
            <w:vAlign w:val="center"/>
          </w:tcPr>
          <w:p w14:paraId="37EDB880">
            <w:pPr>
              <w:snapToGrid w:val="0"/>
              <w:spacing w:line="240" w:lineRule="atLeast"/>
              <w:jc w:val="center"/>
              <w:rPr>
                <w:rFonts w:ascii="宋体" w:hAnsi="宋体"/>
                <w:szCs w:val="21"/>
              </w:rPr>
            </w:pPr>
          </w:p>
        </w:tc>
      </w:tr>
    </w:tbl>
    <w:p w14:paraId="67D4BB5E">
      <w:pPr>
        <w:pStyle w:val="10"/>
        <w:adjustRightInd w:val="0"/>
        <w:snapToGrid w:val="0"/>
        <w:rPr>
          <w:rFonts w:ascii="宋体" w:hAnsi="宋体" w:cs="宋体"/>
          <w:kern w:val="0"/>
          <w:szCs w:val="21"/>
        </w:rPr>
      </w:pPr>
    </w:p>
    <w:p w14:paraId="21F7B315">
      <w:pPr>
        <w:pStyle w:val="10"/>
        <w:adjustRightInd w:val="0"/>
        <w:snapToGrid w:val="0"/>
        <w:spacing w:line="360" w:lineRule="auto"/>
        <w:ind w:firstLine="0"/>
        <w:rPr>
          <w:rFonts w:ascii="宋体" w:hAnsi="宋体"/>
          <w:szCs w:val="21"/>
        </w:rPr>
      </w:pPr>
      <w:r>
        <w:rPr>
          <w:rFonts w:hint="eastAsia" w:ascii="宋体" w:hAnsi="宋体"/>
          <w:szCs w:val="36"/>
        </w:rPr>
        <w:t>注：1.当通过初步评审的有效投标人大于5名时，去掉一个最高价和一个最低价，取余下有效投标人的投标报价的算术平均值作为评标参考价；当通过初步评审的有效投标人小于或等于5名时取所有入围的有效投标人的投标报价的算术平均值作为评标参考价。</w:t>
      </w:r>
    </w:p>
    <w:p w14:paraId="1B737B15">
      <w:pPr>
        <w:pStyle w:val="10"/>
        <w:adjustRightInd w:val="0"/>
        <w:snapToGrid w:val="0"/>
        <w:spacing w:line="360" w:lineRule="auto"/>
        <w:ind w:firstLine="0"/>
        <w:rPr>
          <w:rFonts w:ascii="宋体" w:hAnsi="宋体"/>
          <w:szCs w:val="36"/>
        </w:rPr>
      </w:pPr>
      <w:r>
        <w:rPr>
          <w:rFonts w:hint="eastAsia" w:ascii="宋体" w:hAnsi="宋体"/>
          <w:szCs w:val="21"/>
        </w:rPr>
        <w:t>2.</w:t>
      </w:r>
      <w:r>
        <w:rPr>
          <w:rFonts w:hint="eastAsia" w:ascii="宋体" w:hAnsi="宋体" w:cs="宋体"/>
          <w:szCs w:val="21"/>
        </w:rPr>
        <w:t>以评标基准价作为计算各有效投标价得分的基础，当有效投标报价等于评标基准价时得2</w:t>
      </w:r>
      <w:r>
        <w:rPr>
          <w:rFonts w:ascii="宋体" w:hAnsi="宋体" w:cs="宋体"/>
          <w:szCs w:val="21"/>
        </w:rPr>
        <w:t>0</w:t>
      </w:r>
      <w:r>
        <w:rPr>
          <w:rFonts w:hint="eastAsia" w:ascii="宋体" w:hAnsi="宋体" w:cs="宋体"/>
          <w:szCs w:val="21"/>
        </w:rPr>
        <w:t>分；投标有效报价与评标基准价之差，每上偏1%扣0.6分，下偏1%扣0.3分，本项最高分为2</w:t>
      </w:r>
      <w:r>
        <w:rPr>
          <w:rFonts w:ascii="宋体" w:hAnsi="宋体" w:cs="宋体"/>
          <w:szCs w:val="21"/>
        </w:rPr>
        <w:t>0</w:t>
      </w:r>
      <w:r>
        <w:rPr>
          <w:rFonts w:hint="eastAsia" w:ascii="宋体" w:hAnsi="宋体" w:cs="宋体"/>
          <w:szCs w:val="21"/>
        </w:rPr>
        <w:t>分，最低分为0分，</w:t>
      </w:r>
      <w:r>
        <w:rPr>
          <w:rFonts w:hint="eastAsia" w:ascii="宋体" w:hAnsi="宋体"/>
          <w:szCs w:val="36"/>
        </w:rPr>
        <w:t>得分精确到小数点后两位。</w:t>
      </w:r>
    </w:p>
    <w:p w14:paraId="396174E7">
      <w:pPr>
        <w:pStyle w:val="10"/>
        <w:adjustRightInd w:val="0"/>
        <w:snapToGrid w:val="0"/>
        <w:spacing w:line="360" w:lineRule="auto"/>
        <w:ind w:firstLine="0"/>
        <w:rPr>
          <w:rFonts w:ascii="宋体" w:hAnsi="宋体"/>
          <w:szCs w:val="36"/>
        </w:rPr>
      </w:pPr>
    </w:p>
    <w:p w14:paraId="79469AD0">
      <w:pPr>
        <w:pStyle w:val="10"/>
        <w:adjustRightInd w:val="0"/>
        <w:snapToGrid w:val="0"/>
        <w:spacing w:line="360" w:lineRule="auto"/>
        <w:ind w:firstLine="0"/>
        <w:rPr>
          <w:rFonts w:ascii="宋体" w:hAnsi="宋体"/>
          <w:szCs w:val="21"/>
        </w:rPr>
      </w:pPr>
      <w:r>
        <w:rPr>
          <w:rFonts w:hint="eastAsia" w:ascii="宋体" w:hAnsi="宋体"/>
          <w:szCs w:val="21"/>
        </w:rPr>
        <w:t xml:space="preserve"> 评委签名：                                                 日期：</w:t>
      </w:r>
    </w:p>
    <w:p w14:paraId="627B56F6">
      <w:pPr>
        <w:pStyle w:val="6"/>
        <w:numPr>
          <w:ilvl w:val="0"/>
          <w:numId w:val="1"/>
        </w:numPr>
      </w:pPr>
      <w:r>
        <w:rPr>
          <w:b w:val="0"/>
          <w:spacing w:val="20"/>
        </w:rPr>
        <w:br w:type="page"/>
      </w:r>
      <w:bookmarkStart w:id="170" w:name="_Toc4580"/>
      <w:bookmarkStart w:id="171" w:name="_Toc28254"/>
      <w:bookmarkStart w:id="172" w:name="_Toc18435"/>
      <w:bookmarkStart w:id="173" w:name="_Toc533357319"/>
      <w:r>
        <w:rPr>
          <w:rFonts w:hint="eastAsia"/>
        </w:rPr>
        <w:t>评标方法</w:t>
      </w:r>
      <w:bookmarkEnd w:id="170"/>
      <w:bookmarkEnd w:id="171"/>
      <w:bookmarkEnd w:id="172"/>
      <w:bookmarkEnd w:id="173"/>
    </w:p>
    <w:p w14:paraId="4AD31DAC">
      <w:pPr>
        <w:rPr>
          <w:rFonts w:ascii="宋体" w:hAnsi="宋体"/>
        </w:rPr>
      </w:pPr>
    </w:p>
    <w:p w14:paraId="477F8DDC">
      <w:pPr>
        <w:spacing w:line="360" w:lineRule="auto"/>
        <w:ind w:firstLine="480" w:firstLineChars="200"/>
        <w:rPr>
          <w:rFonts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人资信业绩得分高的优先；如果投标人资信业绩得分也相等，以检测服务方案得分高的优先。如果检测服务方案得分也相等，由评标委员会采用记名投票方式，以得票多的优先。</w:t>
      </w:r>
    </w:p>
    <w:p w14:paraId="47B22F72">
      <w:pPr>
        <w:rPr>
          <w:rFonts w:ascii="宋体" w:hAnsi="宋体"/>
        </w:rPr>
      </w:pPr>
    </w:p>
    <w:p w14:paraId="1B2227AA">
      <w:pPr>
        <w:pStyle w:val="6"/>
      </w:pPr>
      <w:bookmarkStart w:id="174" w:name="bookmark85"/>
      <w:bookmarkEnd w:id="174"/>
      <w:bookmarkStart w:id="175" w:name="_Toc533357320"/>
      <w:bookmarkStart w:id="176" w:name="_Toc15700"/>
      <w:bookmarkStart w:id="177" w:name="_Toc1074"/>
      <w:bookmarkStart w:id="178" w:name="_Toc10582"/>
      <w:r>
        <w:t xml:space="preserve">2. </w:t>
      </w:r>
      <w:r>
        <w:rPr>
          <w:rFonts w:hint="eastAsia"/>
        </w:rPr>
        <w:t>评审标准</w:t>
      </w:r>
      <w:bookmarkEnd w:id="175"/>
      <w:bookmarkEnd w:id="176"/>
      <w:bookmarkEnd w:id="177"/>
      <w:bookmarkEnd w:id="178"/>
    </w:p>
    <w:p w14:paraId="09E5CADB">
      <w:pPr>
        <w:rPr>
          <w:rFonts w:ascii="宋体" w:hAnsi="宋体"/>
        </w:rPr>
      </w:pPr>
    </w:p>
    <w:p w14:paraId="4EF7CE23">
      <w:pPr>
        <w:pStyle w:val="8"/>
        <w:ind w:firstLine="0"/>
      </w:pPr>
      <w:bookmarkStart w:id="179" w:name="bookmark86"/>
      <w:bookmarkEnd w:id="179"/>
      <w:r>
        <w:t xml:space="preserve">2.1 </w:t>
      </w:r>
      <w:r>
        <w:rPr>
          <w:rFonts w:hint="eastAsia"/>
        </w:rPr>
        <w:t>初步评审标准</w:t>
      </w:r>
    </w:p>
    <w:p w14:paraId="3C8DAB57">
      <w:pPr>
        <w:spacing w:line="360" w:lineRule="auto"/>
        <w:ind w:firstLine="480" w:firstLineChars="200"/>
        <w:rPr>
          <w:rFonts w:ascii="宋体" w:hAnsi="宋体"/>
          <w:sz w:val="24"/>
          <w:szCs w:val="24"/>
        </w:rPr>
      </w:pPr>
      <w:r>
        <w:rPr>
          <w:rFonts w:ascii="宋体" w:hAnsi="宋体"/>
          <w:sz w:val="24"/>
          <w:szCs w:val="24"/>
        </w:rPr>
        <w:t>2.1.1</w:t>
      </w:r>
      <w:r>
        <w:rPr>
          <w:rFonts w:hint="eastAsia" w:ascii="宋体" w:hAnsi="宋体"/>
          <w:sz w:val="24"/>
          <w:szCs w:val="24"/>
        </w:rPr>
        <w:t>形式评审标准：见评标办法前附表。</w:t>
      </w:r>
    </w:p>
    <w:p w14:paraId="75E0C4D6">
      <w:pPr>
        <w:spacing w:line="360" w:lineRule="auto"/>
        <w:ind w:firstLine="480" w:firstLineChars="200"/>
        <w:rPr>
          <w:rFonts w:ascii="宋体" w:hAnsi="宋体"/>
          <w:sz w:val="24"/>
          <w:szCs w:val="24"/>
        </w:rPr>
      </w:pPr>
      <w:r>
        <w:rPr>
          <w:rFonts w:ascii="宋体" w:hAnsi="宋体"/>
          <w:sz w:val="24"/>
          <w:szCs w:val="24"/>
        </w:rPr>
        <w:t>2.1.2</w:t>
      </w:r>
      <w:r>
        <w:rPr>
          <w:rFonts w:hint="eastAsia" w:ascii="宋体" w:hAnsi="宋体"/>
          <w:sz w:val="24"/>
          <w:szCs w:val="24"/>
        </w:rPr>
        <w:t>资格评审标准：见评标办法前附表。</w:t>
      </w:r>
    </w:p>
    <w:p w14:paraId="14F76E93">
      <w:pPr>
        <w:spacing w:line="360" w:lineRule="auto"/>
        <w:ind w:firstLine="480" w:firstLineChars="200"/>
        <w:rPr>
          <w:rFonts w:ascii="宋体" w:hAnsi="宋体"/>
          <w:sz w:val="24"/>
          <w:szCs w:val="24"/>
        </w:rPr>
      </w:pPr>
      <w:r>
        <w:rPr>
          <w:rFonts w:ascii="宋体" w:hAnsi="宋体"/>
          <w:sz w:val="24"/>
          <w:szCs w:val="24"/>
        </w:rPr>
        <w:t>2.1.3</w:t>
      </w:r>
      <w:r>
        <w:rPr>
          <w:rFonts w:hint="eastAsia" w:ascii="宋体" w:hAnsi="宋体"/>
          <w:sz w:val="24"/>
          <w:szCs w:val="24"/>
        </w:rPr>
        <w:t>响应性评审标准：见评标办法前附表。</w:t>
      </w:r>
    </w:p>
    <w:p w14:paraId="14B8F957">
      <w:pPr>
        <w:spacing w:line="360" w:lineRule="auto"/>
        <w:ind w:firstLine="480" w:firstLineChars="200"/>
        <w:rPr>
          <w:rFonts w:ascii="宋体" w:hAnsi="宋体"/>
          <w:sz w:val="24"/>
          <w:szCs w:val="24"/>
        </w:rPr>
      </w:pPr>
      <w:r>
        <w:rPr>
          <w:rFonts w:hint="eastAsia" w:ascii="宋体" w:hAnsi="宋体"/>
          <w:sz w:val="24"/>
          <w:szCs w:val="24"/>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63AB04CA">
      <w:pPr>
        <w:rPr>
          <w:rFonts w:ascii="宋体" w:hAnsi="宋体"/>
        </w:rPr>
      </w:pPr>
    </w:p>
    <w:p w14:paraId="7412925C">
      <w:pPr>
        <w:pStyle w:val="8"/>
      </w:pPr>
      <w:bookmarkStart w:id="180" w:name="bookmark87"/>
      <w:bookmarkEnd w:id="180"/>
      <w:r>
        <w:t xml:space="preserve">2.2 </w:t>
      </w:r>
      <w:r>
        <w:rPr>
          <w:rFonts w:hint="eastAsia"/>
        </w:rPr>
        <w:t>分值构成与评分标准</w:t>
      </w:r>
    </w:p>
    <w:p w14:paraId="3720132E">
      <w:pPr>
        <w:spacing w:line="360" w:lineRule="auto"/>
        <w:ind w:firstLine="480" w:firstLineChars="200"/>
        <w:rPr>
          <w:rFonts w:ascii="宋体" w:hAnsi="宋体"/>
          <w:sz w:val="24"/>
          <w:szCs w:val="24"/>
        </w:rPr>
      </w:pPr>
      <w:r>
        <w:rPr>
          <w:rFonts w:ascii="宋体" w:hAnsi="宋体"/>
          <w:sz w:val="24"/>
          <w:szCs w:val="24"/>
        </w:rPr>
        <w:t>2.2.1</w:t>
      </w:r>
      <w:r>
        <w:rPr>
          <w:rFonts w:hint="eastAsia" w:ascii="宋体" w:hAnsi="宋体"/>
          <w:sz w:val="24"/>
          <w:szCs w:val="24"/>
        </w:rPr>
        <w:t>分值构成</w:t>
      </w:r>
    </w:p>
    <w:p w14:paraId="454B29BA">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bookmarkStart w:id="181" w:name="_Hlk132124196"/>
      <w:r>
        <w:rPr>
          <w:rFonts w:hint="eastAsia" w:ascii="宋体" w:hAnsi="宋体"/>
          <w:bCs/>
          <w:sz w:val="24"/>
          <w:szCs w:val="24"/>
        </w:rPr>
        <w:t>企业综合实力</w:t>
      </w:r>
      <w:bookmarkEnd w:id="181"/>
      <w:r>
        <w:rPr>
          <w:rFonts w:hint="eastAsia" w:ascii="宋体" w:hAnsi="宋体"/>
          <w:sz w:val="24"/>
          <w:szCs w:val="24"/>
        </w:rPr>
        <w:t>部分：见评标办法前附表；</w:t>
      </w:r>
    </w:p>
    <w:p w14:paraId="3011A08B">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）技术方案部分：见评标办法前附表；</w:t>
      </w:r>
    </w:p>
    <w:p w14:paraId="070992C8">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）投标报价部分：见评标办法前附表；</w:t>
      </w:r>
    </w:p>
    <w:p w14:paraId="11662F95">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）其他因素部分：见评标办法前附表。</w:t>
      </w:r>
    </w:p>
    <w:p w14:paraId="5877C03A">
      <w:pPr>
        <w:spacing w:line="360" w:lineRule="auto"/>
        <w:ind w:firstLine="480" w:firstLineChars="200"/>
        <w:rPr>
          <w:rFonts w:ascii="宋体" w:hAnsi="宋体"/>
          <w:sz w:val="24"/>
          <w:szCs w:val="24"/>
        </w:rPr>
      </w:pPr>
      <w:r>
        <w:rPr>
          <w:rFonts w:ascii="宋体" w:hAnsi="宋体"/>
          <w:sz w:val="24"/>
          <w:szCs w:val="24"/>
        </w:rPr>
        <w:t>2.2.2</w:t>
      </w:r>
      <w:r>
        <w:rPr>
          <w:rFonts w:hint="eastAsia" w:ascii="宋体" w:hAnsi="宋体"/>
          <w:sz w:val="24"/>
          <w:szCs w:val="24"/>
        </w:rPr>
        <w:t>评标参考价计算</w:t>
      </w:r>
    </w:p>
    <w:p w14:paraId="5AEF8E07">
      <w:pPr>
        <w:spacing w:line="360" w:lineRule="auto"/>
        <w:ind w:firstLine="480" w:firstLineChars="200"/>
        <w:rPr>
          <w:rFonts w:ascii="宋体" w:hAnsi="宋体"/>
          <w:sz w:val="24"/>
          <w:szCs w:val="24"/>
        </w:rPr>
      </w:pPr>
      <w:r>
        <w:rPr>
          <w:rFonts w:hint="eastAsia" w:ascii="宋体" w:hAnsi="宋体"/>
          <w:sz w:val="24"/>
          <w:szCs w:val="24"/>
        </w:rPr>
        <w:t>评标参考价计算方法：见评标办法前附表。</w:t>
      </w:r>
    </w:p>
    <w:p w14:paraId="23CE699B">
      <w:pPr>
        <w:spacing w:line="360" w:lineRule="auto"/>
        <w:ind w:firstLine="480" w:firstLineChars="200"/>
        <w:rPr>
          <w:rFonts w:ascii="宋体" w:hAnsi="宋体"/>
          <w:sz w:val="24"/>
          <w:szCs w:val="24"/>
        </w:rPr>
      </w:pPr>
      <w:r>
        <w:rPr>
          <w:rFonts w:ascii="宋体" w:hAnsi="宋体"/>
          <w:sz w:val="24"/>
          <w:szCs w:val="24"/>
        </w:rPr>
        <w:t>2.2.3</w:t>
      </w:r>
      <w:r>
        <w:rPr>
          <w:rFonts w:hint="eastAsia" w:ascii="宋体" w:hAnsi="宋体"/>
          <w:sz w:val="24"/>
          <w:szCs w:val="24"/>
        </w:rPr>
        <w:t>投标报价的计算</w:t>
      </w:r>
    </w:p>
    <w:p w14:paraId="003DC8D2">
      <w:pPr>
        <w:spacing w:line="360" w:lineRule="auto"/>
        <w:ind w:firstLine="480" w:firstLineChars="200"/>
        <w:rPr>
          <w:rFonts w:ascii="宋体" w:hAnsi="宋体"/>
          <w:sz w:val="24"/>
          <w:szCs w:val="24"/>
        </w:rPr>
      </w:pPr>
      <w:r>
        <w:rPr>
          <w:rFonts w:hint="eastAsia" w:ascii="宋体" w:hAnsi="宋体"/>
          <w:sz w:val="24"/>
          <w:szCs w:val="24"/>
        </w:rPr>
        <w:t>投标报价的偏差率计算公式：见评标办法前附表。</w:t>
      </w:r>
    </w:p>
    <w:p w14:paraId="5ECB4BAE">
      <w:pPr>
        <w:spacing w:line="360" w:lineRule="auto"/>
        <w:ind w:firstLine="480" w:firstLineChars="200"/>
        <w:rPr>
          <w:rFonts w:ascii="宋体" w:hAnsi="宋体"/>
          <w:sz w:val="24"/>
          <w:szCs w:val="24"/>
        </w:rPr>
      </w:pPr>
      <w:r>
        <w:rPr>
          <w:rFonts w:ascii="宋体" w:hAnsi="宋体"/>
          <w:sz w:val="24"/>
          <w:szCs w:val="24"/>
        </w:rPr>
        <w:t>2.2.4</w:t>
      </w:r>
      <w:r>
        <w:rPr>
          <w:rFonts w:hint="eastAsia" w:ascii="宋体" w:hAnsi="宋体"/>
          <w:sz w:val="24"/>
          <w:szCs w:val="24"/>
        </w:rPr>
        <w:t>评分标准</w:t>
      </w:r>
    </w:p>
    <w:p w14:paraId="58B5FDF0">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bCs/>
          <w:sz w:val="24"/>
          <w:szCs w:val="24"/>
        </w:rPr>
        <w:t>企业综合实力</w:t>
      </w:r>
      <w:r>
        <w:rPr>
          <w:rFonts w:hint="eastAsia" w:ascii="宋体" w:hAnsi="宋体"/>
          <w:sz w:val="24"/>
          <w:szCs w:val="24"/>
        </w:rPr>
        <w:t>评分标准：见评标办法前附表；</w:t>
      </w:r>
    </w:p>
    <w:p w14:paraId="07F263BB">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）技术方案评分标准：见评标办法前附表；</w:t>
      </w:r>
    </w:p>
    <w:p w14:paraId="005C49F4">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）投标报价评分标准：见评标办法前附表；</w:t>
      </w:r>
    </w:p>
    <w:p w14:paraId="431C91F7">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）其他因素评分标准：见评标办法前附表。</w:t>
      </w:r>
    </w:p>
    <w:p w14:paraId="1F5F8ABA">
      <w:pPr>
        <w:pStyle w:val="6"/>
      </w:pPr>
      <w:bookmarkStart w:id="182" w:name="bookmark88"/>
      <w:bookmarkEnd w:id="182"/>
      <w:bookmarkStart w:id="183" w:name="_Toc533357321"/>
      <w:bookmarkStart w:id="184" w:name="_Toc28115"/>
      <w:bookmarkStart w:id="185" w:name="_Toc25553"/>
      <w:bookmarkStart w:id="186" w:name="_Toc29986"/>
      <w:r>
        <w:t xml:space="preserve">3. </w:t>
      </w:r>
      <w:r>
        <w:rPr>
          <w:rFonts w:hint="eastAsia"/>
        </w:rPr>
        <w:t>评标程序</w:t>
      </w:r>
      <w:bookmarkEnd w:id="183"/>
      <w:bookmarkEnd w:id="184"/>
      <w:bookmarkEnd w:id="185"/>
      <w:bookmarkEnd w:id="186"/>
    </w:p>
    <w:p w14:paraId="28E7F0A3">
      <w:pPr>
        <w:rPr>
          <w:rFonts w:ascii="宋体" w:hAnsi="宋体"/>
        </w:rPr>
      </w:pPr>
    </w:p>
    <w:p w14:paraId="59F6642E">
      <w:pPr>
        <w:pStyle w:val="8"/>
      </w:pPr>
      <w:bookmarkStart w:id="187" w:name="bookmark89"/>
      <w:bookmarkEnd w:id="187"/>
      <w:r>
        <w:t xml:space="preserve">3.1 </w:t>
      </w:r>
      <w:r>
        <w:rPr>
          <w:rFonts w:hint="eastAsia"/>
        </w:rPr>
        <w:t>初步评审</w:t>
      </w:r>
    </w:p>
    <w:p w14:paraId="27B1E76C">
      <w:pPr>
        <w:spacing w:line="360" w:lineRule="auto"/>
        <w:ind w:firstLine="480" w:firstLineChars="200"/>
        <w:rPr>
          <w:rFonts w:ascii="宋体" w:hAnsi="宋体"/>
          <w:sz w:val="24"/>
          <w:szCs w:val="24"/>
        </w:rPr>
      </w:pPr>
      <w:r>
        <w:rPr>
          <w:rFonts w:ascii="宋体" w:hAnsi="宋体"/>
          <w:sz w:val="24"/>
          <w:szCs w:val="24"/>
        </w:rPr>
        <w:t>3.1.1</w:t>
      </w:r>
      <w:r>
        <w:rPr>
          <w:rFonts w:hint="eastAsia" w:ascii="宋体" w:hAnsi="宋体"/>
          <w:sz w:val="24"/>
          <w:szCs w:val="24"/>
        </w:rPr>
        <w:t>评标委员会可以要求投标人提交第二章“投标人须知”规定的有关证明和证件的原件，以便核验。评标委员会依据本章第</w:t>
      </w:r>
      <w:r>
        <w:rPr>
          <w:rFonts w:ascii="宋体" w:hAnsi="宋体"/>
          <w:sz w:val="24"/>
          <w:szCs w:val="24"/>
        </w:rPr>
        <w:t>2.1</w:t>
      </w:r>
      <w:r>
        <w:rPr>
          <w:rFonts w:hint="eastAsia" w:ascii="宋体" w:hAnsi="宋体"/>
          <w:sz w:val="24"/>
          <w:szCs w:val="24"/>
        </w:rPr>
        <w:t>款规定的标准对投标文件进行初步评审。有一项不符合评审标准的，评标委员会应当否决其投标。</w:t>
      </w:r>
    </w:p>
    <w:p w14:paraId="1EA9A468">
      <w:pPr>
        <w:spacing w:line="360" w:lineRule="auto"/>
        <w:ind w:firstLine="480" w:firstLineChars="200"/>
        <w:rPr>
          <w:rFonts w:ascii="宋体" w:hAnsi="宋体"/>
          <w:sz w:val="24"/>
          <w:szCs w:val="24"/>
        </w:rPr>
      </w:pPr>
      <w:r>
        <w:rPr>
          <w:rFonts w:ascii="宋体" w:hAnsi="宋体"/>
          <w:sz w:val="24"/>
          <w:szCs w:val="24"/>
        </w:rPr>
        <w:t>3.1.2</w:t>
      </w:r>
      <w:r>
        <w:rPr>
          <w:rFonts w:hint="eastAsia" w:ascii="宋体" w:hAnsi="宋体"/>
          <w:sz w:val="24"/>
          <w:szCs w:val="24"/>
        </w:rPr>
        <w:t>投标人有以下情形之一的，评标委员会应当否决其投标：</w:t>
      </w:r>
    </w:p>
    <w:p w14:paraId="23B6335F">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）投标文件没有对招标文件的实质性要求和条件作出响应，或者对招标文件的偏差超出招标文件规定的偏差范围或最高项数；</w:t>
      </w:r>
    </w:p>
    <w:p w14:paraId="773E49CC">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）有串通投标、弄虚作假、行贿等违法行为。</w:t>
      </w:r>
    </w:p>
    <w:p w14:paraId="0CEDC77F">
      <w:pPr>
        <w:spacing w:line="360" w:lineRule="auto"/>
        <w:ind w:firstLine="480" w:firstLineChars="200"/>
        <w:rPr>
          <w:rFonts w:ascii="宋体" w:hAnsi="宋体"/>
          <w:sz w:val="24"/>
          <w:szCs w:val="24"/>
        </w:rPr>
      </w:pPr>
      <w:r>
        <w:rPr>
          <w:rFonts w:ascii="宋体" w:hAnsi="宋体"/>
          <w:sz w:val="24"/>
          <w:szCs w:val="24"/>
        </w:rPr>
        <w:t>3.1.3</w:t>
      </w:r>
      <w:r>
        <w:rPr>
          <w:rFonts w:hint="eastAsia" w:ascii="宋体" w:hAnsi="宋体"/>
          <w:sz w:val="24"/>
          <w:szCs w:val="24"/>
        </w:rPr>
        <w:t>投标报价有算术错误及其他错误的，评标委员会按以下原则要求投标人对投标报价进行修正，并要求投标人书面澄清确认。投标人拒不澄清确认的，评标委员会应当否决其投标：</w:t>
      </w:r>
    </w:p>
    <w:p w14:paraId="0B65BD0E">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）投标文件中的大写金额与小写金额不一致的，以大写金额为准；</w:t>
      </w:r>
    </w:p>
    <w:p w14:paraId="7747E96A">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）总价金额与单价金额不一致的，以单价金额为准，但单价金额小数点有明显错误的除外。</w:t>
      </w:r>
    </w:p>
    <w:p w14:paraId="38EC92F2">
      <w:pPr>
        <w:spacing w:line="360" w:lineRule="auto"/>
        <w:ind w:firstLine="480" w:firstLineChars="200"/>
        <w:rPr>
          <w:rFonts w:ascii="宋体" w:hAnsi="宋体"/>
          <w:sz w:val="24"/>
          <w:szCs w:val="24"/>
        </w:rPr>
      </w:pPr>
      <w:r>
        <w:rPr>
          <w:rFonts w:hint="eastAsia" w:ascii="宋体" w:hAnsi="宋体"/>
          <w:sz w:val="24"/>
          <w:szCs w:val="24"/>
        </w:rPr>
        <w:t>（3）当本项目（1-投标报价/暂定金额）*100%与投标下浮率不一致时，按（1-投标报价/暂定金额）*100%修正投标人的投标下浮率。</w:t>
      </w:r>
    </w:p>
    <w:p w14:paraId="06C30C9E">
      <w:pPr>
        <w:rPr>
          <w:rFonts w:ascii="宋体" w:hAnsi="宋体"/>
        </w:rPr>
      </w:pPr>
    </w:p>
    <w:p w14:paraId="0BB984FA">
      <w:pPr>
        <w:pStyle w:val="8"/>
      </w:pPr>
      <w:bookmarkStart w:id="188" w:name="bookmark90"/>
      <w:bookmarkEnd w:id="188"/>
      <w:r>
        <w:t xml:space="preserve">3.2 </w:t>
      </w:r>
      <w:r>
        <w:rPr>
          <w:rFonts w:hint="eastAsia"/>
        </w:rPr>
        <w:t>详细评审</w:t>
      </w:r>
    </w:p>
    <w:p w14:paraId="13037E40">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评标委员会按本章第</w:t>
      </w:r>
      <w:r>
        <w:rPr>
          <w:rFonts w:ascii="宋体" w:hAnsi="宋体"/>
          <w:sz w:val="24"/>
          <w:szCs w:val="24"/>
        </w:rPr>
        <w:t>2.2</w:t>
      </w:r>
      <w:r>
        <w:rPr>
          <w:rFonts w:hint="eastAsia" w:ascii="宋体" w:hAnsi="宋体"/>
          <w:sz w:val="24"/>
          <w:szCs w:val="24"/>
        </w:rPr>
        <w:t>款规定的量化因素和分值进行打分，并计算出综合评估得分。</w:t>
      </w:r>
    </w:p>
    <w:p w14:paraId="6ABC11E9">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1</w:t>
      </w:r>
      <w:r>
        <w:rPr>
          <w:rFonts w:hint="eastAsia" w:ascii="宋体" w:hAnsi="宋体"/>
          <w:sz w:val="24"/>
          <w:szCs w:val="24"/>
        </w:rPr>
        <w:t>）目规定的评审因素和分值对</w:t>
      </w:r>
      <w:r>
        <w:rPr>
          <w:rFonts w:hint="eastAsia" w:ascii="宋体" w:hAnsi="宋体"/>
          <w:bCs/>
          <w:sz w:val="24"/>
          <w:szCs w:val="24"/>
        </w:rPr>
        <w:t>企业综合实力</w:t>
      </w:r>
      <w:r>
        <w:rPr>
          <w:rFonts w:hint="eastAsia" w:ascii="宋体" w:hAnsi="宋体"/>
          <w:sz w:val="24"/>
          <w:szCs w:val="24"/>
        </w:rPr>
        <w:t>部分计算出得分</w:t>
      </w:r>
      <w:r>
        <w:rPr>
          <w:rFonts w:hint="eastAsia" w:ascii="宋体" w:hAnsi="宋体"/>
          <w:b/>
          <w:szCs w:val="21"/>
        </w:rPr>
        <w:t>A</w:t>
      </w:r>
      <w:r>
        <w:rPr>
          <w:rFonts w:hint="eastAsia" w:ascii="宋体" w:hAnsi="宋体"/>
          <w:sz w:val="24"/>
          <w:szCs w:val="24"/>
        </w:rPr>
        <w:t>；</w:t>
      </w:r>
    </w:p>
    <w:p w14:paraId="4E311524">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2</w:t>
      </w:r>
      <w:r>
        <w:rPr>
          <w:rFonts w:hint="eastAsia" w:ascii="宋体" w:hAnsi="宋体"/>
          <w:sz w:val="24"/>
          <w:szCs w:val="24"/>
        </w:rPr>
        <w:t>）目规定的评审因素和分值对技术方案部分计算出得分</w:t>
      </w:r>
      <w:r>
        <w:rPr>
          <w:rFonts w:hint="eastAsia" w:ascii="宋体" w:hAnsi="宋体"/>
          <w:b/>
          <w:szCs w:val="21"/>
        </w:rPr>
        <w:t>B</w:t>
      </w:r>
      <w:r>
        <w:rPr>
          <w:rFonts w:hint="eastAsia" w:ascii="宋体" w:hAnsi="宋体"/>
          <w:sz w:val="24"/>
          <w:szCs w:val="24"/>
        </w:rPr>
        <w:t>；</w:t>
      </w:r>
    </w:p>
    <w:p w14:paraId="71533086">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3</w:t>
      </w:r>
      <w:r>
        <w:rPr>
          <w:rFonts w:hint="eastAsia" w:ascii="宋体" w:hAnsi="宋体"/>
          <w:sz w:val="24"/>
          <w:szCs w:val="24"/>
        </w:rPr>
        <w:t>）目规定的评审因素和分值对投标报价部分计算出得分</w:t>
      </w:r>
      <w:r>
        <w:rPr>
          <w:rFonts w:hint="eastAsia" w:ascii="宋体" w:hAnsi="宋体"/>
          <w:b/>
          <w:szCs w:val="21"/>
        </w:rPr>
        <w:t>C</w:t>
      </w:r>
      <w:r>
        <w:rPr>
          <w:rFonts w:hint="eastAsia" w:ascii="宋体" w:hAnsi="宋体"/>
          <w:sz w:val="24"/>
          <w:szCs w:val="24"/>
        </w:rPr>
        <w:t>；</w:t>
      </w:r>
    </w:p>
    <w:p w14:paraId="067668EB">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4</w:t>
      </w:r>
      <w:r>
        <w:rPr>
          <w:rFonts w:hint="eastAsia" w:ascii="宋体" w:hAnsi="宋体"/>
          <w:sz w:val="24"/>
          <w:szCs w:val="24"/>
        </w:rPr>
        <w:t>）目规定的评审因素和分值对其他因素部分计算出得分</w:t>
      </w:r>
      <w:r>
        <w:rPr>
          <w:rFonts w:hint="eastAsia" w:ascii="宋体" w:hAnsi="宋体"/>
          <w:b/>
          <w:szCs w:val="21"/>
        </w:rPr>
        <w:t>D</w:t>
      </w:r>
      <w:r>
        <w:rPr>
          <w:rFonts w:hint="eastAsia" w:ascii="宋体" w:hAnsi="宋体"/>
          <w:sz w:val="24"/>
          <w:szCs w:val="24"/>
        </w:rPr>
        <w:t>。</w:t>
      </w:r>
    </w:p>
    <w:p w14:paraId="505BD75E">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评分分值计算保留小数点后两位，小数点后第三位“四舍五入”。</w:t>
      </w:r>
    </w:p>
    <w:p w14:paraId="69E213D2">
      <w:pPr>
        <w:spacing w:line="360" w:lineRule="auto"/>
        <w:ind w:firstLine="480" w:firstLineChars="200"/>
        <w:rPr>
          <w:rFonts w:ascii="宋体" w:hAnsi="宋体"/>
          <w:sz w:val="24"/>
          <w:szCs w:val="24"/>
          <w:u w:val="single"/>
        </w:rPr>
      </w:pPr>
      <w:r>
        <w:rPr>
          <w:rFonts w:ascii="宋体" w:hAnsi="宋体"/>
          <w:sz w:val="24"/>
          <w:szCs w:val="24"/>
        </w:rPr>
        <w:t>3.2.3</w:t>
      </w:r>
      <w:r>
        <w:rPr>
          <w:rFonts w:hint="eastAsia" w:ascii="宋体" w:hAnsi="宋体"/>
          <w:sz w:val="24"/>
          <w:szCs w:val="24"/>
        </w:rPr>
        <w:t>投标人总得分：</w:t>
      </w:r>
      <w:r>
        <w:rPr>
          <w:rFonts w:hint="eastAsia" w:ascii="宋体" w:hAnsi="宋体"/>
          <w:sz w:val="24"/>
          <w:szCs w:val="24"/>
          <w:u w:val="single"/>
        </w:rPr>
        <w:t>评标办法前附表</w:t>
      </w:r>
    </w:p>
    <w:p w14:paraId="4C994DB6">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75545FC">
      <w:pPr>
        <w:rPr>
          <w:rFonts w:ascii="宋体" w:hAnsi="宋体"/>
        </w:rPr>
      </w:pPr>
    </w:p>
    <w:p w14:paraId="13486D91">
      <w:pPr>
        <w:pStyle w:val="8"/>
      </w:pPr>
      <w:bookmarkStart w:id="189" w:name="bookmark91"/>
      <w:bookmarkEnd w:id="189"/>
      <w:r>
        <w:t xml:space="preserve">3.3 </w:t>
      </w:r>
      <w:r>
        <w:rPr>
          <w:rFonts w:hint="eastAsia"/>
        </w:rPr>
        <w:t>投标文件的澄清</w:t>
      </w:r>
    </w:p>
    <w:p w14:paraId="5DF5567F">
      <w:pPr>
        <w:spacing w:line="360" w:lineRule="auto"/>
        <w:ind w:firstLine="480" w:firstLineChars="200"/>
        <w:rPr>
          <w:rFonts w:ascii="宋体" w:hAnsi="宋体"/>
          <w:sz w:val="24"/>
          <w:szCs w:val="24"/>
        </w:rPr>
      </w:pPr>
      <w:r>
        <w:rPr>
          <w:rFonts w:ascii="宋体" w:hAnsi="宋体"/>
          <w:sz w:val="24"/>
          <w:szCs w:val="24"/>
        </w:rPr>
        <w:t>3.3.1</w:t>
      </w:r>
      <w:r>
        <w:rPr>
          <w:rFonts w:hint="eastAsia" w:ascii="宋体" w:hAnsi="宋体"/>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E517EE2">
      <w:pPr>
        <w:spacing w:line="360" w:lineRule="auto"/>
        <w:ind w:firstLine="480" w:firstLineChars="200"/>
        <w:rPr>
          <w:rFonts w:ascii="宋体" w:hAnsi="宋体"/>
          <w:sz w:val="24"/>
          <w:szCs w:val="24"/>
        </w:rPr>
      </w:pPr>
      <w:r>
        <w:rPr>
          <w:rFonts w:ascii="宋体" w:hAnsi="宋体"/>
          <w:sz w:val="24"/>
          <w:szCs w:val="24"/>
        </w:rPr>
        <w:t>3.3.2</w:t>
      </w:r>
      <w:r>
        <w:rPr>
          <w:rFonts w:hint="eastAsia" w:ascii="宋体" w:hAnsi="宋体"/>
          <w:sz w:val="24"/>
          <w:szCs w:val="24"/>
        </w:rPr>
        <w:t>澄清、说明或补正不得超出投标文件的范围且不得改变投标文件的实质性内容，并构成投标文件的组成部分。</w:t>
      </w:r>
    </w:p>
    <w:p w14:paraId="6F43F9C9">
      <w:pPr>
        <w:spacing w:line="360" w:lineRule="auto"/>
        <w:ind w:firstLine="480" w:firstLineChars="200"/>
        <w:rPr>
          <w:rFonts w:ascii="宋体" w:hAnsi="宋体"/>
          <w:sz w:val="24"/>
          <w:szCs w:val="24"/>
        </w:rPr>
      </w:pPr>
      <w:r>
        <w:rPr>
          <w:rFonts w:ascii="宋体" w:hAnsi="宋体"/>
          <w:sz w:val="24"/>
          <w:szCs w:val="24"/>
        </w:rPr>
        <w:t>3.3.3</w:t>
      </w:r>
      <w:r>
        <w:rPr>
          <w:rFonts w:hint="eastAsia" w:ascii="宋体" w:hAnsi="宋体"/>
          <w:sz w:val="24"/>
          <w:szCs w:val="24"/>
        </w:rPr>
        <w:t>评标委员会对投标人提交的澄清、说明或补正有疑问的，可以要求投标人进一步澄清、说明或补正，直至满足评标委员会的要求。</w:t>
      </w:r>
    </w:p>
    <w:p w14:paraId="4EA022D9">
      <w:pPr>
        <w:rPr>
          <w:rFonts w:ascii="宋体" w:hAnsi="宋体"/>
        </w:rPr>
      </w:pPr>
    </w:p>
    <w:p w14:paraId="3980CFAD">
      <w:pPr>
        <w:pStyle w:val="8"/>
      </w:pPr>
      <w:bookmarkStart w:id="190" w:name="bookmark92"/>
      <w:bookmarkEnd w:id="190"/>
      <w:r>
        <w:t xml:space="preserve">3.4 </w:t>
      </w:r>
      <w:r>
        <w:rPr>
          <w:rFonts w:hint="eastAsia"/>
        </w:rPr>
        <w:t>评标结果</w:t>
      </w:r>
    </w:p>
    <w:p w14:paraId="166010C2">
      <w:pPr>
        <w:spacing w:line="360" w:lineRule="auto"/>
        <w:ind w:firstLine="480" w:firstLineChars="200"/>
        <w:rPr>
          <w:rFonts w:ascii="宋体" w:hAnsi="宋体"/>
          <w:sz w:val="24"/>
          <w:szCs w:val="24"/>
        </w:rPr>
      </w:pPr>
      <w:r>
        <w:rPr>
          <w:rFonts w:ascii="宋体" w:hAnsi="宋体"/>
          <w:sz w:val="24"/>
          <w:szCs w:val="24"/>
        </w:rPr>
        <w:t>3.4.1</w:t>
      </w:r>
      <w:r>
        <w:rPr>
          <w:rFonts w:hint="eastAsia" w:ascii="宋体" w:hAnsi="宋体"/>
          <w:sz w:val="24"/>
          <w:szCs w:val="24"/>
        </w:rPr>
        <w:t>除第二章“投标人须知”前附表授权直接确定中标人外，评标委员会按照得分由高到低的顺序推荐中标候选人，并标明排序。</w:t>
      </w:r>
    </w:p>
    <w:p w14:paraId="3D8157C4">
      <w:pPr>
        <w:ind w:firstLine="540" w:firstLineChars="225"/>
        <w:rPr>
          <w:rFonts w:ascii="宋体" w:hAnsi="宋体"/>
          <w:sz w:val="24"/>
          <w:szCs w:val="24"/>
        </w:rPr>
      </w:pPr>
      <w:r>
        <w:rPr>
          <w:rFonts w:ascii="宋体" w:hAnsi="宋体"/>
          <w:sz w:val="24"/>
          <w:szCs w:val="24"/>
        </w:rPr>
        <w:t>3.4.2</w:t>
      </w:r>
      <w:r>
        <w:rPr>
          <w:rFonts w:hint="eastAsia" w:ascii="宋体" w:hAnsi="宋体"/>
          <w:sz w:val="24"/>
          <w:szCs w:val="24"/>
        </w:rPr>
        <w:t>评标委员会完成评标后，应当向招标人提交书面评标报告和中标候选人名单。</w:t>
      </w:r>
    </w:p>
    <w:p w14:paraId="2A789C82">
      <w:pPr>
        <w:adjustRightInd w:val="0"/>
        <w:snapToGrid w:val="0"/>
        <w:spacing w:line="360" w:lineRule="auto"/>
        <w:jc w:val="center"/>
        <w:rPr>
          <w:rFonts w:ascii="宋体" w:hAnsi="宋体"/>
          <w:szCs w:val="21"/>
        </w:rPr>
      </w:pPr>
      <w:r>
        <w:rPr>
          <w:rFonts w:ascii="宋体" w:hAnsi="宋体"/>
          <w:szCs w:val="21"/>
        </w:rPr>
        <w:t xml:space="preserve"> </w:t>
      </w:r>
    </w:p>
    <w:p w14:paraId="05558E51">
      <w:pPr>
        <w:adjustRightInd w:val="0"/>
        <w:snapToGrid w:val="0"/>
        <w:spacing w:line="360" w:lineRule="auto"/>
        <w:jc w:val="center"/>
        <w:rPr>
          <w:rFonts w:ascii="宋体" w:hAnsi="宋体"/>
          <w:b/>
          <w:sz w:val="36"/>
          <w:szCs w:val="36"/>
        </w:rPr>
      </w:pPr>
    </w:p>
    <w:p w14:paraId="03421C13">
      <w:pPr>
        <w:pStyle w:val="3"/>
        <w:numPr>
          <w:ilvl w:val="0"/>
          <w:numId w:val="2"/>
        </w:numPr>
      </w:pPr>
      <w:r>
        <w:rPr>
          <w:sz w:val="24"/>
          <w:szCs w:val="24"/>
        </w:rPr>
        <w:br w:type="page"/>
      </w:r>
      <w:bookmarkStart w:id="191" w:name="_Toc16015"/>
      <w:bookmarkStart w:id="192" w:name="_Toc533357322"/>
      <w:r>
        <w:rPr>
          <w:rFonts w:hint="eastAsia"/>
        </w:rPr>
        <w:t xml:space="preserve"> 合同条款及格式</w:t>
      </w:r>
      <w:bookmarkEnd w:id="191"/>
      <w:bookmarkEnd w:id="192"/>
      <w:bookmarkStart w:id="193" w:name="_Toc533357324"/>
    </w:p>
    <w:p w14:paraId="4B11F1C9"/>
    <w:p w14:paraId="4A51DDF8">
      <w:pPr>
        <w:pStyle w:val="2"/>
      </w:pPr>
    </w:p>
    <w:p w14:paraId="023183AD">
      <w:pPr>
        <w:jc w:val="center"/>
        <w:rPr>
          <w:sz w:val="28"/>
          <w:szCs w:val="28"/>
        </w:rPr>
      </w:pPr>
      <w:r>
        <w:rPr>
          <w:rFonts w:hint="eastAsia"/>
          <w:sz w:val="28"/>
          <w:szCs w:val="28"/>
        </w:rPr>
        <w:t>（别册）</w:t>
      </w:r>
    </w:p>
    <w:p w14:paraId="33AECBFF">
      <w:pPr>
        <w:pStyle w:val="28"/>
      </w:pPr>
    </w:p>
    <w:p w14:paraId="2F4EE654">
      <w:pPr>
        <w:widowControl/>
        <w:jc w:val="left"/>
        <w:rPr>
          <w:szCs w:val="24"/>
        </w:rPr>
      </w:pPr>
      <w:r>
        <w:br w:type="page"/>
      </w:r>
    </w:p>
    <w:p w14:paraId="47532036">
      <w:pPr>
        <w:pStyle w:val="3"/>
      </w:pPr>
      <w:bookmarkStart w:id="194" w:name="_Toc10110"/>
      <w:r>
        <w:rPr>
          <w:rFonts w:hint="eastAsia"/>
        </w:rPr>
        <w:t>第二卷</w:t>
      </w:r>
      <w:bookmarkEnd w:id="194"/>
    </w:p>
    <w:p w14:paraId="061784B7">
      <w:pPr>
        <w:pStyle w:val="3"/>
      </w:pPr>
      <w:bookmarkStart w:id="195" w:name="_Toc3902"/>
      <w:r>
        <w:rPr>
          <w:rFonts w:hint="eastAsia"/>
        </w:rPr>
        <w:t>第五章 委托人要求</w:t>
      </w:r>
      <w:bookmarkEnd w:id="195"/>
    </w:p>
    <w:p w14:paraId="6F4DC3BC">
      <w:pPr>
        <w:spacing w:line="491" w:lineRule="exact"/>
        <w:jc w:val="center"/>
        <w:outlineLvl w:val="1"/>
        <w:rPr>
          <w:rFonts w:ascii="宋体" w:hAnsi="宋体"/>
          <w:b/>
          <w:sz w:val="32"/>
          <w:szCs w:val="32"/>
        </w:rPr>
      </w:pPr>
      <w:r>
        <w:rPr>
          <w:rFonts w:hint="eastAsia" w:ascii="宋体" w:hAnsi="宋体"/>
          <w:b/>
          <w:sz w:val="32"/>
          <w:szCs w:val="32"/>
        </w:rPr>
        <w:t>第一部分：检测服务</w:t>
      </w:r>
    </w:p>
    <w:p w14:paraId="144F4AC6">
      <w:pPr>
        <w:spacing w:line="360" w:lineRule="auto"/>
        <w:rPr>
          <w:rFonts w:ascii="宋体" w:hAnsi="宋体" w:cs="宋体"/>
          <w:b/>
          <w:sz w:val="28"/>
          <w:szCs w:val="28"/>
        </w:rPr>
      </w:pPr>
      <w:r>
        <w:rPr>
          <w:rFonts w:hint="eastAsia" w:ascii="宋体" w:hAnsi="宋体" w:cs="宋体"/>
          <w:b/>
          <w:sz w:val="28"/>
          <w:szCs w:val="28"/>
        </w:rPr>
        <w:t>一、技术标准、规范</w:t>
      </w:r>
    </w:p>
    <w:p w14:paraId="183BE808">
      <w:pPr>
        <w:pStyle w:val="71"/>
        <w:ind w:firstLine="480" w:firstLineChars="200"/>
        <w:jc w:val="both"/>
        <w:rPr>
          <w:rFonts w:ascii="宋体" w:hAnsi="宋体" w:eastAsia="宋体" w:cs="宋体"/>
          <w:bCs/>
          <w:szCs w:val="24"/>
        </w:rPr>
      </w:pPr>
      <w:r>
        <w:rPr>
          <w:rFonts w:hint="eastAsia" w:ascii="宋体" w:hAnsi="宋体" w:eastAsia="宋体" w:cs="宋体"/>
          <w:bCs/>
          <w:szCs w:val="24"/>
        </w:rPr>
        <w:t>依据本项目设计文件的要求，本次招标的检测技术服务须达到中华人民共和国、广东省、广州市、黄埔区（开发区）以及行业主管部门现行有效的检测技术标准、规范及规定的要求，检测适用的技术标准、规范等依据必须符合相关监督管理部门的规范标准。各文件或规范的要求、标准存在不同的，以较高要求或标准为准，但招标人另有要求的除外。具体包括但不限于：</w:t>
      </w:r>
    </w:p>
    <w:p w14:paraId="5B6A5CD5">
      <w:pPr>
        <w:pStyle w:val="71"/>
        <w:ind w:firstLine="480" w:firstLineChars="200"/>
        <w:jc w:val="both"/>
        <w:rPr>
          <w:rFonts w:ascii="宋体" w:hAnsi="宋体" w:eastAsia="宋体" w:cs="宋体"/>
          <w:bCs/>
          <w:szCs w:val="24"/>
        </w:rPr>
      </w:pPr>
      <w:r>
        <w:rPr>
          <w:rFonts w:hint="eastAsia" w:ascii="宋体" w:hAnsi="宋体" w:eastAsia="宋体" w:cs="宋体"/>
          <w:bCs/>
          <w:szCs w:val="24"/>
        </w:rPr>
        <w:t>1</w:t>
      </w:r>
      <w:r>
        <w:rPr>
          <w:rFonts w:ascii="宋体" w:hAnsi="宋体" w:eastAsia="宋体" w:cs="宋体"/>
          <w:bCs/>
          <w:szCs w:val="24"/>
        </w:rPr>
        <w:t>.</w:t>
      </w:r>
      <w:r>
        <w:rPr>
          <w:rFonts w:hint="eastAsia" w:ascii="宋体" w:hAnsi="宋体" w:eastAsia="宋体" w:cs="宋体"/>
          <w:bCs/>
          <w:szCs w:val="24"/>
        </w:rPr>
        <w:t>《建筑工程施工质量验收统一标准》（GB50300-2013）；</w:t>
      </w:r>
    </w:p>
    <w:p w14:paraId="71193CAD">
      <w:pPr>
        <w:pStyle w:val="71"/>
        <w:ind w:firstLine="480" w:firstLineChars="200"/>
        <w:jc w:val="both"/>
        <w:rPr>
          <w:rFonts w:ascii="宋体" w:hAnsi="宋体" w:eastAsia="宋体" w:cs="宋体"/>
          <w:bCs/>
          <w:szCs w:val="24"/>
        </w:rPr>
      </w:pPr>
      <w:r>
        <w:rPr>
          <w:rFonts w:hint="eastAsia" w:ascii="宋体" w:hAnsi="宋体" w:eastAsia="宋体" w:cs="宋体"/>
          <w:bCs/>
          <w:szCs w:val="24"/>
        </w:rPr>
        <w:t>2</w:t>
      </w:r>
      <w:r>
        <w:rPr>
          <w:rFonts w:ascii="宋体" w:hAnsi="宋体" w:eastAsia="宋体" w:cs="宋体"/>
          <w:bCs/>
          <w:szCs w:val="24"/>
        </w:rPr>
        <w:t>.</w:t>
      </w:r>
      <w:r>
        <w:rPr>
          <w:rFonts w:hint="eastAsia" w:ascii="宋体" w:hAnsi="宋体" w:eastAsia="宋体" w:cs="宋体"/>
          <w:bCs/>
          <w:szCs w:val="24"/>
        </w:rPr>
        <w:t>《建筑地基基础工程施工质量验收规范》（G</w:t>
      </w:r>
      <w:r>
        <w:rPr>
          <w:rFonts w:ascii="宋体" w:hAnsi="宋体" w:eastAsia="宋体" w:cs="宋体"/>
          <w:bCs/>
          <w:szCs w:val="24"/>
        </w:rPr>
        <w:t>B50202-2009</w:t>
      </w:r>
      <w:r>
        <w:rPr>
          <w:rFonts w:hint="eastAsia" w:ascii="宋体" w:hAnsi="宋体" w:eastAsia="宋体" w:cs="宋体"/>
          <w:bCs/>
          <w:szCs w:val="24"/>
        </w:rPr>
        <w:t>）；</w:t>
      </w:r>
    </w:p>
    <w:p w14:paraId="199204D6">
      <w:pPr>
        <w:pStyle w:val="71"/>
        <w:ind w:firstLine="480" w:firstLineChars="200"/>
        <w:jc w:val="both"/>
        <w:rPr>
          <w:rFonts w:ascii="宋体" w:hAnsi="宋体" w:eastAsia="宋体" w:cs="宋体"/>
          <w:bCs/>
          <w:szCs w:val="24"/>
        </w:rPr>
      </w:pPr>
      <w:r>
        <w:rPr>
          <w:rFonts w:hint="eastAsia" w:ascii="宋体" w:hAnsi="宋体" w:eastAsia="宋体" w:cs="宋体"/>
          <w:bCs/>
          <w:szCs w:val="24"/>
        </w:rPr>
        <w:t>3</w:t>
      </w:r>
      <w:r>
        <w:rPr>
          <w:rFonts w:ascii="宋体" w:hAnsi="宋体" w:eastAsia="宋体" w:cs="宋体"/>
          <w:bCs/>
          <w:szCs w:val="24"/>
        </w:rPr>
        <w:t>.</w:t>
      </w:r>
      <w:r>
        <w:rPr>
          <w:rFonts w:hint="eastAsia" w:ascii="宋体" w:hAnsi="宋体" w:eastAsia="宋体" w:cs="宋体"/>
          <w:bCs/>
          <w:szCs w:val="24"/>
        </w:rPr>
        <w:t>《人民防空工程质量验收与评价标准》（R</w:t>
      </w:r>
      <w:r>
        <w:rPr>
          <w:rFonts w:ascii="宋体" w:hAnsi="宋体" w:eastAsia="宋体" w:cs="宋体"/>
          <w:bCs/>
          <w:szCs w:val="24"/>
        </w:rPr>
        <w:t>FJ01-2015</w:t>
      </w:r>
      <w:r>
        <w:rPr>
          <w:rFonts w:hint="eastAsia" w:ascii="宋体" w:hAnsi="宋体" w:eastAsia="宋体" w:cs="宋体"/>
          <w:bCs/>
          <w:szCs w:val="24"/>
        </w:rPr>
        <w:t>）；</w:t>
      </w:r>
    </w:p>
    <w:p w14:paraId="6BEFAD3A">
      <w:pPr>
        <w:pStyle w:val="71"/>
        <w:ind w:firstLine="480" w:firstLineChars="200"/>
        <w:jc w:val="both"/>
        <w:rPr>
          <w:rFonts w:ascii="宋体" w:hAnsi="宋体" w:eastAsia="宋体" w:cs="宋体"/>
          <w:bCs/>
          <w:szCs w:val="24"/>
        </w:rPr>
      </w:pPr>
      <w:r>
        <w:rPr>
          <w:rFonts w:ascii="宋体" w:hAnsi="宋体" w:eastAsia="宋体" w:cs="宋体"/>
          <w:bCs/>
          <w:szCs w:val="24"/>
        </w:rPr>
        <w:t>4.</w:t>
      </w:r>
      <w:r>
        <w:rPr>
          <w:rFonts w:hint="eastAsia" w:ascii="宋体" w:hAnsi="宋体" w:eastAsia="宋体" w:cs="宋体"/>
          <w:bCs/>
          <w:szCs w:val="24"/>
        </w:rPr>
        <w:t>《混凝土结构工程施工质量验收规范》（GB50204-2015）；</w:t>
      </w:r>
    </w:p>
    <w:p w14:paraId="72563B6E">
      <w:pPr>
        <w:pStyle w:val="71"/>
        <w:ind w:firstLine="480" w:firstLineChars="200"/>
        <w:jc w:val="both"/>
        <w:rPr>
          <w:rFonts w:ascii="宋体" w:hAnsi="宋体" w:eastAsia="宋体" w:cs="宋体"/>
          <w:bCs/>
          <w:szCs w:val="24"/>
        </w:rPr>
      </w:pPr>
      <w:r>
        <w:rPr>
          <w:rFonts w:ascii="宋体" w:hAnsi="宋体" w:eastAsia="宋体" w:cs="宋体"/>
          <w:bCs/>
          <w:szCs w:val="24"/>
        </w:rPr>
        <w:t>5.</w:t>
      </w:r>
      <w:r>
        <w:rPr>
          <w:rFonts w:hint="eastAsia" w:ascii="宋体" w:hAnsi="宋体" w:eastAsia="宋体" w:cs="宋体"/>
          <w:bCs/>
          <w:szCs w:val="24"/>
        </w:rPr>
        <w:t>《砌体工程施工质量验收规范》（GB50203-2011）；</w:t>
      </w:r>
    </w:p>
    <w:p w14:paraId="204A1A88">
      <w:pPr>
        <w:pStyle w:val="71"/>
        <w:ind w:firstLine="480" w:firstLineChars="200"/>
        <w:jc w:val="both"/>
        <w:rPr>
          <w:rFonts w:ascii="宋体" w:hAnsi="宋体" w:eastAsia="宋体" w:cs="宋体"/>
          <w:bCs/>
          <w:szCs w:val="24"/>
        </w:rPr>
      </w:pPr>
      <w:r>
        <w:rPr>
          <w:rFonts w:ascii="宋体" w:hAnsi="宋体" w:eastAsia="宋体" w:cs="宋体"/>
          <w:bCs/>
          <w:szCs w:val="24"/>
        </w:rPr>
        <w:t>6.</w:t>
      </w:r>
      <w:r>
        <w:rPr>
          <w:rFonts w:hint="eastAsia" w:ascii="宋体" w:hAnsi="宋体" w:eastAsia="宋体" w:cs="宋体"/>
          <w:bCs/>
          <w:szCs w:val="24"/>
        </w:rPr>
        <w:t>《屋面工程质量验收规范》（GB50207-2012）；</w:t>
      </w:r>
    </w:p>
    <w:p w14:paraId="6E013B49">
      <w:pPr>
        <w:pStyle w:val="71"/>
        <w:ind w:firstLine="480" w:firstLineChars="200"/>
        <w:jc w:val="both"/>
        <w:rPr>
          <w:rFonts w:ascii="宋体" w:hAnsi="宋体" w:eastAsia="宋体" w:cs="宋体"/>
          <w:bCs/>
          <w:szCs w:val="24"/>
        </w:rPr>
      </w:pPr>
      <w:r>
        <w:rPr>
          <w:rFonts w:ascii="宋体" w:hAnsi="宋体" w:eastAsia="宋体" w:cs="宋体"/>
          <w:bCs/>
          <w:szCs w:val="24"/>
        </w:rPr>
        <w:t>7.</w:t>
      </w:r>
      <w:r>
        <w:rPr>
          <w:rFonts w:hint="eastAsia" w:ascii="宋体" w:hAnsi="宋体" w:eastAsia="宋体" w:cs="宋体"/>
          <w:bCs/>
          <w:szCs w:val="24"/>
        </w:rPr>
        <w:t>《给水排水管道工程施工及验收规范》（GB50268-2008）；</w:t>
      </w:r>
    </w:p>
    <w:p w14:paraId="49D62933">
      <w:pPr>
        <w:pStyle w:val="71"/>
        <w:ind w:firstLine="480" w:firstLineChars="200"/>
        <w:jc w:val="both"/>
        <w:rPr>
          <w:rFonts w:ascii="宋体" w:hAnsi="宋体" w:eastAsia="宋体" w:cs="宋体"/>
          <w:bCs/>
          <w:szCs w:val="24"/>
        </w:rPr>
      </w:pPr>
      <w:r>
        <w:rPr>
          <w:rFonts w:ascii="宋体" w:hAnsi="宋体" w:eastAsia="宋体" w:cs="宋体"/>
          <w:bCs/>
          <w:szCs w:val="24"/>
        </w:rPr>
        <w:t>8.</w:t>
      </w:r>
      <w:r>
        <w:rPr>
          <w:rFonts w:hint="eastAsia" w:ascii="宋体" w:hAnsi="宋体" w:eastAsia="宋体" w:cs="宋体"/>
          <w:bCs/>
          <w:szCs w:val="24"/>
        </w:rPr>
        <w:t>《建筑地面工程施工质量验收规范》（GB50209-2002）；</w:t>
      </w:r>
    </w:p>
    <w:p w14:paraId="15762793">
      <w:pPr>
        <w:pStyle w:val="71"/>
        <w:ind w:firstLine="480" w:firstLineChars="200"/>
        <w:jc w:val="both"/>
        <w:rPr>
          <w:rFonts w:ascii="宋体" w:hAnsi="宋体" w:eastAsia="宋体" w:cs="宋体"/>
          <w:bCs/>
          <w:szCs w:val="24"/>
        </w:rPr>
      </w:pPr>
      <w:r>
        <w:rPr>
          <w:rFonts w:ascii="宋体" w:hAnsi="宋体" w:eastAsia="宋体" w:cs="宋体"/>
          <w:bCs/>
          <w:szCs w:val="24"/>
        </w:rPr>
        <w:t>9.</w:t>
      </w:r>
      <w:r>
        <w:rPr>
          <w:rFonts w:hint="eastAsia" w:ascii="宋体" w:hAnsi="宋体" w:eastAsia="宋体" w:cs="宋体"/>
          <w:bCs/>
          <w:szCs w:val="24"/>
        </w:rPr>
        <w:t>《建筑装饰装修工程质量验收规范》（GB50300-2018）；</w:t>
      </w:r>
    </w:p>
    <w:p w14:paraId="082959FA">
      <w:pPr>
        <w:pStyle w:val="71"/>
        <w:ind w:firstLine="480" w:firstLineChars="200"/>
        <w:jc w:val="both"/>
        <w:rPr>
          <w:rFonts w:ascii="宋体" w:hAnsi="宋体" w:eastAsia="宋体" w:cs="宋体"/>
          <w:bCs/>
          <w:szCs w:val="24"/>
        </w:rPr>
      </w:pPr>
      <w:r>
        <w:rPr>
          <w:rFonts w:ascii="宋体" w:hAnsi="宋体" w:eastAsia="宋体" w:cs="宋体"/>
          <w:bCs/>
          <w:szCs w:val="24"/>
        </w:rPr>
        <w:t>10.</w:t>
      </w:r>
      <w:r>
        <w:rPr>
          <w:rFonts w:hint="eastAsia" w:ascii="宋体" w:hAnsi="宋体" w:eastAsia="宋体" w:cs="宋体"/>
          <w:bCs/>
          <w:szCs w:val="24"/>
        </w:rPr>
        <w:t>《广东省建筑节能工程施工质量验收规范》（DBJ15-65-2009）；</w:t>
      </w:r>
    </w:p>
    <w:p w14:paraId="54D49C7C">
      <w:pPr>
        <w:pStyle w:val="71"/>
        <w:ind w:firstLine="480" w:firstLineChars="200"/>
        <w:jc w:val="both"/>
        <w:rPr>
          <w:rFonts w:ascii="宋体" w:hAnsi="宋体" w:eastAsia="宋体" w:cs="宋体"/>
          <w:bCs/>
          <w:szCs w:val="24"/>
        </w:rPr>
      </w:pPr>
      <w:r>
        <w:rPr>
          <w:rFonts w:ascii="宋体" w:hAnsi="宋体" w:eastAsia="宋体" w:cs="宋体"/>
          <w:bCs/>
          <w:szCs w:val="24"/>
        </w:rPr>
        <w:t>11.</w:t>
      </w:r>
      <w:r>
        <w:rPr>
          <w:rFonts w:hint="eastAsia" w:ascii="宋体" w:hAnsi="宋体" w:eastAsia="宋体" w:cs="宋体"/>
          <w:bCs/>
          <w:szCs w:val="24"/>
        </w:rPr>
        <w:t>《建筑节能工程施工质量验收规范》（GB50411）；</w:t>
      </w:r>
    </w:p>
    <w:p w14:paraId="6D626BA8">
      <w:pPr>
        <w:pStyle w:val="71"/>
        <w:ind w:firstLine="480" w:firstLineChars="200"/>
        <w:jc w:val="both"/>
        <w:rPr>
          <w:rFonts w:ascii="宋体" w:hAnsi="宋体" w:eastAsia="宋体" w:cs="宋体"/>
          <w:bCs/>
          <w:szCs w:val="24"/>
        </w:rPr>
      </w:pPr>
      <w:r>
        <w:rPr>
          <w:rFonts w:ascii="宋体" w:hAnsi="宋体" w:eastAsia="宋体" w:cs="宋体"/>
          <w:bCs/>
          <w:szCs w:val="24"/>
        </w:rPr>
        <w:t>12.</w:t>
      </w:r>
      <w:r>
        <w:rPr>
          <w:rFonts w:hint="eastAsia" w:ascii="宋体" w:hAnsi="宋体" w:eastAsia="宋体" w:cs="宋体"/>
          <w:bCs/>
          <w:szCs w:val="24"/>
        </w:rPr>
        <w:t>《民用建筑工程室内环境污染控制规范》（GB50325-2010）；</w:t>
      </w:r>
    </w:p>
    <w:p w14:paraId="7A95D66A">
      <w:pPr>
        <w:pStyle w:val="71"/>
        <w:ind w:firstLine="480" w:firstLineChars="200"/>
        <w:jc w:val="both"/>
        <w:rPr>
          <w:rFonts w:ascii="宋体" w:hAnsi="宋体" w:eastAsia="宋体" w:cs="宋体"/>
          <w:bCs/>
          <w:szCs w:val="24"/>
        </w:rPr>
      </w:pPr>
      <w:r>
        <w:rPr>
          <w:rFonts w:ascii="宋体" w:hAnsi="宋体" w:eastAsia="宋体" w:cs="宋体"/>
          <w:bCs/>
          <w:szCs w:val="24"/>
        </w:rPr>
        <w:t>13.</w:t>
      </w:r>
      <w:r>
        <w:rPr>
          <w:rFonts w:hint="eastAsia" w:ascii="宋体" w:hAnsi="宋体" w:eastAsia="宋体" w:cs="宋体"/>
          <w:bCs/>
          <w:szCs w:val="24"/>
        </w:rPr>
        <w:t>《通风与空调工程施工质量验收规范》（GB50243）；</w:t>
      </w:r>
    </w:p>
    <w:p w14:paraId="0AEE801D">
      <w:pPr>
        <w:pStyle w:val="71"/>
        <w:ind w:firstLine="480" w:firstLineChars="200"/>
        <w:jc w:val="both"/>
        <w:rPr>
          <w:rFonts w:ascii="宋体" w:hAnsi="宋体" w:eastAsia="宋体" w:cs="宋体"/>
          <w:bCs/>
          <w:szCs w:val="24"/>
        </w:rPr>
      </w:pPr>
      <w:r>
        <w:rPr>
          <w:rFonts w:ascii="宋体" w:hAnsi="宋体" w:eastAsia="宋体" w:cs="宋体"/>
          <w:bCs/>
          <w:szCs w:val="24"/>
        </w:rPr>
        <w:t>14.</w:t>
      </w:r>
      <w:r>
        <w:rPr>
          <w:rFonts w:hint="eastAsia" w:ascii="宋体" w:hAnsi="宋体" w:eastAsia="宋体" w:cs="宋体"/>
          <w:bCs/>
          <w:szCs w:val="24"/>
        </w:rPr>
        <w:t>《建筑电气工程施工质量验收规范》（GB50303）；</w:t>
      </w:r>
    </w:p>
    <w:p w14:paraId="2EAC8DB5">
      <w:pPr>
        <w:pStyle w:val="71"/>
        <w:ind w:firstLine="480" w:firstLineChars="200"/>
        <w:jc w:val="both"/>
        <w:rPr>
          <w:rFonts w:ascii="宋体" w:hAnsi="宋体" w:eastAsia="宋体" w:cs="宋体"/>
          <w:bCs/>
          <w:szCs w:val="24"/>
        </w:rPr>
      </w:pPr>
      <w:r>
        <w:rPr>
          <w:rFonts w:ascii="宋体" w:hAnsi="宋体" w:eastAsia="宋体" w:cs="宋体"/>
          <w:bCs/>
          <w:szCs w:val="24"/>
        </w:rPr>
        <w:t>15.</w:t>
      </w:r>
      <w:r>
        <w:rPr>
          <w:rFonts w:hint="eastAsia" w:ascii="宋体" w:hAnsi="宋体" w:eastAsia="宋体" w:cs="宋体"/>
          <w:bCs/>
          <w:szCs w:val="24"/>
        </w:rPr>
        <w:t>《公共建筑节能检测标准》（JGJ/T177）；</w:t>
      </w:r>
    </w:p>
    <w:p w14:paraId="1FDDA375">
      <w:pPr>
        <w:pStyle w:val="71"/>
        <w:ind w:firstLine="480" w:firstLineChars="200"/>
        <w:jc w:val="both"/>
        <w:rPr>
          <w:rFonts w:ascii="宋体" w:hAnsi="宋体" w:eastAsia="宋体" w:cs="宋体"/>
          <w:bCs/>
          <w:szCs w:val="24"/>
        </w:rPr>
      </w:pPr>
      <w:r>
        <w:rPr>
          <w:rFonts w:ascii="宋体" w:hAnsi="宋体" w:eastAsia="宋体" w:cs="宋体"/>
          <w:bCs/>
          <w:szCs w:val="24"/>
        </w:rPr>
        <w:t>16.</w:t>
      </w:r>
      <w:r>
        <w:rPr>
          <w:rFonts w:hint="eastAsia" w:ascii="宋体" w:hAnsi="宋体" w:eastAsia="宋体" w:cs="宋体"/>
          <w:bCs/>
          <w:szCs w:val="24"/>
        </w:rPr>
        <w:t>《居住建筑节能检测标准》（JGJ/T132）；</w:t>
      </w:r>
    </w:p>
    <w:p w14:paraId="0BFAD754">
      <w:pPr>
        <w:pStyle w:val="71"/>
        <w:ind w:firstLine="480" w:firstLineChars="200"/>
        <w:jc w:val="both"/>
        <w:rPr>
          <w:rFonts w:ascii="宋体" w:hAnsi="宋体" w:eastAsia="宋体" w:cs="宋体"/>
          <w:bCs/>
          <w:szCs w:val="24"/>
        </w:rPr>
      </w:pPr>
      <w:r>
        <w:rPr>
          <w:rFonts w:ascii="宋体" w:hAnsi="宋体" w:eastAsia="宋体" w:cs="宋体"/>
          <w:bCs/>
          <w:szCs w:val="24"/>
        </w:rPr>
        <w:t>17.</w:t>
      </w:r>
      <w:r>
        <w:rPr>
          <w:rFonts w:hint="eastAsia" w:ascii="宋体" w:hAnsi="宋体" w:eastAsia="宋体" w:cs="宋体"/>
          <w:bCs/>
          <w:szCs w:val="24"/>
        </w:rPr>
        <w:t>《照明测量方法》（GB/T5700）；</w:t>
      </w:r>
    </w:p>
    <w:p w14:paraId="37C482EE">
      <w:pPr>
        <w:pStyle w:val="71"/>
        <w:ind w:firstLine="480" w:firstLineChars="200"/>
        <w:jc w:val="both"/>
        <w:rPr>
          <w:rFonts w:ascii="宋体" w:hAnsi="宋体" w:eastAsia="宋体" w:cs="宋体"/>
          <w:bCs/>
          <w:szCs w:val="24"/>
        </w:rPr>
      </w:pPr>
      <w:r>
        <w:rPr>
          <w:rFonts w:ascii="宋体" w:hAnsi="宋体" w:eastAsia="宋体" w:cs="宋体"/>
          <w:bCs/>
          <w:szCs w:val="24"/>
        </w:rPr>
        <w:t>18.</w:t>
      </w:r>
      <w:r>
        <w:rPr>
          <w:rFonts w:hint="eastAsia" w:ascii="宋体" w:hAnsi="宋体" w:eastAsia="宋体" w:cs="宋体"/>
          <w:bCs/>
          <w:szCs w:val="24"/>
        </w:rPr>
        <w:t>《风机盘管机组》（GB/T19232）；</w:t>
      </w:r>
    </w:p>
    <w:p w14:paraId="3454CD4F">
      <w:pPr>
        <w:pStyle w:val="71"/>
        <w:ind w:firstLine="480" w:firstLineChars="200"/>
        <w:jc w:val="both"/>
        <w:rPr>
          <w:rFonts w:ascii="宋体" w:hAnsi="宋体" w:eastAsia="宋体" w:cs="宋体"/>
          <w:bCs/>
          <w:szCs w:val="24"/>
        </w:rPr>
      </w:pPr>
      <w:r>
        <w:rPr>
          <w:rFonts w:ascii="宋体" w:hAnsi="宋体" w:eastAsia="宋体" w:cs="宋体"/>
          <w:bCs/>
          <w:szCs w:val="24"/>
        </w:rPr>
        <w:t>19</w:t>
      </w:r>
      <w:r>
        <w:rPr>
          <w:rFonts w:hint="eastAsia" w:ascii="宋体" w:hAnsi="宋体" w:eastAsia="宋体" w:cs="宋体"/>
          <w:bCs/>
          <w:szCs w:val="24"/>
        </w:rPr>
        <w:t>.《建筑地基基础检测规范》（DBJ/T 15-60-2019）；</w:t>
      </w:r>
    </w:p>
    <w:p w14:paraId="3E3EA923">
      <w:pPr>
        <w:pStyle w:val="71"/>
        <w:ind w:firstLine="480" w:firstLineChars="200"/>
        <w:jc w:val="both"/>
        <w:rPr>
          <w:rFonts w:ascii="宋体" w:hAnsi="宋体" w:eastAsia="宋体" w:cs="宋体"/>
          <w:bCs/>
          <w:szCs w:val="24"/>
        </w:rPr>
      </w:pPr>
      <w:r>
        <w:rPr>
          <w:rFonts w:ascii="宋体" w:hAnsi="宋体" w:eastAsia="宋体" w:cs="宋体"/>
          <w:bCs/>
          <w:szCs w:val="24"/>
        </w:rPr>
        <w:t>20.</w:t>
      </w:r>
      <w:r>
        <w:rPr>
          <w:rFonts w:hint="eastAsia" w:ascii="宋体" w:hAnsi="宋体" w:eastAsia="宋体" w:cs="宋体"/>
          <w:bCs/>
          <w:szCs w:val="24"/>
        </w:rPr>
        <w:t>《建筑桩基技术规范》（J</w:t>
      </w:r>
      <w:r>
        <w:rPr>
          <w:rFonts w:ascii="宋体" w:hAnsi="宋体" w:eastAsia="宋体" w:cs="宋体"/>
          <w:bCs/>
          <w:szCs w:val="24"/>
        </w:rPr>
        <w:t>GJ94-2008</w:t>
      </w:r>
      <w:r>
        <w:rPr>
          <w:rFonts w:hint="eastAsia" w:ascii="宋体" w:hAnsi="宋体" w:eastAsia="宋体" w:cs="宋体"/>
          <w:bCs/>
          <w:szCs w:val="24"/>
        </w:rPr>
        <w:t>）；</w:t>
      </w:r>
    </w:p>
    <w:p w14:paraId="4B12BE19">
      <w:pPr>
        <w:pStyle w:val="71"/>
        <w:ind w:firstLine="480" w:firstLineChars="200"/>
        <w:jc w:val="both"/>
        <w:rPr>
          <w:rFonts w:ascii="宋体" w:hAnsi="宋体" w:eastAsia="宋体" w:cs="宋体"/>
          <w:bCs/>
          <w:szCs w:val="24"/>
        </w:rPr>
      </w:pPr>
      <w:r>
        <w:rPr>
          <w:rFonts w:hint="eastAsia" w:ascii="宋体" w:hAnsi="宋体" w:eastAsia="宋体" w:cs="宋体"/>
          <w:bCs/>
          <w:szCs w:val="24"/>
        </w:rPr>
        <w:t>2</w:t>
      </w:r>
      <w:r>
        <w:rPr>
          <w:rFonts w:ascii="宋体" w:hAnsi="宋体" w:eastAsia="宋体" w:cs="宋体"/>
          <w:bCs/>
          <w:szCs w:val="24"/>
        </w:rPr>
        <w:t>1.</w:t>
      </w:r>
      <w:r>
        <w:rPr>
          <w:rFonts w:hint="eastAsia" w:ascii="宋体" w:hAnsi="宋体" w:eastAsia="宋体" w:cs="宋体"/>
          <w:bCs/>
          <w:szCs w:val="24"/>
        </w:rPr>
        <w:t>《建筑地基基础设计规范》（B</w:t>
      </w:r>
      <w:r>
        <w:rPr>
          <w:rFonts w:ascii="宋体" w:hAnsi="宋体" w:eastAsia="宋体" w:cs="宋体"/>
          <w:bCs/>
          <w:szCs w:val="24"/>
        </w:rPr>
        <w:t>G5007-2011</w:t>
      </w:r>
      <w:r>
        <w:rPr>
          <w:rFonts w:hint="eastAsia" w:ascii="宋体" w:hAnsi="宋体" w:eastAsia="宋体" w:cs="宋体"/>
          <w:bCs/>
          <w:szCs w:val="24"/>
        </w:rPr>
        <w:t>）；</w:t>
      </w:r>
    </w:p>
    <w:p w14:paraId="5F45E880">
      <w:pPr>
        <w:pStyle w:val="71"/>
        <w:ind w:firstLine="480" w:firstLineChars="200"/>
        <w:jc w:val="both"/>
        <w:rPr>
          <w:rFonts w:ascii="宋体" w:hAnsi="宋体" w:eastAsia="宋体" w:cs="宋体"/>
          <w:bCs/>
          <w:szCs w:val="24"/>
        </w:rPr>
      </w:pPr>
      <w:r>
        <w:rPr>
          <w:rFonts w:hint="eastAsia" w:ascii="宋体" w:hAnsi="宋体" w:eastAsia="宋体" w:cs="宋体"/>
          <w:bCs/>
          <w:szCs w:val="24"/>
        </w:rPr>
        <w:t>2</w:t>
      </w:r>
      <w:r>
        <w:rPr>
          <w:rFonts w:ascii="宋体" w:hAnsi="宋体" w:eastAsia="宋体" w:cs="宋体"/>
          <w:bCs/>
          <w:szCs w:val="24"/>
        </w:rPr>
        <w:t>2.</w:t>
      </w:r>
      <w:r>
        <w:rPr>
          <w:rFonts w:hint="eastAsia" w:ascii="宋体" w:hAnsi="宋体" w:eastAsia="宋体" w:cs="宋体"/>
          <w:bCs/>
          <w:szCs w:val="24"/>
        </w:rPr>
        <w:t>《建筑基桩检测技术规范》（</w:t>
      </w:r>
      <w:r>
        <w:rPr>
          <w:rFonts w:ascii="宋体" w:hAnsi="宋体" w:eastAsia="宋体" w:cs="宋体"/>
          <w:bCs/>
          <w:szCs w:val="24"/>
        </w:rPr>
        <w:t>JGJ106-2014</w:t>
      </w:r>
      <w:r>
        <w:rPr>
          <w:rFonts w:hint="eastAsia" w:ascii="宋体" w:hAnsi="宋体" w:eastAsia="宋体" w:cs="宋体"/>
          <w:bCs/>
          <w:szCs w:val="24"/>
        </w:rPr>
        <w:t>）；</w:t>
      </w:r>
    </w:p>
    <w:p w14:paraId="1AB3D590">
      <w:pPr>
        <w:pStyle w:val="71"/>
        <w:ind w:firstLine="480" w:firstLineChars="200"/>
        <w:jc w:val="both"/>
        <w:rPr>
          <w:rFonts w:ascii="宋体" w:hAnsi="宋体"/>
        </w:rPr>
      </w:pPr>
      <w:r>
        <w:rPr>
          <w:rFonts w:ascii="宋体" w:hAnsi="宋体" w:eastAsia="宋体" w:cs="宋体"/>
          <w:bCs/>
          <w:szCs w:val="24"/>
        </w:rPr>
        <w:t>23.</w:t>
      </w:r>
      <w:r>
        <w:rPr>
          <w:rFonts w:hint="eastAsia" w:ascii="宋体" w:hAnsi="宋体" w:eastAsia="宋体"/>
        </w:rPr>
        <w:t>《广州市住房和城乡建设局关于规范建筑工程地基基础检测工作的通知》</w:t>
      </w:r>
      <w:r>
        <w:rPr>
          <w:rFonts w:hint="eastAsia" w:ascii="宋体" w:hAnsi="宋体" w:eastAsia="宋体" w:cs="宋体"/>
          <w:bCs/>
          <w:szCs w:val="24"/>
        </w:rPr>
        <w:t>（</w:t>
      </w:r>
      <w:r>
        <w:rPr>
          <w:rFonts w:hint="eastAsia" w:ascii="宋体" w:hAnsi="宋体" w:eastAsia="宋体"/>
        </w:rPr>
        <w:t>穗建规字</w:t>
      </w:r>
      <w:r>
        <w:rPr>
          <w:rFonts w:hint="eastAsia" w:ascii="宋体" w:hAnsi="宋体" w:eastAsia="宋体" w:cs="宋体"/>
          <w:bCs/>
          <w:szCs w:val="24"/>
        </w:rPr>
        <w:t>〔2020〕</w:t>
      </w:r>
      <w:r>
        <w:rPr>
          <w:rFonts w:hint="eastAsia" w:ascii="宋体" w:hAnsi="宋体"/>
        </w:rPr>
        <w:t>30号</w:t>
      </w:r>
      <w:r>
        <w:rPr>
          <w:rFonts w:hint="eastAsia" w:ascii="宋体" w:hAnsi="宋体" w:eastAsia="宋体" w:cs="宋体"/>
          <w:bCs/>
          <w:szCs w:val="24"/>
        </w:rPr>
        <w:t>）</w:t>
      </w:r>
      <w:r>
        <w:rPr>
          <w:rFonts w:hint="eastAsia" w:ascii="宋体" w:hAnsi="宋体"/>
        </w:rPr>
        <w:t>；</w:t>
      </w:r>
    </w:p>
    <w:p w14:paraId="58AF1993">
      <w:pPr>
        <w:pStyle w:val="71"/>
        <w:ind w:firstLine="480" w:firstLineChars="200"/>
        <w:jc w:val="both"/>
        <w:rPr>
          <w:rFonts w:ascii="宋体" w:hAnsi="宋体"/>
        </w:rPr>
      </w:pPr>
      <w:r>
        <w:rPr>
          <w:rFonts w:ascii="宋体" w:hAnsi="宋体" w:eastAsia="宋体" w:cs="宋体"/>
          <w:bCs/>
          <w:szCs w:val="24"/>
        </w:rPr>
        <w:t>24.</w:t>
      </w:r>
      <w:r>
        <w:rPr>
          <w:rFonts w:hint="eastAsia" w:ascii="宋体" w:hAnsi="宋体" w:eastAsia="宋体" w:cs="宋体"/>
          <w:bCs/>
          <w:szCs w:val="24"/>
        </w:rPr>
        <w:t>《混凝土中钢筋检测技术标准》（J</w:t>
      </w:r>
      <w:r>
        <w:rPr>
          <w:rFonts w:ascii="宋体" w:hAnsi="宋体" w:eastAsia="宋体" w:cs="宋体"/>
          <w:bCs/>
          <w:szCs w:val="24"/>
        </w:rPr>
        <w:t>GJ</w:t>
      </w:r>
      <w:r>
        <w:rPr>
          <w:rFonts w:hint="eastAsia" w:ascii="宋体" w:hAnsi="宋体" w:eastAsia="宋体" w:cs="宋体"/>
          <w:bCs/>
          <w:szCs w:val="24"/>
        </w:rPr>
        <w:t>/</w:t>
      </w:r>
      <w:r>
        <w:rPr>
          <w:rFonts w:ascii="宋体" w:hAnsi="宋体" w:eastAsia="宋体" w:cs="宋体"/>
          <w:bCs/>
          <w:szCs w:val="24"/>
        </w:rPr>
        <w:t>T152</w:t>
      </w:r>
      <w:r>
        <w:rPr>
          <w:rFonts w:ascii="宋体" w:hAnsi="宋体"/>
        </w:rPr>
        <w:t>-2019</w:t>
      </w:r>
      <w:r>
        <w:rPr>
          <w:rFonts w:hint="eastAsia" w:ascii="宋体" w:hAnsi="宋体"/>
        </w:rPr>
        <w:t>）；</w:t>
      </w:r>
    </w:p>
    <w:p w14:paraId="46255A38">
      <w:pPr>
        <w:pStyle w:val="71"/>
        <w:ind w:firstLine="480" w:firstLineChars="200"/>
        <w:jc w:val="both"/>
        <w:rPr>
          <w:rFonts w:ascii="宋体" w:hAnsi="宋体" w:eastAsia="宋体"/>
        </w:rPr>
      </w:pPr>
      <w:r>
        <w:rPr>
          <w:rFonts w:ascii="宋体" w:hAnsi="宋体"/>
        </w:rPr>
        <w:t>25</w:t>
      </w:r>
      <w:r>
        <w:rPr>
          <w:rFonts w:hint="eastAsia" w:ascii="宋体" w:hAnsi="宋体" w:eastAsia="宋体" w:cs="宋体"/>
          <w:bCs/>
          <w:szCs w:val="24"/>
        </w:rPr>
        <w:t>.</w:t>
      </w:r>
      <w:r>
        <w:rPr>
          <w:rFonts w:hint="eastAsia" w:ascii="宋体" w:hAnsi="宋体" w:eastAsia="宋体"/>
        </w:rPr>
        <w:t>《回弹法检测混凝土抗压强度技术规程》（JGJ/T23-2011）；</w:t>
      </w:r>
    </w:p>
    <w:p w14:paraId="05CDBE72">
      <w:pPr>
        <w:pStyle w:val="71"/>
        <w:ind w:firstLine="480" w:firstLineChars="200"/>
        <w:jc w:val="both"/>
        <w:rPr>
          <w:rFonts w:ascii="宋体" w:hAnsi="宋体" w:eastAsia="宋体"/>
        </w:rPr>
      </w:pPr>
      <w:r>
        <w:rPr>
          <w:rFonts w:ascii="宋体" w:hAnsi="宋体" w:eastAsia="宋体" w:cs="宋体"/>
          <w:bCs/>
          <w:szCs w:val="24"/>
        </w:rPr>
        <w:t>26.</w:t>
      </w:r>
      <w:r>
        <w:rPr>
          <w:rFonts w:hint="eastAsia" w:ascii="宋体" w:hAnsi="宋体" w:eastAsia="宋体"/>
        </w:rPr>
        <w:t>《钻芯法检测混凝土强度技术规程》（J</w:t>
      </w:r>
      <w:r>
        <w:rPr>
          <w:rFonts w:ascii="宋体" w:hAnsi="宋体" w:eastAsia="宋体"/>
        </w:rPr>
        <w:t>GJ</w:t>
      </w:r>
      <w:r>
        <w:rPr>
          <w:rFonts w:hint="eastAsia" w:ascii="宋体" w:hAnsi="宋体" w:eastAsia="宋体"/>
        </w:rPr>
        <w:t>/</w:t>
      </w:r>
      <w:r>
        <w:rPr>
          <w:rFonts w:ascii="宋体" w:hAnsi="宋体" w:eastAsia="宋体"/>
        </w:rPr>
        <w:t>T384-2016</w:t>
      </w:r>
      <w:r>
        <w:rPr>
          <w:rFonts w:hint="eastAsia" w:ascii="宋体" w:hAnsi="宋体" w:eastAsia="宋体"/>
        </w:rPr>
        <w:t>）；</w:t>
      </w:r>
    </w:p>
    <w:p w14:paraId="11C1FD50">
      <w:pPr>
        <w:pStyle w:val="71"/>
        <w:ind w:firstLine="480" w:firstLineChars="200"/>
        <w:jc w:val="both"/>
        <w:rPr>
          <w:rFonts w:ascii="宋体" w:hAnsi="宋体"/>
        </w:rPr>
      </w:pPr>
      <w:r>
        <w:rPr>
          <w:rFonts w:hint="eastAsia" w:ascii="宋体" w:hAnsi="宋体" w:eastAsia="宋体" w:cs="宋体"/>
          <w:bCs/>
          <w:szCs w:val="24"/>
        </w:rPr>
        <w:t>2</w:t>
      </w:r>
      <w:r>
        <w:rPr>
          <w:rFonts w:ascii="宋体" w:hAnsi="宋体" w:eastAsia="宋体" w:cs="宋体"/>
          <w:bCs/>
          <w:szCs w:val="24"/>
        </w:rPr>
        <w:t>7.</w:t>
      </w:r>
      <w:r>
        <w:rPr>
          <w:rFonts w:hint="eastAsia" w:ascii="宋体" w:hAnsi="宋体" w:eastAsia="宋体" w:cs="宋体"/>
          <w:bCs/>
          <w:szCs w:val="24"/>
        </w:rPr>
        <w:t>《高强混凝土强度检测技术规程》</w:t>
      </w:r>
      <w:r>
        <w:rPr>
          <w:rFonts w:hint="eastAsia" w:ascii="宋体" w:hAnsi="宋体"/>
        </w:rPr>
        <w:t>（J</w:t>
      </w:r>
      <w:r>
        <w:rPr>
          <w:rFonts w:ascii="宋体" w:hAnsi="宋体"/>
        </w:rPr>
        <w:t>GJ</w:t>
      </w:r>
      <w:r>
        <w:rPr>
          <w:rFonts w:hint="eastAsia" w:ascii="宋体" w:hAnsi="宋体"/>
        </w:rPr>
        <w:t>/</w:t>
      </w:r>
      <w:r>
        <w:rPr>
          <w:rFonts w:ascii="宋体" w:hAnsi="宋体" w:eastAsia="宋体" w:cs="宋体"/>
          <w:bCs/>
          <w:szCs w:val="24"/>
        </w:rPr>
        <w:t>T294</w:t>
      </w:r>
      <w:r>
        <w:rPr>
          <w:rFonts w:ascii="宋体" w:hAnsi="宋体"/>
        </w:rPr>
        <w:t>-2013</w:t>
      </w:r>
      <w:r>
        <w:rPr>
          <w:rFonts w:hint="eastAsia" w:ascii="宋体" w:hAnsi="宋体"/>
        </w:rPr>
        <w:t>）；</w:t>
      </w:r>
    </w:p>
    <w:p w14:paraId="5D7303D1">
      <w:pPr>
        <w:pStyle w:val="71"/>
        <w:ind w:firstLine="480" w:firstLineChars="200"/>
        <w:jc w:val="both"/>
        <w:rPr>
          <w:rFonts w:ascii="宋体" w:hAnsi="宋体" w:eastAsia="宋体" w:cs="宋体"/>
          <w:bCs/>
          <w:szCs w:val="24"/>
        </w:rPr>
      </w:pPr>
      <w:r>
        <w:rPr>
          <w:rFonts w:ascii="宋体" w:hAnsi="宋体" w:eastAsia="宋体" w:cs="宋体"/>
          <w:bCs/>
          <w:szCs w:val="24"/>
        </w:rPr>
        <w:t>28</w:t>
      </w:r>
      <w:r>
        <w:rPr>
          <w:rFonts w:hint="eastAsia" w:ascii="宋体" w:hAnsi="宋体" w:eastAsia="宋体" w:cs="宋体"/>
          <w:bCs/>
          <w:szCs w:val="24"/>
        </w:rPr>
        <w:t>.《混凝土物理力学性能试验方法标准》（GB/T50081-2019）；</w:t>
      </w:r>
    </w:p>
    <w:p w14:paraId="5C555DE6">
      <w:pPr>
        <w:pStyle w:val="71"/>
        <w:ind w:firstLine="480" w:firstLineChars="200"/>
        <w:jc w:val="both"/>
        <w:rPr>
          <w:rFonts w:ascii="宋体" w:hAnsi="宋体" w:eastAsia="宋体" w:cs="宋体"/>
          <w:bCs/>
          <w:szCs w:val="24"/>
        </w:rPr>
      </w:pPr>
      <w:r>
        <w:rPr>
          <w:rFonts w:ascii="宋体" w:hAnsi="宋体" w:eastAsia="宋体" w:cs="宋体"/>
          <w:bCs/>
          <w:szCs w:val="24"/>
        </w:rPr>
        <w:t>29.</w:t>
      </w:r>
      <w:r>
        <w:rPr>
          <w:rFonts w:hint="eastAsia" w:ascii="宋体" w:hAnsi="宋体" w:eastAsia="宋体" w:cs="宋体"/>
          <w:bCs/>
          <w:szCs w:val="24"/>
        </w:rPr>
        <w:t>《广州市住房和城乡建设局关于加强混凝土结构工程施工质量管理工作的通知》；</w:t>
      </w:r>
    </w:p>
    <w:p w14:paraId="0B903B39">
      <w:pPr>
        <w:pStyle w:val="71"/>
        <w:ind w:firstLine="480" w:firstLineChars="200"/>
        <w:jc w:val="both"/>
        <w:rPr>
          <w:rFonts w:ascii="宋体" w:hAnsi="宋体" w:eastAsia="宋体" w:cs="宋体"/>
          <w:bCs/>
          <w:szCs w:val="24"/>
        </w:rPr>
      </w:pPr>
      <w:r>
        <w:rPr>
          <w:rFonts w:ascii="宋体" w:hAnsi="宋体" w:eastAsia="宋体" w:cs="宋体"/>
          <w:bCs/>
          <w:szCs w:val="24"/>
        </w:rPr>
        <w:t>30.</w:t>
      </w:r>
      <w:r>
        <w:rPr>
          <w:rFonts w:hint="eastAsia" w:ascii="宋体" w:hAnsi="宋体" w:eastAsia="宋体" w:cs="宋体"/>
          <w:bCs/>
          <w:szCs w:val="24"/>
        </w:rPr>
        <w:t>《建筑结构检测技术标准》（G</w:t>
      </w:r>
      <w:r>
        <w:rPr>
          <w:rFonts w:ascii="宋体" w:hAnsi="宋体" w:eastAsia="宋体" w:cs="宋体"/>
          <w:bCs/>
          <w:szCs w:val="24"/>
        </w:rPr>
        <w:t>B50344-2004）</w:t>
      </w:r>
      <w:r>
        <w:rPr>
          <w:rFonts w:hint="eastAsia" w:ascii="宋体" w:hAnsi="宋体" w:eastAsia="宋体" w:cs="宋体"/>
          <w:bCs/>
          <w:szCs w:val="24"/>
        </w:rPr>
        <w:t>；</w:t>
      </w:r>
    </w:p>
    <w:p w14:paraId="0455581A">
      <w:pPr>
        <w:pStyle w:val="71"/>
        <w:ind w:firstLine="480" w:firstLineChars="200"/>
        <w:jc w:val="both"/>
        <w:rPr>
          <w:rFonts w:ascii="宋体" w:hAnsi="宋体" w:eastAsia="宋体" w:cs="宋体"/>
          <w:bCs/>
          <w:szCs w:val="24"/>
        </w:rPr>
      </w:pPr>
      <w:r>
        <w:rPr>
          <w:rFonts w:hint="eastAsia" w:ascii="宋体" w:hAnsi="宋体" w:eastAsia="宋体" w:cs="宋体"/>
          <w:bCs/>
          <w:szCs w:val="24"/>
        </w:rPr>
        <w:t>3</w:t>
      </w:r>
      <w:r>
        <w:rPr>
          <w:rFonts w:ascii="宋体" w:hAnsi="宋体" w:eastAsia="宋体" w:cs="宋体"/>
          <w:bCs/>
          <w:szCs w:val="24"/>
        </w:rPr>
        <w:t>1.</w:t>
      </w:r>
      <w:r>
        <w:rPr>
          <w:rFonts w:hint="eastAsia" w:ascii="宋体" w:hAnsi="宋体" w:eastAsia="宋体" w:cs="宋体"/>
          <w:bCs/>
          <w:szCs w:val="24"/>
        </w:rPr>
        <w:t>《建筑电气工程施工质量验收规范》（G</w:t>
      </w:r>
      <w:r>
        <w:rPr>
          <w:rFonts w:ascii="宋体" w:hAnsi="宋体" w:eastAsia="宋体" w:cs="宋体"/>
          <w:bCs/>
          <w:szCs w:val="24"/>
        </w:rPr>
        <w:t>B50303-2015）</w:t>
      </w:r>
      <w:r>
        <w:rPr>
          <w:rFonts w:hint="eastAsia" w:ascii="宋体" w:hAnsi="宋体" w:eastAsia="宋体" w:cs="宋体"/>
          <w:bCs/>
          <w:szCs w:val="24"/>
        </w:rPr>
        <w:t>；</w:t>
      </w:r>
    </w:p>
    <w:p w14:paraId="173EF34E">
      <w:pPr>
        <w:pStyle w:val="71"/>
        <w:ind w:firstLine="480" w:firstLineChars="200"/>
        <w:jc w:val="both"/>
        <w:rPr>
          <w:rFonts w:ascii="宋体" w:hAnsi="宋体" w:eastAsia="宋体" w:cs="宋体"/>
          <w:bCs/>
          <w:szCs w:val="24"/>
        </w:rPr>
      </w:pPr>
      <w:r>
        <w:rPr>
          <w:rFonts w:hint="eastAsia" w:ascii="宋体" w:hAnsi="宋体" w:eastAsia="宋体" w:cs="宋体"/>
          <w:bCs/>
          <w:szCs w:val="24"/>
        </w:rPr>
        <w:t>3</w:t>
      </w:r>
      <w:r>
        <w:rPr>
          <w:rFonts w:ascii="宋体" w:hAnsi="宋体" w:eastAsia="宋体" w:cs="宋体"/>
          <w:bCs/>
          <w:szCs w:val="24"/>
        </w:rPr>
        <w:t>2.</w:t>
      </w:r>
      <w:r>
        <w:rPr>
          <w:rFonts w:hint="eastAsia" w:ascii="宋体" w:hAnsi="宋体" w:eastAsia="宋体" w:cs="宋体"/>
          <w:bCs/>
          <w:szCs w:val="24"/>
        </w:rPr>
        <w:t>《建筑物防雷装置检测技术规范》（G</w:t>
      </w:r>
      <w:r>
        <w:rPr>
          <w:rFonts w:ascii="宋体" w:hAnsi="宋体" w:eastAsia="宋体" w:cs="宋体"/>
          <w:bCs/>
          <w:szCs w:val="24"/>
        </w:rPr>
        <w:t>B/T21431-2015</w:t>
      </w:r>
      <w:r>
        <w:rPr>
          <w:rFonts w:hint="eastAsia" w:ascii="宋体" w:hAnsi="宋体" w:eastAsia="宋体" w:cs="宋体"/>
          <w:bCs/>
          <w:szCs w:val="24"/>
        </w:rPr>
        <w:t>）；</w:t>
      </w:r>
    </w:p>
    <w:p w14:paraId="1ED29E9D">
      <w:pPr>
        <w:pStyle w:val="71"/>
        <w:ind w:firstLine="480" w:firstLineChars="200"/>
        <w:jc w:val="both"/>
        <w:rPr>
          <w:rFonts w:ascii="宋体" w:hAnsi="宋体" w:eastAsia="宋体" w:cs="宋体"/>
          <w:bCs/>
          <w:szCs w:val="24"/>
        </w:rPr>
      </w:pPr>
      <w:r>
        <w:rPr>
          <w:rFonts w:hint="eastAsia" w:ascii="宋体" w:hAnsi="宋体" w:eastAsia="宋体" w:cs="宋体"/>
          <w:bCs/>
          <w:szCs w:val="24"/>
        </w:rPr>
        <w:t>3</w:t>
      </w:r>
      <w:r>
        <w:rPr>
          <w:rFonts w:ascii="宋体" w:hAnsi="宋体" w:eastAsia="宋体" w:cs="宋体"/>
          <w:bCs/>
          <w:szCs w:val="24"/>
        </w:rPr>
        <w:t>3.</w:t>
      </w:r>
      <w:r>
        <w:rPr>
          <w:rFonts w:hint="eastAsia" w:ascii="宋体" w:hAnsi="宋体" w:eastAsia="宋体" w:cs="宋体"/>
          <w:bCs/>
          <w:szCs w:val="24"/>
        </w:rPr>
        <w:t>《建筑物防雷工程施工与质量验收规范》（G</w:t>
      </w:r>
      <w:r>
        <w:rPr>
          <w:rFonts w:ascii="宋体" w:hAnsi="宋体" w:eastAsia="宋体" w:cs="宋体"/>
          <w:bCs/>
          <w:szCs w:val="24"/>
        </w:rPr>
        <w:t>B50601-2010</w:t>
      </w:r>
      <w:r>
        <w:rPr>
          <w:rFonts w:hint="eastAsia" w:ascii="宋体" w:hAnsi="宋体" w:eastAsia="宋体" w:cs="宋体"/>
          <w:bCs/>
          <w:szCs w:val="24"/>
        </w:rPr>
        <w:t>）；</w:t>
      </w:r>
    </w:p>
    <w:p w14:paraId="73FDDCFA">
      <w:pPr>
        <w:pStyle w:val="71"/>
        <w:ind w:firstLine="480" w:firstLineChars="200"/>
        <w:jc w:val="both"/>
        <w:rPr>
          <w:rFonts w:ascii="宋体" w:hAnsi="宋体" w:eastAsia="宋体" w:cs="宋体"/>
          <w:bCs/>
          <w:szCs w:val="24"/>
        </w:rPr>
      </w:pPr>
      <w:r>
        <w:rPr>
          <w:rFonts w:ascii="宋体" w:hAnsi="宋体" w:eastAsia="宋体" w:cs="宋体"/>
          <w:bCs/>
          <w:szCs w:val="24"/>
        </w:rPr>
        <w:t>34.</w:t>
      </w:r>
      <w:r>
        <w:rPr>
          <w:rFonts w:hint="eastAsia" w:ascii="宋体" w:hAnsi="宋体" w:eastAsia="宋体" w:cs="宋体"/>
          <w:bCs/>
          <w:szCs w:val="24"/>
        </w:rPr>
        <w:t>《建筑物防雷设计规范》（G</w:t>
      </w:r>
      <w:r>
        <w:rPr>
          <w:rFonts w:ascii="宋体" w:hAnsi="宋体" w:eastAsia="宋体" w:cs="宋体"/>
          <w:bCs/>
          <w:szCs w:val="24"/>
        </w:rPr>
        <w:t>B50057-2010</w:t>
      </w:r>
      <w:r>
        <w:rPr>
          <w:rFonts w:hint="eastAsia" w:ascii="宋体" w:hAnsi="宋体" w:eastAsia="宋体" w:cs="宋体"/>
          <w:bCs/>
          <w:szCs w:val="24"/>
        </w:rPr>
        <w:t>）；</w:t>
      </w:r>
    </w:p>
    <w:p w14:paraId="13EAC612">
      <w:pPr>
        <w:pStyle w:val="71"/>
        <w:ind w:firstLine="480" w:firstLineChars="200"/>
        <w:jc w:val="both"/>
        <w:rPr>
          <w:rFonts w:ascii="宋体" w:hAnsi="宋体" w:eastAsia="宋体" w:cs="宋体"/>
          <w:bCs/>
          <w:szCs w:val="24"/>
        </w:rPr>
      </w:pPr>
      <w:r>
        <w:rPr>
          <w:rFonts w:ascii="宋体" w:hAnsi="宋体" w:eastAsia="宋体" w:cs="宋体"/>
          <w:bCs/>
          <w:szCs w:val="24"/>
        </w:rPr>
        <w:t>35</w:t>
      </w:r>
      <w:r>
        <w:rPr>
          <w:rFonts w:hint="eastAsia" w:ascii="宋体" w:hAnsi="宋体" w:eastAsia="宋体" w:cs="宋体"/>
          <w:bCs/>
          <w:szCs w:val="24"/>
        </w:rPr>
        <w:t>.国家和广东省、广州市、黄埔区、开发区</w:t>
      </w:r>
      <w:r>
        <w:rPr>
          <w:rFonts w:hint="eastAsia" w:ascii="宋体" w:hAnsi="宋体" w:eastAsia="宋体"/>
        </w:rPr>
        <w:t>其他</w:t>
      </w:r>
      <w:r>
        <w:rPr>
          <w:rFonts w:hint="eastAsia" w:ascii="宋体" w:hAnsi="宋体" w:eastAsia="宋体" w:cs="宋体"/>
          <w:bCs/>
          <w:szCs w:val="24"/>
        </w:rPr>
        <w:t>有关检测的</w:t>
      </w:r>
      <w:r>
        <w:rPr>
          <w:rFonts w:hint="eastAsia" w:ascii="宋体" w:hAnsi="宋体" w:eastAsia="宋体"/>
        </w:rPr>
        <w:t>法律</w:t>
      </w:r>
      <w:r>
        <w:rPr>
          <w:rFonts w:hint="eastAsia" w:ascii="宋体" w:hAnsi="宋体" w:eastAsia="宋体" w:cs="宋体"/>
          <w:bCs/>
          <w:szCs w:val="24"/>
        </w:rPr>
        <w:t>、</w:t>
      </w:r>
      <w:r>
        <w:rPr>
          <w:rFonts w:hint="eastAsia" w:ascii="宋体" w:hAnsi="宋体" w:eastAsia="宋体"/>
        </w:rPr>
        <w:t>法规</w:t>
      </w:r>
      <w:r>
        <w:rPr>
          <w:rFonts w:hint="eastAsia" w:ascii="宋体" w:hAnsi="宋体" w:eastAsia="宋体" w:cs="宋体"/>
          <w:bCs/>
          <w:szCs w:val="24"/>
        </w:rPr>
        <w:t>、规章、规范及标准。实际检测依据以实施检测时国家及地方发布的最新规范、标准及规定为准。</w:t>
      </w:r>
    </w:p>
    <w:p w14:paraId="092F1711">
      <w:pPr>
        <w:spacing w:line="360" w:lineRule="auto"/>
        <w:rPr>
          <w:rFonts w:ascii="宋体" w:hAnsi="宋体" w:cs="宋体"/>
          <w:b/>
          <w:sz w:val="28"/>
          <w:szCs w:val="28"/>
        </w:rPr>
      </w:pPr>
      <w:r>
        <w:rPr>
          <w:rFonts w:hint="eastAsia" w:ascii="宋体" w:hAnsi="宋体" w:cs="宋体"/>
          <w:b/>
          <w:sz w:val="28"/>
          <w:szCs w:val="28"/>
        </w:rPr>
        <w:t>二、检测服务项目质量控制要求</w:t>
      </w:r>
    </w:p>
    <w:p w14:paraId="2901317D">
      <w:pPr>
        <w:pStyle w:val="71"/>
        <w:ind w:firstLine="480" w:firstLineChars="200"/>
        <w:jc w:val="both"/>
        <w:rPr>
          <w:rFonts w:ascii="宋体" w:hAnsi="宋体" w:eastAsia="宋体" w:cs="宋体"/>
          <w:bCs/>
          <w:szCs w:val="24"/>
        </w:rPr>
      </w:pPr>
      <w:r>
        <w:rPr>
          <w:rFonts w:hint="eastAsia" w:ascii="宋体" w:hAnsi="宋体" w:eastAsia="宋体" w:cs="宋体"/>
          <w:bCs/>
          <w:szCs w:val="24"/>
        </w:rPr>
        <w:t>1、投标人应建立为完成本招标检测项目而实施质量管理所需要</w:t>
      </w:r>
      <w:r>
        <w:rPr>
          <w:rFonts w:hint="eastAsia" w:ascii="宋体" w:hAnsi="宋体" w:eastAsia="宋体" w:cs="宋体"/>
          <w:bCs/>
          <w:szCs w:val="24"/>
          <w:lang w:val="en-US" w:eastAsia="zh-CN"/>
        </w:rPr>
        <w:t>的</w:t>
      </w:r>
      <w:r>
        <w:rPr>
          <w:rFonts w:hint="eastAsia" w:ascii="宋体" w:hAnsi="宋体" w:eastAsia="宋体" w:cs="宋体"/>
          <w:bCs/>
          <w:szCs w:val="24"/>
        </w:rPr>
        <w:t>组织结构，明示组织结构框图，并用文字明示各级人员职责，</w:t>
      </w:r>
      <w:r>
        <w:rPr>
          <w:rFonts w:hint="eastAsia" w:ascii="宋体" w:hAnsi="宋体" w:eastAsia="宋体"/>
        </w:rPr>
        <w:t>并提供质量检测工作不受外界或领导机构影响的规定。</w:t>
      </w:r>
      <w:r>
        <w:rPr>
          <w:rFonts w:hint="eastAsia" w:ascii="宋体" w:hAnsi="宋体" w:eastAsia="宋体" w:cs="宋体"/>
          <w:bCs/>
          <w:szCs w:val="24"/>
        </w:rPr>
        <w:t>并必须形成质量体系文件协调整个工作机构运转列出有效的、文体化的技术和管理程序，以便以最好的、最实际的方式来指导整个组织的工作人员、设备及信息的协调活动。质量体系文件应包括以下内容：</w:t>
      </w:r>
    </w:p>
    <w:p w14:paraId="0F97C116">
      <w:pPr>
        <w:pStyle w:val="71"/>
        <w:ind w:firstLine="480" w:firstLineChars="200"/>
        <w:jc w:val="both"/>
        <w:rPr>
          <w:rFonts w:ascii="宋体" w:hAnsi="宋体" w:eastAsia="宋体"/>
        </w:rPr>
      </w:pPr>
      <w:r>
        <w:rPr>
          <w:rFonts w:hint="eastAsia" w:ascii="宋体" w:hAnsi="宋体" w:eastAsia="宋体"/>
        </w:rPr>
        <w:t>（1）有效完成本项目的质量方针，包括目标和承诺；</w:t>
      </w:r>
    </w:p>
    <w:p w14:paraId="5DD85593">
      <w:pPr>
        <w:pStyle w:val="71"/>
        <w:ind w:firstLine="480" w:firstLineChars="200"/>
        <w:jc w:val="both"/>
        <w:rPr>
          <w:rFonts w:ascii="宋体" w:hAnsi="宋体" w:eastAsia="宋体"/>
        </w:rPr>
      </w:pPr>
      <w:r>
        <w:rPr>
          <w:rFonts w:hint="eastAsia" w:ascii="宋体" w:hAnsi="宋体" w:eastAsia="宋体"/>
        </w:rPr>
        <w:t>（2）投入本项目的组织结构框图；</w:t>
      </w:r>
    </w:p>
    <w:p w14:paraId="7A5C77E6">
      <w:pPr>
        <w:pStyle w:val="71"/>
        <w:ind w:firstLine="480" w:firstLineChars="200"/>
        <w:jc w:val="both"/>
        <w:rPr>
          <w:rFonts w:ascii="宋体" w:hAnsi="宋体" w:eastAsia="宋体"/>
        </w:rPr>
      </w:pPr>
      <w:r>
        <w:rPr>
          <w:rFonts w:hint="eastAsia" w:ascii="宋体" w:hAnsi="宋体" w:eastAsia="宋体"/>
        </w:rPr>
        <w:t>（3）各检测人员工作岗位及其职责；</w:t>
      </w:r>
    </w:p>
    <w:p w14:paraId="6A5BCD22">
      <w:pPr>
        <w:pStyle w:val="71"/>
        <w:ind w:firstLine="480" w:firstLineChars="200"/>
        <w:jc w:val="both"/>
        <w:rPr>
          <w:rFonts w:ascii="宋体" w:hAnsi="宋体" w:eastAsia="宋体"/>
        </w:rPr>
      </w:pPr>
      <w:r>
        <w:rPr>
          <w:rFonts w:hint="eastAsia" w:ascii="宋体" w:hAnsi="宋体" w:eastAsia="宋体"/>
        </w:rPr>
        <w:t>（4）样品质量管理程序；</w:t>
      </w:r>
    </w:p>
    <w:p w14:paraId="1CAAA2F3">
      <w:pPr>
        <w:pStyle w:val="71"/>
        <w:ind w:firstLine="480" w:firstLineChars="200"/>
        <w:jc w:val="both"/>
        <w:rPr>
          <w:rFonts w:ascii="宋体" w:hAnsi="宋体" w:eastAsia="宋体"/>
        </w:rPr>
      </w:pPr>
      <w:r>
        <w:rPr>
          <w:rFonts w:hint="eastAsia" w:ascii="宋体" w:hAnsi="宋体" w:eastAsia="宋体"/>
        </w:rPr>
        <w:t>（5）检测工作申诉处理程序；</w:t>
      </w:r>
    </w:p>
    <w:p w14:paraId="2215682B">
      <w:pPr>
        <w:pStyle w:val="71"/>
        <w:ind w:firstLine="480" w:firstLineChars="200"/>
        <w:jc w:val="both"/>
        <w:rPr>
          <w:rFonts w:ascii="宋体" w:hAnsi="宋体" w:eastAsia="宋体"/>
        </w:rPr>
      </w:pPr>
      <w:r>
        <w:rPr>
          <w:rFonts w:hint="eastAsia" w:ascii="宋体" w:hAnsi="宋体" w:eastAsia="宋体"/>
        </w:rPr>
        <w:t>（6）保密和保护所有权程序。</w:t>
      </w:r>
    </w:p>
    <w:p w14:paraId="4E274F86">
      <w:pPr>
        <w:pStyle w:val="71"/>
        <w:ind w:firstLine="480" w:firstLineChars="200"/>
        <w:jc w:val="both"/>
        <w:rPr>
          <w:rFonts w:ascii="宋体" w:hAnsi="宋体" w:eastAsia="宋体" w:cs="宋体"/>
          <w:bCs/>
          <w:szCs w:val="24"/>
        </w:rPr>
      </w:pPr>
      <w:r>
        <w:rPr>
          <w:rFonts w:hint="eastAsia" w:ascii="宋体" w:hAnsi="宋体" w:eastAsia="宋体" w:cs="宋体"/>
          <w:bCs/>
          <w:szCs w:val="24"/>
        </w:rPr>
        <w:t>2、投标人必须对本招标项目投入足够的检测人员，这些检测人员必须经过必要的与其承担任务相适应的教育、培训，并有相应的技术知识和经验。</w:t>
      </w:r>
    </w:p>
    <w:p w14:paraId="7D5D949A">
      <w:pPr>
        <w:pStyle w:val="71"/>
        <w:ind w:firstLine="480" w:firstLineChars="200"/>
        <w:jc w:val="both"/>
        <w:rPr>
          <w:rFonts w:ascii="宋体" w:hAnsi="宋体" w:eastAsia="宋体" w:cs="宋体"/>
          <w:bCs/>
          <w:szCs w:val="24"/>
        </w:rPr>
      </w:pPr>
      <w:r>
        <w:rPr>
          <w:rFonts w:hint="eastAsia" w:ascii="宋体" w:hAnsi="宋体" w:eastAsia="宋体" w:cs="宋体"/>
          <w:bCs/>
          <w:szCs w:val="24"/>
        </w:rPr>
        <w:t>3、投标人应配备足够的检测仪器设备。检测仪器设备必须在检定/校准有效期内,并在检定/校准有效期满后进行检定/校准。各计量检测仪器设备都必须严格按要求有明显的标志。</w:t>
      </w:r>
    </w:p>
    <w:p w14:paraId="58504999">
      <w:pPr>
        <w:pStyle w:val="71"/>
        <w:ind w:firstLine="480" w:firstLineChars="200"/>
        <w:jc w:val="both"/>
        <w:rPr>
          <w:rFonts w:ascii="宋体" w:hAnsi="宋体" w:eastAsia="宋体"/>
        </w:rPr>
      </w:pPr>
      <w:r>
        <w:rPr>
          <w:rFonts w:hint="eastAsia" w:ascii="宋体" w:hAnsi="宋体" w:eastAsia="宋体"/>
        </w:rPr>
        <w:t>4、</w:t>
      </w:r>
      <w:r>
        <w:rPr>
          <w:rFonts w:hint="eastAsia" w:ascii="宋体" w:hAnsi="宋体" w:eastAsia="宋体" w:cs="宋体"/>
          <w:bCs/>
          <w:szCs w:val="24"/>
        </w:rPr>
        <w:t>投标人</w:t>
      </w:r>
      <w:r>
        <w:rPr>
          <w:rFonts w:hint="eastAsia" w:ascii="宋体" w:hAnsi="宋体" w:eastAsia="宋体"/>
        </w:rPr>
        <w:t>必须为配合施工和安全与质量监督编写各项实施的检测项目的《检测工作方案》。</w:t>
      </w:r>
    </w:p>
    <w:p w14:paraId="5B4756AF">
      <w:pPr>
        <w:pStyle w:val="71"/>
        <w:ind w:firstLine="480" w:firstLineChars="200"/>
        <w:jc w:val="both"/>
        <w:rPr>
          <w:rFonts w:ascii="宋体" w:hAnsi="宋体" w:eastAsia="宋体"/>
        </w:rPr>
      </w:pPr>
      <w:r>
        <w:rPr>
          <w:rFonts w:hint="eastAsia" w:ascii="宋体" w:hAnsi="宋体" w:eastAsia="宋体"/>
        </w:rPr>
        <w:t>5、检测报告必须严格进行内部三级审核制度。</w:t>
      </w:r>
    </w:p>
    <w:p w14:paraId="6F8FD383">
      <w:pPr>
        <w:pStyle w:val="71"/>
        <w:ind w:firstLine="480" w:firstLineChars="200"/>
        <w:jc w:val="both"/>
        <w:rPr>
          <w:rFonts w:ascii="宋体" w:hAnsi="宋体" w:eastAsia="宋体" w:cs="宋体"/>
          <w:bCs/>
          <w:szCs w:val="24"/>
        </w:rPr>
      </w:pPr>
      <w:r>
        <w:rPr>
          <w:rFonts w:hint="eastAsia" w:ascii="宋体" w:hAnsi="宋体" w:eastAsia="宋体" w:cs="宋体"/>
          <w:bCs/>
          <w:szCs w:val="24"/>
        </w:rPr>
        <w:t>（a）检测工作人员要熟悉并严格按照检测规程和方法，检测工作，同时做好数据记录；</w:t>
      </w:r>
    </w:p>
    <w:p w14:paraId="6BEED495">
      <w:pPr>
        <w:pStyle w:val="71"/>
        <w:ind w:firstLine="480" w:firstLineChars="200"/>
        <w:jc w:val="both"/>
        <w:rPr>
          <w:rFonts w:ascii="宋体" w:hAnsi="宋体" w:eastAsia="宋体" w:cs="宋体"/>
          <w:bCs/>
          <w:szCs w:val="24"/>
        </w:rPr>
      </w:pPr>
      <w:r>
        <w:rPr>
          <w:rFonts w:hint="eastAsia" w:ascii="宋体" w:hAnsi="宋体" w:eastAsia="宋体" w:cs="宋体"/>
          <w:bCs/>
          <w:szCs w:val="24"/>
        </w:rPr>
        <w:t>（b）各检测工作校核者应掌握检测规程和技术，检查数据与原始记录符合，事实符合，严格按照规范进行；</w:t>
      </w:r>
    </w:p>
    <w:p w14:paraId="73BEB527">
      <w:pPr>
        <w:pStyle w:val="71"/>
        <w:ind w:firstLine="480" w:firstLineChars="200"/>
        <w:jc w:val="both"/>
        <w:rPr>
          <w:rFonts w:ascii="宋体" w:hAnsi="宋体" w:eastAsia="宋体" w:cs="宋体"/>
          <w:bCs/>
          <w:szCs w:val="24"/>
        </w:rPr>
      </w:pPr>
      <w:r>
        <w:rPr>
          <w:rFonts w:hint="eastAsia" w:ascii="宋体" w:hAnsi="宋体" w:eastAsia="宋体" w:cs="宋体"/>
          <w:bCs/>
          <w:szCs w:val="24"/>
        </w:rPr>
        <w:t>（c）报告审核者保证程序合法，报告有效。</w:t>
      </w:r>
    </w:p>
    <w:p w14:paraId="2410FA2C">
      <w:pPr>
        <w:pStyle w:val="71"/>
        <w:ind w:firstLine="480" w:firstLineChars="200"/>
        <w:jc w:val="both"/>
        <w:rPr>
          <w:rFonts w:ascii="宋体" w:hAnsi="宋体" w:eastAsia="宋体" w:cs="宋体"/>
          <w:bCs/>
          <w:szCs w:val="24"/>
        </w:rPr>
      </w:pPr>
      <w:r>
        <w:rPr>
          <w:rFonts w:hint="eastAsia" w:ascii="宋体" w:hAnsi="宋体" w:eastAsia="宋体" w:cs="宋体"/>
          <w:bCs/>
          <w:szCs w:val="24"/>
        </w:rPr>
        <w:t>6、本项目实施期间，如果因本项目施工质量抽查监督及验收需要，按规范和经批准的检测方案，经招标人确认需增加检测项目，且投标人也具备相应资质，则投标人不得以任何原因拒绝为招标人提供检测，并按要求出具符合验收要求的检测报告。投标人检测资质不能涵盖的项目报招标人批准后，由投标人委托具有相应资质的第三方检测单位实施，投标人应对其委托的第三方检测单位出具的检查结果负责，并取得相应管理部门的确认。</w:t>
      </w:r>
    </w:p>
    <w:p w14:paraId="1E3706B6">
      <w:pPr>
        <w:spacing w:line="360"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检测方案及工作量：在施工过程中，</w:t>
      </w:r>
      <w:r>
        <w:rPr>
          <w:rFonts w:hint="eastAsia" w:ascii="宋体" w:hAnsi="宋体"/>
          <w:sz w:val="24"/>
          <w:szCs w:val="24"/>
        </w:rPr>
        <w:t>投标人</w:t>
      </w:r>
      <w:r>
        <w:rPr>
          <w:rFonts w:ascii="宋体" w:hAnsi="宋体"/>
          <w:sz w:val="24"/>
          <w:szCs w:val="24"/>
        </w:rPr>
        <w:t>依据施工图及相关检测验收规范，编制检测方案和工程量清单，以满足施工质量抽查监督、各单项竣工验收、竣工验收备案及区质检站等政府职能部门要求为前提，合理编制，不可擅自虚增检测项目和工作量，否则不予结算。</w:t>
      </w:r>
      <w:r>
        <w:rPr>
          <w:rFonts w:hint="eastAsia" w:ascii="宋体" w:hAnsi="宋体"/>
          <w:sz w:val="24"/>
          <w:szCs w:val="24"/>
        </w:rPr>
        <w:t>投标人</w:t>
      </w:r>
      <w:r>
        <w:rPr>
          <w:rFonts w:ascii="宋体" w:hAnsi="宋体"/>
          <w:sz w:val="24"/>
          <w:szCs w:val="24"/>
        </w:rPr>
        <w:t>需报施工单位、监理单位、设计单位、勘察单位、代建单位（如有）和</w:t>
      </w:r>
      <w:r>
        <w:rPr>
          <w:rFonts w:hint="eastAsia" w:ascii="宋体" w:hAnsi="宋体"/>
          <w:sz w:val="24"/>
          <w:szCs w:val="24"/>
        </w:rPr>
        <w:t>招标人</w:t>
      </w:r>
      <w:r>
        <w:rPr>
          <w:rFonts w:ascii="宋体" w:hAnsi="宋体"/>
          <w:sz w:val="24"/>
          <w:szCs w:val="24"/>
        </w:rPr>
        <w:t>审核确认后方可实施，检测项目及工作量按实结算。</w:t>
      </w:r>
    </w:p>
    <w:p w14:paraId="67F15C66">
      <w:pPr>
        <w:spacing w:line="360" w:lineRule="auto"/>
        <w:ind w:firstLine="480" w:firstLineChars="200"/>
        <w:rPr>
          <w:rFonts w:ascii="宋体" w:hAnsi="宋体"/>
          <w:szCs w:val="24"/>
        </w:rPr>
      </w:pPr>
      <w:r>
        <w:rPr>
          <w:rFonts w:hint="eastAsia" w:ascii="宋体" w:hAnsi="宋体"/>
          <w:sz w:val="24"/>
          <w:szCs w:val="24"/>
        </w:rPr>
        <w:t>8、投标人最终提交的检测报告必须取得质监站、安监站及其他相关上级政府主管部门的认可并通过其备案审查。如投标人资质不能涵盖部分检测项目或质监站、安监站等相关主管部门对投标人的检测报告不予认可的，由投标人负责委托具备相应资质且符合质监站、安监站等相关主管部门认可的单位实施，且投标人必须对其委托的第三方检测单位最终提交的检测报告盖章确认并最终通过质监站、安监站等相关主管部门的备案审查，相关费用已全部包含在合同检测服务费总额中，招标人不再另行支付任何费用。</w:t>
      </w:r>
    </w:p>
    <w:p w14:paraId="7FBC855D">
      <w:pPr>
        <w:spacing w:line="360" w:lineRule="auto"/>
        <w:rPr>
          <w:rFonts w:ascii="宋体" w:hAnsi="宋体" w:cs="宋体"/>
          <w:b/>
          <w:sz w:val="28"/>
          <w:szCs w:val="28"/>
        </w:rPr>
      </w:pPr>
      <w:r>
        <w:rPr>
          <w:rFonts w:hint="eastAsia" w:ascii="宋体" w:hAnsi="宋体" w:cs="宋体"/>
          <w:b/>
          <w:sz w:val="28"/>
          <w:szCs w:val="28"/>
        </w:rPr>
        <w:t>三、检测实施要点</w:t>
      </w:r>
    </w:p>
    <w:p w14:paraId="0675A740">
      <w:pPr>
        <w:pStyle w:val="71"/>
        <w:ind w:firstLine="480" w:firstLineChars="200"/>
        <w:jc w:val="left"/>
        <w:rPr>
          <w:rFonts w:ascii="宋体" w:hAnsi="宋体" w:eastAsia="宋体" w:cs="宋体"/>
          <w:bCs/>
          <w:szCs w:val="24"/>
        </w:rPr>
      </w:pPr>
      <w:r>
        <w:rPr>
          <w:rFonts w:hint="eastAsia" w:ascii="宋体" w:hAnsi="宋体" w:eastAsia="宋体" w:cs="宋体"/>
          <w:bCs/>
          <w:szCs w:val="24"/>
        </w:rPr>
        <w:t>1、本项目检测技术方案必须符合国家及地方现行有关技术规范或规定以及设计单位的技术要求。</w:t>
      </w:r>
    </w:p>
    <w:p w14:paraId="17BD6B0D">
      <w:pPr>
        <w:pStyle w:val="71"/>
        <w:ind w:firstLine="480" w:firstLineChars="200"/>
        <w:jc w:val="left"/>
        <w:rPr>
          <w:rFonts w:ascii="宋体" w:hAnsi="宋体" w:eastAsia="宋体" w:cs="宋体"/>
          <w:bCs/>
          <w:szCs w:val="24"/>
        </w:rPr>
      </w:pPr>
      <w:r>
        <w:rPr>
          <w:rFonts w:hint="eastAsia" w:ascii="宋体" w:hAnsi="宋体" w:eastAsia="宋体" w:cs="宋体"/>
          <w:bCs/>
          <w:szCs w:val="24"/>
        </w:rPr>
        <w:t>2、本项目检测应严格按照设计要求到现场进行检测工作，检测单位须制定现场作业计划报监理单位审批。</w:t>
      </w:r>
    </w:p>
    <w:p w14:paraId="35F5B5CA">
      <w:pPr>
        <w:pStyle w:val="71"/>
        <w:ind w:firstLine="480" w:firstLineChars="200"/>
        <w:jc w:val="left"/>
        <w:rPr>
          <w:rFonts w:ascii="宋体" w:hAnsi="宋体" w:eastAsia="宋体" w:cs="宋体"/>
          <w:bCs/>
          <w:szCs w:val="24"/>
        </w:rPr>
      </w:pPr>
      <w:r>
        <w:rPr>
          <w:rFonts w:hint="eastAsia" w:ascii="宋体" w:hAnsi="宋体" w:eastAsia="宋体" w:cs="宋体"/>
          <w:bCs/>
          <w:szCs w:val="24"/>
        </w:rPr>
        <w:t>3、项目具备检测条件后应立即组织检测，</w:t>
      </w:r>
      <w:r>
        <w:rPr>
          <w:rFonts w:hint="eastAsia" w:ascii="宋体" w:hAnsi="宋体" w:eastAsia="宋体"/>
        </w:rPr>
        <w:t>现场作业完成后10个工作日</w:t>
      </w:r>
      <w:r>
        <w:rPr>
          <w:rFonts w:hint="eastAsia" w:ascii="宋体" w:hAnsi="宋体" w:eastAsia="宋体" w:cs="宋体"/>
          <w:bCs/>
          <w:szCs w:val="24"/>
        </w:rPr>
        <w:t>内提供检测报告。</w:t>
      </w:r>
    </w:p>
    <w:p w14:paraId="7872E972">
      <w:pPr>
        <w:pStyle w:val="71"/>
        <w:ind w:firstLine="480" w:firstLineChars="200"/>
        <w:jc w:val="left"/>
        <w:rPr>
          <w:rFonts w:ascii="宋体" w:hAnsi="宋体"/>
        </w:rPr>
      </w:pPr>
    </w:p>
    <w:p w14:paraId="4953D58A">
      <w:pPr>
        <w:spacing w:line="491" w:lineRule="exact"/>
        <w:jc w:val="center"/>
        <w:rPr>
          <w:rFonts w:ascii="宋体" w:hAnsi="宋体"/>
          <w:b/>
          <w:sz w:val="32"/>
          <w:szCs w:val="32"/>
        </w:rPr>
      </w:pPr>
    </w:p>
    <w:p w14:paraId="7484C319">
      <w:pPr>
        <w:spacing w:line="491" w:lineRule="exact"/>
        <w:jc w:val="center"/>
        <w:outlineLvl w:val="1"/>
        <w:rPr>
          <w:rFonts w:ascii="宋体" w:hAnsi="宋体"/>
          <w:b/>
          <w:sz w:val="32"/>
          <w:szCs w:val="32"/>
        </w:rPr>
      </w:pPr>
      <w:r>
        <w:rPr>
          <w:rFonts w:hint="eastAsia" w:ascii="宋体" w:hAnsi="宋体"/>
          <w:b/>
          <w:sz w:val="32"/>
          <w:szCs w:val="32"/>
        </w:rPr>
        <w:t>第二部分：监测服务</w:t>
      </w:r>
    </w:p>
    <w:p w14:paraId="278D7422">
      <w:pPr>
        <w:spacing w:line="360" w:lineRule="auto"/>
        <w:rPr>
          <w:rFonts w:ascii="宋体" w:hAnsi="宋体" w:cs="宋体"/>
          <w:b/>
          <w:sz w:val="28"/>
          <w:szCs w:val="28"/>
        </w:rPr>
      </w:pPr>
      <w:r>
        <w:rPr>
          <w:rFonts w:hint="eastAsia" w:ascii="宋体" w:hAnsi="宋体" w:cs="宋体"/>
          <w:b/>
          <w:sz w:val="28"/>
          <w:szCs w:val="28"/>
        </w:rPr>
        <w:t>一、技术标准、规范</w:t>
      </w:r>
    </w:p>
    <w:p w14:paraId="4C705136">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szCs w:val="24"/>
        </w:rPr>
        <w:t>依据本项目设计文件的要求，本次招标的监（观）测技术服务须达到中华人民共和国、广东省、广州市、黄埔区（开发区）以及行业主管部门现行有效的技术标准、规范、规程和文件的各项质量要求，监（观）测适用的技术标准、规范等依据必须符合相关监督管理部门的规范标准。各文件或规范的要求、标准存在不同的，以较高要求或标准为准，但招标人另有要求的除外。包括但不限于：</w:t>
      </w:r>
    </w:p>
    <w:p w14:paraId="23F83E54">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1.《建筑变形测量规范》（JGJ8-2016）；</w:t>
      </w:r>
    </w:p>
    <w:p w14:paraId="2C2F7023">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《建筑施工模板安全技术规范》（JGJ162-2008）；</w:t>
      </w:r>
    </w:p>
    <w:p w14:paraId="03B2514B">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《民用建筑物可靠性鉴定标准》（GB50292-1999）；</w:t>
      </w:r>
    </w:p>
    <w:p w14:paraId="026434FD">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4</w:t>
      </w:r>
      <w:r>
        <w:rPr>
          <w:rFonts w:hint="eastAsia" w:ascii="宋体" w:hAnsi="宋体" w:cs="宋体"/>
          <w:sz w:val="24"/>
          <w:szCs w:val="24"/>
        </w:rPr>
        <w:t>.《建筑基坑工程监测技术标准》（GB50497-2019）；</w:t>
      </w:r>
    </w:p>
    <w:p w14:paraId="1C0898AE">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5</w:t>
      </w:r>
      <w:r>
        <w:rPr>
          <w:rFonts w:hint="eastAsia" w:ascii="宋体" w:hAnsi="宋体" w:cs="宋体"/>
          <w:sz w:val="24"/>
          <w:szCs w:val="24"/>
        </w:rPr>
        <w:t>.《建筑基坑支护技术规程》（JGJ120-2012）；</w:t>
      </w:r>
    </w:p>
    <w:p w14:paraId="1B1CC207">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6</w:t>
      </w:r>
      <w:r>
        <w:rPr>
          <w:rFonts w:hint="eastAsia" w:ascii="宋体" w:hAnsi="宋体" w:cs="宋体"/>
          <w:sz w:val="24"/>
          <w:szCs w:val="24"/>
        </w:rPr>
        <w:t>.《建筑地基基础设计规范》（GB5007-2011）；</w:t>
      </w:r>
    </w:p>
    <w:p w14:paraId="22AC3836">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7</w:t>
      </w:r>
      <w:r>
        <w:rPr>
          <w:rFonts w:hint="eastAsia" w:ascii="宋体" w:hAnsi="宋体" w:cs="宋体"/>
          <w:sz w:val="24"/>
          <w:szCs w:val="24"/>
        </w:rPr>
        <w:t>.《工程测量规范》（</w:t>
      </w:r>
      <w:r>
        <w:rPr>
          <w:rFonts w:ascii="宋体" w:hAnsi="宋体" w:cs="宋体"/>
          <w:sz w:val="24"/>
          <w:szCs w:val="24"/>
        </w:rPr>
        <w:t>GB50026-2020</w:t>
      </w:r>
      <w:r>
        <w:rPr>
          <w:rFonts w:hint="eastAsia" w:ascii="宋体" w:hAnsi="宋体" w:cs="宋体"/>
          <w:sz w:val="24"/>
          <w:szCs w:val="24"/>
        </w:rPr>
        <w:t>）；</w:t>
      </w:r>
    </w:p>
    <w:p w14:paraId="386468B7">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8.《工程测量标准》</w:t>
      </w:r>
      <w:r>
        <w:rPr>
          <w:rFonts w:hint="eastAsia" w:ascii="宋体" w:hAnsi="宋体" w:cs="宋体"/>
          <w:sz w:val="24"/>
          <w:szCs w:val="24"/>
        </w:rPr>
        <w:t>（</w:t>
      </w:r>
      <w:r>
        <w:rPr>
          <w:rFonts w:ascii="宋体" w:hAnsi="宋体" w:cs="宋体"/>
          <w:sz w:val="24"/>
          <w:szCs w:val="24"/>
        </w:rPr>
        <w:t>GB50026-2021</w:t>
      </w:r>
      <w:r>
        <w:rPr>
          <w:rFonts w:hint="eastAsia" w:ascii="宋体" w:hAnsi="宋体" w:cs="宋体"/>
          <w:sz w:val="24"/>
          <w:szCs w:val="24"/>
        </w:rPr>
        <w:t>）；</w:t>
      </w:r>
    </w:p>
    <w:p w14:paraId="2F5AB145">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9</w:t>
      </w:r>
      <w:r>
        <w:rPr>
          <w:rFonts w:hint="eastAsia" w:ascii="宋体" w:hAnsi="宋体" w:cs="宋体"/>
          <w:sz w:val="24"/>
          <w:szCs w:val="24"/>
        </w:rPr>
        <w:t>.《工程测量通用规范》（GB55018-2021）；</w:t>
      </w:r>
    </w:p>
    <w:p w14:paraId="66ECB0FE">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10</w:t>
      </w:r>
      <w:r>
        <w:rPr>
          <w:rFonts w:hint="eastAsia" w:ascii="宋体" w:hAnsi="宋体" w:cs="宋体"/>
          <w:sz w:val="24"/>
          <w:szCs w:val="24"/>
        </w:rPr>
        <w:t>.《建筑基坑施工监测技术标准》（DBJ/T15-162-2019）；</w:t>
      </w:r>
    </w:p>
    <w:p w14:paraId="45E1BFD5">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11</w:t>
      </w:r>
      <w:r>
        <w:rPr>
          <w:rFonts w:hint="eastAsia" w:ascii="宋体" w:hAnsi="宋体" w:cs="宋体"/>
          <w:sz w:val="24"/>
          <w:szCs w:val="24"/>
        </w:rPr>
        <w:t>.《高大模板支撑系统实时安全监测技术规范》（DBJ/T15-197-2020）；</w:t>
      </w:r>
    </w:p>
    <w:p w14:paraId="35B0763C">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12</w:t>
      </w:r>
      <w:r>
        <w:rPr>
          <w:rFonts w:hint="eastAsia" w:ascii="宋体" w:hAnsi="宋体" w:cs="宋体"/>
          <w:sz w:val="24"/>
          <w:szCs w:val="24"/>
        </w:rPr>
        <w:t>.《建筑施工临时支撑结构技术规范》（JGJ300-2013）；</w:t>
      </w:r>
    </w:p>
    <w:p w14:paraId="3CCED420">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.《模板工程安全自动监测技术规程》（T/CECS 542-2018）；</w:t>
      </w:r>
    </w:p>
    <w:p w14:paraId="5E9BFEA1">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14</w:t>
      </w:r>
      <w:r>
        <w:rPr>
          <w:rFonts w:hint="eastAsia" w:ascii="宋体" w:hAnsi="宋体" w:cs="宋体"/>
          <w:sz w:val="24"/>
          <w:szCs w:val="24"/>
        </w:rPr>
        <w:t>.住房和城乡建设部《危险性较大的分部分项工程安全管理办法》（建质[2009]87号）；</w:t>
      </w:r>
    </w:p>
    <w:p w14:paraId="0273BA3B">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15</w:t>
      </w:r>
      <w:r>
        <w:rPr>
          <w:rFonts w:hint="eastAsia" w:ascii="宋体" w:hAnsi="宋体" w:cs="宋体"/>
          <w:sz w:val="24"/>
          <w:szCs w:val="24"/>
        </w:rPr>
        <w:t>.《关于印发广东省住房和城乡建设厅关于&lt;危险性较大的分部分项工程安全管理办法&gt;的实施细则的通知》（粤建质[2011]13号）；</w:t>
      </w:r>
    </w:p>
    <w:p w14:paraId="371460CD">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16</w:t>
      </w:r>
      <w:r>
        <w:rPr>
          <w:rFonts w:hint="eastAsia" w:ascii="宋体" w:hAnsi="宋体" w:cs="宋体"/>
          <w:sz w:val="24"/>
          <w:szCs w:val="24"/>
        </w:rPr>
        <w:t>.《广州市城乡建设委员会关于进一步加强危险性较大的混凝土模板支撑工程和承重支撑体系安全检测工作的通知》（穗建质[2014]168号）；</w:t>
      </w:r>
    </w:p>
    <w:p w14:paraId="00117B97">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17</w:t>
      </w:r>
      <w:r>
        <w:rPr>
          <w:rFonts w:hint="eastAsia" w:ascii="宋体" w:hAnsi="宋体" w:cs="宋体"/>
          <w:sz w:val="24"/>
          <w:szCs w:val="24"/>
        </w:rPr>
        <w:t>.《广州市城乡建设委员会关于进一步加强建筑施工模板支撑系统安全管理工作的通知》（穗建质[2014]233号）；</w:t>
      </w:r>
    </w:p>
    <w:p w14:paraId="1F750D9F">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18</w:t>
      </w:r>
      <w:r>
        <w:rPr>
          <w:rFonts w:hint="eastAsia" w:ascii="宋体" w:hAnsi="宋体" w:cs="宋体"/>
          <w:sz w:val="24"/>
          <w:szCs w:val="24"/>
        </w:rPr>
        <w:t>.《广州市城乡建设委员会关于进一步加强建设工程安全生产信息化管理的通知》（穗建质[2015]140号）；</w:t>
      </w:r>
    </w:p>
    <w:p w14:paraId="392BE16C">
      <w:pPr>
        <w:widowControl/>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19.</w:t>
      </w:r>
      <w:r>
        <w:rPr>
          <w:rFonts w:hint="eastAsia" w:ascii="宋体" w:hAnsi="宋体" w:cs="宋体"/>
          <w:sz w:val="24"/>
          <w:szCs w:val="24"/>
        </w:rPr>
        <w:t>《广州市住房和城乡建设委员会关于推进全市超过一定规模危险性较大的混凝土模版支撑工程和承重支撑体系自动化安全监测工作的通知》（穗建质[</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1006</w:t>
      </w:r>
      <w:r>
        <w:rPr>
          <w:rFonts w:hint="eastAsia" w:ascii="宋体" w:hAnsi="宋体" w:cs="宋体"/>
          <w:sz w:val="24"/>
          <w:szCs w:val="24"/>
        </w:rPr>
        <w:t>号）；</w:t>
      </w:r>
    </w:p>
    <w:p w14:paraId="55BE84A4">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0.《广州市住房和城乡建设局关于加强房屋建筑工程基坑监测管理的通知(试行)》（穗建质〔2023〕207号）</w:t>
      </w:r>
      <w:r>
        <w:rPr>
          <w:rFonts w:hint="eastAsia" w:ascii="宋体" w:hAnsi="宋体" w:cs="宋体"/>
          <w:sz w:val="24"/>
          <w:szCs w:val="24"/>
        </w:rPr>
        <w:t>；</w:t>
      </w:r>
    </w:p>
    <w:p w14:paraId="305FEEA5">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《关于加强地下工程和深基坑安全监测方案管理的通知》（穗建质〔2014〕750号）；</w:t>
      </w:r>
    </w:p>
    <w:p w14:paraId="386736D3">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《建设工程质量管理条例文件汇编》（广州地区建设工程质量安全监督站，广州市市政工程安全质量监督站编制）；</w:t>
      </w:r>
    </w:p>
    <w:p w14:paraId="389E89AC">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《国家一、二等水准测量规范》（GB/T 12897-2006）；</w:t>
      </w:r>
    </w:p>
    <w:p w14:paraId="3A90DD94">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《国家三、四等水准测量规范》（</w:t>
      </w:r>
      <w:r>
        <w:rPr>
          <w:rFonts w:ascii="宋体" w:hAnsi="宋体" w:cs="宋体"/>
          <w:sz w:val="24"/>
          <w:szCs w:val="24"/>
        </w:rPr>
        <w:t>GB/T12898-2009</w:t>
      </w:r>
      <w:r>
        <w:rPr>
          <w:rFonts w:hint="eastAsia" w:ascii="宋体" w:hAnsi="宋体" w:cs="宋体"/>
          <w:sz w:val="24"/>
          <w:szCs w:val="24"/>
        </w:rPr>
        <w:t>）；</w:t>
      </w:r>
    </w:p>
    <w:p w14:paraId="54DDB678">
      <w:pPr>
        <w:widowControl/>
        <w:adjustRightInd w:val="0"/>
        <w:snapToGrid w:val="0"/>
        <w:spacing w:line="360" w:lineRule="auto"/>
        <w:ind w:firstLine="480" w:firstLineChars="200"/>
        <w:jc w:val="left"/>
        <w:rPr>
          <w:rFonts w:ascii="宋体" w:hAnsi="宋体" w:cs="宋体"/>
        </w:rPr>
      </w:pPr>
      <w:r>
        <w:rPr>
          <w:rFonts w:ascii="宋体" w:hAnsi="宋体" w:cs="宋体"/>
          <w:sz w:val="24"/>
          <w:szCs w:val="24"/>
        </w:rPr>
        <w:t>25</w:t>
      </w:r>
      <w:r>
        <w:rPr>
          <w:rFonts w:hint="eastAsia" w:ascii="宋体" w:hAnsi="宋体" w:cs="宋体"/>
          <w:sz w:val="24"/>
          <w:szCs w:val="24"/>
        </w:rPr>
        <w:t>.国家其他监（观）测规范、强制性标准；</w:t>
      </w:r>
    </w:p>
    <w:p w14:paraId="218B1BED">
      <w:pPr>
        <w:widowControl/>
        <w:adjustRightInd w:val="0"/>
        <w:snapToGrid w:val="0"/>
        <w:spacing w:line="360" w:lineRule="auto"/>
        <w:ind w:firstLine="480" w:firstLineChars="200"/>
        <w:jc w:val="left"/>
        <w:rPr>
          <w:rFonts w:ascii="宋体" w:hAnsi="宋体" w:cs="宋体"/>
          <w:bCs/>
          <w:kern w:val="0"/>
          <w:sz w:val="24"/>
          <w:szCs w:val="24"/>
        </w:rPr>
      </w:pPr>
      <w:r>
        <w:rPr>
          <w:rFonts w:ascii="宋体" w:hAnsi="宋体" w:cs="宋体"/>
          <w:sz w:val="24"/>
          <w:szCs w:val="24"/>
        </w:rPr>
        <w:t>26</w:t>
      </w:r>
      <w:r>
        <w:rPr>
          <w:rFonts w:hint="eastAsia" w:ascii="宋体" w:hAnsi="宋体" w:cs="宋体"/>
          <w:sz w:val="24"/>
          <w:szCs w:val="24"/>
        </w:rPr>
        <w:t>.监（观）测服务方案与相关设计文件要求；</w:t>
      </w:r>
    </w:p>
    <w:p w14:paraId="6432FBE7">
      <w:pPr>
        <w:pStyle w:val="71"/>
        <w:ind w:firstLine="480" w:firstLineChars="200"/>
        <w:jc w:val="both"/>
        <w:rPr>
          <w:rFonts w:ascii="宋体" w:hAnsi="宋体" w:eastAsia="宋体" w:cs="宋体"/>
          <w:bCs/>
          <w:szCs w:val="24"/>
        </w:rPr>
      </w:pPr>
      <w:r>
        <w:rPr>
          <w:rFonts w:ascii="宋体" w:hAnsi="宋体" w:eastAsia="宋体" w:cs="宋体"/>
          <w:bCs/>
          <w:szCs w:val="24"/>
        </w:rPr>
        <w:t>27</w:t>
      </w:r>
      <w:r>
        <w:rPr>
          <w:rFonts w:hint="eastAsia" w:ascii="宋体" w:hAnsi="宋体" w:eastAsia="宋体" w:cs="宋体"/>
          <w:bCs/>
          <w:szCs w:val="24"/>
        </w:rPr>
        <w:t>.国家和广东省、广州市、黄埔区、开发区其他有关观（监）测的法律、法规、规章、规范及标准。实际观（监）测依据以实施检测时国家及地方发布的最新规范、标准及规定为准。</w:t>
      </w:r>
    </w:p>
    <w:p w14:paraId="72FE1A98">
      <w:pPr>
        <w:pStyle w:val="72"/>
      </w:pPr>
    </w:p>
    <w:p w14:paraId="43A002E9">
      <w:pPr>
        <w:spacing w:line="360" w:lineRule="auto"/>
        <w:rPr>
          <w:rFonts w:ascii="宋体" w:hAnsi="宋体" w:cs="宋体"/>
          <w:b/>
          <w:sz w:val="28"/>
          <w:szCs w:val="28"/>
        </w:rPr>
      </w:pPr>
      <w:r>
        <w:rPr>
          <w:rFonts w:hint="eastAsia" w:ascii="宋体" w:hAnsi="宋体" w:cs="宋体"/>
          <w:b/>
          <w:sz w:val="28"/>
          <w:szCs w:val="28"/>
        </w:rPr>
        <w:t>二、监（观）测频率和要求（以招标文件、设计图纸及相关资料为准）</w:t>
      </w:r>
    </w:p>
    <w:p w14:paraId="5648402E">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1.须编制具体监（观）测方案，监（观）测频率满足设计以及相关规范要求。</w:t>
      </w:r>
    </w:p>
    <w:p w14:paraId="253F7E06">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lang w:bidi="ar"/>
        </w:rPr>
        <w:t>2.当变形超过有关标准或场地条件变化较大时，应加密监（观）测，并通报监理</w:t>
      </w:r>
      <w:r>
        <w:rPr>
          <w:rFonts w:hint="eastAsia" w:ascii="宋体" w:hAnsi="宋体"/>
          <w:sz w:val="24"/>
        </w:rPr>
        <w:t>人</w:t>
      </w:r>
      <w:r>
        <w:rPr>
          <w:rFonts w:hint="eastAsia" w:ascii="宋体" w:hAnsi="宋体" w:cs="宋体"/>
          <w:sz w:val="24"/>
          <w:szCs w:val="24"/>
          <w:lang w:bidi="ar"/>
        </w:rPr>
        <w:t>及招标人。</w:t>
      </w:r>
    </w:p>
    <w:p w14:paraId="5EB9861B">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3.当有危险事故征兆时，应进行连续监（观）测，并向监理人及招标人作书面汇报。</w:t>
      </w:r>
    </w:p>
    <w:p w14:paraId="43A39A88">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4.投标人应严格按照设计要求及监理人要求，及时到现场进行工作。</w:t>
      </w:r>
    </w:p>
    <w:p w14:paraId="4600015C">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5.</w:t>
      </w:r>
      <w:r>
        <w:rPr>
          <w:rFonts w:hint="eastAsia" w:ascii="宋体" w:hAnsi="宋体"/>
          <w:sz w:val="24"/>
        </w:rPr>
        <w:t>监测工作</w:t>
      </w:r>
      <w:r>
        <w:rPr>
          <w:rFonts w:hint="eastAsia" w:ascii="宋体" w:hAnsi="宋体" w:cs="宋体"/>
          <w:sz w:val="24"/>
          <w:szCs w:val="24"/>
        </w:rPr>
        <w:t>应有完整的原始记录表、数据报表、图形和曲线等资料。</w:t>
      </w:r>
    </w:p>
    <w:p w14:paraId="7C6627C0">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6.工程出现质量隐患时，必须立即上报监理人及招标人，因投标人未及时上报情况，而造成安全事故的，中标投标人需负全部责任，对招标人造成损失的，应赔偿该部分费用。</w:t>
      </w:r>
    </w:p>
    <w:p w14:paraId="2C375FD1">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rPr>
        <w:t>7.发生险情时，投标人收到监理人或招标人通知后的2个小时内必须派专人赶至施工现场。</w:t>
      </w:r>
    </w:p>
    <w:p w14:paraId="2D7C8407">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z w:val="24"/>
          <w:szCs w:val="24"/>
        </w:rPr>
        <w:t>8.</w:t>
      </w:r>
      <w:r>
        <w:rPr>
          <w:rFonts w:hint="eastAsia" w:ascii="宋体" w:hAnsi="宋体" w:cs="宋体"/>
          <w:snapToGrid w:val="0"/>
          <w:kern w:val="28"/>
          <w:sz w:val="24"/>
          <w:szCs w:val="24"/>
        </w:rPr>
        <w:t>监测设备要求：用于完成本项目监（观）测的仪器、设备和材料由</w:t>
      </w:r>
      <w:r>
        <w:rPr>
          <w:rFonts w:hint="eastAsia" w:ascii="宋体" w:hAnsi="宋体" w:cs="宋体"/>
          <w:sz w:val="24"/>
          <w:szCs w:val="24"/>
        </w:rPr>
        <w:t>投标</w:t>
      </w:r>
      <w:r>
        <w:rPr>
          <w:rFonts w:hint="eastAsia" w:ascii="宋体" w:hAnsi="宋体" w:cs="宋体"/>
          <w:snapToGrid w:val="0"/>
          <w:kern w:val="28"/>
          <w:sz w:val="24"/>
          <w:szCs w:val="24"/>
        </w:rPr>
        <w:t>人自行运输，存管。仪器、设备和材料应有产品出厂合格证，检定/校准证书，同时符合相关技术标准和检定要求。</w:t>
      </w:r>
    </w:p>
    <w:p w14:paraId="6843D2A3">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napToGrid w:val="0"/>
          <w:kern w:val="28"/>
          <w:sz w:val="24"/>
          <w:szCs w:val="24"/>
        </w:rPr>
        <w:t>9.</w:t>
      </w:r>
      <w:r>
        <w:rPr>
          <w:rFonts w:hint="eastAsia" w:ascii="宋体" w:hAnsi="宋体" w:cs="宋体"/>
          <w:sz w:val="24"/>
          <w:szCs w:val="24"/>
        </w:rPr>
        <w:t>投标</w:t>
      </w:r>
      <w:r>
        <w:rPr>
          <w:rFonts w:hint="eastAsia" w:ascii="宋体" w:hAnsi="宋体" w:cs="宋体"/>
          <w:snapToGrid w:val="0"/>
          <w:kern w:val="28"/>
          <w:sz w:val="24"/>
          <w:szCs w:val="24"/>
        </w:rPr>
        <w:t>人在进场监测前，需根据经招标人确认的监测图纸及现场实际情况编制服务方案，并报项目所在行政区域的相关建设行政主管部门和监督部门等，经审批同意后组织实施。监（观）测方案必须满足设计文件以及国家、广东省及广州市监督部门现行技术规范的要求。</w:t>
      </w:r>
    </w:p>
    <w:p w14:paraId="0B2DFB7C">
      <w:pPr>
        <w:widowControl/>
        <w:adjustRightInd w:val="0"/>
        <w:snapToGrid w:val="0"/>
        <w:spacing w:line="360" w:lineRule="auto"/>
        <w:ind w:firstLine="480" w:firstLineChars="200"/>
        <w:rPr>
          <w:rFonts w:ascii="宋体" w:hAnsi="宋体"/>
          <w:kern w:val="28"/>
        </w:rPr>
      </w:pPr>
      <w:r>
        <w:rPr>
          <w:rFonts w:hint="eastAsia" w:ascii="宋体" w:hAnsi="宋体" w:cs="宋体"/>
          <w:snapToGrid w:val="0"/>
          <w:kern w:val="28"/>
          <w:sz w:val="24"/>
          <w:szCs w:val="24"/>
        </w:rPr>
        <w:t>10.监（观）测成果提交：监（观）测成果的提交分为电子数据和纸质成果，电子数据在监（观）测</w:t>
      </w:r>
      <w:r>
        <w:rPr>
          <w:rFonts w:hint="eastAsia" w:ascii="宋体" w:hAnsi="宋体"/>
          <w:kern w:val="28"/>
          <w:sz w:val="24"/>
        </w:rPr>
        <w:t>完成</w:t>
      </w:r>
      <w:r>
        <w:rPr>
          <w:rFonts w:hint="eastAsia" w:ascii="宋体" w:hAnsi="宋体" w:cs="宋体"/>
          <w:snapToGrid w:val="0"/>
          <w:kern w:val="28"/>
          <w:sz w:val="24"/>
          <w:szCs w:val="24"/>
        </w:rPr>
        <w:t>后以电子邮件的形式发送，需确保不因传输报送</w:t>
      </w:r>
      <w:r>
        <w:rPr>
          <w:rFonts w:hint="eastAsia" w:ascii="宋体" w:hAnsi="宋体"/>
          <w:kern w:val="28"/>
          <w:sz w:val="24"/>
        </w:rPr>
        <w:t>工作</w:t>
      </w:r>
      <w:r>
        <w:rPr>
          <w:rFonts w:hint="eastAsia" w:ascii="宋体" w:hAnsi="宋体" w:cs="宋体"/>
          <w:snapToGrid w:val="0"/>
          <w:kern w:val="28"/>
          <w:sz w:val="24"/>
          <w:szCs w:val="24"/>
        </w:rPr>
        <w:t>影响本工程项目的建设进度和竣工验收。</w:t>
      </w:r>
      <w:r>
        <w:rPr>
          <w:rFonts w:hint="eastAsia" w:ascii="宋体" w:hAnsi="宋体" w:cs="宋体"/>
          <w:sz w:val="24"/>
          <w:szCs w:val="24"/>
          <w:lang w:bidi="ar"/>
        </w:rPr>
        <w:t>监（观）测</w:t>
      </w:r>
      <w:r>
        <w:rPr>
          <w:rFonts w:hint="eastAsia" w:ascii="宋体" w:hAnsi="宋体" w:cs="宋体"/>
          <w:snapToGrid w:val="0"/>
          <w:kern w:val="28"/>
          <w:sz w:val="24"/>
          <w:szCs w:val="24"/>
        </w:rPr>
        <w:t>成果分为日报表、阶段报表（周、月报）和完成时提供的</w:t>
      </w:r>
      <w:r>
        <w:rPr>
          <w:rFonts w:hint="eastAsia" w:ascii="宋体" w:hAnsi="宋体" w:cs="宋体"/>
          <w:sz w:val="24"/>
          <w:szCs w:val="24"/>
          <w:lang w:bidi="ar"/>
        </w:rPr>
        <w:t>监（观）测</w:t>
      </w:r>
      <w:r>
        <w:rPr>
          <w:rFonts w:hint="eastAsia" w:ascii="宋体" w:hAnsi="宋体" w:cs="宋体"/>
          <w:snapToGrid w:val="0"/>
          <w:kern w:val="28"/>
          <w:sz w:val="24"/>
          <w:szCs w:val="24"/>
        </w:rPr>
        <w:t>总报告。每次</w:t>
      </w:r>
      <w:r>
        <w:rPr>
          <w:rFonts w:hint="eastAsia" w:ascii="宋体" w:hAnsi="宋体" w:cs="宋体"/>
          <w:sz w:val="24"/>
          <w:szCs w:val="24"/>
          <w:lang w:bidi="ar"/>
        </w:rPr>
        <w:t>监（观）测</w:t>
      </w:r>
      <w:r>
        <w:rPr>
          <w:rFonts w:hint="eastAsia" w:ascii="宋体" w:hAnsi="宋体" w:cs="宋体"/>
          <w:snapToGrid w:val="0"/>
          <w:kern w:val="28"/>
          <w:sz w:val="24"/>
          <w:szCs w:val="24"/>
        </w:rPr>
        <w:t>完成时提供</w:t>
      </w:r>
      <w:r>
        <w:rPr>
          <w:rFonts w:hint="eastAsia" w:ascii="宋体" w:hAnsi="宋体" w:cs="宋体"/>
          <w:sz w:val="24"/>
          <w:szCs w:val="24"/>
          <w:lang w:bidi="ar"/>
        </w:rPr>
        <w:t>监（观）测</w:t>
      </w:r>
      <w:r>
        <w:rPr>
          <w:rFonts w:hint="eastAsia" w:ascii="宋体" w:hAnsi="宋体" w:cs="宋体"/>
          <w:snapToGrid w:val="0"/>
          <w:kern w:val="28"/>
          <w:sz w:val="24"/>
          <w:szCs w:val="24"/>
        </w:rPr>
        <w:t>日报表，报表主要内容组成如下：</w:t>
      </w:r>
    </w:p>
    <w:p w14:paraId="1FA0757D">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napToGrid w:val="0"/>
          <w:kern w:val="28"/>
          <w:sz w:val="24"/>
          <w:szCs w:val="24"/>
        </w:rPr>
        <w:t>（1）</w:t>
      </w:r>
      <w:r>
        <w:rPr>
          <w:rFonts w:hint="eastAsia" w:ascii="宋体" w:hAnsi="宋体" w:cs="宋体"/>
          <w:sz w:val="24"/>
          <w:szCs w:val="24"/>
          <w:lang w:bidi="ar"/>
        </w:rPr>
        <w:t>监（观）测</w:t>
      </w:r>
      <w:r>
        <w:rPr>
          <w:rFonts w:hint="eastAsia" w:ascii="宋体" w:hAnsi="宋体" w:cs="宋体"/>
          <w:snapToGrid w:val="0"/>
          <w:kern w:val="28"/>
          <w:sz w:val="24"/>
          <w:szCs w:val="24"/>
        </w:rPr>
        <w:t>项目测点布置示意图；</w:t>
      </w:r>
    </w:p>
    <w:p w14:paraId="2C58CFED">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napToGrid w:val="0"/>
          <w:kern w:val="28"/>
          <w:sz w:val="24"/>
          <w:szCs w:val="24"/>
        </w:rPr>
        <w:t>（2）</w:t>
      </w:r>
      <w:r>
        <w:rPr>
          <w:rFonts w:hint="eastAsia" w:ascii="宋体" w:hAnsi="宋体" w:cs="宋体"/>
          <w:sz w:val="24"/>
          <w:szCs w:val="24"/>
          <w:lang w:bidi="ar"/>
        </w:rPr>
        <w:t>监（观）测</w:t>
      </w:r>
      <w:r>
        <w:rPr>
          <w:rFonts w:hint="eastAsia" w:ascii="宋体" w:hAnsi="宋体" w:cs="宋体"/>
          <w:snapToGrid w:val="0"/>
          <w:kern w:val="28"/>
          <w:sz w:val="24"/>
          <w:szCs w:val="24"/>
        </w:rPr>
        <w:t>项目</w:t>
      </w:r>
      <w:r>
        <w:rPr>
          <w:rFonts w:hint="eastAsia" w:ascii="宋体" w:hAnsi="宋体" w:cs="宋体"/>
          <w:sz w:val="24"/>
          <w:szCs w:val="24"/>
          <w:lang w:bidi="ar"/>
        </w:rPr>
        <w:t>监（观）测</w:t>
      </w:r>
      <w:r>
        <w:rPr>
          <w:rFonts w:hint="eastAsia" w:ascii="宋体" w:hAnsi="宋体" w:cs="宋体"/>
          <w:snapToGrid w:val="0"/>
          <w:kern w:val="28"/>
          <w:sz w:val="24"/>
          <w:szCs w:val="24"/>
        </w:rPr>
        <w:t>数据的分析与说明；</w:t>
      </w:r>
    </w:p>
    <w:p w14:paraId="0EC4FA31">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napToGrid w:val="0"/>
          <w:kern w:val="28"/>
          <w:sz w:val="24"/>
          <w:szCs w:val="24"/>
        </w:rPr>
        <w:t>（3）</w:t>
      </w:r>
      <w:r>
        <w:rPr>
          <w:rFonts w:hint="eastAsia" w:ascii="宋体" w:hAnsi="宋体" w:cs="宋体"/>
          <w:sz w:val="24"/>
          <w:szCs w:val="24"/>
          <w:lang w:bidi="ar"/>
        </w:rPr>
        <w:t>监（观）测</w:t>
      </w:r>
      <w:r>
        <w:rPr>
          <w:rFonts w:hint="eastAsia" w:ascii="宋体" w:hAnsi="宋体" w:cs="宋体"/>
          <w:snapToGrid w:val="0"/>
          <w:kern w:val="28"/>
          <w:sz w:val="24"/>
          <w:szCs w:val="24"/>
        </w:rPr>
        <w:t>项目</w:t>
      </w:r>
      <w:r>
        <w:rPr>
          <w:rFonts w:hint="eastAsia" w:ascii="宋体" w:hAnsi="宋体" w:cs="宋体"/>
          <w:sz w:val="24"/>
          <w:szCs w:val="24"/>
          <w:lang w:bidi="ar"/>
        </w:rPr>
        <w:t>监（观）测</w:t>
      </w:r>
      <w:r>
        <w:rPr>
          <w:rFonts w:hint="eastAsia" w:ascii="宋体" w:hAnsi="宋体" w:cs="宋体"/>
          <w:snapToGrid w:val="0"/>
          <w:kern w:val="28"/>
          <w:sz w:val="24"/>
          <w:szCs w:val="24"/>
        </w:rPr>
        <w:t>值数据变化表及变化曲线。</w:t>
      </w:r>
    </w:p>
    <w:p w14:paraId="63869C76">
      <w:pPr>
        <w:widowControl/>
        <w:adjustRightInd w:val="0"/>
        <w:snapToGrid w:val="0"/>
        <w:spacing w:line="360" w:lineRule="auto"/>
        <w:ind w:firstLine="480" w:firstLineChars="200"/>
        <w:rPr>
          <w:rFonts w:ascii="宋体" w:hAnsi="宋体" w:cs="宋体"/>
          <w:snapToGrid w:val="0"/>
          <w:kern w:val="28"/>
        </w:rPr>
      </w:pPr>
      <w:r>
        <w:rPr>
          <w:rFonts w:hint="eastAsia" w:ascii="宋体" w:hAnsi="宋体" w:cs="宋体"/>
          <w:snapToGrid w:val="0"/>
          <w:kern w:val="28"/>
          <w:sz w:val="24"/>
          <w:szCs w:val="24"/>
        </w:rPr>
        <w:t>11.本技术要求未说明事项，均按现行国家及地方的相关法律、规范和规定、行业标准等实施。</w:t>
      </w:r>
    </w:p>
    <w:p w14:paraId="6756D069">
      <w:pPr>
        <w:widowControl/>
        <w:adjustRightInd w:val="0"/>
        <w:snapToGrid w:val="0"/>
        <w:spacing w:line="360" w:lineRule="auto"/>
        <w:ind w:firstLine="480" w:firstLineChars="200"/>
        <w:rPr>
          <w:rFonts w:ascii="宋体" w:hAnsi="宋体"/>
          <w:kern w:val="28"/>
          <w:sz w:val="24"/>
        </w:rPr>
      </w:pPr>
      <w:r>
        <w:rPr>
          <w:rFonts w:hint="eastAsia" w:ascii="宋体" w:hAnsi="宋体" w:cs="宋体"/>
          <w:snapToGrid w:val="0"/>
          <w:kern w:val="28"/>
          <w:sz w:val="24"/>
          <w:szCs w:val="24"/>
        </w:rPr>
        <w:t>12.</w:t>
      </w:r>
      <w:r>
        <w:rPr>
          <w:rFonts w:hint="eastAsia" w:ascii="宋体" w:hAnsi="宋体"/>
          <w:kern w:val="28"/>
          <w:sz w:val="24"/>
        </w:rPr>
        <w:t>根据《广州市城乡建设委员会关于启用地下工程及深基坑安全监测信息管理系统的通知》、《广州市住房和城乡建设委员会关于启用高大模板实时监测管理平台的通知》要求，</w:t>
      </w:r>
      <w:r>
        <w:rPr>
          <w:rFonts w:hint="eastAsia" w:ascii="宋体" w:hAnsi="宋体" w:cs="宋体"/>
          <w:sz w:val="24"/>
          <w:szCs w:val="24"/>
        </w:rPr>
        <w:t>投标</w:t>
      </w:r>
      <w:r>
        <w:rPr>
          <w:rFonts w:hint="eastAsia" w:ascii="宋体" w:hAnsi="宋体"/>
          <w:kern w:val="28"/>
          <w:sz w:val="24"/>
        </w:rPr>
        <w:t>人需配合做好信息化管理工作。</w:t>
      </w:r>
      <w:r>
        <w:rPr>
          <w:rFonts w:hint="eastAsia" w:ascii="宋体" w:hAnsi="宋体" w:cs="宋体"/>
          <w:sz w:val="24"/>
          <w:szCs w:val="24"/>
        </w:rPr>
        <w:t>投标</w:t>
      </w:r>
      <w:r>
        <w:rPr>
          <w:rFonts w:hint="eastAsia" w:ascii="宋体" w:hAnsi="宋体"/>
          <w:kern w:val="28"/>
          <w:sz w:val="24"/>
        </w:rPr>
        <w:t>人需按广州市住房和城乡建设局的规定，开通基坑及高大模板自动化监测数据管理系统账号，配备能实时上传监测数据的相关仪器设备，并具备将本项目相关监测数据实时上传至广州市地下工程和深基坑安全监测信息管理平台、广州市高大模板实时监测管理平台的能力及经验。</w:t>
      </w:r>
    </w:p>
    <w:p w14:paraId="69A104F1">
      <w:pPr>
        <w:spacing w:line="360" w:lineRule="auto"/>
        <w:rPr>
          <w:rFonts w:ascii="宋体" w:hAnsi="宋体" w:cs="宋体"/>
          <w:b/>
          <w:sz w:val="28"/>
          <w:szCs w:val="28"/>
        </w:rPr>
      </w:pPr>
      <w:r>
        <w:rPr>
          <w:rFonts w:hint="eastAsia" w:ascii="宋体" w:hAnsi="宋体" w:cs="宋体"/>
          <w:b/>
          <w:sz w:val="28"/>
          <w:szCs w:val="28"/>
        </w:rPr>
        <w:t>三、现场作业计划</w:t>
      </w:r>
    </w:p>
    <w:p w14:paraId="370F3D0D">
      <w:pPr>
        <w:widowControl/>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rPr>
        <w:t>投标</w:t>
      </w:r>
      <w:r>
        <w:rPr>
          <w:rFonts w:hint="eastAsia" w:ascii="宋体" w:hAnsi="宋体" w:cs="宋体"/>
          <w:sz w:val="24"/>
          <w:szCs w:val="24"/>
          <w:lang w:bidi="ar"/>
        </w:rPr>
        <w:t>人应在开展工作前向监理人报备作业计划，计划应包括作业内容及作业时间；完成后2个工作日内出具监（观）测简报一式三份；全部监（观）测结束后，5个工作日内完成监（观）测总结报告，并向招标人提交一式捌份成果报告。</w:t>
      </w:r>
    </w:p>
    <w:p w14:paraId="356A781E">
      <w:pPr>
        <w:widowControl/>
        <w:adjustRightInd w:val="0"/>
        <w:snapToGrid w:val="0"/>
        <w:spacing w:line="360" w:lineRule="auto"/>
        <w:ind w:firstLine="480" w:firstLineChars="200"/>
        <w:rPr>
          <w:rFonts w:ascii="宋体" w:hAnsi="宋体" w:cs="宋体"/>
        </w:rPr>
      </w:pPr>
      <w:r>
        <w:rPr>
          <w:rFonts w:hint="eastAsia" w:ascii="宋体" w:hAnsi="宋体" w:cs="宋体"/>
          <w:sz w:val="24"/>
          <w:szCs w:val="24"/>
          <w:lang w:bidi="ar"/>
        </w:rPr>
        <w:t>现场监（观）测要求：</w:t>
      </w:r>
      <w:r>
        <w:rPr>
          <w:rFonts w:hint="eastAsia" w:ascii="宋体" w:hAnsi="宋体" w:cs="宋体"/>
          <w:sz w:val="24"/>
          <w:szCs w:val="24"/>
        </w:rPr>
        <w:t>投标</w:t>
      </w:r>
      <w:r>
        <w:rPr>
          <w:rFonts w:hint="eastAsia" w:ascii="宋体" w:hAnsi="宋体" w:cs="宋体"/>
          <w:sz w:val="24"/>
          <w:szCs w:val="24"/>
          <w:lang w:bidi="ar"/>
        </w:rPr>
        <w:t>人应严格按照设计要求及报备的作业计划执行监（观）测工作，并按照工程建设需要，配合招标人、监理人及时到赴现场进行监（观）测工作。</w:t>
      </w:r>
    </w:p>
    <w:p w14:paraId="0C4F263F">
      <w:pPr>
        <w:spacing w:line="360" w:lineRule="auto"/>
        <w:rPr>
          <w:rFonts w:ascii="宋体" w:hAnsi="宋体" w:cs="宋体"/>
          <w:b/>
          <w:sz w:val="28"/>
          <w:szCs w:val="28"/>
        </w:rPr>
      </w:pPr>
      <w:r>
        <w:rPr>
          <w:rFonts w:hint="eastAsia" w:ascii="宋体" w:hAnsi="宋体" w:cs="宋体"/>
          <w:b/>
          <w:sz w:val="28"/>
          <w:szCs w:val="28"/>
        </w:rPr>
        <w:t>四、其</w:t>
      </w:r>
      <w:r>
        <w:rPr>
          <w:rFonts w:hint="eastAsia" w:ascii="宋体" w:hAnsi="宋体" w:cs="宋体"/>
          <w:b/>
          <w:sz w:val="28"/>
          <w:szCs w:val="28"/>
          <w:lang w:val="en-US" w:eastAsia="zh-CN"/>
        </w:rPr>
        <w:t>他</w:t>
      </w:r>
      <w:r>
        <w:rPr>
          <w:rFonts w:hint="eastAsia" w:ascii="宋体" w:hAnsi="宋体" w:cs="宋体"/>
          <w:b/>
          <w:sz w:val="28"/>
          <w:szCs w:val="28"/>
        </w:rPr>
        <w:t>要求</w:t>
      </w:r>
    </w:p>
    <w:p w14:paraId="5CA29AA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1、投标人根据工程实际情况，完善深化监（观）测方案，并报相关部门审批，按审批通过的方案实施监（观）测工作。</w:t>
      </w:r>
    </w:p>
    <w:p w14:paraId="0684017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2、工程量清单的具体监（观）测范围及频率以相关主管部门规定及现场、相关规范要求为准。监测次数以招标文件的监测次数为上限。</w:t>
      </w:r>
    </w:p>
    <w:p w14:paraId="2073AB8A">
      <w:pPr>
        <w:pStyle w:val="71"/>
        <w:ind w:firstLine="480" w:firstLineChars="200"/>
        <w:jc w:val="both"/>
        <w:rPr>
          <w:rFonts w:ascii="宋体" w:hAnsi="宋体"/>
        </w:rPr>
      </w:pPr>
    </w:p>
    <w:p w14:paraId="76DC88B5">
      <w:pPr>
        <w:pStyle w:val="3"/>
      </w:pPr>
      <w:r>
        <w:br w:type="page"/>
      </w:r>
      <w:bookmarkStart w:id="196" w:name="_Toc22987"/>
      <w:r>
        <w:rPr>
          <w:rFonts w:hint="eastAsia"/>
        </w:rPr>
        <w:t>第三卷</w:t>
      </w:r>
      <w:bookmarkEnd w:id="193"/>
      <w:bookmarkEnd w:id="196"/>
    </w:p>
    <w:p w14:paraId="4059F7B5">
      <w:pPr>
        <w:pStyle w:val="3"/>
      </w:pPr>
      <w:bookmarkStart w:id="197" w:name="_Toc30827"/>
      <w:bookmarkStart w:id="198" w:name="_Toc533357327"/>
      <w:r>
        <w:rPr>
          <w:rFonts w:hint="eastAsia"/>
        </w:rPr>
        <w:t>第六章  投标文件格式</w:t>
      </w:r>
      <w:bookmarkEnd w:id="197"/>
      <w:bookmarkEnd w:id="198"/>
    </w:p>
    <w:p w14:paraId="1FD27549">
      <w:r>
        <w:br w:type="page"/>
      </w:r>
    </w:p>
    <w:p w14:paraId="0CF5F3E2">
      <w:pPr>
        <w:spacing w:line="600" w:lineRule="exact"/>
        <w:jc w:val="center"/>
        <w:rPr>
          <w:rFonts w:ascii="宋体" w:hAnsi="宋体"/>
          <w:b/>
          <w:bCs/>
          <w:sz w:val="52"/>
        </w:rPr>
      </w:pPr>
    </w:p>
    <w:p w14:paraId="5B903642">
      <w:pPr>
        <w:spacing w:line="600" w:lineRule="exact"/>
        <w:jc w:val="center"/>
        <w:rPr>
          <w:rFonts w:ascii="宋体" w:hAnsi="宋体"/>
          <w:b/>
          <w:bCs/>
          <w:sz w:val="52"/>
        </w:rPr>
      </w:pPr>
    </w:p>
    <w:p w14:paraId="66A82BE1">
      <w:pPr>
        <w:spacing w:line="600" w:lineRule="exact"/>
        <w:jc w:val="center"/>
        <w:rPr>
          <w:rFonts w:ascii="宋体" w:hAnsi="宋体"/>
          <w:b/>
          <w:bCs/>
          <w:sz w:val="52"/>
        </w:rPr>
      </w:pPr>
      <w:r>
        <w:rPr>
          <w:rFonts w:hint="eastAsia" w:ascii="宋体" w:hAnsi="宋体"/>
          <w:b/>
          <w:bCs/>
          <w:sz w:val="52"/>
        </w:rPr>
        <w:t>粤港澳大湾区国际智能检测产业园一期项目检验监测</w:t>
      </w:r>
    </w:p>
    <w:p w14:paraId="77462F55">
      <w:pPr>
        <w:spacing w:line="600" w:lineRule="exact"/>
        <w:jc w:val="center"/>
        <w:rPr>
          <w:rFonts w:ascii="宋体" w:hAnsi="宋体"/>
          <w:b/>
          <w:bCs/>
          <w:sz w:val="52"/>
        </w:rPr>
      </w:pPr>
    </w:p>
    <w:p w14:paraId="030EF1B2">
      <w:pPr>
        <w:spacing w:line="500" w:lineRule="exact"/>
        <w:jc w:val="center"/>
        <w:rPr>
          <w:rFonts w:ascii="宋体" w:hAnsi="宋体"/>
          <w:b/>
          <w:bCs/>
          <w:sz w:val="30"/>
        </w:rPr>
      </w:pPr>
    </w:p>
    <w:p w14:paraId="71B24583">
      <w:pPr>
        <w:spacing w:line="500" w:lineRule="exact"/>
        <w:jc w:val="center"/>
        <w:rPr>
          <w:rFonts w:ascii="宋体" w:hAnsi="宋体"/>
          <w:b/>
          <w:bCs/>
          <w:sz w:val="30"/>
        </w:rPr>
      </w:pPr>
    </w:p>
    <w:p w14:paraId="0EA6DB0A">
      <w:pPr>
        <w:spacing w:line="500" w:lineRule="exact"/>
        <w:jc w:val="center"/>
        <w:rPr>
          <w:rFonts w:ascii="宋体" w:hAnsi="宋体"/>
          <w:b/>
          <w:bCs/>
          <w:sz w:val="30"/>
        </w:rPr>
      </w:pPr>
    </w:p>
    <w:p w14:paraId="339A65B5">
      <w:pPr>
        <w:spacing w:line="500" w:lineRule="exact"/>
        <w:jc w:val="center"/>
        <w:rPr>
          <w:rFonts w:ascii="宋体" w:hAnsi="宋体"/>
          <w:b/>
          <w:bCs/>
          <w:sz w:val="30"/>
        </w:rPr>
      </w:pPr>
      <w:r>
        <w:rPr>
          <w:rFonts w:hint="eastAsia" w:ascii="宋体" w:hAnsi="宋体"/>
          <w:b/>
          <w:bCs/>
          <w:sz w:val="52"/>
        </w:rPr>
        <w:t>投标文件</w:t>
      </w:r>
    </w:p>
    <w:p w14:paraId="6BC63D52">
      <w:pPr>
        <w:spacing w:line="500" w:lineRule="exact"/>
        <w:jc w:val="center"/>
        <w:rPr>
          <w:rFonts w:ascii="宋体" w:hAnsi="宋体"/>
          <w:b/>
          <w:bCs/>
          <w:sz w:val="30"/>
        </w:rPr>
      </w:pPr>
    </w:p>
    <w:p w14:paraId="2A60E9B9">
      <w:pPr>
        <w:spacing w:line="500" w:lineRule="exact"/>
        <w:jc w:val="center"/>
        <w:rPr>
          <w:rFonts w:ascii="宋体" w:hAnsi="宋体"/>
          <w:b/>
          <w:bCs/>
          <w:sz w:val="30"/>
        </w:rPr>
      </w:pPr>
    </w:p>
    <w:p w14:paraId="37655DE7">
      <w:pPr>
        <w:spacing w:line="500" w:lineRule="exact"/>
        <w:jc w:val="center"/>
        <w:rPr>
          <w:rFonts w:ascii="宋体" w:hAnsi="宋体"/>
          <w:b/>
          <w:bCs/>
          <w:sz w:val="30"/>
        </w:rPr>
      </w:pPr>
    </w:p>
    <w:p w14:paraId="040EE167">
      <w:pPr>
        <w:spacing w:line="500" w:lineRule="exact"/>
        <w:jc w:val="center"/>
        <w:rPr>
          <w:rFonts w:ascii="宋体" w:hAnsi="宋体"/>
          <w:b/>
          <w:bCs/>
          <w:sz w:val="30"/>
        </w:rPr>
      </w:pPr>
    </w:p>
    <w:p w14:paraId="3F13ED59">
      <w:pPr>
        <w:spacing w:line="500" w:lineRule="exact"/>
        <w:jc w:val="center"/>
        <w:rPr>
          <w:rFonts w:ascii="宋体" w:hAnsi="宋体"/>
          <w:b/>
          <w:bCs/>
          <w:sz w:val="30"/>
        </w:rPr>
      </w:pPr>
    </w:p>
    <w:p w14:paraId="41518E3E">
      <w:pPr>
        <w:spacing w:line="500" w:lineRule="exact"/>
        <w:rPr>
          <w:rFonts w:ascii="宋体" w:hAnsi="宋体"/>
          <w:b/>
          <w:bCs/>
          <w:sz w:val="30"/>
        </w:rPr>
      </w:pPr>
    </w:p>
    <w:p w14:paraId="3CA6FCCD">
      <w:pPr>
        <w:spacing w:line="500" w:lineRule="exact"/>
        <w:ind w:firstLine="2125" w:firstLineChars="756"/>
        <w:rPr>
          <w:rFonts w:ascii="宋体" w:hAnsi="宋体"/>
          <w:b/>
          <w:bCs/>
          <w:sz w:val="28"/>
        </w:rPr>
      </w:pPr>
      <w:r>
        <w:rPr>
          <w:rFonts w:hint="eastAsia" w:ascii="宋体" w:hAnsi="宋体"/>
          <w:b/>
          <w:bCs/>
          <w:sz w:val="28"/>
        </w:rPr>
        <w:t>投标人：（公章）</w:t>
      </w:r>
      <w:r>
        <w:rPr>
          <w:rFonts w:ascii="宋体" w:hAnsi="宋体"/>
          <w:b/>
          <w:bCs/>
          <w:sz w:val="28"/>
        </w:rPr>
        <w:t xml:space="preserve"> </w:t>
      </w:r>
    </w:p>
    <w:p w14:paraId="42363A7B">
      <w:pPr>
        <w:spacing w:line="500" w:lineRule="exact"/>
        <w:ind w:firstLine="2125" w:firstLineChars="756"/>
        <w:jc w:val="left"/>
        <w:rPr>
          <w:rFonts w:ascii="宋体" w:hAnsi="宋体"/>
          <w:b/>
          <w:bCs/>
          <w:sz w:val="28"/>
        </w:rPr>
      </w:pPr>
      <w:r>
        <w:rPr>
          <w:rFonts w:hint="eastAsia" w:ascii="宋体" w:hAnsi="宋体"/>
          <w:b/>
          <w:bCs/>
          <w:sz w:val="28"/>
        </w:rPr>
        <w:t>法定代表人(签字或盖章)：</w:t>
      </w:r>
    </w:p>
    <w:p w14:paraId="305A01DD">
      <w:pPr>
        <w:spacing w:line="500" w:lineRule="exact"/>
        <w:jc w:val="center"/>
        <w:rPr>
          <w:rFonts w:ascii="宋体" w:hAnsi="宋体"/>
          <w:b/>
          <w:bCs/>
          <w:sz w:val="28"/>
        </w:rPr>
      </w:pPr>
      <w:r>
        <w:rPr>
          <w:rFonts w:hint="eastAsia" w:ascii="宋体" w:hAnsi="宋体"/>
          <w:b/>
          <w:bCs/>
          <w:sz w:val="28"/>
        </w:rPr>
        <w:t>年</w:t>
      </w:r>
      <w:r>
        <w:rPr>
          <w:rFonts w:ascii="宋体" w:hAnsi="宋体"/>
          <w:b/>
          <w:bCs/>
          <w:sz w:val="28"/>
        </w:rPr>
        <w:t xml:space="preserve">   </w:t>
      </w:r>
      <w:r>
        <w:rPr>
          <w:rFonts w:hint="eastAsia" w:ascii="宋体" w:hAnsi="宋体"/>
          <w:b/>
          <w:bCs/>
          <w:sz w:val="28"/>
        </w:rPr>
        <w:t>月</w:t>
      </w:r>
      <w:r>
        <w:rPr>
          <w:rFonts w:ascii="宋体" w:hAnsi="宋体"/>
          <w:b/>
          <w:bCs/>
          <w:sz w:val="28"/>
        </w:rPr>
        <w:t xml:space="preserve">   </w:t>
      </w:r>
      <w:r>
        <w:rPr>
          <w:rFonts w:hint="eastAsia" w:ascii="宋体" w:hAnsi="宋体"/>
          <w:b/>
          <w:bCs/>
          <w:sz w:val="28"/>
        </w:rPr>
        <w:t>日</w:t>
      </w:r>
    </w:p>
    <w:p w14:paraId="039D0BB7">
      <w:pPr>
        <w:rPr>
          <w:rFonts w:ascii="宋体" w:hAnsi="宋体"/>
          <w:b/>
          <w:bCs/>
          <w:sz w:val="28"/>
        </w:rPr>
      </w:pPr>
      <w:r>
        <w:rPr>
          <w:rFonts w:hint="eastAsia" w:ascii="宋体" w:hAnsi="宋体"/>
          <w:b/>
          <w:bCs/>
          <w:sz w:val="28"/>
        </w:rPr>
        <w:br w:type="page"/>
      </w:r>
    </w:p>
    <w:p w14:paraId="5059DF53">
      <w:pPr>
        <w:pStyle w:val="2"/>
      </w:pPr>
    </w:p>
    <w:p w14:paraId="374F86A9">
      <w:pPr>
        <w:pStyle w:val="28"/>
        <w:rPr>
          <w:rFonts w:ascii="Calibri" w:hAnsi="Calibri"/>
        </w:rPr>
      </w:pPr>
    </w:p>
    <w:p w14:paraId="220B7B6E">
      <w:pPr>
        <w:jc w:val="center"/>
        <w:rPr>
          <w:rFonts w:ascii="宋体" w:hAnsi="宋体"/>
          <w:b/>
          <w:sz w:val="28"/>
          <w:szCs w:val="28"/>
        </w:rPr>
      </w:pPr>
      <w:r>
        <w:rPr>
          <w:rFonts w:hint="eastAsia" w:ascii="宋体" w:hAnsi="宋体"/>
          <w:b/>
          <w:sz w:val="28"/>
          <w:szCs w:val="28"/>
        </w:rPr>
        <w:t>目  录</w:t>
      </w:r>
    </w:p>
    <w:p w14:paraId="3D7269BF">
      <w:pPr>
        <w:pStyle w:val="27"/>
        <w:tabs>
          <w:tab w:val="left" w:pos="960"/>
        </w:tabs>
        <w:spacing w:line="440" w:lineRule="exact"/>
        <w:ind w:left="960"/>
        <w:rPr>
          <w:rFonts w:ascii="宋体" w:hAnsi="宋体"/>
          <w:sz w:val="24"/>
        </w:rPr>
      </w:pPr>
      <w:bookmarkStart w:id="199" w:name="_Toc390704763"/>
      <w:bookmarkStart w:id="200" w:name="_Toc266373528"/>
      <w:r>
        <w:rPr>
          <w:rFonts w:hint="eastAsia" w:ascii="宋体" w:hAnsi="宋体"/>
          <w:sz w:val="24"/>
        </w:rPr>
        <w:t>一、投标函及其附表</w:t>
      </w:r>
    </w:p>
    <w:p w14:paraId="6D504DCC">
      <w:pPr>
        <w:pStyle w:val="27"/>
        <w:tabs>
          <w:tab w:val="left" w:pos="960"/>
        </w:tabs>
        <w:spacing w:line="440" w:lineRule="exact"/>
        <w:ind w:left="960"/>
        <w:rPr>
          <w:rFonts w:ascii="宋体" w:hAnsi="宋体"/>
          <w:sz w:val="24"/>
        </w:rPr>
      </w:pPr>
      <w:r>
        <w:rPr>
          <w:rFonts w:hint="eastAsia" w:ascii="宋体" w:hAnsi="宋体"/>
          <w:sz w:val="24"/>
        </w:rPr>
        <w:t>二、法定代表人证明书及授权委托书</w:t>
      </w:r>
    </w:p>
    <w:p w14:paraId="7FEAEA7A">
      <w:pPr>
        <w:pStyle w:val="27"/>
        <w:tabs>
          <w:tab w:val="left" w:pos="960"/>
        </w:tabs>
        <w:spacing w:line="440" w:lineRule="exact"/>
        <w:ind w:left="960"/>
        <w:rPr>
          <w:rFonts w:ascii="宋体" w:hAnsi="宋体"/>
          <w:sz w:val="24"/>
        </w:rPr>
      </w:pPr>
      <w:r>
        <w:rPr>
          <w:rFonts w:hint="eastAsia" w:ascii="宋体" w:hAnsi="宋体"/>
          <w:sz w:val="24"/>
          <w:lang w:val="en-US" w:eastAsia="zh-CN"/>
        </w:rPr>
        <w:t>三</w:t>
      </w:r>
      <w:r>
        <w:rPr>
          <w:rFonts w:hint="eastAsia" w:ascii="宋体" w:hAnsi="宋体"/>
          <w:sz w:val="24"/>
        </w:rPr>
        <w:t>、投标报价书</w:t>
      </w:r>
    </w:p>
    <w:p w14:paraId="54349BDA">
      <w:pPr>
        <w:pStyle w:val="27"/>
        <w:tabs>
          <w:tab w:val="left" w:pos="960"/>
        </w:tabs>
        <w:spacing w:line="440" w:lineRule="exact"/>
        <w:ind w:left="960"/>
        <w:rPr>
          <w:rFonts w:ascii="宋体" w:hAnsi="宋体"/>
          <w:sz w:val="24"/>
        </w:rPr>
      </w:pPr>
      <w:r>
        <w:rPr>
          <w:rFonts w:hint="eastAsia" w:ascii="宋体" w:hAnsi="宋体"/>
          <w:sz w:val="24"/>
          <w:lang w:val="en-US" w:eastAsia="zh-CN"/>
        </w:rPr>
        <w:t>四</w:t>
      </w:r>
      <w:r>
        <w:rPr>
          <w:rFonts w:hint="eastAsia" w:ascii="宋体" w:hAnsi="宋体"/>
          <w:sz w:val="24"/>
        </w:rPr>
        <w:t>、资格审查资料</w:t>
      </w:r>
    </w:p>
    <w:p w14:paraId="35A2BE64">
      <w:pPr>
        <w:pStyle w:val="27"/>
        <w:tabs>
          <w:tab w:val="left" w:pos="960"/>
        </w:tabs>
        <w:spacing w:line="440" w:lineRule="exact"/>
        <w:ind w:left="960"/>
        <w:rPr>
          <w:rFonts w:ascii="宋体" w:hAnsi="宋体"/>
          <w:sz w:val="24"/>
        </w:rPr>
      </w:pPr>
      <w:r>
        <w:rPr>
          <w:rFonts w:hint="eastAsia" w:ascii="宋体" w:hAnsi="宋体"/>
          <w:sz w:val="24"/>
          <w:lang w:val="en-US" w:eastAsia="zh-CN"/>
        </w:rPr>
        <w:t>五</w:t>
      </w:r>
      <w:r>
        <w:rPr>
          <w:rFonts w:hint="eastAsia" w:ascii="宋体" w:hAnsi="宋体"/>
          <w:sz w:val="24"/>
        </w:rPr>
        <w:t>、类似项目情况表</w:t>
      </w:r>
    </w:p>
    <w:p w14:paraId="266A3F70">
      <w:pPr>
        <w:pStyle w:val="27"/>
        <w:tabs>
          <w:tab w:val="left" w:pos="960"/>
        </w:tabs>
        <w:spacing w:line="440" w:lineRule="exact"/>
        <w:ind w:left="960"/>
        <w:rPr>
          <w:rFonts w:ascii="宋体" w:hAnsi="宋体"/>
          <w:sz w:val="24"/>
        </w:rPr>
      </w:pPr>
      <w:r>
        <w:rPr>
          <w:rFonts w:hint="eastAsia" w:ascii="宋体" w:hAnsi="宋体"/>
          <w:sz w:val="24"/>
          <w:lang w:val="en-US" w:eastAsia="zh-CN"/>
        </w:rPr>
        <w:t>六</w:t>
      </w:r>
      <w:r>
        <w:rPr>
          <w:rFonts w:hint="eastAsia" w:ascii="宋体" w:hAnsi="宋体"/>
          <w:sz w:val="24"/>
        </w:rPr>
        <w:t>、拟投入本项目的检测人员一览表</w:t>
      </w:r>
    </w:p>
    <w:p w14:paraId="022E50CD">
      <w:pPr>
        <w:pStyle w:val="27"/>
        <w:tabs>
          <w:tab w:val="left" w:pos="960"/>
        </w:tabs>
        <w:spacing w:line="440" w:lineRule="exact"/>
        <w:ind w:left="960"/>
        <w:rPr>
          <w:rFonts w:ascii="宋体" w:hAnsi="宋体"/>
          <w:sz w:val="24"/>
        </w:rPr>
      </w:pPr>
      <w:r>
        <w:rPr>
          <w:rFonts w:hint="eastAsia" w:ascii="宋体" w:hAnsi="宋体"/>
          <w:sz w:val="24"/>
          <w:lang w:val="en-US" w:eastAsia="zh-CN"/>
        </w:rPr>
        <w:t>七</w:t>
      </w:r>
      <w:r>
        <w:rPr>
          <w:rFonts w:hint="eastAsia" w:ascii="宋体" w:hAnsi="宋体"/>
          <w:sz w:val="24"/>
        </w:rPr>
        <w:t>、拟投入本项目的检测人员简历表</w:t>
      </w:r>
    </w:p>
    <w:p w14:paraId="1DC01E07">
      <w:pPr>
        <w:pStyle w:val="27"/>
        <w:tabs>
          <w:tab w:val="left" w:pos="960"/>
        </w:tabs>
        <w:spacing w:line="440" w:lineRule="exact"/>
        <w:ind w:left="960"/>
        <w:rPr>
          <w:rFonts w:ascii="宋体" w:hAnsi="宋体"/>
          <w:sz w:val="24"/>
        </w:rPr>
      </w:pPr>
      <w:r>
        <w:rPr>
          <w:rFonts w:hint="eastAsia" w:ascii="宋体" w:hAnsi="宋体"/>
          <w:sz w:val="24"/>
          <w:lang w:val="en-US" w:eastAsia="zh-CN"/>
        </w:rPr>
        <w:t>八</w:t>
      </w:r>
      <w:r>
        <w:rPr>
          <w:rFonts w:hint="eastAsia" w:ascii="宋体" w:hAnsi="宋体"/>
          <w:sz w:val="24"/>
        </w:rPr>
        <w:t>、拟投入本项目的主要仪器设备一览表</w:t>
      </w:r>
    </w:p>
    <w:p w14:paraId="0909790E">
      <w:pPr>
        <w:pStyle w:val="27"/>
        <w:tabs>
          <w:tab w:val="left" w:pos="960"/>
        </w:tabs>
        <w:spacing w:line="440" w:lineRule="exact"/>
        <w:ind w:left="960"/>
        <w:rPr>
          <w:rFonts w:ascii="宋体" w:hAnsi="宋体"/>
          <w:sz w:val="24"/>
        </w:rPr>
      </w:pPr>
      <w:r>
        <w:rPr>
          <w:rFonts w:hint="eastAsia" w:ascii="宋体" w:hAnsi="宋体"/>
          <w:sz w:val="24"/>
          <w:lang w:val="en-US" w:eastAsia="zh-CN"/>
        </w:rPr>
        <w:t>九</w:t>
      </w:r>
      <w:r>
        <w:rPr>
          <w:rFonts w:hint="eastAsia" w:ascii="宋体" w:hAnsi="宋体"/>
          <w:sz w:val="24"/>
        </w:rPr>
        <w:t>、检测方案</w:t>
      </w:r>
    </w:p>
    <w:p w14:paraId="7F8FE416">
      <w:pPr>
        <w:pStyle w:val="27"/>
        <w:tabs>
          <w:tab w:val="left" w:pos="960"/>
        </w:tabs>
        <w:spacing w:line="440" w:lineRule="exact"/>
        <w:ind w:left="960"/>
        <w:rPr>
          <w:rFonts w:ascii="宋体" w:hAnsi="宋体"/>
          <w:sz w:val="24"/>
        </w:rPr>
      </w:pPr>
      <w:r>
        <w:rPr>
          <w:rFonts w:hint="eastAsia" w:ascii="宋体" w:hAnsi="宋体"/>
          <w:sz w:val="24"/>
        </w:rPr>
        <w:t>十、中小企业声明函（如有）</w:t>
      </w:r>
    </w:p>
    <w:p w14:paraId="65B936D5">
      <w:pPr>
        <w:pStyle w:val="27"/>
        <w:tabs>
          <w:tab w:val="left" w:pos="960"/>
        </w:tabs>
        <w:spacing w:line="440" w:lineRule="exact"/>
        <w:ind w:left="960"/>
        <w:rPr>
          <w:rFonts w:ascii="宋体" w:hAnsi="宋体"/>
          <w:kern w:val="0"/>
          <w:sz w:val="18"/>
        </w:rPr>
      </w:pPr>
      <w:r>
        <w:rPr>
          <w:rFonts w:hint="eastAsia" w:ascii="宋体" w:hAnsi="宋体"/>
          <w:sz w:val="24"/>
        </w:rPr>
        <w:t>十</w:t>
      </w:r>
      <w:r>
        <w:rPr>
          <w:rFonts w:hint="eastAsia" w:ascii="宋体" w:hAnsi="宋体"/>
          <w:sz w:val="24"/>
          <w:lang w:val="en-US" w:eastAsia="zh-CN"/>
        </w:rPr>
        <w:t>一</w:t>
      </w:r>
      <w:r>
        <w:rPr>
          <w:rFonts w:hint="eastAsia" w:ascii="宋体" w:hAnsi="宋体"/>
          <w:sz w:val="24"/>
        </w:rPr>
        <w:t>、其他资料</w:t>
      </w:r>
      <w:r>
        <w:rPr>
          <w:rFonts w:ascii="宋体" w:hAnsi="宋体"/>
          <w:sz w:val="24"/>
        </w:rPr>
        <w:br w:type="page"/>
      </w:r>
      <w:bookmarkEnd w:id="199"/>
    </w:p>
    <w:p w14:paraId="0127D46B">
      <w:pPr>
        <w:pStyle w:val="6"/>
        <w:ind w:firstLine="3534"/>
      </w:pPr>
      <w:bookmarkStart w:id="201" w:name="_Toc22178"/>
      <w:bookmarkStart w:id="202" w:name="_Toc31574"/>
      <w:bookmarkStart w:id="203" w:name="_Toc533334219"/>
      <w:bookmarkStart w:id="204" w:name="_Toc11434"/>
      <w:bookmarkStart w:id="205" w:name="_Toc533357328"/>
      <w:bookmarkStart w:id="206" w:name="_Toc390704764"/>
      <w:r>
        <w:rPr>
          <w:rFonts w:hint="eastAsia"/>
        </w:rPr>
        <w:t>一、</w:t>
      </w:r>
      <w:bookmarkStart w:id="207" w:name="_Toc352691656"/>
      <w:bookmarkStart w:id="208" w:name="_Toc369531692"/>
      <w:bookmarkStart w:id="209" w:name="_Toc6931"/>
      <w:r>
        <w:rPr>
          <w:rFonts w:hint="eastAsia"/>
        </w:rPr>
        <w:t>投标函及其附表</w:t>
      </w:r>
      <w:bookmarkEnd w:id="201"/>
      <w:bookmarkEnd w:id="202"/>
      <w:bookmarkEnd w:id="203"/>
    </w:p>
    <w:bookmarkEnd w:id="207"/>
    <w:bookmarkEnd w:id="208"/>
    <w:bookmarkEnd w:id="209"/>
    <w:p w14:paraId="23564C39">
      <w:pPr>
        <w:spacing w:line="360" w:lineRule="auto"/>
        <w:ind w:firstLine="482" w:firstLineChars="200"/>
        <w:jc w:val="center"/>
        <w:rPr>
          <w:rFonts w:ascii="宋体" w:hAnsi="宋体"/>
          <w:sz w:val="24"/>
          <w:szCs w:val="24"/>
        </w:rPr>
      </w:pPr>
      <w:r>
        <w:rPr>
          <w:rFonts w:hint="eastAsia" w:ascii="宋体" w:hAnsi="宋体"/>
          <w:b/>
          <w:bCs/>
          <w:sz w:val="24"/>
          <w:szCs w:val="24"/>
        </w:rPr>
        <w:t>（一）投标函</w:t>
      </w:r>
    </w:p>
    <w:p w14:paraId="56606B15">
      <w:pPr>
        <w:spacing w:line="360" w:lineRule="auto"/>
        <w:ind w:firstLine="480" w:firstLineChars="200"/>
        <w:rPr>
          <w:rFonts w:ascii="宋体" w:hAnsi="宋体"/>
          <w:sz w:val="24"/>
          <w:szCs w:val="24"/>
        </w:rPr>
      </w:pPr>
      <w:r>
        <w:rPr>
          <w:rFonts w:hint="eastAsia" w:ascii="宋体" w:hAnsi="宋体"/>
          <w:sz w:val="24"/>
          <w:szCs w:val="24"/>
        </w:rPr>
        <w:t>致：</w:t>
      </w:r>
      <w:r>
        <w:rPr>
          <w:rFonts w:ascii="宋体" w:hAnsi="宋体"/>
          <w:sz w:val="24"/>
          <w:szCs w:val="24"/>
        </w:rPr>
        <w:t xml:space="preserve">  </w:t>
      </w:r>
      <w:r>
        <w:rPr>
          <w:rFonts w:ascii="宋体" w:hAnsi="宋体"/>
          <w:sz w:val="24"/>
          <w:szCs w:val="24"/>
          <w:u w:val="single"/>
        </w:rPr>
        <w:t xml:space="preserve">       </w:t>
      </w:r>
      <w:r>
        <w:rPr>
          <w:rFonts w:ascii="宋体" w:hAnsi="宋体"/>
          <w:b/>
          <w:bCs/>
          <w:sz w:val="24"/>
          <w:szCs w:val="24"/>
          <w:u w:val="single"/>
        </w:rPr>
        <w:t xml:space="preserve"> </w:t>
      </w:r>
      <w:r>
        <w:rPr>
          <w:rFonts w:hint="eastAsia" w:ascii="宋体" w:hAnsi="宋体"/>
          <w:sz w:val="24"/>
          <w:szCs w:val="24"/>
          <w:u w:val="single"/>
        </w:rPr>
        <w:t>（招标人）</w:t>
      </w:r>
      <w:r>
        <w:rPr>
          <w:rFonts w:ascii="宋体" w:hAnsi="宋体"/>
          <w:sz w:val="24"/>
          <w:szCs w:val="24"/>
          <w:u w:val="single"/>
        </w:rPr>
        <w:t xml:space="preserve">          </w:t>
      </w:r>
    </w:p>
    <w:p w14:paraId="58A65256">
      <w:pPr>
        <w:pStyle w:val="14"/>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在仔细分析研究了贵单位提供的</w:t>
      </w:r>
      <w:r>
        <w:rPr>
          <w:rFonts w:hint="eastAsia" w:ascii="宋体" w:hAnsi="宋体"/>
          <w:sz w:val="24"/>
          <w:szCs w:val="24"/>
          <w:u w:val="single"/>
        </w:rPr>
        <w:t>（项目名称）</w:t>
      </w:r>
      <w:r>
        <w:rPr>
          <w:rFonts w:hint="eastAsia" w:ascii="宋体" w:hAnsi="宋体"/>
          <w:sz w:val="24"/>
          <w:szCs w:val="24"/>
        </w:rPr>
        <w:t>招标文件后，我方愿意以总价为人民币（大写）</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w:t>
      </w:r>
      <w:r>
        <w:rPr>
          <w:rFonts w:hint="eastAsia" w:ascii="宋体" w:hAnsi="宋体"/>
          <w:sz w:val="24"/>
          <w:szCs w:val="24"/>
        </w:rPr>
        <w:t>）作为</w:t>
      </w:r>
      <w:r>
        <w:rPr>
          <w:rFonts w:hint="eastAsia" w:ascii="宋体" w:hAnsi="宋体"/>
          <w:sz w:val="24"/>
          <w:szCs w:val="24"/>
          <w:u w:val="single"/>
        </w:rPr>
        <w:t>（项目名称）</w:t>
      </w:r>
      <w:r>
        <w:rPr>
          <w:rFonts w:hint="eastAsia" w:ascii="宋体" w:hAnsi="宋体"/>
          <w:sz w:val="24"/>
          <w:szCs w:val="24"/>
        </w:rPr>
        <w:t>服务费的总价，并遵照招标文件的有关规定要求，承担全部服务任务工作。</w:t>
      </w:r>
    </w:p>
    <w:p w14:paraId="4D5A3304">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我方确认的</w:t>
      </w:r>
      <w:r>
        <w:rPr>
          <w:rFonts w:hint="eastAsia" w:ascii="宋体" w:hAnsi="宋体"/>
          <w:b/>
          <w:bCs/>
          <w:sz w:val="24"/>
          <w:szCs w:val="24"/>
        </w:rPr>
        <w:t>投标函</w:t>
      </w:r>
      <w:r>
        <w:rPr>
          <w:rFonts w:hint="eastAsia" w:ascii="宋体" w:hAnsi="宋体"/>
          <w:sz w:val="24"/>
          <w:szCs w:val="24"/>
        </w:rPr>
        <w:t>是我单位投标文件的组成部分。</w:t>
      </w:r>
    </w:p>
    <w:p w14:paraId="0843F538">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如果贵单位接受我方的投标，我方保证按合同规定的期限内开始本工程的检测工作并按投标书中规定的期限内完成合同规定的全部任务。</w:t>
      </w:r>
    </w:p>
    <w:p w14:paraId="282410FE">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我方同意在从规定的</w:t>
      </w:r>
      <w:r>
        <w:rPr>
          <w:rFonts w:hint="eastAsia" w:ascii="宋体" w:hAnsi="宋体"/>
          <w:b/>
          <w:bCs/>
          <w:sz w:val="24"/>
          <w:szCs w:val="24"/>
        </w:rPr>
        <w:t>递交投标文件截止之日起</w:t>
      </w:r>
      <w:r>
        <w:rPr>
          <w:rFonts w:ascii="宋体" w:hAnsi="宋体"/>
          <w:b/>
          <w:bCs/>
          <w:sz w:val="24"/>
          <w:szCs w:val="24"/>
        </w:rPr>
        <w:t>90</w:t>
      </w:r>
      <w:r>
        <w:rPr>
          <w:rFonts w:hint="eastAsia" w:ascii="宋体" w:hAnsi="宋体"/>
          <w:b/>
          <w:bCs/>
          <w:sz w:val="24"/>
          <w:szCs w:val="24"/>
        </w:rPr>
        <w:t>天</w:t>
      </w:r>
      <w:r>
        <w:rPr>
          <w:rFonts w:hint="eastAsia" w:ascii="宋体" w:hAnsi="宋体"/>
          <w:sz w:val="24"/>
          <w:szCs w:val="24"/>
        </w:rPr>
        <w:t>内遵守本投标文件。在此期限届满之前，本投标文件始终将对我们具有约束力并随时接受中标。</w:t>
      </w:r>
    </w:p>
    <w:p w14:paraId="4299D95D">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在合同协议制定和签署之前，本投标书连同贵单位的中标通知书、双方签认的补充、修正或澄清文件及其他文件和附件应成为约束贵、我双方的合同文件。</w:t>
      </w:r>
    </w:p>
    <w:p w14:paraId="633742C9">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我们理解，贵单位不一定接受最低标价的投标文件或可能接受其他任何投标文件，同时也理解，贵单位不负担我们的任何投标费用。</w:t>
      </w:r>
    </w:p>
    <w:p w14:paraId="66B5FDCF">
      <w:pPr>
        <w:spacing w:line="360" w:lineRule="auto"/>
        <w:ind w:firstLine="480" w:firstLineChars="200"/>
        <w:rPr>
          <w:rFonts w:ascii="宋体" w:hAnsi="宋体"/>
          <w:sz w:val="24"/>
          <w:szCs w:val="24"/>
        </w:rPr>
      </w:pPr>
      <w:r>
        <w:rPr>
          <w:rFonts w:hint="eastAsia" w:ascii="宋体" w:hAnsi="宋体"/>
          <w:sz w:val="24"/>
          <w:szCs w:val="24"/>
        </w:rPr>
        <w:t>7.如我方中标，我方承诺在合同约定的期限内，提供符合贵方要求的人员驻场服务。</w:t>
      </w:r>
    </w:p>
    <w:p w14:paraId="5C231C70">
      <w:pPr>
        <w:rPr>
          <w:rFonts w:ascii="宋体" w:hAnsi="宋体"/>
        </w:rPr>
      </w:pPr>
    </w:p>
    <w:p w14:paraId="215BED70">
      <w:pPr>
        <w:spacing w:line="440" w:lineRule="exact"/>
        <w:ind w:firstLine="2520" w:firstLineChars="1200"/>
        <w:jc w:val="left"/>
        <w:rPr>
          <w:rFonts w:ascii="宋体" w:hAnsi="宋体"/>
          <w:szCs w:val="21"/>
        </w:rPr>
      </w:pPr>
    </w:p>
    <w:p w14:paraId="0BC1AB60">
      <w:pPr>
        <w:pStyle w:val="14"/>
        <w:tabs>
          <w:tab w:val="left" w:pos="7321"/>
        </w:tabs>
        <w:spacing w:before="36"/>
        <w:ind w:left="2701"/>
        <w:rPr>
          <w:rFonts w:ascii="宋体" w:hAnsi="宋体"/>
          <w:sz w:val="24"/>
          <w:szCs w:val="24"/>
        </w:rPr>
      </w:pPr>
      <w:r>
        <w:rPr>
          <w:rFonts w:hint="eastAsia" w:ascii="宋体" w:hAnsi="宋体"/>
          <w:sz w:val="24"/>
          <w:szCs w:val="24"/>
        </w:rPr>
        <w:t>投标人：</w:t>
      </w:r>
      <w:r>
        <w:rPr>
          <w:rFonts w:ascii="宋体" w:hAnsi="宋体"/>
          <w:sz w:val="24"/>
          <w:szCs w:val="24"/>
          <w:u w:val="single" w:color="000000"/>
        </w:rPr>
        <w:tab/>
      </w:r>
      <w:r>
        <w:rPr>
          <w:rFonts w:hint="eastAsia" w:ascii="宋体" w:hAnsi="宋体"/>
          <w:sz w:val="24"/>
          <w:szCs w:val="24"/>
        </w:rPr>
        <w:t>（盖单位章）</w:t>
      </w:r>
    </w:p>
    <w:p w14:paraId="6788B56D">
      <w:pPr>
        <w:spacing w:before="13"/>
        <w:rPr>
          <w:rFonts w:ascii="宋体" w:hAnsi="宋体" w:cs="宋体"/>
          <w:sz w:val="24"/>
          <w:szCs w:val="24"/>
        </w:rPr>
      </w:pPr>
    </w:p>
    <w:p w14:paraId="69EB8F85">
      <w:pPr>
        <w:pStyle w:val="14"/>
        <w:tabs>
          <w:tab w:val="left" w:pos="6481"/>
        </w:tabs>
        <w:spacing w:before="36"/>
        <w:ind w:left="2701"/>
        <w:rPr>
          <w:rFonts w:ascii="宋体" w:hAnsi="宋体"/>
          <w:sz w:val="24"/>
          <w:szCs w:val="24"/>
        </w:rPr>
      </w:pPr>
      <w:r>
        <w:rPr>
          <w:rFonts w:hint="eastAsia" w:ascii="宋体" w:hAnsi="宋体"/>
          <w:spacing w:val="-2"/>
          <w:sz w:val="24"/>
          <w:szCs w:val="24"/>
        </w:rPr>
        <w:t>法定代表人或其委托代理人：</w:t>
      </w:r>
      <w:r>
        <w:rPr>
          <w:rFonts w:ascii="宋体" w:hAnsi="宋体"/>
          <w:spacing w:val="-2"/>
          <w:sz w:val="24"/>
          <w:szCs w:val="24"/>
          <w:u w:val="single" w:color="000000"/>
        </w:rPr>
        <w:tab/>
      </w:r>
      <w:r>
        <w:rPr>
          <w:rFonts w:hint="eastAsia" w:ascii="宋体" w:hAnsi="宋体"/>
          <w:spacing w:val="-1"/>
          <w:sz w:val="24"/>
          <w:szCs w:val="24"/>
        </w:rPr>
        <w:t>（签字或盖章）</w:t>
      </w:r>
    </w:p>
    <w:p w14:paraId="5055D588">
      <w:pPr>
        <w:spacing w:before="10"/>
        <w:rPr>
          <w:rFonts w:ascii="宋体" w:hAnsi="宋体" w:cs="宋体"/>
          <w:sz w:val="24"/>
          <w:szCs w:val="24"/>
        </w:rPr>
      </w:pPr>
    </w:p>
    <w:p w14:paraId="7F2F3B1C">
      <w:pPr>
        <w:spacing w:line="440" w:lineRule="exact"/>
        <w:ind w:firstLine="5400" w:firstLineChars="2250"/>
        <w:jc w:val="right"/>
        <w:rPr>
          <w:rFonts w:ascii="宋体" w:hAnsi="宋体"/>
          <w:sz w:val="24"/>
          <w:szCs w:val="24"/>
        </w:rPr>
      </w:pPr>
      <w:r>
        <w:rPr>
          <w:rFonts w:ascii="宋体" w:hAnsi="宋体"/>
          <w:sz w:val="24"/>
          <w:szCs w:val="24"/>
          <w:u w:val="single" w:color="000000"/>
        </w:rPr>
        <w:tab/>
      </w:r>
      <w:r>
        <w:rPr>
          <w:rFonts w:hint="eastAsia" w:ascii="宋体" w:hAnsi="宋体"/>
          <w:sz w:val="24"/>
          <w:szCs w:val="24"/>
        </w:rPr>
        <w:t>年</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月</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日</w:t>
      </w:r>
    </w:p>
    <w:p w14:paraId="086AFCB4">
      <w:pPr>
        <w:spacing w:line="360" w:lineRule="auto"/>
        <w:ind w:firstLine="422" w:firstLineChars="200"/>
        <w:jc w:val="center"/>
        <w:rPr>
          <w:rFonts w:ascii="宋体" w:hAnsi="宋体"/>
          <w:b/>
          <w:bCs/>
          <w:sz w:val="24"/>
          <w:szCs w:val="24"/>
        </w:rPr>
      </w:pPr>
      <w:bookmarkStart w:id="210" w:name="_Toc391394112"/>
      <w:bookmarkStart w:id="211" w:name="_Toc13516"/>
      <w:bookmarkStart w:id="212" w:name="_Toc482188652"/>
      <w:bookmarkStart w:id="213" w:name="_Toc370676427"/>
      <w:bookmarkStart w:id="214" w:name="_Toc533334220"/>
      <w:bookmarkStart w:id="215" w:name="_Toc532390635"/>
      <w:bookmarkStart w:id="216" w:name="_Toc359594236"/>
      <w:bookmarkStart w:id="217" w:name="_Toc528170356"/>
      <w:bookmarkStart w:id="218" w:name="_Toc385943066"/>
      <w:r>
        <w:rPr>
          <w:rFonts w:ascii="宋体" w:hAnsi="宋体"/>
          <w:b/>
          <w:szCs w:val="21"/>
        </w:rPr>
        <w:br w:type="page"/>
      </w:r>
      <w:r>
        <w:rPr>
          <w:rFonts w:hint="eastAsia" w:ascii="宋体" w:hAnsi="宋体"/>
          <w:b/>
          <w:bCs/>
          <w:sz w:val="24"/>
          <w:szCs w:val="24"/>
        </w:rPr>
        <w:t>（二）投标函附</w:t>
      </w:r>
      <w:bookmarkEnd w:id="210"/>
      <w:bookmarkEnd w:id="211"/>
      <w:bookmarkEnd w:id="212"/>
      <w:bookmarkEnd w:id="213"/>
      <w:bookmarkEnd w:id="214"/>
      <w:bookmarkEnd w:id="215"/>
      <w:bookmarkEnd w:id="216"/>
      <w:bookmarkEnd w:id="217"/>
      <w:bookmarkEnd w:id="218"/>
      <w:r>
        <w:rPr>
          <w:rFonts w:hint="eastAsia" w:ascii="宋体" w:hAnsi="宋体"/>
          <w:b/>
          <w:bCs/>
          <w:sz w:val="24"/>
          <w:szCs w:val="24"/>
        </w:rPr>
        <w:t>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50"/>
        <w:gridCol w:w="4696"/>
        <w:gridCol w:w="1882"/>
      </w:tblGrid>
      <w:tr w14:paraId="040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65E2F">
            <w:pPr>
              <w:spacing w:line="276" w:lineRule="auto"/>
              <w:jc w:val="center"/>
              <w:rPr>
                <w:rFonts w:ascii="宋体" w:hAnsi="宋体"/>
                <w:b/>
                <w:sz w:val="24"/>
                <w:szCs w:val="28"/>
              </w:rPr>
            </w:pPr>
            <w:r>
              <w:rPr>
                <w:rFonts w:hint="eastAsia" w:ascii="宋体" w:hAnsi="宋体"/>
                <w:b/>
                <w:sz w:val="24"/>
                <w:szCs w:val="28"/>
              </w:rPr>
              <w:t>序号</w:t>
            </w:r>
          </w:p>
        </w:tc>
        <w:tc>
          <w:tcPr>
            <w:tcW w:w="2150" w:type="dxa"/>
            <w:tcBorders>
              <w:top w:val="single" w:color="auto" w:sz="4" w:space="0"/>
              <w:left w:val="single" w:color="auto" w:sz="4" w:space="0"/>
              <w:bottom w:val="single" w:color="auto" w:sz="4" w:space="0"/>
              <w:right w:val="single" w:color="auto" w:sz="4" w:space="0"/>
            </w:tcBorders>
            <w:vAlign w:val="center"/>
          </w:tcPr>
          <w:p w14:paraId="67AEFFF8">
            <w:pPr>
              <w:spacing w:line="276" w:lineRule="auto"/>
              <w:jc w:val="center"/>
              <w:rPr>
                <w:rFonts w:ascii="宋体" w:hAnsi="宋体"/>
                <w:b/>
                <w:sz w:val="24"/>
                <w:szCs w:val="28"/>
              </w:rPr>
            </w:pPr>
            <w:r>
              <w:rPr>
                <w:rFonts w:hint="eastAsia" w:ascii="宋体" w:hAnsi="宋体"/>
                <w:b/>
                <w:sz w:val="24"/>
                <w:szCs w:val="28"/>
              </w:rPr>
              <w:t>条款名称</w:t>
            </w:r>
          </w:p>
        </w:tc>
        <w:tc>
          <w:tcPr>
            <w:tcW w:w="4696" w:type="dxa"/>
            <w:tcBorders>
              <w:top w:val="single" w:color="auto" w:sz="4" w:space="0"/>
              <w:left w:val="single" w:color="auto" w:sz="4" w:space="0"/>
              <w:bottom w:val="single" w:color="auto" w:sz="4" w:space="0"/>
              <w:right w:val="single" w:color="auto" w:sz="4" w:space="0"/>
            </w:tcBorders>
            <w:vAlign w:val="center"/>
          </w:tcPr>
          <w:p w14:paraId="2AF8AEB5">
            <w:pPr>
              <w:spacing w:line="276" w:lineRule="auto"/>
              <w:jc w:val="center"/>
              <w:rPr>
                <w:rFonts w:ascii="宋体" w:hAnsi="宋体"/>
                <w:b/>
                <w:sz w:val="24"/>
                <w:szCs w:val="28"/>
              </w:rPr>
            </w:pPr>
            <w:r>
              <w:rPr>
                <w:rFonts w:hint="eastAsia" w:ascii="宋体" w:hAnsi="宋体"/>
                <w:b/>
                <w:sz w:val="24"/>
                <w:szCs w:val="28"/>
              </w:rPr>
              <w:t>约定内容</w:t>
            </w:r>
          </w:p>
        </w:tc>
        <w:tc>
          <w:tcPr>
            <w:tcW w:w="1882" w:type="dxa"/>
            <w:tcBorders>
              <w:top w:val="single" w:color="auto" w:sz="4" w:space="0"/>
              <w:left w:val="single" w:color="auto" w:sz="4" w:space="0"/>
              <w:bottom w:val="single" w:color="auto" w:sz="4" w:space="0"/>
              <w:right w:val="single" w:color="auto" w:sz="4" w:space="0"/>
            </w:tcBorders>
            <w:vAlign w:val="center"/>
          </w:tcPr>
          <w:p w14:paraId="21C458CD">
            <w:pPr>
              <w:spacing w:line="276" w:lineRule="auto"/>
              <w:jc w:val="center"/>
              <w:rPr>
                <w:rFonts w:ascii="宋体" w:hAnsi="宋体"/>
                <w:b/>
                <w:sz w:val="24"/>
                <w:szCs w:val="28"/>
              </w:rPr>
            </w:pPr>
            <w:r>
              <w:rPr>
                <w:rFonts w:hint="eastAsia" w:ascii="宋体" w:hAnsi="宋体"/>
                <w:b/>
                <w:sz w:val="24"/>
                <w:szCs w:val="28"/>
              </w:rPr>
              <w:t>备注</w:t>
            </w:r>
          </w:p>
        </w:tc>
      </w:tr>
      <w:tr w14:paraId="002C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B71DA9">
            <w:pPr>
              <w:spacing w:line="276" w:lineRule="auto"/>
              <w:jc w:val="center"/>
              <w:rPr>
                <w:rFonts w:ascii="宋体" w:hAnsi="宋体" w:cs="宋体"/>
                <w:sz w:val="24"/>
                <w:szCs w:val="24"/>
              </w:rPr>
            </w:pPr>
            <w:r>
              <w:rPr>
                <w:rFonts w:hint="eastAsia" w:ascii="宋体" w:hAnsi="宋体" w:cs="宋体"/>
                <w:sz w:val="24"/>
                <w:szCs w:val="24"/>
              </w:rPr>
              <w:t>1</w:t>
            </w:r>
          </w:p>
        </w:tc>
        <w:tc>
          <w:tcPr>
            <w:tcW w:w="2150" w:type="dxa"/>
            <w:tcBorders>
              <w:top w:val="single" w:color="auto" w:sz="4" w:space="0"/>
              <w:left w:val="single" w:color="auto" w:sz="4" w:space="0"/>
              <w:bottom w:val="single" w:color="auto" w:sz="4" w:space="0"/>
              <w:right w:val="single" w:color="auto" w:sz="4" w:space="0"/>
            </w:tcBorders>
            <w:vAlign w:val="center"/>
          </w:tcPr>
          <w:p w14:paraId="12C7C92D">
            <w:pPr>
              <w:spacing w:line="276" w:lineRule="auto"/>
              <w:jc w:val="center"/>
              <w:rPr>
                <w:rFonts w:ascii="宋体" w:hAnsi="宋体" w:cs="宋体"/>
                <w:sz w:val="24"/>
                <w:szCs w:val="24"/>
              </w:rPr>
            </w:pPr>
            <w:r>
              <w:rPr>
                <w:rFonts w:hint="eastAsia" w:ascii="宋体" w:hAnsi="宋体" w:cs="宋体"/>
                <w:sz w:val="24"/>
                <w:szCs w:val="24"/>
              </w:rPr>
              <w:t>项目负责人</w:t>
            </w:r>
          </w:p>
        </w:tc>
        <w:tc>
          <w:tcPr>
            <w:tcW w:w="4696" w:type="dxa"/>
            <w:tcBorders>
              <w:top w:val="single" w:color="auto" w:sz="4" w:space="0"/>
              <w:left w:val="single" w:color="auto" w:sz="4" w:space="0"/>
              <w:bottom w:val="single" w:color="auto" w:sz="4" w:space="0"/>
              <w:right w:val="single" w:color="auto" w:sz="4" w:space="0"/>
            </w:tcBorders>
            <w:vAlign w:val="center"/>
          </w:tcPr>
          <w:p w14:paraId="08E5AAA8">
            <w:pPr>
              <w:spacing w:line="276" w:lineRule="auto"/>
              <w:jc w:val="left"/>
              <w:rPr>
                <w:rFonts w:ascii="宋体" w:hAnsi="宋体" w:cs="宋体"/>
                <w:bCs/>
                <w:sz w:val="24"/>
                <w:szCs w:val="24"/>
                <w:u w:val="single"/>
              </w:rPr>
            </w:pPr>
            <w:r>
              <w:rPr>
                <w:rFonts w:hint="eastAsia" w:ascii="宋体" w:hAnsi="宋体" w:cs="宋体"/>
                <w:bCs/>
                <w:sz w:val="24"/>
                <w:szCs w:val="24"/>
              </w:rPr>
              <w:t>姓    名：</w:t>
            </w:r>
            <w:r>
              <w:rPr>
                <w:rFonts w:hint="eastAsia" w:ascii="宋体" w:hAnsi="宋体" w:cs="宋体"/>
                <w:bCs/>
                <w:sz w:val="24"/>
                <w:szCs w:val="24"/>
                <w:u w:val="single"/>
              </w:rPr>
              <w:t xml:space="preserve">           </w:t>
            </w:r>
          </w:p>
          <w:p w14:paraId="56E34650">
            <w:pPr>
              <w:spacing w:line="276" w:lineRule="auto"/>
              <w:jc w:val="left"/>
              <w:rPr>
                <w:rFonts w:ascii="宋体" w:hAnsi="宋体" w:cs="宋体"/>
                <w:bCs/>
                <w:sz w:val="24"/>
                <w:szCs w:val="24"/>
              </w:rPr>
            </w:pPr>
            <w:r>
              <w:rPr>
                <w:rFonts w:hint="eastAsia" w:ascii="宋体" w:hAnsi="宋体" w:cs="宋体"/>
                <w:bCs/>
                <w:sz w:val="24"/>
                <w:szCs w:val="24"/>
              </w:rPr>
              <w:t>技术职称：</w:t>
            </w:r>
            <w:r>
              <w:rPr>
                <w:rFonts w:hint="eastAsia" w:ascii="宋体" w:hAnsi="宋体" w:cs="宋体"/>
                <w:bCs/>
                <w:sz w:val="24"/>
                <w:szCs w:val="24"/>
                <w:u w:val="single"/>
              </w:rPr>
              <w:t xml:space="preserve">           </w:t>
            </w:r>
          </w:p>
          <w:p w14:paraId="22808596">
            <w:pPr>
              <w:spacing w:line="276" w:lineRule="auto"/>
              <w:jc w:val="left"/>
              <w:rPr>
                <w:rFonts w:ascii="宋体" w:hAnsi="宋体" w:cs="宋体"/>
                <w:bCs/>
                <w:sz w:val="24"/>
                <w:szCs w:val="24"/>
              </w:rPr>
            </w:pPr>
            <w:r>
              <w:rPr>
                <w:rFonts w:hint="eastAsia" w:ascii="宋体" w:hAnsi="宋体" w:cs="宋体"/>
                <w:bCs/>
                <w:sz w:val="24"/>
                <w:szCs w:val="24"/>
              </w:rPr>
              <w:t>专    业：</w:t>
            </w:r>
            <w:r>
              <w:rPr>
                <w:rFonts w:hint="eastAsia" w:ascii="宋体" w:hAnsi="宋体" w:cs="宋体"/>
                <w:bCs/>
                <w:sz w:val="24"/>
                <w:szCs w:val="24"/>
                <w:u w:val="single"/>
              </w:rPr>
              <w:t xml:space="preserve">           </w:t>
            </w:r>
          </w:p>
        </w:tc>
        <w:tc>
          <w:tcPr>
            <w:tcW w:w="1882" w:type="dxa"/>
            <w:tcBorders>
              <w:top w:val="single" w:color="auto" w:sz="4" w:space="0"/>
              <w:left w:val="single" w:color="auto" w:sz="4" w:space="0"/>
              <w:bottom w:val="single" w:color="auto" w:sz="4" w:space="0"/>
              <w:right w:val="single" w:color="auto" w:sz="4" w:space="0"/>
            </w:tcBorders>
            <w:vAlign w:val="center"/>
          </w:tcPr>
          <w:p w14:paraId="731496AB">
            <w:pPr>
              <w:spacing w:line="276" w:lineRule="auto"/>
              <w:jc w:val="center"/>
              <w:rPr>
                <w:rFonts w:ascii="宋体" w:hAnsi="宋体"/>
                <w:b/>
                <w:szCs w:val="21"/>
              </w:rPr>
            </w:pPr>
          </w:p>
        </w:tc>
      </w:tr>
      <w:tr w14:paraId="6351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C4A863">
            <w:pPr>
              <w:spacing w:line="276" w:lineRule="auto"/>
              <w:jc w:val="center"/>
              <w:rPr>
                <w:rFonts w:ascii="宋体" w:hAnsi="宋体" w:cs="宋体"/>
                <w:sz w:val="24"/>
                <w:szCs w:val="24"/>
              </w:rPr>
            </w:pPr>
            <w:r>
              <w:rPr>
                <w:rFonts w:hint="eastAsia" w:ascii="宋体" w:hAnsi="宋体" w:cs="宋体"/>
                <w:sz w:val="24"/>
                <w:szCs w:val="24"/>
              </w:rPr>
              <w:t>2</w:t>
            </w:r>
          </w:p>
        </w:tc>
        <w:tc>
          <w:tcPr>
            <w:tcW w:w="2150" w:type="dxa"/>
            <w:tcBorders>
              <w:top w:val="single" w:color="auto" w:sz="4" w:space="0"/>
              <w:left w:val="single" w:color="auto" w:sz="4" w:space="0"/>
              <w:bottom w:val="single" w:color="auto" w:sz="4" w:space="0"/>
              <w:right w:val="single" w:color="auto" w:sz="4" w:space="0"/>
            </w:tcBorders>
            <w:vAlign w:val="center"/>
          </w:tcPr>
          <w:p w14:paraId="13E1FEA0">
            <w:pPr>
              <w:spacing w:line="276" w:lineRule="auto"/>
              <w:jc w:val="center"/>
              <w:rPr>
                <w:rFonts w:ascii="宋体" w:hAnsi="宋体" w:cs="宋体"/>
                <w:sz w:val="24"/>
                <w:szCs w:val="24"/>
              </w:rPr>
            </w:pPr>
            <w:r>
              <w:rPr>
                <w:rFonts w:hint="eastAsia" w:ascii="宋体" w:hAnsi="宋体" w:cs="宋体"/>
                <w:sz w:val="24"/>
                <w:szCs w:val="24"/>
              </w:rPr>
              <w:t>服务期限</w:t>
            </w:r>
          </w:p>
        </w:tc>
        <w:tc>
          <w:tcPr>
            <w:tcW w:w="4696" w:type="dxa"/>
            <w:tcBorders>
              <w:top w:val="single" w:color="auto" w:sz="4" w:space="0"/>
              <w:left w:val="single" w:color="auto" w:sz="4" w:space="0"/>
              <w:bottom w:val="single" w:color="auto" w:sz="4" w:space="0"/>
              <w:right w:val="single" w:color="auto" w:sz="4" w:space="0"/>
            </w:tcBorders>
            <w:vAlign w:val="center"/>
          </w:tcPr>
          <w:p w14:paraId="64144FB2">
            <w:pPr>
              <w:spacing w:line="276" w:lineRule="auto"/>
              <w:jc w:val="left"/>
              <w:rPr>
                <w:rFonts w:ascii="宋体" w:hAnsi="宋体" w:cs="宋体"/>
                <w:bCs/>
                <w:sz w:val="24"/>
                <w:szCs w:val="24"/>
              </w:rPr>
            </w:pPr>
            <w:r>
              <w:rPr>
                <w:rFonts w:hint="eastAsia" w:ascii="宋体" w:hAnsi="宋体" w:cs="宋体"/>
                <w:bCs/>
                <w:sz w:val="24"/>
                <w:szCs w:val="24"/>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10121FFC">
            <w:pPr>
              <w:spacing w:line="276" w:lineRule="auto"/>
              <w:jc w:val="center"/>
              <w:rPr>
                <w:rFonts w:ascii="宋体" w:hAnsi="宋体"/>
                <w:b/>
                <w:szCs w:val="21"/>
              </w:rPr>
            </w:pPr>
          </w:p>
        </w:tc>
      </w:tr>
      <w:tr w14:paraId="7DA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F0D0559">
            <w:pPr>
              <w:spacing w:line="276" w:lineRule="auto"/>
              <w:jc w:val="center"/>
              <w:rPr>
                <w:rFonts w:ascii="宋体" w:hAnsi="宋体" w:cs="宋体"/>
                <w:sz w:val="24"/>
                <w:szCs w:val="24"/>
              </w:rPr>
            </w:pPr>
            <w:r>
              <w:rPr>
                <w:rFonts w:hint="eastAsia" w:ascii="宋体" w:hAnsi="宋体" w:cs="宋体"/>
                <w:sz w:val="24"/>
                <w:szCs w:val="24"/>
              </w:rPr>
              <w:t>3</w:t>
            </w:r>
          </w:p>
        </w:tc>
        <w:tc>
          <w:tcPr>
            <w:tcW w:w="2150" w:type="dxa"/>
            <w:tcBorders>
              <w:top w:val="single" w:color="auto" w:sz="4" w:space="0"/>
              <w:left w:val="single" w:color="auto" w:sz="4" w:space="0"/>
              <w:bottom w:val="single" w:color="auto" w:sz="4" w:space="0"/>
              <w:right w:val="single" w:color="auto" w:sz="4" w:space="0"/>
            </w:tcBorders>
            <w:vAlign w:val="center"/>
          </w:tcPr>
          <w:p w14:paraId="61984CBA">
            <w:pPr>
              <w:spacing w:line="276" w:lineRule="auto"/>
              <w:jc w:val="center"/>
              <w:rPr>
                <w:rFonts w:ascii="宋体" w:hAnsi="宋体" w:cs="宋体"/>
                <w:sz w:val="24"/>
                <w:szCs w:val="24"/>
              </w:rPr>
            </w:pPr>
            <w:r>
              <w:rPr>
                <w:rFonts w:hint="eastAsia" w:ascii="宋体" w:hAnsi="宋体" w:cs="宋体"/>
                <w:sz w:val="24"/>
                <w:szCs w:val="24"/>
              </w:rPr>
              <w:t>合同价款</w:t>
            </w:r>
          </w:p>
          <w:p w14:paraId="67A01AFC">
            <w:pPr>
              <w:spacing w:line="276" w:lineRule="auto"/>
              <w:jc w:val="center"/>
              <w:rPr>
                <w:rFonts w:ascii="宋体" w:hAnsi="宋体" w:cs="宋体"/>
                <w:sz w:val="24"/>
                <w:szCs w:val="24"/>
              </w:rPr>
            </w:pPr>
            <w:r>
              <w:rPr>
                <w:rFonts w:hint="eastAsia" w:ascii="宋体" w:hAnsi="宋体" w:cs="宋体"/>
                <w:sz w:val="24"/>
                <w:szCs w:val="24"/>
              </w:rPr>
              <w:t>确定方式</w:t>
            </w:r>
          </w:p>
        </w:tc>
        <w:tc>
          <w:tcPr>
            <w:tcW w:w="4696" w:type="dxa"/>
            <w:tcBorders>
              <w:top w:val="single" w:color="auto" w:sz="4" w:space="0"/>
              <w:left w:val="single" w:color="auto" w:sz="4" w:space="0"/>
              <w:bottom w:val="single" w:color="auto" w:sz="4" w:space="0"/>
              <w:right w:val="single" w:color="auto" w:sz="4" w:space="0"/>
            </w:tcBorders>
            <w:vAlign w:val="center"/>
          </w:tcPr>
          <w:p w14:paraId="180399CF">
            <w:pPr>
              <w:spacing w:line="276" w:lineRule="auto"/>
              <w:jc w:val="left"/>
              <w:rPr>
                <w:rFonts w:ascii="宋体" w:hAnsi="宋体" w:cs="宋体"/>
                <w:bCs/>
                <w:sz w:val="24"/>
                <w:szCs w:val="24"/>
              </w:rPr>
            </w:pPr>
            <w:r>
              <w:rPr>
                <w:rFonts w:hint="eastAsia" w:ascii="宋体" w:hAnsi="宋体" w:cs="宋体"/>
                <w:bCs/>
                <w:sz w:val="24"/>
                <w:szCs w:val="24"/>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146A395F">
            <w:pPr>
              <w:spacing w:line="276" w:lineRule="auto"/>
              <w:jc w:val="center"/>
              <w:rPr>
                <w:rFonts w:ascii="宋体" w:hAnsi="宋体"/>
                <w:b/>
                <w:szCs w:val="21"/>
              </w:rPr>
            </w:pPr>
          </w:p>
        </w:tc>
      </w:tr>
      <w:tr w14:paraId="103F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80F7B">
            <w:pPr>
              <w:spacing w:line="276" w:lineRule="auto"/>
              <w:jc w:val="center"/>
              <w:rPr>
                <w:rFonts w:ascii="宋体" w:hAnsi="宋体" w:cs="宋体"/>
                <w:sz w:val="24"/>
                <w:szCs w:val="24"/>
              </w:rPr>
            </w:pPr>
            <w:r>
              <w:rPr>
                <w:rFonts w:hint="eastAsia" w:ascii="宋体" w:hAnsi="宋体" w:cs="宋体"/>
                <w:sz w:val="24"/>
                <w:szCs w:val="24"/>
              </w:rPr>
              <w:t>4</w:t>
            </w:r>
          </w:p>
        </w:tc>
        <w:tc>
          <w:tcPr>
            <w:tcW w:w="2150" w:type="dxa"/>
            <w:tcBorders>
              <w:top w:val="single" w:color="auto" w:sz="4" w:space="0"/>
              <w:left w:val="single" w:color="auto" w:sz="4" w:space="0"/>
              <w:bottom w:val="single" w:color="auto" w:sz="4" w:space="0"/>
              <w:right w:val="single" w:color="auto" w:sz="4" w:space="0"/>
            </w:tcBorders>
            <w:vAlign w:val="center"/>
          </w:tcPr>
          <w:p w14:paraId="652B0104">
            <w:pPr>
              <w:spacing w:line="276" w:lineRule="auto"/>
              <w:jc w:val="center"/>
              <w:rPr>
                <w:rFonts w:ascii="宋体" w:hAnsi="宋体" w:cs="宋体"/>
                <w:sz w:val="24"/>
                <w:szCs w:val="24"/>
              </w:rPr>
            </w:pPr>
            <w:r>
              <w:rPr>
                <w:rFonts w:hint="eastAsia" w:ascii="宋体" w:hAnsi="宋体" w:cs="宋体"/>
                <w:sz w:val="24"/>
                <w:szCs w:val="24"/>
              </w:rPr>
              <w:t>质量标准</w:t>
            </w:r>
          </w:p>
        </w:tc>
        <w:tc>
          <w:tcPr>
            <w:tcW w:w="4696" w:type="dxa"/>
            <w:tcBorders>
              <w:top w:val="single" w:color="auto" w:sz="4" w:space="0"/>
              <w:left w:val="single" w:color="auto" w:sz="4" w:space="0"/>
              <w:bottom w:val="single" w:color="auto" w:sz="4" w:space="0"/>
              <w:right w:val="single" w:color="auto" w:sz="4" w:space="0"/>
            </w:tcBorders>
            <w:vAlign w:val="center"/>
          </w:tcPr>
          <w:p w14:paraId="5FE5168B">
            <w:pPr>
              <w:spacing w:line="276" w:lineRule="auto"/>
              <w:jc w:val="left"/>
              <w:rPr>
                <w:rFonts w:ascii="宋体" w:hAnsi="宋体" w:cs="宋体"/>
                <w:bCs/>
                <w:sz w:val="24"/>
                <w:szCs w:val="24"/>
              </w:rPr>
            </w:pPr>
            <w:r>
              <w:rPr>
                <w:rFonts w:hint="eastAsia" w:ascii="宋体" w:hAnsi="宋体" w:cs="宋体"/>
                <w:sz w:val="24"/>
                <w:szCs w:val="24"/>
              </w:rPr>
              <w:t>符合国家及省、市有关检测标准</w:t>
            </w:r>
          </w:p>
        </w:tc>
        <w:tc>
          <w:tcPr>
            <w:tcW w:w="1882" w:type="dxa"/>
            <w:tcBorders>
              <w:top w:val="single" w:color="auto" w:sz="4" w:space="0"/>
              <w:left w:val="single" w:color="auto" w:sz="4" w:space="0"/>
              <w:bottom w:val="single" w:color="auto" w:sz="4" w:space="0"/>
              <w:right w:val="single" w:color="auto" w:sz="4" w:space="0"/>
            </w:tcBorders>
            <w:vAlign w:val="center"/>
          </w:tcPr>
          <w:p w14:paraId="5461FC00">
            <w:pPr>
              <w:spacing w:line="276" w:lineRule="auto"/>
              <w:jc w:val="center"/>
              <w:rPr>
                <w:rFonts w:ascii="宋体" w:hAnsi="宋体"/>
                <w:b/>
                <w:szCs w:val="21"/>
              </w:rPr>
            </w:pPr>
          </w:p>
        </w:tc>
      </w:tr>
      <w:tr w14:paraId="2EE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5" w:type="dxa"/>
            <w:vMerge w:val="restart"/>
            <w:tcBorders>
              <w:top w:val="single" w:color="auto" w:sz="4" w:space="0"/>
              <w:left w:val="single" w:color="auto" w:sz="4" w:space="0"/>
              <w:bottom w:val="single" w:color="auto" w:sz="4" w:space="0"/>
              <w:right w:val="single" w:color="auto" w:sz="4" w:space="0"/>
            </w:tcBorders>
            <w:vAlign w:val="center"/>
          </w:tcPr>
          <w:p w14:paraId="4F5164C2">
            <w:pPr>
              <w:spacing w:line="276" w:lineRule="auto"/>
              <w:jc w:val="center"/>
              <w:rPr>
                <w:rFonts w:ascii="宋体" w:hAnsi="宋体" w:cs="宋体"/>
                <w:sz w:val="24"/>
                <w:szCs w:val="24"/>
              </w:rPr>
            </w:pPr>
            <w:r>
              <w:rPr>
                <w:rFonts w:hint="eastAsia" w:ascii="宋体" w:hAnsi="宋体" w:cs="宋体"/>
                <w:sz w:val="24"/>
                <w:szCs w:val="24"/>
              </w:rPr>
              <w:t>5</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5D428753">
            <w:pPr>
              <w:spacing w:line="276" w:lineRule="auto"/>
              <w:jc w:val="center"/>
              <w:rPr>
                <w:rFonts w:ascii="宋体" w:hAnsi="宋体" w:cs="宋体"/>
                <w:sz w:val="24"/>
                <w:szCs w:val="24"/>
              </w:rPr>
            </w:pPr>
            <w:r>
              <w:rPr>
                <w:rFonts w:hint="eastAsia" w:ascii="宋体" w:hAnsi="宋体" w:cs="宋体"/>
                <w:sz w:val="24"/>
                <w:szCs w:val="24"/>
              </w:rPr>
              <w:t>投标报价</w:t>
            </w:r>
          </w:p>
        </w:tc>
        <w:tc>
          <w:tcPr>
            <w:tcW w:w="4696" w:type="dxa"/>
            <w:tcBorders>
              <w:top w:val="single" w:color="auto" w:sz="4" w:space="0"/>
              <w:left w:val="single" w:color="auto" w:sz="4" w:space="0"/>
              <w:bottom w:val="single" w:color="auto" w:sz="4" w:space="0"/>
              <w:right w:val="single" w:color="auto" w:sz="4" w:space="0"/>
            </w:tcBorders>
            <w:vAlign w:val="center"/>
          </w:tcPr>
          <w:p w14:paraId="31C726EC">
            <w:pPr>
              <w:spacing w:line="276" w:lineRule="auto"/>
              <w:jc w:val="left"/>
              <w:rPr>
                <w:rFonts w:ascii="宋体" w:hAnsi="宋体" w:cs="宋体"/>
                <w:bCs/>
                <w:sz w:val="24"/>
                <w:szCs w:val="24"/>
                <w:u w:val="single"/>
              </w:rPr>
            </w:pPr>
            <w:r>
              <w:rPr>
                <w:rFonts w:hint="eastAsia" w:ascii="宋体" w:hAnsi="宋体" w:cs="宋体"/>
                <w:bCs/>
                <w:sz w:val="24"/>
                <w:szCs w:val="24"/>
              </w:rPr>
              <w:t xml:space="preserve">大写： </w:t>
            </w:r>
            <w:r>
              <w:rPr>
                <w:rFonts w:hint="eastAsia" w:ascii="宋体" w:hAnsi="宋体" w:cs="宋体"/>
                <w:bCs/>
                <w:sz w:val="24"/>
                <w:szCs w:val="24"/>
                <w:u w:val="single"/>
              </w:rPr>
              <w:t xml:space="preserve">        </w:t>
            </w:r>
          </w:p>
          <w:p w14:paraId="339519BD">
            <w:pPr>
              <w:spacing w:line="276" w:lineRule="auto"/>
              <w:jc w:val="left"/>
              <w:rPr>
                <w:rFonts w:ascii="宋体" w:hAnsi="宋体" w:cs="宋体"/>
                <w:bCs/>
                <w:sz w:val="24"/>
                <w:szCs w:val="24"/>
              </w:rPr>
            </w:pPr>
            <w:r>
              <w:rPr>
                <w:rFonts w:hint="eastAsia" w:ascii="宋体" w:hAnsi="宋体" w:cs="宋体"/>
                <w:bCs/>
                <w:sz w:val="24"/>
                <w:szCs w:val="24"/>
              </w:rPr>
              <w:t xml:space="preserve">小写： </w:t>
            </w:r>
            <w:r>
              <w:rPr>
                <w:rFonts w:hint="eastAsia" w:ascii="宋体" w:hAnsi="宋体" w:cs="宋体"/>
                <w:bCs/>
                <w:sz w:val="24"/>
                <w:szCs w:val="24"/>
                <w:u w:val="single"/>
              </w:rPr>
              <w:t xml:space="preserve">        </w:t>
            </w:r>
          </w:p>
        </w:tc>
        <w:tc>
          <w:tcPr>
            <w:tcW w:w="1882" w:type="dxa"/>
            <w:vMerge w:val="restart"/>
            <w:tcBorders>
              <w:top w:val="single" w:color="auto" w:sz="4" w:space="0"/>
              <w:left w:val="single" w:color="auto" w:sz="4" w:space="0"/>
              <w:right w:val="single" w:color="auto" w:sz="4" w:space="0"/>
            </w:tcBorders>
            <w:vAlign w:val="center"/>
          </w:tcPr>
          <w:p w14:paraId="7D79EFFF">
            <w:pPr>
              <w:spacing w:line="276" w:lineRule="auto"/>
              <w:jc w:val="center"/>
              <w:rPr>
                <w:rFonts w:ascii="宋体" w:hAnsi="宋体"/>
                <w:b/>
                <w:szCs w:val="21"/>
              </w:rPr>
            </w:pPr>
            <w:r>
              <w:rPr>
                <w:rFonts w:hint="eastAsia" w:ascii="宋体" w:hAnsi="宋体"/>
                <w:b/>
                <w:szCs w:val="21"/>
              </w:rPr>
              <w:t>以“元”为单位，精确到小数点后2位。</w:t>
            </w:r>
          </w:p>
        </w:tc>
      </w:tr>
      <w:tr w14:paraId="5B18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14:paraId="7A3F060A">
            <w:pPr>
              <w:widowControl/>
              <w:spacing w:line="276" w:lineRule="auto"/>
              <w:jc w:val="left"/>
              <w:rPr>
                <w:rFonts w:ascii="宋体" w:hAnsi="宋体" w:cs="宋体"/>
                <w:sz w:val="24"/>
                <w:szCs w:val="24"/>
              </w:rPr>
            </w:pP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38C43E9">
            <w:pPr>
              <w:widowControl/>
              <w:spacing w:line="276" w:lineRule="auto"/>
              <w:jc w:val="left"/>
              <w:rPr>
                <w:rFonts w:ascii="宋体" w:hAnsi="宋体" w:cs="宋体"/>
                <w:sz w:val="24"/>
                <w:szCs w:val="24"/>
              </w:rPr>
            </w:pPr>
          </w:p>
        </w:tc>
        <w:tc>
          <w:tcPr>
            <w:tcW w:w="4696" w:type="dxa"/>
            <w:tcBorders>
              <w:top w:val="single" w:color="auto" w:sz="4" w:space="0"/>
              <w:left w:val="single" w:color="auto" w:sz="4" w:space="0"/>
              <w:bottom w:val="single" w:color="auto" w:sz="4" w:space="0"/>
              <w:right w:val="single" w:color="auto" w:sz="4" w:space="0"/>
            </w:tcBorders>
            <w:vAlign w:val="center"/>
          </w:tcPr>
          <w:p w14:paraId="2DAB4DB0">
            <w:pPr>
              <w:spacing w:line="276" w:lineRule="auto"/>
              <w:jc w:val="left"/>
              <w:rPr>
                <w:rFonts w:ascii="宋体" w:hAnsi="宋体" w:cs="宋体"/>
                <w:bCs/>
                <w:sz w:val="24"/>
                <w:szCs w:val="24"/>
              </w:rPr>
            </w:pPr>
            <w:r>
              <w:rPr>
                <w:rFonts w:hint="eastAsia" w:ascii="宋体" w:hAnsi="宋体" w:cs="宋体"/>
                <w:bCs/>
                <w:sz w:val="24"/>
                <w:szCs w:val="24"/>
              </w:rPr>
              <w:t>投标下浮率：</w:t>
            </w:r>
            <w:r>
              <w:rPr>
                <w:rFonts w:hint="eastAsia" w:ascii="宋体" w:hAnsi="宋体" w:cs="宋体"/>
                <w:bCs/>
                <w:sz w:val="24"/>
                <w:szCs w:val="24"/>
                <w:u w:val="single"/>
              </w:rPr>
              <w:t xml:space="preserve">           </w:t>
            </w:r>
          </w:p>
        </w:tc>
        <w:tc>
          <w:tcPr>
            <w:tcW w:w="1882" w:type="dxa"/>
            <w:tcBorders>
              <w:top w:val="single" w:color="auto" w:sz="4" w:space="0"/>
              <w:left w:val="single" w:color="auto" w:sz="4" w:space="0"/>
              <w:bottom w:val="single" w:color="auto" w:sz="4" w:space="0"/>
              <w:right w:val="single" w:color="auto" w:sz="4" w:space="0"/>
            </w:tcBorders>
            <w:vAlign w:val="center"/>
          </w:tcPr>
          <w:p w14:paraId="5C8A300C">
            <w:pPr>
              <w:spacing w:line="276" w:lineRule="auto"/>
              <w:jc w:val="center"/>
              <w:rPr>
                <w:rFonts w:ascii="宋体" w:hAnsi="宋体"/>
                <w:b/>
                <w:szCs w:val="21"/>
              </w:rPr>
            </w:pPr>
            <w:r>
              <w:rPr>
                <w:rFonts w:hint="eastAsia" w:ascii="宋体" w:hAnsi="宋体"/>
                <w:b/>
                <w:szCs w:val="21"/>
              </w:rPr>
              <w:t>（1-投标报价/</w:t>
            </w:r>
            <w:r>
              <w:rPr>
                <w:rFonts w:hint="eastAsia" w:ascii="宋体" w:hAnsi="宋体" w:cs="宋体"/>
                <w:b/>
                <w:szCs w:val="21"/>
                <w:u w:val="single"/>
              </w:rPr>
              <w:t>暂定金额</w:t>
            </w:r>
            <w:r>
              <w:rPr>
                <w:rFonts w:hint="eastAsia" w:ascii="宋体" w:hAnsi="宋体"/>
                <w:b/>
                <w:szCs w:val="21"/>
              </w:rPr>
              <w:t>）*100%</w:t>
            </w:r>
          </w:p>
        </w:tc>
      </w:tr>
      <w:tr w14:paraId="59F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8213A">
            <w:pPr>
              <w:spacing w:line="276" w:lineRule="auto"/>
              <w:jc w:val="center"/>
              <w:rPr>
                <w:rFonts w:ascii="宋体" w:hAnsi="宋体" w:cs="宋体"/>
                <w:sz w:val="24"/>
                <w:szCs w:val="24"/>
              </w:rPr>
            </w:pPr>
            <w:r>
              <w:rPr>
                <w:rFonts w:hint="eastAsia" w:ascii="宋体" w:hAnsi="宋体" w:cs="宋体"/>
                <w:sz w:val="24"/>
                <w:szCs w:val="24"/>
              </w:rPr>
              <w:t>6</w:t>
            </w:r>
          </w:p>
        </w:tc>
        <w:tc>
          <w:tcPr>
            <w:tcW w:w="2150" w:type="dxa"/>
            <w:tcBorders>
              <w:top w:val="single" w:color="auto" w:sz="4" w:space="0"/>
              <w:left w:val="single" w:color="auto" w:sz="4" w:space="0"/>
              <w:bottom w:val="single" w:color="auto" w:sz="4" w:space="0"/>
              <w:right w:val="single" w:color="auto" w:sz="4" w:space="0"/>
            </w:tcBorders>
            <w:vAlign w:val="center"/>
          </w:tcPr>
          <w:p w14:paraId="0A60305E">
            <w:pPr>
              <w:spacing w:line="276" w:lineRule="auto"/>
              <w:jc w:val="center"/>
              <w:rPr>
                <w:rFonts w:ascii="宋体" w:hAnsi="宋体" w:cs="宋体"/>
                <w:sz w:val="24"/>
                <w:szCs w:val="24"/>
              </w:rPr>
            </w:pPr>
            <w:r>
              <w:rPr>
                <w:rFonts w:hint="eastAsia" w:ascii="宋体" w:hAnsi="宋体" w:cs="宋体"/>
                <w:sz w:val="24"/>
                <w:szCs w:val="24"/>
              </w:rPr>
              <w:t>投标有效期</w:t>
            </w:r>
          </w:p>
        </w:tc>
        <w:tc>
          <w:tcPr>
            <w:tcW w:w="4696" w:type="dxa"/>
            <w:tcBorders>
              <w:top w:val="single" w:color="auto" w:sz="4" w:space="0"/>
              <w:left w:val="single" w:color="auto" w:sz="4" w:space="0"/>
              <w:bottom w:val="single" w:color="auto" w:sz="4" w:space="0"/>
              <w:right w:val="single" w:color="auto" w:sz="4" w:space="0"/>
            </w:tcBorders>
            <w:vAlign w:val="center"/>
          </w:tcPr>
          <w:p w14:paraId="02ECBEF0">
            <w:pPr>
              <w:spacing w:line="276" w:lineRule="auto"/>
              <w:jc w:val="left"/>
              <w:rPr>
                <w:rFonts w:ascii="宋体" w:hAnsi="宋体" w:cs="宋体"/>
                <w:bCs/>
                <w:sz w:val="24"/>
                <w:szCs w:val="24"/>
              </w:rPr>
            </w:pPr>
            <w:r>
              <w:rPr>
                <w:rFonts w:hint="eastAsia" w:ascii="宋体" w:hAnsi="宋体" w:cs="宋体"/>
                <w:bCs/>
                <w:sz w:val="24"/>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7F275135">
            <w:pPr>
              <w:spacing w:line="276" w:lineRule="auto"/>
              <w:jc w:val="center"/>
              <w:rPr>
                <w:rFonts w:ascii="宋体" w:hAnsi="宋体"/>
                <w:b/>
                <w:szCs w:val="21"/>
              </w:rPr>
            </w:pPr>
          </w:p>
        </w:tc>
      </w:tr>
    </w:tbl>
    <w:p w14:paraId="066864FE">
      <w:pPr>
        <w:spacing w:line="440" w:lineRule="exact"/>
        <w:ind w:firstLine="2520" w:firstLineChars="1200"/>
        <w:jc w:val="left"/>
        <w:rPr>
          <w:rFonts w:ascii="宋体" w:hAnsi="宋体"/>
          <w:szCs w:val="21"/>
        </w:rPr>
      </w:pPr>
    </w:p>
    <w:p w14:paraId="5186F766">
      <w:pPr>
        <w:pStyle w:val="14"/>
        <w:tabs>
          <w:tab w:val="left" w:pos="7321"/>
        </w:tabs>
        <w:spacing w:before="36"/>
        <w:ind w:left="2701"/>
        <w:rPr>
          <w:rFonts w:ascii="宋体" w:hAnsi="宋体"/>
          <w:sz w:val="24"/>
          <w:szCs w:val="24"/>
        </w:rPr>
      </w:pPr>
      <w:r>
        <w:rPr>
          <w:rFonts w:hint="eastAsia" w:ascii="宋体" w:hAnsi="宋体"/>
          <w:sz w:val="24"/>
          <w:szCs w:val="24"/>
        </w:rPr>
        <w:t>投标人：</w:t>
      </w:r>
      <w:r>
        <w:rPr>
          <w:rFonts w:ascii="宋体" w:hAnsi="宋体"/>
          <w:sz w:val="24"/>
          <w:szCs w:val="24"/>
          <w:u w:val="single" w:color="000000"/>
        </w:rPr>
        <w:tab/>
      </w:r>
      <w:r>
        <w:rPr>
          <w:rFonts w:hint="eastAsia" w:ascii="宋体" w:hAnsi="宋体"/>
          <w:sz w:val="24"/>
          <w:szCs w:val="24"/>
        </w:rPr>
        <w:t>（盖单位章）</w:t>
      </w:r>
    </w:p>
    <w:p w14:paraId="3E4D1981">
      <w:pPr>
        <w:spacing w:before="13"/>
        <w:rPr>
          <w:rFonts w:ascii="宋体" w:hAnsi="宋体" w:cs="宋体"/>
          <w:sz w:val="24"/>
          <w:szCs w:val="24"/>
        </w:rPr>
      </w:pPr>
    </w:p>
    <w:p w14:paraId="0EDE731E">
      <w:pPr>
        <w:pStyle w:val="14"/>
        <w:tabs>
          <w:tab w:val="left" w:pos="6481"/>
        </w:tabs>
        <w:spacing w:before="36"/>
        <w:ind w:left="2701"/>
        <w:rPr>
          <w:rFonts w:ascii="宋体" w:hAnsi="宋体"/>
          <w:sz w:val="24"/>
          <w:szCs w:val="24"/>
        </w:rPr>
      </w:pPr>
      <w:r>
        <w:rPr>
          <w:rFonts w:hint="eastAsia" w:ascii="宋体" w:hAnsi="宋体"/>
          <w:spacing w:val="-2"/>
          <w:sz w:val="24"/>
          <w:szCs w:val="24"/>
        </w:rPr>
        <w:t>法定代表人或其委托代理人：</w:t>
      </w:r>
      <w:r>
        <w:rPr>
          <w:rFonts w:ascii="宋体" w:hAnsi="宋体"/>
          <w:spacing w:val="-2"/>
          <w:sz w:val="24"/>
          <w:szCs w:val="24"/>
          <w:u w:val="single" w:color="000000"/>
        </w:rPr>
        <w:tab/>
      </w:r>
      <w:r>
        <w:rPr>
          <w:rFonts w:hint="eastAsia" w:ascii="宋体" w:hAnsi="宋体"/>
          <w:spacing w:val="-1"/>
          <w:sz w:val="24"/>
          <w:szCs w:val="24"/>
        </w:rPr>
        <w:t>（签字或盖章）</w:t>
      </w:r>
    </w:p>
    <w:p w14:paraId="7D0FAC99">
      <w:pPr>
        <w:spacing w:before="10"/>
        <w:rPr>
          <w:rFonts w:ascii="宋体" w:hAnsi="宋体" w:cs="宋体"/>
          <w:sz w:val="24"/>
          <w:szCs w:val="24"/>
        </w:rPr>
      </w:pPr>
    </w:p>
    <w:p w14:paraId="71D51038">
      <w:pPr>
        <w:spacing w:line="440" w:lineRule="exact"/>
        <w:ind w:firstLine="5280" w:firstLineChars="2200"/>
        <w:rPr>
          <w:rFonts w:ascii="宋体" w:hAnsi="宋体"/>
          <w:sz w:val="24"/>
          <w:szCs w:val="24"/>
        </w:rPr>
      </w:pPr>
      <w:r>
        <w:rPr>
          <w:rFonts w:ascii="宋体" w:hAnsi="宋体"/>
          <w:sz w:val="24"/>
          <w:szCs w:val="24"/>
          <w:u w:val="single" w:color="000000"/>
        </w:rPr>
        <w:tab/>
      </w:r>
      <w:r>
        <w:rPr>
          <w:rFonts w:hint="eastAsia" w:ascii="宋体" w:hAnsi="宋体"/>
          <w:sz w:val="24"/>
          <w:szCs w:val="24"/>
        </w:rPr>
        <w:t>年</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月</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日</w:t>
      </w:r>
    </w:p>
    <w:p w14:paraId="1BC15FEE">
      <w:pPr>
        <w:spacing w:line="440" w:lineRule="exact"/>
        <w:ind w:firstLine="4620" w:firstLineChars="2200"/>
        <w:rPr>
          <w:rFonts w:ascii="宋体" w:hAnsi="宋体"/>
          <w:sz w:val="24"/>
        </w:rPr>
      </w:pPr>
      <w:r>
        <w:rPr>
          <w:rFonts w:ascii="宋体" w:hAnsi="宋体"/>
        </w:rPr>
        <w:br w:type="page"/>
      </w:r>
      <w:bookmarkEnd w:id="204"/>
      <w:bookmarkEnd w:id="205"/>
      <w:bookmarkEnd w:id="206"/>
      <w:bookmarkStart w:id="219" w:name="_Toc333829918"/>
      <w:bookmarkStart w:id="220" w:name="_Toc21863"/>
      <w:bookmarkStart w:id="221" w:name="_Toc374536213"/>
      <w:bookmarkStart w:id="222" w:name="_Toc390704765"/>
      <w:bookmarkStart w:id="223" w:name="_Toc533357330"/>
    </w:p>
    <w:bookmarkEnd w:id="200"/>
    <w:bookmarkEnd w:id="219"/>
    <w:bookmarkEnd w:id="220"/>
    <w:bookmarkEnd w:id="221"/>
    <w:bookmarkEnd w:id="222"/>
    <w:bookmarkEnd w:id="223"/>
    <w:p w14:paraId="3ED7963C">
      <w:pPr>
        <w:pStyle w:val="6"/>
      </w:pPr>
      <w:bookmarkStart w:id="224" w:name="_Toc12008"/>
      <w:bookmarkStart w:id="225" w:name="_Toc18328"/>
      <w:r>
        <w:rPr>
          <w:rFonts w:hint="eastAsia"/>
        </w:rPr>
        <w:t>二、法定代表人证明书及授权委托书</w:t>
      </w:r>
      <w:bookmarkEnd w:id="224"/>
      <w:bookmarkEnd w:id="225"/>
    </w:p>
    <w:p w14:paraId="0258891C">
      <w:pPr>
        <w:spacing w:before="156" w:beforeLines="50"/>
        <w:ind w:firstLine="482" w:firstLineChars="200"/>
        <w:jc w:val="center"/>
        <w:rPr>
          <w:rFonts w:ascii="宋体" w:hAnsi="宋体" w:cs="宋体"/>
          <w:b/>
          <w:sz w:val="24"/>
          <w:szCs w:val="24"/>
        </w:rPr>
      </w:pPr>
      <w:r>
        <w:rPr>
          <w:rFonts w:hint="eastAsia" w:ascii="宋体" w:hAnsi="宋体" w:cs="宋体"/>
          <w:b/>
          <w:sz w:val="24"/>
          <w:szCs w:val="24"/>
        </w:rPr>
        <w:t>法定代表人证明书</w:t>
      </w:r>
    </w:p>
    <w:p w14:paraId="2F51BF39">
      <w:pPr>
        <w:spacing w:line="360" w:lineRule="auto"/>
        <w:jc w:val="center"/>
        <w:rPr>
          <w:rFonts w:ascii="宋体" w:hAnsi="宋体"/>
          <w:sz w:val="30"/>
          <w:szCs w:val="30"/>
        </w:rPr>
      </w:pPr>
      <w:r>
        <w:rPr>
          <w:rFonts w:ascii="宋体" w:hAnsi="宋体"/>
          <w:sz w:val="30"/>
          <w:szCs w:val="30"/>
        </w:rPr>
        <mc:AlternateContent>
          <mc:Choice Requires="wpg">
            <w:drawing>
              <wp:inline distT="0" distB="0" distL="114300" distR="114300">
                <wp:extent cx="5800725" cy="2639060"/>
                <wp:effectExtent l="4445" t="4445" r="5080" b="23495"/>
                <wp:docPr id="3" name="组合 4"/>
                <wp:cNvGraphicFramePr/>
                <a:graphic xmlns:a="http://schemas.openxmlformats.org/drawingml/2006/main">
                  <a:graphicData uri="http://schemas.microsoft.com/office/word/2010/wordprocessingGroup">
                    <wpg:wgp>
                      <wpg:cNvGrpSpPr/>
                      <wpg:grpSpPr>
                        <a:xfrm>
                          <a:off x="0" y="0"/>
                          <a:ext cx="5800725" cy="2639060"/>
                          <a:chOff x="0" y="0"/>
                          <a:chExt cx="7140" cy="3468"/>
                        </a:xfrm>
                        <a:effectLst/>
                      </wpg:grpSpPr>
                      <wps:wsp>
                        <wps:cNvPr id="4"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14:paraId="6AAAFF0C">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3B3A21DD">
                              <w:pPr>
                                <w:snapToGrid w:val="0"/>
                                <w:spacing w:line="480" w:lineRule="atLeast"/>
                                <w:rPr>
                                  <w:sz w:val="24"/>
                                  <w:szCs w:val="24"/>
                                </w:rPr>
                              </w:pPr>
                              <w:r>
                                <w:rPr>
                                  <w:rFonts w:hint="eastAsia" w:cs="宋体"/>
                                  <w:sz w:val="24"/>
                                  <w:szCs w:val="24"/>
                                </w:rPr>
                                <w:t>特此证明。</w:t>
                              </w:r>
                            </w:p>
                            <w:p w14:paraId="29816A9B">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C9C28D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3D78C87">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A700ED4">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0A61F3D2">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AD2EAF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组合 4"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MwlbfDXAAAABQEAAA8AAAAAAAAAAQAg&#10;AAAAIgAAAGRycy9kb3ducmV2LnhtbFBLAQIUABQAAAAIAIdO4kCQbc2W8wIAAB4IAAAOAAAAAAAA&#10;AAEAIAAAACYBAABkcnMvZTJvRG9jLnhtbFBLBQYAAAAABgAGAFkBAACL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AAAFF0C">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3B3A21DD">
                        <w:pPr>
                          <w:snapToGrid w:val="0"/>
                          <w:spacing w:line="480" w:lineRule="atLeast"/>
                          <w:rPr>
                            <w:sz w:val="24"/>
                            <w:szCs w:val="24"/>
                          </w:rPr>
                        </w:pPr>
                        <w:r>
                          <w:rPr>
                            <w:rFonts w:hint="eastAsia" w:cs="宋体"/>
                            <w:sz w:val="24"/>
                            <w:szCs w:val="24"/>
                          </w:rPr>
                          <w:t>特此证明。</w:t>
                        </w:r>
                      </w:p>
                      <w:p w14:paraId="29816A9B">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C9C28D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3D78C87">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A700ED4">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0A61F3D2">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AD2EAF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5EBDBEF7">
      <w:pPr>
        <w:spacing w:line="360" w:lineRule="auto"/>
        <w:ind w:firstLine="484" w:firstLineChars="202"/>
        <w:rPr>
          <w:rFonts w:ascii="宋体" w:hAnsi="宋体" w:cs="宋体"/>
          <w:sz w:val="24"/>
          <w:szCs w:val="24"/>
        </w:rPr>
      </w:pPr>
      <w:r>
        <w:rPr>
          <w:rFonts w:hint="eastAsia" w:ascii="宋体" w:hAnsi="宋体" w:cs="宋体"/>
          <w:sz w:val="24"/>
          <w:szCs w:val="24"/>
        </w:rPr>
        <w:t>注：按提供的该表格格式填写，或使用工商管理部门的格式填写。联合体投标的，本证明书由联合体牵头方出具。</w:t>
      </w:r>
    </w:p>
    <w:p w14:paraId="23C22D72">
      <w:pPr>
        <w:spacing w:line="360" w:lineRule="auto"/>
        <w:rPr>
          <w:rFonts w:ascii="宋体" w:hAnsi="宋体" w:cs="宋体"/>
          <w:sz w:val="24"/>
          <w:szCs w:val="24"/>
        </w:rPr>
      </w:pPr>
    </w:p>
    <w:p w14:paraId="13AA1D21">
      <w:pPr>
        <w:spacing w:before="156" w:beforeLines="50"/>
        <w:ind w:firstLine="482" w:firstLineChars="200"/>
        <w:jc w:val="center"/>
        <w:rPr>
          <w:rFonts w:ascii="宋体" w:hAnsi="宋体" w:cs="宋体"/>
          <w:b/>
          <w:sz w:val="24"/>
          <w:szCs w:val="24"/>
        </w:rPr>
      </w:pPr>
    </w:p>
    <w:p w14:paraId="3757AF11">
      <w:pPr>
        <w:spacing w:before="156" w:beforeLines="50"/>
        <w:ind w:firstLine="482" w:firstLineChars="200"/>
        <w:jc w:val="center"/>
        <w:rPr>
          <w:rFonts w:ascii="宋体" w:hAnsi="宋体" w:cs="宋体"/>
          <w:b/>
          <w:sz w:val="24"/>
          <w:szCs w:val="24"/>
        </w:rPr>
      </w:pPr>
      <w:r>
        <w:rPr>
          <w:rFonts w:hint="eastAsia" w:ascii="宋体" w:hAnsi="宋体" w:cs="宋体"/>
          <w:b/>
          <w:sz w:val="24"/>
          <w:szCs w:val="24"/>
        </w:rPr>
        <w:t>授权委托书</w:t>
      </w:r>
      <w:bookmarkEnd w:id="0"/>
      <w:bookmarkEnd w:id="1"/>
      <w:bookmarkEnd w:id="2"/>
    </w:p>
    <w:p w14:paraId="0DDC86A4">
      <w:pPr>
        <w:widowControl/>
        <w:spacing w:before="260" w:after="260"/>
        <w:ind w:right="1542"/>
        <w:jc w:val="center"/>
        <w:rPr>
          <w:rFonts w:ascii="宋体" w:hAnsi="宋体" w:cs="宋体"/>
          <w:b/>
          <w:bCs/>
          <w:kern w:val="0"/>
          <w:sz w:val="32"/>
          <w:szCs w:val="32"/>
        </w:rPr>
      </w:pPr>
      <w:r>
        <w:rPr>
          <w:rFonts w:ascii="宋体" w:hAnsi="宋体" w:cs="宋体"/>
          <w:b/>
          <w:bCs/>
          <w:kern w:val="0"/>
          <w:sz w:val="32"/>
          <w:szCs w:val="32"/>
        </w:rPr>
        <mc:AlternateContent>
          <mc:Choice Requires="wps">
            <w:drawing>
              <wp:inline distT="0" distB="0" distL="114300" distR="114300">
                <wp:extent cx="6129020" cy="2946400"/>
                <wp:effectExtent l="4445" t="4445" r="19685" b="2095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a:effectLst/>
                      </wps:spPr>
                      <wps:txbx>
                        <w:txbxContent>
                          <w:p w14:paraId="68A3A84E">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3997187E">
                            <w:pPr>
                              <w:snapToGrid w:val="0"/>
                              <w:spacing w:line="480" w:lineRule="atLeast"/>
                              <w:rPr>
                                <w:sz w:val="24"/>
                                <w:szCs w:val="24"/>
                                <w:u w:val="single"/>
                              </w:rPr>
                            </w:pPr>
                            <w:r>
                              <w:rPr>
                                <w:sz w:val="24"/>
                                <w:szCs w:val="24"/>
                                <w:u w:val="single"/>
                              </w:rPr>
                              <w:t xml:space="preserve">                                                                        </w:t>
                            </w:r>
                          </w:p>
                          <w:p w14:paraId="7D83E80A">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20C39A2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4FF297D">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5B01368E">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68FE9BAC">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58D75004">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64D7F54">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vuH0XXAAAABQEAAA8AAAAA&#10;AAAAAQAgAAAAIgAAAGRycy9kb3ducmV2LnhtbFBLAQIUABQAAAAIAIdO4kB8WvUZTgIAAKEEAAAO&#10;AAAAAAAAAAEAIAAAACYBAABkcnMvZTJvRG9jLnhtbFBLBQYAAAAABgAGAFkBAADmBQAAAAA=&#10;">
                <v:fill on="t" focussize="0,0"/>
                <v:stroke color="#000000" miterlimit="8" joinstyle="miter"/>
                <v:imagedata o:title=""/>
                <o:lock v:ext="edit" aspectratio="f"/>
                <v:textbox>
                  <w:txbxContent>
                    <w:p w14:paraId="68A3A84E">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3997187E">
                      <w:pPr>
                        <w:snapToGrid w:val="0"/>
                        <w:spacing w:line="480" w:lineRule="atLeast"/>
                        <w:rPr>
                          <w:sz w:val="24"/>
                          <w:szCs w:val="24"/>
                          <w:u w:val="single"/>
                        </w:rPr>
                      </w:pPr>
                      <w:r>
                        <w:rPr>
                          <w:sz w:val="24"/>
                          <w:szCs w:val="24"/>
                          <w:u w:val="single"/>
                        </w:rPr>
                        <w:t xml:space="preserve">                                                                        </w:t>
                      </w:r>
                    </w:p>
                    <w:p w14:paraId="7D83E80A">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20C39A2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4FF297D">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5B01368E">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68FE9BAC">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58D75004">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64D7F54">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2ADAF67F">
      <w:pPr>
        <w:spacing w:line="360" w:lineRule="auto"/>
        <w:rPr>
          <w:rFonts w:ascii="宋体" w:hAnsi="宋体" w:cs="宋体"/>
          <w:sz w:val="24"/>
          <w:szCs w:val="24"/>
        </w:rPr>
      </w:pPr>
      <w:r>
        <w:rPr>
          <w:rFonts w:hint="eastAsia" w:ascii="宋体" w:hAnsi="宋体" w:cs="宋体"/>
          <w:sz w:val="24"/>
          <w:szCs w:val="24"/>
        </w:rPr>
        <w:t>注：按提供的该表格格式填写，或使用工商管理部门的格式填写。联合体投标的，本授权书由联合体牵头方出具，并由联合体牵头方签字、盖章即可。</w:t>
      </w:r>
    </w:p>
    <w:p w14:paraId="3C98CF39">
      <w:pPr>
        <w:spacing w:line="360" w:lineRule="auto"/>
        <w:rPr>
          <w:rFonts w:ascii="宋体" w:hAnsi="宋体"/>
        </w:rPr>
      </w:pPr>
      <w:r>
        <w:br w:type="page"/>
      </w:r>
    </w:p>
    <w:p w14:paraId="1911F454">
      <w:pPr>
        <w:pStyle w:val="6"/>
      </w:pPr>
      <w:bookmarkStart w:id="226" w:name="_Toc533357333"/>
      <w:bookmarkStart w:id="227" w:name="_Toc18058"/>
      <w:bookmarkStart w:id="228" w:name="_Toc22752"/>
      <w:bookmarkStart w:id="229" w:name="_Toc11199"/>
      <w:r>
        <w:rPr>
          <w:rFonts w:hint="eastAsia"/>
          <w:lang w:val="en-US" w:eastAsia="zh-CN"/>
        </w:rPr>
        <w:t>三</w:t>
      </w:r>
      <w:r>
        <w:rPr>
          <w:rFonts w:hint="eastAsia"/>
          <w:szCs w:val="32"/>
        </w:rPr>
        <w:t>、</w:t>
      </w:r>
      <w:r>
        <w:rPr>
          <w:rFonts w:hint="eastAsia"/>
        </w:rPr>
        <w:t>投</w:t>
      </w:r>
      <w:r>
        <w:rPr>
          <w:rFonts w:hint="eastAsia"/>
          <w:szCs w:val="22"/>
        </w:rPr>
        <w:t>标</w:t>
      </w:r>
      <w:r>
        <w:rPr>
          <w:rFonts w:hint="eastAsia"/>
        </w:rPr>
        <w:t>报价书</w:t>
      </w:r>
      <w:bookmarkEnd w:id="226"/>
      <w:bookmarkEnd w:id="227"/>
      <w:bookmarkEnd w:id="228"/>
      <w:bookmarkEnd w:id="229"/>
    </w:p>
    <w:p w14:paraId="0200AEBF">
      <w:pPr>
        <w:spacing w:line="500" w:lineRule="exact"/>
        <w:jc w:val="center"/>
        <w:rPr>
          <w:rFonts w:ascii="宋体" w:hAnsi="宋体"/>
          <w:b/>
          <w:bCs/>
          <w:sz w:val="30"/>
        </w:rPr>
      </w:pPr>
      <w:r>
        <w:rPr>
          <w:rFonts w:hint="eastAsia" w:ascii="宋体" w:hAnsi="宋体"/>
          <w:b/>
          <w:bCs/>
          <w:sz w:val="30"/>
        </w:rPr>
        <w:t xml:space="preserve"> </w:t>
      </w:r>
    </w:p>
    <w:p w14:paraId="67288DD9">
      <w:pPr>
        <w:spacing w:line="600" w:lineRule="exact"/>
        <w:jc w:val="center"/>
        <w:rPr>
          <w:rFonts w:ascii="宋体" w:hAnsi="宋体"/>
          <w:b/>
          <w:bCs/>
          <w:sz w:val="52"/>
        </w:rPr>
      </w:pPr>
      <w:r>
        <w:rPr>
          <w:rFonts w:hint="eastAsia" w:ascii="宋体" w:hAnsi="宋体"/>
          <w:b/>
          <w:bCs/>
          <w:sz w:val="52"/>
        </w:rPr>
        <w:t>粤港澳大湾区国际智能检测产业园一期项目检验监测</w:t>
      </w:r>
    </w:p>
    <w:p w14:paraId="64188BD9">
      <w:pPr>
        <w:spacing w:line="600" w:lineRule="exact"/>
        <w:jc w:val="center"/>
        <w:rPr>
          <w:rFonts w:ascii="宋体" w:hAnsi="宋体"/>
          <w:b/>
          <w:bCs/>
          <w:sz w:val="52"/>
        </w:rPr>
      </w:pPr>
    </w:p>
    <w:p w14:paraId="6F6A9A22">
      <w:pPr>
        <w:spacing w:line="500" w:lineRule="exact"/>
        <w:jc w:val="center"/>
        <w:rPr>
          <w:rFonts w:ascii="宋体" w:hAnsi="宋体"/>
          <w:b/>
          <w:bCs/>
          <w:sz w:val="30"/>
        </w:rPr>
      </w:pPr>
    </w:p>
    <w:p w14:paraId="5A65881C">
      <w:pPr>
        <w:spacing w:line="500" w:lineRule="exact"/>
        <w:jc w:val="center"/>
        <w:rPr>
          <w:rFonts w:ascii="宋体" w:hAnsi="宋体"/>
          <w:b/>
          <w:bCs/>
          <w:sz w:val="30"/>
        </w:rPr>
      </w:pPr>
    </w:p>
    <w:p w14:paraId="0C448D80">
      <w:pPr>
        <w:spacing w:line="500" w:lineRule="exact"/>
        <w:jc w:val="center"/>
        <w:rPr>
          <w:rFonts w:ascii="宋体" w:hAnsi="宋体"/>
          <w:b/>
          <w:bCs/>
          <w:sz w:val="30"/>
        </w:rPr>
      </w:pPr>
    </w:p>
    <w:p w14:paraId="59172709">
      <w:pPr>
        <w:spacing w:line="600" w:lineRule="exact"/>
        <w:jc w:val="center"/>
        <w:rPr>
          <w:rFonts w:ascii="宋体" w:hAnsi="宋体"/>
          <w:b/>
          <w:bCs/>
          <w:sz w:val="52"/>
        </w:rPr>
      </w:pPr>
      <w:r>
        <w:rPr>
          <w:rFonts w:hint="eastAsia" w:ascii="宋体" w:hAnsi="宋体"/>
          <w:b/>
          <w:bCs/>
          <w:sz w:val="52"/>
        </w:rPr>
        <w:t>报</w:t>
      </w:r>
      <w:r>
        <w:rPr>
          <w:rFonts w:ascii="宋体" w:hAnsi="宋体"/>
          <w:b/>
          <w:bCs/>
          <w:sz w:val="52"/>
        </w:rPr>
        <w:t xml:space="preserve">  </w:t>
      </w:r>
      <w:r>
        <w:rPr>
          <w:rFonts w:hint="eastAsia" w:ascii="宋体" w:hAnsi="宋体"/>
          <w:b/>
          <w:bCs/>
          <w:sz w:val="52"/>
        </w:rPr>
        <w:t>价</w:t>
      </w:r>
      <w:r>
        <w:rPr>
          <w:rFonts w:ascii="宋体" w:hAnsi="宋体"/>
          <w:b/>
          <w:bCs/>
          <w:sz w:val="52"/>
        </w:rPr>
        <w:t xml:space="preserve">  </w:t>
      </w:r>
      <w:r>
        <w:rPr>
          <w:rFonts w:hint="eastAsia" w:ascii="宋体" w:hAnsi="宋体"/>
          <w:b/>
          <w:bCs/>
          <w:sz w:val="52"/>
        </w:rPr>
        <w:t>书</w:t>
      </w:r>
    </w:p>
    <w:p w14:paraId="44EAEE33">
      <w:pPr>
        <w:spacing w:line="500" w:lineRule="exact"/>
        <w:jc w:val="center"/>
        <w:rPr>
          <w:rFonts w:ascii="宋体" w:hAnsi="宋体"/>
          <w:b/>
          <w:bCs/>
          <w:sz w:val="30"/>
        </w:rPr>
      </w:pPr>
    </w:p>
    <w:p w14:paraId="6AF4B057">
      <w:pPr>
        <w:spacing w:line="500" w:lineRule="exact"/>
        <w:jc w:val="center"/>
        <w:rPr>
          <w:rFonts w:ascii="宋体" w:hAnsi="宋体"/>
          <w:b/>
          <w:bCs/>
          <w:sz w:val="30"/>
        </w:rPr>
      </w:pPr>
    </w:p>
    <w:p w14:paraId="3C3008EC">
      <w:pPr>
        <w:spacing w:line="500" w:lineRule="exact"/>
        <w:jc w:val="center"/>
        <w:rPr>
          <w:rFonts w:ascii="宋体" w:hAnsi="宋体"/>
          <w:b/>
          <w:bCs/>
          <w:sz w:val="30"/>
        </w:rPr>
      </w:pPr>
    </w:p>
    <w:p w14:paraId="5629E366">
      <w:pPr>
        <w:spacing w:line="500" w:lineRule="exact"/>
        <w:jc w:val="center"/>
        <w:rPr>
          <w:rFonts w:ascii="宋体" w:hAnsi="宋体"/>
          <w:b/>
          <w:bCs/>
          <w:sz w:val="30"/>
        </w:rPr>
      </w:pPr>
    </w:p>
    <w:p w14:paraId="3F1EF997">
      <w:pPr>
        <w:spacing w:line="500" w:lineRule="exact"/>
        <w:jc w:val="center"/>
        <w:rPr>
          <w:rFonts w:ascii="宋体" w:hAnsi="宋体"/>
          <w:b/>
          <w:bCs/>
          <w:sz w:val="30"/>
        </w:rPr>
      </w:pPr>
    </w:p>
    <w:p w14:paraId="2591F52E">
      <w:pPr>
        <w:spacing w:line="500" w:lineRule="exact"/>
        <w:jc w:val="center"/>
        <w:rPr>
          <w:rFonts w:ascii="宋体" w:hAnsi="宋体"/>
          <w:b/>
          <w:bCs/>
          <w:sz w:val="30"/>
        </w:rPr>
      </w:pPr>
    </w:p>
    <w:p w14:paraId="43AEA0EA">
      <w:pPr>
        <w:spacing w:line="500" w:lineRule="exact"/>
        <w:rPr>
          <w:rFonts w:ascii="宋体" w:hAnsi="宋体"/>
          <w:b/>
          <w:bCs/>
          <w:sz w:val="30"/>
        </w:rPr>
      </w:pPr>
    </w:p>
    <w:p w14:paraId="76007DE3">
      <w:pPr>
        <w:spacing w:line="500" w:lineRule="exact"/>
        <w:ind w:firstLine="2125" w:firstLineChars="756"/>
        <w:rPr>
          <w:rFonts w:ascii="宋体" w:hAnsi="宋体"/>
          <w:b/>
          <w:bCs/>
          <w:sz w:val="28"/>
        </w:rPr>
      </w:pPr>
      <w:r>
        <w:rPr>
          <w:rFonts w:hint="eastAsia" w:ascii="宋体" w:hAnsi="宋体"/>
          <w:b/>
          <w:bCs/>
          <w:sz w:val="28"/>
        </w:rPr>
        <w:t>投标人：（公章）</w:t>
      </w:r>
      <w:r>
        <w:rPr>
          <w:rFonts w:ascii="宋体" w:hAnsi="宋体"/>
          <w:b/>
          <w:bCs/>
          <w:sz w:val="28"/>
        </w:rPr>
        <w:t xml:space="preserve"> </w:t>
      </w:r>
    </w:p>
    <w:p w14:paraId="2A61D76C">
      <w:pPr>
        <w:spacing w:line="500" w:lineRule="exact"/>
        <w:ind w:firstLine="2125" w:firstLineChars="756"/>
        <w:jc w:val="left"/>
        <w:rPr>
          <w:rFonts w:ascii="宋体" w:hAnsi="宋体"/>
          <w:b/>
          <w:bCs/>
          <w:sz w:val="28"/>
        </w:rPr>
      </w:pPr>
      <w:r>
        <w:rPr>
          <w:rFonts w:hint="eastAsia" w:ascii="宋体" w:hAnsi="宋体"/>
          <w:b/>
          <w:bCs/>
          <w:sz w:val="28"/>
        </w:rPr>
        <w:t>法定代表人(签字或盖章)：</w:t>
      </w:r>
    </w:p>
    <w:p w14:paraId="78918825">
      <w:pPr>
        <w:spacing w:line="500" w:lineRule="exact"/>
        <w:jc w:val="center"/>
        <w:rPr>
          <w:rFonts w:ascii="宋体" w:hAnsi="宋体"/>
          <w:b/>
          <w:bCs/>
          <w:sz w:val="28"/>
        </w:rPr>
      </w:pPr>
      <w:r>
        <w:rPr>
          <w:rFonts w:hint="eastAsia" w:ascii="宋体" w:hAnsi="宋体"/>
          <w:b/>
          <w:bCs/>
          <w:sz w:val="28"/>
        </w:rPr>
        <w:t>年</w:t>
      </w:r>
      <w:r>
        <w:rPr>
          <w:rFonts w:ascii="宋体" w:hAnsi="宋体"/>
          <w:b/>
          <w:bCs/>
          <w:sz w:val="28"/>
        </w:rPr>
        <w:t xml:space="preserve">   </w:t>
      </w:r>
      <w:r>
        <w:rPr>
          <w:rFonts w:hint="eastAsia" w:ascii="宋体" w:hAnsi="宋体"/>
          <w:b/>
          <w:bCs/>
          <w:sz w:val="28"/>
        </w:rPr>
        <w:t>月</w:t>
      </w:r>
      <w:r>
        <w:rPr>
          <w:rFonts w:ascii="宋体" w:hAnsi="宋体"/>
          <w:b/>
          <w:bCs/>
          <w:sz w:val="28"/>
        </w:rPr>
        <w:t xml:space="preserve">   </w:t>
      </w:r>
      <w:r>
        <w:rPr>
          <w:rFonts w:hint="eastAsia" w:ascii="宋体" w:hAnsi="宋体"/>
          <w:b/>
          <w:bCs/>
          <w:sz w:val="28"/>
        </w:rPr>
        <w:t>日</w:t>
      </w:r>
    </w:p>
    <w:p w14:paraId="388781AB">
      <w:pPr>
        <w:spacing w:line="500" w:lineRule="exact"/>
        <w:jc w:val="center"/>
        <w:rPr>
          <w:rFonts w:ascii="宋体" w:hAnsi="宋体"/>
          <w:b/>
          <w:bCs/>
          <w:sz w:val="30"/>
        </w:rPr>
      </w:pPr>
    </w:p>
    <w:p w14:paraId="15D80F5C">
      <w:pPr>
        <w:spacing w:line="500" w:lineRule="exact"/>
        <w:jc w:val="center"/>
        <w:rPr>
          <w:rFonts w:ascii="宋体" w:hAnsi="宋体"/>
          <w:b/>
          <w:bCs/>
          <w:sz w:val="30"/>
        </w:rPr>
      </w:pPr>
    </w:p>
    <w:p w14:paraId="19EA6299">
      <w:pPr>
        <w:spacing w:line="500" w:lineRule="exact"/>
        <w:rPr>
          <w:rFonts w:ascii="宋体" w:hAnsi="宋体"/>
          <w:szCs w:val="21"/>
        </w:rPr>
        <w:sectPr>
          <w:headerReference r:id="rId8" w:type="default"/>
          <w:footerReference r:id="rId9" w:type="default"/>
          <w:pgSz w:w="11906" w:h="16838"/>
          <w:pgMar w:top="1440" w:right="1080" w:bottom="1440" w:left="1080" w:header="851" w:footer="1021" w:gutter="0"/>
          <w:cols w:space="720" w:num="1"/>
          <w:docGrid w:type="lines" w:linePitch="312" w:charSpace="0"/>
        </w:sectPr>
      </w:pPr>
    </w:p>
    <w:p w14:paraId="10E0794C">
      <w:pPr>
        <w:tabs>
          <w:tab w:val="left" w:pos="5560"/>
          <w:tab w:val="left" w:pos="6940"/>
        </w:tabs>
        <w:spacing w:line="480" w:lineRule="auto"/>
        <w:ind w:right="85"/>
        <w:jc w:val="center"/>
        <w:rPr>
          <w:rFonts w:ascii="宋体" w:hAnsi="宋体"/>
          <w:b/>
          <w:sz w:val="32"/>
          <w:szCs w:val="28"/>
        </w:rPr>
      </w:pPr>
      <w:r>
        <w:rPr>
          <w:rFonts w:hint="eastAsia" w:ascii="宋体" w:hAnsi="宋体"/>
          <w:b/>
          <w:sz w:val="32"/>
          <w:szCs w:val="28"/>
        </w:rPr>
        <w:t>投标报价汇总表</w:t>
      </w:r>
    </w:p>
    <w:p w14:paraId="2C1310C9">
      <w:pPr>
        <w:pStyle w:val="28"/>
        <w:rPr>
          <w:rFonts w:ascii="Calibri" w:hAnsi="Calibri"/>
        </w:rPr>
      </w:pPr>
    </w:p>
    <w:tbl>
      <w:tblPr>
        <w:tblStyle w:val="2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3947"/>
        <w:gridCol w:w="2109"/>
        <w:gridCol w:w="1603"/>
        <w:gridCol w:w="1203"/>
      </w:tblGrid>
      <w:tr w14:paraId="2F0D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48" w:type="pct"/>
            <w:vAlign w:val="center"/>
          </w:tcPr>
          <w:p w14:paraId="70A8544E">
            <w:pPr>
              <w:jc w:val="center"/>
              <w:rPr>
                <w:rFonts w:ascii="宋体" w:hAnsi="宋体"/>
                <w:b/>
                <w:sz w:val="24"/>
              </w:rPr>
            </w:pPr>
            <w:r>
              <w:rPr>
                <w:rFonts w:hint="eastAsia" w:ascii="宋体" w:hAnsi="宋体"/>
                <w:b/>
                <w:sz w:val="24"/>
              </w:rPr>
              <w:t>序号</w:t>
            </w:r>
          </w:p>
        </w:tc>
        <w:tc>
          <w:tcPr>
            <w:tcW w:w="1982" w:type="pct"/>
            <w:vAlign w:val="center"/>
          </w:tcPr>
          <w:p w14:paraId="42AE6C6A">
            <w:pPr>
              <w:jc w:val="center"/>
              <w:rPr>
                <w:rFonts w:ascii="宋体" w:hAnsi="宋体" w:cs="华文楷体"/>
                <w:b/>
                <w:kern w:val="0"/>
                <w:sz w:val="24"/>
                <w:szCs w:val="24"/>
              </w:rPr>
            </w:pPr>
            <w:r>
              <w:rPr>
                <w:rFonts w:hint="eastAsia" w:ascii="宋体" w:hAnsi="宋体"/>
                <w:b/>
                <w:sz w:val="24"/>
              </w:rPr>
              <w:t>项目名称</w:t>
            </w:r>
          </w:p>
        </w:tc>
        <w:tc>
          <w:tcPr>
            <w:tcW w:w="1059" w:type="pct"/>
          </w:tcPr>
          <w:p w14:paraId="5B3C921C">
            <w:pPr>
              <w:jc w:val="center"/>
              <w:rPr>
                <w:rFonts w:ascii="宋体" w:hAnsi="宋体" w:cs="华文楷体"/>
                <w:b/>
                <w:kern w:val="0"/>
                <w:sz w:val="24"/>
                <w:szCs w:val="24"/>
              </w:rPr>
            </w:pPr>
          </w:p>
          <w:p w14:paraId="16068D1E">
            <w:pPr>
              <w:jc w:val="center"/>
              <w:rPr>
                <w:rFonts w:ascii="宋体" w:hAnsi="宋体" w:cs="华文楷体"/>
                <w:b/>
                <w:kern w:val="0"/>
                <w:sz w:val="24"/>
                <w:szCs w:val="24"/>
              </w:rPr>
            </w:pPr>
            <w:r>
              <w:rPr>
                <w:rFonts w:hint="eastAsia" w:ascii="宋体" w:hAnsi="宋体" w:cs="华文楷体"/>
                <w:b/>
                <w:kern w:val="0"/>
                <w:sz w:val="24"/>
                <w:szCs w:val="24"/>
              </w:rPr>
              <w:t>投标报价</w:t>
            </w:r>
          </w:p>
          <w:p w14:paraId="2AED58A6">
            <w:pPr>
              <w:jc w:val="center"/>
              <w:rPr>
                <w:rFonts w:ascii="宋体" w:hAnsi="宋体" w:cs="华文楷体"/>
                <w:b/>
                <w:kern w:val="0"/>
                <w:sz w:val="24"/>
                <w:szCs w:val="24"/>
              </w:rPr>
            </w:pPr>
            <w:r>
              <w:rPr>
                <w:rFonts w:hint="eastAsia" w:ascii="宋体" w:hAnsi="宋体" w:cs="华文楷体"/>
                <w:b/>
                <w:kern w:val="0"/>
                <w:sz w:val="24"/>
                <w:szCs w:val="24"/>
              </w:rPr>
              <w:t>（元）</w:t>
            </w:r>
          </w:p>
        </w:tc>
        <w:tc>
          <w:tcPr>
            <w:tcW w:w="805" w:type="pct"/>
            <w:vAlign w:val="center"/>
          </w:tcPr>
          <w:p w14:paraId="16673868">
            <w:pPr>
              <w:jc w:val="center"/>
              <w:rPr>
                <w:rFonts w:ascii="宋体" w:hAnsi="宋体" w:cs="华文楷体"/>
                <w:b/>
                <w:kern w:val="0"/>
                <w:sz w:val="24"/>
                <w:szCs w:val="24"/>
              </w:rPr>
            </w:pPr>
            <w:r>
              <w:rPr>
                <w:rFonts w:hint="eastAsia" w:ascii="宋体" w:hAnsi="宋体" w:cs="华文楷体"/>
                <w:b/>
                <w:kern w:val="0"/>
                <w:sz w:val="24"/>
                <w:szCs w:val="24"/>
              </w:rPr>
              <w:t>投标下浮率</w:t>
            </w:r>
          </w:p>
          <w:p w14:paraId="183DE8DC">
            <w:pPr>
              <w:jc w:val="center"/>
              <w:rPr>
                <w:rFonts w:ascii="宋体" w:hAnsi="宋体" w:cs="华文楷体"/>
                <w:b/>
                <w:kern w:val="0"/>
                <w:sz w:val="24"/>
                <w:szCs w:val="24"/>
              </w:rPr>
            </w:pPr>
            <w:r>
              <w:rPr>
                <w:rFonts w:hint="eastAsia" w:ascii="宋体" w:hAnsi="宋体" w:cs="华文楷体"/>
                <w:b/>
                <w:kern w:val="0"/>
                <w:sz w:val="24"/>
                <w:szCs w:val="24"/>
              </w:rPr>
              <w:t>（%）</w:t>
            </w:r>
          </w:p>
        </w:tc>
        <w:tc>
          <w:tcPr>
            <w:tcW w:w="604" w:type="pct"/>
            <w:vAlign w:val="center"/>
          </w:tcPr>
          <w:p w14:paraId="36A1E4A8">
            <w:pPr>
              <w:jc w:val="center"/>
              <w:rPr>
                <w:rFonts w:ascii="宋体" w:hAnsi="宋体" w:cs="华文楷体"/>
                <w:b/>
                <w:kern w:val="0"/>
                <w:sz w:val="24"/>
                <w:szCs w:val="24"/>
              </w:rPr>
            </w:pPr>
            <w:r>
              <w:rPr>
                <w:rFonts w:hint="eastAsia" w:ascii="宋体" w:hAnsi="宋体" w:cs="华文楷体"/>
                <w:b/>
                <w:kern w:val="0"/>
                <w:sz w:val="24"/>
                <w:szCs w:val="24"/>
              </w:rPr>
              <w:t>备注</w:t>
            </w:r>
          </w:p>
        </w:tc>
      </w:tr>
      <w:tr w14:paraId="3FB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48" w:type="pct"/>
            <w:vAlign w:val="center"/>
          </w:tcPr>
          <w:p w14:paraId="360D2637">
            <w:pPr>
              <w:jc w:val="center"/>
              <w:rPr>
                <w:rFonts w:ascii="宋体" w:hAnsi="宋体" w:cs="华文楷体"/>
                <w:bCs/>
                <w:kern w:val="0"/>
                <w:sz w:val="24"/>
                <w:szCs w:val="24"/>
              </w:rPr>
            </w:pPr>
            <w:r>
              <w:rPr>
                <w:rFonts w:hint="eastAsia" w:ascii="宋体" w:hAnsi="宋体" w:cs="华文楷体"/>
                <w:bCs/>
                <w:kern w:val="0"/>
                <w:sz w:val="24"/>
                <w:szCs w:val="24"/>
              </w:rPr>
              <w:t>1</w:t>
            </w:r>
          </w:p>
        </w:tc>
        <w:tc>
          <w:tcPr>
            <w:tcW w:w="1982" w:type="pct"/>
            <w:vAlign w:val="center"/>
          </w:tcPr>
          <w:p w14:paraId="00D5B366">
            <w:pPr>
              <w:jc w:val="center"/>
              <w:rPr>
                <w:rFonts w:ascii="宋体" w:hAnsi="宋体" w:cs="华文楷体"/>
                <w:bCs/>
                <w:kern w:val="0"/>
                <w:sz w:val="24"/>
                <w:szCs w:val="24"/>
              </w:rPr>
            </w:pPr>
            <w:r>
              <w:rPr>
                <w:rFonts w:hint="eastAsia" w:ascii="宋体" w:hAnsi="宋体"/>
                <w:bCs/>
                <w:sz w:val="24"/>
              </w:rPr>
              <w:t>粤港澳大湾区国际智能检测产业园一期项目检验监测</w:t>
            </w:r>
          </w:p>
        </w:tc>
        <w:tc>
          <w:tcPr>
            <w:tcW w:w="1059" w:type="pct"/>
            <w:vAlign w:val="center"/>
          </w:tcPr>
          <w:p w14:paraId="1E4320AD">
            <w:pPr>
              <w:widowControl/>
              <w:jc w:val="center"/>
              <w:textAlignment w:val="center"/>
              <w:rPr>
                <w:rFonts w:ascii="宋体" w:hAnsi="宋体" w:cs="华文楷体"/>
                <w:b/>
                <w:kern w:val="0"/>
                <w:sz w:val="24"/>
                <w:szCs w:val="24"/>
              </w:rPr>
            </w:pPr>
          </w:p>
        </w:tc>
        <w:tc>
          <w:tcPr>
            <w:tcW w:w="805" w:type="pct"/>
            <w:vAlign w:val="center"/>
          </w:tcPr>
          <w:p w14:paraId="4DFBB820">
            <w:pPr>
              <w:jc w:val="center"/>
              <w:rPr>
                <w:rFonts w:ascii="宋体" w:hAnsi="宋体" w:cs="华文楷体"/>
                <w:b/>
                <w:kern w:val="0"/>
                <w:sz w:val="24"/>
                <w:szCs w:val="24"/>
              </w:rPr>
            </w:pPr>
          </w:p>
        </w:tc>
        <w:tc>
          <w:tcPr>
            <w:tcW w:w="604" w:type="pct"/>
            <w:vAlign w:val="center"/>
          </w:tcPr>
          <w:p w14:paraId="41E328BB">
            <w:pPr>
              <w:jc w:val="center"/>
              <w:rPr>
                <w:rFonts w:ascii="宋体" w:hAnsi="宋体" w:cs="华文楷体"/>
                <w:b/>
                <w:kern w:val="0"/>
                <w:sz w:val="24"/>
                <w:szCs w:val="24"/>
              </w:rPr>
            </w:pPr>
          </w:p>
        </w:tc>
      </w:tr>
    </w:tbl>
    <w:p w14:paraId="517F5786">
      <w:pPr>
        <w:rPr>
          <w:rFonts w:ascii="宋体" w:hAnsi="宋体"/>
        </w:rPr>
      </w:pPr>
      <w:bookmarkStart w:id="230" w:name="_Toc31556"/>
      <w:bookmarkStart w:id="231" w:name="_Toc333829923"/>
      <w:bookmarkStart w:id="232" w:name="_Toc266373531"/>
      <w:bookmarkStart w:id="233" w:name="_Toc374610687"/>
      <w:bookmarkStart w:id="234" w:name="_Toc374536218"/>
      <w:bookmarkStart w:id="235" w:name="_Toc390704770"/>
    </w:p>
    <w:p w14:paraId="2698EBA1">
      <w:pPr>
        <w:pStyle w:val="28"/>
        <w:ind w:firstLine="422"/>
        <w:rPr>
          <w:rFonts w:ascii="Calibri" w:hAnsi="Calibri"/>
          <w:b/>
          <w:u w:val="single"/>
        </w:rPr>
      </w:pPr>
      <w:r>
        <w:rPr>
          <w:rFonts w:hint="eastAsia" w:ascii="Calibri" w:hAnsi="Calibri"/>
          <w:b/>
          <w:u w:val="single"/>
        </w:rPr>
        <w:t>注：</w:t>
      </w:r>
    </w:p>
    <w:p w14:paraId="279FF756">
      <w:pPr>
        <w:pStyle w:val="28"/>
        <w:ind w:firstLine="422"/>
        <w:rPr>
          <w:rFonts w:ascii="Calibri" w:hAnsi="Calibri"/>
          <w:b/>
          <w:u w:val="single"/>
        </w:rPr>
      </w:pPr>
      <w:r>
        <w:rPr>
          <w:rFonts w:hint="eastAsia" w:ascii="Calibri" w:hAnsi="Calibri"/>
          <w:b/>
          <w:u w:val="single"/>
        </w:rPr>
        <w:t>1、投标下浮率=（1-投标报价/暂定金额）*100%。下浮率必须为固定数值，并保留小数点后2位，如：X.XX%，不得存在区间值，如X.XX%～Y.YY%</w:t>
      </w:r>
    </w:p>
    <w:p w14:paraId="292E3FCA">
      <w:pPr>
        <w:pStyle w:val="28"/>
        <w:ind w:firstLine="422"/>
        <w:rPr>
          <w:rFonts w:ascii="Calibri" w:hAnsi="Calibri"/>
          <w:b/>
          <w:u w:val="single"/>
        </w:rPr>
      </w:pPr>
      <w:r>
        <w:rPr>
          <w:rFonts w:hint="eastAsia" w:ascii="Calibri" w:hAnsi="Calibri"/>
          <w:b/>
          <w:u w:val="single"/>
        </w:rPr>
        <w:t>2、精确到小数点后2位。</w:t>
      </w:r>
    </w:p>
    <w:p w14:paraId="0DE9397C">
      <w:pPr>
        <w:pStyle w:val="28"/>
        <w:rPr>
          <w:rFonts w:ascii="Calibri" w:hAnsi="Calibri"/>
        </w:rPr>
      </w:pPr>
      <w:r>
        <w:rPr>
          <w:rFonts w:ascii="Calibri" w:hAnsi="Calibri"/>
        </w:rPr>
        <w:t>3、本报价金额为人民币。投标报价不得超过最高投标限价。</w:t>
      </w:r>
    </w:p>
    <w:p w14:paraId="17D8366B">
      <w:pPr>
        <w:pStyle w:val="28"/>
        <w:rPr>
          <w:rFonts w:ascii="Calibri" w:hAnsi="Calibri"/>
        </w:rPr>
      </w:pPr>
      <w:r>
        <w:rPr>
          <w:rFonts w:ascii="Calibri" w:hAnsi="Calibri"/>
        </w:rPr>
        <w:t>4、投标人需要说明的其他内容，由投标人自行填写）。</w:t>
      </w:r>
    </w:p>
    <w:p w14:paraId="644CB175">
      <w:pPr>
        <w:pStyle w:val="28"/>
        <w:rPr>
          <w:rFonts w:ascii="Calibri" w:hAnsi="Calibri"/>
        </w:rPr>
      </w:pPr>
    </w:p>
    <w:p w14:paraId="78FF4C38">
      <w:pPr>
        <w:pStyle w:val="28"/>
        <w:rPr>
          <w:rFonts w:ascii="Calibri" w:hAnsi="Calibri"/>
        </w:rPr>
      </w:pPr>
    </w:p>
    <w:p w14:paraId="7CAB8499">
      <w:pPr>
        <w:pStyle w:val="28"/>
        <w:ind w:firstLine="480"/>
        <w:rPr>
          <w:rFonts w:ascii="Calibri" w:hAnsi="Calibri"/>
          <w:sz w:val="24"/>
        </w:rPr>
      </w:pPr>
    </w:p>
    <w:p w14:paraId="3AC9BF4C">
      <w:pPr>
        <w:pStyle w:val="14"/>
        <w:tabs>
          <w:tab w:val="left" w:pos="7321"/>
        </w:tabs>
        <w:spacing w:before="36"/>
        <w:ind w:left="2701"/>
        <w:jc w:val="right"/>
        <w:rPr>
          <w:rFonts w:ascii="宋体" w:hAnsi="宋体"/>
          <w:sz w:val="24"/>
          <w:szCs w:val="24"/>
        </w:rPr>
      </w:pPr>
      <w:r>
        <w:rPr>
          <w:rFonts w:hint="eastAsia" w:ascii="宋体" w:hAnsi="宋体"/>
          <w:sz w:val="24"/>
          <w:szCs w:val="24"/>
        </w:rPr>
        <w:t>投标人：</w:t>
      </w:r>
      <w:r>
        <w:rPr>
          <w:rFonts w:ascii="宋体" w:hAnsi="宋体"/>
          <w:sz w:val="24"/>
          <w:szCs w:val="24"/>
          <w:u w:val="single" w:color="000000"/>
        </w:rPr>
        <w:tab/>
      </w:r>
      <w:r>
        <w:rPr>
          <w:rFonts w:hint="eastAsia" w:ascii="宋体" w:hAnsi="宋体"/>
          <w:sz w:val="24"/>
          <w:szCs w:val="24"/>
        </w:rPr>
        <w:t>（盖单位章）</w:t>
      </w:r>
    </w:p>
    <w:p w14:paraId="22F4621C">
      <w:pPr>
        <w:spacing w:before="13"/>
        <w:jc w:val="right"/>
        <w:rPr>
          <w:rFonts w:ascii="宋体" w:hAnsi="宋体" w:cs="宋体"/>
          <w:sz w:val="24"/>
          <w:szCs w:val="24"/>
        </w:rPr>
      </w:pPr>
    </w:p>
    <w:p w14:paraId="7848DC02">
      <w:pPr>
        <w:pStyle w:val="14"/>
        <w:tabs>
          <w:tab w:val="left" w:pos="6481"/>
        </w:tabs>
        <w:spacing w:before="36"/>
        <w:ind w:left="2701"/>
        <w:jc w:val="right"/>
        <w:rPr>
          <w:rFonts w:ascii="宋体" w:hAnsi="宋体"/>
          <w:sz w:val="24"/>
          <w:szCs w:val="24"/>
        </w:rPr>
      </w:pPr>
      <w:r>
        <w:rPr>
          <w:rFonts w:hint="eastAsia" w:ascii="宋体" w:hAnsi="宋体"/>
          <w:spacing w:val="-2"/>
          <w:sz w:val="24"/>
          <w:szCs w:val="24"/>
        </w:rPr>
        <w:t>法定代表人或其委托代理人：</w:t>
      </w:r>
      <w:r>
        <w:rPr>
          <w:rFonts w:ascii="宋体" w:hAnsi="宋体"/>
          <w:spacing w:val="-2"/>
          <w:sz w:val="24"/>
          <w:szCs w:val="24"/>
          <w:u w:val="single" w:color="000000"/>
        </w:rPr>
        <w:tab/>
      </w:r>
      <w:r>
        <w:rPr>
          <w:rFonts w:hint="eastAsia" w:ascii="宋体" w:hAnsi="宋体"/>
          <w:spacing w:val="-1"/>
          <w:sz w:val="24"/>
          <w:szCs w:val="24"/>
        </w:rPr>
        <w:t>（签字或盖章）</w:t>
      </w:r>
    </w:p>
    <w:p w14:paraId="5018382B">
      <w:pPr>
        <w:spacing w:before="10"/>
        <w:jc w:val="right"/>
        <w:rPr>
          <w:rFonts w:ascii="宋体" w:hAnsi="宋体" w:cs="宋体"/>
          <w:sz w:val="24"/>
          <w:szCs w:val="24"/>
        </w:rPr>
      </w:pPr>
    </w:p>
    <w:p w14:paraId="54A2A921">
      <w:pPr>
        <w:pStyle w:val="28"/>
        <w:ind w:firstLine="480"/>
        <w:jc w:val="right"/>
        <w:rPr>
          <w:rFonts w:ascii="Calibri" w:hAnsi="Calibri"/>
          <w:sz w:val="24"/>
        </w:rPr>
      </w:pPr>
      <w:r>
        <w:rPr>
          <w:rFonts w:ascii="宋体" w:hAnsi="宋体"/>
          <w:sz w:val="24"/>
          <w:u w:val="single" w:color="000000"/>
        </w:rPr>
        <w:tab/>
      </w:r>
      <w:r>
        <w:rPr>
          <w:rFonts w:hint="eastAsia" w:ascii="宋体" w:hAnsi="宋体"/>
          <w:sz w:val="24"/>
        </w:rPr>
        <w:t>年</w:t>
      </w:r>
      <w:r>
        <w:rPr>
          <w:rFonts w:ascii="宋体" w:hAnsi="宋体"/>
          <w:sz w:val="24"/>
          <w:u w:val="single" w:color="000000"/>
        </w:rPr>
        <w:tab/>
      </w:r>
      <w:r>
        <w:rPr>
          <w:rFonts w:ascii="宋体" w:hAnsi="宋体"/>
          <w:sz w:val="24"/>
          <w:u w:val="single" w:color="000000"/>
        </w:rPr>
        <w:t xml:space="preserve"> </w:t>
      </w:r>
      <w:r>
        <w:rPr>
          <w:rFonts w:hint="eastAsia" w:ascii="宋体" w:hAnsi="宋体"/>
          <w:sz w:val="24"/>
        </w:rPr>
        <w:t>月</w:t>
      </w:r>
      <w:r>
        <w:rPr>
          <w:rFonts w:ascii="宋体" w:hAnsi="宋体"/>
          <w:sz w:val="24"/>
          <w:u w:val="single" w:color="000000"/>
        </w:rPr>
        <w:tab/>
      </w:r>
      <w:r>
        <w:rPr>
          <w:rFonts w:ascii="宋体" w:hAnsi="宋体"/>
          <w:sz w:val="24"/>
          <w:u w:val="single" w:color="000000"/>
        </w:rPr>
        <w:t xml:space="preserve">  </w:t>
      </w:r>
      <w:r>
        <w:rPr>
          <w:rFonts w:hint="eastAsia" w:ascii="宋体" w:hAnsi="宋体"/>
          <w:sz w:val="24"/>
        </w:rPr>
        <w:t>日</w:t>
      </w:r>
    </w:p>
    <w:p w14:paraId="3A23EEBB">
      <w:pPr>
        <w:pStyle w:val="6"/>
      </w:pPr>
      <w:r>
        <w:br w:type="page"/>
      </w:r>
      <w:bookmarkEnd w:id="230"/>
      <w:bookmarkEnd w:id="231"/>
      <w:bookmarkEnd w:id="232"/>
      <w:bookmarkEnd w:id="233"/>
      <w:bookmarkEnd w:id="234"/>
      <w:bookmarkEnd w:id="235"/>
      <w:bookmarkStart w:id="236" w:name="_Toc11371"/>
      <w:bookmarkStart w:id="237" w:name="_Toc27738"/>
      <w:r>
        <w:rPr>
          <w:rFonts w:hint="eastAsia"/>
          <w:lang w:val="en-US" w:eastAsia="zh-CN"/>
        </w:rPr>
        <w:t>四</w:t>
      </w:r>
      <w:r>
        <w:rPr>
          <w:rFonts w:hint="eastAsia"/>
        </w:rPr>
        <w:t>、资格审查资料</w:t>
      </w:r>
      <w:bookmarkEnd w:id="236"/>
      <w:bookmarkEnd w:id="237"/>
    </w:p>
    <w:p w14:paraId="3A8131D9">
      <w:pPr>
        <w:widowControl/>
        <w:jc w:val="center"/>
        <w:rPr>
          <w:rFonts w:ascii="宋体" w:hAnsi="宋体" w:cs="宋体"/>
          <w:b/>
          <w:bCs/>
          <w:kern w:val="0"/>
          <w:szCs w:val="21"/>
        </w:rPr>
      </w:pPr>
      <w:r>
        <w:rPr>
          <w:rFonts w:hint="eastAsia" w:ascii="宋体" w:hAnsi="宋体" w:cs="宋体"/>
          <w:b/>
          <w:bCs/>
          <w:kern w:val="0"/>
          <w:szCs w:val="21"/>
        </w:rPr>
        <w:t>（一）投标人基本情况表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4D38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324D5E6">
            <w:pPr>
              <w:topLinePunct/>
              <w:spacing w:line="440" w:lineRule="exact"/>
              <w:jc w:val="center"/>
              <w:rPr>
                <w:rFonts w:ascii="宋体" w:hAnsi="宋体"/>
              </w:rPr>
            </w:pPr>
            <w:r>
              <w:rPr>
                <w:rFonts w:hint="eastAsia" w:ascii="宋体" w:hAnsi="宋体"/>
              </w:rPr>
              <w:t>投标人名称</w:t>
            </w:r>
          </w:p>
        </w:tc>
        <w:tc>
          <w:tcPr>
            <w:tcW w:w="6840" w:type="dxa"/>
            <w:gridSpan w:val="8"/>
            <w:tcBorders>
              <w:top w:val="single" w:color="auto" w:sz="4" w:space="0"/>
              <w:left w:val="single" w:color="auto" w:sz="4" w:space="0"/>
              <w:bottom w:val="single" w:color="auto" w:sz="4" w:space="0"/>
            </w:tcBorders>
            <w:vAlign w:val="center"/>
          </w:tcPr>
          <w:p w14:paraId="16AE4FBA">
            <w:pPr>
              <w:topLinePunct/>
              <w:spacing w:line="440" w:lineRule="exact"/>
              <w:jc w:val="center"/>
              <w:rPr>
                <w:rFonts w:ascii="宋体" w:hAnsi="宋体"/>
              </w:rPr>
            </w:pPr>
          </w:p>
        </w:tc>
      </w:tr>
      <w:tr w14:paraId="77C9B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E490B35">
            <w:pPr>
              <w:topLinePunct/>
              <w:spacing w:line="440" w:lineRule="exact"/>
              <w:jc w:val="center"/>
              <w:rPr>
                <w:rFonts w:ascii="宋体" w:hAnsi="宋体"/>
              </w:rPr>
            </w:pPr>
            <w:r>
              <w:rPr>
                <w:rFonts w:hint="eastAsia" w:ascii="宋体" w:hAnsi="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0EB06F8">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95C87B2">
            <w:pPr>
              <w:topLinePunct/>
              <w:spacing w:before="100" w:beforeAutospacing="1" w:after="100" w:afterAutospacing="1" w:line="440" w:lineRule="exact"/>
              <w:jc w:val="center"/>
              <w:rPr>
                <w:rFonts w:ascii="宋体" w:hAnsi="宋体"/>
              </w:rPr>
            </w:pPr>
            <w:r>
              <w:rPr>
                <w:rFonts w:hint="eastAsia" w:ascii="宋体" w:hAnsi="宋体"/>
              </w:rPr>
              <w:t>邮政编码</w:t>
            </w:r>
          </w:p>
        </w:tc>
        <w:tc>
          <w:tcPr>
            <w:tcW w:w="2342" w:type="dxa"/>
            <w:gridSpan w:val="3"/>
            <w:tcBorders>
              <w:top w:val="single" w:color="auto" w:sz="4" w:space="0"/>
              <w:left w:val="single" w:color="auto" w:sz="4" w:space="0"/>
              <w:bottom w:val="single" w:color="auto" w:sz="4" w:space="0"/>
            </w:tcBorders>
            <w:vAlign w:val="center"/>
          </w:tcPr>
          <w:p w14:paraId="20DF1998">
            <w:pPr>
              <w:topLinePunct/>
              <w:spacing w:line="440" w:lineRule="exact"/>
              <w:jc w:val="center"/>
              <w:rPr>
                <w:rFonts w:ascii="宋体" w:hAnsi="宋体"/>
              </w:rPr>
            </w:pPr>
          </w:p>
        </w:tc>
      </w:tr>
      <w:tr w14:paraId="53DBC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78FDFF00">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50C97DA">
            <w:pPr>
              <w:topLinePunct/>
              <w:spacing w:before="100" w:beforeAutospacing="1" w:after="100" w:afterAutospacing="1" w:line="440" w:lineRule="exact"/>
              <w:jc w:val="center"/>
              <w:rPr>
                <w:rFonts w:ascii="宋体" w:hAnsi="宋体"/>
              </w:rPr>
            </w:pPr>
            <w:r>
              <w:rPr>
                <w:rFonts w:hint="eastAsia" w:ascii="宋体" w:hAnsi="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16B6EC0">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8C3DE27">
            <w:pPr>
              <w:topLinePunct/>
              <w:spacing w:before="100" w:beforeAutospacing="1" w:after="100" w:afterAutospacing="1" w:line="440" w:lineRule="exact"/>
              <w:jc w:val="center"/>
              <w:rPr>
                <w:rFonts w:ascii="宋体" w:hAnsi="宋体"/>
              </w:rPr>
            </w:pPr>
            <w:r>
              <w:rPr>
                <w:rFonts w:hint="eastAsia" w:ascii="宋体" w:hAnsi="宋体"/>
              </w:rPr>
              <w:t>电话</w:t>
            </w:r>
          </w:p>
        </w:tc>
        <w:tc>
          <w:tcPr>
            <w:tcW w:w="2342" w:type="dxa"/>
            <w:gridSpan w:val="3"/>
            <w:tcBorders>
              <w:top w:val="single" w:color="auto" w:sz="4" w:space="0"/>
              <w:left w:val="single" w:color="auto" w:sz="4" w:space="0"/>
              <w:bottom w:val="single" w:color="auto" w:sz="4" w:space="0"/>
            </w:tcBorders>
            <w:vAlign w:val="center"/>
          </w:tcPr>
          <w:p w14:paraId="7D9EEF3B">
            <w:pPr>
              <w:topLinePunct/>
              <w:spacing w:line="440" w:lineRule="exact"/>
              <w:jc w:val="center"/>
              <w:rPr>
                <w:rFonts w:ascii="宋体" w:hAnsi="宋体"/>
              </w:rPr>
            </w:pPr>
          </w:p>
        </w:tc>
      </w:tr>
      <w:tr w14:paraId="4DFA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773C7570">
            <w:pPr>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14:paraId="0A5BCCB0">
            <w:pPr>
              <w:topLinePunct/>
              <w:spacing w:before="100" w:beforeAutospacing="1" w:after="100" w:afterAutospacing="1" w:line="440" w:lineRule="exact"/>
              <w:jc w:val="center"/>
              <w:rPr>
                <w:rFonts w:ascii="宋体" w:hAnsi="宋体"/>
              </w:rPr>
            </w:pPr>
            <w:r>
              <w:rPr>
                <w:rFonts w:hint="eastAsia" w:ascii="宋体" w:hAnsi="宋体"/>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460E8636">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01E67EB">
            <w:pPr>
              <w:topLinePunct/>
              <w:spacing w:before="100" w:beforeAutospacing="1" w:after="100" w:afterAutospacing="1" w:line="440" w:lineRule="exact"/>
              <w:jc w:val="center"/>
              <w:rPr>
                <w:rFonts w:ascii="宋体" w:hAnsi="宋体"/>
              </w:rPr>
            </w:pPr>
            <w:r>
              <w:rPr>
                <w:rFonts w:hint="eastAsia" w:ascii="宋体" w:hAnsi="宋体"/>
              </w:rPr>
              <w:t>网址</w:t>
            </w:r>
          </w:p>
        </w:tc>
        <w:tc>
          <w:tcPr>
            <w:tcW w:w="2342" w:type="dxa"/>
            <w:gridSpan w:val="3"/>
            <w:tcBorders>
              <w:top w:val="single" w:color="auto" w:sz="4" w:space="0"/>
              <w:left w:val="single" w:color="auto" w:sz="4" w:space="0"/>
              <w:bottom w:val="single" w:color="auto" w:sz="4" w:space="0"/>
            </w:tcBorders>
            <w:vAlign w:val="center"/>
          </w:tcPr>
          <w:p w14:paraId="70C514F2">
            <w:pPr>
              <w:topLinePunct/>
              <w:spacing w:line="440" w:lineRule="exact"/>
              <w:jc w:val="center"/>
              <w:rPr>
                <w:rFonts w:ascii="宋体" w:hAnsi="宋体"/>
              </w:rPr>
            </w:pPr>
          </w:p>
        </w:tc>
      </w:tr>
      <w:tr w14:paraId="300C1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9EE5169">
            <w:pPr>
              <w:topLinePunct/>
              <w:spacing w:before="100" w:beforeAutospacing="1" w:after="100" w:afterAutospacing="1" w:line="440" w:lineRule="exa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057D8B5">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08603B8">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4DDD7892">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B451E7B">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F3310C8">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14:paraId="0CBF001A">
            <w:pPr>
              <w:topLinePunct/>
              <w:spacing w:line="440" w:lineRule="exact"/>
              <w:jc w:val="center"/>
              <w:rPr>
                <w:rFonts w:ascii="宋体" w:hAnsi="宋体"/>
              </w:rPr>
            </w:pPr>
          </w:p>
        </w:tc>
      </w:tr>
      <w:tr w14:paraId="238E8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CA9E231">
            <w:pPr>
              <w:topLinePunct/>
              <w:spacing w:line="440" w:lineRule="exact"/>
              <w:jc w:val="center"/>
              <w:rPr>
                <w:rFonts w:ascii="宋体" w:hAnsi="宋体"/>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6E8EC28">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2FB8C19">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6CEA340D">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91C5FAC">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3A5D16">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14:paraId="5F6C84EC">
            <w:pPr>
              <w:topLinePunct/>
              <w:spacing w:line="440" w:lineRule="exact"/>
              <w:jc w:val="center"/>
              <w:rPr>
                <w:rFonts w:ascii="宋体" w:hAnsi="宋体"/>
              </w:rPr>
            </w:pPr>
          </w:p>
        </w:tc>
      </w:tr>
      <w:tr w14:paraId="28CCD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5B571D5">
            <w:pPr>
              <w:topLinePunct/>
              <w:spacing w:before="100" w:beforeAutospacing="1" w:after="100" w:afterAutospacing="1" w:line="440" w:lineRule="exact"/>
              <w:jc w:val="center"/>
              <w:rPr>
                <w:rFonts w:ascii="宋体" w:hAnsi="宋体"/>
              </w:rPr>
            </w:pPr>
            <w:r>
              <w:rPr>
                <w:rFonts w:hint="eastAsia" w:ascii="宋体" w:hAnsi="宋体"/>
              </w:rPr>
              <w:t>企业资质证书</w:t>
            </w:r>
          </w:p>
        </w:tc>
        <w:tc>
          <w:tcPr>
            <w:tcW w:w="6840" w:type="dxa"/>
            <w:gridSpan w:val="8"/>
            <w:tcBorders>
              <w:top w:val="single" w:color="auto" w:sz="4" w:space="0"/>
              <w:left w:val="single" w:color="auto" w:sz="4" w:space="0"/>
              <w:bottom w:val="single" w:color="auto" w:sz="4" w:space="0"/>
            </w:tcBorders>
            <w:vAlign w:val="center"/>
          </w:tcPr>
          <w:p w14:paraId="495369F3">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14:paraId="1F018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8514B45">
            <w:pPr>
              <w:topLinePunct/>
              <w:spacing w:before="100" w:beforeAutospacing="1" w:after="100" w:afterAutospacing="1" w:line="440" w:lineRule="exact"/>
              <w:jc w:val="center"/>
              <w:rPr>
                <w:rFonts w:ascii="宋体" w:hAnsi="宋体"/>
              </w:rPr>
            </w:pPr>
            <w:r>
              <w:rPr>
                <w:rFonts w:hint="eastAsia" w:ascii="宋体" w:hAnsi="宋体"/>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67E48173">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14:paraId="5339F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4A6D3A6">
            <w:pPr>
              <w:topLinePunct/>
              <w:spacing w:before="100" w:beforeAutospacing="1" w:after="100" w:afterAutospacing="1" w:line="440" w:lineRule="exact"/>
              <w:jc w:val="center"/>
              <w:rPr>
                <w:rFonts w:ascii="宋体" w:hAnsi="宋体"/>
              </w:rPr>
            </w:pPr>
            <w:r>
              <w:rPr>
                <w:rFonts w:hint="eastAsia" w:ascii="宋体" w:hAnsi="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06D684A">
            <w:pPr>
              <w:topLinePunct/>
              <w:spacing w:line="440" w:lineRule="exact"/>
              <w:jc w:val="center"/>
              <w:rPr>
                <w:rFonts w:ascii="宋体" w:hAnsi="宋体"/>
              </w:rPr>
            </w:pPr>
          </w:p>
        </w:tc>
        <w:tc>
          <w:tcPr>
            <w:tcW w:w="3629" w:type="dxa"/>
            <w:gridSpan w:val="5"/>
            <w:tcBorders>
              <w:top w:val="single" w:color="auto" w:sz="4" w:space="0"/>
              <w:left w:val="single" w:color="auto" w:sz="4" w:space="0"/>
              <w:bottom w:val="single" w:color="auto" w:sz="4" w:space="0"/>
            </w:tcBorders>
            <w:vAlign w:val="center"/>
          </w:tcPr>
          <w:p w14:paraId="5F094EBA">
            <w:pPr>
              <w:topLinePunct/>
              <w:spacing w:before="100" w:beforeAutospacing="1" w:after="100" w:afterAutospacing="1" w:line="440" w:lineRule="exact"/>
              <w:jc w:val="center"/>
              <w:rPr>
                <w:rFonts w:ascii="宋体" w:hAnsi="宋体"/>
              </w:rPr>
            </w:pPr>
            <w:r>
              <w:rPr>
                <w:rFonts w:hint="eastAsia" w:ascii="宋体" w:hAnsi="宋体"/>
              </w:rPr>
              <w:t>员工总人数：</w:t>
            </w:r>
          </w:p>
        </w:tc>
      </w:tr>
      <w:tr w14:paraId="597F9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4D19ED6">
            <w:pPr>
              <w:topLinePunct/>
              <w:spacing w:before="100" w:beforeAutospacing="1" w:after="100" w:afterAutospacing="1" w:line="440" w:lineRule="exact"/>
              <w:jc w:val="center"/>
              <w:rPr>
                <w:rFonts w:ascii="宋体" w:hAnsi="宋体"/>
              </w:rPr>
            </w:pPr>
            <w:r>
              <w:rPr>
                <w:rFonts w:hint="eastAsia" w:ascii="宋体" w:hAnsi="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7644D73">
            <w:pPr>
              <w:topLinePunct/>
              <w:spacing w:line="44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vAlign w:val="center"/>
          </w:tcPr>
          <w:p w14:paraId="3FBBD865">
            <w:pPr>
              <w:topLinePunct/>
              <w:spacing w:before="100" w:beforeAutospacing="1" w:after="100" w:afterAutospacing="1" w:line="440" w:lineRule="exact"/>
              <w:jc w:val="center"/>
              <w:rPr>
                <w:rFonts w:ascii="宋体" w:hAnsi="宋体"/>
              </w:rPr>
            </w:pPr>
            <w:r>
              <w:rPr>
                <w:rFonts w:hint="eastAsia"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DC9FD78">
            <w:pPr>
              <w:topLinePunct/>
              <w:spacing w:before="100" w:beforeAutospacing="1" w:after="100" w:afterAutospacing="1" w:line="440" w:lineRule="exact"/>
              <w:jc w:val="center"/>
              <w:rPr>
                <w:rFonts w:ascii="宋体" w:hAnsi="宋体"/>
              </w:rPr>
            </w:pPr>
            <w:r>
              <w:rPr>
                <w:rFonts w:hint="eastAsia" w:ascii="宋体" w:hAnsi="宋体"/>
              </w:rPr>
              <w:t>高级职称人员</w:t>
            </w:r>
          </w:p>
        </w:tc>
        <w:tc>
          <w:tcPr>
            <w:tcW w:w="1514" w:type="dxa"/>
            <w:gridSpan w:val="2"/>
            <w:tcBorders>
              <w:top w:val="single" w:color="auto" w:sz="4" w:space="0"/>
              <w:left w:val="single" w:color="auto" w:sz="4" w:space="0"/>
              <w:bottom w:val="single" w:color="auto" w:sz="4" w:space="0"/>
            </w:tcBorders>
            <w:vAlign w:val="center"/>
          </w:tcPr>
          <w:p w14:paraId="3C4E95EF">
            <w:pPr>
              <w:topLinePunct/>
              <w:spacing w:line="440" w:lineRule="exact"/>
              <w:jc w:val="center"/>
              <w:rPr>
                <w:rFonts w:ascii="宋体" w:hAnsi="宋体"/>
              </w:rPr>
            </w:pPr>
          </w:p>
        </w:tc>
      </w:tr>
      <w:tr w14:paraId="452E9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2233F2E">
            <w:pPr>
              <w:topLinePunct/>
              <w:spacing w:before="100" w:beforeAutospacing="1" w:after="100" w:afterAutospacing="1" w:line="440" w:lineRule="exact"/>
              <w:jc w:val="center"/>
              <w:rPr>
                <w:rFonts w:ascii="宋体" w:hAnsi="宋体"/>
              </w:rPr>
            </w:pPr>
            <w:r>
              <w:rPr>
                <w:rFonts w:hint="eastAsia" w:ascii="宋体" w:hAnsi="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0EC410E">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29D97D29">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B06D014">
            <w:pPr>
              <w:topLinePunct/>
              <w:spacing w:before="100" w:beforeAutospacing="1" w:after="100" w:afterAutospacing="1" w:line="440" w:lineRule="exact"/>
              <w:jc w:val="center"/>
              <w:rPr>
                <w:rFonts w:ascii="宋体" w:hAnsi="宋体"/>
              </w:rPr>
            </w:pPr>
            <w:r>
              <w:rPr>
                <w:rFonts w:hint="eastAsia" w:ascii="宋体" w:hAnsi="宋体"/>
              </w:rPr>
              <w:t>中级职称人员</w:t>
            </w:r>
          </w:p>
        </w:tc>
        <w:tc>
          <w:tcPr>
            <w:tcW w:w="1514" w:type="dxa"/>
            <w:gridSpan w:val="2"/>
            <w:tcBorders>
              <w:top w:val="single" w:color="auto" w:sz="4" w:space="0"/>
              <w:left w:val="single" w:color="auto" w:sz="4" w:space="0"/>
              <w:bottom w:val="single" w:color="auto" w:sz="4" w:space="0"/>
            </w:tcBorders>
            <w:vAlign w:val="center"/>
          </w:tcPr>
          <w:p w14:paraId="1E06D5D0">
            <w:pPr>
              <w:topLinePunct/>
              <w:spacing w:line="440" w:lineRule="exact"/>
              <w:jc w:val="center"/>
              <w:rPr>
                <w:rFonts w:ascii="宋体" w:hAnsi="宋体"/>
              </w:rPr>
            </w:pPr>
          </w:p>
        </w:tc>
      </w:tr>
      <w:tr w14:paraId="4B459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01869C2">
            <w:pPr>
              <w:topLinePunct/>
              <w:spacing w:before="100" w:beforeAutospacing="1" w:after="100" w:afterAutospacing="1" w:line="440" w:lineRule="exact"/>
              <w:jc w:val="center"/>
              <w:rPr>
                <w:rFonts w:ascii="宋体" w:hAnsi="宋体"/>
              </w:rPr>
            </w:pPr>
            <w:r>
              <w:rPr>
                <w:rFonts w:hint="eastAsia" w:ascii="宋体" w:hAns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2691609">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2FB1BEBE">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3D1EEB">
            <w:pPr>
              <w:topLinePunct/>
              <w:spacing w:before="100" w:beforeAutospacing="1" w:after="100" w:afterAutospacing="1" w:line="440" w:lineRule="exact"/>
              <w:jc w:val="center"/>
              <w:rPr>
                <w:rFonts w:ascii="宋体" w:hAnsi="宋体"/>
              </w:rPr>
            </w:pPr>
            <w:r>
              <w:rPr>
                <w:rFonts w:hint="eastAsia" w:ascii="宋体" w:hAnsi="宋体"/>
              </w:rPr>
              <w:t>技术人员数量</w:t>
            </w:r>
          </w:p>
        </w:tc>
        <w:tc>
          <w:tcPr>
            <w:tcW w:w="1514" w:type="dxa"/>
            <w:gridSpan w:val="2"/>
            <w:tcBorders>
              <w:top w:val="single" w:color="auto" w:sz="4" w:space="0"/>
              <w:left w:val="single" w:color="auto" w:sz="4" w:space="0"/>
              <w:bottom w:val="single" w:color="auto" w:sz="4" w:space="0"/>
            </w:tcBorders>
            <w:vAlign w:val="center"/>
          </w:tcPr>
          <w:p w14:paraId="5A524936">
            <w:pPr>
              <w:topLinePunct/>
              <w:spacing w:line="440" w:lineRule="exact"/>
              <w:jc w:val="center"/>
              <w:rPr>
                <w:rFonts w:ascii="宋体" w:hAnsi="宋体"/>
              </w:rPr>
            </w:pPr>
          </w:p>
        </w:tc>
      </w:tr>
      <w:tr w14:paraId="5F39E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D51B166">
            <w:pPr>
              <w:topLinePunct/>
              <w:spacing w:before="100" w:beforeAutospacing="1" w:after="100" w:afterAutospacing="1" w:line="440" w:lineRule="exact"/>
              <w:jc w:val="center"/>
              <w:rPr>
                <w:rFonts w:ascii="宋体" w:hAnsi="宋体"/>
              </w:rPr>
            </w:pPr>
            <w:r>
              <w:rPr>
                <w:rFonts w:hint="eastAsia" w:ascii="宋体" w:hAns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D75B046">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4C340804">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F5299DE">
            <w:pPr>
              <w:topLinePunct/>
              <w:spacing w:before="100" w:beforeAutospacing="1" w:after="100" w:afterAutospacing="1" w:line="440" w:lineRule="exact"/>
              <w:jc w:val="center"/>
              <w:rPr>
                <w:rFonts w:ascii="宋体" w:hAnsi="宋体"/>
              </w:rPr>
            </w:pPr>
            <w:r>
              <w:rPr>
                <w:rFonts w:hint="eastAsia" w:ascii="宋体" w:hAnsi="宋体"/>
                <w:szCs w:val="21"/>
              </w:rPr>
              <w:t>各类注册人员</w:t>
            </w:r>
          </w:p>
        </w:tc>
        <w:tc>
          <w:tcPr>
            <w:tcW w:w="1514" w:type="dxa"/>
            <w:gridSpan w:val="2"/>
            <w:tcBorders>
              <w:top w:val="single" w:color="auto" w:sz="4" w:space="0"/>
              <w:left w:val="single" w:color="auto" w:sz="4" w:space="0"/>
              <w:bottom w:val="single" w:color="auto" w:sz="4" w:space="0"/>
            </w:tcBorders>
            <w:vAlign w:val="center"/>
          </w:tcPr>
          <w:p w14:paraId="6CB30EC9">
            <w:pPr>
              <w:topLinePunct/>
              <w:spacing w:line="440" w:lineRule="exact"/>
              <w:jc w:val="center"/>
              <w:rPr>
                <w:rFonts w:ascii="宋体" w:hAnsi="宋体"/>
              </w:rPr>
            </w:pPr>
          </w:p>
        </w:tc>
      </w:tr>
      <w:tr w14:paraId="544CA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5C412527">
            <w:pPr>
              <w:topLinePunct/>
              <w:spacing w:before="100" w:beforeAutospacing="1" w:after="100" w:afterAutospacing="1" w:line="440" w:lineRule="exact"/>
              <w:ind w:firstLine="210" w:firstLineChars="100"/>
              <w:jc w:val="center"/>
              <w:rPr>
                <w:rFonts w:ascii="宋体" w:hAnsi="宋体"/>
              </w:rPr>
            </w:pPr>
            <w:r>
              <w:rPr>
                <w:rFonts w:hint="eastAsia" w:ascii="宋体" w:hAnsi="宋体"/>
              </w:rPr>
              <w:t>经营范围</w:t>
            </w:r>
          </w:p>
        </w:tc>
        <w:tc>
          <w:tcPr>
            <w:tcW w:w="6840" w:type="dxa"/>
            <w:gridSpan w:val="8"/>
            <w:tcBorders>
              <w:top w:val="single" w:color="auto" w:sz="4" w:space="0"/>
              <w:left w:val="single" w:color="auto" w:sz="4" w:space="0"/>
            </w:tcBorders>
            <w:vAlign w:val="center"/>
          </w:tcPr>
          <w:p w14:paraId="087054C8">
            <w:pPr>
              <w:topLinePunct/>
              <w:spacing w:line="440" w:lineRule="exact"/>
              <w:jc w:val="center"/>
              <w:rPr>
                <w:rFonts w:ascii="宋体" w:hAnsi="宋体"/>
              </w:rPr>
            </w:pPr>
          </w:p>
        </w:tc>
      </w:tr>
      <w:tr w14:paraId="2750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30670B0">
            <w:pPr>
              <w:topLinePunct/>
              <w:spacing w:before="100" w:beforeAutospacing="1" w:after="100" w:afterAutospacing="1" w:line="440" w:lineRule="exact"/>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03C3695E">
            <w:pPr>
              <w:topLinePunct/>
              <w:spacing w:line="440" w:lineRule="exact"/>
              <w:jc w:val="center"/>
              <w:rPr>
                <w:rFonts w:ascii="宋体" w:hAnsi="宋体"/>
              </w:rPr>
            </w:pPr>
          </w:p>
        </w:tc>
      </w:tr>
      <w:tr w14:paraId="41A94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42F7E0A9">
            <w:pPr>
              <w:topLinePunct/>
              <w:spacing w:before="100" w:beforeAutospacing="1" w:after="100" w:afterAutospacing="1" w:line="440" w:lineRule="exact"/>
              <w:jc w:val="center"/>
              <w:rPr>
                <w:rFonts w:ascii="宋体" w:hAnsi="宋体"/>
              </w:rPr>
            </w:pPr>
            <w:r>
              <w:rPr>
                <w:rFonts w:hint="eastAsia" w:ascii="宋体" w:hAnsi="宋体"/>
              </w:rPr>
              <w:t>备注</w:t>
            </w:r>
          </w:p>
        </w:tc>
        <w:tc>
          <w:tcPr>
            <w:tcW w:w="6840" w:type="dxa"/>
            <w:gridSpan w:val="8"/>
            <w:tcBorders>
              <w:top w:val="single" w:color="auto" w:sz="4" w:space="0"/>
              <w:left w:val="single" w:color="auto" w:sz="4" w:space="0"/>
              <w:bottom w:val="single" w:color="auto" w:sz="4" w:space="0"/>
            </w:tcBorders>
            <w:vAlign w:val="center"/>
          </w:tcPr>
          <w:p w14:paraId="1A0ABE3A">
            <w:pPr>
              <w:topLinePunct/>
              <w:spacing w:line="440" w:lineRule="exact"/>
              <w:jc w:val="center"/>
              <w:rPr>
                <w:rFonts w:ascii="宋体" w:hAnsi="宋体"/>
              </w:rPr>
            </w:pPr>
          </w:p>
        </w:tc>
      </w:tr>
    </w:tbl>
    <w:p w14:paraId="6FE11A03">
      <w:pPr>
        <w:snapToGrid w:val="0"/>
        <w:rPr>
          <w:rFonts w:ascii="宋体" w:hAnsi="宋体"/>
          <w:spacing w:val="-5"/>
          <w:szCs w:val="21"/>
        </w:rPr>
      </w:pPr>
    </w:p>
    <w:p w14:paraId="148B7440">
      <w:pPr>
        <w:snapToGrid w:val="0"/>
        <w:rPr>
          <w:rFonts w:ascii="宋体" w:hAnsi="宋体"/>
          <w:spacing w:val="-5"/>
          <w:szCs w:val="21"/>
        </w:rPr>
      </w:pPr>
      <w:r>
        <w:rPr>
          <w:rFonts w:hint="eastAsia" w:ascii="宋体" w:hAnsi="宋体"/>
          <w:spacing w:val="-5"/>
          <w:szCs w:val="21"/>
        </w:rPr>
        <w:t>注：</w:t>
      </w:r>
      <w:r>
        <w:rPr>
          <w:rFonts w:ascii="宋体" w:hAnsi="宋体"/>
          <w:spacing w:val="-5"/>
          <w:szCs w:val="21"/>
        </w:rPr>
        <w:t>1.</w:t>
      </w:r>
      <w:r>
        <w:rPr>
          <w:rFonts w:hint="eastAsia" w:ascii="宋体" w:hAnsi="宋体"/>
          <w:spacing w:val="-5"/>
          <w:szCs w:val="21"/>
        </w:rPr>
        <w:t>联系人栏应填写两个人的联系方式以便于联系。</w:t>
      </w:r>
    </w:p>
    <w:p w14:paraId="6E7A4AEF">
      <w:pPr>
        <w:numPr>
          <w:ilvl w:val="0"/>
          <w:numId w:val="3"/>
        </w:numPr>
        <w:snapToGrid w:val="0"/>
        <w:rPr>
          <w:rFonts w:ascii="宋体" w:hAnsi="宋体"/>
          <w:position w:val="-30"/>
          <w:szCs w:val="21"/>
        </w:rPr>
      </w:pPr>
      <w:r>
        <w:rPr>
          <w:rFonts w:hint="eastAsia" w:ascii="宋体" w:hAnsi="宋体"/>
          <w:position w:val="-30"/>
          <w:szCs w:val="21"/>
        </w:rPr>
        <w:t>本表后须附检测投标单位的营业执照副本或事业单位法人证书副本、建设行政主管部门颁发的建设工程质量检测机构资质证书、质量技术监督部门颁发的</w:t>
      </w:r>
      <w:r>
        <w:rPr>
          <w:rFonts w:ascii="宋体" w:hAnsi="宋体"/>
          <w:position w:val="-30"/>
          <w:szCs w:val="21"/>
        </w:rPr>
        <w:t>CMA</w:t>
      </w:r>
      <w:r>
        <w:rPr>
          <w:rFonts w:hint="eastAsia" w:ascii="宋体" w:hAnsi="宋体"/>
          <w:position w:val="-30"/>
          <w:szCs w:val="21"/>
        </w:rPr>
        <w:t>计量认证合格证书（或CMA检验检测机构资质认定证书）以及其他相关证明材料的清晰扫描件。</w:t>
      </w:r>
    </w:p>
    <w:p w14:paraId="5B65A9F0">
      <w:pPr>
        <w:numPr>
          <w:ilvl w:val="255"/>
          <w:numId w:val="0"/>
        </w:numPr>
        <w:snapToGrid w:val="0"/>
        <w:rPr>
          <w:rFonts w:ascii="宋体" w:hAnsi="宋体"/>
          <w:position w:val="-30"/>
          <w:szCs w:val="21"/>
        </w:rPr>
      </w:pPr>
      <w:r>
        <w:rPr>
          <w:rFonts w:hint="eastAsia" w:ascii="宋体" w:hAnsi="宋体"/>
          <w:position w:val="-30"/>
          <w:szCs w:val="21"/>
        </w:rPr>
        <w:t>3、联合体投标时，联合体每一名成员方分别提交一份《投标人基本情况表》，表中的“投标人名称”填写相应的成员方单位名称；所有的《投标人基本情况表》由主办方盖章即可。</w:t>
      </w:r>
    </w:p>
    <w:p w14:paraId="1A3448A6">
      <w:pPr>
        <w:widowControl/>
        <w:spacing w:line="360" w:lineRule="auto"/>
        <w:jc w:val="center"/>
        <w:rPr>
          <w:rFonts w:ascii="宋体" w:hAnsi="宋体" w:cs="华文楷体"/>
          <w:sz w:val="24"/>
          <w:szCs w:val="24"/>
        </w:rPr>
      </w:pPr>
      <w:r>
        <w:rPr>
          <w:rFonts w:ascii="宋体" w:hAnsi="宋体"/>
          <w:position w:val="-30"/>
          <w:sz w:val="22"/>
        </w:rPr>
        <w:br w:type="page"/>
      </w:r>
    </w:p>
    <w:p w14:paraId="29748697"/>
    <w:p w14:paraId="348D6BF0">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（二）其他符合第二章第1.4.1条款规定的证明</w:t>
      </w:r>
    </w:p>
    <w:p w14:paraId="159BB6C8">
      <w:pPr>
        <w:pStyle w:val="28"/>
        <w:ind w:left="0" w:leftChars="0" w:firstLine="0" w:firstLineChars="0"/>
        <w:jc w:val="center"/>
        <w:rPr>
          <w:rFonts w:ascii="宋体" w:hAnsi="宋体" w:cs="宋体"/>
          <w:b/>
          <w:bCs/>
          <w:kern w:val="0"/>
          <w:szCs w:val="21"/>
        </w:rPr>
      </w:pPr>
    </w:p>
    <w:p w14:paraId="64637F9F">
      <w:pPr>
        <w:pStyle w:val="28"/>
        <w:ind w:left="0" w:leftChars="0" w:firstLine="0" w:firstLineChars="0"/>
        <w:jc w:val="center"/>
        <w:rPr>
          <w:rFonts w:ascii="宋体" w:hAnsi="宋体" w:cs="宋体"/>
          <w:b/>
          <w:bCs/>
          <w:kern w:val="0"/>
          <w:szCs w:val="21"/>
        </w:rPr>
      </w:pPr>
    </w:p>
    <w:p w14:paraId="1289745C">
      <w:pPr>
        <w:pStyle w:val="28"/>
        <w:ind w:left="0" w:leftChars="0" w:firstLine="0" w:firstLineChars="0"/>
        <w:jc w:val="center"/>
        <w:rPr>
          <w:rFonts w:ascii="宋体" w:hAnsi="宋体" w:cs="宋体"/>
          <w:b/>
          <w:bCs/>
          <w:kern w:val="0"/>
          <w:szCs w:val="21"/>
        </w:rPr>
      </w:pPr>
    </w:p>
    <w:p w14:paraId="44AE9E0D">
      <w:pPr>
        <w:pStyle w:val="6"/>
      </w:pPr>
      <w:r>
        <w:br w:type="page"/>
      </w:r>
      <w:bookmarkStart w:id="238" w:name="_Toc3925"/>
      <w:bookmarkStart w:id="239" w:name="_Toc29825"/>
      <w:bookmarkStart w:id="240" w:name="_Toc533357334"/>
      <w:bookmarkStart w:id="241" w:name="_Toc20625"/>
      <w:r>
        <w:rPr>
          <w:rFonts w:hint="eastAsia"/>
          <w:lang w:val="en-US" w:eastAsia="zh-CN"/>
        </w:rPr>
        <w:t>五</w:t>
      </w:r>
      <w:r>
        <w:rPr>
          <w:rFonts w:hint="eastAsia"/>
        </w:rPr>
        <w:t>、类似项目业绩表</w:t>
      </w:r>
      <w:bookmarkEnd w:id="238"/>
      <w:bookmarkEnd w:id="239"/>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088"/>
        <w:gridCol w:w="1453"/>
        <w:gridCol w:w="1437"/>
        <w:gridCol w:w="1116"/>
        <w:gridCol w:w="2192"/>
        <w:gridCol w:w="1042"/>
      </w:tblGrid>
      <w:tr w14:paraId="4FCA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15" w:type="pct"/>
            <w:vAlign w:val="center"/>
          </w:tcPr>
          <w:p w14:paraId="3F3E0532">
            <w:pPr>
              <w:snapToGrid w:val="0"/>
              <w:spacing w:line="240" w:lineRule="atLeast"/>
              <w:jc w:val="center"/>
              <w:rPr>
                <w:rFonts w:ascii="宋体" w:hAnsi="宋体"/>
                <w:sz w:val="24"/>
              </w:rPr>
            </w:pPr>
            <w:r>
              <w:rPr>
                <w:rFonts w:hint="eastAsia" w:ascii="宋体" w:hAnsi="宋体"/>
                <w:sz w:val="24"/>
              </w:rPr>
              <w:t>序号</w:t>
            </w:r>
          </w:p>
        </w:tc>
        <w:tc>
          <w:tcPr>
            <w:tcW w:w="1048" w:type="pct"/>
            <w:vAlign w:val="center"/>
          </w:tcPr>
          <w:p w14:paraId="24AB70E6">
            <w:pPr>
              <w:snapToGrid w:val="0"/>
              <w:spacing w:line="240" w:lineRule="atLeast"/>
              <w:jc w:val="center"/>
              <w:rPr>
                <w:rFonts w:ascii="宋体" w:hAnsi="宋体"/>
                <w:sz w:val="24"/>
              </w:rPr>
            </w:pPr>
            <w:r>
              <w:rPr>
                <w:rFonts w:hint="eastAsia" w:ascii="宋体" w:hAnsi="宋体"/>
                <w:sz w:val="24"/>
              </w:rPr>
              <w:t>工程名称</w:t>
            </w:r>
          </w:p>
        </w:tc>
        <w:tc>
          <w:tcPr>
            <w:tcW w:w="729" w:type="pct"/>
            <w:vAlign w:val="center"/>
          </w:tcPr>
          <w:p w14:paraId="499E375D">
            <w:pPr>
              <w:snapToGrid w:val="0"/>
              <w:spacing w:line="240" w:lineRule="atLeast"/>
              <w:jc w:val="center"/>
              <w:rPr>
                <w:rFonts w:ascii="宋体" w:hAnsi="宋体"/>
                <w:sz w:val="24"/>
              </w:rPr>
            </w:pPr>
            <w:r>
              <w:rPr>
                <w:rFonts w:hint="eastAsia" w:ascii="宋体" w:hAnsi="宋体"/>
                <w:sz w:val="24"/>
              </w:rPr>
              <w:t>建设单位</w:t>
            </w:r>
          </w:p>
        </w:tc>
        <w:tc>
          <w:tcPr>
            <w:tcW w:w="721" w:type="pct"/>
            <w:vAlign w:val="center"/>
          </w:tcPr>
          <w:p w14:paraId="162E8E93">
            <w:pPr>
              <w:snapToGrid w:val="0"/>
              <w:spacing w:line="240" w:lineRule="atLeast"/>
              <w:jc w:val="center"/>
              <w:rPr>
                <w:rFonts w:ascii="宋体" w:hAnsi="宋体"/>
                <w:sz w:val="24"/>
              </w:rPr>
            </w:pPr>
            <w:r>
              <w:rPr>
                <w:rFonts w:hint="eastAsia" w:ascii="宋体" w:hAnsi="宋体"/>
                <w:sz w:val="24"/>
              </w:rPr>
              <w:t>合同价</w:t>
            </w:r>
          </w:p>
          <w:p w14:paraId="52A8EC12">
            <w:pPr>
              <w:snapToGrid w:val="0"/>
              <w:spacing w:line="240" w:lineRule="atLeast"/>
              <w:jc w:val="center"/>
              <w:rPr>
                <w:rFonts w:ascii="宋体" w:hAnsi="宋体"/>
                <w:sz w:val="24"/>
              </w:rPr>
            </w:pPr>
            <w:r>
              <w:rPr>
                <w:rFonts w:hint="eastAsia" w:ascii="宋体" w:hAnsi="宋体"/>
                <w:sz w:val="24"/>
              </w:rPr>
              <w:t>（万元）</w:t>
            </w:r>
          </w:p>
        </w:tc>
        <w:tc>
          <w:tcPr>
            <w:tcW w:w="560" w:type="pct"/>
            <w:vAlign w:val="center"/>
          </w:tcPr>
          <w:p w14:paraId="7746D9EA">
            <w:pPr>
              <w:snapToGrid w:val="0"/>
              <w:spacing w:line="240" w:lineRule="atLeast"/>
              <w:jc w:val="center"/>
              <w:rPr>
                <w:rFonts w:ascii="宋体" w:hAnsi="宋体"/>
                <w:sz w:val="24"/>
              </w:rPr>
            </w:pPr>
            <w:r>
              <w:rPr>
                <w:rFonts w:hint="eastAsia" w:ascii="宋体" w:hAnsi="宋体"/>
                <w:sz w:val="24"/>
              </w:rPr>
              <w:t>起止时间</w:t>
            </w:r>
          </w:p>
        </w:tc>
        <w:tc>
          <w:tcPr>
            <w:tcW w:w="1100" w:type="pct"/>
            <w:vAlign w:val="center"/>
          </w:tcPr>
          <w:p w14:paraId="694C62BD">
            <w:pPr>
              <w:snapToGrid w:val="0"/>
              <w:spacing w:line="240" w:lineRule="atLeast"/>
              <w:jc w:val="center"/>
              <w:rPr>
                <w:rFonts w:ascii="宋体" w:hAnsi="宋体"/>
                <w:sz w:val="24"/>
              </w:rPr>
            </w:pPr>
            <w:r>
              <w:rPr>
                <w:rFonts w:hint="eastAsia" w:ascii="宋体" w:hAnsi="宋体"/>
                <w:sz w:val="24"/>
              </w:rPr>
              <w:t>工程所在地址</w:t>
            </w:r>
          </w:p>
        </w:tc>
        <w:tc>
          <w:tcPr>
            <w:tcW w:w="523" w:type="pct"/>
            <w:vAlign w:val="center"/>
          </w:tcPr>
          <w:p w14:paraId="000D2784">
            <w:pPr>
              <w:snapToGrid w:val="0"/>
              <w:spacing w:line="240" w:lineRule="atLeast"/>
              <w:jc w:val="center"/>
              <w:rPr>
                <w:rFonts w:ascii="宋体" w:hAnsi="宋体"/>
                <w:sz w:val="24"/>
              </w:rPr>
            </w:pPr>
            <w:r>
              <w:rPr>
                <w:rFonts w:hint="eastAsia" w:ascii="宋体" w:hAnsi="宋体"/>
                <w:sz w:val="24"/>
              </w:rPr>
              <w:t>备注</w:t>
            </w:r>
          </w:p>
        </w:tc>
      </w:tr>
      <w:tr w14:paraId="2030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15" w:type="pct"/>
            <w:vAlign w:val="center"/>
          </w:tcPr>
          <w:p w14:paraId="58716D5B">
            <w:pPr>
              <w:spacing w:line="240" w:lineRule="atLeast"/>
              <w:jc w:val="center"/>
              <w:rPr>
                <w:rFonts w:ascii="宋体" w:hAnsi="宋体"/>
                <w:sz w:val="24"/>
              </w:rPr>
            </w:pPr>
          </w:p>
        </w:tc>
        <w:tc>
          <w:tcPr>
            <w:tcW w:w="1048" w:type="pct"/>
            <w:vAlign w:val="center"/>
          </w:tcPr>
          <w:p w14:paraId="7BD386BF">
            <w:pPr>
              <w:spacing w:line="240" w:lineRule="atLeast"/>
              <w:jc w:val="center"/>
              <w:rPr>
                <w:rFonts w:ascii="宋体" w:hAnsi="宋体"/>
                <w:sz w:val="24"/>
              </w:rPr>
            </w:pPr>
          </w:p>
        </w:tc>
        <w:tc>
          <w:tcPr>
            <w:tcW w:w="729" w:type="pct"/>
            <w:vAlign w:val="center"/>
          </w:tcPr>
          <w:p w14:paraId="6789AD4A">
            <w:pPr>
              <w:spacing w:line="240" w:lineRule="atLeast"/>
              <w:jc w:val="center"/>
              <w:rPr>
                <w:rFonts w:ascii="宋体" w:hAnsi="宋体"/>
                <w:sz w:val="24"/>
              </w:rPr>
            </w:pPr>
          </w:p>
        </w:tc>
        <w:tc>
          <w:tcPr>
            <w:tcW w:w="721" w:type="pct"/>
            <w:vAlign w:val="center"/>
          </w:tcPr>
          <w:p w14:paraId="5E8EA110">
            <w:pPr>
              <w:spacing w:line="240" w:lineRule="atLeast"/>
              <w:jc w:val="center"/>
              <w:rPr>
                <w:rFonts w:ascii="宋体" w:hAnsi="宋体"/>
                <w:sz w:val="24"/>
              </w:rPr>
            </w:pPr>
          </w:p>
        </w:tc>
        <w:tc>
          <w:tcPr>
            <w:tcW w:w="560" w:type="pct"/>
            <w:vAlign w:val="center"/>
          </w:tcPr>
          <w:p w14:paraId="4709581D">
            <w:pPr>
              <w:spacing w:line="240" w:lineRule="atLeast"/>
              <w:jc w:val="center"/>
              <w:rPr>
                <w:rFonts w:ascii="宋体" w:hAnsi="宋体"/>
                <w:sz w:val="24"/>
              </w:rPr>
            </w:pPr>
          </w:p>
        </w:tc>
        <w:tc>
          <w:tcPr>
            <w:tcW w:w="1100" w:type="pct"/>
            <w:vAlign w:val="center"/>
          </w:tcPr>
          <w:p w14:paraId="5F717818">
            <w:pPr>
              <w:spacing w:line="240" w:lineRule="atLeast"/>
              <w:jc w:val="center"/>
              <w:rPr>
                <w:rFonts w:ascii="宋体" w:hAnsi="宋体"/>
                <w:sz w:val="24"/>
              </w:rPr>
            </w:pPr>
          </w:p>
        </w:tc>
        <w:tc>
          <w:tcPr>
            <w:tcW w:w="523" w:type="pct"/>
            <w:vAlign w:val="center"/>
          </w:tcPr>
          <w:p w14:paraId="5E2ADD35">
            <w:pPr>
              <w:spacing w:line="240" w:lineRule="atLeast"/>
              <w:jc w:val="center"/>
              <w:rPr>
                <w:rFonts w:ascii="宋体" w:hAnsi="宋体"/>
                <w:sz w:val="24"/>
              </w:rPr>
            </w:pPr>
          </w:p>
        </w:tc>
      </w:tr>
      <w:tr w14:paraId="73BB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46871F5C">
            <w:pPr>
              <w:spacing w:line="240" w:lineRule="atLeast"/>
              <w:jc w:val="center"/>
              <w:rPr>
                <w:rFonts w:ascii="宋体" w:hAnsi="宋体"/>
                <w:sz w:val="24"/>
              </w:rPr>
            </w:pPr>
          </w:p>
        </w:tc>
        <w:tc>
          <w:tcPr>
            <w:tcW w:w="1048" w:type="pct"/>
            <w:vAlign w:val="center"/>
          </w:tcPr>
          <w:p w14:paraId="3E27BC3D">
            <w:pPr>
              <w:spacing w:line="240" w:lineRule="atLeast"/>
              <w:jc w:val="center"/>
              <w:rPr>
                <w:rFonts w:ascii="宋体" w:hAnsi="宋体"/>
                <w:sz w:val="24"/>
              </w:rPr>
            </w:pPr>
          </w:p>
        </w:tc>
        <w:tc>
          <w:tcPr>
            <w:tcW w:w="729" w:type="pct"/>
            <w:vAlign w:val="center"/>
          </w:tcPr>
          <w:p w14:paraId="391D3709">
            <w:pPr>
              <w:spacing w:line="240" w:lineRule="atLeast"/>
              <w:jc w:val="center"/>
              <w:rPr>
                <w:rFonts w:ascii="宋体" w:hAnsi="宋体"/>
                <w:sz w:val="24"/>
              </w:rPr>
            </w:pPr>
          </w:p>
        </w:tc>
        <w:tc>
          <w:tcPr>
            <w:tcW w:w="721" w:type="pct"/>
            <w:vAlign w:val="center"/>
          </w:tcPr>
          <w:p w14:paraId="1590495D">
            <w:pPr>
              <w:spacing w:line="240" w:lineRule="atLeast"/>
              <w:jc w:val="center"/>
              <w:rPr>
                <w:rFonts w:ascii="宋体" w:hAnsi="宋体"/>
                <w:sz w:val="24"/>
              </w:rPr>
            </w:pPr>
          </w:p>
        </w:tc>
        <w:tc>
          <w:tcPr>
            <w:tcW w:w="560" w:type="pct"/>
            <w:vAlign w:val="center"/>
          </w:tcPr>
          <w:p w14:paraId="1D26DE87">
            <w:pPr>
              <w:spacing w:line="240" w:lineRule="atLeast"/>
              <w:jc w:val="center"/>
              <w:rPr>
                <w:rFonts w:ascii="宋体" w:hAnsi="宋体"/>
                <w:sz w:val="24"/>
              </w:rPr>
            </w:pPr>
          </w:p>
        </w:tc>
        <w:tc>
          <w:tcPr>
            <w:tcW w:w="1100" w:type="pct"/>
            <w:vAlign w:val="center"/>
          </w:tcPr>
          <w:p w14:paraId="16C51398">
            <w:pPr>
              <w:spacing w:line="240" w:lineRule="atLeast"/>
              <w:jc w:val="center"/>
              <w:rPr>
                <w:rFonts w:ascii="宋体" w:hAnsi="宋体"/>
                <w:sz w:val="24"/>
              </w:rPr>
            </w:pPr>
          </w:p>
        </w:tc>
        <w:tc>
          <w:tcPr>
            <w:tcW w:w="523" w:type="pct"/>
            <w:vAlign w:val="center"/>
          </w:tcPr>
          <w:p w14:paraId="6F56BE27">
            <w:pPr>
              <w:spacing w:line="240" w:lineRule="atLeast"/>
              <w:jc w:val="center"/>
              <w:rPr>
                <w:rFonts w:ascii="宋体" w:hAnsi="宋体"/>
                <w:sz w:val="24"/>
              </w:rPr>
            </w:pPr>
          </w:p>
        </w:tc>
      </w:tr>
      <w:tr w14:paraId="755D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1D77E7B6">
            <w:pPr>
              <w:spacing w:line="240" w:lineRule="atLeast"/>
              <w:jc w:val="center"/>
              <w:rPr>
                <w:rFonts w:ascii="宋体" w:hAnsi="宋体"/>
                <w:sz w:val="24"/>
              </w:rPr>
            </w:pPr>
          </w:p>
        </w:tc>
        <w:tc>
          <w:tcPr>
            <w:tcW w:w="1048" w:type="pct"/>
            <w:vAlign w:val="center"/>
          </w:tcPr>
          <w:p w14:paraId="6F08C787">
            <w:pPr>
              <w:spacing w:line="240" w:lineRule="atLeast"/>
              <w:jc w:val="center"/>
              <w:rPr>
                <w:rFonts w:ascii="宋体" w:hAnsi="宋体"/>
                <w:sz w:val="24"/>
              </w:rPr>
            </w:pPr>
          </w:p>
        </w:tc>
        <w:tc>
          <w:tcPr>
            <w:tcW w:w="729" w:type="pct"/>
            <w:vAlign w:val="center"/>
          </w:tcPr>
          <w:p w14:paraId="035DED8D">
            <w:pPr>
              <w:spacing w:line="240" w:lineRule="atLeast"/>
              <w:jc w:val="center"/>
              <w:rPr>
                <w:rFonts w:ascii="宋体" w:hAnsi="宋体"/>
                <w:sz w:val="24"/>
              </w:rPr>
            </w:pPr>
          </w:p>
        </w:tc>
        <w:tc>
          <w:tcPr>
            <w:tcW w:w="721" w:type="pct"/>
            <w:vAlign w:val="center"/>
          </w:tcPr>
          <w:p w14:paraId="6E18E910">
            <w:pPr>
              <w:spacing w:line="240" w:lineRule="atLeast"/>
              <w:jc w:val="center"/>
              <w:rPr>
                <w:rFonts w:ascii="宋体" w:hAnsi="宋体"/>
                <w:sz w:val="24"/>
              </w:rPr>
            </w:pPr>
          </w:p>
        </w:tc>
        <w:tc>
          <w:tcPr>
            <w:tcW w:w="560" w:type="pct"/>
            <w:vAlign w:val="center"/>
          </w:tcPr>
          <w:p w14:paraId="6BA2DA70">
            <w:pPr>
              <w:spacing w:line="240" w:lineRule="atLeast"/>
              <w:jc w:val="center"/>
              <w:rPr>
                <w:rFonts w:ascii="宋体" w:hAnsi="宋体"/>
                <w:sz w:val="24"/>
              </w:rPr>
            </w:pPr>
          </w:p>
        </w:tc>
        <w:tc>
          <w:tcPr>
            <w:tcW w:w="1100" w:type="pct"/>
            <w:vAlign w:val="center"/>
          </w:tcPr>
          <w:p w14:paraId="5A4E8F2F">
            <w:pPr>
              <w:spacing w:line="240" w:lineRule="atLeast"/>
              <w:jc w:val="center"/>
              <w:rPr>
                <w:rFonts w:ascii="宋体" w:hAnsi="宋体"/>
                <w:sz w:val="24"/>
              </w:rPr>
            </w:pPr>
          </w:p>
        </w:tc>
        <w:tc>
          <w:tcPr>
            <w:tcW w:w="523" w:type="pct"/>
            <w:vAlign w:val="center"/>
          </w:tcPr>
          <w:p w14:paraId="66461B9A">
            <w:pPr>
              <w:spacing w:line="240" w:lineRule="atLeast"/>
              <w:jc w:val="center"/>
              <w:rPr>
                <w:rFonts w:ascii="宋体" w:hAnsi="宋体"/>
                <w:sz w:val="24"/>
              </w:rPr>
            </w:pPr>
          </w:p>
        </w:tc>
      </w:tr>
      <w:tr w14:paraId="4CCD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0EA0B3CA">
            <w:pPr>
              <w:spacing w:line="240" w:lineRule="atLeast"/>
              <w:jc w:val="center"/>
              <w:rPr>
                <w:rFonts w:ascii="宋体" w:hAnsi="宋体"/>
                <w:sz w:val="24"/>
              </w:rPr>
            </w:pPr>
          </w:p>
        </w:tc>
        <w:tc>
          <w:tcPr>
            <w:tcW w:w="1048" w:type="pct"/>
            <w:vAlign w:val="center"/>
          </w:tcPr>
          <w:p w14:paraId="407240E9">
            <w:pPr>
              <w:spacing w:line="240" w:lineRule="atLeast"/>
              <w:jc w:val="center"/>
              <w:rPr>
                <w:rFonts w:ascii="宋体" w:hAnsi="宋体"/>
                <w:sz w:val="24"/>
              </w:rPr>
            </w:pPr>
          </w:p>
        </w:tc>
        <w:tc>
          <w:tcPr>
            <w:tcW w:w="729" w:type="pct"/>
            <w:vAlign w:val="center"/>
          </w:tcPr>
          <w:p w14:paraId="1E4C6AFF">
            <w:pPr>
              <w:spacing w:line="240" w:lineRule="atLeast"/>
              <w:jc w:val="center"/>
              <w:rPr>
                <w:rFonts w:ascii="宋体" w:hAnsi="宋体"/>
                <w:sz w:val="24"/>
              </w:rPr>
            </w:pPr>
          </w:p>
        </w:tc>
        <w:tc>
          <w:tcPr>
            <w:tcW w:w="721" w:type="pct"/>
            <w:vAlign w:val="center"/>
          </w:tcPr>
          <w:p w14:paraId="379B7ED3">
            <w:pPr>
              <w:spacing w:line="240" w:lineRule="atLeast"/>
              <w:jc w:val="center"/>
              <w:rPr>
                <w:rFonts w:ascii="宋体" w:hAnsi="宋体"/>
                <w:sz w:val="24"/>
              </w:rPr>
            </w:pPr>
          </w:p>
        </w:tc>
        <w:tc>
          <w:tcPr>
            <w:tcW w:w="560" w:type="pct"/>
            <w:vAlign w:val="center"/>
          </w:tcPr>
          <w:p w14:paraId="19C7CFBB">
            <w:pPr>
              <w:spacing w:line="240" w:lineRule="atLeast"/>
              <w:jc w:val="center"/>
              <w:rPr>
                <w:rFonts w:ascii="宋体" w:hAnsi="宋体"/>
                <w:sz w:val="24"/>
              </w:rPr>
            </w:pPr>
          </w:p>
        </w:tc>
        <w:tc>
          <w:tcPr>
            <w:tcW w:w="1100" w:type="pct"/>
            <w:vAlign w:val="center"/>
          </w:tcPr>
          <w:p w14:paraId="7E5B5676">
            <w:pPr>
              <w:spacing w:line="240" w:lineRule="atLeast"/>
              <w:jc w:val="center"/>
              <w:rPr>
                <w:rFonts w:ascii="宋体" w:hAnsi="宋体"/>
                <w:sz w:val="24"/>
              </w:rPr>
            </w:pPr>
          </w:p>
        </w:tc>
        <w:tc>
          <w:tcPr>
            <w:tcW w:w="523" w:type="pct"/>
            <w:vAlign w:val="center"/>
          </w:tcPr>
          <w:p w14:paraId="3F4BB146">
            <w:pPr>
              <w:spacing w:line="240" w:lineRule="atLeast"/>
              <w:jc w:val="center"/>
              <w:rPr>
                <w:rFonts w:ascii="宋体" w:hAnsi="宋体"/>
                <w:sz w:val="24"/>
              </w:rPr>
            </w:pPr>
          </w:p>
        </w:tc>
      </w:tr>
      <w:tr w14:paraId="771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02550240">
            <w:pPr>
              <w:spacing w:line="240" w:lineRule="atLeast"/>
              <w:jc w:val="center"/>
              <w:rPr>
                <w:rFonts w:ascii="宋体" w:hAnsi="宋体"/>
                <w:sz w:val="24"/>
              </w:rPr>
            </w:pPr>
          </w:p>
        </w:tc>
        <w:tc>
          <w:tcPr>
            <w:tcW w:w="1048" w:type="pct"/>
            <w:vAlign w:val="center"/>
          </w:tcPr>
          <w:p w14:paraId="60D76591">
            <w:pPr>
              <w:spacing w:line="240" w:lineRule="atLeast"/>
              <w:jc w:val="center"/>
              <w:rPr>
                <w:rFonts w:ascii="宋体" w:hAnsi="宋体"/>
                <w:sz w:val="24"/>
              </w:rPr>
            </w:pPr>
          </w:p>
        </w:tc>
        <w:tc>
          <w:tcPr>
            <w:tcW w:w="729" w:type="pct"/>
            <w:vAlign w:val="center"/>
          </w:tcPr>
          <w:p w14:paraId="7EC41963">
            <w:pPr>
              <w:spacing w:line="240" w:lineRule="atLeast"/>
              <w:jc w:val="center"/>
              <w:rPr>
                <w:rFonts w:ascii="宋体" w:hAnsi="宋体"/>
                <w:sz w:val="24"/>
              </w:rPr>
            </w:pPr>
          </w:p>
        </w:tc>
        <w:tc>
          <w:tcPr>
            <w:tcW w:w="721" w:type="pct"/>
            <w:vAlign w:val="center"/>
          </w:tcPr>
          <w:p w14:paraId="12840381">
            <w:pPr>
              <w:spacing w:line="240" w:lineRule="atLeast"/>
              <w:jc w:val="center"/>
              <w:rPr>
                <w:rFonts w:ascii="宋体" w:hAnsi="宋体"/>
                <w:sz w:val="24"/>
              </w:rPr>
            </w:pPr>
          </w:p>
        </w:tc>
        <w:tc>
          <w:tcPr>
            <w:tcW w:w="560" w:type="pct"/>
            <w:vAlign w:val="center"/>
          </w:tcPr>
          <w:p w14:paraId="060BC831">
            <w:pPr>
              <w:spacing w:line="240" w:lineRule="atLeast"/>
              <w:jc w:val="center"/>
              <w:rPr>
                <w:rFonts w:ascii="宋体" w:hAnsi="宋体"/>
                <w:sz w:val="24"/>
              </w:rPr>
            </w:pPr>
          </w:p>
        </w:tc>
        <w:tc>
          <w:tcPr>
            <w:tcW w:w="1100" w:type="pct"/>
            <w:vAlign w:val="center"/>
          </w:tcPr>
          <w:p w14:paraId="704F90C5">
            <w:pPr>
              <w:spacing w:line="240" w:lineRule="atLeast"/>
              <w:jc w:val="center"/>
              <w:rPr>
                <w:rFonts w:ascii="宋体" w:hAnsi="宋体"/>
                <w:sz w:val="24"/>
              </w:rPr>
            </w:pPr>
          </w:p>
        </w:tc>
        <w:tc>
          <w:tcPr>
            <w:tcW w:w="523" w:type="pct"/>
            <w:vAlign w:val="center"/>
          </w:tcPr>
          <w:p w14:paraId="7A116990">
            <w:pPr>
              <w:spacing w:line="240" w:lineRule="atLeast"/>
              <w:jc w:val="center"/>
              <w:rPr>
                <w:rFonts w:ascii="宋体" w:hAnsi="宋体"/>
                <w:sz w:val="24"/>
              </w:rPr>
            </w:pPr>
          </w:p>
        </w:tc>
      </w:tr>
      <w:tr w14:paraId="2953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26AD3DC5">
            <w:pPr>
              <w:spacing w:line="240" w:lineRule="atLeast"/>
              <w:jc w:val="center"/>
              <w:rPr>
                <w:rFonts w:ascii="宋体" w:hAnsi="宋体"/>
                <w:sz w:val="24"/>
              </w:rPr>
            </w:pPr>
          </w:p>
        </w:tc>
        <w:tc>
          <w:tcPr>
            <w:tcW w:w="1048" w:type="pct"/>
            <w:vAlign w:val="center"/>
          </w:tcPr>
          <w:p w14:paraId="4BFCF06D">
            <w:pPr>
              <w:spacing w:line="240" w:lineRule="atLeast"/>
              <w:jc w:val="center"/>
              <w:rPr>
                <w:rFonts w:ascii="宋体" w:hAnsi="宋体"/>
                <w:sz w:val="24"/>
              </w:rPr>
            </w:pPr>
          </w:p>
        </w:tc>
        <w:tc>
          <w:tcPr>
            <w:tcW w:w="729" w:type="pct"/>
            <w:vAlign w:val="center"/>
          </w:tcPr>
          <w:p w14:paraId="7EC64C36">
            <w:pPr>
              <w:spacing w:line="240" w:lineRule="atLeast"/>
              <w:jc w:val="center"/>
              <w:rPr>
                <w:rFonts w:ascii="宋体" w:hAnsi="宋体"/>
                <w:sz w:val="24"/>
              </w:rPr>
            </w:pPr>
          </w:p>
        </w:tc>
        <w:tc>
          <w:tcPr>
            <w:tcW w:w="721" w:type="pct"/>
            <w:vAlign w:val="center"/>
          </w:tcPr>
          <w:p w14:paraId="7D88704B">
            <w:pPr>
              <w:spacing w:line="240" w:lineRule="atLeast"/>
              <w:jc w:val="center"/>
              <w:rPr>
                <w:rFonts w:ascii="宋体" w:hAnsi="宋体"/>
                <w:sz w:val="24"/>
              </w:rPr>
            </w:pPr>
          </w:p>
        </w:tc>
        <w:tc>
          <w:tcPr>
            <w:tcW w:w="560" w:type="pct"/>
            <w:vAlign w:val="center"/>
          </w:tcPr>
          <w:p w14:paraId="27156B6F">
            <w:pPr>
              <w:spacing w:line="240" w:lineRule="atLeast"/>
              <w:jc w:val="center"/>
              <w:rPr>
                <w:rFonts w:ascii="宋体" w:hAnsi="宋体"/>
                <w:sz w:val="24"/>
              </w:rPr>
            </w:pPr>
          </w:p>
        </w:tc>
        <w:tc>
          <w:tcPr>
            <w:tcW w:w="1100" w:type="pct"/>
            <w:vAlign w:val="center"/>
          </w:tcPr>
          <w:p w14:paraId="20D78B0A">
            <w:pPr>
              <w:spacing w:line="240" w:lineRule="atLeast"/>
              <w:jc w:val="center"/>
              <w:rPr>
                <w:rFonts w:ascii="宋体" w:hAnsi="宋体"/>
                <w:sz w:val="24"/>
              </w:rPr>
            </w:pPr>
          </w:p>
        </w:tc>
        <w:tc>
          <w:tcPr>
            <w:tcW w:w="523" w:type="pct"/>
            <w:vAlign w:val="center"/>
          </w:tcPr>
          <w:p w14:paraId="4B71BC93">
            <w:pPr>
              <w:spacing w:line="240" w:lineRule="atLeast"/>
              <w:jc w:val="center"/>
              <w:rPr>
                <w:rFonts w:ascii="宋体" w:hAnsi="宋体"/>
                <w:sz w:val="24"/>
              </w:rPr>
            </w:pPr>
          </w:p>
        </w:tc>
      </w:tr>
      <w:tr w14:paraId="1166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1FA36ABB">
            <w:pPr>
              <w:spacing w:line="240" w:lineRule="atLeast"/>
              <w:jc w:val="center"/>
              <w:rPr>
                <w:rFonts w:ascii="宋体" w:hAnsi="宋体"/>
                <w:sz w:val="24"/>
              </w:rPr>
            </w:pPr>
          </w:p>
        </w:tc>
        <w:tc>
          <w:tcPr>
            <w:tcW w:w="1048" w:type="pct"/>
            <w:vAlign w:val="center"/>
          </w:tcPr>
          <w:p w14:paraId="566431D3">
            <w:pPr>
              <w:spacing w:line="240" w:lineRule="atLeast"/>
              <w:jc w:val="center"/>
              <w:rPr>
                <w:rFonts w:ascii="宋体" w:hAnsi="宋体"/>
                <w:sz w:val="24"/>
              </w:rPr>
            </w:pPr>
          </w:p>
        </w:tc>
        <w:tc>
          <w:tcPr>
            <w:tcW w:w="729" w:type="pct"/>
            <w:vAlign w:val="center"/>
          </w:tcPr>
          <w:p w14:paraId="3707398D">
            <w:pPr>
              <w:spacing w:line="240" w:lineRule="atLeast"/>
              <w:jc w:val="center"/>
              <w:rPr>
                <w:rFonts w:ascii="宋体" w:hAnsi="宋体"/>
                <w:sz w:val="24"/>
              </w:rPr>
            </w:pPr>
          </w:p>
        </w:tc>
        <w:tc>
          <w:tcPr>
            <w:tcW w:w="721" w:type="pct"/>
            <w:vAlign w:val="center"/>
          </w:tcPr>
          <w:p w14:paraId="2D523C26">
            <w:pPr>
              <w:spacing w:line="240" w:lineRule="atLeast"/>
              <w:jc w:val="center"/>
              <w:rPr>
                <w:rFonts w:ascii="宋体" w:hAnsi="宋体"/>
                <w:sz w:val="24"/>
              </w:rPr>
            </w:pPr>
          </w:p>
        </w:tc>
        <w:tc>
          <w:tcPr>
            <w:tcW w:w="560" w:type="pct"/>
            <w:vAlign w:val="center"/>
          </w:tcPr>
          <w:p w14:paraId="0CE0C88E">
            <w:pPr>
              <w:spacing w:line="240" w:lineRule="atLeast"/>
              <w:jc w:val="center"/>
              <w:rPr>
                <w:rFonts w:ascii="宋体" w:hAnsi="宋体"/>
                <w:sz w:val="24"/>
              </w:rPr>
            </w:pPr>
          </w:p>
        </w:tc>
        <w:tc>
          <w:tcPr>
            <w:tcW w:w="1100" w:type="pct"/>
            <w:vAlign w:val="center"/>
          </w:tcPr>
          <w:p w14:paraId="4C407311">
            <w:pPr>
              <w:spacing w:line="240" w:lineRule="atLeast"/>
              <w:jc w:val="center"/>
              <w:rPr>
                <w:rFonts w:ascii="宋体" w:hAnsi="宋体"/>
                <w:sz w:val="24"/>
              </w:rPr>
            </w:pPr>
          </w:p>
        </w:tc>
        <w:tc>
          <w:tcPr>
            <w:tcW w:w="523" w:type="pct"/>
            <w:vAlign w:val="center"/>
          </w:tcPr>
          <w:p w14:paraId="253755DD">
            <w:pPr>
              <w:spacing w:line="240" w:lineRule="atLeast"/>
              <w:jc w:val="center"/>
              <w:rPr>
                <w:rFonts w:ascii="宋体" w:hAnsi="宋体"/>
                <w:sz w:val="24"/>
              </w:rPr>
            </w:pPr>
          </w:p>
        </w:tc>
      </w:tr>
      <w:tr w14:paraId="1EFE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4671CE0D">
            <w:pPr>
              <w:spacing w:line="240" w:lineRule="atLeast"/>
              <w:jc w:val="center"/>
              <w:rPr>
                <w:rFonts w:ascii="宋体" w:hAnsi="宋体"/>
                <w:sz w:val="24"/>
              </w:rPr>
            </w:pPr>
          </w:p>
        </w:tc>
        <w:tc>
          <w:tcPr>
            <w:tcW w:w="1048" w:type="pct"/>
            <w:vAlign w:val="center"/>
          </w:tcPr>
          <w:p w14:paraId="261AD149">
            <w:pPr>
              <w:spacing w:line="240" w:lineRule="atLeast"/>
              <w:jc w:val="center"/>
              <w:rPr>
                <w:rFonts w:ascii="宋体" w:hAnsi="宋体"/>
                <w:sz w:val="24"/>
              </w:rPr>
            </w:pPr>
          </w:p>
        </w:tc>
        <w:tc>
          <w:tcPr>
            <w:tcW w:w="729" w:type="pct"/>
            <w:vAlign w:val="center"/>
          </w:tcPr>
          <w:p w14:paraId="4778C1D4">
            <w:pPr>
              <w:spacing w:line="240" w:lineRule="atLeast"/>
              <w:jc w:val="center"/>
              <w:rPr>
                <w:rFonts w:ascii="宋体" w:hAnsi="宋体"/>
                <w:sz w:val="24"/>
              </w:rPr>
            </w:pPr>
          </w:p>
        </w:tc>
        <w:tc>
          <w:tcPr>
            <w:tcW w:w="721" w:type="pct"/>
            <w:vAlign w:val="center"/>
          </w:tcPr>
          <w:p w14:paraId="1628AE51">
            <w:pPr>
              <w:spacing w:line="240" w:lineRule="atLeast"/>
              <w:jc w:val="center"/>
              <w:rPr>
                <w:rFonts w:ascii="宋体" w:hAnsi="宋体"/>
                <w:sz w:val="24"/>
              </w:rPr>
            </w:pPr>
          </w:p>
        </w:tc>
        <w:tc>
          <w:tcPr>
            <w:tcW w:w="560" w:type="pct"/>
            <w:vAlign w:val="center"/>
          </w:tcPr>
          <w:p w14:paraId="19B1601C">
            <w:pPr>
              <w:spacing w:line="240" w:lineRule="atLeast"/>
              <w:jc w:val="center"/>
              <w:rPr>
                <w:rFonts w:ascii="宋体" w:hAnsi="宋体"/>
                <w:sz w:val="24"/>
              </w:rPr>
            </w:pPr>
          </w:p>
        </w:tc>
        <w:tc>
          <w:tcPr>
            <w:tcW w:w="1100" w:type="pct"/>
            <w:vAlign w:val="center"/>
          </w:tcPr>
          <w:p w14:paraId="02689324">
            <w:pPr>
              <w:spacing w:line="240" w:lineRule="atLeast"/>
              <w:jc w:val="center"/>
              <w:rPr>
                <w:rFonts w:ascii="宋体" w:hAnsi="宋体"/>
                <w:sz w:val="24"/>
              </w:rPr>
            </w:pPr>
          </w:p>
        </w:tc>
        <w:tc>
          <w:tcPr>
            <w:tcW w:w="523" w:type="pct"/>
            <w:vAlign w:val="center"/>
          </w:tcPr>
          <w:p w14:paraId="3B345E0F">
            <w:pPr>
              <w:spacing w:line="240" w:lineRule="atLeast"/>
              <w:jc w:val="center"/>
              <w:rPr>
                <w:rFonts w:ascii="宋体" w:hAnsi="宋体"/>
                <w:sz w:val="24"/>
              </w:rPr>
            </w:pPr>
          </w:p>
        </w:tc>
      </w:tr>
      <w:tr w14:paraId="0DFF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7F121FBA">
            <w:pPr>
              <w:spacing w:line="240" w:lineRule="atLeast"/>
              <w:jc w:val="center"/>
              <w:rPr>
                <w:rFonts w:ascii="宋体" w:hAnsi="宋体"/>
                <w:sz w:val="24"/>
              </w:rPr>
            </w:pPr>
          </w:p>
        </w:tc>
        <w:tc>
          <w:tcPr>
            <w:tcW w:w="1048" w:type="pct"/>
            <w:vAlign w:val="center"/>
          </w:tcPr>
          <w:p w14:paraId="385D5095">
            <w:pPr>
              <w:spacing w:line="240" w:lineRule="atLeast"/>
              <w:jc w:val="center"/>
              <w:rPr>
                <w:rFonts w:ascii="宋体" w:hAnsi="宋体"/>
                <w:sz w:val="24"/>
              </w:rPr>
            </w:pPr>
          </w:p>
        </w:tc>
        <w:tc>
          <w:tcPr>
            <w:tcW w:w="729" w:type="pct"/>
            <w:vAlign w:val="center"/>
          </w:tcPr>
          <w:p w14:paraId="20B0B0D0">
            <w:pPr>
              <w:spacing w:line="240" w:lineRule="atLeast"/>
              <w:jc w:val="center"/>
              <w:rPr>
                <w:rFonts w:ascii="宋体" w:hAnsi="宋体"/>
                <w:sz w:val="24"/>
              </w:rPr>
            </w:pPr>
          </w:p>
        </w:tc>
        <w:tc>
          <w:tcPr>
            <w:tcW w:w="721" w:type="pct"/>
            <w:vAlign w:val="center"/>
          </w:tcPr>
          <w:p w14:paraId="6510AFC9">
            <w:pPr>
              <w:spacing w:line="240" w:lineRule="atLeast"/>
              <w:jc w:val="center"/>
              <w:rPr>
                <w:rFonts w:ascii="宋体" w:hAnsi="宋体"/>
                <w:sz w:val="24"/>
              </w:rPr>
            </w:pPr>
          </w:p>
        </w:tc>
        <w:tc>
          <w:tcPr>
            <w:tcW w:w="560" w:type="pct"/>
            <w:vAlign w:val="center"/>
          </w:tcPr>
          <w:p w14:paraId="4BF4B642">
            <w:pPr>
              <w:spacing w:line="240" w:lineRule="atLeast"/>
              <w:jc w:val="center"/>
              <w:rPr>
                <w:rFonts w:ascii="宋体" w:hAnsi="宋体"/>
                <w:sz w:val="24"/>
              </w:rPr>
            </w:pPr>
          </w:p>
        </w:tc>
        <w:tc>
          <w:tcPr>
            <w:tcW w:w="1100" w:type="pct"/>
            <w:vAlign w:val="center"/>
          </w:tcPr>
          <w:p w14:paraId="736B15E2">
            <w:pPr>
              <w:spacing w:line="240" w:lineRule="atLeast"/>
              <w:jc w:val="center"/>
              <w:rPr>
                <w:rFonts w:ascii="宋体" w:hAnsi="宋体"/>
                <w:sz w:val="24"/>
              </w:rPr>
            </w:pPr>
          </w:p>
        </w:tc>
        <w:tc>
          <w:tcPr>
            <w:tcW w:w="523" w:type="pct"/>
            <w:vAlign w:val="center"/>
          </w:tcPr>
          <w:p w14:paraId="4FD6CC3C">
            <w:pPr>
              <w:spacing w:line="240" w:lineRule="atLeast"/>
              <w:jc w:val="center"/>
              <w:rPr>
                <w:rFonts w:ascii="宋体" w:hAnsi="宋体"/>
                <w:sz w:val="24"/>
              </w:rPr>
            </w:pPr>
          </w:p>
        </w:tc>
      </w:tr>
    </w:tbl>
    <w:p w14:paraId="2F92E9CA">
      <w:pPr>
        <w:widowControl/>
        <w:jc w:val="center"/>
        <w:rPr>
          <w:rFonts w:ascii="宋体" w:hAnsi="宋体" w:cs="宋体"/>
          <w:b/>
          <w:bCs/>
          <w:kern w:val="0"/>
          <w:szCs w:val="21"/>
        </w:rPr>
      </w:pPr>
      <w:r>
        <w:rPr>
          <w:rFonts w:hint="eastAsia" w:ascii="宋体" w:hAnsi="宋体" w:cs="宋体"/>
          <w:b/>
          <w:bCs/>
          <w:kern w:val="0"/>
          <w:szCs w:val="21"/>
        </w:rPr>
        <w:t xml:space="preserve"> </w:t>
      </w:r>
    </w:p>
    <w:p w14:paraId="70680625">
      <w:pPr>
        <w:pStyle w:val="27"/>
        <w:ind w:firstLine="0"/>
        <w:rPr>
          <w:rFonts w:ascii="宋体" w:hAnsi="宋体" w:cs="宋体"/>
          <w:b/>
          <w:bCs/>
          <w:kern w:val="0"/>
          <w:szCs w:val="21"/>
        </w:rPr>
      </w:pPr>
    </w:p>
    <w:bookmarkEnd w:id="240"/>
    <w:bookmarkEnd w:id="241"/>
    <w:p w14:paraId="1A7AFF7F">
      <w:pPr>
        <w:rPr>
          <w:rFonts w:ascii="宋体" w:hAnsi="宋体"/>
          <w:sz w:val="24"/>
        </w:rPr>
        <w:sectPr>
          <w:headerReference r:id="rId10" w:type="default"/>
          <w:pgSz w:w="11906" w:h="16838"/>
          <w:pgMar w:top="1440" w:right="1080" w:bottom="1440" w:left="1080" w:header="851" w:footer="1021" w:gutter="0"/>
          <w:cols w:space="720" w:num="1"/>
          <w:docGrid w:type="lines" w:linePitch="312" w:charSpace="0"/>
        </w:sectPr>
      </w:pPr>
    </w:p>
    <w:p w14:paraId="4C8E4889">
      <w:pPr>
        <w:pStyle w:val="6"/>
      </w:pPr>
      <w:bookmarkStart w:id="242" w:name="_Toc12219"/>
      <w:bookmarkStart w:id="243" w:name="_Toc3434"/>
      <w:r>
        <w:rPr>
          <w:rFonts w:hint="eastAsia"/>
          <w:lang w:val="en-US" w:eastAsia="zh-CN"/>
        </w:rPr>
        <w:t>六</w:t>
      </w:r>
      <w:r>
        <w:rPr>
          <w:rFonts w:hint="eastAsia"/>
        </w:rPr>
        <w:t>、拟投入本项目的检测人员一览表</w:t>
      </w:r>
      <w:bookmarkEnd w:id="242"/>
      <w:bookmarkEnd w:id="24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14:paraId="7925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14:paraId="20546706">
            <w:pPr>
              <w:snapToGrid w:val="0"/>
              <w:spacing w:line="240" w:lineRule="atLeast"/>
              <w:jc w:val="center"/>
              <w:rPr>
                <w:rFonts w:ascii="宋体" w:hAnsi="宋体"/>
                <w:sz w:val="24"/>
              </w:rPr>
            </w:pPr>
            <w:r>
              <w:rPr>
                <w:rFonts w:hint="eastAsia" w:ascii="宋体" w:hAnsi="宋体"/>
                <w:sz w:val="24"/>
              </w:rPr>
              <w:t>序号</w:t>
            </w:r>
          </w:p>
        </w:tc>
        <w:tc>
          <w:tcPr>
            <w:tcW w:w="939" w:type="dxa"/>
            <w:vAlign w:val="center"/>
          </w:tcPr>
          <w:p w14:paraId="0DC66041">
            <w:pPr>
              <w:snapToGrid w:val="0"/>
              <w:spacing w:line="240" w:lineRule="atLeast"/>
              <w:jc w:val="center"/>
              <w:rPr>
                <w:rFonts w:ascii="宋体" w:hAnsi="宋体"/>
                <w:sz w:val="24"/>
              </w:rPr>
            </w:pPr>
            <w:r>
              <w:rPr>
                <w:rFonts w:hint="eastAsia" w:ascii="宋体" w:hAnsi="宋体"/>
                <w:sz w:val="24"/>
              </w:rPr>
              <w:t>姓名</w:t>
            </w:r>
          </w:p>
        </w:tc>
        <w:tc>
          <w:tcPr>
            <w:tcW w:w="904" w:type="dxa"/>
            <w:vAlign w:val="center"/>
          </w:tcPr>
          <w:p w14:paraId="4779F563">
            <w:pPr>
              <w:snapToGrid w:val="0"/>
              <w:spacing w:line="240" w:lineRule="atLeast"/>
              <w:jc w:val="center"/>
              <w:rPr>
                <w:rFonts w:ascii="宋体" w:hAnsi="宋体"/>
                <w:sz w:val="24"/>
              </w:rPr>
            </w:pPr>
            <w:r>
              <w:rPr>
                <w:rFonts w:hint="eastAsia" w:ascii="宋体" w:hAnsi="宋体"/>
                <w:sz w:val="24"/>
              </w:rPr>
              <w:t>年龄</w:t>
            </w:r>
          </w:p>
        </w:tc>
        <w:tc>
          <w:tcPr>
            <w:tcW w:w="1484" w:type="dxa"/>
            <w:vAlign w:val="center"/>
          </w:tcPr>
          <w:p w14:paraId="141B54A5">
            <w:pPr>
              <w:snapToGrid w:val="0"/>
              <w:spacing w:line="240" w:lineRule="atLeast"/>
              <w:jc w:val="center"/>
              <w:rPr>
                <w:rFonts w:ascii="宋体" w:hAnsi="宋体"/>
                <w:sz w:val="24"/>
              </w:rPr>
            </w:pPr>
            <w:r>
              <w:rPr>
                <w:rFonts w:hint="eastAsia" w:ascii="宋体" w:hAnsi="宋体"/>
                <w:sz w:val="24"/>
              </w:rPr>
              <w:t>拟在本项目任职职位</w:t>
            </w:r>
          </w:p>
        </w:tc>
        <w:tc>
          <w:tcPr>
            <w:tcW w:w="1885" w:type="dxa"/>
            <w:vAlign w:val="center"/>
          </w:tcPr>
          <w:p w14:paraId="46526A6C">
            <w:pPr>
              <w:snapToGrid w:val="0"/>
              <w:spacing w:line="240" w:lineRule="atLeast"/>
              <w:jc w:val="center"/>
              <w:rPr>
                <w:rFonts w:ascii="宋体" w:hAnsi="宋体"/>
                <w:sz w:val="24"/>
              </w:rPr>
            </w:pPr>
            <w:r>
              <w:rPr>
                <w:rFonts w:hint="eastAsia" w:ascii="宋体" w:hAnsi="宋体"/>
                <w:sz w:val="24"/>
              </w:rPr>
              <w:t>毕业学校</w:t>
            </w:r>
            <w:r>
              <w:rPr>
                <w:rFonts w:ascii="宋体" w:hAnsi="宋体"/>
                <w:sz w:val="24"/>
              </w:rPr>
              <w:t>/</w:t>
            </w:r>
            <w:r>
              <w:rPr>
                <w:rFonts w:hint="eastAsia" w:ascii="宋体" w:hAnsi="宋体"/>
                <w:sz w:val="24"/>
              </w:rPr>
              <w:t>专业</w:t>
            </w:r>
          </w:p>
        </w:tc>
        <w:tc>
          <w:tcPr>
            <w:tcW w:w="883" w:type="dxa"/>
            <w:vAlign w:val="center"/>
          </w:tcPr>
          <w:p w14:paraId="175F9615">
            <w:pPr>
              <w:snapToGrid w:val="0"/>
              <w:spacing w:line="240" w:lineRule="atLeast"/>
              <w:jc w:val="center"/>
              <w:rPr>
                <w:rFonts w:ascii="宋体" w:hAnsi="宋体"/>
                <w:sz w:val="24"/>
              </w:rPr>
            </w:pPr>
            <w:r>
              <w:rPr>
                <w:rFonts w:hint="eastAsia" w:ascii="宋体" w:hAnsi="宋体"/>
                <w:sz w:val="24"/>
              </w:rPr>
              <w:t>学历</w:t>
            </w:r>
          </w:p>
        </w:tc>
        <w:tc>
          <w:tcPr>
            <w:tcW w:w="992" w:type="dxa"/>
            <w:vAlign w:val="center"/>
          </w:tcPr>
          <w:p w14:paraId="3E78055D">
            <w:pPr>
              <w:snapToGrid w:val="0"/>
              <w:spacing w:line="240" w:lineRule="atLeast"/>
              <w:jc w:val="center"/>
              <w:rPr>
                <w:rFonts w:ascii="宋体" w:hAnsi="宋体"/>
                <w:sz w:val="24"/>
              </w:rPr>
            </w:pPr>
            <w:r>
              <w:rPr>
                <w:rFonts w:hint="eastAsia" w:ascii="宋体" w:hAnsi="宋体"/>
                <w:sz w:val="24"/>
              </w:rPr>
              <w:t>职称及专业</w:t>
            </w:r>
          </w:p>
        </w:tc>
        <w:tc>
          <w:tcPr>
            <w:tcW w:w="1276" w:type="dxa"/>
            <w:vAlign w:val="center"/>
          </w:tcPr>
          <w:p w14:paraId="4C2B02B4">
            <w:pPr>
              <w:snapToGrid w:val="0"/>
              <w:spacing w:line="240" w:lineRule="atLeast"/>
              <w:jc w:val="center"/>
              <w:rPr>
                <w:rFonts w:ascii="宋体" w:hAnsi="宋体"/>
                <w:sz w:val="24"/>
              </w:rPr>
            </w:pPr>
            <w:r>
              <w:rPr>
                <w:rFonts w:hint="eastAsia" w:ascii="宋体" w:hAnsi="宋体"/>
                <w:sz w:val="24"/>
              </w:rPr>
              <w:t>从事检测工作年限</w:t>
            </w:r>
          </w:p>
        </w:tc>
      </w:tr>
      <w:tr w14:paraId="23A8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B62750F">
            <w:pPr>
              <w:jc w:val="center"/>
              <w:rPr>
                <w:rFonts w:ascii="宋体" w:hAnsi="宋体"/>
                <w:sz w:val="22"/>
              </w:rPr>
            </w:pPr>
          </w:p>
        </w:tc>
        <w:tc>
          <w:tcPr>
            <w:tcW w:w="939" w:type="dxa"/>
            <w:vAlign w:val="center"/>
          </w:tcPr>
          <w:p w14:paraId="17585204">
            <w:pPr>
              <w:jc w:val="center"/>
              <w:rPr>
                <w:rFonts w:ascii="宋体" w:hAnsi="宋体"/>
                <w:sz w:val="22"/>
              </w:rPr>
            </w:pPr>
          </w:p>
        </w:tc>
        <w:tc>
          <w:tcPr>
            <w:tcW w:w="904" w:type="dxa"/>
            <w:vAlign w:val="center"/>
          </w:tcPr>
          <w:p w14:paraId="0B554F30">
            <w:pPr>
              <w:jc w:val="center"/>
              <w:rPr>
                <w:rFonts w:ascii="宋体" w:hAnsi="宋体"/>
                <w:sz w:val="22"/>
              </w:rPr>
            </w:pPr>
          </w:p>
        </w:tc>
        <w:tc>
          <w:tcPr>
            <w:tcW w:w="1484" w:type="dxa"/>
            <w:vAlign w:val="center"/>
          </w:tcPr>
          <w:p w14:paraId="786DE72D">
            <w:pPr>
              <w:jc w:val="center"/>
              <w:rPr>
                <w:rFonts w:ascii="宋体" w:hAnsi="宋体"/>
                <w:sz w:val="22"/>
              </w:rPr>
            </w:pPr>
          </w:p>
        </w:tc>
        <w:tc>
          <w:tcPr>
            <w:tcW w:w="1885" w:type="dxa"/>
            <w:vAlign w:val="center"/>
          </w:tcPr>
          <w:p w14:paraId="3694E143">
            <w:pPr>
              <w:jc w:val="center"/>
              <w:rPr>
                <w:rFonts w:ascii="宋体" w:hAnsi="宋体"/>
                <w:sz w:val="22"/>
              </w:rPr>
            </w:pPr>
          </w:p>
        </w:tc>
        <w:tc>
          <w:tcPr>
            <w:tcW w:w="883" w:type="dxa"/>
            <w:vAlign w:val="center"/>
          </w:tcPr>
          <w:p w14:paraId="55CB82BE">
            <w:pPr>
              <w:jc w:val="center"/>
              <w:rPr>
                <w:rFonts w:ascii="宋体" w:hAnsi="宋体"/>
                <w:sz w:val="22"/>
              </w:rPr>
            </w:pPr>
          </w:p>
        </w:tc>
        <w:tc>
          <w:tcPr>
            <w:tcW w:w="992" w:type="dxa"/>
            <w:vAlign w:val="center"/>
          </w:tcPr>
          <w:p w14:paraId="4266E40A">
            <w:pPr>
              <w:jc w:val="center"/>
              <w:rPr>
                <w:rFonts w:ascii="宋体" w:hAnsi="宋体"/>
                <w:sz w:val="22"/>
              </w:rPr>
            </w:pPr>
          </w:p>
        </w:tc>
        <w:tc>
          <w:tcPr>
            <w:tcW w:w="1276" w:type="dxa"/>
            <w:vAlign w:val="center"/>
          </w:tcPr>
          <w:p w14:paraId="409E128F">
            <w:pPr>
              <w:jc w:val="center"/>
              <w:rPr>
                <w:rFonts w:ascii="宋体" w:hAnsi="宋体"/>
                <w:sz w:val="22"/>
              </w:rPr>
            </w:pPr>
          </w:p>
        </w:tc>
      </w:tr>
      <w:tr w14:paraId="656B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5465382B">
            <w:pPr>
              <w:jc w:val="center"/>
              <w:rPr>
                <w:rFonts w:ascii="宋体" w:hAnsi="宋体"/>
                <w:sz w:val="22"/>
              </w:rPr>
            </w:pPr>
          </w:p>
        </w:tc>
        <w:tc>
          <w:tcPr>
            <w:tcW w:w="939" w:type="dxa"/>
            <w:vAlign w:val="center"/>
          </w:tcPr>
          <w:p w14:paraId="3CE87136">
            <w:pPr>
              <w:jc w:val="center"/>
              <w:rPr>
                <w:rFonts w:ascii="宋体" w:hAnsi="宋体"/>
                <w:sz w:val="22"/>
              </w:rPr>
            </w:pPr>
          </w:p>
        </w:tc>
        <w:tc>
          <w:tcPr>
            <w:tcW w:w="904" w:type="dxa"/>
            <w:vAlign w:val="center"/>
          </w:tcPr>
          <w:p w14:paraId="38B6AFF6">
            <w:pPr>
              <w:jc w:val="center"/>
              <w:rPr>
                <w:rFonts w:ascii="宋体" w:hAnsi="宋体"/>
                <w:sz w:val="22"/>
              </w:rPr>
            </w:pPr>
          </w:p>
        </w:tc>
        <w:tc>
          <w:tcPr>
            <w:tcW w:w="1484" w:type="dxa"/>
            <w:vAlign w:val="center"/>
          </w:tcPr>
          <w:p w14:paraId="57B72EB9">
            <w:pPr>
              <w:jc w:val="center"/>
              <w:rPr>
                <w:rFonts w:ascii="宋体" w:hAnsi="宋体"/>
                <w:sz w:val="22"/>
              </w:rPr>
            </w:pPr>
          </w:p>
        </w:tc>
        <w:tc>
          <w:tcPr>
            <w:tcW w:w="1885" w:type="dxa"/>
            <w:vAlign w:val="center"/>
          </w:tcPr>
          <w:p w14:paraId="114DFB59">
            <w:pPr>
              <w:jc w:val="center"/>
              <w:rPr>
                <w:rFonts w:ascii="宋体" w:hAnsi="宋体"/>
                <w:sz w:val="22"/>
              </w:rPr>
            </w:pPr>
          </w:p>
        </w:tc>
        <w:tc>
          <w:tcPr>
            <w:tcW w:w="883" w:type="dxa"/>
            <w:vAlign w:val="center"/>
          </w:tcPr>
          <w:p w14:paraId="71CADF6E">
            <w:pPr>
              <w:jc w:val="center"/>
              <w:rPr>
                <w:rFonts w:ascii="宋体" w:hAnsi="宋体"/>
                <w:sz w:val="22"/>
              </w:rPr>
            </w:pPr>
          </w:p>
        </w:tc>
        <w:tc>
          <w:tcPr>
            <w:tcW w:w="992" w:type="dxa"/>
            <w:vAlign w:val="center"/>
          </w:tcPr>
          <w:p w14:paraId="4F1A1645">
            <w:pPr>
              <w:jc w:val="center"/>
              <w:rPr>
                <w:rFonts w:ascii="宋体" w:hAnsi="宋体"/>
                <w:sz w:val="22"/>
              </w:rPr>
            </w:pPr>
          </w:p>
        </w:tc>
        <w:tc>
          <w:tcPr>
            <w:tcW w:w="1276" w:type="dxa"/>
            <w:vAlign w:val="center"/>
          </w:tcPr>
          <w:p w14:paraId="1E790266">
            <w:pPr>
              <w:jc w:val="center"/>
              <w:rPr>
                <w:rFonts w:ascii="宋体" w:hAnsi="宋体"/>
                <w:sz w:val="22"/>
              </w:rPr>
            </w:pPr>
          </w:p>
        </w:tc>
      </w:tr>
      <w:tr w14:paraId="7FB6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0029213">
            <w:pPr>
              <w:jc w:val="center"/>
              <w:rPr>
                <w:rFonts w:ascii="宋体" w:hAnsi="宋体"/>
                <w:sz w:val="22"/>
              </w:rPr>
            </w:pPr>
          </w:p>
        </w:tc>
        <w:tc>
          <w:tcPr>
            <w:tcW w:w="939" w:type="dxa"/>
            <w:vAlign w:val="center"/>
          </w:tcPr>
          <w:p w14:paraId="4726EC39">
            <w:pPr>
              <w:jc w:val="center"/>
              <w:rPr>
                <w:rFonts w:ascii="宋体" w:hAnsi="宋体"/>
                <w:sz w:val="22"/>
              </w:rPr>
            </w:pPr>
          </w:p>
        </w:tc>
        <w:tc>
          <w:tcPr>
            <w:tcW w:w="904" w:type="dxa"/>
            <w:vAlign w:val="center"/>
          </w:tcPr>
          <w:p w14:paraId="174BD254">
            <w:pPr>
              <w:jc w:val="center"/>
              <w:rPr>
                <w:rFonts w:ascii="宋体" w:hAnsi="宋体"/>
                <w:sz w:val="22"/>
              </w:rPr>
            </w:pPr>
          </w:p>
        </w:tc>
        <w:tc>
          <w:tcPr>
            <w:tcW w:w="1484" w:type="dxa"/>
            <w:vAlign w:val="center"/>
          </w:tcPr>
          <w:p w14:paraId="52A65C22">
            <w:pPr>
              <w:jc w:val="center"/>
              <w:rPr>
                <w:rFonts w:ascii="宋体" w:hAnsi="宋体"/>
                <w:sz w:val="22"/>
              </w:rPr>
            </w:pPr>
          </w:p>
        </w:tc>
        <w:tc>
          <w:tcPr>
            <w:tcW w:w="1885" w:type="dxa"/>
            <w:vAlign w:val="center"/>
          </w:tcPr>
          <w:p w14:paraId="05224CA2">
            <w:pPr>
              <w:jc w:val="center"/>
              <w:rPr>
                <w:rFonts w:ascii="宋体" w:hAnsi="宋体"/>
                <w:sz w:val="22"/>
              </w:rPr>
            </w:pPr>
          </w:p>
        </w:tc>
        <w:tc>
          <w:tcPr>
            <w:tcW w:w="883" w:type="dxa"/>
            <w:vAlign w:val="center"/>
          </w:tcPr>
          <w:p w14:paraId="485FAE21">
            <w:pPr>
              <w:jc w:val="center"/>
              <w:rPr>
                <w:rFonts w:ascii="宋体" w:hAnsi="宋体"/>
                <w:sz w:val="22"/>
              </w:rPr>
            </w:pPr>
          </w:p>
        </w:tc>
        <w:tc>
          <w:tcPr>
            <w:tcW w:w="992" w:type="dxa"/>
            <w:vAlign w:val="center"/>
          </w:tcPr>
          <w:p w14:paraId="4FF46498">
            <w:pPr>
              <w:jc w:val="center"/>
              <w:rPr>
                <w:rFonts w:ascii="宋体" w:hAnsi="宋体"/>
                <w:sz w:val="22"/>
              </w:rPr>
            </w:pPr>
          </w:p>
        </w:tc>
        <w:tc>
          <w:tcPr>
            <w:tcW w:w="1276" w:type="dxa"/>
            <w:vAlign w:val="center"/>
          </w:tcPr>
          <w:p w14:paraId="70DEBEE8">
            <w:pPr>
              <w:jc w:val="center"/>
              <w:rPr>
                <w:rFonts w:ascii="宋体" w:hAnsi="宋体"/>
                <w:sz w:val="22"/>
              </w:rPr>
            </w:pPr>
          </w:p>
        </w:tc>
      </w:tr>
      <w:tr w14:paraId="5FF4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5DB9E3C8">
            <w:pPr>
              <w:jc w:val="center"/>
              <w:rPr>
                <w:rFonts w:ascii="宋体" w:hAnsi="宋体"/>
                <w:sz w:val="22"/>
              </w:rPr>
            </w:pPr>
          </w:p>
        </w:tc>
        <w:tc>
          <w:tcPr>
            <w:tcW w:w="939" w:type="dxa"/>
            <w:vAlign w:val="center"/>
          </w:tcPr>
          <w:p w14:paraId="673F7105">
            <w:pPr>
              <w:jc w:val="center"/>
              <w:rPr>
                <w:rFonts w:ascii="宋体" w:hAnsi="宋体"/>
                <w:sz w:val="22"/>
              </w:rPr>
            </w:pPr>
          </w:p>
        </w:tc>
        <w:tc>
          <w:tcPr>
            <w:tcW w:w="904" w:type="dxa"/>
            <w:vAlign w:val="center"/>
          </w:tcPr>
          <w:p w14:paraId="12C6BF34">
            <w:pPr>
              <w:jc w:val="center"/>
              <w:rPr>
                <w:rFonts w:ascii="宋体" w:hAnsi="宋体"/>
                <w:sz w:val="22"/>
              </w:rPr>
            </w:pPr>
          </w:p>
        </w:tc>
        <w:tc>
          <w:tcPr>
            <w:tcW w:w="1484" w:type="dxa"/>
            <w:vAlign w:val="center"/>
          </w:tcPr>
          <w:p w14:paraId="344AD898">
            <w:pPr>
              <w:jc w:val="center"/>
              <w:rPr>
                <w:rFonts w:ascii="宋体" w:hAnsi="宋体"/>
                <w:sz w:val="22"/>
              </w:rPr>
            </w:pPr>
          </w:p>
        </w:tc>
        <w:tc>
          <w:tcPr>
            <w:tcW w:w="1885" w:type="dxa"/>
            <w:vAlign w:val="center"/>
          </w:tcPr>
          <w:p w14:paraId="1AEADF07">
            <w:pPr>
              <w:jc w:val="center"/>
              <w:rPr>
                <w:rFonts w:ascii="宋体" w:hAnsi="宋体"/>
                <w:sz w:val="22"/>
              </w:rPr>
            </w:pPr>
          </w:p>
        </w:tc>
        <w:tc>
          <w:tcPr>
            <w:tcW w:w="883" w:type="dxa"/>
            <w:vAlign w:val="center"/>
          </w:tcPr>
          <w:p w14:paraId="63CD4431">
            <w:pPr>
              <w:jc w:val="center"/>
              <w:rPr>
                <w:rFonts w:ascii="宋体" w:hAnsi="宋体"/>
                <w:sz w:val="22"/>
              </w:rPr>
            </w:pPr>
          </w:p>
        </w:tc>
        <w:tc>
          <w:tcPr>
            <w:tcW w:w="992" w:type="dxa"/>
            <w:vAlign w:val="center"/>
          </w:tcPr>
          <w:p w14:paraId="4DCD572E">
            <w:pPr>
              <w:jc w:val="center"/>
              <w:rPr>
                <w:rFonts w:ascii="宋体" w:hAnsi="宋体"/>
                <w:sz w:val="22"/>
              </w:rPr>
            </w:pPr>
          </w:p>
        </w:tc>
        <w:tc>
          <w:tcPr>
            <w:tcW w:w="1276" w:type="dxa"/>
            <w:vAlign w:val="center"/>
          </w:tcPr>
          <w:p w14:paraId="63E77D3A">
            <w:pPr>
              <w:jc w:val="center"/>
              <w:rPr>
                <w:rFonts w:ascii="宋体" w:hAnsi="宋体"/>
                <w:sz w:val="22"/>
              </w:rPr>
            </w:pPr>
          </w:p>
        </w:tc>
      </w:tr>
      <w:tr w14:paraId="0F43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1C42507">
            <w:pPr>
              <w:jc w:val="center"/>
              <w:rPr>
                <w:rFonts w:ascii="宋体" w:hAnsi="宋体"/>
                <w:sz w:val="22"/>
              </w:rPr>
            </w:pPr>
          </w:p>
        </w:tc>
        <w:tc>
          <w:tcPr>
            <w:tcW w:w="939" w:type="dxa"/>
            <w:vAlign w:val="center"/>
          </w:tcPr>
          <w:p w14:paraId="7AD01D10">
            <w:pPr>
              <w:jc w:val="center"/>
              <w:rPr>
                <w:rFonts w:ascii="宋体" w:hAnsi="宋体"/>
                <w:sz w:val="22"/>
              </w:rPr>
            </w:pPr>
          </w:p>
        </w:tc>
        <w:tc>
          <w:tcPr>
            <w:tcW w:w="904" w:type="dxa"/>
            <w:vAlign w:val="center"/>
          </w:tcPr>
          <w:p w14:paraId="0FE05AE3">
            <w:pPr>
              <w:jc w:val="center"/>
              <w:rPr>
                <w:rFonts w:ascii="宋体" w:hAnsi="宋体"/>
                <w:sz w:val="22"/>
              </w:rPr>
            </w:pPr>
          </w:p>
        </w:tc>
        <w:tc>
          <w:tcPr>
            <w:tcW w:w="1484" w:type="dxa"/>
            <w:vAlign w:val="center"/>
          </w:tcPr>
          <w:p w14:paraId="60A17E2D">
            <w:pPr>
              <w:jc w:val="center"/>
              <w:rPr>
                <w:rFonts w:ascii="宋体" w:hAnsi="宋体"/>
                <w:sz w:val="22"/>
              </w:rPr>
            </w:pPr>
          </w:p>
        </w:tc>
        <w:tc>
          <w:tcPr>
            <w:tcW w:w="1885" w:type="dxa"/>
            <w:vAlign w:val="center"/>
          </w:tcPr>
          <w:p w14:paraId="7A772AD1">
            <w:pPr>
              <w:jc w:val="center"/>
              <w:rPr>
                <w:rFonts w:ascii="宋体" w:hAnsi="宋体"/>
                <w:sz w:val="22"/>
              </w:rPr>
            </w:pPr>
          </w:p>
        </w:tc>
        <w:tc>
          <w:tcPr>
            <w:tcW w:w="883" w:type="dxa"/>
            <w:vAlign w:val="center"/>
          </w:tcPr>
          <w:p w14:paraId="52BDFE59">
            <w:pPr>
              <w:jc w:val="center"/>
              <w:rPr>
                <w:rFonts w:ascii="宋体" w:hAnsi="宋体"/>
                <w:sz w:val="22"/>
              </w:rPr>
            </w:pPr>
          </w:p>
        </w:tc>
        <w:tc>
          <w:tcPr>
            <w:tcW w:w="992" w:type="dxa"/>
            <w:vAlign w:val="center"/>
          </w:tcPr>
          <w:p w14:paraId="1AB03F63">
            <w:pPr>
              <w:jc w:val="center"/>
              <w:rPr>
                <w:rFonts w:ascii="宋体" w:hAnsi="宋体"/>
                <w:sz w:val="22"/>
              </w:rPr>
            </w:pPr>
          </w:p>
        </w:tc>
        <w:tc>
          <w:tcPr>
            <w:tcW w:w="1276" w:type="dxa"/>
            <w:vAlign w:val="center"/>
          </w:tcPr>
          <w:p w14:paraId="4F852423">
            <w:pPr>
              <w:jc w:val="center"/>
              <w:rPr>
                <w:rFonts w:ascii="宋体" w:hAnsi="宋体"/>
                <w:sz w:val="22"/>
              </w:rPr>
            </w:pPr>
          </w:p>
        </w:tc>
      </w:tr>
      <w:tr w14:paraId="30EF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6A35C038">
            <w:pPr>
              <w:jc w:val="center"/>
              <w:rPr>
                <w:rFonts w:ascii="宋体" w:hAnsi="宋体"/>
                <w:sz w:val="22"/>
              </w:rPr>
            </w:pPr>
          </w:p>
        </w:tc>
        <w:tc>
          <w:tcPr>
            <w:tcW w:w="939" w:type="dxa"/>
            <w:vAlign w:val="center"/>
          </w:tcPr>
          <w:p w14:paraId="06691B04">
            <w:pPr>
              <w:jc w:val="center"/>
              <w:rPr>
                <w:rFonts w:ascii="宋体" w:hAnsi="宋体"/>
                <w:sz w:val="22"/>
              </w:rPr>
            </w:pPr>
          </w:p>
        </w:tc>
        <w:tc>
          <w:tcPr>
            <w:tcW w:w="904" w:type="dxa"/>
            <w:vAlign w:val="center"/>
          </w:tcPr>
          <w:p w14:paraId="7DC43DAD">
            <w:pPr>
              <w:jc w:val="center"/>
              <w:rPr>
                <w:rFonts w:ascii="宋体" w:hAnsi="宋体"/>
                <w:sz w:val="22"/>
              </w:rPr>
            </w:pPr>
          </w:p>
        </w:tc>
        <w:tc>
          <w:tcPr>
            <w:tcW w:w="1484" w:type="dxa"/>
            <w:vAlign w:val="center"/>
          </w:tcPr>
          <w:p w14:paraId="0CD821B8">
            <w:pPr>
              <w:jc w:val="center"/>
              <w:rPr>
                <w:rFonts w:ascii="宋体" w:hAnsi="宋体"/>
                <w:sz w:val="22"/>
              </w:rPr>
            </w:pPr>
          </w:p>
        </w:tc>
        <w:tc>
          <w:tcPr>
            <w:tcW w:w="1885" w:type="dxa"/>
            <w:vAlign w:val="center"/>
          </w:tcPr>
          <w:p w14:paraId="69AFAA27">
            <w:pPr>
              <w:jc w:val="center"/>
              <w:rPr>
                <w:rFonts w:ascii="宋体" w:hAnsi="宋体"/>
                <w:sz w:val="22"/>
              </w:rPr>
            </w:pPr>
          </w:p>
        </w:tc>
        <w:tc>
          <w:tcPr>
            <w:tcW w:w="883" w:type="dxa"/>
            <w:vAlign w:val="center"/>
          </w:tcPr>
          <w:p w14:paraId="4304F893">
            <w:pPr>
              <w:jc w:val="center"/>
              <w:rPr>
                <w:rFonts w:ascii="宋体" w:hAnsi="宋体"/>
                <w:sz w:val="22"/>
              </w:rPr>
            </w:pPr>
          </w:p>
        </w:tc>
        <w:tc>
          <w:tcPr>
            <w:tcW w:w="992" w:type="dxa"/>
            <w:vAlign w:val="center"/>
          </w:tcPr>
          <w:p w14:paraId="5C19843A">
            <w:pPr>
              <w:jc w:val="center"/>
              <w:rPr>
                <w:rFonts w:ascii="宋体" w:hAnsi="宋体"/>
                <w:sz w:val="22"/>
              </w:rPr>
            </w:pPr>
          </w:p>
        </w:tc>
        <w:tc>
          <w:tcPr>
            <w:tcW w:w="1276" w:type="dxa"/>
            <w:vAlign w:val="center"/>
          </w:tcPr>
          <w:p w14:paraId="29CBFBB9">
            <w:pPr>
              <w:jc w:val="center"/>
              <w:rPr>
                <w:rFonts w:ascii="宋体" w:hAnsi="宋体"/>
                <w:sz w:val="22"/>
              </w:rPr>
            </w:pPr>
          </w:p>
        </w:tc>
      </w:tr>
      <w:tr w14:paraId="7631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427EB06">
            <w:pPr>
              <w:jc w:val="center"/>
              <w:rPr>
                <w:rFonts w:ascii="宋体" w:hAnsi="宋体"/>
                <w:sz w:val="22"/>
              </w:rPr>
            </w:pPr>
          </w:p>
        </w:tc>
        <w:tc>
          <w:tcPr>
            <w:tcW w:w="939" w:type="dxa"/>
            <w:vAlign w:val="center"/>
          </w:tcPr>
          <w:p w14:paraId="2D039D45">
            <w:pPr>
              <w:jc w:val="center"/>
              <w:rPr>
                <w:rFonts w:ascii="宋体" w:hAnsi="宋体"/>
                <w:sz w:val="22"/>
              </w:rPr>
            </w:pPr>
          </w:p>
        </w:tc>
        <w:tc>
          <w:tcPr>
            <w:tcW w:w="904" w:type="dxa"/>
            <w:vAlign w:val="center"/>
          </w:tcPr>
          <w:p w14:paraId="2391DBC1">
            <w:pPr>
              <w:jc w:val="center"/>
              <w:rPr>
                <w:rFonts w:ascii="宋体" w:hAnsi="宋体"/>
                <w:sz w:val="22"/>
              </w:rPr>
            </w:pPr>
          </w:p>
        </w:tc>
        <w:tc>
          <w:tcPr>
            <w:tcW w:w="1484" w:type="dxa"/>
            <w:vAlign w:val="center"/>
          </w:tcPr>
          <w:p w14:paraId="09A19B02">
            <w:pPr>
              <w:jc w:val="center"/>
              <w:rPr>
                <w:rFonts w:ascii="宋体" w:hAnsi="宋体"/>
                <w:sz w:val="22"/>
              </w:rPr>
            </w:pPr>
          </w:p>
        </w:tc>
        <w:tc>
          <w:tcPr>
            <w:tcW w:w="1885" w:type="dxa"/>
            <w:vAlign w:val="center"/>
          </w:tcPr>
          <w:p w14:paraId="20AE84D8">
            <w:pPr>
              <w:jc w:val="center"/>
              <w:rPr>
                <w:rFonts w:ascii="宋体" w:hAnsi="宋体"/>
                <w:sz w:val="22"/>
              </w:rPr>
            </w:pPr>
          </w:p>
        </w:tc>
        <w:tc>
          <w:tcPr>
            <w:tcW w:w="883" w:type="dxa"/>
            <w:vAlign w:val="center"/>
          </w:tcPr>
          <w:p w14:paraId="0FD64B6C">
            <w:pPr>
              <w:jc w:val="center"/>
              <w:rPr>
                <w:rFonts w:ascii="宋体" w:hAnsi="宋体"/>
                <w:sz w:val="22"/>
              </w:rPr>
            </w:pPr>
          </w:p>
        </w:tc>
        <w:tc>
          <w:tcPr>
            <w:tcW w:w="992" w:type="dxa"/>
            <w:vAlign w:val="center"/>
          </w:tcPr>
          <w:p w14:paraId="6ED60988">
            <w:pPr>
              <w:jc w:val="center"/>
              <w:rPr>
                <w:rFonts w:ascii="宋体" w:hAnsi="宋体"/>
                <w:sz w:val="22"/>
              </w:rPr>
            </w:pPr>
          </w:p>
        </w:tc>
        <w:tc>
          <w:tcPr>
            <w:tcW w:w="1276" w:type="dxa"/>
            <w:vAlign w:val="center"/>
          </w:tcPr>
          <w:p w14:paraId="0D04F2F1">
            <w:pPr>
              <w:jc w:val="center"/>
              <w:rPr>
                <w:rFonts w:ascii="宋体" w:hAnsi="宋体"/>
                <w:sz w:val="22"/>
              </w:rPr>
            </w:pPr>
          </w:p>
        </w:tc>
      </w:tr>
      <w:tr w14:paraId="0E6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293C220C">
            <w:pPr>
              <w:jc w:val="center"/>
              <w:rPr>
                <w:rFonts w:ascii="宋体" w:hAnsi="宋体"/>
                <w:sz w:val="22"/>
              </w:rPr>
            </w:pPr>
          </w:p>
        </w:tc>
        <w:tc>
          <w:tcPr>
            <w:tcW w:w="939" w:type="dxa"/>
            <w:vAlign w:val="center"/>
          </w:tcPr>
          <w:p w14:paraId="724BB8BA">
            <w:pPr>
              <w:jc w:val="center"/>
              <w:rPr>
                <w:rFonts w:ascii="宋体" w:hAnsi="宋体"/>
                <w:sz w:val="22"/>
              </w:rPr>
            </w:pPr>
          </w:p>
        </w:tc>
        <w:tc>
          <w:tcPr>
            <w:tcW w:w="904" w:type="dxa"/>
            <w:vAlign w:val="center"/>
          </w:tcPr>
          <w:p w14:paraId="05683EF5">
            <w:pPr>
              <w:jc w:val="center"/>
              <w:rPr>
                <w:rFonts w:ascii="宋体" w:hAnsi="宋体"/>
                <w:sz w:val="22"/>
              </w:rPr>
            </w:pPr>
          </w:p>
        </w:tc>
        <w:tc>
          <w:tcPr>
            <w:tcW w:w="1484" w:type="dxa"/>
            <w:vAlign w:val="center"/>
          </w:tcPr>
          <w:p w14:paraId="6185802A">
            <w:pPr>
              <w:jc w:val="center"/>
              <w:rPr>
                <w:rFonts w:ascii="宋体" w:hAnsi="宋体"/>
                <w:sz w:val="22"/>
              </w:rPr>
            </w:pPr>
          </w:p>
        </w:tc>
        <w:tc>
          <w:tcPr>
            <w:tcW w:w="1885" w:type="dxa"/>
            <w:vAlign w:val="center"/>
          </w:tcPr>
          <w:p w14:paraId="249A4144">
            <w:pPr>
              <w:jc w:val="center"/>
              <w:rPr>
                <w:rFonts w:ascii="宋体" w:hAnsi="宋体"/>
                <w:sz w:val="22"/>
              </w:rPr>
            </w:pPr>
          </w:p>
        </w:tc>
        <w:tc>
          <w:tcPr>
            <w:tcW w:w="883" w:type="dxa"/>
            <w:vAlign w:val="center"/>
          </w:tcPr>
          <w:p w14:paraId="55B34EE4">
            <w:pPr>
              <w:jc w:val="center"/>
              <w:rPr>
                <w:rFonts w:ascii="宋体" w:hAnsi="宋体"/>
                <w:sz w:val="22"/>
              </w:rPr>
            </w:pPr>
          </w:p>
        </w:tc>
        <w:tc>
          <w:tcPr>
            <w:tcW w:w="992" w:type="dxa"/>
            <w:vAlign w:val="center"/>
          </w:tcPr>
          <w:p w14:paraId="58A03E03">
            <w:pPr>
              <w:jc w:val="center"/>
              <w:rPr>
                <w:rFonts w:ascii="宋体" w:hAnsi="宋体"/>
                <w:sz w:val="22"/>
              </w:rPr>
            </w:pPr>
          </w:p>
        </w:tc>
        <w:tc>
          <w:tcPr>
            <w:tcW w:w="1276" w:type="dxa"/>
            <w:vAlign w:val="center"/>
          </w:tcPr>
          <w:p w14:paraId="59AD60DE">
            <w:pPr>
              <w:jc w:val="center"/>
              <w:rPr>
                <w:rFonts w:ascii="宋体" w:hAnsi="宋体"/>
                <w:sz w:val="22"/>
              </w:rPr>
            </w:pPr>
          </w:p>
        </w:tc>
      </w:tr>
      <w:tr w14:paraId="206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0FC6094">
            <w:pPr>
              <w:jc w:val="center"/>
              <w:rPr>
                <w:rFonts w:ascii="宋体" w:hAnsi="宋体"/>
                <w:sz w:val="22"/>
              </w:rPr>
            </w:pPr>
          </w:p>
        </w:tc>
        <w:tc>
          <w:tcPr>
            <w:tcW w:w="939" w:type="dxa"/>
            <w:vAlign w:val="center"/>
          </w:tcPr>
          <w:p w14:paraId="49D00EAF">
            <w:pPr>
              <w:jc w:val="center"/>
              <w:rPr>
                <w:rFonts w:ascii="宋体" w:hAnsi="宋体"/>
                <w:sz w:val="22"/>
              </w:rPr>
            </w:pPr>
          </w:p>
        </w:tc>
        <w:tc>
          <w:tcPr>
            <w:tcW w:w="904" w:type="dxa"/>
            <w:vAlign w:val="center"/>
          </w:tcPr>
          <w:p w14:paraId="2EE973E5">
            <w:pPr>
              <w:jc w:val="center"/>
              <w:rPr>
                <w:rFonts w:ascii="宋体" w:hAnsi="宋体"/>
                <w:sz w:val="22"/>
              </w:rPr>
            </w:pPr>
          </w:p>
        </w:tc>
        <w:tc>
          <w:tcPr>
            <w:tcW w:w="1484" w:type="dxa"/>
            <w:vAlign w:val="center"/>
          </w:tcPr>
          <w:p w14:paraId="25FA1395">
            <w:pPr>
              <w:jc w:val="center"/>
              <w:rPr>
                <w:rFonts w:ascii="宋体" w:hAnsi="宋体"/>
                <w:sz w:val="22"/>
              </w:rPr>
            </w:pPr>
          </w:p>
        </w:tc>
        <w:tc>
          <w:tcPr>
            <w:tcW w:w="1885" w:type="dxa"/>
            <w:vAlign w:val="center"/>
          </w:tcPr>
          <w:p w14:paraId="4F336EEC">
            <w:pPr>
              <w:jc w:val="center"/>
              <w:rPr>
                <w:rFonts w:ascii="宋体" w:hAnsi="宋体"/>
                <w:sz w:val="22"/>
              </w:rPr>
            </w:pPr>
          </w:p>
        </w:tc>
        <w:tc>
          <w:tcPr>
            <w:tcW w:w="883" w:type="dxa"/>
            <w:vAlign w:val="center"/>
          </w:tcPr>
          <w:p w14:paraId="0B17A2C3">
            <w:pPr>
              <w:jc w:val="center"/>
              <w:rPr>
                <w:rFonts w:ascii="宋体" w:hAnsi="宋体"/>
                <w:sz w:val="22"/>
              </w:rPr>
            </w:pPr>
          </w:p>
        </w:tc>
        <w:tc>
          <w:tcPr>
            <w:tcW w:w="992" w:type="dxa"/>
            <w:vAlign w:val="center"/>
          </w:tcPr>
          <w:p w14:paraId="2F32CCE5">
            <w:pPr>
              <w:jc w:val="center"/>
              <w:rPr>
                <w:rFonts w:ascii="宋体" w:hAnsi="宋体"/>
                <w:sz w:val="22"/>
              </w:rPr>
            </w:pPr>
          </w:p>
        </w:tc>
        <w:tc>
          <w:tcPr>
            <w:tcW w:w="1276" w:type="dxa"/>
            <w:vAlign w:val="center"/>
          </w:tcPr>
          <w:p w14:paraId="66F36035">
            <w:pPr>
              <w:jc w:val="center"/>
              <w:rPr>
                <w:rFonts w:ascii="宋体" w:hAnsi="宋体"/>
                <w:sz w:val="22"/>
              </w:rPr>
            </w:pPr>
          </w:p>
        </w:tc>
      </w:tr>
      <w:tr w14:paraId="3F23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68C579F">
            <w:pPr>
              <w:jc w:val="center"/>
              <w:rPr>
                <w:rFonts w:ascii="宋体" w:hAnsi="宋体"/>
                <w:sz w:val="22"/>
              </w:rPr>
            </w:pPr>
          </w:p>
        </w:tc>
        <w:tc>
          <w:tcPr>
            <w:tcW w:w="939" w:type="dxa"/>
            <w:vAlign w:val="center"/>
          </w:tcPr>
          <w:p w14:paraId="0B0EE3D1">
            <w:pPr>
              <w:jc w:val="center"/>
              <w:rPr>
                <w:rFonts w:ascii="宋体" w:hAnsi="宋体"/>
                <w:sz w:val="22"/>
              </w:rPr>
            </w:pPr>
          </w:p>
        </w:tc>
        <w:tc>
          <w:tcPr>
            <w:tcW w:w="904" w:type="dxa"/>
            <w:vAlign w:val="center"/>
          </w:tcPr>
          <w:p w14:paraId="55601CD1">
            <w:pPr>
              <w:jc w:val="center"/>
              <w:rPr>
                <w:rFonts w:ascii="宋体" w:hAnsi="宋体"/>
                <w:sz w:val="22"/>
              </w:rPr>
            </w:pPr>
          </w:p>
        </w:tc>
        <w:tc>
          <w:tcPr>
            <w:tcW w:w="1484" w:type="dxa"/>
            <w:vAlign w:val="center"/>
          </w:tcPr>
          <w:p w14:paraId="183B325B">
            <w:pPr>
              <w:jc w:val="center"/>
              <w:rPr>
                <w:rFonts w:ascii="宋体" w:hAnsi="宋体"/>
                <w:sz w:val="22"/>
              </w:rPr>
            </w:pPr>
          </w:p>
        </w:tc>
        <w:tc>
          <w:tcPr>
            <w:tcW w:w="1885" w:type="dxa"/>
            <w:vAlign w:val="center"/>
          </w:tcPr>
          <w:p w14:paraId="48780226">
            <w:pPr>
              <w:jc w:val="center"/>
              <w:rPr>
                <w:rFonts w:ascii="宋体" w:hAnsi="宋体"/>
                <w:sz w:val="22"/>
              </w:rPr>
            </w:pPr>
          </w:p>
        </w:tc>
        <w:tc>
          <w:tcPr>
            <w:tcW w:w="883" w:type="dxa"/>
            <w:vAlign w:val="center"/>
          </w:tcPr>
          <w:p w14:paraId="35EF518F">
            <w:pPr>
              <w:jc w:val="center"/>
              <w:rPr>
                <w:rFonts w:ascii="宋体" w:hAnsi="宋体"/>
                <w:sz w:val="22"/>
              </w:rPr>
            </w:pPr>
          </w:p>
        </w:tc>
        <w:tc>
          <w:tcPr>
            <w:tcW w:w="992" w:type="dxa"/>
            <w:vAlign w:val="center"/>
          </w:tcPr>
          <w:p w14:paraId="34CDE818">
            <w:pPr>
              <w:jc w:val="center"/>
              <w:rPr>
                <w:rFonts w:ascii="宋体" w:hAnsi="宋体"/>
                <w:sz w:val="22"/>
              </w:rPr>
            </w:pPr>
          </w:p>
        </w:tc>
        <w:tc>
          <w:tcPr>
            <w:tcW w:w="1276" w:type="dxa"/>
            <w:vAlign w:val="center"/>
          </w:tcPr>
          <w:p w14:paraId="0485478D">
            <w:pPr>
              <w:jc w:val="center"/>
              <w:rPr>
                <w:rFonts w:ascii="宋体" w:hAnsi="宋体"/>
                <w:sz w:val="22"/>
              </w:rPr>
            </w:pPr>
          </w:p>
        </w:tc>
      </w:tr>
      <w:tr w14:paraId="656D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0D7646F">
            <w:pPr>
              <w:jc w:val="center"/>
              <w:rPr>
                <w:rFonts w:ascii="宋体" w:hAnsi="宋体"/>
                <w:sz w:val="22"/>
              </w:rPr>
            </w:pPr>
          </w:p>
        </w:tc>
        <w:tc>
          <w:tcPr>
            <w:tcW w:w="939" w:type="dxa"/>
            <w:vAlign w:val="center"/>
          </w:tcPr>
          <w:p w14:paraId="5656F616">
            <w:pPr>
              <w:jc w:val="center"/>
              <w:rPr>
                <w:rFonts w:ascii="宋体" w:hAnsi="宋体"/>
                <w:sz w:val="22"/>
              </w:rPr>
            </w:pPr>
          </w:p>
        </w:tc>
        <w:tc>
          <w:tcPr>
            <w:tcW w:w="904" w:type="dxa"/>
            <w:vAlign w:val="center"/>
          </w:tcPr>
          <w:p w14:paraId="57986F1B">
            <w:pPr>
              <w:jc w:val="center"/>
              <w:rPr>
                <w:rFonts w:ascii="宋体" w:hAnsi="宋体"/>
                <w:sz w:val="22"/>
              </w:rPr>
            </w:pPr>
          </w:p>
        </w:tc>
        <w:tc>
          <w:tcPr>
            <w:tcW w:w="1484" w:type="dxa"/>
            <w:vAlign w:val="center"/>
          </w:tcPr>
          <w:p w14:paraId="42915AAF">
            <w:pPr>
              <w:jc w:val="center"/>
              <w:rPr>
                <w:rFonts w:ascii="宋体" w:hAnsi="宋体"/>
                <w:sz w:val="22"/>
              </w:rPr>
            </w:pPr>
          </w:p>
        </w:tc>
        <w:tc>
          <w:tcPr>
            <w:tcW w:w="1885" w:type="dxa"/>
            <w:vAlign w:val="center"/>
          </w:tcPr>
          <w:p w14:paraId="52B46FB2">
            <w:pPr>
              <w:jc w:val="center"/>
              <w:rPr>
                <w:rFonts w:ascii="宋体" w:hAnsi="宋体"/>
                <w:sz w:val="22"/>
              </w:rPr>
            </w:pPr>
          </w:p>
        </w:tc>
        <w:tc>
          <w:tcPr>
            <w:tcW w:w="883" w:type="dxa"/>
            <w:vAlign w:val="center"/>
          </w:tcPr>
          <w:p w14:paraId="47991866">
            <w:pPr>
              <w:jc w:val="center"/>
              <w:rPr>
                <w:rFonts w:ascii="宋体" w:hAnsi="宋体"/>
                <w:sz w:val="22"/>
              </w:rPr>
            </w:pPr>
          </w:p>
        </w:tc>
        <w:tc>
          <w:tcPr>
            <w:tcW w:w="992" w:type="dxa"/>
            <w:vAlign w:val="center"/>
          </w:tcPr>
          <w:p w14:paraId="12254582">
            <w:pPr>
              <w:jc w:val="center"/>
              <w:rPr>
                <w:rFonts w:ascii="宋体" w:hAnsi="宋体"/>
                <w:sz w:val="22"/>
              </w:rPr>
            </w:pPr>
          </w:p>
        </w:tc>
        <w:tc>
          <w:tcPr>
            <w:tcW w:w="1276" w:type="dxa"/>
            <w:vAlign w:val="center"/>
          </w:tcPr>
          <w:p w14:paraId="0EFEABDC">
            <w:pPr>
              <w:jc w:val="center"/>
              <w:rPr>
                <w:rFonts w:ascii="宋体" w:hAnsi="宋体"/>
                <w:sz w:val="22"/>
              </w:rPr>
            </w:pPr>
          </w:p>
        </w:tc>
      </w:tr>
      <w:tr w14:paraId="2A0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FECD6A4">
            <w:pPr>
              <w:jc w:val="center"/>
              <w:rPr>
                <w:rFonts w:ascii="宋体" w:hAnsi="宋体"/>
                <w:sz w:val="22"/>
              </w:rPr>
            </w:pPr>
          </w:p>
        </w:tc>
        <w:tc>
          <w:tcPr>
            <w:tcW w:w="939" w:type="dxa"/>
            <w:vAlign w:val="center"/>
          </w:tcPr>
          <w:p w14:paraId="02CBD698">
            <w:pPr>
              <w:jc w:val="center"/>
              <w:rPr>
                <w:rFonts w:ascii="宋体" w:hAnsi="宋体"/>
                <w:sz w:val="22"/>
              </w:rPr>
            </w:pPr>
          </w:p>
        </w:tc>
        <w:tc>
          <w:tcPr>
            <w:tcW w:w="904" w:type="dxa"/>
            <w:vAlign w:val="center"/>
          </w:tcPr>
          <w:p w14:paraId="7B0EF72A">
            <w:pPr>
              <w:jc w:val="center"/>
              <w:rPr>
                <w:rFonts w:ascii="宋体" w:hAnsi="宋体"/>
                <w:sz w:val="22"/>
              </w:rPr>
            </w:pPr>
          </w:p>
        </w:tc>
        <w:tc>
          <w:tcPr>
            <w:tcW w:w="1484" w:type="dxa"/>
            <w:vAlign w:val="center"/>
          </w:tcPr>
          <w:p w14:paraId="14F2CEFB">
            <w:pPr>
              <w:jc w:val="center"/>
              <w:rPr>
                <w:rFonts w:ascii="宋体" w:hAnsi="宋体"/>
                <w:sz w:val="22"/>
              </w:rPr>
            </w:pPr>
          </w:p>
        </w:tc>
        <w:tc>
          <w:tcPr>
            <w:tcW w:w="1885" w:type="dxa"/>
            <w:vAlign w:val="center"/>
          </w:tcPr>
          <w:p w14:paraId="426D92E8">
            <w:pPr>
              <w:jc w:val="center"/>
              <w:rPr>
                <w:rFonts w:ascii="宋体" w:hAnsi="宋体"/>
                <w:sz w:val="22"/>
              </w:rPr>
            </w:pPr>
          </w:p>
        </w:tc>
        <w:tc>
          <w:tcPr>
            <w:tcW w:w="883" w:type="dxa"/>
            <w:vAlign w:val="center"/>
          </w:tcPr>
          <w:p w14:paraId="1860A208">
            <w:pPr>
              <w:jc w:val="center"/>
              <w:rPr>
                <w:rFonts w:ascii="宋体" w:hAnsi="宋体"/>
                <w:sz w:val="22"/>
              </w:rPr>
            </w:pPr>
          </w:p>
        </w:tc>
        <w:tc>
          <w:tcPr>
            <w:tcW w:w="992" w:type="dxa"/>
            <w:vAlign w:val="center"/>
          </w:tcPr>
          <w:p w14:paraId="74BBA7CB">
            <w:pPr>
              <w:jc w:val="center"/>
              <w:rPr>
                <w:rFonts w:ascii="宋体" w:hAnsi="宋体"/>
                <w:sz w:val="22"/>
              </w:rPr>
            </w:pPr>
          </w:p>
        </w:tc>
        <w:tc>
          <w:tcPr>
            <w:tcW w:w="1276" w:type="dxa"/>
            <w:vAlign w:val="center"/>
          </w:tcPr>
          <w:p w14:paraId="68B50AA8">
            <w:pPr>
              <w:jc w:val="center"/>
              <w:rPr>
                <w:rFonts w:ascii="宋体" w:hAnsi="宋体"/>
                <w:sz w:val="22"/>
              </w:rPr>
            </w:pPr>
          </w:p>
        </w:tc>
      </w:tr>
      <w:tr w14:paraId="1262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2DECEEBD">
            <w:pPr>
              <w:jc w:val="center"/>
              <w:rPr>
                <w:rFonts w:ascii="宋体" w:hAnsi="宋体"/>
                <w:sz w:val="22"/>
              </w:rPr>
            </w:pPr>
          </w:p>
        </w:tc>
        <w:tc>
          <w:tcPr>
            <w:tcW w:w="939" w:type="dxa"/>
            <w:vAlign w:val="center"/>
          </w:tcPr>
          <w:p w14:paraId="0ECCFC63">
            <w:pPr>
              <w:jc w:val="center"/>
              <w:rPr>
                <w:rFonts w:ascii="宋体" w:hAnsi="宋体"/>
                <w:sz w:val="22"/>
              </w:rPr>
            </w:pPr>
          </w:p>
        </w:tc>
        <w:tc>
          <w:tcPr>
            <w:tcW w:w="904" w:type="dxa"/>
            <w:vAlign w:val="center"/>
          </w:tcPr>
          <w:p w14:paraId="7A6F46FB">
            <w:pPr>
              <w:jc w:val="center"/>
              <w:rPr>
                <w:rFonts w:ascii="宋体" w:hAnsi="宋体"/>
                <w:sz w:val="22"/>
              </w:rPr>
            </w:pPr>
          </w:p>
        </w:tc>
        <w:tc>
          <w:tcPr>
            <w:tcW w:w="1484" w:type="dxa"/>
            <w:vAlign w:val="center"/>
          </w:tcPr>
          <w:p w14:paraId="6A8E834D">
            <w:pPr>
              <w:jc w:val="center"/>
              <w:rPr>
                <w:rFonts w:ascii="宋体" w:hAnsi="宋体"/>
                <w:sz w:val="22"/>
              </w:rPr>
            </w:pPr>
          </w:p>
        </w:tc>
        <w:tc>
          <w:tcPr>
            <w:tcW w:w="1885" w:type="dxa"/>
            <w:vAlign w:val="center"/>
          </w:tcPr>
          <w:p w14:paraId="69C9E685">
            <w:pPr>
              <w:jc w:val="center"/>
              <w:rPr>
                <w:rFonts w:ascii="宋体" w:hAnsi="宋体"/>
                <w:sz w:val="22"/>
              </w:rPr>
            </w:pPr>
          </w:p>
        </w:tc>
        <w:tc>
          <w:tcPr>
            <w:tcW w:w="883" w:type="dxa"/>
            <w:vAlign w:val="center"/>
          </w:tcPr>
          <w:p w14:paraId="76E8FA43">
            <w:pPr>
              <w:jc w:val="center"/>
              <w:rPr>
                <w:rFonts w:ascii="宋体" w:hAnsi="宋体"/>
                <w:sz w:val="22"/>
              </w:rPr>
            </w:pPr>
          </w:p>
        </w:tc>
        <w:tc>
          <w:tcPr>
            <w:tcW w:w="992" w:type="dxa"/>
            <w:vAlign w:val="center"/>
          </w:tcPr>
          <w:p w14:paraId="4610DE20">
            <w:pPr>
              <w:jc w:val="center"/>
              <w:rPr>
                <w:rFonts w:ascii="宋体" w:hAnsi="宋体"/>
                <w:sz w:val="22"/>
              </w:rPr>
            </w:pPr>
          </w:p>
        </w:tc>
        <w:tc>
          <w:tcPr>
            <w:tcW w:w="1276" w:type="dxa"/>
            <w:vAlign w:val="center"/>
          </w:tcPr>
          <w:p w14:paraId="723A0573">
            <w:pPr>
              <w:jc w:val="center"/>
              <w:rPr>
                <w:rFonts w:ascii="宋体" w:hAnsi="宋体"/>
                <w:sz w:val="22"/>
              </w:rPr>
            </w:pPr>
          </w:p>
        </w:tc>
      </w:tr>
    </w:tbl>
    <w:p w14:paraId="42B44227">
      <w:pPr>
        <w:ind w:firstLine="480" w:firstLineChars="200"/>
        <w:rPr>
          <w:rFonts w:ascii="宋体" w:hAnsi="宋体"/>
          <w:sz w:val="24"/>
        </w:rPr>
      </w:pPr>
    </w:p>
    <w:p w14:paraId="3323C367">
      <w:pPr>
        <w:spacing w:line="440" w:lineRule="exact"/>
        <w:rPr>
          <w:rFonts w:ascii="宋体" w:hAnsi="宋体"/>
        </w:rPr>
      </w:pPr>
      <w:r>
        <w:rPr>
          <w:rFonts w:hint="eastAsia" w:ascii="宋体" w:hAnsi="宋体"/>
        </w:rPr>
        <w:t>注：本项不作为资格审查内容，但（如有）需提供，仅作为投标人的评标（综合评分）后附相关证明材料。表格格式可以根据实际情况调整。</w:t>
      </w:r>
    </w:p>
    <w:p w14:paraId="2937807B">
      <w:pPr>
        <w:spacing w:line="440" w:lineRule="exact"/>
        <w:jc w:val="left"/>
        <w:rPr>
          <w:rFonts w:ascii="宋体" w:hAnsi="宋体"/>
        </w:rPr>
      </w:pPr>
    </w:p>
    <w:p w14:paraId="5E90C99F">
      <w:pPr>
        <w:rPr>
          <w:rFonts w:ascii="宋体" w:hAnsi="宋体"/>
        </w:rPr>
      </w:pPr>
      <w:r>
        <w:rPr>
          <w:rFonts w:ascii="宋体" w:hAnsi="宋体"/>
          <w:sz w:val="24"/>
        </w:rPr>
        <w:br w:type="page"/>
      </w:r>
    </w:p>
    <w:p w14:paraId="017714F7">
      <w:pPr>
        <w:pStyle w:val="6"/>
      </w:pPr>
      <w:bookmarkStart w:id="244" w:name="_Toc8284"/>
      <w:bookmarkStart w:id="245" w:name="_Toc430"/>
      <w:r>
        <w:rPr>
          <w:rFonts w:hint="eastAsia"/>
          <w:lang w:val="en-US" w:eastAsia="zh-CN"/>
        </w:rPr>
        <w:t>七</w:t>
      </w:r>
      <w:r>
        <w:rPr>
          <w:rFonts w:hint="eastAsia"/>
        </w:rPr>
        <w:t>、拟投入本项目的检测人员简历表</w:t>
      </w:r>
      <w:bookmarkEnd w:id="244"/>
      <w:bookmarkEnd w:id="245"/>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66D17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1B858650">
            <w:pPr>
              <w:snapToGrid w:val="0"/>
              <w:spacing w:line="0" w:lineRule="atLeast"/>
              <w:jc w:val="center"/>
              <w:rPr>
                <w:rFonts w:ascii="宋体" w:hAnsi="宋体"/>
                <w:sz w:val="24"/>
              </w:rPr>
            </w:pPr>
            <w:r>
              <w:rPr>
                <w:rFonts w:hint="eastAsia" w:ascii="宋体" w:hAnsi="宋体"/>
                <w:sz w:val="24"/>
              </w:rPr>
              <w:t>姓名</w:t>
            </w:r>
          </w:p>
        </w:tc>
        <w:tc>
          <w:tcPr>
            <w:tcW w:w="1295" w:type="dxa"/>
            <w:vAlign w:val="center"/>
          </w:tcPr>
          <w:p w14:paraId="7C880905">
            <w:pPr>
              <w:snapToGrid w:val="0"/>
              <w:spacing w:line="0" w:lineRule="atLeast"/>
              <w:jc w:val="center"/>
              <w:rPr>
                <w:rFonts w:ascii="宋体" w:hAnsi="宋体"/>
                <w:sz w:val="24"/>
              </w:rPr>
            </w:pPr>
          </w:p>
        </w:tc>
        <w:tc>
          <w:tcPr>
            <w:tcW w:w="1044" w:type="dxa"/>
            <w:gridSpan w:val="2"/>
            <w:vAlign w:val="center"/>
          </w:tcPr>
          <w:p w14:paraId="638C600D">
            <w:pPr>
              <w:snapToGrid w:val="0"/>
              <w:spacing w:line="0" w:lineRule="atLeast"/>
              <w:jc w:val="center"/>
              <w:rPr>
                <w:rFonts w:ascii="宋体" w:hAnsi="宋体"/>
                <w:sz w:val="24"/>
              </w:rPr>
            </w:pPr>
            <w:r>
              <w:rPr>
                <w:rFonts w:hint="eastAsia" w:ascii="宋体" w:hAnsi="宋体"/>
                <w:sz w:val="24"/>
              </w:rPr>
              <w:t>年龄</w:t>
            </w:r>
          </w:p>
        </w:tc>
        <w:tc>
          <w:tcPr>
            <w:tcW w:w="1364" w:type="dxa"/>
            <w:gridSpan w:val="2"/>
            <w:vAlign w:val="center"/>
          </w:tcPr>
          <w:p w14:paraId="4C4B2AE7">
            <w:pPr>
              <w:snapToGrid w:val="0"/>
              <w:spacing w:line="0" w:lineRule="atLeast"/>
              <w:jc w:val="center"/>
              <w:rPr>
                <w:rFonts w:ascii="宋体" w:hAnsi="宋体"/>
                <w:sz w:val="24"/>
              </w:rPr>
            </w:pPr>
          </w:p>
        </w:tc>
        <w:tc>
          <w:tcPr>
            <w:tcW w:w="1830" w:type="dxa"/>
            <w:gridSpan w:val="2"/>
            <w:vAlign w:val="center"/>
          </w:tcPr>
          <w:p w14:paraId="2FFEE3EC">
            <w:pPr>
              <w:snapToGrid w:val="0"/>
              <w:spacing w:line="0" w:lineRule="atLeast"/>
              <w:jc w:val="center"/>
              <w:rPr>
                <w:rFonts w:ascii="宋体" w:hAnsi="宋体"/>
                <w:sz w:val="24"/>
              </w:rPr>
            </w:pPr>
            <w:r>
              <w:rPr>
                <w:rFonts w:hint="eastAsia" w:ascii="宋体" w:hAnsi="宋体"/>
                <w:sz w:val="24"/>
              </w:rPr>
              <w:t>学历</w:t>
            </w:r>
          </w:p>
        </w:tc>
        <w:tc>
          <w:tcPr>
            <w:tcW w:w="2027" w:type="dxa"/>
          </w:tcPr>
          <w:p w14:paraId="2E9ED5C4">
            <w:pPr>
              <w:snapToGrid w:val="0"/>
              <w:spacing w:line="0" w:lineRule="atLeast"/>
              <w:jc w:val="center"/>
              <w:rPr>
                <w:rFonts w:ascii="宋体" w:hAnsi="宋体"/>
                <w:sz w:val="24"/>
              </w:rPr>
            </w:pPr>
          </w:p>
        </w:tc>
      </w:tr>
      <w:tr w14:paraId="04CB6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6EBF3594">
            <w:pPr>
              <w:snapToGrid w:val="0"/>
              <w:spacing w:line="0" w:lineRule="atLeast"/>
              <w:jc w:val="center"/>
              <w:rPr>
                <w:rFonts w:ascii="宋体" w:hAnsi="宋体"/>
                <w:sz w:val="24"/>
              </w:rPr>
            </w:pPr>
            <w:r>
              <w:rPr>
                <w:rFonts w:hint="eastAsia" w:ascii="宋体" w:hAnsi="宋体"/>
                <w:sz w:val="24"/>
              </w:rPr>
              <w:t>技术职称</w:t>
            </w:r>
          </w:p>
        </w:tc>
        <w:tc>
          <w:tcPr>
            <w:tcW w:w="1295" w:type="dxa"/>
            <w:vAlign w:val="center"/>
          </w:tcPr>
          <w:p w14:paraId="565E726F">
            <w:pPr>
              <w:snapToGrid w:val="0"/>
              <w:spacing w:line="0" w:lineRule="atLeast"/>
              <w:jc w:val="center"/>
              <w:rPr>
                <w:rFonts w:ascii="宋体" w:hAnsi="宋体"/>
                <w:sz w:val="24"/>
              </w:rPr>
            </w:pPr>
          </w:p>
        </w:tc>
        <w:tc>
          <w:tcPr>
            <w:tcW w:w="1044" w:type="dxa"/>
            <w:gridSpan w:val="2"/>
            <w:vAlign w:val="center"/>
          </w:tcPr>
          <w:p w14:paraId="509214C5">
            <w:pPr>
              <w:snapToGrid w:val="0"/>
              <w:spacing w:line="0" w:lineRule="atLeast"/>
              <w:jc w:val="center"/>
              <w:rPr>
                <w:rFonts w:ascii="宋体" w:hAnsi="宋体"/>
                <w:sz w:val="24"/>
              </w:rPr>
            </w:pPr>
            <w:r>
              <w:rPr>
                <w:rFonts w:hint="eastAsia" w:ascii="宋体" w:hAnsi="宋体"/>
                <w:sz w:val="24"/>
              </w:rPr>
              <w:t>职务</w:t>
            </w:r>
          </w:p>
        </w:tc>
        <w:tc>
          <w:tcPr>
            <w:tcW w:w="1364" w:type="dxa"/>
            <w:gridSpan w:val="2"/>
            <w:vAlign w:val="center"/>
          </w:tcPr>
          <w:p w14:paraId="7F81F660">
            <w:pPr>
              <w:snapToGrid w:val="0"/>
              <w:spacing w:line="0" w:lineRule="atLeast"/>
              <w:jc w:val="center"/>
              <w:rPr>
                <w:rFonts w:ascii="宋体" w:hAnsi="宋体"/>
                <w:sz w:val="24"/>
              </w:rPr>
            </w:pPr>
          </w:p>
        </w:tc>
        <w:tc>
          <w:tcPr>
            <w:tcW w:w="1830" w:type="dxa"/>
            <w:gridSpan w:val="2"/>
            <w:vAlign w:val="center"/>
          </w:tcPr>
          <w:p w14:paraId="23A98E7B">
            <w:pPr>
              <w:snapToGrid w:val="0"/>
              <w:spacing w:line="0" w:lineRule="atLeast"/>
              <w:jc w:val="center"/>
              <w:rPr>
                <w:rFonts w:ascii="宋体" w:hAnsi="宋体"/>
                <w:sz w:val="24"/>
              </w:rPr>
            </w:pPr>
            <w:r>
              <w:rPr>
                <w:rFonts w:hint="eastAsia" w:ascii="宋体" w:hAnsi="宋体"/>
                <w:sz w:val="24"/>
              </w:rPr>
              <w:t>在本项目担任职务</w:t>
            </w:r>
          </w:p>
        </w:tc>
        <w:tc>
          <w:tcPr>
            <w:tcW w:w="2027" w:type="dxa"/>
          </w:tcPr>
          <w:p w14:paraId="11827CA1">
            <w:pPr>
              <w:snapToGrid w:val="0"/>
              <w:spacing w:line="0" w:lineRule="atLeast"/>
              <w:jc w:val="center"/>
              <w:rPr>
                <w:rFonts w:ascii="宋体" w:hAnsi="宋体"/>
                <w:sz w:val="24"/>
              </w:rPr>
            </w:pPr>
          </w:p>
        </w:tc>
      </w:tr>
      <w:tr w14:paraId="6ABEC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6C2CB489">
            <w:pPr>
              <w:snapToGrid w:val="0"/>
              <w:spacing w:line="0" w:lineRule="atLeast"/>
              <w:jc w:val="center"/>
              <w:rPr>
                <w:rFonts w:ascii="宋体" w:hAnsi="宋体"/>
                <w:sz w:val="24"/>
              </w:rPr>
            </w:pPr>
            <w:r>
              <w:rPr>
                <w:rFonts w:hint="eastAsia" w:ascii="宋体" w:hAnsi="宋体"/>
                <w:sz w:val="24"/>
              </w:rPr>
              <w:t>毕业学校</w:t>
            </w:r>
          </w:p>
        </w:tc>
        <w:tc>
          <w:tcPr>
            <w:tcW w:w="3703" w:type="dxa"/>
            <w:gridSpan w:val="5"/>
            <w:vAlign w:val="center"/>
          </w:tcPr>
          <w:p w14:paraId="37C973BA">
            <w:pPr>
              <w:snapToGrid w:val="0"/>
              <w:spacing w:line="0" w:lineRule="atLeast"/>
              <w:jc w:val="center"/>
              <w:rPr>
                <w:rFonts w:ascii="宋体" w:hAnsi="宋体"/>
                <w:sz w:val="24"/>
              </w:rPr>
            </w:pPr>
            <w:r>
              <w:rPr>
                <w:rFonts w:hint="eastAsia" w:ascii="宋体" w:hAnsi="宋体"/>
                <w:sz w:val="24"/>
              </w:rPr>
              <w:t>毕业于      学校     专业</w:t>
            </w:r>
          </w:p>
        </w:tc>
        <w:tc>
          <w:tcPr>
            <w:tcW w:w="1830" w:type="dxa"/>
            <w:gridSpan w:val="2"/>
            <w:vAlign w:val="center"/>
          </w:tcPr>
          <w:p w14:paraId="13F5180D">
            <w:pPr>
              <w:snapToGrid w:val="0"/>
              <w:spacing w:line="0" w:lineRule="atLeast"/>
              <w:jc w:val="center"/>
              <w:rPr>
                <w:rFonts w:ascii="宋体" w:hAnsi="宋体"/>
                <w:sz w:val="24"/>
              </w:rPr>
            </w:pPr>
            <w:r>
              <w:rPr>
                <w:rFonts w:hint="eastAsia" w:ascii="宋体" w:hAnsi="宋体"/>
                <w:position w:val="-30"/>
                <w:sz w:val="24"/>
              </w:rPr>
              <w:t>从事检测工作年限</w:t>
            </w:r>
          </w:p>
        </w:tc>
        <w:tc>
          <w:tcPr>
            <w:tcW w:w="2027" w:type="dxa"/>
          </w:tcPr>
          <w:p w14:paraId="7693DD42">
            <w:pPr>
              <w:snapToGrid w:val="0"/>
              <w:spacing w:line="0" w:lineRule="atLeast"/>
              <w:jc w:val="center"/>
              <w:rPr>
                <w:rFonts w:ascii="宋体" w:hAnsi="宋体"/>
                <w:sz w:val="24"/>
              </w:rPr>
            </w:pPr>
          </w:p>
        </w:tc>
      </w:tr>
      <w:tr w14:paraId="01E78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14:paraId="1D321FFE">
            <w:pPr>
              <w:snapToGrid w:val="0"/>
              <w:spacing w:line="0" w:lineRule="atLeast"/>
              <w:jc w:val="center"/>
              <w:rPr>
                <w:rFonts w:ascii="宋体" w:hAnsi="宋体"/>
                <w:sz w:val="24"/>
              </w:rPr>
            </w:pPr>
            <w:r>
              <w:rPr>
                <w:rFonts w:hint="eastAsia" w:ascii="宋体" w:hAnsi="宋体"/>
                <w:sz w:val="24"/>
              </w:rPr>
              <w:t>执业资格证号或注册证号</w:t>
            </w:r>
          </w:p>
        </w:tc>
        <w:tc>
          <w:tcPr>
            <w:tcW w:w="5984" w:type="dxa"/>
            <w:gridSpan w:val="6"/>
          </w:tcPr>
          <w:p w14:paraId="4CE6A40F">
            <w:pPr>
              <w:snapToGrid w:val="0"/>
              <w:spacing w:line="0" w:lineRule="atLeast"/>
              <w:rPr>
                <w:rFonts w:ascii="宋体" w:hAnsi="宋体"/>
                <w:sz w:val="24"/>
              </w:rPr>
            </w:pPr>
          </w:p>
        </w:tc>
      </w:tr>
      <w:tr w14:paraId="7F191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14:paraId="2C7AD84C">
            <w:pPr>
              <w:snapToGrid w:val="0"/>
              <w:spacing w:line="0" w:lineRule="atLeast"/>
              <w:jc w:val="center"/>
              <w:rPr>
                <w:rFonts w:ascii="宋体" w:hAnsi="宋体"/>
                <w:sz w:val="24"/>
              </w:rPr>
            </w:pPr>
            <w:r>
              <w:rPr>
                <w:rFonts w:hint="eastAsia" w:ascii="宋体" w:hAnsi="宋体"/>
                <w:sz w:val="24"/>
              </w:rPr>
              <w:t>主要业绩经历</w:t>
            </w:r>
          </w:p>
        </w:tc>
      </w:tr>
      <w:tr w14:paraId="038C1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14:paraId="215BBC76">
            <w:pPr>
              <w:snapToGrid w:val="0"/>
              <w:spacing w:line="0" w:lineRule="atLeast"/>
              <w:jc w:val="center"/>
              <w:rPr>
                <w:rFonts w:ascii="宋体" w:hAnsi="宋体"/>
                <w:sz w:val="24"/>
              </w:rPr>
            </w:pPr>
            <w:r>
              <w:rPr>
                <w:rFonts w:hint="eastAsia" w:ascii="宋体" w:hAnsi="宋体"/>
                <w:sz w:val="24"/>
              </w:rPr>
              <w:t>时间</w:t>
            </w:r>
          </w:p>
        </w:tc>
        <w:tc>
          <w:tcPr>
            <w:tcW w:w="3476" w:type="dxa"/>
            <w:gridSpan w:val="5"/>
          </w:tcPr>
          <w:p w14:paraId="31E0D83D">
            <w:pPr>
              <w:snapToGrid w:val="0"/>
              <w:spacing w:line="0" w:lineRule="atLeast"/>
              <w:jc w:val="center"/>
              <w:rPr>
                <w:rFonts w:ascii="宋体" w:hAnsi="宋体"/>
                <w:sz w:val="24"/>
              </w:rPr>
            </w:pPr>
            <w:r>
              <w:rPr>
                <w:rFonts w:hint="eastAsia" w:ascii="宋体" w:hAnsi="宋体"/>
                <w:sz w:val="24"/>
              </w:rPr>
              <w:t>参加过的主要工作</w:t>
            </w:r>
          </w:p>
        </w:tc>
        <w:tc>
          <w:tcPr>
            <w:tcW w:w="1607" w:type="dxa"/>
            <w:gridSpan w:val="2"/>
          </w:tcPr>
          <w:p w14:paraId="312B78AC">
            <w:pPr>
              <w:snapToGrid w:val="0"/>
              <w:spacing w:line="0" w:lineRule="atLeast"/>
              <w:jc w:val="center"/>
              <w:rPr>
                <w:rFonts w:ascii="宋体" w:hAnsi="宋体"/>
                <w:sz w:val="24"/>
              </w:rPr>
            </w:pPr>
            <w:r>
              <w:rPr>
                <w:rFonts w:hint="eastAsia" w:ascii="宋体" w:hAnsi="宋体"/>
                <w:sz w:val="24"/>
              </w:rPr>
              <w:t>担任何职</w:t>
            </w:r>
          </w:p>
        </w:tc>
        <w:tc>
          <w:tcPr>
            <w:tcW w:w="2657" w:type="dxa"/>
            <w:gridSpan w:val="2"/>
          </w:tcPr>
          <w:p w14:paraId="76F864BE">
            <w:pPr>
              <w:snapToGrid w:val="0"/>
              <w:spacing w:line="0" w:lineRule="atLeast"/>
              <w:jc w:val="center"/>
              <w:rPr>
                <w:rFonts w:ascii="宋体" w:hAnsi="宋体"/>
                <w:sz w:val="24"/>
              </w:rPr>
            </w:pPr>
            <w:r>
              <w:rPr>
                <w:rFonts w:hint="eastAsia" w:ascii="宋体" w:hAnsi="宋体"/>
                <w:sz w:val="24"/>
              </w:rPr>
              <w:t>获得的奖励情况</w:t>
            </w:r>
          </w:p>
        </w:tc>
      </w:tr>
      <w:tr w14:paraId="72B20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0A389C6">
            <w:pPr>
              <w:snapToGrid w:val="0"/>
              <w:spacing w:line="0" w:lineRule="atLeast"/>
              <w:rPr>
                <w:rFonts w:ascii="宋体" w:hAnsi="宋体"/>
                <w:sz w:val="24"/>
              </w:rPr>
            </w:pPr>
          </w:p>
        </w:tc>
        <w:tc>
          <w:tcPr>
            <w:tcW w:w="3476" w:type="dxa"/>
            <w:gridSpan w:val="5"/>
          </w:tcPr>
          <w:p w14:paraId="0D5511DD">
            <w:pPr>
              <w:snapToGrid w:val="0"/>
              <w:spacing w:line="0" w:lineRule="atLeast"/>
              <w:rPr>
                <w:rFonts w:ascii="宋体" w:hAnsi="宋体"/>
                <w:sz w:val="24"/>
              </w:rPr>
            </w:pPr>
          </w:p>
        </w:tc>
        <w:tc>
          <w:tcPr>
            <w:tcW w:w="1607" w:type="dxa"/>
            <w:gridSpan w:val="2"/>
          </w:tcPr>
          <w:p w14:paraId="23EB7ADF">
            <w:pPr>
              <w:snapToGrid w:val="0"/>
              <w:spacing w:line="0" w:lineRule="atLeast"/>
              <w:rPr>
                <w:rFonts w:ascii="宋体" w:hAnsi="宋体"/>
                <w:sz w:val="24"/>
              </w:rPr>
            </w:pPr>
          </w:p>
        </w:tc>
        <w:tc>
          <w:tcPr>
            <w:tcW w:w="2657" w:type="dxa"/>
            <w:gridSpan w:val="2"/>
          </w:tcPr>
          <w:p w14:paraId="43C76D62">
            <w:pPr>
              <w:snapToGrid w:val="0"/>
              <w:spacing w:line="0" w:lineRule="atLeast"/>
              <w:rPr>
                <w:rFonts w:ascii="宋体" w:hAnsi="宋体"/>
                <w:sz w:val="24"/>
              </w:rPr>
            </w:pPr>
          </w:p>
        </w:tc>
      </w:tr>
      <w:tr w14:paraId="04C2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9DFD39B">
            <w:pPr>
              <w:snapToGrid w:val="0"/>
              <w:spacing w:line="0" w:lineRule="atLeast"/>
              <w:rPr>
                <w:rFonts w:ascii="宋体" w:hAnsi="宋体"/>
                <w:sz w:val="24"/>
              </w:rPr>
            </w:pPr>
          </w:p>
        </w:tc>
        <w:tc>
          <w:tcPr>
            <w:tcW w:w="3476" w:type="dxa"/>
            <w:gridSpan w:val="5"/>
          </w:tcPr>
          <w:p w14:paraId="5119092A">
            <w:pPr>
              <w:snapToGrid w:val="0"/>
              <w:spacing w:line="0" w:lineRule="atLeast"/>
              <w:rPr>
                <w:rFonts w:ascii="宋体" w:hAnsi="宋体"/>
                <w:sz w:val="24"/>
              </w:rPr>
            </w:pPr>
          </w:p>
        </w:tc>
        <w:tc>
          <w:tcPr>
            <w:tcW w:w="1607" w:type="dxa"/>
            <w:gridSpan w:val="2"/>
          </w:tcPr>
          <w:p w14:paraId="26CFE6C7">
            <w:pPr>
              <w:snapToGrid w:val="0"/>
              <w:spacing w:line="0" w:lineRule="atLeast"/>
              <w:rPr>
                <w:rFonts w:ascii="宋体" w:hAnsi="宋体"/>
                <w:sz w:val="24"/>
              </w:rPr>
            </w:pPr>
          </w:p>
        </w:tc>
        <w:tc>
          <w:tcPr>
            <w:tcW w:w="2657" w:type="dxa"/>
            <w:gridSpan w:val="2"/>
          </w:tcPr>
          <w:p w14:paraId="206CA067">
            <w:pPr>
              <w:snapToGrid w:val="0"/>
              <w:spacing w:line="0" w:lineRule="atLeast"/>
              <w:rPr>
                <w:rFonts w:ascii="宋体" w:hAnsi="宋体"/>
                <w:sz w:val="24"/>
              </w:rPr>
            </w:pPr>
          </w:p>
        </w:tc>
      </w:tr>
      <w:tr w14:paraId="561A2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19CD2D3">
            <w:pPr>
              <w:snapToGrid w:val="0"/>
              <w:spacing w:line="0" w:lineRule="atLeast"/>
              <w:rPr>
                <w:rFonts w:ascii="宋体" w:hAnsi="宋体"/>
                <w:sz w:val="24"/>
              </w:rPr>
            </w:pPr>
          </w:p>
        </w:tc>
        <w:tc>
          <w:tcPr>
            <w:tcW w:w="3476" w:type="dxa"/>
            <w:gridSpan w:val="5"/>
          </w:tcPr>
          <w:p w14:paraId="451ED4CC">
            <w:pPr>
              <w:snapToGrid w:val="0"/>
              <w:spacing w:line="0" w:lineRule="atLeast"/>
              <w:rPr>
                <w:rFonts w:ascii="宋体" w:hAnsi="宋体"/>
                <w:sz w:val="24"/>
              </w:rPr>
            </w:pPr>
          </w:p>
        </w:tc>
        <w:tc>
          <w:tcPr>
            <w:tcW w:w="1607" w:type="dxa"/>
            <w:gridSpan w:val="2"/>
          </w:tcPr>
          <w:p w14:paraId="2A5B035D">
            <w:pPr>
              <w:snapToGrid w:val="0"/>
              <w:spacing w:line="0" w:lineRule="atLeast"/>
              <w:rPr>
                <w:rFonts w:ascii="宋体" w:hAnsi="宋体"/>
                <w:sz w:val="24"/>
              </w:rPr>
            </w:pPr>
          </w:p>
        </w:tc>
        <w:tc>
          <w:tcPr>
            <w:tcW w:w="2657" w:type="dxa"/>
            <w:gridSpan w:val="2"/>
          </w:tcPr>
          <w:p w14:paraId="467CACF4">
            <w:pPr>
              <w:snapToGrid w:val="0"/>
              <w:spacing w:line="0" w:lineRule="atLeast"/>
              <w:rPr>
                <w:rFonts w:ascii="宋体" w:hAnsi="宋体"/>
                <w:sz w:val="24"/>
              </w:rPr>
            </w:pPr>
          </w:p>
        </w:tc>
      </w:tr>
      <w:tr w14:paraId="40964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31D0F47">
            <w:pPr>
              <w:snapToGrid w:val="0"/>
              <w:spacing w:line="0" w:lineRule="atLeast"/>
              <w:rPr>
                <w:rFonts w:ascii="宋体" w:hAnsi="宋体"/>
                <w:sz w:val="24"/>
              </w:rPr>
            </w:pPr>
          </w:p>
        </w:tc>
        <w:tc>
          <w:tcPr>
            <w:tcW w:w="3476" w:type="dxa"/>
            <w:gridSpan w:val="5"/>
          </w:tcPr>
          <w:p w14:paraId="088FFE8A">
            <w:pPr>
              <w:snapToGrid w:val="0"/>
              <w:spacing w:line="0" w:lineRule="atLeast"/>
              <w:rPr>
                <w:rFonts w:ascii="宋体" w:hAnsi="宋体"/>
                <w:sz w:val="24"/>
              </w:rPr>
            </w:pPr>
          </w:p>
        </w:tc>
        <w:tc>
          <w:tcPr>
            <w:tcW w:w="1607" w:type="dxa"/>
            <w:gridSpan w:val="2"/>
          </w:tcPr>
          <w:p w14:paraId="589B0A0B">
            <w:pPr>
              <w:snapToGrid w:val="0"/>
              <w:spacing w:line="0" w:lineRule="atLeast"/>
              <w:rPr>
                <w:rFonts w:ascii="宋体" w:hAnsi="宋体"/>
                <w:sz w:val="24"/>
              </w:rPr>
            </w:pPr>
          </w:p>
        </w:tc>
        <w:tc>
          <w:tcPr>
            <w:tcW w:w="2657" w:type="dxa"/>
            <w:gridSpan w:val="2"/>
          </w:tcPr>
          <w:p w14:paraId="72294B82">
            <w:pPr>
              <w:snapToGrid w:val="0"/>
              <w:spacing w:line="0" w:lineRule="atLeast"/>
              <w:rPr>
                <w:rFonts w:ascii="宋体" w:hAnsi="宋体"/>
                <w:sz w:val="24"/>
              </w:rPr>
            </w:pPr>
          </w:p>
        </w:tc>
      </w:tr>
      <w:tr w14:paraId="6EC95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A101541">
            <w:pPr>
              <w:snapToGrid w:val="0"/>
              <w:spacing w:line="0" w:lineRule="atLeast"/>
              <w:rPr>
                <w:rFonts w:ascii="宋体" w:hAnsi="宋体"/>
                <w:sz w:val="24"/>
              </w:rPr>
            </w:pPr>
          </w:p>
        </w:tc>
        <w:tc>
          <w:tcPr>
            <w:tcW w:w="3476" w:type="dxa"/>
            <w:gridSpan w:val="5"/>
          </w:tcPr>
          <w:p w14:paraId="28732F62">
            <w:pPr>
              <w:snapToGrid w:val="0"/>
              <w:spacing w:line="0" w:lineRule="atLeast"/>
              <w:rPr>
                <w:rFonts w:ascii="宋体" w:hAnsi="宋体"/>
                <w:sz w:val="24"/>
              </w:rPr>
            </w:pPr>
          </w:p>
        </w:tc>
        <w:tc>
          <w:tcPr>
            <w:tcW w:w="1607" w:type="dxa"/>
            <w:gridSpan w:val="2"/>
          </w:tcPr>
          <w:p w14:paraId="68E0DC0F">
            <w:pPr>
              <w:snapToGrid w:val="0"/>
              <w:spacing w:line="0" w:lineRule="atLeast"/>
              <w:rPr>
                <w:rFonts w:ascii="宋体" w:hAnsi="宋体"/>
                <w:sz w:val="24"/>
              </w:rPr>
            </w:pPr>
          </w:p>
        </w:tc>
        <w:tc>
          <w:tcPr>
            <w:tcW w:w="2657" w:type="dxa"/>
            <w:gridSpan w:val="2"/>
          </w:tcPr>
          <w:p w14:paraId="6969B7D2">
            <w:pPr>
              <w:snapToGrid w:val="0"/>
              <w:spacing w:line="0" w:lineRule="atLeast"/>
              <w:rPr>
                <w:rFonts w:ascii="宋体" w:hAnsi="宋体"/>
                <w:sz w:val="24"/>
              </w:rPr>
            </w:pPr>
          </w:p>
        </w:tc>
      </w:tr>
      <w:tr w14:paraId="078C1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197BBB2">
            <w:pPr>
              <w:snapToGrid w:val="0"/>
              <w:spacing w:line="0" w:lineRule="atLeast"/>
              <w:rPr>
                <w:rFonts w:ascii="宋体" w:hAnsi="宋体"/>
                <w:sz w:val="24"/>
              </w:rPr>
            </w:pPr>
          </w:p>
        </w:tc>
        <w:tc>
          <w:tcPr>
            <w:tcW w:w="3476" w:type="dxa"/>
            <w:gridSpan w:val="5"/>
          </w:tcPr>
          <w:p w14:paraId="6B5C32CF">
            <w:pPr>
              <w:snapToGrid w:val="0"/>
              <w:spacing w:line="0" w:lineRule="atLeast"/>
              <w:rPr>
                <w:rFonts w:ascii="宋体" w:hAnsi="宋体"/>
                <w:sz w:val="24"/>
              </w:rPr>
            </w:pPr>
          </w:p>
        </w:tc>
        <w:tc>
          <w:tcPr>
            <w:tcW w:w="1607" w:type="dxa"/>
            <w:gridSpan w:val="2"/>
          </w:tcPr>
          <w:p w14:paraId="29C90D73">
            <w:pPr>
              <w:snapToGrid w:val="0"/>
              <w:spacing w:line="0" w:lineRule="atLeast"/>
              <w:rPr>
                <w:rFonts w:ascii="宋体" w:hAnsi="宋体"/>
                <w:sz w:val="24"/>
              </w:rPr>
            </w:pPr>
          </w:p>
        </w:tc>
        <w:tc>
          <w:tcPr>
            <w:tcW w:w="2657" w:type="dxa"/>
            <w:gridSpan w:val="2"/>
          </w:tcPr>
          <w:p w14:paraId="0C9E5727">
            <w:pPr>
              <w:snapToGrid w:val="0"/>
              <w:spacing w:line="0" w:lineRule="atLeast"/>
              <w:rPr>
                <w:rFonts w:ascii="宋体" w:hAnsi="宋体"/>
                <w:sz w:val="24"/>
              </w:rPr>
            </w:pPr>
          </w:p>
        </w:tc>
      </w:tr>
      <w:tr w14:paraId="418A4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B9C4EEA">
            <w:pPr>
              <w:snapToGrid w:val="0"/>
              <w:spacing w:line="0" w:lineRule="atLeast"/>
              <w:rPr>
                <w:rFonts w:ascii="宋体" w:hAnsi="宋体"/>
                <w:sz w:val="24"/>
              </w:rPr>
            </w:pPr>
          </w:p>
        </w:tc>
        <w:tc>
          <w:tcPr>
            <w:tcW w:w="3476" w:type="dxa"/>
            <w:gridSpan w:val="5"/>
          </w:tcPr>
          <w:p w14:paraId="1861ACA2">
            <w:pPr>
              <w:snapToGrid w:val="0"/>
              <w:spacing w:line="0" w:lineRule="atLeast"/>
              <w:rPr>
                <w:rFonts w:ascii="宋体" w:hAnsi="宋体"/>
                <w:sz w:val="24"/>
              </w:rPr>
            </w:pPr>
          </w:p>
        </w:tc>
        <w:tc>
          <w:tcPr>
            <w:tcW w:w="1607" w:type="dxa"/>
            <w:gridSpan w:val="2"/>
          </w:tcPr>
          <w:p w14:paraId="68F7A2FA">
            <w:pPr>
              <w:snapToGrid w:val="0"/>
              <w:spacing w:line="0" w:lineRule="atLeast"/>
              <w:rPr>
                <w:rFonts w:ascii="宋体" w:hAnsi="宋体"/>
                <w:sz w:val="24"/>
              </w:rPr>
            </w:pPr>
          </w:p>
        </w:tc>
        <w:tc>
          <w:tcPr>
            <w:tcW w:w="2657" w:type="dxa"/>
            <w:gridSpan w:val="2"/>
          </w:tcPr>
          <w:p w14:paraId="28765BE4">
            <w:pPr>
              <w:snapToGrid w:val="0"/>
              <w:spacing w:line="0" w:lineRule="atLeast"/>
              <w:rPr>
                <w:rFonts w:ascii="宋体" w:hAnsi="宋体"/>
                <w:sz w:val="24"/>
              </w:rPr>
            </w:pPr>
          </w:p>
        </w:tc>
      </w:tr>
      <w:tr w14:paraId="3BEB9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C2A3182">
            <w:pPr>
              <w:snapToGrid w:val="0"/>
              <w:spacing w:line="0" w:lineRule="atLeast"/>
              <w:rPr>
                <w:rFonts w:ascii="宋体" w:hAnsi="宋体"/>
                <w:sz w:val="24"/>
              </w:rPr>
            </w:pPr>
          </w:p>
        </w:tc>
        <w:tc>
          <w:tcPr>
            <w:tcW w:w="3476" w:type="dxa"/>
            <w:gridSpan w:val="5"/>
          </w:tcPr>
          <w:p w14:paraId="506949F4">
            <w:pPr>
              <w:snapToGrid w:val="0"/>
              <w:spacing w:line="0" w:lineRule="atLeast"/>
              <w:rPr>
                <w:rFonts w:ascii="宋体" w:hAnsi="宋体"/>
                <w:sz w:val="24"/>
              </w:rPr>
            </w:pPr>
          </w:p>
        </w:tc>
        <w:tc>
          <w:tcPr>
            <w:tcW w:w="1607" w:type="dxa"/>
            <w:gridSpan w:val="2"/>
          </w:tcPr>
          <w:p w14:paraId="761A178E">
            <w:pPr>
              <w:snapToGrid w:val="0"/>
              <w:spacing w:line="0" w:lineRule="atLeast"/>
              <w:rPr>
                <w:rFonts w:ascii="宋体" w:hAnsi="宋体"/>
                <w:sz w:val="24"/>
              </w:rPr>
            </w:pPr>
          </w:p>
        </w:tc>
        <w:tc>
          <w:tcPr>
            <w:tcW w:w="2657" w:type="dxa"/>
            <w:gridSpan w:val="2"/>
          </w:tcPr>
          <w:p w14:paraId="506BD3EF">
            <w:pPr>
              <w:snapToGrid w:val="0"/>
              <w:spacing w:line="0" w:lineRule="atLeast"/>
              <w:rPr>
                <w:rFonts w:ascii="宋体" w:hAnsi="宋体"/>
                <w:sz w:val="24"/>
              </w:rPr>
            </w:pPr>
          </w:p>
        </w:tc>
      </w:tr>
      <w:tr w14:paraId="30273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AE82207">
            <w:pPr>
              <w:snapToGrid w:val="0"/>
              <w:spacing w:line="0" w:lineRule="atLeast"/>
              <w:rPr>
                <w:rFonts w:ascii="宋体" w:hAnsi="宋体"/>
                <w:sz w:val="24"/>
              </w:rPr>
            </w:pPr>
          </w:p>
        </w:tc>
        <w:tc>
          <w:tcPr>
            <w:tcW w:w="3476" w:type="dxa"/>
            <w:gridSpan w:val="5"/>
          </w:tcPr>
          <w:p w14:paraId="1C2FE50F">
            <w:pPr>
              <w:snapToGrid w:val="0"/>
              <w:spacing w:line="0" w:lineRule="atLeast"/>
              <w:rPr>
                <w:rFonts w:ascii="宋体" w:hAnsi="宋体"/>
                <w:sz w:val="24"/>
              </w:rPr>
            </w:pPr>
          </w:p>
        </w:tc>
        <w:tc>
          <w:tcPr>
            <w:tcW w:w="1607" w:type="dxa"/>
            <w:gridSpan w:val="2"/>
          </w:tcPr>
          <w:p w14:paraId="30DD1BD3">
            <w:pPr>
              <w:snapToGrid w:val="0"/>
              <w:spacing w:line="0" w:lineRule="atLeast"/>
              <w:rPr>
                <w:rFonts w:ascii="宋体" w:hAnsi="宋体"/>
                <w:sz w:val="24"/>
              </w:rPr>
            </w:pPr>
          </w:p>
        </w:tc>
        <w:tc>
          <w:tcPr>
            <w:tcW w:w="2657" w:type="dxa"/>
            <w:gridSpan w:val="2"/>
          </w:tcPr>
          <w:p w14:paraId="7734FF3C">
            <w:pPr>
              <w:snapToGrid w:val="0"/>
              <w:spacing w:line="0" w:lineRule="atLeast"/>
              <w:rPr>
                <w:rFonts w:ascii="宋体" w:hAnsi="宋体"/>
                <w:sz w:val="24"/>
              </w:rPr>
            </w:pPr>
          </w:p>
        </w:tc>
      </w:tr>
    </w:tbl>
    <w:p w14:paraId="568709E0">
      <w:pPr>
        <w:widowControl/>
        <w:jc w:val="left"/>
        <w:rPr>
          <w:rFonts w:ascii="宋体" w:hAnsi="宋体"/>
          <w:sz w:val="24"/>
        </w:rPr>
      </w:pPr>
    </w:p>
    <w:p w14:paraId="3040C28D">
      <w:pPr>
        <w:spacing w:line="440" w:lineRule="exact"/>
        <w:rPr>
          <w:rFonts w:ascii="宋体" w:hAnsi="宋体"/>
        </w:rPr>
      </w:pPr>
      <w:r>
        <w:rPr>
          <w:rFonts w:hint="eastAsia" w:ascii="宋体" w:hAnsi="宋体"/>
        </w:rPr>
        <w:t>注：本项不作为资格审查内容，但（如有）需提供，仅作为投标人的评标（综合评分）后附相关证明材料。表格格式可以根据实际情况调整。</w:t>
      </w:r>
    </w:p>
    <w:p w14:paraId="0DE76334">
      <w:pPr>
        <w:rPr>
          <w:rFonts w:ascii="宋体" w:hAnsi="宋体"/>
          <w:sz w:val="24"/>
        </w:rPr>
      </w:pPr>
    </w:p>
    <w:p w14:paraId="05E8184A">
      <w:pPr>
        <w:pStyle w:val="6"/>
      </w:pPr>
      <w:r>
        <w:rPr>
          <w:sz w:val="24"/>
        </w:rPr>
        <w:br w:type="page"/>
      </w:r>
      <w:bookmarkStart w:id="246" w:name="_Toc17635"/>
      <w:bookmarkStart w:id="247" w:name="_Toc31456"/>
      <w:r>
        <w:rPr>
          <w:rFonts w:hint="eastAsia"/>
          <w:lang w:val="en-US" w:eastAsia="zh-CN"/>
        </w:rPr>
        <w:t>八</w:t>
      </w:r>
      <w:r>
        <w:rPr>
          <w:rFonts w:hint="eastAsia"/>
        </w:rPr>
        <w:t>、拟投入本项目的主要检测仪器设备一览表</w:t>
      </w:r>
      <w:bookmarkEnd w:id="246"/>
      <w:bookmarkEnd w:id="24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628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21571A5E">
            <w:pPr>
              <w:jc w:val="center"/>
              <w:rPr>
                <w:rFonts w:ascii="宋体" w:hAnsi="宋体"/>
                <w:szCs w:val="21"/>
              </w:rPr>
            </w:pPr>
            <w:r>
              <w:rPr>
                <w:rFonts w:hint="eastAsia" w:ascii="宋体" w:hAnsi="宋体"/>
                <w:szCs w:val="21"/>
              </w:rPr>
              <w:t>序号</w:t>
            </w:r>
          </w:p>
        </w:tc>
        <w:tc>
          <w:tcPr>
            <w:tcW w:w="1793" w:type="dxa"/>
            <w:vMerge w:val="restart"/>
            <w:vAlign w:val="center"/>
          </w:tcPr>
          <w:p w14:paraId="14F633FD">
            <w:pPr>
              <w:jc w:val="center"/>
              <w:rPr>
                <w:rFonts w:ascii="宋体" w:hAnsi="宋体"/>
                <w:szCs w:val="21"/>
              </w:rPr>
            </w:pPr>
            <w:r>
              <w:rPr>
                <w:rFonts w:hint="eastAsia" w:ascii="宋体" w:hAnsi="宋体"/>
                <w:szCs w:val="21"/>
              </w:rPr>
              <w:t>设备名称</w:t>
            </w:r>
          </w:p>
        </w:tc>
        <w:tc>
          <w:tcPr>
            <w:tcW w:w="900" w:type="dxa"/>
            <w:vMerge w:val="restart"/>
            <w:vAlign w:val="center"/>
          </w:tcPr>
          <w:p w14:paraId="31CB243D">
            <w:pPr>
              <w:jc w:val="center"/>
              <w:rPr>
                <w:rFonts w:ascii="宋体" w:hAnsi="宋体"/>
                <w:szCs w:val="21"/>
              </w:rPr>
            </w:pPr>
            <w:r>
              <w:rPr>
                <w:rFonts w:hint="eastAsia" w:ascii="宋体" w:hAnsi="宋体"/>
                <w:szCs w:val="21"/>
              </w:rPr>
              <w:t>本项目</w:t>
            </w:r>
          </w:p>
          <w:p w14:paraId="29E550FE">
            <w:pPr>
              <w:jc w:val="center"/>
              <w:rPr>
                <w:rFonts w:ascii="宋体" w:hAnsi="宋体"/>
                <w:szCs w:val="21"/>
              </w:rPr>
            </w:pPr>
            <w:r>
              <w:rPr>
                <w:rFonts w:hint="eastAsia" w:ascii="宋体" w:hAnsi="宋体"/>
                <w:szCs w:val="21"/>
              </w:rPr>
              <w:t>数量基本要求</w:t>
            </w:r>
          </w:p>
        </w:tc>
        <w:tc>
          <w:tcPr>
            <w:tcW w:w="6314" w:type="dxa"/>
            <w:gridSpan w:val="5"/>
            <w:vAlign w:val="center"/>
          </w:tcPr>
          <w:p w14:paraId="3A2CD664">
            <w:pPr>
              <w:jc w:val="center"/>
              <w:rPr>
                <w:rFonts w:ascii="宋体" w:hAnsi="宋体"/>
                <w:szCs w:val="21"/>
              </w:rPr>
            </w:pPr>
            <w:r>
              <w:rPr>
                <w:rFonts w:hint="eastAsia" w:ascii="宋体" w:hAnsi="宋体"/>
                <w:szCs w:val="21"/>
              </w:rPr>
              <w:t>投标人填写</w:t>
            </w:r>
          </w:p>
        </w:tc>
      </w:tr>
      <w:tr w14:paraId="278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361A4D2A">
            <w:pPr>
              <w:jc w:val="center"/>
              <w:rPr>
                <w:rFonts w:ascii="宋体" w:hAnsi="宋体"/>
                <w:szCs w:val="21"/>
              </w:rPr>
            </w:pPr>
          </w:p>
        </w:tc>
        <w:tc>
          <w:tcPr>
            <w:tcW w:w="1793" w:type="dxa"/>
            <w:vMerge w:val="continue"/>
            <w:vAlign w:val="center"/>
          </w:tcPr>
          <w:p w14:paraId="08A38050">
            <w:pPr>
              <w:jc w:val="center"/>
              <w:rPr>
                <w:rFonts w:ascii="宋体" w:hAnsi="宋体"/>
                <w:szCs w:val="21"/>
              </w:rPr>
            </w:pPr>
          </w:p>
        </w:tc>
        <w:tc>
          <w:tcPr>
            <w:tcW w:w="900" w:type="dxa"/>
            <w:vMerge w:val="continue"/>
            <w:vAlign w:val="center"/>
          </w:tcPr>
          <w:p w14:paraId="6551BF01">
            <w:pPr>
              <w:jc w:val="center"/>
              <w:rPr>
                <w:rFonts w:ascii="宋体" w:hAnsi="宋体"/>
                <w:szCs w:val="21"/>
              </w:rPr>
            </w:pPr>
          </w:p>
        </w:tc>
        <w:tc>
          <w:tcPr>
            <w:tcW w:w="992" w:type="dxa"/>
            <w:vAlign w:val="center"/>
          </w:tcPr>
          <w:p w14:paraId="47D322E2">
            <w:pPr>
              <w:jc w:val="center"/>
              <w:rPr>
                <w:rFonts w:ascii="宋体" w:hAnsi="宋体"/>
                <w:szCs w:val="21"/>
              </w:rPr>
            </w:pPr>
            <w:r>
              <w:rPr>
                <w:rFonts w:hint="eastAsia" w:ascii="宋体" w:hAnsi="宋体"/>
                <w:szCs w:val="21"/>
              </w:rPr>
              <w:t>数量</w:t>
            </w:r>
          </w:p>
        </w:tc>
        <w:tc>
          <w:tcPr>
            <w:tcW w:w="1785" w:type="dxa"/>
            <w:vAlign w:val="center"/>
          </w:tcPr>
          <w:p w14:paraId="1D54205D">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校准机构</w:t>
            </w:r>
          </w:p>
        </w:tc>
        <w:tc>
          <w:tcPr>
            <w:tcW w:w="1116" w:type="dxa"/>
            <w:vAlign w:val="center"/>
          </w:tcPr>
          <w:p w14:paraId="4DF73D73">
            <w:pPr>
              <w:jc w:val="center"/>
              <w:rPr>
                <w:rFonts w:ascii="宋体" w:hAnsi="宋体"/>
                <w:szCs w:val="21"/>
              </w:rPr>
            </w:pPr>
            <w:r>
              <w:rPr>
                <w:rFonts w:hint="eastAsia" w:ascii="宋体" w:hAnsi="宋体"/>
                <w:szCs w:val="21"/>
              </w:rPr>
              <w:t>有效期</w:t>
            </w:r>
          </w:p>
        </w:tc>
        <w:tc>
          <w:tcPr>
            <w:tcW w:w="1341" w:type="dxa"/>
            <w:vAlign w:val="center"/>
          </w:tcPr>
          <w:p w14:paraId="71446E96">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校准周期</w:t>
            </w:r>
          </w:p>
        </w:tc>
        <w:tc>
          <w:tcPr>
            <w:tcW w:w="1080" w:type="dxa"/>
            <w:vAlign w:val="center"/>
          </w:tcPr>
          <w:p w14:paraId="23900F1C">
            <w:pPr>
              <w:jc w:val="center"/>
              <w:rPr>
                <w:rFonts w:ascii="宋体" w:hAnsi="宋体"/>
                <w:szCs w:val="21"/>
              </w:rPr>
            </w:pPr>
            <w:r>
              <w:rPr>
                <w:rFonts w:hint="eastAsia" w:ascii="宋体" w:hAnsi="宋体"/>
                <w:szCs w:val="21"/>
              </w:rPr>
              <w:t>备注</w:t>
            </w:r>
          </w:p>
        </w:tc>
      </w:tr>
      <w:tr w14:paraId="1F6B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2515A9A">
            <w:pPr>
              <w:spacing w:line="240" w:lineRule="exact"/>
              <w:jc w:val="center"/>
              <w:rPr>
                <w:rFonts w:ascii="宋体" w:hAnsi="宋体"/>
                <w:szCs w:val="21"/>
              </w:rPr>
            </w:pPr>
            <w:r>
              <w:rPr>
                <w:rFonts w:ascii="宋体" w:hAnsi="宋体"/>
                <w:szCs w:val="21"/>
              </w:rPr>
              <w:t>1</w:t>
            </w:r>
          </w:p>
        </w:tc>
        <w:tc>
          <w:tcPr>
            <w:tcW w:w="1793" w:type="dxa"/>
            <w:vAlign w:val="center"/>
          </w:tcPr>
          <w:p w14:paraId="1FDB848C">
            <w:pPr>
              <w:spacing w:line="240" w:lineRule="exact"/>
              <w:jc w:val="center"/>
              <w:rPr>
                <w:rFonts w:ascii="宋体" w:hAnsi="宋体"/>
                <w:szCs w:val="21"/>
              </w:rPr>
            </w:pPr>
          </w:p>
        </w:tc>
        <w:tc>
          <w:tcPr>
            <w:tcW w:w="900" w:type="dxa"/>
            <w:vAlign w:val="center"/>
          </w:tcPr>
          <w:p w14:paraId="16E74014">
            <w:pPr>
              <w:spacing w:line="240" w:lineRule="exact"/>
              <w:jc w:val="center"/>
              <w:rPr>
                <w:rFonts w:ascii="宋体" w:hAnsi="宋体"/>
                <w:szCs w:val="21"/>
              </w:rPr>
            </w:pPr>
          </w:p>
        </w:tc>
        <w:tc>
          <w:tcPr>
            <w:tcW w:w="992" w:type="dxa"/>
            <w:vAlign w:val="center"/>
          </w:tcPr>
          <w:p w14:paraId="19D610AC">
            <w:pPr>
              <w:spacing w:line="240" w:lineRule="exact"/>
              <w:jc w:val="center"/>
              <w:rPr>
                <w:rFonts w:ascii="宋体" w:hAnsi="宋体"/>
                <w:szCs w:val="21"/>
              </w:rPr>
            </w:pPr>
          </w:p>
        </w:tc>
        <w:tc>
          <w:tcPr>
            <w:tcW w:w="1785" w:type="dxa"/>
            <w:vAlign w:val="center"/>
          </w:tcPr>
          <w:p w14:paraId="5728D13A">
            <w:pPr>
              <w:spacing w:line="240" w:lineRule="exact"/>
              <w:jc w:val="center"/>
              <w:rPr>
                <w:rFonts w:ascii="宋体" w:hAnsi="宋体"/>
                <w:szCs w:val="21"/>
              </w:rPr>
            </w:pPr>
          </w:p>
        </w:tc>
        <w:tc>
          <w:tcPr>
            <w:tcW w:w="1116" w:type="dxa"/>
            <w:vAlign w:val="center"/>
          </w:tcPr>
          <w:p w14:paraId="1FD7F60B">
            <w:pPr>
              <w:spacing w:line="240" w:lineRule="exact"/>
              <w:jc w:val="center"/>
              <w:rPr>
                <w:rFonts w:ascii="宋体" w:hAnsi="宋体"/>
                <w:szCs w:val="21"/>
              </w:rPr>
            </w:pPr>
          </w:p>
        </w:tc>
        <w:tc>
          <w:tcPr>
            <w:tcW w:w="1341" w:type="dxa"/>
            <w:vAlign w:val="center"/>
          </w:tcPr>
          <w:p w14:paraId="746D0C24">
            <w:pPr>
              <w:spacing w:line="240" w:lineRule="exact"/>
              <w:jc w:val="center"/>
              <w:rPr>
                <w:rFonts w:ascii="宋体" w:hAnsi="宋体"/>
                <w:szCs w:val="21"/>
              </w:rPr>
            </w:pPr>
          </w:p>
        </w:tc>
        <w:tc>
          <w:tcPr>
            <w:tcW w:w="1080" w:type="dxa"/>
            <w:vAlign w:val="center"/>
          </w:tcPr>
          <w:p w14:paraId="400CA905">
            <w:pPr>
              <w:spacing w:line="240" w:lineRule="exact"/>
              <w:jc w:val="center"/>
              <w:rPr>
                <w:rFonts w:ascii="宋体" w:hAnsi="宋体"/>
                <w:szCs w:val="21"/>
              </w:rPr>
            </w:pPr>
          </w:p>
        </w:tc>
      </w:tr>
      <w:tr w14:paraId="25B6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30252D4">
            <w:pPr>
              <w:spacing w:line="240" w:lineRule="exact"/>
              <w:jc w:val="center"/>
              <w:rPr>
                <w:rFonts w:ascii="宋体" w:hAnsi="宋体"/>
                <w:szCs w:val="21"/>
              </w:rPr>
            </w:pPr>
            <w:r>
              <w:rPr>
                <w:rFonts w:ascii="宋体" w:hAnsi="宋体"/>
                <w:szCs w:val="21"/>
              </w:rPr>
              <w:t>2</w:t>
            </w:r>
          </w:p>
        </w:tc>
        <w:tc>
          <w:tcPr>
            <w:tcW w:w="1793" w:type="dxa"/>
            <w:vAlign w:val="center"/>
          </w:tcPr>
          <w:p w14:paraId="05918CBD">
            <w:pPr>
              <w:spacing w:line="240" w:lineRule="exact"/>
              <w:jc w:val="center"/>
              <w:rPr>
                <w:rFonts w:ascii="宋体" w:hAnsi="宋体"/>
                <w:szCs w:val="21"/>
              </w:rPr>
            </w:pPr>
          </w:p>
        </w:tc>
        <w:tc>
          <w:tcPr>
            <w:tcW w:w="900" w:type="dxa"/>
            <w:vAlign w:val="center"/>
          </w:tcPr>
          <w:p w14:paraId="7F7A245E">
            <w:pPr>
              <w:jc w:val="center"/>
              <w:rPr>
                <w:rFonts w:ascii="宋体" w:hAnsi="宋体"/>
                <w:szCs w:val="21"/>
              </w:rPr>
            </w:pPr>
          </w:p>
        </w:tc>
        <w:tc>
          <w:tcPr>
            <w:tcW w:w="992" w:type="dxa"/>
            <w:vAlign w:val="center"/>
          </w:tcPr>
          <w:p w14:paraId="525E85B4">
            <w:pPr>
              <w:spacing w:line="240" w:lineRule="exact"/>
              <w:jc w:val="center"/>
              <w:rPr>
                <w:rFonts w:ascii="宋体" w:hAnsi="宋体"/>
                <w:szCs w:val="21"/>
              </w:rPr>
            </w:pPr>
          </w:p>
        </w:tc>
        <w:tc>
          <w:tcPr>
            <w:tcW w:w="1785" w:type="dxa"/>
            <w:vAlign w:val="center"/>
          </w:tcPr>
          <w:p w14:paraId="65D93FB0">
            <w:pPr>
              <w:spacing w:line="240" w:lineRule="exact"/>
              <w:jc w:val="center"/>
              <w:rPr>
                <w:rFonts w:ascii="宋体" w:hAnsi="宋体"/>
                <w:szCs w:val="21"/>
              </w:rPr>
            </w:pPr>
          </w:p>
        </w:tc>
        <w:tc>
          <w:tcPr>
            <w:tcW w:w="1116" w:type="dxa"/>
            <w:vAlign w:val="center"/>
          </w:tcPr>
          <w:p w14:paraId="77FC8B2C">
            <w:pPr>
              <w:spacing w:line="240" w:lineRule="exact"/>
              <w:jc w:val="center"/>
              <w:rPr>
                <w:rFonts w:ascii="宋体" w:hAnsi="宋体"/>
                <w:szCs w:val="21"/>
              </w:rPr>
            </w:pPr>
          </w:p>
        </w:tc>
        <w:tc>
          <w:tcPr>
            <w:tcW w:w="1341" w:type="dxa"/>
            <w:vAlign w:val="center"/>
          </w:tcPr>
          <w:p w14:paraId="35EDAF8A">
            <w:pPr>
              <w:spacing w:line="240" w:lineRule="exact"/>
              <w:jc w:val="center"/>
              <w:rPr>
                <w:rFonts w:ascii="宋体" w:hAnsi="宋体"/>
                <w:szCs w:val="21"/>
              </w:rPr>
            </w:pPr>
          </w:p>
        </w:tc>
        <w:tc>
          <w:tcPr>
            <w:tcW w:w="1080" w:type="dxa"/>
            <w:vAlign w:val="center"/>
          </w:tcPr>
          <w:p w14:paraId="3A56D5FF">
            <w:pPr>
              <w:spacing w:line="240" w:lineRule="exact"/>
              <w:jc w:val="center"/>
              <w:rPr>
                <w:rFonts w:ascii="宋体" w:hAnsi="宋体"/>
                <w:i/>
                <w:szCs w:val="21"/>
              </w:rPr>
            </w:pPr>
          </w:p>
        </w:tc>
      </w:tr>
      <w:tr w14:paraId="0764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82F5A27">
            <w:pPr>
              <w:spacing w:line="240" w:lineRule="exact"/>
              <w:jc w:val="center"/>
              <w:rPr>
                <w:rFonts w:ascii="宋体" w:hAnsi="宋体"/>
                <w:szCs w:val="21"/>
              </w:rPr>
            </w:pPr>
            <w:r>
              <w:rPr>
                <w:rFonts w:ascii="宋体" w:hAnsi="宋体"/>
                <w:szCs w:val="21"/>
              </w:rPr>
              <w:t>3</w:t>
            </w:r>
          </w:p>
        </w:tc>
        <w:tc>
          <w:tcPr>
            <w:tcW w:w="1793" w:type="dxa"/>
            <w:vAlign w:val="center"/>
          </w:tcPr>
          <w:p w14:paraId="76BE6B0A">
            <w:pPr>
              <w:spacing w:line="240" w:lineRule="exact"/>
              <w:jc w:val="center"/>
              <w:rPr>
                <w:rFonts w:ascii="宋体" w:hAnsi="宋体"/>
                <w:szCs w:val="21"/>
              </w:rPr>
            </w:pPr>
          </w:p>
        </w:tc>
        <w:tc>
          <w:tcPr>
            <w:tcW w:w="900" w:type="dxa"/>
            <w:vAlign w:val="center"/>
          </w:tcPr>
          <w:p w14:paraId="00474CF6">
            <w:pPr>
              <w:jc w:val="center"/>
              <w:rPr>
                <w:rFonts w:ascii="宋体" w:hAnsi="宋体"/>
                <w:szCs w:val="21"/>
              </w:rPr>
            </w:pPr>
          </w:p>
        </w:tc>
        <w:tc>
          <w:tcPr>
            <w:tcW w:w="992" w:type="dxa"/>
            <w:vAlign w:val="center"/>
          </w:tcPr>
          <w:p w14:paraId="330C8209">
            <w:pPr>
              <w:spacing w:line="240" w:lineRule="exact"/>
              <w:jc w:val="center"/>
              <w:rPr>
                <w:rFonts w:ascii="宋体" w:hAnsi="宋体"/>
                <w:szCs w:val="21"/>
              </w:rPr>
            </w:pPr>
          </w:p>
        </w:tc>
        <w:tc>
          <w:tcPr>
            <w:tcW w:w="1785" w:type="dxa"/>
            <w:vAlign w:val="center"/>
          </w:tcPr>
          <w:p w14:paraId="471A14FC">
            <w:pPr>
              <w:spacing w:line="240" w:lineRule="exact"/>
              <w:jc w:val="center"/>
              <w:rPr>
                <w:rFonts w:ascii="宋体" w:hAnsi="宋体"/>
                <w:szCs w:val="21"/>
              </w:rPr>
            </w:pPr>
          </w:p>
        </w:tc>
        <w:tc>
          <w:tcPr>
            <w:tcW w:w="1116" w:type="dxa"/>
            <w:vAlign w:val="center"/>
          </w:tcPr>
          <w:p w14:paraId="1E954617">
            <w:pPr>
              <w:spacing w:line="240" w:lineRule="exact"/>
              <w:jc w:val="center"/>
              <w:rPr>
                <w:rFonts w:ascii="宋体" w:hAnsi="宋体"/>
                <w:szCs w:val="21"/>
              </w:rPr>
            </w:pPr>
          </w:p>
        </w:tc>
        <w:tc>
          <w:tcPr>
            <w:tcW w:w="1341" w:type="dxa"/>
            <w:vAlign w:val="center"/>
          </w:tcPr>
          <w:p w14:paraId="19EDC648">
            <w:pPr>
              <w:spacing w:line="240" w:lineRule="exact"/>
              <w:jc w:val="center"/>
              <w:rPr>
                <w:rFonts w:ascii="宋体" w:hAnsi="宋体"/>
                <w:szCs w:val="21"/>
              </w:rPr>
            </w:pPr>
          </w:p>
        </w:tc>
        <w:tc>
          <w:tcPr>
            <w:tcW w:w="1080" w:type="dxa"/>
            <w:vAlign w:val="center"/>
          </w:tcPr>
          <w:p w14:paraId="0431DC92">
            <w:pPr>
              <w:spacing w:line="240" w:lineRule="exact"/>
              <w:jc w:val="center"/>
              <w:rPr>
                <w:rFonts w:ascii="宋体" w:hAnsi="宋体"/>
                <w:szCs w:val="21"/>
              </w:rPr>
            </w:pPr>
          </w:p>
        </w:tc>
      </w:tr>
      <w:tr w14:paraId="2F8A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BBD514C">
            <w:pPr>
              <w:spacing w:line="240" w:lineRule="exact"/>
              <w:jc w:val="center"/>
              <w:rPr>
                <w:rFonts w:ascii="宋体" w:hAnsi="宋体"/>
                <w:szCs w:val="21"/>
              </w:rPr>
            </w:pPr>
            <w:r>
              <w:rPr>
                <w:rFonts w:ascii="宋体" w:hAnsi="宋体"/>
                <w:szCs w:val="21"/>
              </w:rPr>
              <w:t>4</w:t>
            </w:r>
          </w:p>
        </w:tc>
        <w:tc>
          <w:tcPr>
            <w:tcW w:w="1793" w:type="dxa"/>
            <w:vAlign w:val="center"/>
          </w:tcPr>
          <w:p w14:paraId="2E33A162">
            <w:pPr>
              <w:spacing w:line="240" w:lineRule="exact"/>
              <w:jc w:val="center"/>
              <w:rPr>
                <w:rFonts w:ascii="宋体" w:hAnsi="宋体"/>
                <w:szCs w:val="21"/>
              </w:rPr>
            </w:pPr>
          </w:p>
        </w:tc>
        <w:tc>
          <w:tcPr>
            <w:tcW w:w="900" w:type="dxa"/>
            <w:vAlign w:val="center"/>
          </w:tcPr>
          <w:p w14:paraId="62547C91">
            <w:pPr>
              <w:jc w:val="center"/>
              <w:rPr>
                <w:rFonts w:ascii="宋体" w:hAnsi="宋体"/>
                <w:szCs w:val="21"/>
              </w:rPr>
            </w:pPr>
          </w:p>
        </w:tc>
        <w:tc>
          <w:tcPr>
            <w:tcW w:w="992" w:type="dxa"/>
            <w:vAlign w:val="center"/>
          </w:tcPr>
          <w:p w14:paraId="3C89E53E">
            <w:pPr>
              <w:spacing w:line="240" w:lineRule="exact"/>
              <w:jc w:val="center"/>
              <w:rPr>
                <w:rFonts w:ascii="宋体" w:hAnsi="宋体"/>
                <w:szCs w:val="21"/>
              </w:rPr>
            </w:pPr>
          </w:p>
        </w:tc>
        <w:tc>
          <w:tcPr>
            <w:tcW w:w="1785" w:type="dxa"/>
            <w:vAlign w:val="center"/>
          </w:tcPr>
          <w:p w14:paraId="2D0E2D28">
            <w:pPr>
              <w:spacing w:line="240" w:lineRule="exact"/>
              <w:jc w:val="center"/>
              <w:rPr>
                <w:rFonts w:ascii="宋体" w:hAnsi="宋体"/>
                <w:szCs w:val="21"/>
              </w:rPr>
            </w:pPr>
          </w:p>
        </w:tc>
        <w:tc>
          <w:tcPr>
            <w:tcW w:w="1116" w:type="dxa"/>
            <w:vAlign w:val="center"/>
          </w:tcPr>
          <w:p w14:paraId="4F577DA6">
            <w:pPr>
              <w:spacing w:line="240" w:lineRule="exact"/>
              <w:jc w:val="center"/>
              <w:rPr>
                <w:rFonts w:ascii="宋体" w:hAnsi="宋体"/>
                <w:szCs w:val="21"/>
              </w:rPr>
            </w:pPr>
          </w:p>
        </w:tc>
        <w:tc>
          <w:tcPr>
            <w:tcW w:w="1341" w:type="dxa"/>
            <w:vAlign w:val="center"/>
          </w:tcPr>
          <w:p w14:paraId="3B88CC70">
            <w:pPr>
              <w:spacing w:line="240" w:lineRule="exact"/>
              <w:jc w:val="center"/>
              <w:rPr>
                <w:rFonts w:ascii="宋体" w:hAnsi="宋体"/>
                <w:szCs w:val="21"/>
              </w:rPr>
            </w:pPr>
          </w:p>
        </w:tc>
        <w:tc>
          <w:tcPr>
            <w:tcW w:w="1080" w:type="dxa"/>
            <w:vAlign w:val="center"/>
          </w:tcPr>
          <w:p w14:paraId="27DAB400">
            <w:pPr>
              <w:spacing w:line="240" w:lineRule="exact"/>
              <w:jc w:val="center"/>
              <w:rPr>
                <w:rFonts w:ascii="宋体" w:hAnsi="宋体"/>
                <w:szCs w:val="21"/>
              </w:rPr>
            </w:pPr>
          </w:p>
        </w:tc>
      </w:tr>
      <w:tr w14:paraId="67B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DC952EA">
            <w:pPr>
              <w:spacing w:line="240" w:lineRule="exact"/>
              <w:jc w:val="center"/>
              <w:rPr>
                <w:rFonts w:ascii="宋体" w:hAnsi="宋体"/>
                <w:szCs w:val="21"/>
              </w:rPr>
            </w:pPr>
            <w:r>
              <w:rPr>
                <w:rFonts w:ascii="宋体" w:hAnsi="宋体"/>
                <w:szCs w:val="21"/>
              </w:rPr>
              <w:t>5</w:t>
            </w:r>
          </w:p>
        </w:tc>
        <w:tc>
          <w:tcPr>
            <w:tcW w:w="1793" w:type="dxa"/>
            <w:vAlign w:val="center"/>
          </w:tcPr>
          <w:p w14:paraId="5C5F614D">
            <w:pPr>
              <w:spacing w:line="240" w:lineRule="exact"/>
              <w:jc w:val="center"/>
              <w:rPr>
                <w:rFonts w:ascii="宋体" w:hAnsi="宋体"/>
                <w:szCs w:val="21"/>
              </w:rPr>
            </w:pPr>
          </w:p>
        </w:tc>
        <w:tc>
          <w:tcPr>
            <w:tcW w:w="900" w:type="dxa"/>
            <w:vAlign w:val="center"/>
          </w:tcPr>
          <w:p w14:paraId="11A29111">
            <w:pPr>
              <w:jc w:val="center"/>
              <w:rPr>
                <w:rFonts w:ascii="宋体" w:hAnsi="宋体"/>
                <w:szCs w:val="21"/>
              </w:rPr>
            </w:pPr>
          </w:p>
        </w:tc>
        <w:tc>
          <w:tcPr>
            <w:tcW w:w="992" w:type="dxa"/>
            <w:vAlign w:val="center"/>
          </w:tcPr>
          <w:p w14:paraId="375F432B">
            <w:pPr>
              <w:spacing w:line="240" w:lineRule="exact"/>
              <w:jc w:val="center"/>
              <w:rPr>
                <w:rFonts w:ascii="宋体" w:hAnsi="宋体"/>
                <w:szCs w:val="21"/>
              </w:rPr>
            </w:pPr>
          </w:p>
        </w:tc>
        <w:tc>
          <w:tcPr>
            <w:tcW w:w="1785" w:type="dxa"/>
            <w:vAlign w:val="center"/>
          </w:tcPr>
          <w:p w14:paraId="4D017AD7">
            <w:pPr>
              <w:spacing w:line="240" w:lineRule="exact"/>
              <w:jc w:val="center"/>
              <w:rPr>
                <w:rFonts w:ascii="宋体" w:hAnsi="宋体"/>
                <w:szCs w:val="21"/>
              </w:rPr>
            </w:pPr>
          </w:p>
        </w:tc>
        <w:tc>
          <w:tcPr>
            <w:tcW w:w="1116" w:type="dxa"/>
            <w:vAlign w:val="center"/>
          </w:tcPr>
          <w:p w14:paraId="10416DF1">
            <w:pPr>
              <w:spacing w:line="240" w:lineRule="exact"/>
              <w:jc w:val="center"/>
              <w:rPr>
                <w:rFonts w:ascii="宋体" w:hAnsi="宋体"/>
                <w:szCs w:val="21"/>
              </w:rPr>
            </w:pPr>
          </w:p>
        </w:tc>
        <w:tc>
          <w:tcPr>
            <w:tcW w:w="1341" w:type="dxa"/>
            <w:vAlign w:val="center"/>
          </w:tcPr>
          <w:p w14:paraId="0D795940">
            <w:pPr>
              <w:spacing w:line="240" w:lineRule="exact"/>
              <w:jc w:val="center"/>
              <w:rPr>
                <w:rFonts w:ascii="宋体" w:hAnsi="宋体"/>
                <w:szCs w:val="21"/>
              </w:rPr>
            </w:pPr>
          </w:p>
        </w:tc>
        <w:tc>
          <w:tcPr>
            <w:tcW w:w="1080" w:type="dxa"/>
            <w:vAlign w:val="center"/>
          </w:tcPr>
          <w:p w14:paraId="3DB4EDDF">
            <w:pPr>
              <w:spacing w:line="240" w:lineRule="exact"/>
              <w:jc w:val="center"/>
              <w:rPr>
                <w:rFonts w:ascii="宋体" w:hAnsi="宋体"/>
                <w:szCs w:val="21"/>
              </w:rPr>
            </w:pPr>
          </w:p>
        </w:tc>
      </w:tr>
      <w:tr w14:paraId="028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CF235D9">
            <w:pPr>
              <w:spacing w:line="240" w:lineRule="exact"/>
              <w:jc w:val="center"/>
              <w:rPr>
                <w:rFonts w:ascii="宋体" w:hAnsi="宋体"/>
                <w:szCs w:val="21"/>
              </w:rPr>
            </w:pPr>
            <w:r>
              <w:rPr>
                <w:rFonts w:ascii="宋体" w:hAnsi="宋体"/>
                <w:szCs w:val="21"/>
              </w:rPr>
              <w:t>6</w:t>
            </w:r>
          </w:p>
        </w:tc>
        <w:tc>
          <w:tcPr>
            <w:tcW w:w="1793" w:type="dxa"/>
            <w:vAlign w:val="center"/>
          </w:tcPr>
          <w:p w14:paraId="51E74E67">
            <w:pPr>
              <w:spacing w:line="240" w:lineRule="exact"/>
              <w:jc w:val="center"/>
              <w:rPr>
                <w:rFonts w:ascii="宋体" w:hAnsi="宋体"/>
                <w:szCs w:val="21"/>
              </w:rPr>
            </w:pPr>
          </w:p>
        </w:tc>
        <w:tc>
          <w:tcPr>
            <w:tcW w:w="900" w:type="dxa"/>
            <w:vAlign w:val="center"/>
          </w:tcPr>
          <w:p w14:paraId="7EB1C719">
            <w:pPr>
              <w:jc w:val="center"/>
              <w:rPr>
                <w:rFonts w:ascii="宋体" w:hAnsi="宋体"/>
                <w:szCs w:val="21"/>
              </w:rPr>
            </w:pPr>
          </w:p>
        </w:tc>
        <w:tc>
          <w:tcPr>
            <w:tcW w:w="992" w:type="dxa"/>
            <w:vAlign w:val="center"/>
          </w:tcPr>
          <w:p w14:paraId="17491FD9">
            <w:pPr>
              <w:spacing w:line="240" w:lineRule="exact"/>
              <w:jc w:val="center"/>
              <w:rPr>
                <w:rFonts w:ascii="宋体" w:hAnsi="宋体"/>
                <w:szCs w:val="21"/>
              </w:rPr>
            </w:pPr>
          </w:p>
        </w:tc>
        <w:tc>
          <w:tcPr>
            <w:tcW w:w="1785" w:type="dxa"/>
            <w:vAlign w:val="center"/>
          </w:tcPr>
          <w:p w14:paraId="253920B7">
            <w:pPr>
              <w:spacing w:line="240" w:lineRule="exact"/>
              <w:jc w:val="center"/>
              <w:rPr>
                <w:rFonts w:ascii="宋体" w:hAnsi="宋体"/>
                <w:szCs w:val="21"/>
              </w:rPr>
            </w:pPr>
          </w:p>
        </w:tc>
        <w:tc>
          <w:tcPr>
            <w:tcW w:w="1116" w:type="dxa"/>
            <w:vAlign w:val="center"/>
          </w:tcPr>
          <w:p w14:paraId="3B4DE15F">
            <w:pPr>
              <w:spacing w:line="240" w:lineRule="exact"/>
              <w:jc w:val="center"/>
              <w:rPr>
                <w:rFonts w:ascii="宋体" w:hAnsi="宋体"/>
                <w:szCs w:val="21"/>
              </w:rPr>
            </w:pPr>
          </w:p>
        </w:tc>
        <w:tc>
          <w:tcPr>
            <w:tcW w:w="1341" w:type="dxa"/>
            <w:vAlign w:val="center"/>
          </w:tcPr>
          <w:p w14:paraId="53D5A468">
            <w:pPr>
              <w:spacing w:line="240" w:lineRule="exact"/>
              <w:jc w:val="center"/>
              <w:rPr>
                <w:rFonts w:ascii="宋体" w:hAnsi="宋体"/>
                <w:szCs w:val="21"/>
              </w:rPr>
            </w:pPr>
          </w:p>
        </w:tc>
        <w:tc>
          <w:tcPr>
            <w:tcW w:w="1080" w:type="dxa"/>
            <w:vAlign w:val="center"/>
          </w:tcPr>
          <w:p w14:paraId="721B7F63">
            <w:pPr>
              <w:spacing w:line="240" w:lineRule="exact"/>
              <w:jc w:val="center"/>
              <w:rPr>
                <w:rFonts w:ascii="宋体" w:hAnsi="宋体"/>
                <w:szCs w:val="21"/>
              </w:rPr>
            </w:pPr>
          </w:p>
        </w:tc>
      </w:tr>
      <w:tr w14:paraId="50EB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5C31DE07">
            <w:pPr>
              <w:spacing w:line="240" w:lineRule="exact"/>
              <w:jc w:val="center"/>
              <w:rPr>
                <w:rFonts w:ascii="宋体" w:hAnsi="宋体"/>
                <w:szCs w:val="21"/>
              </w:rPr>
            </w:pPr>
            <w:r>
              <w:rPr>
                <w:rFonts w:ascii="宋体" w:hAnsi="宋体"/>
                <w:szCs w:val="21"/>
              </w:rPr>
              <w:t>7</w:t>
            </w:r>
          </w:p>
        </w:tc>
        <w:tc>
          <w:tcPr>
            <w:tcW w:w="1793" w:type="dxa"/>
            <w:vAlign w:val="center"/>
          </w:tcPr>
          <w:p w14:paraId="52261684">
            <w:pPr>
              <w:spacing w:line="240" w:lineRule="exact"/>
              <w:jc w:val="center"/>
              <w:rPr>
                <w:rFonts w:ascii="宋体" w:hAnsi="宋体"/>
                <w:szCs w:val="21"/>
              </w:rPr>
            </w:pPr>
          </w:p>
        </w:tc>
        <w:tc>
          <w:tcPr>
            <w:tcW w:w="900" w:type="dxa"/>
            <w:vAlign w:val="center"/>
          </w:tcPr>
          <w:p w14:paraId="12674395">
            <w:pPr>
              <w:jc w:val="center"/>
              <w:rPr>
                <w:rFonts w:ascii="宋体" w:hAnsi="宋体"/>
                <w:szCs w:val="21"/>
              </w:rPr>
            </w:pPr>
          </w:p>
        </w:tc>
        <w:tc>
          <w:tcPr>
            <w:tcW w:w="992" w:type="dxa"/>
            <w:vAlign w:val="center"/>
          </w:tcPr>
          <w:p w14:paraId="57E24017">
            <w:pPr>
              <w:spacing w:line="240" w:lineRule="exact"/>
              <w:jc w:val="center"/>
              <w:rPr>
                <w:rFonts w:ascii="宋体" w:hAnsi="宋体"/>
                <w:szCs w:val="21"/>
              </w:rPr>
            </w:pPr>
          </w:p>
        </w:tc>
        <w:tc>
          <w:tcPr>
            <w:tcW w:w="1785" w:type="dxa"/>
            <w:vAlign w:val="center"/>
          </w:tcPr>
          <w:p w14:paraId="2C006294">
            <w:pPr>
              <w:spacing w:line="240" w:lineRule="exact"/>
              <w:jc w:val="center"/>
              <w:rPr>
                <w:rFonts w:ascii="宋体" w:hAnsi="宋体"/>
                <w:szCs w:val="21"/>
              </w:rPr>
            </w:pPr>
          </w:p>
        </w:tc>
        <w:tc>
          <w:tcPr>
            <w:tcW w:w="1116" w:type="dxa"/>
            <w:vAlign w:val="center"/>
          </w:tcPr>
          <w:p w14:paraId="7C7266F5">
            <w:pPr>
              <w:spacing w:line="240" w:lineRule="exact"/>
              <w:jc w:val="center"/>
              <w:rPr>
                <w:rFonts w:ascii="宋体" w:hAnsi="宋体"/>
                <w:szCs w:val="21"/>
              </w:rPr>
            </w:pPr>
          </w:p>
        </w:tc>
        <w:tc>
          <w:tcPr>
            <w:tcW w:w="1341" w:type="dxa"/>
            <w:vAlign w:val="center"/>
          </w:tcPr>
          <w:p w14:paraId="62FF6C4B">
            <w:pPr>
              <w:spacing w:line="240" w:lineRule="exact"/>
              <w:jc w:val="center"/>
              <w:rPr>
                <w:rFonts w:ascii="宋体" w:hAnsi="宋体"/>
                <w:szCs w:val="21"/>
              </w:rPr>
            </w:pPr>
          </w:p>
        </w:tc>
        <w:tc>
          <w:tcPr>
            <w:tcW w:w="1080" w:type="dxa"/>
            <w:vAlign w:val="center"/>
          </w:tcPr>
          <w:p w14:paraId="4F88F1F2">
            <w:pPr>
              <w:spacing w:line="240" w:lineRule="exact"/>
              <w:jc w:val="center"/>
              <w:rPr>
                <w:rFonts w:ascii="宋体" w:hAnsi="宋体"/>
                <w:szCs w:val="21"/>
              </w:rPr>
            </w:pPr>
          </w:p>
        </w:tc>
      </w:tr>
      <w:tr w14:paraId="30D9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1F8B159">
            <w:pPr>
              <w:spacing w:line="240" w:lineRule="exact"/>
              <w:jc w:val="center"/>
              <w:rPr>
                <w:rFonts w:ascii="宋体" w:hAnsi="宋体"/>
                <w:szCs w:val="21"/>
              </w:rPr>
            </w:pPr>
            <w:r>
              <w:rPr>
                <w:rFonts w:ascii="宋体" w:hAnsi="宋体"/>
                <w:szCs w:val="21"/>
              </w:rPr>
              <w:t>8</w:t>
            </w:r>
          </w:p>
        </w:tc>
        <w:tc>
          <w:tcPr>
            <w:tcW w:w="1793" w:type="dxa"/>
            <w:vAlign w:val="center"/>
          </w:tcPr>
          <w:p w14:paraId="0EE8EF52">
            <w:pPr>
              <w:spacing w:line="240" w:lineRule="exact"/>
              <w:jc w:val="center"/>
              <w:rPr>
                <w:rFonts w:ascii="宋体" w:hAnsi="宋体"/>
                <w:szCs w:val="21"/>
              </w:rPr>
            </w:pPr>
          </w:p>
        </w:tc>
        <w:tc>
          <w:tcPr>
            <w:tcW w:w="900" w:type="dxa"/>
            <w:vAlign w:val="center"/>
          </w:tcPr>
          <w:p w14:paraId="39681A5D">
            <w:pPr>
              <w:jc w:val="center"/>
              <w:rPr>
                <w:rFonts w:ascii="宋体" w:hAnsi="宋体"/>
                <w:szCs w:val="21"/>
              </w:rPr>
            </w:pPr>
          </w:p>
        </w:tc>
        <w:tc>
          <w:tcPr>
            <w:tcW w:w="992" w:type="dxa"/>
            <w:vAlign w:val="center"/>
          </w:tcPr>
          <w:p w14:paraId="2E3DCD41">
            <w:pPr>
              <w:spacing w:line="240" w:lineRule="exact"/>
              <w:jc w:val="center"/>
              <w:rPr>
                <w:rFonts w:ascii="宋体" w:hAnsi="宋体"/>
                <w:szCs w:val="21"/>
              </w:rPr>
            </w:pPr>
          </w:p>
        </w:tc>
        <w:tc>
          <w:tcPr>
            <w:tcW w:w="1785" w:type="dxa"/>
            <w:vAlign w:val="center"/>
          </w:tcPr>
          <w:p w14:paraId="1A2B7994">
            <w:pPr>
              <w:spacing w:line="240" w:lineRule="exact"/>
              <w:jc w:val="center"/>
              <w:rPr>
                <w:rFonts w:ascii="宋体" w:hAnsi="宋体"/>
                <w:szCs w:val="21"/>
              </w:rPr>
            </w:pPr>
          </w:p>
        </w:tc>
        <w:tc>
          <w:tcPr>
            <w:tcW w:w="1116" w:type="dxa"/>
            <w:vAlign w:val="center"/>
          </w:tcPr>
          <w:p w14:paraId="247E284A">
            <w:pPr>
              <w:spacing w:line="240" w:lineRule="exact"/>
              <w:jc w:val="center"/>
              <w:rPr>
                <w:rFonts w:ascii="宋体" w:hAnsi="宋体"/>
                <w:szCs w:val="21"/>
              </w:rPr>
            </w:pPr>
          </w:p>
        </w:tc>
        <w:tc>
          <w:tcPr>
            <w:tcW w:w="1341" w:type="dxa"/>
            <w:vAlign w:val="center"/>
          </w:tcPr>
          <w:p w14:paraId="64C9A793">
            <w:pPr>
              <w:spacing w:line="240" w:lineRule="exact"/>
              <w:jc w:val="center"/>
              <w:rPr>
                <w:rFonts w:ascii="宋体" w:hAnsi="宋体"/>
                <w:szCs w:val="21"/>
              </w:rPr>
            </w:pPr>
          </w:p>
        </w:tc>
        <w:tc>
          <w:tcPr>
            <w:tcW w:w="1080" w:type="dxa"/>
            <w:vAlign w:val="center"/>
          </w:tcPr>
          <w:p w14:paraId="674808BC">
            <w:pPr>
              <w:spacing w:line="240" w:lineRule="exact"/>
              <w:jc w:val="center"/>
              <w:rPr>
                <w:rFonts w:ascii="宋体" w:hAnsi="宋体"/>
                <w:szCs w:val="21"/>
              </w:rPr>
            </w:pPr>
          </w:p>
        </w:tc>
      </w:tr>
      <w:tr w14:paraId="345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A4FEA61">
            <w:pPr>
              <w:spacing w:line="240" w:lineRule="exact"/>
              <w:jc w:val="center"/>
              <w:rPr>
                <w:rFonts w:ascii="宋体" w:hAnsi="宋体"/>
                <w:szCs w:val="21"/>
              </w:rPr>
            </w:pPr>
            <w:r>
              <w:rPr>
                <w:rFonts w:ascii="宋体" w:hAnsi="宋体"/>
                <w:szCs w:val="21"/>
              </w:rPr>
              <w:t>9</w:t>
            </w:r>
          </w:p>
        </w:tc>
        <w:tc>
          <w:tcPr>
            <w:tcW w:w="1793" w:type="dxa"/>
            <w:vAlign w:val="center"/>
          </w:tcPr>
          <w:p w14:paraId="6D17EAE3">
            <w:pPr>
              <w:spacing w:line="240" w:lineRule="exact"/>
              <w:jc w:val="center"/>
              <w:rPr>
                <w:rFonts w:ascii="宋体" w:hAnsi="宋体"/>
                <w:szCs w:val="21"/>
              </w:rPr>
            </w:pPr>
          </w:p>
        </w:tc>
        <w:tc>
          <w:tcPr>
            <w:tcW w:w="900" w:type="dxa"/>
            <w:vAlign w:val="center"/>
          </w:tcPr>
          <w:p w14:paraId="27DD0362">
            <w:pPr>
              <w:jc w:val="center"/>
              <w:rPr>
                <w:rFonts w:ascii="宋体" w:hAnsi="宋体"/>
                <w:szCs w:val="21"/>
              </w:rPr>
            </w:pPr>
          </w:p>
        </w:tc>
        <w:tc>
          <w:tcPr>
            <w:tcW w:w="992" w:type="dxa"/>
            <w:vAlign w:val="center"/>
          </w:tcPr>
          <w:p w14:paraId="58C79080">
            <w:pPr>
              <w:spacing w:line="240" w:lineRule="exact"/>
              <w:jc w:val="center"/>
              <w:rPr>
                <w:rFonts w:ascii="宋体" w:hAnsi="宋体"/>
                <w:szCs w:val="21"/>
              </w:rPr>
            </w:pPr>
          </w:p>
        </w:tc>
        <w:tc>
          <w:tcPr>
            <w:tcW w:w="1785" w:type="dxa"/>
            <w:vAlign w:val="center"/>
          </w:tcPr>
          <w:p w14:paraId="35F9C676">
            <w:pPr>
              <w:spacing w:line="240" w:lineRule="exact"/>
              <w:jc w:val="center"/>
              <w:rPr>
                <w:rFonts w:ascii="宋体" w:hAnsi="宋体"/>
                <w:szCs w:val="21"/>
              </w:rPr>
            </w:pPr>
          </w:p>
        </w:tc>
        <w:tc>
          <w:tcPr>
            <w:tcW w:w="1116" w:type="dxa"/>
            <w:vAlign w:val="center"/>
          </w:tcPr>
          <w:p w14:paraId="718445D4">
            <w:pPr>
              <w:spacing w:line="240" w:lineRule="exact"/>
              <w:jc w:val="center"/>
              <w:rPr>
                <w:rFonts w:ascii="宋体" w:hAnsi="宋体"/>
                <w:szCs w:val="21"/>
              </w:rPr>
            </w:pPr>
          </w:p>
        </w:tc>
        <w:tc>
          <w:tcPr>
            <w:tcW w:w="1341" w:type="dxa"/>
            <w:vAlign w:val="center"/>
          </w:tcPr>
          <w:p w14:paraId="3F85FC12">
            <w:pPr>
              <w:spacing w:line="240" w:lineRule="exact"/>
              <w:jc w:val="center"/>
              <w:rPr>
                <w:rFonts w:ascii="宋体" w:hAnsi="宋体"/>
                <w:szCs w:val="21"/>
              </w:rPr>
            </w:pPr>
          </w:p>
        </w:tc>
        <w:tc>
          <w:tcPr>
            <w:tcW w:w="1080" w:type="dxa"/>
            <w:vAlign w:val="center"/>
          </w:tcPr>
          <w:p w14:paraId="25DEB1F9">
            <w:pPr>
              <w:spacing w:line="240" w:lineRule="exact"/>
              <w:jc w:val="center"/>
              <w:rPr>
                <w:rFonts w:ascii="宋体" w:hAnsi="宋体"/>
                <w:szCs w:val="21"/>
              </w:rPr>
            </w:pPr>
          </w:p>
        </w:tc>
      </w:tr>
      <w:tr w14:paraId="78FC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505AF483">
            <w:pPr>
              <w:spacing w:line="240" w:lineRule="exact"/>
              <w:jc w:val="center"/>
              <w:rPr>
                <w:rFonts w:ascii="宋体" w:hAnsi="宋体"/>
                <w:szCs w:val="21"/>
              </w:rPr>
            </w:pPr>
            <w:r>
              <w:rPr>
                <w:rFonts w:ascii="宋体" w:hAnsi="宋体"/>
                <w:szCs w:val="21"/>
              </w:rPr>
              <w:t>10</w:t>
            </w:r>
          </w:p>
        </w:tc>
        <w:tc>
          <w:tcPr>
            <w:tcW w:w="1793" w:type="dxa"/>
            <w:vAlign w:val="center"/>
          </w:tcPr>
          <w:p w14:paraId="0D98B9B3">
            <w:pPr>
              <w:spacing w:line="240" w:lineRule="exact"/>
              <w:jc w:val="center"/>
              <w:rPr>
                <w:rFonts w:ascii="宋体" w:hAnsi="宋体"/>
                <w:szCs w:val="21"/>
              </w:rPr>
            </w:pPr>
          </w:p>
        </w:tc>
        <w:tc>
          <w:tcPr>
            <w:tcW w:w="900" w:type="dxa"/>
            <w:vAlign w:val="center"/>
          </w:tcPr>
          <w:p w14:paraId="5675EB6B">
            <w:pPr>
              <w:jc w:val="center"/>
              <w:rPr>
                <w:rFonts w:ascii="宋体" w:hAnsi="宋体"/>
                <w:szCs w:val="21"/>
              </w:rPr>
            </w:pPr>
          </w:p>
        </w:tc>
        <w:tc>
          <w:tcPr>
            <w:tcW w:w="992" w:type="dxa"/>
            <w:vAlign w:val="center"/>
          </w:tcPr>
          <w:p w14:paraId="2843431B">
            <w:pPr>
              <w:spacing w:line="240" w:lineRule="exact"/>
              <w:jc w:val="center"/>
              <w:rPr>
                <w:rFonts w:ascii="宋体" w:hAnsi="宋体"/>
                <w:szCs w:val="21"/>
              </w:rPr>
            </w:pPr>
          </w:p>
        </w:tc>
        <w:tc>
          <w:tcPr>
            <w:tcW w:w="1785" w:type="dxa"/>
            <w:vAlign w:val="center"/>
          </w:tcPr>
          <w:p w14:paraId="7B8E549A">
            <w:pPr>
              <w:spacing w:line="240" w:lineRule="exact"/>
              <w:jc w:val="center"/>
              <w:rPr>
                <w:rFonts w:ascii="宋体" w:hAnsi="宋体"/>
                <w:szCs w:val="21"/>
              </w:rPr>
            </w:pPr>
          </w:p>
        </w:tc>
        <w:tc>
          <w:tcPr>
            <w:tcW w:w="1116" w:type="dxa"/>
            <w:vAlign w:val="center"/>
          </w:tcPr>
          <w:p w14:paraId="639E280E">
            <w:pPr>
              <w:spacing w:line="240" w:lineRule="exact"/>
              <w:jc w:val="center"/>
              <w:rPr>
                <w:rFonts w:ascii="宋体" w:hAnsi="宋体"/>
                <w:szCs w:val="21"/>
              </w:rPr>
            </w:pPr>
          </w:p>
        </w:tc>
        <w:tc>
          <w:tcPr>
            <w:tcW w:w="1341" w:type="dxa"/>
            <w:vAlign w:val="center"/>
          </w:tcPr>
          <w:p w14:paraId="4D75A6E5">
            <w:pPr>
              <w:spacing w:line="240" w:lineRule="exact"/>
              <w:jc w:val="center"/>
              <w:rPr>
                <w:rFonts w:ascii="宋体" w:hAnsi="宋体"/>
                <w:szCs w:val="21"/>
              </w:rPr>
            </w:pPr>
          </w:p>
        </w:tc>
        <w:tc>
          <w:tcPr>
            <w:tcW w:w="1080" w:type="dxa"/>
            <w:vAlign w:val="center"/>
          </w:tcPr>
          <w:p w14:paraId="20E58A85">
            <w:pPr>
              <w:spacing w:line="240" w:lineRule="exact"/>
              <w:jc w:val="center"/>
              <w:rPr>
                <w:rFonts w:ascii="宋体" w:hAnsi="宋体"/>
                <w:szCs w:val="21"/>
              </w:rPr>
            </w:pPr>
          </w:p>
        </w:tc>
      </w:tr>
    </w:tbl>
    <w:p w14:paraId="3CBE0831">
      <w:pPr>
        <w:spacing w:line="440" w:lineRule="exact"/>
        <w:rPr>
          <w:rFonts w:ascii="宋体" w:hAnsi="宋体"/>
        </w:rPr>
      </w:pPr>
      <w:r>
        <w:rPr>
          <w:rFonts w:hint="eastAsia" w:ascii="宋体" w:hAnsi="宋体"/>
        </w:rPr>
        <w:t>注：本项不作为资格审查内容，但（如有）需提供，仅作为投标人的评标（综合评分）后附相关证明材料。表格格式可以根据实际情况调整。</w:t>
      </w:r>
    </w:p>
    <w:p w14:paraId="561762D7">
      <w:pPr>
        <w:snapToGrid w:val="0"/>
        <w:spacing w:line="360" w:lineRule="auto"/>
        <w:ind w:right="-97" w:rightChars="-46"/>
        <w:rPr>
          <w:rFonts w:ascii="宋体" w:hAnsi="宋体"/>
          <w:sz w:val="24"/>
        </w:rPr>
      </w:pPr>
    </w:p>
    <w:p w14:paraId="24409E19">
      <w:pPr>
        <w:pStyle w:val="6"/>
        <w:numPr>
          <w:ilvl w:val="-1"/>
          <w:numId w:val="0"/>
        </w:numPr>
      </w:pPr>
      <w:r>
        <w:br w:type="page"/>
      </w:r>
      <w:bookmarkStart w:id="248" w:name="_Toc16503"/>
      <w:bookmarkStart w:id="249" w:name="_Toc17479"/>
      <w:r>
        <w:rPr>
          <w:rFonts w:hint="eastAsia"/>
          <w:lang w:val="en-US" w:eastAsia="zh-CN"/>
        </w:rPr>
        <w:t>九、</w:t>
      </w:r>
      <w:r>
        <w:rPr>
          <w:rFonts w:hint="eastAsia"/>
        </w:rPr>
        <w:t>检测方案</w:t>
      </w:r>
      <w:bookmarkEnd w:id="248"/>
      <w:bookmarkEnd w:id="249"/>
    </w:p>
    <w:p w14:paraId="17EAC0C6">
      <w:pPr>
        <w:jc w:val="center"/>
        <w:rPr>
          <w:b/>
          <w:sz w:val="28"/>
          <w:szCs w:val="28"/>
        </w:rPr>
      </w:pPr>
      <w:r>
        <w:rPr>
          <w:rFonts w:hint="eastAsia"/>
          <w:b/>
          <w:sz w:val="28"/>
          <w:szCs w:val="28"/>
        </w:rPr>
        <w:t>（由投标人根据评分表自行编制）</w:t>
      </w:r>
    </w:p>
    <w:p w14:paraId="0331FC76"/>
    <w:p w14:paraId="059262D8">
      <w:pPr>
        <w:spacing w:line="360" w:lineRule="auto"/>
        <w:rPr>
          <w:rFonts w:ascii="宋体" w:hAnsi="宋体"/>
          <w:sz w:val="24"/>
          <w:szCs w:val="24"/>
        </w:rPr>
      </w:pPr>
    </w:p>
    <w:p w14:paraId="26F90254">
      <w:pPr>
        <w:pStyle w:val="6"/>
      </w:pPr>
      <w:bookmarkStart w:id="250" w:name="_Toc533334238"/>
      <w:r>
        <w:br w:type="page"/>
      </w:r>
      <w:bookmarkStart w:id="251" w:name="_Toc20101"/>
      <w:bookmarkStart w:id="252" w:name="_Toc702"/>
      <w:r>
        <w:rPr>
          <w:rFonts w:hint="eastAsia"/>
        </w:rPr>
        <w:t>十、</w:t>
      </w:r>
      <w:r>
        <w:rPr>
          <w:rFonts w:hint="eastAsia"/>
          <w:sz w:val="36"/>
          <w:szCs w:val="36"/>
        </w:rPr>
        <w:t>中小企业声明函（如有）</w:t>
      </w:r>
      <w:bookmarkEnd w:id="251"/>
      <w:bookmarkEnd w:id="252"/>
    </w:p>
    <w:p w14:paraId="0189DE9C">
      <w:pPr>
        <w:spacing w:line="360" w:lineRule="auto"/>
        <w:ind w:firstLine="482"/>
        <w:jc w:val="center"/>
        <w:rPr>
          <w:rFonts w:ascii="宋体" w:hAnsi="宋体"/>
          <w:sz w:val="24"/>
          <w:szCs w:val="24"/>
        </w:rPr>
      </w:pPr>
    </w:p>
    <w:p w14:paraId="1D94F77B">
      <w:pPr>
        <w:spacing w:line="360" w:lineRule="auto"/>
        <w:ind w:firstLine="482"/>
        <w:jc w:val="center"/>
        <w:rPr>
          <w:rFonts w:ascii="宋体" w:hAnsi="宋体" w:cs="宋体"/>
          <w:b/>
          <w:kern w:val="44"/>
          <w:sz w:val="28"/>
          <w:szCs w:val="28"/>
          <w:lang w:bidi="ar"/>
        </w:rPr>
      </w:pPr>
      <w:r>
        <w:rPr>
          <w:rFonts w:hint="eastAsia" w:ascii="宋体" w:hAnsi="宋体" w:cs="宋体"/>
          <w:b/>
          <w:kern w:val="44"/>
          <w:sz w:val="28"/>
          <w:szCs w:val="28"/>
          <w:lang w:bidi="ar"/>
        </w:rPr>
        <w:t>中小企业声明函（格式参考）</w:t>
      </w:r>
    </w:p>
    <w:p w14:paraId="76097BF4">
      <w:pPr>
        <w:ind w:firstLine="480"/>
        <w:rPr>
          <w:rFonts w:ascii="宋体" w:hAnsi="宋体" w:cs="宋体"/>
          <w:sz w:val="24"/>
        </w:rPr>
      </w:pPr>
      <w:r>
        <w:rPr>
          <w:rFonts w:hint="eastAsia" w:ascii="宋体" w:hAnsi="宋体" w:cs="宋体"/>
          <w:sz w:val="24"/>
          <w:lang w:bidi="ar"/>
        </w:rPr>
        <w:t xml:space="preserve"> </w:t>
      </w:r>
    </w:p>
    <w:p w14:paraId="02548A9F">
      <w:pPr>
        <w:spacing w:line="360" w:lineRule="auto"/>
        <w:ind w:firstLine="480"/>
        <w:rPr>
          <w:rFonts w:ascii="宋体" w:hAnsi="宋体" w:cs="宋体"/>
          <w:sz w:val="24"/>
        </w:rPr>
      </w:pPr>
      <w:r>
        <w:rPr>
          <w:rFonts w:hint="eastAsia" w:ascii="宋体" w:hAnsi="宋体" w:cs="宋体"/>
          <w:sz w:val="24"/>
          <w:u w:val="single"/>
          <w:lang w:bidi="ar"/>
        </w:rPr>
        <w:t xml:space="preserve">           投标人名称    </w:t>
      </w:r>
      <w:r>
        <w:rPr>
          <w:rFonts w:hint="eastAsia" w:ascii="宋体" w:hAnsi="宋体" w:cs="宋体"/>
          <w:sz w:val="24"/>
          <w:lang w:bidi="ar"/>
        </w:rPr>
        <w:t>郑重声明，根据《关于印发中小企业划型标准规定的通知》（工信部联企业〔2011〕300号）的规定，</w:t>
      </w:r>
      <w:r>
        <w:rPr>
          <w:rFonts w:hint="eastAsia" w:ascii="宋体" w:hAnsi="宋体" w:cs="宋体"/>
          <w:sz w:val="24"/>
          <w:u w:val="single"/>
          <w:lang w:bidi="ar"/>
        </w:rPr>
        <w:t xml:space="preserve">   （投标人名称）</w:t>
      </w:r>
      <w:r>
        <w:rPr>
          <w:rFonts w:hint="eastAsia" w:ascii="宋体" w:hAnsi="宋体" w:cs="宋体"/>
          <w:sz w:val="24"/>
          <w:lang w:bidi="ar"/>
        </w:rPr>
        <w:t>为符合政策要求的中小企业。</w:t>
      </w:r>
    </w:p>
    <w:p w14:paraId="65159BF7">
      <w:pPr>
        <w:spacing w:line="360" w:lineRule="auto"/>
        <w:ind w:firstLine="480"/>
        <w:rPr>
          <w:rFonts w:ascii="宋体" w:hAnsi="宋体" w:cs="宋体"/>
          <w:sz w:val="24"/>
        </w:rPr>
      </w:pPr>
      <w:r>
        <w:rPr>
          <w:rFonts w:hint="eastAsia" w:ascii="宋体" w:hAnsi="宋体" w:cs="宋体"/>
          <w:sz w:val="24"/>
          <w:lang w:bidi="ar"/>
        </w:rPr>
        <w:t>具体情况如下：</w:t>
      </w:r>
    </w:p>
    <w:p w14:paraId="1609BF72">
      <w:pPr>
        <w:spacing w:line="360" w:lineRule="auto"/>
        <w:ind w:firstLine="480"/>
        <w:rPr>
          <w:rFonts w:ascii="宋体" w:hAnsi="宋体" w:cs="宋体"/>
          <w:sz w:val="24"/>
        </w:rPr>
      </w:pPr>
      <w:r>
        <w:rPr>
          <w:rFonts w:hint="eastAsia" w:ascii="宋体" w:hAnsi="宋体" w:cs="宋体"/>
          <w:sz w:val="24"/>
          <w:u w:val="single"/>
          <w:lang w:bidi="ar"/>
        </w:rPr>
        <w:t>粤港澳大湾区国际智能检测产业园一期项目检验监测</w:t>
      </w:r>
      <w:r>
        <w:rPr>
          <w:rFonts w:hint="eastAsia" w:ascii="宋体" w:hAnsi="宋体" w:cs="宋体"/>
          <w:sz w:val="24"/>
          <w:lang w:bidi="ar"/>
        </w:rPr>
        <w:t>，属于</w:t>
      </w:r>
      <w:r>
        <w:rPr>
          <w:rFonts w:hint="eastAsia" w:ascii="宋体" w:hAnsi="宋体" w:cs="宋体"/>
          <w:sz w:val="24"/>
          <w:u w:val="single"/>
          <w:lang w:bidi="ar"/>
        </w:rPr>
        <w:t xml:space="preserve">中小企业划型标准规定的其他未列明 </w:t>
      </w:r>
      <w:r>
        <w:rPr>
          <w:rFonts w:hint="eastAsia" w:ascii="宋体" w:hAnsi="宋体" w:cs="宋体"/>
          <w:sz w:val="24"/>
          <w:lang w:bidi="ar"/>
        </w:rPr>
        <w:t>行业；承接企业为</w:t>
      </w:r>
      <w:r>
        <w:rPr>
          <w:rFonts w:hint="eastAsia" w:ascii="宋体" w:hAnsi="宋体" w:cs="宋体"/>
          <w:sz w:val="24"/>
          <w:u w:val="single"/>
          <w:lang w:bidi="ar"/>
        </w:rPr>
        <w:t xml:space="preserve">  （企业名称）  </w:t>
      </w:r>
      <w:r>
        <w:rPr>
          <w:rFonts w:hint="eastAsia" w:ascii="宋体" w:hAnsi="宋体" w:cs="宋体"/>
          <w:sz w:val="24"/>
          <w:lang w:bidi="ar"/>
        </w:rPr>
        <w:t>，从业人员__________________人，营业收入为__________________万元，资产总额为__________________万元，属于</w:t>
      </w:r>
      <w:r>
        <w:rPr>
          <w:rFonts w:hint="eastAsia" w:ascii="宋体" w:hAnsi="宋体" w:cs="宋体"/>
          <w:sz w:val="24"/>
          <w:u w:val="single"/>
          <w:lang w:bidi="ar"/>
        </w:rPr>
        <w:t>（中型企业、小型企业、微型企业）</w:t>
      </w:r>
      <w:r>
        <w:rPr>
          <w:rFonts w:hint="eastAsia" w:ascii="宋体" w:hAnsi="宋体" w:cs="宋体"/>
          <w:sz w:val="24"/>
          <w:lang w:bidi="ar"/>
        </w:rPr>
        <w:t>；</w:t>
      </w:r>
    </w:p>
    <w:p w14:paraId="112E8C01">
      <w:pPr>
        <w:spacing w:line="360" w:lineRule="auto"/>
        <w:ind w:firstLine="480"/>
        <w:rPr>
          <w:rFonts w:ascii="宋体" w:hAnsi="宋体" w:cs="宋体"/>
          <w:sz w:val="24"/>
        </w:rPr>
      </w:pPr>
      <w:r>
        <w:rPr>
          <w:rFonts w:hint="eastAsia" w:ascii="宋体" w:hAnsi="宋体" w:cs="宋体"/>
          <w:sz w:val="24"/>
          <w:lang w:bidi="ar"/>
        </w:rPr>
        <w:t>以上企业，不属于大企业的分支机构，不存在控股股东为大企业的情形，也不存在与大企业的负责人为同一人的情形。</w:t>
      </w:r>
    </w:p>
    <w:p w14:paraId="04362B85">
      <w:pPr>
        <w:spacing w:line="360" w:lineRule="auto"/>
        <w:ind w:firstLine="480"/>
        <w:rPr>
          <w:rFonts w:ascii="宋体" w:hAnsi="宋体" w:cs="宋体"/>
          <w:sz w:val="24"/>
        </w:rPr>
      </w:pPr>
      <w:r>
        <w:rPr>
          <w:rFonts w:hint="eastAsia" w:ascii="宋体" w:hAnsi="宋体" w:cs="宋体"/>
          <w:sz w:val="24"/>
          <w:lang w:bidi="ar"/>
        </w:rPr>
        <w:t>本企业对上述声明内容的真实性负责。如有虚假，将依法承担相应责任。</w:t>
      </w:r>
    </w:p>
    <w:p w14:paraId="4091FFCA">
      <w:pPr>
        <w:spacing w:line="360" w:lineRule="auto"/>
        <w:ind w:firstLine="480"/>
        <w:rPr>
          <w:rFonts w:ascii="宋体" w:hAnsi="宋体" w:cs="宋体"/>
          <w:sz w:val="24"/>
        </w:rPr>
      </w:pPr>
      <w:r>
        <w:rPr>
          <w:rFonts w:hint="eastAsia" w:ascii="宋体" w:hAnsi="宋体" w:cs="宋体"/>
          <w:sz w:val="24"/>
          <w:lang w:bidi="ar"/>
        </w:rPr>
        <w:t xml:space="preserve"> </w:t>
      </w:r>
    </w:p>
    <w:p w14:paraId="66274932">
      <w:pPr>
        <w:spacing w:line="360" w:lineRule="auto"/>
        <w:ind w:firstLine="480"/>
        <w:rPr>
          <w:rFonts w:ascii="宋体" w:hAnsi="宋体" w:cs="宋体"/>
          <w:sz w:val="24"/>
        </w:rPr>
      </w:pPr>
      <w:r>
        <w:rPr>
          <w:rFonts w:hint="eastAsia" w:ascii="宋体" w:hAnsi="宋体" w:cs="宋体"/>
          <w:sz w:val="24"/>
          <w:lang w:bidi="ar"/>
        </w:rPr>
        <w:t xml:space="preserve"> </w:t>
      </w:r>
    </w:p>
    <w:p w14:paraId="697BDD39">
      <w:pPr>
        <w:spacing w:line="360" w:lineRule="auto"/>
        <w:ind w:firstLine="480"/>
        <w:jc w:val="right"/>
        <w:rPr>
          <w:rFonts w:ascii="宋体" w:hAnsi="宋体" w:cs="宋体"/>
          <w:sz w:val="24"/>
        </w:rPr>
      </w:pPr>
      <w:r>
        <w:rPr>
          <w:rFonts w:hint="eastAsia" w:ascii="宋体" w:hAnsi="宋体" w:cs="宋体"/>
          <w:sz w:val="24"/>
          <w:lang w:bidi="ar"/>
        </w:rPr>
        <w:t>企业名称（盖章）：__________________</w:t>
      </w:r>
    </w:p>
    <w:p w14:paraId="40A12458">
      <w:pPr>
        <w:spacing w:line="360" w:lineRule="auto"/>
        <w:ind w:firstLine="480"/>
        <w:jc w:val="right"/>
        <w:rPr>
          <w:rFonts w:ascii="宋体" w:hAnsi="宋体" w:cs="宋体"/>
          <w:sz w:val="24"/>
        </w:rPr>
      </w:pPr>
      <w:r>
        <w:rPr>
          <w:rFonts w:hint="eastAsia" w:ascii="宋体" w:hAnsi="宋体" w:cs="宋体"/>
          <w:sz w:val="24"/>
          <w:lang w:bidi="ar"/>
        </w:rPr>
        <w:t>日期： 年 月 日</w:t>
      </w:r>
    </w:p>
    <w:p w14:paraId="163CB17D">
      <w:pPr>
        <w:spacing w:line="360" w:lineRule="auto"/>
        <w:ind w:firstLine="480"/>
        <w:rPr>
          <w:rFonts w:ascii="宋体" w:hAnsi="宋体" w:cs="宋体"/>
          <w:sz w:val="24"/>
        </w:rPr>
      </w:pPr>
      <w:r>
        <w:rPr>
          <w:rFonts w:hint="eastAsia" w:ascii="宋体" w:hAnsi="宋体" w:cs="宋体"/>
          <w:sz w:val="24"/>
          <w:lang w:bidi="ar"/>
        </w:rPr>
        <w:t>1、从业人员、营业收入、资产总额填报上一年度数据，无上一年度数据的新成立企业可不填报。</w:t>
      </w:r>
    </w:p>
    <w:p w14:paraId="0954365D">
      <w:pPr>
        <w:ind w:firstLine="480"/>
        <w:rPr>
          <w:rFonts w:ascii="宋体" w:hAnsi="宋体" w:cs="宋体"/>
          <w:b/>
          <w:bCs/>
          <w:sz w:val="20"/>
          <w:szCs w:val="20"/>
        </w:rPr>
      </w:pPr>
      <w:bookmarkStart w:id="253" w:name="_Toc22411"/>
      <w:r>
        <w:rPr>
          <w:rFonts w:hint="eastAsia" w:ascii="宋体" w:hAnsi="宋体" w:cs="宋体"/>
          <w:sz w:val="24"/>
          <w:lang w:bidi="ar"/>
        </w:rPr>
        <w:t>2、投标人应当自行核实是否属于小微企业，并认真填写声明函，若有虚假将追究其责任。</w:t>
      </w:r>
      <w:bookmarkEnd w:id="253"/>
    </w:p>
    <w:p w14:paraId="4A84A845"/>
    <w:p w14:paraId="1820CB70">
      <w:pPr>
        <w:pStyle w:val="18"/>
      </w:pPr>
    </w:p>
    <w:p w14:paraId="12C32799">
      <w:bookmarkStart w:id="254" w:name="_Toc11325"/>
      <w:r>
        <w:rPr>
          <w:rFonts w:hint="eastAsia"/>
        </w:rPr>
        <w:br w:type="page"/>
      </w:r>
    </w:p>
    <w:p w14:paraId="4886DEE8">
      <w:pPr>
        <w:pStyle w:val="6"/>
      </w:pPr>
      <w:bookmarkStart w:id="255" w:name="_Toc2938"/>
      <w:r>
        <w:rPr>
          <w:rFonts w:hint="eastAsia"/>
        </w:rPr>
        <w:t>十</w:t>
      </w:r>
      <w:r>
        <w:rPr>
          <w:rFonts w:hint="eastAsia"/>
          <w:lang w:val="en-US" w:eastAsia="zh-CN"/>
        </w:rPr>
        <w:t>一</w:t>
      </w:r>
      <w:r>
        <w:rPr>
          <w:rFonts w:hint="eastAsia"/>
        </w:rPr>
        <w:t>、其他资料</w:t>
      </w:r>
      <w:bookmarkEnd w:id="250"/>
      <w:bookmarkEnd w:id="254"/>
      <w:bookmarkEnd w:id="255"/>
    </w:p>
    <w:p w14:paraId="58CB8B89">
      <w:pPr>
        <w:spacing w:line="360" w:lineRule="auto"/>
        <w:ind w:firstLine="480" w:firstLineChars="200"/>
        <w:jc w:val="left"/>
        <w:rPr>
          <w:rFonts w:ascii="宋体" w:hAnsi="宋体"/>
          <w:sz w:val="24"/>
          <w:szCs w:val="24"/>
        </w:rPr>
      </w:pPr>
      <w:r>
        <w:rPr>
          <w:rFonts w:hint="eastAsia" w:ascii="宋体" w:hAnsi="宋体"/>
          <w:sz w:val="24"/>
        </w:rPr>
        <w:t>投标人须知前附表规定的其他资料，</w:t>
      </w:r>
      <w:r>
        <w:rPr>
          <w:rFonts w:hint="eastAsia" w:ascii="宋体" w:hAnsi="宋体"/>
          <w:sz w:val="24"/>
          <w:szCs w:val="24"/>
        </w:rPr>
        <w:t>投标人认为有必要提交的其他资料，格式自定。</w:t>
      </w:r>
    </w:p>
    <w:p w14:paraId="196B52EF">
      <w:pPr>
        <w:snapToGrid w:val="0"/>
        <w:spacing w:line="360" w:lineRule="auto"/>
        <w:ind w:right="-97" w:rightChars="-46"/>
        <w:rPr>
          <w:rFonts w:ascii="宋体" w:hAnsi="宋体"/>
          <w:sz w:val="24"/>
          <w:szCs w:val="18"/>
        </w:rPr>
      </w:pPr>
    </w:p>
    <w:p w14:paraId="0C3AECF0"/>
    <w:p w14:paraId="7877B1C8"/>
    <w:sectPr>
      <w:pgSz w:w="11906" w:h="16838"/>
      <w:pgMar w:top="1440" w:right="1080" w:bottom="1440" w:left="108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FFF6">
    <w:pPr>
      <w:pStyle w:val="22"/>
      <w:framePr w:wrap="around" w:vAnchor="text" w:hAnchor="margin" w:xAlign="center" w:y="2"/>
      <w:rPr>
        <w:rStyle w:val="31"/>
      </w:rPr>
    </w:pPr>
    <w:r>
      <w:fldChar w:fldCharType="begin"/>
    </w:r>
    <w:r>
      <w:rPr>
        <w:rStyle w:val="31"/>
      </w:rPr>
      <w:instrText xml:space="preserve">PAGE  </w:instrText>
    </w:r>
    <w:r>
      <w:fldChar w:fldCharType="separate"/>
    </w:r>
    <w:r>
      <w:rPr>
        <w:rStyle w:val="31"/>
      </w:rPr>
      <w:t>42</w:t>
    </w:r>
    <w:r>
      <w:fldChar w:fldCharType="end"/>
    </w:r>
  </w:p>
  <w:p w14:paraId="311FA94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591555"/>
    </w:sdtPr>
    <w:sdtContent>
      <w:p w14:paraId="0A06A4DB">
        <w:pPr>
          <w:pStyle w:val="22"/>
          <w:jc w:val="center"/>
        </w:pPr>
        <w:r>
          <w:fldChar w:fldCharType="begin"/>
        </w:r>
        <w:r>
          <w:instrText xml:space="preserve">PAGE   \* MERGEFORMAT</w:instrText>
        </w:r>
        <w:r>
          <w:fldChar w:fldCharType="separate"/>
        </w:r>
        <w:r>
          <w:rPr>
            <w:lang w:val="zh-CN"/>
          </w:rPr>
          <w:t>7</w:t>
        </w:r>
        <w:r>
          <w:fldChar w:fldCharType="end"/>
        </w:r>
      </w:p>
    </w:sdtContent>
  </w:sdt>
  <w:p w14:paraId="63D582AB">
    <w:pPr>
      <w:pStyle w:val="22"/>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B40D">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3599ECF">
                          <w:pPr>
                            <w:pStyle w:val="22"/>
                          </w:pPr>
                          <w:r>
                            <w:fldChar w:fldCharType="begin"/>
                          </w:r>
                          <w:r>
                            <w:instrText xml:space="preserve"> PAGE  \* MERGEFORMAT </w:instrText>
                          </w:r>
                          <w:r>
                            <w:fldChar w:fldCharType="separate"/>
                          </w:r>
                          <w:r>
                            <w:t>67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&#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RyMaoA4CAAAQBAAADgAAAAAAAAABACAAAAAf&#10;AQAAZHJzL2Uyb0RvYy54bWxQSwUGAAAAAAYABgBZAQAAnwUAAAAA&#10;">
              <v:fill on="f" focussize="0,0"/>
              <v:stroke on="f"/>
              <v:imagedata o:title=""/>
              <o:lock v:ext="edit" aspectratio="f"/>
              <v:textbox inset="0mm,0mm,0mm,0mm" style="mso-fit-shape-to-text:t;">
                <w:txbxContent>
                  <w:p w14:paraId="43599ECF">
                    <w:pPr>
                      <w:pStyle w:val="2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282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FDF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C426">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2C060">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B12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CF7B7"/>
    <w:multiLevelType w:val="singleLevel"/>
    <w:tmpl w:val="23ECF7B7"/>
    <w:lvl w:ilvl="0" w:tentative="0">
      <w:start w:val="2"/>
      <w:numFmt w:val="decimal"/>
      <w:suff w:val="nothing"/>
      <w:lvlText w:val="%1、"/>
      <w:lvlJc w:val="left"/>
    </w:lvl>
  </w:abstractNum>
  <w:abstractNum w:abstractNumId="1">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940097"/>
    <w:multiLevelType w:val="singleLevel"/>
    <w:tmpl w:val="75940097"/>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Q5ZTdmNTIzNjVhMzFjMmNmMDA0OGI2NjE3Y2UifQ=="/>
  </w:docVars>
  <w:rsids>
    <w:rsidRoot w:val="00FE62DA"/>
    <w:rsid w:val="000255FF"/>
    <w:rsid w:val="000356F0"/>
    <w:rsid w:val="000530E7"/>
    <w:rsid w:val="00076B98"/>
    <w:rsid w:val="000852F7"/>
    <w:rsid w:val="000914A3"/>
    <w:rsid w:val="000D61AF"/>
    <w:rsid w:val="000E3D98"/>
    <w:rsid w:val="000F29AE"/>
    <w:rsid w:val="00143D94"/>
    <w:rsid w:val="00143F46"/>
    <w:rsid w:val="00161340"/>
    <w:rsid w:val="0016530F"/>
    <w:rsid w:val="00170496"/>
    <w:rsid w:val="001970B1"/>
    <w:rsid w:val="001C63C6"/>
    <w:rsid w:val="001C7D5E"/>
    <w:rsid w:val="00220B35"/>
    <w:rsid w:val="00232152"/>
    <w:rsid w:val="00247007"/>
    <w:rsid w:val="0025454F"/>
    <w:rsid w:val="002A011F"/>
    <w:rsid w:val="002B6D49"/>
    <w:rsid w:val="002C79B4"/>
    <w:rsid w:val="002F584B"/>
    <w:rsid w:val="00315AC2"/>
    <w:rsid w:val="00327FCA"/>
    <w:rsid w:val="00330B90"/>
    <w:rsid w:val="00334B09"/>
    <w:rsid w:val="00353962"/>
    <w:rsid w:val="00367564"/>
    <w:rsid w:val="00371089"/>
    <w:rsid w:val="00372F39"/>
    <w:rsid w:val="00376486"/>
    <w:rsid w:val="003A1A6E"/>
    <w:rsid w:val="003B3BB7"/>
    <w:rsid w:val="003C657A"/>
    <w:rsid w:val="003D3488"/>
    <w:rsid w:val="003D7673"/>
    <w:rsid w:val="003F14C9"/>
    <w:rsid w:val="0042172C"/>
    <w:rsid w:val="00435DFF"/>
    <w:rsid w:val="00445EE1"/>
    <w:rsid w:val="0045470C"/>
    <w:rsid w:val="004605EA"/>
    <w:rsid w:val="004733FE"/>
    <w:rsid w:val="00476DEA"/>
    <w:rsid w:val="00492C93"/>
    <w:rsid w:val="004964F7"/>
    <w:rsid w:val="00496B26"/>
    <w:rsid w:val="004A0872"/>
    <w:rsid w:val="004A3E9C"/>
    <w:rsid w:val="004E7797"/>
    <w:rsid w:val="005034EC"/>
    <w:rsid w:val="005151ED"/>
    <w:rsid w:val="00523C36"/>
    <w:rsid w:val="0054231F"/>
    <w:rsid w:val="00546991"/>
    <w:rsid w:val="00556230"/>
    <w:rsid w:val="00560F6C"/>
    <w:rsid w:val="005653B2"/>
    <w:rsid w:val="00566260"/>
    <w:rsid w:val="00594273"/>
    <w:rsid w:val="005A2879"/>
    <w:rsid w:val="00606F83"/>
    <w:rsid w:val="0061661F"/>
    <w:rsid w:val="00631483"/>
    <w:rsid w:val="00634798"/>
    <w:rsid w:val="006533EB"/>
    <w:rsid w:val="00655532"/>
    <w:rsid w:val="00676A45"/>
    <w:rsid w:val="006770D7"/>
    <w:rsid w:val="00677DB9"/>
    <w:rsid w:val="006861CA"/>
    <w:rsid w:val="00697FDE"/>
    <w:rsid w:val="006A474D"/>
    <w:rsid w:val="006B79D7"/>
    <w:rsid w:val="006F6086"/>
    <w:rsid w:val="00700BD4"/>
    <w:rsid w:val="00710DE4"/>
    <w:rsid w:val="0072478C"/>
    <w:rsid w:val="00742090"/>
    <w:rsid w:val="00753DF9"/>
    <w:rsid w:val="00760E90"/>
    <w:rsid w:val="0076380B"/>
    <w:rsid w:val="00763E8F"/>
    <w:rsid w:val="007D61EC"/>
    <w:rsid w:val="007E2A12"/>
    <w:rsid w:val="007F28E3"/>
    <w:rsid w:val="007F379A"/>
    <w:rsid w:val="00802BA7"/>
    <w:rsid w:val="00805EE2"/>
    <w:rsid w:val="00814871"/>
    <w:rsid w:val="008300D8"/>
    <w:rsid w:val="00852553"/>
    <w:rsid w:val="0085404D"/>
    <w:rsid w:val="00860E35"/>
    <w:rsid w:val="00871638"/>
    <w:rsid w:val="00893048"/>
    <w:rsid w:val="00897450"/>
    <w:rsid w:val="008B1E6E"/>
    <w:rsid w:val="008B2FD6"/>
    <w:rsid w:val="008B465D"/>
    <w:rsid w:val="008C3AA8"/>
    <w:rsid w:val="0093420A"/>
    <w:rsid w:val="00934E29"/>
    <w:rsid w:val="00956978"/>
    <w:rsid w:val="00967300"/>
    <w:rsid w:val="00973922"/>
    <w:rsid w:val="00990A0F"/>
    <w:rsid w:val="009A36D1"/>
    <w:rsid w:val="009C05A1"/>
    <w:rsid w:val="009E4679"/>
    <w:rsid w:val="009F0E1C"/>
    <w:rsid w:val="00A03A46"/>
    <w:rsid w:val="00A11060"/>
    <w:rsid w:val="00A24EF5"/>
    <w:rsid w:val="00A342A7"/>
    <w:rsid w:val="00A667C2"/>
    <w:rsid w:val="00AD69ED"/>
    <w:rsid w:val="00AE2774"/>
    <w:rsid w:val="00AE53C8"/>
    <w:rsid w:val="00B1656B"/>
    <w:rsid w:val="00B16E69"/>
    <w:rsid w:val="00B25EA1"/>
    <w:rsid w:val="00B43515"/>
    <w:rsid w:val="00B45BF2"/>
    <w:rsid w:val="00B9289D"/>
    <w:rsid w:val="00BA37AE"/>
    <w:rsid w:val="00BA5156"/>
    <w:rsid w:val="00BC0037"/>
    <w:rsid w:val="00BC24BF"/>
    <w:rsid w:val="00BC3BC3"/>
    <w:rsid w:val="00BC64E3"/>
    <w:rsid w:val="00BD16CA"/>
    <w:rsid w:val="00BD1770"/>
    <w:rsid w:val="00BD6065"/>
    <w:rsid w:val="00BD6EBD"/>
    <w:rsid w:val="00BF27F5"/>
    <w:rsid w:val="00BF31C5"/>
    <w:rsid w:val="00BF6E3F"/>
    <w:rsid w:val="00C019DE"/>
    <w:rsid w:val="00C07368"/>
    <w:rsid w:val="00C111C0"/>
    <w:rsid w:val="00C30E3E"/>
    <w:rsid w:val="00C33025"/>
    <w:rsid w:val="00C3343D"/>
    <w:rsid w:val="00C66C4A"/>
    <w:rsid w:val="00C73DEC"/>
    <w:rsid w:val="00C80DBC"/>
    <w:rsid w:val="00C8795E"/>
    <w:rsid w:val="00C91E38"/>
    <w:rsid w:val="00CA526F"/>
    <w:rsid w:val="00CD34F2"/>
    <w:rsid w:val="00CD5291"/>
    <w:rsid w:val="00CD7915"/>
    <w:rsid w:val="00CE3333"/>
    <w:rsid w:val="00CE5B97"/>
    <w:rsid w:val="00D14A10"/>
    <w:rsid w:val="00D32A07"/>
    <w:rsid w:val="00D32B8E"/>
    <w:rsid w:val="00D44A4A"/>
    <w:rsid w:val="00D83909"/>
    <w:rsid w:val="00D90234"/>
    <w:rsid w:val="00DA279A"/>
    <w:rsid w:val="00DB3CAF"/>
    <w:rsid w:val="00DC1472"/>
    <w:rsid w:val="00DE6E8F"/>
    <w:rsid w:val="00E0426D"/>
    <w:rsid w:val="00E079A4"/>
    <w:rsid w:val="00E35807"/>
    <w:rsid w:val="00E44AEA"/>
    <w:rsid w:val="00E55DA2"/>
    <w:rsid w:val="00E72A1A"/>
    <w:rsid w:val="00E80C1E"/>
    <w:rsid w:val="00E86B4A"/>
    <w:rsid w:val="00E927D3"/>
    <w:rsid w:val="00EA49D6"/>
    <w:rsid w:val="00EC0A94"/>
    <w:rsid w:val="00EC2238"/>
    <w:rsid w:val="00ED4DB6"/>
    <w:rsid w:val="00EE28BE"/>
    <w:rsid w:val="00EE7B0A"/>
    <w:rsid w:val="00F14309"/>
    <w:rsid w:val="00F33295"/>
    <w:rsid w:val="00F33B2C"/>
    <w:rsid w:val="00F34F54"/>
    <w:rsid w:val="00F47685"/>
    <w:rsid w:val="00F77CE5"/>
    <w:rsid w:val="00F8253E"/>
    <w:rsid w:val="00F97FEE"/>
    <w:rsid w:val="00FA005C"/>
    <w:rsid w:val="00FB4A04"/>
    <w:rsid w:val="00FE0697"/>
    <w:rsid w:val="00FE3FDF"/>
    <w:rsid w:val="00FE62DA"/>
    <w:rsid w:val="01254BA3"/>
    <w:rsid w:val="01AF4883"/>
    <w:rsid w:val="01B04F40"/>
    <w:rsid w:val="01E70562"/>
    <w:rsid w:val="022573A2"/>
    <w:rsid w:val="02431E4D"/>
    <w:rsid w:val="02702309"/>
    <w:rsid w:val="032A6A04"/>
    <w:rsid w:val="033F1BED"/>
    <w:rsid w:val="034222D3"/>
    <w:rsid w:val="03A74512"/>
    <w:rsid w:val="03D64DF8"/>
    <w:rsid w:val="05064DE1"/>
    <w:rsid w:val="05391B3F"/>
    <w:rsid w:val="05C70E9C"/>
    <w:rsid w:val="05F42C16"/>
    <w:rsid w:val="06270416"/>
    <w:rsid w:val="06A33983"/>
    <w:rsid w:val="07AE2D9E"/>
    <w:rsid w:val="0A281C58"/>
    <w:rsid w:val="0C937D2A"/>
    <w:rsid w:val="0E7A34BB"/>
    <w:rsid w:val="0F0E3698"/>
    <w:rsid w:val="103A43DC"/>
    <w:rsid w:val="103E4FC6"/>
    <w:rsid w:val="10604125"/>
    <w:rsid w:val="11513D10"/>
    <w:rsid w:val="116E48C1"/>
    <w:rsid w:val="11C826A1"/>
    <w:rsid w:val="12206897"/>
    <w:rsid w:val="124F5FAD"/>
    <w:rsid w:val="126338A9"/>
    <w:rsid w:val="12E642C5"/>
    <w:rsid w:val="13475B69"/>
    <w:rsid w:val="139D323C"/>
    <w:rsid w:val="13A66595"/>
    <w:rsid w:val="15202377"/>
    <w:rsid w:val="154B5CC1"/>
    <w:rsid w:val="16BB5AE9"/>
    <w:rsid w:val="171A0BFF"/>
    <w:rsid w:val="17D64F6F"/>
    <w:rsid w:val="182C461D"/>
    <w:rsid w:val="18B51028"/>
    <w:rsid w:val="18D80D6B"/>
    <w:rsid w:val="1A04208E"/>
    <w:rsid w:val="1AC243E7"/>
    <w:rsid w:val="1BCB44A6"/>
    <w:rsid w:val="1BDE0DCF"/>
    <w:rsid w:val="1BE607AB"/>
    <w:rsid w:val="1BF76679"/>
    <w:rsid w:val="1C51038A"/>
    <w:rsid w:val="1C564F21"/>
    <w:rsid w:val="1CE046C9"/>
    <w:rsid w:val="1D990F18"/>
    <w:rsid w:val="1EEF5B70"/>
    <w:rsid w:val="1F444EB4"/>
    <w:rsid w:val="1F9162F3"/>
    <w:rsid w:val="21CB5418"/>
    <w:rsid w:val="21D06ED2"/>
    <w:rsid w:val="2293470F"/>
    <w:rsid w:val="229D298C"/>
    <w:rsid w:val="22E05B28"/>
    <w:rsid w:val="230A14A8"/>
    <w:rsid w:val="231B1E51"/>
    <w:rsid w:val="23420D6C"/>
    <w:rsid w:val="249C309C"/>
    <w:rsid w:val="24F50A7A"/>
    <w:rsid w:val="25317C88"/>
    <w:rsid w:val="253D00ED"/>
    <w:rsid w:val="25AC359A"/>
    <w:rsid w:val="25C3212B"/>
    <w:rsid w:val="26094694"/>
    <w:rsid w:val="26644EC7"/>
    <w:rsid w:val="26E33204"/>
    <w:rsid w:val="274602B1"/>
    <w:rsid w:val="279F1826"/>
    <w:rsid w:val="27F04435"/>
    <w:rsid w:val="28642123"/>
    <w:rsid w:val="288641D4"/>
    <w:rsid w:val="289E2809"/>
    <w:rsid w:val="2B0C2B9B"/>
    <w:rsid w:val="2C017495"/>
    <w:rsid w:val="2C29790B"/>
    <w:rsid w:val="2C820DC9"/>
    <w:rsid w:val="2CA36914"/>
    <w:rsid w:val="2D34674F"/>
    <w:rsid w:val="2E4B1DBB"/>
    <w:rsid w:val="2E633754"/>
    <w:rsid w:val="2F187A8D"/>
    <w:rsid w:val="30137CF7"/>
    <w:rsid w:val="31592A40"/>
    <w:rsid w:val="319029C0"/>
    <w:rsid w:val="31DA0411"/>
    <w:rsid w:val="32313075"/>
    <w:rsid w:val="324314C5"/>
    <w:rsid w:val="34BD34B6"/>
    <w:rsid w:val="3527473A"/>
    <w:rsid w:val="36140CE4"/>
    <w:rsid w:val="36B129D7"/>
    <w:rsid w:val="36FE6845"/>
    <w:rsid w:val="37BB0E0E"/>
    <w:rsid w:val="37D90714"/>
    <w:rsid w:val="37FC23F9"/>
    <w:rsid w:val="384032F3"/>
    <w:rsid w:val="38EB5803"/>
    <w:rsid w:val="39FC040D"/>
    <w:rsid w:val="3B5D699F"/>
    <w:rsid w:val="3BF33A92"/>
    <w:rsid w:val="3E155F41"/>
    <w:rsid w:val="3EA20F7B"/>
    <w:rsid w:val="41807605"/>
    <w:rsid w:val="41B07D3E"/>
    <w:rsid w:val="438D20D6"/>
    <w:rsid w:val="445D5F4C"/>
    <w:rsid w:val="44A75419"/>
    <w:rsid w:val="44AB6CB7"/>
    <w:rsid w:val="44F7014F"/>
    <w:rsid w:val="459E05CA"/>
    <w:rsid w:val="4609638B"/>
    <w:rsid w:val="46B53706"/>
    <w:rsid w:val="46E554A0"/>
    <w:rsid w:val="46EE5581"/>
    <w:rsid w:val="476870E2"/>
    <w:rsid w:val="47862ABA"/>
    <w:rsid w:val="47C50090"/>
    <w:rsid w:val="4809399B"/>
    <w:rsid w:val="486A2650"/>
    <w:rsid w:val="487D766A"/>
    <w:rsid w:val="49090450"/>
    <w:rsid w:val="49A2611E"/>
    <w:rsid w:val="4A3A46D5"/>
    <w:rsid w:val="4AB47166"/>
    <w:rsid w:val="4BEE392E"/>
    <w:rsid w:val="4CC91DCB"/>
    <w:rsid w:val="4CF51A29"/>
    <w:rsid w:val="4D52686A"/>
    <w:rsid w:val="4D9D290A"/>
    <w:rsid w:val="4DA644C0"/>
    <w:rsid w:val="4E627385"/>
    <w:rsid w:val="4FDA21A9"/>
    <w:rsid w:val="506E5C81"/>
    <w:rsid w:val="513071FF"/>
    <w:rsid w:val="51603EEE"/>
    <w:rsid w:val="516C3A89"/>
    <w:rsid w:val="52144E31"/>
    <w:rsid w:val="527F5FC5"/>
    <w:rsid w:val="53925251"/>
    <w:rsid w:val="53F20350"/>
    <w:rsid w:val="57A44166"/>
    <w:rsid w:val="589917F1"/>
    <w:rsid w:val="590016DC"/>
    <w:rsid w:val="59613582"/>
    <w:rsid w:val="599F4D45"/>
    <w:rsid w:val="59F1372F"/>
    <w:rsid w:val="5A842E5D"/>
    <w:rsid w:val="5AA50B6B"/>
    <w:rsid w:val="5B3F7D02"/>
    <w:rsid w:val="5BAF5AB3"/>
    <w:rsid w:val="5C4E0B1C"/>
    <w:rsid w:val="5C676C74"/>
    <w:rsid w:val="5C9D73D6"/>
    <w:rsid w:val="5D017965"/>
    <w:rsid w:val="5D177188"/>
    <w:rsid w:val="5E57286E"/>
    <w:rsid w:val="5E5B30A5"/>
    <w:rsid w:val="5E705DCB"/>
    <w:rsid w:val="5E7F3237"/>
    <w:rsid w:val="5F177F02"/>
    <w:rsid w:val="5FEA5027"/>
    <w:rsid w:val="60724813"/>
    <w:rsid w:val="609C3966"/>
    <w:rsid w:val="620D246B"/>
    <w:rsid w:val="622C6B2A"/>
    <w:rsid w:val="63464323"/>
    <w:rsid w:val="63E15DFA"/>
    <w:rsid w:val="666C27A9"/>
    <w:rsid w:val="66734C63"/>
    <w:rsid w:val="67D5211A"/>
    <w:rsid w:val="687A129E"/>
    <w:rsid w:val="68C47C0A"/>
    <w:rsid w:val="695D1B9B"/>
    <w:rsid w:val="69684E1C"/>
    <w:rsid w:val="69801C11"/>
    <w:rsid w:val="6A533EC3"/>
    <w:rsid w:val="6A660BDA"/>
    <w:rsid w:val="6BB67B6C"/>
    <w:rsid w:val="6BCE0CC9"/>
    <w:rsid w:val="6BD66460"/>
    <w:rsid w:val="6BE7241B"/>
    <w:rsid w:val="6C5A0E3F"/>
    <w:rsid w:val="6D194A37"/>
    <w:rsid w:val="6D45732E"/>
    <w:rsid w:val="6D9C0FE4"/>
    <w:rsid w:val="6DA477AA"/>
    <w:rsid w:val="6E5F7EA2"/>
    <w:rsid w:val="6E906D9A"/>
    <w:rsid w:val="6EC95E08"/>
    <w:rsid w:val="6F7A68C0"/>
    <w:rsid w:val="709673A9"/>
    <w:rsid w:val="70CB5D91"/>
    <w:rsid w:val="70CC1BE0"/>
    <w:rsid w:val="711E068D"/>
    <w:rsid w:val="713641A4"/>
    <w:rsid w:val="716A4114"/>
    <w:rsid w:val="71DC5E53"/>
    <w:rsid w:val="72DF1D59"/>
    <w:rsid w:val="72E27F32"/>
    <w:rsid w:val="74881B30"/>
    <w:rsid w:val="74F636CF"/>
    <w:rsid w:val="752C0E9F"/>
    <w:rsid w:val="759671CD"/>
    <w:rsid w:val="76175E98"/>
    <w:rsid w:val="764646C9"/>
    <w:rsid w:val="76481D09"/>
    <w:rsid w:val="76677F73"/>
    <w:rsid w:val="78061E7B"/>
    <w:rsid w:val="781C63F6"/>
    <w:rsid w:val="78213ED2"/>
    <w:rsid w:val="782B5685"/>
    <w:rsid w:val="78727A29"/>
    <w:rsid w:val="79640451"/>
    <w:rsid w:val="799E680F"/>
    <w:rsid w:val="7B3F5EE5"/>
    <w:rsid w:val="7B913549"/>
    <w:rsid w:val="7BC0134C"/>
    <w:rsid w:val="7BF571A3"/>
    <w:rsid w:val="7C706162"/>
    <w:rsid w:val="7CA92C97"/>
    <w:rsid w:val="7D2F0A09"/>
    <w:rsid w:val="7D3E5C13"/>
    <w:rsid w:val="7D4C3352"/>
    <w:rsid w:val="7DDD2456"/>
    <w:rsid w:val="7F233313"/>
    <w:rsid w:val="7F4D5F76"/>
    <w:rsid w:val="7F52726D"/>
    <w:rsid w:val="7FEF1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35"/>
    <w:qFormat/>
    <w:uiPriority w:val="0"/>
    <w:pPr>
      <w:keepNext/>
      <w:keepLines/>
      <w:spacing w:line="576" w:lineRule="auto"/>
    </w:pPr>
    <w:rPr>
      <w:rFonts w:ascii="宋体" w:hAnsi="宋体"/>
      <w:kern w:val="44"/>
      <w:sz w:val="44"/>
      <w:szCs w:val="20"/>
    </w:rPr>
  </w:style>
  <w:style w:type="paragraph" w:styleId="5">
    <w:name w:val="heading 2"/>
    <w:basedOn w:val="1"/>
    <w:next w:val="1"/>
    <w:link w:val="37"/>
    <w:qFormat/>
    <w:uiPriority w:val="0"/>
    <w:pPr>
      <w:keepNext/>
      <w:keepLines/>
      <w:spacing w:line="412" w:lineRule="auto"/>
      <w:jc w:val="center"/>
      <w:outlineLvl w:val="1"/>
    </w:pPr>
    <w:rPr>
      <w:rFonts w:ascii="Arial" w:hAnsi="Arial"/>
      <w:b/>
      <w:sz w:val="24"/>
      <w:szCs w:val="20"/>
    </w:rPr>
  </w:style>
  <w:style w:type="paragraph" w:styleId="6">
    <w:name w:val="heading 3"/>
    <w:basedOn w:val="1"/>
    <w:next w:val="1"/>
    <w:link w:val="36"/>
    <w:qFormat/>
    <w:uiPriority w:val="0"/>
    <w:pPr>
      <w:keepNext/>
      <w:keepLines/>
      <w:spacing w:line="360" w:lineRule="auto"/>
      <w:jc w:val="left"/>
      <w:outlineLvl w:val="2"/>
    </w:pPr>
    <w:rPr>
      <w:rFonts w:ascii="宋体" w:hAnsi="宋体"/>
      <w:b/>
      <w:sz w:val="28"/>
      <w:szCs w:val="28"/>
    </w:rPr>
  </w:style>
  <w:style w:type="paragraph" w:styleId="7">
    <w:name w:val="heading 4"/>
    <w:basedOn w:val="1"/>
    <w:next w:val="1"/>
    <w:link w:val="39"/>
    <w:qFormat/>
    <w:uiPriority w:val="0"/>
    <w:pPr>
      <w:keepNext/>
      <w:keepLines/>
      <w:jc w:val="center"/>
      <w:outlineLvl w:val="3"/>
    </w:pPr>
    <w:rPr>
      <w:rFonts w:ascii="Cambria" w:hAnsi="Cambria"/>
      <w:b/>
      <w:bCs/>
      <w:sz w:val="28"/>
      <w:szCs w:val="28"/>
    </w:rPr>
  </w:style>
  <w:style w:type="paragraph" w:styleId="8">
    <w:name w:val="heading 5"/>
    <w:basedOn w:val="1"/>
    <w:next w:val="1"/>
    <w:link w:val="40"/>
    <w:qFormat/>
    <w:uiPriority w:val="0"/>
    <w:pPr>
      <w:keepNext/>
      <w:keepLines/>
      <w:spacing w:line="376" w:lineRule="auto"/>
      <w:outlineLvl w:val="4"/>
    </w:pPr>
    <w:rPr>
      <w:b/>
      <w:bCs/>
      <w:sz w:val="24"/>
      <w:szCs w:val="24"/>
    </w:rPr>
  </w:style>
  <w:style w:type="paragraph" w:styleId="9">
    <w:name w:val="heading 7"/>
    <w:basedOn w:val="1"/>
    <w:next w:val="10"/>
    <w:link w:val="41"/>
    <w:qFormat/>
    <w:uiPriority w:val="0"/>
    <w:pPr>
      <w:keepNext/>
      <w:keepLines/>
      <w:spacing w:before="240" w:after="64" w:line="320" w:lineRule="auto"/>
      <w:outlineLvl w:val="6"/>
    </w:pPr>
    <w:rPr>
      <w:b/>
      <w:kern w:val="0"/>
      <w:sz w:val="24"/>
      <w:szCs w:val="20"/>
    </w:rPr>
  </w:style>
  <w:style w:type="character" w:default="1" w:styleId="30">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adjustRightInd w:val="0"/>
      <w:spacing w:line="420" w:lineRule="atLeast"/>
      <w:jc w:val="left"/>
      <w:textAlignment w:val="baseline"/>
    </w:pPr>
    <w:rPr>
      <w:kern w:val="0"/>
      <w:szCs w:val="20"/>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10">
    <w:name w:val="Normal Indent"/>
    <w:basedOn w:val="1"/>
    <w:next w:val="1"/>
    <w:qFormat/>
    <w:uiPriority w:val="0"/>
    <w:pPr>
      <w:ind w:firstLine="420"/>
    </w:pPr>
    <w:rPr>
      <w:rFonts w:ascii="Calibri" w:hAnsi="Calibri"/>
    </w:rPr>
  </w:style>
  <w:style w:type="paragraph" w:styleId="11">
    <w:name w:val="Document Map"/>
    <w:basedOn w:val="1"/>
    <w:link w:val="44"/>
    <w:qFormat/>
    <w:uiPriority w:val="0"/>
    <w:rPr>
      <w:rFonts w:ascii="宋体" w:hAnsi="Calibri"/>
      <w:sz w:val="18"/>
      <w:szCs w:val="18"/>
    </w:rPr>
  </w:style>
  <w:style w:type="paragraph" w:styleId="12">
    <w:name w:val="annotation text"/>
    <w:basedOn w:val="1"/>
    <w:link w:val="45"/>
    <w:qFormat/>
    <w:uiPriority w:val="99"/>
    <w:pPr>
      <w:jc w:val="left"/>
    </w:pPr>
    <w:rPr>
      <w:rFonts w:ascii="Calibri" w:hAnsi="Calibri"/>
    </w:rPr>
  </w:style>
  <w:style w:type="paragraph" w:styleId="13">
    <w:name w:val="Body Text 3"/>
    <w:basedOn w:val="1"/>
    <w:link w:val="46"/>
    <w:qFormat/>
    <w:uiPriority w:val="0"/>
    <w:rPr>
      <w:rFonts w:ascii="宋体" w:hAnsi="Calibri"/>
      <w:sz w:val="24"/>
    </w:rPr>
  </w:style>
  <w:style w:type="paragraph" w:styleId="14">
    <w:name w:val="Body Text"/>
    <w:basedOn w:val="1"/>
    <w:link w:val="47"/>
    <w:qFormat/>
    <w:uiPriority w:val="0"/>
    <w:rPr>
      <w:szCs w:val="20"/>
    </w:rPr>
  </w:style>
  <w:style w:type="paragraph" w:styleId="15">
    <w:name w:val="Body Text Indent"/>
    <w:basedOn w:val="1"/>
    <w:next w:val="16"/>
    <w:link w:val="48"/>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6">
    <w:name w:val="envelope return"/>
    <w:basedOn w:val="1"/>
    <w:qFormat/>
    <w:uiPriority w:val="0"/>
    <w:pPr>
      <w:snapToGrid w:val="0"/>
    </w:pPr>
    <w:rPr>
      <w:rFonts w:ascii="Arial" w:hAnsi="Arial" w:cs="Arial"/>
    </w:rPr>
  </w:style>
  <w:style w:type="paragraph" w:styleId="17">
    <w:name w:val="toc 3"/>
    <w:basedOn w:val="1"/>
    <w:next w:val="1"/>
    <w:qFormat/>
    <w:uiPriority w:val="39"/>
    <w:pPr>
      <w:ind w:left="840" w:leftChars="400"/>
    </w:pPr>
    <w:rPr>
      <w:rFonts w:ascii="Calibri" w:hAnsi="Calibri"/>
    </w:rPr>
  </w:style>
  <w:style w:type="paragraph" w:styleId="18">
    <w:name w:val="Plain Text"/>
    <w:basedOn w:val="1"/>
    <w:link w:val="49"/>
    <w:qFormat/>
    <w:uiPriority w:val="0"/>
    <w:rPr>
      <w:rFonts w:ascii="宋体" w:hAnsi="Calibri"/>
      <w:sz w:val="22"/>
    </w:rPr>
  </w:style>
  <w:style w:type="paragraph" w:styleId="19">
    <w:name w:val="Date"/>
    <w:basedOn w:val="1"/>
    <w:next w:val="1"/>
    <w:link w:val="50"/>
    <w:qFormat/>
    <w:uiPriority w:val="0"/>
    <w:pPr>
      <w:ind w:left="100" w:leftChars="2500"/>
    </w:pPr>
    <w:rPr>
      <w:rFonts w:ascii="Calibri" w:hAnsi="Calibri"/>
    </w:rPr>
  </w:style>
  <w:style w:type="paragraph" w:styleId="20">
    <w:name w:val="Body Text Indent 2"/>
    <w:basedOn w:val="1"/>
    <w:link w:val="51"/>
    <w:qFormat/>
    <w:uiPriority w:val="0"/>
    <w:pPr>
      <w:spacing w:line="480" w:lineRule="auto"/>
      <w:ind w:left="420" w:leftChars="200"/>
    </w:pPr>
    <w:rPr>
      <w:szCs w:val="24"/>
    </w:rPr>
  </w:style>
  <w:style w:type="paragraph" w:styleId="21">
    <w:name w:val="Balloon Text"/>
    <w:basedOn w:val="1"/>
    <w:link w:val="52"/>
    <w:qFormat/>
    <w:uiPriority w:val="0"/>
    <w:rPr>
      <w:rFonts w:ascii="Calibri" w:hAnsi="Calibri"/>
      <w:sz w:val="18"/>
      <w:szCs w:val="18"/>
    </w:rPr>
  </w:style>
  <w:style w:type="paragraph" w:styleId="22">
    <w:name w:val="footer"/>
    <w:basedOn w:val="1"/>
    <w:link w:val="43"/>
    <w:unhideWhenUsed/>
    <w:qFormat/>
    <w:uiPriority w:val="99"/>
    <w:pPr>
      <w:tabs>
        <w:tab w:val="center" w:pos="4153"/>
        <w:tab w:val="right" w:pos="8306"/>
      </w:tabs>
      <w:snapToGrid w:val="0"/>
      <w:jc w:val="left"/>
    </w:pPr>
    <w:rPr>
      <w:sz w:val="18"/>
      <w:szCs w:val="18"/>
    </w:rPr>
  </w:style>
  <w:style w:type="paragraph" w:styleId="2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Calibri" w:hAnsi="Calibri"/>
    </w:rPr>
  </w:style>
  <w:style w:type="paragraph" w:styleId="25">
    <w:name w:val="toc 2"/>
    <w:basedOn w:val="1"/>
    <w:next w:val="1"/>
    <w:qFormat/>
    <w:uiPriority w:val="39"/>
    <w:pPr>
      <w:ind w:left="420" w:leftChars="200"/>
    </w:pPr>
    <w:rPr>
      <w:rFonts w:ascii="Calibri" w:hAnsi="Calibri"/>
    </w:rPr>
  </w:style>
  <w:style w:type="paragraph" w:styleId="26">
    <w:name w:val="annotation subject"/>
    <w:basedOn w:val="12"/>
    <w:next w:val="12"/>
    <w:link w:val="53"/>
    <w:qFormat/>
    <w:uiPriority w:val="0"/>
    <w:rPr>
      <w:b/>
      <w:bCs/>
    </w:rPr>
  </w:style>
  <w:style w:type="paragraph" w:styleId="27">
    <w:name w:val="Body Text First Indent"/>
    <w:basedOn w:val="14"/>
    <w:link w:val="54"/>
    <w:qFormat/>
    <w:uiPriority w:val="0"/>
    <w:pPr>
      <w:spacing w:line="312" w:lineRule="auto"/>
      <w:ind w:firstLine="420"/>
    </w:pPr>
    <w:rPr>
      <w:rFonts w:ascii="Calibri" w:hAnsi="Calibri"/>
      <w:szCs w:val="24"/>
    </w:rPr>
  </w:style>
  <w:style w:type="paragraph" w:styleId="28">
    <w:name w:val="Body Text First Indent 2"/>
    <w:basedOn w:val="15"/>
    <w:link w:val="55"/>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1">
    <w:name w:val="page number"/>
    <w:qFormat/>
    <w:uiPriority w:val="0"/>
    <w:rPr>
      <w:rFonts w:ascii="Calibri" w:hAnsi="Calibri" w:eastAsia="宋体" w:cs="Times New Roman"/>
    </w:rPr>
  </w:style>
  <w:style w:type="character" w:styleId="32">
    <w:name w:val="FollowedHyperlink"/>
    <w:qFormat/>
    <w:uiPriority w:val="0"/>
    <w:rPr>
      <w:rFonts w:ascii="Times New Roman" w:hAnsi="Times New Roman" w:eastAsia="楷体_GB2312" w:cs="Times New Roman"/>
      <w:color w:val="000000"/>
      <w:u w:val="none"/>
    </w:rPr>
  </w:style>
  <w:style w:type="character" w:styleId="33">
    <w:name w:val="Hyperlink"/>
    <w:qFormat/>
    <w:uiPriority w:val="99"/>
    <w:rPr>
      <w:rFonts w:ascii="Calibri" w:hAnsi="Calibri" w:eastAsia="宋体" w:cs="Times New Roman"/>
      <w:color w:val="0000FF"/>
      <w:u w:val="single"/>
    </w:rPr>
  </w:style>
  <w:style w:type="character" w:styleId="34">
    <w:name w:val="annotation reference"/>
    <w:qFormat/>
    <w:uiPriority w:val="99"/>
    <w:rPr>
      <w:rFonts w:ascii="Calibri" w:hAnsi="Calibri" w:eastAsia="宋体" w:cs="Times New Roman"/>
      <w:sz w:val="21"/>
      <w:szCs w:val="21"/>
    </w:rPr>
  </w:style>
  <w:style w:type="character" w:customStyle="1" w:styleId="35">
    <w:name w:val="标题 1 Char"/>
    <w:basedOn w:val="30"/>
    <w:link w:val="3"/>
    <w:qFormat/>
    <w:uiPriority w:val="0"/>
    <w:rPr>
      <w:rFonts w:ascii="宋体" w:hAnsi="宋体" w:eastAsia="宋体" w:cs="Times New Roman"/>
      <w:b/>
      <w:kern w:val="44"/>
      <w:sz w:val="44"/>
      <w:szCs w:val="20"/>
    </w:rPr>
  </w:style>
  <w:style w:type="character" w:customStyle="1" w:styleId="36">
    <w:name w:val="标题 3 Char"/>
    <w:basedOn w:val="30"/>
    <w:link w:val="6"/>
    <w:qFormat/>
    <w:uiPriority w:val="0"/>
    <w:rPr>
      <w:rFonts w:ascii="宋体" w:hAnsi="宋体" w:eastAsia="宋体" w:cs="Times New Roman"/>
      <w:b/>
      <w:sz w:val="28"/>
      <w:szCs w:val="28"/>
    </w:rPr>
  </w:style>
  <w:style w:type="character" w:customStyle="1" w:styleId="37">
    <w:name w:val="标题 2 Char"/>
    <w:basedOn w:val="30"/>
    <w:link w:val="5"/>
    <w:qFormat/>
    <w:uiPriority w:val="0"/>
    <w:rPr>
      <w:rFonts w:ascii="Arial" w:hAnsi="Arial" w:eastAsia="宋体" w:cs="Times New Roman"/>
      <w:b/>
      <w:sz w:val="24"/>
      <w:szCs w:val="20"/>
    </w:rPr>
  </w:style>
  <w:style w:type="paragraph" w:customStyle="1" w:styleId="38">
    <w:name w:val="_Style 3"/>
    <w:basedOn w:val="1"/>
    <w:qFormat/>
    <w:uiPriority w:val="0"/>
    <w:pPr>
      <w:spacing w:line="360" w:lineRule="auto"/>
      <w:jc w:val="center"/>
    </w:pPr>
    <w:rPr>
      <w:szCs w:val="20"/>
    </w:rPr>
  </w:style>
  <w:style w:type="character" w:customStyle="1" w:styleId="39">
    <w:name w:val="标题 4 Char"/>
    <w:basedOn w:val="30"/>
    <w:link w:val="7"/>
    <w:qFormat/>
    <w:uiPriority w:val="0"/>
    <w:rPr>
      <w:rFonts w:ascii="Cambria" w:hAnsi="Cambria" w:eastAsia="宋体" w:cs="Times New Roman"/>
      <w:b/>
      <w:bCs/>
      <w:sz w:val="28"/>
      <w:szCs w:val="28"/>
    </w:rPr>
  </w:style>
  <w:style w:type="character" w:customStyle="1" w:styleId="40">
    <w:name w:val="标题 5 Char"/>
    <w:basedOn w:val="30"/>
    <w:link w:val="8"/>
    <w:qFormat/>
    <w:uiPriority w:val="0"/>
    <w:rPr>
      <w:rFonts w:ascii="Times New Roman" w:hAnsi="Times New Roman" w:eastAsia="宋体" w:cs="Times New Roman"/>
      <w:b/>
      <w:bCs/>
      <w:sz w:val="24"/>
      <w:szCs w:val="24"/>
    </w:rPr>
  </w:style>
  <w:style w:type="character" w:customStyle="1" w:styleId="41">
    <w:name w:val="标题 7 Char"/>
    <w:basedOn w:val="30"/>
    <w:link w:val="9"/>
    <w:qFormat/>
    <w:uiPriority w:val="0"/>
    <w:rPr>
      <w:rFonts w:ascii="Times New Roman" w:hAnsi="Times New Roman" w:eastAsia="宋体" w:cs="Times New Roman"/>
      <w:b/>
      <w:kern w:val="0"/>
      <w:sz w:val="24"/>
      <w:szCs w:val="20"/>
    </w:rPr>
  </w:style>
  <w:style w:type="character" w:customStyle="1" w:styleId="42">
    <w:name w:val="页眉 Char1"/>
    <w:basedOn w:val="30"/>
    <w:link w:val="23"/>
    <w:qFormat/>
    <w:uiPriority w:val="99"/>
    <w:rPr>
      <w:rFonts w:ascii="Times New Roman" w:hAnsi="Times New Roman" w:eastAsia="宋体" w:cs="Times New Roman"/>
      <w:sz w:val="18"/>
      <w:szCs w:val="18"/>
    </w:rPr>
  </w:style>
  <w:style w:type="character" w:customStyle="1" w:styleId="43">
    <w:name w:val="页脚 Char1"/>
    <w:basedOn w:val="30"/>
    <w:link w:val="22"/>
    <w:qFormat/>
    <w:uiPriority w:val="99"/>
    <w:rPr>
      <w:rFonts w:ascii="Times New Roman" w:hAnsi="Times New Roman" w:eastAsia="宋体" w:cs="Times New Roman"/>
      <w:sz w:val="18"/>
      <w:szCs w:val="18"/>
    </w:rPr>
  </w:style>
  <w:style w:type="character" w:customStyle="1" w:styleId="44">
    <w:name w:val="文档结构图 Char"/>
    <w:basedOn w:val="30"/>
    <w:link w:val="11"/>
    <w:qFormat/>
    <w:uiPriority w:val="0"/>
    <w:rPr>
      <w:rFonts w:ascii="宋体" w:hAnsi="Calibri" w:eastAsia="宋体" w:cs="Times New Roman"/>
      <w:sz w:val="18"/>
      <w:szCs w:val="18"/>
    </w:rPr>
  </w:style>
  <w:style w:type="character" w:customStyle="1" w:styleId="45">
    <w:name w:val="批注文字 Char"/>
    <w:basedOn w:val="30"/>
    <w:link w:val="12"/>
    <w:qFormat/>
    <w:uiPriority w:val="99"/>
    <w:rPr>
      <w:rFonts w:ascii="Calibri" w:hAnsi="Calibri" w:eastAsia="宋体" w:cs="Times New Roman"/>
    </w:rPr>
  </w:style>
  <w:style w:type="character" w:customStyle="1" w:styleId="46">
    <w:name w:val="正文文本 3 Char"/>
    <w:basedOn w:val="30"/>
    <w:link w:val="13"/>
    <w:qFormat/>
    <w:uiPriority w:val="0"/>
    <w:rPr>
      <w:rFonts w:ascii="宋体" w:hAnsi="Calibri" w:eastAsia="宋体" w:cs="Times New Roman"/>
      <w:sz w:val="24"/>
    </w:rPr>
  </w:style>
  <w:style w:type="character" w:customStyle="1" w:styleId="47">
    <w:name w:val="正文文本 Char"/>
    <w:basedOn w:val="30"/>
    <w:link w:val="14"/>
    <w:qFormat/>
    <w:uiPriority w:val="0"/>
    <w:rPr>
      <w:rFonts w:ascii="Times New Roman" w:hAnsi="Times New Roman" w:eastAsia="宋体" w:cs="Times New Roman"/>
      <w:szCs w:val="20"/>
    </w:rPr>
  </w:style>
  <w:style w:type="character" w:customStyle="1" w:styleId="48">
    <w:name w:val="正文文本缩进 Char"/>
    <w:basedOn w:val="30"/>
    <w:link w:val="15"/>
    <w:qFormat/>
    <w:uiPriority w:val="0"/>
    <w:rPr>
      <w:rFonts w:ascii="宋体" w:hAnsi="宋体" w:eastAsia="宋体" w:cs="Times New Roman"/>
      <w:color w:val="000000"/>
      <w:kern w:val="0"/>
      <w:sz w:val="20"/>
      <w:szCs w:val="24"/>
    </w:rPr>
  </w:style>
  <w:style w:type="character" w:customStyle="1" w:styleId="49">
    <w:name w:val="纯文本 Char"/>
    <w:basedOn w:val="30"/>
    <w:link w:val="18"/>
    <w:qFormat/>
    <w:uiPriority w:val="0"/>
    <w:rPr>
      <w:rFonts w:ascii="宋体" w:hAnsi="Calibri" w:eastAsia="宋体" w:cs="Times New Roman"/>
      <w:sz w:val="22"/>
    </w:rPr>
  </w:style>
  <w:style w:type="character" w:customStyle="1" w:styleId="50">
    <w:name w:val="日期 Char"/>
    <w:basedOn w:val="30"/>
    <w:link w:val="19"/>
    <w:qFormat/>
    <w:uiPriority w:val="0"/>
    <w:rPr>
      <w:rFonts w:ascii="Calibri" w:hAnsi="Calibri" w:eastAsia="宋体" w:cs="Times New Roman"/>
    </w:rPr>
  </w:style>
  <w:style w:type="character" w:customStyle="1" w:styleId="51">
    <w:name w:val="正文文本缩进 2 Char"/>
    <w:basedOn w:val="30"/>
    <w:link w:val="20"/>
    <w:qFormat/>
    <w:uiPriority w:val="0"/>
    <w:rPr>
      <w:rFonts w:ascii="Times New Roman" w:hAnsi="Times New Roman" w:eastAsia="宋体" w:cs="Times New Roman"/>
      <w:szCs w:val="24"/>
    </w:rPr>
  </w:style>
  <w:style w:type="character" w:customStyle="1" w:styleId="52">
    <w:name w:val="批注框文本 Char"/>
    <w:basedOn w:val="30"/>
    <w:link w:val="21"/>
    <w:qFormat/>
    <w:uiPriority w:val="0"/>
    <w:rPr>
      <w:rFonts w:ascii="Calibri" w:hAnsi="Calibri" w:eastAsia="宋体" w:cs="Times New Roman"/>
      <w:sz w:val="18"/>
      <w:szCs w:val="18"/>
    </w:rPr>
  </w:style>
  <w:style w:type="character" w:customStyle="1" w:styleId="53">
    <w:name w:val="批注主题 Char"/>
    <w:basedOn w:val="45"/>
    <w:link w:val="26"/>
    <w:qFormat/>
    <w:uiPriority w:val="0"/>
    <w:rPr>
      <w:rFonts w:ascii="Calibri" w:hAnsi="Calibri" w:eastAsia="宋体" w:cs="Times New Roman"/>
      <w:b/>
      <w:bCs/>
    </w:rPr>
  </w:style>
  <w:style w:type="character" w:customStyle="1" w:styleId="54">
    <w:name w:val="正文首行缩进 Char"/>
    <w:basedOn w:val="47"/>
    <w:link w:val="27"/>
    <w:qFormat/>
    <w:uiPriority w:val="0"/>
    <w:rPr>
      <w:rFonts w:ascii="Calibri" w:hAnsi="Calibri" w:eastAsia="宋体" w:cs="Times New Roman"/>
      <w:szCs w:val="24"/>
    </w:rPr>
  </w:style>
  <w:style w:type="character" w:customStyle="1" w:styleId="55">
    <w:name w:val="正文首行缩进 2 Char"/>
    <w:basedOn w:val="48"/>
    <w:link w:val="28"/>
    <w:qFormat/>
    <w:uiPriority w:val="0"/>
    <w:rPr>
      <w:rFonts w:ascii="Times New Roman" w:hAnsi="Times New Roman" w:eastAsia="宋体" w:cs="Times New Roman"/>
      <w:color w:val="000000"/>
      <w:kern w:val="0"/>
      <w:sz w:val="20"/>
      <w:szCs w:val="24"/>
    </w:rPr>
  </w:style>
  <w:style w:type="character" w:customStyle="1" w:styleId="56">
    <w:name w:val="datagrid-sort-icon3"/>
    <w:basedOn w:val="30"/>
    <w:qFormat/>
    <w:uiPriority w:val="0"/>
    <w:rPr>
      <w:rFonts w:ascii="Calibri" w:hAnsi="Calibri" w:eastAsia="宋体" w:cs="Times New Roman"/>
    </w:rPr>
  </w:style>
  <w:style w:type="paragraph" w:customStyle="1" w:styleId="57">
    <w:name w:val="列出段落1"/>
    <w:basedOn w:val="1"/>
    <w:qFormat/>
    <w:uiPriority w:val="0"/>
    <w:pPr>
      <w:ind w:firstLine="420" w:firstLineChars="200"/>
    </w:pPr>
    <w:rPr>
      <w:szCs w:val="24"/>
    </w:rPr>
  </w:style>
  <w:style w:type="paragraph" w:customStyle="1" w:styleId="58">
    <w:name w:val="列表段落1"/>
    <w:basedOn w:val="1"/>
    <w:qFormat/>
    <w:uiPriority w:val="0"/>
    <w:pPr>
      <w:ind w:firstLine="420" w:firstLineChars="200"/>
    </w:pPr>
    <w:rPr>
      <w:szCs w:val="24"/>
    </w:rPr>
  </w:style>
  <w:style w:type="paragraph" w:customStyle="1" w:styleId="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qFormat/>
    <w:uiPriority w:val="0"/>
    <w:rPr>
      <w:rFonts w:ascii="Times New Roman" w:hAnsi="Times New Roman" w:eastAsia="宋体" w:cs="Times New Roman"/>
      <w:kern w:val="2"/>
      <w:sz w:val="21"/>
      <w:szCs w:val="22"/>
      <w:lang w:val="en-US" w:eastAsia="zh-CN" w:bidi="ar-SA"/>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列表段落2"/>
    <w:basedOn w:val="1"/>
    <w:qFormat/>
    <w:uiPriority w:val="0"/>
    <w:pPr>
      <w:ind w:firstLine="420" w:firstLineChars="200"/>
    </w:pPr>
    <w:rPr>
      <w:szCs w:val="24"/>
    </w:rPr>
  </w:style>
  <w:style w:type="paragraph" w:customStyle="1" w:styleId="6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页眉 Char"/>
    <w:basedOn w:val="30"/>
    <w:qFormat/>
    <w:uiPriority w:val="0"/>
    <w:rPr>
      <w:kern w:val="2"/>
      <w:sz w:val="18"/>
      <w:szCs w:val="18"/>
    </w:rPr>
  </w:style>
  <w:style w:type="character" w:customStyle="1" w:styleId="65">
    <w:name w:val="页脚 Char"/>
    <w:basedOn w:val="30"/>
    <w:qFormat/>
    <w:uiPriority w:val="0"/>
    <w:rPr>
      <w:kern w:val="2"/>
      <w:sz w:val="18"/>
      <w:szCs w:val="18"/>
    </w:rPr>
  </w:style>
  <w:style w:type="paragraph" w:customStyle="1" w:styleId="66">
    <w:name w:val="修订2"/>
    <w:hidden/>
    <w:semiHidden/>
    <w:qFormat/>
    <w:uiPriority w:val="99"/>
    <w:rPr>
      <w:rFonts w:ascii="Times New Roman" w:hAnsi="Times New Roman" w:eastAsia="宋体" w:cs="Times New Roman"/>
      <w:kern w:val="2"/>
      <w:sz w:val="21"/>
      <w:szCs w:val="22"/>
      <w:lang w:val="en-US" w:eastAsia="zh-CN" w:bidi="ar-SA"/>
    </w:rPr>
  </w:style>
  <w:style w:type="paragraph" w:styleId="67">
    <w:name w:val="List Paragraph"/>
    <w:basedOn w:val="1"/>
    <w:qFormat/>
    <w:uiPriority w:val="0"/>
    <w:pPr>
      <w:widowControl/>
      <w:ind w:firstLine="420" w:firstLineChars="200"/>
      <w:jc w:val="left"/>
    </w:pPr>
    <w:rPr>
      <w:rFonts w:ascii="Calibri" w:hAnsi="Calibri"/>
    </w:rPr>
  </w:style>
  <w:style w:type="paragraph" w:customStyle="1" w:styleId="68">
    <w:name w:val="正文缩进1"/>
    <w:basedOn w:val="69"/>
    <w:unhideWhenUsed/>
    <w:qFormat/>
    <w:uiPriority w:val="0"/>
    <w:pPr>
      <w:spacing w:line="360" w:lineRule="auto"/>
      <w:ind w:firstLine="200" w:firstLineChars="200"/>
      <w:jc w:val="both"/>
    </w:pPr>
    <w:rPr>
      <w:rFonts w:hint="eastAsia" w:ascii="Times New Roman" w:hAnsi="Times New Roman" w:eastAsia="Times New Roman"/>
      <w:szCs w:val="22"/>
    </w:rPr>
  </w:style>
  <w:style w:type="paragraph" w:customStyle="1" w:styleId="69">
    <w:name w:val="正文1"/>
    <w:basedOn w:val="1"/>
    <w:unhideWhenUsed/>
    <w:qFormat/>
    <w:uiPriority w:val="0"/>
    <w:pPr>
      <w:spacing w:line="240" w:lineRule="atLeast"/>
      <w:jc w:val="center"/>
      <w:textAlignment w:val="baseline"/>
    </w:pPr>
    <w:rPr>
      <w:rFonts w:ascii="Tahoma" w:hAnsi="Tahoma"/>
      <w:sz w:val="24"/>
      <w:szCs w:val="24"/>
    </w:rPr>
  </w:style>
  <w:style w:type="character" w:customStyle="1" w:styleId="70">
    <w:name w:val="UserStyle_12"/>
    <w:qFormat/>
    <w:uiPriority w:val="0"/>
    <w:rPr>
      <w:rFonts w:ascii="Calibri" w:hAnsi="Calibri" w:eastAsia="宋体" w:cs="Times New Roman"/>
      <w:kern w:val="2"/>
      <w:sz w:val="21"/>
      <w:szCs w:val="22"/>
      <w:lang w:val="en-US" w:eastAsia="zh-CN" w:bidi="ar-SA"/>
    </w:rPr>
  </w:style>
  <w:style w:type="paragraph" w:customStyle="1" w:styleId="71">
    <w:name w:val="表头"/>
    <w:basedOn w:val="1"/>
    <w:qFormat/>
    <w:uiPriority w:val="0"/>
    <w:pPr>
      <w:spacing w:line="360" w:lineRule="auto"/>
      <w:jc w:val="center"/>
    </w:pPr>
    <w:rPr>
      <w:rFonts w:ascii="黑体" w:eastAsia="黑体"/>
      <w:kern w:val="0"/>
      <w:sz w:val="24"/>
      <w:szCs w:val="20"/>
    </w:rPr>
  </w:style>
  <w:style w:type="paragraph" w:customStyle="1" w:styleId="72">
    <w:name w:val="样式 宋体 行距: 1.5 倍行距"/>
    <w:basedOn w:val="1"/>
    <w:qFormat/>
    <w:uiPriority w:val="0"/>
    <w:pPr>
      <w:jc w:val="center"/>
    </w:pPr>
    <w:rPr>
      <w:b/>
    </w:rPr>
  </w:style>
  <w:style w:type="paragraph" w:customStyle="1" w:styleId="73">
    <w:name w:val="Table Paragraph"/>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811</Words>
  <Characters>905</Characters>
  <Lines>258</Lines>
  <Paragraphs>72</Paragraphs>
  <TotalTime>11</TotalTime>
  <ScaleCrop>false</ScaleCrop>
  <LinksUpToDate>false</LinksUpToDate>
  <CharactersWithSpaces>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2025-07-08T09:38:00Z</dcterms:created>
  <dc:creator>zb6</dc:creator>
  <cp:lastModifiedBy>戚志华</cp:lastModifiedBy>
  <cp:lastPrinted>2025-07-21T06:56:38Z</cp:lastPrinted>
  <dcterms:modified xsi:type="dcterms:W3CDTF">2025-07-21T06:58:41Z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16DAC8DDCA88492AA23E5D305907C24A_13</vt:lpwstr>
  </property>
  <property fmtid="{D5CDD505-2E9C-101B-9397-08002B2CF9AE}" pid="4" name="KSOTemplateDocerSaveRecord">
    <vt:lpwstr>eyJoZGlkIjoiMTRiNmE3YTMxY2RmMjNmOTllMzRjZWVlYmQ5N2UxMjgiLCJ1c2VySWQiOiI0NzIxMjgyODcifQ==</vt:lpwstr>
  </property>
</Properties>
</file>