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附件2：资格审查条件及附录1至附录7</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p>
      <w:pPr>
        <w:keepNext w:val="0"/>
        <w:keepLines w:val="0"/>
        <w:pageBreakBefore w:val="0"/>
        <w:tabs>
          <w:tab w:val="left" w:pos="3071"/>
        </w:tabs>
        <w:kinsoku/>
        <w:wordWrap/>
        <w:overflowPunct/>
        <w:topLinePunct w:val="0"/>
        <w:bidi w:val="0"/>
        <w:spacing w:line="240" w:lineRule="auto"/>
        <w:ind w:left="0" w:leftChars="0" w:right="0" w:righ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附录1 资格审查条件(资质最低条件)</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tbl>
      <w:tblPr>
        <w:tblStyle w:val="6"/>
        <w:tblW w:w="918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188" w:type="dxa"/>
            <w:noWrap w:val="0"/>
            <w:vAlign w:val="center"/>
          </w:tcPr>
          <w:p>
            <w:pPr>
              <w:keepNext w:val="0"/>
              <w:keepLines w:val="0"/>
              <w:pageBreakBefore w:val="0"/>
              <w:kinsoku/>
              <w:wordWrap/>
              <w:overflowPunct/>
              <w:topLinePunct w:val="0"/>
              <w:bidi w:val="0"/>
              <w:spacing w:line="240" w:lineRule="auto"/>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1"/>
                <w:szCs w:val="21"/>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1" w:hRule="atLeast"/>
          <w:jc w:val="center"/>
        </w:trPr>
        <w:tc>
          <w:tcPr>
            <w:tcW w:w="918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具有建设主管部门颁发的：</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1.公路工程施工总承包二级或以上资质。</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2.投标人应具有合法有效的安全生产许可证。</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进入交通运输部“全国公路建设市场信用信息管理系统（http://glxy.mot.gov.cn)”中的公路工程施工资质企业名录，且投标人名称和资质与该名录中的相应企业名称和资质完全一致。对于未列入“名录”或投标人名称、资质信息与“名录”查询结果不符的，将不能通过资格审查。</w:t>
            </w:r>
          </w:p>
        </w:tc>
      </w:tr>
    </w:tbl>
    <w:p>
      <w:pPr>
        <w:pStyle w:val="2"/>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注：1、投标人如不满足上述任何一条，将被认为资格审查不合格。</w:t>
      </w:r>
    </w:p>
    <w:p>
      <w:pPr>
        <w:pStyle w:val="2"/>
        <w:keepNext w:val="0"/>
        <w:keepLines w:val="0"/>
        <w:pageBreakBefore w:val="0"/>
        <w:widowControl w:val="0"/>
        <w:kinsoku/>
        <w:wordWrap/>
        <w:overflowPunct/>
        <w:topLinePunct w:val="0"/>
        <w:autoSpaceDE/>
        <w:autoSpaceDN/>
        <w:bidi w:val="0"/>
        <w:adjustRightInd/>
        <w:snapToGrid/>
        <w:spacing w:line="312"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登记及投标文件中需提供满足附录1要求的以下证明材料（并加盖投标单位公章）：投标人企业证书复印件，投标人在交通运输部“全国公路建设市场信用信息管理系统”公路工程施工资质企业名录中的网页截图复印件或网页打印件。</w:t>
      </w:r>
    </w:p>
    <w:p>
      <w:pPr>
        <w:keepNext w:val="0"/>
        <w:keepLines w:val="0"/>
        <w:pageBreakBefore w:val="0"/>
        <w:kinsoku/>
        <w:wordWrap/>
        <w:overflowPunct/>
        <w:topLinePunct w:val="0"/>
        <w:bidi w:val="0"/>
        <w:spacing w:line="240" w:lineRule="auto"/>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keepNext w:val="0"/>
        <w:keepLines w:val="0"/>
        <w:pageBreakBefore w:val="0"/>
        <w:tabs>
          <w:tab w:val="left" w:pos="3071"/>
        </w:tabs>
        <w:kinsoku/>
        <w:wordWrap/>
        <w:overflowPunct/>
        <w:topLinePunct w:val="0"/>
        <w:bidi w:val="0"/>
        <w:spacing w:line="240" w:lineRule="auto"/>
        <w:ind w:left="0" w:leftChars="0" w:right="0" w:righ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附录2 资格审查条件(财务最低要求)</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tbl>
      <w:tblPr>
        <w:tblStyle w:val="6"/>
        <w:tblW w:w="915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152" w:type="dxa"/>
            <w:noWrap w:val="0"/>
            <w:vAlign w:val="center"/>
          </w:tcPr>
          <w:p>
            <w:pPr>
              <w:keepNext w:val="0"/>
              <w:keepLines w:val="0"/>
              <w:pageBreakBefore w:val="0"/>
              <w:kinsoku/>
              <w:wordWrap/>
              <w:overflowPunct/>
              <w:topLinePunct w:val="0"/>
              <w:bidi w:val="0"/>
              <w:spacing w:line="240" w:lineRule="auto"/>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1"/>
                <w:szCs w:val="21"/>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jc w:val="center"/>
        </w:trPr>
        <w:tc>
          <w:tcPr>
            <w:tcW w:w="9152" w:type="dxa"/>
            <w:noWrap w:val="0"/>
            <w:vAlign w:val="center"/>
          </w:tcPr>
          <w:p>
            <w:pPr>
              <w:keepNext w:val="0"/>
              <w:keepLines w:val="0"/>
              <w:pageBreakBefore w:val="0"/>
              <w:widowControl w:val="0"/>
              <w:tabs>
                <w:tab w:val="left" w:pos="5330"/>
              </w:tabs>
              <w:kinsoku/>
              <w:wordWrap/>
              <w:overflowPunct/>
              <w:topLinePunct w:val="0"/>
              <w:autoSpaceDE/>
              <w:autoSpaceDN/>
              <w:bidi w:val="0"/>
              <w:adjustRightInd/>
              <w:snapToGrid/>
              <w:spacing w:line="312"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1、企业净资产（总资产－总负债）不少于4000万元人民币；</w:t>
            </w:r>
          </w:p>
          <w:p>
            <w:pPr>
              <w:keepNext w:val="0"/>
              <w:keepLines w:val="0"/>
              <w:pageBreakBefore w:val="0"/>
              <w:widowControl w:val="0"/>
              <w:tabs>
                <w:tab w:val="left" w:pos="5330"/>
              </w:tabs>
              <w:kinsoku/>
              <w:wordWrap/>
              <w:overflowPunct/>
              <w:topLinePunct w:val="0"/>
              <w:autoSpaceDE/>
              <w:autoSpaceDN/>
              <w:bidi w:val="0"/>
              <w:adjustRightInd/>
              <w:snapToGrid/>
              <w:spacing w:line="312"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2、营运资金（流动资产－流动负债）不少于4000万元人民币；</w:t>
            </w:r>
          </w:p>
          <w:p>
            <w:pPr>
              <w:keepNext w:val="0"/>
              <w:keepLines w:val="0"/>
              <w:pageBreakBefore w:val="0"/>
              <w:widowControl w:val="0"/>
              <w:tabs>
                <w:tab w:val="left" w:pos="5330"/>
              </w:tabs>
              <w:kinsoku/>
              <w:wordWrap/>
              <w:overflowPunct/>
              <w:topLinePunct w:val="0"/>
              <w:autoSpaceDE/>
              <w:autoSpaceDN/>
              <w:bidi w:val="0"/>
              <w:adjustRightInd/>
              <w:snapToGrid/>
              <w:spacing w:line="312"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3、最近三年度的平均营业总收入不少于10000万元人民币；</w:t>
            </w:r>
          </w:p>
          <w:p>
            <w:pPr>
              <w:keepNext w:val="0"/>
              <w:keepLines w:val="0"/>
              <w:pageBreakBefore w:val="0"/>
              <w:widowControl w:val="0"/>
              <w:tabs>
                <w:tab w:val="left" w:pos="5330"/>
              </w:tabs>
              <w:kinsoku/>
              <w:wordWrap/>
              <w:overflowPunct/>
              <w:topLinePunct w:val="0"/>
              <w:autoSpaceDE/>
              <w:autoSpaceDN/>
              <w:bidi w:val="0"/>
              <w:adjustRightInd/>
              <w:snapToGrid/>
              <w:spacing w:line="312"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4、最近三年度至少有2年盈利。</w:t>
            </w:r>
          </w:p>
        </w:tc>
      </w:tr>
    </w:tbl>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注：1、企业净资产、营运资金、资产负债率均是按交通运输部“全国公路建设市场信用信息管理系统”登记的2021年度数据计算得出。</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2、最近三个年度（2019至2021年）财务信息以投标人提供的“全国公路建设市场信用信息管理系统”企业所填的信息截图为准。</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登记及投标文件中需提供满足附录2要求的以下证明材料（并加盖投标单位公章）：企业所填的信息网页截图复印件或网页打印件（包含年份列表页及统计年份详细页），2021年度财务报表复印件（原件备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keepNext w:val="0"/>
        <w:keepLines w:val="0"/>
        <w:pageBreakBefore w:val="0"/>
        <w:tabs>
          <w:tab w:val="left" w:pos="3071"/>
        </w:tabs>
        <w:kinsoku/>
        <w:wordWrap/>
        <w:overflowPunct/>
        <w:topLinePunct w:val="0"/>
        <w:bidi w:val="0"/>
        <w:spacing w:line="240" w:lineRule="auto"/>
        <w:ind w:left="0" w:leftChars="0" w:right="0" w:rightChars="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附录3 资格审查条件(业绩最低要求)</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tbl>
      <w:tblPr>
        <w:tblStyle w:val="6"/>
        <w:tblW w:w="894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943" w:type="dxa"/>
            <w:noWrap w:val="0"/>
            <w:vAlign w:val="center"/>
          </w:tcPr>
          <w:p>
            <w:pPr>
              <w:keepNext w:val="0"/>
              <w:keepLines w:val="0"/>
              <w:pageBreakBefore w:val="0"/>
              <w:kinsoku/>
              <w:wordWrap/>
              <w:overflowPunct/>
              <w:topLinePunct w:val="0"/>
              <w:bidi w:val="0"/>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5" w:hRule="atLeast"/>
          <w:jc w:val="center"/>
        </w:trPr>
        <w:tc>
          <w:tcPr>
            <w:tcW w:w="8943" w:type="dxa"/>
            <w:noWrap w:val="0"/>
            <w:vAlign w:val="center"/>
          </w:tcPr>
          <w:p>
            <w:pPr>
              <w:pStyle w:val="5"/>
              <w:keepNext w:val="0"/>
              <w:keepLines w:val="0"/>
              <w:pageBreakBefore w:val="0"/>
              <w:widowControl w:val="0"/>
              <w:kinsoku/>
              <w:wordWrap/>
              <w:overflowPunct/>
              <w:topLinePunct w:val="0"/>
              <w:autoSpaceDE/>
              <w:autoSpaceDN/>
              <w:bidi w:val="0"/>
              <w:adjustRightInd/>
              <w:snapToGrid/>
              <w:spacing w:before="0" w:after="0" w:line="312" w:lineRule="auto"/>
              <w:ind w:left="0" w:leftChars="0" w:right="0" w:rightChars="0"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近5年（2017年11月1日至投标文件递交截止之日）成功完成：</w:t>
            </w:r>
          </w:p>
          <w:p>
            <w:pPr>
              <w:pStyle w:val="5"/>
              <w:keepNext w:val="0"/>
              <w:keepLines w:val="0"/>
              <w:pageBreakBefore w:val="0"/>
              <w:widowControl w:val="0"/>
              <w:kinsoku/>
              <w:wordWrap/>
              <w:overflowPunct/>
              <w:topLinePunct w:val="0"/>
              <w:autoSpaceDE/>
              <w:autoSpaceDN/>
              <w:bidi w:val="0"/>
              <w:adjustRightInd/>
              <w:snapToGrid/>
              <w:spacing w:before="0" w:after="0" w:line="312" w:lineRule="auto"/>
              <w:ind w:left="0" w:leftChars="0" w:right="0" w:rightChars="0"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类似工程至少1个标段，其中有1个标段里程不少于9km，且累计不少于18km。</w:t>
            </w:r>
          </w:p>
        </w:tc>
      </w:tr>
    </w:tbl>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1"/>
          <w:szCs w:val="21"/>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注：1、本附录所要求的业绩仅限中华人民共和国境内业绩。</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2、业绩计算以“全国公路建设市场信用信息管理系统”上的交工验收或未交工验收一次性竣工验收的时间为准。</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单项业绩包含不同等级、不同路面施工内容，可根据“全国公路建设市场信用信息管理系统”相关截图体现的施工具体内容给予认定，但截图内容需清晰、明确，无法界定其完成的工作量，此业绩不予认定。</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登记及投标文件中需提供满足附录3要求的以下证明材料（并加盖投标单位公章）：交通运输部“全国公路建设市场信用信息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8"/>
          <w:szCs w:val="28"/>
          <w:highlight w:val="none"/>
        </w:rPr>
      </w:pPr>
    </w:p>
    <w:p>
      <w:pPr>
        <w:keepNext w:val="0"/>
        <w:keepLines w:val="0"/>
        <w:pageBreakBefore w:val="0"/>
        <w:widowControl w:val="0"/>
        <w:tabs>
          <w:tab w:val="left" w:pos="3071"/>
        </w:tabs>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8"/>
          <w:szCs w:val="28"/>
          <w:highlight w:val="none"/>
        </w:rPr>
        <w:t>附录4 资格审查条件(信誉最低要求)</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tbl>
      <w:tblPr>
        <w:tblStyle w:val="6"/>
        <w:tblW w:w="85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537" w:type="dxa"/>
            <w:noWrap w:val="0"/>
            <w:vAlign w:val="center"/>
          </w:tcPr>
          <w:p>
            <w:pPr>
              <w:keepNext w:val="0"/>
              <w:keepLines w:val="0"/>
              <w:pageBreakBefore w:val="0"/>
              <w:kinsoku/>
              <w:wordWrap/>
              <w:overflowPunct/>
              <w:topLinePunct w:val="0"/>
              <w:bidi w:val="0"/>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01" w:hRule="atLeast"/>
          <w:jc w:val="center"/>
        </w:trPr>
        <w:tc>
          <w:tcPr>
            <w:tcW w:w="853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在最新年度广东省（或江门市）公路工程从业单位（施工单位）信用评价（含无最新年度而上一年度有信用评价）中，信用等级未被评为D级；</w:t>
            </w:r>
          </w:p>
          <w:p>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初次进入广东省（或江门市）的投标人，在最新年度的全国公路从业单位（施工单位）信用评价结果中未被评为D级。</w:t>
            </w:r>
          </w:p>
        </w:tc>
      </w:tr>
    </w:tbl>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1"/>
          <w:szCs w:val="21"/>
          <w:highlight w:val="none"/>
        </w:rPr>
        <w:t>注：信用等级的确定原则遵循投标人须知前附表10.2款的规定。</w:t>
      </w:r>
      <w:r>
        <w:rPr>
          <w:rFonts w:hint="eastAsia" w:ascii="宋体" w:hAnsi="宋体" w:eastAsia="宋体" w:cs="宋体"/>
          <w:sz w:val="24"/>
          <w:szCs w:val="24"/>
          <w:highlight w:val="none"/>
        </w:rPr>
        <w:br w:type="page"/>
      </w:r>
    </w:p>
    <w:p>
      <w:pPr>
        <w:keepNext w:val="0"/>
        <w:keepLines w:val="0"/>
        <w:pageBreakBefore w:val="0"/>
        <w:kinsoku/>
        <w:wordWrap/>
        <w:overflowPunct/>
        <w:topLinePunct w:val="0"/>
        <w:bidi w:val="0"/>
        <w:spacing w:line="240" w:lineRule="auto"/>
        <w:ind w:left="0" w:leftChars="0" w:right="0" w:rightChars="0"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附录5 资格审查条件(项目经理和项目总工最低要求)</w:t>
      </w: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4"/>
          <w:szCs w:val="24"/>
          <w:highlight w:val="none"/>
        </w:rPr>
      </w:pPr>
    </w:p>
    <w:tbl>
      <w:tblPr>
        <w:tblStyle w:val="6"/>
        <w:tblW w:w="8800" w:type="dxa"/>
        <w:jc w:val="center"/>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Layout w:type="fixed"/>
        <w:tblCellMar>
          <w:top w:w="0" w:type="dxa"/>
          <w:left w:w="0" w:type="dxa"/>
          <w:bottom w:w="0" w:type="dxa"/>
          <w:right w:w="0" w:type="dxa"/>
        </w:tblCellMar>
      </w:tblPr>
      <w:tblGrid>
        <w:gridCol w:w="725"/>
        <w:gridCol w:w="863"/>
        <w:gridCol w:w="5828"/>
        <w:gridCol w:w="1384"/>
      </w:tblGrid>
      <w:tr>
        <w:tblPrEx>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CellMar>
            <w:top w:w="0" w:type="dxa"/>
            <w:left w:w="0" w:type="dxa"/>
            <w:bottom w:w="0" w:type="dxa"/>
            <w:right w:w="0" w:type="dxa"/>
          </w:tblCellMar>
        </w:tblPrEx>
        <w:trPr>
          <w:trHeight w:val="567" w:hRule="atLeast"/>
          <w:jc w:val="center"/>
        </w:trPr>
        <w:tc>
          <w:tcPr>
            <w:tcW w:w="725" w:type="dxa"/>
            <w:noWrap w:val="0"/>
            <w:vAlign w:val="center"/>
          </w:tcPr>
          <w:p>
            <w:pPr>
              <w:pStyle w:val="8"/>
              <w:keepNext w:val="0"/>
              <w:keepLines w:val="0"/>
              <w:pageBreakBefore w:val="0"/>
              <w:widowControl w:val="0"/>
              <w:tabs>
                <w:tab w:val="left" w:pos="487"/>
              </w:tabs>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t>员</w:t>
            </w:r>
          </w:p>
        </w:tc>
        <w:tc>
          <w:tcPr>
            <w:tcW w:w="863" w:type="dxa"/>
            <w:noWrap w:val="0"/>
            <w:vAlign w:val="center"/>
          </w:tcPr>
          <w:p>
            <w:pPr>
              <w:pStyle w:val="8"/>
              <w:keepNext w:val="0"/>
              <w:keepLines w:val="0"/>
              <w:pageBreakBefore w:val="0"/>
              <w:widowControl w:val="0"/>
              <w:tabs>
                <w:tab w:val="left" w:pos="665"/>
              </w:tabs>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量</w:t>
            </w:r>
          </w:p>
        </w:tc>
        <w:tc>
          <w:tcPr>
            <w:tcW w:w="582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c>
          <w:tcPr>
            <w:tcW w:w="1384"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 岗 要 求</w:t>
            </w:r>
          </w:p>
        </w:tc>
      </w:tr>
      <w:tr>
        <w:tblPrEx>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CellMar>
            <w:top w:w="0" w:type="dxa"/>
            <w:left w:w="0" w:type="dxa"/>
            <w:bottom w:w="0" w:type="dxa"/>
            <w:right w:w="0" w:type="dxa"/>
          </w:tblCellMar>
        </w:tblPrEx>
        <w:trPr>
          <w:trHeight w:val="2154" w:hRule="atLeast"/>
          <w:jc w:val="center"/>
        </w:trPr>
        <w:tc>
          <w:tcPr>
            <w:tcW w:w="72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项目经理</w:t>
            </w:r>
          </w:p>
        </w:tc>
        <w:tc>
          <w:tcPr>
            <w:tcW w:w="86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828"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路桥相关专业工程师，担任类似工程项目经理（或项目副经理或项目总工）岗位累计</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个月，并持有住房和城乡建设部颁发的公路工程专业一级建造师注册证书（不含临时资格证书），具有交通主管部门颁发的有效安全生产“三类人员”B类证书，年龄不超过 55 周岁。(按第二代身份证的出生日期开始至递交投标文件截止之日计算)。</w:t>
            </w:r>
          </w:p>
        </w:tc>
        <w:tc>
          <w:tcPr>
            <w:tcW w:w="1384" w:type="dxa"/>
            <w:vMerge w:val="restart"/>
            <w:noWrap w:val="0"/>
            <w:vAlign w:val="center"/>
          </w:tcPr>
          <w:p>
            <w:pPr>
              <w:pStyle w:val="8"/>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1"/>
                <w:szCs w:val="21"/>
                <w:highlight w:val="none"/>
              </w:rPr>
            </w:pPr>
          </w:p>
          <w:p>
            <w:pPr>
              <w:pStyle w:val="8"/>
              <w:keepNext w:val="0"/>
              <w:keepLines w:val="0"/>
              <w:pageBreakBefore w:val="0"/>
              <w:kinsoku/>
              <w:wordWrap/>
              <w:overflowPunct/>
              <w:topLinePunct w:val="0"/>
              <w:bidi w:val="0"/>
              <w:spacing w:line="240" w:lineRule="auto"/>
              <w:ind w:left="0" w:leftChars="0" w:right="0" w:rightChars="0" w:hanging="2"/>
              <w:textAlignment w:val="auto"/>
              <w:rPr>
                <w:rFonts w:hint="eastAsia" w:ascii="宋体" w:hAnsi="宋体" w:eastAsia="宋体" w:cs="宋体"/>
                <w:sz w:val="21"/>
                <w:szCs w:val="21"/>
                <w:highlight w:val="none"/>
              </w:rPr>
            </w:pPr>
            <w:r>
              <w:rPr>
                <w:rFonts w:hint="eastAsia" w:ascii="宋体" w:hAnsi="宋体" w:eastAsia="宋体" w:cs="宋体"/>
                <w:color w:val="000000"/>
                <w:spacing w:val="-2"/>
                <w:sz w:val="21"/>
                <w:szCs w:val="21"/>
                <w:highlight w:val="none"/>
              </w:rPr>
              <w:t>无在岗项目（指目前未在其他项目上任职，或虽在其他项目上任职但本项目中标后能够从该项目撤离）</w:t>
            </w:r>
          </w:p>
        </w:tc>
      </w:tr>
      <w:tr>
        <w:tblPrEx>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CellMar>
            <w:top w:w="0" w:type="dxa"/>
            <w:left w:w="0" w:type="dxa"/>
            <w:bottom w:w="0" w:type="dxa"/>
            <w:right w:w="0" w:type="dxa"/>
          </w:tblCellMar>
        </w:tblPrEx>
        <w:trPr>
          <w:trHeight w:val="1701" w:hRule="atLeast"/>
          <w:jc w:val="center"/>
        </w:trPr>
        <w:tc>
          <w:tcPr>
            <w:tcW w:w="725"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项目总工</w:t>
            </w:r>
          </w:p>
        </w:tc>
        <w:tc>
          <w:tcPr>
            <w:tcW w:w="86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82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312"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路桥相关专业高级工程师，主管类似工程技术工作岗位累计</w:t>
            </w:r>
            <w:r>
              <w:rPr>
                <w:rFonts w:hint="eastAsia" w:ascii="宋体" w:hAnsi="宋体" w:eastAsia="宋体" w:cs="宋体"/>
                <w:sz w:val="21"/>
                <w:szCs w:val="21"/>
                <w:highlight w:val="none"/>
                <w:u w:val="single"/>
              </w:rPr>
              <w:t>24</w:t>
            </w:r>
            <w:r>
              <w:rPr>
                <w:rFonts w:hint="eastAsia" w:ascii="宋体" w:hAnsi="宋体" w:eastAsia="宋体" w:cs="宋体"/>
                <w:sz w:val="21"/>
                <w:szCs w:val="21"/>
                <w:highlight w:val="none"/>
              </w:rPr>
              <w:t>个月，具有交通主管部门颁发的有效安全生产“三类人员”B类证书，年龄不超过 55 周岁。(按第二代身份证的出生日期开始至递交投标文件截止之日计算)。</w:t>
            </w:r>
          </w:p>
        </w:tc>
        <w:tc>
          <w:tcPr>
            <w:tcW w:w="1384" w:type="dxa"/>
            <w:vMerge w:val="continue"/>
            <w:tcBorders>
              <w:top w:val="nil"/>
            </w:tcBorders>
            <w:noWrap w:val="0"/>
            <w:vAlign w:val="top"/>
          </w:tcPr>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sz w:val="21"/>
                <w:szCs w:val="21"/>
                <w:highlight w:val="none"/>
              </w:rPr>
            </w:pPr>
          </w:p>
        </w:tc>
      </w:tr>
    </w:tbl>
    <w:p>
      <w:pPr>
        <w:pStyle w:val="2"/>
        <w:keepNext w:val="0"/>
        <w:keepLines w:val="0"/>
        <w:pageBreakBefore w:val="0"/>
        <w:kinsoku/>
        <w:wordWrap/>
        <w:overflowPunct/>
        <w:topLinePunct w:val="0"/>
        <w:bidi w:val="0"/>
        <w:adjustRightInd w:val="0"/>
        <w:snapToGrid w:val="0"/>
        <w:spacing w:line="240" w:lineRule="auto"/>
        <w:ind w:left="0" w:leftChars="0" w:right="0" w:righ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注：1.资格要求的人员建造师注册证书、安全生产“三类人员”B类证书均应在投标人所在单位，否则视为无效。</w:t>
      </w:r>
    </w:p>
    <w:p>
      <w:pPr>
        <w:pStyle w:val="2"/>
        <w:keepNext w:val="0"/>
        <w:keepLines w:val="0"/>
        <w:pageBreakBefore w:val="0"/>
        <w:kinsoku/>
        <w:wordWrap/>
        <w:overflowPunct/>
        <w:topLinePunct w:val="0"/>
        <w:bidi w:val="0"/>
        <w:adjustRightInd w:val="0"/>
        <w:snapToGrid w:val="0"/>
        <w:spacing w:line="24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2.专业均以网页截图复印件或网页打印件所示专业为准。</w:t>
      </w:r>
      <w:r>
        <w:rPr>
          <w:rFonts w:hint="eastAsia" w:ascii="宋体" w:hAnsi="宋体" w:eastAsia="宋体" w:cs="宋体"/>
          <w:sz w:val="21"/>
          <w:szCs w:val="21"/>
          <w:highlight w:val="none"/>
          <w:u w:val="single"/>
        </w:rPr>
        <w:t>“路桥相关工程专业”包括路桥工程专业、道桥工程专业、道路工程专业、桥梁工程专业、公路工程专业、交通土建工程专业、土木工程专业、交通工程专业、公路与桥梁工程专业、道路与桥梁工程专业、公路与城市道路工程专业、公路工程与管理专业、路桥施工与管理专业、公路桥隧工程施工、路桥施工管理专业、桥梁隧道与结构工程专业</w:t>
      </w:r>
      <w:r>
        <w:rPr>
          <w:rFonts w:hint="eastAsia" w:ascii="宋体" w:hAnsi="宋体" w:eastAsia="宋体" w:cs="宋体"/>
          <w:sz w:val="21"/>
          <w:szCs w:val="21"/>
          <w:highlight w:val="none"/>
        </w:rPr>
        <w:t>。</w:t>
      </w:r>
    </w:p>
    <w:p>
      <w:pPr>
        <w:pStyle w:val="2"/>
        <w:keepNext w:val="0"/>
        <w:keepLines w:val="0"/>
        <w:pageBreakBefore w:val="0"/>
        <w:kinsoku/>
        <w:wordWrap/>
        <w:overflowPunct/>
        <w:topLinePunct w:val="0"/>
        <w:bidi w:val="0"/>
        <w:adjustRightInd w:val="0"/>
        <w:snapToGrid w:val="0"/>
        <w:spacing w:line="24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主管技术工作指：担任过项目经理、项目副经理、总工程师、副总工程师、质检部门负责人、工程部门负责人。担任项目经理（或项目副经理或项目总工）岗位经验累计时间、主管技术工作岗位经验累计时间以“全国公路建设市场信用信息管理系统”人员信息资料中的“个人业绩”所列其本人担任的工作岗位经验为准；各岗位时间以“在岗截止日期”减去“在岗起始日期”所得月数累加计算统计至月，计算时尾数如不少于15天的按1个月计，不足15天部分不计。如果存在有某人某一时间段同时担任了两个或以上符合上述岗位要求的岗位，重叠时间段部分只计算一次时间，不重复计算岗位月数。</w:t>
      </w:r>
    </w:p>
    <w:p>
      <w:pPr>
        <w:pStyle w:val="2"/>
        <w:keepNext w:val="0"/>
        <w:keepLines w:val="0"/>
        <w:pageBreakBefore w:val="0"/>
        <w:kinsoku/>
        <w:wordWrap/>
        <w:overflowPunct/>
        <w:topLinePunct w:val="0"/>
        <w:bidi w:val="0"/>
        <w:adjustRightInd w:val="0"/>
        <w:snapToGrid w:val="0"/>
        <w:spacing w:line="240" w:lineRule="auto"/>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投标登记及投标文件中需提供满足附录5要求的以下证明材料（并加盖投标单位公章）：项目经理和项目总工应相应同时附①交通运输部“全国公路建设市场信用信息管理系统”的人员信息中的网页截图复印件或网页打印件并满足附录5要求：a.拟投入人员在汇总表的网页屏幕打印资料，b.人员信息明细表的网页屏幕打印资料（即包括人员的“基本信息”、“职称信息”、“执业资格”、“个人业绩”等栏目在内，岗位经验以“全国公路建设市场信用信息管理系统”的人员信息中的网页截图“个人业绩”相对应工作岗位时间为准），②建造师注册证书在中华人民共和国住房和城乡建设部网站上公开信息的网页截图复印件或网页打印件，③安全生产考核合格证书在交通运输部公路水运工程施工企业安全生产管理人员信息公共查询平台上公开信息的网页截图复印件或网页打印件，④投标人所属社保机构出具的拟委任的项目经理和项目总工的社保缴费证明或其他能够证明拟委任的项目经理和项目总工参加社保的有效证明材料复印件（社保时段为投标文件递交截止日前半年时间内连续不少于三个月）。</w:t>
      </w:r>
    </w:p>
    <w:p>
      <w:pPr>
        <w:keepNext w:val="0"/>
        <w:keepLines w:val="0"/>
        <w:pageBreakBefore w:val="0"/>
        <w:tabs>
          <w:tab w:val="left" w:pos="1050"/>
        </w:tabs>
        <w:kinsoku/>
        <w:wordWrap/>
        <w:overflowPunct/>
        <w:topLinePunct w:val="0"/>
        <w:bidi w:val="0"/>
        <w:spacing w:line="360" w:lineRule="auto"/>
        <w:ind w:left="0" w:leftChars="0" w:right="0" w:rightChars="0" w:firstLine="42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8"/>
          <w:szCs w:val="28"/>
          <w:highlight w:val="none"/>
        </w:rPr>
        <w:t>附录 6</w:t>
      </w:r>
      <w:r>
        <w:rPr>
          <w:rFonts w:hint="eastAsia" w:ascii="宋体" w:hAnsi="宋体" w:eastAsia="宋体" w:cs="宋体"/>
          <w:sz w:val="28"/>
          <w:szCs w:val="28"/>
          <w:highlight w:val="none"/>
        </w:rPr>
        <w:tab/>
      </w:r>
      <w:r>
        <w:rPr>
          <w:rFonts w:hint="eastAsia" w:ascii="宋体" w:hAnsi="宋体" w:eastAsia="宋体" w:cs="宋体"/>
          <w:sz w:val="28"/>
          <w:szCs w:val="28"/>
          <w:highlight w:val="none"/>
        </w:rPr>
        <w:t>资格</w:t>
      </w:r>
      <w:r>
        <w:rPr>
          <w:rFonts w:hint="eastAsia" w:ascii="宋体" w:hAnsi="宋体" w:eastAsia="宋体" w:cs="宋体"/>
          <w:sz w:val="28"/>
          <w:szCs w:val="28"/>
          <w:highlight w:val="none"/>
          <w:lang w:val="en-US" w:eastAsia="zh-CN"/>
        </w:rPr>
        <w:t>审查</w:t>
      </w:r>
      <w:r>
        <w:rPr>
          <w:rFonts w:hint="eastAsia" w:ascii="宋体" w:hAnsi="宋体" w:eastAsia="宋体" w:cs="宋体"/>
          <w:sz w:val="28"/>
          <w:szCs w:val="28"/>
          <w:highlight w:val="none"/>
        </w:rPr>
        <w:t>条件(其他管理人员和技术人员最低要求)</w:t>
      </w:r>
    </w:p>
    <w:tbl>
      <w:tblPr>
        <w:tblStyle w:val="6"/>
        <w:tblW w:w="0" w:type="auto"/>
        <w:jc w:val="center"/>
        <w:tblLayout w:type="fixed"/>
        <w:tblCellMar>
          <w:top w:w="0" w:type="dxa"/>
          <w:left w:w="0" w:type="dxa"/>
          <w:bottom w:w="0" w:type="dxa"/>
          <w:right w:w="0" w:type="dxa"/>
        </w:tblCellMar>
      </w:tblPr>
      <w:tblGrid>
        <w:gridCol w:w="1728"/>
        <w:gridCol w:w="932"/>
        <w:gridCol w:w="6766"/>
      </w:tblGrid>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人  员</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数量</w:t>
            </w:r>
          </w:p>
        </w:tc>
        <w:tc>
          <w:tcPr>
            <w:tcW w:w="6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资 格 要 求</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质检工程师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 w:val="22"/>
                <w:szCs w:val="22"/>
              </w:rPr>
              <w:t>路桥相关专业工程师，累计3年从事类似工程施工经验。</w:t>
            </w:r>
          </w:p>
        </w:tc>
      </w:tr>
      <w:tr>
        <w:tblPrEx>
          <w:tblCellMar>
            <w:top w:w="0" w:type="dxa"/>
            <w:left w:w="0" w:type="dxa"/>
            <w:bottom w:w="0" w:type="dxa"/>
            <w:right w:w="0" w:type="dxa"/>
          </w:tblCellMar>
        </w:tblPrEx>
        <w:trPr>
          <w:trHeight w:val="1021"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计划工程师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widowControl/>
              <w:ind w:left="42" w:leftChars="20" w:right="42" w:rightChars="20"/>
              <w:rPr>
                <w:rFonts w:ascii="宋体" w:hAnsi="宋体" w:cs="宋体"/>
                <w:szCs w:val="21"/>
              </w:rPr>
            </w:pPr>
            <w:r>
              <w:rPr>
                <w:rFonts w:hint="eastAsia" w:ascii="宋体" w:hAnsi="宋体"/>
                <w:sz w:val="22"/>
                <w:szCs w:val="22"/>
              </w:rPr>
              <w:t>路桥相关专业工程师，有负责计划累计3年类似工程的经验，具有住房与城乡建设部颁发的注册造价工程师证书或交通运输部（原交通部）颁发的甲级造价人员证书。</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道路工程师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 w:val="22"/>
                <w:szCs w:val="22"/>
              </w:rPr>
              <w:t>路桥相关专业工程师，累计3年从事类似工程施工经验。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测量工程师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 w:val="22"/>
                <w:szCs w:val="22"/>
              </w:rPr>
              <w:t>工程师，累计3年从事类似工程经验。</w:t>
            </w:r>
          </w:p>
        </w:tc>
      </w:tr>
      <w:tr>
        <w:tblPrEx>
          <w:tblCellMar>
            <w:top w:w="0" w:type="dxa"/>
            <w:left w:w="0" w:type="dxa"/>
            <w:bottom w:w="0" w:type="dxa"/>
            <w:right w:w="0" w:type="dxa"/>
          </w:tblCellMar>
        </w:tblPrEx>
        <w:trPr>
          <w:trHeight w:val="1247"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试验工程师</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widowControl/>
              <w:ind w:left="42" w:leftChars="20" w:right="42" w:rightChars="20"/>
              <w:rPr>
                <w:rFonts w:ascii="宋体" w:hAnsi="宋体" w:cs="宋体"/>
                <w:szCs w:val="21"/>
              </w:rPr>
            </w:pPr>
            <w:r>
              <w:rPr>
                <w:rFonts w:hint="eastAsia" w:ascii="宋体" w:hAnsi="宋体"/>
                <w:sz w:val="22"/>
                <w:szCs w:val="22"/>
              </w:rPr>
              <w:t>工程师，持有在有效期内的交通运输部工程质量监督局（原交通运输部基本建设质量监督总站）颁发的试验检测工程师资格证书或交通运输部职业资格中心颁发的公路水运试验检测师资格证书，累计3年从事类似工程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财务负责人</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 w:val="22"/>
                <w:szCs w:val="22"/>
              </w:rPr>
              <w:t>会计师及以上，累计3年从事工程经验。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sz w:val="22"/>
                <w:szCs w:val="22"/>
              </w:rPr>
              <w:t>专职安全生产管理人员</w:t>
            </w:r>
          </w:p>
        </w:tc>
        <w:tc>
          <w:tcPr>
            <w:tcW w:w="93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sz w:val="22"/>
                <w:szCs w:val="22"/>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hint="eastAsia" w:ascii="宋体" w:hAnsi="宋体" w:cs="宋体"/>
                <w:szCs w:val="21"/>
              </w:rPr>
            </w:pPr>
            <w:r>
              <w:rPr>
                <w:rFonts w:hint="eastAsia" w:ascii="宋体" w:hAnsi="宋体"/>
                <w:sz w:val="22"/>
                <w:szCs w:val="22"/>
              </w:rPr>
              <w:t>具有交通主管部门颁发的有效安全生产“三类人员”C类证书，累计3年从事类似工程工作经验。</w:t>
            </w:r>
          </w:p>
        </w:tc>
      </w:tr>
      <w:tr>
        <w:tblPrEx>
          <w:tblCellMar>
            <w:top w:w="0" w:type="dxa"/>
            <w:left w:w="0" w:type="dxa"/>
            <w:bottom w:w="0" w:type="dxa"/>
            <w:right w:w="0" w:type="dxa"/>
          </w:tblCellMar>
        </w:tblPrEx>
        <w:trPr>
          <w:trHeight w:val="680"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资料员</w:t>
            </w:r>
          </w:p>
        </w:tc>
        <w:tc>
          <w:tcPr>
            <w:tcW w:w="93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w:t>
            </w:r>
          </w:p>
        </w:tc>
        <w:tc>
          <w:tcPr>
            <w:tcW w:w="6766" w:type="dxa"/>
            <w:tcBorders>
              <w:top w:val="single" w:color="auto" w:sz="4" w:space="0"/>
              <w:left w:val="nil"/>
              <w:bottom w:val="single" w:color="auto" w:sz="4" w:space="0"/>
              <w:right w:val="single" w:color="auto" w:sz="4" w:space="0"/>
            </w:tcBorders>
            <w:noWrap w:val="0"/>
            <w:vAlign w:val="center"/>
          </w:tcPr>
          <w:p>
            <w:pPr>
              <w:ind w:left="42" w:leftChars="20" w:right="42" w:rightChars="20"/>
              <w:rPr>
                <w:rFonts w:ascii="宋体" w:hAnsi="宋体" w:cs="宋体"/>
                <w:szCs w:val="21"/>
              </w:rPr>
            </w:pPr>
            <w:r>
              <w:rPr>
                <w:rFonts w:hint="eastAsia" w:ascii="宋体" w:hAnsi="宋体"/>
                <w:sz w:val="22"/>
                <w:szCs w:val="22"/>
              </w:rPr>
              <w:t>资料员，累计3年从事类似工作经验。</w:t>
            </w:r>
          </w:p>
        </w:tc>
      </w:tr>
    </w:tbl>
    <w:p>
      <w:pPr>
        <w:keepNext w:val="0"/>
        <w:keepLines w:val="0"/>
        <w:pageBreakBefore w:val="0"/>
        <w:widowControl/>
        <w:tabs>
          <w:tab w:val="left" w:pos="1050"/>
        </w:tabs>
        <w:kinsoku/>
        <w:wordWrap/>
        <w:overflowPunct/>
        <w:topLinePunct w:val="0"/>
        <w:bidi w:val="0"/>
        <w:spacing w:line="240" w:lineRule="auto"/>
        <w:ind w:right="0" w:rightChars="0"/>
        <w:jc w:val="left"/>
        <w:textAlignment w:val="auto"/>
        <w:rPr>
          <w:rFonts w:hint="eastAsia" w:ascii="宋体" w:hAnsi="宋体" w:eastAsia="宋体" w:cs="宋体"/>
          <w:color w:val="auto"/>
          <w:sz w:val="21"/>
          <w:szCs w:val="21"/>
          <w:highlight w:val="none"/>
        </w:rPr>
      </w:pPr>
    </w:p>
    <w:p>
      <w:pPr>
        <w:keepNext w:val="0"/>
        <w:keepLines w:val="0"/>
        <w:pageBreakBefore w:val="0"/>
        <w:widowControl/>
        <w:tabs>
          <w:tab w:val="left" w:pos="1050"/>
        </w:tabs>
        <w:kinsoku/>
        <w:wordWrap/>
        <w:overflowPunct/>
        <w:topLinePunct w:val="0"/>
        <w:bidi w:val="0"/>
        <w:spacing w:line="240" w:lineRule="auto"/>
        <w:ind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投标阶段不需要提供人员姓名、证书等资料，须按投标文件的格式承诺；中标人在进场前向招标人提交实际投入的人员。</w:t>
      </w:r>
    </w:p>
    <w:p>
      <w:pPr>
        <w:keepNext w:val="0"/>
        <w:keepLines w:val="0"/>
        <w:pageBreakBefore w:val="0"/>
        <w:widowControl/>
        <w:tabs>
          <w:tab w:val="left" w:pos="1050"/>
        </w:tabs>
        <w:kinsoku/>
        <w:wordWrap/>
        <w:overflowPunct/>
        <w:topLinePunct w:val="0"/>
        <w:bidi w:val="0"/>
        <w:spacing w:line="24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2、投标人中标后专职安全生产管理人员的配备应按照交通部《公路水运工程安全生产监督管理办法</w:t>
      </w:r>
      <w:r>
        <w:rPr>
          <w:rFonts w:hint="eastAsia" w:ascii="宋体" w:hAnsi="宋体" w:eastAsia="宋体" w:cs="宋体"/>
          <w:color w:val="auto"/>
          <w:sz w:val="21"/>
          <w:szCs w:val="21"/>
          <w:highlight w:val="none"/>
          <w:lang w:eastAsia="zh-CN"/>
        </w:rPr>
        <w:t>》</w:t>
      </w:r>
      <w:bookmarkStart w:id="0" w:name="_GoBack"/>
      <w:bookmarkEnd w:id="0"/>
      <w:r>
        <w:rPr>
          <w:rFonts w:hint="eastAsia" w:ascii="宋体" w:hAnsi="宋体" w:eastAsia="宋体" w:cs="宋体"/>
          <w:color w:val="auto"/>
          <w:sz w:val="21"/>
          <w:szCs w:val="21"/>
          <w:highlight w:val="none"/>
        </w:rPr>
        <w:t>(交通运输部令2017年第25号)的要求执行。招标人可根据项目的工期和进度，按规定设置最低的专职安全生产管理人员数量要求。</w:t>
      </w:r>
    </w:p>
    <w:p>
      <w:pPr>
        <w:keepNext w:val="0"/>
        <w:keepLines w:val="0"/>
        <w:pageBreakBefore w:val="0"/>
        <w:widowControl/>
        <w:tabs>
          <w:tab w:val="left" w:pos="1050"/>
        </w:tabs>
        <w:kinsoku/>
        <w:wordWrap/>
        <w:overflowPunct/>
        <w:topLinePunct w:val="0"/>
        <w:bidi w:val="0"/>
        <w:spacing w:line="240" w:lineRule="auto"/>
        <w:ind w:left="0" w:leftChars="0" w:right="0" w:rightChars="0" w:firstLine="420" w:firstLineChars="200"/>
        <w:jc w:val="left"/>
        <w:textAlignment w:val="auto"/>
        <w:rPr>
          <w:rFonts w:hint="eastAsia" w:ascii="宋体" w:hAnsi="宋体" w:eastAsia="宋体" w:cs="宋体"/>
          <w:color w:val="000000"/>
          <w:sz w:val="21"/>
          <w:szCs w:val="21"/>
          <w:highlight w:val="none"/>
          <w:lang w:bidi="ar"/>
        </w:rPr>
      </w:pPr>
      <w:r>
        <w:rPr>
          <w:rFonts w:hint="eastAsia" w:ascii="宋体" w:hAnsi="宋体" w:eastAsia="宋体" w:cs="宋体"/>
          <w:color w:val="auto"/>
          <w:sz w:val="21"/>
          <w:szCs w:val="21"/>
          <w:highlight w:val="none"/>
        </w:rPr>
        <w:t>3、计划工程师的造价人员证书的等级结合项目属性按规定合理设定。</w:t>
      </w:r>
    </w:p>
    <w:p>
      <w:pPr>
        <w:keepNext w:val="0"/>
        <w:keepLines w:val="0"/>
        <w:pageBreakBefore w:val="0"/>
        <w:tabs>
          <w:tab w:val="left" w:pos="1050"/>
        </w:tabs>
        <w:kinsoku/>
        <w:wordWrap/>
        <w:overflowPunct/>
        <w:topLinePunct w:val="0"/>
        <w:bidi w:val="0"/>
        <w:spacing w:line="240" w:lineRule="auto"/>
        <w:ind w:left="0" w:leftChars="0" w:right="0" w:rightChars="0" w:firstLine="42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8"/>
          <w:szCs w:val="28"/>
          <w:highlight w:val="none"/>
        </w:rPr>
        <w:t>附录 7</w:t>
      </w:r>
      <w:r>
        <w:rPr>
          <w:rFonts w:hint="eastAsia" w:ascii="宋体" w:hAnsi="宋体" w:eastAsia="宋体" w:cs="宋体"/>
          <w:sz w:val="28"/>
          <w:szCs w:val="28"/>
          <w:highlight w:val="none"/>
        </w:rPr>
        <w:tab/>
      </w:r>
      <w:r>
        <w:rPr>
          <w:rFonts w:hint="eastAsia" w:ascii="宋体" w:hAnsi="宋体" w:eastAsia="宋体" w:cs="宋体"/>
          <w:sz w:val="28"/>
          <w:szCs w:val="28"/>
          <w:highlight w:val="none"/>
        </w:rPr>
        <w:t>资格</w:t>
      </w:r>
      <w:r>
        <w:rPr>
          <w:rFonts w:hint="eastAsia" w:ascii="宋体" w:hAnsi="宋体" w:eastAsia="宋体" w:cs="宋体"/>
          <w:sz w:val="28"/>
          <w:szCs w:val="28"/>
          <w:highlight w:val="none"/>
          <w:lang w:val="en-US" w:eastAsia="zh-CN"/>
        </w:rPr>
        <w:t>审查</w:t>
      </w:r>
      <w:r>
        <w:rPr>
          <w:rFonts w:hint="eastAsia" w:ascii="宋体" w:hAnsi="宋体" w:eastAsia="宋体" w:cs="宋体"/>
          <w:sz w:val="28"/>
          <w:szCs w:val="28"/>
          <w:highlight w:val="none"/>
        </w:rPr>
        <w:t>条件(主要设备最低要求)</w:t>
      </w:r>
    </w:p>
    <w:tbl>
      <w:tblPr>
        <w:tblStyle w:val="6"/>
        <w:tblW w:w="0" w:type="auto"/>
        <w:jc w:val="center"/>
        <w:tblLayout w:type="fixed"/>
        <w:tblCellMar>
          <w:top w:w="0" w:type="dxa"/>
          <w:left w:w="0" w:type="dxa"/>
          <w:bottom w:w="0" w:type="dxa"/>
          <w:right w:w="0" w:type="dxa"/>
        </w:tblCellMar>
      </w:tblPr>
      <w:tblGrid>
        <w:gridCol w:w="850"/>
        <w:gridCol w:w="3157"/>
        <w:gridCol w:w="2574"/>
        <w:gridCol w:w="867"/>
        <w:gridCol w:w="1722"/>
      </w:tblGrid>
      <w:tr>
        <w:tblPrEx>
          <w:tblCellMar>
            <w:top w:w="0" w:type="dxa"/>
            <w:left w:w="0" w:type="dxa"/>
            <w:bottom w:w="0" w:type="dxa"/>
            <w:right w:w="0" w:type="dxa"/>
          </w:tblCellMar>
        </w:tblPrEx>
        <w:trPr>
          <w:trHeight w:val="495" w:hRule="exac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序号</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设备名称</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规格、功率、及容量</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spacing w:before="4"/>
              <w:jc w:val="center"/>
              <w:rPr>
                <w:rFonts w:ascii="宋体" w:hAnsi="宋体"/>
              </w:rPr>
            </w:pPr>
            <w:r>
              <w:rPr>
                <w:rFonts w:hint="eastAsia" w:ascii="宋体" w:hAnsi="宋体"/>
              </w:rPr>
              <w:t>单位</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最低数量要求</w:t>
            </w:r>
          </w:p>
        </w:tc>
      </w:tr>
      <w:tr>
        <w:tblPrEx>
          <w:tblCellMar>
            <w:top w:w="0" w:type="dxa"/>
            <w:left w:w="0" w:type="dxa"/>
            <w:bottom w:w="0" w:type="dxa"/>
            <w:right w:w="0" w:type="dxa"/>
          </w:tblCellMar>
        </w:tblPrEx>
        <w:trPr>
          <w:trHeight w:val="495" w:hRule="exac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平地机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180KW</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blPrEx>
          <w:tblCellMar>
            <w:top w:w="0" w:type="dxa"/>
            <w:left w:w="0" w:type="dxa"/>
            <w:bottom w:w="0" w:type="dxa"/>
            <w:right w:w="0" w:type="dxa"/>
          </w:tblCellMar>
        </w:tblPrEx>
        <w:trPr>
          <w:trHeight w:val="422"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振动压路机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18T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2</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3</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装载机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2m</w:t>
            </w:r>
            <w:r>
              <w:rPr>
                <w:rFonts w:ascii="宋体" w:hAnsi="宋体"/>
                <w:vertAlign w:val="superscript"/>
              </w:rPr>
              <w:t>3</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ascii="宋体" w:hAnsi="宋体"/>
              </w:rPr>
              <w:t>1</w:t>
            </w:r>
          </w:p>
        </w:tc>
      </w:tr>
      <w:tr>
        <w:tblPrEx>
          <w:tblCellMar>
            <w:top w:w="0" w:type="dxa"/>
            <w:left w:w="0" w:type="dxa"/>
            <w:bottom w:w="0" w:type="dxa"/>
            <w:right w:w="0" w:type="dxa"/>
          </w:tblCellMar>
        </w:tblPrEx>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4</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双钢轮压路机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w:t>
            </w:r>
            <w:r>
              <w:rPr>
                <w:rFonts w:ascii="宋体" w:hAnsi="宋体"/>
              </w:rPr>
              <w:t>1</w:t>
            </w:r>
            <w:r>
              <w:rPr>
                <w:rFonts w:hint="eastAsia" w:ascii="宋体" w:hAnsi="宋体"/>
              </w:rPr>
              <w:t>0</w:t>
            </w:r>
            <w:r>
              <w:rPr>
                <w:rFonts w:ascii="宋体" w:hAnsi="宋体"/>
              </w:rPr>
              <w:t>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2</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5</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胶轮压路机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≥26</w:t>
            </w:r>
            <w:r>
              <w:rPr>
                <w:rFonts w:ascii="宋体" w:hAnsi="宋体"/>
              </w:rPr>
              <w:t>T</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6</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挖掘机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1.0m</w:t>
            </w:r>
            <w:r>
              <w:rPr>
                <w:rFonts w:ascii="宋体" w:hAnsi="宋体"/>
                <w:vertAlign w:val="superscript"/>
              </w:rPr>
              <w:t>3</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4</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7</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推土机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t>
            </w:r>
            <w:r>
              <w:rPr>
                <w:rFonts w:ascii="宋体" w:hAnsi="宋体"/>
              </w:rPr>
              <w:t>220KW</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8</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载重汽车</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ascii="宋体" w:hAnsi="宋体"/>
              </w:rPr>
              <w:t>15t以上</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辆</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6</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9</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稳定粒料拌和设备</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≥100t/h</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座</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10</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基层摊铺机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一次性摊铺宽度≥7</w:t>
            </w:r>
            <w:r>
              <w:rPr>
                <w:rFonts w:ascii="宋体" w:hAnsi="宋体"/>
              </w:rPr>
              <w:t>.5</w:t>
            </w:r>
            <w:r>
              <w:rPr>
                <w:rFonts w:hint="eastAsia" w:ascii="宋体" w:hAnsi="宋体"/>
              </w:rPr>
              <w:t>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11</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沥青砼拌和设备</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间歇性≥</w:t>
            </w:r>
            <w:r>
              <w:rPr>
                <w:rFonts w:ascii="宋体" w:hAnsi="宋体"/>
              </w:rPr>
              <w:t>320</w:t>
            </w:r>
            <w:r>
              <w:rPr>
                <w:rFonts w:hint="eastAsia" w:ascii="宋体" w:hAnsi="宋体"/>
              </w:rPr>
              <w:t>t/h</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座</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12</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沥青砼摊铺机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一次性摊铺宽度≥7.5m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13</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沥青洒布车</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大于4000L</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14</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全站仪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15</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w:t>
            </w:r>
            <w:r>
              <w:rPr>
                <w:rFonts w:ascii="宋体" w:hAnsi="宋体"/>
              </w:rPr>
              <w:t>00t</w:t>
            </w:r>
            <w:r>
              <w:rPr>
                <w:rFonts w:hint="eastAsia" w:ascii="宋体" w:hAnsi="宋体"/>
              </w:rPr>
              <w:t>压力机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Y</w:t>
            </w:r>
            <w:r>
              <w:rPr>
                <w:rFonts w:ascii="宋体" w:hAnsi="宋体"/>
              </w:rPr>
              <w:t>E-2000</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16</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万能材料试验机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W</w:t>
            </w:r>
            <w:r>
              <w:rPr>
                <w:rFonts w:ascii="宋体" w:hAnsi="宋体"/>
              </w:rPr>
              <w:t>E-1000B</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17</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脱模机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18</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弯沉仪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5</w:t>
            </w:r>
            <w:r>
              <w:rPr>
                <w:rFonts w:ascii="宋体" w:hAnsi="宋体"/>
              </w:rPr>
              <w:t>.4m</w:t>
            </w: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19</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路面钻芯机</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r>
        <w:trPr>
          <w:trHeight w:val="397" w:hRule="atLeast"/>
          <w:jc w:val="center"/>
        </w:trPr>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rPr>
            </w:pPr>
            <w:r>
              <w:rPr>
                <w:rFonts w:hint="eastAsia" w:ascii="宋体" w:hAnsi="宋体"/>
              </w:rPr>
              <w:t>20</w:t>
            </w:r>
          </w:p>
        </w:tc>
        <w:tc>
          <w:tcPr>
            <w:tcW w:w="315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连续平整度仪</w:t>
            </w:r>
          </w:p>
        </w:tc>
        <w:tc>
          <w:tcPr>
            <w:tcW w:w="2574"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p>
        </w:tc>
        <w:tc>
          <w:tcPr>
            <w:tcW w:w="86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rPr>
            </w:pPr>
            <w:r>
              <w:rPr>
                <w:rFonts w:hint="eastAsia" w:ascii="宋体" w:hAnsi="宋体"/>
              </w:rPr>
              <w:t>台</w:t>
            </w:r>
          </w:p>
        </w:tc>
        <w:tc>
          <w:tcPr>
            <w:tcW w:w="1722"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szCs w:val="21"/>
              </w:rPr>
            </w:pPr>
            <w:r>
              <w:rPr>
                <w:rFonts w:hint="eastAsia" w:ascii="宋体" w:hAnsi="宋体"/>
              </w:rPr>
              <w:t>1</w:t>
            </w:r>
          </w:p>
        </w:tc>
      </w:tr>
    </w:tbl>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bCs/>
          <w:color w:val="auto"/>
          <w:sz w:val="21"/>
          <w:szCs w:val="21"/>
          <w:highlight w:val="none"/>
        </w:rPr>
      </w:pPr>
    </w:p>
    <w:p>
      <w:pPr>
        <w:keepNext w:val="0"/>
        <w:keepLines w:val="0"/>
        <w:pageBreakBefore w:val="0"/>
        <w:kinsoku/>
        <w:wordWrap/>
        <w:overflowPunct/>
        <w:topLinePunct w:val="0"/>
        <w:bidi w:val="0"/>
        <w:spacing w:line="240" w:lineRule="auto"/>
        <w:ind w:left="0" w:leftChars="0" w:right="0" w:right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 1、</w:t>
      </w:r>
      <w:r>
        <w:rPr>
          <w:rFonts w:hint="eastAsia" w:ascii="宋体" w:hAnsi="宋体" w:cs="宋体"/>
          <w:b/>
          <w:color w:val="auto"/>
          <w:szCs w:val="21"/>
          <w:highlight w:val="none"/>
        </w:rPr>
        <w:t>投标人须作出承诺中标后投入设备不低于以上要求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2、招标人有权根据标段的工程特点、工程量及工程进度情况要求增加相应的施工设备，由此不存在索赔问题。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OGY2YThhMjNhOTM3ZjAyMmMwOWEzZWU4MTU5YjcifQ=="/>
  </w:docVars>
  <w:rsids>
    <w:rsidRoot w:val="4A850658"/>
    <w:rsid w:val="05C70E9C"/>
    <w:rsid w:val="0F6C38C4"/>
    <w:rsid w:val="106C1A1A"/>
    <w:rsid w:val="10E70644"/>
    <w:rsid w:val="123A29F6"/>
    <w:rsid w:val="1355106A"/>
    <w:rsid w:val="14221D1C"/>
    <w:rsid w:val="14E530ED"/>
    <w:rsid w:val="14E71D3B"/>
    <w:rsid w:val="15AF035A"/>
    <w:rsid w:val="16AB22BB"/>
    <w:rsid w:val="176067F3"/>
    <w:rsid w:val="18D4531C"/>
    <w:rsid w:val="1C1928B0"/>
    <w:rsid w:val="1DC461C6"/>
    <w:rsid w:val="21FF4D81"/>
    <w:rsid w:val="2632528F"/>
    <w:rsid w:val="292024ED"/>
    <w:rsid w:val="292F5291"/>
    <w:rsid w:val="2CB25C4B"/>
    <w:rsid w:val="2DE97BB1"/>
    <w:rsid w:val="2ED973C6"/>
    <w:rsid w:val="2F936C13"/>
    <w:rsid w:val="30267F1F"/>
    <w:rsid w:val="302B1673"/>
    <w:rsid w:val="30E218A0"/>
    <w:rsid w:val="326E7E26"/>
    <w:rsid w:val="351E6DAD"/>
    <w:rsid w:val="36314E8F"/>
    <w:rsid w:val="36897924"/>
    <w:rsid w:val="37122154"/>
    <w:rsid w:val="372B305C"/>
    <w:rsid w:val="37EE4658"/>
    <w:rsid w:val="3CA30C02"/>
    <w:rsid w:val="3E0B608D"/>
    <w:rsid w:val="3E9A6DB8"/>
    <w:rsid w:val="3FF102E8"/>
    <w:rsid w:val="41A970CC"/>
    <w:rsid w:val="434F15AD"/>
    <w:rsid w:val="44C164DB"/>
    <w:rsid w:val="45C955FE"/>
    <w:rsid w:val="463168E4"/>
    <w:rsid w:val="4657157D"/>
    <w:rsid w:val="49D35C45"/>
    <w:rsid w:val="49D56585"/>
    <w:rsid w:val="4A530E1D"/>
    <w:rsid w:val="4A850658"/>
    <w:rsid w:val="4BC62629"/>
    <w:rsid w:val="4CCF58F5"/>
    <w:rsid w:val="508563BB"/>
    <w:rsid w:val="53057EDB"/>
    <w:rsid w:val="53F40340"/>
    <w:rsid w:val="54FE1085"/>
    <w:rsid w:val="554D67C3"/>
    <w:rsid w:val="5B486BEB"/>
    <w:rsid w:val="5C2A6C04"/>
    <w:rsid w:val="5CE90429"/>
    <w:rsid w:val="62C31218"/>
    <w:rsid w:val="63EE50E8"/>
    <w:rsid w:val="6680729F"/>
    <w:rsid w:val="676078CF"/>
    <w:rsid w:val="67F762D4"/>
    <w:rsid w:val="6A644A46"/>
    <w:rsid w:val="6EE12CF5"/>
    <w:rsid w:val="707E6510"/>
    <w:rsid w:val="70810457"/>
    <w:rsid w:val="70BE5BF9"/>
    <w:rsid w:val="72DB3B36"/>
    <w:rsid w:val="756F6E78"/>
    <w:rsid w:val="761316F3"/>
    <w:rsid w:val="7679674E"/>
    <w:rsid w:val="77E872FF"/>
    <w:rsid w:val="799040F2"/>
    <w:rsid w:val="7A505A3A"/>
    <w:rsid w:val="7B302FF9"/>
    <w:rsid w:val="7BDB7CC1"/>
    <w:rsid w:val="7D3B7B7B"/>
    <w:rsid w:val="7E01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keepNext w:val="0"/>
      <w:keepLines w:val="0"/>
      <w:widowControl w:val="0"/>
      <w:suppressLineNumbers w:val="0"/>
      <w:spacing w:before="0" w:beforeAutospacing="0" w:after="0" w:afterAutospacing="0" w:line="360" w:lineRule="auto"/>
      <w:ind w:left="0" w:right="0" w:firstLine="480"/>
      <w:jc w:val="both"/>
    </w:pPr>
    <w:rPr>
      <w:rFonts w:ascii="Times New Roman" w:hAnsi="Times New Roman"/>
      <w:sz w:val="24"/>
    </w:rPr>
  </w:style>
  <w:style w:type="paragraph" w:styleId="3">
    <w:name w:val="envelope return"/>
    <w:basedOn w:val="1"/>
    <w:qFormat/>
    <w:uiPriority w:val="0"/>
    <w:pPr>
      <w:snapToGrid w:val="0"/>
    </w:pPr>
    <w:rPr>
      <w:rFonts w:ascii="Arial" w:hAnsi="Arial"/>
    </w:rPr>
  </w:style>
  <w:style w:type="paragraph" w:styleId="4">
    <w:name w:val="Body Text"/>
    <w:basedOn w:val="1"/>
    <w:next w:val="1"/>
    <w:qFormat/>
    <w:uiPriority w:val="1"/>
    <w:pPr>
      <w:spacing w:after="120"/>
    </w:pPr>
  </w:style>
  <w:style w:type="paragraph" w:styleId="5">
    <w:name w:val="Body Text First Indent 2"/>
    <w:basedOn w:val="2"/>
    <w:next w:val="1"/>
    <w:qFormat/>
    <w:uiPriority w:val="0"/>
    <w:pPr>
      <w:spacing w:after="120" w:line="240" w:lineRule="auto"/>
      <w:ind w:left="420" w:leftChars="200" w:firstLine="210" w:firstLineChars="200"/>
    </w:pPr>
    <w:rPr>
      <w:kern w:val="0"/>
      <w:sz w:val="28"/>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3454</Words>
  <Characters>3600</Characters>
  <Lines>0</Lines>
  <Paragraphs>0</Paragraphs>
  <TotalTime>0</TotalTime>
  <ScaleCrop>false</ScaleCrop>
  <LinksUpToDate>false</LinksUpToDate>
  <CharactersWithSpaces>3639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2022-11-11T08:40:00Z</dcterms:created>
  <dc:creator>星星. </dc:creator>
  <cp:lastModifiedBy>星星. </cp:lastModifiedBy>
  <cp:lastPrinted>2022-11-25T01:17:00Z</cp:lastPrinted>
  <dcterms:modified xsi:type="dcterms:W3CDTF">2022-12-12T08:45:59Z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7E05420FA48749BEA71A90E4C6E35AD0</vt:lpwstr>
  </property>
</Properties>
</file>