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1"/>
          <w:szCs w:val="21"/>
        </w:rPr>
      </w:pPr>
      <w:r>
        <w:rPr>
          <w:rFonts w:hint="eastAsia" w:ascii="宋体" w:hAnsi="宋体" w:eastAsia="宋体" w:cs="宋体"/>
          <w:sz w:val="21"/>
          <w:szCs w:val="21"/>
        </w:rPr>
        <w:t>附件3：评标办法</w:t>
      </w:r>
    </w:p>
    <w:p>
      <w:pPr>
        <w:rPr>
          <w:rFonts w:hint="eastAsia" w:ascii="宋体" w:hAnsi="宋体" w:eastAsia="宋体" w:cs="宋体"/>
          <w:sz w:val="21"/>
          <w:szCs w:val="21"/>
        </w:rPr>
      </w:pPr>
    </w:p>
    <w:p>
      <w:pPr>
        <w:spacing w:line="360" w:lineRule="auto"/>
        <w:jc w:val="center"/>
        <w:outlineLvl w:val="1"/>
        <w:rPr>
          <w:rFonts w:hint="eastAsia" w:ascii="宋体" w:hAnsi="宋体" w:eastAsia="宋体" w:cs="宋体"/>
          <w:sz w:val="21"/>
          <w:szCs w:val="21"/>
        </w:rPr>
      </w:pPr>
      <w:r>
        <w:rPr>
          <w:rFonts w:hint="eastAsia" w:ascii="宋体" w:hAnsi="宋体" w:eastAsia="宋体" w:cs="宋体"/>
          <w:sz w:val="28"/>
          <w:szCs w:val="28"/>
        </w:rPr>
        <w:t>评标办法（双信封的技术评分最低标价法）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评标办法前附表</w:t>
      </w:r>
    </w:p>
    <w:tbl>
      <w:tblPr>
        <w:tblStyle w:val="6"/>
        <w:tblW w:w="0" w:type="auto"/>
        <w:jc w:val="center"/>
        <w:tblLayout w:type="fixed"/>
        <w:tblCellMar>
          <w:top w:w="0" w:type="dxa"/>
          <w:left w:w="0" w:type="dxa"/>
          <w:bottom w:w="0" w:type="dxa"/>
          <w:right w:w="0" w:type="dxa"/>
        </w:tblCellMar>
      </w:tblPr>
      <w:tblGrid>
        <w:gridCol w:w="911"/>
        <w:gridCol w:w="1130"/>
        <w:gridCol w:w="6920"/>
      </w:tblGrid>
      <w:tr>
        <w:tblPrEx>
          <w:tblCellMar>
            <w:top w:w="0" w:type="dxa"/>
            <w:left w:w="0" w:type="dxa"/>
            <w:bottom w:w="0" w:type="dxa"/>
            <w:right w:w="0" w:type="dxa"/>
          </w:tblCellMar>
        </w:tblPrEx>
        <w:trPr>
          <w:trHeight w:val="553" w:hRule="atLeast"/>
          <w:jc w:val="center"/>
        </w:trPr>
        <w:tc>
          <w:tcPr>
            <w:tcW w:w="2041" w:type="dxa"/>
            <w:gridSpan w:val="2"/>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1"/>
              <w:jc w:val="center"/>
              <w:rPr>
                <w:rFonts w:ascii="宋体" w:hAnsi="宋体" w:cs="宋体"/>
                <w:b/>
                <w:szCs w:val="21"/>
              </w:rPr>
            </w:pPr>
            <w:r>
              <w:rPr>
                <w:rFonts w:ascii="宋体" w:hAnsi="宋体" w:cs="宋体"/>
                <w:b/>
                <w:szCs w:val="21"/>
              </w:rPr>
              <w:t>条款号</w:t>
            </w:r>
          </w:p>
        </w:tc>
        <w:tc>
          <w:tcPr>
            <w:tcW w:w="692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1"/>
              <w:jc w:val="center"/>
              <w:rPr>
                <w:rFonts w:ascii="宋体" w:hAnsi="宋体" w:cs="宋体"/>
                <w:b/>
                <w:szCs w:val="21"/>
              </w:rPr>
            </w:pPr>
            <w:r>
              <w:rPr>
                <w:rFonts w:ascii="宋体" w:hAnsi="宋体" w:cs="宋体"/>
                <w:b/>
                <w:szCs w:val="21"/>
              </w:rPr>
              <w:t>评审因素与标准</w:t>
            </w:r>
          </w:p>
        </w:tc>
      </w:tr>
      <w:tr>
        <w:tblPrEx>
          <w:tblCellMar>
            <w:top w:w="0" w:type="dxa"/>
            <w:left w:w="0" w:type="dxa"/>
            <w:bottom w:w="0" w:type="dxa"/>
            <w:right w:w="0" w:type="dxa"/>
          </w:tblCellMar>
        </w:tblPrEx>
        <w:trPr>
          <w:trHeight w:val="4223" w:hRule="atLeast"/>
          <w:jc w:val="center"/>
        </w:trPr>
        <w:tc>
          <w:tcPr>
            <w:tcW w:w="911"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ascii="宋体" w:hAnsi="宋体" w:cs="宋体"/>
                <w:szCs w:val="21"/>
              </w:rPr>
            </w:pPr>
            <w:r>
              <w:rPr>
                <w:rFonts w:ascii="宋体" w:hAnsi="Calibri"/>
                <w:szCs w:val="21"/>
              </w:rPr>
              <w:t>1</w:t>
            </w:r>
          </w:p>
        </w:tc>
        <w:tc>
          <w:tcPr>
            <w:tcW w:w="113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ascii="宋体" w:hAnsi="宋体" w:cs="宋体"/>
                <w:szCs w:val="21"/>
              </w:rPr>
            </w:pPr>
            <w:r>
              <w:rPr>
                <w:rFonts w:ascii="宋体" w:hAnsi="宋体" w:cs="宋体"/>
                <w:szCs w:val="21"/>
              </w:rPr>
              <w:t>评标方法</w:t>
            </w:r>
          </w:p>
        </w:tc>
        <w:tc>
          <w:tcPr>
            <w:tcW w:w="692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评标价相等时，评标委员会依次按照以下优先顺序推荐中标候选人或确定中标人</w:t>
            </w:r>
            <w:r>
              <w:rPr>
                <w:rFonts w:ascii="宋体" w:hAnsi="宋体" w:cs="宋体"/>
                <w:szCs w:val="21"/>
              </w:rPr>
              <w:t>：</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（1）</w:t>
            </w:r>
            <w:r>
              <w:rPr>
                <w:rFonts w:ascii="宋体" w:hAnsi="宋体" w:cs="宋体"/>
                <w:szCs w:val="21"/>
              </w:rPr>
              <w:t>按招标文件规定同时具有广东省或江门市信用评价等级的情况下，以江门市信用等级为准</w:t>
            </w:r>
            <w:r>
              <w:rPr>
                <w:rFonts w:hint="eastAsia" w:ascii="宋体" w:hAnsi="宋体" w:cs="宋体"/>
                <w:szCs w:val="21"/>
              </w:rPr>
              <w:t>（信用等级的确定原则遵循投标人须知前附表10.2款的规定），</w:t>
            </w:r>
            <w:r>
              <w:rPr>
                <w:rFonts w:ascii="宋体" w:hAnsi="宋体" w:cs="宋体"/>
                <w:szCs w:val="21"/>
              </w:rPr>
              <w:t>被认定为最新年度公路工程从业单位信用评价等级较高的投标人优先；</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【采用如下的优先顺序：承诺使用的AA级投标人、不承诺使用的AA级投标人、承诺使用的A级投标人、不承诺使用的A级投标人、B级投标人、未参评且被确定为B级投标人】</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（2）</w:t>
            </w:r>
            <w:r>
              <w:rPr>
                <w:rFonts w:ascii="宋体" w:hAnsi="宋体" w:cs="宋体"/>
                <w:szCs w:val="21"/>
              </w:rPr>
              <w:t>以投标人企业最新年度净资产较高的优先；</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（3）</w:t>
            </w:r>
            <w:r>
              <w:rPr>
                <w:rFonts w:ascii="宋体" w:hAnsi="宋体" w:cs="宋体"/>
                <w:szCs w:val="21"/>
              </w:rPr>
              <w:t>评标委员会视投标人情况综合比较，投票确定其名次。</w:t>
            </w:r>
          </w:p>
        </w:tc>
      </w:tr>
      <w:tr>
        <w:tblPrEx>
          <w:tblCellMar>
            <w:top w:w="0" w:type="dxa"/>
            <w:left w:w="0" w:type="dxa"/>
            <w:bottom w:w="0" w:type="dxa"/>
            <w:right w:w="0" w:type="dxa"/>
          </w:tblCellMar>
        </w:tblPrEx>
        <w:trPr>
          <w:trHeight w:val="2826" w:hRule="atLeast"/>
          <w:jc w:val="center"/>
        </w:trPr>
        <w:tc>
          <w:tcPr>
            <w:tcW w:w="911"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ascii="宋体" w:hAnsi="Calibri"/>
                <w:szCs w:val="21"/>
              </w:rPr>
            </w:pPr>
            <w:r>
              <w:rPr>
                <w:rFonts w:ascii="宋体" w:hAnsi="Calibri"/>
                <w:szCs w:val="21"/>
              </w:rPr>
              <w:t>2.1.1</w:t>
            </w:r>
          </w:p>
          <w:p>
            <w:pPr>
              <w:pStyle w:val="8"/>
              <w:spacing w:line="360" w:lineRule="exact"/>
              <w:ind w:left="42" w:leftChars="20" w:right="42" w:rightChars="20"/>
              <w:jc w:val="center"/>
              <w:rPr>
                <w:rFonts w:ascii="宋体" w:hAnsi="宋体" w:cs="宋体"/>
                <w:szCs w:val="21"/>
              </w:rPr>
            </w:pPr>
            <w:r>
              <w:rPr>
                <w:rFonts w:ascii="宋体" w:hAnsi="Calibri"/>
                <w:szCs w:val="21"/>
              </w:rPr>
              <w:t>2.1.3</w:t>
            </w:r>
          </w:p>
        </w:tc>
        <w:tc>
          <w:tcPr>
            <w:tcW w:w="113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ascii="宋体" w:hAnsi="宋体" w:cs="宋体"/>
                <w:szCs w:val="21"/>
              </w:rPr>
            </w:pPr>
            <w:r>
              <w:rPr>
                <w:rFonts w:ascii="宋体" w:hAnsi="宋体" w:cs="宋体"/>
                <w:szCs w:val="21"/>
              </w:rPr>
              <w:t>形式评审与响应性评审标准</w:t>
            </w:r>
          </w:p>
        </w:tc>
        <w:tc>
          <w:tcPr>
            <w:tcW w:w="692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rPr>
                <w:rFonts w:ascii="宋体" w:hAnsi="宋体" w:cs="宋体"/>
                <w:szCs w:val="21"/>
              </w:rPr>
            </w:pPr>
            <w:r>
              <w:rPr>
                <w:rFonts w:ascii="宋体" w:hAnsi="宋体" w:cs="宋体"/>
                <w:b/>
                <w:bCs/>
                <w:szCs w:val="21"/>
              </w:rPr>
              <w:t>第一个信封（商务及技术文件）评审标准</w:t>
            </w:r>
            <w:r>
              <w:rPr>
                <w:rFonts w:ascii="宋体" w:hAnsi="宋体" w:cs="宋体"/>
                <w:szCs w:val="21"/>
              </w:rPr>
              <w:t>：</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（1）</w:t>
            </w:r>
            <w:r>
              <w:rPr>
                <w:rFonts w:ascii="宋体" w:hAnsi="宋体" w:cs="宋体"/>
                <w:szCs w:val="21"/>
              </w:rPr>
              <w:t>投标文件按照招标文件规定的格式、内容填写，字迹清晰可辨：</w:t>
            </w:r>
          </w:p>
          <w:p>
            <w:pPr>
              <w:pStyle w:val="8"/>
              <w:tabs>
                <w:tab w:val="left" w:pos="805"/>
              </w:tabs>
              <w:spacing w:line="360" w:lineRule="exact"/>
              <w:ind w:left="42" w:leftChars="20" w:right="42" w:rightChars="20" w:firstLine="420" w:firstLineChars="200"/>
              <w:rPr>
                <w:rFonts w:ascii="宋体" w:hAnsi="宋体" w:cs="宋体"/>
                <w:szCs w:val="21"/>
              </w:rPr>
            </w:pPr>
            <w:r>
              <w:rPr>
                <w:rFonts w:ascii="宋体" w:hAnsi="宋体" w:cs="宋体"/>
                <w:szCs w:val="21"/>
              </w:rPr>
              <w:t>a.投标函按招标文件规定填报了项目名称、补遗书编号（如有)、工期、工程质量要求及安全目标；</w:t>
            </w:r>
          </w:p>
          <w:p>
            <w:pPr>
              <w:pStyle w:val="8"/>
              <w:tabs>
                <w:tab w:val="left" w:pos="805"/>
              </w:tabs>
              <w:spacing w:line="360" w:lineRule="exact"/>
              <w:ind w:left="42" w:leftChars="20" w:right="42" w:rightChars="20" w:firstLine="420" w:firstLineChars="200"/>
              <w:rPr>
                <w:rFonts w:ascii="宋体" w:hAnsi="宋体" w:cs="宋体"/>
                <w:szCs w:val="21"/>
              </w:rPr>
            </w:pPr>
            <w:r>
              <w:rPr>
                <w:rFonts w:ascii="宋体" w:hAnsi="宋体" w:cs="宋体"/>
                <w:szCs w:val="21"/>
              </w:rPr>
              <w:t>b.投标函附录的所有数据均符合招标文件规定；</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c.投标文件组成齐全完整，内容均按规定填写。</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（2）</w:t>
            </w:r>
            <w:r>
              <w:rPr>
                <w:rFonts w:ascii="宋体" w:hAnsi="宋体" w:cs="宋体"/>
                <w:szCs w:val="21"/>
              </w:rPr>
              <w:t>投标文件上法定代表人或其委托代理人的签字、投标人的单位章盖章齐全，符合招标文件规定。</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ascii="宋体" w:hAnsi="宋体" w:cs="宋体"/>
                <w:szCs w:val="21"/>
              </w:rPr>
              <w:t>投标人按照招标文件的规定提供了投标保证金：</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a.投标保证金金额符合招标文件规定的金额，且投标保证金有效期不少于投标有效期；</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b.若投标保证金采用</w:t>
            </w:r>
            <w:r>
              <w:rPr>
                <w:rFonts w:hint="eastAsia" w:ascii="宋体" w:hAnsi="宋体" w:cs="宋体"/>
                <w:szCs w:val="21"/>
              </w:rPr>
              <w:t>电汇</w:t>
            </w:r>
            <w:r>
              <w:rPr>
                <w:rFonts w:ascii="宋体" w:hAnsi="宋体" w:cs="宋体"/>
                <w:szCs w:val="21"/>
              </w:rPr>
              <w:t>形式提交，投标人应在投标人须知3.4.1项规定的时间，将投标保证金由投标人的基本账户转入招标人指定账户；</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c.若投标保证金采用银行保函形式提交，银行保函的格式、开具保函的银行均满足招标文件要求，银行保函原件在递交投标文件时单独密封递交，其复印件装订在投标文件中。</w:t>
            </w:r>
          </w:p>
          <w:p>
            <w:pPr>
              <w:pStyle w:val="8"/>
              <w:spacing w:line="360" w:lineRule="exact"/>
              <w:ind w:left="42" w:leftChars="20" w:right="42" w:rightChars="20" w:firstLine="420" w:firstLineChars="200"/>
              <w:rPr>
                <w:rFonts w:hint="eastAsia" w:ascii="宋体" w:hAnsi="宋体" w:cs="宋体"/>
                <w:szCs w:val="21"/>
              </w:rPr>
            </w:pPr>
            <w:r>
              <w:rPr>
                <w:rFonts w:hint="eastAsia" w:ascii="宋体" w:hAnsi="宋体" w:cs="宋体"/>
                <w:szCs w:val="21"/>
              </w:rPr>
              <w:t>d</w:t>
            </w:r>
            <w:r>
              <w:rPr>
                <w:rFonts w:hint="eastAsia"/>
                <w:szCs w:val="21"/>
              </w:rPr>
              <w:t>.若投标保证金采用保证保险形式提交，保证保险须满足招标文件要求，保证保险原件</w:t>
            </w:r>
            <w:r>
              <w:rPr>
                <w:szCs w:val="21"/>
              </w:rPr>
              <w:t>在递交投标文件时单独密封递交，其复印件装订在投标文件中</w:t>
            </w:r>
            <w:r>
              <w:rPr>
                <w:rFonts w:hint="eastAsia"/>
                <w:szCs w:val="21"/>
              </w:rPr>
              <w:t>。</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w:t>
            </w:r>
            <w:r>
              <w:rPr>
                <w:rFonts w:ascii="宋体" w:hAnsi="宋体" w:cs="宋体"/>
                <w:szCs w:val="21"/>
              </w:rPr>
              <w:t>投标人法定代表人授权委托代理人签署投标文件的，需提交授权委托书，且授权人和被授权人均在授权委托书上签名，未使用印章、签名章或其他电子制版签名代替。</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w:t>
            </w:r>
            <w:r>
              <w:rPr>
                <w:rFonts w:ascii="宋体" w:hAnsi="宋体" w:cs="宋体"/>
                <w:szCs w:val="21"/>
              </w:rPr>
              <w:t>投标人法定代表人亲自签署投标文件的，提供了法定代表人身份证明，且法定代表人在法定代表人身份证明上签名，未使用印章、签名章或其他电子制版签名代替。</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（6）</w:t>
            </w:r>
            <w:r>
              <w:rPr>
                <w:rFonts w:ascii="宋体" w:hAnsi="宋体" w:cs="宋体"/>
                <w:szCs w:val="21"/>
              </w:rPr>
              <w:t>同一投标人未提交两个以上不同的投标文件，但招标文件要求提交备选投标的除外。</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（7）</w:t>
            </w:r>
            <w:r>
              <w:rPr>
                <w:rFonts w:ascii="宋体" w:hAnsi="宋体" w:cs="宋体"/>
                <w:szCs w:val="21"/>
              </w:rPr>
              <w:t>投标文件中未出现有关投标报价的内容。</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（8）</w:t>
            </w:r>
            <w:r>
              <w:rPr>
                <w:rFonts w:ascii="宋体" w:hAnsi="宋体" w:cs="宋体"/>
                <w:szCs w:val="21"/>
              </w:rPr>
              <w:t>投标文件载明的招标项目完成期限未超过招标文件规定的时限。</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w:t>
            </w:r>
            <w:r>
              <w:rPr>
                <w:rFonts w:hint="eastAsia" w:ascii="宋体" w:hAnsi="宋体" w:cs="宋体"/>
                <w:szCs w:val="21"/>
              </w:rPr>
              <w:t>9</w:t>
            </w:r>
            <w:r>
              <w:rPr>
                <w:rFonts w:ascii="宋体" w:hAnsi="宋体" w:cs="宋体"/>
                <w:szCs w:val="21"/>
              </w:rPr>
              <w:t>）投标文件对招标文件的实质性要求和条件作出响应。</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（1</w:t>
            </w:r>
            <w:r>
              <w:rPr>
                <w:rFonts w:hint="eastAsia" w:ascii="宋体" w:hAnsi="宋体" w:cs="宋体"/>
                <w:szCs w:val="21"/>
              </w:rPr>
              <w:t>0</w:t>
            </w:r>
            <w:r>
              <w:rPr>
                <w:rFonts w:ascii="宋体" w:hAnsi="宋体" w:cs="宋体"/>
                <w:szCs w:val="21"/>
              </w:rPr>
              <w:t>）权利义务符合招标文件规定：</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a.投标人应接受招标文件规定的风险划分原则，未提出新的风险划分办法；</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b.投标人未增加发包人的责任范围，或减少投标人义务；</w:t>
            </w:r>
          </w:p>
          <w:p>
            <w:pPr>
              <w:pStyle w:val="8"/>
              <w:spacing w:line="360" w:lineRule="exact"/>
              <w:ind w:right="42" w:rightChars="20" w:firstLine="420" w:firstLineChars="200"/>
              <w:rPr>
                <w:rFonts w:ascii="宋体" w:hAnsi="宋体" w:cs="宋体"/>
                <w:szCs w:val="21"/>
              </w:rPr>
            </w:pPr>
            <w:r>
              <w:rPr>
                <w:rFonts w:ascii="宋体" w:hAnsi="宋体" w:cs="宋体"/>
                <w:szCs w:val="21"/>
              </w:rPr>
              <w:t>c.投标人未提出不同的工程验收、计量、支付办法；</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d.投标人对合同纠纷、事故处理办法未提出异议；</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e.投标人在投标活动中无欺诈行为；</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f.投标人未对合同条款有重要保留。</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（11）</w:t>
            </w:r>
            <w:r>
              <w:rPr>
                <w:rFonts w:ascii="宋体" w:hAnsi="宋体" w:cs="宋体"/>
                <w:szCs w:val="21"/>
              </w:rPr>
              <w:t>投标文件正、副本份数符合招标文件第二章“投标人须知第3.7.4项规定。</w:t>
            </w:r>
          </w:p>
          <w:p>
            <w:pPr>
              <w:pStyle w:val="8"/>
              <w:spacing w:line="360" w:lineRule="exact"/>
              <w:ind w:left="42" w:leftChars="20" w:right="42" w:rightChars="20" w:firstLine="420" w:firstLineChars="200"/>
              <w:rPr>
                <w:rFonts w:hint="eastAsia" w:ascii="宋体" w:hAnsi="宋体" w:cs="宋体"/>
                <w:szCs w:val="21"/>
              </w:rPr>
            </w:pPr>
            <w:r>
              <w:rPr>
                <w:rFonts w:hint="eastAsia" w:ascii="宋体" w:hAnsi="宋体" w:cs="宋体"/>
                <w:szCs w:val="21"/>
              </w:rPr>
              <w:t>（12）</w:t>
            </w:r>
            <w:r>
              <w:rPr>
                <w:rFonts w:ascii="宋体" w:hAnsi="宋体" w:cs="宋体"/>
                <w:szCs w:val="21"/>
              </w:rPr>
              <w:t>投标文件未附有招标人不能接受的条件。</w:t>
            </w:r>
          </w:p>
          <w:p>
            <w:pPr>
              <w:pStyle w:val="8"/>
              <w:spacing w:line="360" w:lineRule="exact"/>
              <w:ind w:left="42" w:leftChars="20" w:right="42" w:rightChars="20"/>
              <w:rPr>
                <w:rFonts w:ascii="宋体" w:hAnsi="宋体" w:cs="宋体"/>
                <w:szCs w:val="21"/>
              </w:rPr>
            </w:pPr>
            <w:r>
              <w:rPr>
                <w:rFonts w:ascii="宋体" w:hAnsi="宋体" w:cs="宋体"/>
                <w:b/>
                <w:bCs/>
                <w:szCs w:val="21"/>
              </w:rPr>
              <w:t>第二个信封（报价文件）评审标准：</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（1）</w:t>
            </w:r>
            <w:r>
              <w:rPr>
                <w:rFonts w:ascii="宋体" w:hAnsi="宋体" w:cs="宋体"/>
                <w:szCs w:val="21"/>
              </w:rPr>
              <w:t>投标文件按照招标文件规定的格式、内容填写，字迹清晰可辨：</w:t>
            </w:r>
          </w:p>
          <w:p>
            <w:pPr>
              <w:pStyle w:val="8"/>
              <w:spacing w:line="360" w:lineRule="exact"/>
              <w:ind w:left="42" w:leftChars="20" w:right="42" w:rightChars="20" w:firstLine="420" w:firstLineChars="200"/>
              <w:rPr>
                <w:rFonts w:ascii="宋体" w:hAnsi="宋体" w:cs="宋体"/>
                <w:szCs w:val="21"/>
              </w:rPr>
            </w:pPr>
            <w:r>
              <w:rPr>
                <w:rFonts w:ascii="宋体" w:hAnsi="宋体" w:cs="MingLiU"/>
                <w:szCs w:val="21"/>
              </w:rPr>
              <w:t>a.</w:t>
            </w:r>
            <w:r>
              <w:rPr>
                <w:rFonts w:ascii="宋体" w:hAnsi="宋体" w:cs="宋体"/>
                <w:szCs w:val="21"/>
              </w:rPr>
              <w:t>投标函按招标文件规定填报了项目名称、补遗书编号（如有)、投标总报价（包括大写金额和小写金额)；</w:t>
            </w:r>
          </w:p>
          <w:p>
            <w:pPr>
              <w:pStyle w:val="8"/>
              <w:spacing w:line="360" w:lineRule="exact"/>
              <w:ind w:left="42" w:leftChars="20" w:right="42" w:rightChars="20" w:firstLine="420" w:firstLineChars="200"/>
              <w:rPr>
                <w:rFonts w:ascii="宋体" w:hAnsi="宋体" w:cs="宋体"/>
                <w:szCs w:val="21"/>
              </w:rPr>
            </w:pPr>
            <w:r>
              <w:rPr>
                <w:rFonts w:ascii="宋体" w:hAnsi="宋体" w:cs="MingLiU"/>
                <w:szCs w:val="21"/>
              </w:rPr>
              <w:t>b.</w:t>
            </w:r>
            <w:r>
              <w:rPr>
                <w:rFonts w:ascii="宋体" w:hAnsi="宋体" w:cs="宋体"/>
                <w:szCs w:val="21"/>
              </w:rPr>
              <w:t>已标价工程量清单说明文字与招标文件规定一致，未进行实质性修改和删减；</w:t>
            </w:r>
          </w:p>
          <w:p>
            <w:pPr>
              <w:pStyle w:val="8"/>
              <w:spacing w:line="360" w:lineRule="exact"/>
              <w:ind w:left="42" w:leftChars="20" w:right="42" w:rightChars="20" w:firstLine="420" w:firstLineChars="200"/>
              <w:rPr>
                <w:rFonts w:ascii="宋体" w:hAnsi="宋体" w:cs="宋体"/>
                <w:szCs w:val="21"/>
              </w:rPr>
            </w:pPr>
            <w:r>
              <w:rPr>
                <w:rFonts w:ascii="宋体" w:hAnsi="宋体" w:cs="MingLiU"/>
                <w:szCs w:val="21"/>
              </w:rPr>
              <w:t>c.</w:t>
            </w:r>
            <w:r>
              <w:rPr>
                <w:rFonts w:ascii="宋体" w:hAnsi="宋体" w:cs="宋体"/>
                <w:szCs w:val="21"/>
              </w:rPr>
              <w:t>投标文件组成齐全完整，内容均按规定填写。</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（2）</w:t>
            </w:r>
            <w:r>
              <w:rPr>
                <w:rFonts w:ascii="宋体" w:hAnsi="宋体" w:cs="宋体"/>
                <w:szCs w:val="21"/>
              </w:rPr>
              <w:t>投标文件上法定代表人或其委托代理人的签字、投标人的单位章盖章齐全，符合招标文件规定。</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（3）</w:t>
            </w:r>
            <w:r>
              <w:rPr>
                <w:rFonts w:ascii="宋体" w:hAnsi="宋体" w:cs="宋体"/>
                <w:szCs w:val="21"/>
              </w:rPr>
              <w:t>投标报价中的报价未超过招标文件设定的最高投标限价（如有）。</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（4）</w:t>
            </w:r>
            <w:r>
              <w:rPr>
                <w:rFonts w:ascii="宋体" w:hAnsi="宋体" w:cs="宋体"/>
                <w:szCs w:val="21"/>
              </w:rPr>
              <w:t>投标报价中报价的大写金额能够确定具体数值。</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（5）</w:t>
            </w:r>
            <w:r>
              <w:rPr>
                <w:rFonts w:ascii="宋体" w:hAnsi="宋体" w:cs="宋体"/>
                <w:szCs w:val="21"/>
              </w:rPr>
              <w:t>同一投标人未提交两个以上不同的投标报价，但招标文件要求提交备选投标的除外。</w:t>
            </w:r>
          </w:p>
          <w:p>
            <w:pPr>
              <w:pStyle w:val="8"/>
              <w:spacing w:line="360" w:lineRule="exact"/>
              <w:ind w:left="42" w:leftChars="20" w:right="42" w:rightChars="20" w:firstLine="420" w:firstLineChars="200"/>
              <w:rPr>
                <w:rFonts w:hint="eastAsia" w:ascii="宋体" w:hAnsi="宋体" w:cs="宋体"/>
                <w:szCs w:val="21"/>
              </w:rPr>
            </w:pPr>
            <w:r>
              <w:rPr>
                <w:rFonts w:hint="eastAsia" w:ascii="宋体" w:hAnsi="宋体" w:cs="宋体"/>
                <w:szCs w:val="21"/>
              </w:rPr>
              <w:t>（6）</w:t>
            </w:r>
            <w:r>
              <w:rPr>
                <w:rFonts w:ascii="宋体" w:hAnsi="宋体" w:cs="宋体"/>
                <w:szCs w:val="21"/>
              </w:rPr>
              <w:t>投标文件正、副本份数符合招标文件第二章“投标人须知”第3.7.4项规定。</w:t>
            </w:r>
          </w:p>
        </w:tc>
      </w:tr>
      <w:tr>
        <w:tblPrEx>
          <w:tblCellMar>
            <w:top w:w="0" w:type="dxa"/>
            <w:left w:w="0" w:type="dxa"/>
            <w:bottom w:w="0" w:type="dxa"/>
            <w:right w:w="0" w:type="dxa"/>
          </w:tblCellMar>
        </w:tblPrEx>
        <w:trPr>
          <w:trHeight w:val="2114" w:hRule="atLeast"/>
          <w:jc w:val="center"/>
        </w:trPr>
        <w:tc>
          <w:tcPr>
            <w:tcW w:w="911"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ascii="宋体" w:hAnsi="Calibri"/>
                <w:szCs w:val="21"/>
              </w:rPr>
            </w:pPr>
            <w:r>
              <w:rPr>
                <w:rFonts w:hint="eastAsia" w:ascii="宋体" w:hAnsi="Calibri"/>
                <w:szCs w:val="21"/>
              </w:rPr>
              <w:t>2.1.2</w:t>
            </w:r>
          </w:p>
        </w:tc>
        <w:tc>
          <w:tcPr>
            <w:tcW w:w="113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ascii="宋体" w:hAnsi="宋体" w:cs="宋体"/>
                <w:szCs w:val="21"/>
              </w:rPr>
            </w:pPr>
            <w:r>
              <w:rPr>
                <w:rFonts w:hint="eastAsia" w:ascii="宋体" w:hAnsi="宋体" w:cs="宋体"/>
                <w:szCs w:val="21"/>
              </w:rPr>
              <w:t>资格评审标准</w:t>
            </w:r>
          </w:p>
        </w:tc>
        <w:tc>
          <w:tcPr>
            <w:tcW w:w="692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（1）</w:t>
            </w:r>
            <w:r>
              <w:rPr>
                <w:rFonts w:ascii="宋体" w:hAnsi="宋体" w:cs="宋体"/>
                <w:szCs w:val="21"/>
              </w:rPr>
              <w:t>投标人具备有效的营业执照、组织机构代码证（如有）、资质证书、安全生产许可证和基本账户开户许可证</w:t>
            </w:r>
            <w:r>
              <w:rPr>
                <w:rFonts w:hint="eastAsia" w:ascii="宋体" w:hAnsi="宋体" w:cs="宋体"/>
                <w:szCs w:val="21"/>
              </w:rPr>
              <w:t>（或“基本存款账户信息”（开户银行盖章确认））</w:t>
            </w:r>
            <w:r>
              <w:rPr>
                <w:rFonts w:ascii="宋体" w:hAnsi="宋体" w:cs="宋体"/>
                <w:szCs w:val="21"/>
              </w:rPr>
              <w:t>；</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（2）</w:t>
            </w:r>
            <w:r>
              <w:rPr>
                <w:rFonts w:ascii="宋体" w:hAnsi="宋体" w:cs="宋体"/>
                <w:szCs w:val="21"/>
              </w:rPr>
              <w:t>投标人的资质等级符合招标文件规定；</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（3）</w:t>
            </w:r>
            <w:r>
              <w:rPr>
                <w:rFonts w:ascii="宋体" w:hAnsi="宋体" w:cs="宋体"/>
                <w:szCs w:val="21"/>
              </w:rPr>
              <w:t>投标人的财务状况符合招标文件规定；</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（4）</w:t>
            </w:r>
            <w:r>
              <w:rPr>
                <w:rFonts w:ascii="宋体" w:hAnsi="宋体" w:cs="宋体"/>
                <w:szCs w:val="21"/>
              </w:rPr>
              <w:t>投标人的类似项目业绩符合招标文件规定；</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（5）</w:t>
            </w:r>
            <w:r>
              <w:rPr>
                <w:rFonts w:ascii="宋体" w:hAnsi="宋体" w:cs="宋体"/>
                <w:szCs w:val="21"/>
              </w:rPr>
              <w:t>投标人的信誉符合招标文件规定；</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w:t>
            </w:r>
            <w:r>
              <w:rPr>
                <w:rFonts w:ascii="宋体" w:hAnsi="宋体" w:cs="宋体"/>
                <w:szCs w:val="21"/>
              </w:rPr>
              <w:t>投标人的项目经理和项目总工资格（均含备选，如有）、在岗情况符合招标文件规定；</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（7）</w:t>
            </w:r>
            <w:r>
              <w:rPr>
                <w:rFonts w:ascii="宋体" w:hAnsi="宋体" w:cs="宋体"/>
                <w:szCs w:val="21"/>
              </w:rPr>
              <w:t>投标人的其他要求符合招标文件规定</w:t>
            </w:r>
            <w:r>
              <w:rPr>
                <w:rFonts w:hint="eastAsia" w:ascii="宋体" w:hAnsi="宋体" w:cs="宋体"/>
                <w:szCs w:val="21"/>
              </w:rPr>
              <w:t>；</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（8）</w:t>
            </w:r>
            <w:r>
              <w:rPr>
                <w:rFonts w:ascii="宋体" w:hAnsi="宋体" w:cs="宋体"/>
                <w:szCs w:val="21"/>
              </w:rPr>
              <w:t>投标人不存在第二章“投标人须知”第1.4.3项或第1.4.4项规定的任何一种情形；</w:t>
            </w:r>
          </w:p>
          <w:p>
            <w:pPr>
              <w:pStyle w:val="8"/>
              <w:spacing w:line="360" w:lineRule="exact"/>
              <w:ind w:left="42" w:leftChars="20" w:right="42" w:rightChars="20" w:firstLine="420" w:firstLineChars="200"/>
              <w:rPr>
                <w:rFonts w:hint="eastAsia" w:ascii="宋体" w:hAnsi="宋体" w:cs="宋体"/>
                <w:szCs w:val="21"/>
              </w:rPr>
            </w:pPr>
            <w:r>
              <w:rPr>
                <w:rFonts w:hint="eastAsia" w:ascii="宋体" w:hAnsi="宋体" w:cs="宋体"/>
                <w:szCs w:val="21"/>
              </w:rPr>
              <w:t>（9）</w:t>
            </w:r>
            <w:r>
              <w:rPr>
                <w:rFonts w:ascii="宋体" w:hAnsi="宋体" w:cs="宋体"/>
                <w:szCs w:val="21"/>
              </w:rPr>
              <w:t>投标人符合第二章“投标人须知”第1.4.5项规定</w:t>
            </w:r>
            <w:r>
              <w:rPr>
                <w:rFonts w:hint="eastAsia" w:ascii="宋体" w:hAnsi="宋体" w:cs="宋体"/>
                <w:position w:val="-2"/>
                <w:szCs w:val="21"/>
              </w:rPr>
              <w:t>。</w:t>
            </w:r>
          </w:p>
        </w:tc>
      </w:tr>
      <w:tr>
        <w:tblPrEx>
          <w:tblCellMar>
            <w:top w:w="0" w:type="dxa"/>
            <w:left w:w="0" w:type="dxa"/>
            <w:bottom w:w="0" w:type="dxa"/>
            <w:right w:w="0" w:type="dxa"/>
          </w:tblCellMar>
        </w:tblPrEx>
        <w:trPr>
          <w:trHeight w:val="2115" w:hRule="atLeast"/>
          <w:jc w:val="center"/>
        </w:trPr>
        <w:tc>
          <w:tcPr>
            <w:tcW w:w="911"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hint="eastAsia" w:ascii="宋体" w:hAnsi="Calibri"/>
                <w:szCs w:val="21"/>
              </w:rPr>
            </w:pPr>
            <w:r>
              <w:rPr>
                <w:rFonts w:ascii="宋体" w:hAnsi="宋体"/>
                <w:szCs w:val="21"/>
              </w:rPr>
              <w:t>2.2.1</w:t>
            </w:r>
          </w:p>
        </w:tc>
        <w:tc>
          <w:tcPr>
            <w:tcW w:w="113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hint="eastAsia" w:ascii="宋体" w:hAnsi="宋体" w:cs="宋体"/>
                <w:szCs w:val="21"/>
              </w:rPr>
            </w:pPr>
            <w:r>
              <w:rPr>
                <w:rFonts w:hint="eastAsia" w:ascii="宋体" w:hAnsi="宋体" w:cs="宋体"/>
                <w:szCs w:val="21"/>
              </w:rPr>
              <w:t>第一个信封评分分值构成</w:t>
            </w:r>
            <w:r>
              <w:rPr>
                <w:rFonts w:ascii="宋体" w:hAnsi="宋体" w:cs="宋体"/>
                <w:szCs w:val="21"/>
              </w:rPr>
              <w:t>(总分100分)</w:t>
            </w:r>
          </w:p>
        </w:tc>
        <w:tc>
          <w:tcPr>
            <w:tcW w:w="6920" w:type="dxa"/>
            <w:tcBorders>
              <w:top w:val="single" w:color="010101" w:sz="4" w:space="0"/>
              <w:left w:val="single" w:color="010101" w:sz="4" w:space="0"/>
              <w:bottom w:val="single" w:color="010101" w:sz="4" w:space="0"/>
              <w:right w:val="single" w:color="010101" w:sz="4" w:space="0"/>
            </w:tcBorders>
            <w:noWrap w:val="0"/>
            <w:vAlign w:val="center"/>
          </w:tcPr>
          <w:p>
            <w:pPr>
              <w:pStyle w:val="8"/>
              <w:adjustRightInd w:val="0"/>
              <w:snapToGrid w:val="0"/>
              <w:spacing w:line="360" w:lineRule="exact"/>
              <w:ind w:left="42" w:leftChars="20" w:right="42" w:rightChars="20"/>
              <w:rPr>
                <w:rFonts w:hint="eastAsia" w:ascii="宋体" w:hAnsi="宋体" w:cs="宋体"/>
                <w:szCs w:val="21"/>
              </w:rPr>
            </w:pPr>
            <w:r>
              <w:rPr>
                <w:rFonts w:hint="eastAsia" w:ascii="宋体" w:hAnsi="宋体" w:cs="宋体"/>
                <w:szCs w:val="21"/>
              </w:rPr>
              <w:t>施工组织设计（A）：</w:t>
            </w:r>
            <w:r>
              <w:rPr>
                <w:rFonts w:hint="eastAsia" w:ascii="宋体" w:hAnsi="宋体" w:cs="宋体"/>
                <w:szCs w:val="21"/>
                <w:u w:val="single"/>
              </w:rPr>
              <w:t xml:space="preserve"> 35 </w:t>
            </w:r>
            <w:r>
              <w:rPr>
                <w:rFonts w:hint="eastAsia" w:ascii="宋体" w:hAnsi="宋体" w:cs="宋体"/>
                <w:szCs w:val="21"/>
              </w:rPr>
              <w:t xml:space="preserve">分 </w:t>
            </w:r>
          </w:p>
          <w:p>
            <w:pPr>
              <w:pStyle w:val="8"/>
              <w:adjustRightInd w:val="0"/>
              <w:snapToGrid w:val="0"/>
              <w:spacing w:line="360" w:lineRule="exact"/>
              <w:ind w:left="42" w:leftChars="20" w:right="42" w:rightChars="20"/>
              <w:rPr>
                <w:rFonts w:hint="eastAsia" w:ascii="宋体" w:hAnsi="宋体" w:cs="宋体"/>
                <w:szCs w:val="21"/>
              </w:rPr>
            </w:pPr>
            <w:r>
              <w:rPr>
                <w:rFonts w:hint="eastAsia" w:ascii="宋体" w:hAnsi="宋体" w:cs="宋体"/>
                <w:szCs w:val="21"/>
              </w:rPr>
              <w:t>主要人员(B)：</w:t>
            </w:r>
            <w:r>
              <w:rPr>
                <w:rFonts w:ascii="宋体" w:hAnsi="宋体" w:cs="宋体"/>
                <w:szCs w:val="21"/>
                <w:u w:val="single"/>
              </w:rPr>
              <w:t xml:space="preserve"> </w:t>
            </w:r>
            <w:r>
              <w:rPr>
                <w:rFonts w:hint="eastAsia" w:ascii="宋体" w:hAnsi="宋体" w:cs="宋体"/>
                <w:szCs w:val="21"/>
                <w:u w:val="single"/>
              </w:rPr>
              <w:t>35</w:t>
            </w:r>
            <w:r>
              <w:rPr>
                <w:rFonts w:ascii="宋体" w:hAnsi="宋体" w:cs="宋体"/>
                <w:szCs w:val="21"/>
                <w:u w:val="single"/>
              </w:rPr>
              <w:t xml:space="preserve"> </w:t>
            </w:r>
            <w:r>
              <w:rPr>
                <w:rFonts w:hint="eastAsia" w:ascii="宋体" w:hAnsi="宋体" w:cs="宋体"/>
                <w:szCs w:val="21"/>
              </w:rPr>
              <w:t xml:space="preserve">分 </w:t>
            </w:r>
          </w:p>
          <w:p>
            <w:pPr>
              <w:pStyle w:val="8"/>
              <w:adjustRightInd w:val="0"/>
              <w:snapToGrid w:val="0"/>
              <w:spacing w:line="360" w:lineRule="exact"/>
              <w:ind w:left="42" w:leftChars="20" w:right="42" w:rightChars="20"/>
              <w:rPr>
                <w:rFonts w:hint="eastAsia" w:ascii="宋体" w:hAnsi="宋体" w:cs="宋体"/>
                <w:szCs w:val="21"/>
              </w:rPr>
            </w:pPr>
            <w:r>
              <w:rPr>
                <w:rFonts w:hint="eastAsia" w:ascii="宋体" w:hAnsi="宋体" w:cs="宋体"/>
                <w:szCs w:val="21"/>
              </w:rPr>
              <w:t>其他因素 (C)</w:t>
            </w:r>
          </w:p>
          <w:p>
            <w:pPr>
              <w:pStyle w:val="8"/>
              <w:adjustRightInd w:val="0"/>
              <w:snapToGrid w:val="0"/>
              <w:spacing w:line="360" w:lineRule="exact"/>
              <w:ind w:left="42" w:leftChars="20" w:right="42" w:rightChars="20"/>
              <w:rPr>
                <w:rFonts w:hint="eastAsia" w:ascii="宋体" w:hAnsi="宋体" w:cs="宋体"/>
                <w:szCs w:val="21"/>
              </w:rPr>
            </w:pPr>
            <w:r>
              <w:rPr>
                <w:rFonts w:hint="eastAsia" w:ascii="宋体" w:hAnsi="宋体" w:cs="宋体"/>
                <w:szCs w:val="21"/>
              </w:rPr>
              <w:t>技术能力：</w:t>
            </w:r>
            <w:r>
              <w:rPr>
                <w:rFonts w:hint="eastAsia" w:ascii="宋体" w:hAnsi="宋体" w:cs="宋体"/>
                <w:szCs w:val="21"/>
                <w:u w:val="single"/>
              </w:rPr>
              <w:t xml:space="preserve">  15  </w:t>
            </w:r>
            <w:r>
              <w:rPr>
                <w:rFonts w:hint="eastAsia" w:ascii="宋体" w:hAnsi="宋体" w:cs="宋体"/>
                <w:szCs w:val="21"/>
              </w:rPr>
              <w:t>分</w:t>
            </w:r>
          </w:p>
          <w:p>
            <w:pPr>
              <w:pStyle w:val="8"/>
              <w:adjustRightInd w:val="0"/>
              <w:snapToGrid w:val="0"/>
              <w:spacing w:line="360" w:lineRule="exact"/>
              <w:ind w:left="42" w:leftChars="20" w:right="42" w:rightChars="20"/>
              <w:rPr>
                <w:rFonts w:hint="eastAsia" w:ascii="宋体" w:hAnsi="宋体" w:cs="宋体"/>
                <w:szCs w:val="21"/>
              </w:rPr>
            </w:pPr>
            <w:r>
              <w:rPr>
                <w:rFonts w:hint="eastAsia" w:ascii="宋体" w:hAnsi="宋体" w:cs="宋体"/>
                <w:szCs w:val="21"/>
              </w:rPr>
              <w:t>履约信誉：</w:t>
            </w:r>
            <w:r>
              <w:rPr>
                <w:rFonts w:hint="eastAsia" w:ascii="宋体" w:hAnsi="宋体" w:cs="宋体"/>
                <w:szCs w:val="21"/>
                <w:u w:val="single"/>
              </w:rPr>
              <w:t xml:space="preserve"> </w:t>
            </w:r>
            <w:r>
              <w:rPr>
                <w:rFonts w:ascii="宋体" w:hAnsi="宋体" w:cs="宋体"/>
                <w:szCs w:val="21"/>
                <w:u w:val="single"/>
              </w:rPr>
              <w:t>15</w:t>
            </w:r>
            <w:r>
              <w:rPr>
                <w:rFonts w:hint="eastAsia" w:ascii="宋体" w:hAnsi="宋体" w:cs="宋体"/>
                <w:szCs w:val="21"/>
                <w:u w:val="single"/>
              </w:rPr>
              <w:t xml:space="preserve"> </w:t>
            </w:r>
            <w:r>
              <w:rPr>
                <w:rFonts w:hint="eastAsia" w:ascii="宋体" w:hAnsi="宋体" w:cs="宋体"/>
                <w:szCs w:val="21"/>
              </w:rPr>
              <w:t>分</w:t>
            </w:r>
          </w:p>
        </w:tc>
      </w:tr>
      <w:tr>
        <w:tblPrEx>
          <w:tblCellMar>
            <w:top w:w="0" w:type="dxa"/>
            <w:left w:w="0" w:type="dxa"/>
            <w:bottom w:w="0" w:type="dxa"/>
            <w:right w:w="0" w:type="dxa"/>
          </w:tblCellMar>
        </w:tblPrEx>
        <w:trPr>
          <w:trHeight w:val="3942" w:hRule="atLeast"/>
          <w:jc w:val="center"/>
        </w:trPr>
        <w:tc>
          <w:tcPr>
            <w:tcW w:w="911"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ascii="宋体" w:hAnsi="宋体"/>
                <w:szCs w:val="21"/>
              </w:rPr>
            </w:pPr>
            <w:r>
              <w:rPr>
                <w:rFonts w:ascii="宋体" w:hAnsi="宋体"/>
                <w:szCs w:val="21"/>
              </w:rPr>
              <w:t>2.2.</w:t>
            </w:r>
            <w:r>
              <w:rPr>
                <w:rFonts w:hint="eastAsia" w:ascii="宋体" w:hAnsi="宋体"/>
                <w:szCs w:val="21"/>
              </w:rPr>
              <w:t>3</w:t>
            </w:r>
          </w:p>
        </w:tc>
        <w:tc>
          <w:tcPr>
            <w:tcW w:w="113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hint="eastAsia" w:ascii="宋体" w:hAnsi="宋体" w:cs="宋体"/>
                <w:szCs w:val="21"/>
              </w:rPr>
            </w:pPr>
            <w:r>
              <w:rPr>
                <w:szCs w:val="21"/>
              </w:rPr>
              <w:t>第二个信封详细评审标准</w:t>
            </w:r>
          </w:p>
        </w:tc>
        <w:tc>
          <w:tcPr>
            <w:tcW w:w="6920" w:type="dxa"/>
            <w:tcBorders>
              <w:top w:val="single" w:color="010101" w:sz="4" w:space="0"/>
              <w:left w:val="single" w:color="010101" w:sz="4" w:space="0"/>
              <w:bottom w:val="single" w:color="010101" w:sz="4" w:space="0"/>
              <w:right w:val="single" w:color="010101" w:sz="4" w:space="0"/>
            </w:tcBorders>
            <w:noWrap w:val="0"/>
            <w:vAlign w:val="center"/>
          </w:tcPr>
          <w:p>
            <w:pPr>
              <w:adjustRightInd w:val="0"/>
              <w:snapToGrid w:val="0"/>
              <w:spacing w:line="360" w:lineRule="exact"/>
              <w:ind w:left="42" w:leftChars="20" w:right="42" w:rightChars="20"/>
              <w:rPr>
                <w:rFonts w:hint="eastAsia" w:ascii="宋体" w:hAnsi="宋体"/>
                <w:szCs w:val="21"/>
              </w:rPr>
            </w:pPr>
            <w:r>
              <w:rPr>
                <w:rFonts w:hint="eastAsia" w:ascii="宋体" w:hAnsi="宋体"/>
                <w:szCs w:val="21"/>
              </w:rPr>
              <w:t>评标价的评审：</w:t>
            </w:r>
          </w:p>
          <w:p>
            <w:pPr>
              <w:adjustRightInd w:val="0"/>
              <w:snapToGrid w:val="0"/>
              <w:spacing w:line="360" w:lineRule="exact"/>
              <w:ind w:left="42" w:leftChars="20" w:right="42" w:rightChars="20"/>
              <w:rPr>
                <w:rFonts w:hint="eastAsia" w:ascii="宋体" w:hAnsi="宋体"/>
                <w:szCs w:val="21"/>
              </w:rPr>
            </w:pPr>
            <w:r>
              <w:rPr>
                <w:rFonts w:hint="eastAsia" w:ascii="宋体" w:hAnsi="宋体"/>
                <w:szCs w:val="21"/>
              </w:rPr>
              <w:t>(1)评标价计算公式：</w:t>
            </w:r>
          </w:p>
          <w:p>
            <w:pPr>
              <w:adjustRightInd w:val="0"/>
              <w:snapToGrid w:val="0"/>
              <w:spacing w:line="360" w:lineRule="exact"/>
              <w:ind w:left="42" w:leftChars="20" w:right="42" w:rightChars="20"/>
              <w:rPr>
                <w:rFonts w:hint="eastAsia" w:ascii="宋体" w:hAnsi="宋体"/>
                <w:szCs w:val="21"/>
              </w:rPr>
            </w:pPr>
            <w:r>
              <w:rPr>
                <w:rFonts w:hint="eastAsia" w:ascii="宋体" w:hAnsi="宋体"/>
                <w:szCs w:val="21"/>
              </w:rPr>
              <w:t>评标价=修正后的投标报价一暂估价一暂列金额（不含计日工总额）</w:t>
            </w:r>
          </w:p>
          <w:p>
            <w:pPr>
              <w:pStyle w:val="8"/>
              <w:adjustRightInd w:val="0"/>
              <w:snapToGrid w:val="0"/>
              <w:spacing w:line="360" w:lineRule="exact"/>
              <w:ind w:left="42" w:leftChars="20" w:right="42" w:rightChars="20" w:firstLine="420" w:firstLineChars="200"/>
              <w:rPr>
                <w:rFonts w:hint="eastAsia" w:ascii="宋体" w:hAnsi="宋体" w:cs="宋体"/>
                <w:szCs w:val="21"/>
              </w:rPr>
            </w:pPr>
            <w:r>
              <w:rPr>
                <w:rFonts w:hint="eastAsia" w:ascii="宋体" w:hAnsi="宋体"/>
                <w:szCs w:val="21"/>
              </w:rPr>
              <w:t>若投标人的评标价小于最高投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CellMar>
            <w:top w:w="0" w:type="dxa"/>
            <w:left w:w="0" w:type="dxa"/>
            <w:bottom w:w="0" w:type="dxa"/>
            <w:right w:w="0" w:type="dxa"/>
          </w:tblCellMar>
        </w:tblPrEx>
        <w:trPr>
          <w:trHeight w:val="1861" w:hRule="atLeast"/>
          <w:jc w:val="center"/>
        </w:trPr>
        <w:tc>
          <w:tcPr>
            <w:tcW w:w="911"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ascii="宋体" w:hAnsi="宋体"/>
                <w:szCs w:val="21"/>
              </w:rPr>
            </w:pPr>
            <w:r>
              <w:rPr>
                <w:rFonts w:ascii="宋体" w:hAnsi="宋体"/>
                <w:szCs w:val="21"/>
              </w:rPr>
              <w:t>3.2.4</w:t>
            </w:r>
          </w:p>
        </w:tc>
        <w:tc>
          <w:tcPr>
            <w:tcW w:w="1130" w:type="dxa"/>
            <w:tcBorders>
              <w:top w:val="single" w:color="010101" w:sz="4" w:space="0"/>
              <w:left w:val="single" w:color="010101" w:sz="4" w:space="0"/>
              <w:bottom w:val="single" w:color="010101" w:sz="4" w:space="0"/>
              <w:right w:val="single" w:color="010101" w:sz="4" w:space="0"/>
            </w:tcBorders>
            <w:noWrap w:val="0"/>
            <w:vAlign w:val="center"/>
          </w:tcPr>
          <w:p>
            <w:pPr>
              <w:pStyle w:val="8"/>
              <w:spacing w:line="360" w:lineRule="exact"/>
              <w:ind w:left="42" w:leftChars="20" w:right="42" w:rightChars="20"/>
              <w:jc w:val="center"/>
              <w:rPr>
                <w:rFonts w:hint="eastAsia" w:ascii="宋体" w:hAnsi="宋体" w:cs="宋体"/>
                <w:szCs w:val="21"/>
              </w:rPr>
            </w:pPr>
            <w:r>
              <w:rPr>
                <w:szCs w:val="21"/>
              </w:rPr>
              <w:t>通过第一个信封详细评审的投标人数量</w:t>
            </w:r>
          </w:p>
        </w:tc>
        <w:tc>
          <w:tcPr>
            <w:tcW w:w="6920" w:type="dxa"/>
            <w:tcBorders>
              <w:top w:val="single" w:color="010101" w:sz="4" w:space="0"/>
              <w:left w:val="single" w:color="010101" w:sz="4" w:space="0"/>
              <w:bottom w:val="single" w:color="010101" w:sz="4" w:space="0"/>
              <w:right w:val="single" w:color="010101" w:sz="4" w:space="0"/>
            </w:tcBorders>
            <w:noWrap w:val="0"/>
            <w:vAlign w:val="center"/>
          </w:tcPr>
          <w:p>
            <w:pPr>
              <w:pStyle w:val="8"/>
              <w:adjustRightInd w:val="0"/>
              <w:snapToGrid w:val="0"/>
              <w:spacing w:line="360" w:lineRule="exact"/>
              <w:ind w:left="42" w:leftChars="20" w:right="42" w:rightChars="20"/>
              <w:rPr>
                <w:rFonts w:hint="eastAsia" w:ascii="宋体" w:hAnsi="宋体" w:cs="宋体"/>
                <w:szCs w:val="21"/>
              </w:rPr>
            </w:pPr>
            <w:r>
              <w:rPr>
                <w:rFonts w:hint="eastAsia" w:ascii="宋体" w:hAnsi="宋体" w:cs="宋体"/>
                <w:szCs w:val="21"/>
              </w:rPr>
              <w:t>按照投标人的商务和技术得分由高到低排序，选择</w:t>
            </w:r>
            <w:r>
              <w:rPr>
                <w:rFonts w:hint="eastAsia" w:ascii="宋体" w:hAnsi="宋体" w:cs="宋体"/>
                <w:szCs w:val="21"/>
                <w:u w:val="single"/>
              </w:rPr>
              <w:t>前5名（不少于3名但不足5名时，按全部实际数量）</w:t>
            </w:r>
            <w:r>
              <w:rPr>
                <w:rFonts w:hint="eastAsia" w:ascii="宋体" w:hAnsi="宋体" w:cs="宋体"/>
                <w:szCs w:val="21"/>
              </w:rPr>
              <w:t>通过详细评审。</w:t>
            </w:r>
          </w:p>
        </w:tc>
      </w:tr>
    </w:tbl>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3"/>
        <w:rPr>
          <w:rFonts w:hint="eastAsia" w:ascii="宋体" w:hAnsi="宋体" w:eastAsia="宋体" w:cs="宋体"/>
          <w:sz w:val="21"/>
          <w:szCs w:val="21"/>
        </w:rPr>
      </w:pPr>
    </w:p>
    <w:p>
      <w:pPr>
        <w:pStyle w:val="2"/>
        <w:jc w:val="right"/>
      </w:pPr>
      <w:r>
        <w:rPr>
          <w:rFonts w:hint="eastAsia"/>
        </w:rPr>
        <w:t>续上表</w:t>
      </w:r>
    </w:p>
    <w:tbl>
      <w:tblPr>
        <w:tblStyle w:val="6"/>
        <w:tblW w:w="10208" w:type="dxa"/>
        <w:jc w:val="center"/>
        <w:tblLayout w:type="fixed"/>
        <w:tblCellMar>
          <w:top w:w="0" w:type="dxa"/>
          <w:left w:w="0" w:type="dxa"/>
          <w:bottom w:w="0" w:type="dxa"/>
          <w:right w:w="0" w:type="dxa"/>
        </w:tblCellMar>
      </w:tblPr>
      <w:tblGrid>
        <w:gridCol w:w="1031"/>
        <w:gridCol w:w="387"/>
        <w:gridCol w:w="709"/>
        <w:gridCol w:w="708"/>
        <w:gridCol w:w="993"/>
        <w:gridCol w:w="708"/>
        <w:gridCol w:w="5672"/>
      </w:tblGrid>
      <w:tr>
        <w:tblPrEx>
          <w:tblCellMar>
            <w:top w:w="0" w:type="dxa"/>
            <w:left w:w="0" w:type="dxa"/>
            <w:bottom w:w="0" w:type="dxa"/>
            <w:right w:w="0" w:type="dxa"/>
          </w:tblCellMar>
        </w:tblPrEx>
        <w:trPr>
          <w:trHeight w:val="601" w:hRule="atLeast"/>
          <w:jc w:val="center"/>
        </w:trPr>
        <w:tc>
          <w:tcPr>
            <w:tcW w:w="4536"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left="105" w:leftChars="50" w:right="105" w:rightChars="50"/>
              <w:jc w:val="center"/>
              <w:rPr>
                <w:rFonts w:ascii="宋体" w:hAnsi="宋体"/>
                <w:b/>
                <w:bCs/>
                <w:szCs w:val="21"/>
              </w:rPr>
            </w:pPr>
            <w:r>
              <w:rPr>
                <w:rFonts w:hint="eastAsia" w:ascii="宋体" w:hAnsi="宋体"/>
                <w:b/>
                <w:bCs/>
                <w:szCs w:val="21"/>
              </w:rPr>
              <w:t>评分因素与权重分值</w:t>
            </w:r>
          </w:p>
        </w:tc>
        <w:tc>
          <w:tcPr>
            <w:tcW w:w="5672" w:type="dxa"/>
            <w:vMerge w:val="restart"/>
            <w:tcBorders>
              <w:top w:val="single" w:color="000000" w:sz="4" w:space="0"/>
              <w:left w:val="single" w:color="000000" w:sz="4" w:space="0"/>
              <w:right w:val="single" w:color="000000" w:sz="4" w:space="0"/>
            </w:tcBorders>
            <w:noWrap w:val="0"/>
            <w:vAlign w:val="center"/>
          </w:tcPr>
          <w:p>
            <w:pPr>
              <w:spacing w:line="400" w:lineRule="exact"/>
              <w:ind w:left="105" w:leftChars="50" w:right="105" w:rightChars="50"/>
              <w:jc w:val="center"/>
              <w:rPr>
                <w:rFonts w:ascii="宋体" w:hAnsi="宋体"/>
                <w:b/>
                <w:bCs/>
                <w:szCs w:val="21"/>
              </w:rPr>
            </w:pPr>
            <w:r>
              <w:rPr>
                <w:rFonts w:hint="eastAsia" w:ascii="宋体" w:hAnsi="宋体"/>
                <w:b/>
                <w:bCs/>
                <w:szCs w:val="21"/>
              </w:rPr>
              <w:t>评分标准</w:t>
            </w:r>
          </w:p>
        </w:tc>
      </w:tr>
      <w:tr>
        <w:tblPrEx>
          <w:tblCellMar>
            <w:top w:w="0" w:type="dxa"/>
            <w:left w:w="0" w:type="dxa"/>
            <w:bottom w:w="0" w:type="dxa"/>
            <w:right w:w="0" w:type="dxa"/>
          </w:tblCellMar>
        </w:tblPrEx>
        <w:trPr>
          <w:trHeight w:val="1667" w:hRule="atLeast"/>
          <w:jc w:val="center"/>
        </w:trPr>
        <w:tc>
          <w:tcPr>
            <w:tcW w:w="1031" w:type="dxa"/>
            <w:tcBorders>
              <w:top w:val="single" w:color="000000" w:sz="4" w:space="0"/>
              <w:left w:val="single" w:color="000000" w:sz="4" w:space="0"/>
              <w:bottom w:val="single" w:color="auto" w:sz="4" w:space="0"/>
              <w:right w:val="single" w:color="000000" w:sz="4" w:space="0"/>
            </w:tcBorders>
            <w:noWrap w:val="0"/>
            <w:vAlign w:val="center"/>
          </w:tcPr>
          <w:p>
            <w:pPr>
              <w:spacing w:line="400" w:lineRule="exact"/>
              <w:ind w:left="105" w:leftChars="50" w:right="105" w:rightChars="50"/>
              <w:jc w:val="center"/>
              <w:rPr>
                <w:rFonts w:ascii="宋体" w:hAnsi="宋体"/>
                <w:b/>
                <w:bCs/>
                <w:szCs w:val="21"/>
              </w:rPr>
            </w:pPr>
            <w:r>
              <w:rPr>
                <w:rFonts w:hint="eastAsia" w:ascii="宋体" w:hAnsi="宋体"/>
                <w:b/>
                <w:bCs/>
                <w:szCs w:val="21"/>
              </w:rPr>
              <w:t>条款号</w:t>
            </w:r>
          </w:p>
        </w:tc>
        <w:tc>
          <w:tcPr>
            <w:tcW w:w="1096"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400" w:lineRule="exact"/>
              <w:ind w:left="105" w:leftChars="50" w:right="105" w:rightChars="50"/>
              <w:jc w:val="center"/>
              <w:rPr>
                <w:rFonts w:ascii="宋体" w:hAnsi="宋体"/>
                <w:b/>
                <w:bCs/>
                <w:szCs w:val="21"/>
              </w:rPr>
            </w:pPr>
            <w:r>
              <w:rPr>
                <w:rFonts w:hint="eastAsia" w:ascii="宋体" w:hAnsi="宋体"/>
                <w:b/>
                <w:bCs/>
                <w:szCs w:val="21"/>
              </w:rPr>
              <w:t>评分因素</w:t>
            </w:r>
          </w:p>
        </w:tc>
        <w:tc>
          <w:tcPr>
            <w:tcW w:w="708" w:type="dxa"/>
            <w:tcBorders>
              <w:top w:val="single" w:color="000000" w:sz="4" w:space="0"/>
              <w:left w:val="single" w:color="000000" w:sz="4" w:space="0"/>
              <w:bottom w:val="single" w:color="auto" w:sz="4" w:space="0"/>
              <w:right w:val="single" w:color="000000" w:sz="4" w:space="0"/>
            </w:tcBorders>
            <w:noWrap w:val="0"/>
            <w:vAlign w:val="center"/>
          </w:tcPr>
          <w:p>
            <w:pPr>
              <w:spacing w:line="400" w:lineRule="exact"/>
              <w:ind w:left="105" w:leftChars="50" w:right="105" w:rightChars="50"/>
              <w:jc w:val="center"/>
              <w:rPr>
                <w:rFonts w:ascii="宋体" w:hAnsi="宋体"/>
                <w:b/>
                <w:bCs/>
                <w:szCs w:val="21"/>
              </w:rPr>
            </w:pPr>
            <w:r>
              <w:rPr>
                <w:rFonts w:hint="eastAsia" w:ascii="宋体" w:hAnsi="宋体"/>
                <w:b/>
                <w:bCs/>
                <w:szCs w:val="21"/>
              </w:rPr>
              <w:t>评分因素权重</w:t>
            </w:r>
          </w:p>
        </w:tc>
        <w:tc>
          <w:tcPr>
            <w:tcW w:w="993" w:type="dxa"/>
            <w:tcBorders>
              <w:top w:val="single" w:color="000000" w:sz="4" w:space="0"/>
              <w:left w:val="single" w:color="000000" w:sz="4" w:space="0"/>
              <w:bottom w:val="single" w:color="auto" w:sz="4" w:space="0"/>
              <w:right w:val="single" w:color="000000" w:sz="4" w:space="0"/>
            </w:tcBorders>
            <w:noWrap w:val="0"/>
            <w:vAlign w:val="center"/>
          </w:tcPr>
          <w:p>
            <w:pPr>
              <w:spacing w:line="400" w:lineRule="exact"/>
              <w:ind w:left="105" w:leftChars="50" w:right="105" w:rightChars="50"/>
              <w:jc w:val="center"/>
              <w:rPr>
                <w:rFonts w:ascii="宋体" w:hAnsi="宋体"/>
                <w:b/>
                <w:bCs/>
                <w:szCs w:val="21"/>
              </w:rPr>
            </w:pPr>
            <w:r>
              <w:rPr>
                <w:rFonts w:hint="eastAsia" w:ascii="宋体" w:hAnsi="宋体"/>
                <w:b/>
                <w:bCs/>
                <w:szCs w:val="21"/>
              </w:rPr>
              <w:t>各评分因素细分项</w:t>
            </w:r>
          </w:p>
        </w:tc>
        <w:tc>
          <w:tcPr>
            <w:tcW w:w="708" w:type="dxa"/>
            <w:tcBorders>
              <w:top w:val="single" w:color="000000" w:sz="4" w:space="0"/>
              <w:left w:val="single" w:color="000000" w:sz="4" w:space="0"/>
              <w:bottom w:val="single" w:color="auto" w:sz="4" w:space="0"/>
              <w:right w:val="single" w:color="000000" w:sz="4" w:space="0"/>
            </w:tcBorders>
            <w:noWrap w:val="0"/>
            <w:vAlign w:val="center"/>
          </w:tcPr>
          <w:p>
            <w:pPr>
              <w:spacing w:line="400" w:lineRule="exact"/>
              <w:ind w:left="105" w:leftChars="50" w:right="105" w:rightChars="50"/>
              <w:jc w:val="center"/>
              <w:rPr>
                <w:rFonts w:ascii="宋体" w:hAnsi="宋体"/>
                <w:b/>
                <w:bCs/>
                <w:szCs w:val="21"/>
              </w:rPr>
            </w:pPr>
            <w:r>
              <w:rPr>
                <w:rFonts w:hint="eastAsia" w:ascii="宋体" w:hAnsi="宋体"/>
                <w:b/>
                <w:bCs/>
                <w:szCs w:val="21"/>
              </w:rPr>
              <w:t>分值</w:t>
            </w:r>
          </w:p>
        </w:tc>
        <w:tc>
          <w:tcPr>
            <w:tcW w:w="5672" w:type="dxa"/>
            <w:vMerge w:val="continue"/>
            <w:tcBorders>
              <w:left w:val="single" w:color="000000" w:sz="4" w:space="0"/>
              <w:bottom w:val="single" w:color="auto" w:sz="4" w:space="0"/>
              <w:right w:val="single" w:color="000000" w:sz="4" w:space="0"/>
            </w:tcBorders>
            <w:noWrap w:val="0"/>
            <w:vAlign w:val="center"/>
          </w:tcPr>
          <w:p>
            <w:pPr>
              <w:spacing w:line="400" w:lineRule="exact"/>
              <w:ind w:left="105" w:leftChars="50" w:right="105" w:rightChars="50"/>
              <w:rPr>
                <w:rFonts w:ascii="宋体" w:hAnsi="宋体"/>
                <w:b/>
                <w:bCs/>
                <w:szCs w:val="21"/>
              </w:rPr>
            </w:pPr>
          </w:p>
        </w:tc>
      </w:tr>
      <w:tr>
        <w:tblPrEx>
          <w:tblCellMar>
            <w:top w:w="0" w:type="dxa"/>
            <w:left w:w="0" w:type="dxa"/>
            <w:bottom w:w="0" w:type="dxa"/>
            <w:right w:w="0" w:type="dxa"/>
          </w:tblCellMar>
        </w:tblPrEx>
        <w:trPr>
          <w:trHeight w:val="555" w:hRule="atLeast"/>
          <w:jc w:val="center"/>
        </w:trPr>
        <w:tc>
          <w:tcPr>
            <w:tcW w:w="103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2</w:t>
            </w:r>
            <w:r>
              <w:rPr>
                <w:rFonts w:ascii="宋体" w:hAnsi="宋体"/>
                <w:szCs w:val="21"/>
              </w:rPr>
              <w:t>.2.2</w:t>
            </w:r>
            <w:r>
              <w:rPr>
                <w:rFonts w:hint="eastAsia" w:ascii="宋体" w:hAnsi="宋体"/>
                <w:szCs w:val="21"/>
              </w:rPr>
              <w:t>（1）</w:t>
            </w:r>
          </w:p>
        </w:tc>
        <w:tc>
          <w:tcPr>
            <w:tcW w:w="109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施工组织设计</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35分</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rFonts w:ascii="宋体" w:hAnsi="宋体"/>
                <w:szCs w:val="21"/>
              </w:rPr>
            </w:pPr>
            <w:r>
              <w:rPr>
                <w:rFonts w:hint="eastAsia" w:ascii="宋体" w:hAnsi="宋体"/>
                <w:szCs w:val="21"/>
              </w:rPr>
              <w:t>工期保证体系及保证措施</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12分</w:t>
            </w:r>
          </w:p>
        </w:tc>
        <w:tc>
          <w:tcPr>
            <w:tcW w:w="56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rFonts w:ascii="宋体" w:hAnsi="宋体"/>
                <w:szCs w:val="21"/>
              </w:rPr>
            </w:pPr>
            <w:r>
              <w:rPr>
                <w:rFonts w:hint="eastAsia" w:ascii="宋体" w:hAnsi="宋体"/>
                <w:szCs w:val="21"/>
              </w:rPr>
              <w:t>（1）进度控制措施得当，对本项目的工期重要性理解特别透彻，对地形地貌特征、重点工序、天气、关键设备故障、与其他承包人衔接、社会环境等问题有切实可行的应对或应急方案，计划科学合理，可操作性高，得9.6～12分；</w:t>
            </w:r>
          </w:p>
          <w:p>
            <w:pPr>
              <w:spacing w:line="360" w:lineRule="exact"/>
              <w:ind w:left="42" w:leftChars="20" w:right="42" w:rightChars="20"/>
              <w:rPr>
                <w:rFonts w:ascii="宋体" w:hAnsi="宋体"/>
                <w:szCs w:val="21"/>
              </w:rPr>
            </w:pPr>
            <w:r>
              <w:rPr>
                <w:rFonts w:hint="eastAsia" w:ascii="宋体" w:hAnsi="宋体"/>
                <w:szCs w:val="21"/>
              </w:rPr>
              <w:t>（2）工期保证体系及保证措施基本可行，内容较为充实、全面的，得7.2～9.6分；</w:t>
            </w:r>
          </w:p>
          <w:p>
            <w:pPr>
              <w:spacing w:line="360" w:lineRule="exact"/>
              <w:ind w:left="42" w:leftChars="20" w:right="42" w:rightChars="20"/>
              <w:rPr>
                <w:rFonts w:ascii="宋体" w:hAnsi="宋体"/>
                <w:szCs w:val="21"/>
              </w:rPr>
            </w:pPr>
            <w:r>
              <w:rPr>
                <w:rFonts w:hint="eastAsia" w:ascii="宋体" w:hAnsi="宋体"/>
                <w:szCs w:val="21"/>
              </w:rPr>
              <w:t>（3）一般但不被评定为不响应的，起评分7.2分。</w:t>
            </w:r>
          </w:p>
        </w:tc>
      </w:tr>
      <w:tr>
        <w:tblPrEx>
          <w:tblCellMar>
            <w:top w:w="0" w:type="dxa"/>
            <w:left w:w="0" w:type="dxa"/>
            <w:bottom w:w="0" w:type="dxa"/>
            <w:right w:w="0" w:type="dxa"/>
          </w:tblCellMar>
        </w:tblPrEx>
        <w:trPr>
          <w:trHeight w:val="554" w:hRule="atLeast"/>
          <w:jc w:val="center"/>
        </w:trPr>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rFonts w:ascii="宋体" w:hAnsi="宋体"/>
                <w:szCs w:val="21"/>
              </w:rPr>
            </w:pPr>
            <w:r>
              <w:rPr>
                <w:rFonts w:hint="eastAsia" w:ascii="宋体" w:hAnsi="宋体"/>
                <w:szCs w:val="21"/>
              </w:rPr>
              <w:t>质量、安全保证体系及保证措施</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12分</w:t>
            </w:r>
          </w:p>
        </w:tc>
        <w:tc>
          <w:tcPr>
            <w:tcW w:w="56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rFonts w:ascii="宋体" w:hAnsi="宋体"/>
                <w:szCs w:val="21"/>
              </w:rPr>
            </w:pPr>
            <w:r>
              <w:rPr>
                <w:rFonts w:hint="eastAsia" w:ascii="宋体" w:hAnsi="宋体"/>
                <w:szCs w:val="21"/>
              </w:rPr>
              <w:t>（1）对本项目质量及安全控制有透彻的认识，对施工过程中可能发生的各种质量和安全问题有深刻的认识和合理的预见，并有相应的应对措施，应对措施应科学、充分，能有效处理各种突发问题的，得9.6～12分；</w:t>
            </w:r>
          </w:p>
          <w:p>
            <w:pPr>
              <w:spacing w:line="360" w:lineRule="exact"/>
              <w:ind w:left="42" w:leftChars="20" w:right="42" w:rightChars="20"/>
              <w:rPr>
                <w:rFonts w:ascii="宋体" w:hAnsi="宋体"/>
                <w:szCs w:val="21"/>
              </w:rPr>
            </w:pPr>
            <w:r>
              <w:rPr>
                <w:rFonts w:hint="eastAsia" w:ascii="宋体" w:hAnsi="宋体"/>
                <w:szCs w:val="21"/>
              </w:rPr>
              <w:t>（2）对本项目质量及安全控制有一定的认识，基本能合理的预见施工过程中可能发生的各种质量和安全问题，并有相应的应对措施，应对措施较为科学、充分，基本能有效处理各种质量和安全问题的，得7.2～9.6分；</w:t>
            </w:r>
          </w:p>
          <w:p>
            <w:pPr>
              <w:spacing w:line="360" w:lineRule="exact"/>
              <w:ind w:left="42" w:leftChars="20" w:right="42" w:rightChars="20"/>
              <w:rPr>
                <w:rFonts w:ascii="宋体" w:hAnsi="宋体"/>
                <w:szCs w:val="21"/>
              </w:rPr>
            </w:pPr>
            <w:r>
              <w:rPr>
                <w:rFonts w:hint="eastAsia" w:ascii="宋体" w:hAnsi="宋体"/>
                <w:szCs w:val="21"/>
              </w:rPr>
              <w:t>（3）一般但不被评定为不响应的，起评分7.2分。</w:t>
            </w:r>
          </w:p>
        </w:tc>
      </w:tr>
      <w:tr>
        <w:tblPrEx>
          <w:tblCellMar>
            <w:top w:w="0" w:type="dxa"/>
            <w:left w:w="0" w:type="dxa"/>
            <w:bottom w:w="0" w:type="dxa"/>
            <w:right w:w="0" w:type="dxa"/>
          </w:tblCellMar>
        </w:tblPrEx>
        <w:trPr>
          <w:trHeight w:val="554" w:hRule="atLeast"/>
          <w:jc w:val="center"/>
        </w:trPr>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rFonts w:ascii="宋体" w:hAnsi="宋体"/>
                <w:szCs w:val="21"/>
              </w:rPr>
            </w:pPr>
            <w:r>
              <w:rPr>
                <w:rFonts w:hint="eastAsia" w:ascii="宋体" w:hAnsi="宋体"/>
                <w:szCs w:val="21"/>
              </w:rPr>
              <w:t>环境保护、文明施工保证体系及措施</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11分</w:t>
            </w:r>
          </w:p>
        </w:tc>
        <w:tc>
          <w:tcPr>
            <w:tcW w:w="56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rFonts w:ascii="宋体" w:hAnsi="宋体"/>
                <w:szCs w:val="21"/>
              </w:rPr>
            </w:pPr>
            <w:r>
              <w:rPr>
                <w:rFonts w:hint="eastAsia" w:ascii="宋体" w:hAnsi="宋体"/>
                <w:szCs w:val="21"/>
              </w:rPr>
              <w:t>（1）对本项目的环保及文明施工等工作有独到的见解，能制定科学的措施，施工做到符合环保的要求，对文明施工有相应的措施，能创造良好的施工环境的，得8.8～11分；</w:t>
            </w:r>
          </w:p>
          <w:p>
            <w:pPr>
              <w:spacing w:line="360" w:lineRule="exact"/>
              <w:ind w:left="42" w:leftChars="20" w:right="42" w:rightChars="20"/>
              <w:rPr>
                <w:rFonts w:ascii="宋体" w:hAnsi="宋体"/>
                <w:szCs w:val="21"/>
              </w:rPr>
            </w:pPr>
            <w:r>
              <w:rPr>
                <w:rFonts w:hint="eastAsia" w:ascii="宋体" w:hAnsi="宋体"/>
                <w:szCs w:val="21"/>
              </w:rPr>
              <w:t>（2）对工程环保及文明施工等工作制定有相关的措施，基本能满足本项目环保及文明施工的要求的，得6.6～8.8分；</w:t>
            </w:r>
          </w:p>
          <w:p>
            <w:pPr>
              <w:spacing w:line="360" w:lineRule="exact"/>
              <w:ind w:left="42" w:leftChars="20" w:right="42" w:rightChars="20"/>
              <w:rPr>
                <w:rFonts w:ascii="宋体" w:hAnsi="宋体"/>
                <w:szCs w:val="21"/>
              </w:rPr>
            </w:pPr>
            <w:r>
              <w:rPr>
                <w:rFonts w:hint="eastAsia" w:ascii="宋体" w:hAnsi="宋体"/>
                <w:szCs w:val="21"/>
              </w:rPr>
              <w:t>（3）一般但不被评定为不响应的，起评分6.6分。</w:t>
            </w:r>
          </w:p>
        </w:tc>
      </w:tr>
      <w:tr>
        <w:tblPrEx>
          <w:tblCellMar>
            <w:top w:w="0" w:type="dxa"/>
            <w:left w:w="0" w:type="dxa"/>
            <w:bottom w:w="0" w:type="dxa"/>
            <w:right w:w="0" w:type="dxa"/>
          </w:tblCellMar>
        </w:tblPrEx>
        <w:trPr>
          <w:trHeight w:val="752" w:hRule="atLeast"/>
          <w:jc w:val="center"/>
        </w:trPr>
        <w:tc>
          <w:tcPr>
            <w:tcW w:w="103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2</w:t>
            </w:r>
            <w:r>
              <w:rPr>
                <w:rFonts w:ascii="宋体" w:hAnsi="宋体"/>
                <w:szCs w:val="21"/>
              </w:rPr>
              <w:t>.2.2</w:t>
            </w:r>
            <w:r>
              <w:rPr>
                <w:rFonts w:hint="eastAsia" w:ascii="宋体" w:hAnsi="宋体"/>
                <w:szCs w:val="21"/>
              </w:rPr>
              <w:t>（</w:t>
            </w:r>
            <w:r>
              <w:rPr>
                <w:rFonts w:ascii="宋体" w:hAnsi="宋体"/>
                <w:szCs w:val="21"/>
              </w:rPr>
              <w:t>2</w:t>
            </w:r>
            <w:r>
              <w:rPr>
                <w:rFonts w:hint="eastAsia" w:ascii="宋体" w:hAnsi="宋体"/>
                <w:szCs w:val="21"/>
              </w:rPr>
              <w:t>）</w:t>
            </w:r>
          </w:p>
        </w:tc>
        <w:tc>
          <w:tcPr>
            <w:tcW w:w="109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主要人员</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35分</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rFonts w:ascii="宋体" w:hAnsi="宋体"/>
                <w:szCs w:val="21"/>
              </w:rPr>
            </w:pPr>
            <w:r>
              <w:rPr>
                <w:rFonts w:hint="eastAsia" w:ascii="宋体" w:hAnsi="宋体"/>
                <w:szCs w:val="21"/>
              </w:rPr>
              <w:t>项目经理任职资格与业绩</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ascii="宋体" w:hAnsi="宋体"/>
                <w:szCs w:val="21"/>
              </w:rPr>
              <w:t>20</w:t>
            </w:r>
            <w:r>
              <w:rPr>
                <w:rFonts w:hint="eastAsia" w:ascii="宋体" w:hAnsi="宋体"/>
                <w:szCs w:val="21"/>
              </w:rPr>
              <w:t>分</w:t>
            </w:r>
          </w:p>
        </w:tc>
        <w:tc>
          <w:tcPr>
            <w:tcW w:w="56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rFonts w:ascii="宋体" w:hAnsi="宋体"/>
                <w:szCs w:val="21"/>
              </w:rPr>
            </w:pPr>
            <w:r>
              <w:rPr>
                <w:rFonts w:hint="eastAsia" w:ascii="宋体" w:hAnsi="宋体"/>
                <w:szCs w:val="21"/>
              </w:rPr>
              <w:t>（1）项目经理在满足资格审查条件的最低要求时，得1</w:t>
            </w:r>
            <w:r>
              <w:rPr>
                <w:rFonts w:ascii="宋体" w:hAnsi="宋体"/>
                <w:szCs w:val="21"/>
              </w:rPr>
              <w:t>6</w:t>
            </w:r>
            <w:r>
              <w:rPr>
                <w:rFonts w:hint="eastAsia" w:ascii="宋体" w:hAnsi="宋体"/>
                <w:szCs w:val="21"/>
              </w:rPr>
              <w:t>分；</w:t>
            </w:r>
          </w:p>
          <w:p>
            <w:pPr>
              <w:spacing w:line="360" w:lineRule="exact"/>
              <w:ind w:left="42" w:leftChars="20" w:right="42" w:rightChars="20"/>
              <w:rPr>
                <w:rFonts w:ascii="宋体" w:hAnsi="宋体"/>
                <w:szCs w:val="21"/>
              </w:rPr>
            </w:pPr>
            <w:r>
              <w:rPr>
                <w:rFonts w:hint="eastAsia" w:ascii="宋体" w:hAnsi="宋体"/>
                <w:szCs w:val="21"/>
              </w:rPr>
              <w:t>（2）项目经理具有路桥相关专业高级工程师资格的，加2分；</w:t>
            </w:r>
          </w:p>
          <w:p>
            <w:pPr>
              <w:spacing w:line="360" w:lineRule="exact"/>
              <w:ind w:left="42" w:leftChars="20" w:right="42" w:rightChars="20"/>
              <w:rPr>
                <w:rFonts w:ascii="宋体" w:hAnsi="宋体"/>
                <w:szCs w:val="21"/>
              </w:rPr>
            </w:pPr>
            <w:r>
              <w:rPr>
                <w:rFonts w:hint="eastAsia" w:ascii="宋体" w:hAnsi="宋体"/>
                <w:szCs w:val="21"/>
              </w:rPr>
              <w:t>（3）每担任1个类似工程项目项目经理岗位工作经验的，加</w:t>
            </w:r>
            <w:r>
              <w:rPr>
                <w:rFonts w:ascii="宋体" w:hAnsi="宋体"/>
                <w:szCs w:val="21"/>
              </w:rPr>
              <w:t>2</w:t>
            </w:r>
            <w:r>
              <w:rPr>
                <w:rFonts w:hint="eastAsia" w:ascii="宋体" w:hAnsi="宋体"/>
                <w:szCs w:val="21"/>
              </w:rPr>
              <w:t>分，最多加</w:t>
            </w:r>
            <w:r>
              <w:rPr>
                <w:rFonts w:ascii="宋体" w:hAnsi="宋体"/>
                <w:szCs w:val="21"/>
              </w:rPr>
              <w:t>2</w:t>
            </w:r>
            <w:r>
              <w:rPr>
                <w:rFonts w:hint="eastAsia" w:ascii="宋体" w:hAnsi="宋体"/>
                <w:szCs w:val="21"/>
              </w:rPr>
              <w:t>分。</w:t>
            </w:r>
          </w:p>
          <w:p>
            <w:pPr>
              <w:spacing w:line="360" w:lineRule="exact"/>
              <w:ind w:left="42" w:leftChars="20" w:right="42" w:rightChars="20" w:firstLine="420" w:firstLineChars="200"/>
              <w:rPr>
                <w:rFonts w:ascii="宋体" w:hAnsi="宋体"/>
                <w:szCs w:val="21"/>
              </w:rPr>
            </w:pPr>
            <w:r>
              <w:rPr>
                <w:rFonts w:hint="eastAsia"/>
              </w:rPr>
              <w:t>注：</w:t>
            </w:r>
            <w:r>
              <w:rPr>
                <w:rFonts w:hint="eastAsia" w:ascii="宋体" w:hAnsi="宋体"/>
                <w:szCs w:val="21"/>
              </w:rPr>
              <w:t>项目经理岗位指项目经理或项目总工或项目副经理。</w:t>
            </w:r>
          </w:p>
        </w:tc>
      </w:tr>
      <w:tr>
        <w:tblPrEx>
          <w:tblCellMar>
            <w:top w:w="0" w:type="dxa"/>
            <w:left w:w="0" w:type="dxa"/>
            <w:bottom w:w="0" w:type="dxa"/>
            <w:right w:w="0" w:type="dxa"/>
          </w:tblCellMar>
        </w:tblPrEx>
        <w:trPr>
          <w:trHeight w:val="750" w:hRule="atLeast"/>
          <w:jc w:val="center"/>
        </w:trPr>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rFonts w:ascii="宋体" w:hAnsi="宋体"/>
                <w:szCs w:val="21"/>
              </w:rPr>
            </w:pPr>
            <w:r>
              <w:rPr>
                <w:rFonts w:hint="eastAsia" w:ascii="宋体" w:hAnsi="宋体"/>
                <w:szCs w:val="21"/>
              </w:rPr>
              <w:t>项目总工任职资格与业绩</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rFonts w:ascii="宋体" w:hAnsi="宋体"/>
                <w:szCs w:val="21"/>
              </w:rPr>
            </w:pPr>
            <w:r>
              <w:rPr>
                <w:rFonts w:hint="eastAsia" w:ascii="宋体" w:hAnsi="宋体"/>
                <w:szCs w:val="21"/>
              </w:rPr>
              <w:t>15分</w:t>
            </w:r>
          </w:p>
        </w:tc>
        <w:tc>
          <w:tcPr>
            <w:tcW w:w="567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42" w:rightChars="20"/>
              <w:rPr>
                <w:rFonts w:ascii="宋体" w:hAnsi="宋体"/>
                <w:szCs w:val="21"/>
              </w:rPr>
            </w:pPr>
            <w:r>
              <w:rPr>
                <w:rFonts w:hint="eastAsia" w:ascii="宋体" w:hAnsi="宋体"/>
                <w:szCs w:val="21"/>
              </w:rPr>
              <w:t>（1）项目总工在满足资格审查条件的最低要求时，得</w:t>
            </w:r>
            <w:r>
              <w:rPr>
                <w:rFonts w:ascii="宋体" w:hAnsi="宋体"/>
                <w:szCs w:val="21"/>
              </w:rPr>
              <w:t>12</w:t>
            </w:r>
            <w:r>
              <w:rPr>
                <w:rFonts w:hint="eastAsia" w:ascii="宋体" w:hAnsi="宋体"/>
                <w:szCs w:val="21"/>
              </w:rPr>
              <w:t>分；</w:t>
            </w:r>
          </w:p>
          <w:p>
            <w:pPr>
              <w:spacing w:line="360" w:lineRule="exact"/>
              <w:ind w:right="42" w:rightChars="20"/>
              <w:rPr>
                <w:rFonts w:ascii="宋体" w:hAnsi="宋体"/>
                <w:szCs w:val="21"/>
              </w:rPr>
            </w:pPr>
            <w:r>
              <w:rPr>
                <w:rFonts w:hint="eastAsia" w:ascii="宋体" w:hAnsi="宋体"/>
                <w:szCs w:val="21"/>
              </w:rPr>
              <w:t>（2）每担任1个类似工程项目项目总工岗位工作经验的，加3分，最多加</w:t>
            </w:r>
            <w:r>
              <w:rPr>
                <w:rFonts w:ascii="宋体" w:hAnsi="宋体"/>
                <w:szCs w:val="21"/>
              </w:rPr>
              <w:t>3</w:t>
            </w:r>
            <w:r>
              <w:rPr>
                <w:rFonts w:hint="eastAsia" w:ascii="宋体" w:hAnsi="宋体"/>
                <w:szCs w:val="21"/>
              </w:rPr>
              <w:t>分。</w:t>
            </w:r>
          </w:p>
          <w:p>
            <w:pPr>
              <w:spacing w:line="360" w:lineRule="exact"/>
              <w:ind w:left="42" w:leftChars="20" w:right="42" w:rightChars="20" w:firstLine="420" w:firstLineChars="200"/>
              <w:rPr>
                <w:rFonts w:ascii="宋体" w:hAnsi="宋体"/>
                <w:szCs w:val="21"/>
              </w:rPr>
            </w:pPr>
            <w:r>
              <w:rPr>
                <w:rFonts w:hint="eastAsia" w:ascii="宋体" w:hAnsi="宋体"/>
                <w:szCs w:val="21"/>
              </w:rPr>
              <w:t>注：项目总工岗位指主管技术工作岗位。</w:t>
            </w:r>
          </w:p>
        </w:tc>
      </w:tr>
      <w:tr>
        <w:tblPrEx>
          <w:tblCellMar>
            <w:top w:w="0" w:type="dxa"/>
            <w:left w:w="0" w:type="dxa"/>
            <w:bottom w:w="0" w:type="dxa"/>
            <w:right w:w="0" w:type="dxa"/>
          </w:tblCellMar>
        </w:tblPrEx>
        <w:trPr>
          <w:trHeight w:val="1478" w:hRule="atLeast"/>
          <w:jc w:val="center"/>
        </w:trPr>
        <w:tc>
          <w:tcPr>
            <w:tcW w:w="1031" w:type="dxa"/>
            <w:vMerge w:val="restart"/>
            <w:tcBorders>
              <w:top w:val="single" w:color="auto" w:sz="4" w:space="0"/>
              <w:left w:val="single" w:color="auto" w:sz="4" w:space="0"/>
              <w:right w:val="single" w:color="auto" w:sz="4" w:space="0"/>
            </w:tcBorders>
            <w:noWrap w:val="0"/>
            <w:vAlign w:val="center"/>
          </w:tcPr>
          <w:p>
            <w:pPr>
              <w:spacing w:line="400" w:lineRule="exact"/>
              <w:ind w:left="105" w:leftChars="50" w:right="105" w:rightChars="50"/>
              <w:jc w:val="center"/>
              <w:rPr>
                <w:rFonts w:ascii="宋体" w:hAnsi="宋体"/>
                <w:szCs w:val="21"/>
              </w:rPr>
            </w:pPr>
            <w:r>
              <w:rPr>
                <w:rFonts w:ascii="TimesNewRomanPSMT" w:eastAsia="TimesNewRomanPSMT" w:cs="TimesNewRomanPSMT"/>
                <w:szCs w:val="21"/>
              </w:rPr>
              <w:t>2.2.2</w:t>
            </w:r>
            <w:r>
              <w:rPr>
                <w:rFonts w:hint="eastAsia" w:ascii="MicrosoftJhengHeiRegular" w:eastAsia="MicrosoftJhengHeiRegular" w:cs="MicrosoftJhengHeiRegular"/>
                <w:szCs w:val="21"/>
              </w:rPr>
              <w:t>（</w:t>
            </w:r>
            <w:r>
              <w:rPr>
                <w:rFonts w:ascii="TimesNewRomanPSMT" w:eastAsia="TimesNewRomanPSMT" w:cs="TimesNewRomanPSMT"/>
                <w:szCs w:val="21"/>
              </w:rPr>
              <w:t>3</w:t>
            </w:r>
            <w:r>
              <w:rPr>
                <w:rFonts w:hint="eastAsia" w:ascii="MicrosoftJhengHeiRegular" w:eastAsia="MicrosoftJhengHeiRegular" w:cs="MicrosoftJhengHeiRegular"/>
                <w:szCs w:val="21"/>
              </w:rPr>
              <w:t>）</w:t>
            </w:r>
          </w:p>
        </w:tc>
        <w:tc>
          <w:tcPr>
            <w:tcW w:w="387" w:type="dxa"/>
            <w:vMerge w:val="restart"/>
            <w:tcBorders>
              <w:top w:val="single" w:color="auto" w:sz="4" w:space="0"/>
              <w:left w:val="single" w:color="auto" w:sz="4" w:space="0"/>
              <w:right w:val="single" w:color="auto" w:sz="4" w:space="0"/>
            </w:tcBorders>
            <w:noWrap w:val="0"/>
            <w:vAlign w:val="center"/>
          </w:tcPr>
          <w:p>
            <w:pPr>
              <w:spacing w:line="400" w:lineRule="exact"/>
              <w:ind w:left="105" w:leftChars="50" w:right="105" w:rightChars="50"/>
              <w:jc w:val="center"/>
              <w:rPr>
                <w:rFonts w:ascii="宋体" w:hAnsi="宋体"/>
                <w:szCs w:val="21"/>
              </w:rPr>
            </w:pPr>
            <w:r>
              <w:rPr>
                <w:rFonts w:hint="eastAsia" w:ascii="宋体" w:hAnsi="宋体"/>
                <w:szCs w:val="21"/>
              </w:rPr>
              <w:t>其他因素</w:t>
            </w:r>
          </w:p>
        </w:tc>
        <w:tc>
          <w:tcPr>
            <w:tcW w:w="709" w:type="dxa"/>
            <w:vMerge w:val="restart"/>
            <w:tcBorders>
              <w:top w:val="single" w:color="auto" w:sz="4" w:space="0"/>
              <w:left w:val="single" w:color="auto" w:sz="4" w:space="0"/>
              <w:right w:val="single" w:color="auto" w:sz="4" w:space="0"/>
            </w:tcBorders>
            <w:noWrap w:val="0"/>
            <w:vAlign w:val="center"/>
          </w:tcPr>
          <w:p>
            <w:pPr>
              <w:spacing w:line="400" w:lineRule="exact"/>
              <w:ind w:left="105" w:leftChars="50" w:right="105" w:rightChars="50"/>
              <w:jc w:val="center"/>
              <w:rPr>
                <w:rFonts w:ascii="宋体" w:hAnsi="宋体"/>
                <w:szCs w:val="21"/>
              </w:rPr>
            </w:pPr>
            <w:r>
              <w:rPr>
                <w:rFonts w:hint="eastAsia" w:ascii="宋体" w:hAnsi="宋体"/>
                <w:szCs w:val="21"/>
              </w:rPr>
              <w:t>技术能力</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rPr>
                <w:rFonts w:ascii="宋体" w:hAnsi="宋体"/>
                <w:szCs w:val="21"/>
              </w:rPr>
            </w:pPr>
            <w:r>
              <w:rPr>
                <w:rFonts w:hint="eastAsia" w:ascii="宋体" w:hAnsi="宋体"/>
                <w:szCs w:val="21"/>
              </w:rPr>
              <w:t>12分</w:t>
            </w:r>
          </w:p>
        </w:tc>
        <w:tc>
          <w:tcPr>
            <w:tcW w:w="7373"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rPr>
                <w:rFonts w:ascii="宋体" w:hAnsi="宋体"/>
                <w:szCs w:val="21"/>
              </w:rPr>
            </w:pPr>
            <w:r>
              <w:rPr>
                <w:rFonts w:hint="eastAsia" w:ascii="宋体" w:hAnsi="宋体"/>
                <w:szCs w:val="21"/>
              </w:rPr>
              <w:t>（1）投标人获得与公路工程施工有关的国家级工法、专利（发明专利或实用新型专利）、国家级科学技术进步奖、鲁班奖、詹天佑奖、主编或参编过国家标准，每项加2</w:t>
            </w:r>
            <w:r>
              <w:rPr>
                <w:rFonts w:ascii="宋体" w:hAnsi="宋体"/>
                <w:szCs w:val="21"/>
              </w:rPr>
              <w:t>.0</w:t>
            </w:r>
            <w:r>
              <w:rPr>
                <w:rFonts w:hint="eastAsia" w:ascii="宋体" w:hAnsi="宋体"/>
                <w:szCs w:val="21"/>
              </w:rPr>
              <w:t>分；</w:t>
            </w:r>
          </w:p>
          <w:p>
            <w:pPr>
              <w:spacing w:line="400" w:lineRule="exact"/>
              <w:ind w:left="105" w:leftChars="50" w:right="105" w:rightChars="50"/>
              <w:rPr>
                <w:rFonts w:ascii="宋体" w:hAnsi="宋体"/>
                <w:szCs w:val="21"/>
              </w:rPr>
            </w:pPr>
            <w:r>
              <w:rPr>
                <w:rFonts w:hint="eastAsia" w:ascii="宋体" w:hAnsi="宋体"/>
                <w:szCs w:val="21"/>
              </w:rPr>
              <w:t>（2）投标人获得省级科学技术进步奖，主编或参编过的行业或地方（指省级）标准，每项加1.0分。</w:t>
            </w:r>
          </w:p>
          <w:p>
            <w:pPr>
              <w:spacing w:line="400" w:lineRule="exact"/>
              <w:ind w:left="105" w:leftChars="50" w:right="105" w:rightChars="50"/>
              <w:rPr>
                <w:rFonts w:ascii="宋体" w:hAnsi="宋体"/>
                <w:szCs w:val="21"/>
              </w:rPr>
            </w:pPr>
            <w:r>
              <w:rPr>
                <w:rFonts w:hint="eastAsia" w:ascii="宋体" w:hAnsi="宋体"/>
                <w:szCs w:val="21"/>
              </w:rPr>
              <w:t>注：本项累计加分最高得12分，同一项目同时满足上述加分条件的，不重复加分，只加一次分，按较高分计。</w:t>
            </w:r>
          </w:p>
        </w:tc>
      </w:tr>
      <w:tr>
        <w:tblPrEx>
          <w:tblCellMar>
            <w:top w:w="0" w:type="dxa"/>
            <w:left w:w="0" w:type="dxa"/>
            <w:bottom w:w="0" w:type="dxa"/>
            <w:right w:w="0" w:type="dxa"/>
          </w:tblCellMar>
        </w:tblPrEx>
        <w:trPr>
          <w:trHeight w:val="1478" w:hRule="atLeast"/>
          <w:jc w:val="center"/>
        </w:trPr>
        <w:tc>
          <w:tcPr>
            <w:tcW w:w="1031" w:type="dxa"/>
            <w:vMerge w:val="continue"/>
            <w:tcBorders>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pPr>
          </w:p>
        </w:tc>
        <w:tc>
          <w:tcPr>
            <w:tcW w:w="387" w:type="dxa"/>
            <w:vMerge w:val="continue"/>
            <w:tcBorders>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pPr>
          </w:p>
        </w:tc>
        <w:tc>
          <w:tcPr>
            <w:tcW w:w="709" w:type="dxa"/>
            <w:vMerge w:val="continue"/>
            <w:tcBorders>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rPr>
                <w:rFonts w:ascii="宋体" w:hAnsi="宋体"/>
                <w:szCs w:val="21"/>
              </w:rPr>
            </w:pPr>
            <w:r>
              <w:rPr>
                <w:rFonts w:hint="eastAsia" w:ascii="宋体" w:hAnsi="宋体"/>
                <w:szCs w:val="21"/>
              </w:rPr>
              <w:t>3分</w:t>
            </w:r>
          </w:p>
        </w:tc>
        <w:tc>
          <w:tcPr>
            <w:tcW w:w="7373"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firstLine="420" w:firstLineChars="200"/>
              <w:rPr>
                <w:rFonts w:hint="eastAsia" w:ascii="宋体" w:hAnsi="宋体" w:cs="宋体"/>
              </w:rPr>
            </w:pPr>
            <w:r>
              <w:rPr>
                <w:rFonts w:hint="eastAsia" w:ascii="宋体" w:hAnsi="宋体" w:cs="宋体"/>
              </w:rPr>
              <w:t>由于本项目施工工期短，为能在保证工程质量及施工安全的前提下如期开工、按时、保质完成施工任务，投标人在江门市辖区内自有或租赁额定生产能力320t/h或以上，且具有排污许可的沥青砼拌和设备，提供1座，加3.0分，最多加3.0分。</w:t>
            </w:r>
          </w:p>
          <w:p>
            <w:pPr>
              <w:spacing w:line="400" w:lineRule="exact"/>
              <w:ind w:left="105" w:leftChars="50" w:right="105" w:rightChars="50" w:firstLine="420" w:firstLineChars="200"/>
              <w:rPr>
                <w:rFonts w:hint="eastAsia" w:ascii="宋体" w:hAnsi="宋体" w:cs="宋体"/>
              </w:rPr>
            </w:pPr>
            <w:bookmarkStart w:id="0" w:name="_GoBack"/>
            <w:bookmarkEnd w:id="0"/>
            <w:r>
              <w:rPr>
                <w:rFonts w:hint="eastAsia" w:ascii="宋体" w:hAnsi="宋体" w:cs="宋体"/>
              </w:rPr>
              <w:t>注：1.投标人需提供①设备发票复印件或租赁合同复印件、②设备出厂合格证复印件、③在“全国排污许可证管理信息平台（网址：http://permit.mee.gov.cn）、许可信息公开”中查询到排污许可相关信息的网页截图复印件或网页打印件，不符合要求不得分。</w:t>
            </w:r>
          </w:p>
          <w:p>
            <w:pPr>
              <w:pStyle w:val="2"/>
              <w:spacing w:line="400" w:lineRule="exact"/>
              <w:jc w:val="left"/>
              <w:rPr>
                <w:rFonts w:hint="eastAsia" w:ascii="宋体" w:hAnsi="宋体" w:cs="宋体"/>
                <w:sz w:val="21"/>
              </w:rPr>
            </w:pPr>
            <w:r>
              <w:rPr>
                <w:rFonts w:hint="eastAsia" w:ascii="宋体" w:hAnsi="宋体" w:cs="宋体"/>
                <w:sz w:val="21"/>
              </w:rPr>
              <w:t>2.沥青砼拌和设备所在位置以在“全国排污许可证管理信息平台（网址：http://permit.mee.gov.cn）、许可信息公开”中查询到的地址为准。</w:t>
            </w:r>
          </w:p>
          <w:p>
            <w:pPr>
              <w:spacing w:line="400" w:lineRule="exact"/>
              <w:ind w:left="105" w:leftChars="50" w:right="105" w:rightChars="50" w:firstLine="420" w:firstLineChars="200"/>
              <w:jc w:val="left"/>
              <w:rPr>
                <w:rFonts w:hint="eastAsia" w:ascii="宋体" w:hAnsi="宋体"/>
                <w:szCs w:val="21"/>
              </w:rPr>
            </w:pPr>
            <w:r>
              <w:rPr>
                <w:rFonts w:hint="eastAsia" w:ascii="宋体" w:hAnsi="宋体" w:cs="宋体"/>
              </w:rPr>
              <w:t>3.中标公示期间，招标人将对中标候选人自有或租赁的沥青砼拌和设备进行实地核查，发现有弄虚作假的情况的，招标人按本招标文件投标须知前附表3.5.11条款处理。</w:t>
            </w:r>
          </w:p>
        </w:tc>
      </w:tr>
      <w:tr>
        <w:tblPrEx>
          <w:tblCellMar>
            <w:top w:w="0" w:type="dxa"/>
            <w:left w:w="0" w:type="dxa"/>
            <w:bottom w:w="0" w:type="dxa"/>
            <w:right w:w="0" w:type="dxa"/>
          </w:tblCellMar>
        </w:tblPrEx>
        <w:trPr>
          <w:trHeight w:val="4812" w:hRule="atLeast"/>
          <w:jc w:val="center"/>
        </w:trPr>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rPr>
                <w:rFonts w:ascii="TimesNewRomanPSMT" w:eastAsia="TimesNewRomanPSMT" w:cs="TimesNewRomanPSMT"/>
                <w:szCs w:val="21"/>
              </w:rPr>
            </w:pPr>
          </w:p>
        </w:tc>
        <w:tc>
          <w:tcPr>
            <w:tcW w:w="3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rPr>
                <w:rFonts w:ascii="宋体" w:hAnsi="宋体"/>
                <w:szCs w:val="21"/>
              </w:rPr>
            </w:pPr>
            <w:r>
              <w:rPr>
                <w:rFonts w:hint="eastAsia" w:ascii="宋体" w:hAnsi="宋体"/>
                <w:szCs w:val="21"/>
              </w:rPr>
              <w:t>履约信誉</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rPr>
                <w:rFonts w:ascii="宋体" w:hAnsi="宋体"/>
                <w:szCs w:val="21"/>
              </w:rPr>
            </w:pPr>
            <w:r>
              <w:rPr>
                <w:rFonts w:ascii="宋体" w:hAnsi="宋体"/>
                <w:szCs w:val="21"/>
              </w:rPr>
              <w:t>15</w:t>
            </w:r>
            <w:r>
              <w:rPr>
                <w:rFonts w:hint="eastAsia" w:ascii="宋体" w:hAnsi="宋体"/>
                <w:szCs w:val="21"/>
              </w:rPr>
              <w:t>分</w:t>
            </w:r>
          </w:p>
        </w:tc>
        <w:tc>
          <w:tcPr>
            <w:tcW w:w="737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szCs w:val="21"/>
              </w:rPr>
            </w:pPr>
            <w:r>
              <w:rPr>
                <w:szCs w:val="21"/>
              </w:rPr>
              <w:t>1. 信用等级分值（</w:t>
            </w:r>
            <w:r>
              <w:rPr>
                <w:rFonts w:hint="eastAsia" w:ascii="宋体" w:hAnsi="宋体" w:cs="宋体"/>
                <w:szCs w:val="21"/>
              </w:rPr>
              <w:t>10</w:t>
            </w:r>
            <w:r>
              <w:rPr>
                <w:szCs w:val="21"/>
              </w:rPr>
              <w:t>分）</w:t>
            </w:r>
          </w:p>
          <w:p>
            <w:pPr>
              <w:spacing w:line="360" w:lineRule="exact"/>
              <w:ind w:left="42" w:leftChars="20" w:right="42" w:rightChars="20" w:firstLine="420" w:firstLineChars="200"/>
              <w:rPr>
                <w:szCs w:val="21"/>
              </w:rPr>
            </w:pPr>
            <w:r>
              <w:rPr>
                <w:szCs w:val="21"/>
              </w:rPr>
              <w:t>AA、A、B、C级单位的信用等级分得分分别为10、9.5、8.9、7.3分。</w:t>
            </w:r>
          </w:p>
          <w:p>
            <w:pPr>
              <w:spacing w:line="360" w:lineRule="exact"/>
              <w:ind w:left="42" w:leftChars="20" w:right="42" w:rightChars="20"/>
              <w:rPr>
                <w:szCs w:val="21"/>
              </w:rPr>
            </w:pPr>
            <w:r>
              <w:rPr>
                <w:szCs w:val="21"/>
              </w:rPr>
              <w:t>注：信用等级的确定原则遵循投标人须知前附表10.2 款的规定。</w:t>
            </w:r>
          </w:p>
          <w:p>
            <w:pPr>
              <w:pStyle w:val="2"/>
              <w:spacing w:line="360" w:lineRule="exact"/>
              <w:ind w:left="20" w:right="20" w:firstLine="0"/>
              <w:rPr>
                <w:sz w:val="21"/>
                <w:szCs w:val="21"/>
              </w:rPr>
            </w:pPr>
            <w:r>
              <w:rPr>
                <w:sz w:val="21"/>
                <w:szCs w:val="21"/>
              </w:rPr>
              <w:t>2.履约情况（5分）</w:t>
            </w:r>
          </w:p>
          <w:p>
            <w:pPr>
              <w:pStyle w:val="2"/>
              <w:spacing w:line="360" w:lineRule="exact"/>
              <w:ind w:left="20" w:right="20" w:firstLine="420" w:firstLineChars="200"/>
              <w:rPr>
                <w:sz w:val="21"/>
                <w:szCs w:val="21"/>
              </w:rPr>
            </w:pPr>
            <w:r>
              <w:rPr>
                <w:sz w:val="21"/>
                <w:szCs w:val="21"/>
              </w:rPr>
              <w:t>若没出现下述情形得满分；</w:t>
            </w:r>
          </w:p>
          <w:p>
            <w:pPr>
              <w:pStyle w:val="2"/>
              <w:spacing w:line="360" w:lineRule="exact"/>
              <w:ind w:left="20" w:right="20" w:firstLine="420" w:firstLineChars="200"/>
              <w:rPr>
                <w:sz w:val="21"/>
                <w:szCs w:val="21"/>
              </w:rPr>
            </w:pPr>
            <w:r>
              <w:rPr>
                <w:sz w:val="21"/>
                <w:szCs w:val="21"/>
              </w:rPr>
              <w:t>自2021年1</w:t>
            </w:r>
            <w:r>
              <w:rPr>
                <w:rFonts w:hint="eastAsia"/>
                <w:sz w:val="21"/>
                <w:szCs w:val="21"/>
              </w:rPr>
              <w:t>1</w:t>
            </w:r>
            <w:r>
              <w:rPr>
                <w:sz w:val="21"/>
                <w:szCs w:val="21"/>
              </w:rPr>
              <w:t>月1日至投标文件递交截止日（投标文件递交截止日前1年内），因公路工程（含附属设施）质量、安全、履约或招标投标问题等原因被：</w:t>
            </w:r>
          </w:p>
          <w:p>
            <w:pPr>
              <w:pStyle w:val="2"/>
              <w:spacing w:line="360" w:lineRule="exact"/>
              <w:ind w:left="20" w:right="20" w:firstLine="0"/>
              <w:rPr>
                <w:sz w:val="21"/>
                <w:szCs w:val="21"/>
              </w:rPr>
            </w:pPr>
            <w:r>
              <w:rPr>
                <w:sz w:val="21"/>
                <w:szCs w:val="21"/>
              </w:rPr>
              <w:t>（1）交通运输部通报批评的，扣5分/次；</w:t>
            </w:r>
          </w:p>
          <w:p>
            <w:pPr>
              <w:pStyle w:val="2"/>
              <w:spacing w:line="360" w:lineRule="exact"/>
              <w:ind w:left="20" w:right="20" w:firstLine="0"/>
              <w:rPr>
                <w:sz w:val="21"/>
                <w:szCs w:val="21"/>
              </w:rPr>
            </w:pPr>
            <w:r>
              <w:rPr>
                <w:sz w:val="21"/>
                <w:szCs w:val="21"/>
              </w:rPr>
              <w:t>（2）广东省交通运输厅通报批评的，扣4分/次；</w:t>
            </w:r>
          </w:p>
          <w:p>
            <w:pPr>
              <w:pStyle w:val="2"/>
              <w:spacing w:line="360" w:lineRule="exact"/>
              <w:ind w:left="20" w:right="20" w:firstLine="0"/>
              <w:rPr>
                <w:sz w:val="21"/>
                <w:szCs w:val="21"/>
              </w:rPr>
            </w:pPr>
            <w:r>
              <w:rPr>
                <w:sz w:val="21"/>
                <w:szCs w:val="21"/>
              </w:rPr>
              <w:t>（3）</w:t>
            </w:r>
            <w:r>
              <w:rPr>
                <w:sz w:val="21"/>
                <w:szCs w:val="21"/>
                <w:u w:val="single"/>
              </w:rPr>
              <w:t>项目所在地地市级交通运输局（委）、本项目招标人或招标人上级管理单位通报批评的，扣1分/次</w:t>
            </w:r>
            <w:r>
              <w:rPr>
                <w:sz w:val="21"/>
                <w:szCs w:val="21"/>
              </w:rPr>
              <w:t>；</w:t>
            </w:r>
          </w:p>
          <w:p>
            <w:pPr>
              <w:pStyle w:val="2"/>
              <w:spacing w:line="360" w:lineRule="exact"/>
              <w:ind w:left="20" w:right="20" w:firstLine="420" w:firstLineChars="200"/>
              <w:rPr>
                <w:rFonts w:hint="eastAsia"/>
              </w:rPr>
            </w:pPr>
            <w:r>
              <w:rPr>
                <w:sz w:val="21"/>
                <w:szCs w:val="21"/>
              </w:rPr>
              <w:t>同一事项同时被多个部门通报批评只按最高的扣分计算1次。如果扣完本项分值，可以从总分中扣。</w:t>
            </w:r>
          </w:p>
        </w:tc>
      </w:tr>
      <w:tr>
        <w:tblPrEx>
          <w:tblCellMar>
            <w:top w:w="0" w:type="dxa"/>
            <w:left w:w="0" w:type="dxa"/>
            <w:bottom w:w="0" w:type="dxa"/>
            <w:right w:w="0" w:type="dxa"/>
          </w:tblCellMar>
        </w:tblPrEx>
        <w:trPr>
          <w:trHeight w:val="567" w:hRule="atLeast"/>
          <w:jc w:val="center"/>
        </w:trPr>
        <w:tc>
          <w:tcPr>
            <w:tcW w:w="10208"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szCs w:val="21"/>
              </w:rPr>
            </w:pPr>
            <w:r>
              <w:rPr>
                <w:rFonts w:ascii="宋体" w:hAnsi="宋体"/>
                <w:szCs w:val="21"/>
              </w:rPr>
              <w:t>需要补充的其他内容：</w:t>
            </w:r>
            <w:r>
              <w:rPr>
                <w:rFonts w:hint="eastAsia" w:ascii="宋体" w:hAnsi="宋体"/>
                <w:szCs w:val="21"/>
              </w:rPr>
              <w:t>无</w:t>
            </w:r>
          </w:p>
        </w:tc>
      </w:tr>
    </w:tbl>
    <w:p/>
    <w:p>
      <w:r>
        <w:br w:type="page"/>
      </w:r>
    </w:p>
    <w:tbl>
      <w:tblPr>
        <w:tblStyle w:val="6"/>
        <w:tblW w:w="10208" w:type="dxa"/>
        <w:jc w:val="center"/>
        <w:tblLayout w:type="fixed"/>
        <w:tblCellMar>
          <w:top w:w="0" w:type="dxa"/>
          <w:left w:w="0" w:type="dxa"/>
          <w:bottom w:w="0" w:type="dxa"/>
          <w:right w:w="0" w:type="dxa"/>
        </w:tblCellMar>
      </w:tblPr>
      <w:tblGrid>
        <w:gridCol w:w="1031"/>
        <w:gridCol w:w="9177"/>
      </w:tblGrid>
      <w:tr>
        <w:tblPrEx>
          <w:tblCellMar>
            <w:top w:w="0" w:type="dxa"/>
            <w:left w:w="0" w:type="dxa"/>
            <w:bottom w:w="0" w:type="dxa"/>
            <w:right w:w="0" w:type="dxa"/>
          </w:tblCellMar>
        </w:tblPrEx>
        <w:trPr>
          <w:trHeight w:val="567"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rPr>
                <w:rFonts w:ascii="TimesNewRomanPSMT" w:eastAsia="TimesNewRomanPSMT" w:cs="TimesNewRomanPSMT"/>
                <w:szCs w:val="21"/>
              </w:rPr>
            </w:pPr>
            <w:r>
              <w:rPr>
                <w:rFonts w:hint="eastAsia" w:ascii="宋体" w:cs="宋体"/>
                <w:szCs w:val="21"/>
              </w:rPr>
              <w:t>条款号</w:t>
            </w:r>
          </w:p>
        </w:tc>
        <w:tc>
          <w:tcPr>
            <w:tcW w:w="917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jc w:val="center"/>
              <w:rPr>
                <w:szCs w:val="21"/>
              </w:rPr>
            </w:pPr>
            <w:r>
              <w:rPr>
                <w:rFonts w:hint="eastAsia"/>
                <w:szCs w:val="21"/>
              </w:rPr>
              <w:t>补充或修改的内容</w:t>
            </w:r>
          </w:p>
        </w:tc>
      </w:tr>
      <w:tr>
        <w:tblPrEx>
          <w:tblCellMar>
            <w:top w:w="0" w:type="dxa"/>
            <w:left w:w="0" w:type="dxa"/>
            <w:bottom w:w="0" w:type="dxa"/>
            <w:right w:w="0" w:type="dxa"/>
          </w:tblCellMar>
        </w:tblPrEx>
        <w:trPr>
          <w:trHeight w:val="1975"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rPr>
                <w:rFonts w:ascii="TimesNewRomanPSMT" w:eastAsia="TimesNewRomanPSMT" w:cs="TimesNewRomanPSMT"/>
                <w:szCs w:val="21"/>
              </w:rPr>
            </w:pPr>
            <w:r>
              <w:rPr>
                <w:rFonts w:hint="eastAsia" w:ascii="TimesNewRomanPSMT" w:eastAsia="TimesNewRomanPSMT" w:cs="TimesNewRomanPSMT"/>
                <w:szCs w:val="21"/>
              </w:rPr>
              <w:t>1</w:t>
            </w:r>
          </w:p>
        </w:tc>
        <w:tc>
          <w:tcPr>
            <w:tcW w:w="917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42" w:rightChars="20"/>
              <w:rPr>
                <w:rFonts w:ascii="宋体" w:hAnsi="宋体"/>
                <w:b/>
                <w:szCs w:val="21"/>
              </w:rPr>
            </w:pPr>
            <w:r>
              <w:rPr>
                <w:rFonts w:ascii="宋体" w:hAnsi="宋体"/>
                <w:b/>
                <w:szCs w:val="21"/>
              </w:rPr>
              <w:t>将评标办法原文第1条“评标方法”改为“评标方法、组织及工作程序”，原文内容修改如下：</w:t>
            </w:r>
          </w:p>
          <w:p>
            <w:pPr>
              <w:pStyle w:val="8"/>
              <w:spacing w:line="360" w:lineRule="exact"/>
              <w:ind w:left="42" w:leftChars="20" w:right="42" w:rightChars="20"/>
              <w:rPr>
                <w:rFonts w:ascii="宋体" w:hAnsi="宋体" w:cs="宋体"/>
                <w:szCs w:val="21"/>
              </w:rPr>
            </w:pPr>
            <w:r>
              <w:rPr>
                <w:rFonts w:ascii="宋体" w:hAnsi="宋体" w:cs="宋体"/>
                <w:szCs w:val="21"/>
              </w:rPr>
              <w:t>1.评标方法、组织及工作程序</w:t>
            </w:r>
          </w:p>
          <w:p>
            <w:pPr>
              <w:pStyle w:val="8"/>
              <w:spacing w:line="360" w:lineRule="exact"/>
              <w:ind w:left="42" w:leftChars="20" w:right="42" w:rightChars="20"/>
              <w:rPr>
                <w:rFonts w:ascii="宋体" w:hAnsi="宋体" w:cs="宋体"/>
                <w:szCs w:val="21"/>
              </w:rPr>
            </w:pPr>
            <w:r>
              <w:rPr>
                <w:rFonts w:ascii="宋体" w:hAnsi="宋体" w:cs="宋体"/>
                <w:szCs w:val="21"/>
              </w:rPr>
              <w:t>1.1评标方法</w:t>
            </w:r>
          </w:p>
          <w:p>
            <w:pPr>
              <w:pStyle w:val="8"/>
              <w:spacing w:line="360" w:lineRule="exact"/>
              <w:ind w:left="42" w:leftChars="20" w:right="42" w:rightChars="20" w:firstLine="420" w:firstLineChars="200"/>
              <w:rPr>
                <w:rFonts w:ascii="宋体" w:hAnsi="宋体" w:cs="宋体"/>
                <w:szCs w:val="21"/>
              </w:rPr>
            </w:pPr>
            <w:r>
              <w:rPr>
                <w:rFonts w:hint="eastAsia" w:ascii="宋体" w:hAnsi="宋体" w:cs="宋体"/>
                <w:szCs w:val="21"/>
              </w:rPr>
              <w:t>本次评标采用双信封的技术评分最低标价法。评标委员会对满足招标文件实质性要求的投标文件，按照本章第 2.2 款规定对通过初步评审的投标人的施工组织设计、主要人员、其他因素等进行评分，按照得分由高到低排序，对排名在招标文件规定数量前 5名</w:t>
            </w:r>
            <w:r>
              <w:rPr>
                <w:rFonts w:hint="eastAsia" w:ascii="宋体" w:hAnsi="宋体" w:cs="宋体"/>
                <w:snapToGrid w:val="0"/>
                <w:kern w:val="0"/>
                <w:szCs w:val="21"/>
              </w:rPr>
              <w:t>（不少于3名但不足5名时，按全部实际数量）</w:t>
            </w:r>
            <w:r>
              <w:rPr>
                <w:rFonts w:hint="eastAsia" w:ascii="宋体" w:hAnsi="宋体" w:cs="宋体"/>
                <w:szCs w:val="21"/>
              </w:rPr>
              <w:t>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r>
              <w:rPr>
                <w:rFonts w:ascii="宋体" w:hAnsi="宋体" w:cs="宋体"/>
                <w:szCs w:val="21"/>
              </w:rPr>
              <w:t>。</w:t>
            </w:r>
          </w:p>
          <w:p>
            <w:pPr>
              <w:pStyle w:val="8"/>
              <w:spacing w:line="360" w:lineRule="exact"/>
              <w:ind w:left="42" w:leftChars="20" w:right="42" w:rightChars="20"/>
              <w:rPr>
                <w:rFonts w:ascii="宋体" w:hAnsi="宋体" w:cs="宋体"/>
                <w:szCs w:val="21"/>
              </w:rPr>
            </w:pPr>
            <w:r>
              <w:rPr>
                <w:rFonts w:ascii="宋体" w:hAnsi="宋体" w:cs="宋体"/>
                <w:szCs w:val="21"/>
              </w:rPr>
              <w:t>1.2评标组织</w:t>
            </w:r>
          </w:p>
          <w:p>
            <w:pPr>
              <w:pStyle w:val="8"/>
              <w:spacing w:line="360" w:lineRule="exact"/>
              <w:ind w:left="42" w:leftChars="20" w:right="42" w:rightChars="20"/>
              <w:rPr>
                <w:rFonts w:ascii="宋体" w:hAnsi="宋体" w:cs="宋体"/>
                <w:szCs w:val="21"/>
              </w:rPr>
            </w:pPr>
            <w:r>
              <w:rPr>
                <w:rFonts w:ascii="宋体" w:hAnsi="宋体" w:cs="宋体"/>
                <w:szCs w:val="21"/>
              </w:rPr>
              <w:t>1.2.1协助工作组</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招标人可在评标工作开始前成立协助工作组，选派熟悉招标工作、政治素质高的人员组成，协助评标委员会工作。协助工作组人员的具体数量由招标人视评标工作量确定。</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招标人可以协助评标委员会开展下列工作并提供相关信息：</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（1）根据招标文件，编制评标使用的相应表格；</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（2）对投标报价进行算术性校核（如采用固化工程量清单，本步骤省略）；</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（3）以评标标准和方法为依据，列出投标文件相对于招标文件的所有偏差，并进行归类汇总；</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（4）查询公路建设市场信用信息管理系统，对投标人的资质、业绩、主要人员资历和目前在岗情况、信用等级进行核实。</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招标人不得对投标文件作出任何评价，不得故意遗漏或者片面摘录，不得在评标委员会对所有偏差定性之前透露存有偏差的投标人名称。</w:t>
            </w:r>
          </w:p>
          <w:p>
            <w:pPr>
              <w:pStyle w:val="8"/>
              <w:spacing w:line="360" w:lineRule="exact"/>
              <w:ind w:left="42" w:leftChars="20" w:right="42" w:rightChars="20"/>
              <w:rPr>
                <w:rFonts w:ascii="宋体" w:hAnsi="宋体" w:cs="宋体"/>
                <w:szCs w:val="21"/>
              </w:rPr>
            </w:pPr>
            <w:r>
              <w:rPr>
                <w:rFonts w:ascii="宋体" w:hAnsi="宋体" w:cs="宋体"/>
                <w:szCs w:val="21"/>
              </w:rPr>
              <w:t>1.2.2评标委员会</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评标委员会由招标人按国家、广东省等的有关规定依法组建。评标委员会的主要工作内容包括：</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（1）评标委员会开始评标工作之前，首先听取招标人、协助工作组关于工程情况和辅助工作的说明，并认真研读招标文件，获取评标所需的重要信息和数据；</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（2）对协助工作组提供的评标工作用表和评标内容进行核查；</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（3）按照以下1.3款程序进行各项评审工作。</w:t>
            </w:r>
          </w:p>
          <w:p>
            <w:pPr>
              <w:pStyle w:val="8"/>
              <w:spacing w:line="360" w:lineRule="exact"/>
              <w:ind w:left="42" w:leftChars="20" w:right="42" w:rightChars="20"/>
              <w:rPr>
                <w:rFonts w:ascii="宋体" w:hAnsi="宋体" w:cs="宋体"/>
                <w:szCs w:val="21"/>
              </w:rPr>
            </w:pPr>
            <w:r>
              <w:rPr>
                <w:rFonts w:ascii="宋体" w:hAnsi="宋体" w:cs="宋体"/>
                <w:szCs w:val="21"/>
              </w:rPr>
              <w:t>1.3评审工作程序</w:t>
            </w:r>
          </w:p>
          <w:p>
            <w:pPr>
              <w:pStyle w:val="8"/>
              <w:spacing w:line="360" w:lineRule="exact"/>
              <w:ind w:left="42" w:leftChars="20" w:right="42" w:rightChars="20"/>
              <w:rPr>
                <w:rFonts w:ascii="宋体" w:hAnsi="宋体" w:cs="宋体"/>
                <w:szCs w:val="21"/>
              </w:rPr>
            </w:pPr>
            <w:r>
              <w:rPr>
                <w:rFonts w:ascii="宋体" w:hAnsi="宋体" w:cs="宋体"/>
                <w:szCs w:val="21"/>
              </w:rPr>
              <w:t>评标委员会将按以下程序开展评标工作：</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（一）第一信封（商务及技术文件）的评审：</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1、初步评审：包括对投标文件进行形式评审与响应性评审、资格评审（适用于未进行资格预审）；</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2、详细评审：</w:t>
            </w:r>
            <w:r>
              <w:t>（评审打分</w:t>
            </w:r>
            <w:r>
              <w:rPr>
                <w:spacing w:val="-67"/>
              </w:rPr>
              <w:t>）</w:t>
            </w:r>
            <w:r>
              <w:rPr>
                <w:spacing w:val="-9"/>
              </w:rPr>
              <w:t>：评标委员会首先对通过第一信封初步评审的投标文件进行详细评审，对投标人的施工组织设计、主要人员、其他因素等分别评审打分，并按照综合得分由高到低排序，排名在招标文件规定数量</w:t>
            </w:r>
            <w:r>
              <w:rPr>
                <w:spacing w:val="-23"/>
              </w:rPr>
              <w:t>前</w:t>
            </w:r>
            <w:r>
              <w:rPr>
                <w:rFonts w:hint="eastAsia" w:ascii="宋体" w:hAnsi="宋体" w:cs="宋体"/>
                <w:spacing w:val="-23"/>
              </w:rPr>
              <w:t>5</w:t>
            </w:r>
            <w:r>
              <w:rPr>
                <w:spacing w:val="-23"/>
              </w:rPr>
              <w:t>名</w:t>
            </w:r>
            <w:r>
              <w:rPr>
                <w:rFonts w:hint="eastAsia" w:ascii="宋体" w:hAnsi="宋体" w:cs="宋体"/>
                <w:snapToGrid w:val="0"/>
                <w:kern w:val="0"/>
                <w:szCs w:val="21"/>
              </w:rPr>
              <w:t>（不少于3名但不足5名时，按全部实际数量）</w:t>
            </w:r>
            <w:r>
              <w:t>的投标人，其投标文件第一信封（商务及技术文件）通过详细评审</w:t>
            </w:r>
            <w:r>
              <w:rPr>
                <w:rFonts w:ascii="宋体" w:hAnsi="宋体" w:cs="宋体"/>
                <w:szCs w:val="21"/>
              </w:rPr>
              <w:t>；</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（二）第二信封（报价文件）的评审：</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1、初步评审：</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（1）只有投标文件第一个信封通过详细评审的投标人才能继续参加第二信封报价文件的形式评审与响应性评审；</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（2）报价算术性修正（如采用固化工程量清单，本步骤省略）；</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2、详细评审：</w:t>
            </w:r>
            <w:r>
              <w:rPr>
                <w:rFonts w:hint="eastAsia" w:ascii="宋体" w:hAnsi="宋体" w:cs="宋体"/>
                <w:szCs w:val="21"/>
              </w:rPr>
              <w:t>计算评标价。</w:t>
            </w:r>
          </w:p>
          <w:p>
            <w:pPr>
              <w:pStyle w:val="8"/>
              <w:spacing w:line="360" w:lineRule="exact"/>
              <w:ind w:left="42" w:leftChars="20" w:right="42" w:rightChars="20" w:firstLine="210" w:firstLineChars="100"/>
              <w:rPr>
                <w:rFonts w:ascii="宋体" w:hAnsi="宋体" w:cs="宋体"/>
                <w:szCs w:val="21"/>
              </w:rPr>
            </w:pPr>
            <w:r>
              <w:rPr>
                <w:rFonts w:ascii="宋体" w:hAnsi="宋体" w:cs="宋体"/>
                <w:szCs w:val="21"/>
              </w:rPr>
              <w:t>（三）投标文件相关信息的核查。</w:t>
            </w:r>
          </w:p>
          <w:p>
            <w:pPr>
              <w:pStyle w:val="8"/>
              <w:spacing w:line="360" w:lineRule="exact"/>
              <w:ind w:left="42" w:leftChars="20" w:right="42" w:rightChars="20" w:firstLine="315" w:firstLineChars="150"/>
              <w:rPr>
                <w:rFonts w:ascii="宋体" w:hAnsi="宋体" w:cs="宋体"/>
                <w:szCs w:val="21"/>
              </w:rPr>
            </w:pPr>
            <w:r>
              <w:rPr>
                <w:rFonts w:ascii="宋体" w:hAnsi="宋体" w:cs="宋体"/>
                <w:szCs w:val="21"/>
              </w:rPr>
              <w:t>（</w:t>
            </w:r>
            <w:r>
              <w:rPr>
                <w:rFonts w:hint="eastAsia" w:ascii="宋体" w:hAnsi="宋体" w:cs="宋体"/>
                <w:szCs w:val="21"/>
              </w:rPr>
              <w:t>四</w:t>
            </w:r>
            <w:r>
              <w:rPr>
                <w:rFonts w:ascii="宋体" w:hAnsi="宋体" w:cs="宋体"/>
                <w:szCs w:val="21"/>
              </w:rPr>
              <w:t>）投标文件的澄清和说明(如有)</w:t>
            </w:r>
          </w:p>
          <w:p>
            <w:pPr>
              <w:pStyle w:val="8"/>
              <w:spacing w:line="360" w:lineRule="exact"/>
              <w:ind w:left="42" w:leftChars="20" w:right="42" w:rightChars="20" w:firstLine="315" w:firstLineChars="150"/>
              <w:rPr>
                <w:rFonts w:hint="eastAsia" w:ascii="宋体" w:hAnsi="宋体" w:cs="宋体"/>
                <w:szCs w:val="21"/>
              </w:rPr>
            </w:pPr>
            <w:r>
              <w:rPr>
                <w:rFonts w:ascii="宋体" w:hAnsi="宋体" w:cs="宋体"/>
                <w:szCs w:val="21"/>
              </w:rPr>
              <w:t>（五）</w:t>
            </w:r>
            <w:r>
              <w:rPr>
                <w:rFonts w:hint="eastAsia" w:ascii="宋体" w:hAnsi="宋体" w:cs="宋体"/>
                <w:szCs w:val="21"/>
              </w:rPr>
              <w:t>按评标办法规定按照第二信封的评标价由低到高的顺序推荐中标候选人，</w:t>
            </w:r>
          </w:p>
          <w:p>
            <w:pPr>
              <w:spacing w:line="360" w:lineRule="exact"/>
              <w:ind w:left="42" w:leftChars="20" w:right="42" w:rightChars="20"/>
              <w:rPr>
                <w:szCs w:val="21"/>
              </w:rPr>
            </w:pPr>
            <w:r>
              <w:rPr>
                <w:rFonts w:hint="eastAsia" w:ascii="宋体" w:hAnsi="宋体" w:cs="宋体"/>
                <w:szCs w:val="21"/>
              </w:rPr>
              <w:t>编写评标报告</w:t>
            </w:r>
            <w:r>
              <w:rPr>
                <w:rFonts w:ascii="宋体" w:hAnsi="宋体" w:cs="宋体"/>
                <w:szCs w:val="21"/>
              </w:rPr>
              <w:t>。</w:t>
            </w:r>
          </w:p>
        </w:tc>
      </w:tr>
      <w:tr>
        <w:tblPrEx>
          <w:tblCellMar>
            <w:top w:w="0" w:type="dxa"/>
            <w:left w:w="0" w:type="dxa"/>
            <w:bottom w:w="0" w:type="dxa"/>
            <w:right w:w="0" w:type="dxa"/>
          </w:tblCellMar>
        </w:tblPrEx>
        <w:trPr>
          <w:trHeight w:val="978"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rPr>
                <w:rFonts w:hint="eastAsia" w:ascii="TimesNewRomanPSMT" w:eastAsia="TimesNewRomanPSMT" w:cs="TimesNewRomanPSMT"/>
                <w:szCs w:val="21"/>
              </w:rPr>
            </w:pPr>
            <w:r>
              <w:rPr>
                <w:rFonts w:hint="eastAsia" w:ascii="宋体" w:hAnsi="Calibri"/>
                <w:szCs w:val="21"/>
              </w:rPr>
              <w:t>3.2.2</w:t>
            </w:r>
          </w:p>
        </w:tc>
        <w:tc>
          <w:tcPr>
            <w:tcW w:w="917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exact"/>
              <w:ind w:left="42" w:leftChars="20" w:right="42" w:rightChars="20"/>
              <w:rPr>
                <w:rFonts w:ascii="宋体" w:hAnsi="宋体" w:cs="宋体"/>
                <w:szCs w:val="21"/>
              </w:rPr>
            </w:pPr>
            <w:r>
              <w:rPr>
                <w:rFonts w:ascii="宋体" w:hAnsi="宋体" w:cs="宋体"/>
                <w:szCs w:val="21"/>
              </w:rPr>
              <w:t>将评标办法范本原文第3.</w:t>
            </w:r>
            <w:r>
              <w:rPr>
                <w:rFonts w:hint="eastAsia" w:ascii="宋体" w:hAnsi="宋体" w:cs="宋体"/>
                <w:szCs w:val="21"/>
              </w:rPr>
              <w:t>2</w:t>
            </w:r>
            <w:r>
              <w:rPr>
                <w:rFonts w:ascii="宋体" w:hAnsi="宋体" w:cs="宋体"/>
                <w:szCs w:val="21"/>
              </w:rPr>
              <w:t>.2项修改为：</w:t>
            </w:r>
          </w:p>
          <w:p>
            <w:pPr>
              <w:spacing w:line="360" w:lineRule="exact"/>
              <w:ind w:left="42" w:leftChars="20" w:right="42" w:rightChars="20"/>
              <w:rPr>
                <w:rFonts w:ascii="宋体" w:hAnsi="宋体"/>
                <w:b/>
                <w:szCs w:val="21"/>
              </w:rPr>
            </w:pPr>
            <w:r>
              <w:rPr>
                <w:rFonts w:ascii="宋体" w:hAnsi="宋体" w:cs="宋体"/>
                <w:szCs w:val="21"/>
              </w:rPr>
              <w:t>3.</w:t>
            </w:r>
            <w:r>
              <w:rPr>
                <w:rFonts w:hint="eastAsia" w:ascii="宋体" w:hAnsi="宋体" w:cs="宋体"/>
                <w:szCs w:val="21"/>
              </w:rPr>
              <w:t>2</w:t>
            </w:r>
            <w:r>
              <w:rPr>
                <w:rFonts w:ascii="宋体" w:hAnsi="宋体" w:cs="宋体"/>
                <w:szCs w:val="21"/>
              </w:rPr>
              <w:t>.2投标人得分分值计算保留小数点后</w:t>
            </w:r>
            <w:r>
              <w:rPr>
                <w:rFonts w:hint="eastAsia" w:ascii="宋体" w:hAnsi="宋体" w:cs="宋体"/>
                <w:szCs w:val="21"/>
              </w:rPr>
              <w:t>三</w:t>
            </w:r>
            <w:r>
              <w:rPr>
                <w:rFonts w:ascii="宋体" w:hAnsi="宋体" w:cs="宋体"/>
                <w:szCs w:val="21"/>
              </w:rPr>
              <w:t>位，小数点后第</w:t>
            </w:r>
            <w:r>
              <w:rPr>
                <w:rFonts w:hint="eastAsia" w:ascii="宋体" w:hAnsi="宋体" w:cs="宋体"/>
                <w:szCs w:val="21"/>
              </w:rPr>
              <w:t>四</w:t>
            </w:r>
            <w:r>
              <w:rPr>
                <w:rFonts w:ascii="宋体" w:hAnsi="宋体" w:cs="宋体"/>
                <w:szCs w:val="21"/>
              </w:rPr>
              <w:t>位“四舍五入”。</w:t>
            </w:r>
          </w:p>
        </w:tc>
      </w:tr>
      <w:tr>
        <w:tblPrEx>
          <w:tblCellMar>
            <w:top w:w="0" w:type="dxa"/>
            <w:left w:w="0" w:type="dxa"/>
            <w:bottom w:w="0" w:type="dxa"/>
            <w:right w:w="0" w:type="dxa"/>
          </w:tblCellMar>
        </w:tblPrEx>
        <w:trPr>
          <w:trHeight w:val="3105"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105" w:leftChars="50" w:right="105" w:rightChars="50"/>
              <w:jc w:val="center"/>
              <w:rPr>
                <w:rFonts w:hint="eastAsia" w:ascii="宋体" w:hAnsi="Calibri"/>
                <w:szCs w:val="21"/>
              </w:rPr>
            </w:pPr>
            <w:r>
              <w:rPr>
                <w:rFonts w:hint="eastAsia" w:ascii="宋体" w:hAnsi="宋体" w:cs="宋体"/>
              </w:rPr>
              <w:t>3.2.3</w:t>
            </w:r>
          </w:p>
        </w:tc>
        <w:tc>
          <w:tcPr>
            <w:tcW w:w="917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exact"/>
              <w:ind w:left="463" w:leftChars="20" w:right="42" w:rightChars="20" w:hanging="421"/>
              <w:rPr>
                <w:spacing w:val="-3"/>
              </w:rPr>
            </w:pPr>
            <w:r>
              <w:rPr>
                <w:spacing w:val="-5"/>
              </w:rPr>
              <w:t>将评标办法范本原文第</w:t>
            </w:r>
            <w:r>
              <w:rPr>
                <w:rFonts w:hint="eastAsia" w:ascii="宋体" w:hAnsi="宋体" w:cs="宋体"/>
              </w:rPr>
              <w:t>3.2.3</w:t>
            </w:r>
            <w:r>
              <w:rPr>
                <w:rFonts w:hint="eastAsia" w:ascii="宋体" w:hAnsi="宋体" w:cs="宋体"/>
                <w:spacing w:val="-54"/>
              </w:rPr>
              <w:t xml:space="preserve"> </w:t>
            </w:r>
            <w:r>
              <w:rPr>
                <w:sz w:val="22"/>
              </w:rPr>
              <w:t>项</w:t>
            </w:r>
            <w:r>
              <w:rPr>
                <w:spacing w:val="-3"/>
              </w:rPr>
              <w:t>细化如下：</w:t>
            </w:r>
          </w:p>
          <w:p>
            <w:pPr>
              <w:pStyle w:val="8"/>
              <w:spacing w:line="360" w:lineRule="exact"/>
              <w:ind w:left="252" w:leftChars="120" w:right="42" w:rightChars="20" w:firstLine="210" w:firstLineChars="100"/>
              <w:rPr>
                <w:spacing w:val="-3"/>
              </w:rPr>
            </w:pPr>
            <w:r>
              <w:t>投标人的商务和技术得分=A+B+C。</w:t>
            </w:r>
          </w:p>
          <w:p>
            <w:pPr>
              <w:pStyle w:val="8"/>
              <w:spacing w:line="360" w:lineRule="exact"/>
              <w:ind w:left="42" w:leftChars="20" w:right="42" w:rightChars="20" w:firstLine="420" w:firstLineChars="200"/>
              <w:rPr>
                <w:rFonts w:ascii="宋体" w:hAnsi="宋体" w:cs="宋体"/>
                <w:szCs w:val="21"/>
              </w:rPr>
            </w:pPr>
            <w:r>
              <w:t>除履约信誉、技术能力得分外，投标文件各评分因素细分项得分均不应低于其权重分的60%，评分低于权重分值60%的，评标委员会成员应当在评标报告中作出说明。计算投标人技术得分时</w:t>
            </w:r>
            <w:r>
              <w:rPr>
                <w:rFonts w:hint="eastAsia"/>
              </w:rPr>
              <w:t>：</w:t>
            </w:r>
            <w:r>
              <w:rPr>
                <w:rFonts w:hint="eastAsia" w:ascii="宋体" w:hAnsi="宋体" w:cs="宋体"/>
              </w:rPr>
              <w:t>首先在评委技术评分中，同一评委对各投标人评分总分的差值最大的评委评分进行取舍（当一位或两位评委评分差值最大时均取消其评委评分，当多于两位评分差值均最大时，不取消任一评委评分），再对各评分因素细分项中取消一个最高、一个最低分后计算算术平均值的和为投标人的最终技术得分，平均值计算四舍五入保留小数点后三位</w:t>
            </w:r>
            <w:r>
              <w:t>。</w:t>
            </w:r>
          </w:p>
        </w:tc>
      </w:tr>
      <w:tr>
        <w:tblPrEx>
          <w:tblCellMar>
            <w:top w:w="0" w:type="dxa"/>
            <w:left w:w="0" w:type="dxa"/>
            <w:bottom w:w="0" w:type="dxa"/>
            <w:right w:w="0" w:type="dxa"/>
          </w:tblCellMar>
        </w:tblPrEx>
        <w:trPr>
          <w:trHeight w:val="1973"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sz w:val="20"/>
              </w:rPr>
            </w:pPr>
            <w:r>
              <w:rPr>
                <w:rFonts w:hint="eastAsia" w:ascii="宋体" w:hAnsi="Calibri"/>
                <w:szCs w:val="21"/>
              </w:rPr>
              <w:t>3.4.2</w:t>
            </w:r>
          </w:p>
        </w:tc>
        <w:tc>
          <w:tcPr>
            <w:tcW w:w="917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exact"/>
              <w:ind w:left="42" w:leftChars="20" w:right="42" w:rightChars="20"/>
              <w:rPr>
                <w:rFonts w:hint="eastAsia" w:ascii="宋体" w:hAnsi="宋体" w:cs="宋体"/>
                <w:szCs w:val="21"/>
              </w:rPr>
            </w:pPr>
            <w:r>
              <w:rPr>
                <w:rFonts w:hint="eastAsia" w:ascii="宋体" w:hAnsi="宋体" w:cs="宋体"/>
                <w:szCs w:val="21"/>
              </w:rPr>
              <w:t>将评标办法范本原文第3.4.2项第（2）、（3）、（4）目修改为：</w:t>
            </w:r>
          </w:p>
          <w:p>
            <w:pPr>
              <w:pStyle w:val="8"/>
              <w:numPr>
                <w:ilvl w:val="0"/>
                <w:numId w:val="1"/>
              </w:numPr>
              <w:spacing w:line="360" w:lineRule="exact"/>
              <w:ind w:left="42" w:leftChars="20" w:right="42" w:rightChars="20"/>
              <w:rPr>
                <w:rFonts w:hint="eastAsia" w:ascii="宋体" w:hAnsi="宋体" w:cs="宋体"/>
                <w:szCs w:val="21"/>
              </w:rPr>
            </w:pPr>
            <w:r>
              <w:rPr>
                <w:rFonts w:hint="eastAsia" w:ascii="宋体" w:hAnsi="宋体" w:cs="宋体"/>
                <w:szCs w:val="21"/>
              </w:rPr>
              <w:t>总价金额与依据单价计算出的结果不一致的，在保证投标总价不变的前提下予以合理调整单价。</w:t>
            </w:r>
          </w:p>
          <w:p>
            <w:pPr>
              <w:pStyle w:val="8"/>
              <w:numPr>
                <w:ilvl w:val="0"/>
                <w:numId w:val="1"/>
              </w:numPr>
              <w:spacing w:line="360" w:lineRule="exact"/>
              <w:ind w:left="42" w:leftChars="20" w:right="42" w:rightChars="20"/>
              <w:rPr>
                <w:rFonts w:ascii="宋体" w:hAnsi="宋体" w:cs="宋体"/>
                <w:szCs w:val="21"/>
              </w:rPr>
            </w:pPr>
            <w:r>
              <w:rPr>
                <w:rFonts w:hint="eastAsia" w:ascii="宋体" w:hAnsi="宋体" w:cs="宋体"/>
                <w:szCs w:val="21"/>
              </w:rPr>
              <w:t>当单价与数量相乘不等于合价时，应以标出的合价为准，同时对单价予以修正。</w:t>
            </w:r>
          </w:p>
          <w:p>
            <w:pPr>
              <w:pStyle w:val="8"/>
              <w:spacing w:line="360" w:lineRule="exact"/>
              <w:ind w:left="463" w:leftChars="20" w:right="42" w:rightChars="20" w:hanging="421"/>
              <w:rPr>
                <w:spacing w:val="-5"/>
              </w:rPr>
            </w:pPr>
            <w:r>
              <w:rPr>
                <w:rFonts w:hint="eastAsia" w:ascii="宋体" w:hAnsi="宋体" w:cs="宋体"/>
                <w:szCs w:val="21"/>
              </w:rPr>
              <w:t>（4）当各子目的合价累计不等于总价时，应以总价不变的前提下，修正各子目合价。</w:t>
            </w:r>
          </w:p>
        </w:tc>
      </w:tr>
      <w:tr>
        <w:tblPrEx>
          <w:tblCellMar>
            <w:top w:w="0" w:type="dxa"/>
            <w:left w:w="0" w:type="dxa"/>
            <w:bottom w:w="0" w:type="dxa"/>
            <w:right w:w="0" w:type="dxa"/>
          </w:tblCellMar>
        </w:tblPrEx>
        <w:trPr>
          <w:trHeight w:val="3688"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宋体" w:hAnsi="Calibri"/>
                <w:szCs w:val="21"/>
              </w:rPr>
            </w:pPr>
            <w:r>
              <w:rPr>
                <w:rFonts w:ascii="宋体" w:hAnsi="Calibri"/>
                <w:szCs w:val="21"/>
              </w:rPr>
              <w:t>3.</w:t>
            </w:r>
            <w:r>
              <w:rPr>
                <w:rFonts w:hint="eastAsia" w:ascii="宋体" w:hAnsi="Calibri"/>
                <w:szCs w:val="21"/>
              </w:rPr>
              <w:t>6</w:t>
            </w:r>
          </w:p>
        </w:tc>
        <w:tc>
          <w:tcPr>
            <w:tcW w:w="917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exact"/>
              <w:ind w:left="42" w:leftChars="20" w:right="42" w:rightChars="20"/>
              <w:rPr>
                <w:rFonts w:ascii="宋体" w:hAnsi="宋体" w:cs="宋体"/>
                <w:szCs w:val="21"/>
              </w:rPr>
            </w:pPr>
            <w:r>
              <w:rPr>
                <w:rFonts w:hint="eastAsia" w:ascii="宋体" w:hAnsi="宋体" w:cs="宋体"/>
                <w:snapToGrid w:val="0"/>
                <w:kern w:val="0"/>
                <w:szCs w:val="21"/>
              </w:rPr>
              <w:t>将评标办法范本原文第</w:t>
            </w:r>
            <w:r>
              <w:rPr>
                <w:rFonts w:hint="eastAsia" w:ascii="宋体" w:hAnsi="宋体" w:cs="宋体"/>
                <w:szCs w:val="21"/>
              </w:rPr>
              <w:t>3.6.1项修改为：</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在评标过程中，评标委员会应查询交通运输主管部门“公路建设市场信用信息管理系统”</w:t>
            </w:r>
            <w:r>
              <w:rPr>
                <w:rFonts w:hint="eastAsia" w:ascii="宋体" w:hAnsi="宋体" w:cs="宋体"/>
                <w:szCs w:val="21"/>
              </w:rPr>
              <w:t>或投标人提供的资料复印件</w:t>
            </w:r>
            <w:r>
              <w:rPr>
                <w:rFonts w:ascii="宋体" w:hAnsi="宋体" w:cs="宋体"/>
                <w:szCs w:val="21"/>
              </w:rPr>
              <w:t>，对投标人的资质、业绩、主要人员资历和目前在岗情况、信用等级等信息进行核实。若投标文件载明的信息与交通运输主管部门“公路建设市场信用信息管理系统”发布的信息不符，</w:t>
            </w:r>
            <w:r>
              <w:rPr>
                <w:rFonts w:hint="eastAsia" w:ascii="宋体" w:hAnsi="宋体" w:cs="宋体"/>
                <w:szCs w:val="21"/>
              </w:rPr>
              <w:t>或投标人提供的资料复印件不能反映项目的真实情况，</w:t>
            </w:r>
            <w:r>
              <w:rPr>
                <w:rFonts w:ascii="宋体" w:hAnsi="宋体" w:cs="宋体"/>
                <w:szCs w:val="21"/>
              </w:rPr>
              <w:t>使得投标人的资格条件不符合招标文件规定的，评标委员会应否决其投标。</w:t>
            </w:r>
          </w:p>
          <w:p>
            <w:pPr>
              <w:pStyle w:val="8"/>
              <w:spacing w:line="360" w:lineRule="exact"/>
              <w:ind w:left="42" w:leftChars="20" w:right="42" w:rightChars="20"/>
              <w:rPr>
                <w:rFonts w:ascii="宋体" w:hAnsi="宋体" w:cs="宋体"/>
                <w:szCs w:val="21"/>
              </w:rPr>
            </w:pPr>
            <w:r>
              <w:rPr>
                <w:rFonts w:ascii="宋体" w:hAnsi="宋体" w:cs="宋体"/>
                <w:szCs w:val="21"/>
              </w:rPr>
              <w:t>增加3.</w:t>
            </w:r>
            <w:r>
              <w:rPr>
                <w:rFonts w:hint="eastAsia" w:ascii="宋体" w:hAnsi="宋体" w:cs="宋体"/>
                <w:szCs w:val="21"/>
              </w:rPr>
              <w:t>6</w:t>
            </w:r>
            <w:r>
              <w:rPr>
                <w:rFonts w:ascii="宋体" w:hAnsi="宋体" w:cs="宋体"/>
                <w:szCs w:val="21"/>
              </w:rPr>
              <w:t>.3项：</w:t>
            </w:r>
          </w:p>
          <w:p>
            <w:pPr>
              <w:pStyle w:val="8"/>
              <w:spacing w:line="360" w:lineRule="exact"/>
              <w:ind w:left="42" w:leftChars="20" w:right="42" w:rightChars="20"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6</w:t>
            </w:r>
            <w:r>
              <w:rPr>
                <w:rFonts w:ascii="宋体" w:hAnsi="宋体" w:cs="宋体"/>
                <w:szCs w:val="21"/>
              </w:rPr>
              <w:t>.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CellMar>
            <w:top w:w="0" w:type="dxa"/>
            <w:left w:w="0" w:type="dxa"/>
            <w:bottom w:w="0" w:type="dxa"/>
            <w:right w:w="0" w:type="dxa"/>
          </w:tblCellMar>
        </w:tblPrEx>
        <w:trPr>
          <w:trHeight w:val="557"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hAnsi="Calibri"/>
                <w:szCs w:val="21"/>
              </w:rPr>
            </w:pPr>
            <w:r>
              <w:rPr>
                <w:rFonts w:hint="eastAsia" w:ascii="宋体" w:hAnsi="Calibri"/>
                <w:szCs w:val="21"/>
              </w:rPr>
              <w:t>3.7.1</w:t>
            </w:r>
          </w:p>
        </w:tc>
        <w:tc>
          <w:tcPr>
            <w:tcW w:w="917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exact"/>
              <w:ind w:right="42" w:rightChars="20"/>
              <w:rPr>
                <w:rFonts w:hint="eastAsia" w:ascii="宋体" w:hAnsi="宋体" w:cs="宋体"/>
                <w:szCs w:val="21"/>
              </w:rPr>
            </w:pPr>
            <w:r>
              <w:rPr>
                <w:rFonts w:hint="eastAsia" w:ascii="宋体" w:hAnsi="宋体" w:cs="宋体"/>
                <w:szCs w:val="21"/>
              </w:rPr>
              <w:t>将评标办法范本原文第3.7.1项修改为：</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（1）投标文件中的下列计算错误为细微偏差：</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a.在算术性复核中发现算术性差错；</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b.在招标人给定的工程量清单中漏报了某个工程细目的单价和合价；</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c.在招标人给定的工程量清单中多报了某个工程细目的单价和合价或所报的单价增加或减少了报价范围；</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d.在招标人给定的工程量清单中修改了某些支付号的工程量。</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（2）评标委员会对投标文件中的细微偏差按如下规定处理：</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a.按本评标办法的规定对算术性错误予以修正；</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b.对于漏报的工程细目单价和合价或单价和合价减少的报价内容视为已含入其它工程细目的单价和合价之中；</w:t>
            </w:r>
          </w:p>
          <w:p>
            <w:pPr>
              <w:pStyle w:val="8"/>
              <w:spacing w:line="360" w:lineRule="exact"/>
              <w:ind w:left="42" w:leftChars="20" w:right="42" w:rightChars="20" w:firstLine="420"/>
              <w:rPr>
                <w:rFonts w:hint="eastAsia" w:ascii="宋体" w:hAnsi="宋体" w:cs="宋体"/>
                <w:szCs w:val="21"/>
              </w:rPr>
            </w:pPr>
            <w:r>
              <w:rPr>
                <w:rFonts w:hint="eastAsia" w:ascii="宋体" w:hAnsi="宋体" w:cs="宋体"/>
                <w:szCs w:val="21"/>
              </w:rPr>
              <w:t>c.在保证投标总价不变的前提下，对于多报的工程细目报价或工程细目报价中增加的部分报价从投标报价中予以扣除，并对其他细目作相应的平衡性调整；</w:t>
            </w:r>
          </w:p>
          <w:p>
            <w:pPr>
              <w:pStyle w:val="8"/>
              <w:spacing w:line="360" w:lineRule="exact"/>
              <w:ind w:left="42" w:leftChars="20" w:right="42" w:rightChars="20" w:firstLine="420" w:firstLineChars="200"/>
              <w:rPr>
                <w:rFonts w:hint="eastAsia" w:ascii="宋体" w:hAnsi="宋体" w:cs="宋体"/>
                <w:szCs w:val="21"/>
              </w:rPr>
            </w:pPr>
            <w:r>
              <w:rPr>
                <w:rFonts w:hint="eastAsia" w:ascii="宋体" w:hAnsi="宋体" w:cs="宋体"/>
                <w:szCs w:val="21"/>
              </w:rPr>
              <w:t>d.在保证投标总价不变的前提下，对与给定工程量清单数量不符的工程数量进行更正，并对其他细目作相应的平衡性调整；</w:t>
            </w:r>
          </w:p>
        </w:tc>
      </w:tr>
      <w:tr>
        <w:tblPrEx>
          <w:tblCellMar>
            <w:top w:w="0" w:type="dxa"/>
            <w:left w:w="0" w:type="dxa"/>
            <w:bottom w:w="0" w:type="dxa"/>
            <w:right w:w="0" w:type="dxa"/>
          </w:tblCellMar>
        </w:tblPrEx>
        <w:trPr>
          <w:trHeight w:val="2680"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宋体" w:hAnsi="Calibri"/>
                <w:szCs w:val="21"/>
              </w:rPr>
            </w:pPr>
            <w:r>
              <w:rPr>
                <w:rFonts w:hint="eastAsia" w:ascii="宋体" w:hAnsi="Calibri"/>
                <w:szCs w:val="21"/>
              </w:rPr>
              <w:t>3</w:t>
            </w:r>
            <w:r>
              <w:rPr>
                <w:rFonts w:ascii="宋体" w:hAnsi="Calibri"/>
                <w:szCs w:val="21"/>
              </w:rPr>
              <w:t>.</w:t>
            </w:r>
            <w:r>
              <w:rPr>
                <w:rFonts w:hint="eastAsia" w:ascii="宋体" w:hAnsi="Calibri"/>
                <w:szCs w:val="21"/>
              </w:rPr>
              <w:t>9</w:t>
            </w:r>
          </w:p>
        </w:tc>
        <w:tc>
          <w:tcPr>
            <w:tcW w:w="9177"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exact"/>
              <w:ind w:left="0" w:leftChars="0" w:right="42" w:rightChars="20" w:firstLine="0" w:firstLineChars="0"/>
              <w:rPr>
                <w:rFonts w:ascii="宋体" w:hAnsi="宋体" w:cs="宋体"/>
                <w:szCs w:val="21"/>
              </w:rPr>
            </w:pPr>
            <w:r>
              <w:rPr>
                <w:rFonts w:ascii="宋体" w:hAnsi="宋体" w:cs="宋体"/>
                <w:szCs w:val="21"/>
              </w:rPr>
              <w:t>增加3.</w:t>
            </w:r>
            <w:r>
              <w:rPr>
                <w:rFonts w:hint="eastAsia" w:ascii="宋体" w:hAnsi="宋体" w:cs="宋体"/>
                <w:szCs w:val="21"/>
              </w:rPr>
              <w:t>9</w:t>
            </w:r>
            <w:r>
              <w:rPr>
                <w:rFonts w:ascii="宋体" w:hAnsi="宋体" w:cs="宋体"/>
                <w:szCs w:val="21"/>
              </w:rPr>
              <w:t>.3-3.</w:t>
            </w:r>
            <w:r>
              <w:rPr>
                <w:rFonts w:hint="eastAsia" w:ascii="宋体" w:hAnsi="宋体" w:cs="宋体"/>
                <w:szCs w:val="21"/>
              </w:rPr>
              <w:t>9</w:t>
            </w:r>
            <w:r>
              <w:rPr>
                <w:rFonts w:ascii="宋体" w:hAnsi="宋体" w:cs="宋体"/>
                <w:szCs w:val="21"/>
              </w:rPr>
              <w:t>.</w:t>
            </w:r>
            <w:r>
              <w:rPr>
                <w:rFonts w:hint="eastAsia" w:ascii="宋体" w:hAnsi="宋体" w:cs="宋体"/>
                <w:szCs w:val="21"/>
              </w:rPr>
              <w:t>5</w:t>
            </w:r>
            <w:r>
              <w:rPr>
                <w:rFonts w:ascii="宋体" w:hAnsi="宋体" w:cs="宋体"/>
                <w:szCs w:val="21"/>
              </w:rPr>
              <w:t>项：</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3.</w:t>
            </w:r>
            <w:r>
              <w:rPr>
                <w:rFonts w:hint="eastAsia" w:ascii="宋体" w:hAnsi="宋体" w:cs="宋体"/>
                <w:szCs w:val="21"/>
              </w:rPr>
              <w:t>9</w:t>
            </w:r>
            <w:r>
              <w:rPr>
                <w:rFonts w:ascii="宋体" w:hAnsi="宋体" w:cs="宋体"/>
                <w:szCs w:val="21"/>
              </w:rPr>
              <w:t>.</w:t>
            </w:r>
            <w:r>
              <w:rPr>
                <w:rFonts w:hint="eastAsia" w:ascii="宋体" w:hAnsi="宋体" w:cs="宋体"/>
                <w:szCs w:val="21"/>
              </w:rPr>
              <w:t>3通过第一信封商务及技术文件评审的投标人少于3个的，评标委员会应否决全部投标</w:t>
            </w:r>
            <w:r>
              <w:rPr>
                <w:rFonts w:ascii="宋体" w:hAnsi="宋体" w:cs="宋体"/>
                <w:szCs w:val="21"/>
              </w:rPr>
              <w:t>。</w:t>
            </w:r>
          </w:p>
          <w:p>
            <w:pPr>
              <w:pStyle w:val="8"/>
              <w:spacing w:line="360" w:lineRule="exact"/>
              <w:ind w:left="42" w:leftChars="20" w:right="42" w:rightChars="20" w:firstLine="420" w:firstLineChars="200"/>
              <w:rPr>
                <w:rFonts w:ascii="宋体" w:hAnsi="宋体" w:cs="宋体"/>
                <w:szCs w:val="21"/>
              </w:rPr>
            </w:pPr>
            <w:r>
              <w:rPr>
                <w:rFonts w:ascii="宋体" w:hAnsi="宋体" w:cs="宋体"/>
                <w:szCs w:val="21"/>
              </w:rPr>
              <w:t>3.</w:t>
            </w:r>
            <w:r>
              <w:rPr>
                <w:rFonts w:hint="eastAsia" w:ascii="宋体" w:hAnsi="宋体" w:cs="宋体"/>
                <w:szCs w:val="21"/>
              </w:rPr>
              <w:t>9</w:t>
            </w:r>
            <w:r>
              <w:rPr>
                <w:rFonts w:ascii="宋体" w:hAnsi="宋体" w:cs="宋体"/>
                <w:szCs w:val="21"/>
              </w:rPr>
              <w:t>.</w:t>
            </w:r>
            <w:r>
              <w:rPr>
                <w:rFonts w:hint="eastAsia" w:ascii="宋体" w:hAnsi="宋体" w:cs="宋体"/>
                <w:szCs w:val="21"/>
              </w:rPr>
              <w:t>4通过第一信封商务及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r>
              <w:rPr>
                <w:rFonts w:ascii="宋体" w:hAnsi="宋体" w:cs="宋体"/>
                <w:szCs w:val="21"/>
              </w:rPr>
              <w:t>。</w:t>
            </w:r>
          </w:p>
          <w:p>
            <w:pPr>
              <w:pStyle w:val="8"/>
              <w:spacing w:line="360" w:lineRule="exact"/>
              <w:ind w:left="42" w:leftChars="20" w:right="42" w:rightChars="20" w:firstLine="420"/>
              <w:rPr>
                <w:rFonts w:hint="eastAsia" w:ascii="宋体" w:hAnsi="宋体" w:cs="宋体"/>
                <w:szCs w:val="21"/>
              </w:rPr>
            </w:pPr>
            <w:r>
              <w:rPr>
                <w:rFonts w:ascii="宋体" w:hAnsi="宋体" w:cs="宋体"/>
                <w:szCs w:val="21"/>
              </w:rPr>
              <w:t>3.</w:t>
            </w:r>
            <w:r>
              <w:rPr>
                <w:rFonts w:hint="eastAsia" w:ascii="宋体" w:hAnsi="宋体" w:cs="宋体"/>
                <w:szCs w:val="21"/>
              </w:rPr>
              <w:t>9</w:t>
            </w:r>
            <w:r>
              <w:rPr>
                <w:rFonts w:ascii="宋体" w:hAnsi="宋体" w:cs="宋体"/>
                <w:szCs w:val="21"/>
              </w:rPr>
              <w:t>.</w:t>
            </w:r>
            <w:r>
              <w:rPr>
                <w:rFonts w:hint="eastAsia" w:ascii="宋体" w:hAnsi="宋体" w:cs="宋体"/>
                <w:szCs w:val="21"/>
              </w:rPr>
              <w:t>5如果发生无法确定推荐中标候选人的其它意外情况，评标委员会可建议招标人重新招标</w:t>
            </w:r>
            <w:r>
              <w:rPr>
                <w:rFonts w:ascii="宋体" w:hAnsi="宋体" w:cs="宋体"/>
                <w:szCs w:val="21"/>
              </w:rPr>
              <w:t>。</w:t>
            </w:r>
          </w:p>
        </w:tc>
      </w:tr>
    </w:tbl>
    <w:p>
      <w:pPr>
        <w:pStyle w:val="3"/>
        <w:rPr>
          <w:rFonts w:hint="eastAsia" w:ascii="宋体" w:hAnsi="宋体" w:eastAsia="宋体" w:cs="宋体"/>
          <w:sz w:val="21"/>
          <w:szCs w:val="21"/>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TimesNewRomanPSMT">
    <w:altName w:val="Times New Roman"/>
    <w:panose1 w:val="00000000000000000000"/>
    <w:charset w:val="00"/>
    <w:family w:val="roman"/>
    <w:pitch w:val="default"/>
    <w:sig w:usb0="00000000" w:usb1="00000000" w:usb2="00000000" w:usb3="00000000" w:csb0="00000001" w:csb1="00000000"/>
  </w:font>
  <w:font w:name="MicrosoftJhengHeiRegular">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124742"/>
    <w:multiLevelType w:val="singleLevel"/>
    <w:tmpl w:val="5C12474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OGY2YThhMjNhOTM3ZjAyMmMwOWEzZWU4MTU5YjcifQ=="/>
  </w:docVars>
  <w:rsids>
    <w:rsidRoot w:val="38AC2F1E"/>
    <w:rsid w:val="03C70358"/>
    <w:rsid w:val="08C64399"/>
    <w:rsid w:val="0A522CFE"/>
    <w:rsid w:val="0D183982"/>
    <w:rsid w:val="127E28E2"/>
    <w:rsid w:val="14E44F0C"/>
    <w:rsid w:val="16DD340B"/>
    <w:rsid w:val="24310480"/>
    <w:rsid w:val="278E4F1E"/>
    <w:rsid w:val="338A3C27"/>
    <w:rsid w:val="340053F5"/>
    <w:rsid w:val="38AC2F1E"/>
    <w:rsid w:val="3EE73029"/>
    <w:rsid w:val="44A159CF"/>
    <w:rsid w:val="45A020C1"/>
    <w:rsid w:val="47EB2537"/>
    <w:rsid w:val="4867428A"/>
    <w:rsid w:val="4BBE7258"/>
    <w:rsid w:val="4CA67B1A"/>
    <w:rsid w:val="4D4929C5"/>
    <w:rsid w:val="4E5D0F53"/>
    <w:rsid w:val="53F725E6"/>
    <w:rsid w:val="54322235"/>
    <w:rsid w:val="54E5072B"/>
    <w:rsid w:val="56A42F44"/>
    <w:rsid w:val="56E34202"/>
    <w:rsid w:val="5C3978FC"/>
    <w:rsid w:val="60661D15"/>
    <w:rsid w:val="62B86D17"/>
    <w:rsid w:val="6364795D"/>
    <w:rsid w:val="670074C7"/>
    <w:rsid w:val="6ADB7A47"/>
    <w:rsid w:val="6EB90AA1"/>
    <w:rsid w:val="75D03592"/>
    <w:rsid w:val="768371E5"/>
    <w:rsid w:val="78626E76"/>
    <w:rsid w:val="7886569F"/>
    <w:rsid w:val="7B1B67C0"/>
    <w:rsid w:val="7EC13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keepNext w:val="0"/>
      <w:keepLines w:val="0"/>
      <w:widowControl w:val="0"/>
      <w:suppressLineNumbers w:val="0"/>
      <w:spacing w:before="0" w:beforeAutospacing="0" w:after="0" w:afterAutospacing="0" w:line="360" w:lineRule="auto"/>
      <w:ind w:left="0" w:right="0" w:firstLine="480"/>
      <w:jc w:val="both"/>
    </w:pPr>
    <w:rPr>
      <w:rFonts w:ascii="Times New Roman" w:hAnsi="Times New Roman"/>
      <w:sz w:val="24"/>
    </w:rPr>
  </w:style>
  <w:style w:type="paragraph" w:styleId="3">
    <w:name w:val="envelope return"/>
    <w:basedOn w:val="1"/>
    <w:qFormat/>
    <w:uiPriority w:val="0"/>
    <w:pPr>
      <w:snapToGrid w:val="0"/>
    </w:pPr>
    <w:rPr>
      <w:rFonts w:ascii="Arial" w:hAnsi="Arial"/>
    </w:rPr>
  </w:style>
  <w:style w:type="paragraph" w:styleId="4">
    <w:name w:val="Body Text"/>
    <w:basedOn w:val="1"/>
    <w:next w:val="1"/>
    <w:qFormat/>
    <w:uiPriority w:val="1"/>
    <w:pPr>
      <w:spacing w:after="120"/>
    </w:pPr>
  </w:style>
  <w:style w:type="paragraph" w:styleId="5">
    <w:name w:val="Body Text First Indent 2"/>
    <w:basedOn w:val="2"/>
    <w:next w:val="1"/>
    <w:qFormat/>
    <w:uiPriority w:val="0"/>
    <w:pPr>
      <w:spacing w:after="120" w:line="240" w:lineRule="auto"/>
      <w:ind w:left="420" w:leftChars="200" w:firstLine="210" w:firstLineChars="200"/>
    </w:pPr>
    <w:rPr>
      <w:kern w:val="0"/>
      <w:sz w:val="28"/>
    </w:rPr>
  </w:style>
  <w:style w:type="paragraph" w:customStyle="1" w:styleId="8">
    <w:name w:val="Table Paragraph"/>
    <w:basedOn w:val="1"/>
    <w:qFormat/>
    <w:uiPriority w:val="1"/>
  </w:style>
  <w:style w:type="character" w:customStyle="1" w:styleId="9">
    <w:name w:val="正文文本 (5)_"/>
    <w:link w:val="10"/>
    <w:qFormat/>
    <w:uiPriority w:val="0"/>
    <w:rPr>
      <w:rFonts w:ascii="MingLiU" w:eastAsia="MingLiU"/>
      <w:lang w:val="en-US" w:eastAsia="zh-CN" w:bidi="ar-SA"/>
    </w:rPr>
  </w:style>
  <w:style w:type="paragraph" w:customStyle="1" w:styleId="10">
    <w:name w:val="正文文本 (5)1"/>
    <w:link w:val="9"/>
    <w:qFormat/>
    <w:uiPriority w:val="99"/>
    <w:pPr>
      <w:shd w:val="clear" w:color="auto" w:fill="FFFFFF"/>
      <w:spacing w:before="5100" w:line="240" w:lineRule="atLeast"/>
    </w:pPr>
    <w:rPr>
      <w:rFonts w:ascii="MingLiU" w:hAnsi="Times New Roman" w:eastAsia="MingLiU" w:cs="Times New Roman"/>
      <w:lang w:val="en-US" w:eastAsia="zh-CN" w:bidi="ar-SA"/>
    </w:rPr>
  </w:style>
  <w:style w:type="paragraph" w:customStyle="1" w:styleId="11">
    <w:name w:val="正文文本 (17)"/>
    <w:basedOn w:val="1"/>
    <w:qFormat/>
    <w:uiPriority w:val="99"/>
    <w:pPr>
      <w:shd w:val="clear" w:color="auto" w:fill="FFFFFF"/>
      <w:spacing w:line="240" w:lineRule="atLeast"/>
      <w:jc w:val="distribute"/>
    </w:pPr>
    <w:rPr>
      <w:rFonts w:ascii="MingLiU" w:eastAsia="MingLiU"/>
      <w:spacing w:val="-10"/>
      <w:kern w:val="0"/>
      <w:sz w:val="22"/>
      <w:szCs w:val="22"/>
    </w:rPr>
  </w:style>
  <w:style w:type="character" w:customStyle="1" w:styleId="12">
    <w:name w:val="正文文本 (17) + 间距 0 pt1"/>
    <w:qFormat/>
    <w:uiPriority w:val="99"/>
    <w:rPr>
      <w:rFonts w:ascii="MingLiU" w:eastAsia="MingLiU" w:cs="MingLiU"/>
      <w:spacing w:val="0"/>
      <w:sz w:val="22"/>
      <w:szCs w:val="22"/>
      <w:u w:val="none"/>
    </w:rPr>
  </w:style>
  <w:style w:type="character" w:customStyle="1" w:styleId="13">
    <w:name w:val="正文文本 (5) + 间距 -1 pt"/>
    <w:qFormat/>
    <w:uiPriority w:val="99"/>
    <w:rPr>
      <w:rFonts w:ascii="MingLiU" w:eastAsia="MingLiU" w:cs="MingLiU"/>
      <w:spacing w:val="-20"/>
      <w:sz w:val="20"/>
      <w:szCs w:val="20"/>
      <w:u w:val="none"/>
      <w:lang w:val="en-US"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6634</Words>
  <Characters>6969</Characters>
  <Lines>0</Lines>
  <Paragraphs>0</Paragraphs>
  <TotalTime>1</TotalTime>
  <ScaleCrop>false</ScaleCrop>
  <LinksUpToDate>false</LinksUpToDate>
  <CharactersWithSpaces>6990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2022-11-11T08:48:00Z</dcterms:created>
  <dc:creator>星星. </dc:creator>
  <cp:lastModifiedBy>星星. </cp:lastModifiedBy>
  <dcterms:modified xsi:type="dcterms:W3CDTF">2022-12-12T08:24:17Z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8C10F3CC85AF4082B8065CE21596FF68</vt:lpwstr>
  </property>
</Properties>
</file>