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B56D1">
      <w:pPr>
        <w:pStyle w:val="2"/>
        <w:adjustRightInd w:val="0"/>
        <w:snapToGrid w:val="0"/>
        <w:spacing w:line="482" w:lineRule="exact"/>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GF—2007—0211</w:t>
      </w:r>
    </w:p>
    <w:p w14:paraId="0D9256AC">
      <w:pPr>
        <w:pStyle w:val="2"/>
        <w:adjustRightInd w:val="0"/>
        <w:snapToGrid w:val="0"/>
        <w:spacing w:line="482" w:lineRule="exact"/>
        <w:rPr>
          <w:rFonts w:hint="eastAsia" w:hAnsi="宋体" w:cs="宋体"/>
          <w:color w:val="auto"/>
          <w:highlight w:val="none"/>
        </w:rPr>
      </w:pPr>
      <w:r>
        <w:rPr>
          <w:rFonts w:hint="eastAsia" w:cs="仿宋_GB2312"/>
          <w:color w:val="auto"/>
          <w:sz w:val="24"/>
          <w:szCs w:val="24"/>
          <w:highlight w:val="none"/>
          <w:lang w:val="en-US" w:eastAsia="zh-CN"/>
        </w:rPr>
        <w:t>特别说明:中标人按两个项目(单个立项项目)分别签订合同</w:t>
      </w:r>
      <w:bookmarkStart w:id="279" w:name="_GoBack"/>
      <w:bookmarkEnd w:id="279"/>
    </w:p>
    <w:p w14:paraId="2C1C66EA">
      <w:pPr>
        <w:pStyle w:val="2"/>
        <w:adjustRightInd w:val="0"/>
        <w:snapToGrid w:val="0"/>
        <w:spacing w:line="482" w:lineRule="exact"/>
        <w:rPr>
          <w:rFonts w:hint="eastAsia" w:hAnsi="宋体" w:cs="宋体"/>
          <w:color w:val="auto"/>
          <w:highlight w:val="none"/>
        </w:rPr>
      </w:pPr>
    </w:p>
    <w:p w14:paraId="05A29237">
      <w:pPr>
        <w:pStyle w:val="3"/>
        <w:rPr>
          <w:rFonts w:hint="eastAsia"/>
          <w:color w:val="auto"/>
          <w:highlight w:val="none"/>
        </w:rPr>
      </w:pPr>
    </w:p>
    <w:p w14:paraId="11AB9C8F">
      <w:pPr>
        <w:pStyle w:val="2"/>
        <w:adjustRightInd w:val="0"/>
        <w:snapToGrid w:val="0"/>
        <w:spacing w:line="682" w:lineRule="exact"/>
        <w:jc w:val="center"/>
        <w:rPr>
          <w:rFonts w:hint="eastAsia" w:ascii="方正小标宋简体" w:hAnsi="宋体" w:eastAsia="方正小标宋简体" w:cs="宋体"/>
          <w:color w:val="auto"/>
          <w:sz w:val="48"/>
          <w:szCs w:val="48"/>
          <w:highlight w:val="none"/>
        </w:rPr>
      </w:pPr>
      <w:r>
        <w:rPr>
          <w:rFonts w:hint="eastAsia" w:ascii="方正小标宋简体" w:hAnsi="宋体" w:eastAsia="方正小标宋简体" w:cs="宋体"/>
          <w:color w:val="auto"/>
          <w:spacing w:val="100"/>
          <w:sz w:val="48"/>
          <w:szCs w:val="48"/>
          <w:highlight w:val="none"/>
        </w:rPr>
        <w:t>水利工程施工监理合同</w:t>
      </w:r>
    </w:p>
    <w:p w14:paraId="62814BC3">
      <w:pPr>
        <w:pStyle w:val="2"/>
        <w:adjustRightInd w:val="0"/>
        <w:snapToGrid w:val="0"/>
        <w:spacing w:line="682" w:lineRule="exact"/>
        <w:jc w:val="center"/>
        <w:rPr>
          <w:rFonts w:hint="eastAsia" w:ascii="楷体_GB2312" w:hAnsi="宋体" w:eastAsia="楷体_GB2312" w:cs="宋体"/>
          <w:color w:val="auto"/>
          <w:sz w:val="44"/>
          <w:szCs w:val="44"/>
          <w:highlight w:val="none"/>
          <w:lang w:val="en-US" w:eastAsia="zh-CN"/>
        </w:rPr>
      </w:pPr>
    </w:p>
    <w:p w14:paraId="01E19C6E">
      <w:pPr>
        <w:pStyle w:val="2"/>
        <w:adjustRightInd w:val="0"/>
        <w:snapToGrid w:val="0"/>
        <w:spacing w:line="682" w:lineRule="exact"/>
        <w:jc w:val="center"/>
        <w:rPr>
          <w:rFonts w:hint="eastAsia" w:ascii="楷体_GB2312" w:hAnsi="宋体" w:eastAsia="楷体_GB2312" w:cs="宋体"/>
          <w:color w:val="auto"/>
          <w:sz w:val="44"/>
          <w:szCs w:val="44"/>
          <w:highlight w:val="none"/>
          <w:lang w:val="en-US" w:eastAsia="zh-CN"/>
        </w:rPr>
      </w:pPr>
    </w:p>
    <w:p w14:paraId="6DA3B51C">
      <w:pPr>
        <w:pStyle w:val="2"/>
        <w:adjustRightInd w:val="0"/>
        <w:snapToGrid w:val="0"/>
        <w:spacing w:line="682" w:lineRule="exact"/>
        <w:jc w:val="center"/>
        <w:rPr>
          <w:rFonts w:hint="eastAsia" w:ascii="楷体_GB2312" w:hAnsi="宋体" w:eastAsia="楷体_GB2312" w:cs="宋体"/>
          <w:color w:val="auto"/>
          <w:sz w:val="44"/>
          <w:szCs w:val="44"/>
          <w:highlight w:val="none"/>
          <w:lang w:val="en-US" w:eastAsia="zh-CN"/>
        </w:rPr>
      </w:pPr>
    </w:p>
    <w:p w14:paraId="6E487D10">
      <w:pPr>
        <w:pStyle w:val="3"/>
        <w:rPr>
          <w:rFonts w:hint="eastAsia"/>
          <w:color w:val="auto"/>
          <w:highlight w:val="none"/>
          <w:lang w:val="en-US" w:eastAsia="zh-CN"/>
        </w:rPr>
      </w:pPr>
    </w:p>
    <w:p w14:paraId="0B9C1300">
      <w:pPr>
        <w:pStyle w:val="2"/>
        <w:adjustRightInd w:val="0"/>
        <w:snapToGrid w:val="0"/>
        <w:spacing w:line="682" w:lineRule="exact"/>
        <w:jc w:val="center"/>
        <w:rPr>
          <w:rFonts w:hint="eastAsia" w:ascii="楷体_GB2312" w:hAnsi="宋体" w:eastAsia="楷体_GB2312" w:cs="宋体"/>
          <w:color w:val="auto"/>
          <w:sz w:val="44"/>
          <w:szCs w:val="44"/>
          <w:highlight w:val="none"/>
          <w:lang w:val="en-US" w:eastAsia="zh-CN"/>
        </w:rPr>
      </w:pPr>
      <w:r>
        <w:rPr>
          <w:rFonts w:hint="eastAsia" w:ascii="楷体_GB2312" w:hAnsi="宋体" w:eastAsia="楷体_GB2312" w:cs="宋体"/>
          <w:color w:val="auto"/>
          <w:sz w:val="44"/>
          <w:szCs w:val="44"/>
          <w:highlight w:val="none"/>
          <w:lang w:val="en-US" w:eastAsia="zh-CN"/>
        </w:rPr>
        <w:t xml:space="preserve"> </w:t>
      </w:r>
    </w:p>
    <w:p w14:paraId="2EACC01F">
      <w:pPr>
        <w:topLinePunct/>
        <w:spacing w:line="640" w:lineRule="exact"/>
        <w:ind w:left="2238" w:leftChars="304" w:hanging="1600" w:hangingChars="5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工程名称：</w:t>
      </w:r>
      <w:r>
        <w:rPr>
          <w:rFonts w:hint="eastAsia" w:ascii="仿宋" w:hAnsi="仿宋" w:eastAsia="仿宋" w:cs="仿宋"/>
          <w:color w:val="auto"/>
          <w:sz w:val="32"/>
          <w:szCs w:val="32"/>
          <w:highlight w:val="none"/>
          <w:u w:val="single"/>
          <w:lang w:eastAsia="zh-CN"/>
        </w:rPr>
        <w:t>猎德涌涌口泵站建设工程、猎德涌涌口水闸重建工程</w:t>
      </w:r>
    </w:p>
    <w:p w14:paraId="3FA1705F">
      <w:pPr>
        <w:topLinePunct/>
        <w:spacing w:line="6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工程地点：</w:t>
      </w:r>
      <w:r>
        <w:rPr>
          <w:rFonts w:hint="eastAsia" w:ascii="仿宋" w:hAnsi="仿宋" w:eastAsia="仿宋" w:cs="仿宋"/>
          <w:color w:val="auto"/>
          <w:sz w:val="32"/>
          <w:szCs w:val="32"/>
          <w:highlight w:val="none"/>
          <w:u w:val="single"/>
          <w:lang w:eastAsia="zh-CN"/>
        </w:rPr>
        <w:t>广州市天河区猎德涌涌口附近</w:t>
      </w:r>
    </w:p>
    <w:p w14:paraId="736945FE">
      <w:pPr>
        <w:topLinePunct/>
        <w:spacing w:line="6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 托 人：</w:t>
      </w:r>
      <w:r>
        <w:rPr>
          <w:rFonts w:hint="eastAsia" w:ascii="仿宋" w:hAnsi="仿宋" w:eastAsia="仿宋" w:cs="仿宋"/>
          <w:color w:val="auto"/>
          <w:sz w:val="32"/>
          <w:szCs w:val="32"/>
          <w:highlight w:val="none"/>
          <w:u w:val="single"/>
        </w:rPr>
        <w:t xml:space="preserve">广州市天河区水务设施建设中心 </w:t>
      </w:r>
    </w:p>
    <w:p w14:paraId="25CBC164">
      <w:pPr>
        <w:topLinePunct/>
        <w:spacing w:line="64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监 理 人：</w:t>
      </w:r>
      <w:r>
        <w:rPr>
          <w:rFonts w:hint="eastAsia" w:ascii="仿宋" w:hAnsi="仿宋" w:eastAsia="仿宋" w:cs="仿宋"/>
          <w:color w:val="auto"/>
          <w:sz w:val="32"/>
          <w:szCs w:val="32"/>
          <w:highlight w:val="none"/>
          <w:u w:val="single"/>
          <w:lang w:val="en-US" w:eastAsia="zh-CN"/>
        </w:rPr>
        <w:t xml:space="preserve">                             </w:t>
      </w:r>
    </w:p>
    <w:p w14:paraId="459F9882">
      <w:pPr>
        <w:pStyle w:val="2"/>
        <w:adjustRightInd w:val="0"/>
        <w:snapToGrid w:val="0"/>
        <w:spacing w:line="482" w:lineRule="exact"/>
        <w:jc w:val="center"/>
        <w:rPr>
          <w:rFonts w:hint="eastAsia" w:ascii="楷体_GB2312" w:hAnsi="宋体" w:eastAsia="楷体_GB2312" w:cs="宋体"/>
          <w:color w:val="auto"/>
          <w:sz w:val="32"/>
          <w:szCs w:val="32"/>
          <w:highlight w:val="none"/>
        </w:rPr>
      </w:pPr>
      <w:r>
        <w:rPr>
          <w:rFonts w:hint="eastAsia" w:ascii="隶书" w:hAnsi="宋体" w:eastAsia="隶书" w:cs="宋体"/>
          <w:color w:val="auto"/>
          <w:sz w:val="32"/>
          <w:szCs w:val="32"/>
          <w:highlight w:val="none"/>
        </w:rPr>
        <w:t xml:space="preserve"> </w:t>
      </w:r>
    </w:p>
    <w:p w14:paraId="4C14DDD1">
      <w:pPr>
        <w:pStyle w:val="2"/>
        <w:adjustRightInd w:val="0"/>
        <w:snapToGrid w:val="0"/>
        <w:spacing w:line="482" w:lineRule="exact"/>
        <w:jc w:val="center"/>
        <w:rPr>
          <w:rFonts w:hint="eastAsia" w:ascii="楷体_GB2312" w:hAnsi="宋体" w:eastAsia="楷体_GB2312" w:cs="宋体"/>
          <w:color w:val="auto"/>
          <w:sz w:val="32"/>
          <w:szCs w:val="32"/>
          <w:highlight w:val="none"/>
        </w:rPr>
      </w:pPr>
    </w:p>
    <w:p w14:paraId="015693F8">
      <w:pPr>
        <w:pStyle w:val="2"/>
        <w:adjustRightInd w:val="0"/>
        <w:snapToGrid w:val="0"/>
        <w:spacing w:line="482" w:lineRule="exact"/>
        <w:jc w:val="center"/>
        <w:rPr>
          <w:rFonts w:hint="eastAsia" w:ascii="楷体_GB2312" w:hAnsi="宋体" w:eastAsia="楷体_GB2312" w:cs="宋体"/>
          <w:color w:val="auto"/>
          <w:sz w:val="32"/>
          <w:szCs w:val="32"/>
          <w:highlight w:val="none"/>
        </w:rPr>
      </w:pPr>
    </w:p>
    <w:p w14:paraId="15C6803E">
      <w:pPr>
        <w:pStyle w:val="2"/>
        <w:adjustRightInd w:val="0"/>
        <w:snapToGrid w:val="0"/>
        <w:spacing w:line="482" w:lineRule="exact"/>
        <w:jc w:val="center"/>
        <w:rPr>
          <w:rFonts w:hint="eastAsia" w:ascii="楷体_GB2312" w:hAnsi="宋体" w:eastAsia="楷体_GB2312" w:cs="宋体"/>
          <w:color w:val="auto"/>
          <w:sz w:val="32"/>
          <w:szCs w:val="32"/>
          <w:highlight w:val="none"/>
        </w:rPr>
      </w:pPr>
    </w:p>
    <w:p w14:paraId="5EDE5B53">
      <w:pPr>
        <w:pStyle w:val="2"/>
        <w:adjustRightInd w:val="0"/>
        <w:snapToGrid w:val="0"/>
        <w:spacing w:line="482" w:lineRule="exact"/>
        <w:jc w:val="center"/>
        <w:rPr>
          <w:rFonts w:hint="eastAsia" w:ascii="楷体_GB2312" w:hAnsi="宋体" w:eastAsia="楷体_GB2312" w:cs="宋体"/>
          <w:color w:val="auto"/>
          <w:sz w:val="32"/>
          <w:szCs w:val="32"/>
          <w:highlight w:val="none"/>
        </w:rPr>
      </w:pPr>
    </w:p>
    <w:p w14:paraId="2C0689CB">
      <w:pPr>
        <w:pStyle w:val="2"/>
        <w:adjustRightInd w:val="0"/>
        <w:snapToGrid w:val="0"/>
        <w:spacing w:line="482" w:lineRule="exact"/>
        <w:jc w:val="center"/>
        <w:rPr>
          <w:rFonts w:hint="eastAsia" w:ascii="楷体_GB2312" w:hAnsi="宋体" w:eastAsia="楷体_GB2312" w:cs="宋体"/>
          <w:color w:val="auto"/>
          <w:sz w:val="32"/>
          <w:szCs w:val="32"/>
          <w:highlight w:val="none"/>
        </w:rPr>
      </w:pPr>
    </w:p>
    <w:p w14:paraId="7A6DC9A5">
      <w:pPr>
        <w:pStyle w:val="2"/>
        <w:adjustRightInd w:val="0"/>
        <w:snapToGrid w:val="0"/>
        <w:spacing w:line="482" w:lineRule="exact"/>
        <w:jc w:val="center"/>
        <w:rPr>
          <w:rFonts w:hint="eastAsia" w:ascii="楷体_GB2312" w:hAnsi="宋体" w:eastAsia="楷体_GB2312" w:cs="宋体"/>
          <w:color w:val="auto"/>
          <w:sz w:val="32"/>
          <w:szCs w:val="32"/>
          <w:highlight w:val="none"/>
        </w:rPr>
      </w:pPr>
    </w:p>
    <w:p w14:paraId="31E04D6E">
      <w:pPr>
        <w:pStyle w:val="2"/>
        <w:adjustRightInd w:val="0"/>
        <w:snapToGrid w:val="0"/>
        <w:spacing w:line="482" w:lineRule="exact"/>
        <w:jc w:val="center"/>
        <w:rPr>
          <w:rFonts w:hint="eastAsia" w:ascii="楷体_GB2312" w:hAnsi="宋体" w:eastAsia="楷体_GB2312" w:cs="宋体"/>
          <w:color w:val="auto"/>
          <w:sz w:val="32"/>
          <w:szCs w:val="32"/>
          <w:highlight w:val="none"/>
        </w:rPr>
      </w:pPr>
    </w:p>
    <w:p w14:paraId="2CA9BE65">
      <w:pPr>
        <w:pStyle w:val="2"/>
        <w:adjustRightInd w:val="0"/>
        <w:snapToGrid w:val="0"/>
        <w:spacing w:line="482" w:lineRule="exact"/>
        <w:ind w:firstLine="4160" w:firstLineChars="1300"/>
        <w:rPr>
          <w:rFonts w:hint="eastAsia" w:ascii="楷体_GB2312" w:hAnsi="宋体" w:eastAsia="楷体_GB2312" w:cs="宋体"/>
          <w:color w:val="auto"/>
          <w:sz w:val="32"/>
          <w:szCs w:val="32"/>
          <w:highlight w:val="none"/>
        </w:rPr>
      </w:pPr>
      <w:r>
        <w:rPr>
          <w:rFonts w:hint="eastAsia" w:ascii="楷体_GB2312" w:hAnsi="宋体" w:eastAsia="楷体_GB2312" w:cs="宋体"/>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36830</wp:posOffset>
                </wp:positionV>
                <wp:extent cx="1685925" cy="396240"/>
                <wp:effectExtent l="0" t="0" r="9525" b="3810"/>
                <wp:wrapNone/>
                <wp:docPr id="1" name="文本框 2"/>
                <wp:cNvGraphicFramePr/>
                <a:graphic xmlns:a="http://schemas.openxmlformats.org/drawingml/2006/main">
                  <a:graphicData uri="http://schemas.microsoft.com/office/word/2010/wordprocessingShape">
                    <wps:wsp>
                      <wps:cNvSpPr txBox="1"/>
                      <wps:spPr>
                        <a:xfrm>
                          <a:off x="0" y="0"/>
                          <a:ext cx="1685925" cy="396240"/>
                        </a:xfrm>
                        <a:prstGeom prst="rect">
                          <a:avLst/>
                        </a:prstGeom>
                        <a:solidFill>
                          <a:srgbClr val="FFFFFF"/>
                        </a:solidFill>
                        <a:ln>
                          <a:noFill/>
                        </a:ln>
                      </wps:spPr>
                      <wps:txbx>
                        <w:txbxContent>
                          <w:p w14:paraId="50F2A24F">
                            <w:pPr>
                              <w:rPr>
                                <w:rFonts w:hint="eastAsia" w:ascii="楷体_GB2312" w:eastAsia="楷体_GB2312"/>
                                <w:sz w:val="32"/>
                                <w:szCs w:val="32"/>
                              </w:rPr>
                            </w:pPr>
                            <w:r>
                              <w:rPr>
                                <w:rFonts w:hint="eastAsia" w:ascii="楷体_GB2312" w:eastAsia="楷体_GB2312"/>
                                <w:sz w:val="32"/>
                                <w:szCs w:val="32"/>
                              </w:rPr>
                              <w:t>中华人民共和国</w:t>
                            </w:r>
                          </w:p>
                        </w:txbxContent>
                      </wps:txbx>
                      <wps:bodyPr upright="1"/>
                    </wps:wsp>
                  </a:graphicData>
                </a:graphic>
              </wp:anchor>
            </w:drawing>
          </mc:Choice>
          <mc:Fallback>
            <w:pict>
              <v:shape id="文本框 2" o:spid="_x0000_s1026" o:spt="202" type="#_x0000_t202" style="position:absolute;left:0pt;margin-left:56.25pt;margin-top:2.9pt;height:31.2pt;width:132.75pt;z-index:251659264;mso-width-relative:page;mso-height-relative:page;" fillcolor="#FFFFFF" filled="t" stroked="f" coordsize="21600,21600" o:gfxdata="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3fUp9YAAAAIAQAADwAAAAAAAAABACAAAAAiAAAAZHJzL2Rvd25yZXYueG1s&#10;UEsBAhQAFAAAAAgAh07iQOMEowXBAQAAdwMAAA4AAAAAAAAAAQAgAAAAJQEAAGRycy9lMm9Eb2Mu&#10;eG1sUEsFBgAAAAAGAAYAWQEAAFgFAAAAAA==&#10;">
                <v:fill on="t" focussize="0,0"/>
                <v:stroke on="f"/>
                <v:imagedata o:title=""/>
                <o:lock v:ext="edit" aspectratio="f"/>
                <v:textbox>
                  <w:txbxContent>
                    <w:p w14:paraId="50F2A24F">
                      <w:pPr>
                        <w:rPr>
                          <w:rFonts w:hint="eastAsia" w:ascii="楷体_GB2312" w:eastAsia="楷体_GB2312"/>
                          <w:sz w:val="32"/>
                          <w:szCs w:val="32"/>
                        </w:rPr>
                      </w:pPr>
                      <w:r>
                        <w:rPr>
                          <w:rFonts w:hint="eastAsia" w:ascii="楷体_GB2312" w:eastAsia="楷体_GB2312"/>
                          <w:sz w:val="32"/>
                          <w:szCs w:val="32"/>
                        </w:rPr>
                        <w:t>中华人民共和国</w:t>
                      </w:r>
                    </w:p>
                  </w:txbxContent>
                </v:textbox>
              </v:shape>
            </w:pict>
          </mc:Fallback>
        </mc:AlternateContent>
      </w:r>
      <w:r>
        <w:rPr>
          <w:rFonts w:hint="eastAsia" w:ascii="楷体_GB2312" w:hAnsi="宋体" w:eastAsia="楷体_GB2312" w:cs="宋体"/>
          <w:color w:val="auto"/>
          <w:sz w:val="32"/>
          <w:szCs w:val="32"/>
          <w:highlight w:val="none"/>
        </w:rPr>
        <w:t>水       利       部</w:t>
      </w:r>
    </w:p>
    <w:p w14:paraId="00720F44">
      <w:pPr>
        <w:pStyle w:val="2"/>
        <w:adjustRightInd w:val="0"/>
        <w:snapToGrid w:val="0"/>
        <w:spacing w:line="482" w:lineRule="exact"/>
        <w:jc w:val="center"/>
        <w:rPr>
          <w:rFonts w:hint="eastAsia" w:ascii="楷体_GB2312" w:hAnsi="宋体" w:eastAsia="楷体_GB2312" w:cs="宋体"/>
          <w:color w:val="auto"/>
          <w:sz w:val="32"/>
          <w:szCs w:val="32"/>
          <w:highlight w:val="none"/>
        </w:rPr>
      </w:pPr>
      <w:r>
        <w:rPr>
          <w:rFonts w:hint="eastAsia" w:ascii="楷体_GB2312" w:hAnsi="宋体" w:eastAsia="楷体_GB2312" w:cs="宋体"/>
          <w:color w:val="auto"/>
          <w:sz w:val="32"/>
          <w:szCs w:val="32"/>
          <w:highlight w:val="none"/>
        </w:rPr>
        <w:t xml:space="preserve">            </w:t>
      </w:r>
      <w:r>
        <w:rPr>
          <w:rFonts w:hint="eastAsia" w:ascii="楷体_GB2312" w:eastAsia="楷体_GB2312" w:cs="宋体"/>
          <w:color w:val="auto"/>
          <w:sz w:val="32"/>
          <w:szCs w:val="32"/>
          <w:highlight w:val="none"/>
          <w:lang w:val="en-US" w:eastAsia="zh-CN"/>
        </w:rPr>
        <w:t xml:space="preserve"> </w:t>
      </w:r>
      <w:r>
        <w:rPr>
          <w:rFonts w:hint="eastAsia" w:ascii="楷体_GB2312" w:hAnsi="宋体" w:eastAsia="楷体_GB2312" w:cs="宋体"/>
          <w:color w:val="auto"/>
          <w:sz w:val="32"/>
          <w:szCs w:val="32"/>
          <w:highlight w:val="none"/>
        </w:rPr>
        <w:t>国家工商行政管理总局</w:t>
      </w:r>
    </w:p>
    <w:p w14:paraId="1E0F45B8">
      <w:pPr>
        <w:pStyle w:val="2"/>
        <w:adjustRightInd w:val="0"/>
        <w:snapToGrid w:val="0"/>
        <w:spacing w:line="482" w:lineRule="exact"/>
        <w:rPr>
          <w:rFonts w:hint="eastAsia" w:hAnsi="宋体" w:cs="宋体"/>
          <w:color w:val="auto"/>
          <w:highlight w:val="none"/>
        </w:rPr>
        <w:sectPr>
          <w:pgSz w:w="11906" w:h="16838"/>
          <w:pgMar w:top="1418" w:right="1274" w:bottom="1276" w:left="1276" w:header="567" w:footer="567" w:gutter="0"/>
          <w:pgNumType w:fmt="decimal"/>
          <w:cols w:space="720" w:num="1"/>
          <w:docGrid w:type="lines" w:linePitch="312" w:charSpace="0"/>
        </w:sectPr>
      </w:pPr>
    </w:p>
    <w:p w14:paraId="5A9475DC">
      <w:pPr>
        <w:pStyle w:val="3"/>
        <w:rPr>
          <w:color w:val="auto"/>
          <w:highlight w:val="none"/>
        </w:rPr>
      </w:pPr>
    </w:p>
    <w:p w14:paraId="598A15D5">
      <w:pPr>
        <w:spacing w:before="0" w:beforeLines="0" w:after="0" w:afterLines="0" w:line="240" w:lineRule="auto"/>
        <w:ind w:left="0" w:leftChars="0" w:right="0" w:rightChars="0" w:firstLine="0" w:firstLineChars="0"/>
        <w:jc w:val="center"/>
        <w:rPr>
          <w:color w:val="auto"/>
          <w:sz w:val="24"/>
          <w:szCs w:val="32"/>
          <w:highlight w:val="none"/>
        </w:rPr>
      </w:pPr>
      <w:r>
        <w:rPr>
          <w:rFonts w:ascii="宋体" w:hAnsi="宋体" w:eastAsia="宋体"/>
          <w:color w:val="auto"/>
          <w:sz w:val="24"/>
          <w:szCs w:val="32"/>
          <w:highlight w:val="none"/>
        </w:rPr>
        <w:t>目录</w:t>
      </w:r>
    </w:p>
    <w:p w14:paraId="396936E1">
      <w:pPr>
        <w:pStyle w:val="15"/>
        <w:tabs>
          <w:tab w:val="right" w:leader="dot" w:pos="9356"/>
        </w:tabs>
        <w:rPr>
          <w:rFonts w:hint="eastAsia" w:ascii="宋体" w:hAnsi="宋体" w:eastAsia="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TOC \o "1-2" \h \u </w:instrText>
      </w:r>
      <w:r>
        <w:rPr>
          <w:rFonts w:hint="eastAsia" w:hAnsi="宋体" w:cs="宋体"/>
          <w:color w:val="auto"/>
          <w:highlight w:val="none"/>
        </w:rPr>
        <w:fldChar w:fldCharType="separate"/>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_Toc15373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lang w:val="en-US" w:eastAsia="zh-CN"/>
        </w:rPr>
        <w:t xml:space="preserve">第一部分 </w:t>
      </w:r>
      <w:r>
        <w:rPr>
          <w:rFonts w:hint="eastAsia" w:ascii="黑体" w:hAnsi="黑体" w:eastAsia="黑体" w:cs="黑体"/>
          <w:color w:val="auto"/>
          <w:highlight w:val="none"/>
        </w:rPr>
        <w:t>水利工程施工监理合同书</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_Toc15373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1</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21ECDF1A">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_Toc19411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一、工程概况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37C99F">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二、监理范围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7C96E1">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_Toc28359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三、监理服务内容、期限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_Toc28359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7AC148">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四、监理服务酬金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F1F04E">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_Toc10884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五、监理合同的组成文件及解释顺序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D17DB1">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六、</w:t>
      </w:r>
      <w:r>
        <w:rPr>
          <w:rFonts w:hint="eastAsia" w:ascii="宋体" w:hAnsi="宋体" w:eastAsia="宋体" w:cs="宋体"/>
          <w:bCs w:val="0"/>
          <w:color w:val="auto"/>
          <w:szCs w:val="24"/>
          <w:highlight w:val="none"/>
        </w:rPr>
        <w:t>词语限定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1A92CC">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_Toc3899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24"/>
          <w:highlight w:val="none"/>
          <w:lang w:eastAsia="zh-CN"/>
        </w:rPr>
        <w:t>七</w:t>
      </w:r>
      <w:r>
        <w:rPr>
          <w:rFonts w:hint="eastAsia" w:ascii="宋体" w:hAnsi="宋体" w:eastAsia="宋体" w:cs="宋体"/>
          <w:bCs w:val="0"/>
          <w:color w:val="auto"/>
          <w:szCs w:val="24"/>
          <w:highlight w:val="none"/>
        </w:rPr>
        <w:t>、组成本合同的文件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9F039B">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_Toc21763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24"/>
          <w:highlight w:val="none"/>
          <w:lang w:eastAsia="zh-CN"/>
        </w:rPr>
        <w:t>八</w:t>
      </w:r>
      <w:r>
        <w:rPr>
          <w:rFonts w:hint="eastAsia" w:ascii="宋体" w:hAnsi="宋体" w:eastAsia="宋体" w:cs="宋体"/>
          <w:bCs w:val="0"/>
          <w:color w:val="auto"/>
          <w:szCs w:val="24"/>
          <w:highlight w:val="none"/>
        </w:rPr>
        <w:t>、总监理工程师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E76E07">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九、</w:t>
      </w:r>
      <w:r>
        <w:rPr>
          <w:rFonts w:hint="eastAsia" w:ascii="宋体" w:hAnsi="宋体" w:eastAsia="宋体" w:cs="宋体"/>
          <w:bCs w:val="0"/>
          <w:color w:val="auto"/>
          <w:szCs w:val="24"/>
          <w:highlight w:val="none"/>
        </w:rPr>
        <w:t>双方承诺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D7B810">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_Toc1163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 xml:space="preserve">十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合同生效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A20126">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 xml:space="preserve">十一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合同份数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5E5AEA">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_Toc8581 </w:instrText>
      </w:r>
      <w:r>
        <w:rPr>
          <w:rFonts w:hint="eastAsia" w:ascii="宋体" w:hAnsi="宋体" w:eastAsia="宋体" w:cs="宋体"/>
          <w:color w:val="auto"/>
          <w:highlight w:val="none"/>
        </w:rPr>
        <w:fldChar w:fldCharType="separate"/>
      </w:r>
      <w:r>
        <w:rPr>
          <w:rFonts w:hint="eastAsia" w:ascii="黑体" w:hAnsi="黑体" w:eastAsia="黑体" w:cs="黑体"/>
          <w:color w:val="auto"/>
          <w:highlight w:val="none"/>
        </w:rPr>
        <w:t>第</w:t>
      </w:r>
      <w:r>
        <w:rPr>
          <w:rFonts w:hint="eastAsia" w:ascii="黑体" w:hAnsi="黑体" w:eastAsia="黑体" w:cs="黑体"/>
          <w:color w:val="auto"/>
          <w:highlight w:val="none"/>
          <w:lang w:val="en-US" w:eastAsia="zh-CN"/>
        </w:rPr>
        <w:t>二</w:t>
      </w:r>
      <w:r>
        <w:rPr>
          <w:rFonts w:hint="eastAsia" w:ascii="黑体" w:hAnsi="黑体" w:eastAsia="黑体" w:cs="黑体"/>
          <w:color w:val="auto"/>
          <w:highlight w:val="none"/>
        </w:rPr>
        <w:t>部分  通用合同条款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90316E">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_Toc10361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词语含义及适用语言</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F69A9C">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_Toc7044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监理依据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A2D872">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_Toc8413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通知和联系</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12595C">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委托人的权利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7E2CF0">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监理人的权利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7F1586">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委托人的义务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C6E886">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_Toc5420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监理人的义务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FA4AF6">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监理服务酬金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CA511C">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_Toc10402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合同变更与终止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F552D0">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违约责任</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D950CB">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争议的解决</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3E41B6">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_Toc12082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其  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E57F7A">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_Toc9694 </w:instrText>
      </w:r>
      <w:r>
        <w:rPr>
          <w:rFonts w:hint="eastAsia" w:ascii="宋体" w:hAnsi="宋体" w:eastAsia="宋体" w:cs="宋体"/>
          <w:color w:val="auto"/>
          <w:highlight w:val="none"/>
        </w:rPr>
        <w:fldChar w:fldCharType="separate"/>
      </w:r>
      <w:r>
        <w:rPr>
          <w:rFonts w:hint="eastAsia" w:ascii="黑体" w:hAnsi="黑体" w:eastAsia="黑体" w:cs="黑体"/>
          <w:color w:val="auto"/>
          <w:szCs w:val="24"/>
          <w:highlight w:val="none"/>
        </w:rPr>
        <w:t>第</w:t>
      </w:r>
      <w:r>
        <w:rPr>
          <w:rFonts w:hint="eastAsia" w:ascii="黑体" w:hAnsi="黑体" w:eastAsia="黑体" w:cs="黑体"/>
          <w:color w:val="auto"/>
          <w:szCs w:val="24"/>
          <w:highlight w:val="none"/>
          <w:lang w:val="en-US" w:eastAsia="zh-CN"/>
        </w:rPr>
        <w:t>三</w:t>
      </w:r>
      <w:r>
        <w:rPr>
          <w:rFonts w:hint="eastAsia" w:ascii="黑体" w:hAnsi="黑体" w:eastAsia="黑体" w:cs="黑体"/>
          <w:color w:val="auto"/>
          <w:szCs w:val="24"/>
          <w:highlight w:val="none"/>
        </w:rPr>
        <w:t>部分  专用合同条款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2BCB66">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监理依据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4CCA84">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_Toc28210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委托人的权利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4ED0CB">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监理人的权利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A17A39">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委托人的义务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181A85">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违约责任</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A706EC">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争议的解决</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F1B3FE">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其    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86E8C0">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_Toc24581 </w:instrText>
      </w:r>
      <w:r>
        <w:rPr>
          <w:rFonts w:hint="eastAsia" w:ascii="宋体" w:hAnsi="宋体" w:eastAsia="宋体" w:cs="宋体"/>
          <w:color w:val="auto"/>
          <w:highlight w:val="none"/>
        </w:rPr>
        <w:fldChar w:fldCharType="separate"/>
      </w:r>
      <w:r>
        <w:rPr>
          <w:rFonts w:hint="eastAsia" w:ascii="黑体" w:hAnsi="黑体" w:eastAsia="黑体" w:cs="黑体"/>
          <w:color w:val="auto"/>
          <w:szCs w:val="24"/>
          <w:highlight w:val="none"/>
        </w:rPr>
        <w:t>第</w:t>
      </w:r>
      <w:r>
        <w:rPr>
          <w:rFonts w:hint="eastAsia" w:ascii="黑体" w:hAnsi="黑体" w:eastAsia="黑体" w:cs="黑体"/>
          <w:color w:val="auto"/>
          <w:szCs w:val="24"/>
          <w:highlight w:val="none"/>
          <w:lang w:val="en-US" w:eastAsia="zh-CN"/>
        </w:rPr>
        <w:t>四</w:t>
      </w:r>
      <w:r>
        <w:rPr>
          <w:rFonts w:hint="eastAsia" w:ascii="黑体" w:hAnsi="黑体" w:eastAsia="黑体" w:cs="黑体"/>
          <w:color w:val="auto"/>
          <w:szCs w:val="24"/>
          <w:highlight w:val="none"/>
        </w:rPr>
        <w:t>部分  附  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891F87">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：工程建设项目廉政责任书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5057F4">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_Toc14012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2"/>
          <w:highlight w:val="none"/>
        </w:rPr>
        <w:t>附件</w:t>
      </w:r>
      <w:r>
        <w:rPr>
          <w:rFonts w:hint="eastAsia" w:ascii="宋体" w:hAnsi="宋体" w:eastAsia="宋体" w:cs="宋体"/>
          <w:bCs/>
          <w:color w:val="auto"/>
          <w:szCs w:val="22"/>
          <w:highlight w:val="none"/>
          <w:lang w:val="en-US" w:eastAsia="zh-CN"/>
        </w:rPr>
        <w:t>2</w:t>
      </w:r>
      <w:r>
        <w:rPr>
          <w:rFonts w:hint="eastAsia" w:ascii="宋体" w:hAnsi="宋体" w:eastAsia="宋体" w:cs="宋体"/>
          <w:bCs/>
          <w:color w:val="auto"/>
          <w:szCs w:val="22"/>
          <w:highlight w:val="none"/>
        </w:rPr>
        <w:t>：监理人员投入表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_Toc14012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CE1F9D">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_Toc10543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2"/>
          <w:highlight w:val="none"/>
        </w:rPr>
        <w:t>附件</w:t>
      </w:r>
      <w:r>
        <w:rPr>
          <w:rFonts w:hint="eastAsia" w:ascii="宋体" w:hAnsi="宋体" w:eastAsia="宋体" w:cs="宋体"/>
          <w:bCs/>
          <w:color w:val="auto"/>
          <w:szCs w:val="22"/>
          <w:highlight w:val="none"/>
          <w:lang w:val="en-US" w:eastAsia="zh-CN"/>
        </w:rPr>
        <w:t>3</w:t>
      </w:r>
      <w:r>
        <w:rPr>
          <w:rFonts w:hint="eastAsia" w:ascii="宋体" w:hAnsi="宋体" w:eastAsia="宋体" w:cs="宋体"/>
          <w:bCs/>
          <w:color w:val="auto"/>
          <w:szCs w:val="22"/>
          <w:highlight w:val="none"/>
        </w:rPr>
        <w:t>：投标报价、中标通知书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9FD787">
      <w:pPr>
        <w:pStyle w:val="15"/>
        <w:tabs>
          <w:tab w:val="right" w:leader="dot" w:pos="935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_Toc15839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附件</w:t>
      </w:r>
      <w:r>
        <w:rPr>
          <w:rFonts w:hint="eastAsia" w:ascii="宋体" w:hAnsi="宋体" w:eastAsia="宋体" w:cs="宋体"/>
          <w:bCs/>
          <w:color w:val="auto"/>
          <w:szCs w:val="24"/>
          <w:highlight w:val="none"/>
          <w:lang w:val="en-US" w:eastAsia="zh-CN"/>
        </w:rPr>
        <w:t>4</w:t>
      </w:r>
      <w:r>
        <w:rPr>
          <w:rFonts w:hint="eastAsia" w:ascii="宋体" w:hAnsi="宋体" w:eastAsia="宋体" w:cs="宋体"/>
          <w:bCs/>
          <w:color w:val="auto"/>
          <w:szCs w:val="24"/>
          <w:highlight w:val="none"/>
        </w:rPr>
        <w:t>：营业执照、银行开户许可证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_Toc15839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B4C1EA">
      <w:pPr>
        <w:pStyle w:val="15"/>
        <w:tabs>
          <w:tab w:val="right" w:leader="dot" w:pos="9356"/>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_Toc23466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bidi="en-US"/>
        </w:rPr>
        <w:t>附件</w:t>
      </w:r>
      <w:r>
        <w:rPr>
          <w:rFonts w:hint="eastAsia" w:ascii="宋体" w:hAnsi="宋体" w:eastAsia="宋体" w:cs="宋体"/>
          <w:bCs/>
          <w:color w:val="auto"/>
          <w:szCs w:val="24"/>
          <w:highlight w:val="none"/>
          <w:lang w:val="en-US" w:eastAsia="zh-CN" w:bidi="en-US"/>
        </w:rPr>
        <w:t>5</w:t>
      </w:r>
      <w:r>
        <w:rPr>
          <w:rFonts w:hint="eastAsia" w:ascii="宋体" w:hAnsi="宋体" w:eastAsia="宋体" w:cs="宋体"/>
          <w:bCs/>
          <w:color w:val="auto"/>
          <w:szCs w:val="24"/>
          <w:highlight w:val="none"/>
          <w:lang w:bidi="en-US"/>
        </w:rPr>
        <w:t>：乙方单位印章及项目负责人签名样式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_Toc23466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8C4C28">
      <w:pPr>
        <w:pStyle w:val="2"/>
        <w:adjustRightInd w:val="0"/>
        <w:snapToGrid w:val="0"/>
        <w:spacing w:line="482" w:lineRule="exact"/>
        <w:rPr>
          <w:rFonts w:hint="eastAsia" w:hAnsi="宋体" w:cs="宋体"/>
          <w:color w:val="auto"/>
          <w:highlight w:val="none"/>
        </w:rPr>
        <w:sectPr>
          <w:footerReference r:id="rId3" w:type="default"/>
          <w:pgSz w:w="11906" w:h="16838"/>
          <w:pgMar w:top="1418" w:right="1274" w:bottom="1276" w:left="1276" w:header="567" w:footer="567" w:gutter="0"/>
          <w:pgNumType w:fmt="decimal"/>
          <w:cols w:space="720" w:num="1"/>
          <w:docGrid w:type="lines" w:linePitch="312" w:charSpace="0"/>
        </w:sectPr>
      </w:pPr>
      <w:r>
        <w:rPr>
          <w:rFonts w:hint="eastAsia" w:hAnsi="宋体" w:cs="宋体"/>
          <w:color w:val="auto"/>
          <w:highlight w:val="none"/>
        </w:rPr>
        <w:fldChar w:fldCharType="end"/>
      </w:r>
    </w:p>
    <w:p w14:paraId="341EDAE7">
      <w:pPr>
        <w:pStyle w:val="3"/>
        <w:rPr>
          <w:rFonts w:hint="eastAsia"/>
          <w:color w:val="auto"/>
          <w:highlight w:val="none"/>
        </w:rPr>
      </w:pPr>
    </w:p>
    <w:p w14:paraId="5323D165">
      <w:pPr>
        <w:pStyle w:val="6"/>
        <w:jc w:val="center"/>
        <w:outlineLvl w:val="0"/>
        <w:rPr>
          <w:rFonts w:hint="eastAsia" w:hAnsi="宋体" w:cs="宋体"/>
          <w:color w:val="auto"/>
          <w:highlight w:val="none"/>
        </w:rPr>
      </w:pPr>
      <w:bookmarkStart w:id="0" w:name="_Toc15373"/>
      <w:bookmarkStart w:id="1" w:name="_Toc28915"/>
      <w:bookmarkStart w:id="2" w:name="_Toc10556"/>
      <w:bookmarkStart w:id="3" w:name="_Toc17044"/>
      <w:r>
        <w:rPr>
          <w:rFonts w:hint="eastAsia"/>
          <w:color w:val="auto"/>
          <w:highlight w:val="none"/>
          <w:lang w:val="en-US" w:eastAsia="zh-CN"/>
        </w:rPr>
        <w:t xml:space="preserve">第一部分 </w:t>
      </w:r>
      <w:r>
        <w:rPr>
          <w:rFonts w:hint="eastAsia"/>
          <w:color w:val="auto"/>
          <w:highlight w:val="none"/>
        </w:rPr>
        <w:t>水利工程施工监理合同书</w:t>
      </w:r>
      <w:bookmarkEnd w:id="0"/>
      <w:bookmarkEnd w:id="1"/>
      <w:bookmarkEnd w:id="2"/>
      <w:bookmarkEnd w:id="3"/>
    </w:p>
    <w:p w14:paraId="297F5BF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sz w:val="24"/>
          <w:szCs w:val="24"/>
          <w:highlight w:val="none"/>
          <w:u w:val="none"/>
          <w:lang w:val="en-US" w:eastAsia="zh-CN"/>
        </w:rPr>
      </w:pPr>
      <w:r>
        <w:rPr>
          <w:rFonts w:hint="eastAsia" w:hAnsi="宋体" w:cs="宋体"/>
          <w:color w:val="auto"/>
          <w:sz w:val="24"/>
          <w:szCs w:val="24"/>
          <w:highlight w:val="none"/>
        </w:rPr>
        <w:t>委</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托</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02E6BE5A">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监</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理</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1690C45D">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rPr>
        <w:t>合同编号：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7286054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合同名称：</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32DB746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依据</w:t>
      </w:r>
      <w:r>
        <w:rPr>
          <w:rFonts w:hint="eastAsia" w:ascii="宋体" w:hAnsi="宋体" w:eastAsia="宋体" w:cs="宋体"/>
          <w:color w:val="auto"/>
          <w:sz w:val="24"/>
          <w:szCs w:val="24"/>
          <w:highlight w:val="none"/>
        </w:rPr>
        <w:t>《中华人民共和国民法典》、《中华人民共和国建筑法》及其他有关法律、法规，遵循平等、自愿、公平和诚信的原则，</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（委托人名称）</w:t>
      </w:r>
      <w:r>
        <w:rPr>
          <w:rFonts w:hint="eastAsia" w:hAnsi="宋体" w:cs="宋体"/>
          <w:color w:val="auto"/>
          <w:sz w:val="24"/>
          <w:szCs w:val="24"/>
          <w:highlight w:val="none"/>
        </w:rPr>
        <w:t>(以下简称委托人)，委托</w:t>
      </w:r>
      <w:r>
        <w:rPr>
          <w:rFonts w:hint="eastAsia" w:hAnsi="宋体" w:cs="宋体"/>
          <w:color w:val="auto"/>
          <w:sz w:val="24"/>
          <w:szCs w:val="24"/>
          <w:highlight w:val="none"/>
          <w:u w:val="single"/>
        </w:rPr>
        <w:t xml:space="preserve">  (监理人名称)  </w:t>
      </w:r>
      <w:r>
        <w:rPr>
          <w:rFonts w:hint="eastAsia" w:hAnsi="宋体" w:cs="宋体"/>
          <w:color w:val="auto"/>
          <w:sz w:val="24"/>
          <w:szCs w:val="24"/>
          <w:highlight w:val="none"/>
        </w:rPr>
        <w:t>(以下简称监理人)提供</w:t>
      </w:r>
      <w:r>
        <w:rPr>
          <w:rFonts w:hint="eastAsia" w:hAnsi="宋体" w:cs="宋体"/>
          <w:color w:val="auto"/>
          <w:sz w:val="24"/>
          <w:szCs w:val="24"/>
          <w:highlight w:val="none"/>
          <w:u w:val="single"/>
        </w:rPr>
        <w:t xml:space="preserve"> （工程名称） </w:t>
      </w:r>
      <w:r>
        <w:rPr>
          <w:rFonts w:hint="eastAsia" w:hAnsi="宋体" w:cs="宋体"/>
          <w:color w:val="auto"/>
          <w:sz w:val="24"/>
          <w:szCs w:val="24"/>
          <w:highlight w:val="none"/>
        </w:rPr>
        <w:t>工程</w:t>
      </w:r>
      <w:r>
        <w:rPr>
          <w:rFonts w:hint="eastAsia" w:hAnsi="宋体" w:cs="宋体"/>
          <w:color w:val="auto"/>
          <w:sz w:val="24"/>
          <w:szCs w:val="24"/>
          <w:highlight w:val="none"/>
          <w:u w:val="single"/>
        </w:rPr>
        <w:t xml:space="preserve"> （监理项目名称） </w:t>
      </w:r>
      <w:r>
        <w:rPr>
          <w:rFonts w:hint="eastAsia" w:hAnsi="宋体" w:cs="宋体"/>
          <w:color w:val="auto"/>
          <w:sz w:val="24"/>
          <w:szCs w:val="24"/>
          <w:highlight w:val="none"/>
        </w:rPr>
        <w:t>监理服务，经双方协商一致，订立本合同。</w:t>
      </w:r>
    </w:p>
    <w:p w14:paraId="1A820F2E">
      <w:pPr>
        <w:pStyle w:val="7"/>
        <w:outlineLvl w:val="0"/>
        <w:rPr>
          <w:rFonts w:hint="eastAsia"/>
          <w:color w:val="auto"/>
          <w:highlight w:val="none"/>
        </w:rPr>
      </w:pPr>
      <w:bookmarkStart w:id="4" w:name="_Toc28789"/>
      <w:bookmarkStart w:id="5" w:name="_Toc24012"/>
      <w:bookmarkStart w:id="6" w:name="_Toc19411"/>
      <w:bookmarkStart w:id="7" w:name="_Toc5407"/>
      <w:bookmarkStart w:id="8" w:name="_Toc12875"/>
      <w:bookmarkStart w:id="9" w:name="_Toc30935"/>
      <w:bookmarkStart w:id="10" w:name="_Toc30470"/>
      <w:r>
        <w:rPr>
          <w:rFonts w:hint="eastAsia"/>
          <w:color w:val="auto"/>
          <w:highlight w:val="none"/>
        </w:rPr>
        <w:t>一、工程概况</w:t>
      </w:r>
      <w:bookmarkEnd w:id="4"/>
      <w:bookmarkEnd w:id="5"/>
      <w:bookmarkEnd w:id="6"/>
      <w:bookmarkEnd w:id="7"/>
      <w:bookmarkEnd w:id="8"/>
      <w:bookmarkEnd w:id="9"/>
      <w:bookmarkEnd w:id="10"/>
    </w:p>
    <w:p w14:paraId="733E18D5">
      <w:pPr>
        <w:pStyle w:val="2"/>
        <w:adjustRightInd w:val="0"/>
        <w:snapToGrid w:val="0"/>
        <w:spacing w:line="482" w:lineRule="exact"/>
        <w:ind w:firstLine="42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立项批文编号或广东省企业基本建设投资项目备案证备案项目编号：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广州市发展和改革委员会关于</w:t>
      </w:r>
      <w:r>
        <w:rPr>
          <w:rFonts w:hint="eastAsia" w:ascii="宋体" w:hAnsi="宋体" w:eastAsia="宋体" w:cs="宋体"/>
          <w:color w:val="auto"/>
          <w:sz w:val="24"/>
          <w:szCs w:val="24"/>
          <w:highlight w:val="none"/>
          <w:u w:val="none"/>
          <w:lang w:eastAsia="zh-CN"/>
        </w:rPr>
        <w:t>猎德涌涌口水闸重建工程</w:t>
      </w:r>
      <w:r>
        <w:rPr>
          <w:rFonts w:hint="eastAsia" w:ascii="宋体" w:hAnsi="宋体" w:eastAsia="宋体" w:cs="宋体"/>
          <w:color w:val="auto"/>
          <w:sz w:val="24"/>
          <w:szCs w:val="24"/>
          <w:highlight w:val="none"/>
          <w:u w:val="none"/>
        </w:rPr>
        <w:t>可行性</w:t>
      </w:r>
      <w:r>
        <w:rPr>
          <w:rFonts w:hint="eastAsia" w:ascii="宋体" w:hAnsi="宋体" w:eastAsia="宋体" w:cs="宋体"/>
          <w:color w:val="auto"/>
          <w:sz w:val="24"/>
          <w:szCs w:val="24"/>
          <w:highlight w:val="none"/>
          <w:u w:val="none"/>
          <w:lang w:val="en-US" w:eastAsia="zh-CN"/>
        </w:rPr>
        <w:t>研</w:t>
      </w:r>
      <w:r>
        <w:rPr>
          <w:rFonts w:hint="eastAsia" w:ascii="宋体" w:hAnsi="宋体" w:eastAsia="宋体" w:cs="宋体"/>
          <w:color w:val="auto"/>
          <w:sz w:val="24"/>
          <w:szCs w:val="24"/>
          <w:highlight w:val="none"/>
          <w:u w:val="none"/>
        </w:rPr>
        <w:t>究报告的复函</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穗发改投批〔2024〕1</w:t>
      </w:r>
      <w:r>
        <w:rPr>
          <w:rFonts w:hint="eastAsia" w:ascii="宋体" w:hAnsi="宋体" w:eastAsia="宋体" w:cs="宋体"/>
          <w:color w:val="auto"/>
          <w:sz w:val="24"/>
          <w:szCs w:val="24"/>
          <w:highlight w:val="none"/>
          <w:u w:val="none"/>
          <w:lang w:val="en-US" w:eastAsia="zh-CN"/>
        </w:rPr>
        <w:t>83</w:t>
      </w:r>
      <w:r>
        <w:rPr>
          <w:rFonts w:hint="eastAsia" w:ascii="宋体" w:hAnsi="宋体" w:eastAsia="宋体" w:cs="宋体"/>
          <w:color w:val="auto"/>
          <w:sz w:val="24"/>
          <w:szCs w:val="24"/>
          <w:highlight w:val="none"/>
          <w:u w:val="none"/>
        </w:rPr>
        <w:t>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广州市</w:t>
      </w:r>
      <w:r>
        <w:rPr>
          <w:rFonts w:hint="eastAsia" w:ascii="宋体" w:hAnsi="宋体" w:eastAsia="宋体" w:cs="宋体"/>
          <w:color w:val="auto"/>
          <w:sz w:val="24"/>
          <w:szCs w:val="24"/>
          <w:highlight w:val="none"/>
          <w:u w:val="none"/>
          <w:lang w:val="en-US" w:eastAsia="zh-CN"/>
        </w:rPr>
        <w:t>天河区</w:t>
      </w:r>
      <w:r>
        <w:rPr>
          <w:rFonts w:hint="eastAsia" w:ascii="宋体" w:hAnsi="宋体" w:eastAsia="宋体" w:cs="宋体"/>
          <w:color w:val="auto"/>
          <w:sz w:val="24"/>
          <w:szCs w:val="24"/>
          <w:highlight w:val="none"/>
          <w:u w:val="none"/>
        </w:rPr>
        <w:t>发展和改革</w:t>
      </w:r>
      <w:r>
        <w:rPr>
          <w:rFonts w:hint="eastAsia" w:ascii="宋体" w:hAnsi="宋体" w:eastAsia="宋体" w:cs="宋体"/>
          <w:color w:val="auto"/>
          <w:sz w:val="24"/>
          <w:szCs w:val="24"/>
          <w:highlight w:val="none"/>
          <w:u w:val="none"/>
          <w:lang w:val="en-US" w:eastAsia="zh-CN"/>
        </w:rPr>
        <w:t>局</w:t>
      </w:r>
      <w:r>
        <w:rPr>
          <w:rFonts w:hint="eastAsia" w:ascii="宋体" w:hAnsi="宋体" w:eastAsia="宋体" w:cs="宋体"/>
          <w:color w:val="auto"/>
          <w:sz w:val="24"/>
          <w:szCs w:val="24"/>
          <w:highlight w:val="none"/>
          <w:u w:val="none"/>
        </w:rPr>
        <w:t>关于</w:t>
      </w:r>
      <w:r>
        <w:rPr>
          <w:rFonts w:hint="eastAsia" w:ascii="宋体" w:hAnsi="宋体" w:eastAsia="宋体" w:cs="宋体"/>
          <w:color w:val="auto"/>
          <w:sz w:val="24"/>
          <w:szCs w:val="24"/>
          <w:highlight w:val="none"/>
          <w:u w:val="none"/>
          <w:lang w:eastAsia="zh-CN"/>
        </w:rPr>
        <w:t>猎德涌涌口泵站建设工程</w:t>
      </w:r>
      <w:r>
        <w:rPr>
          <w:rFonts w:hint="eastAsia" w:ascii="宋体" w:hAnsi="宋体" w:eastAsia="宋体" w:cs="宋体"/>
          <w:color w:val="auto"/>
          <w:sz w:val="24"/>
          <w:szCs w:val="24"/>
          <w:highlight w:val="none"/>
          <w:u w:val="none"/>
        </w:rPr>
        <w:t>可行性</w:t>
      </w:r>
      <w:r>
        <w:rPr>
          <w:rFonts w:hint="eastAsia" w:ascii="宋体" w:hAnsi="宋体" w:eastAsia="宋体" w:cs="宋体"/>
          <w:color w:val="auto"/>
          <w:sz w:val="24"/>
          <w:szCs w:val="24"/>
          <w:highlight w:val="none"/>
          <w:u w:val="none"/>
          <w:lang w:val="en-US" w:eastAsia="zh-CN"/>
        </w:rPr>
        <w:t>研</w:t>
      </w:r>
      <w:r>
        <w:rPr>
          <w:rFonts w:hint="eastAsia" w:ascii="宋体" w:hAnsi="宋体" w:eastAsia="宋体" w:cs="宋体"/>
          <w:color w:val="auto"/>
          <w:sz w:val="24"/>
          <w:szCs w:val="24"/>
          <w:highlight w:val="none"/>
          <w:u w:val="none"/>
        </w:rPr>
        <w:t>究报告的复函</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穗</w:t>
      </w:r>
      <w:r>
        <w:rPr>
          <w:rFonts w:hint="eastAsia" w:ascii="宋体" w:hAnsi="宋体" w:eastAsia="宋体" w:cs="宋体"/>
          <w:color w:val="auto"/>
          <w:sz w:val="24"/>
          <w:szCs w:val="24"/>
          <w:highlight w:val="none"/>
          <w:u w:val="none"/>
          <w:lang w:val="en-US" w:eastAsia="zh-CN"/>
        </w:rPr>
        <w:t>天</w:t>
      </w:r>
      <w:r>
        <w:rPr>
          <w:rFonts w:hint="eastAsia" w:ascii="宋体" w:hAnsi="宋体" w:eastAsia="宋体" w:cs="宋体"/>
          <w:color w:val="auto"/>
          <w:sz w:val="24"/>
          <w:szCs w:val="24"/>
          <w:highlight w:val="none"/>
          <w:u w:val="none"/>
        </w:rPr>
        <w:t>发改投批〔202</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22</w:t>
      </w:r>
      <w:r>
        <w:rPr>
          <w:rFonts w:hint="eastAsia" w:ascii="宋体" w:hAnsi="宋体" w:eastAsia="宋体" w:cs="宋体"/>
          <w:color w:val="auto"/>
          <w:sz w:val="24"/>
          <w:szCs w:val="24"/>
          <w:highlight w:val="none"/>
          <w:u w:val="none"/>
        </w:rPr>
        <w:t>号</w:t>
      </w:r>
      <w:r>
        <w:rPr>
          <w:rFonts w:hint="eastAsia" w:ascii="宋体" w:hAnsi="宋体" w:eastAsia="宋体" w:cs="宋体"/>
          <w:color w:val="auto"/>
          <w:sz w:val="24"/>
          <w:szCs w:val="24"/>
          <w:highlight w:val="none"/>
          <w:u w:val="none"/>
          <w:lang w:eastAsia="zh-CN"/>
        </w:rPr>
        <w:t>）</w:t>
      </w:r>
    </w:p>
    <w:p w14:paraId="64A67523">
      <w:pPr>
        <w:pStyle w:val="2"/>
        <w:adjustRightInd w:val="0"/>
        <w:snapToGrid w:val="0"/>
        <w:spacing w:line="482" w:lineRule="exact"/>
        <w:ind w:firstLine="42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工程规模：</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猎德涌涌口水闸重建工程</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重建水闸一座，采用的设计防洪（潮）标准为200年一遇，设计排涝标准为20年一遇24小时暴雨不成灾，水闸主要建筑级别为1级，次要建筑物级别为3级，临时建筑物级别为4级。水闸设计流量为157立方米/秒，水闸总净宽为24米，分为3孔布置，每孔净宽为8米</w:t>
      </w:r>
      <w:r>
        <w:rPr>
          <w:rFonts w:hint="eastAsia" w:ascii="宋体" w:hAnsi="宋体" w:eastAsia="宋体" w:cs="宋体"/>
          <w:color w:val="auto"/>
          <w:sz w:val="24"/>
          <w:szCs w:val="24"/>
          <w:highlight w:val="none"/>
          <w:u w:val="none"/>
        </w:rPr>
        <w:t>。</w:t>
      </w:r>
    </w:p>
    <w:p w14:paraId="11A43B37">
      <w:pPr>
        <w:pStyle w:val="2"/>
        <w:adjustRightInd w:val="0"/>
        <w:snapToGrid w:val="0"/>
        <w:spacing w:line="482" w:lineRule="exact"/>
        <w:ind w:firstLine="42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项目总投资为3340万元，其中建筑工程1586万元；机电设备安装工程2万元；金属结构设备及安装工程319万元；施工临时工程641万元；独立费用383万元；基本预备费293万元；建设征地移民补偿费97万元；水土保持工程费9万元；环境保护工程费10万元</w:t>
      </w:r>
      <w:r>
        <w:rPr>
          <w:rFonts w:hint="eastAsia" w:ascii="宋体" w:hAnsi="宋体" w:eastAsia="宋体" w:cs="宋体"/>
          <w:color w:val="auto"/>
          <w:sz w:val="24"/>
          <w:szCs w:val="24"/>
          <w:highlight w:val="none"/>
          <w:u w:val="none"/>
        </w:rPr>
        <w:t>。</w:t>
      </w:r>
    </w:p>
    <w:p w14:paraId="25696278">
      <w:pPr>
        <w:pStyle w:val="2"/>
        <w:adjustRightInd w:val="0"/>
        <w:snapToGrid w:val="0"/>
        <w:spacing w:line="482" w:lineRule="exact"/>
        <w:ind w:firstLine="42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猎德涌涌口泵站建设工程</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项目建设流量63立方米/秒的地下厂房式排涝泵站1座，装机容量4.16MW；布置6台潜水轴流泵，其中12立方米/秒的潜水轴流泵5台、3立方米/秒的潜水轴流泵1台；泵站进水侧布置前池、进水池、清污机，出口侧布置出水池、护坦、拍门、事故闸门，并配套建设泵站管理用房。同时，拆除重建宽度8米、跨度31米的人行桥。</w:t>
      </w:r>
    </w:p>
    <w:p w14:paraId="4EBDE8A3">
      <w:pPr>
        <w:pStyle w:val="2"/>
        <w:adjustRightInd w:val="0"/>
        <w:snapToGrid w:val="0"/>
        <w:spacing w:line="482" w:lineRule="exact"/>
        <w:ind w:firstLine="42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项目总投资约16448万元，其中工程静态部分投资14008万元，建设征地移民补偿静态投资1620万元，水土保持工程静态投资10万元，环境保护工程静态投资15万元，专项工程静态投资（外电接入）795万元。</w:t>
      </w:r>
    </w:p>
    <w:p w14:paraId="005A907D">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项目总投资：</w:t>
      </w:r>
      <w:r>
        <w:rPr>
          <w:rFonts w:hint="eastAsia" w:ascii="宋体" w:hAnsi="宋体" w:eastAsia="宋体" w:cs="宋体"/>
          <w:color w:val="auto"/>
          <w:sz w:val="24"/>
          <w:szCs w:val="24"/>
          <w:highlight w:val="none"/>
          <w:u w:val="none"/>
        </w:rPr>
        <w:t>猎德涌涌口水闸重建工程</w:t>
      </w:r>
      <w:r>
        <w:rPr>
          <w:rFonts w:hint="eastAsia" w:ascii="宋体" w:hAnsi="宋体" w:eastAsia="宋体" w:cs="宋体"/>
          <w:color w:val="auto"/>
          <w:sz w:val="24"/>
          <w:szCs w:val="24"/>
          <w:highlight w:val="none"/>
          <w:u w:val="none"/>
          <w:lang w:val="en-US" w:eastAsia="zh-CN"/>
        </w:rPr>
        <w:t>项目总投资为3340万元，猎德涌涌口泵站建设工程项目总投资约16448万元。</w:t>
      </w:r>
    </w:p>
    <w:p w14:paraId="0DE0D997">
      <w:pPr>
        <w:pStyle w:val="2"/>
        <w:adjustRightInd w:val="0"/>
        <w:snapToGrid w:val="0"/>
        <w:spacing w:line="482" w:lineRule="exact"/>
        <w:ind w:firstLine="42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none"/>
        </w:rPr>
        <w:t>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区</w:t>
      </w:r>
      <w:r>
        <w:rPr>
          <w:rFonts w:hint="eastAsia" w:ascii="宋体" w:hAnsi="宋体" w:eastAsia="宋体" w:cs="宋体"/>
          <w:color w:val="auto"/>
          <w:sz w:val="24"/>
          <w:szCs w:val="24"/>
          <w:highlight w:val="none"/>
          <w:u w:val="none"/>
        </w:rPr>
        <w:t>财政资金</w:t>
      </w:r>
      <w:r>
        <w:rPr>
          <w:rFonts w:hint="eastAsia" w:ascii="宋体" w:hAnsi="宋体" w:eastAsia="宋体" w:cs="宋体"/>
          <w:color w:val="auto"/>
          <w:sz w:val="24"/>
          <w:szCs w:val="24"/>
          <w:highlight w:val="none"/>
        </w:rPr>
        <w:t>。</w:t>
      </w:r>
    </w:p>
    <w:p w14:paraId="3D27A3FD">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建设工期或周期：</w:t>
      </w:r>
      <w:r>
        <w:rPr>
          <w:rFonts w:hint="eastAsia" w:ascii="宋体" w:hAnsi="宋体" w:eastAsia="宋体" w:cs="宋体"/>
          <w:color w:val="auto"/>
          <w:sz w:val="24"/>
          <w:szCs w:val="24"/>
          <w:highlight w:val="none"/>
          <w:u w:val="none"/>
          <w:lang w:val="en-US" w:eastAsia="zh-CN"/>
        </w:rPr>
        <w:t>自合同签订之日始，至监理服务缺陷责任期、竣工结算及财务决算期结束止；以最迟结束时间为准。计划施工工期：猎德涌涌口泵站建设工程：600日历天；猎德涌涌口水闸重建工程：570日历天。</w:t>
      </w:r>
    </w:p>
    <w:p w14:paraId="786024F1">
      <w:pPr>
        <w:pStyle w:val="2"/>
        <w:snapToGrid w:val="0"/>
        <w:spacing w:line="482"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2875F45">
      <w:pPr>
        <w:pStyle w:val="7"/>
        <w:outlineLvl w:val="0"/>
        <w:rPr>
          <w:rFonts w:hint="eastAsia" w:hAnsi="Arial" w:cs="Times New Roman"/>
          <w:color w:val="auto"/>
          <w:highlight w:val="none"/>
        </w:rPr>
      </w:pPr>
      <w:bookmarkStart w:id="11" w:name="_Toc28878"/>
      <w:bookmarkStart w:id="12" w:name="_Toc27533"/>
      <w:bookmarkStart w:id="13" w:name="_Toc19929"/>
      <w:bookmarkStart w:id="14" w:name="_Toc18546"/>
      <w:bookmarkStart w:id="15" w:name="_Toc14839"/>
      <w:bookmarkStart w:id="16" w:name="_Toc17274"/>
      <w:bookmarkStart w:id="17" w:name="_Toc993"/>
      <w:r>
        <w:rPr>
          <w:rFonts w:hint="eastAsia" w:hAnsi="Arial" w:cs="Times New Roman"/>
          <w:color w:val="auto"/>
          <w:highlight w:val="none"/>
        </w:rPr>
        <w:t>二、监理范围</w:t>
      </w:r>
      <w:bookmarkEnd w:id="11"/>
      <w:bookmarkEnd w:id="12"/>
      <w:bookmarkEnd w:id="13"/>
      <w:bookmarkEnd w:id="14"/>
      <w:bookmarkEnd w:id="15"/>
      <w:bookmarkEnd w:id="16"/>
      <w:bookmarkEnd w:id="17"/>
    </w:p>
    <w:p w14:paraId="4763E7B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1、监理项目名称：</w:t>
      </w:r>
      <w:r>
        <w:rPr>
          <w:rFonts w:hint="eastAsia" w:hAnsi="宋体" w:cs="宋体"/>
          <w:color w:val="auto"/>
          <w:highlight w:val="none"/>
          <w:u w:val="single"/>
        </w:rPr>
        <w:t xml:space="preserve">               </w:t>
      </w:r>
    </w:p>
    <w:p w14:paraId="0B4E603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2、监理项目内容及主要特性参数：</w:t>
      </w:r>
      <w:r>
        <w:rPr>
          <w:rFonts w:hint="eastAsia" w:hAnsi="宋体" w:cs="宋体"/>
          <w:color w:val="auto"/>
          <w:highlight w:val="none"/>
          <w:u w:val="single"/>
        </w:rPr>
        <w:t xml:space="preserve">               </w:t>
      </w:r>
    </w:p>
    <w:p w14:paraId="502D98F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3、监理项目投资：</w:t>
      </w:r>
      <w:r>
        <w:rPr>
          <w:rFonts w:hint="eastAsia" w:hAnsi="宋体" w:cs="宋体"/>
          <w:color w:val="auto"/>
          <w:highlight w:val="none"/>
          <w:u w:val="single"/>
        </w:rPr>
        <w:t xml:space="preserve">               </w:t>
      </w:r>
    </w:p>
    <w:p w14:paraId="042A773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4、监理阶段：</w:t>
      </w:r>
      <w:r>
        <w:rPr>
          <w:rFonts w:hint="eastAsia" w:hAnsi="宋体" w:cs="宋体"/>
          <w:color w:val="auto"/>
          <w:highlight w:val="none"/>
          <w:u w:val="single"/>
        </w:rPr>
        <w:t xml:space="preserve">    (施工期、保修期)         </w:t>
      </w:r>
    </w:p>
    <w:p w14:paraId="3D4EF7BD">
      <w:pPr>
        <w:pStyle w:val="7"/>
        <w:outlineLvl w:val="0"/>
        <w:rPr>
          <w:rFonts w:hint="eastAsia" w:hAnsi="Arial" w:cs="Times New Roman"/>
          <w:color w:val="auto"/>
          <w:highlight w:val="none"/>
        </w:rPr>
      </w:pPr>
      <w:bookmarkStart w:id="18" w:name="_Toc28359"/>
      <w:bookmarkStart w:id="19" w:name="_Toc18098"/>
      <w:bookmarkStart w:id="20" w:name="_Toc5726"/>
      <w:bookmarkStart w:id="21" w:name="_Toc32477"/>
      <w:bookmarkStart w:id="22" w:name="_Toc12912"/>
      <w:bookmarkStart w:id="23" w:name="_Toc9943"/>
      <w:bookmarkStart w:id="24" w:name="_Toc18084"/>
      <w:r>
        <w:rPr>
          <w:rFonts w:hint="eastAsia" w:hAnsi="Arial" w:cs="Times New Roman"/>
          <w:color w:val="auto"/>
          <w:highlight w:val="none"/>
        </w:rPr>
        <w:t>三、监理服务内容、期限</w:t>
      </w:r>
      <w:bookmarkEnd w:id="18"/>
      <w:bookmarkEnd w:id="19"/>
      <w:bookmarkEnd w:id="20"/>
      <w:bookmarkEnd w:id="21"/>
      <w:bookmarkEnd w:id="22"/>
      <w:bookmarkEnd w:id="23"/>
      <w:bookmarkEnd w:id="24"/>
    </w:p>
    <w:p w14:paraId="14090B4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1、监理服务内容：按专用合同条款约定。</w:t>
      </w:r>
    </w:p>
    <w:p w14:paraId="2879D31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2、监理服务期限：</w:t>
      </w:r>
    </w:p>
    <w:p w14:paraId="0392FA3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施工期暂自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日始，至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日止</w:t>
      </w:r>
      <w:r>
        <w:rPr>
          <w:rFonts w:hint="eastAsia" w:ascii="宋体" w:hAnsi="宋体" w:eastAsia="宋体" w:cs="宋体"/>
          <w:color w:val="auto"/>
          <w:sz w:val="24"/>
          <w:szCs w:val="24"/>
          <w:highlight w:val="none"/>
        </w:rPr>
        <w:t>。</w:t>
      </w:r>
    </w:p>
    <w:p w14:paraId="4BB8F34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自合同签订之日始，至监理服务缺陷责任期、竣工结算及财务决算期结束止；以最迟结束时间为准。计划施工工期：猎德涌涌口泵站建设工程：600日历天；猎德涌涌口水闸重建工程：570日历天。</w:t>
      </w:r>
    </w:p>
    <w:p w14:paraId="4DB65818">
      <w:pPr>
        <w:pStyle w:val="2"/>
        <w:adjustRightInd w:val="0"/>
        <w:snapToGrid w:val="0"/>
        <w:spacing w:line="482" w:lineRule="exact"/>
        <w:ind w:firstLine="480" w:firstLineChars="200"/>
        <w:rPr>
          <w:rFonts w:hint="eastAsia" w:ascii="宋体" w:hAnsi="宋体" w:eastAsia="宋体" w:cs="宋体"/>
          <w:color w:val="auto"/>
          <w:sz w:val="24"/>
          <w:szCs w:val="24"/>
          <w:highlight w:val="none"/>
        </w:rPr>
      </w:pPr>
      <w:r>
        <w:rPr>
          <w:rFonts w:hint="eastAsia" w:hAnsi="宋体" w:cs="宋体"/>
          <w:color w:val="auto"/>
          <w:szCs w:val="24"/>
          <w:highlight w:val="none"/>
          <w:lang w:val="en-US" w:eastAsia="zh-CN"/>
        </w:rPr>
        <w:t>3</w:t>
      </w:r>
      <w:r>
        <w:rPr>
          <w:rFonts w:hint="eastAsia" w:hAnsi="宋体" w:cs="宋体"/>
          <w:color w:val="auto"/>
          <w:szCs w:val="24"/>
          <w:highlight w:val="none"/>
        </w:rPr>
        <w:t>、</w:t>
      </w:r>
      <w:r>
        <w:rPr>
          <w:rFonts w:hint="eastAsia" w:ascii="宋体" w:hAnsi="宋体" w:eastAsia="宋体" w:cs="宋体"/>
          <w:color w:val="auto"/>
          <w:sz w:val="24"/>
          <w:szCs w:val="24"/>
          <w:highlight w:val="none"/>
        </w:rPr>
        <w:t>相关服务期限：</w:t>
      </w:r>
    </w:p>
    <w:p w14:paraId="75C85352">
      <w:pPr>
        <w:pStyle w:val="2"/>
        <w:adjustRightInd w:val="0"/>
        <w:snapToGrid w:val="0"/>
        <w:spacing w:line="482" w:lineRule="exact"/>
        <w:ind w:firstLine="42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（1）勘察阶段服务期限自/年/月/日始，至/年/月/日止。</w:t>
      </w:r>
    </w:p>
    <w:p w14:paraId="08C2A5C8">
      <w:pPr>
        <w:pStyle w:val="2"/>
        <w:adjustRightInd w:val="0"/>
        <w:snapToGrid w:val="0"/>
        <w:spacing w:line="482" w:lineRule="exact"/>
        <w:ind w:firstLine="42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（2）设计阶段服务期限自/年/月/日始，至/年/月/日止。</w:t>
      </w:r>
    </w:p>
    <w:p w14:paraId="7AD839AF">
      <w:pPr>
        <w:pStyle w:val="2"/>
        <w:adjustRightInd w:val="0"/>
        <w:snapToGrid w:val="0"/>
        <w:spacing w:line="482" w:lineRule="exact"/>
        <w:ind w:firstLine="42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（3）保修阶段服务期限自/年/月/日始，至/年/月/日止。</w:t>
      </w:r>
    </w:p>
    <w:p w14:paraId="7E6ACDFB">
      <w:pPr>
        <w:pStyle w:val="2"/>
        <w:adjustRightInd w:val="0"/>
        <w:snapToGrid w:val="0"/>
        <w:spacing w:line="482" w:lineRule="exact"/>
        <w:ind w:firstLine="42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u w:val="none"/>
        </w:rPr>
        <w:t>（4）其他相关服务期限自/年/月/日始，至/年/月/日止。</w:t>
      </w:r>
    </w:p>
    <w:p w14:paraId="2A10A739">
      <w:pPr>
        <w:pStyle w:val="7"/>
        <w:outlineLvl w:val="0"/>
        <w:rPr>
          <w:rFonts w:hint="eastAsia" w:hAnsi="Arial" w:cs="Times New Roman"/>
          <w:color w:val="auto"/>
          <w:highlight w:val="none"/>
        </w:rPr>
      </w:pPr>
      <w:bookmarkStart w:id="25" w:name="_Toc10335"/>
      <w:bookmarkStart w:id="26" w:name="_Toc19388"/>
      <w:bookmarkStart w:id="27" w:name="_Toc12393"/>
      <w:bookmarkStart w:id="28" w:name="_Toc32043"/>
      <w:bookmarkStart w:id="29" w:name="_Toc7886"/>
      <w:bookmarkStart w:id="30" w:name="_Toc22873"/>
      <w:bookmarkStart w:id="31" w:name="_Toc25338"/>
      <w:r>
        <w:rPr>
          <w:rFonts w:hint="eastAsia" w:hAnsi="Arial" w:cs="Times New Roman"/>
          <w:color w:val="auto"/>
          <w:highlight w:val="none"/>
        </w:rPr>
        <w:t>四、监理服务酬金</w:t>
      </w:r>
      <w:bookmarkEnd w:id="25"/>
      <w:bookmarkEnd w:id="26"/>
      <w:bookmarkEnd w:id="27"/>
      <w:bookmarkEnd w:id="28"/>
      <w:bookmarkEnd w:id="29"/>
      <w:bookmarkEnd w:id="30"/>
      <w:bookmarkEnd w:id="31"/>
    </w:p>
    <w:p w14:paraId="7DAC23B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暂定监理合同价：大写：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w:t>
      </w:r>
    </w:p>
    <w:p w14:paraId="77705670">
      <w:pPr>
        <w:pStyle w:val="2"/>
        <w:adjustRightInd w:val="0"/>
        <w:snapToGrid w:val="0"/>
        <w:spacing w:line="482"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w:t>
      </w:r>
    </w:p>
    <w:p w14:paraId="67A26F72">
      <w:pPr>
        <w:pStyle w:val="2"/>
        <w:widowControl/>
        <w:kinsoku/>
        <w:overflowPunct/>
        <w:topLinePunct/>
        <w:adjustRightInd w:val="0"/>
        <w:snapToGrid w:val="0"/>
        <w:spacing w:line="482"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1.监理费：本项目监理费参照国家发展改革委、建设部《建设工程监理与相关服务收费管理规定》发改价格[2007]670号文件规定，暂以</w:t>
      </w:r>
      <w:r>
        <w:rPr>
          <w:rFonts w:hint="eastAsia" w:ascii="宋体" w:hAnsi="宋体" w:eastAsia="宋体" w:cs="宋体"/>
          <w:color w:val="auto"/>
          <w:sz w:val="24"/>
          <w:szCs w:val="24"/>
          <w:highlight w:val="none"/>
          <w:lang w:val="en-US" w:eastAsia="zh-CN"/>
        </w:rPr>
        <w:t>各工程估算</w:t>
      </w:r>
      <w:r>
        <w:rPr>
          <w:rFonts w:hint="eastAsia" w:ascii="宋体" w:hAnsi="宋体" w:eastAsia="宋体" w:cs="宋体"/>
          <w:color w:val="auto"/>
          <w:sz w:val="24"/>
          <w:szCs w:val="24"/>
          <w:highlight w:val="none"/>
        </w:rPr>
        <w:t>工程费作为计费额计算暂定监理费。</w:t>
      </w:r>
      <w:r>
        <w:rPr>
          <w:rFonts w:hint="eastAsia" w:ascii="宋体" w:hAnsi="宋体" w:eastAsia="宋体" w:cs="宋体"/>
          <w:color w:val="auto"/>
          <w:sz w:val="24"/>
          <w:szCs w:val="24"/>
          <w:highlight w:val="none"/>
        </w:rPr>
        <w:t>猎德涌涌口</w:t>
      </w:r>
      <w:r>
        <w:rPr>
          <w:rFonts w:hint="eastAsia" w:cs="宋体"/>
          <w:color w:val="auto"/>
          <w:sz w:val="24"/>
          <w:szCs w:val="24"/>
          <w:highlight w:val="none"/>
          <w:lang w:val="en-US" w:eastAsia="zh-CN"/>
        </w:rPr>
        <w:t>泵站建设</w:t>
      </w:r>
      <w:r>
        <w:rPr>
          <w:rFonts w:hint="eastAsia" w:ascii="宋体" w:hAnsi="宋体" w:eastAsia="宋体" w:cs="宋体"/>
          <w:color w:val="auto"/>
          <w:sz w:val="24"/>
          <w:szCs w:val="24"/>
          <w:highlight w:val="none"/>
        </w:rPr>
        <w:t>工程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u w:val="none"/>
        </w:rPr>
        <w:t>猎德涌涌口水闸重建工程</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估算工程费</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，猎德涌涌口</w:t>
      </w:r>
      <w:r>
        <w:rPr>
          <w:rFonts w:hint="eastAsia" w:cs="宋体"/>
          <w:color w:val="auto"/>
          <w:sz w:val="24"/>
          <w:szCs w:val="24"/>
          <w:highlight w:val="none"/>
          <w:lang w:val="en-US" w:eastAsia="zh-CN"/>
        </w:rPr>
        <w:t>泵站建设</w:t>
      </w:r>
      <w:r>
        <w:rPr>
          <w:rFonts w:hint="eastAsia" w:ascii="宋体" w:hAnsi="宋体" w:eastAsia="宋体" w:cs="宋体"/>
          <w:color w:val="auto"/>
          <w:sz w:val="24"/>
          <w:szCs w:val="24"/>
          <w:highlight w:val="none"/>
        </w:rPr>
        <w:t>工程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u w:val="none"/>
        </w:rPr>
        <w:t>猎德涌涌口水闸重建工程</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监</w:t>
      </w:r>
      <w:r>
        <w:rPr>
          <w:rFonts w:hint="eastAsia" w:ascii="宋体" w:hAnsi="宋体" w:eastAsia="宋体" w:cs="宋体"/>
          <w:color w:val="auto"/>
          <w:sz w:val="24"/>
          <w:szCs w:val="24"/>
          <w:highlight w:val="none"/>
          <w:u w:val="none"/>
        </w:rPr>
        <w:t>理费中标下浮率为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，猎德涌涌口</w:t>
      </w:r>
      <w:r>
        <w:rPr>
          <w:rFonts w:hint="eastAsia" w:cs="宋体"/>
          <w:color w:val="auto"/>
          <w:sz w:val="24"/>
          <w:szCs w:val="24"/>
          <w:highlight w:val="none"/>
          <w:lang w:val="en-US" w:eastAsia="zh-CN"/>
        </w:rPr>
        <w:t>泵站建设</w:t>
      </w:r>
      <w:r>
        <w:rPr>
          <w:rFonts w:hint="eastAsia" w:ascii="宋体" w:hAnsi="宋体" w:eastAsia="宋体" w:cs="宋体"/>
          <w:color w:val="auto"/>
          <w:sz w:val="24"/>
          <w:szCs w:val="24"/>
          <w:highlight w:val="none"/>
        </w:rPr>
        <w:t>工程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u w:val="none"/>
        </w:rPr>
        <w:t>猎德涌涌口水闸重建工程</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监理费</w:t>
      </w:r>
      <w:r>
        <w:rPr>
          <w:rFonts w:hint="eastAsia" w:ascii="宋体" w:hAnsi="宋体" w:eastAsia="宋体" w:cs="宋体"/>
          <w:i w:val="0"/>
          <w:iCs w:val="0"/>
          <w:color w:val="auto"/>
          <w:sz w:val="24"/>
          <w:szCs w:val="24"/>
          <w:highlight w:val="none"/>
          <w:u w:val="single"/>
        </w:rPr>
        <w:t>合同价（中标价）暂定为¥</w:t>
      </w:r>
      <w:r>
        <w:rPr>
          <w:rFonts w:hint="eastAsia" w:ascii="宋体" w:hAnsi="宋体" w:eastAsia="宋体" w:cs="宋体"/>
          <w:i w:val="0"/>
          <w:iCs w:val="0"/>
          <w:color w:val="auto"/>
          <w:sz w:val="24"/>
          <w:szCs w:val="24"/>
          <w:highlight w:val="none"/>
          <w:u w:val="single"/>
          <w:lang w:val="en-US" w:eastAsia="zh-CN"/>
        </w:rPr>
        <w:t xml:space="preserve">    元</w:t>
      </w:r>
      <w:r>
        <w:rPr>
          <w:rFonts w:hint="eastAsia" w:ascii="宋体" w:hAnsi="宋体" w:eastAsia="宋体" w:cs="宋体"/>
          <w:i w:val="0"/>
          <w:iCs w:val="0"/>
          <w:color w:val="auto"/>
          <w:sz w:val="24"/>
          <w:szCs w:val="24"/>
          <w:highlight w:val="none"/>
          <w:u w:val="single"/>
        </w:rPr>
        <w:t>（人民币</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监理费用的结算计费基数为经财政相关部门审定的工程费结算价，参照国家发展改革委、建设部《建设工程监理与相关服务收费管理规定》发改价格[2007]670号文件规定的计价方式和计价标准结合中标下浮率计算监理结算费，中标下浮率=（最高投标限价-中标报价总价）/最高投标限价*100%（</w:t>
      </w:r>
      <w:r>
        <w:rPr>
          <w:rFonts w:hint="eastAsia" w:ascii="宋体" w:hAnsi="宋体" w:eastAsia="宋体" w:cs="宋体"/>
          <w:color w:val="auto"/>
          <w:sz w:val="24"/>
          <w:szCs w:val="24"/>
          <w:highlight w:val="none"/>
        </w:rPr>
        <w:t>其中专业调整系数、复杂程度调整系数、高程调整系数按经批复的概算审核报告上标示的系数结算</w:t>
      </w:r>
      <w:r>
        <w:rPr>
          <w:rFonts w:hint="eastAsia" w:ascii="宋体" w:hAnsi="宋体" w:eastAsia="宋体" w:cs="宋体"/>
          <w:color w:val="auto"/>
          <w:sz w:val="24"/>
          <w:szCs w:val="24"/>
          <w:highlight w:val="none"/>
        </w:rPr>
        <w:t>），且监理费结算价不得超过概算审定的监理费用。最终监理费结算价以委托人确认的结果为准。监理报酬不因物价变动或建设工期延长导致监理报酬的增减而给予弥补或调整。在本合同约定的监理范围内，监理人不得以任何理由要求附加工作和额外工作的监理报酬。</w:t>
      </w:r>
    </w:p>
    <w:p w14:paraId="0F587DD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相关服务酬金：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378C354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3CC4C75F">
      <w:pPr>
        <w:pStyle w:val="2"/>
        <w:numPr>
          <w:ilvl w:val="0"/>
          <w:numId w:val="1"/>
        </w:numPr>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勘察阶段服务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7525EE77">
      <w:pPr>
        <w:pStyle w:val="2"/>
        <w:numPr>
          <w:ilvl w:val="0"/>
          <w:numId w:val="1"/>
        </w:numPr>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设计阶段服务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2B67A375">
      <w:pPr>
        <w:pStyle w:val="2"/>
        <w:numPr>
          <w:ilvl w:val="0"/>
          <w:numId w:val="1"/>
        </w:numPr>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保修阶段服务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12A52F98">
      <w:pPr>
        <w:pStyle w:val="2"/>
        <w:numPr>
          <w:ilvl w:val="0"/>
          <w:numId w:val="1"/>
        </w:numPr>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其他相关服务酬金：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125728C7">
      <w:pPr>
        <w:pStyle w:val="7"/>
        <w:outlineLvl w:val="0"/>
        <w:rPr>
          <w:rFonts w:hint="eastAsia" w:hAnsi="Arial" w:cs="Times New Roman"/>
          <w:color w:val="auto"/>
          <w:highlight w:val="none"/>
        </w:rPr>
      </w:pPr>
      <w:bookmarkStart w:id="32" w:name="_Toc30911"/>
      <w:bookmarkStart w:id="33" w:name="_Toc15096"/>
      <w:bookmarkStart w:id="34" w:name="_Toc9198"/>
      <w:bookmarkStart w:id="35" w:name="_Toc10526"/>
      <w:bookmarkStart w:id="36" w:name="_Toc8773"/>
      <w:bookmarkStart w:id="37" w:name="_Toc8574"/>
      <w:bookmarkStart w:id="38" w:name="_Toc10884"/>
      <w:r>
        <w:rPr>
          <w:rFonts w:hint="eastAsia" w:hAnsi="Arial" w:cs="Times New Roman"/>
          <w:color w:val="auto"/>
          <w:highlight w:val="none"/>
        </w:rPr>
        <w:t>五、监理合同的组成文件及解释顺序</w:t>
      </w:r>
      <w:bookmarkEnd w:id="32"/>
      <w:bookmarkEnd w:id="33"/>
      <w:bookmarkEnd w:id="34"/>
      <w:bookmarkEnd w:id="35"/>
      <w:bookmarkEnd w:id="36"/>
      <w:bookmarkEnd w:id="37"/>
      <w:bookmarkEnd w:id="38"/>
    </w:p>
    <w:p w14:paraId="75A1A76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（1）本合同履行期间委托人与监理人双方签订的补充合同（协议）或修正文件；</w:t>
      </w:r>
    </w:p>
    <w:p w14:paraId="57CF2E9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（2）本合同协议书；</w:t>
      </w:r>
    </w:p>
    <w:p w14:paraId="4D02334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（3）中标通知书；</w:t>
      </w:r>
    </w:p>
    <w:p w14:paraId="3AD67D0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（4）本合同专用条款； </w:t>
      </w:r>
    </w:p>
    <w:p w14:paraId="77F7534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（5）本合同通用条款；</w:t>
      </w:r>
    </w:p>
    <w:p w14:paraId="61FCA00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（6）招标文件（包括补充、修改、澄清的文件、招标图纸、答疑纪要、工作量清单及总说明等）；</w:t>
      </w:r>
    </w:p>
    <w:p w14:paraId="18E40C8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（7）监理人投标文件及其附件（含评标期间的澄清文件和补充资料）；</w:t>
      </w:r>
    </w:p>
    <w:p w14:paraId="24BFBDA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（8）合同附件：</w:t>
      </w:r>
    </w:p>
    <w:p w14:paraId="3419A75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1）工程建设项目廉政责任书；</w:t>
      </w:r>
    </w:p>
    <w:p w14:paraId="7B8D5C5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cs="宋体"/>
          <w:color w:val="auto"/>
          <w:highlight w:val="none"/>
          <w:lang w:val="en-US" w:eastAsia="zh-CN"/>
        </w:rPr>
        <w:t>2</w:t>
      </w:r>
      <w:r>
        <w:rPr>
          <w:rFonts w:hint="eastAsia" w:ascii="宋体" w:hAnsi="宋体" w:eastAsia="宋体" w:cs="宋体"/>
          <w:color w:val="auto"/>
          <w:highlight w:val="none"/>
        </w:rPr>
        <w:t>）监理</w:t>
      </w:r>
      <w:r>
        <w:rPr>
          <w:rFonts w:hint="eastAsia" w:cs="宋体"/>
          <w:color w:val="auto"/>
          <w:highlight w:val="none"/>
          <w:lang w:val="en-US" w:eastAsia="zh-CN"/>
        </w:rPr>
        <w:t>人员投入表</w:t>
      </w:r>
      <w:r>
        <w:rPr>
          <w:rFonts w:hint="eastAsia" w:ascii="宋体" w:hAnsi="宋体" w:eastAsia="宋体" w:cs="宋体"/>
          <w:color w:val="auto"/>
          <w:highlight w:val="none"/>
        </w:rPr>
        <w:t>；</w:t>
      </w:r>
    </w:p>
    <w:p w14:paraId="4145CDC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w:t>
      </w:r>
      <w:r>
        <w:rPr>
          <w:rFonts w:hint="eastAsia" w:cs="宋体"/>
          <w:color w:val="auto"/>
          <w:highlight w:val="none"/>
          <w:lang w:val="en-US" w:eastAsia="zh-CN"/>
        </w:rPr>
        <w:t>投标报价、中标通知书</w:t>
      </w:r>
      <w:r>
        <w:rPr>
          <w:rFonts w:hint="eastAsia" w:ascii="宋体" w:hAnsi="宋体" w:eastAsia="宋体" w:cs="宋体"/>
          <w:color w:val="auto"/>
          <w:highlight w:val="none"/>
        </w:rPr>
        <w:t>；</w:t>
      </w:r>
    </w:p>
    <w:p w14:paraId="367B90A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cs="宋体"/>
          <w:color w:val="auto"/>
          <w:highlight w:val="none"/>
          <w:lang w:val="en-US" w:eastAsia="zh-CN"/>
        </w:rPr>
        <w:t>4</w:t>
      </w:r>
      <w:r>
        <w:rPr>
          <w:rFonts w:hint="eastAsia" w:ascii="宋体" w:hAnsi="宋体" w:eastAsia="宋体" w:cs="宋体"/>
          <w:color w:val="auto"/>
          <w:highlight w:val="none"/>
        </w:rPr>
        <w:t>）</w:t>
      </w:r>
      <w:r>
        <w:rPr>
          <w:rFonts w:hint="eastAsia" w:cs="宋体"/>
          <w:color w:val="auto"/>
          <w:highlight w:val="none"/>
          <w:lang w:val="en-US" w:eastAsia="zh-CN"/>
        </w:rPr>
        <w:t>营业执照、银行开户许可证</w:t>
      </w:r>
      <w:r>
        <w:rPr>
          <w:rFonts w:hint="eastAsia" w:ascii="宋体" w:hAnsi="宋体" w:eastAsia="宋体" w:cs="宋体"/>
          <w:color w:val="auto"/>
          <w:highlight w:val="none"/>
        </w:rPr>
        <w:t>；</w:t>
      </w:r>
    </w:p>
    <w:p w14:paraId="5575CD2C">
      <w:pPr>
        <w:pStyle w:val="2"/>
        <w:autoSpaceDE/>
        <w:autoSpaceDN/>
        <w:snapToGrid w:val="0"/>
        <w:spacing w:line="482" w:lineRule="exact"/>
        <w:ind w:firstLine="480" w:firstLineChars="200"/>
        <w:rPr>
          <w:rFonts w:hint="eastAsia"/>
          <w:color w:val="auto"/>
          <w:highlight w:val="none"/>
        </w:rPr>
      </w:pPr>
      <w:r>
        <w:rPr>
          <w:rFonts w:hint="eastAsia" w:cs="宋体"/>
          <w:color w:val="auto"/>
          <w:highlight w:val="none"/>
          <w:lang w:val="en-US" w:eastAsia="zh-CN"/>
        </w:rPr>
        <w:t>5</w:t>
      </w:r>
      <w:r>
        <w:rPr>
          <w:rFonts w:hint="eastAsia" w:ascii="宋体" w:hAnsi="宋体" w:eastAsia="宋体" w:cs="宋体"/>
          <w:color w:val="auto"/>
          <w:highlight w:val="none"/>
        </w:rPr>
        <w:t>）</w:t>
      </w:r>
      <w:r>
        <w:rPr>
          <w:rFonts w:hint="eastAsia" w:cs="宋体"/>
          <w:color w:val="auto"/>
          <w:highlight w:val="none"/>
          <w:lang w:val="en-US" w:eastAsia="zh-CN"/>
        </w:rPr>
        <w:t>乙方单位印章及项目负责人签名样式</w:t>
      </w:r>
      <w:r>
        <w:rPr>
          <w:rFonts w:hint="eastAsia" w:ascii="宋体" w:hAnsi="宋体" w:eastAsia="宋体" w:cs="宋体"/>
          <w:color w:val="auto"/>
          <w:highlight w:val="none"/>
        </w:rPr>
        <w:t>；</w:t>
      </w:r>
    </w:p>
    <w:p w14:paraId="657BA14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（9）标准、规范及有关技术文件；</w:t>
      </w:r>
    </w:p>
    <w:p w14:paraId="1860430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（10）组成合同的其他文件。</w:t>
      </w:r>
    </w:p>
    <w:p w14:paraId="45604C0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通过上述顺序解释仍无法明确的事项，由委托人与监理人协商解决；如协商不成，由委托人按照公平合理的有利于本合同工程建设的原则作出决定，如监理人对此决定不服的，应在收到委托人决定之日起三日内提出书面异议。如期满不提出书面异议的，视为监理人同意委托人的决定。委托人收到监理人的书面异议后应作出进一步的决定。如委托人还不服的，可按</w:t>
      </w:r>
      <w:r>
        <w:rPr>
          <w:rFonts w:hint="eastAsia" w:ascii="宋体" w:hAnsi="宋体" w:eastAsia="宋体" w:cs="宋体"/>
          <w:color w:val="auto"/>
          <w:highlight w:val="none"/>
          <w:lang w:val="en-US" w:eastAsia="zh-CN"/>
        </w:rPr>
        <w:t>专</w:t>
      </w:r>
      <w:r>
        <w:rPr>
          <w:rFonts w:hint="eastAsia" w:ascii="宋体" w:hAnsi="宋体" w:eastAsia="宋体" w:cs="宋体"/>
          <w:color w:val="auto"/>
          <w:highlight w:val="none"/>
        </w:rPr>
        <w:t>用条款第</w:t>
      </w:r>
      <w:r>
        <w:rPr>
          <w:rFonts w:hint="eastAsia" w:ascii="宋体" w:hAnsi="宋体" w:eastAsia="宋体" w:cs="宋体"/>
          <w:color w:val="auto"/>
          <w:highlight w:val="none"/>
          <w:lang w:val="en-US" w:eastAsia="zh-CN"/>
        </w:rPr>
        <w:t>四十三</w:t>
      </w:r>
      <w:r>
        <w:rPr>
          <w:rFonts w:hint="eastAsia" w:ascii="宋体" w:hAnsi="宋体" w:eastAsia="宋体" w:cs="宋体"/>
          <w:color w:val="auto"/>
          <w:highlight w:val="none"/>
        </w:rPr>
        <w:t>条的约定处理，但在有关部门没有作出正式裁决前，监理人必须无条件先行执行委托人的决定。</w:t>
      </w:r>
    </w:p>
    <w:p w14:paraId="7DC58C63">
      <w:pPr>
        <w:pStyle w:val="7"/>
        <w:outlineLvl w:val="0"/>
        <w:rPr>
          <w:rFonts w:hint="eastAsia" w:ascii="Arial" w:hAnsi="Arial" w:eastAsia="黑体" w:cs="Times New Roman"/>
          <w:b/>
          <w:bCs w:val="0"/>
          <w:color w:val="auto"/>
          <w:sz w:val="32"/>
          <w:szCs w:val="24"/>
          <w:highlight w:val="none"/>
        </w:rPr>
      </w:pPr>
      <w:bookmarkStart w:id="39" w:name="_Toc3150"/>
      <w:bookmarkStart w:id="40" w:name="_Toc8280"/>
      <w:bookmarkStart w:id="41" w:name="_Toc19065"/>
      <w:bookmarkStart w:id="42" w:name="_Toc4792"/>
      <w:bookmarkStart w:id="43" w:name="_Toc27269"/>
      <w:bookmarkStart w:id="44" w:name="_Toc22092"/>
      <w:bookmarkStart w:id="45" w:name="_Toc29010"/>
      <w:r>
        <w:rPr>
          <w:rFonts w:hint="eastAsia" w:hAnsi="Arial" w:cs="Times New Roman"/>
          <w:color w:val="auto"/>
          <w:highlight w:val="none"/>
          <w:lang w:val="en-US" w:eastAsia="zh-CN"/>
        </w:rPr>
        <w:t>六</w:t>
      </w:r>
      <w:r>
        <w:rPr>
          <w:rFonts w:hint="eastAsia" w:hAnsi="Arial" w:cs="Times New Roman"/>
          <w:color w:val="auto"/>
          <w:highlight w:val="none"/>
          <w:lang w:val="en-US" w:eastAsia="zh-CN"/>
        </w:rPr>
        <w:t>、</w:t>
      </w:r>
      <w:r>
        <w:rPr>
          <w:rFonts w:hint="eastAsia" w:ascii="Arial" w:hAnsi="Arial" w:eastAsia="黑体" w:cs="Times New Roman"/>
          <w:b/>
          <w:bCs w:val="0"/>
          <w:color w:val="auto"/>
          <w:sz w:val="32"/>
          <w:szCs w:val="24"/>
          <w:highlight w:val="none"/>
        </w:rPr>
        <w:t>词语限定</w:t>
      </w:r>
      <w:bookmarkEnd w:id="39"/>
      <w:bookmarkEnd w:id="40"/>
      <w:bookmarkEnd w:id="41"/>
      <w:bookmarkEnd w:id="42"/>
      <w:bookmarkEnd w:id="43"/>
      <w:bookmarkEnd w:id="44"/>
      <w:bookmarkEnd w:id="45"/>
    </w:p>
    <w:p w14:paraId="4BBDBE82">
      <w:pPr>
        <w:pStyle w:val="2"/>
        <w:adjustRightInd w:val="0"/>
        <w:snapToGrid w:val="0"/>
        <w:spacing w:line="482" w:lineRule="exac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协议书中相关词语的含义与通用条款中的定义与解释相同。</w:t>
      </w:r>
    </w:p>
    <w:p w14:paraId="45AD7A90">
      <w:pPr>
        <w:pStyle w:val="7"/>
        <w:outlineLvl w:val="0"/>
        <w:rPr>
          <w:rFonts w:hint="eastAsia" w:ascii="Arial" w:hAnsi="Arial" w:eastAsia="黑体" w:cs="Times New Roman"/>
          <w:b/>
          <w:bCs w:val="0"/>
          <w:color w:val="auto"/>
          <w:sz w:val="32"/>
          <w:szCs w:val="24"/>
          <w:highlight w:val="none"/>
        </w:rPr>
      </w:pPr>
      <w:bookmarkStart w:id="46" w:name="_Toc9066"/>
      <w:bookmarkStart w:id="47" w:name="_Toc3614"/>
      <w:bookmarkStart w:id="48" w:name="_Toc1390"/>
      <w:bookmarkStart w:id="49" w:name="_Toc24442"/>
      <w:bookmarkStart w:id="50" w:name="_Toc1100"/>
      <w:bookmarkStart w:id="51" w:name="_Toc71713750"/>
      <w:bookmarkStart w:id="52" w:name="_Toc3899"/>
      <w:bookmarkStart w:id="53" w:name="_Toc9770"/>
      <w:r>
        <w:rPr>
          <w:rFonts w:hint="eastAsia" w:ascii="Arial" w:hAnsi="Arial" w:eastAsia="黑体" w:cs="Times New Roman"/>
          <w:b/>
          <w:bCs w:val="0"/>
          <w:color w:val="auto"/>
          <w:sz w:val="32"/>
          <w:szCs w:val="24"/>
          <w:highlight w:val="none"/>
          <w:lang w:eastAsia="zh-CN"/>
        </w:rPr>
        <w:t>七</w:t>
      </w:r>
      <w:r>
        <w:rPr>
          <w:rFonts w:hint="eastAsia" w:ascii="Arial" w:hAnsi="Arial" w:eastAsia="黑体" w:cs="Times New Roman"/>
          <w:b/>
          <w:bCs w:val="0"/>
          <w:color w:val="auto"/>
          <w:sz w:val="32"/>
          <w:szCs w:val="24"/>
          <w:highlight w:val="none"/>
        </w:rPr>
        <w:t>、组成本合同的文件</w:t>
      </w:r>
      <w:bookmarkEnd w:id="46"/>
      <w:bookmarkEnd w:id="47"/>
      <w:bookmarkEnd w:id="48"/>
      <w:bookmarkEnd w:id="49"/>
      <w:bookmarkEnd w:id="50"/>
      <w:bookmarkEnd w:id="51"/>
      <w:bookmarkEnd w:id="52"/>
      <w:bookmarkEnd w:id="53"/>
      <w:bookmarkStart w:id="54" w:name="_Toc462045886"/>
      <w:bookmarkStart w:id="55" w:name="_Toc462045179"/>
    </w:p>
    <w:p w14:paraId="7F5AC8BF">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合同文件的构成及其优先解释顺序与本合同第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部分《水利工程施工监理合同书》第</w:t>
      </w:r>
      <w:r>
        <w:rPr>
          <w:rFonts w:hint="eastAsia" w:ascii="宋体" w:hAnsi="宋体" w:eastAsia="宋体" w:cs="宋体"/>
          <w:color w:val="auto"/>
          <w:sz w:val="24"/>
          <w:szCs w:val="24"/>
          <w:highlight w:val="none"/>
          <w:lang w:val="en-US" w:eastAsia="zh-CN"/>
        </w:rPr>
        <w:t>五条</w:t>
      </w:r>
      <w:r>
        <w:rPr>
          <w:rFonts w:hint="eastAsia" w:ascii="宋体" w:hAnsi="宋体" w:eastAsia="宋体" w:cs="宋体"/>
          <w:color w:val="auto"/>
          <w:sz w:val="24"/>
          <w:szCs w:val="24"/>
          <w:highlight w:val="none"/>
        </w:rPr>
        <w:t>款赋予的规定一致。</w:t>
      </w:r>
      <w:bookmarkEnd w:id="54"/>
      <w:bookmarkEnd w:id="55"/>
    </w:p>
    <w:p w14:paraId="30381B68">
      <w:pPr>
        <w:pStyle w:val="7"/>
        <w:outlineLvl w:val="0"/>
        <w:rPr>
          <w:rFonts w:hint="eastAsia" w:ascii="Arial" w:hAnsi="Arial" w:eastAsia="黑体" w:cs="Times New Roman"/>
          <w:b/>
          <w:bCs w:val="0"/>
          <w:color w:val="auto"/>
          <w:sz w:val="32"/>
          <w:szCs w:val="24"/>
          <w:highlight w:val="none"/>
        </w:rPr>
      </w:pPr>
      <w:bookmarkStart w:id="56" w:name="_Toc2119"/>
      <w:bookmarkStart w:id="57" w:name="_Toc30750"/>
      <w:bookmarkStart w:id="58" w:name="_Toc21763"/>
      <w:bookmarkStart w:id="59" w:name="_Toc15188"/>
      <w:bookmarkStart w:id="60" w:name="_Toc10695"/>
      <w:bookmarkStart w:id="61" w:name="_Toc17721"/>
      <w:bookmarkStart w:id="62" w:name="_Toc12714"/>
      <w:bookmarkStart w:id="63" w:name="_Toc71713751"/>
      <w:r>
        <w:rPr>
          <w:rFonts w:hint="eastAsia" w:ascii="Arial" w:hAnsi="Arial" w:eastAsia="黑体" w:cs="Times New Roman"/>
          <w:b/>
          <w:bCs w:val="0"/>
          <w:color w:val="auto"/>
          <w:sz w:val="32"/>
          <w:szCs w:val="24"/>
          <w:highlight w:val="none"/>
          <w:lang w:eastAsia="zh-CN"/>
        </w:rPr>
        <w:t>八</w:t>
      </w:r>
      <w:r>
        <w:rPr>
          <w:rFonts w:hint="eastAsia" w:ascii="Arial" w:hAnsi="Arial" w:eastAsia="黑体" w:cs="Times New Roman"/>
          <w:b/>
          <w:bCs w:val="0"/>
          <w:color w:val="auto"/>
          <w:sz w:val="32"/>
          <w:szCs w:val="24"/>
          <w:highlight w:val="none"/>
        </w:rPr>
        <w:t>、总监理工程师</w:t>
      </w:r>
      <w:bookmarkEnd w:id="56"/>
      <w:bookmarkEnd w:id="57"/>
      <w:bookmarkEnd w:id="58"/>
      <w:bookmarkEnd w:id="59"/>
      <w:bookmarkEnd w:id="60"/>
      <w:bookmarkEnd w:id="61"/>
      <w:bookmarkEnd w:id="62"/>
      <w:bookmarkEnd w:id="63"/>
    </w:p>
    <w:p w14:paraId="5E553D68">
      <w:pPr>
        <w:pStyle w:val="2"/>
        <w:adjustRightInd w:val="0"/>
        <w:snapToGrid w:val="0"/>
        <w:spacing w:line="482" w:lineRule="exact"/>
        <w:ind w:firstLine="420"/>
        <w:rPr>
          <w:rFonts w:hint="eastAsia" w:ascii="宋体" w:hAnsi="宋体" w:eastAsia="宋体" w:cs="宋体"/>
          <w:color w:val="auto"/>
          <w:szCs w:val="24"/>
          <w:highlight w:val="none"/>
          <w:lang w:val="en-US" w:eastAsia="zh-CN"/>
        </w:rPr>
      </w:pPr>
      <w:r>
        <w:rPr>
          <w:rFonts w:hint="eastAsia" w:ascii="宋体" w:hAnsi="宋体" w:eastAsia="宋体" w:cs="宋体"/>
          <w:color w:val="auto"/>
          <w:kern w:val="2"/>
          <w:sz w:val="24"/>
          <w:szCs w:val="24"/>
          <w:highlight w:val="none"/>
        </w:rPr>
        <w:t>总监理工程师姓名：</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kern w:val="2"/>
          <w:sz w:val="24"/>
          <w:szCs w:val="24"/>
          <w:highlight w:val="none"/>
        </w:rPr>
        <w:t>，身份证号码:</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kern w:val="2"/>
          <w:sz w:val="24"/>
          <w:szCs w:val="24"/>
          <w:highlight w:val="none"/>
        </w:rPr>
        <w:t>，注册号：</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bidi="en-US"/>
        </w:rPr>
        <w:t>。</w:t>
      </w:r>
    </w:p>
    <w:p w14:paraId="0650BC38">
      <w:pPr>
        <w:pStyle w:val="7"/>
        <w:outlineLvl w:val="0"/>
        <w:rPr>
          <w:rFonts w:hint="default" w:ascii="Arial" w:hAnsi="Arial" w:eastAsia="黑体" w:cs="Times New Roman"/>
          <w:b/>
          <w:bCs w:val="0"/>
          <w:color w:val="auto"/>
          <w:sz w:val="32"/>
          <w:szCs w:val="24"/>
          <w:highlight w:val="none"/>
        </w:rPr>
      </w:pPr>
      <w:bookmarkStart w:id="64" w:name="_Toc2741"/>
      <w:bookmarkStart w:id="65" w:name="_Toc8278"/>
      <w:bookmarkStart w:id="66" w:name="_Toc171"/>
      <w:bookmarkStart w:id="67" w:name="_Toc433"/>
      <w:bookmarkStart w:id="68" w:name="_Toc15989"/>
      <w:bookmarkStart w:id="69" w:name="_Toc28860"/>
      <w:bookmarkStart w:id="70" w:name="_Toc27683"/>
      <w:r>
        <w:rPr>
          <w:rFonts w:hint="default" w:ascii="Arial" w:hAnsi="Arial" w:eastAsia="黑体" w:cs="Times New Roman"/>
          <w:color w:val="auto"/>
          <w:highlight w:val="none"/>
          <w:lang w:val="en-US" w:eastAsia="zh-CN"/>
        </w:rPr>
        <w:t>九、</w:t>
      </w:r>
      <w:r>
        <w:rPr>
          <w:rFonts w:hint="default" w:ascii="Arial" w:hAnsi="Arial" w:eastAsia="黑体" w:cs="Times New Roman"/>
          <w:b/>
          <w:bCs w:val="0"/>
          <w:color w:val="auto"/>
          <w:sz w:val="32"/>
          <w:szCs w:val="24"/>
          <w:highlight w:val="none"/>
        </w:rPr>
        <w:t>双方承诺</w:t>
      </w:r>
      <w:bookmarkEnd w:id="64"/>
      <w:bookmarkEnd w:id="65"/>
      <w:bookmarkEnd w:id="66"/>
      <w:bookmarkEnd w:id="67"/>
      <w:bookmarkEnd w:id="68"/>
      <w:bookmarkEnd w:id="69"/>
      <w:bookmarkEnd w:id="70"/>
    </w:p>
    <w:p w14:paraId="45C168DC">
      <w:pPr>
        <w:pStyle w:val="2"/>
        <w:adjustRightInd w:val="0"/>
        <w:snapToGrid w:val="0"/>
        <w:spacing w:line="482"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 监理人向委托人承诺，按照本合同约定</w:t>
      </w:r>
      <w:r>
        <w:rPr>
          <w:rFonts w:hint="eastAsia" w:ascii="宋体" w:hAnsi="宋体" w:eastAsia="宋体" w:cs="宋体"/>
          <w:color w:val="auto"/>
          <w:kern w:val="2"/>
          <w:sz w:val="24"/>
          <w:szCs w:val="24"/>
          <w:highlight w:val="none"/>
        </w:rPr>
        <w:t>提供</w:t>
      </w:r>
      <w:r>
        <w:rPr>
          <w:rFonts w:hint="eastAsia" w:ascii="宋体" w:hAnsi="宋体" w:eastAsia="宋体" w:cs="宋体"/>
          <w:color w:val="auto"/>
          <w:sz w:val="24"/>
          <w:szCs w:val="24"/>
          <w:highlight w:val="none"/>
        </w:rPr>
        <w:t>监理与相关服务。</w:t>
      </w:r>
    </w:p>
    <w:p w14:paraId="45859DE9">
      <w:pPr>
        <w:pStyle w:val="2"/>
        <w:adjustRightInd w:val="0"/>
        <w:snapToGrid w:val="0"/>
        <w:spacing w:line="482" w:lineRule="exact"/>
        <w:ind w:firstLine="420"/>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2. 委托人向监理人承诺，按照本合同约定派遣相应的人员，提供房屋、资料、设备，并按本合同约定支付酬金。</w:t>
      </w:r>
    </w:p>
    <w:p w14:paraId="4B20E7D7">
      <w:pPr>
        <w:pStyle w:val="7"/>
        <w:outlineLvl w:val="0"/>
        <w:rPr>
          <w:rFonts w:hint="default" w:hAnsi="Arial" w:cs="Times New Roman"/>
          <w:color w:val="auto"/>
          <w:highlight w:val="none"/>
          <w:lang w:val="en-US" w:eastAsia="zh-CN"/>
        </w:rPr>
      </w:pPr>
      <w:bookmarkStart w:id="71" w:name="_Toc13716"/>
      <w:bookmarkStart w:id="72" w:name="_Toc19821"/>
      <w:bookmarkStart w:id="73" w:name="_Toc13096"/>
      <w:bookmarkStart w:id="74" w:name="_Toc9033"/>
      <w:bookmarkStart w:id="75" w:name="_Toc9815"/>
      <w:bookmarkStart w:id="76" w:name="_Toc1163"/>
      <w:bookmarkStart w:id="77" w:name="_Toc20491"/>
      <w:r>
        <w:rPr>
          <w:rFonts w:hint="eastAsia" w:cs="Times New Roman"/>
          <w:color w:val="auto"/>
          <w:highlight w:val="none"/>
          <w:lang w:val="en-US" w:eastAsia="zh-CN"/>
        </w:rPr>
        <w:t>十</w:t>
      </w:r>
      <w:r>
        <w:rPr>
          <w:rFonts w:hint="default" w:hAnsi="Arial" w:cs="Times New Roman"/>
          <w:color w:val="auto"/>
          <w:highlight w:val="none"/>
          <w:lang w:val="en-US" w:eastAsia="zh-CN"/>
        </w:rPr>
        <w:t xml:space="preserve"> </w:t>
      </w:r>
      <w:r>
        <w:rPr>
          <w:rFonts w:hint="default" w:hAnsi="Arial" w:cs="Times New Roman"/>
          <w:color w:val="auto"/>
          <w:highlight w:val="none"/>
        </w:rPr>
        <w:t>、</w:t>
      </w:r>
      <w:r>
        <w:rPr>
          <w:rFonts w:hint="default" w:hAnsi="Arial" w:cs="Times New Roman"/>
          <w:color w:val="auto"/>
          <w:highlight w:val="none"/>
          <w:lang w:val="en-US" w:eastAsia="zh-CN"/>
        </w:rPr>
        <w:t>合同生效</w:t>
      </w:r>
      <w:bookmarkEnd w:id="71"/>
      <w:bookmarkEnd w:id="72"/>
      <w:bookmarkEnd w:id="73"/>
      <w:bookmarkEnd w:id="74"/>
      <w:bookmarkEnd w:id="75"/>
      <w:bookmarkEnd w:id="76"/>
      <w:bookmarkEnd w:id="77"/>
    </w:p>
    <w:p w14:paraId="59C52DC2">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p>
    <w:p w14:paraId="4889D18C">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本合同订立地点：</w:t>
      </w:r>
      <w:r>
        <w:rPr>
          <w:rFonts w:hint="eastAsia" w:ascii="宋体" w:hAnsi="宋体" w:eastAsia="宋体" w:cs="宋体"/>
          <w:color w:val="auto"/>
          <w:sz w:val="24"/>
          <w:szCs w:val="24"/>
          <w:highlight w:val="none"/>
          <w:u w:val="single"/>
        </w:rPr>
        <w:t>广州市天河区</w:t>
      </w:r>
      <w:r>
        <w:rPr>
          <w:rFonts w:hint="eastAsia" w:ascii="宋体" w:hAnsi="宋体" w:eastAsia="宋体" w:cs="宋体"/>
          <w:color w:val="auto"/>
          <w:sz w:val="24"/>
          <w:szCs w:val="24"/>
          <w:highlight w:val="none"/>
        </w:rPr>
        <w:t>。</w:t>
      </w:r>
    </w:p>
    <w:p w14:paraId="599D22B3">
      <w:pPr>
        <w:pStyle w:val="2"/>
        <w:snapToGrid w:val="0"/>
        <w:spacing w:line="482" w:lineRule="exact"/>
        <w:ind w:firstLine="420"/>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合同双方当事人约定本合同自双方签字、盖章后生效。</w:t>
      </w:r>
    </w:p>
    <w:p w14:paraId="3BD2127C">
      <w:pPr>
        <w:pStyle w:val="7"/>
        <w:outlineLvl w:val="0"/>
        <w:rPr>
          <w:rFonts w:hint="default" w:hAnsi="Arial" w:eastAsia="黑体" w:cs="Times New Roman"/>
          <w:color w:val="auto"/>
          <w:highlight w:val="none"/>
          <w:lang w:val="en-US" w:eastAsia="zh-CN"/>
        </w:rPr>
      </w:pPr>
      <w:bookmarkStart w:id="78" w:name="_Toc24359"/>
      <w:bookmarkStart w:id="79" w:name="_Toc6039"/>
      <w:bookmarkStart w:id="80" w:name="_Toc642"/>
      <w:bookmarkStart w:id="81" w:name="_Toc4799"/>
      <w:bookmarkStart w:id="82" w:name="_Toc9043"/>
      <w:bookmarkStart w:id="83" w:name="_Toc11154"/>
      <w:bookmarkStart w:id="84" w:name="_Toc6272"/>
      <w:r>
        <w:rPr>
          <w:rFonts w:hint="default" w:hAnsi="Arial" w:cs="Times New Roman"/>
          <w:color w:val="auto"/>
          <w:highlight w:val="none"/>
          <w:lang w:val="en-US" w:eastAsia="zh-CN"/>
        </w:rPr>
        <w:t>十</w:t>
      </w:r>
      <w:r>
        <w:rPr>
          <w:rFonts w:hint="default" w:ascii="Arial" w:hAnsi="Arial" w:eastAsia="黑体" w:cs="Times New Roman"/>
          <w:color w:val="auto"/>
          <w:highlight w:val="none"/>
          <w:lang w:val="en-US" w:eastAsia="zh-CN"/>
        </w:rPr>
        <w:t>一</w:t>
      </w:r>
      <w:r>
        <w:rPr>
          <w:rFonts w:hint="default" w:hAnsi="Arial" w:cs="Times New Roman"/>
          <w:color w:val="auto"/>
          <w:highlight w:val="none"/>
          <w:lang w:val="en-US" w:eastAsia="zh-CN"/>
        </w:rPr>
        <w:t xml:space="preserve"> </w:t>
      </w:r>
      <w:r>
        <w:rPr>
          <w:rFonts w:hint="default" w:hAnsi="Arial" w:cs="Times New Roman"/>
          <w:color w:val="auto"/>
          <w:highlight w:val="none"/>
        </w:rPr>
        <w:t>、</w:t>
      </w:r>
      <w:r>
        <w:rPr>
          <w:rFonts w:hint="default" w:hAnsi="Arial" w:cs="Times New Roman"/>
          <w:color w:val="auto"/>
          <w:highlight w:val="none"/>
          <w:lang w:val="en-US" w:eastAsia="zh-CN"/>
        </w:rPr>
        <w:t>合同份数</w:t>
      </w:r>
      <w:bookmarkEnd w:id="78"/>
      <w:bookmarkEnd w:id="79"/>
      <w:bookmarkEnd w:id="80"/>
      <w:bookmarkEnd w:id="81"/>
      <w:bookmarkEnd w:id="82"/>
      <w:bookmarkEnd w:id="83"/>
      <w:bookmarkEnd w:id="84"/>
    </w:p>
    <w:p w14:paraId="4F0C51BD">
      <w:pPr>
        <w:pStyle w:val="2"/>
        <w:adjustRightInd/>
        <w:snapToGrid w:val="0"/>
        <w:spacing w:line="482" w:lineRule="exact"/>
        <w:ind w:firstLine="42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本合同正本一式</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份，各方各执</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陆</w:t>
      </w:r>
      <w:r>
        <w:rPr>
          <w:rFonts w:hint="eastAsia" w:ascii="宋体" w:hAnsi="宋体" w:eastAsia="宋体" w:cs="宋体"/>
          <w:color w:val="auto"/>
          <w:sz w:val="24"/>
          <w:szCs w:val="24"/>
          <w:highlight w:val="none"/>
        </w:rPr>
        <w:t>份，各方各执</w:t>
      </w:r>
      <w:r>
        <w:rPr>
          <w:rFonts w:hint="eastAsia" w:ascii="宋体" w:hAnsi="宋体" w:eastAsia="宋体" w:cs="宋体"/>
          <w:color w:val="auto"/>
          <w:sz w:val="24"/>
          <w:szCs w:val="24"/>
          <w:highlight w:val="none"/>
          <w:u w:val="single"/>
        </w:rPr>
        <w:t>叁</w:t>
      </w:r>
      <w:r>
        <w:rPr>
          <w:rFonts w:hint="eastAsia" w:ascii="宋体" w:hAnsi="宋体" w:eastAsia="宋体" w:cs="宋体"/>
          <w:color w:val="auto"/>
          <w:sz w:val="24"/>
          <w:szCs w:val="24"/>
          <w:highlight w:val="none"/>
        </w:rPr>
        <w:t>份。合同正、副本具有同等效力，但当合同副本与正本的表述不一致时，以合同正本为准。</w:t>
      </w:r>
    </w:p>
    <w:p w14:paraId="2FE04E6A">
      <w:pPr>
        <w:pStyle w:val="2"/>
        <w:adjustRightInd/>
        <w:snapToGrid w:val="0"/>
        <w:spacing w:line="482" w:lineRule="exact"/>
        <w:ind w:firstLine="420"/>
        <w:rPr>
          <w:rFonts w:hint="eastAsia" w:ascii="宋体" w:hAnsi="宋体" w:eastAsia="宋体" w:cs="宋体"/>
          <w:color w:val="auto"/>
          <w:highlight w:val="none"/>
        </w:rPr>
      </w:pPr>
    </w:p>
    <w:p w14:paraId="0756BFB5">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（以下无正文）</w:t>
      </w:r>
    </w:p>
    <w:p w14:paraId="4DF5ACE4">
      <w:pPr>
        <w:pStyle w:val="2"/>
        <w:adjustRightInd/>
        <w:snapToGrid w:val="0"/>
        <w:spacing w:line="482" w:lineRule="exact"/>
        <w:ind w:firstLine="420"/>
        <w:rPr>
          <w:rFonts w:hint="eastAsia" w:ascii="宋体" w:hAnsi="宋体" w:eastAsia="宋体" w:cs="宋体"/>
          <w:color w:val="auto"/>
          <w:highlight w:val="none"/>
        </w:rPr>
      </w:pPr>
    </w:p>
    <w:p w14:paraId="59052F7A">
      <w:pPr>
        <w:pStyle w:val="2"/>
        <w:adjustRightInd/>
        <w:snapToGrid w:val="0"/>
        <w:spacing w:line="482" w:lineRule="exact"/>
        <w:ind w:firstLine="420"/>
        <w:rPr>
          <w:rFonts w:hint="eastAsia" w:ascii="宋体" w:hAnsi="宋体" w:eastAsia="宋体" w:cs="宋体"/>
          <w:color w:val="auto"/>
          <w:highlight w:val="none"/>
        </w:rPr>
      </w:pPr>
    </w:p>
    <w:p w14:paraId="1EF21ED7">
      <w:pPr>
        <w:pStyle w:val="3"/>
        <w:rPr>
          <w:rFonts w:hint="eastAsia" w:ascii="宋体" w:hAnsi="宋体" w:eastAsia="宋体" w:cs="宋体"/>
          <w:color w:val="auto"/>
          <w:highlight w:val="none"/>
        </w:rPr>
      </w:pPr>
    </w:p>
    <w:p w14:paraId="71C79613">
      <w:pPr>
        <w:pStyle w:val="4"/>
        <w:rPr>
          <w:rFonts w:hint="eastAsia" w:ascii="宋体" w:hAnsi="宋体" w:eastAsia="宋体" w:cs="宋体"/>
          <w:color w:val="auto"/>
          <w:highlight w:val="none"/>
        </w:rPr>
      </w:pPr>
    </w:p>
    <w:p w14:paraId="5EDC6A6B">
      <w:pPr>
        <w:pStyle w:val="5"/>
        <w:rPr>
          <w:rFonts w:hint="eastAsia" w:ascii="宋体" w:hAnsi="宋体" w:eastAsia="宋体" w:cs="宋体"/>
          <w:color w:val="auto"/>
          <w:highlight w:val="none"/>
        </w:rPr>
      </w:pPr>
    </w:p>
    <w:p w14:paraId="16D518EA">
      <w:pPr>
        <w:rPr>
          <w:rFonts w:hint="eastAsia"/>
          <w:color w:val="auto"/>
          <w:highlight w:val="none"/>
        </w:rPr>
      </w:pPr>
    </w:p>
    <w:p w14:paraId="5200747B">
      <w:pPr>
        <w:pStyle w:val="2"/>
        <w:adjustRightInd w:val="0"/>
        <w:snapToGrid w:val="0"/>
        <w:spacing w:line="482" w:lineRule="exact"/>
        <w:ind w:firstLine="480" w:firstLineChars="200"/>
        <w:rPr>
          <w:rFonts w:hint="eastAsia" w:hAnsi="宋体" w:cs="宋体"/>
          <w:color w:val="auto"/>
          <w:highlight w:val="none"/>
          <w:u w:val="single"/>
        </w:rPr>
      </w:pPr>
      <w:r>
        <w:rPr>
          <w:rFonts w:hint="eastAsia" w:hAnsi="宋体" w:cs="宋体"/>
          <w:color w:val="auto"/>
          <w:highlight w:val="none"/>
        </w:rPr>
        <w:t>委托人：</w:t>
      </w:r>
      <w:r>
        <w:rPr>
          <w:rFonts w:hint="eastAsia" w:hAnsi="宋体" w:cs="宋体"/>
          <w:color w:val="auto"/>
          <w:highlight w:val="none"/>
          <w:u w:val="single"/>
        </w:rPr>
        <w:t xml:space="preserve">    （盖章）       </w:t>
      </w:r>
      <w:r>
        <w:rPr>
          <w:rFonts w:hint="eastAsia" w:hAnsi="宋体" w:cs="宋体"/>
          <w:color w:val="auto"/>
          <w:highlight w:val="none"/>
        </w:rPr>
        <w:t xml:space="preserve">                    </w:t>
      </w:r>
      <w:r>
        <w:rPr>
          <w:rFonts w:hint="eastAsia" w:cs="宋体"/>
          <w:color w:val="auto"/>
          <w:highlight w:val="none"/>
          <w:lang w:val="en-US" w:eastAsia="zh-CN"/>
        </w:rPr>
        <w:t>监理</w:t>
      </w:r>
      <w:r>
        <w:rPr>
          <w:rFonts w:hint="eastAsia" w:hAnsi="宋体" w:cs="宋体"/>
          <w:color w:val="auto"/>
          <w:highlight w:val="none"/>
        </w:rPr>
        <w:t>人：</w:t>
      </w:r>
      <w:r>
        <w:rPr>
          <w:rFonts w:hint="eastAsia" w:hAnsi="宋体" w:cs="宋体"/>
          <w:color w:val="auto"/>
          <w:highlight w:val="none"/>
          <w:u w:val="single"/>
        </w:rPr>
        <w:t xml:space="preserve">    （盖章）   </w:t>
      </w:r>
      <w:r>
        <w:rPr>
          <w:rFonts w:hint="eastAsia" w:cs="宋体"/>
          <w:color w:val="auto"/>
          <w:highlight w:val="none"/>
          <w:u w:val="single"/>
          <w:lang w:val="en-US" w:eastAsia="zh-CN"/>
        </w:rPr>
        <w:t xml:space="preserve">   </w:t>
      </w:r>
      <w:r>
        <w:rPr>
          <w:rFonts w:hint="eastAsia" w:hAnsi="宋体" w:cs="宋体"/>
          <w:color w:val="auto"/>
          <w:highlight w:val="none"/>
          <w:u w:val="single"/>
        </w:rPr>
        <w:t xml:space="preserve"> </w:t>
      </w:r>
    </w:p>
    <w:p w14:paraId="4765C90C">
      <w:pPr>
        <w:pStyle w:val="2"/>
        <w:adjustRightInd w:val="0"/>
        <w:snapToGrid w:val="0"/>
        <w:spacing w:line="482" w:lineRule="exact"/>
        <w:ind w:firstLine="480" w:firstLineChars="200"/>
        <w:rPr>
          <w:rFonts w:hint="eastAsia" w:hAnsi="宋体" w:cs="宋体"/>
          <w:color w:val="auto"/>
          <w:highlight w:val="none"/>
          <w:u w:val="single"/>
        </w:rPr>
      </w:pPr>
    </w:p>
    <w:p w14:paraId="200E95BC">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（签名）    </w:t>
      </w:r>
      <w:r>
        <w:rPr>
          <w:rFonts w:hint="eastAsia" w:hAnsi="宋体" w:cs="宋体"/>
          <w:color w:val="auto"/>
          <w:highlight w:val="none"/>
        </w:rPr>
        <w:t xml:space="preserve">                    法定代表人：</w:t>
      </w:r>
      <w:r>
        <w:rPr>
          <w:rFonts w:hint="eastAsia" w:hAnsi="宋体" w:cs="宋体"/>
          <w:color w:val="auto"/>
          <w:highlight w:val="none"/>
          <w:u w:val="single"/>
        </w:rPr>
        <w:t xml:space="preserve">   （签名）    </w:t>
      </w:r>
    </w:p>
    <w:p w14:paraId="0E19E93E">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或授权代表人：</w:t>
      </w:r>
      <w:r>
        <w:rPr>
          <w:rFonts w:hint="eastAsia" w:hAnsi="宋体" w:cs="宋体"/>
          <w:color w:val="auto"/>
          <w:highlight w:val="none"/>
          <w:u w:val="single"/>
        </w:rPr>
        <w:t xml:space="preserve">  （签名）   </w:t>
      </w:r>
      <w:r>
        <w:rPr>
          <w:rFonts w:hint="eastAsia" w:hAnsi="宋体" w:cs="宋体"/>
          <w:color w:val="auto"/>
          <w:highlight w:val="none"/>
        </w:rPr>
        <w:t xml:space="preserve">                    或授权代表人：</w:t>
      </w:r>
      <w:r>
        <w:rPr>
          <w:rFonts w:hint="eastAsia" w:hAnsi="宋体" w:cs="宋体"/>
          <w:color w:val="auto"/>
          <w:highlight w:val="none"/>
          <w:u w:val="single"/>
        </w:rPr>
        <w:t xml:space="preserve">  （签名）   </w:t>
      </w:r>
    </w:p>
    <w:p w14:paraId="70FC45A6">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单位地址：</w:t>
      </w:r>
      <w:r>
        <w:rPr>
          <w:rFonts w:hint="eastAsia" w:hAnsi="宋体" w:cs="宋体"/>
          <w:color w:val="auto"/>
          <w:highlight w:val="none"/>
          <w:u w:val="single"/>
        </w:rPr>
        <w:t xml:space="preserve">                 </w:t>
      </w:r>
      <w:r>
        <w:rPr>
          <w:rFonts w:hint="eastAsia" w:hAnsi="宋体" w:cs="宋体"/>
          <w:color w:val="auto"/>
          <w:highlight w:val="none"/>
        </w:rPr>
        <w:t xml:space="preserve">                    单位地址：</w:t>
      </w:r>
      <w:r>
        <w:rPr>
          <w:rFonts w:hint="eastAsia" w:hAnsi="宋体" w:cs="宋体"/>
          <w:color w:val="auto"/>
          <w:highlight w:val="none"/>
          <w:u w:val="single"/>
        </w:rPr>
        <w:t xml:space="preserve">                 </w:t>
      </w:r>
    </w:p>
    <w:p w14:paraId="3FDECECE">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334B228C">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电    话：</w:t>
      </w:r>
      <w:r>
        <w:rPr>
          <w:rFonts w:hint="eastAsia" w:hAnsi="宋体" w:cs="宋体"/>
          <w:color w:val="auto"/>
          <w:highlight w:val="none"/>
          <w:u w:val="single"/>
        </w:rPr>
        <w:t xml:space="preserve">                 </w:t>
      </w:r>
    </w:p>
    <w:p w14:paraId="69CE7243">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电子信箱：</w:t>
      </w:r>
      <w:r>
        <w:rPr>
          <w:rFonts w:hint="eastAsia" w:hAnsi="宋体" w:cs="宋体"/>
          <w:color w:val="auto"/>
          <w:highlight w:val="none"/>
          <w:u w:val="single"/>
        </w:rPr>
        <w:t xml:space="preserve">                 </w:t>
      </w:r>
      <w:r>
        <w:rPr>
          <w:rFonts w:hint="eastAsia" w:hAnsi="宋体" w:cs="宋体"/>
          <w:color w:val="auto"/>
          <w:highlight w:val="none"/>
        </w:rPr>
        <w:t xml:space="preserve">                    电子信箱：</w:t>
      </w:r>
      <w:r>
        <w:rPr>
          <w:rFonts w:hint="eastAsia" w:hAnsi="宋体" w:cs="宋体"/>
          <w:color w:val="auto"/>
          <w:highlight w:val="none"/>
          <w:u w:val="single"/>
        </w:rPr>
        <w:t xml:space="preserve">                 </w:t>
      </w:r>
    </w:p>
    <w:p w14:paraId="53FA9922">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传    真：</w:t>
      </w:r>
      <w:r>
        <w:rPr>
          <w:rFonts w:hint="eastAsia" w:hAnsi="宋体" w:cs="宋体"/>
          <w:color w:val="auto"/>
          <w:highlight w:val="none"/>
          <w:u w:val="single"/>
        </w:rPr>
        <w:t xml:space="preserve">                 </w:t>
      </w:r>
      <w:r>
        <w:rPr>
          <w:rFonts w:hint="eastAsia" w:hAnsi="宋体" w:cs="宋体"/>
          <w:color w:val="auto"/>
          <w:highlight w:val="none"/>
        </w:rPr>
        <w:t xml:space="preserve">                    传    真：</w:t>
      </w:r>
      <w:r>
        <w:rPr>
          <w:rFonts w:hint="eastAsia" w:hAnsi="宋体" w:cs="宋体"/>
          <w:color w:val="auto"/>
          <w:highlight w:val="none"/>
          <w:u w:val="single"/>
        </w:rPr>
        <w:t xml:space="preserve">                 </w:t>
      </w:r>
    </w:p>
    <w:p w14:paraId="03B2D3A3">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 xml:space="preserve">                                              </w:t>
      </w:r>
      <w:r>
        <w:rPr>
          <w:rFonts w:hint="eastAsia" w:cs="宋体"/>
          <w:color w:val="auto"/>
          <w:highlight w:val="none"/>
          <w:lang w:val="en-US" w:eastAsia="zh-CN"/>
        </w:rPr>
        <w:t xml:space="preserve"> </w:t>
      </w:r>
      <w:r>
        <w:rPr>
          <w:rFonts w:hint="eastAsia" w:hAnsi="宋体" w:cs="宋体"/>
          <w:color w:val="auto"/>
          <w:highlight w:val="none"/>
        </w:rPr>
        <w:t>开户银行：</w:t>
      </w:r>
      <w:r>
        <w:rPr>
          <w:rFonts w:hint="eastAsia" w:hAnsi="宋体" w:cs="宋体"/>
          <w:color w:val="auto"/>
          <w:highlight w:val="none"/>
          <w:u w:val="single"/>
        </w:rPr>
        <w:t xml:space="preserve">                 </w:t>
      </w:r>
    </w:p>
    <w:p w14:paraId="56E1CC6D">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 xml:space="preserve">                                              </w:t>
      </w:r>
      <w:r>
        <w:rPr>
          <w:rFonts w:hint="eastAsia" w:cs="宋体"/>
          <w:color w:val="auto"/>
          <w:highlight w:val="none"/>
          <w:lang w:val="en-US" w:eastAsia="zh-CN"/>
        </w:rPr>
        <w:t xml:space="preserve"> </w:t>
      </w:r>
      <w:r>
        <w:rPr>
          <w:rFonts w:hint="eastAsia" w:hAnsi="宋体" w:cs="宋体"/>
          <w:color w:val="auto"/>
          <w:highlight w:val="none"/>
        </w:rPr>
        <w:t>开户</w:t>
      </w:r>
      <w:r>
        <w:rPr>
          <w:rFonts w:hint="eastAsia" w:cs="宋体"/>
          <w:color w:val="auto"/>
          <w:highlight w:val="none"/>
          <w:lang w:val="en-US" w:eastAsia="zh-CN"/>
        </w:rPr>
        <w:t>名称</w:t>
      </w:r>
      <w:r>
        <w:rPr>
          <w:rFonts w:hint="eastAsia" w:hAnsi="宋体" w:cs="宋体"/>
          <w:color w:val="auto"/>
          <w:highlight w:val="none"/>
        </w:rPr>
        <w:t>：</w:t>
      </w:r>
      <w:r>
        <w:rPr>
          <w:rFonts w:hint="eastAsia" w:hAnsi="宋体" w:cs="宋体"/>
          <w:color w:val="auto"/>
          <w:highlight w:val="none"/>
          <w:u w:val="single"/>
        </w:rPr>
        <w:t xml:space="preserve">                 </w:t>
      </w:r>
    </w:p>
    <w:p w14:paraId="6F544207">
      <w:pPr>
        <w:pStyle w:val="2"/>
        <w:adjustRightInd w:val="0"/>
        <w:snapToGrid w:val="0"/>
        <w:spacing w:line="482" w:lineRule="exact"/>
        <w:ind w:firstLine="480" w:firstLineChars="200"/>
        <w:jc w:val="left"/>
        <w:rPr>
          <w:rFonts w:hint="eastAsia" w:hAnsi="宋体" w:cs="宋体"/>
          <w:color w:val="auto"/>
          <w:highlight w:val="none"/>
        </w:rPr>
      </w:pPr>
      <w:r>
        <w:rPr>
          <w:rFonts w:hint="eastAsia" w:hAnsi="宋体" w:cs="宋体"/>
          <w:color w:val="auto"/>
          <w:highlight w:val="none"/>
        </w:rPr>
        <w:t xml:space="preserve">                                              </w:t>
      </w:r>
      <w:r>
        <w:rPr>
          <w:rFonts w:hint="eastAsia" w:cs="宋体"/>
          <w:color w:val="auto"/>
          <w:highlight w:val="none"/>
          <w:lang w:val="en-US" w:eastAsia="zh-CN"/>
        </w:rPr>
        <w:t xml:space="preserve"> </w:t>
      </w:r>
      <w:r>
        <w:rPr>
          <w:rFonts w:hint="eastAsia" w:hAnsi="宋体" w:cs="宋体"/>
          <w:color w:val="auto"/>
          <w:highlight w:val="none"/>
        </w:rPr>
        <w:t>账    号：</w:t>
      </w:r>
      <w:r>
        <w:rPr>
          <w:rFonts w:hint="eastAsia" w:hAnsi="宋体" w:cs="宋体"/>
          <w:color w:val="auto"/>
          <w:highlight w:val="none"/>
          <w:u w:val="single"/>
        </w:rPr>
        <w:t xml:space="preserve">                 </w:t>
      </w:r>
    </w:p>
    <w:p w14:paraId="31813E29">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签订地点：</w:t>
      </w:r>
      <w:r>
        <w:rPr>
          <w:rFonts w:hint="eastAsia" w:hAnsi="宋体" w:cs="宋体"/>
          <w:color w:val="auto"/>
          <w:highlight w:val="none"/>
          <w:u w:val="single"/>
        </w:rPr>
        <w:t xml:space="preserve">                 </w:t>
      </w:r>
    </w:p>
    <w:p w14:paraId="2BBEFBEE">
      <w:pPr>
        <w:pStyle w:val="2"/>
        <w:adjustRightInd w:val="0"/>
        <w:snapToGrid w:val="0"/>
        <w:spacing w:line="482" w:lineRule="exact"/>
        <w:ind w:firstLine="480" w:firstLineChars="200"/>
        <w:rPr>
          <w:rFonts w:hAnsi="宋体" w:cs="宋体"/>
          <w:color w:val="auto"/>
          <w:highlight w:val="none"/>
        </w:rPr>
      </w:pPr>
      <w:r>
        <w:rPr>
          <w:rFonts w:hint="eastAsia" w:hAnsi="宋体" w:cs="宋体"/>
          <w:color w:val="auto"/>
          <w:highlight w:val="none"/>
        </w:rPr>
        <w:t>签订时间：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6E5934B9">
      <w:pPr>
        <w:pStyle w:val="6"/>
        <w:jc w:val="center"/>
        <w:rPr>
          <w:rFonts w:hint="eastAsia" w:ascii="Times New Roman" w:hAnsi="Times New Roman" w:eastAsia="宋体" w:cs="Times New Roman"/>
          <w:color w:val="auto"/>
          <w:highlight w:val="none"/>
        </w:rPr>
      </w:pPr>
      <w:r>
        <w:rPr>
          <w:rFonts w:hAnsi="宋体" w:cs="宋体"/>
          <w:color w:val="auto"/>
          <w:highlight w:val="none"/>
        </w:rPr>
        <w:br w:type="page"/>
      </w:r>
      <w:bookmarkStart w:id="85" w:name="_Toc28853"/>
      <w:bookmarkStart w:id="86" w:name="_Toc25027"/>
      <w:bookmarkStart w:id="87" w:name="_Toc4990"/>
      <w:bookmarkStart w:id="88" w:name="_Toc31781"/>
      <w:bookmarkStart w:id="89" w:name="_Toc7666"/>
      <w:bookmarkStart w:id="90" w:name="_Toc8581"/>
      <w:bookmarkStart w:id="91" w:name="_Toc19068"/>
      <w:r>
        <w:rPr>
          <w:rFonts w:hint="eastAsia" w:ascii="Times New Roman" w:hAnsi="Times New Roman" w:eastAsia="宋体" w:cs="Times New Roman"/>
          <w:color w:val="auto"/>
          <w:highlight w:val="none"/>
        </w:rPr>
        <w:t>第</w:t>
      </w:r>
      <w:r>
        <w:rPr>
          <w:rFonts w:hint="eastAsia" w:cs="Times New Roman"/>
          <w:color w:val="auto"/>
          <w:highlight w:val="none"/>
          <w:lang w:val="en-US" w:eastAsia="zh-CN"/>
        </w:rPr>
        <w:t>二</w:t>
      </w:r>
      <w:r>
        <w:rPr>
          <w:rFonts w:hint="eastAsia" w:ascii="Times New Roman" w:hAnsi="Times New Roman" w:eastAsia="宋体" w:cs="Times New Roman"/>
          <w:color w:val="auto"/>
          <w:highlight w:val="none"/>
        </w:rPr>
        <w:t>部分  通用合同条款</w:t>
      </w:r>
      <w:bookmarkEnd w:id="85"/>
      <w:bookmarkEnd w:id="86"/>
      <w:bookmarkEnd w:id="87"/>
      <w:bookmarkEnd w:id="88"/>
      <w:bookmarkEnd w:id="89"/>
      <w:bookmarkEnd w:id="90"/>
      <w:bookmarkEnd w:id="91"/>
    </w:p>
    <w:p w14:paraId="580DD150">
      <w:pPr>
        <w:pStyle w:val="7"/>
        <w:jc w:val="center"/>
        <w:outlineLvl w:val="0"/>
        <w:rPr>
          <w:rFonts w:hint="eastAsia" w:ascii="Arial" w:hAnsi="Arial" w:eastAsia="黑体" w:cs="Times New Roman"/>
          <w:color w:val="auto"/>
          <w:sz w:val="32"/>
          <w:szCs w:val="24"/>
          <w:highlight w:val="none"/>
        </w:rPr>
      </w:pPr>
      <w:bookmarkStart w:id="92" w:name="_Toc10361"/>
      <w:bookmarkStart w:id="93" w:name="_Toc23008"/>
      <w:bookmarkStart w:id="94" w:name="_Toc20626"/>
      <w:bookmarkStart w:id="95" w:name="_Toc14448"/>
      <w:bookmarkStart w:id="96" w:name="_Toc8759"/>
      <w:bookmarkStart w:id="97" w:name="_Toc6860"/>
      <w:bookmarkStart w:id="98" w:name="_Toc9681"/>
      <w:r>
        <w:rPr>
          <w:rFonts w:hint="eastAsia" w:ascii="Arial" w:hAnsi="Arial" w:eastAsia="黑体" w:cs="Times New Roman"/>
          <w:color w:val="auto"/>
          <w:sz w:val="32"/>
          <w:szCs w:val="24"/>
          <w:highlight w:val="none"/>
        </w:rPr>
        <w:t>词语含义及适用语言</w:t>
      </w:r>
      <w:bookmarkEnd w:id="92"/>
      <w:bookmarkEnd w:id="93"/>
      <w:bookmarkEnd w:id="94"/>
      <w:bookmarkEnd w:id="95"/>
      <w:bookmarkEnd w:id="96"/>
      <w:bookmarkEnd w:id="97"/>
      <w:bookmarkEnd w:id="98"/>
    </w:p>
    <w:p w14:paraId="140BC08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第一条</w:t>
      </w:r>
      <w:r>
        <w:rPr>
          <w:rFonts w:hint="eastAsia" w:hAnsi="宋体" w:cs="宋体"/>
          <w:color w:val="auto"/>
          <w:highlight w:val="none"/>
        </w:rPr>
        <w:t xml:space="preserve">  下列名词和用语，除上下文另有约定外，具有本条所赋予的含义：</w:t>
      </w:r>
    </w:p>
    <w:p w14:paraId="3C74704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一、“委托人”指承担工程建设项目直接建设管理责任，委托监理业务的法人或其合法继承人。</w:t>
      </w:r>
    </w:p>
    <w:p w14:paraId="4ADC97E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二、“监理人”指受委托人委托，提供监理服务的法人或其合法继承人。</w:t>
      </w:r>
    </w:p>
    <w:p w14:paraId="381261A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三、“承包人”指与委托人(发包人)签订了施工合同，承担工程施工的法人或其合法继承人。</w:t>
      </w:r>
    </w:p>
    <w:p w14:paraId="60317DA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四、“监理机构”指监理人派驻工程现场直接开展监理业务的组织，由总监理工程师、监理工程师和监理员以及其他人员组成。</w:t>
      </w:r>
    </w:p>
    <w:p w14:paraId="4B11863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五、“监理项目”是指委托人委托监理人实施建设监理的工程建设项目。</w:t>
      </w:r>
    </w:p>
    <w:p w14:paraId="34DBD8E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六、“服务”是指监理人根据监理合同约定所承担的各项工作，包括正常服务和附加服务。</w:t>
      </w:r>
    </w:p>
    <w:p w14:paraId="28B660F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七、“正常服务”指监理人按照合同约定的监理范围、内容和期限所提供的服务。</w:t>
      </w:r>
    </w:p>
    <w:p w14:paraId="1DA80A0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八、“附加服务”指监理人为委托人提供正常服务以外的服务。</w:t>
      </w:r>
    </w:p>
    <w:p w14:paraId="1AD206A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九、“服务酬金”指本合同中监理人完成“正常服务”、“附加服务”应得到的正常服务酬金和附加服务酬金。</w:t>
      </w:r>
    </w:p>
    <w:p w14:paraId="5F69FB2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十、“天”指日历天。</w:t>
      </w:r>
    </w:p>
    <w:p w14:paraId="1C46902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十一、“现场”指监理项目实施的场所。</w:t>
      </w:r>
    </w:p>
    <w:p w14:paraId="4696F59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第二条</w:t>
      </w:r>
      <w:r>
        <w:rPr>
          <w:rFonts w:hint="eastAsia" w:hAnsi="宋体" w:cs="宋体"/>
          <w:color w:val="auto"/>
          <w:highlight w:val="none"/>
        </w:rPr>
        <w:t xml:space="preserve">  本合同适用的语言文字为汉语文字。</w:t>
      </w:r>
    </w:p>
    <w:p w14:paraId="0284A4B0">
      <w:pPr>
        <w:pStyle w:val="7"/>
        <w:jc w:val="center"/>
        <w:outlineLvl w:val="0"/>
        <w:rPr>
          <w:rFonts w:hint="eastAsia" w:ascii="Arial" w:hAnsi="Arial" w:eastAsia="黑体" w:cs="Times New Roman"/>
          <w:color w:val="auto"/>
          <w:sz w:val="32"/>
          <w:szCs w:val="24"/>
          <w:highlight w:val="none"/>
        </w:rPr>
      </w:pPr>
      <w:bookmarkStart w:id="99" w:name="_Toc22961"/>
      <w:bookmarkStart w:id="100" w:name="_Toc7044"/>
      <w:bookmarkStart w:id="101" w:name="_Toc9576"/>
      <w:bookmarkStart w:id="102" w:name="_Toc2071"/>
      <w:bookmarkStart w:id="103" w:name="_Toc27459"/>
      <w:bookmarkStart w:id="104" w:name="_Toc22932"/>
      <w:bookmarkStart w:id="105" w:name="_Toc13297"/>
      <w:r>
        <w:rPr>
          <w:rFonts w:hint="eastAsia" w:ascii="Arial" w:hAnsi="Arial" w:eastAsia="黑体" w:cs="Times New Roman"/>
          <w:color w:val="auto"/>
          <w:sz w:val="32"/>
          <w:szCs w:val="24"/>
          <w:highlight w:val="none"/>
        </w:rPr>
        <w:t>监理依据</w:t>
      </w:r>
      <w:bookmarkEnd w:id="99"/>
      <w:bookmarkEnd w:id="100"/>
      <w:bookmarkEnd w:id="101"/>
      <w:bookmarkEnd w:id="102"/>
      <w:bookmarkEnd w:id="103"/>
      <w:bookmarkEnd w:id="104"/>
      <w:bookmarkEnd w:id="105"/>
    </w:p>
    <w:p w14:paraId="2B8EE0E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第三条 </w:t>
      </w:r>
      <w:r>
        <w:rPr>
          <w:rFonts w:hint="eastAsia" w:hAnsi="宋体" w:cs="宋体"/>
          <w:color w:val="auto"/>
          <w:highlight w:val="none"/>
        </w:rPr>
        <w:t xml:space="preserve"> 监理的依据是有关工程建设的法律、法规、规章和规范性文件；工程建设强制性条文、有关技术标准；经批准的工程建设项目设计文件及其相关文件；监理合同、施工合同等合同文件。具体内容在专用合同条款中约定。</w:t>
      </w:r>
    </w:p>
    <w:p w14:paraId="5BB45286">
      <w:pPr>
        <w:pStyle w:val="7"/>
        <w:jc w:val="center"/>
        <w:outlineLvl w:val="0"/>
        <w:rPr>
          <w:rFonts w:hint="eastAsia" w:ascii="Arial" w:hAnsi="Arial" w:eastAsia="黑体" w:cs="Times New Roman"/>
          <w:color w:val="auto"/>
          <w:sz w:val="32"/>
          <w:szCs w:val="24"/>
          <w:highlight w:val="none"/>
        </w:rPr>
      </w:pPr>
      <w:bookmarkStart w:id="106" w:name="_Toc21682"/>
      <w:bookmarkStart w:id="107" w:name="_Toc16684"/>
      <w:bookmarkStart w:id="108" w:name="_Toc5040"/>
      <w:bookmarkStart w:id="109" w:name="_Toc8413"/>
      <w:bookmarkStart w:id="110" w:name="_Toc16355"/>
      <w:bookmarkStart w:id="111" w:name="_Toc28772"/>
      <w:bookmarkStart w:id="112" w:name="_Toc21917"/>
      <w:r>
        <w:rPr>
          <w:rFonts w:hint="eastAsia" w:ascii="Arial" w:hAnsi="Arial" w:eastAsia="黑体" w:cs="Times New Roman"/>
          <w:color w:val="auto"/>
          <w:sz w:val="32"/>
          <w:szCs w:val="24"/>
          <w:highlight w:val="none"/>
        </w:rPr>
        <w:t>通知和联系</w:t>
      </w:r>
      <w:bookmarkEnd w:id="106"/>
      <w:bookmarkEnd w:id="107"/>
      <w:bookmarkEnd w:id="108"/>
      <w:bookmarkEnd w:id="109"/>
      <w:bookmarkEnd w:id="110"/>
      <w:bookmarkEnd w:id="111"/>
      <w:bookmarkEnd w:id="112"/>
    </w:p>
    <w:p w14:paraId="5C01E47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第四条</w:t>
      </w:r>
      <w:r>
        <w:rPr>
          <w:rFonts w:hint="eastAsia" w:hAnsi="宋体" w:cs="宋体"/>
          <w:color w:val="auto"/>
          <w:highlight w:val="none"/>
        </w:rPr>
        <w:t xml:space="preserve">  委托人应指定一名联系人，负责与监理机构联系。更换联系人时，应提前通知监理人。</w:t>
      </w:r>
    </w:p>
    <w:p w14:paraId="6CF005F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第五条 </w:t>
      </w:r>
      <w:r>
        <w:rPr>
          <w:rFonts w:hint="eastAsia" w:hAnsi="宋体" w:cs="宋体"/>
          <w:color w:val="auto"/>
          <w:highlight w:val="none"/>
        </w:rPr>
        <w:t xml:space="preserve"> 在监理合同实施过程中，双方的联系均应以书面函件为准。在不做出紧急处理即可能导致安全、质量事故的情况下，可先以口头形式通知，并在48小时内补做书面通知。</w:t>
      </w:r>
    </w:p>
    <w:p w14:paraId="1273558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第六条</w:t>
      </w:r>
      <w:r>
        <w:rPr>
          <w:rFonts w:hint="eastAsia" w:hAnsi="宋体" w:cs="宋体"/>
          <w:color w:val="auto"/>
          <w:highlight w:val="none"/>
        </w:rPr>
        <w:t xml:space="preserve">  委托人对委托监理范围内工程项目实施的意见和决策，应通过监理机构下达，法律、法规另有规定的除外。</w:t>
      </w:r>
    </w:p>
    <w:p w14:paraId="733A2858">
      <w:pPr>
        <w:pStyle w:val="7"/>
        <w:jc w:val="center"/>
        <w:outlineLvl w:val="0"/>
        <w:rPr>
          <w:rFonts w:hint="eastAsia" w:ascii="Arial" w:hAnsi="Arial" w:eastAsia="黑体" w:cs="Times New Roman"/>
          <w:color w:val="auto"/>
          <w:sz w:val="32"/>
          <w:szCs w:val="24"/>
          <w:highlight w:val="none"/>
        </w:rPr>
      </w:pPr>
      <w:bookmarkStart w:id="113" w:name="_Toc21209"/>
      <w:bookmarkStart w:id="114" w:name="_Toc19843"/>
      <w:bookmarkStart w:id="115" w:name="_Toc26089"/>
      <w:bookmarkStart w:id="116" w:name="_Toc5811"/>
      <w:bookmarkStart w:id="117" w:name="_Toc9113"/>
      <w:bookmarkStart w:id="118" w:name="_Toc31405"/>
      <w:bookmarkStart w:id="119" w:name="_Toc30985"/>
      <w:r>
        <w:rPr>
          <w:rFonts w:hint="eastAsia" w:ascii="Arial" w:hAnsi="Arial" w:eastAsia="黑体" w:cs="Times New Roman"/>
          <w:color w:val="auto"/>
          <w:sz w:val="32"/>
          <w:szCs w:val="24"/>
          <w:highlight w:val="none"/>
        </w:rPr>
        <w:t>委托人的权利</w:t>
      </w:r>
      <w:bookmarkEnd w:id="113"/>
      <w:bookmarkEnd w:id="114"/>
      <w:bookmarkEnd w:id="115"/>
      <w:bookmarkEnd w:id="116"/>
      <w:bookmarkEnd w:id="117"/>
      <w:bookmarkEnd w:id="118"/>
      <w:bookmarkEnd w:id="119"/>
    </w:p>
    <w:p w14:paraId="5446120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第七条</w:t>
      </w:r>
      <w:r>
        <w:rPr>
          <w:rFonts w:hint="eastAsia" w:hAnsi="宋体" w:cs="宋体"/>
          <w:color w:val="auto"/>
          <w:highlight w:val="none"/>
        </w:rPr>
        <w:t xml:space="preserve">  委托人享有如下权利：</w:t>
      </w:r>
    </w:p>
    <w:p w14:paraId="553036C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一、对监理工作进行监督、检查，并提出撤换不能胜任监理工作人员的建议或要求；</w:t>
      </w:r>
    </w:p>
    <w:p w14:paraId="22FF9C7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二、对工程建设中质量、安全、投资、进度方面的重大问题的决策权；</w:t>
      </w:r>
    </w:p>
    <w:p w14:paraId="341B3BA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三、核定监理人签发的工程计量、付款凭证；</w:t>
      </w:r>
    </w:p>
    <w:p w14:paraId="08B068C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四、要求监理人提交监理月报、监理专题报告、监理工作报告和监理工作总结报告；</w:t>
      </w:r>
    </w:p>
    <w:p w14:paraId="43EAD55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五、当监理人发生本合同专用条款约定的违约情形时，有权解除本合同。</w:t>
      </w:r>
    </w:p>
    <w:p w14:paraId="3FB97088">
      <w:pPr>
        <w:pStyle w:val="7"/>
        <w:jc w:val="center"/>
        <w:outlineLvl w:val="0"/>
        <w:rPr>
          <w:rFonts w:hint="eastAsia" w:ascii="Arial" w:hAnsi="Arial" w:eastAsia="黑体" w:cs="Times New Roman"/>
          <w:color w:val="auto"/>
          <w:sz w:val="32"/>
          <w:szCs w:val="24"/>
          <w:highlight w:val="none"/>
        </w:rPr>
      </w:pPr>
      <w:bookmarkStart w:id="120" w:name="_Toc23710"/>
      <w:bookmarkStart w:id="121" w:name="_Toc12969"/>
      <w:bookmarkStart w:id="122" w:name="_Toc4112"/>
      <w:bookmarkStart w:id="123" w:name="_Toc26446"/>
      <w:bookmarkStart w:id="124" w:name="_Toc7809"/>
      <w:bookmarkStart w:id="125" w:name="_Toc624"/>
      <w:bookmarkStart w:id="126" w:name="_Toc28612"/>
      <w:r>
        <w:rPr>
          <w:rFonts w:hint="eastAsia" w:ascii="Arial" w:hAnsi="Arial" w:eastAsia="黑体" w:cs="Times New Roman"/>
          <w:color w:val="auto"/>
          <w:sz w:val="32"/>
          <w:szCs w:val="24"/>
          <w:highlight w:val="none"/>
        </w:rPr>
        <w:t>监理人的权利</w:t>
      </w:r>
      <w:bookmarkEnd w:id="120"/>
      <w:bookmarkEnd w:id="121"/>
      <w:bookmarkEnd w:id="122"/>
      <w:bookmarkEnd w:id="123"/>
      <w:bookmarkEnd w:id="124"/>
      <w:bookmarkEnd w:id="125"/>
      <w:bookmarkEnd w:id="126"/>
    </w:p>
    <w:p w14:paraId="0785F63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第八条</w:t>
      </w:r>
      <w:r>
        <w:rPr>
          <w:rFonts w:hint="eastAsia" w:hAnsi="宋体" w:cs="宋体"/>
          <w:color w:val="auto"/>
          <w:highlight w:val="none"/>
        </w:rPr>
        <w:t xml:space="preserve">  委托人赋予监理人如下权利：</w:t>
      </w:r>
    </w:p>
    <w:p w14:paraId="4F1D50A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一、审查承包人拟选择的分包项目和分包人，报委托人批准；</w:t>
      </w:r>
    </w:p>
    <w:p w14:paraId="05E418F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二、审查承包人提交的施工组织设计、安全技术措施及专项施工方案等各类文件；</w:t>
      </w:r>
    </w:p>
    <w:p w14:paraId="2AC8E7A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三、核查并签发施工图纸；</w:t>
      </w:r>
    </w:p>
    <w:p w14:paraId="7E10D4D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四、签发合同项目开工令、暂停施工指示，但应事先征得委托人同意；签发进场通知、复工通知；</w:t>
      </w:r>
    </w:p>
    <w:p w14:paraId="4504B45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五、审核和签发工程计量、付款凭证；</w:t>
      </w:r>
    </w:p>
    <w:p w14:paraId="7EB8A8ED">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六、核查承包人现场工作人员数量及相应岗位资格，有权要求承包人撤换不称职的现场工作人员；</w:t>
      </w:r>
    </w:p>
    <w:p w14:paraId="39186FA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七、发现承包人使用的施工设备影响工程质量或进度时，有权要求承包人增加或更换施工设备；</w:t>
      </w:r>
    </w:p>
    <w:p w14:paraId="7F2626D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八、当委托人发生本合同专用条款约定的违约情形时，有权解除本合同；</w:t>
      </w:r>
    </w:p>
    <w:p w14:paraId="17CE6A6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九、专用合同条款约定的其他权利。</w:t>
      </w:r>
    </w:p>
    <w:p w14:paraId="1A6004B1">
      <w:pPr>
        <w:pStyle w:val="7"/>
        <w:jc w:val="center"/>
        <w:outlineLvl w:val="0"/>
        <w:rPr>
          <w:rFonts w:hint="eastAsia" w:ascii="Arial" w:hAnsi="Arial" w:eastAsia="黑体" w:cs="Times New Roman"/>
          <w:color w:val="auto"/>
          <w:sz w:val="32"/>
          <w:szCs w:val="24"/>
          <w:highlight w:val="none"/>
        </w:rPr>
      </w:pPr>
      <w:bookmarkStart w:id="127" w:name="_Toc22368"/>
      <w:bookmarkStart w:id="128" w:name="_Toc2590"/>
      <w:bookmarkStart w:id="129" w:name="_Toc24480"/>
      <w:bookmarkStart w:id="130" w:name="_Toc25575"/>
      <w:bookmarkStart w:id="131" w:name="_Toc20483"/>
      <w:bookmarkStart w:id="132" w:name="_Toc4586"/>
      <w:bookmarkStart w:id="133" w:name="_Toc14151"/>
      <w:r>
        <w:rPr>
          <w:rFonts w:hint="eastAsia" w:ascii="Arial" w:hAnsi="Arial" w:eastAsia="黑体" w:cs="Times New Roman"/>
          <w:color w:val="auto"/>
          <w:sz w:val="32"/>
          <w:szCs w:val="24"/>
          <w:highlight w:val="none"/>
        </w:rPr>
        <w:t>委托人的义务</w:t>
      </w:r>
      <w:bookmarkEnd w:id="127"/>
      <w:bookmarkEnd w:id="128"/>
      <w:bookmarkEnd w:id="129"/>
      <w:bookmarkEnd w:id="130"/>
      <w:bookmarkEnd w:id="131"/>
      <w:bookmarkEnd w:id="132"/>
      <w:bookmarkEnd w:id="133"/>
    </w:p>
    <w:p w14:paraId="36E7EDA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第九条</w:t>
      </w:r>
      <w:r>
        <w:rPr>
          <w:rFonts w:hint="eastAsia" w:hAnsi="宋体" w:cs="宋体"/>
          <w:color w:val="auto"/>
          <w:highlight w:val="none"/>
        </w:rPr>
        <w:t xml:space="preserve">  工程建设外部环境的协调工作。</w:t>
      </w:r>
    </w:p>
    <w:p w14:paraId="252B31C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第十条  </w:t>
      </w:r>
      <w:r>
        <w:rPr>
          <w:rFonts w:hint="eastAsia" w:hAnsi="宋体" w:cs="宋体"/>
          <w:color w:val="auto"/>
          <w:highlight w:val="none"/>
        </w:rPr>
        <w:t>按专用合同条款约定的时间、数量、方式，免费向监理机构提供开展监理服务的有关本工程建没的资料。</w:t>
      </w:r>
    </w:p>
    <w:p w14:paraId="3734850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第十一条</w:t>
      </w:r>
      <w:r>
        <w:rPr>
          <w:rFonts w:hint="eastAsia" w:hAnsi="宋体" w:cs="宋体"/>
          <w:color w:val="auto"/>
          <w:highlight w:val="none"/>
        </w:rPr>
        <w:t xml:space="preserve">  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14:paraId="60EB04A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第十二条</w:t>
      </w:r>
      <w:r>
        <w:rPr>
          <w:rFonts w:hint="eastAsia" w:hAnsi="宋体" w:cs="宋体"/>
          <w:color w:val="auto"/>
          <w:highlight w:val="none"/>
        </w:rPr>
        <w:t xml:space="preserve">  与承包人签订的施工合同中明确其赋予监理人的权限，并在工程开工前将监理单位、总监理工程师通知承包人。</w:t>
      </w:r>
    </w:p>
    <w:p w14:paraId="27330EBD">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第十三条  </w:t>
      </w:r>
      <w:r>
        <w:rPr>
          <w:rFonts w:hint="eastAsia" w:hAnsi="宋体" w:cs="宋体"/>
          <w:color w:val="auto"/>
          <w:highlight w:val="none"/>
        </w:rPr>
        <w:t>提供监理人员在现场的工作和生活条件，具体内容在专用合同条款中明确。如果不能提供上述条件的，应按实际发生费用给予监理人补偿。</w:t>
      </w:r>
    </w:p>
    <w:p w14:paraId="252668D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第十四条 </w:t>
      </w:r>
      <w:r>
        <w:rPr>
          <w:rFonts w:hint="eastAsia" w:hAnsi="宋体" w:cs="宋体"/>
          <w:color w:val="auto"/>
          <w:highlight w:val="none"/>
        </w:rPr>
        <w:t xml:space="preserve"> 按本合同约定及时、足额支付监理服务酬金。</w:t>
      </w:r>
    </w:p>
    <w:p w14:paraId="3C67C67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第十五条</w:t>
      </w:r>
      <w:r>
        <w:rPr>
          <w:rFonts w:hint="eastAsia" w:hAnsi="宋体" w:cs="宋体"/>
          <w:color w:val="auto"/>
          <w:highlight w:val="none"/>
        </w:rPr>
        <w:t xml:space="preserve">  为监理机构指定具有检验、试验资质的机构并承担检验、试验相关费用。</w:t>
      </w:r>
    </w:p>
    <w:p w14:paraId="6891626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第十六条</w:t>
      </w:r>
      <w:r>
        <w:rPr>
          <w:rFonts w:hint="eastAsia" w:hAnsi="宋体" w:cs="宋体"/>
          <w:color w:val="auto"/>
          <w:highlight w:val="none"/>
        </w:rPr>
        <w:t xml:space="preserve">  维护监理机构工作的独立性，不干涉监理机构正常开展监理业务，不擅自作出有悖于监理机构在合同授权范围内所作出的指示的决定；未经监理机构签字确认，不得支付工程款。</w:t>
      </w:r>
    </w:p>
    <w:p w14:paraId="61B3BCC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第十七条</w:t>
      </w:r>
      <w:r>
        <w:rPr>
          <w:rFonts w:hint="eastAsia" w:hAnsi="宋体" w:cs="宋体"/>
          <w:color w:val="auto"/>
          <w:highlight w:val="none"/>
        </w:rPr>
        <w:t xml:space="preserve">  为监理人员投保人身意外伤害险和第三者责任险。如要求监理人自己投保，则应同意监理人将投保的费用计人报价中。</w:t>
      </w:r>
    </w:p>
    <w:p w14:paraId="698C788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第十八条</w:t>
      </w:r>
      <w:r>
        <w:rPr>
          <w:rFonts w:hint="eastAsia" w:hAnsi="宋体" w:cs="宋体"/>
          <w:color w:val="auto"/>
          <w:highlight w:val="none"/>
        </w:rPr>
        <w:t xml:space="preserve">  将投保工程险的保险合同提供给监理人作为工程合同管理的一部分。</w:t>
      </w:r>
    </w:p>
    <w:p w14:paraId="1A1D218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第十九条</w:t>
      </w:r>
      <w:r>
        <w:rPr>
          <w:rFonts w:hint="eastAsia" w:hAnsi="宋体" w:cs="宋体"/>
          <w:color w:val="auto"/>
          <w:highlight w:val="none"/>
        </w:rPr>
        <w:t xml:space="preserve">  未经监理人同意，不得将监理人用于本工程监理服务的任何文件直接或间接用于其他工程建设之中。</w:t>
      </w:r>
    </w:p>
    <w:p w14:paraId="24172D4F">
      <w:pPr>
        <w:pStyle w:val="7"/>
        <w:jc w:val="center"/>
        <w:outlineLvl w:val="0"/>
        <w:rPr>
          <w:rFonts w:hint="eastAsia" w:ascii="Arial" w:hAnsi="Arial" w:eastAsia="黑体" w:cs="Times New Roman"/>
          <w:color w:val="auto"/>
          <w:sz w:val="32"/>
          <w:szCs w:val="24"/>
          <w:highlight w:val="none"/>
        </w:rPr>
      </w:pPr>
      <w:bookmarkStart w:id="134" w:name="_Toc16169"/>
      <w:bookmarkStart w:id="135" w:name="_Toc124"/>
      <w:bookmarkStart w:id="136" w:name="_Toc32381"/>
      <w:bookmarkStart w:id="137" w:name="_Toc509"/>
      <w:bookmarkStart w:id="138" w:name="_Toc31848"/>
      <w:bookmarkStart w:id="139" w:name="_Toc20582"/>
      <w:bookmarkStart w:id="140" w:name="_Toc5420"/>
      <w:r>
        <w:rPr>
          <w:rFonts w:hint="eastAsia" w:ascii="Arial" w:hAnsi="Arial" w:eastAsia="黑体" w:cs="Times New Roman"/>
          <w:color w:val="auto"/>
          <w:sz w:val="32"/>
          <w:szCs w:val="24"/>
          <w:highlight w:val="none"/>
        </w:rPr>
        <w:t>监理人的义务</w:t>
      </w:r>
      <w:bookmarkEnd w:id="134"/>
      <w:bookmarkEnd w:id="135"/>
      <w:bookmarkEnd w:id="136"/>
      <w:bookmarkEnd w:id="137"/>
      <w:bookmarkEnd w:id="138"/>
      <w:bookmarkEnd w:id="139"/>
      <w:bookmarkEnd w:id="140"/>
    </w:p>
    <w:p w14:paraId="3753253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第二十条 </w:t>
      </w:r>
      <w:r>
        <w:rPr>
          <w:rFonts w:hint="eastAsia" w:hAnsi="宋体" w:cs="宋体"/>
          <w:color w:val="auto"/>
          <w:highlight w:val="none"/>
        </w:rPr>
        <w:t xml:space="preserve"> 本着“守法、诚信、公正、科学”的原则，按专用合同条款约定的监理服务内容为委托人提供优质服务。</w:t>
      </w:r>
    </w:p>
    <w:p w14:paraId="49F995D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第二十一条</w:t>
      </w:r>
      <w:r>
        <w:rPr>
          <w:rFonts w:hint="eastAsia" w:hAnsi="宋体" w:cs="宋体"/>
          <w:color w:val="auto"/>
          <w:highlight w:val="none"/>
        </w:rPr>
        <w:t xml:space="preserve">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14:paraId="4A4A6C7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第二十二条</w:t>
      </w:r>
      <w:r>
        <w:rPr>
          <w:rFonts w:hint="eastAsia" w:hAnsi="宋体" w:cs="宋体"/>
          <w:color w:val="auto"/>
          <w:highlight w:val="none"/>
        </w:rPr>
        <w:t xml:space="preserve">  发现设计文件不符合有关规定或合同约定时，应向委托人报告。</w:t>
      </w:r>
    </w:p>
    <w:p w14:paraId="1257C22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第二十三条</w:t>
      </w:r>
      <w:r>
        <w:rPr>
          <w:rFonts w:hint="eastAsia" w:hAnsi="宋体" w:cs="宋体"/>
          <w:color w:val="auto"/>
          <w:highlight w:val="none"/>
        </w:rPr>
        <w:t xml:space="preserve">  核验建筑材料、建筑构配件和设备质量，检查、检验并确认工程的施工质量；检查施工安全生产情况。发现存在质量、安全事故隐患，或发生质量、安全事故，应按有关规定及时采取相应的监理措施。</w:t>
      </w:r>
    </w:p>
    <w:p w14:paraId="732CC91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第二十四条 </w:t>
      </w:r>
      <w:r>
        <w:rPr>
          <w:rFonts w:hint="eastAsia" w:hAnsi="宋体" w:cs="宋体"/>
          <w:color w:val="auto"/>
          <w:highlight w:val="none"/>
        </w:rPr>
        <w:t xml:space="preserve"> 监督、检查工程施工进度。</w:t>
      </w:r>
    </w:p>
    <w:p w14:paraId="66D663B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第二十五条</w:t>
      </w:r>
      <w:r>
        <w:rPr>
          <w:rFonts w:hint="eastAsia" w:hAnsi="宋体" w:cs="宋体"/>
          <w:color w:val="auto"/>
          <w:highlight w:val="none"/>
        </w:rPr>
        <w:t xml:space="preserve">  按照委托人签订的工程保险合同，做好施工现场工程保险合同的管理。协助委托人向保险公司及时提供一切必要的材料和证据。</w:t>
      </w:r>
    </w:p>
    <w:p w14:paraId="7AB9255D">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第二十六条</w:t>
      </w:r>
      <w:r>
        <w:rPr>
          <w:rFonts w:hint="eastAsia" w:hAnsi="宋体" w:cs="宋体"/>
          <w:color w:val="auto"/>
          <w:highlight w:val="none"/>
        </w:rPr>
        <w:t xml:space="preserve">  协调施工合同各方之间的关系。</w:t>
      </w:r>
    </w:p>
    <w:p w14:paraId="72D44F6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第二十七条</w:t>
      </w:r>
      <w:r>
        <w:rPr>
          <w:rFonts w:hint="eastAsia" w:hAnsi="宋体" w:cs="宋体"/>
          <w:color w:val="auto"/>
          <w:highlight w:val="none"/>
        </w:rPr>
        <w:t xml:space="preserve">  按照施工作业程序，采取旁站、巡视、跟踪检测和平行检测等方法实施监理。需要旁站的重要部位和关键工序在专用合同条款中约定。</w:t>
      </w:r>
    </w:p>
    <w:p w14:paraId="704538D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第二十八条</w:t>
      </w:r>
      <w:r>
        <w:rPr>
          <w:rFonts w:hint="eastAsia" w:hAnsi="宋体" w:cs="宋体"/>
          <w:color w:val="auto"/>
          <w:highlight w:val="none"/>
        </w:rPr>
        <w:t xml:space="preserve">  及时做好工程施工过程各种监理信息的收集、整理和归档，并保证现场记录、试验、检验、检查等资料的完整和真实。</w:t>
      </w:r>
    </w:p>
    <w:p w14:paraId="0CBF5B5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第二十九条</w:t>
      </w:r>
      <w:r>
        <w:rPr>
          <w:rFonts w:hint="eastAsia" w:hAnsi="宋体" w:cs="宋体"/>
          <w:color w:val="auto"/>
          <w:highlight w:val="none"/>
        </w:rPr>
        <w:t xml:space="preserve">  编制《监理日志》，并向委托人提交监理月报、监理专题报告、监理工作报告和监理工作总结报告。</w:t>
      </w:r>
    </w:p>
    <w:p w14:paraId="0767382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第三十条</w:t>
      </w:r>
      <w:r>
        <w:rPr>
          <w:rFonts w:hint="eastAsia" w:hAnsi="宋体" w:cs="宋体"/>
          <w:color w:val="auto"/>
          <w:highlight w:val="none"/>
        </w:rPr>
        <w:t xml:space="preserve">  按有关规定参加工程验收，做好相关配合工作。委托人委托监理人主持的分部工程验收由专用合同条款约定。</w:t>
      </w:r>
    </w:p>
    <w:p w14:paraId="182C4AD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第三十一条</w:t>
      </w:r>
      <w:r>
        <w:rPr>
          <w:rFonts w:hint="eastAsia" w:hAnsi="宋体" w:cs="宋体"/>
          <w:color w:val="auto"/>
          <w:highlight w:val="none"/>
        </w:rPr>
        <w:t xml:space="preserve">  妥善做好委托人所提供的工程建设文件资料的保存、回收及保密工作。在本合同期限内或专用合同条款约定的合同终止后的一定期限内，未征得委托人同意，不得公开涉及委托人的专利、专有技术或其他需保密的资料，不得泄露与本合同业务有关的技术、商务等秘密。</w:t>
      </w:r>
    </w:p>
    <w:p w14:paraId="7A5DB68F">
      <w:pPr>
        <w:pStyle w:val="7"/>
        <w:jc w:val="center"/>
        <w:outlineLvl w:val="0"/>
        <w:rPr>
          <w:rFonts w:hint="eastAsia" w:ascii="Arial" w:hAnsi="Arial" w:eastAsia="黑体" w:cs="Times New Roman"/>
          <w:color w:val="auto"/>
          <w:sz w:val="32"/>
          <w:szCs w:val="24"/>
          <w:highlight w:val="none"/>
        </w:rPr>
      </w:pPr>
      <w:bookmarkStart w:id="141" w:name="_Toc15203"/>
      <w:bookmarkStart w:id="142" w:name="_Toc9845"/>
      <w:bookmarkStart w:id="143" w:name="_Toc6045"/>
      <w:bookmarkStart w:id="144" w:name="_Toc23992"/>
      <w:bookmarkStart w:id="145" w:name="_Toc14733"/>
      <w:bookmarkStart w:id="146" w:name="_Toc10145"/>
      <w:bookmarkStart w:id="147" w:name="_Toc6716"/>
      <w:r>
        <w:rPr>
          <w:rFonts w:hint="eastAsia" w:ascii="Arial" w:hAnsi="Arial" w:eastAsia="黑体" w:cs="Times New Roman"/>
          <w:color w:val="auto"/>
          <w:sz w:val="32"/>
          <w:szCs w:val="24"/>
          <w:highlight w:val="none"/>
        </w:rPr>
        <w:t>监理服务酬金</w:t>
      </w:r>
      <w:bookmarkEnd w:id="141"/>
      <w:bookmarkEnd w:id="142"/>
      <w:bookmarkEnd w:id="143"/>
      <w:bookmarkEnd w:id="144"/>
      <w:bookmarkEnd w:id="145"/>
      <w:bookmarkEnd w:id="146"/>
      <w:bookmarkEnd w:id="147"/>
    </w:p>
    <w:p w14:paraId="18248DE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第三十二条 </w:t>
      </w:r>
      <w:r>
        <w:rPr>
          <w:rFonts w:hint="eastAsia" w:hAnsi="宋体" w:cs="宋体"/>
          <w:color w:val="auto"/>
          <w:highlight w:val="none"/>
        </w:rPr>
        <w:t xml:space="preserve"> 监理正常服务酬金的支付时间和支付方式在专用合同条款中约定。</w:t>
      </w:r>
    </w:p>
    <w:p w14:paraId="1F1506C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第三十三条 </w:t>
      </w:r>
      <w:r>
        <w:rPr>
          <w:rFonts w:hint="eastAsia" w:hAnsi="宋体" w:cs="宋体"/>
          <w:color w:val="auto"/>
          <w:highlight w:val="none"/>
        </w:rPr>
        <w:t xml:space="preserve"> 除不可抗力外，有下列情形之一且由此引起监理工作量增加或服务期限延长，均应视为监理机构的附加服务，监理人应得到监理附加服务酬金：</w:t>
      </w:r>
    </w:p>
    <w:p w14:paraId="5763CB3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一、由于委托人、第三方责任、设计变更及不良地质条件等非监理人原因致使正常的监理服务受到阻碍或延误；</w:t>
      </w:r>
    </w:p>
    <w:p w14:paraId="63FDDD3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二、在本合同履行过程中，委托人要求监理机构完成监理合同约定范围和内容以外的服务；</w:t>
      </w:r>
    </w:p>
    <w:p w14:paraId="44D377C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三、由于非监理人原因暂停或终止监理业务时，其善后工作或恢复执行监理业务的工作。</w:t>
      </w:r>
    </w:p>
    <w:p w14:paraId="3A19805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hAnsi="宋体" w:cs="宋体"/>
          <w:color w:val="auto"/>
          <w:highlight w:val="none"/>
        </w:rPr>
        <w:t>监理人完成附加服务应得到的酬金，按专用合同条款约定的方法或监理补充协议计取和支付。</w:t>
      </w:r>
    </w:p>
    <w:p w14:paraId="2995D45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第三十四条  </w:t>
      </w:r>
      <w:r>
        <w:rPr>
          <w:rFonts w:hint="eastAsia" w:hAnsi="宋体" w:cs="宋体"/>
          <w:color w:val="auto"/>
          <w:highlight w:val="none"/>
        </w:rPr>
        <w:t>国家有关法律、法规、规章和监理酬金标准发生变化时，应按有关规定调整监理服务酬金。</w:t>
      </w:r>
    </w:p>
    <w:p w14:paraId="57E5522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第三十五条  </w:t>
      </w:r>
      <w:r>
        <w:rPr>
          <w:rFonts w:hint="eastAsia" w:hAnsi="宋体" w:cs="宋体"/>
          <w:color w:val="auto"/>
          <w:highlight w:val="none"/>
        </w:rPr>
        <w:t>委托人对监理人申请支付的监理酬金项目及金额有异议时，应当在收到监理人支付申请书后7天内向监理人发出异议通知，由双方协商解决。7天内未发出异议通知，则按通用合同条款第二十二条、第三十三条、第三十四条的约定支付。</w:t>
      </w:r>
    </w:p>
    <w:p w14:paraId="7070A7ED">
      <w:pPr>
        <w:pStyle w:val="7"/>
        <w:jc w:val="center"/>
        <w:outlineLvl w:val="0"/>
        <w:rPr>
          <w:rFonts w:hint="eastAsia" w:ascii="Arial" w:hAnsi="Arial" w:eastAsia="黑体" w:cs="Times New Roman"/>
          <w:color w:val="auto"/>
          <w:sz w:val="32"/>
          <w:szCs w:val="24"/>
          <w:highlight w:val="none"/>
        </w:rPr>
      </w:pPr>
      <w:bookmarkStart w:id="148" w:name="_Toc6538"/>
      <w:bookmarkStart w:id="149" w:name="_Toc26473"/>
      <w:bookmarkStart w:id="150" w:name="_Toc23407"/>
      <w:bookmarkStart w:id="151" w:name="_Toc10402"/>
      <w:bookmarkStart w:id="152" w:name="_Toc6997"/>
      <w:bookmarkStart w:id="153" w:name="_Toc898"/>
      <w:bookmarkStart w:id="154" w:name="_Toc17362"/>
      <w:r>
        <w:rPr>
          <w:rFonts w:hint="eastAsia" w:ascii="Arial" w:hAnsi="Arial" w:eastAsia="黑体" w:cs="Times New Roman"/>
          <w:color w:val="auto"/>
          <w:sz w:val="32"/>
          <w:szCs w:val="24"/>
          <w:highlight w:val="none"/>
        </w:rPr>
        <w:t>合同变更与终止</w:t>
      </w:r>
      <w:bookmarkEnd w:id="148"/>
      <w:bookmarkEnd w:id="149"/>
      <w:bookmarkEnd w:id="150"/>
      <w:bookmarkEnd w:id="151"/>
      <w:bookmarkEnd w:id="152"/>
      <w:bookmarkEnd w:id="153"/>
      <w:bookmarkEnd w:id="154"/>
    </w:p>
    <w:p w14:paraId="1C7DB1E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第三十六条 </w:t>
      </w:r>
      <w:r>
        <w:rPr>
          <w:rFonts w:hint="eastAsia" w:hAnsi="宋体" w:cs="宋体"/>
          <w:color w:val="auto"/>
          <w:highlight w:val="none"/>
        </w:rPr>
        <w:t xml:space="preserve"> 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14:paraId="1B187CD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第三十七条 </w:t>
      </w:r>
      <w:r>
        <w:rPr>
          <w:rFonts w:hint="eastAsia" w:hAnsi="宋体" w:cs="宋体"/>
          <w:color w:val="auto"/>
          <w:highlight w:val="none"/>
        </w:rPr>
        <w:t xml:space="preserve"> 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14:paraId="561CEBB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第三十八条 </w:t>
      </w:r>
      <w:r>
        <w:rPr>
          <w:rFonts w:hint="eastAsia" w:hAnsi="宋体" w:cs="宋体"/>
          <w:color w:val="auto"/>
          <w:highlight w:val="none"/>
        </w:rPr>
        <w:t xml:space="preserve"> 在监理服务期内，由于国家政策致使工程建设计划重大调整，或不可抗力致使合同不能履行时，双方协商解决因合同终止所产生的遗留问题。</w:t>
      </w:r>
    </w:p>
    <w:p w14:paraId="7BFD81FA">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第三十九条 </w:t>
      </w:r>
      <w:r>
        <w:rPr>
          <w:rFonts w:hint="eastAsia" w:hAnsi="宋体" w:cs="宋体"/>
          <w:color w:val="auto"/>
          <w:highlight w:val="none"/>
        </w:rPr>
        <w:t xml:space="preserve"> 本合同在监理期限届满并结清监理服务酬金后即终止。</w:t>
      </w:r>
    </w:p>
    <w:p w14:paraId="130E82E0">
      <w:pPr>
        <w:pStyle w:val="7"/>
        <w:jc w:val="center"/>
        <w:outlineLvl w:val="0"/>
        <w:rPr>
          <w:rFonts w:hint="eastAsia" w:ascii="Arial" w:hAnsi="Arial" w:eastAsia="黑体" w:cs="Times New Roman"/>
          <w:color w:val="auto"/>
          <w:sz w:val="32"/>
          <w:szCs w:val="24"/>
          <w:highlight w:val="none"/>
        </w:rPr>
      </w:pPr>
      <w:bookmarkStart w:id="155" w:name="_Toc30968"/>
      <w:bookmarkStart w:id="156" w:name="_Toc12788"/>
      <w:bookmarkStart w:id="157" w:name="_Toc5120"/>
      <w:bookmarkStart w:id="158" w:name="_Toc24870"/>
      <w:bookmarkStart w:id="159" w:name="_Toc1148"/>
      <w:bookmarkStart w:id="160" w:name="_Toc11425"/>
      <w:bookmarkStart w:id="161" w:name="_Toc14500"/>
      <w:r>
        <w:rPr>
          <w:rFonts w:hint="eastAsia" w:ascii="Arial" w:hAnsi="Arial" w:eastAsia="黑体" w:cs="Times New Roman"/>
          <w:color w:val="auto"/>
          <w:sz w:val="32"/>
          <w:szCs w:val="24"/>
          <w:highlight w:val="none"/>
        </w:rPr>
        <w:t>违约责任</w:t>
      </w:r>
      <w:bookmarkEnd w:id="155"/>
      <w:bookmarkEnd w:id="156"/>
      <w:bookmarkEnd w:id="157"/>
      <w:bookmarkEnd w:id="158"/>
      <w:bookmarkEnd w:id="159"/>
      <w:bookmarkEnd w:id="160"/>
      <w:bookmarkEnd w:id="161"/>
    </w:p>
    <w:p w14:paraId="44413FC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第四十条  </w:t>
      </w:r>
      <w:r>
        <w:rPr>
          <w:rFonts w:hint="eastAsia" w:hAnsi="宋体" w:cs="宋体"/>
          <w:color w:val="auto"/>
          <w:highlight w:val="none"/>
        </w:rPr>
        <w:t>委托人未履行合同条款第十条、第十一条、第十三条、第十四条、第十五条、第十六条、第十七条、第十九条约定的义务和责任，除按专用合同条款约定向监理人支付违约金外，还应继续履行合同约定的义务和责任。</w:t>
      </w:r>
    </w:p>
    <w:p w14:paraId="18BED6C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第四十一条  </w:t>
      </w:r>
      <w:r>
        <w:rPr>
          <w:rFonts w:hint="eastAsia" w:hAnsi="宋体" w:cs="宋体"/>
          <w:color w:val="auto"/>
          <w:highlight w:val="none"/>
        </w:rPr>
        <w:t>委托人未按合同条款第三十二条、第三十三条、第三十四条约定支付监理服务酬金，除按专用合同条款约定向监理人支付逾期付款违约金外，还应继续履行合同约定的支付义务。</w:t>
      </w:r>
    </w:p>
    <w:p w14:paraId="6F7DED2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第四十二条  </w:t>
      </w:r>
      <w:r>
        <w:rPr>
          <w:rFonts w:hint="eastAsia" w:hAnsi="宋体" w:cs="宋体"/>
          <w:color w:val="auto"/>
          <w:highlight w:val="none"/>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14:paraId="3E0B5835">
      <w:pPr>
        <w:pStyle w:val="7"/>
        <w:jc w:val="center"/>
        <w:outlineLvl w:val="0"/>
        <w:rPr>
          <w:rFonts w:hint="eastAsia" w:ascii="Arial" w:hAnsi="Arial" w:eastAsia="黑体" w:cs="Times New Roman"/>
          <w:color w:val="auto"/>
          <w:sz w:val="32"/>
          <w:szCs w:val="24"/>
          <w:highlight w:val="none"/>
        </w:rPr>
      </w:pPr>
      <w:bookmarkStart w:id="162" w:name="_Toc4216"/>
      <w:bookmarkStart w:id="163" w:name="_Toc4755"/>
      <w:bookmarkStart w:id="164" w:name="_Toc25134"/>
      <w:bookmarkStart w:id="165" w:name="_Toc16188"/>
      <w:bookmarkStart w:id="166" w:name="_Toc23347"/>
      <w:bookmarkStart w:id="167" w:name="_Toc16254"/>
      <w:bookmarkStart w:id="168" w:name="_Toc18540"/>
      <w:r>
        <w:rPr>
          <w:rFonts w:hint="eastAsia" w:ascii="Arial" w:hAnsi="Arial" w:eastAsia="黑体" w:cs="Times New Roman"/>
          <w:color w:val="auto"/>
          <w:sz w:val="32"/>
          <w:szCs w:val="24"/>
          <w:highlight w:val="none"/>
        </w:rPr>
        <w:t>争议的解决</w:t>
      </w:r>
      <w:bookmarkEnd w:id="162"/>
      <w:bookmarkEnd w:id="163"/>
      <w:bookmarkEnd w:id="164"/>
      <w:bookmarkEnd w:id="165"/>
      <w:bookmarkEnd w:id="166"/>
      <w:bookmarkEnd w:id="167"/>
      <w:bookmarkEnd w:id="168"/>
    </w:p>
    <w:p w14:paraId="009B23E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第四十三条 </w:t>
      </w:r>
      <w:r>
        <w:rPr>
          <w:rFonts w:hint="eastAsia" w:hAnsi="宋体" w:cs="宋体"/>
          <w:color w:val="auto"/>
          <w:highlight w:val="none"/>
        </w:rPr>
        <w:t xml:space="preserve"> 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14:paraId="4AB1138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 xml:space="preserve">第四十四条 </w:t>
      </w:r>
      <w:r>
        <w:rPr>
          <w:rFonts w:hint="eastAsia" w:hAnsi="宋体" w:cs="宋体"/>
          <w:color w:val="auto"/>
          <w:highlight w:val="none"/>
        </w:rPr>
        <w:t xml:space="preserve"> 在争议协商、调解、仲裁或起诉过程中，双方仍应继续履行本合同约定的责任和义务。</w:t>
      </w:r>
    </w:p>
    <w:p w14:paraId="1356B2C8">
      <w:pPr>
        <w:pStyle w:val="7"/>
        <w:jc w:val="center"/>
        <w:outlineLvl w:val="0"/>
        <w:rPr>
          <w:rFonts w:hint="eastAsia" w:ascii="Arial" w:hAnsi="Arial" w:eastAsia="黑体" w:cs="Times New Roman"/>
          <w:color w:val="auto"/>
          <w:sz w:val="32"/>
          <w:szCs w:val="24"/>
          <w:highlight w:val="none"/>
        </w:rPr>
      </w:pPr>
      <w:bookmarkStart w:id="169" w:name="_Toc12082"/>
      <w:bookmarkStart w:id="170" w:name="_Toc30472"/>
      <w:bookmarkStart w:id="171" w:name="_Toc11027"/>
      <w:bookmarkStart w:id="172" w:name="_Toc16126"/>
      <w:bookmarkStart w:id="173" w:name="_Toc20159"/>
      <w:bookmarkStart w:id="174" w:name="_Toc27754"/>
      <w:bookmarkStart w:id="175" w:name="_Toc9244"/>
      <w:r>
        <w:rPr>
          <w:rFonts w:hint="eastAsia" w:ascii="Arial" w:hAnsi="Arial" w:eastAsia="黑体" w:cs="Times New Roman"/>
          <w:color w:val="auto"/>
          <w:sz w:val="32"/>
          <w:szCs w:val="24"/>
          <w:highlight w:val="none"/>
        </w:rPr>
        <w:t>其  他</w:t>
      </w:r>
      <w:bookmarkEnd w:id="169"/>
      <w:bookmarkEnd w:id="170"/>
      <w:bookmarkEnd w:id="171"/>
      <w:bookmarkEnd w:id="172"/>
      <w:bookmarkEnd w:id="173"/>
      <w:bookmarkEnd w:id="174"/>
      <w:bookmarkEnd w:id="175"/>
    </w:p>
    <w:p w14:paraId="2F159F2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Ansi="宋体" w:cs="宋体"/>
          <w:color w:val="auto"/>
          <w:highlight w:val="none"/>
        </w:rPr>
      </w:pPr>
      <w:r>
        <w:rPr>
          <w:rFonts w:hint="eastAsia" w:ascii="黑体" w:hAnsi="宋体" w:eastAsia="黑体" w:cs="宋体"/>
          <w:color w:val="auto"/>
          <w:highlight w:val="none"/>
        </w:rPr>
        <w:t xml:space="preserve">第四十五条  </w:t>
      </w:r>
      <w:r>
        <w:rPr>
          <w:rFonts w:hint="eastAsia" w:hAnsi="宋体" w:cs="宋体"/>
          <w:color w:val="auto"/>
          <w:highlight w:val="none"/>
        </w:rPr>
        <w:t>委托人可以对监理人提出并落实的合理化建议给予奖励。奖励办法在专用合同条款中约定。</w:t>
      </w:r>
    </w:p>
    <w:p w14:paraId="5AB7A2A3">
      <w:pPr>
        <w:pStyle w:val="6"/>
        <w:jc w:val="center"/>
        <w:rPr>
          <w:rFonts w:hint="eastAsia" w:ascii="Times New Roman" w:hAnsi="Times New Roman" w:eastAsia="宋体" w:cs="Times New Roman"/>
          <w:color w:val="auto"/>
          <w:sz w:val="44"/>
          <w:szCs w:val="24"/>
          <w:highlight w:val="none"/>
        </w:rPr>
      </w:pPr>
      <w:r>
        <w:rPr>
          <w:rFonts w:hAnsi="宋体" w:cs="宋体"/>
          <w:color w:val="auto"/>
          <w:highlight w:val="none"/>
        </w:rPr>
        <w:br w:type="page"/>
      </w:r>
      <w:bookmarkStart w:id="176" w:name="_Toc31332"/>
      <w:bookmarkStart w:id="177" w:name="_Toc20187"/>
      <w:bookmarkStart w:id="178" w:name="_Toc4710"/>
      <w:bookmarkStart w:id="179" w:name="_Toc9978"/>
      <w:bookmarkStart w:id="180" w:name="_Toc3887"/>
      <w:bookmarkStart w:id="181" w:name="_Toc12998"/>
      <w:bookmarkStart w:id="182" w:name="_Toc9694"/>
      <w:r>
        <w:rPr>
          <w:rFonts w:hint="eastAsia" w:ascii="Times New Roman" w:hAnsi="Times New Roman" w:eastAsia="宋体" w:cs="Times New Roman"/>
          <w:color w:val="auto"/>
          <w:sz w:val="44"/>
          <w:szCs w:val="24"/>
          <w:highlight w:val="none"/>
        </w:rPr>
        <w:t>第</w:t>
      </w:r>
      <w:r>
        <w:rPr>
          <w:rFonts w:hint="eastAsia" w:cs="Times New Roman"/>
          <w:color w:val="auto"/>
          <w:sz w:val="44"/>
          <w:szCs w:val="24"/>
          <w:highlight w:val="none"/>
          <w:lang w:val="en-US" w:eastAsia="zh-CN"/>
        </w:rPr>
        <w:t>三</w:t>
      </w:r>
      <w:r>
        <w:rPr>
          <w:rFonts w:hint="eastAsia" w:ascii="Times New Roman" w:hAnsi="Times New Roman" w:eastAsia="宋体" w:cs="Times New Roman"/>
          <w:color w:val="auto"/>
          <w:sz w:val="44"/>
          <w:szCs w:val="24"/>
          <w:highlight w:val="none"/>
        </w:rPr>
        <w:t>部分  专用合同条款</w:t>
      </w:r>
      <w:bookmarkEnd w:id="176"/>
      <w:bookmarkEnd w:id="177"/>
      <w:bookmarkEnd w:id="178"/>
      <w:bookmarkEnd w:id="179"/>
      <w:bookmarkEnd w:id="180"/>
      <w:bookmarkEnd w:id="181"/>
      <w:bookmarkEnd w:id="182"/>
    </w:p>
    <w:p w14:paraId="6CAF877E">
      <w:pPr>
        <w:pStyle w:val="7"/>
        <w:jc w:val="center"/>
        <w:outlineLvl w:val="0"/>
        <w:rPr>
          <w:rFonts w:hint="eastAsia"/>
          <w:color w:val="auto"/>
          <w:highlight w:val="none"/>
        </w:rPr>
      </w:pPr>
      <w:bookmarkStart w:id="183" w:name="_Toc14548"/>
      <w:bookmarkStart w:id="184" w:name="_Toc6247"/>
      <w:bookmarkStart w:id="185" w:name="_Toc16335"/>
      <w:bookmarkStart w:id="186" w:name="_Toc280"/>
      <w:bookmarkStart w:id="187" w:name="_Toc6372"/>
      <w:bookmarkStart w:id="188" w:name="_Toc17192"/>
      <w:bookmarkStart w:id="189" w:name="_Toc12123"/>
      <w:r>
        <w:rPr>
          <w:rFonts w:hint="eastAsia"/>
          <w:color w:val="auto"/>
          <w:highlight w:val="none"/>
        </w:rPr>
        <w:t>监理依据</w:t>
      </w:r>
      <w:bookmarkEnd w:id="183"/>
      <w:bookmarkEnd w:id="184"/>
      <w:bookmarkEnd w:id="185"/>
      <w:bookmarkEnd w:id="186"/>
      <w:bookmarkEnd w:id="187"/>
      <w:bookmarkEnd w:id="188"/>
      <w:bookmarkEnd w:id="189"/>
    </w:p>
    <w:p w14:paraId="608151C8">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第三条 </w:t>
      </w:r>
      <w:r>
        <w:rPr>
          <w:rFonts w:hint="eastAsia" w:hAnsi="宋体" w:cs="宋体"/>
          <w:color w:val="auto"/>
          <w:highlight w:val="none"/>
        </w:rPr>
        <w:t xml:space="preserve"> 本合同的监理依据为：</w:t>
      </w:r>
    </w:p>
    <w:p w14:paraId="7DE04706">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rPr>
        <w:t>(1)国家和地方现行的有关工程建设及建设监理的法律、法规、规范性文件、技术规范及标准</w:t>
      </w:r>
      <w:r>
        <w:rPr>
          <w:rFonts w:hint="eastAsia" w:cs="宋体"/>
          <w:color w:val="auto"/>
          <w:sz w:val="24"/>
          <w:szCs w:val="21"/>
          <w:highlight w:val="none"/>
          <w:u w:val="none"/>
          <w:lang w:eastAsia="zh-CN"/>
        </w:rPr>
        <w:t>；</w:t>
      </w:r>
    </w:p>
    <w:p w14:paraId="5809A8FA">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sz w:val="24"/>
          <w:szCs w:val="21"/>
          <w:highlight w:val="none"/>
          <w:u w:val="none"/>
        </w:rPr>
        <w:t>2)《建设工程监理规范》（GB／T50319—2013）</w:t>
      </w:r>
      <w:r>
        <w:rPr>
          <w:rFonts w:hint="eastAsia" w:cs="宋体"/>
          <w:color w:val="auto"/>
          <w:sz w:val="24"/>
          <w:szCs w:val="21"/>
          <w:highlight w:val="none"/>
          <w:u w:val="none"/>
          <w:lang w:eastAsia="zh-CN"/>
        </w:rPr>
        <w:t>；</w:t>
      </w:r>
    </w:p>
    <w:p w14:paraId="67CBB6F5">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lang w:val="en-US" w:eastAsia="zh-CN"/>
        </w:rPr>
        <w:t>(</w:t>
      </w:r>
      <w:r>
        <w:rPr>
          <w:rFonts w:hint="eastAsia" w:ascii="宋体" w:hAnsi="宋体" w:eastAsia="宋体" w:cs="宋体"/>
          <w:color w:val="auto"/>
          <w:sz w:val="24"/>
          <w:szCs w:val="21"/>
          <w:highlight w:val="none"/>
          <w:u w:val="none"/>
        </w:rPr>
        <w:t>3)《水利工程施工监理规范》（SL288-2014）</w:t>
      </w:r>
      <w:r>
        <w:rPr>
          <w:rFonts w:hint="eastAsia" w:cs="宋体"/>
          <w:color w:val="auto"/>
          <w:sz w:val="24"/>
          <w:szCs w:val="21"/>
          <w:highlight w:val="none"/>
          <w:u w:val="none"/>
          <w:lang w:eastAsia="zh-CN"/>
        </w:rPr>
        <w:t>；</w:t>
      </w:r>
    </w:p>
    <w:p w14:paraId="5DF74CB2">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rPr>
        <w:t>(4)《水利水电建设工程验收规程》（SL</w:t>
      </w:r>
      <w:r>
        <w:rPr>
          <w:rFonts w:hint="eastAsia" w:ascii="宋体" w:hAnsi="宋体" w:eastAsia="宋体" w:cs="宋体"/>
          <w:color w:val="auto"/>
          <w:sz w:val="24"/>
          <w:szCs w:val="21"/>
          <w:highlight w:val="none"/>
          <w:u w:val="none"/>
          <w:lang w:val="en-US" w:eastAsia="zh-CN"/>
        </w:rPr>
        <w:t>/T</w:t>
      </w:r>
      <w:r>
        <w:rPr>
          <w:rFonts w:hint="eastAsia" w:ascii="宋体" w:hAnsi="宋体" w:eastAsia="宋体" w:cs="宋体"/>
          <w:color w:val="auto"/>
          <w:sz w:val="24"/>
          <w:szCs w:val="21"/>
          <w:highlight w:val="none"/>
          <w:u w:val="none"/>
        </w:rPr>
        <w:t>223-20</w:t>
      </w:r>
      <w:r>
        <w:rPr>
          <w:rFonts w:hint="eastAsia" w:ascii="宋体" w:hAnsi="宋体" w:eastAsia="宋体" w:cs="宋体"/>
          <w:color w:val="auto"/>
          <w:sz w:val="24"/>
          <w:szCs w:val="21"/>
          <w:highlight w:val="none"/>
          <w:u w:val="none"/>
          <w:lang w:val="en-US" w:eastAsia="zh-CN"/>
        </w:rPr>
        <w:t>25</w:t>
      </w:r>
      <w:r>
        <w:rPr>
          <w:rFonts w:hint="eastAsia" w:ascii="宋体" w:hAnsi="宋体" w:eastAsia="宋体" w:cs="宋体"/>
          <w:color w:val="auto"/>
          <w:sz w:val="24"/>
          <w:szCs w:val="21"/>
          <w:highlight w:val="none"/>
          <w:u w:val="none"/>
        </w:rPr>
        <w:t>）</w:t>
      </w:r>
      <w:r>
        <w:rPr>
          <w:rFonts w:hint="eastAsia" w:cs="宋体"/>
          <w:color w:val="auto"/>
          <w:sz w:val="24"/>
          <w:szCs w:val="21"/>
          <w:highlight w:val="none"/>
          <w:u w:val="none"/>
          <w:lang w:eastAsia="zh-CN"/>
        </w:rPr>
        <w:t>；</w:t>
      </w:r>
    </w:p>
    <w:p w14:paraId="0486A7CE">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lang w:val="en-US" w:eastAsia="zh-CN"/>
        </w:rPr>
        <w:t>(</w:t>
      </w:r>
      <w:r>
        <w:rPr>
          <w:rFonts w:hint="eastAsia" w:ascii="宋体" w:hAnsi="宋体" w:eastAsia="宋体" w:cs="宋体"/>
          <w:color w:val="auto"/>
          <w:sz w:val="24"/>
          <w:szCs w:val="21"/>
          <w:highlight w:val="none"/>
          <w:u w:val="none"/>
        </w:rPr>
        <w:t>5</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sz w:val="24"/>
          <w:szCs w:val="21"/>
          <w:highlight w:val="none"/>
          <w:u w:val="none"/>
        </w:rPr>
        <w:t>《水利水电工程施工质量检验与评定规程》（SL176-2007）</w:t>
      </w:r>
      <w:r>
        <w:rPr>
          <w:rFonts w:hint="eastAsia" w:cs="宋体"/>
          <w:color w:val="auto"/>
          <w:sz w:val="24"/>
          <w:szCs w:val="21"/>
          <w:highlight w:val="none"/>
          <w:u w:val="none"/>
          <w:lang w:eastAsia="zh-CN"/>
        </w:rPr>
        <w:t>；</w:t>
      </w:r>
    </w:p>
    <w:p w14:paraId="382548D4">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rPr>
        <w:t>(6)国家和地方现行的建设工程质量评定标准、设计及施工验收规范</w:t>
      </w:r>
      <w:r>
        <w:rPr>
          <w:rFonts w:hint="eastAsia" w:cs="宋体"/>
          <w:color w:val="auto"/>
          <w:sz w:val="24"/>
          <w:szCs w:val="21"/>
          <w:highlight w:val="none"/>
          <w:u w:val="none"/>
          <w:lang w:eastAsia="zh-CN"/>
        </w:rPr>
        <w:t>；</w:t>
      </w:r>
    </w:p>
    <w:p w14:paraId="2AA16CB7">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rPr>
        <w:t>(7)政府批准的计划立项、规划要点、设计要点及有关文件</w:t>
      </w:r>
      <w:r>
        <w:rPr>
          <w:rFonts w:hint="eastAsia" w:cs="宋体"/>
          <w:color w:val="auto"/>
          <w:sz w:val="24"/>
          <w:szCs w:val="21"/>
          <w:highlight w:val="none"/>
          <w:u w:val="none"/>
          <w:lang w:eastAsia="zh-CN"/>
        </w:rPr>
        <w:t>；</w:t>
      </w:r>
    </w:p>
    <w:p w14:paraId="1C570DB9">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rPr>
        <w:t>(8)经批准的施工图纸及说明，以及经图纸会审确定的修改设计通知书</w:t>
      </w:r>
      <w:r>
        <w:rPr>
          <w:rFonts w:hint="eastAsia" w:cs="宋体"/>
          <w:color w:val="auto"/>
          <w:sz w:val="24"/>
          <w:szCs w:val="21"/>
          <w:highlight w:val="none"/>
          <w:u w:val="none"/>
          <w:lang w:eastAsia="zh-CN"/>
        </w:rPr>
        <w:t>；</w:t>
      </w:r>
    </w:p>
    <w:p w14:paraId="1F819920">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rPr>
        <w:t>(9)本工程的设计、施工、安装、招投标文件及合同</w:t>
      </w:r>
      <w:r>
        <w:rPr>
          <w:rFonts w:hint="eastAsia" w:cs="宋体"/>
          <w:color w:val="auto"/>
          <w:sz w:val="24"/>
          <w:szCs w:val="21"/>
          <w:highlight w:val="none"/>
          <w:u w:val="none"/>
          <w:lang w:eastAsia="zh-CN"/>
        </w:rPr>
        <w:t>；</w:t>
      </w:r>
    </w:p>
    <w:p w14:paraId="378B59C7">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eastAsia="zh-CN"/>
        </w:rPr>
      </w:pPr>
      <w:r>
        <w:rPr>
          <w:rFonts w:hint="eastAsia" w:ascii="宋体" w:hAnsi="宋体" w:eastAsia="宋体" w:cs="宋体"/>
          <w:color w:val="auto"/>
          <w:sz w:val="24"/>
          <w:szCs w:val="21"/>
          <w:highlight w:val="none"/>
          <w:u w:val="none"/>
        </w:rPr>
        <w:t>(10)委托人（建设单位）发出的有关本工程建设的指令</w:t>
      </w:r>
      <w:r>
        <w:rPr>
          <w:rFonts w:hint="eastAsia" w:cs="宋体"/>
          <w:color w:val="auto"/>
          <w:sz w:val="24"/>
          <w:szCs w:val="21"/>
          <w:highlight w:val="none"/>
          <w:u w:val="none"/>
          <w:lang w:eastAsia="zh-CN"/>
        </w:rPr>
        <w:t>；</w:t>
      </w:r>
    </w:p>
    <w:p w14:paraId="05D29D28">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(11)委托人（建设单位）制定的有关本工程建设的规定和办法。</w:t>
      </w:r>
    </w:p>
    <w:p w14:paraId="4896DAEA">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val="en-US" w:eastAsia="zh-CN"/>
        </w:rPr>
      </w:pPr>
      <w:r>
        <w:rPr>
          <w:rFonts w:hint="eastAsia" w:ascii="宋体" w:hAnsi="宋体" w:eastAsia="宋体" w:cs="宋体"/>
          <w:color w:val="auto"/>
          <w:sz w:val="24"/>
          <w:szCs w:val="21"/>
          <w:highlight w:val="none"/>
          <w:u w:val="none"/>
          <w:lang w:val="en-US" w:eastAsia="zh-CN"/>
        </w:rPr>
        <w:t>其中，相关服务依据包括：</w:t>
      </w:r>
    </w:p>
    <w:p w14:paraId="03B92B3F">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color w:val="auto"/>
          <w:sz w:val="24"/>
          <w:szCs w:val="21"/>
          <w:highlight w:val="none"/>
          <w:u w:val="none"/>
          <w:lang w:eastAsia="zh-CN"/>
        </w:rPr>
        <w:t>1</w:t>
      </w:r>
      <w:r>
        <w:rPr>
          <w:rFonts w:hint="eastAsia" w:ascii="宋体" w:hAnsi="宋体" w:eastAsia="宋体" w:cs="宋体"/>
          <w:color w:val="auto"/>
          <w:sz w:val="24"/>
          <w:szCs w:val="21"/>
          <w:highlight w:val="none"/>
          <w:u w:val="none"/>
        </w:rPr>
        <w:t>)监理合同；</w:t>
      </w:r>
    </w:p>
    <w:p w14:paraId="3F8350D3">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color w:val="auto"/>
          <w:sz w:val="24"/>
          <w:szCs w:val="21"/>
          <w:highlight w:val="none"/>
          <w:u w:val="none"/>
          <w:lang w:val="en-US" w:eastAsia="zh-CN"/>
        </w:rPr>
        <w:t>2</w:t>
      </w:r>
      <w:r>
        <w:rPr>
          <w:rFonts w:hint="eastAsia" w:ascii="宋体" w:hAnsi="宋体" w:eastAsia="宋体" w:cs="宋体"/>
          <w:color w:val="auto"/>
          <w:sz w:val="24"/>
          <w:szCs w:val="21"/>
          <w:highlight w:val="none"/>
          <w:u w:val="none"/>
        </w:rPr>
        <w:t>)委托人（建设单位）与第三方签订的有关合同文件；</w:t>
      </w:r>
    </w:p>
    <w:p w14:paraId="4ECA755B">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color w:val="auto"/>
          <w:sz w:val="24"/>
          <w:szCs w:val="21"/>
          <w:highlight w:val="none"/>
          <w:u w:val="none"/>
          <w:lang w:val="en-US" w:eastAsia="zh-CN"/>
        </w:rPr>
        <w:t>3</w:t>
      </w:r>
      <w:r>
        <w:rPr>
          <w:rFonts w:hint="eastAsia" w:ascii="宋体" w:hAnsi="宋体" w:eastAsia="宋体" w:cs="宋体"/>
          <w:color w:val="auto"/>
          <w:sz w:val="24"/>
          <w:szCs w:val="21"/>
          <w:highlight w:val="none"/>
          <w:u w:val="none"/>
        </w:rPr>
        <w:t>)本工程监理实施方案（监理规划、监理细则等），监理管理办法及有关文件；</w:t>
      </w:r>
    </w:p>
    <w:p w14:paraId="6F1F2F0A">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color w:val="auto"/>
          <w:sz w:val="24"/>
          <w:szCs w:val="21"/>
          <w:highlight w:val="none"/>
          <w:u w:val="none"/>
          <w:lang w:val="en-US" w:eastAsia="zh-CN"/>
        </w:rPr>
        <w:t>4</w:t>
      </w:r>
      <w:r>
        <w:rPr>
          <w:rFonts w:hint="eastAsia" w:ascii="宋体" w:hAnsi="宋体" w:eastAsia="宋体" w:cs="宋体"/>
          <w:color w:val="auto"/>
          <w:sz w:val="24"/>
          <w:szCs w:val="21"/>
          <w:highlight w:val="none"/>
          <w:u w:val="none"/>
        </w:rPr>
        <w:t>)合同指定使用的技术规范、工程质量检验评定标准、试验规程等；</w:t>
      </w:r>
    </w:p>
    <w:p w14:paraId="6595A01C">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color w:val="auto"/>
          <w:sz w:val="24"/>
          <w:szCs w:val="21"/>
          <w:highlight w:val="none"/>
          <w:u w:val="none"/>
          <w:lang w:val="en-US" w:eastAsia="zh-CN"/>
        </w:rPr>
        <w:t>5</w:t>
      </w:r>
      <w:r>
        <w:rPr>
          <w:rFonts w:hint="eastAsia" w:ascii="宋体" w:hAnsi="宋体" w:eastAsia="宋体" w:cs="宋体"/>
          <w:color w:val="auto"/>
          <w:sz w:val="24"/>
          <w:szCs w:val="21"/>
          <w:highlight w:val="none"/>
          <w:u w:val="none"/>
        </w:rPr>
        <w:t>)国家、广东省有关部门颁布的有关法律、法规等；</w:t>
      </w:r>
    </w:p>
    <w:p w14:paraId="5F0067C3">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color w:val="auto"/>
          <w:sz w:val="24"/>
          <w:szCs w:val="21"/>
          <w:highlight w:val="none"/>
          <w:u w:val="none"/>
          <w:lang w:val="en-US" w:eastAsia="zh-CN"/>
        </w:rPr>
        <w:t>6</w:t>
      </w:r>
      <w:r>
        <w:rPr>
          <w:rFonts w:hint="eastAsia" w:ascii="宋体" w:hAnsi="宋体" w:eastAsia="宋体" w:cs="宋体"/>
          <w:color w:val="auto"/>
          <w:sz w:val="24"/>
          <w:szCs w:val="21"/>
          <w:highlight w:val="none"/>
          <w:u w:val="none"/>
        </w:rPr>
        <w:t>)本工程实施过程中，委托人（建设单位）与监理人组织召开或参加的有关会议纪要函电及其文字记录，监理工程师批准的各种图纸、指令等；</w:t>
      </w:r>
    </w:p>
    <w:p w14:paraId="7BEB3BFA">
      <w:pPr>
        <w:pStyle w:val="2"/>
        <w:adjustRightInd w:val="0"/>
        <w:snapToGrid w:val="0"/>
        <w:spacing w:line="482" w:lineRule="exact"/>
        <w:ind w:firstLine="480" w:firstLineChars="200"/>
        <w:rPr>
          <w:rFonts w:hint="eastAsia" w:ascii="仿宋" w:hAnsi="仿宋" w:eastAsia="仿宋" w:cs="仿宋"/>
          <w:color w:val="auto"/>
          <w:sz w:val="24"/>
          <w:szCs w:val="24"/>
          <w:highlight w:val="none"/>
          <w:u w:val="single"/>
        </w:rPr>
      </w:pPr>
      <w:r>
        <w:rPr>
          <w:rFonts w:hint="eastAsia" w:ascii="宋体" w:hAnsi="宋体" w:eastAsia="宋体" w:cs="宋体"/>
          <w:color w:val="auto"/>
          <w:sz w:val="24"/>
          <w:szCs w:val="21"/>
          <w:highlight w:val="none"/>
          <w:u w:val="none"/>
        </w:rPr>
        <w:t>(</w:t>
      </w:r>
      <w:r>
        <w:rPr>
          <w:rFonts w:hint="eastAsia" w:ascii="宋体" w:hAnsi="宋体" w:eastAsia="宋体" w:cs="宋体"/>
          <w:color w:val="auto"/>
          <w:sz w:val="24"/>
          <w:szCs w:val="21"/>
          <w:highlight w:val="none"/>
          <w:u w:val="none"/>
          <w:lang w:val="en-US" w:eastAsia="zh-CN"/>
        </w:rPr>
        <w:t>7</w:t>
      </w:r>
      <w:r>
        <w:rPr>
          <w:rFonts w:hint="eastAsia" w:ascii="宋体" w:hAnsi="宋体" w:eastAsia="宋体" w:cs="宋体"/>
          <w:color w:val="auto"/>
          <w:sz w:val="24"/>
          <w:szCs w:val="21"/>
          <w:highlight w:val="none"/>
          <w:u w:val="none"/>
        </w:rPr>
        <w:t>)其它。</w:t>
      </w:r>
    </w:p>
    <w:p w14:paraId="4876397F">
      <w:pPr>
        <w:pStyle w:val="7"/>
        <w:jc w:val="center"/>
        <w:outlineLvl w:val="0"/>
        <w:rPr>
          <w:rFonts w:hint="eastAsia" w:ascii="Arial" w:hAnsi="Arial" w:eastAsia="黑体" w:cs="Times New Roman"/>
          <w:color w:val="auto"/>
          <w:sz w:val="32"/>
          <w:szCs w:val="24"/>
          <w:highlight w:val="none"/>
        </w:rPr>
      </w:pPr>
      <w:bookmarkStart w:id="190" w:name="_Toc23651"/>
      <w:bookmarkStart w:id="191" w:name="_Toc23843"/>
      <w:bookmarkStart w:id="192" w:name="_Toc16553"/>
      <w:bookmarkStart w:id="193" w:name="_Toc18160"/>
      <w:bookmarkStart w:id="194" w:name="_Toc16595"/>
      <w:bookmarkStart w:id="195" w:name="_Toc5109"/>
      <w:bookmarkStart w:id="196" w:name="_Toc28210"/>
      <w:r>
        <w:rPr>
          <w:rFonts w:hint="eastAsia" w:ascii="Arial" w:hAnsi="Arial" w:eastAsia="黑体" w:cs="Times New Roman"/>
          <w:color w:val="auto"/>
          <w:sz w:val="32"/>
          <w:szCs w:val="24"/>
          <w:highlight w:val="none"/>
        </w:rPr>
        <w:t>委托人的权利</w:t>
      </w:r>
      <w:bookmarkEnd w:id="190"/>
      <w:bookmarkEnd w:id="191"/>
      <w:bookmarkEnd w:id="192"/>
      <w:bookmarkEnd w:id="193"/>
      <w:bookmarkEnd w:id="194"/>
      <w:bookmarkEnd w:id="195"/>
      <w:bookmarkEnd w:id="196"/>
    </w:p>
    <w:p w14:paraId="7FBC6746">
      <w:pPr>
        <w:pStyle w:val="2"/>
        <w:adjustRightInd w:val="0"/>
        <w:snapToGrid w:val="0"/>
        <w:spacing w:line="482" w:lineRule="exact"/>
        <w:ind w:firstLine="480" w:firstLineChars="200"/>
        <w:rPr>
          <w:rFonts w:hint="eastAsia" w:ascii="黑体" w:hAnsi="宋体" w:eastAsia="黑体" w:cs="宋体"/>
          <w:color w:val="auto"/>
          <w:highlight w:val="none"/>
        </w:rPr>
      </w:pPr>
      <w:r>
        <w:rPr>
          <w:rFonts w:hint="eastAsia" w:ascii="黑体" w:hAnsi="宋体" w:eastAsia="黑体" w:cs="宋体"/>
          <w:color w:val="auto"/>
          <w:highlight w:val="none"/>
        </w:rPr>
        <w:t>第七条</w:t>
      </w:r>
    </w:p>
    <w:p w14:paraId="14A3A7BC">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五、当监理人发生下列违约情形时，委托人有权解除合同：</w:t>
      </w:r>
    </w:p>
    <w:p w14:paraId="0E003F39">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 w:val="24"/>
          <w:szCs w:val="21"/>
          <w:highlight w:val="none"/>
          <w:u w:val="none"/>
        </w:rPr>
        <w:t>监理人与承包人恶意串通损害委托人利益的</w:t>
      </w:r>
      <w:r>
        <w:rPr>
          <w:rFonts w:hint="eastAsia" w:ascii="宋体" w:hAnsi="宋体" w:eastAsia="宋体" w:cs="宋体"/>
          <w:color w:val="auto"/>
          <w:highlight w:val="none"/>
        </w:rPr>
        <w:t>；</w:t>
      </w:r>
    </w:p>
    <w:p w14:paraId="12A509EC">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 w:val="24"/>
          <w:szCs w:val="21"/>
          <w:highlight w:val="none"/>
          <w:u w:val="none"/>
        </w:rPr>
        <w:t>监理人转包或分包本合同项下的监理服务</w:t>
      </w:r>
      <w:r>
        <w:rPr>
          <w:rFonts w:hint="eastAsia" w:ascii="宋体" w:hAnsi="宋体" w:eastAsia="宋体" w:cs="宋体"/>
          <w:color w:val="auto"/>
          <w:highlight w:val="none"/>
        </w:rPr>
        <w:t>；</w:t>
      </w:r>
    </w:p>
    <w:p w14:paraId="42FC6280">
      <w:pPr>
        <w:pStyle w:val="2"/>
        <w:adjustRightInd w:val="0"/>
        <w:snapToGrid w:val="0"/>
        <w:spacing w:line="482" w:lineRule="exact"/>
        <w:ind w:firstLine="480" w:firstLineChars="200"/>
        <w:rPr>
          <w:rFonts w:hint="eastAsia" w:ascii="宋体" w:hAnsi="宋体" w:eastAsia="宋体" w:cs="宋体"/>
          <w:color w:val="auto"/>
          <w:highlight w:val="none"/>
          <w:u w:val="none"/>
          <w:lang w:eastAsia="zh-CN"/>
        </w:rPr>
      </w:pPr>
      <w:r>
        <w:rPr>
          <w:rFonts w:hint="eastAsia" w:ascii="宋体" w:hAnsi="宋体" w:eastAsia="宋体" w:cs="宋体"/>
          <w:color w:val="auto"/>
          <w:highlight w:val="none"/>
        </w:rPr>
        <w:t>3、</w:t>
      </w:r>
      <w:r>
        <w:rPr>
          <w:rFonts w:hint="eastAsia" w:ascii="宋体" w:hAnsi="宋体" w:eastAsia="宋体" w:cs="宋体"/>
          <w:color w:val="auto"/>
          <w:sz w:val="24"/>
          <w:szCs w:val="21"/>
          <w:highlight w:val="none"/>
          <w:u w:val="none"/>
        </w:rPr>
        <w:t>因监理人原因或过错导致工程发生安全生产事故、质量事故的</w:t>
      </w:r>
      <w:r>
        <w:rPr>
          <w:rFonts w:hint="eastAsia" w:ascii="宋体" w:hAnsi="宋体" w:eastAsia="宋体" w:cs="宋体"/>
          <w:color w:val="auto"/>
          <w:highlight w:val="none"/>
          <w:u w:val="none"/>
          <w:lang w:eastAsia="zh-CN"/>
        </w:rPr>
        <w:t>；</w:t>
      </w:r>
    </w:p>
    <w:p w14:paraId="00D4F678">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val="en-US" w:eastAsia="zh-CN"/>
        </w:rPr>
      </w:pPr>
      <w:r>
        <w:rPr>
          <w:rFonts w:hint="eastAsia" w:ascii="宋体" w:hAnsi="宋体" w:eastAsia="宋体" w:cs="宋体"/>
          <w:color w:val="auto"/>
          <w:highlight w:val="none"/>
          <w:u w:val="none"/>
          <w:lang w:val="en-US" w:eastAsia="zh-CN"/>
        </w:rPr>
        <w:t>4、</w:t>
      </w:r>
      <w:r>
        <w:rPr>
          <w:rFonts w:hint="eastAsia" w:ascii="宋体" w:hAnsi="宋体" w:eastAsia="宋体" w:cs="宋体"/>
          <w:color w:val="auto"/>
          <w:sz w:val="24"/>
          <w:szCs w:val="21"/>
          <w:highlight w:val="none"/>
          <w:u w:val="none"/>
        </w:rPr>
        <w:t>未按合同约定、报价书承诺</w:t>
      </w:r>
      <w:r>
        <w:rPr>
          <w:rFonts w:hint="eastAsia" w:ascii="宋体" w:hAnsi="宋体" w:eastAsia="宋体" w:cs="宋体"/>
          <w:color w:val="auto"/>
          <w:sz w:val="24"/>
          <w:szCs w:val="21"/>
          <w:highlight w:val="none"/>
          <w:u w:val="none"/>
          <w:lang w:eastAsia="zh-CN"/>
        </w:rPr>
        <w:t>；</w:t>
      </w:r>
    </w:p>
    <w:p w14:paraId="3CC8A06D">
      <w:pPr>
        <w:pStyle w:val="2"/>
        <w:adjustRightInd w:val="0"/>
        <w:snapToGrid w:val="0"/>
        <w:spacing w:line="482"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sz w:val="24"/>
          <w:szCs w:val="21"/>
          <w:highlight w:val="none"/>
          <w:u w:val="none"/>
        </w:rPr>
        <w:t>未按旁站方案对相应部位进行旁站；</w:t>
      </w:r>
    </w:p>
    <w:p w14:paraId="48AB84B1">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sz w:val="24"/>
          <w:szCs w:val="21"/>
          <w:highlight w:val="none"/>
          <w:u w:val="none"/>
        </w:rPr>
        <w:t>未按合同约定履行相关职责、义务的。</w:t>
      </w:r>
    </w:p>
    <w:p w14:paraId="399CE404">
      <w:pPr>
        <w:pStyle w:val="2"/>
        <w:adjustRightInd w:val="0"/>
        <w:snapToGrid w:val="0"/>
        <w:spacing w:line="482"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sz w:val="24"/>
          <w:szCs w:val="21"/>
          <w:highlight w:val="none"/>
          <w:u w:val="none"/>
        </w:rPr>
        <w:t>监理人发生本条第1、2、3项情形的，委托人有权立即解除本合同；发生第4、5、6项所约定情形的，委托人有权按专用条款</w:t>
      </w:r>
      <w:r>
        <w:rPr>
          <w:rFonts w:hint="eastAsia" w:ascii="宋体" w:hAnsi="宋体" w:eastAsia="宋体" w:cs="宋体"/>
          <w:color w:val="auto"/>
          <w:sz w:val="24"/>
          <w:szCs w:val="21"/>
          <w:highlight w:val="none"/>
          <w:u w:val="none"/>
          <w:lang w:eastAsia="zh-CN"/>
        </w:rPr>
        <w:t>第四十</w:t>
      </w:r>
      <w:r>
        <w:rPr>
          <w:rFonts w:hint="eastAsia" w:ascii="宋体" w:hAnsi="宋体" w:eastAsia="宋体" w:cs="宋体"/>
          <w:color w:val="auto"/>
          <w:sz w:val="24"/>
          <w:szCs w:val="21"/>
          <w:highlight w:val="none"/>
          <w:u w:val="none"/>
          <w:lang w:val="en-US" w:eastAsia="zh-CN"/>
        </w:rPr>
        <w:t>二条</w:t>
      </w:r>
      <w:r>
        <w:rPr>
          <w:rFonts w:hint="eastAsia" w:ascii="宋体" w:hAnsi="宋体" w:eastAsia="宋体" w:cs="宋体"/>
          <w:color w:val="auto"/>
          <w:sz w:val="24"/>
          <w:szCs w:val="21"/>
          <w:highlight w:val="none"/>
          <w:u w:val="none"/>
        </w:rPr>
        <w:t>规定违约标准执行，并可解除合同。</w:t>
      </w:r>
    </w:p>
    <w:p w14:paraId="43B7A56A">
      <w:pPr>
        <w:pStyle w:val="7"/>
        <w:jc w:val="center"/>
        <w:outlineLvl w:val="0"/>
        <w:rPr>
          <w:rFonts w:hint="eastAsia" w:ascii="Arial" w:hAnsi="Arial" w:eastAsia="黑体" w:cs="Times New Roman"/>
          <w:color w:val="auto"/>
          <w:sz w:val="32"/>
          <w:szCs w:val="24"/>
          <w:highlight w:val="none"/>
        </w:rPr>
      </w:pPr>
      <w:bookmarkStart w:id="197" w:name="_Toc27600"/>
      <w:bookmarkStart w:id="198" w:name="_Toc6542"/>
      <w:bookmarkStart w:id="199" w:name="_Toc4196"/>
      <w:bookmarkStart w:id="200" w:name="_Toc14138"/>
      <w:bookmarkStart w:id="201" w:name="_Toc18890"/>
      <w:bookmarkStart w:id="202" w:name="_Toc28609"/>
      <w:bookmarkStart w:id="203" w:name="_Toc18749"/>
      <w:r>
        <w:rPr>
          <w:rFonts w:hint="eastAsia" w:ascii="Arial" w:hAnsi="Arial" w:eastAsia="黑体" w:cs="Times New Roman"/>
          <w:color w:val="auto"/>
          <w:sz w:val="32"/>
          <w:szCs w:val="24"/>
          <w:highlight w:val="none"/>
        </w:rPr>
        <w:t>监理人的权利</w:t>
      </w:r>
      <w:bookmarkEnd w:id="197"/>
      <w:bookmarkEnd w:id="198"/>
      <w:bookmarkEnd w:id="199"/>
      <w:bookmarkEnd w:id="200"/>
      <w:bookmarkEnd w:id="201"/>
      <w:bookmarkEnd w:id="202"/>
      <w:bookmarkEnd w:id="203"/>
    </w:p>
    <w:p w14:paraId="442A8325">
      <w:pPr>
        <w:pStyle w:val="2"/>
        <w:adjustRightInd w:val="0"/>
        <w:snapToGrid w:val="0"/>
        <w:spacing w:line="482" w:lineRule="exact"/>
        <w:ind w:firstLine="480" w:firstLineChars="200"/>
        <w:rPr>
          <w:rFonts w:hint="eastAsia" w:ascii="黑体" w:hAnsi="宋体" w:eastAsia="黑体" w:cs="宋体"/>
          <w:color w:val="auto"/>
          <w:highlight w:val="none"/>
        </w:rPr>
      </w:pPr>
      <w:r>
        <w:rPr>
          <w:rFonts w:hint="eastAsia" w:ascii="黑体" w:hAnsi="宋体" w:eastAsia="黑体" w:cs="宋体"/>
          <w:color w:val="auto"/>
          <w:highlight w:val="none"/>
        </w:rPr>
        <w:t>第八条</w:t>
      </w:r>
    </w:p>
    <w:p w14:paraId="7386C1EB">
      <w:pPr>
        <w:pStyle w:val="2"/>
        <w:adjustRightInd w:val="0"/>
        <w:snapToGrid w:val="0"/>
        <w:spacing w:line="482" w:lineRule="exact"/>
        <w:ind w:firstLine="480" w:firstLineChars="200"/>
        <w:rPr>
          <w:rFonts w:hint="eastAsia" w:hAnsi="宋体" w:eastAsia="宋体" w:cs="宋体"/>
          <w:color w:val="auto"/>
          <w:highlight w:val="none"/>
          <w:lang w:val="en-US" w:eastAsia="zh-CN"/>
        </w:rPr>
      </w:pPr>
      <w:r>
        <w:rPr>
          <w:rFonts w:hint="eastAsia" w:hAnsi="宋体" w:cs="宋体"/>
          <w:color w:val="auto"/>
          <w:highlight w:val="none"/>
        </w:rPr>
        <w:t>八、当委托人发生下列违约情形时，监理人有权解除合同：</w:t>
      </w:r>
      <w:r>
        <w:rPr>
          <w:rFonts w:hint="eastAsia" w:cs="宋体"/>
          <w:color w:val="auto"/>
          <w:highlight w:val="none"/>
          <w:u w:val="single"/>
          <w:lang w:val="en-US" w:eastAsia="zh-CN"/>
        </w:rPr>
        <w:t>无。</w:t>
      </w:r>
    </w:p>
    <w:p w14:paraId="23E94EEF">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九、委托人赋予监理人的其他权利：</w:t>
      </w:r>
    </w:p>
    <w:p w14:paraId="0E749448">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1、签发工程移交证书（若不授予则删除此款；若授予应约定监理人的具体权限）；</w:t>
      </w:r>
    </w:p>
    <w:p w14:paraId="17BAA992">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hAnsi="宋体" w:cs="宋体"/>
          <w:color w:val="auto"/>
          <w:highlight w:val="none"/>
        </w:rPr>
        <w:t>2、签发保修责任终止证书（若不授予则删除此款；若授予应约定监理人的具体权限）；</w:t>
      </w:r>
    </w:p>
    <w:p w14:paraId="7BCFA7A7">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highlight w:val="none"/>
        </w:rPr>
        <w:t>3、</w:t>
      </w:r>
      <w:r>
        <w:rPr>
          <w:rFonts w:hint="eastAsia" w:ascii="宋体" w:hAnsi="宋体" w:eastAsia="宋体" w:cs="宋体"/>
          <w:color w:val="auto"/>
          <w:sz w:val="24"/>
          <w:szCs w:val="21"/>
          <w:highlight w:val="none"/>
        </w:rPr>
        <w:t>对监理人的授权范围：</w:t>
      </w:r>
      <w:r>
        <w:rPr>
          <w:rFonts w:hint="eastAsia" w:ascii="宋体" w:hAnsi="宋体" w:eastAsia="宋体" w:cs="宋体"/>
          <w:color w:val="auto"/>
          <w:sz w:val="24"/>
          <w:szCs w:val="21"/>
          <w:highlight w:val="none"/>
          <w:u w:val="none"/>
        </w:rPr>
        <w:t>凡涉及工程变更、工程量增减、议价、索赔、处理事故、改变工期、改变技术标准、改变重大施工方案等及一切有关费用的问题，均需与委托人（建设单位）共同商定，报委托人（建设单位）书面批准。委托人将授权监理人，依据有关法律、法规及规范，充分行使其严格控制工程进度、质量、安全和投资，严格工程合同、工程信息管理和协调处理现场有关工程问题的权力。委托人通过监理人下达指令，监督承包人履约行为，承包人所有请求事项由监理人协调并一般均通过监理人接受或提出处理意见（委托人有特别要求和规定的除外）。考虑到本项目时间相对紧张，委托人将采取较为严密的组织管理形式，监理人需投入有别于其他项目的人力、物力进行集中现场管理服务。全员培训是工程管理的重要组成部分，监理人承诺按照工程推进的情况，不间断对监理人员进行培训。为保证工程有序、规范和顺利进行，监理人必须主动支持委托人工作，对委托人的指令和书面通知，若无正当理由又未提前报告、得到认可，而公开或变相拒不执行，由监理人按本合同违约条款的有关约定承担违约责任并赔偿由此给委托人所造成的一切损失。</w:t>
      </w:r>
    </w:p>
    <w:p w14:paraId="1C2646B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在涉及工程延期</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天内和（或）金额</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万元内的变更，监理人不需请示委托人即可向承包人发布变更通知。</w:t>
      </w:r>
    </w:p>
    <w:p w14:paraId="6EEFCF8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监理人有权要求承包人调换其人员的限制条件：</w:t>
      </w:r>
      <w:r>
        <w:rPr>
          <w:rFonts w:hint="eastAsia" w:ascii="宋体" w:hAnsi="宋体" w:eastAsia="宋体" w:cs="宋体"/>
          <w:color w:val="auto"/>
          <w:sz w:val="24"/>
          <w:szCs w:val="21"/>
          <w:highlight w:val="none"/>
          <w:u w:val="none"/>
        </w:rPr>
        <w:t>按承包合同要求</w:t>
      </w:r>
      <w:r>
        <w:rPr>
          <w:rFonts w:hint="eastAsia" w:ascii="宋体" w:hAnsi="宋体" w:eastAsia="宋体" w:cs="宋体"/>
          <w:color w:val="auto"/>
          <w:sz w:val="24"/>
          <w:szCs w:val="21"/>
          <w:highlight w:val="none"/>
        </w:rPr>
        <w:t>。</w:t>
      </w:r>
    </w:p>
    <w:p w14:paraId="0851D61C">
      <w:pPr>
        <w:pStyle w:val="2"/>
        <w:numPr>
          <w:ilvl w:val="0"/>
          <w:numId w:val="2"/>
        </w:numPr>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rPr>
        <w:t>监理人应提交报告的种类(</w:t>
      </w:r>
      <w:r>
        <w:rPr>
          <w:rFonts w:hint="eastAsia" w:ascii="宋体" w:hAnsi="宋体" w:eastAsia="宋体" w:cs="宋体"/>
          <w:color w:val="auto"/>
          <w:kern w:val="2"/>
          <w:sz w:val="24"/>
          <w:szCs w:val="21"/>
          <w:highlight w:val="none"/>
        </w:rPr>
        <w:t>包括监理规划、监理月报及约定的专项报告)</w:t>
      </w:r>
      <w:r>
        <w:rPr>
          <w:rFonts w:hint="eastAsia" w:ascii="宋体" w:hAnsi="宋体" w:eastAsia="宋体" w:cs="宋体"/>
          <w:color w:val="auto"/>
          <w:sz w:val="24"/>
          <w:szCs w:val="21"/>
          <w:highlight w:val="none"/>
        </w:rPr>
        <w:t>、时间和份数</w:t>
      </w:r>
      <w:r>
        <w:rPr>
          <w:rFonts w:hint="eastAsia" w:ascii="宋体" w:hAnsi="宋体" w:eastAsia="宋体" w:cs="宋体"/>
          <w:color w:val="auto"/>
          <w:kern w:val="2"/>
          <w:sz w:val="24"/>
          <w:szCs w:val="21"/>
          <w:highlight w:val="none"/>
        </w:rPr>
        <w:t>：</w:t>
      </w:r>
      <w:r>
        <w:rPr>
          <w:rFonts w:hint="eastAsia" w:ascii="宋体" w:hAnsi="宋体" w:eastAsia="宋体" w:cs="宋体"/>
          <w:color w:val="auto"/>
          <w:sz w:val="24"/>
          <w:szCs w:val="21"/>
          <w:highlight w:val="none"/>
          <w:u w:val="none"/>
        </w:rPr>
        <w:t>监理工程师每天需向委托人（建设单位）简报当天项目质量、安全、进度、施工人员及材料投入情况；每月30日前提交监理月度报告及监理业务范围内的专项报告，每月1 份。</w:t>
      </w:r>
    </w:p>
    <w:p w14:paraId="6B6B2CFD">
      <w:pPr>
        <w:pStyle w:val="2"/>
        <w:numPr>
          <w:ilvl w:val="0"/>
          <w:numId w:val="2"/>
        </w:numPr>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1"/>
          <w:highlight w:val="none"/>
        </w:rPr>
        <w:t>使用委托人的财产</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由委托人无偿提供的房屋、设备的所有权属于：</w:t>
      </w:r>
      <w:r>
        <w:rPr>
          <w:rFonts w:hint="eastAsia" w:ascii="宋体" w:hAnsi="宋体" w:eastAsia="宋体" w:cs="宋体"/>
          <w:color w:val="auto"/>
          <w:sz w:val="24"/>
          <w:szCs w:val="21"/>
          <w:highlight w:val="none"/>
          <w:u w:val="single"/>
        </w:rPr>
        <w:t xml:space="preserve"> 委托人 </w:t>
      </w:r>
      <w:r>
        <w:rPr>
          <w:rFonts w:hint="eastAsia" w:ascii="宋体" w:hAnsi="宋体" w:eastAsia="宋体" w:cs="宋体"/>
          <w:color w:val="auto"/>
          <w:sz w:val="24"/>
          <w:szCs w:val="21"/>
          <w:highlight w:val="none"/>
        </w:rPr>
        <w:t>。监理人应在本合同终止后</w:t>
      </w:r>
      <w:r>
        <w:rPr>
          <w:rFonts w:hint="eastAsia" w:ascii="宋体" w:hAnsi="宋体" w:eastAsia="宋体" w:cs="宋体"/>
          <w:color w:val="auto"/>
          <w:sz w:val="24"/>
          <w:szCs w:val="21"/>
          <w:highlight w:val="none"/>
          <w:u w:val="single"/>
        </w:rPr>
        <w:t xml:space="preserve"> 7 </w:t>
      </w:r>
      <w:r>
        <w:rPr>
          <w:rFonts w:hint="eastAsia" w:ascii="宋体" w:hAnsi="宋体" w:eastAsia="宋体" w:cs="宋体"/>
          <w:color w:val="auto"/>
          <w:sz w:val="24"/>
          <w:szCs w:val="21"/>
          <w:highlight w:val="none"/>
        </w:rPr>
        <w:t>天内移交委托人无偿提供的房屋、设备，移交的时间和方式为：</w:t>
      </w:r>
      <w:r>
        <w:rPr>
          <w:rFonts w:hint="eastAsia" w:ascii="宋体" w:hAnsi="宋体" w:eastAsia="宋体" w:cs="宋体"/>
          <w:color w:val="auto"/>
          <w:sz w:val="24"/>
          <w:szCs w:val="21"/>
          <w:highlight w:val="none"/>
          <w:u w:val="single"/>
        </w:rPr>
        <w:t xml:space="preserve"> 现场移交 </w:t>
      </w:r>
      <w:r>
        <w:rPr>
          <w:rFonts w:hint="eastAsia" w:ascii="宋体" w:hAnsi="宋体" w:eastAsia="宋体" w:cs="宋体"/>
          <w:color w:val="auto"/>
          <w:sz w:val="24"/>
          <w:szCs w:val="21"/>
          <w:highlight w:val="none"/>
        </w:rPr>
        <w:t>。</w:t>
      </w:r>
    </w:p>
    <w:p w14:paraId="74F2D280">
      <w:pPr>
        <w:pStyle w:val="2"/>
        <w:numPr>
          <w:ilvl w:val="0"/>
          <w:numId w:val="2"/>
        </w:numPr>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1"/>
          <w:highlight w:val="none"/>
        </w:rPr>
        <w:t>履约担保</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委托人不需要监理人出具履约保函；</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委托人不需要监理人出具履约保证保险；</w:t>
      </w:r>
    </w:p>
    <w:p w14:paraId="79707D8D">
      <w:pPr>
        <w:pStyle w:val="7"/>
        <w:jc w:val="center"/>
        <w:outlineLvl w:val="0"/>
        <w:rPr>
          <w:rFonts w:hint="eastAsia" w:ascii="Arial" w:hAnsi="Arial" w:eastAsia="黑体" w:cs="Times New Roman"/>
          <w:color w:val="auto"/>
          <w:sz w:val="32"/>
          <w:szCs w:val="24"/>
          <w:highlight w:val="none"/>
        </w:rPr>
      </w:pPr>
      <w:bookmarkStart w:id="204" w:name="_Toc15745"/>
      <w:bookmarkStart w:id="205" w:name="_Toc1670"/>
      <w:bookmarkStart w:id="206" w:name="_Toc12441"/>
      <w:bookmarkStart w:id="207" w:name="_Toc1937"/>
      <w:bookmarkStart w:id="208" w:name="_Toc19737"/>
      <w:bookmarkStart w:id="209" w:name="_Toc390"/>
      <w:bookmarkStart w:id="210" w:name="_Toc26481"/>
      <w:r>
        <w:rPr>
          <w:rFonts w:hint="eastAsia" w:ascii="Arial" w:hAnsi="Arial" w:eastAsia="黑体" w:cs="Times New Roman"/>
          <w:color w:val="auto"/>
          <w:sz w:val="32"/>
          <w:szCs w:val="24"/>
          <w:highlight w:val="none"/>
        </w:rPr>
        <w:t>委托人的义务</w:t>
      </w:r>
      <w:bookmarkEnd w:id="204"/>
      <w:bookmarkEnd w:id="205"/>
      <w:bookmarkEnd w:id="206"/>
      <w:bookmarkEnd w:id="207"/>
      <w:bookmarkEnd w:id="208"/>
      <w:bookmarkEnd w:id="209"/>
      <w:bookmarkEnd w:id="210"/>
    </w:p>
    <w:p w14:paraId="672EA3B7">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第十条 </w:t>
      </w:r>
      <w:r>
        <w:rPr>
          <w:rFonts w:hint="eastAsia" w:hAnsi="宋体" w:cs="宋体"/>
          <w:color w:val="auto"/>
          <w:highlight w:val="none"/>
        </w:rPr>
        <w:t xml:space="preserve"> 委托人向监理机构免费提供的资料为：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2352"/>
        <w:gridCol w:w="609"/>
        <w:gridCol w:w="2415"/>
        <w:gridCol w:w="1838"/>
        <w:gridCol w:w="1839"/>
      </w:tblGrid>
      <w:tr w14:paraId="3675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top"/>
          </w:tcPr>
          <w:p w14:paraId="0941F447">
            <w:pPr>
              <w:pStyle w:val="2"/>
              <w:adjustRightInd w:val="0"/>
              <w:snapToGrid w:val="0"/>
              <w:spacing w:line="400" w:lineRule="exact"/>
              <w:jc w:val="center"/>
              <w:rPr>
                <w:rFonts w:hint="eastAsia" w:hAnsi="宋体" w:cs="宋体"/>
                <w:color w:val="auto"/>
                <w:highlight w:val="none"/>
              </w:rPr>
            </w:pPr>
            <w:r>
              <w:rPr>
                <w:rFonts w:hint="eastAsia" w:hAnsi="宋体" w:cs="宋体"/>
                <w:color w:val="auto"/>
                <w:highlight w:val="none"/>
              </w:rPr>
              <w:t>序号</w:t>
            </w:r>
          </w:p>
        </w:tc>
        <w:tc>
          <w:tcPr>
            <w:tcW w:w="2352" w:type="dxa"/>
            <w:noWrap w:val="0"/>
            <w:vAlign w:val="top"/>
          </w:tcPr>
          <w:p w14:paraId="529FD19D">
            <w:pPr>
              <w:pStyle w:val="2"/>
              <w:adjustRightInd w:val="0"/>
              <w:snapToGrid w:val="0"/>
              <w:spacing w:line="400" w:lineRule="exact"/>
              <w:jc w:val="center"/>
              <w:rPr>
                <w:rFonts w:hint="eastAsia" w:hAnsi="宋体" w:cs="宋体"/>
                <w:color w:val="auto"/>
                <w:highlight w:val="none"/>
              </w:rPr>
            </w:pPr>
            <w:r>
              <w:rPr>
                <w:rFonts w:hint="eastAsia" w:hAnsi="宋体" w:cs="宋体"/>
                <w:color w:val="auto"/>
                <w:highlight w:val="none"/>
              </w:rPr>
              <w:t>资料名称</w:t>
            </w:r>
          </w:p>
        </w:tc>
        <w:tc>
          <w:tcPr>
            <w:tcW w:w="609" w:type="dxa"/>
            <w:noWrap w:val="0"/>
            <w:vAlign w:val="top"/>
          </w:tcPr>
          <w:p w14:paraId="51208326">
            <w:pPr>
              <w:pStyle w:val="2"/>
              <w:adjustRightInd w:val="0"/>
              <w:snapToGrid w:val="0"/>
              <w:spacing w:line="400" w:lineRule="exact"/>
              <w:jc w:val="center"/>
              <w:rPr>
                <w:rFonts w:hint="eastAsia" w:hAnsi="宋体" w:cs="宋体"/>
                <w:color w:val="auto"/>
                <w:highlight w:val="none"/>
              </w:rPr>
            </w:pPr>
            <w:r>
              <w:rPr>
                <w:rFonts w:hint="eastAsia" w:hAnsi="宋体" w:cs="宋体"/>
                <w:color w:val="auto"/>
                <w:highlight w:val="none"/>
              </w:rPr>
              <w:t>份数</w:t>
            </w:r>
          </w:p>
        </w:tc>
        <w:tc>
          <w:tcPr>
            <w:tcW w:w="2415" w:type="dxa"/>
            <w:noWrap w:val="0"/>
            <w:vAlign w:val="top"/>
          </w:tcPr>
          <w:p w14:paraId="65E65A77">
            <w:pPr>
              <w:pStyle w:val="2"/>
              <w:adjustRightInd w:val="0"/>
              <w:snapToGrid w:val="0"/>
              <w:spacing w:line="400" w:lineRule="exact"/>
              <w:jc w:val="center"/>
              <w:rPr>
                <w:rFonts w:hint="eastAsia" w:hAnsi="宋体" w:cs="宋体"/>
                <w:color w:val="auto"/>
                <w:highlight w:val="none"/>
              </w:rPr>
            </w:pPr>
            <w:r>
              <w:rPr>
                <w:rFonts w:hint="eastAsia" w:hAnsi="宋体" w:cs="宋体"/>
                <w:color w:val="auto"/>
                <w:highlight w:val="none"/>
              </w:rPr>
              <w:t>提供时间</w:t>
            </w:r>
          </w:p>
        </w:tc>
        <w:tc>
          <w:tcPr>
            <w:tcW w:w="1838" w:type="dxa"/>
            <w:noWrap w:val="0"/>
            <w:vAlign w:val="top"/>
          </w:tcPr>
          <w:p w14:paraId="1901A196">
            <w:pPr>
              <w:pStyle w:val="2"/>
              <w:adjustRightInd w:val="0"/>
              <w:snapToGrid w:val="0"/>
              <w:spacing w:line="400" w:lineRule="exact"/>
              <w:jc w:val="center"/>
              <w:rPr>
                <w:rFonts w:hint="eastAsia" w:hAnsi="宋体" w:cs="宋体"/>
                <w:color w:val="auto"/>
                <w:highlight w:val="none"/>
              </w:rPr>
            </w:pPr>
            <w:r>
              <w:rPr>
                <w:rFonts w:hint="eastAsia" w:hAnsi="宋体" w:cs="宋体"/>
                <w:color w:val="auto"/>
                <w:highlight w:val="none"/>
              </w:rPr>
              <w:t>收回时间</w:t>
            </w:r>
          </w:p>
        </w:tc>
        <w:tc>
          <w:tcPr>
            <w:tcW w:w="1839" w:type="dxa"/>
            <w:noWrap w:val="0"/>
            <w:vAlign w:val="top"/>
          </w:tcPr>
          <w:p w14:paraId="2D37B44B">
            <w:pPr>
              <w:pStyle w:val="2"/>
              <w:adjustRightInd w:val="0"/>
              <w:snapToGrid w:val="0"/>
              <w:spacing w:line="400" w:lineRule="exact"/>
              <w:jc w:val="center"/>
              <w:rPr>
                <w:rFonts w:hint="eastAsia" w:hAnsi="宋体" w:cs="宋体"/>
                <w:color w:val="auto"/>
                <w:highlight w:val="none"/>
              </w:rPr>
            </w:pPr>
            <w:r>
              <w:rPr>
                <w:rFonts w:hint="eastAsia" w:hAnsi="宋体" w:cs="宋体"/>
                <w:color w:val="auto"/>
                <w:highlight w:val="none"/>
              </w:rPr>
              <w:t>保存和保密要求</w:t>
            </w:r>
          </w:p>
        </w:tc>
      </w:tr>
      <w:tr w14:paraId="55C7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top"/>
          </w:tcPr>
          <w:p w14:paraId="35F0A619">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1</w:t>
            </w:r>
          </w:p>
        </w:tc>
        <w:tc>
          <w:tcPr>
            <w:tcW w:w="2352" w:type="dxa"/>
            <w:noWrap w:val="0"/>
            <w:vAlign w:val="top"/>
          </w:tcPr>
          <w:p w14:paraId="7173D6B5">
            <w:pPr>
              <w:pStyle w:val="2"/>
              <w:adjustRightInd w:val="0"/>
              <w:snapToGrid w:val="0"/>
              <w:spacing w:line="400" w:lineRule="exact"/>
              <w:jc w:val="center"/>
              <w:rPr>
                <w:rFonts w:hint="default" w:hAnsi="宋体" w:eastAsia="宋体" w:cs="宋体"/>
                <w:color w:val="auto"/>
                <w:highlight w:val="none"/>
                <w:lang w:val="en-US" w:eastAsia="zh-CN"/>
              </w:rPr>
            </w:pPr>
            <w:r>
              <w:rPr>
                <w:rFonts w:hint="eastAsia" w:cs="宋体"/>
                <w:color w:val="auto"/>
                <w:highlight w:val="none"/>
                <w:lang w:val="en-US" w:eastAsia="zh-CN"/>
              </w:rPr>
              <w:t>施工合同</w:t>
            </w:r>
          </w:p>
        </w:tc>
        <w:tc>
          <w:tcPr>
            <w:tcW w:w="609" w:type="dxa"/>
            <w:noWrap w:val="0"/>
            <w:vAlign w:val="top"/>
          </w:tcPr>
          <w:p w14:paraId="654940E0">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1</w:t>
            </w:r>
          </w:p>
        </w:tc>
        <w:tc>
          <w:tcPr>
            <w:tcW w:w="2415" w:type="dxa"/>
            <w:noWrap w:val="0"/>
            <w:vAlign w:val="top"/>
          </w:tcPr>
          <w:p w14:paraId="2CE7D17B">
            <w:pPr>
              <w:pStyle w:val="2"/>
              <w:adjustRightInd w:val="0"/>
              <w:snapToGrid w:val="0"/>
              <w:spacing w:line="400" w:lineRule="exact"/>
              <w:jc w:val="center"/>
              <w:rPr>
                <w:rFonts w:hint="default" w:hAnsi="宋体" w:eastAsia="宋体" w:cs="宋体"/>
                <w:color w:val="auto"/>
                <w:highlight w:val="none"/>
                <w:lang w:val="en-US" w:eastAsia="zh-CN"/>
              </w:rPr>
            </w:pPr>
            <w:r>
              <w:rPr>
                <w:rFonts w:hint="eastAsia" w:cs="宋体"/>
                <w:color w:val="auto"/>
                <w:highlight w:val="none"/>
                <w:lang w:val="en-US" w:eastAsia="zh-CN"/>
              </w:rPr>
              <w:t>签订合同三天内</w:t>
            </w:r>
          </w:p>
        </w:tc>
        <w:tc>
          <w:tcPr>
            <w:tcW w:w="1838" w:type="dxa"/>
            <w:noWrap w:val="0"/>
            <w:vAlign w:val="top"/>
          </w:tcPr>
          <w:p w14:paraId="4AB3A208">
            <w:pPr>
              <w:pStyle w:val="2"/>
              <w:adjustRightInd w:val="0"/>
              <w:snapToGrid w:val="0"/>
              <w:spacing w:line="400" w:lineRule="exact"/>
              <w:jc w:val="center"/>
              <w:rPr>
                <w:rFonts w:hint="default" w:hAnsi="宋体" w:eastAsia="宋体" w:cs="宋体"/>
                <w:color w:val="auto"/>
                <w:highlight w:val="none"/>
                <w:lang w:val="en-US" w:eastAsia="zh-CN"/>
              </w:rPr>
            </w:pPr>
            <w:r>
              <w:rPr>
                <w:rFonts w:hint="eastAsia" w:cs="宋体"/>
                <w:color w:val="auto"/>
                <w:highlight w:val="none"/>
                <w:lang w:val="en-US" w:eastAsia="zh-CN"/>
              </w:rPr>
              <w:t>合同工程验收</w:t>
            </w:r>
          </w:p>
        </w:tc>
        <w:tc>
          <w:tcPr>
            <w:tcW w:w="1839" w:type="dxa"/>
            <w:noWrap w:val="0"/>
            <w:vAlign w:val="top"/>
          </w:tcPr>
          <w:p w14:paraId="7E253A63">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永久</w:t>
            </w:r>
          </w:p>
        </w:tc>
      </w:tr>
      <w:tr w14:paraId="13EB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top"/>
          </w:tcPr>
          <w:p w14:paraId="071D8583">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2</w:t>
            </w:r>
          </w:p>
        </w:tc>
        <w:tc>
          <w:tcPr>
            <w:tcW w:w="2352" w:type="dxa"/>
            <w:noWrap w:val="0"/>
            <w:vAlign w:val="top"/>
          </w:tcPr>
          <w:p w14:paraId="43C07693">
            <w:pPr>
              <w:pStyle w:val="2"/>
              <w:adjustRightInd w:val="0"/>
              <w:snapToGrid w:val="0"/>
              <w:spacing w:line="400" w:lineRule="exact"/>
              <w:jc w:val="center"/>
              <w:rPr>
                <w:rFonts w:hint="default" w:hAnsi="宋体" w:eastAsia="宋体" w:cs="宋体"/>
                <w:color w:val="auto"/>
                <w:highlight w:val="none"/>
                <w:lang w:val="en-US" w:eastAsia="zh-CN"/>
              </w:rPr>
            </w:pPr>
            <w:r>
              <w:rPr>
                <w:rFonts w:hint="eastAsia" w:cs="宋体"/>
                <w:color w:val="auto"/>
                <w:highlight w:val="none"/>
                <w:lang w:val="en-US" w:eastAsia="zh-CN"/>
              </w:rPr>
              <w:t>招标图纸及施工图纸</w:t>
            </w:r>
          </w:p>
        </w:tc>
        <w:tc>
          <w:tcPr>
            <w:tcW w:w="609" w:type="dxa"/>
            <w:noWrap w:val="0"/>
            <w:vAlign w:val="top"/>
          </w:tcPr>
          <w:p w14:paraId="7D58F009">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1</w:t>
            </w:r>
          </w:p>
        </w:tc>
        <w:tc>
          <w:tcPr>
            <w:tcW w:w="2415" w:type="dxa"/>
            <w:noWrap w:val="0"/>
            <w:vAlign w:val="top"/>
          </w:tcPr>
          <w:p w14:paraId="33CB669D">
            <w:pPr>
              <w:pStyle w:val="2"/>
              <w:adjustRightInd w:val="0"/>
              <w:snapToGrid w:val="0"/>
              <w:spacing w:line="400" w:lineRule="exact"/>
              <w:jc w:val="center"/>
              <w:rPr>
                <w:rFonts w:hint="eastAsia" w:hAnsi="宋体" w:cs="宋体"/>
                <w:color w:val="auto"/>
                <w:highlight w:val="none"/>
              </w:rPr>
            </w:pPr>
            <w:r>
              <w:rPr>
                <w:rFonts w:hint="eastAsia" w:cs="宋体"/>
                <w:color w:val="auto"/>
                <w:highlight w:val="none"/>
                <w:lang w:val="en-US" w:eastAsia="zh-CN"/>
              </w:rPr>
              <w:t>签订合同三天内</w:t>
            </w:r>
          </w:p>
        </w:tc>
        <w:tc>
          <w:tcPr>
            <w:tcW w:w="1838" w:type="dxa"/>
            <w:noWrap w:val="0"/>
            <w:vAlign w:val="top"/>
          </w:tcPr>
          <w:p w14:paraId="248990AE">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无</w:t>
            </w:r>
          </w:p>
        </w:tc>
        <w:tc>
          <w:tcPr>
            <w:tcW w:w="1839" w:type="dxa"/>
            <w:noWrap w:val="0"/>
            <w:vAlign w:val="top"/>
          </w:tcPr>
          <w:p w14:paraId="6C123C5B">
            <w:pPr>
              <w:pStyle w:val="2"/>
              <w:adjustRightInd w:val="0"/>
              <w:snapToGrid w:val="0"/>
              <w:spacing w:line="400" w:lineRule="exact"/>
              <w:jc w:val="center"/>
              <w:rPr>
                <w:rFonts w:hint="eastAsia" w:hAnsi="宋体" w:cs="宋体"/>
                <w:color w:val="auto"/>
                <w:highlight w:val="none"/>
              </w:rPr>
            </w:pPr>
            <w:r>
              <w:rPr>
                <w:rFonts w:hint="eastAsia" w:cs="宋体"/>
                <w:color w:val="auto"/>
                <w:highlight w:val="none"/>
                <w:lang w:val="en-US" w:eastAsia="zh-CN"/>
              </w:rPr>
              <w:t>永久</w:t>
            </w:r>
          </w:p>
        </w:tc>
      </w:tr>
      <w:tr w14:paraId="26D3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top"/>
          </w:tcPr>
          <w:p w14:paraId="608F4E3E">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3</w:t>
            </w:r>
          </w:p>
        </w:tc>
        <w:tc>
          <w:tcPr>
            <w:tcW w:w="2352" w:type="dxa"/>
            <w:noWrap w:val="0"/>
            <w:vAlign w:val="top"/>
          </w:tcPr>
          <w:p w14:paraId="38F7FF36">
            <w:pPr>
              <w:pStyle w:val="2"/>
              <w:adjustRightInd w:val="0"/>
              <w:snapToGrid w:val="0"/>
              <w:spacing w:line="400" w:lineRule="exact"/>
              <w:jc w:val="center"/>
              <w:rPr>
                <w:rFonts w:hint="default" w:hAnsi="宋体" w:eastAsia="宋体" w:cs="宋体"/>
                <w:color w:val="auto"/>
                <w:highlight w:val="none"/>
                <w:lang w:val="en-US" w:eastAsia="zh-CN"/>
              </w:rPr>
            </w:pPr>
            <w:r>
              <w:rPr>
                <w:rFonts w:hint="eastAsia" w:cs="宋体"/>
                <w:color w:val="auto"/>
                <w:highlight w:val="none"/>
                <w:lang w:val="en-US" w:eastAsia="zh-CN"/>
              </w:rPr>
              <w:t>投标工程量清单</w:t>
            </w:r>
          </w:p>
        </w:tc>
        <w:tc>
          <w:tcPr>
            <w:tcW w:w="609" w:type="dxa"/>
            <w:noWrap w:val="0"/>
            <w:vAlign w:val="top"/>
          </w:tcPr>
          <w:p w14:paraId="0487A662">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1</w:t>
            </w:r>
          </w:p>
        </w:tc>
        <w:tc>
          <w:tcPr>
            <w:tcW w:w="2415" w:type="dxa"/>
            <w:noWrap w:val="0"/>
            <w:vAlign w:val="top"/>
          </w:tcPr>
          <w:p w14:paraId="1CEF0FA3">
            <w:pPr>
              <w:pStyle w:val="2"/>
              <w:adjustRightInd w:val="0"/>
              <w:snapToGrid w:val="0"/>
              <w:spacing w:line="400" w:lineRule="exact"/>
              <w:jc w:val="center"/>
              <w:rPr>
                <w:rFonts w:hint="eastAsia" w:hAnsi="宋体" w:cs="宋体"/>
                <w:color w:val="auto"/>
                <w:highlight w:val="none"/>
              </w:rPr>
            </w:pPr>
            <w:r>
              <w:rPr>
                <w:rFonts w:hint="eastAsia" w:cs="宋体"/>
                <w:color w:val="auto"/>
                <w:highlight w:val="none"/>
                <w:lang w:val="en-US" w:eastAsia="zh-CN"/>
              </w:rPr>
              <w:t>签订合同三天内</w:t>
            </w:r>
          </w:p>
        </w:tc>
        <w:tc>
          <w:tcPr>
            <w:tcW w:w="1838" w:type="dxa"/>
            <w:noWrap w:val="0"/>
            <w:vAlign w:val="top"/>
          </w:tcPr>
          <w:p w14:paraId="15E4D5AA">
            <w:pPr>
              <w:pStyle w:val="2"/>
              <w:adjustRightInd w:val="0"/>
              <w:snapToGrid w:val="0"/>
              <w:spacing w:line="400" w:lineRule="exact"/>
              <w:jc w:val="center"/>
              <w:rPr>
                <w:rFonts w:hint="eastAsia" w:hAnsi="宋体" w:eastAsia="宋体" w:cs="宋体"/>
                <w:color w:val="auto"/>
                <w:highlight w:val="none"/>
                <w:lang w:val="en-US" w:eastAsia="zh-CN"/>
              </w:rPr>
            </w:pPr>
            <w:r>
              <w:rPr>
                <w:rFonts w:hint="eastAsia" w:cs="宋体"/>
                <w:color w:val="auto"/>
                <w:highlight w:val="none"/>
                <w:lang w:val="en-US" w:eastAsia="zh-CN"/>
              </w:rPr>
              <w:t>无</w:t>
            </w:r>
          </w:p>
        </w:tc>
        <w:tc>
          <w:tcPr>
            <w:tcW w:w="1839" w:type="dxa"/>
            <w:noWrap w:val="0"/>
            <w:vAlign w:val="top"/>
          </w:tcPr>
          <w:p w14:paraId="79AB8E45">
            <w:pPr>
              <w:pStyle w:val="2"/>
              <w:adjustRightInd w:val="0"/>
              <w:snapToGrid w:val="0"/>
              <w:spacing w:line="400" w:lineRule="exact"/>
              <w:jc w:val="center"/>
              <w:rPr>
                <w:rFonts w:hint="eastAsia" w:hAnsi="宋体" w:cs="宋体"/>
                <w:color w:val="auto"/>
                <w:highlight w:val="none"/>
              </w:rPr>
            </w:pPr>
            <w:r>
              <w:rPr>
                <w:rFonts w:hint="eastAsia" w:cs="宋体"/>
                <w:color w:val="auto"/>
                <w:highlight w:val="none"/>
                <w:lang w:val="en-US" w:eastAsia="zh-CN"/>
              </w:rPr>
              <w:t>永久</w:t>
            </w:r>
          </w:p>
        </w:tc>
      </w:tr>
    </w:tbl>
    <w:p w14:paraId="5B835498">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bookmarkStart w:id="211" w:name="_Toc71713816"/>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rPr>
        <w:t>委托人代表</w:t>
      </w:r>
      <w:bookmarkEnd w:id="211"/>
    </w:p>
    <w:p w14:paraId="4E0236D3">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rPr>
        <w:t>委托人代表为：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w:t>
      </w:r>
    </w:p>
    <w:p w14:paraId="524918B3">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bookmarkStart w:id="212" w:name="_Toc71713817"/>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答复</w:t>
      </w:r>
      <w:bookmarkEnd w:id="212"/>
    </w:p>
    <w:p w14:paraId="7330CB1B">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委托人同意在</w:t>
      </w:r>
      <w:r>
        <w:rPr>
          <w:rFonts w:hint="eastAsia" w:ascii="宋体" w:hAnsi="宋体" w:eastAsia="宋体" w:cs="宋体"/>
          <w:color w:val="auto"/>
          <w:sz w:val="24"/>
          <w:szCs w:val="21"/>
          <w:highlight w:val="none"/>
          <w:u w:val="none"/>
        </w:rPr>
        <w:t>7</w:t>
      </w:r>
      <w:r>
        <w:rPr>
          <w:rFonts w:hint="eastAsia" w:ascii="宋体" w:hAnsi="宋体" w:eastAsia="宋体" w:cs="宋体"/>
          <w:color w:val="auto"/>
          <w:sz w:val="24"/>
          <w:szCs w:val="21"/>
          <w:highlight w:val="none"/>
        </w:rPr>
        <w:t>天内，对监理人书面提交并要求做出决定的事宜给予书面答复。</w:t>
      </w:r>
    </w:p>
    <w:p w14:paraId="2EFDF814">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bookmarkStart w:id="213" w:name="_Toc71713818"/>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支付担保</w:t>
      </w:r>
      <w:bookmarkEnd w:id="213"/>
    </w:p>
    <w:p w14:paraId="09C43080">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委托人不需要出具支付保函；</w:t>
      </w:r>
    </w:p>
    <w:p w14:paraId="2CA1BB18">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委托人不需要出具支付保证保险</w:t>
      </w:r>
      <w:r>
        <w:rPr>
          <w:rFonts w:hint="eastAsia" w:cs="宋体"/>
          <w:color w:val="auto"/>
          <w:sz w:val="24"/>
          <w:szCs w:val="21"/>
          <w:highlight w:val="none"/>
          <w:lang w:eastAsia="zh-CN"/>
        </w:rPr>
        <w:t>。</w:t>
      </w:r>
    </w:p>
    <w:p w14:paraId="46FC14BE">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第十一条 </w:t>
      </w:r>
      <w:r>
        <w:rPr>
          <w:rFonts w:hint="eastAsia" w:hAnsi="宋体" w:cs="宋体"/>
          <w:color w:val="auto"/>
          <w:highlight w:val="none"/>
        </w:rPr>
        <w:t xml:space="preserve"> </w:t>
      </w:r>
      <w:r>
        <w:rPr>
          <w:rFonts w:hint="eastAsia" w:cs="宋体"/>
          <w:color w:val="auto"/>
          <w:highlight w:val="none"/>
          <w:lang w:val="en-US" w:eastAsia="zh-CN"/>
        </w:rPr>
        <w:t>保留原文，增加：</w:t>
      </w:r>
      <w:r>
        <w:rPr>
          <w:rFonts w:hint="eastAsia" w:hAnsi="宋体" w:cs="宋体"/>
          <w:color w:val="auto"/>
          <w:highlight w:val="none"/>
        </w:rPr>
        <w:t>委托人对监理机构书面提交并要求作出决定的事宜作出书面决定并送达的时限：一般文件</w:t>
      </w:r>
      <w:r>
        <w:rPr>
          <w:rFonts w:hint="eastAsia" w:hAnsi="宋体" w:cs="宋体"/>
          <w:color w:val="auto"/>
          <w:highlight w:val="none"/>
          <w:u w:val="single"/>
        </w:rPr>
        <w:t xml:space="preserve"> </w:t>
      </w:r>
      <w:r>
        <w:rPr>
          <w:rFonts w:hint="eastAsia" w:cs="宋体"/>
          <w:color w:val="auto"/>
          <w:highlight w:val="none"/>
          <w:u w:val="single"/>
          <w:lang w:val="en-US" w:eastAsia="zh-CN"/>
        </w:rPr>
        <w:t>7</w:t>
      </w:r>
      <w:r>
        <w:rPr>
          <w:rFonts w:hint="eastAsia" w:hAnsi="宋体" w:cs="宋体"/>
          <w:color w:val="auto"/>
          <w:highlight w:val="none"/>
          <w:u w:val="single"/>
        </w:rPr>
        <w:t xml:space="preserve"> </w:t>
      </w:r>
      <w:r>
        <w:rPr>
          <w:rFonts w:hint="eastAsia" w:hAnsi="宋体" w:cs="宋体"/>
          <w:color w:val="auto"/>
          <w:highlight w:val="none"/>
        </w:rPr>
        <w:t>天；紧急事项</w:t>
      </w:r>
      <w:r>
        <w:rPr>
          <w:rFonts w:hint="eastAsia" w:hAnsi="宋体" w:cs="宋体"/>
          <w:color w:val="auto"/>
          <w:highlight w:val="none"/>
          <w:u w:val="single"/>
        </w:rPr>
        <w:t xml:space="preserve"> </w:t>
      </w:r>
      <w:r>
        <w:rPr>
          <w:rFonts w:hint="eastAsia" w:cs="宋体"/>
          <w:color w:val="auto"/>
          <w:highlight w:val="none"/>
          <w:u w:val="single"/>
          <w:lang w:val="en-US" w:eastAsia="zh-CN"/>
        </w:rPr>
        <w:t>3</w:t>
      </w:r>
      <w:r>
        <w:rPr>
          <w:rFonts w:hint="eastAsia" w:hAnsi="宋体" w:cs="宋体"/>
          <w:color w:val="auto"/>
          <w:highlight w:val="none"/>
          <w:u w:val="single"/>
        </w:rPr>
        <w:t xml:space="preserve"> </w:t>
      </w:r>
      <w:r>
        <w:rPr>
          <w:rFonts w:hint="eastAsia" w:hAnsi="宋体" w:cs="宋体"/>
          <w:color w:val="auto"/>
          <w:highlight w:val="none"/>
        </w:rPr>
        <w:t>天；变更文件</w:t>
      </w:r>
      <w:r>
        <w:rPr>
          <w:rFonts w:hint="eastAsia" w:hAnsi="宋体" w:cs="宋体"/>
          <w:color w:val="auto"/>
          <w:highlight w:val="none"/>
          <w:u w:val="single"/>
        </w:rPr>
        <w:t xml:space="preserve"> </w:t>
      </w:r>
      <w:r>
        <w:rPr>
          <w:rFonts w:hint="eastAsia" w:cs="宋体"/>
          <w:color w:val="auto"/>
          <w:highlight w:val="none"/>
          <w:u w:val="single"/>
          <w:lang w:val="en-US" w:eastAsia="zh-CN"/>
        </w:rPr>
        <w:t>14</w:t>
      </w:r>
      <w:r>
        <w:rPr>
          <w:rFonts w:hint="eastAsia" w:hAnsi="宋体" w:cs="宋体"/>
          <w:color w:val="auto"/>
          <w:highlight w:val="none"/>
          <w:u w:val="single"/>
        </w:rPr>
        <w:t xml:space="preserve"> </w:t>
      </w:r>
      <w:r>
        <w:rPr>
          <w:rFonts w:hint="eastAsia" w:hAnsi="宋体" w:cs="宋体"/>
          <w:color w:val="auto"/>
          <w:highlight w:val="none"/>
        </w:rPr>
        <w:t>天</w:t>
      </w:r>
      <w:r>
        <w:rPr>
          <w:rFonts w:hint="eastAsia" w:hAnsi="宋体" w:cs="宋体"/>
          <w:color w:val="auto"/>
          <w:highlight w:val="none"/>
        </w:rPr>
        <w:t>。</w:t>
      </w:r>
    </w:p>
    <w:p w14:paraId="66205F5F">
      <w:pPr>
        <w:pStyle w:val="2"/>
        <w:numPr>
          <w:ilvl w:val="0"/>
          <w:numId w:val="3"/>
        </w:numPr>
        <w:adjustRightInd/>
        <w:snapToGrid/>
        <w:spacing w:line="482" w:lineRule="exact"/>
        <w:ind w:firstLine="420" w:firstLineChars="0"/>
        <w:jc w:val="left"/>
        <w:rPr>
          <w:rFonts w:hint="default" w:ascii="宋体" w:hAnsi="宋体" w:eastAsia="宋体" w:cs="宋体"/>
          <w:color w:val="auto"/>
          <w:sz w:val="24"/>
          <w:szCs w:val="21"/>
          <w:highlight w:val="none"/>
          <w:lang w:val="en-US" w:eastAsia="zh-CN"/>
        </w:rPr>
      </w:pPr>
      <w:r>
        <w:rPr>
          <w:rFonts w:hint="eastAsia" w:hAnsi="宋体" w:cs="宋体"/>
          <w:color w:val="auto"/>
          <w:highlight w:val="none"/>
        </w:rPr>
        <w:t xml:space="preserve"> </w:t>
      </w:r>
      <w:r>
        <w:rPr>
          <w:rFonts w:hint="eastAsia" w:ascii="宋体" w:hAnsi="宋体" w:eastAsia="宋体" w:cs="宋体"/>
          <w:color w:val="auto"/>
          <w:sz w:val="24"/>
          <w:szCs w:val="21"/>
          <w:highlight w:val="none"/>
        </w:rPr>
        <w:t>委托人不向监理机构提供任何设施、设备，也不向监理机构支付房屋、设施、设备的使用、维护与运行等费用，监理人在投标时已将有关费用包含在监理服务酬金中。委托人不向监理机构提供生活、办公、交通、通讯费用，监理人在投标时已将有关费用包含</w:t>
      </w:r>
      <w:r>
        <w:rPr>
          <w:rFonts w:hint="eastAsia" w:ascii="宋体" w:hAnsi="宋体" w:eastAsia="宋体" w:cs="宋体"/>
          <w:color w:val="auto"/>
          <w:sz w:val="24"/>
          <w:szCs w:val="21"/>
          <w:highlight w:val="none"/>
          <w:lang w:val="en-US" w:eastAsia="zh-CN"/>
        </w:rPr>
        <w:t>在</w:t>
      </w:r>
      <w:r>
        <w:rPr>
          <w:rFonts w:hint="eastAsia" w:ascii="宋体" w:hAnsi="宋体" w:eastAsia="宋体" w:cs="宋体"/>
          <w:color w:val="auto"/>
          <w:sz w:val="24"/>
          <w:szCs w:val="21"/>
          <w:highlight w:val="none"/>
        </w:rPr>
        <w:t>监理服务酬金中</w:t>
      </w:r>
      <w:r>
        <w:rPr>
          <w:rFonts w:hint="eastAsia" w:ascii="宋体" w:hAnsi="宋体" w:eastAsia="宋体" w:cs="宋体"/>
          <w:color w:val="auto"/>
          <w:sz w:val="24"/>
          <w:szCs w:val="21"/>
          <w:highlight w:val="none"/>
          <w:lang w:eastAsia="zh-CN"/>
        </w:rPr>
        <w:t>。</w:t>
      </w:r>
    </w:p>
    <w:p w14:paraId="00E81A5B">
      <w:pPr>
        <w:pStyle w:val="2"/>
        <w:numPr>
          <w:ilvl w:val="0"/>
          <w:numId w:val="0"/>
        </w:numPr>
        <w:adjustRightInd/>
        <w:snapToGrid/>
        <w:spacing w:line="482" w:lineRule="exact"/>
        <w:ind w:firstLine="480" w:firstLineChars="200"/>
        <w:jc w:val="left"/>
        <w:rPr>
          <w:rFonts w:hint="eastAsia" w:hAnsi="宋体" w:cs="宋体"/>
          <w:color w:val="auto"/>
          <w:highlight w:val="none"/>
        </w:rPr>
      </w:pPr>
      <w:r>
        <w:rPr>
          <w:rFonts w:hint="eastAsia" w:ascii="黑体" w:hAnsi="宋体" w:eastAsia="黑体" w:cs="宋体"/>
          <w:color w:val="auto"/>
          <w:highlight w:val="none"/>
        </w:rPr>
        <w:t>第十五条</w:t>
      </w:r>
      <w:r>
        <w:rPr>
          <w:rFonts w:hint="eastAsia" w:hAnsi="宋体" w:cs="宋体"/>
          <w:color w:val="auto"/>
          <w:highlight w:val="none"/>
        </w:rPr>
        <w:t xml:space="preserve">  </w:t>
      </w:r>
      <w:r>
        <w:rPr>
          <w:rFonts w:hint="eastAsia" w:ascii="宋体" w:hAnsi="宋体" w:eastAsia="宋体" w:cs="宋体"/>
          <w:b/>
          <w:bCs/>
          <w:color w:val="auto"/>
          <w:sz w:val="24"/>
          <w:szCs w:val="21"/>
          <w:highlight w:val="none"/>
        </w:rPr>
        <w:t>监理人的检验、试验相关费用已包含在合同监理服务费总金额中</w:t>
      </w:r>
      <w:r>
        <w:rPr>
          <w:rFonts w:hint="eastAsia" w:cs="宋体"/>
          <w:b/>
          <w:bCs/>
          <w:color w:val="auto"/>
          <w:sz w:val="24"/>
          <w:szCs w:val="21"/>
          <w:highlight w:val="none"/>
          <w:lang w:eastAsia="zh-CN"/>
        </w:rPr>
        <w:t>（</w:t>
      </w:r>
      <w:r>
        <w:rPr>
          <w:rFonts w:hint="eastAsia" w:cs="宋体"/>
          <w:b/>
          <w:bCs/>
          <w:color w:val="auto"/>
          <w:sz w:val="24"/>
          <w:szCs w:val="21"/>
          <w:highlight w:val="none"/>
          <w:lang w:val="en-US" w:eastAsia="zh-CN"/>
        </w:rPr>
        <w:t>平行检测工作由</w:t>
      </w:r>
      <w:r>
        <w:rPr>
          <w:rFonts w:hint="eastAsia" w:ascii="宋体" w:hAnsi="宋体" w:eastAsia="宋体" w:cs="宋体"/>
          <w:b/>
          <w:bCs/>
          <w:color w:val="auto"/>
          <w:sz w:val="24"/>
          <w:szCs w:val="21"/>
          <w:highlight w:val="none"/>
        </w:rPr>
        <w:t>监理人</w:t>
      </w:r>
      <w:r>
        <w:rPr>
          <w:rFonts w:hint="eastAsia" w:cs="宋体"/>
          <w:b/>
          <w:bCs/>
          <w:color w:val="auto"/>
          <w:sz w:val="24"/>
          <w:szCs w:val="21"/>
          <w:highlight w:val="none"/>
          <w:lang w:val="en-US" w:eastAsia="zh-CN"/>
        </w:rPr>
        <w:t>负总责，其中需委托的平行检测工作，由监理单位组织建设单位委托的第三方检测单位具体实施，费用从项目的质量检测中列支</w:t>
      </w:r>
      <w:r>
        <w:rPr>
          <w:rFonts w:hint="eastAsia" w:cs="宋体"/>
          <w:b/>
          <w:bCs/>
          <w:color w:val="auto"/>
          <w:sz w:val="24"/>
          <w:szCs w:val="21"/>
          <w:highlight w:val="none"/>
          <w:lang w:eastAsia="zh-CN"/>
        </w:rPr>
        <w:t>）</w:t>
      </w:r>
      <w:r>
        <w:rPr>
          <w:rFonts w:hint="eastAsia" w:ascii="宋体" w:hAnsi="宋体" w:eastAsia="宋体" w:cs="宋体"/>
          <w:b/>
          <w:bCs/>
          <w:color w:val="auto"/>
          <w:sz w:val="24"/>
          <w:szCs w:val="21"/>
          <w:highlight w:val="none"/>
        </w:rPr>
        <w:t>。</w:t>
      </w:r>
    </w:p>
    <w:p w14:paraId="4150A201">
      <w:pPr>
        <w:pStyle w:val="2"/>
        <w:numPr>
          <w:ilvl w:val="0"/>
          <w:numId w:val="0"/>
        </w:numPr>
        <w:adjustRightInd/>
        <w:snapToGrid/>
        <w:spacing w:line="482" w:lineRule="exact"/>
        <w:ind w:firstLine="480" w:firstLineChars="200"/>
        <w:jc w:val="left"/>
        <w:rPr>
          <w:rFonts w:hint="default" w:hAnsi="宋体" w:cs="宋体"/>
          <w:color w:val="auto"/>
          <w:highlight w:val="none"/>
          <w:lang w:val="en-US" w:eastAsia="zh-CN"/>
        </w:rPr>
      </w:pPr>
      <w:r>
        <w:rPr>
          <w:rFonts w:hint="eastAsia" w:ascii="黑体" w:hAnsi="宋体" w:eastAsia="黑体" w:cs="宋体"/>
          <w:color w:val="auto"/>
          <w:highlight w:val="none"/>
        </w:rPr>
        <w:t>第十七条</w:t>
      </w:r>
      <w:r>
        <w:rPr>
          <w:rFonts w:hint="eastAsia" w:hAnsi="宋体" w:cs="宋体"/>
          <w:color w:val="auto"/>
          <w:highlight w:val="none"/>
        </w:rPr>
        <w:t xml:space="preserve">  </w:t>
      </w:r>
      <w:r>
        <w:rPr>
          <w:rFonts w:hint="eastAsia" w:ascii="宋体" w:hAnsi="宋体" w:eastAsia="宋体" w:cs="宋体"/>
          <w:color w:val="auto"/>
          <w:sz w:val="24"/>
          <w:szCs w:val="21"/>
          <w:highlight w:val="none"/>
        </w:rPr>
        <w:t>委托人不为监理人员投保人身意外伤害险和第三者责任险，由监理人自己投保，</w:t>
      </w:r>
      <w:r>
        <w:rPr>
          <w:rFonts w:hint="eastAsia" w:ascii="宋体" w:hAnsi="宋体" w:eastAsia="宋体" w:cs="宋体"/>
          <w:color w:val="auto"/>
          <w:kern w:val="2"/>
          <w:sz w:val="24"/>
          <w:szCs w:val="21"/>
          <w:highlight w:val="none"/>
        </w:rPr>
        <w:t>监理人应将</w:t>
      </w:r>
      <w:r>
        <w:rPr>
          <w:rFonts w:hint="eastAsia" w:ascii="宋体" w:hAnsi="宋体" w:eastAsia="宋体" w:cs="宋体"/>
          <w:color w:val="auto"/>
          <w:sz w:val="24"/>
          <w:szCs w:val="21"/>
          <w:highlight w:val="none"/>
        </w:rPr>
        <w:t>投保的费用</w:t>
      </w:r>
      <w:r>
        <w:rPr>
          <w:rFonts w:hint="eastAsia" w:ascii="宋体" w:hAnsi="宋体" w:eastAsia="宋体" w:cs="宋体"/>
          <w:color w:val="auto"/>
          <w:kern w:val="2"/>
          <w:sz w:val="24"/>
          <w:szCs w:val="21"/>
          <w:highlight w:val="none"/>
        </w:rPr>
        <w:t>包含在合同监理服务费总金额</w:t>
      </w:r>
      <w:r>
        <w:rPr>
          <w:rFonts w:hint="eastAsia" w:ascii="宋体" w:hAnsi="宋体" w:eastAsia="宋体" w:cs="宋体"/>
          <w:color w:val="auto"/>
          <w:sz w:val="24"/>
          <w:szCs w:val="21"/>
          <w:highlight w:val="none"/>
        </w:rPr>
        <w:t>中。</w:t>
      </w:r>
    </w:p>
    <w:p w14:paraId="0903BEB9">
      <w:pPr>
        <w:pStyle w:val="7"/>
        <w:jc w:val="center"/>
        <w:outlineLvl w:val="9"/>
        <w:rPr>
          <w:rFonts w:hint="eastAsia" w:ascii="Arial" w:hAnsi="Arial" w:eastAsia="黑体" w:cs="Times New Roman"/>
          <w:color w:val="auto"/>
          <w:sz w:val="32"/>
          <w:szCs w:val="24"/>
          <w:highlight w:val="none"/>
        </w:rPr>
      </w:pPr>
      <w:r>
        <w:rPr>
          <w:rFonts w:hint="eastAsia" w:ascii="Arial" w:hAnsi="Arial" w:eastAsia="黑体" w:cs="Times New Roman"/>
          <w:color w:val="auto"/>
          <w:sz w:val="32"/>
          <w:szCs w:val="24"/>
          <w:highlight w:val="none"/>
        </w:rPr>
        <w:t>监理人的义务</w:t>
      </w:r>
    </w:p>
    <w:p w14:paraId="73E767B1">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ascii="黑体" w:hAnsi="宋体" w:eastAsia="黑体" w:cs="宋体"/>
          <w:color w:val="auto"/>
          <w:highlight w:val="none"/>
        </w:rPr>
        <w:t xml:space="preserve">第二十条  </w:t>
      </w:r>
      <w:r>
        <w:rPr>
          <w:rFonts w:hint="eastAsia" w:ascii="宋体" w:hAnsi="宋体" w:eastAsia="宋体" w:cs="宋体"/>
          <w:color w:val="auto"/>
          <w:highlight w:val="none"/>
        </w:rPr>
        <w:t>监理内容包括但不限于以下内容：负责本项目勘察设计阶段、施工准备阶段、施工阶段、工程收尾阶段（包括但不限于完工验收、竣工验收、整改、工程移交、工程结算、工程档案移交等）保修阶段（缺陷责任期）的质量控制、职业健康、安全生产及环境监督管理、投资控制、进度控制、合同管理、信息管理、组织协调等监理工作。监理人必须根据监理投资控制的职责要求对本项目的施工款资金使用进行监管，确保本项目资金专款专用，具体监管方式和流程以监理人、承包人和施工款非工人工资部分的开户银行签订的监管协议为准。根据《广东省水利工程质量对比检测实施办法》相关规定，应由项目建设单位委托有相应资质的质量检测机构进行的对比检测，监理单位代建设单位进行日常监督管理。</w:t>
      </w:r>
    </w:p>
    <w:p w14:paraId="55A41A6B">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其中：设计阶段和施工准备阶段的监理工作（包括但不限于以下内容）：</w:t>
      </w:r>
    </w:p>
    <w:p w14:paraId="7B845677">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1、对</w:t>
      </w:r>
      <w:r>
        <w:rPr>
          <w:rFonts w:hint="eastAsia" w:ascii="宋体" w:hAnsi="宋体" w:eastAsia="宋体" w:cs="宋体"/>
          <w:color w:val="auto"/>
          <w:sz w:val="24"/>
          <w:szCs w:val="21"/>
          <w:highlight w:val="none"/>
        </w:rPr>
        <w:t>设计成果进行审查，并提出初审意见；对勘察单位作业进行质量、安全、工期、投资方面进行监理，审核勘察成果。</w:t>
      </w:r>
    </w:p>
    <w:p w14:paraId="6DB1932F">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在设计交底前，总监理工程师应组织监理人员熟悉设计文件，并对图纸中存在的问题通过委托人向设计单位提出书面意见和建议。</w:t>
      </w:r>
    </w:p>
    <w:p w14:paraId="094DC05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3、</w:t>
      </w:r>
      <w:r>
        <w:rPr>
          <w:rFonts w:hint="eastAsia" w:ascii="宋体" w:hAnsi="宋体" w:eastAsia="宋体" w:cs="宋体"/>
          <w:color w:val="auto"/>
          <w:sz w:val="24"/>
          <w:szCs w:val="21"/>
          <w:highlight w:val="none"/>
        </w:rPr>
        <w:t>项目监理人员应参加由委托人组织的设计技术交底会，总监理工程师应组织人员编写设计技术交底会议纪要并提交给委托人。</w:t>
      </w:r>
    </w:p>
    <w:p w14:paraId="0D3E84A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图纸会审由委托人组织，总监理工程师应组织人员做好图纸会审记录并提交给委托人。</w:t>
      </w:r>
    </w:p>
    <w:p w14:paraId="7FD6D953">
      <w:pPr>
        <w:pStyle w:val="2"/>
        <w:adjustRightInd w:val="0"/>
        <w:snapToGrid w:val="0"/>
        <w:spacing w:line="482" w:lineRule="exact"/>
        <w:ind w:firstLine="480" w:firstLineChars="200"/>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5、工程项目开工前，监理单位应提出该工程质量对比检测的方案报项目法人批准，经批准的对比检测的方案报质量监督机构备案。对比检测的方案应包括检测的项目内容、取样方式、数量和时间等。</w:t>
      </w:r>
    </w:p>
    <w:p w14:paraId="1140D76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工程项目开工前，总监理工程师应组织专业监理工程师审查承包人报送的施工组织设计(方案)报审表，提出审查意见，并经总监理工程师审核、签认后报委托人。</w:t>
      </w:r>
    </w:p>
    <w:p w14:paraId="770ABB3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7、</w:t>
      </w:r>
      <w:r>
        <w:rPr>
          <w:rFonts w:hint="eastAsia" w:ascii="宋体" w:hAnsi="宋体" w:eastAsia="宋体" w:cs="宋体"/>
          <w:color w:val="auto"/>
          <w:sz w:val="24"/>
          <w:szCs w:val="21"/>
          <w:highlight w:val="none"/>
        </w:rPr>
        <w:t>工程项目开工前，总监理工程师应审查承包人现场项目管理机构的</w:t>
      </w:r>
      <w:r>
        <w:rPr>
          <w:rFonts w:hint="eastAsia" w:ascii="宋体" w:hAnsi="宋体" w:eastAsia="宋体" w:cs="宋体"/>
          <w:color w:val="auto"/>
          <w:sz w:val="24"/>
          <w:szCs w:val="21"/>
          <w:highlight w:val="none"/>
          <w:u w:val="none"/>
        </w:rPr>
        <w:t>质量</w:t>
      </w:r>
      <w:r>
        <w:rPr>
          <w:rFonts w:hint="eastAsia" w:ascii="宋体" w:hAnsi="宋体" w:eastAsia="宋体" w:cs="宋体"/>
          <w:color w:val="auto"/>
          <w:sz w:val="24"/>
          <w:szCs w:val="21"/>
          <w:highlight w:val="none"/>
        </w:rPr>
        <w:t>管理体系、</w:t>
      </w:r>
      <w:r>
        <w:rPr>
          <w:rFonts w:hint="eastAsia" w:ascii="宋体" w:hAnsi="宋体" w:eastAsia="宋体" w:cs="宋体"/>
          <w:color w:val="auto"/>
          <w:sz w:val="24"/>
          <w:szCs w:val="21"/>
          <w:highlight w:val="none"/>
          <w:u w:val="none"/>
        </w:rPr>
        <w:t>环境</w:t>
      </w:r>
      <w:r>
        <w:rPr>
          <w:rFonts w:hint="eastAsia" w:ascii="宋体" w:hAnsi="宋体" w:eastAsia="宋体" w:cs="宋体"/>
          <w:color w:val="auto"/>
          <w:sz w:val="24"/>
          <w:szCs w:val="21"/>
          <w:highlight w:val="none"/>
        </w:rPr>
        <w:t>管理体系和</w:t>
      </w:r>
      <w:r>
        <w:rPr>
          <w:rFonts w:hint="eastAsia" w:ascii="宋体" w:hAnsi="宋体" w:eastAsia="宋体" w:cs="宋体"/>
          <w:color w:val="auto"/>
          <w:sz w:val="24"/>
          <w:szCs w:val="21"/>
          <w:highlight w:val="none"/>
          <w:u w:val="none"/>
        </w:rPr>
        <w:t>安全</w:t>
      </w:r>
      <w:r>
        <w:rPr>
          <w:rFonts w:hint="eastAsia" w:ascii="宋体" w:hAnsi="宋体" w:eastAsia="宋体" w:cs="宋体"/>
          <w:color w:val="auto"/>
          <w:sz w:val="24"/>
          <w:szCs w:val="21"/>
          <w:highlight w:val="none"/>
        </w:rPr>
        <w:t>管理体系，确能保证工程项目施工质量时予以确认。对质量管理体系、环境管理体系和安全管理体系应审核以下内容：</w:t>
      </w:r>
    </w:p>
    <w:p w14:paraId="3855909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质量管理体系、环境管理体系和安全管理体系的组织及职责；</w:t>
      </w:r>
    </w:p>
    <w:p w14:paraId="6EC235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质量管理体系、环境管理体系和安全管理体系各过程的识别与管理；</w:t>
      </w:r>
    </w:p>
    <w:p w14:paraId="09F54FE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质量管理体系、环境管理体系和安全管理体系的持续改进措施。</w:t>
      </w:r>
    </w:p>
    <w:p w14:paraId="790368CD">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sz w:val="24"/>
          <w:szCs w:val="21"/>
          <w:highlight w:val="none"/>
          <w:u w:val="none"/>
          <w:lang w:val="en-US" w:eastAsia="zh-CN"/>
        </w:rPr>
        <w:t>4</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sz w:val="24"/>
          <w:szCs w:val="21"/>
          <w:highlight w:val="none"/>
          <w:u w:val="none"/>
        </w:rPr>
        <w:t>承包人是否按应答文件在施工现场设立项目管理机构和全员派驻相应人员，以及是否为承包人本单位员工；审查承包人委派的现场管理机构各部主要技术管理人员是否有兼职情况存在，及上述人员的出勤情况。</w:t>
      </w:r>
    </w:p>
    <w:p w14:paraId="380CA8F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8</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分包工程开工前，专业监理工程师应审查承包人报送的分包单位资格报审表和分包单位有关资质资料，符合有关规定后，由总监理工程师予以签认。对分包单位资格应审核以下内容：</w:t>
      </w:r>
    </w:p>
    <w:p w14:paraId="3E5DE2B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分包单位的营业执照、企业资质等级证书、特殊行业施工许可证、国外(境外)企业在国内承包工程许可证；</w:t>
      </w:r>
    </w:p>
    <w:p w14:paraId="423882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分包单位的业绩，尤其是类似工程施工的经验；</w:t>
      </w:r>
    </w:p>
    <w:p w14:paraId="6611BD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拟分包工程的内容和范围；</w:t>
      </w:r>
    </w:p>
    <w:p w14:paraId="3FE218E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专职管理人员和特种作业人员的资格证、上岗证。</w:t>
      </w:r>
    </w:p>
    <w:p w14:paraId="4ADC1C2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专业监理工程师应按以下要求对承包人报送的测量放线控制方案成果及保护措施进行检查，符合要求时，专业监理工程师对承包人报送的施工测量资料予以签认：</w:t>
      </w:r>
    </w:p>
    <w:p w14:paraId="686FA5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检查承包人专职测量人员的岗位证书及测量设备检定证书；</w:t>
      </w:r>
    </w:p>
    <w:p w14:paraId="7434F14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审核承包人提交的控制测量方案；</w:t>
      </w:r>
    </w:p>
    <w:p w14:paraId="287240A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复核控制桩的校核成果、控制桩的保护措施以及平面控制网、高程控制网和临时水准点的测量成果。</w:t>
      </w:r>
    </w:p>
    <w:p w14:paraId="508379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10、</w:t>
      </w:r>
      <w:r>
        <w:rPr>
          <w:rFonts w:hint="eastAsia" w:ascii="宋体" w:hAnsi="宋体" w:eastAsia="宋体" w:cs="宋体"/>
          <w:color w:val="auto"/>
          <w:sz w:val="24"/>
          <w:szCs w:val="21"/>
          <w:highlight w:val="none"/>
        </w:rPr>
        <w:t>专业监理工程师应审查承包人报送的工程开工报审表及相关资料，具备以下开工条件时，由总监理工程师签发，并报委托人：</w:t>
      </w:r>
    </w:p>
    <w:p w14:paraId="59666CA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施工许可证已获政府主管部门批准；</w:t>
      </w:r>
    </w:p>
    <w:p w14:paraId="740F454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征地拆迁工作能满足工程进度的需要；</w:t>
      </w:r>
    </w:p>
    <w:p w14:paraId="49161F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施工组织设计已获总监理工程师批准；</w:t>
      </w:r>
    </w:p>
    <w:p w14:paraId="2FE3D0C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承包人现场管理人员已到位，机具、施工人员已进场，主要工程材料已落实；</w:t>
      </w:r>
    </w:p>
    <w:p w14:paraId="7860174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进场道路及水、电、通讯等已满足开工要求；</w:t>
      </w:r>
    </w:p>
    <w:p w14:paraId="2F3158F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施工测量、技术交底、作业指导书等各项技术准备工作是否已经完成。</w:t>
      </w:r>
    </w:p>
    <w:p w14:paraId="73E9D9D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11、</w:t>
      </w:r>
      <w:r>
        <w:rPr>
          <w:rFonts w:hint="eastAsia" w:ascii="宋体" w:hAnsi="宋体" w:eastAsia="宋体" w:cs="宋体"/>
          <w:color w:val="auto"/>
          <w:sz w:val="24"/>
          <w:szCs w:val="21"/>
          <w:highlight w:val="none"/>
        </w:rPr>
        <w:t>工程项目开工前，监理人员应参加由委托人主持召开的第一次工地会议。工地会议应包括以下主要内容：</w:t>
      </w:r>
    </w:p>
    <w:p w14:paraId="19A7085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委托人、承包人和监理人分别介绍各自驻现场的组织机构、人员及其分工；</w:t>
      </w:r>
    </w:p>
    <w:p w14:paraId="552B008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委托人根据委托监理合同宣布对总监理工程师的授权；</w:t>
      </w:r>
    </w:p>
    <w:p w14:paraId="133BDC1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委托人介绍工程开工准备情况；</w:t>
      </w:r>
    </w:p>
    <w:p w14:paraId="085971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承包人介绍施工准备情况；</w:t>
      </w:r>
    </w:p>
    <w:p w14:paraId="33DA9E4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委托人和总监理工程师对施工准备情况提出意见和要求；</w:t>
      </w:r>
    </w:p>
    <w:p w14:paraId="4A406D0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总监理工程师介绍监理规划的主要内容；</w:t>
      </w:r>
    </w:p>
    <w:p w14:paraId="0DC7773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7</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研究确定各方在施工过程中参加工地例会的主要人员，召开工地例会周期、地点及主要议题。第一次工地会议纪要应由项目监理机构负责起草，并经与会各方代表会签。</w:t>
      </w:r>
    </w:p>
    <w:p w14:paraId="7398DFB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12、</w:t>
      </w:r>
      <w:r>
        <w:rPr>
          <w:rFonts w:hint="eastAsia" w:ascii="宋体" w:hAnsi="宋体" w:eastAsia="宋体" w:cs="宋体"/>
          <w:color w:val="auto"/>
          <w:sz w:val="24"/>
          <w:szCs w:val="21"/>
          <w:highlight w:val="none"/>
        </w:rPr>
        <w:t>做好绿化迁移、管线迁改等监理工作。</w:t>
      </w:r>
    </w:p>
    <w:p w14:paraId="7E57A2A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13、</w:t>
      </w:r>
      <w:r>
        <w:rPr>
          <w:rFonts w:hint="eastAsia" w:ascii="宋体" w:hAnsi="宋体" w:eastAsia="宋体" w:cs="宋体"/>
          <w:color w:val="auto"/>
          <w:sz w:val="24"/>
          <w:szCs w:val="21"/>
          <w:highlight w:val="none"/>
        </w:rPr>
        <w:t>制定监理规划</w:t>
      </w:r>
    </w:p>
    <w:p w14:paraId="1D415E8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监理规划的编制应针对项目管网、泵站、顶管、绿化修复的实际情况，明确项目监理机构的工作目标，确定具体的监理工作制度、程序、方法和措施，并应具有可操作性。</w:t>
      </w:r>
    </w:p>
    <w:p w14:paraId="56AD7C9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监理规划编制的程序与依据应符合下列规定：</w:t>
      </w:r>
    </w:p>
    <w:p w14:paraId="583AE32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a.监理规划应在签订委托监理合同及收到设计文件后开始编制，完成后必须经监理人技术负责人审核批准，并应在召开第一次工地会议前报送委托人；</w:t>
      </w:r>
    </w:p>
    <w:p w14:paraId="0B0145C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b.监理规划应由总监理工程师主持、专业监理工程师参加编制；</w:t>
      </w:r>
    </w:p>
    <w:p w14:paraId="76F6469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c.编制监理规划应依据：</w:t>
      </w:r>
    </w:p>
    <w:p w14:paraId="4E74A02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——建设工程的相关法律、法规及项目审批文件；</w:t>
      </w:r>
    </w:p>
    <w:p w14:paraId="14697B2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——与建设工程项目有关的标准、设计文件、技术资料；</w:t>
      </w:r>
    </w:p>
    <w:p w14:paraId="3C3C36D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——监理大纲、委托监理合同文件以及与建设工程项目相关的合同文件。</w:t>
      </w:r>
    </w:p>
    <w:p w14:paraId="35610CD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——委托人制定的有关本合同工程建设的管理制度。</w:t>
      </w:r>
    </w:p>
    <w:p w14:paraId="60FB4FC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监理规划应包括以下主要内容：</w:t>
      </w:r>
    </w:p>
    <w:p w14:paraId="7D38A2F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a.工程项目概况；</w:t>
      </w:r>
    </w:p>
    <w:p w14:paraId="4D7DDEB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b.监理工作范围；</w:t>
      </w:r>
    </w:p>
    <w:p w14:paraId="4A99AC1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c.监理工作内容；</w:t>
      </w:r>
    </w:p>
    <w:p w14:paraId="2B23A30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d.监理工作目标；</w:t>
      </w:r>
    </w:p>
    <w:p w14:paraId="5719549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e.监理工作依据；</w:t>
      </w:r>
    </w:p>
    <w:p w14:paraId="54DB1C1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f.项目监理机构的组织形式；</w:t>
      </w:r>
    </w:p>
    <w:p w14:paraId="0077F4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g.项目监理机构的人员配备计划；</w:t>
      </w:r>
    </w:p>
    <w:p w14:paraId="5DC3076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h.项目监理机构的人员岗位职责；</w:t>
      </w:r>
    </w:p>
    <w:p w14:paraId="047F832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i.监理工作程序；</w:t>
      </w:r>
    </w:p>
    <w:p w14:paraId="48D9590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j.监理工作方法及措施；</w:t>
      </w:r>
    </w:p>
    <w:p w14:paraId="639CE62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k.监理工作制度；</w:t>
      </w:r>
    </w:p>
    <w:p w14:paraId="34F419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l.监理设施。</w:t>
      </w:r>
    </w:p>
    <w:p w14:paraId="0FD88CB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在监理工作实施过程中，如实际情况或条件发生重大变化而需要调整监理规划时，应由总监理工程师组织专业监理工程师研究修改，按原报审程序经过批准后报委托人。</w:t>
      </w:r>
    </w:p>
    <w:p w14:paraId="1E36AD2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14、</w:t>
      </w:r>
      <w:r>
        <w:rPr>
          <w:rFonts w:hint="eastAsia" w:ascii="宋体" w:hAnsi="宋体" w:eastAsia="宋体" w:cs="宋体"/>
          <w:color w:val="auto"/>
          <w:sz w:val="24"/>
          <w:szCs w:val="21"/>
          <w:highlight w:val="none"/>
        </w:rPr>
        <w:t>制定监理实施细则</w:t>
      </w:r>
    </w:p>
    <w:p w14:paraId="27589CA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项目监理机构应编制监理实施细则。监理实施细则应符合监理规划的要求，并应结合工程项目的专业特点，做到详细具体、具有可操作性。</w:t>
      </w:r>
    </w:p>
    <w:p w14:paraId="1019E03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监理实施细则的编制程序与依据应符合下列规定：</w:t>
      </w:r>
    </w:p>
    <w:p w14:paraId="74606C4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a.监理实施细则应在相应工程施工开始前编制完成，并必须经总监理工程师批准；</w:t>
      </w:r>
    </w:p>
    <w:p w14:paraId="3B1774B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b.监理实施细则应由专业监理工程师编制；</w:t>
      </w:r>
    </w:p>
    <w:p w14:paraId="0D6D87F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c编制监理实施细则的依据：</w:t>
      </w:r>
    </w:p>
    <w:p w14:paraId="1FE1E8E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——已批准的监理规划；</w:t>
      </w:r>
    </w:p>
    <w:p w14:paraId="6EFB2F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——与专业工程相关的标准、设计文件和技术资料；</w:t>
      </w:r>
    </w:p>
    <w:p w14:paraId="372C17D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——施工组织设计</w:t>
      </w:r>
      <w:r>
        <w:rPr>
          <w:rFonts w:hint="eastAsia" w:ascii="宋体" w:hAnsi="宋体" w:eastAsia="宋体" w:cs="宋体"/>
          <w:color w:val="auto"/>
          <w:sz w:val="24"/>
          <w:szCs w:val="21"/>
          <w:highlight w:val="none"/>
          <w:u w:val="none"/>
        </w:rPr>
        <w:t>；</w:t>
      </w:r>
    </w:p>
    <w:p w14:paraId="1C110AB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——本合同工程的设计、施工、安装招投标文件及合同</w:t>
      </w:r>
      <w:r>
        <w:rPr>
          <w:rFonts w:hint="eastAsia" w:ascii="宋体" w:hAnsi="宋体" w:eastAsia="宋体" w:cs="宋体"/>
          <w:color w:val="auto"/>
          <w:sz w:val="24"/>
          <w:szCs w:val="21"/>
          <w:highlight w:val="none"/>
          <w:u w:val="none"/>
        </w:rPr>
        <w:t>；</w:t>
      </w:r>
    </w:p>
    <w:p w14:paraId="069C660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——委托人制定的有关本合同工程建设的管理制度。</w:t>
      </w:r>
    </w:p>
    <w:p w14:paraId="7EE2A13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监理实施细则应包括下列主要内容：</w:t>
      </w:r>
    </w:p>
    <w:p w14:paraId="134ABA4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a.专业工程的特点；</w:t>
      </w:r>
    </w:p>
    <w:p w14:paraId="019208B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b.监理工作的流程；</w:t>
      </w:r>
    </w:p>
    <w:p w14:paraId="7206E8C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c.监理工作的控制要点及目标值；</w:t>
      </w:r>
    </w:p>
    <w:p w14:paraId="6327E93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d.监理工作的方法及措施。</w:t>
      </w:r>
    </w:p>
    <w:p w14:paraId="51A408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在监理工作实施过程中，监理实施细则应根据实际情况进行补充、修改和完善。</w:t>
      </w:r>
    </w:p>
    <w:p w14:paraId="5A03EA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15、</w:t>
      </w:r>
      <w:r>
        <w:rPr>
          <w:rFonts w:hint="eastAsia" w:ascii="宋体" w:hAnsi="宋体" w:eastAsia="宋体" w:cs="宋体"/>
          <w:color w:val="auto"/>
          <w:sz w:val="24"/>
          <w:szCs w:val="21"/>
          <w:highlight w:val="none"/>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6BDAD0E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16、</w:t>
      </w:r>
      <w:r>
        <w:rPr>
          <w:rFonts w:hint="eastAsia" w:ascii="宋体" w:hAnsi="宋体" w:eastAsia="宋体" w:cs="宋体"/>
          <w:color w:val="auto"/>
          <w:sz w:val="24"/>
          <w:szCs w:val="21"/>
          <w:highlight w:val="none"/>
        </w:rPr>
        <w:t>审查检验监测单位的检测、监测方案，确保覆盖整个项目内容。</w:t>
      </w:r>
    </w:p>
    <w:p w14:paraId="05148FC3">
      <w:pPr>
        <w:pStyle w:val="2"/>
        <w:adjustRightInd w:val="0"/>
        <w:snapToGrid w:val="0"/>
        <w:spacing w:line="482" w:lineRule="exact"/>
        <w:ind w:firstLine="480" w:firstLineChars="200"/>
        <w:rPr>
          <w:rFonts w:hint="eastAsia" w:ascii="宋体" w:hAnsi="宋体" w:eastAsia="宋体" w:cs="宋体"/>
          <w:b/>
          <w:bCs/>
          <w:color w:val="auto"/>
          <w:sz w:val="24"/>
          <w:szCs w:val="21"/>
          <w:highlight w:val="none"/>
        </w:rPr>
      </w:pPr>
      <w:r>
        <w:rPr>
          <w:rFonts w:hint="eastAsia" w:ascii="宋体" w:hAnsi="宋体" w:eastAsia="宋体" w:cs="宋体"/>
          <w:color w:val="auto"/>
          <w:sz w:val="24"/>
          <w:szCs w:val="21"/>
          <w:highlight w:val="none"/>
          <w:lang w:val="en-US" w:eastAsia="zh-CN"/>
        </w:rPr>
        <w:t xml:space="preserve">17、 </w:t>
      </w:r>
      <w:r>
        <w:rPr>
          <w:rFonts w:hint="eastAsia" w:ascii="宋体" w:hAnsi="宋体" w:eastAsia="宋体" w:cs="宋体"/>
          <w:color w:val="auto"/>
          <w:sz w:val="24"/>
          <w:szCs w:val="21"/>
          <w:highlight w:val="none"/>
        </w:rPr>
        <w:t>工程质量控制工作</w:t>
      </w:r>
    </w:p>
    <w:p w14:paraId="3016A112">
      <w:pPr>
        <w:pStyle w:val="2"/>
        <w:adjustRightIn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b w:val="0"/>
          <w:color w:val="auto"/>
          <w:sz w:val="24"/>
          <w:szCs w:val="21"/>
          <w:highlight w:val="none"/>
        </w:rPr>
        <w:t>监理人应严格执行委托人（建设）制定的《天河区水务建设中心现场管理手册（试行）》，</w:t>
      </w:r>
      <w:r>
        <w:rPr>
          <w:rFonts w:hint="eastAsia" w:ascii="宋体" w:hAnsi="宋体" w:eastAsia="宋体" w:cs="宋体"/>
          <w:b w:val="0"/>
          <w:color w:val="auto"/>
          <w:sz w:val="24"/>
          <w:szCs w:val="21"/>
          <w:highlight w:val="none"/>
          <w:lang w:val="en-US" w:eastAsia="zh-CN"/>
        </w:rPr>
        <w:t>体</w:t>
      </w:r>
      <w:r>
        <w:rPr>
          <w:rFonts w:hint="eastAsia" w:ascii="宋体" w:hAnsi="宋体" w:eastAsia="宋体" w:cs="宋体"/>
          <w:b w:val="0"/>
          <w:color w:val="auto"/>
          <w:sz w:val="24"/>
          <w:szCs w:val="21"/>
          <w:highlight w:val="none"/>
        </w:rPr>
        <w:t>高工程质量管理水平，保证工程安全实施，推动工程项目高质量发展。</w:t>
      </w:r>
    </w:p>
    <w:p w14:paraId="47A3CAC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（1）在施工过程中，当承包人对已批准的施工组织设计进行调整、补充或变动时，应经专业监理工程师审查，并应由总监理工程师签认。</w:t>
      </w:r>
    </w:p>
    <w:p w14:paraId="4F1234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（2）专业监理工程师应要求承包人报送重点部位、关键工序的施工方案或作业指导和确保工程质量的措施，审核同意后予以签认。</w:t>
      </w:r>
    </w:p>
    <w:p w14:paraId="663AB93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（3）当承包人采用新材料、新工艺、新技术、新设备时，专业监理工程师应要求承包人报送相应的施工工艺措施和证明材料，组织专题论证，经审定后予以签认。</w:t>
      </w:r>
    </w:p>
    <w:p w14:paraId="2D37D75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专业监理工程师必须对管道流水位标高、沥青层摊铺前标高放样进行不少与每百米3个断面的测量复核，并将测量原始记录和测量成果作为工程资料存档，项目监理机构应对承包人在施工过程中报送的施工测量放线成果进行复验和确认。</w:t>
      </w:r>
    </w:p>
    <w:p w14:paraId="408510F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原材料检测应见证取样，现场检测每次应检查第三方检测单位取点、数量，对每份检测报告均应进行签认。</w:t>
      </w:r>
    </w:p>
    <w:p w14:paraId="7261D74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对未经监理人员验收或验收不合格的工程材料、构配件、设备，监理人员应拒绝签认，并应签发监理工程师通知单，书面通知承包人限期将不合格的工程材料、构配件、设备撤出现场。</w:t>
      </w:r>
    </w:p>
    <w:p w14:paraId="4671287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（6）项目监理机构应定期检查承包人的直接影响工程质量的计量设备的技术状况。</w:t>
      </w:r>
    </w:p>
    <w:p w14:paraId="507B94C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（7）总监理工程师应安排监理人员对施工过程进行巡视和检查。专业监理工程师应安排监理员进行旁站，主要职责是：</w:t>
      </w:r>
    </w:p>
    <w:p w14:paraId="0362BFB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1）检查施工企业现场质检人员到岗、特殊工种人员持证上岗以及施工机械、建筑材料准备情况；</w:t>
      </w:r>
    </w:p>
    <w:p w14:paraId="70A0521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2）在现场跟班监督关键部位、关键工序的施工执行施工方案以及工程建设强制性标准情况；</w:t>
      </w:r>
    </w:p>
    <w:p w14:paraId="27A5BFB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3）核查进场建筑材料、建筑构配件、设备和商品混凝土的质量检验报告等，并可在现场监督施工企业进行检验或者按规定委托具有资格的第三方进行复验；</w:t>
      </w:r>
    </w:p>
    <w:p w14:paraId="6987BB1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4）做好旁站监理记录和监理日记，保存旁站监理原始资料。</w:t>
      </w:r>
    </w:p>
    <w:p w14:paraId="3149FDD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旁站监理人员应当认真履行职责，对需要实施旁站监理的拆除、顶管、基坑、高支模、砼浇筑、排水管道基础垫层、基坑回填、沥青砼搅拌及摊铺和新旧路面交接、起重设备等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1642251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15F1C23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w:t>
      </w:r>
      <w:r>
        <w:rPr>
          <w:rFonts w:hint="eastAsia" w:ascii="宋体" w:hAnsi="宋体" w:eastAsia="宋体" w:cs="宋体"/>
          <w:color w:val="auto"/>
          <w:sz w:val="24"/>
          <w:szCs w:val="21"/>
          <w:highlight w:val="none"/>
          <w:shd w:val="clear" w:color="auto" w:fill="auto"/>
        </w:rPr>
        <w:t>在工程</w:t>
      </w:r>
      <w:r>
        <w:rPr>
          <w:rFonts w:hint="eastAsia" w:ascii="宋体" w:hAnsi="宋体" w:eastAsia="宋体" w:cs="宋体"/>
          <w:color w:val="auto"/>
          <w:sz w:val="24"/>
          <w:szCs w:val="21"/>
          <w:highlight w:val="none"/>
        </w:rPr>
        <w:t>竣工验收（交工/完工验收）</w:t>
      </w:r>
      <w:r>
        <w:rPr>
          <w:rFonts w:hint="eastAsia" w:ascii="宋体" w:hAnsi="宋体" w:eastAsia="宋体" w:cs="宋体"/>
          <w:color w:val="auto"/>
          <w:sz w:val="24"/>
          <w:szCs w:val="21"/>
          <w:highlight w:val="none"/>
          <w:lang w:val="en-US" w:eastAsia="zh-CN"/>
        </w:rPr>
        <w:t>后</w:t>
      </w:r>
      <w:r>
        <w:rPr>
          <w:rFonts w:hint="eastAsia" w:ascii="宋体" w:hAnsi="宋体" w:eastAsia="宋体" w:cs="宋体"/>
          <w:color w:val="auto"/>
          <w:sz w:val="24"/>
          <w:szCs w:val="21"/>
          <w:highlight w:val="none"/>
        </w:rPr>
        <w:t>，监理企业应当将旁站监理记录存档备查。</w:t>
      </w:r>
    </w:p>
    <w:p w14:paraId="267BF0C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（8）专业监理工程师应根据承包人报送的隐蔽工程报验申请表和自检结果进行现场检查，符合要求予以签认。</w:t>
      </w:r>
    </w:p>
    <w:p w14:paraId="3CB26B38">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对未经监理人员验收或验收不合格的工序，监理人员应拒绝签认，并要求承包人严禁进行下一道工序的施工。</w:t>
      </w:r>
    </w:p>
    <w:p w14:paraId="6ECC85B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5D7D0B4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（10）施工阶段的工程质量控制中的其他监理工作</w:t>
      </w:r>
    </w:p>
    <w:p w14:paraId="5766E1A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1）对施工过程中出现的质量缺陷，专业监理工程师应及时下达监理工程师通知，要求承包人整改，并检查整改结果。</w:t>
      </w:r>
    </w:p>
    <w:p w14:paraId="6564CFC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07432E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7AB7417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4）总监理工程师应及时向委托人及本监理人提交有关质量事故的书面报告，并应将完整的质量事故处理记录整理归档。</w:t>
      </w:r>
    </w:p>
    <w:p w14:paraId="6D7AE33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5）对承包人的试验室进行考核</w:t>
      </w:r>
    </w:p>
    <w:p w14:paraId="41BF8A9A">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专业监理工程师应从以下五个方面进行考核：</w:t>
      </w:r>
    </w:p>
    <w:p w14:paraId="432CE3D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a.试验室的资质等级及其试验范围；</w:t>
      </w:r>
    </w:p>
    <w:p w14:paraId="598A357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b.法定计量部门对试验设备出具的计量检定证明；</w:t>
      </w:r>
    </w:p>
    <w:p w14:paraId="692BDE7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c.试验室的管理制度；</w:t>
      </w:r>
    </w:p>
    <w:p w14:paraId="64E3787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d.试验人员的资格证书；</w:t>
      </w:r>
    </w:p>
    <w:p w14:paraId="7A67A8B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e.本工程的试验项目及其要求。</w:t>
      </w:r>
    </w:p>
    <w:p w14:paraId="53E5A17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6）协调安排各施工单位、配合单位及设备材料供应单位的施工衔接，组织有序的交叉作业，对原有或已迁改的管线应做好保护工作，若有损坏，由监理人协调造成破坏的单位进行修复。</w:t>
      </w:r>
    </w:p>
    <w:p w14:paraId="799365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按照《广州市住房和城乡建设局关于加强施工过程中对既有管线保护的通知》、广州市地下管线建设管理办公室关于印发《广州市人民政府办公厅关于进一步加强地下管线保护的实施意见》及后续相关要求履行监理职责。</w:t>
      </w:r>
    </w:p>
    <w:p w14:paraId="0C37B893">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18、</w:t>
      </w:r>
      <w:r>
        <w:rPr>
          <w:rFonts w:hint="eastAsia" w:ascii="宋体" w:hAnsi="宋体" w:eastAsia="宋体" w:cs="宋体"/>
          <w:b w:val="0"/>
          <w:bCs w:val="0"/>
          <w:color w:val="auto"/>
          <w:sz w:val="24"/>
          <w:szCs w:val="21"/>
          <w:highlight w:val="none"/>
        </w:rPr>
        <w:t>工程造价控制工作</w:t>
      </w:r>
    </w:p>
    <w:p w14:paraId="277A2D9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（1）项目监理机构应按下列程序进行工程计量和工程款支付工作：</w:t>
      </w:r>
    </w:p>
    <w:p w14:paraId="346A003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1）监理人应每日统计承包人实际完成的工程量，及时完成签证</w:t>
      </w:r>
      <w:r>
        <w:rPr>
          <w:rFonts w:hint="eastAsia" w:ascii="宋体" w:hAnsi="宋体" w:eastAsia="宋体" w:cs="宋体"/>
          <w:color w:val="auto"/>
          <w:highlight w:val="none"/>
        </w:rPr>
        <w:t>；</w:t>
      </w:r>
      <w:r>
        <w:rPr>
          <w:rFonts w:hint="eastAsia" w:ascii="宋体" w:hAnsi="宋体" w:eastAsia="宋体" w:cs="宋体"/>
          <w:color w:val="auto"/>
          <w:sz w:val="24"/>
          <w:szCs w:val="21"/>
          <w:highlight w:val="none"/>
        </w:rPr>
        <w:t>并记录于监理日志中；</w:t>
      </w:r>
    </w:p>
    <w:p w14:paraId="20F76B7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2）专业监理工程师进行现场计量，复核当期验收合格的工程量，</w:t>
      </w:r>
      <w:r>
        <w:rPr>
          <w:rFonts w:hint="eastAsia" w:ascii="宋体" w:hAnsi="宋体" w:eastAsia="宋体" w:cs="宋体"/>
          <w:b w:val="0"/>
          <w:bCs w:val="0"/>
          <w:color w:val="auto"/>
          <w:sz w:val="24"/>
          <w:szCs w:val="21"/>
          <w:highlight w:val="none"/>
        </w:rPr>
        <w:t>注册造价工程师</w:t>
      </w:r>
      <w:r>
        <w:rPr>
          <w:rFonts w:hint="eastAsia" w:ascii="宋体" w:hAnsi="宋体" w:eastAsia="宋体" w:cs="宋体"/>
          <w:color w:val="auto"/>
          <w:sz w:val="24"/>
          <w:szCs w:val="21"/>
          <w:highlight w:val="none"/>
        </w:rPr>
        <w:t>按施工合同的约定审核承包人提交的工程量清单和工程款支付申请表，并报总监理工程师审定；</w:t>
      </w:r>
    </w:p>
    <w:p w14:paraId="2F977D2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3）总监理工程师对工程量清单和工程款支付申请表进行复核，并报委托人；</w:t>
      </w:r>
    </w:p>
    <w:p w14:paraId="61710CF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4）提交月度分包工程支付建议书给委托人。</w:t>
      </w:r>
    </w:p>
    <w:p w14:paraId="6C5BAF8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（2）项目监理机构应依据施工合同有关条款、施工图，对工程项目造价目标进行风险分析，并应制定防范性对策。</w:t>
      </w:r>
    </w:p>
    <w:p w14:paraId="58C1ABF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b w:val="0"/>
          <w:bCs w:val="0"/>
          <w:color w:val="auto"/>
          <w:sz w:val="24"/>
          <w:szCs w:val="21"/>
          <w:highlight w:val="none"/>
        </w:rPr>
        <w:t>注册造价工程师</w:t>
      </w:r>
      <w:r>
        <w:rPr>
          <w:rFonts w:hint="eastAsia" w:ascii="宋体" w:hAnsi="宋体" w:eastAsia="宋体" w:cs="宋体"/>
          <w:color w:val="auto"/>
          <w:sz w:val="24"/>
          <w:szCs w:val="21"/>
          <w:highlight w:val="none"/>
        </w:rPr>
        <w:t>应按施工合同约定的工程量计算规则和支付条款进行工程量计量和工程款支付。</w:t>
      </w:r>
    </w:p>
    <w:p w14:paraId="3DD1ABE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（4）专业监理工程师应及时建立月完成工程量和工作量统计表，对实际完成量与计划完成量进行比较、分析，制定调整措施，并应在监理月报中向委托人报告。</w:t>
      </w:r>
    </w:p>
    <w:p w14:paraId="40CDF87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（5）未经监理人员质量验收合格的工程量，或不符合施工合同规定的工程量，监理人员应拒绝计量和该部分的工程款支付申请。</w:t>
      </w:r>
    </w:p>
    <w:p w14:paraId="122DB57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（6）工程变更的管理</w:t>
      </w:r>
    </w:p>
    <w:p w14:paraId="09CA0A38">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总监理工程师应从造价、项目的功能要求、质量和工期等方面审查工程变更的方案，并在工程变更实施前与委托人、承包人协商确定工程变更的价款。</w:t>
      </w:r>
    </w:p>
    <w:p w14:paraId="76A9BE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1）项目监理机构应按下列程序处理工程变更：</w:t>
      </w:r>
    </w:p>
    <w:p w14:paraId="05D537F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对承包人提出的工程变更，应提交总监理工程师，由总监理工程师组织专业监理工程师和</w:t>
      </w:r>
      <w:r>
        <w:rPr>
          <w:rFonts w:hint="eastAsia" w:ascii="宋体" w:hAnsi="宋体" w:eastAsia="宋体" w:cs="宋体"/>
          <w:b w:val="0"/>
          <w:bCs w:val="0"/>
          <w:color w:val="auto"/>
          <w:sz w:val="24"/>
          <w:szCs w:val="21"/>
          <w:highlight w:val="none"/>
        </w:rPr>
        <w:t>注册造价工程师</w:t>
      </w:r>
      <w:r>
        <w:rPr>
          <w:rFonts w:hint="eastAsia" w:ascii="宋体" w:hAnsi="宋体" w:eastAsia="宋体" w:cs="宋体"/>
          <w:color w:val="auto"/>
          <w:sz w:val="24"/>
          <w:szCs w:val="21"/>
          <w:highlight w:val="none"/>
        </w:rPr>
        <w:t>审查。审查同意后，应由委托人转交原设计单位编制设计变更文件。当工程变更涉及安全、环保等内容时，应按规定经有关部门审定。</w:t>
      </w:r>
    </w:p>
    <w:p w14:paraId="24E723D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项目监理机构应了解实际情况和收集与工程变更有关的资料。</w:t>
      </w:r>
    </w:p>
    <w:p w14:paraId="55EA5A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总监理工程师必须根据实际情况、设计变更文件和其他有关资料，按照施工合同的有关条款，在指定专业监理工程师和</w:t>
      </w:r>
      <w:r>
        <w:rPr>
          <w:rFonts w:hint="eastAsia" w:ascii="宋体" w:hAnsi="宋体" w:eastAsia="宋体" w:cs="宋体"/>
          <w:b w:val="0"/>
          <w:bCs w:val="0"/>
          <w:color w:val="auto"/>
          <w:sz w:val="24"/>
          <w:szCs w:val="21"/>
          <w:highlight w:val="none"/>
        </w:rPr>
        <w:t>注册造价工程师</w:t>
      </w:r>
      <w:r>
        <w:rPr>
          <w:rFonts w:hint="eastAsia" w:ascii="宋体" w:hAnsi="宋体" w:eastAsia="宋体" w:cs="宋体"/>
          <w:color w:val="auto"/>
          <w:sz w:val="24"/>
          <w:szCs w:val="21"/>
          <w:highlight w:val="none"/>
        </w:rPr>
        <w:t>完成下列工作后，对工程变更的费用和工期作出评估：</w:t>
      </w:r>
    </w:p>
    <w:p w14:paraId="790EA38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a.审核工程变更项目与原工程项目之间的类似程度和难易程度；</w:t>
      </w:r>
    </w:p>
    <w:p w14:paraId="6A6A391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b.审核工程变更项目的工程量；</w:t>
      </w:r>
    </w:p>
    <w:p w14:paraId="0561609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c.审核工程变更的单价和总价。</w:t>
      </w:r>
    </w:p>
    <w:p w14:paraId="4FB2F74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上述评估材料中，变更单价和总价方面的结果需要有注册造价工程师审核签字并加盖</w:t>
      </w:r>
      <w:r>
        <w:rPr>
          <w:rFonts w:hint="eastAsia" w:ascii="宋体" w:hAnsi="宋体" w:eastAsia="宋体" w:cs="宋体"/>
          <w:b w:val="0"/>
          <w:bCs w:val="0"/>
          <w:color w:val="auto"/>
          <w:sz w:val="24"/>
          <w:szCs w:val="21"/>
          <w:highlight w:val="none"/>
        </w:rPr>
        <w:t>执业印章</w:t>
      </w:r>
      <w:r>
        <w:rPr>
          <w:rFonts w:hint="eastAsia" w:ascii="宋体" w:hAnsi="宋体" w:eastAsia="宋体" w:cs="宋体"/>
          <w:color w:val="auto"/>
          <w:sz w:val="24"/>
          <w:szCs w:val="21"/>
          <w:highlight w:val="none"/>
        </w:rPr>
        <w:t>确认。</w:t>
      </w:r>
    </w:p>
    <w:p w14:paraId="61002EC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总监理工程师应就工程变更费用及工期的评估情况与承包人和委托人进行协调。</w:t>
      </w:r>
    </w:p>
    <w:p w14:paraId="3C0F6E0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经承包人和委托人协商达成一致，并经委托人同意后，总监理工程师签发工程变更单。工程变更单应包括工程变更要求、工程变更说明、工程变更费用和工期、必要的附件等内容，有设计变更文件的工程变更应附设计变更文件。</w:t>
      </w:r>
    </w:p>
    <w:p w14:paraId="330DFEB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 项目监理机构应根据工程变更单监督承包人实施。</w:t>
      </w:r>
    </w:p>
    <w:p w14:paraId="6CEDB7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2）项目监理机构处理工程变更应符合下列要求：</w:t>
      </w:r>
    </w:p>
    <w:p w14:paraId="78EB6E1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370BACD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在项目监理机构未能就工程变更的质量、费用和工期方面取得委托人授权时，总监理工程师应协助委托人和承包人进行协商，并达成一致；</w:t>
      </w:r>
    </w:p>
    <w:p w14:paraId="1F84FC8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3）在总监理工程师签发工程变更单之前，监理人应监督承包人不得实施工程变更。</w:t>
      </w:r>
    </w:p>
    <w:p w14:paraId="2C3A739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4）未经总监理工程师审查同意而实施的工程变更，项目监理机构不得予以计量。</w:t>
      </w:r>
    </w:p>
    <w:p w14:paraId="6CEA186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 监理人必须按月度提交项目造价变更统计表给委托人。</w:t>
      </w:r>
    </w:p>
    <w:p w14:paraId="71D4909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（7）工程签证的管理</w:t>
      </w:r>
    </w:p>
    <w:p w14:paraId="0E140E0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委托人工程签证管理的相关以及施工合同规定的时限、范围等规定对工程的现场签证进行管理，因监理人把关不严，致使工程签证所发生的费用超过合理费用的（以政府主管部门审定价对照为准），由监理人按本合同专用条</w:t>
      </w:r>
      <w:r>
        <w:rPr>
          <w:rFonts w:hint="eastAsia" w:ascii="宋体" w:hAnsi="宋体" w:eastAsia="宋体" w:cs="宋体"/>
          <w:color w:val="auto"/>
          <w:sz w:val="24"/>
          <w:szCs w:val="21"/>
          <w:highlight w:val="none"/>
          <w:lang w:val="en-US" w:eastAsia="zh-CN"/>
        </w:rPr>
        <w:t>款</w:t>
      </w:r>
      <w:r>
        <w:rPr>
          <w:rFonts w:hint="eastAsia" w:ascii="宋体" w:hAnsi="宋体" w:eastAsia="宋体" w:cs="宋体"/>
          <w:color w:val="auto"/>
          <w:sz w:val="24"/>
          <w:szCs w:val="21"/>
          <w:highlight w:val="none"/>
        </w:rPr>
        <w:t>第</w:t>
      </w:r>
      <w:r>
        <w:rPr>
          <w:rFonts w:hint="eastAsia" w:ascii="宋体" w:hAnsi="宋体" w:eastAsia="宋体" w:cs="宋体"/>
          <w:color w:val="auto"/>
          <w:sz w:val="24"/>
          <w:szCs w:val="21"/>
          <w:highlight w:val="none"/>
          <w:lang w:val="en-US" w:eastAsia="zh-CN"/>
        </w:rPr>
        <w:t>四十二</w:t>
      </w:r>
      <w:r>
        <w:rPr>
          <w:rFonts w:hint="eastAsia" w:ascii="宋体" w:hAnsi="宋体" w:eastAsia="宋体" w:cs="宋体"/>
          <w:color w:val="auto"/>
          <w:sz w:val="24"/>
          <w:szCs w:val="21"/>
          <w:highlight w:val="none"/>
        </w:rPr>
        <w:t>条的有关约定承担违约责任。</w:t>
      </w:r>
    </w:p>
    <w:p w14:paraId="78CED46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2）所有的工程签证必须有监理人员的完整、清晰的原始记录凭证和监理人员拍照的有效工程图片，否则，总监理工程师不得签字、监理人不得盖章确认。</w:t>
      </w:r>
    </w:p>
    <w:p w14:paraId="550DDD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（8）分项工程结算工作的管理</w:t>
      </w:r>
    </w:p>
    <w:p w14:paraId="6B3CCDF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人应在分项工程（如排水分项工程、沥青分项工程、路灯分项工程等）完工并经验收合格后30天内督促承包人提交所完成的分项工程的结算文件（包括相关的结算资料），审核确认后提交委托人。如承包人未能在规定的期限内提交相关结算文件，监理人应立即报告委托人裁处。</w:t>
      </w:r>
    </w:p>
    <w:p w14:paraId="7D19BDC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）预算、结算的初审及配合服务</w:t>
      </w:r>
    </w:p>
    <w:p w14:paraId="2B4DD90E">
      <w:pPr>
        <w:pStyle w:val="2"/>
        <w:adjustRightInd w:val="0"/>
        <w:snapToGrid w:val="0"/>
        <w:spacing w:line="482" w:lineRule="exact"/>
        <w:ind w:firstLine="482" w:firstLineChars="20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监理人应在督促承包人提交工程的预算、结算文件（包括相关的资料）时，进行初步审核确认后提交委托人，其中预算和结算文件经注册造价师审核后，须签字并加盖执业印章确认，并配合第三方造价咨询单位及项目业主单位进行审核工作。</w:t>
      </w:r>
    </w:p>
    <w:p w14:paraId="1F50717E">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19、</w:t>
      </w:r>
      <w:r>
        <w:rPr>
          <w:rFonts w:hint="eastAsia" w:ascii="宋体" w:hAnsi="宋体" w:eastAsia="宋体" w:cs="宋体"/>
          <w:b w:val="0"/>
          <w:bCs w:val="0"/>
          <w:color w:val="auto"/>
          <w:sz w:val="24"/>
          <w:szCs w:val="21"/>
          <w:highlight w:val="none"/>
        </w:rPr>
        <w:t>工程进度控制工作</w:t>
      </w:r>
    </w:p>
    <w:p w14:paraId="65DBD5A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（1）项目监理机构应按下列程序进行工程进度控制：</w:t>
      </w:r>
    </w:p>
    <w:p w14:paraId="5F10358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1）总监理工程师审批承包人报送的施工总进度计划；</w:t>
      </w:r>
    </w:p>
    <w:p w14:paraId="74A6589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2）总监理工程师审批承包人编制的年、季、月度施工进度计划；</w:t>
      </w:r>
    </w:p>
    <w:p w14:paraId="356F600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3）专业监理工程师对进度计划实施情况检查、分析；</w:t>
      </w:r>
    </w:p>
    <w:p w14:paraId="52896D1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4）当实际进度符合计划进度时，应要求承包人编制下一期进度计划；当实际进度滞后于计划进度时，专业监理工程师应书面通知承包人采取纠偏措施并监督实施；</w:t>
      </w:r>
    </w:p>
    <w:p w14:paraId="28C21EF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（2）专业监理工程师应依据施工合同有关条款、施工图及经过批准的施工组织设计制定进度控制方案，对进度目标进行风险分析，制定防范性对策，经总监理工程师审定后报送委托人。</w:t>
      </w:r>
    </w:p>
    <w:p w14:paraId="7760514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专业监理工程师应检查进度计划的实施，并记录实际进度及其相关情况。监理人必须在每周向委托人提交周进度情况书面材料，并对施工方投入的机械、人力做统计，对施工单位的材料准备做建议和进度做分析和提出意见。</w:t>
      </w:r>
    </w:p>
    <w:p w14:paraId="66D50B1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（4）施工阶段的工程进度控制中的其他监理工作</w:t>
      </w:r>
    </w:p>
    <w:p w14:paraId="0F7735F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当发现实际进度滞后于计划进度时，应签发监理工程师通知单指令承包人采取调整措施。当实际进度严重滞后于计划进度时应及时报总监理工程师，由总监理工程师与委托人商定采取进一步措施。</w:t>
      </w:r>
    </w:p>
    <w:p w14:paraId="008AA1E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总监理工程师应在监理月报中向委托人报告工程进度和所采取进度控制措施的执行情况，并提出合理预防由委托人原因导致的工程延期及其相关费用索赔的建议。</w:t>
      </w:r>
    </w:p>
    <w:p w14:paraId="249D6A2C">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20、</w:t>
      </w:r>
      <w:r>
        <w:rPr>
          <w:rFonts w:hint="eastAsia" w:ascii="宋体" w:hAnsi="宋体" w:eastAsia="宋体" w:cs="宋体"/>
          <w:b w:val="0"/>
          <w:bCs w:val="0"/>
          <w:color w:val="auto"/>
          <w:sz w:val="24"/>
          <w:szCs w:val="21"/>
          <w:highlight w:val="none"/>
        </w:rPr>
        <w:t>工程安全控制工作</w:t>
      </w:r>
    </w:p>
    <w:p w14:paraId="5A48139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（1）本工程安全管理目标为无重大安全事故。</w:t>
      </w:r>
    </w:p>
    <w:p w14:paraId="20A202A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（2）工程安全控制应遵循下列程序：</w:t>
      </w:r>
    </w:p>
    <w:p w14:paraId="6F8F042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1）确定施工安全管理目标。</w:t>
      </w:r>
    </w:p>
    <w:p w14:paraId="654EFA3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2）编制工程安全保证计划。</w:t>
      </w:r>
    </w:p>
    <w:p w14:paraId="38C4658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3）实施工程安全计划。</w:t>
      </w:r>
    </w:p>
    <w:p w14:paraId="445E086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4）工程安全保证计划验证。</w:t>
      </w:r>
    </w:p>
    <w:p w14:paraId="59E30AC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5）持续改进。</w:t>
      </w:r>
    </w:p>
    <w:p w14:paraId="54F10E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（3）编制安全监理实施细则，对施工中人的不安全行为，物的不安全状态，作业环境的不安全因素和管理缺陷进行相应的安全控制。</w:t>
      </w:r>
    </w:p>
    <w:p w14:paraId="6C46F2B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检查项目施工安全目标的要求配置的资源是否满足需要。发出开工令前，应对照临时用电方案检查验收临时施工用电，必须要求施工单位临时施工用电按TN-S系统布设线路，必须要求施工承包人安全员到位，并检查各类人员上岗证等，全面评估安全措施落实情况，达不到安全管理要求的，要求承包人整改到满足要求为止。</w:t>
      </w:r>
    </w:p>
    <w:p w14:paraId="1F7A808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（5）要求承包人对结构复杂、施工难度大、专业性强的排水基坑开挖支护、临时用电、交通疏导等项目和达到一定规模的危险性较大的分部分项工程编制专项施工方案，必要时，组织专家进行论证、审查。</w:t>
      </w:r>
    </w:p>
    <w:p w14:paraId="265ADB9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（6）每月必须组织一次安全大检查考核和评价，平时根据需要做专项安全检查，并保留完整检查记录，对施工中存在的不安全行为和隐患，分析原因并制定相应整改防范措施。</w:t>
      </w:r>
    </w:p>
    <w:p w14:paraId="312B3D6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（7）采取随机抽样、现场观察、实地检测相结合的方法进行安全检查，并记录检测结果。对现场管理人员的违章指挥和操作人员的违章作业行为应进行纠正。</w:t>
      </w:r>
    </w:p>
    <w:p w14:paraId="36835DB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（8）对检查结果进行分析，找出安全隐患部位，确定危险程度。</w:t>
      </w:r>
    </w:p>
    <w:p w14:paraId="653FB9D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（9）对检查出的隐患立即发出安全隐患整改通知单。受检单位应对安全隐患原因进行分析，制定和落实纠正和预防措施。</w:t>
      </w:r>
    </w:p>
    <w:p w14:paraId="2C13DBA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（10）对纠正预防措施的实施过程和实施效果应进行跟踪检查，保存验证记录。</w:t>
      </w:r>
    </w:p>
    <w:p w14:paraId="79DE58F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（11）安全质量事故的处理</w:t>
      </w:r>
    </w:p>
    <w:p w14:paraId="18F2243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对于发生的安全质量事故，监理人及时的向委托人及政府相关部门报告，同时应积极保护事故现场，收集相关的原始资料。监理人在调查事故情况并分析原因、责任后，应提交事故调查分析报告提交委托人及政府相关部门。监理人同时应提交相应的防范措施以防止同类事故再次发生。</w:t>
      </w:r>
    </w:p>
    <w:p w14:paraId="531354C3">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21、</w:t>
      </w:r>
      <w:r>
        <w:rPr>
          <w:rFonts w:hint="eastAsia" w:ascii="宋体" w:hAnsi="宋体" w:eastAsia="宋体" w:cs="宋体"/>
          <w:b w:val="0"/>
          <w:bCs w:val="0"/>
          <w:color w:val="auto"/>
          <w:sz w:val="24"/>
          <w:szCs w:val="21"/>
          <w:highlight w:val="none"/>
        </w:rPr>
        <w:t>工程材料设备控制工作</w:t>
      </w:r>
    </w:p>
    <w:p w14:paraId="1F9F9C0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（1）乙供材料设备的管理</w:t>
      </w:r>
    </w:p>
    <w:p w14:paraId="7A453EE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1）严格对承包人的砼管材来源、进场检验和使用前检验，发现使用劣质或不合格产品，必须禁止使用和报告委托人。</w:t>
      </w:r>
    </w:p>
    <w:p w14:paraId="479A371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2）严格对沥青原材料、骨料等按施工设计图、试验检验标准等要求，派人员到试验室、沥青砼搅拌站场旁站监理。 尤其要对沥青砼的级配，材料的计量、搅拌的质量等严格检查和做监理记录。</w:t>
      </w:r>
    </w:p>
    <w:p w14:paraId="4731B87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3）审核工程总体材料设备使用计划和月度材料设备分批使用计划。</w:t>
      </w:r>
    </w:p>
    <w:p w14:paraId="6F1FB25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4）审核施工单位选定的材料设备合格供货商并对样品进行封存。</w:t>
      </w:r>
    </w:p>
    <w:p w14:paraId="7CCBBC3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5）督促并审核施工单位签订材料设备供货合同。</w:t>
      </w:r>
    </w:p>
    <w:p w14:paraId="06914F0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6）组织施工单位拟定准确的材料设备进场计划，及时进行材料设备的采购及供货。</w:t>
      </w:r>
    </w:p>
    <w:p w14:paraId="21F3744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7）组织施工单位认真清点到货材料设备，在安装材料设备过程中及安装后应进行监督、检验，把好质量关。</w:t>
      </w:r>
    </w:p>
    <w:p w14:paraId="1D141AC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8）对施工单位所定材料设备规格、型号、数量、质量必须严格把关，发现货不对板情况应及时向委托人汇报。</w:t>
      </w:r>
    </w:p>
    <w:p w14:paraId="47068D9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9）负责材料设备安装、调试、验收过程中的投资、质量、进度控制。</w:t>
      </w:r>
    </w:p>
    <w:p w14:paraId="0481733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10）审核施工单位提供的材料设备的结算资料。</w:t>
      </w:r>
    </w:p>
    <w:p w14:paraId="3358510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11）检查质量保证期工作。</w:t>
      </w:r>
    </w:p>
    <w:p w14:paraId="53E9866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（2）甲管乙供材料设备的管理</w:t>
      </w:r>
    </w:p>
    <w:p w14:paraId="7A5BD32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1）参加材料设备的设计联络会。</w:t>
      </w:r>
    </w:p>
    <w:p w14:paraId="1F4D523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2）审核施工单位提供的材料设备数量。</w:t>
      </w:r>
    </w:p>
    <w:p w14:paraId="7E40F29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3）督促并审核施工单位签订材料设备供货合同及合同款的支付情况。</w:t>
      </w:r>
    </w:p>
    <w:p w14:paraId="33282F0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4）审核并批准施工单位编制的材料设备生产和到货进度计划。</w:t>
      </w:r>
    </w:p>
    <w:p w14:paraId="69DC7F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5）监督检查施工单位对材料设备生产的质量控制。</w:t>
      </w:r>
    </w:p>
    <w:p w14:paraId="5E98EB8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6）参加出厂验收。</w:t>
      </w:r>
    </w:p>
    <w:p w14:paraId="24B57B9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7）审核施工单位编制的材料设备安装、调试、验收计划。</w:t>
      </w:r>
    </w:p>
    <w:p w14:paraId="315660D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8）主持施工图交底审查会。</w:t>
      </w:r>
    </w:p>
    <w:p w14:paraId="0D981F3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9）检查施工单位为材料设备提供运输所需通道和卸货作业场地及材料设备仓库或符合要求的材料堆放场地的落实情况。</w:t>
      </w:r>
    </w:p>
    <w:p w14:paraId="67C144D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10）参加材料设备的到货验收、开箱检验，并签署相关文件。</w:t>
      </w:r>
    </w:p>
    <w:p w14:paraId="1AEE185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11）负责材料设备安装、调试、验收过程中的投资、质量、进度控制。</w:t>
      </w:r>
    </w:p>
    <w:p w14:paraId="4004DB1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12）审核施工单位提供的材料设备的结算资料。</w:t>
      </w:r>
    </w:p>
    <w:p w14:paraId="6CE618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13）检查质量保证期工作。</w:t>
      </w:r>
    </w:p>
    <w:p w14:paraId="6979D02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（3）施工阶段材料设备控制中的其它监理工作</w:t>
      </w:r>
    </w:p>
    <w:p w14:paraId="2D8F5D71">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22、</w:t>
      </w:r>
      <w:r>
        <w:rPr>
          <w:rFonts w:hint="eastAsia" w:ascii="宋体" w:hAnsi="宋体" w:eastAsia="宋体" w:cs="宋体"/>
          <w:b w:val="0"/>
          <w:bCs w:val="0"/>
          <w:color w:val="auto"/>
          <w:sz w:val="24"/>
          <w:szCs w:val="21"/>
          <w:highlight w:val="none"/>
        </w:rPr>
        <w:t>工程合同管理工作</w:t>
      </w:r>
    </w:p>
    <w:p w14:paraId="7565916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（1）建立合同实施的保证体系，使工程项目的全部合同事件处于控制中，保证合同目标的实现。</w:t>
      </w:r>
    </w:p>
    <w:p w14:paraId="2AE5C6C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（2）建立合同管理文档系统。应建立与相适应的编码系统和文档系统，将各种合同资料能方便的进行保存与查询。 </w:t>
      </w:r>
    </w:p>
    <w:p w14:paraId="72FADFE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（3）建立合同文件沟通方式。承包人和委托人、监理工程师、分包人之间的有关合同的文件沟通都应以书面形式进行。</w:t>
      </w:r>
    </w:p>
    <w:p w14:paraId="1665E3E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（4）合同实施监督：监督总承包人、分包人严格执行合同，并做好各分包人的协调和管理工作。同时也应督促委托人执行其合同责任，以保证工程顺利进行。</w:t>
      </w:r>
    </w:p>
    <w:p w14:paraId="016F0D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（5）合同跟踪和诊断</w:t>
      </w:r>
    </w:p>
    <w:p w14:paraId="1677B4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1）全面收集并分析合同实施的信息与工程资料，将合同实施情况与合同分析资料进行对比分析，找出其中的偏离。尤其要加强对施工承包人的违约前状况分析。</w:t>
      </w:r>
    </w:p>
    <w:p w14:paraId="633FFD7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对合同履行情况做出诊断。合同诊断包括：合同执行差异的原因分析、合同差异责任分析、合同实施趋向预测。及时通报合同实施情况及问题，提出合同实施方面的意见、建议、甚至警告。尤其要加强对施工承包人的违约处理的书面意见。</w:t>
      </w:r>
    </w:p>
    <w:p w14:paraId="347D687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3）对于发现的问题，及时采取对应的管理措施，防止问题的扩大和重复发生。</w:t>
      </w:r>
    </w:p>
    <w:p w14:paraId="17D682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（6）严格合同变更管理，包括变更谈判、变更的处理程序，落实变更的措施，修改变更相关的资料，检查变更措施的落实情况。 </w:t>
      </w:r>
    </w:p>
    <w:p w14:paraId="50CAEC9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65C887F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（8）合同终止和后评价：合同按约定履行结束后，合同即告终止。及时进行合同后评价，总结合同签订和执行过程中的利弊得失、经验教训，作为改进以后工程合同管理工作的借鉴。</w:t>
      </w:r>
    </w:p>
    <w:p w14:paraId="206B369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（9）合同后评估应包括如下内容：</w:t>
      </w:r>
    </w:p>
    <w:p w14:paraId="448FC23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1）合同签订情况评价。</w:t>
      </w:r>
    </w:p>
    <w:p w14:paraId="4611F9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2）合同执行情况评价。</w:t>
      </w:r>
    </w:p>
    <w:p w14:paraId="5DAA02D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3）合同管理工作评价。</w:t>
      </w:r>
    </w:p>
    <w:p w14:paraId="3328355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4）对本项目有重大影响的合同条款的评价。</w:t>
      </w:r>
    </w:p>
    <w:p w14:paraId="44A0E41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（10）合同管理中的其他监理工作</w:t>
      </w:r>
    </w:p>
    <w:p w14:paraId="0B8C29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1）费用索赔的处理</w:t>
      </w:r>
    </w:p>
    <w:p w14:paraId="2D4D6A5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专业监理工程师应及时收集、整理有关的施工和监理资料，为处理可能发生的费用索赔提供证据。</w:t>
      </w:r>
    </w:p>
    <w:p w14:paraId="45F2118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a）项目监理机构处理费用索赔应依据下列内容：</w:t>
      </w:r>
    </w:p>
    <w:p w14:paraId="75FFE98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国家有关的法律、法规和工程项目所在地的地方法规；</w:t>
      </w:r>
    </w:p>
    <w:p w14:paraId="3A1EEF3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本工程的施工合同文件；</w:t>
      </w:r>
    </w:p>
    <w:p w14:paraId="0109081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国家、部门和地方有关的标准、规范和定额；</w:t>
      </w:r>
    </w:p>
    <w:p w14:paraId="0723236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施工合同履行过程中与索赔事件有关的凭证。</w:t>
      </w:r>
    </w:p>
    <w:p w14:paraId="114B106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b）当承包人提出费用索赔的理由同时满足以下条件时，项目监理机构应予以受理：</w:t>
      </w:r>
    </w:p>
    <w:p w14:paraId="7F74C41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索赔事件造成了承包人直接经济损失；</w:t>
      </w:r>
    </w:p>
    <w:p w14:paraId="2CE173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索赔事件是由于非承包人的责任发生的；</w:t>
      </w:r>
    </w:p>
    <w:p w14:paraId="2050E87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承包人已按照施工合同规定的期限和程序提出费用索赔申请表，并附有索赔凭证材料。</w:t>
      </w:r>
    </w:p>
    <w:p w14:paraId="53BF70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c）承包人向委托人提出费用索赔，项目监理机构应按下列程序处理：</w:t>
      </w:r>
    </w:p>
    <w:p w14:paraId="0B8423D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承包人在施工合同规定的期限内向项目监理机构提交对委托人的费用索赔意向通知书；</w:t>
      </w:r>
    </w:p>
    <w:p w14:paraId="7D7CA99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总监理工程师指定专业监理工程师收集与索赔有关的资料；</w:t>
      </w:r>
    </w:p>
    <w:p w14:paraId="42596E4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承包人在承包合同规定的期限内向项目监理机构提交对委托人的费用索赔申请表；</w:t>
      </w:r>
    </w:p>
    <w:p w14:paraId="7EAAE01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总监理工程师初步审查费用索赔申请表，符合上述b）款规定的条件时予以受理；</w:t>
      </w:r>
    </w:p>
    <w:p w14:paraId="778AC3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总监理工程师进行费用索赔审查，并在初步确定一个额度后，与承包人和委托人进行协商；</w:t>
      </w:r>
    </w:p>
    <w:p w14:paraId="120C139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 总监理工程师应在施工合同规定的期限内签署费用索赔审批表，或在施工合同规定的期限内发出要求承包人提交有关索赔报告的进一步详细资料的通知，待收到承包人提交的详细资料后，按上述的第④、⑤、⑥款的程序进行。</w:t>
      </w:r>
    </w:p>
    <w:p w14:paraId="102C820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d）当承包人的费用索赔要求与工程延期要求相关联时，总监理工程师在作出费用索赔的批准决定时，应与工程延期的批准联系起来，综合作出费用索赔和工程延期的决定。</w:t>
      </w:r>
    </w:p>
    <w:p w14:paraId="2666B96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e）由于承包人的原因造成委托人的额外损失，委托人向承包人提出费用索赔时，总监理工程师在审查索赔报告后，应公正地与委托人和承包人进行协商，并及时作出答复。</w:t>
      </w:r>
    </w:p>
    <w:p w14:paraId="5ED94EC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2）合同争议的调解</w:t>
      </w:r>
    </w:p>
    <w:p w14:paraId="39F7156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a）项目监理机构接到合同争议的调解要求后应进行以下工作：</w:t>
      </w:r>
    </w:p>
    <w:p w14:paraId="1F41891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及时了解合同争议的全部情况，包括进行调查和取证；</w:t>
      </w:r>
    </w:p>
    <w:p w14:paraId="7473F64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及时与合同争议的双方进行磋商；</w:t>
      </w:r>
    </w:p>
    <w:p w14:paraId="3EEA9FB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在项目监理机构提出调解方案后，由总监理工程师进行争议调解；</w:t>
      </w:r>
    </w:p>
    <w:p w14:paraId="73094A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当调解未能达成一致时，总监理工程师应在施工合同规定的期限内提出处理该合同争议的意见；</w:t>
      </w:r>
    </w:p>
    <w:p w14:paraId="30796FC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在争议调解过程中，除已达到了施工合同规定的暂停履行合同的条件之外，项目监理机构应要求施工合同的双方继续履行施工合同。</w:t>
      </w:r>
    </w:p>
    <w:p w14:paraId="28574D1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b）在总监理工程师签发合同争议处理意见后，委托人或承包人在施工合同规定的期限内未对合同争议处理决定提出异议，在符合施工合同的前提下，此意见应成为最后的决定，双方必须执行。</w:t>
      </w:r>
    </w:p>
    <w:p w14:paraId="5AB724C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c）在合同争议的仲裁或诉讼过程中，项目监理机构接到仲裁机关或法院要求提供有关证据的通知后，应公正地向仲裁机关或法院提供与争议有关的证据。</w:t>
      </w:r>
    </w:p>
    <w:p w14:paraId="3B28ABF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3）合同解除的相关工作</w:t>
      </w:r>
    </w:p>
    <w:p w14:paraId="54D17FE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a）施工合同的解除必须符合法律程序。</w:t>
      </w:r>
    </w:p>
    <w:p w14:paraId="0830902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0B222B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承包人已完成的工程量表中所列的各项工作所应得的款项；</w:t>
      </w:r>
    </w:p>
    <w:p w14:paraId="7F1BDD2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按批准的采购计划订购工程材料、设备、构配件的款项；</w:t>
      </w:r>
    </w:p>
    <w:p w14:paraId="6D3E14B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承包人撤离施工设备至原基地或其他目的地的合理费用；</w:t>
      </w:r>
    </w:p>
    <w:p w14:paraId="72326C0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承包人所有人员的合理遣返费用；</w:t>
      </w:r>
    </w:p>
    <w:p w14:paraId="6BBD445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合理的利润补偿；</w:t>
      </w:r>
    </w:p>
    <w:p w14:paraId="39D5F8F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 施工合同规定的委托人应支付的违约金。</w:t>
      </w:r>
    </w:p>
    <w:p w14:paraId="13E120D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c）由于承包人违约导致施工合同终止后，项目监理机构应按下列程序清理承包人的应得款项，或偿还委托人的相关款项，并书面通知委托人和承包人：</w:t>
      </w:r>
    </w:p>
    <w:p w14:paraId="23D362A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施工合同终止时，清理承包人已按施工合同规定实际完成的工作所应得的款项和已经得到支付的款项；</w:t>
      </w:r>
    </w:p>
    <w:p w14:paraId="145410B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施工现场余留的材料、设备及临时工程的价值；</w:t>
      </w:r>
    </w:p>
    <w:p w14:paraId="5CA463C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对已完工程进行检查和验收、移交工程资料、该部分工程的清理、质量缺陷修复等所需的费用；</w:t>
      </w:r>
    </w:p>
    <w:p w14:paraId="61A4057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施工合同规定的承包人应支付的违约金；</w:t>
      </w:r>
    </w:p>
    <w:p w14:paraId="650149C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总监理工程师按照施工合同的规定，在与委托人和承包人协商后，书面提交承包人应得款项或偿还委托人款项的证明。</w:t>
      </w:r>
    </w:p>
    <w:p w14:paraId="6ECE643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d）由于不可抗力或非委托人、承包人原因导致施工合同终止时，项目监理机构应按施工合同规定处理合同解除后的有关事宜。</w:t>
      </w:r>
    </w:p>
    <w:p w14:paraId="792A8E67">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23、</w:t>
      </w:r>
      <w:r>
        <w:rPr>
          <w:rFonts w:hint="eastAsia" w:ascii="宋体" w:hAnsi="宋体" w:eastAsia="宋体" w:cs="宋体"/>
          <w:b w:val="0"/>
          <w:bCs w:val="0"/>
          <w:color w:val="auto"/>
          <w:sz w:val="24"/>
          <w:szCs w:val="21"/>
          <w:highlight w:val="none"/>
        </w:rPr>
        <w:t>工程信息管理工作</w:t>
      </w:r>
    </w:p>
    <w:p w14:paraId="7EAE752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14:paraId="333EF1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1）有关政策文件、法规、技术规范、质量标准等。</w:t>
      </w:r>
    </w:p>
    <w:p w14:paraId="4AAEB89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2）设计及有关批准文件、图纸会审记录、设计变更设计文件等。</w:t>
      </w:r>
    </w:p>
    <w:p w14:paraId="70D0C01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3）招投标文件、工程建设合同、协议、补充协议等。</w:t>
      </w:r>
    </w:p>
    <w:p w14:paraId="550375F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4）与委托人、承包人及工程有关单位之间的往来文件。</w:t>
      </w:r>
    </w:p>
    <w:p w14:paraId="61FFA57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5）承包人施工组织设计、临时工程设计、方案等资料。</w:t>
      </w:r>
    </w:p>
    <w:p w14:paraId="4FD3EEC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6）各种材料报验、材料、构配件、机械设备的技术资料、检测、试验报告等资料。</w:t>
      </w:r>
    </w:p>
    <w:p w14:paraId="364E4CF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7）各种报验、验收、报告、报表、计量、支付、施工记录、现场签证、质量、进度状况记录等资料。</w:t>
      </w:r>
    </w:p>
    <w:p w14:paraId="34C98C3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8）监理日记、巡查、旁站记录、工程照片、事故处理资料、关键的检查资料。</w:t>
      </w:r>
    </w:p>
    <w:p w14:paraId="1B93FD2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9）监理通知、会议记要、备忘录、合同执行情况、监理月报、监理报告、总结、评估等。</w:t>
      </w:r>
    </w:p>
    <w:p w14:paraId="0192141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10）工序验收、检验批验收、分项验收、分部（或子分部）验收、中间验收、竣工验收（交工/完工验收）资料。</w:t>
      </w:r>
    </w:p>
    <w:p w14:paraId="1161788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11）消防验收、防疫验收、环保验收、装修室内辐射/空气等专项验收资料。</w:t>
      </w:r>
    </w:p>
    <w:p w14:paraId="618518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12）监理制度、规定与管理办法等内部文件。</w:t>
      </w:r>
    </w:p>
    <w:p w14:paraId="7C889F7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13）安全、文明生产控制资料等。</w:t>
      </w:r>
    </w:p>
    <w:p w14:paraId="0BB436C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（2）建立信息管理制度，严格信息采集、编排、查阅、归档保存的管理办法，由专人实施。监理资料的管理必须满足以下要求：</w:t>
      </w:r>
    </w:p>
    <w:p w14:paraId="04A99F9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1）监理资料必须及时整理、真实完整、分类有序。</w:t>
      </w:r>
    </w:p>
    <w:p w14:paraId="09DFE50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2）监理资料的管理应由总监理工程师负责，并指定专人具体实施。</w:t>
      </w:r>
    </w:p>
    <w:p w14:paraId="3019B3E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3）监理资料应在各阶段监理工作结束后及时整理归档。</w:t>
      </w:r>
    </w:p>
    <w:p w14:paraId="6D886E3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4）监理档案的编制及保存应按有关规定执行。</w:t>
      </w:r>
    </w:p>
    <w:p w14:paraId="65BB7CC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（3）配备专职信息管理员，采用电子计算机建立易于结构化和标准化的信息管理系统，进行系统、科学先进和信息化管理。</w:t>
      </w:r>
    </w:p>
    <w:p w14:paraId="2C22123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（4）对所收集的信息必须进行分析，确保其准确、全面、来源可靠，且要求为正式资料。</w:t>
      </w:r>
    </w:p>
    <w:p w14:paraId="24277FF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（5）及时将采集到的信息进行筛选分类，分别通报给有关领导、职能部门和有关人员审阅和签署意见。</w:t>
      </w:r>
    </w:p>
    <w:p w14:paraId="5C651E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（6）建立主体数据库系统结构，及时对信息分类保存、要求列名事件、题目、来源、概要、经办人或其他基本情况。</w:t>
      </w:r>
    </w:p>
    <w:p w14:paraId="4C9271E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（7）对信息资料收集和反馈进行跟踪，对信息进行动态管理。</w:t>
      </w:r>
    </w:p>
    <w:p w14:paraId="43E1F1D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（8）涉及国家机密或各单位商业秘密的信息资料保管工作应制订保密管理细则，防止机密泄漏，避免造成经济损失和政治影响。</w:t>
      </w:r>
    </w:p>
    <w:p w14:paraId="742C12A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（9）有保留价值的信息，经请示有关领导后可以消除，但应做好登记。</w:t>
      </w:r>
    </w:p>
    <w:p w14:paraId="470E97C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（10）工程结束后，信息的保管与处理按有关规定进行整理存档、移交，并办理好移交签收手续。</w:t>
      </w:r>
    </w:p>
    <w:p w14:paraId="51917D78">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24、</w:t>
      </w:r>
      <w:r>
        <w:rPr>
          <w:rFonts w:hint="eastAsia" w:ascii="宋体" w:hAnsi="宋体" w:eastAsia="宋体" w:cs="宋体"/>
          <w:b w:val="0"/>
          <w:bCs w:val="0"/>
          <w:color w:val="auto"/>
          <w:sz w:val="24"/>
          <w:szCs w:val="21"/>
          <w:highlight w:val="none"/>
        </w:rPr>
        <w:t>工程项目沟通与协调</w:t>
      </w:r>
    </w:p>
    <w:p w14:paraId="562B28A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（1）建立项目沟通与协调管理系统，健全各项制度，并本着“严格守法、遵守公德”的原则，以维护各相关方的利益为前提，应用先进、实用的方法和手段，有效解决项目实施过程中的问题。</w:t>
      </w:r>
    </w:p>
    <w:p w14:paraId="4F7368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制定项目沟通管理计划，按内容分主要有：施工进度、质量、安全、成本、资金、环保、设计变更、索赔、材料供应、设备使用、人力资源、文明工地建设、思想政治工作等；按时间分主要有：项目管理实施规划、年度计划、半年计划、季度计划、月计划、旬计划、周计划等。</w:t>
      </w:r>
    </w:p>
    <w:p w14:paraId="34C18B4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（3）项目沟通管理计划明确沟通的具体内容、对象、方式、目标、责任人、完成时间、奖罚措施等，并定期或不定期地进行检查、考核和评价，确保沟通计划落到实处。</w:t>
      </w:r>
    </w:p>
    <w:p w14:paraId="3DAA3A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67583A7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定期组织召开委托人（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13038D7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（6）妥善处理各分项工程之间的施工配合，要求各承包人提出需要配合的问题，如施工场地的要求、施工用水、用电、交叉作业的相互影响，施工收口处理、建筑成品保护要求及需要采取的配合措施等。</w:t>
      </w:r>
    </w:p>
    <w:p w14:paraId="416DCFDD">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25、</w:t>
      </w:r>
      <w:r>
        <w:rPr>
          <w:rFonts w:hint="eastAsia" w:ascii="宋体" w:hAnsi="宋体" w:eastAsia="宋体" w:cs="宋体"/>
          <w:b w:val="0"/>
          <w:bCs w:val="0"/>
          <w:color w:val="auto"/>
          <w:sz w:val="24"/>
          <w:szCs w:val="21"/>
          <w:highlight w:val="none"/>
        </w:rPr>
        <w:t>提交监理月报</w:t>
      </w:r>
    </w:p>
    <w:p w14:paraId="4CCB55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施工阶段的监理月报应包括以下内容：</w:t>
      </w:r>
    </w:p>
    <w:p w14:paraId="32B862F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（1）本月工程概况；</w:t>
      </w:r>
    </w:p>
    <w:p w14:paraId="2BE397D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（2）本月工程形象进度；</w:t>
      </w:r>
    </w:p>
    <w:p w14:paraId="6BAAEB2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（3）工程进度：</w:t>
      </w:r>
    </w:p>
    <w:p w14:paraId="28DA324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1)本月实际完成情况与计划进度比较；</w:t>
      </w:r>
    </w:p>
    <w:p w14:paraId="7093FC7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2)对进度完成情况及采取措施效果的分析。</w:t>
      </w:r>
    </w:p>
    <w:p w14:paraId="421C884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（4）工程质量：</w:t>
      </w:r>
    </w:p>
    <w:p w14:paraId="635541E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1)本月工程质量情况分析；</w:t>
      </w:r>
    </w:p>
    <w:p w14:paraId="34CF6E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2)本月采取的工程质量措施及效果。</w:t>
      </w:r>
    </w:p>
    <w:p w14:paraId="09CC78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（5）工程计量与工程款支付：</w:t>
      </w:r>
    </w:p>
    <w:p w14:paraId="1FD87F5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1)工程量审核情况；</w:t>
      </w:r>
    </w:p>
    <w:p w14:paraId="27889BE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2)工程款审批情况及月支付情况；</w:t>
      </w:r>
    </w:p>
    <w:p w14:paraId="1A9E81A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3)工程款支付情况分析；</w:t>
      </w:r>
    </w:p>
    <w:p w14:paraId="4C85AD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4)本月采取的措施及效果。</w:t>
      </w:r>
    </w:p>
    <w:p w14:paraId="1EE6925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（6）合同其他事项的处理情况：</w:t>
      </w:r>
    </w:p>
    <w:p w14:paraId="4F991DC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1)工程变更；</w:t>
      </w:r>
    </w:p>
    <w:p w14:paraId="7306934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2)工程延期；</w:t>
      </w:r>
    </w:p>
    <w:p w14:paraId="61CDB8D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3)费用索赔。</w:t>
      </w:r>
    </w:p>
    <w:p w14:paraId="6A63C58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（7）本月监理工作小结：</w:t>
      </w:r>
    </w:p>
    <w:p w14:paraId="4275D25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1)对本月进度、质量、工程款支付、安全文明施工等方面情况的综合评价；</w:t>
      </w:r>
    </w:p>
    <w:p w14:paraId="37A6EF5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2)本月监理工作情况；</w:t>
      </w:r>
    </w:p>
    <w:p w14:paraId="57E37C9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3)有关本工程的意见和建议；</w:t>
      </w:r>
    </w:p>
    <w:p w14:paraId="72E1423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4)下月监理工作的重点。</w:t>
      </w:r>
    </w:p>
    <w:p w14:paraId="210C5A0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监理月报应由总监理工程师组织编制，签认后报委托人和本监理人总部。</w:t>
      </w:r>
    </w:p>
    <w:p w14:paraId="239AE1BF">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26、</w:t>
      </w:r>
      <w:r>
        <w:rPr>
          <w:rFonts w:hint="eastAsia" w:ascii="宋体" w:hAnsi="宋体" w:eastAsia="宋体" w:cs="宋体"/>
          <w:b w:val="0"/>
          <w:bCs w:val="0"/>
          <w:color w:val="auto"/>
          <w:sz w:val="24"/>
          <w:szCs w:val="21"/>
          <w:highlight w:val="none"/>
        </w:rPr>
        <w:t>施工阶段的其他监理工作</w:t>
      </w:r>
    </w:p>
    <w:p w14:paraId="6ED73A9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（1）工地例会</w:t>
      </w:r>
    </w:p>
    <w:p w14:paraId="6D0AFD8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1）在施工过程中，总监理工程师应定期主持召开工地例会。工地例会应按委托人提供的例会细则执行。会议纪要应由项目监理机构负责起草，并经与会各方代表会签。</w:t>
      </w:r>
    </w:p>
    <w:p w14:paraId="69C87CA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2）工地例会按“工地例会管理制度”执行，应包括以下主要内容：</w:t>
      </w:r>
    </w:p>
    <w:p w14:paraId="01A1F01D">
      <w:pPr>
        <w:pStyle w:val="3"/>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检查上次例会议定事项的落实情况，分析未完事项原因；</w:t>
      </w:r>
    </w:p>
    <w:p w14:paraId="073C372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检查分析工程项目进度计划完成情况，提出下一阶段进度目标及其落实措施；</w:t>
      </w:r>
    </w:p>
    <w:p w14:paraId="08126B3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检查分析工程项目质量状况，针对存在的质量问题提出改进措施；</w:t>
      </w:r>
    </w:p>
    <w:p w14:paraId="70E8393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检查工程量核定及工程款支付情况；</w:t>
      </w:r>
    </w:p>
    <w:p w14:paraId="135721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检讨工作联系单的相关内容的执行情况，解决需要协调的有关事项；</w:t>
      </w:r>
    </w:p>
    <w:p w14:paraId="4066052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 其他有关事宜。</w:t>
      </w:r>
    </w:p>
    <w:p w14:paraId="5268690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3）总监理工程师或专业监理工程师应根据需要及时组织专题会议，解决施工过程中的各种专项问题。</w:t>
      </w:r>
    </w:p>
    <w:p w14:paraId="3A78E94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（2）工程暂停及复工的相关工作</w:t>
      </w:r>
    </w:p>
    <w:p w14:paraId="32171CC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1）总监理工程师在签发工程暂停令时，应根据暂停工程的影响范围和影响程度，按照施工合同和委托监理合同的约定签发。</w:t>
      </w:r>
    </w:p>
    <w:p w14:paraId="2967A8C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2）在发生下列情况之一时，总监理工程师可签发工程暂停令：</w:t>
      </w:r>
    </w:p>
    <w:p w14:paraId="736A5BF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委托人要求暂停施工且工程需要暂停施工；</w:t>
      </w:r>
    </w:p>
    <w:p w14:paraId="06D3162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为了保证工程质量而需要进行停工处理；</w:t>
      </w:r>
    </w:p>
    <w:p w14:paraId="7479E01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施工出现了安全隐患，总监理工程师认为有必要停工以消除隐患；</w:t>
      </w:r>
    </w:p>
    <w:p w14:paraId="10E686E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发生了必须暂时停止施工的紧急事件；</w:t>
      </w:r>
    </w:p>
    <w:p w14:paraId="70BC7B3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承包人未经许可擅自施工或拒绝项目监理机构管理。</w:t>
      </w:r>
    </w:p>
    <w:p w14:paraId="1A7A8B1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3）总监理工程师在签发工程暂停令时，应根据停工原因的影响范围和影响程度，确定工程项目停工范围。</w:t>
      </w:r>
    </w:p>
    <w:p w14:paraId="2F92C7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4）由于非承包人且非上述2）项中②、③、④、⑤款原因时，总监理工程师在签发工程暂停令之前，应就有关工期和费用等事宜与承包人进行协商。</w:t>
      </w:r>
    </w:p>
    <w:p w14:paraId="4453FE6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5541E05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6）由于承包人原因导致工程暂停，在具备恢复施工条件时，项目监理机构应审查承包人报送的复工申请及有关材料，同意后由总监理工程师签署工程复工报审表，指令承包人继续施工。</w:t>
      </w:r>
    </w:p>
    <w:p w14:paraId="0664E68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7）总监理工程师在签发工程暂停令到签发工程复工报审表之间的时间内，应会同有关各方按照施工合同的约定，处理因工程暂停引起的与工期、费用等有关的问题。</w:t>
      </w:r>
    </w:p>
    <w:p w14:paraId="4428E55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（3）工程延期及工程延误的处理工作</w:t>
      </w:r>
    </w:p>
    <w:p w14:paraId="59221ED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1）当承包人提出工程延期要求符合施工合同文件的规定条件时，项目监理机构应予以受理。</w:t>
      </w:r>
    </w:p>
    <w:p w14:paraId="4D4612F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6394EA0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3）项目监理机构在作出临时工程延期批准或最终的工程延期批准之前，均应与委托人和承包人进行协商。</w:t>
      </w:r>
    </w:p>
    <w:p w14:paraId="76FDB0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4）项目监理机构在审查工程延期时，应依下列情况确定批准工程延期的时间：</w:t>
      </w:r>
    </w:p>
    <w:p w14:paraId="35A60AC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施工合同中有关工程延期的约定；</w:t>
      </w:r>
    </w:p>
    <w:p w14:paraId="41530B6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工期拖延和影响工期事件的事实和程度；</w:t>
      </w:r>
    </w:p>
    <w:p w14:paraId="6987B1D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影响工期事件对工期影响的量化程度。</w:t>
      </w:r>
    </w:p>
    <w:p w14:paraId="2B21F54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5）工程延期造成承包人提出费用索赔时，项目监理机构应按本条4.1.3.6-（13）-1）款的约定处理。</w:t>
      </w:r>
    </w:p>
    <w:p w14:paraId="012E158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6）当承包人未能按照施工合同要求的工期竣工交付造成工期延误时，项目监理机构应按施工合同规定从承包人应得款项中扣除误期损害赔偿费。</w:t>
      </w:r>
    </w:p>
    <w:p w14:paraId="72284DC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账户监管。监理人应允许委托人对其工程款账户进行监管，委托人应及时掌握账户内资金流出情况。监理人依法分包或劳务分包的，监理人应对分包企业及劳务企业的相应账户进行监管，掌握资金流出情况。委托人或监理人发现问题的，应及时向相关行政监督部门报备。</w:t>
      </w:r>
    </w:p>
    <w:p w14:paraId="699347B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监理人应根据《广州市2018年度大气污染综合防治工作计划》（穗水质安【2018】45号）及后续文件的要求，督促施工单位制定施工现场扬尘污染防治方案并对方案进行审核。监理人在实施监理过程中，应对扬尘治理措施实行监理，定期组织检查。</w:t>
      </w:r>
    </w:p>
    <w:p w14:paraId="7DE02E7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监理人根据《广州市建筑施工实名制管理办法》、《关于印发广州市建设领域工人工资支付分账管理实施细则的通知》、《广州市住房和城乡建设委员会关于实施&lt;广州市建设领域工人工资支付分账管理实施细则&gt;的通知》、《广州市住房和城乡建设委员会关于征集建设领域工人工资支付分账业务银行的通知》、《广州市住房和城乡建设委员会关于公布第一批广州市建设领域工人工资支付分账管理业务银行名录的通知》等有关要求及后续文件，督促承包人落实实名制和工人工资支付分账制度。</w:t>
      </w:r>
    </w:p>
    <w:p w14:paraId="6C0B2C10">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27、</w:t>
      </w:r>
      <w:r>
        <w:rPr>
          <w:rFonts w:hint="eastAsia" w:ascii="宋体" w:hAnsi="宋体" w:eastAsia="宋体" w:cs="宋体"/>
          <w:b w:val="0"/>
          <w:bCs w:val="0"/>
          <w:color w:val="auto"/>
          <w:sz w:val="24"/>
          <w:szCs w:val="21"/>
          <w:highlight w:val="none"/>
        </w:rPr>
        <w:t>工程收尾阶段的监理及配合工作（包括但不限于以下内容）</w:t>
      </w:r>
    </w:p>
    <w:p w14:paraId="3289DF1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（1）工程收尾阶段包括竣工扫尾、验收、整改、移交、结算、决算、考核评价等方面的管理。监理人应制定工作计划，提出各项管理要求。项目结束阶段管理应包括以下内容：</w:t>
      </w:r>
    </w:p>
    <w:p w14:paraId="1AADD67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1）项目的扫尾；</w:t>
      </w:r>
    </w:p>
    <w:p w14:paraId="62D337B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2）项目的竣工验收、整改及移交；</w:t>
      </w:r>
    </w:p>
    <w:p w14:paraId="336F705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验收顺序及条件（详见《水利水电建设工程验收规程》SL223-2008）如下：</w:t>
      </w:r>
    </w:p>
    <w:p w14:paraId="0B455724">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分部工程验收：所有单元工程；所有单元施工质量评定合格，有关质量缺陷已处理完毕或有监理机构同意的处理意见；合同约定的其他条件。由项目法人组织并（或委托监理单位）主持。由总监理工程师会同参加验收的各方签署分部工程鉴定书。</w:t>
      </w:r>
    </w:p>
    <w:p w14:paraId="5518934F">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单位工程验收：所有分部工程已完建并验收合格；分布工程验收遗留问题已处理完毕并通过验收，未处理的遗留问题不影响单位工程质量评定并有处理意见；合同约定的其他条件。由项目法人组织并主持。由总监理工程师会同参加验收的各方签署单位工程鉴定书。</w:t>
      </w:r>
    </w:p>
    <w:p w14:paraId="705421E3">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合同工程完工验收：合同范围的工程项目和工作已按合同约定完成；工程按规定进行了有关验收；观测仪器和设备已测得初始值及施工期各项观测值；工程质量缺陷已按要求进行处理；工程完工结算已完成；施工现场已经进行清理；需移交项目法人的档案资料已按要求整理完毕。由项目法人组织并主持。由总监理工程师会同参加验收的各方签署合同工程完工鉴定书。</w:t>
      </w:r>
    </w:p>
    <w:p w14:paraId="67E4E1D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3）项目的工程完工结算、竣工决算；</w:t>
      </w:r>
    </w:p>
    <w:p w14:paraId="1B93E3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4）项目的回访保修；</w:t>
      </w:r>
    </w:p>
    <w:p w14:paraId="502AE6F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5）项目的考核评价。</w:t>
      </w:r>
    </w:p>
    <w:p w14:paraId="4551DD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（2）竣工验收（交工/完工验收）</w:t>
      </w:r>
    </w:p>
    <w:p w14:paraId="285E166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竣工验收应在工程建设项目全部完成并满足一定运行条件（泵站经过一个排水或抽水期；河道疏浚工程完成后；其他工程经过6个月（经过一个汛期）至12个月）后1年内进行。不能按期进行竣工验收的，经竣工验收主持单位同意，可适当延长期限，但最长不应超过6个月。</w:t>
      </w:r>
    </w:p>
    <w:p w14:paraId="19E6750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2）竣工验收由项目法人组织进行竣工验收（交工/完工验收）自查；项目法人提交竣工验收申请报告；竣工验收主持单位批复竣工验收申请报告；进行竣工技术预验收；召开竣工验收会议；印发竣工验收鉴定书。</w:t>
      </w:r>
    </w:p>
    <w:p w14:paraId="7944473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3）组织或协助委托人、承包人和产权管理单位对项目进行移交。</w:t>
      </w:r>
    </w:p>
    <w:p w14:paraId="4AF58B5C">
      <w:pPr>
        <w:pStyle w:val="2"/>
        <w:adjustRightInd w:val="0"/>
        <w:snapToGrid w:val="0"/>
        <w:spacing w:line="482"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sz w:val="24"/>
          <w:szCs w:val="21"/>
          <w:highlight w:val="none"/>
        </w:rPr>
        <w:t>4）</w:t>
      </w:r>
      <w:r>
        <w:rPr>
          <w:rFonts w:hint="eastAsia" w:ascii="宋体" w:hAnsi="宋体" w:eastAsia="宋体" w:cs="宋体"/>
          <w:b/>
          <w:bCs/>
          <w:color w:val="auto"/>
          <w:kern w:val="2"/>
          <w:sz w:val="24"/>
          <w:szCs w:val="21"/>
          <w:highlight w:val="none"/>
        </w:rPr>
        <w:t>监理人应组织承包人将第三方评审后的结算资料和档案资料（含监理档案）按照广州市城建档案管理的有关要求移交市城建档案馆（原件），同时将结算和档案资料一套（正本）移交给项目业主单位。</w:t>
      </w:r>
    </w:p>
    <w:p w14:paraId="4069A76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（3）审核竣工结、决算</w:t>
      </w:r>
    </w:p>
    <w:p w14:paraId="72FFD2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1）结、决算的总体要求</w:t>
      </w:r>
    </w:p>
    <w:p w14:paraId="3A119BD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人应根据有关合同约定及工程进展的实际情况，于单位工程验收后2周内编制工程完工结算计划报委托人批准后实施。监理人负责组织有关单位按核准的结算计划中的时间要求提交工程完工结算书及工程完工结算资料。监理人负责审核承包人提交的工程结算书，确保工程结算资料的完整性，并对其提交给委托人的结算审核结果负责。工程结算以单个施工合同为结算对象，专业监理工程师应在完成全部合同结算的审核后，并经注册造价师审核签字和加盖执业印章后形成结算汇总。总监理工程师应对监理人提交的《工程完工结算审核意见书》进行签认并对由其审核的结算金额的准确性负责。</w:t>
      </w:r>
    </w:p>
    <w:p w14:paraId="5FA50B1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2）工程结算资料必须实事求是、真实准确，工程资料的主要内容包括但不限于如下内容，具体以结算审核部门的要求为准：</w:t>
      </w:r>
    </w:p>
    <w:p w14:paraId="0542A6C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①合同（组成包括：协议书、中标通知书或委托书、投标文件澄清纪要、投标文件及其附件、合同专用条款、合同通用条款、招标文件及补遗书、其它）：</w:t>
      </w:r>
    </w:p>
    <w:p w14:paraId="36556C9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②结算书及电子档；</w:t>
      </w:r>
    </w:p>
    <w:p w14:paraId="6C22F66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③合同图纸及竣工图纸；</w:t>
      </w:r>
    </w:p>
    <w:p w14:paraId="1CC8C43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④图纸会审（交底）的会议纪要；</w:t>
      </w:r>
    </w:p>
    <w:p w14:paraId="56E7EC1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⑤工程量计算书（或钢筋抽料表）及电子文档；</w:t>
      </w:r>
    </w:p>
    <w:p w14:paraId="1AD2B74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⑥工程变更图纸、变更指令及工程变更申报审批表；</w:t>
      </w:r>
    </w:p>
    <w:p w14:paraId="32B9696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⑦施工现场变更签证及工程变更申报审批表；</w:t>
      </w:r>
    </w:p>
    <w:p w14:paraId="4D39001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⑧工程竣工验收证明；</w:t>
      </w:r>
    </w:p>
    <w:p w14:paraId="302EC71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⑨</w:t>
      </w:r>
      <w:r>
        <w:rPr>
          <w:rFonts w:hint="eastAsia" w:ascii="宋体" w:hAnsi="宋体" w:eastAsia="宋体" w:cs="宋体"/>
          <w:color w:val="auto"/>
          <w:sz w:val="24"/>
          <w:szCs w:val="21"/>
          <w:highlight w:val="none"/>
          <w:lang w:eastAsia="zh-CN"/>
        </w:rPr>
        <w:t>出具</w:t>
      </w:r>
      <w:r>
        <w:rPr>
          <w:rFonts w:hint="eastAsia" w:ascii="宋体" w:hAnsi="宋体" w:eastAsia="宋体" w:cs="宋体"/>
          <w:color w:val="auto"/>
          <w:sz w:val="24"/>
          <w:szCs w:val="21"/>
          <w:highlight w:val="none"/>
        </w:rPr>
        <w:t>报告及单位工程验收鉴定书；</w:t>
      </w:r>
    </w:p>
    <w:p w14:paraId="1272D4D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⑩中间计量资料；</w:t>
      </w:r>
    </w:p>
    <w:p w14:paraId="60EC72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⑪其它工程完工结算资料。</w:t>
      </w:r>
    </w:p>
    <w:p w14:paraId="0A5330A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（4）提交监理工作总结</w:t>
      </w:r>
    </w:p>
    <w:p w14:paraId="1AC421F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监理工作结束时，监理人应向委托人提交监理工作总结。监理工作总结包括但不限于以下内容：</w:t>
      </w:r>
    </w:p>
    <w:p w14:paraId="5E0B6BA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1）工程概况；</w:t>
      </w:r>
    </w:p>
    <w:p w14:paraId="61DB9F3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2）监理组织机构、监理人员和投入的监理设施；</w:t>
      </w:r>
    </w:p>
    <w:p w14:paraId="442329F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3）监理合同履行情况；</w:t>
      </w:r>
    </w:p>
    <w:p w14:paraId="74B82DD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4）监理工作成效；</w:t>
      </w:r>
    </w:p>
    <w:p w14:paraId="42B1B5E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5）施工过程中出现的问题及其处理情况和建议；</w:t>
      </w:r>
    </w:p>
    <w:p w14:paraId="56C6730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6）工程照片(有必要时)。</w:t>
      </w:r>
    </w:p>
    <w:p w14:paraId="2635D08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（5）工程质量保修期的监理工作</w:t>
      </w:r>
    </w:p>
    <w:p w14:paraId="22C701F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1）监理人应依据委托监理合同约定的工程质量保修期监理工作的时间、范围和内容开展工作。</w:t>
      </w:r>
    </w:p>
    <w:p w14:paraId="1C120C2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2）承担质量保修期监理工作时，监理人应安排监理人员对委托人提出的工程质量缺陷进行检查和记录，对承包人进行修复的工程质量进行验收，合格后予以签认。</w:t>
      </w:r>
    </w:p>
    <w:p w14:paraId="703A1B7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3）监理人员应对工程质量缺陷原因进行调查分析并确定责任归属，对非承包人原因造成的工程质量缺陷，监理人员应核实修复工程的费用和签署工程款支付证书，并报委托人。</w:t>
      </w:r>
    </w:p>
    <w:p w14:paraId="01BA6DC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监理工作内容还包括：在监理范围的任何阶段，还须完成以下投资控制工作（费用已包含在施工监理费中不另行计费）：</w:t>
      </w:r>
    </w:p>
    <w:p w14:paraId="2C9C393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（1）复核设计单位或施工单位报送的预算及结算，并提出详细的造价分析报告；</w:t>
      </w:r>
    </w:p>
    <w:p w14:paraId="077D575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（2）审核设计变更的造价；</w:t>
      </w:r>
    </w:p>
    <w:p w14:paraId="4BF72E4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（3）审核工程签证的造价；</w:t>
      </w:r>
    </w:p>
    <w:p w14:paraId="7E30A63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（4）审核总包单位及各专业分包进度款；</w:t>
      </w:r>
    </w:p>
    <w:p w14:paraId="1320368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（5）建立设计变更台账、签证台账、计量支付台账、材料品牌台账等；</w:t>
      </w:r>
    </w:p>
    <w:p w14:paraId="2022022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（6）审核勘察单位、检测监测单位的工程量，审核勘察、设计单位、检测监测单位的结算报告；</w:t>
      </w:r>
    </w:p>
    <w:p w14:paraId="7E12068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（7）本项目施工费用为按实结算，监理人应建立充足的机制和保障措施以保证投资控制的准确性，包括但不限于措施费的计量，每月进场材料设备的数量等；</w:t>
      </w:r>
    </w:p>
    <w:p w14:paraId="365F502B">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第二十一条  </w:t>
      </w:r>
      <w:r>
        <w:rPr>
          <w:rFonts w:hint="eastAsia" w:hAnsi="宋体" w:cs="宋体"/>
          <w:color w:val="auto"/>
          <w:highlight w:val="none"/>
        </w:rPr>
        <w:t>监理人应当在本合同生效</w:t>
      </w:r>
      <w:r>
        <w:rPr>
          <w:rFonts w:hint="eastAsia" w:hAnsi="宋体" w:cs="宋体"/>
          <w:color w:val="auto"/>
          <w:highlight w:val="none"/>
        </w:rPr>
        <w:t>后</w:t>
      </w:r>
      <w:r>
        <w:rPr>
          <w:rFonts w:hint="eastAsia" w:hAnsi="宋体" w:cs="宋体"/>
          <w:color w:val="auto"/>
          <w:highlight w:val="none"/>
          <w:u w:val="single"/>
        </w:rPr>
        <w:t xml:space="preserve"> </w:t>
      </w:r>
      <w:r>
        <w:rPr>
          <w:rFonts w:hint="eastAsia" w:cs="宋体"/>
          <w:color w:val="auto"/>
          <w:highlight w:val="none"/>
          <w:u w:val="single"/>
          <w:lang w:val="en-US" w:eastAsia="zh-CN"/>
        </w:rPr>
        <w:t>5</w:t>
      </w:r>
      <w:r>
        <w:rPr>
          <w:rFonts w:hint="eastAsia" w:hAnsi="宋体" w:cs="宋体"/>
          <w:color w:val="auto"/>
          <w:highlight w:val="none"/>
          <w:u w:val="single"/>
        </w:rPr>
        <w:t xml:space="preserve"> </w:t>
      </w:r>
      <w:r>
        <w:rPr>
          <w:rFonts w:hint="eastAsia" w:hAnsi="宋体" w:cs="宋体"/>
          <w:color w:val="auto"/>
          <w:highlight w:val="none"/>
        </w:rPr>
        <w:t>天内组建监理机构，并进驻现场。</w:t>
      </w:r>
    </w:p>
    <w:p w14:paraId="37296CF1">
      <w:pPr>
        <w:pStyle w:val="2"/>
        <w:adjustRightInd w:val="0"/>
        <w:snapToGrid w:val="0"/>
        <w:spacing w:line="482" w:lineRule="exact"/>
        <w:ind w:firstLine="482" w:firstLineChars="200"/>
        <w:rPr>
          <w:rFonts w:hint="eastAsia" w:ascii="宋体" w:hAnsi="宋体" w:eastAsia="宋体" w:cs="宋体"/>
          <w:color w:val="auto"/>
          <w:sz w:val="24"/>
          <w:szCs w:val="21"/>
          <w:highlight w:val="none"/>
        </w:rPr>
      </w:pPr>
      <w:r>
        <w:rPr>
          <w:rFonts w:hint="eastAsia" w:ascii="宋体" w:hAnsi="宋体" w:eastAsia="宋体" w:cs="宋体"/>
          <w:b/>
          <w:bCs/>
          <w:color w:val="auto"/>
          <w:sz w:val="24"/>
          <w:szCs w:val="21"/>
          <w:highlight w:val="none"/>
        </w:rPr>
        <w:t>监理架构及驻场的规定：</w:t>
      </w:r>
      <w:r>
        <w:rPr>
          <w:rFonts w:hint="eastAsia" w:ascii="宋体" w:hAnsi="宋体" w:eastAsia="宋体" w:cs="宋体"/>
          <w:color w:val="auto"/>
          <w:sz w:val="24"/>
          <w:szCs w:val="21"/>
          <w:highlight w:val="none"/>
        </w:rPr>
        <w:t xml:space="preserve"> </w:t>
      </w:r>
    </w:p>
    <w:p w14:paraId="79E0F3A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总监理工程师1名，要求：有效的中国水利工程协会颁发的水利工程建设监理工程师资格证书，专业为水工建筑，执业单位为本投标单位，且具有工程类高级专业技术职称；或具有有效的中华人民共和国水利部颁发的监理工程师注册证书，注册专业为水利工程施工监理，聘用单位为本投标单位，且具有工程类高级专业技术职称。</w:t>
      </w:r>
    </w:p>
    <w:p w14:paraId="46D18574">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（2）其他专业监理人员最低配套要求：监理工程师</w:t>
      </w:r>
      <w:r>
        <w:rPr>
          <w:rFonts w:hint="eastAsia" w:ascii="宋体" w:hAnsi="宋体" w:eastAsia="宋体" w:cs="宋体"/>
          <w:color w:val="auto"/>
          <w:sz w:val="24"/>
          <w:szCs w:val="21"/>
          <w:highlight w:val="none"/>
          <w:u w:val="none"/>
          <w:lang w:val="en-US" w:eastAsia="zh-CN"/>
        </w:rPr>
        <w:t>3名，</w:t>
      </w:r>
      <w:r>
        <w:rPr>
          <w:rFonts w:hint="eastAsia" w:ascii="宋体" w:hAnsi="宋体" w:eastAsia="宋体" w:cs="宋体"/>
          <w:color w:val="auto"/>
          <w:sz w:val="24"/>
          <w:szCs w:val="21"/>
          <w:highlight w:val="none"/>
          <w:u w:val="none"/>
        </w:rPr>
        <w:t>具备水利部颁发的注册监理工程师证书</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sz w:val="24"/>
          <w:szCs w:val="21"/>
          <w:highlight w:val="none"/>
          <w:u w:val="none"/>
        </w:rPr>
        <w:t>注册造价工程师1名，具备水利部核发的注册造价工程师</w:t>
      </w:r>
      <w:r>
        <w:rPr>
          <w:rFonts w:hint="eastAsia" w:ascii="宋体" w:hAnsi="宋体" w:eastAsia="宋体" w:cs="宋体"/>
          <w:color w:val="auto"/>
          <w:sz w:val="24"/>
          <w:szCs w:val="21"/>
          <w:highlight w:val="none"/>
          <w:u w:val="none"/>
          <w:lang w:eastAsia="zh-CN"/>
        </w:rPr>
        <w:t>；安全员</w:t>
      </w:r>
      <w:r>
        <w:rPr>
          <w:rFonts w:hint="eastAsia" w:ascii="宋体" w:hAnsi="宋体" w:eastAsia="宋体" w:cs="宋体"/>
          <w:color w:val="auto"/>
          <w:sz w:val="24"/>
          <w:szCs w:val="21"/>
          <w:highlight w:val="none"/>
          <w:u w:val="none"/>
          <w:lang w:val="en-US" w:eastAsia="zh-CN"/>
        </w:rPr>
        <w:t>1名，具备</w:t>
      </w:r>
      <w:r>
        <w:rPr>
          <w:rFonts w:hint="eastAsia" w:ascii="宋体" w:hAnsi="宋体" w:eastAsia="宋体" w:cs="宋体"/>
          <w:color w:val="auto"/>
          <w:sz w:val="24"/>
          <w:szCs w:val="21"/>
          <w:highlight w:val="none"/>
          <w:u w:val="none"/>
        </w:rPr>
        <w:t>具备安全监理员证或注册安全工程师</w:t>
      </w:r>
      <w:r>
        <w:rPr>
          <w:rFonts w:hint="eastAsia" w:ascii="宋体" w:hAnsi="宋体" w:eastAsia="宋体" w:cs="宋体"/>
          <w:color w:val="auto"/>
          <w:sz w:val="24"/>
          <w:szCs w:val="21"/>
          <w:highlight w:val="none"/>
          <w:u w:val="none"/>
          <w:lang w:eastAsia="zh-CN"/>
        </w:rPr>
        <w:t>证书；</w:t>
      </w:r>
      <w:r>
        <w:rPr>
          <w:rFonts w:hint="eastAsia" w:ascii="宋体" w:hAnsi="宋体" w:eastAsia="宋体" w:cs="宋体"/>
          <w:color w:val="auto"/>
          <w:sz w:val="24"/>
          <w:szCs w:val="21"/>
          <w:highlight w:val="none"/>
          <w:u w:val="none"/>
        </w:rPr>
        <w:t>监理员2名</w:t>
      </w:r>
      <w:r>
        <w:rPr>
          <w:rFonts w:hint="eastAsia" w:ascii="宋体" w:hAnsi="宋体" w:eastAsia="宋体" w:cs="宋体"/>
          <w:color w:val="auto"/>
          <w:sz w:val="24"/>
          <w:szCs w:val="21"/>
          <w:highlight w:val="none"/>
          <w:u w:val="none"/>
          <w:lang w:eastAsia="zh-CN"/>
        </w:rPr>
        <w:t>，具备监理员或以上岗位资格证书</w:t>
      </w:r>
      <w:r>
        <w:rPr>
          <w:rFonts w:hint="eastAsia" w:ascii="宋体" w:hAnsi="宋体" w:eastAsia="宋体" w:cs="宋体"/>
          <w:color w:val="auto"/>
          <w:sz w:val="24"/>
          <w:szCs w:val="21"/>
          <w:highlight w:val="none"/>
          <w:u w:val="none"/>
        </w:rPr>
        <w:t>。</w:t>
      </w:r>
    </w:p>
    <w:p w14:paraId="476C5192">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备注：从项目施工进场（含前期工程施工）至所有分部工程验收完成，上述要求的总监理工程师每月不少于20天驻场服务，各专业监理工程师、监理员在各专业工程施工期间必须驻场服务并能保证夜间施工需要。委托人对其进行工作考勤，每月工作周期少于26天的，则按照专用条款</w:t>
      </w:r>
      <w:r>
        <w:rPr>
          <w:rFonts w:hint="eastAsia" w:ascii="宋体" w:hAnsi="宋体" w:eastAsia="宋体" w:cs="宋体"/>
          <w:color w:val="auto"/>
          <w:sz w:val="24"/>
          <w:szCs w:val="21"/>
          <w:highlight w:val="none"/>
          <w:u w:val="none"/>
          <w:lang w:val="en-US" w:eastAsia="zh-CN"/>
        </w:rPr>
        <w:t>第四十二条</w:t>
      </w:r>
      <w:r>
        <w:rPr>
          <w:rFonts w:hint="eastAsia" w:ascii="宋体" w:hAnsi="宋体" w:eastAsia="宋体" w:cs="宋体"/>
          <w:color w:val="auto"/>
          <w:sz w:val="24"/>
          <w:szCs w:val="21"/>
          <w:highlight w:val="none"/>
          <w:u w:val="none"/>
        </w:rPr>
        <w:t>中规定追究监理人违约责任；监理人派驻现场人员自行解决吃、住等问题，并应遵守委托人（建设单位）的安全保卫及其它有关的规章制度，承担其有关资料保密义务。</w:t>
      </w:r>
    </w:p>
    <w:p w14:paraId="49FBDFBA">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监理人驻场监理人员应满足招标文件及合同条款的相关要求，并全部统一纳入委托人（建设单位）的统一管理，其出勤、休假等考勤由委托人负责。非经委托人同意，监理人驻场监理人员只为本合同工程服务，不得再参与其他工作。</w:t>
      </w:r>
    </w:p>
    <w:p w14:paraId="30710D41">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监理人驻场监理人员的名单须在进场前提交委托人（建设单位）审核，监理人驻场设计组的人员数量、专业水平、专业配套以及设备设施须满足设计质量与进度的需要。委托人（建设单位）有权根据实际情况在设计实施的过程中对监理人的驻场人员进行适当调整。</w:t>
      </w:r>
    </w:p>
    <w:p w14:paraId="5F25CCA8">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3）监理人应保证驻场人员的稳定性，原则在驻场期间上不得更换，确须更换的应向委托人（建设单位）提出书面报告且征得同意后方可更换。</w:t>
      </w:r>
    </w:p>
    <w:p w14:paraId="32FFEB6C">
      <w:pPr>
        <w:pStyle w:val="2"/>
        <w:adjustRightInd w:val="0"/>
        <w:snapToGrid w:val="0"/>
        <w:spacing w:line="482" w:lineRule="exact"/>
        <w:ind w:firstLine="480" w:firstLineChars="200"/>
        <w:rPr>
          <w:rFonts w:hint="eastAsia" w:ascii="仿宋" w:hAnsi="仿宋" w:eastAsia="仿宋" w:cs="仿宋"/>
          <w:b/>
          <w:bCs/>
          <w:color w:val="auto"/>
          <w:sz w:val="24"/>
          <w:szCs w:val="24"/>
          <w:highlight w:val="none"/>
        </w:rPr>
      </w:pPr>
      <w:r>
        <w:rPr>
          <w:rFonts w:hint="eastAsia" w:ascii="宋体" w:hAnsi="宋体" w:eastAsia="宋体" w:cs="宋体"/>
          <w:color w:val="auto"/>
          <w:sz w:val="24"/>
          <w:szCs w:val="21"/>
          <w:highlight w:val="none"/>
        </w:rPr>
        <w:t>（</w:t>
      </w:r>
      <w:r>
        <w:rPr>
          <w:rFonts w:hint="eastAsia" w:cs="宋体"/>
          <w:color w:val="auto"/>
          <w:sz w:val="24"/>
          <w:szCs w:val="21"/>
          <w:highlight w:val="none"/>
          <w:lang w:val="en-US" w:eastAsia="zh-CN"/>
        </w:rPr>
        <w:t>3</w:t>
      </w:r>
      <w:r>
        <w:rPr>
          <w:rFonts w:hint="eastAsia" w:ascii="宋体" w:hAnsi="宋体" w:eastAsia="宋体" w:cs="宋体"/>
          <w:color w:val="auto"/>
          <w:sz w:val="24"/>
          <w:szCs w:val="21"/>
          <w:highlight w:val="none"/>
        </w:rPr>
        <w:t>）</w:t>
      </w:r>
      <w:r>
        <w:rPr>
          <w:rFonts w:hint="eastAsia" w:ascii="宋体" w:hAnsi="宋体" w:eastAsia="宋体" w:cs="宋体"/>
          <w:b/>
          <w:bCs/>
          <w:color w:val="auto"/>
          <w:sz w:val="24"/>
          <w:szCs w:val="21"/>
          <w:highlight w:val="none"/>
          <w:u w:val="none"/>
        </w:rPr>
        <w:t>造价工程师职权</w:t>
      </w:r>
      <w:r>
        <w:rPr>
          <w:rFonts w:hint="eastAsia" w:cs="宋体"/>
          <w:b/>
          <w:bCs/>
          <w:color w:val="auto"/>
          <w:sz w:val="24"/>
          <w:szCs w:val="21"/>
          <w:highlight w:val="none"/>
          <w:u w:val="none"/>
          <w:lang w:eastAsia="zh-CN"/>
        </w:rPr>
        <w:t>：</w:t>
      </w:r>
      <w:r>
        <w:rPr>
          <w:rFonts w:hint="eastAsia" w:ascii="宋体" w:hAnsi="宋体" w:eastAsia="宋体" w:cs="宋体"/>
          <w:color w:val="auto"/>
          <w:sz w:val="24"/>
          <w:szCs w:val="21"/>
          <w:highlight w:val="none"/>
          <w:u w:val="none"/>
        </w:rPr>
        <w:t>造价工程师行使合同明文规定和必然隐含的职权，负责工程计量和计价，工程进度款的调整和核实，变更工程预算价的审核，结算价款的编制、调整和复核，签发支付证书，及时向承包人提供合同价款的核实、调整和通知等指令。造价工程师无权免除或变更合同规定的合同任何一方当事人在合同履行期间的权利、义务和责任。</w:t>
      </w:r>
    </w:p>
    <w:p w14:paraId="5A33A99F">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p>
    <w:p w14:paraId="766A2FD1">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hAnsi="宋体" w:cs="宋体"/>
          <w:color w:val="auto"/>
          <w:highlight w:val="none"/>
        </w:rPr>
      </w:pPr>
      <w:r>
        <w:rPr>
          <w:rFonts w:hint="eastAsia" w:ascii="黑体" w:hAnsi="宋体" w:eastAsia="黑体" w:cs="宋体"/>
          <w:color w:val="auto"/>
          <w:sz w:val="24"/>
          <w:szCs w:val="21"/>
          <w:highlight w:val="none"/>
        </w:rPr>
        <w:t xml:space="preserve">第二十七条 </w:t>
      </w:r>
      <w:r>
        <w:rPr>
          <w:rFonts w:hint="eastAsia" w:hAnsi="宋体" w:cs="宋体"/>
          <w:color w:val="auto"/>
          <w:highlight w:val="none"/>
        </w:rPr>
        <w:t xml:space="preserve"> </w:t>
      </w:r>
      <w:r>
        <w:rPr>
          <w:rFonts w:hint="eastAsia" w:hAnsi="宋体" w:cs="宋体"/>
          <w:color w:val="auto"/>
          <w:sz w:val="24"/>
          <w:szCs w:val="32"/>
          <w:highlight w:val="none"/>
          <w:lang w:val="en-US" w:eastAsia="zh-CN"/>
        </w:rPr>
        <w:t>1、</w:t>
      </w:r>
      <w:r>
        <w:rPr>
          <w:rFonts w:hint="eastAsia" w:ascii="宋体" w:hAnsi="宋体" w:eastAsia="宋体" w:cs="宋体"/>
          <w:color w:val="auto"/>
          <w:sz w:val="24"/>
          <w:szCs w:val="21"/>
          <w:highlight w:val="none"/>
        </w:rPr>
        <w:t>需旁站监理的工程重要部位是</w:t>
      </w:r>
      <w:r>
        <w:rPr>
          <w:rFonts w:hint="eastAsia" w:ascii="宋体" w:hAnsi="宋体" w:eastAsia="宋体" w:cs="宋体"/>
          <w:color w:val="auto"/>
          <w:sz w:val="24"/>
          <w:szCs w:val="21"/>
          <w:highlight w:val="none"/>
        </w:rPr>
        <w:t>：</w:t>
      </w:r>
    </w:p>
    <w:p w14:paraId="5A3FD769">
      <w:pPr>
        <w:pStyle w:val="2"/>
        <w:numPr>
          <w:ilvl w:val="0"/>
          <w:numId w:val="4"/>
        </w:numPr>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基准点、基准线的测量放样；</w:t>
      </w:r>
    </w:p>
    <w:p w14:paraId="1F364B6F">
      <w:pPr>
        <w:pStyle w:val="2"/>
        <w:numPr>
          <w:ilvl w:val="0"/>
          <w:numId w:val="4"/>
        </w:numPr>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基础开挖成型后鉴定；</w:t>
      </w:r>
    </w:p>
    <w:p w14:paraId="4B494637">
      <w:pPr>
        <w:pStyle w:val="2"/>
        <w:numPr>
          <w:ilvl w:val="0"/>
          <w:numId w:val="4"/>
        </w:numPr>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基础处理；</w:t>
      </w:r>
    </w:p>
    <w:p w14:paraId="006D06CA">
      <w:pPr>
        <w:pStyle w:val="2"/>
        <w:numPr>
          <w:ilvl w:val="0"/>
          <w:numId w:val="4"/>
        </w:numPr>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隐蔽工程；</w:t>
      </w:r>
    </w:p>
    <w:p w14:paraId="565F54FB">
      <w:pPr>
        <w:pStyle w:val="2"/>
        <w:numPr>
          <w:ilvl w:val="0"/>
          <w:numId w:val="4"/>
        </w:numPr>
        <w:adjustRightInd/>
        <w:snapToGrid/>
        <w:spacing w:line="482" w:lineRule="exact"/>
        <w:ind w:firstLine="420" w:firstLineChars="0"/>
        <w:rPr>
          <w:rFonts w:hint="eastAsia" w:ascii="宋体" w:hAnsi="宋体" w:eastAsia="宋体" w:cs="宋体"/>
          <w:color w:val="auto"/>
          <w:highlight w:val="none"/>
        </w:rPr>
      </w:pPr>
      <w:r>
        <w:rPr>
          <w:rFonts w:hint="eastAsia" w:ascii="宋体" w:hAnsi="宋体" w:eastAsia="宋体" w:cs="宋体"/>
          <w:color w:val="auto"/>
          <w:kern w:val="2"/>
          <w:sz w:val="24"/>
          <w:szCs w:val="21"/>
          <w:highlight w:val="none"/>
        </w:rPr>
        <w:t>土方回填；</w:t>
      </w:r>
    </w:p>
    <w:p w14:paraId="615AFD14">
      <w:pPr>
        <w:pStyle w:val="2"/>
        <w:numPr>
          <w:ilvl w:val="0"/>
          <w:numId w:val="4"/>
        </w:numPr>
        <w:adjustRightInd/>
        <w:snapToGrid/>
        <w:spacing w:line="482" w:lineRule="exact"/>
        <w:ind w:firstLine="420" w:firstLineChars="0"/>
        <w:rPr>
          <w:rFonts w:hint="eastAsia" w:ascii="宋体" w:hAnsi="宋体" w:eastAsia="宋体" w:cs="宋体"/>
          <w:color w:val="auto"/>
          <w:highlight w:val="none"/>
        </w:rPr>
      </w:pPr>
      <w:r>
        <w:rPr>
          <w:rFonts w:hint="eastAsia" w:ascii="宋体" w:hAnsi="宋体" w:eastAsia="宋体" w:cs="宋体"/>
          <w:color w:val="auto"/>
          <w:kern w:val="2"/>
          <w:sz w:val="24"/>
          <w:szCs w:val="21"/>
          <w:highlight w:val="none"/>
        </w:rPr>
        <w:t>其他发包人书面要求的重点部位工程的施工。</w:t>
      </w:r>
    </w:p>
    <w:p w14:paraId="26D4AEDA">
      <w:pPr>
        <w:pStyle w:val="2"/>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2、需旁站监理的关键工序是：</w:t>
      </w:r>
    </w:p>
    <w:p w14:paraId="16381BB3">
      <w:pPr>
        <w:pStyle w:val="2"/>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基础和板、梁、柱等重要构件混凝土浇筑</w:t>
      </w:r>
      <w:r>
        <w:rPr>
          <w:rFonts w:hint="eastAsia" w:ascii="宋体" w:hAnsi="宋体" w:eastAsia="宋体" w:cs="宋体"/>
          <w:color w:val="auto"/>
          <w:kern w:val="2"/>
          <w:sz w:val="24"/>
          <w:szCs w:val="21"/>
          <w:highlight w:val="none"/>
          <w:lang w:eastAsia="zh-CN"/>
        </w:rPr>
        <w:t>；</w:t>
      </w:r>
      <w:r>
        <w:rPr>
          <w:rFonts w:hint="eastAsia" w:ascii="宋体" w:hAnsi="宋体" w:eastAsia="宋体" w:cs="宋体"/>
          <w:color w:val="auto"/>
          <w:kern w:val="2"/>
          <w:sz w:val="24"/>
          <w:szCs w:val="21"/>
          <w:highlight w:val="none"/>
        </w:rPr>
        <w:t>混凝土</w:t>
      </w:r>
      <w:r>
        <w:rPr>
          <w:rFonts w:hint="eastAsia" w:ascii="宋体" w:hAnsi="宋体" w:eastAsia="宋体" w:cs="宋体"/>
          <w:color w:val="auto"/>
          <w:kern w:val="2"/>
          <w:sz w:val="24"/>
          <w:szCs w:val="21"/>
          <w:highlight w:val="none"/>
          <w:lang w:eastAsia="zh-CN"/>
        </w:rPr>
        <w:t>试块</w:t>
      </w:r>
      <w:r>
        <w:rPr>
          <w:rFonts w:hint="eastAsia" w:ascii="宋体" w:hAnsi="宋体" w:eastAsia="宋体" w:cs="宋体"/>
          <w:color w:val="auto"/>
          <w:kern w:val="2"/>
          <w:sz w:val="24"/>
          <w:szCs w:val="21"/>
          <w:highlight w:val="none"/>
        </w:rPr>
        <w:t>、土方</w:t>
      </w:r>
      <w:r>
        <w:rPr>
          <w:rFonts w:hint="eastAsia" w:ascii="宋体" w:hAnsi="宋体" w:eastAsia="宋体" w:cs="宋体"/>
          <w:color w:val="auto"/>
          <w:kern w:val="2"/>
          <w:sz w:val="24"/>
          <w:szCs w:val="21"/>
          <w:highlight w:val="none"/>
          <w:lang w:eastAsia="zh-CN"/>
        </w:rPr>
        <w:t>样品</w:t>
      </w:r>
      <w:r>
        <w:rPr>
          <w:rFonts w:hint="eastAsia" w:ascii="宋体" w:hAnsi="宋体" w:eastAsia="宋体" w:cs="宋体"/>
          <w:color w:val="auto"/>
          <w:kern w:val="2"/>
          <w:sz w:val="24"/>
          <w:szCs w:val="21"/>
          <w:highlight w:val="none"/>
        </w:rPr>
        <w:t>、原材料等见证取样并送检、金属结构拼装、焊接、安装和调试等关键工序。</w:t>
      </w:r>
    </w:p>
    <w:p w14:paraId="634851BA">
      <w:pPr>
        <w:pStyle w:val="2"/>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3、跟踪检测的项目与数量（比例）</w:t>
      </w:r>
      <w:r>
        <w:rPr>
          <w:rFonts w:hint="eastAsia" w:ascii="宋体" w:hAnsi="宋体" w:eastAsia="宋体" w:cs="宋体"/>
          <w:color w:val="auto"/>
          <w:kern w:val="2"/>
          <w:sz w:val="24"/>
          <w:szCs w:val="21"/>
          <w:highlight w:val="none"/>
          <w:lang w:val="en-US" w:eastAsia="zh-CN"/>
        </w:rPr>
        <w:t>符合《水利工程施工监理规范》（SL288-2014）相关规定》</w:t>
      </w:r>
      <w:r>
        <w:rPr>
          <w:rFonts w:hint="eastAsia" w:ascii="宋体" w:hAnsi="宋体" w:eastAsia="宋体" w:cs="宋体"/>
          <w:color w:val="auto"/>
          <w:kern w:val="2"/>
          <w:sz w:val="24"/>
          <w:szCs w:val="21"/>
          <w:highlight w:val="none"/>
        </w:rPr>
        <w:t>：混凝土试样应不少于承包人检测数量的7%，土方试样应不少于承包人检测数量的10%；监理应对所有见证取样进行跟踪。</w:t>
      </w:r>
    </w:p>
    <w:p w14:paraId="0F8BF900">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1"/>
          <w:highlight w:val="none"/>
        </w:rPr>
        <w:t>4、根据《水利工程施工监理规范》（SL288-2014）规定组织平行检测，检测机构为建设单位委托的第三方水利工程质量检测（对比检测及平行检测及监测）单位</w:t>
      </w:r>
      <w:r>
        <w:rPr>
          <w:rFonts w:hint="eastAsia" w:ascii="宋体" w:hAnsi="宋体" w:eastAsia="宋体" w:cs="宋体"/>
          <w:color w:val="auto"/>
          <w:kern w:val="2"/>
          <w:sz w:val="24"/>
          <w:szCs w:val="21"/>
          <w:highlight w:val="none"/>
          <w:lang w:eastAsia="zh-CN"/>
        </w:rPr>
        <w:t>，</w:t>
      </w:r>
      <w:r>
        <w:rPr>
          <w:rFonts w:hint="eastAsia" w:ascii="宋体" w:hAnsi="宋体" w:eastAsia="宋体" w:cs="宋体"/>
          <w:color w:val="auto"/>
          <w:kern w:val="2"/>
          <w:sz w:val="24"/>
          <w:szCs w:val="21"/>
          <w:highlight w:val="none"/>
        </w:rPr>
        <w:t>平行检测的项目与数量（比例）：混凝土试样应不少于承包人检测数量的3%，重要部位每种标号的混凝土至少取样1组，土方试样应不少于承包人检测数量的5%</w:t>
      </w:r>
      <w:r>
        <w:rPr>
          <w:rFonts w:hint="eastAsia" w:ascii="宋体" w:hAnsi="宋体" w:eastAsia="宋体" w:cs="宋体"/>
          <w:color w:val="auto"/>
          <w:kern w:val="2"/>
          <w:sz w:val="24"/>
          <w:szCs w:val="21"/>
          <w:highlight w:val="none"/>
          <w:lang w:eastAsia="zh-CN"/>
        </w:rPr>
        <w:t>，</w:t>
      </w:r>
      <w:r>
        <w:rPr>
          <w:rFonts w:hint="eastAsia" w:ascii="宋体" w:hAnsi="宋体" w:eastAsia="宋体" w:cs="宋体"/>
          <w:color w:val="auto"/>
          <w:kern w:val="2"/>
          <w:sz w:val="24"/>
          <w:szCs w:val="21"/>
          <w:highlight w:val="none"/>
          <w:lang w:val="en-US" w:eastAsia="zh-CN"/>
        </w:rPr>
        <w:t>重要部位至少取样3组</w:t>
      </w:r>
      <w:r>
        <w:rPr>
          <w:rFonts w:hint="eastAsia" w:ascii="宋体" w:hAnsi="宋体" w:eastAsia="宋体" w:cs="宋体"/>
          <w:color w:val="auto"/>
          <w:kern w:val="2"/>
          <w:sz w:val="24"/>
          <w:szCs w:val="21"/>
          <w:highlight w:val="none"/>
        </w:rPr>
        <w:t>。</w:t>
      </w:r>
    </w:p>
    <w:p w14:paraId="4C23DFFC">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第三十条 </w:t>
      </w:r>
      <w:r>
        <w:rPr>
          <w:rFonts w:hint="eastAsia" w:hAnsi="宋体" w:cs="宋体"/>
          <w:color w:val="auto"/>
          <w:highlight w:val="none"/>
        </w:rPr>
        <w:t xml:space="preserve"> 委托人委托监理人主持的分部工程验收：</w:t>
      </w:r>
      <w:r>
        <w:rPr>
          <w:rFonts w:hint="eastAsia" w:hAnsi="宋体" w:cs="宋体"/>
          <w:color w:val="auto"/>
          <w:highlight w:val="none"/>
          <w:u w:val="single"/>
        </w:rPr>
        <w:t xml:space="preserve"> </w:t>
      </w:r>
      <w:r>
        <w:rPr>
          <w:rFonts w:hint="eastAsia" w:cs="宋体"/>
          <w:color w:val="auto"/>
          <w:highlight w:val="none"/>
          <w:u w:val="single"/>
          <w:lang w:val="en-US" w:eastAsia="zh-CN"/>
        </w:rPr>
        <w:t>所有分部工程</w:t>
      </w:r>
      <w:r>
        <w:rPr>
          <w:rFonts w:hint="eastAsia" w:hAnsi="宋体" w:cs="宋体"/>
          <w:color w:val="auto"/>
          <w:highlight w:val="none"/>
          <w:u w:val="single"/>
        </w:rPr>
        <w:t xml:space="preserve"> </w:t>
      </w:r>
      <w:r>
        <w:rPr>
          <w:rFonts w:hint="eastAsia" w:hAnsi="宋体" w:cs="宋体"/>
          <w:color w:val="auto"/>
          <w:highlight w:val="none"/>
        </w:rPr>
        <w:t>。</w:t>
      </w:r>
    </w:p>
    <w:p w14:paraId="26AF71BC">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第三十一条  </w:t>
      </w:r>
      <w:r>
        <w:rPr>
          <w:rFonts w:hint="eastAsia" w:hAnsi="宋体" w:cs="宋体"/>
          <w:color w:val="auto"/>
          <w:highlight w:val="none"/>
        </w:rPr>
        <w:t>在本合同终止后，未征得委托人同意，不得泄露与本合同业务有关的技术、商务等秘密。</w:t>
      </w:r>
    </w:p>
    <w:p w14:paraId="28EE1C95">
      <w:pPr>
        <w:pStyle w:val="7"/>
        <w:jc w:val="center"/>
        <w:outlineLvl w:val="9"/>
        <w:rPr>
          <w:rFonts w:hint="eastAsia" w:ascii="Arial" w:hAnsi="Arial" w:eastAsia="黑体" w:cs="Times New Roman"/>
          <w:color w:val="auto"/>
          <w:sz w:val="32"/>
          <w:szCs w:val="24"/>
          <w:highlight w:val="none"/>
        </w:rPr>
      </w:pPr>
      <w:r>
        <w:rPr>
          <w:rFonts w:hint="eastAsia" w:ascii="Arial" w:hAnsi="Arial" w:eastAsia="黑体" w:cs="Times New Roman"/>
          <w:color w:val="auto"/>
          <w:sz w:val="32"/>
          <w:szCs w:val="24"/>
          <w:highlight w:val="none"/>
        </w:rPr>
        <w:t>监理服务酬金</w:t>
      </w:r>
    </w:p>
    <w:p w14:paraId="7C768C38">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第三十二条  </w:t>
      </w:r>
      <w:r>
        <w:rPr>
          <w:rFonts w:hint="eastAsia" w:hAnsi="宋体" w:cs="宋体"/>
          <w:color w:val="auto"/>
          <w:highlight w:val="none"/>
        </w:rPr>
        <w:t>监理</w:t>
      </w:r>
      <w:r>
        <w:rPr>
          <w:rFonts w:hint="eastAsia" w:cs="宋体"/>
          <w:color w:val="auto"/>
          <w:highlight w:val="none"/>
          <w:lang w:eastAsia="zh-CN"/>
        </w:rPr>
        <w:t>正常</w:t>
      </w:r>
      <w:r>
        <w:rPr>
          <w:rFonts w:hint="eastAsia" w:hAnsi="宋体" w:cs="宋体"/>
          <w:color w:val="auto"/>
          <w:highlight w:val="none"/>
        </w:rPr>
        <w:t>服务酬金支付方法：</w:t>
      </w:r>
    </w:p>
    <w:p w14:paraId="43CB6757">
      <w:pPr>
        <w:pStyle w:val="2"/>
        <w:adjustRightInd w:val="0"/>
        <w:snapToGrid w:val="0"/>
        <w:spacing w:line="482" w:lineRule="exact"/>
        <w:ind w:firstLine="420"/>
        <w:rPr>
          <w:rFonts w:hint="eastAsia" w:ascii="宋体" w:hAnsi="宋体" w:eastAsia="宋体" w:cs="宋体"/>
          <w:b w:val="0"/>
          <w:bCs w:val="0"/>
          <w:color w:val="auto"/>
          <w:sz w:val="24"/>
          <w:szCs w:val="21"/>
          <w:highlight w:val="none"/>
        </w:rPr>
      </w:pPr>
      <w:bookmarkStart w:id="214" w:name="_Toc71713822"/>
      <w:r>
        <w:rPr>
          <w:rFonts w:hint="eastAsia" w:ascii="宋体" w:hAnsi="宋体" w:eastAsia="宋体" w:cs="宋体"/>
          <w:b w:val="0"/>
          <w:bCs w:val="0"/>
          <w:color w:val="auto"/>
          <w:kern w:val="2"/>
          <w:sz w:val="24"/>
          <w:szCs w:val="21"/>
          <w:highlight w:val="none"/>
        </w:rPr>
        <w:t>★</w:t>
      </w:r>
      <w:r>
        <w:rPr>
          <w:rFonts w:hint="eastAsia" w:ascii="宋体" w:hAnsi="宋体" w:eastAsia="宋体" w:cs="宋体"/>
          <w:b w:val="0"/>
          <w:bCs w:val="0"/>
          <w:color w:val="auto"/>
          <w:kern w:val="2"/>
          <w:sz w:val="24"/>
          <w:szCs w:val="21"/>
          <w:highlight w:val="none"/>
          <w:lang w:val="en-US" w:eastAsia="zh-CN"/>
        </w:rPr>
        <w:t>1</w:t>
      </w:r>
      <w:r>
        <w:rPr>
          <w:rFonts w:hint="eastAsia" w:ascii="宋体" w:hAnsi="宋体" w:eastAsia="宋体" w:cs="宋体"/>
          <w:b w:val="0"/>
          <w:bCs w:val="0"/>
          <w:color w:val="auto"/>
          <w:sz w:val="24"/>
          <w:szCs w:val="21"/>
          <w:highlight w:val="none"/>
        </w:rPr>
        <w:t>. 支付</w:t>
      </w:r>
      <w:bookmarkEnd w:id="214"/>
    </w:p>
    <w:p w14:paraId="18102D5D">
      <w:pPr>
        <w:pStyle w:val="2"/>
        <w:adjustRightInd w:val="0"/>
        <w:snapToGrid w:val="0"/>
        <w:spacing w:line="482" w:lineRule="exact"/>
        <w:ind w:firstLine="420"/>
        <w:rPr>
          <w:rFonts w:hint="eastAsia" w:ascii="宋体" w:hAnsi="宋体" w:eastAsia="宋体" w:cs="宋体"/>
          <w:color w:val="auto"/>
          <w:sz w:val="24"/>
          <w:szCs w:val="21"/>
          <w:highlight w:val="none"/>
        </w:rPr>
      </w:pPr>
      <w:bookmarkStart w:id="215" w:name="_Toc71713823"/>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 xml:space="preserve"> 支付货币</w:t>
      </w:r>
      <w:bookmarkEnd w:id="215"/>
    </w:p>
    <w:p w14:paraId="757D155E">
      <w:pPr>
        <w:pStyle w:val="2"/>
        <w:adjustRightInd w:val="0"/>
        <w:snapToGrid w:val="0"/>
        <w:spacing w:line="482" w:lineRule="exact"/>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币种为：</w:t>
      </w:r>
      <w:r>
        <w:rPr>
          <w:rFonts w:hint="eastAsia" w:ascii="宋体" w:hAnsi="宋体" w:eastAsia="宋体" w:cs="宋体"/>
          <w:color w:val="auto"/>
          <w:sz w:val="24"/>
          <w:szCs w:val="21"/>
          <w:highlight w:val="none"/>
          <w:u w:val="single"/>
        </w:rPr>
        <w:t>人民币</w:t>
      </w:r>
      <w:r>
        <w:rPr>
          <w:rFonts w:hint="eastAsia" w:ascii="宋体" w:hAnsi="宋体" w:eastAsia="宋体" w:cs="宋体"/>
          <w:color w:val="auto"/>
          <w:sz w:val="24"/>
          <w:szCs w:val="21"/>
          <w:highlight w:val="none"/>
        </w:rPr>
        <w:t>，比例为：</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，汇率为：</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w:t>
      </w:r>
    </w:p>
    <w:p w14:paraId="4DA6EFCE">
      <w:pPr>
        <w:pStyle w:val="2"/>
        <w:adjustRightInd w:val="0"/>
        <w:snapToGrid w:val="0"/>
        <w:spacing w:line="482" w:lineRule="exact"/>
        <w:ind w:firstLine="420"/>
        <w:rPr>
          <w:rFonts w:hint="eastAsia" w:ascii="宋体" w:hAnsi="宋体" w:eastAsia="宋体" w:cs="宋体"/>
          <w:color w:val="auto"/>
          <w:sz w:val="24"/>
          <w:szCs w:val="21"/>
          <w:highlight w:val="none"/>
        </w:rPr>
      </w:pPr>
      <w:bookmarkStart w:id="216" w:name="_Toc71713824"/>
      <w:r>
        <w:rPr>
          <w:rFonts w:hint="eastAsia" w:ascii="宋体" w:hAnsi="宋体" w:eastAsia="宋体" w:cs="宋体"/>
          <w:b w:val="0"/>
          <w:bCs w:val="0"/>
          <w:color w:val="auto"/>
          <w:kern w:val="2"/>
          <w:sz w:val="24"/>
          <w:szCs w:val="21"/>
          <w:highlight w:val="none"/>
        </w:rPr>
        <w:t>★</w:t>
      </w:r>
      <w:r>
        <w:rPr>
          <w:rFonts w:hint="eastAsia" w:ascii="宋体" w:hAnsi="宋体" w:eastAsia="宋体" w:cs="宋体"/>
          <w:b w:val="0"/>
          <w:bCs w:val="0"/>
          <w:color w:val="auto"/>
          <w:kern w:val="2"/>
          <w:sz w:val="24"/>
          <w:szCs w:val="21"/>
          <w:highlight w:val="none"/>
          <w:lang w:eastAsia="zh-CN"/>
        </w:rPr>
        <w:t>（</w:t>
      </w:r>
      <w:r>
        <w:rPr>
          <w:rFonts w:hint="eastAsia" w:ascii="宋体" w:hAnsi="宋体" w:eastAsia="宋体" w:cs="宋体"/>
          <w:b w:val="0"/>
          <w:bCs w:val="0"/>
          <w:color w:val="auto"/>
          <w:kern w:val="2"/>
          <w:sz w:val="24"/>
          <w:szCs w:val="21"/>
          <w:highlight w:val="none"/>
          <w:lang w:val="en-US" w:eastAsia="zh-CN"/>
        </w:rPr>
        <w:t>2</w:t>
      </w:r>
      <w:r>
        <w:rPr>
          <w:rFonts w:hint="eastAsia" w:ascii="宋体" w:hAnsi="宋体" w:eastAsia="宋体" w:cs="宋体"/>
          <w:b w:val="0"/>
          <w:bCs w:val="0"/>
          <w:color w:val="auto"/>
          <w:kern w:val="2"/>
          <w:sz w:val="24"/>
          <w:szCs w:val="21"/>
          <w:highlight w:val="none"/>
          <w:lang w:eastAsia="zh-CN"/>
        </w:rPr>
        <w:t>）</w:t>
      </w:r>
      <w:r>
        <w:rPr>
          <w:rFonts w:hint="eastAsia" w:ascii="宋体" w:hAnsi="宋体" w:eastAsia="宋体" w:cs="宋体"/>
          <w:color w:val="auto"/>
          <w:sz w:val="24"/>
          <w:szCs w:val="21"/>
          <w:highlight w:val="none"/>
        </w:rPr>
        <w:t xml:space="preserve"> 支付酬金</w:t>
      </w:r>
      <w:bookmarkEnd w:id="216"/>
    </w:p>
    <w:p w14:paraId="4F4591E3">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正常工作酬金（以暂定合同价计算）的支付按下列方法确定：</w:t>
      </w:r>
    </w:p>
    <w:p w14:paraId="6B672DF8">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按</w:t>
      </w:r>
      <w:r>
        <w:rPr>
          <w:rFonts w:hint="eastAsia" w:ascii="宋体" w:hAnsi="宋体" w:eastAsia="宋体" w:cs="宋体"/>
          <w:color w:val="auto"/>
          <w:highlight w:val="none"/>
          <w:u w:val="none"/>
        </w:rPr>
        <w:t>月度完成的工程量支付：</w:t>
      </w:r>
    </w:p>
    <w:p w14:paraId="3A7F72F9">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本合同生效后，监理人可提交预付款申请书，申请预付款时应同时提交合格等额增值税普通发票，发包人在收到完整的请款资料且财政拨款到位后向监理人支付预付款，监理费预付款为监理暂定合同价的 20 %；累计已支付监理费占监理费暂定合同价的比例超过40</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%时，预付款作为监理进度款一次性扣回。</w:t>
      </w:r>
    </w:p>
    <w:p w14:paraId="23767636">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支付首期监理酬金后，</w:t>
      </w:r>
      <w:r>
        <w:rPr>
          <w:rFonts w:hint="eastAsia" w:cs="宋体"/>
          <w:color w:val="auto"/>
          <w:highlight w:val="none"/>
          <w:u w:val="none"/>
          <w:lang w:val="en-US" w:eastAsia="zh-CN"/>
        </w:rPr>
        <w:t>且概算审定后，</w:t>
      </w:r>
      <w:r>
        <w:rPr>
          <w:rFonts w:hint="eastAsia" w:ascii="宋体" w:hAnsi="宋体" w:eastAsia="宋体" w:cs="宋体"/>
          <w:color w:val="auto"/>
          <w:highlight w:val="none"/>
          <w:u w:val="none"/>
        </w:rPr>
        <w:t>在监理期限内按每期完成工程量的比例支付监理酬金。预算审定前，监理酬金=施工累计已确认完成工程量产值/</w:t>
      </w:r>
      <w:r>
        <w:rPr>
          <w:rFonts w:hint="eastAsia" w:ascii="宋体" w:hAnsi="宋体" w:eastAsia="宋体" w:cs="宋体"/>
          <w:color w:val="auto"/>
          <w:highlight w:val="none"/>
          <w:u w:val="none"/>
          <w:lang w:eastAsia="zh-CN"/>
        </w:rPr>
        <w:t>施工</w:t>
      </w:r>
      <w:r>
        <w:rPr>
          <w:rFonts w:hint="eastAsia" w:ascii="宋体" w:hAnsi="宋体" w:eastAsia="宋体" w:cs="宋体"/>
          <w:color w:val="auto"/>
          <w:highlight w:val="none"/>
          <w:u w:val="none"/>
          <w:lang w:val="en-US" w:eastAsia="zh-CN"/>
        </w:rPr>
        <w:t>合同价款</w:t>
      </w:r>
      <w:r>
        <w:rPr>
          <w:rFonts w:hint="eastAsia" w:ascii="宋体" w:hAnsi="宋体" w:eastAsia="宋体" w:cs="宋体"/>
          <w:color w:val="auto"/>
          <w:highlight w:val="none"/>
          <w:u w:val="none"/>
        </w:rPr>
        <w:t>×监理酬金总额× 60 %-累计已支付监理费；预算审定后，按监理酬金=施工累计已确认完成工程量产值/</w:t>
      </w:r>
      <w:r>
        <w:rPr>
          <w:rFonts w:hint="eastAsia" w:ascii="宋体" w:hAnsi="宋体" w:eastAsia="宋体" w:cs="宋体"/>
          <w:color w:val="auto"/>
          <w:highlight w:val="none"/>
          <w:u w:val="none"/>
          <w:lang w:val="en-US" w:eastAsia="zh-CN"/>
        </w:rPr>
        <w:t>估算</w:t>
      </w:r>
      <w:r>
        <w:rPr>
          <w:rFonts w:hint="eastAsia" w:ascii="宋体" w:hAnsi="宋体" w:eastAsia="宋体" w:cs="宋体"/>
          <w:color w:val="auto"/>
          <w:highlight w:val="none"/>
          <w:u w:val="none"/>
        </w:rPr>
        <w:t>建安费×监理酬金总额× 70 %-累计已支付监理费。</w:t>
      </w:r>
    </w:p>
    <w:p w14:paraId="2326C1A3">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工程单位工程验收后最多支付至施工累计已确认完成工程量产值/</w:t>
      </w:r>
      <w:r>
        <w:rPr>
          <w:rFonts w:hint="eastAsia" w:ascii="宋体" w:hAnsi="宋体" w:eastAsia="宋体" w:cs="宋体"/>
          <w:color w:val="auto"/>
          <w:highlight w:val="none"/>
          <w:u w:val="none"/>
          <w:lang w:val="en-US" w:eastAsia="zh-CN"/>
        </w:rPr>
        <w:t>估算</w:t>
      </w:r>
      <w:r>
        <w:rPr>
          <w:rFonts w:hint="eastAsia" w:ascii="宋体" w:hAnsi="宋体" w:eastAsia="宋体" w:cs="宋体"/>
          <w:color w:val="auto"/>
          <w:highlight w:val="none"/>
          <w:u w:val="none"/>
        </w:rPr>
        <w:t>建安费×监理酬金总额× 80 %，且不得超项目暂定监理费合同价的80%，且不得超过该项目经批复概算中对应监理费的80%。</w:t>
      </w:r>
    </w:p>
    <w:p w14:paraId="705C04B4">
      <w:pPr>
        <w:pStyle w:val="2"/>
        <w:adjustRightInd w:val="0"/>
        <w:snapToGrid w:val="0"/>
        <w:spacing w:line="482" w:lineRule="exact"/>
        <w:ind w:firstLine="48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监理费的余款支付：完成监理合同范围内所有工作并完成施工合同结算后支付至最终监理结算价的97%。监理服务缺陷责任期满后，且督促施工单位完成建设工程档案移交至广州市城建档案馆，并取得广州市城建档案馆出具本项目的《建设工程档案接收证明》后，委托人累计支付至经监理费结算价100%。</w:t>
      </w:r>
    </w:p>
    <w:p w14:paraId="49CF3AC9">
      <w:pPr>
        <w:pStyle w:val="2"/>
        <w:adjustRightInd w:val="0"/>
        <w:snapToGrid w:val="0"/>
        <w:spacing w:line="482"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费用的结算计费基数为经财政相关部门审定的工程费结算价，参照国家发展改革委、建设部《建设工程监理与相关服务收费管理规定》发改价格[2007]670号文件规定的计价方式和计价标准结合中标下浮率计算监理结算费，中标下浮率=（最高投标限价-中标报价总价）/最高投标限价*100%（</w:t>
      </w:r>
      <w:r>
        <w:rPr>
          <w:rFonts w:hint="eastAsia" w:ascii="宋体" w:hAnsi="宋体" w:eastAsia="宋体" w:cs="宋体"/>
          <w:color w:val="auto"/>
          <w:sz w:val="24"/>
          <w:szCs w:val="24"/>
          <w:highlight w:val="none"/>
        </w:rPr>
        <w:t>其中专业调整系数、复杂程度调整系数、高程调整系数按经批复的概算审核报告上标示的系数结算</w:t>
      </w:r>
      <w:r>
        <w:rPr>
          <w:rFonts w:hint="eastAsia" w:ascii="宋体" w:hAnsi="宋体" w:eastAsia="宋体" w:cs="宋体"/>
          <w:color w:val="auto"/>
          <w:sz w:val="24"/>
          <w:szCs w:val="24"/>
          <w:highlight w:val="none"/>
        </w:rPr>
        <w:t>），且监理费结算价不得超过概算审定的监理费用。最终监理费结算价以委托人确认的结果为准。监理报酬不因物价变动或建设工期延长导致监理报酬的增减而给予弥补或调整。在本合同约定的监理范围内，监理人不得以任何理由要求附加工作和额外工作的监理报酬。</w:t>
      </w:r>
    </w:p>
    <w:p w14:paraId="0A27CC21">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以上分期支付监理人可视实际情况合并申请支付。</w:t>
      </w:r>
    </w:p>
    <w:p w14:paraId="75307F32">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本项目资金来源为财政资金，须执行财政集中支付的相关程序，以上付款时间均指委托人完成向财政部门申报支付手续的时间，财政部门审查及实际支付可能造成的时间延误不视为委托人违约。由于财政资金拨款不到位导致委托人逾期申报支付手续的，委托人不承担违约责任，并且此情况不能成为监理人造成违约行为的理由。监理人应在向委托人申请付款时，提交相应金额的合法发票，未提供发票委托人有权拒绝办理支付手续。本合同所有款项支付至监理人在本合同中的收款账户。</w:t>
      </w:r>
    </w:p>
    <w:p w14:paraId="7E333DB5">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val="en-US" w:eastAsia="zh-CN"/>
        </w:rPr>
      </w:pPr>
      <w:r>
        <w:rPr>
          <w:rFonts w:hint="eastAsia" w:ascii="宋体" w:hAnsi="宋体" w:eastAsia="宋体" w:cs="宋体"/>
          <w:color w:val="auto"/>
          <w:sz w:val="24"/>
          <w:szCs w:val="21"/>
          <w:highlight w:val="none"/>
          <w:u w:val="none"/>
          <w:lang w:val="en-US" w:eastAsia="zh-CN"/>
        </w:rPr>
        <w:t>甲方对本</w:t>
      </w:r>
      <w:r>
        <w:rPr>
          <w:rFonts w:hint="eastAsia" w:ascii="宋体" w:hAnsi="宋体" w:eastAsia="宋体" w:cs="宋体"/>
          <w:b w:val="0"/>
          <w:color w:val="auto"/>
          <w:sz w:val="24"/>
          <w:szCs w:val="21"/>
          <w:highlight w:val="none"/>
          <w:u w:val="none"/>
          <w:lang w:val="en-US" w:eastAsia="zh-CN"/>
        </w:rPr>
        <w:t>合同</w:t>
      </w:r>
      <w:r>
        <w:rPr>
          <w:rFonts w:hint="eastAsia" w:ascii="宋体" w:hAnsi="宋体" w:eastAsia="宋体" w:cs="宋体"/>
          <w:color w:val="auto"/>
          <w:sz w:val="24"/>
          <w:szCs w:val="21"/>
          <w:highlight w:val="none"/>
          <w:u w:val="none"/>
          <w:lang w:val="en-US" w:eastAsia="zh-CN"/>
        </w:rPr>
        <w:t>结算的特殊要求：当项目完成财务竣工决算经财政部门审定后，合同的竣工决算价与结算价不一致时，以财局审定的合同决算价作为合同最终结算价，乙方应无条件配合甲方多退少补。</w:t>
      </w:r>
    </w:p>
    <w:p w14:paraId="0FC70995">
      <w:pPr>
        <w:pStyle w:val="2"/>
        <w:numPr>
          <w:ilvl w:val="-1"/>
          <w:numId w:val="0"/>
        </w:numPr>
        <w:adjustRightInd w:val="0"/>
        <w:snapToGrid w:val="0"/>
        <w:spacing w:line="482" w:lineRule="exact"/>
        <w:ind w:firstLine="480" w:firstLineChars="200"/>
        <w:rPr>
          <w:rFonts w:hint="default" w:ascii="宋体" w:hAnsi="宋体" w:eastAsia="宋体" w:cs="宋体"/>
          <w:color w:val="auto"/>
          <w:highlight w:val="none"/>
          <w:lang w:val="en-US"/>
        </w:rPr>
      </w:pPr>
      <w:r>
        <w:rPr>
          <w:rFonts w:hint="eastAsia" w:ascii="黑体" w:hAnsi="宋体" w:eastAsia="黑体" w:cs="宋体"/>
          <w:color w:val="auto"/>
          <w:highlight w:val="none"/>
        </w:rPr>
        <w:t xml:space="preserve">第三十三条  </w:t>
      </w:r>
      <w:r>
        <w:rPr>
          <w:rFonts w:hint="eastAsia" w:hAnsi="宋体" w:cs="宋体"/>
          <w:color w:val="auto"/>
          <w:highlight w:val="none"/>
        </w:rPr>
        <w:t>监理附加服务酬金的计取与支付方法：</w:t>
      </w:r>
      <w:r>
        <w:rPr>
          <w:rFonts w:hint="eastAsia" w:cs="宋体"/>
          <w:color w:val="auto"/>
          <w:highlight w:val="none"/>
          <w:lang w:val="en-US" w:eastAsia="zh-CN"/>
        </w:rPr>
        <w:t>无。</w:t>
      </w:r>
    </w:p>
    <w:p w14:paraId="32D5D1F0">
      <w:pPr>
        <w:pStyle w:val="7"/>
        <w:jc w:val="center"/>
        <w:outlineLvl w:val="0"/>
        <w:rPr>
          <w:rFonts w:hint="eastAsia" w:ascii="Arial" w:hAnsi="Arial" w:eastAsia="黑体" w:cs="Times New Roman"/>
          <w:color w:val="auto"/>
          <w:sz w:val="32"/>
          <w:szCs w:val="24"/>
          <w:highlight w:val="none"/>
        </w:rPr>
      </w:pPr>
      <w:bookmarkStart w:id="217" w:name="_Toc24435"/>
      <w:bookmarkStart w:id="218" w:name="_Toc8266"/>
      <w:bookmarkStart w:id="219" w:name="_Toc13388"/>
      <w:bookmarkStart w:id="220" w:name="_Toc4318"/>
      <w:bookmarkStart w:id="221" w:name="_Toc22022"/>
      <w:bookmarkStart w:id="222" w:name="_Toc2395"/>
      <w:bookmarkStart w:id="223" w:name="_Toc2909"/>
      <w:r>
        <w:rPr>
          <w:rFonts w:hint="eastAsia" w:ascii="Arial" w:hAnsi="Arial" w:eastAsia="黑体" w:cs="Times New Roman"/>
          <w:color w:val="auto"/>
          <w:sz w:val="32"/>
          <w:szCs w:val="24"/>
          <w:highlight w:val="none"/>
        </w:rPr>
        <w:t>违约责任</w:t>
      </w:r>
      <w:bookmarkEnd w:id="217"/>
      <w:bookmarkEnd w:id="218"/>
      <w:bookmarkEnd w:id="219"/>
      <w:bookmarkEnd w:id="220"/>
      <w:bookmarkEnd w:id="221"/>
      <w:bookmarkEnd w:id="222"/>
      <w:bookmarkEnd w:id="223"/>
    </w:p>
    <w:p w14:paraId="0560A82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default" w:ascii="宋体" w:hAnsi="宋体" w:eastAsia="宋体" w:cs="宋体"/>
          <w:color w:val="auto"/>
          <w:highlight w:val="none"/>
          <w:lang w:val="en-US"/>
        </w:rPr>
      </w:pPr>
      <w:r>
        <w:rPr>
          <w:rFonts w:hint="eastAsia" w:ascii="黑体" w:hAnsi="宋体" w:eastAsia="黑体" w:cs="宋体"/>
          <w:color w:val="auto"/>
          <w:highlight w:val="none"/>
        </w:rPr>
        <w:t xml:space="preserve">第四十条 </w:t>
      </w:r>
      <w:r>
        <w:rPr>
          <w:rFonts w:hint="eastAsia" w:hAnsi="宋体" w:cs="宋体"/>
          <w:color w:val="auto"/>
          <w:highlight w:val="none"/>
        </w:rPr>
        <w:t xml:space="preserve"> 委托人违约，应支付给监理人违约金：</w:t>
      </w:r>
      <w:r>
        <w:rPr>
          <w:rFonts w:hint="eastAsia" w:cs="宋体"/>
          <w:color w:val="auto"/>
          <w:highlight w:val="none"/>
          <w:u w:val="single"/>
          <w:lang w:val="en-US" w:eastAsia="zh-CN"/>
        </w:rPr>
        <w:t xml:space="preserve"> / </w:t>
      </w:r>
      <w:r>
        <w:rPr>
          <w:rFonts w:hint="eastAsia" w:cs="宋体"/>
          <w:color w:val="auto"/>
          <w:highlight w:val="none"/>
          <w:u w:val="none"/>
          <w:lang w:val="en-US" w:eastAsia="zh-CN"/>
        </w:rPr>
        <w:t>。</w:t>
      </w:r>
    </w:p>
    <w:p w14:paraId="35E86481">
      <w:pPr>
        <w:keepNext w:val="0"/>
        <w:keepLines w:val="0"/>
        <w:pageBreakBefore w:val="0"/>
        <w:widowControl w:val="0"/>
        <w:kinsoku/>
        <w:wordWrap/>
        <w:overflowPunct/>
        <w:topLinePunct/>
        <w:autoSpaceDE/>
        <w:autoSpaceDN/>
        <w:bidi w:val="0"/>
        <w:spacing w:line="456" w:lineRule="auto"/>
        <w:ind w:firstLine="420" w:firstLineChars="200"/>
        <w:contextualSpacing/>
        <w:jc w:val="left"/>
        <w:textAlignment w:val="auto"/>
        <w:rPr>
          <w:rFonts w:hint="eastAsia" w:eastAsia="宋体"/>
          <w:color w:val="auto"/>
          <w:highlight w:val="none"/>
          <w:lang w:val="en-US" w:eastAsia="zh-CN"/>
        </w:rPr>
      </w:pPr>
      <w:r>
        <w:rPr>
          <w:rFonts w:hint="eastAsia" w:ascii="黑体" w:hAnsi="宋体" w:eastAsia="黑体" w:cs="宋体"/>
          <w:color w:val="auto"/>
          <w:highlight w:val="none"/>
        </w:rPr>
        <w:t xml:space="preserve">第四十一条 </w:t>
      </w:r>
      <w:r>
        <w:rPr>
          <w:rFonts w:hint="eastAsia" w:hAnsi="宋体" w:cs="宋体"/>
          <w:color w:val="auto"/>
          <w:highlight w:val="none"/>
        </w:rPr>
        <w:t xml:space="preserve"> 因委托人延期支付监理服务酬金而向监理人支付逾期付款违约金的计算办法：</w:t>
      </w:r>
      <w:r>
        <w:rPr>
          <w:rFonts w:hint="eastAsia" w:ascii="宋体" w:hAnsi="宋体" w:cs="宋体"/>
          <w:color w:val="auto"/>
          <w:kern w:val="2"/>
          <w:sz w:val="24"/>
          <w:szCs w:val="21"/>
          <w:highlight w:val="none"/>
          <w:u w:val="single"/>
          <w:lang w:val="en-US" w:eastAsia="zh-CN" w:bidi="ar-SA"/>
        </w:rPr>
        <w:t>无。</w:t>
      </w:r>
    </w:p>
    <w:p w14:paraId="4E5F10F0">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第四十二条 </w:t>
      </w:r>
      <w:r>
        <w:rPr>
          <w:rFonts w:hint="eastAsia" w:hAnsi="宋体" w:cs="宋体"/>
          <w:color w:val="auto"/>
          <w:highlight w:val="none"/>
        </w:rPr>
        <w:t xml:space="preserve"> 监理人违约，应支付给委托人违约金</w:t>
      </w:r>
      <w:r>
        <w:rPr>
          <w:rFonts w:hint="eastAsia" w:hAnsi="宋体" w:cs="宋体"/>
          <w:color w:val="auto"/>
          <w:highlight w:val="none"/>
          <w:u w:val="single"/>
          <w:lang w:val="en-US" w:eastAsia="zh-CN"/>
        </w:rPr>
        <w:t xml:space="preserve"> / </w:t>
      </w:r>
    </w:p>
    <w:p w14:paraId="5200CB08">
      <w:pPr>
        <w:pStyle w:val="2"/>
        <w:adjustRightInd w:val="0"/>
        <w:snapToGrid w:val="0"/>
        <w:spacing w:line="482" w:lineRule="exact"/>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其中，因监理人违约情形的不同，监理人赔偿金额的计算方法如下：</w:t>
      </w:r>
    </w:p>
    <w:p w14:paraId="198D99E7">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书面警告。监理人不履行或不完全履行合同或不执行委托人（含主管人员）的指令等时，委托人有权向监理人发出书面警告，监理人须承担违约金2000元/次。监理人必须在书面警告限定的时间内履行义务或执行指令，否则应承担1次一般违约责任。</w:t>
      </w:r>
    </w:p>
    <w:p w14:paraId="40DEAC71">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（2）一般违约责任。监理人违反本合同的约定须承担一般违约责任时，必须承担违约金3000-10000元/次。</w:t>
      </w:r>
    </w:p>
    <w:p w14:paraId="087EE593">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（3）严重违约责任。监理人违反本合同的约定须承担严重违约责任时，必须承担违约金 10000元- 50000元/次。</w:t>
      </w:r>
    </w:p>
    <w:p w14:paraId="299CF96B">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4）解除合同。当监理人违反本合同的约定符合解除合同的条件时，委托人有权向监理人发出书面解除合同的通知，该通知在送达监理人时即生效，监理人应在解除合同之日起七日内向委托人支付本合同价款20%的违约金并赔偿委托人的实际损失，违约金与赔偿金之和不高于委托人已支付给承包人的合同价款总额。</w:t>
      </w:r>
    </w:p>
    <w:p w14:paraId="2CC9C61E">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（5）赔偿损失。因监理人原因造成委托人经济损失的，承包人应赔偿委托人的全部直接和间接经济损失。</w:t>
      </w:r>
    </w:p>
    <w:p w14:paraId="5246142A">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监理人按本合同约定应缴纳的违约金和赔偿金应分别计算。</w:t>
      </w:r>
    </w:p>
    <w:p w14:paraId="3C96300D">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在本合同有效期内，累计三次书面警告有权追加一次一般违约责任；累计三次一般违约责任有权追加一次严重违约责任；累计三次严重违约责任，委托人有权单方面部分或全部解除合同。</w:t>
      </w:r>
    </w:p>
    <w:p w14:paraId="015007FF">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（1）监理人不按经委托人批准的监理规划及监理实施细则实施监理工作的，给予一次书面警告。</w:t>
      </w:r>
    </w:p>
    <w:p w14:paraId="63F114BC">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（2）未经同意更换总监理，每次扣除监理报酬10000元。</w:t>
      </w:r>
    </w:p>
    <w:p w14:paraId="52C83090">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（3）未按委托人要求派现场监理，扣除监理报酬1000元/人·天。</w:t>
      </w:r>
    </w:p>
    <w:p w14:paraId="60015D38">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（4）监理人在工作中发生超越合同规定权限审批的行为，承担一次一般违约责任。同时委托人有权视情节轻重，要求更换相关监理人员。</w:t>
      </w:r>
    </w:p>
    <w:p w14:paraId="6070FC13">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5）监理人如在计量或变更设计工作中弄虚作假，或总监缺勤2天/月或其派驻现场的监理人员月驻施工现场少于24天或危大工程总监履职不到位，承担一次严重违约责任。同时委托人有权视情节轻重，要求更换相关监理人员。</w:t>
      </w:r>
    </w:p>
    <w:p w14:paraId="67F86DCB">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（6）监理人不得凭借本身的影响，违规向施工单位介绍分包队伍、推销原材料。如有发生，承担一次严重违约责任。同时委托人有权视情节轻重，要求更换相关监理人员，并将分包队伍清除出场。</w:t>
      </w:r>
    </w:p>
    <w:p w14:paraId="6B5E22EA">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7）监理人发现施工进度、质量、安全问题及危大工程施工履职不到位时，应充分运用合同文件对承包人进行处罚，如应罚而未罚，或处罚不力，属违约行为。委托人发现同一标段同类问题向监理人作一次提醒后，第二次发现监理人该罚而未罚或执罚不力，则承担一次一般违约责任。</w:t>
      </w:r>
    </w:p>
    <w:p w14:paraId="16B42EFB">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8）由于监理人粗心、过失或监理人的其它原因使工程量变更计算、签认错误且导致工程单项合同价往增加方向出现较大的偏差，上报委托人之结算单项合价或结算总价与财政部门评审结果相比，若偏差出现以下情况之一者须按每项偏差总额的20%扣除监理报酬（扣除的监理报酬不大于10万元）：1）、单项结算价偏差超过20%或金额大于10万元；2）整个标段结算价偏差大于10%。</w:t>
      </w:r>
    </w:p>
    <w:p w14:paraId="45F92A55">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（9）监理人不按时审核施工承包人提交的工程款支付申请，签发或出具工程款支付证书的，按每次拖延天数计算，扣除监理报酬1000元/次·天；</w:t>
      </w:r>
    </w:p>
    <w:p w14:paraId="060B996E">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（10）监理人每月须分别将工程的当月及累计扣除金额和变更金额列表上报委托人。</w:t>
      </w:r>
    </w:p>
    <w:p w14:paraId="0A97E305">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（11）工程所在地政府及水务部门有权对工程进行监督，若发现问题，按本条 （1）至（7）款处理。</w:t>
      </w:r>
    </w:p>
    <w:p w14:paraId="420704F4">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（12）委托人有权将以上情况通报监理人的主管部门及上级有关部门。</w:t>
      </w:r>
    </w:p>
    <w:p w14:paraId="5B980BCA">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如果发现上述（4）、（5）、（6）条中所述事件出现3次以上（含3次），委托人（建设单位）有权终止合同，由此导致的所有损失由监理人负责，委托人（建设单位）保留诉讼的权力。</w:t>
      </w:r>
    </w:p>
    <w:p w14:paraId="48A71FAB">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（13）若因监理人原因，导致施工工期延长，监理服务期限顺延，并视监理人违约。</w:t>
      </w:r>
    </w:p>
    <w:p w14:paraId="76450561">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（14）监理人监管不力，施工单位因施工质量、安全文明施工等不符合标准要求受到处罚的，监理人也相应受到处罚，承担一次一般违约责任。</w:t>
      </w:r>
    </w:p>
    <w:p w14:paraId="2AF458AE">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（15）经检查，监理人总监或总监代表均未在项目部或现场的（委托人（建设单位）通知总监或总监代表未能在半小时内赶到现场的），每发生一次，</w:t>
      </w:r>
      <w:r>
        <w:rPr>
          <w:rFonts w:hint="eastAsia" w:ascii="宋体" w:hAnsi="宋体" w:eastAsia="宋体" w:cs="宋体"/>
          <w:bCs w:val="0"/>
          <w:color w:val="auto"/>
          <w:sz w:val="24"/>
          <w:szCs w:val="21"/>
          <w:highlight w:val="none"/>
          <w:u w:val="none"/>
        </w:rPr>
        <w:t>给予</w:t>
      </w:r>
      <w:r>
        <w:rPr>
          <w:rFonts w:hint="eastAsia" w:ascii="宋体" w:hAnsi="宋体" w:eastAsia="宋体" w:cs="宋体"/>
          <w:color w:val="auto"/>
          <w:sz w:val="24"/>
          <w:szCs w:val="21"/>
          <w:highlight w:val="none"/>
          <w:u w:val="none"/>
        </w:rPr>
        <w:t>一次书面警告。</w:t>
      </w:r>
    </w:p>
    <w:p w14:paraId="46AB32C4">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（16）经检查，监理人未按委托人要求控制好开工/完工审批流程，可视化验收，隐蔽验收，安全管理的，项目范围内全覆盖巡查，每发生一次，承担一次一般违约责任。</w:t>
      </w:r>
    </w:p>
    <w:p w14:paraId="7C21288D">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1"/>
          <w:highlight w:val="none"/>
          <w:u w:val="none"/>
        </w:rPr>
        <w:t>（17）以上所有扣除的赔偿金或违约金，均须在当期支付的监理应付款中扣除。结算时不予退还，监理人不得有异议</w:t>
      </w:r>
      <w:r>
        <w:rPr>
          <w:rFonts w:hint="eastAsia" w:ascii="宋体" w:hAnsi="宋体" w:eastAsia="宋体" w:cs="宋体"/>
          <w:color w:val="auto"/>
          <w:highlight w:val="none"/>
        </w:rPr>
        <w:t>；</w:t>
      </w:r>
    </w:p>
    <w:p w14:paraId="23355FE5">
      <w:pPr>
        <w:pStyle w:val="7"/>
        <w:jc w:val="center"/>
        <w:outlineLvl w:val="0"/>
        <w:rPr>
          <w:rFonts w:hint="eastAsia" w:ascii="Arial" w:hAnsi="Arial" w:eastAsia="黑体" w:cs="Times New Roman"/>
          <w:color w:val="auto"/>
          <w:sz w:val="32"/>
          <w:szCs w:val="24"/>
          <w:highlight w:val="none"/>
        </w:rPr>
      </w:pPr>
      <w:bookmarkStart w:id="224" w:name="_Toc10681"/>
      <w:bookmarkStart w:id="225" w:name="_Toc7253"/>
      <w:bookmarkStart w:id="226" w:name="_Toc12222"/>
      <w:bookmarkStart w:id="227" w:name="_Toc12361"/>
      <w:bookmarkStart w:id="228" w:name="_Toc17727"/>
      <w:bookmarkStart w:id="229" w:name="_Toc9109"/>
      <w:bookmarkStart w:id="230" w:name="_Toc6677"/>
      <w:r>
        <w:rPr>
          <w:rFonts w:hint="eastAsia" w:ascii="Arial" w:hAnsi="Arial" w:eastAsia="黑体" w:cs="Times New Roman"/>
          <w:color w:val="auto"/>
          <w:sz w:val="32"/>
          <w:szCs w:val="24"/>
          <w:highlight w:val="none"/>
        </w:rPr>
        <w:t>争议的解决</w:t>
      </w:r>
      <w:bookmarkEnd w:id="224"/>
      <w:bookmarkEnd w:id="225"/>
      <w:bookmarkEnd w:id="226"/>
      <w:bookmarkEnd w:id="227"/>
      <w:bookmarkEnd w:id="228"/>
      <w:bookmarkEnd w:id="229"/>
      <w:bookmarkEnd w:id="230"/>
    </w:p>
    <w:p w14:paraId="2CF768AD">
      <w:pPr>
        <w:pStyle w:val="2"/>
        <w:adjustRightInd w:val="0"/>
        <w:snapToGrid w:val="0"/>
        <w:spacing w:line="482" w:lineRule="exact"/>
        <w:ind w:firstLine="480" w:firstLineChars="200"/>
        <w:rPr>
          <w:rFonts w:hint="eastAsia" w:hAnsi="宋体" w:cs="宋体"/>
          <w:color w:val="auto"/>
          <w:highlight w:val="none"/>
        </w:rPr>
      </w:pPr>
      <w:r>
        <w:rPr>
          <w:rFonts w:hint="eastAsia" w:ascii="黑体" w:hAnsi="宋体" w:eastAsia="黑体" w:cs="宋体"/>
          <w:color w:val="auto"/>
          <w:highlight w:val="none"/>
        </w:rPr>
        <w:t xml:space="preserve">第四十三条 </w:t>
      </w:r>
      <w:r>
        <w:rPr>
          <w:rFonts w:hint="eastAsia" w:hAnsi="宋体" w:cs="宋体"/>
          <w:color w:val="auto"/>
          <w:highlight w:val="none"/>
        </w:rPr>
        <w:t xml:space="preserve"> 争议调、仲裁机构：</w:t>
      </w:r>
    </w:p>
    <w:p w14:paraId="379DDDB0">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一、争议调解机构为：</w:t>
      </w:r>
      <w:r>
        <w:rPr>
          <w:rFonts w:hint="eastAsia" w:ascii="宋体" w:hAnsi="宋体" w:eastAsia="宋体" w:cs="宋体"/>
          <w:color w:val="auto"/>
          <w:sz w:val="24"/>
          <w:szCs w:val="21"/>
          <w:highlight w:val="none"/>
        </w:rPr>
        <w:t>本合同争议进行调解时，可提交</w:t>
      </w:r>
      <w:r>
        <w:rPr>
          <w:rFonts w:hint="eastAsia" w:ascii="宋体" w:hAnsi="宋体" w:eastAsia="宋体" w:cs="宋体"/>
          <w:color w:val="auto"/>
          <w:sz w:val="24"/>
          <w:szCs w:val="21"/>
          <w:highlight w:val="none"/>
          <w:u w:val="none"/>
        </w:rPr>
        <w:t xml:space="preserve"> 由相关主管部门 </w:t>
      </w:r>
      <w:r>
        <w:rPr>
          <w:rFonts w:hint="eastAsia" w:ascii="宋体" w:hAnsi="宋体" w:eastAsia="宋体" w:cs="宋体"/>
          <w:color w:val="auto"/>
          <w:sz w:val="24"/>
          <w:szCs w:val="21"/>
          <w:highlight w:val="none"/>
        </w:rPr>
        <w:t>进行调解</w:t>
      </w:r>
      <w:r>
        <w:rPr>
          <w:rFonts w:hint="eastAsia" w:hAnsi="宋体" w:cs="宋体"/>
          <w:color w:val="auto"/>
          <w:highlight w:val="none"/>
        </w:rPr>
        <w:t>；</w:t>
      </w:r>
    </w:p>
    <w:p w14:paraId="2B237107">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t>二、仲裁</w:t>
      </w:r>
      <w:r>
        <w:rPr>
          <w:rFonts w:hint="eastAsia" w:cs="宋体"/>
          <w:color w:val="auto"/>
          <w:highlight w:val="none"/>
          <w:lang w:val="en-US" w:eastAsia="zh-CN"/>
        </w:rPr>
        <w:t>或诉讼</w:t>
      </w:r>
      <w:r>
        <w:rPr>
          <w:rFonts w:hint="eastAsia" w:hAnsi="宋体" w:cs="宋体"/>
          <w:color w:val="auto"/>
          <w:highlight w:val="none"/>
        </w:rPr>
        <w:t>：</w:t>
      </w:r>
      <w:r>
        <w:rPr>
          <w:rFonts w:hint="eastAsia" w:ascii="宋体" w:hAnsi="宋体" w:eastAsia="宋体" w:cs="宋体"/>
          <w:color w:val="auto"/>
          <w:sz w:val="24"/>
          <w:szCs w:val="21"/>
          <w:highlight w:val="none"/>
        </w:rPr>
        <w:t>向</w:t>
      </w:r>
      <w:r>
        <w:rPr>
          <w:rFonts w:hint="eastAsia" w:ascii="宋体" w:hAnsi="宋体" w:eastAsia="宋体" w:cs="宋体"/>
          <w:color w:val="auto"/>
          <w:sz w:val="24"/>
          <w:szCs w:val="21"/>
          <w:highlight w:val="none"/>
          <w:u w:val="none"/>
        </w:rPr>
        <w:t>广州市天河区人民法院</w:t>
      </w:r>
      <w:r>
        <w:rPr>
          <w:rFonts w:hint="eastAsia" w:ascii="宋体" w:hAnsi="宋体" w:eastAsia="宋体" w:cs="宋体"/>
          <w:color w:val="auto"/>
          <w:sz w:val="24"/>
          <w:szCs w:val="21"/>
          <w:highlight w:val="none"/>
        </w:rPr>
        <w:t>提起诉讼。</w:t>
      </w:r>
      <w:r>
        <w:rPr>
          <w:rFonts w:hint="eastAsia" w:ascii="宋体" w:hAnsi="宋体" w:eastAsia="宋体" w:cs="宋体"/>
          <w:color w:val="auto"/>
          <w:spacing w:val="0"/>
          <w:sz w:val="24"/>
          <w:highlight w:val="none"/>
        </w:rPr>
        <w:t>双方因履行本合同发生争议而提起诉讼发生的包括而不限于律师费、诉讼费、差旅费、评估费、拍卖费、财产保全费、公告费、公证费、查询费等费用由败诉方承担</w:t>
      </w:r>
      <w:r>
        <w:rPr>
          <w:rFonts w:hint="eastAsia" w:ascii="宋体" w:hAnsi="宋体" w:eastAsia="宋体" w:cs="宋体"/>
          <w:color w:val="auto"/>
          <w:highlight w:val="none"/>
        </w:rPr>
        <w:t>；</w:t>
      </w:r>
    </w:p>
    <w:p w14:paraId="57FAC690">
      <w:pPr>
        <w:pStyle w:val="7"/>
        <w:jc w:val="center"/>
        <w:outlineLvl w:val="0"/>
        <w:rPr>
          <w:rFonts w:hint="eastAsia" w:ascii="Arial" w:hAnsi="Arial" w:eastAsia="黑体" w:cs="Times New Roman"/>
          <w:color w:val="auto"/>
          <w:sz w:val="32"/>
          <w:szCs w:val="24"/>
          <w:highlight w:val="none"/>
        </w:rPr>
      </w:pPr>
      <w:bookmarkStart w:id="231" w:name="_Toc19303"/>
      <w:bookmarkStart w:id="232" w:name="_Toc15258"/>
      <w:bookmarkStart w:id="233" w:name="_Toc15628"/>
      <w:bookmarkStart w:id="234" w:name="_Toc25507"/>
      <w:bookmarkStart w:id="235" w:name="_Toc27370"/>
      <w:bookmarkStart w:id="236" w:name="_Toc4643"/>
      <w:bookmarkStart w:id="237" w:name="_Toc25459"/>
      <w:r>
        <w:rPr>
          <w:rFonts w:hint="eastAsia" w:ascii="Arial" w:hAnsi="Arial" w:eastAsia="黑体" w:cs="Times New Roman"/>
          <w:color w:val="auto"/>
          <w:sz w:val="32"/>
          <w:szCs w:val="24"/>
          <w:highlight w:val="none"/>
        </w:rPr>
        <w:t>其    他</w:t>
      </w:r>
      <w:bookmarkEnd w:id="231"/>
      <w:bookmarkEnd w:id="232"/>
      <w:bookmarkEnd w:id="233"/>
      <w:bookmarkEnd w:id="234"/>
      <w:bookmarkEnd w:id="235"/>
      <w:bookmarkEnd w:id="236"/>
      <w:bookmarkEnd w:id="237"/>
    </w:p>
    <w:p w14:paraId="17A4630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color w:val="auto"/>
          <w:highlight w:val="none"/>
        </w:rPr>
      </w:pPr>
      <w:r>
        <w:rPr>
          <w:rFonts w:hint="eastAsia" w:ascii="黑体" w:hAnsi="宋体" w:eastAsia="黑体" w:cs="宋体"/>
          <w:color w:val="auto"/>
          <w:highlight w:val="none"/>
        </w:rPr>
        <w:t>第四十五条</w:t>
      </w:r>
      <w:r>
        <w:rPr>
          <w:rFonts w:hint="eastAsia" w:hAnsi="宋体" w:cs="宋体"/>
          <w:color w:val="auto"/>
          <w:highlight w:val="none"/>
        </w:rPr>
        <w:t xml:space="preserve">  委托人对监理人提供并落实的合理化建议的奖励办法是：</w:t>
      </w:r>
      <w:r>
        <w:rPr>
          <w:rFonts w:hint="eastAsia" w:cs="宋体"/>
          <w:color w:val="auto"/>
          <w:highlight w:val="none"/>
          <w:u w:val="single"/>
          <w:lang w:val="en-US" w:eastAsia="zh-CN"/>
        </w:rPr>
        <w:t xml:space="preserve">无  </w:t>
      </w:r>
      <w:r>
        <w:rPr>
          <w:rFonts w:hint="eastAsia" w:hAnsi="宋体" w:cs="宋体"/>
          <w:color w:val="auto"/>
          <w:highlight w:val="none"/>
        </w:rPr>
        <w:t>。</w:t>
      </w:r>
    </w:p>
    <w:p w14:paraId="7BE05D8F">
      <w:pPr>
        <w:pStyle w:val="3"/>
        <w:keepNext w:val="0"/>
        <w:keepLines w:val="0"/>
        <w:pageBreakBefore w:val="0"/>
        <w:widowControl w:val="0"/>
        <w:kinsoku/>
        <w:wordWrap/>
        <w:overflowPunct/>
        <w:topLinePunct w:val="0"/>
        <w:autoSpaceDE w:val="0"/>
        <w:autoSpaceDN w:val="0"/>
        <w:bidi w:val="0"/>
        <w:adjustRightInd w:val="0"/>
        <w:snapToGrid/>
        <w:spacing w:line="482" w:lineRule="exact"/>
        <w:ind w:firstLine="480" w:firstLineChars="200"/>
        <w:textAlignment w:val="auto"/>
        <w:rPr>
          <w:rFonts w:hint="default" w:eastAsia="宋体"/>
          <w:b/>
          <w:bCs/>
          <w:color w:val="auto"/>
          <w:highlight w:val="none"/>
          <w:lang w:val="en-US" w:eastAsia="zh-CN"/>
        </w:rPr>
      </w:pPr>
      <w:r>
        <w:rPr>
          <w:rFonts w:hint="eastAsia" w:ascii="黑体" w:hAnsi="宋体" w:eastAsia="黑体" w:cs="宋体"/>
          <w:color w:val="auto"/>
          <w:highlight w:val="none"/>
        </w:rPr>
        <w:t>第四十</w:t>
      </w:r>
      <w:r>
        <w:rPr>
          <w:rFonts w:hint="eastAsia" w:ascii="黑体" w:hAnsi="宋体" w:eastAsia="黑体" w:cs="宋体"/>
          <w:color w:val="auto"/>
          <w:highlight w:val="none"/>
          <w:lang w:val="en-US" w:eastAsia="zh-CN"/>
        </w:rPr>
        <w:t>六</w:t>
      </w:r>
      <w:r>
        <w:rPr>
          <w:rFonts w:hint="eastAsia" w:ascii="黑体" w:hAnsi="宋体" w:eastAsia="黑体" w:cs="宋体"/>
          <w:color w:val="auto"/>
          <w:highlight w:val="none"/>
        </w:rPr>
        <w:t>条</w:t>
      </w:r>
      <w:r>
        <w:rPr>
          <w:rFonts w:hint="eastAsia" w:hAnsi="宋体" w:cs="宋体"/>
          <w:color w:val="auto"/>
          <w:highlight w:val="none"/>
        </w:rPr>
        <w:t xml:space="preserve">  </w:t>
      </w:r>
      <w:r>
        <w:rPr>
          <w:rFonts w:hint="eastAsia" w:hAnsi="宋体" w:cs="宋体"/>
          <w:color w:val="auto"/>
          <w:highlight w:val="none"/>
          <w:lang w:val="en-US" w:eastAsia="zh-CN"/>
        </w:rPr>
        <w:t>补充条款</w:t>
      </w:r>
    </w:p>
    <w:p w14:paraId="0F3877C9">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一、</w:t>
      </w:r>
      <w:r>
        <w:rPr>
          <w:rFonts w:hint="eastAsia" w:ascii="宋体" w:hAnsi="宋体" w:eastAsia="宋体" w:cs="宋体"/>
          <w:color w:val="auto"/>
          <w:sz w:val="24"/>
          <w:szCs w:val="21"/>
          <w:highlight w:val="none"/>
          <w:u w:val="none"/>
        </w:rPr>
        <w:t>缺陷责任期责任：</w:t>
      </w:r>
    </w:p>
    <w:p w14:paraId="5443F838">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监理服务缺陷责任期按照施工保修期执行，为2年。监理人负责检查项目使用状况，确认问题责任所属，督促责任方做好保修工作。</w:t>
      </w:r>
    </w:p>
    <w:p w14:paraId="7AF8A5B3">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二、</w:t>
      </w:r>
      <w:r>
        <w:rPr>
          <w:rFonts w:hint="eastAsia" w:ascii="宋体" w:hAnsi="宋体" w:eastAsia="宋体" w:cs="宋体"/>
          <w:color w:val="auto"/>
          <w:sz w:val="24"/>
          <w:szCs w:val="21"/>
          <w:highlight w:val="none"/>
          <w:u w:val="none"/>
        </w:rPr>
        <w:t>各方对通用条款</w:t>
      </w:r>
      <w:r>
        <w:rPr>
          <w:rFonts w:hint="eastAsia" w:ascii="宋体" w:hAnsi="宋体" w:eastAsia="宋体" w:cs="宋体"/>
          <w:color w:val="auto"/>
          <w:sz w:val="24"/>
          <w:szCs w:val="21"/>
          <w:highlight w:val="none"/>
          <w:u w:val="none"/>
          <w:lang w:eastAsia="zh-CN"/>
        </w:rPr>
        <w:t>第</w:t>
      </w:r>
      <w:r>
        <w:rPr>
          <w:rFonts w:hint="eastAsia" w:ascii="宋体" w:hAnsi="宋体" w:eastAsia="宋体" w:cs="宋体"/>
          <w:color w:val="auto"/>
          <w:sz w:val="24"/>
          <w:szCs w:val="21"/>
          <w:highlight w:val="none"/>
          <w:u w:val="none"/>
          <w:lang w:val="en-US" w:eastAsia="zh-CN"/>
        </w:rPr>
        <w:t>二十一</w:t>
      </w:r>
      <w:r>
        <w:rPr>
          <w:rFonts w:hint="eastAsia" w:ascii="宋体" w:hAnsi="宋体" w:eastAsia="宋体" w:cs="宋体"/>
          <w:color w:val="auto"/>
          <w:sz w:val="24"/>
          <w:szCs w:val="21"/>
          <w:highlight w:val="none"/>
          <w:u w:val="none"/>
        </w:rPr>
        <w:t>条修改如下：委托人可要求监理人更换不能胜任本职工作的项目监理机构人员，监理人应当在收到委托人书面通知之日内7日内予以更换，否则委托人有权解除合同并要求监理人承担违约责任；</w:t>
      </w:r>
    </w:p>
    <w:p w14:paraId="26C502D9">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三、</w:t>
      </w:r>
      <w:r>
        <w:rPr>
          <w:rFonts w:hint="eastAsia" w:ascii="宋体" w:hAnsi="宋体" w:eastAsia="宋体" w:cs="宋体"/>
          <w:color w:val="auto"/>
          <w:sz w:val="24"/>
          <w:szCs w:val="21"/>
          <w:highlight w:val="none"/>
          <w:u w:val="none"/>
        </w:rPr>
        <w:t>监理人出现以下情形之一的，委托人有权单方面解除合同并要求监理人承担违约责任：</w:t>
      </w:r>
    </w:p>
    <w:p w14:paraId="29D31EC2">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（1）监理人与承包人恶意串通损害委托人利益的；</w:t>
      </w:r>
    </w:p>
    <w:p w14:paraId="150397D6">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（2）监理人转包或分包本合同项下的监理服务；</w:t>
      </w:r>
    </w:p>
    <w:p w14:paraId="7791949D">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（3）因监理人原因或过错导致工程发生安全生产事故、质量事故的；</w:t>
      </w:r>
    </w:p>
    <w:p w14:paraId="5AF4764E">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（4）未按合同约定、报价书承诺；</w:t>
      </w:r>
    </w:p>
    <w:p w14:paraId="215BED1E">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（5）未按旁站方案对相应部位进行旁站；</w:t>
      </w:r>
    </w:p>
    <w:p w14:paraId="6BA09882">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（6）未按合同约定履行相关职责、义务的。</w:t>
      </w:r>
    </w:p>
    <w:p w14:paraId="4E9C26B6">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监理人发生本条第（1）、（2）、（3）项情形的，委托人有权立即解除本合同；发生第（4）、（5）、（6）项所约定情形的，委托人有权按专用条款</w:t>
      </w:r>
      <w:r>
        <w:rPr>
          <w:rFonts w:hint="eastAsia" w:ascii="宋体" w:hAnsi="宋体" w:eastAsia="宋体" w:cs="宋体"/>
          <w:color w:val="auto"/>
          <w:sz w:val="24"/>
          <w:szCs w:val="21"/>
          <w:highlight w:val="none"/>
          <w:u w:val="none"/>
          <w:lang w:val="en-US" w:eastAsia="zh-CN"/>
        </w:rPr>
        <w:t>第四十二条</w:t>
      </w:r>
      <w:r>
        <w:rPr>
          <w:rFonts w:hint="eastAsia" w:ascii="宋体" w:hAnsi="宋体" w:eastAsia="宋体" w:cs="宋体"/>
          <w:color w:val="auto"/>
          <w:sz w:val="24"/>
          <w:szCs w:val="21"/>
          <w:highlight w:val="none"/>
          <w:u w:val="none"/>
        </w:rPr>
        <w:t>中规定违约标准执行，并可按通用条</w:t>
      </w:r>
      <w:r>
        <w:rPr>
          <w:rFonts w:hint="eastAsia" w:ascii="宋体" w:hAnsi="宋体" w:eastAsia="宋体" w:cs="宋体"/>
          <w:color w:val="auto"/>
          <w:sz w:val="24"/>
          <w:szCs w:val="21"/>
          <w:highlight w:val="none"/>
          <w:u w:val="none"/>
          <w:lang w:val="en-US" w:eastAsia="zh-CN"/>
        </w:rPr>
        <w:t>款</w:t>
      </w:r>
      <w:r>
        <w:rPr>
          <w:rFonts w:hint="eastAsia" w:ascii="宋体" w:hAnsi="宋体" w:eastAsia="宋体" w:cs="宋体"/>
          <w:color w:val="auto"/>
          <w:sz w:val="24"/>
          <w:szCs w:val="21"/>
          <w:highlight w:val="none"/>
          <w:u w:val="none"/>
        </w:rPr>
        <w:t>第</w:t>
      </w:r>
      <w:r>
        <w:rPr>
          <w:rFonts w:hint="eastAsia" w:ascii="宋体" w:hAnsi="宋体" w:eastAsia="宋体" w:cs="宋体"/>
          <w:color w:val="auto"/>
          <w:sz w:val="24"/>
          <w:szCs w:val="21"/>
          <w:highlight w:val="none"/>
          <w:u w:val="none"/>
          <w:lang w:val="en-US" w:eastAsia="zh-CN"/>
        </w:rPr>
        <w:t>三十七条</w:t>
      </w:r>
      <w:r>
        <w:rPr>
          <w:rFonts w:hint="eastAsia" w:ascii="宋体" w:hAnsi="宋体" w:eastAsia="宋体" w:cs="宋体"/>
          <w:color w:val="auto"/>
          <w:sz w:val="24"/>
          <w:szCs w:val="21"/>
          <w:highlight w:val="none"/>
          <w:u w:val="none"/>
        </w:rPr>
        <w:t>约定解除合同。</w:t>
      </w:r>
    </w:p>
    <w:p w14:paraId="336A91F9">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四、</w:t>
      </w:r>
      <w:r>
        <w:rPr>
          <w:rFonts w:hint="eastAsia" w:ascii="宋体" w:hAnsi="宋体" w:eastAsia="宋体" w:cs="宋体"/>
          <w:color w:val="auto"/>
          <w:sz w:val="24"/>
          <w:szCs w:val="21"/>
          <w:highlight w:val="none"/>
          <w:u w:val="none"/>
        </w:rPr>
        <w:t>各方对通用条</w:t>
      </w:r>
      <w:r>
        <w:rPr>
          <w:rFonts w:hint="eastAsia" w:ascii="宋体" w:hAnsi="宋体" w:eastAsia="宋体" w:cs="宋体"/>
          <w:color w:val="auto"/>
          <w:sz w:val="24"/>
          <w:szCs w:val="21"/>
          <w:highlight w:val="none"/>
          <w:u w:val="none"/>
          <w:lang w:val="en-US" w:eastAsia="zh-CN"/>
        </w:rPr>
        <w:t>款第二十九</w:t>
      </w:r>
      <w:r>
        <w:rPr>
          <w:rFonts w:hint="eastAsia" w:ascii="宋体" w:hAnsi="宋体" w:eastAsia="宋体" w:cs="宋体"/>
          <w:color w:val="auto"/>
          <w:sz w:val="24"/>
          <w:szCs w:val="21"/>
          <w:highlight w:val="none"/>
          <w:u w:val="none"/>
        </w:rPr>
        <w:t>条修改如下：委托人对其编制的文件拥有著作权，但其他方有权在合理范围内无偿使用。</w:t>
      </w:r>
    </w:p>
    <w:p w14:paraId="3D6E7C1C">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五、</w:t>
      </w:r>
      <w:r>
        <w:rPr>
          <w:rFonts w:hint="eastAsia" w:ascii="宋体" w:hAnsi="宋体" w:eastAsia="宋体" w:cs="宋体"/>
          <w:color w:val="auto"/>
          <w:sz w:val="24"/>
          <w:szCs w:val="21"/>
          <w:highlight w:val="none"/>
          <w:u w:val="none"/>
        </w:rPr>
        <w:t>监理人应每年按照《广州市**年度安全生产责任保险工作方案》、《天河区**年度安全生产责任保险工作方案》的要求推行安全生产责任保险并完成任务要求。</w:t>
      </w:r>
    </w:p>
    <w:p w14:paraId="6230F4F8">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六、</w:t>
      </w:r>
      <w:r>
        <w:rPr>
          <w:rFonts w:hint="eastAsia" w:ascii="宋体" w:hAnsi="宋体" w:eastAsia="宋体" w:cs="宋体"/>
          <w:color w:val="auto"/>
          <w:sz w:val="24"/>
          <w:szCs w:val="21"/>
          <w:highlight w:val="none"/>
          <w:u w:val="none"/>
        </w:rPr>
        <w:t>如本条所约定补充条款与合同其他部分条款约定有冲突的，适用本补充条款约定。</w:t>
      </w:r>
    </w:p>
    <w:p w14:paraId="60288ECC">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cs="宋体"/>
          <w:color w:val="auto"/>
          <w:sz w:val="24"/>
          <w:szCs w:val="21"/>
          <w:highlight w:val="none"/>
          <w:u w:val="none"/>
          <w:lang w:val="en-US" w:eastAsia="zh-CN"/>
        </w:rPr>
        <w:t>七、</w:t>
      </w:r>
      <w:r>
        <w:rPr>
          <w:rFonts w:hint="eastAsia" w:ascii="宋体" w:hAnsi="宋体" w:eastAsia="宋体" w:cs="宋体"/>
          <w:color w:val="auto"/>
          <w:highlight w:val="none"/>
        </w:rPr>
        <w:t>监理人必须根据监理投资控制的职责要求对本项目的施工款资金使用进行监管，确保本项目资金专款专用，具体监管方式和流程以监理人、承包人和施工款非工人工资部分的开户银行签订的监管协议为准。根据《广东省水利工程质量对比检测实施办法》相关规定，应由项目建设单位委托有相应资质的质量检测机构进行的对比检测，监理单位代建设单位进行日常监督管理。</w:t>
      </w:r>
    </w:p>
    <w:p w14:paraId="6EC03BF8">
      <w:pPr>
        <w:pStyle w:val="3"/>
        <w:rPr>
          <w:rFonts w:hint="eastAsia" w:eastAsia="宋体"/>
          <w:color w:val="auto"/>
          <w:highlight w:val="none"/>
          <w:lang w:val="en-US" w:eastAsia="zh-CN"/>
        </w:rPr>
      </w:pPr>
    </w:p>
    <w:p w14:paraId="1364AEB8">
      <w:pPr>
        <w:rPr>
          <w:rFonts w:hint="eastAsia" w:hAnsi="宋体" w:cs="宋体"/>
          <w:color w:val="auto"/>
          <w:highlight w:val="none"/>
        </w:rPr>
      </w:pPr>
    </w:p>
    <w:p w14:paraId="3FF9A93B">
      <w:pPr>
        <w:pStyle w:val="2"/>
        <w:rPr>
          <w:rFonts w:hint="eastAsia" w:hAnsi="宋体" w:cs="宋体"/>
          <w:color w:val="auto"/>
          <w:highlight w:val="none"/>
        </w:rPr>
      </w:pPr>
    </w:p>
    <w:p w14:paraId="745D0D72">
      <w:pPr>
        <w:pStyle w:val="2"/>
        <w:adjustRightInd w:val="0"/>
        <w:snapToGrid w:val="0"/>
        <w:spacing w:line="482" w:lineRule="exact"/>
        <w:ind w:firstLine="480" w:firstLineChars="200"/>
        <w:rPr>
          <w:rFonts w:hint="eastAsia" w:hAnsi="宋体" w:cs="宋体"/>
          <w:color w:val="auto"/>
          <w:highlight w:val="none"/>
        </w:rPr>
      </w:pPr>
      <w:r>
        <w:rPr>
          <w:rFonts w:hint="eastAsia" w:hAnsi="宋体" w:cs="宋体"/>
          <w:color w:val="auto"/>
          <w:highlight w:val="none"/>
        </w:rPr>
        <w:br w:type="page"/>
      </w:r>
      <w:bookmarkStart w:id="238" w:name="_Toc30311"/>
    </w:p>
    <w:p w14:paraId="30CF79F0">
      <w:pPr>
        <w:pStyle w:val="6"/>
        <w:jc w:val="center"/>
        <w:rPr>
          <w:rFonts w:hint="default" w:hAnsi="宋体" w:eastAsia="宋体" w:cs="宋体"/>
          <w:color w:val="auto"/>
          <w:highlight w:val="none"/>
          <w:lang w:val="en-US" w:eastAsia="zh-CN"/>
        </w:rPr>
      </w:pPr>
      <w:bookmarkStart w:id="239" w:name="_Toc2540"/>
      <w:bookmarkStart w:id="240" w:name="_Toc2946"/>
      <w:bookmarkStart w:id="241" w:name="_Toc32153"/>
      <w:bookmarkStart w:id="242" w:name="_Toc24581"/>
      <w:bookmarkStart w:id="243" w:name="_Toc28070"/>
      <w:bookmarkStart w:id="244" w:name="_Toc4082"/>
      <w:r>
        <w:rPr>
          <w:rFonts w:hint="eastAsia" w:ascii="Times New Roman" w:hAnsi="Times New Roman" w:eastAsia="宋体" w:cs="Times New Roman"/>
          <w:color w:val="auto"/>
          <w:sz w:val="44"/>
          <w:szCs w:val="24"/>
          <w:highlight w:val="none"/>
        </w:rPr>
        <w:t>第</w:t>
      </w:r>
      <w:r>
        <w:rPr>
          <w:rFonts w:hint="eastAsia" w:cs="Times New Roman"/>
          <w:color w:val="auto"/>
          <w:sz w:val="44"/>
          <w:szCs w:val="24"/>
          <w:highlight w:val="none"/>
          <w:lang w:val="en-US" w:eastAsia="zh-CN"/>
        </w:rPr>
        <w:t>四</w:t>
      </w:r>
      <w:r>
        <w:rPr>
          <w:rFonts w:hint="eastAsia" w:ascii="Times New Roman" w:hAnsi="Times New Roman" w:eastAsia="宋体" w:cs="Times New Roman"/>
          <w:color w:val="auto"/>
          <w:sz w:val="44"/>
          <w:szCs w:val="24"/>
          <w:highlight w:val="none"/>
        </w:rPr>
        <w:t>部分  附  件</w:t>
      </w:r>
      <w:bookmarkEnd w:id="239"/>
      <w:bookmarkEnd w:id="240"/>
      <w:bookmarkEnd w:id="241"/>
      <w:bookmarkEnd w:id="242"/>
      <w:bookmarkEnd w:id="243"/>
      <w:bookmarkEnd w:id="244"/>
    </w:p>
    <w:p w14:paraId="76108412">
      <w:pPr>
        <w:pStyle w:val="2"/>
        <w:adjustRightInd w:val="0"/>
        <w:snapToGrid w:val="0"/>
        <w:spacing w:line="482" w:lineRule="exact"/>
        <w:ind w:firstLine="480" w:firstLineChars="200"/>
        <w:outlineLvl w:val="0"/>
        <w:rPr>
          <w:rFonts w:hint="eastAsia" w:ascii="宋体" w:hAnsi="宋体" w:eastAsia="宋体" w:cs="宋体"/>
          <w:color w:val="auto"/>
          <w:sz w:val="24"/>
          <w:highlight w:val="none"/>
        </w:rPr>
      </w:pPr>
      <w:bookmarkStart w:id="245" w:name="_Toc27102"/>
      <w:bookmarkStart w:id="246" w:name="_Toc30188"/>
      <w:bookmarkStart w:id="247" w:name="_Toc13467"/>
      <w:bookmarkStart w:id="248" w:name="_Toc14728"/>
      <w:bookmarkStart w:id="249" w:name="_Toc32064"/>
      <w:bookmarkStart w:id="250" w:name="_Toc9725"/>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：工程建设项目廉政责任书</w:t>
      </w:r>
      <w:bookmarkEnd w:id="238"/>
      <w:bookmarkEnd w:id="245"/>
      <w:bookmarkEnd w:id="246"/>
      <w:bookmarkEnd w:id="247"/>
      <w:bookmarkEnd w:id="248"/>
      <w:bookmarkEnd w:id="249"/>
      <w:bookmarkEnd w:id="250"/>
    </w:p>
    <w:p w14:paraId="03137E1D">
      <w:pPr>
        <w:topLinePunct/>
        <w:spacing w:before="156" w:beforeLines="50" w:after="156" w:afterLines="50"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工程建设项目廉政责任书</w:t>
      </w:r>
    </w:p>
    <w:p w14:paraId="46C0617A">
      <w:pPr>
        <w:pStyle w:val="2"/>
        <w:adjustRightInd w:val="0"/>
        <w:snapToGrid w:val="0"/>
        <w:spacing w:line="482" w:lineRule="exact"/>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项目名称：</w:t>
      </w:r>
    </w:p>
    <w:p w14:paraId="740C3DC8">
      <w:pPr>
        <w:pStyle w:val="2"/>
        <w:adjustRightInd w:val="0"/>
        <w:snapToGrid w:val="0"/>
        <w:spacing w:line="482" w:lineRule="exact"/>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项目地址：</w:t>
      </w:r>
    </w:p>
    <w:p w14:paraId="2D3A3318">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w:t>
      </w:r>
      <w:r>
        <w:rPr>
          <w:rFonts w:hint="eastAsia" w:ascii="宋体" w:hAnsi="宋体" w:eastAsia="宋体" w:cs="宋体"/>
          <w:color w:val="auto"/>
          <w:kern w:val="2"/>
          <w:sz w:val="24"/>
          <w:highlight w:val="none"/>
          <w:u w:val="none"/>
        </w:rPr>
        <w:t>广州市天河区水务设施建设中心</w:t>
      </w:r>
    </w:p>
    <w:p w14:paraId="24BA7BCF">
      <w:pPr>
        <w:pStyle w:val="2"/>
        <w:spacing w:line="482"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监理人：</w:t>
      </w:r>
    </w:p>
    <w:p w14:paraId="0AF9DBDA">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工程建设中的廉政建设，规范工程建设项目承发包各方的各项活动，防止发生各种谋取不正当利益的违法违纪行为，保护国家、集体和当事人的合法权益，根据国家有关工程建设的法律法规和廉政建设责任制规定，特订立本廉政责任书。</w:t>
      </w:r>
    </w:p>
    <w:p w14:paraId="5F9227B8">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bCs w:val="0"/>
          <w:color w:val="auto"/>
          <w:kern w:val="2"/>
          <w:sz w:val="24"/>
          <w:highlight w:val="none"/>
        </w:rPr>
        <w:t>第一条</w:t>
      </w:r>
      <w:r>
        <w:rPr>
          <w:rFonts w:hint="eastAsia" w:ascii="宋体" w:hAnsi="宋体" w:eastAsia="宋体" w:cs="宋体"/>
          <w:color w:val="auto"/>
          <w:sz w:val="24"/>
          <w:highlight w:val="none"/>
        </w:rPr>
        <w:t xml:space="preserve"> 各方的责任</w:t>
      </w:r>
    </w:p>
    <w:p w14:paraId="2CE3229A">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（一）应严格遵守国家关于市场准入、项目招标投标、工程建设、施工安装和市场活动等有关法律、法规、相关政策，以及廉政建设的各项规定。</w:t>
      </w:r>
    </w:p>
    <w:p w14:paraId="201A7C45">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（二）严格执行建设工程项目承发包合同文件，自觉按合同办事。</w:t>
      </w:r>
    </w:p>
    <w:p w14:paraId="57E25992">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（三）业务活动必须坚持公开、公平、公正、诚信、透明的原则（除法律法规另有规定者外），不得为获取不正当的利益，损害国家、集体和对方利益，不得违反工程建设管理、施工安装和监理的规章制度。</w:t>
      </w:r>
    </w:p>
    <w:p w14:paraId="4173293F">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（四）发现各方在业务活动中违规、违纪、违法行为的，应及时提醒相对方，情节严重的，应向其上级主管部门或纪检监察、司法等有关机关举报。</w:t>
      </w:r>
    </w:p>
    <w:p w14:paraId="34AE2ED9">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kern w:val="2"/>
          <w:sz w:val="24"/>
          <w:highlight w:val="none"/>
        </w:rPr>
        <w:t xml:space="preserve">第二条 </w:t>
      </w:r>
      <w:r>
        <w:rPr>
          <w:rFonts w:hint="eastAsia" w:ascii="宋体" w:hAnsi="宋体" w:eastAsia="宋体" w:cs="宋体"/>
          <w:color w:val="auto"/>
          <w:sz w:val="24"/>
          <w:highlight w:val="none"/>
        </w:rPr>
        <w:t>委托人（建设单位）的责任</w:t>
      </w:r>
    </w:p>
    <w:p w14:paraId="5A5DE5C3">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委托人（建设单位）的领导和从事该建设工程项目的工作人员，在工程建设的事前、事中、事后应遵守以下规定：</w:t>
      </w:r>
    </w:p>
    <w:p w14:paraId="1F08D5AF">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（一）不准向监理人和相关单位索要或接受回扣、礼金、有价证券、贵重物品和好处费、感谢费等。</w:t>
      </w:r>
    </w:p>
    <w:p w14:paraId="4DFE2836">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（二）不准在监理人和相关单位报销任何应由委托人（建设单位）或个人支付的费用。</w:t>
      </w:r>
    </w:p>
    <w:p w14:paraId="18547995">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（三）不准要求、暗示或接受监理人和相关单位为个人装修住房、婚丧嫁娶、配偶子女的工作安排以及出国（境）、旅游等提供方便。</w:t>
      </w:r>
    </w:p>
    <w:p w14:paraId="1FDEAD9A">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（四）不准参加有可能影响公正执行公务的监理人和相关单位的宴请、健身、娱乐等活动。</w:t>
      </w:r>
    </w:p>
    <w:p w14:paraId="7FCCB313">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不准向监理人介绍或为配偶、子女、亲属参与同委托人（建设单位）项目工程施工合同有关的设备、材料、工程分包、劳务等经济活动。不得以任何理由向监理人和相关单位推荐分包单位和要求监理人购买项目工程施工合同规定以外的材料、设备等。</w:t>
      </w:r>
    </w:p>
    <w:p w14:paraId="20DB7401">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 xml:space="preserve">第三条 </w:t>
      </w:r>
      <w:r>
        <w:rPr>
          <w:rFonts w:hint="eastAsia" w:ascii="宋体" w:hAnsi="宋体" w:eastAsia="宋体" w:cs="宋体"/>
          <w:color w:val="auto"/>
          <w:sz w:val="24"/>
          <w:highlight w:val="none"/>
        </w:rPr>
        <w:t>监理人的责任</w:t>
      </w:r>
    </w:p>
    <w:p w14:paraId="7AF82E31">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应与委托人（建设单位）保持正常的业务交往，按照有关法律法规和程序开展业务工作，严格执行工程建设和监理的有关方针、政策，尤其是有关建筑施工安装和监理的强制性标准和规范，并遵守以下规定：</w:t>
      </w:r>
    </w:p>
    <w:p w14:paraId="064C6338">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（一）不准以任何理由向委托人（建设单位）和相关单位及其工作人员索要、接受或赠送礼金、有价证券、贵重物品及回扣、好处费、感谢费等。</w:t>
      </w:r>
    </w:p>
    <w:p w14:paraId="20B0E200">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（二）不准以任何理由为委托人（建设单位）和相关单位报销应由对方或个人支付的费用。</w:t>
      </w:r>
    </w:p>
    <w:p w14:paraId="647711DC">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（三）不准接受或暗示为委托人（建设单位）和相关单位或个人装修住房、婚丧嫁娶、配偶子女的工作安排以及出国（境）、旅游等提供方便。</w:t>
      </w:r>
    </w:p>
    <w:p w14:paraId="605394EA">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（四）不准以任何理由为委托人（建设单位）和相关单位或个人组织有可能影响公正执行公务的宴请、健身、娱乐等活动。</w:t>
      </w:r>
    </w:p>
    <w:p w14:paraId="71B9910D">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第四条 违约责任</w:t>
      </w:r>
    </w:p>
    <w:p w14:paraId="5676C396">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委托人（建设单位）工作人员有违反本责任书第一、第二条责任行为的，按照管理权限，依据有关法律法规和规定给予党纪、政纪处分或组织处理；涉嫌犯罪的，移交司法机关追究刑事责任；给监理人单位造成经济损失的，应予以赔偿。</w:t>
      </w:r>
    </w:p>
    <w:p w14:paraId="07A17CAB">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监理人工作人员有违反本责任书第一、三条责任行为的，按照管理权限，依据有关法律法规和规定给予党纪、政纪处分或组织处理；涉嫌犯罪的，移交司法机关追究刑事责任；给委托人（建设单位）造成经济损失的，应予以赔偿。</w:t>
      </w:r>
    </w:p>
    <w:p w14:paraId="3275329A">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第五条</w:t>
      </w:r>
      <w:r>
        <w:rPr>
          <w:rFonts w:hint="eastAsia" w:ascii="宋体" w:hAnsi="宋体" w:eastAsia="宋体" w:cs="宋体"/>
          <w:color w:val="auto"/>
          <w:sz w:val="24"/>
          <w:highlight w:val="none"/>
        </w:rPr>
        <w:t xml:space="preserve"> 本责任书作为监理合同的附件，与监理合同具有同等法律效力。经各方签署后立即生效。</w:t>
      </w:r>
    </w:p>
    <w:p w14:paraId="353E1EB7">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第六条</w:t>
      </w:r>
      <w:r>
        <w:rPr>
          <w:rFonts w:hint="eastAsia" w:ascii="宋体" w:hAnsi="宋体" w:eastAsia="宋体" w:cs="宋体"/>
          <w:color w:val="auto"/>
          <w:sz w:val="24"/>
          <w:highlight w:val="none"/>
        </w:rPr>
        <w:t xml:space="preserve"> 本责任书的有效期与监理合同的规定相同。</w:t>
      </w:r>
    </w:p>
    <w:p w14:paraId="2247317F">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第七条</w:t>
      </w:r>
      <w:r>
        <w:rPr>
          <w:rFonts w:hint="eastAsia" w:ascii="宋体" w:hAnsi="宋体" w:eastAsia="宋体" w:cs="宋体"/>
          <w:color w:val="auto"/>
          <w:sz w:val="24"/>
          <w:highlight w:val="none"/>
        </w:rPr>
        <w:t xml:space="preserve"> 本责任书一式</w:t>
      </w:r>
      <w:r>
        <w:rPr>
          <w:rFonts w:hint="eastAsia" w:ascii="宋体" w:hAnsi="宋体" w:eastAsia="宋体" w:cs="宋体"/>
          <w:color w:val="auto"/>
          <w:sz w:val="24"/>
          <w:highlight w:val="none"/>
          <w:u w:val="none"/>
        </w:rPr>
        <w:t xml:space="preserve"> 捌 </w:t>
      </w:r>
      <w:r>
        <w:rPr>
          <w:rFonts w:hint="eastAsia" w:ascii="宋体" w:hAnsi="宋体" w:eastAsia="宋体" w:cs="宋体"/>
          <w:color w:val="auto"/>
          <w:sz w:val="24"/>
          <w:highlight w:val="none"/>
        </w:rPr>
        <w:t>份，由委托人执</w:t>
      </w:r>
      <w:r>
        <w:rPr>
          <w:rFonts w:hint="eastAsia" w:ascii="宋体" w:hAnsi="宋体" w:eastAsia="宋体" w:cs="宋体"/>
          <w:color w:val="auto"/>
          <w:sz w:val="24"/>
          <w:highlight w:val="none"/>
          <w:u w:val="none"/>
        </w:rPr>
        <w:t xml:space="preserve"> 肆 </w:t>
      </w:r>
      <w:r>
        <w:rPr>
          <w:rFonts w:hint="eastAsia" w:ascii="宋体" w:hAnsi="宋体" w:eastAsia="宋体" w:cs="宋体"/>
          <w:color w:val="auto"/>
          <w:sz w:val="24"/>
          <w:highlight w:val="none"/>
        </w:rPr>
        <w:t>份，监理人执</w:t>
      </w:r>
      <w:r>
        <w:rPr>
          <w:rFonts w:hint="eastAsia" w:ascii="宋体" w:hAnsi="宋体" w:eastAsia="宋体" w:cs="宋体"/>
          <w:color w:val="auto"/>
          <w:sz w:val="24"/>
          <w:highlight w:val="none"/>
          <w:u w:val="none"/>
        </w:rPr>
        <w:t xml:space="preserve">肆 </w:t>
      </w:r>
      <w:r>
        <w:rPr>
          <w:rFonts w:hint="eastAsia" w:ascii="宋体" w:hAnsi="宋体" w:eastAsia="宋体" w:cs="宋体"/>
          <w:color w:val="auto"/>
          <w:sz w:val="24"/>
          <w:highlight w:val="none"/>
        </w:rPr>
        <w:t>份。</w:t>
      </w:r>
    </w:p>
    <w:p w14:paraId="2DDBA736">
      <w:pPr>
        <w:pStyle w:val="2"/>
        <w:spacing w:line="482" w:lineRule="exact"/>
        <w:ind w:firstLine="480" w:firstLineChars="200"/>
        <w:rPr>
          <w:rFonts w:hint="eastAsia" w:ascii="宋体" w:hAnsi="宋体" w:eastAsia="宋体" w:cs="宋体"/>
          <w:color w:val="auto"/>
          <w:sz w:val="24"/>
          <w:highlight w:val="none"/>
        </w:rPr>
      </w:pPr>
    </w:p>
    <w:p w14:paraId="324ADDC9">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委托人(盖章)：</w:t>
      </w:r>
      <w:r>
        <w:rPr>
          <w:rFonts w:hint="eastAsia" w:ascii="宋体" w:hAnsi="宋体" w:eastAsia="宋体" w:cs="宋体"/>
          <w:bCs w:val="0"/>
          <w:color w:val="auto"/>
          <w:sz w:val="24"/>
          <w:highlight w:val="none"/>
          <w:u w:val="none"/>
        </w:rPr>
        <w:t>广州市天河区水务设施建设中心</w:t>
      </w:r>
    </w:p>
    <w:p w14:paraId="47D0CF1A">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p w14:paraId="55AE0D4E">
      <w:pPr>
        <w:pStyle w:val="2"/>
        <w:spacing w:line="482"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p w14:paraId="7392696B">
      <w:pPr>
        <w:pStyle w:val="2"/>
        <w:spacing w:line="482"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p w14:paraId="115D4ACC">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日             </w:t>
      </w:r>
    </w:p>
    <w:p w14:paraId="17043FDD">
      <w:pPr>
        <w:pStyle w:val="2"/>
        <w:spacing w:line="482" w:lineRule="exact"/>
        <w:ind w:firstLine="480" w:firstLineChars="200"/>
        <w:rPr>
          <w:rFonts w:hint="eastAsia" w:ascii="宋体" w:hAnsi="宋体" w:eastAsia="宋体" w:cs="宋体"/>
          <w:color w:val="auto"/>
          <w:sz w:val="24"/>
          <w:highlight w:val="none"/>
        </w:rPr>
      </w:pPr>
    </w:p>
    <w:p w14:paraId="1F41387B">
      <w:pPr>
        <w:rPr>
          <w:rFonts w:hint="eastAsia" w:ascii="宋体" w:hAnsi="宋体" w:eastAsia="宋体" w:cs="宋体"/>
          <w:color w:val="auto"/>
          <w:sz w:val="24"/>
          <w:highlight w:val="none"/>
        </w:rPr>
      </w:pPr>
    </w:p>
    <w:p w14:paraId="786635A1">
      <w:pPr>
        <w:pStyle w:val="2"/>
        <w:rPr>
          <w:rFonts w:hint="eastAsia" w:ascii="宋体" w:hAnsi="宋体" w:eastAsia="宋体" w:cs="宋体"/>
          <w:color w:val="auto"/>
          <w:sz w:val="24"/>
          <w:highlight w:val="none"/>
        </w:rPr>
      </w:pPr>
    </w:p>
    <w:p w14:paraId="5E83461F">
      <w:pPr>
        <w:rPr>
          <w:rFonts w:hint="default" w:ascii="Times New Roman" w:hAnsi="Times New Roman" w:eastAsia="宋体" w:cs="Times New Roman"/>
          <w:color w:val="auto"/>
          <w:sz w:val="21"/>
          <w:highlight w:val="none"/>
        </w:rPr>
      </w:pPr>
    </w:p>
    <w:p w14:paraId="21C702C4">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监理人：（盖章）</w:t>
      </w:r>
    </w:p>
    <w:p w14:paraId="64874868">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none"/>
        </w:rPr>
        <w:t xml:space="preserve">                      </w:t>
      </w:r>
    </w:p>
    <w:p w14:paraId="700E00FF">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6B9826AE">
      <w:pPr>
        <w:pStyle w:val="2"/>
        <w:spacing w:line="482"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p w14:paraId="3D7D6F37">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日             </w:t>
      </w:r>
    </w:p>
    <w:p w14:paraId="021F7333">
      <w:pPr>
        <w:topLinePunct/>
        <w:adjustRightInd w:val="0"/>
        <w:snapToGrid w:val="0"/>
        <w:spacing w:line="360" w:lineRule="auto"/>
        <w:ind w:firstLine="240" w:firstLineChars="100"/>
        <w:rPr>
          <w:rFonts w:hint="eastAsia" w:ascii="仿宋" w:hAnsi="仿宋" w:eastAsia="仿宋" w:cs="仿宋"/>
          <w:color w:val="auto"/>
          <w:sz w:val="24"/>
          <w:highlight w:val="none"/>
        </w:rPr>
      </w:pPr>
    </w:p>
    <w:p w14:paraId="236A8815">
      <w:pPr>
        <w:pStyle w:val="23"/>
        <w:jc w:val="left"/>
        <w:rPr>
          <w:rFonts w:hint="eastAsia" w:ascii="仿宋" w:hAnsi="仿宋" w:eastAsia="仿宋" w:cs="仿宋"/>
          <w:color w:val="auto"/>
          <w:highlight w:val="none"/>
        </w:rPr>
      </w:pPr>
    </w:p>
    <w:p w14:paraId="783AC97F">
      <w:pPr>
        <w:rPr>
          <w:rFonts w:hint="eastAsia" w:ascii="Calibri" w:hAnsi="Calibri" w:eastAsia="宋体" w:cs="Times New Roman"/>
          <w:color w:val="auto"/>
          <w:highlight w:val="none"/>
        </w:rPr>
      </w:pPr>
    </w:p>
    <w:p w14:paraId="31850E2D">
      <w:pPr>
        <w:rPr>
          <w:rFonts w:hint="eastAsia" w:ascii="Calibri" w:hAnsi="Calibri" w:eastAsia="宋体" w:cs="Times New Roman"/>
          <w:color w:val="auto"/>
          <w:highlight w:val="none"/>
        </w:rPr>
      </w:pPr>
    </w:p>
    <w:p w14:paraId="2F43BC9E">
      <w:pPr>
        <w:pStyle w:val="23"/>
        <w:jc w:val="left"/>
        <w:rPr>
          <w:rFonts w:hint="eastAsia" w:ascii="仿宋" w:hAnsi="仿宋" w:eastAsia="仿宋" w:cs="仿宋"/>
          <w:color w:val="auto"/>
          <w:highlight w:val="none"/>
        </w:rPr>
      </w:pPr>
    </w:p>
    <w:p w14:paraId="4851D217">
      <w:pPr>
        <w:pStyle w:val="23"/>
        <w:jc w:val="left"/>
        <w:rPr>
          <w:rFonts w:ascii="仿宋" w:hAnsi="仿宋" w:eastAsia="仿宋" w:cs="仿宋"/>
          <w:color w:val="auto"/>
          <w:highlight w:val="none"/>
        </w:rPr>
      </w:pPr>
    </w:p>
    <w:p w14:paraId="6047A927">
      <w:pPr>
        <w:pStyle w:val="23"/>
        <w:jc w:val="left"/>
        <w:rPr>
          <w:rFonts w:ascii="仿宋" w:hAnsi="仿宋" w:eastAsia="仿宋" w:cs="仿宋"/>
          <w:color w:val="auto"/>
          <w:highlight w:val="none"/>
        </w:rPr>
      </w:pPr>
    </w:p>
    <w:p w14:paraId="0F2AE82A">
      <w:pPr>
        <w:pStyle w:val="23"/>
        <w:jc w:val="left"/>
        <w:rPr>
          <w:rFonts w:ascii="仿宋" w:hAnsi="仿宋" w:eastAsia="仿宋" w:cs="仿宋"/>
          <w:color w:val="auto"/>
          <w:highlight w:val="none"/>
        </w:rPr>
      </w:pPr>
    </w:p>
    <w:p w14:paraId="56339435">
      <w:pPr>
        <w:pStyle w:val="23"/>
        <w:jc w:val="left"/>
        <w:rPr>
          <w:rFonts w:ascii="仿宋" w:hAnsi="仿宋" w:eastAsia="仿宋" w:cs="仿宋"/>
          <w:color w:val="auto"/>
          <w:highlight w:val="none"/>
        </w:rPr>
      </w:pPr>
    </w:p>
    <w:p w14:paraId="660C27EA">
      <w:pPr>
        <w:pStyle w:val="23"/>
        <w:jc w:val="left"/>
        <w:rPr>
          <w:rFonts w:ascii="仿宋" w:hAnsi="仿宋" w:eastAsia="仿宋" w:cs="仿宋"/>
          <w:color w:val="auto"/>
          <w:highlight w:val="none"/>
        </w:rPr>
      </w:pPr>
    </w:p>
    <w:p w14:paraId="6FFB33F4">
      <w:pPr>
        <w:pStyle w:val="23"/>
        <w:jc w:val="left"/>
        <w:rPr>
          <w:rFonts w:ascii="仿宋" w:hAnsi="仿宋" w:eastAsia="仿宋" w:cs="仿宋"/>
          <w:color w:val="auto"/>
          <w:highlight w:val="none"/>
        </w:rPr>
      </w:pPr>
    </w:p>
    <w:p w14:paraId="4546202E">
      <w:pPr>
        <w:pStyle w:val="23"/>
        <w:jc w:val="left"/>
        <w:rPr>
          <w:rFonts w:ascii="仿宋" w:hAnsi="仿宋" w:eastAsia="仿宋" w:cs="仿宋"/>
          <w:color w:val="auto"/>
          <w:highlight w:val="none"/>
        </w:rPr>
      </w:pPr>
    </w:p>
    <w:p w14:paraId="5FF122E1">
      <w:pPr>
        <w:pStyle w:val="23"/>
        <w:jc w:val="left"/>
        <w:rPr>
          <w:rFonts w:ascii="仿宋" w:hAnsi="仿宋" w:eastAsia="仿宋" w:cs="仿宋"/>
          <w:color w:val="auto"/>
          <w:highlight w:val="none"/>
        </w:rPr>
      </w:pPr>
    </w:p>
    <w:p w14:paraId="58FBE8DE">
      <w:pPr>
        <w:pStyle w:val="23"/>
        <w:jc w:val="left"/>
        <w:rPr>
          <w:rFonts w:ascii="仿宋" w:hAnsi="仿宋" w:eastAsia="仿宋" w:cs="仿宋"/>
          <w:color w:val="auto"/>
          <w:highlight w:val="none"/>
        </w:rPr>
      </w:pPr>
    </w:p>
    <w:p w14:paraId="2707B04F">
      <w:pPr>
        <w:pStyle w:val="23"/>
        <w:jc w:val="left"/>
        <w:rPr>
          <w:rFonts w:ascii="仿宋" w:hAnsi="仿宋" w:eastAsia="仿宋" w:cs="仿宋"/>
          <w:color w:val="auto"/>
          <w:highlight w:val="none"/>
        </w:rPr>
      </w:pPr>
    </w:p>
    <w:p w14:paraId="77EFB49B">
      <w:pPr>
        <w:pStyle w:val="23"/>
        <w:jc w:val="left"/>
        <w:rPr>
          <w:rFonts w:ascii="仿宋" w:hAnsi="仿宋" w:eastAsia="仿宋" w:cs="仿宋"/>
          <w:color w:val="auto"/>
          <w:highlight w:val="none"/>
        </w:rPr>
      </w:pPr>
    </w:p>
    <w:p w14:paraId="66273D81">
      <w:pPr>
        <w:pStyle w:val="23"/>
        <w:jc w:val="left"/>
        <w:rPr>
          <w:rFonts w:ascii="仿宋" w:hAnsi="仿宋" w:eastAsia="仿宋" w:cs="仿宋"/>
          <w:color w:val="auto"/>
          <w:highlight w:val="none"/>
        </w:rPr>
      </w:pPr>
    </w:p>
    <w:p w14:paraId="74EDC365">
      <w:pPr>
        <w:pStyle w:val="23"/>
        <w:jc w:val="left"/>
        <w:rPr>
          <w:rFonts w:ascii="仿宋" w:hAnsi="仿宋" w:eastAsia="仿宋" w:cs="仿宋"/>
          <w:color w:val="auto"/>
          <w:highlight w:val="none"/>
        </w:rPr>
      </w:pPr>
    </w:p>
    <w:p w14:paraId="6FDE1C32">
      <w:pPr>
        <w:pStyle w:val="23"/>
        <w:jc w:val="left"/>
        <w:rPr>
          <w:rFonts w:ascii="仿宋" w:hAnsi="仿宋" w:eastAsia="仿宋" w:cs="仿宋"/>
          <w:color w:val="auto"/>
          <w:highlight w:val="none"/>
        </w:rPr>
      </w:pPr>
    </w:p>
    <w:p w14:paraId="2C9271AF">
      <w:pPr>
        <w:pStyle w:val="23"/>
        <w:jc w:val="left"/>
        <w:rPr>
          <w:rFonts w:ascii="仿宋" w:hAnsi="仿宋" w:eastAsia="仿宋" w:cs="仿宋"/>
          <w:color w:val="auto"/>
          <w:highlight w:val="none"/>
        </w:rPr>
      </w:pPr>
    </w:p>
    <w:p w14:paraId="3036EFBC">
      <w:pPr>
        <w:pStyle w:val="23"/>
        <w:jc w:val="left"/>
        <w:rPr>
          <w:rFonts w:ascii="仿宋" w:hAnsi="仿宋" w:eastAsia="仿宋" w:cs="仿宋"/>
          <w:color w:val="auto"/>
          <w:highlight w:val="none"/>
        </w:rPr>
      </w:pPr>
    </w:p>
    <w:p w14:paraId="104115BE">
      <w:pPr>
        <w:pStyle w:val="23"/>
        <w:jc w:val="left"/>
        <w:rPr>
          <w:rFonts w:ascii="仿宋" w:hAnsi="仿宋" w:eastAsia="仿宋" w:cs="仿宋"/>
          <w:color w:val="auto"/>
          <w:highlight w:val="none"/>
        </w:rPr>
      </w:pPr>
    </w:p>
    <w:p w14:paraId="4CC9C68B">
      <w:pPr>
        <w:pStyle w:val="23"/>
        <w:jc w:val="left"/>
        <w:rPr>
          <w:rFonts w:ascii="仿宋" w:hAnsi="仿宋" w:eastAsia="仿宋" w:cs="仿宋"/>
          <w:color w:val="auto"/>
          <w:highlight w:val="none"/>
        </w:rPr>
      </w:pPr>
    </w:p>
    <w:p w14:paraId="60A4CAEF">
      <w:pPr>
        <w:pStyle w:val="23"/>
        <w:jc w:val="left"/>
        <w:rPr>
          <w:rFonts w:ascii="仿宋" w:hAnsi="仿宋" w:eastAsia="仿宋" w:cs="仿宋"/>
          <w:color w:val="auto"/>
          <w:highlight w:val="none"/>
        </w:rPr>
      </w:pPr>
    </w:p>
    <w:p w14:paraId="2644A730">
      <w:pPr>
        <w:pStyle w:val="23"/>
        <w:keepNext w:val="0"/>
        <w:keepLines w:val="0"/>
        <w:pageBreakBefore w:val="0"/>
        <w:widowControl w:val="0"/>
        <w:kinsoku/>
        <w:wordWrap/>
        <w:overflowPunct/>
        <w:topLinePunct w:val="0"/>
        <w:autoSpaceDE/>
        <w:autoSpaceDN/>
        <w:bidi w:val="0"/>
        <w:adjustRightInd/>
        <w:snapToGrid/>
        <w:spacing w:line="482" w:lineRule="exact"/>
        <w:jc w:val="left"/>
        <w:textAlignment w:val="auto"/>
        <w:outlineLvl w:val="0"/>
        <w:rPr>
          <w:rFonts w:hint="eastAsia" w:ascii="宋体" w:hAnsi="宋体" w:eastAsia="宋体" w:cs="宋体"/>
          <w:b w:val="0"/>
          <w:bCs/>
          <w:color w:val="auto"/>
          <w:sz w:val="24"/>
          <w:szCs w:val="22"/>
          <w:highlight w:val="none"/>
        </w:rPr>
      </w:pPr>
      <w:bookmarkStart w:id="251" w:name="_Toc11371"/>
      <w:bookmarkStart w:id="252" w:name="_Toc24375"/>
      <w:bookmarkStart w:id="253" w:name="_Toc14752"/>
      <w:bookmarkStart w:id="254" w:name="_Toc14012"/>
      <w:bookmarkStart w:id="255" w:name="_Toc28170"/>
      <w:bookmarkStart w:id="256" w:name="_Toc20361"/>
      <w:bookmarkStart w:id="257" w:name="_Toc13085"/>
      <w:r>
        <w:rPr>
          <w:rFonts w:hint="eastAsia" w:ascii="宋体" w:hAnsi="宋体" w:eastAsia="宋体" w:cs="宋体"/>
          <w:b w:val="0"/>
          <w:bCs/>
          <w:color w:val="auto"/>
          <w:sz w:val="24"/>
          <w:szCs w:val="22"/>
          <w:highlight w:val="none"/>
        </w:rPr>
        <w:t>附件</w:t>
      </w:r>
      <w:r>
        <w:rPr>
          <w:rFonts w:hint="eastAsia" w:ascii="宋体" w:hAnsi="宋体" w:eastAsia="宋体" w:cs="宋体"/>
          <w:b w:val="0"/>
          <w:bCs/>
          <w:color w:val="auto"/>
          <w:sz w:val="24"/>
          <w:szCs w:val="22"/>
          <w:highlight w:val="none"/>
          <w:lang w:val="en-US" w:eastAsia="zh-CN"/>
        </w:rPr>
        <w:t>2</w:t>
      </w:r>
      <w:r>
        <w:rPr>
          <w:rFonts w:hint="eastAsia" w:ascii="宋体" w:hAnsi="宋体" w:eastAsia="宋体" w:cs="宋体"/>
          <w:b w:val="0"/>
          <w:bCs/>
          <w:color w:val="auto"/>
          <w:sz w:val="24"/>
          <w:szCs w:val="22"/>
          <w:highlight w:val="none"/>
        </w:rPr>
        <w:t>：监理人员投入表</w:t>
      </w:r>
      <w:bookmarkEnd w:id="251"/>
      <w:bookmarkEnd w:id="252"/>
      <w:bookmarkEnd w:id="253"/>
      <w:bookmarkEnd w:id="254"/>
      <w:bookmarkEnd w:id="255"/>
      <w:bookmarkEnd w:id="256"/>
      <w:bookmarkEnd w:id="257"/>
    </w:p>
    <w:tbl>
      <w:tblPr>
        <w:tblStyle w:val="17"/>
        <w:tblW w:w="9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
        <w:gridCol w:w="1488"/>
        <w:gridCol w:w="991"/>
        <w:gridCol w:w="1157"/>
        <w:gridCol w:w="910"/>
        <w:gridCol w:w="1722"/>
        <w:gridCol w:w="881"/>
        <w:gridCol w:w="825"/>
        <w:gridCol w:w="1182"/>
      </w:tblGrid>
      <w:tr w14:paraId="4DFA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7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2A34F">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FE263">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494D6">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52082">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91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BC4E9">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w:t>
            </w:r>
          </w:p>
        </w:tc>
        <w:tc>
          <w:tcPr>
            <w:tcW w:w="34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D1498">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00EFE">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117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7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4A259">
            <w:pPr>
              <w:pStyle w:val="24"/>
              <w:kinsoku w:val="0"/>
              <w:overflowPunct w:val="0"/>
              <w:spacing w:line="240" w:lineRule="atLeast"/>
              <w:jc w:val="center"/>
              <w:rPr>
                <w:rFonts w:hint="eastAsia" w:ascii="宋体" w:hAnsi="宋体" w:eastAsia="宋体" w:cs="宋体"/>
                <w:color w:val="auto"/>
                <w:sz w:val="21"/>
                <w:szCs w:val="21"/>
                <w:highlight w:val="none"/>
              </w:rPr>
            </w:pPr>
          </w:p>
        </w:tc>
        <w:tc>
          <w:tcPr>
            <w:tcW w:w="14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80562">
            <w:pPr>
              <w:pStyle w:val="24"/>
              <w:kinsoku w:val="0"/>
              <w:overflowPunct w:val="0"/>
              <w:spacing w:line="240" w:lineRule="atLeast"/>
              <w:jc w:val="center"/>
              <w:rPr>
                <w:rFonts w:hint="eastAsia" w:ascii="宋体" w:hAnsi="宋体" w:eastAsia="宋体" w:cs="宋体"/>
                <w:color w:val="auto"/>
                <w:sz w:val="21"/>
                <w:szCs w:val="21"/>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36AFD">
            <w:pPr>
              <w:pStyle w:val="24"/>
              <w:kinsoku w:val="0"/>
              <w:overflowPunct w:val="0"/>
              <w:spacing w:line="240" w:lineRule="atLeast"/>
              <w:jc w:val="center"/>
              <w:rPr>
                <w:rFonts w:hint="eastAsia" w:ascii="宋体" w:hAnsi="宋体" w:eastAsia="宋体" w:cs="宋体"/>
                <w:color w:val="auto"/>
                <w:sz w:val="21"/>
                <w:szCs w:val="21"/>
                <w:highlight w:val="none"/>
              </w:rPr>
            </w:pPr>
          </w:p>
        </w:tc>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FF52B">
            <w:pPr>
              <w:pStyle w:val="24"/>
              <w:kinsoku w:val="0"/>
              <w:overflowPunct w:val="0"/>
              <w:spacing w:line="240" w:lineRule="atLeast"/>
              <w:jc w:val="center"/>
              <w:rPr>
                <w:rFonts w:hint="eastAsia" w:ascii="宋体" w:hAnsi="宋体" w:eastAsia="宋体" w:cs="宋体"/>
                <w:color w:val="auto"/>
                <w:sz w:val="21"/>
                <w:szCs w:val="21"/>
                <w:highlight w:val="none"/>
              </w:rPr>
            </w:pPr>
          </w:p>
        </w:tc>
        <w:tc>
          <w:tcPr>
            <w:tcW w:w="9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260EE">
            <w:pPr>
              <w:pStyle w:val="24"/>
              <w:kinsoku w:val="0"/>
              <w:overflowPunct w:val="0"/>
              <w:spacing w:line="240" w:lineRule="atLeast"/>
              <w:jc w:val="center"/>
              <w:rPr>
                <w:rFonts w:hint="eastAsia" w:ascii="宋体" w:hAnsi="宋体" w:eastAsia="宋体" w:cs="宋体"/>
                <w:color w:val="auto"/>
                <w:sz w:val="21"/>
                <w:szCs w:val="21"/>
                <w:highlight w:val="none"/>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D4464">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4D3CD">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96987">
            <w:pPr>
              <w:pStyle w:val="24"/>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50C6B">
            <w:pPr>
              <w:spacing w:line="240" w:lineRule="atLeast"/>
              <w:jc w:val="center"/>
              <w:rPr>
                <w:rFonts w:hint="eastAsia" w:ascii="宋体" w:hAnsi="宋体" w:eastAsia="宋体" w:cs="宋体"/>
                <w:color w:val="auto"/>
                <w:sz w:val="21"/>
                <w:szCs w:val="21"/>
                <w:highlight w:val="none"/>
              </w:rPr>
            </w:pPr>
          </w:p>
        </w:tc>
      </w:tr>
      <w:tr w14:paraId="5067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82A3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F86A3">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16CF5">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9133E">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4F43C">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8F8A8">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6F9CB">
            <w:pPr>
              <w:jc w:val="center"/>
              <w:rPr>
                <w:rFonts w:hint="eastAsia" w:ascii="宋体" w:hAnsi="宋体" w:eastAsia="宋体" w:cs="宋体"/>
                <w:color w:val="auto"/>
                <w:sz w:val="21"/>
                <w:szCs w:val="21"/>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D0E04">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169FE">
            <w:pPr>
              <w:jc w:val="center"/>
              <w:rPr>
                <w:rFonts w:hint="eastAsia" w:ascii="宋体" w:hAnsi="宋体" w:eastAsia="宋体" w:cs="宋体"/>
                <w:color w:val="auto"/>
                <w:sz w:val="21"/>
                <w:szCs w:val="21"/>
                <w:highlight w:val="none"/>
                <w:lang w:val="en-US" w:eastAsia="zh-CN"/>
              </w:rPr>
            </w:pPr>
          </w:p>
        </w:tc>
      </w:tr>
      <w:tr w14:paraId="56A5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66BE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6AB07">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7BCAA">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E850A">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9ABB6">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E296F">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D48EA">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423B1">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F9665">
            <w:pPr>
              <w:jc w:val="center"/>
              <w:rPr>
                <w:rFonts w:hint="default" w:ascii="宋体" w:hAnsi="宋体" w:eastAsia="宋体" w:cs="宋体"/>
                <w:color w:val="auto"/>
                <w:sz w:val="21"/>
                <w:szCs w:val="21"/>
                <w:highlight w:val="none"/>
                <w:lang w:val="en-US" w:eastAsia="zh-CN"/>
              </w:rPr>
            </w:pPr>
          </w:p>
        </w:tc>
      </w:tr>
      <w:tr w14:paraId="5E7D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FB984">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63909">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CF0AC">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5C6A8">
            <w:pPr>
              <w:jc w:val="center"/>
              <w:rPr>
                <w:rFonts w:hint="default"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32E2F">
            <w:pPr>
              <w:jc w:val="center"/>
              <w:rPr>
                <w:rFonts w:hint="default"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6CBC0">
            <w:pPr>
              <w:jc w:val="center"/>
              <w:rPr>
                <w:rFonts w:hint="eastAsia" w:ascii="宋体" w:hAnsi="宋体" w:eastAsia="宋体" w:cs="宋体"/>
                <w:color w:val="auto"/>
                <w:sz w:val="21"/>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96B4D">
            <w:pPr>
              <w:jc w:val="center"/>
              <w:rPr>
                <w:rFonts w:hint="eastAsia" w:ascii="宋体" w:hAnsi="宋体" w:eastAsia="宋体" w:cs="宋体"/>
                <w:color w:val="auto"/>
                <w:sz w:val="21"/>
                <w:szCs w:val="21"/>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D3045">
            <w:pPr>
              <w:jc w:val="center"/>
              <w:rPr>
                <w:rFonts w:hint="default"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9B44E">
            <w:pPr>
              <w:jc w:val="center"/>
              <w:rPr>
                <w:rFonts w:hint="default" w:ascii="宋体" w:hAnsi="宋体" w:cs="宋体"/>
                <w:color w:val="auto"/>
                <w:sz w:val="21"/>
                <w:szCs w:val="21"/>
                <w:highlight w:val="none"/>
                <w:lang w:val="en-US" w:eastAsia="zh-CN"/>
              </w:rPr>
            </w:pPr>
          </w:p>
        </w:tc>
      </w:tr>
      <w:tr w14:paraId="056A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EDB42">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8BA1B">
            <w:pPr>
              <w:jc w:val="center"/>
              <w:rPr>
                <w:rFonts w:hint="eastAsia" w:ascii="宋体" w:hAnsi="宋体" w:eastAsia="宋体" w:cs="宋体"/>
                <w:color w:val="auto"/>
                <w:sz w:val="21"/>
                <w:szCs w:val="21"/>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94BCC">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7D2C4">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82970">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58E11">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36E19">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8F2F6">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8DC38">
            <w:pPr>
              <w:jc w:val="center"/>
              <w:rPr>
                <w:rFonts w:hint="default" w:ascii="宋体" w:hAnsi="宋体" w:eastAsia="宋体" w:cs="宋体"/>
                <w:color w:val="auto"/>
                <w:sz w:val="21"/>
                <w:szCs w:val="21"/>
                <w:highlight w:val="none"/>
                <w:lang w:val="en-US" w:eastAsia="zh-CN"/>
              </w:rPr>
            </w:pPr>
          </w:p>
        </w:tc>
      </w:tr>
      <w:tr w14:paraId="77D5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4A47D">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4ECB9">
            <w:pPr>
              <w:jc w:val="center"/>
              <w:rPr>
                <w:rFonts w:hint="eastAsia" w:ascii="宋体" w:hAnsi="宋体" w:eastAsia="宋体" w:cs="宋体"/>
                <w:color w:val="auto"/>
                <w:sz w:val="21"/>
                <w:szCs w:val="21"/>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63FD3">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B4FA0">
            <w:pPr>
              <w:jc w:val="center"/>
              <w:rPr>
                <w:rFonts w:hint="eastAsia" w:ascii="宋体" w:hAnsi="宋体" w:eastAsia="宋体" w:cs="宋体"/>
                <w:color w:val="auto"/>
                <w:sz w:val="21"/>
                <w:szCs w:val="21"/>
                <w:highlight w:val="none"/>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0FDBE">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852D9">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E7490">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CD5A6">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DAE76">
            <w:pPr>
              <w:jc w:val="center"/>
              <w:rPr>
                <w:rFonts w:hint="default" w:ascii="宋体" w:hAnsi="宋体" w:eastAsia="宋体" w:cs="宋体"/>
                <w:color w:val="auto"/>
                <w:sz w:val="21"/>
                <w:szCs w:val="21"/>
                <w:highlight w:val="none"/>
                <w:lang w:val="en-US" w:eastAsia="zh-CN"/>
              </w:rPr>
            </w:pPr>
          </w:p>
        </w:tc>
      </w:tr>
      <w:tr w14:paraId="5AFF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DD5F8">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09A5A">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0252D">
            <w:pPr>
              <w:jc w:val="center"/>
              <w:rPr>
                <w:rFonts w:hint="default"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3C242">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FAFE1">
            <w:pPr>
              <w:jc w:val="center"/>
              <w:rPr>
                <w:rFonts w:hint="default"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B3F8C">
            <w:pPr>
              <w:jc w:val="center"/>
              <w:rPr>
                <w:rFonts w:hint="eastAsia" w:ascii="宋体" w:hAnsi="宋体" w:eastAsia="宋体" w:cs="宋体"/>
                <w:color w:val="auto"/>
                <w:sz w:val="21"/>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FEB32">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089BF">
            <w:pPr>
              <w:jc w:val="center"/>
              <w:rPr>
                <w:rFonts w:hint="default"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13437">
            <w:pPr>
              <w:jc w:val="center"/>
              <w:rPr>
                <w:rFonts w:hint="eastAsia" w:ascii="宋体" w:hAnsi="宋体" w:eastAsia="宋体" w:cs="宋体"/>
                <w:color w:val="auto"/>
                <w:sz w:val="21"/>
                <w:szCs w:val="21"/>
                <w:highlight w:val="none"/>
                <w:lang w:val="en-US" w:eastAsia="zh-CN"/>
              </w:rPr>
            </w:pPr>
          </w:p>
        </w:tc>
      </w:tr>
      <w:tr w14:paraId="0976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4FC1E">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8986B">
            <w:pPr>
              <w:jc w:val="center"/>
              <w:rPr>
                <w:rFonts w:hint="default"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8A868">
            <w:pPr>
              <w:jc w:val="center"/>
              <w:rPr>
                <w:rFonts w:hint="default" w:ascii="宋体" w:hAnsi="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29F23">
            <w:pPr>
              <w:jc w:val="center"/>
              <w:rPr>
                <w:rFonts w:hint="default"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0E8EF">
            <w:pPr>
              <w:jc w:val="center"/>
              <w:rPr>
                <w:rFonts w:hint="default"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65941">
            <w:pPr>
              <w:jc w:val="center"/>
              <w:rPr>
                <w:rFonts w:hint="eastAsia" w:ascii="宋体" w:hAnsi="宋体" w:eastAsia="宋体" w:cs="宋体"/>
                <w:color w:val="auto"/>
                <w:sz w:val="21"/>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27408">
            <w:pPr>
              <w:jc w:val="center"/>
              <w:rPr>
                <w:rFonts w:hint="default" w:ascii="宋体" w:hAnsi="宋体" w:eastAsia="宋体" w:cs="宋体"/>
                <w:color w:val="auto"/>
                <w:sz w:val="21"/>
                <w:szCs w:val="21"/>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F70CC">
            <w:pPr>
              <w:jc w:val="center"/>
              <w:rPr>
                <w:rFonts w:hint="default"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A932A">
            <w:pPr>
              <w:jc w:val="center"/>
              <w:rPr>
                <w:rFonts w:hint="eastAsia" w:ascii="宋体" w:hAnsi="宋体" w:eastAsia="宋体" w:cs="宋体"/>
                <w:color w:val="auto"/>
                <w:sz w:val="21"/>
                <w:szCs w:val="21"/>
                <w:highlight w:val="none"/>
                <w:lang w:val="en-US" w:eastAsia="zh-CN"/>
              </w:rPr>
            </w:pPr>
          </w:p>
        </w:tc>
      </w:tr>
      <w:tr w14:paraId="35BD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A8CAA">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AAC8A">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94490">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DF323">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BF585">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773CF">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4CAD6">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27E44">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CB5BC">
            <w:pPr>
              <w:jc w:val="center"/>
              <w:rPr>
                <w:rFonts w:hint="eastAsia" w:ascii="宋体" w:hAnsi="宋体" w:eastAsia="宋体" w:cs="宋体"/>
                <w:color w:val="auto"/>
                <w:sz w:val="21"/>
                <w:szCs w:val="21"/>
                <w:highlight w:val="none"/>
                <w:lang w:val="en-US" w:eastAsia="zh-CN"/>
              </w:rPr>
            </w:pPr>
          </w:p>
        </w:tc>
      </w:tr>
      <w:tr w14:paraId="0016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300C4">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DD2A5">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9E826">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E2063">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AB773">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FEE0B">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FE3BB">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20A35">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1EE77">
            <w:pPr>
              <w:jc w:val="center"/>
              <w:rPr>
                <w:rFonts w:hint="eastAsia" w:ascii="宋体" w:hAnsi="宋体" w:eastAsia="宋体" w:cs="宋体"/>
                <w:color w:val="auto"/>
                <w:sz w:val="21"/>
                <w:szCs w:val="21"/>
                <w:highlight w:val="none"/>
                <w:lang w:val="en-US" w:eastAsia="zh-CN"/>
              </w:rPr>
            </w:pPr>
          </w:p>
        </w:tc>
      </w:tr>
      <w:tr w14:paraId="4FE3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D8EE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8EC27">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5CBD2">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68002">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0E7B6">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FFF02">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08375">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94E07">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BCC9F">
            <w:pPr>
              <w:jc w:val="center"/>
              <w:rPr>
                <w:rFonts w:hint="eastAsia" w:ascii="宋体" w:hAnsi="宋体" w:eastAsia="宋体" w:cs="宋体"/>
                <w:color w:val="auto"/>
                <w:sz w:val="21"/>
                <w:szCs w:val="21"/>
                <w:highlight w:val="none"/>
                <w:lang w:val="en-US" w:eastAsia="zh-CN"/>
              </w:rPr>
            </w:pPr>
          </w:p>
        </w:tc>
      </w:tr>
    </w:tbl>
    <w:p w14:paraId="3F574FC2">
      <w:pPr>
        <w:pStyle w:val="23"/>
        <w:jc w:val="left"/>
        <w:rPr>
          <w:rFonts w:ascii="仿宋" w:hAnsi="仿宋" w:eastAsia="仿宋" w:cs="仿宋"/>
          <w:color w:val="auto"/>
          <w:highlight w:val="none"/>
        </w:rPr>
      </w:pPr>
    </w:p>
    <w:p w14:paraId="629814EA">
      <w:pPr>
        <w:pStyle w:val="23"/>
        <w:jc w:val="left"/>
        <w:rPr>
          <w:rFonts w:hint="eastAsia" w:ascii="仿宋" w:hAnsi="仿宋" w:eastAsia="仿宋" w:cs="仿宋"/>
          <w:color w:val="auto"/>
          <w:highlight w:val="none"/>
        </w:rPr>
        <w:sectPr>
          <w:footerReference r:id="rId4" w:type="default"/>
          <w:pgSz w:w="11906" w:h="16838"/>
          <w:pgMar w:top="1418" w:right="1274" w:bottom="1276" w:left="1276" w:header="567" w:footer="567" w:gutter="0"/>
          <w:pgNumType w:fmt="decimal" w:start="1"/>
          <w:cols w:space="720" w:num="1"/>
          <w:docGrid w:type="lines" w:linePitch="312" w:charSpace="0"/>
        </w:sectPr>
      </w:pPr>
    </w:p>
    <w:p w14:paraId="4B054D0B">
      <w:pPr>
        <w:pStyle w:val="23"/>
        <w:jc w:val="left"/>
        <w:outlineLvl w:val="0"/>
        <w:rPr>
          <w:rFonts w:hint="eastAsia" w:ascii="宋体" w:hAnsi="宋体" w:eastAsia="宋体" w:cs="宋体"/>
          <w:b w:val="0"/>
          <w:bCs/>
          <w:color w:val="auto"/>
          <w:sz w:val="24"/>
          <w:szCs w:val="22"/>
          <w:highlight w:val="none"/>
        </w:rPr>
      </w:pPr>
      <w:bookmarkStart w:id="258" w:name="_Toc6089"/>
      <w:bookmarkStart w:id="259" w:name="_Toc15586"/>
      <w:bookmarkStart w:id="260" w:name="_Toc32395"/>
      <w:bookmarkStart w:id="261" w:name="_Toc10543"/>
      <w:bookmarkStart w:id="262" w:name="_Toc15721"/>
      <w:bookmarkStart w:id="263" w:name="_Toc21736"/>
      <w:r>
        <w:rPr>
          <w:rFonts w:hint="eastAsia" w:ascii="宋体" w:hAnsi="宋体" w:eastAsia="宋体" w:cs="宋体"/>
          <w:b w:val="0"/>
          <w:bCs/>
          <w:color w:val="auto"/>
          <w:sz w:val="24"/>
          <w:szCs w:val="22"/>
          <w:highlight w:val="none"/>
        </w:rPr>
        <w:t>附件</w:t>
      </w:r>
      <w:r>
        <w:rPr>
          <w:rFonts w:hint="eastAsia" w:ascii="宋体" w:hAnsi="宋体" w:eastAsia="宋体" w:cs="宋体"/>
          <w:b w:val="0"/>
          <w:bCs/>
          <w:color w:val="auto"/>
          <w:sz w:val="24"/>
          <w:szCs w:val="22"/>
          <w:highlight w:val="none"/>
          <w:lang w:val="en-US" w:eastAsia="zh-CN"/>
        </w:rPr>
        <w:t>3</w:t>
      </w:r>
      <w:r>
        <w:rPr>
          <w:rFonts w:hint="eastAsia" w:ascii="宋体" w:hAnsi="宋体" w:eastAsia="宋体" w:cs="宋体"/>
          <w:b w:val="0"/>
          <w:bCs/>
          <w:color w:val="auto"/>
          <w:sz w:val="24"/>
          <w:szCs w:val="22"/>
          <w:highlight w:val="none"/>
        </w:rPr>
        <w:t>：投标报价、中标通知书</w:t>
      </w:r>
      <w:bookmarkEnd w:id="258"/>
      <w:bookmarkEnd w:id="259"/>
      <w:bookmarkEnd w:id="260"/>
      <w:bookmarkEnd w:id="261"/>
      <w:bookmarkEnd w:id="262"/>
      <w:bookmarkEnd w:id="263"/>
    </w:p>
    <w:p w14:paraId="4B7E2E84">
      <w:pPr>
        <w:pStyle w:val="22"/>
        <w:keepNext w:val="0"/>
        <w:keepLines w:val="0"/>
        <w:pageBreakBefore w:val="0"/>
        <w:widowControl w:val="0"/>
        <w:kinsoku/>
        <w:wordWrap/>
        <w:overflowPunct/>
        <w:autoSpaceDE w:val="0"/>
        <w:autoSpaceDN w:val="0"/>
        <w:bidi w:val="0"/>
        <w:adjustRightInd w:val="0"/>
        <w:ind w:firstLine="436"/>
        <w:textAlignment w:val="auto"/>
        <w:outlineLvl w:val="9"/>
        <w:rPr>
          <w:rFonts w:hint="eastAsia" w:ascii="宋体" w:hAnsi="宋体" w:eastAsia="宋体" w:cs="宋体"/>
          <w:color w:val="auto"/>
          <w:sz w:val="21"/>
          <w:szCs w:val="21"/>
          <w:highlight w:val="none"/>
        </w:rPr>
      </w:pPr>
    </w:p>
    <w:p w14:paraId="641D874C">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229C7BAE">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0F6193FC">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49A1DDFB">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1C74A86C">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1AFF2C86">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3B7645A7">
      <w:pPr>
        <w:pStyle w:val="23"/>
        <w:jc w:val="left"/>
        <w:outlineLvl w:val="0"/>
        <w:rPr>
          <w:rFonts w:hint="eastAsia" w:ascii="宋体" w:hAnsi="宋体" w:eastAsia="宋体" w:cs="宋体"/>
          <w:b w:val="0"/>
          <w:bCs/>
          <w:color w:val="auto"/>
          <w:sz w:val="24"/>
          <w:szCs w:val="24"/>
          <w:highlight w:val="none"/>
        </w:rPr>
      </w:pPr>
      <w:r>
        <w:rPr>
          <w:rFonts w:hint="eastAsia" w:ascii="仿宋" w:hAnsi="仿宋" w:eastAsia="仿宋" w:cs="仿宋"/>
          <w:color w:val="auto"/>
          <w:sz w:val="28"/>
          <w:highlight w:val="none"/>
        </w:rPr>
        <w:br w:type="page"/>
      </w:r>
      <w:bookmarkStart w:id="264" w:name="_Toc1315"/>
      <w:bookmarkStart w:id="265" w:name="_Toc19772"/>
      <w:bookmarkStart w:id="266" w:name="_Toc26151"/>
      <w:bookmarkStart w:id="267" w:name="_Toc15839"/>
      <w:bookmarkStart w:id="268" w:name="_Toc29572"/>
      <w:bookmarkStart w:id="269" w:name="_Toc29994"/>
      <w:r>
        <w:rPr>
          <w:rFonts w:hint="eastAsia" w:ascii="宋体" w:hAnsi="宋体" w:eastAsia="宋体" w:cs="宋体"/>
          <w:b w:val="0"/>
          <w:bCs/>
          <w:color w:val="auto"/>
          <w:sz w:val="24"/>
          <w:szCs w:val="24"/>
          <w:highlight w:val="none"/>
        </w:rPr>
        <w:t>附件</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：营业执照、银行开户许可证</w:t>
      </w:r>
      <w:bookmarkEnd w:id="264"/>
      <w:bookmarkEnd w:id="265"/>
      <w:bookmarkEnd w:id="266"/>
      <w:bookmarkEnd w:id="267"/>
      <w:bookmarkEnd w:id="268"/>
      <w:bookmarkEnd w:id="269"/>
    </w:p>
    <w:p w14:paraId="7CAE3301">
      <w:pPr>
        <w:keepNext w:val="0"/>
        <w:keepLines w:val="0"/>
        <w:pageBreakBefore w:val="0"/>
        <w:widowControl w:val="0"/>
        <w:kinsoku/>
        <w:wordWrap/>
        <w:overflowPunct/>
        <w:autoSpaceDE w:val="0"/>
        <w:autoSpaceDN w:val="0"/>
        <w:bidi w:val="0"/>
        <w:adjustRightInd w:val="0"/>
        <w:jc w:val="both"/>
        <w:textAlignment w:val="auto"/>
        <w:outlineLvl w:val="9"/>
        <w:rPr>
          <w:rFonts w:hint="eastAsia" w:ascii="宋体" w:hAnsi="宋体" w:eastAsia="宋体" w:cs="宋体"/>
          <w:color w:val="auto"/>
          <w:sz w:val="24"/>
          <w:szCs w:val="24"/>
          <w:highlight w:val="none"/>
          <w:lang w:eastAsia="zh-CN"/>
        </w:rPr>
        <w:sectPr>
          <w:pgSz w:w="11905" w:h="16838"/>
          <w:pgMar w:top="1417" w:right="1028" w:bottom="1417" w:left="1237" w:header="992" w:footer="992" w:gutter="0"/>
          <w:lnNumType w:countBy="0" w:distance="360"/>
          <w:pgNumType w:fmt="decimal"/>
          <w:cols w:space="720" w:num="1"/>
        </w:sectPr>
      </w:pPr>
    </w:p>
    <w:p w14:paraId="5A837E7E">
      <w:pPr>
        <w:pStyle w:val="2"/>
        <w:outlineLvl w:val="0"/>
        <w:rPr>
          <w:rFonts w:hint="eastAsia" w:ascii="宋体" w:hAnsi="宋体" w:eastAsia="宋体" w:cs="宋体"/>
          <w:b w:val="0"/>
          <w:bCs/>
          <w:color w:val="auto"/>
          <w:sz w:val="24"/>
          <w:szCs w:val="24"/>
          <w:highlight w:val="none"/>
        </w:rPr>
      </w:pPr>
      <w:bookmarkStart w:id="270" w:name="_Toc21581"/>
      <w:bookmarkStart w:id="271" w:name="_Toc4360"/>
      <w:bookmarkStart w:id="272" w:name="_Toc22586"/>
      <w:bookmarkStart w:id="273" w:name="_Toc23466"/>
      <w:bookmarkStart w:id="274" w:name="_Toc31066"/>
      <w:bookmarkStart w:id="275" w:name="_Toc23387"/>
      <w:bookmarkStart w:id="276" w:name="_Toc30784"/>
      <w:bookmarkStart w:id="277" w:name="_Toc17658"/>
      <w:bookmarkStart w:id="278" w:name="_Toc4758"/>
      <w:r>
        <w:rPr>
          <w:rFonts w:hint="eastAsia" w:ascii="宋体" w:hAnsi="宋体" w:eastAsia="宋体" w:cs="宋体"/>
          <w:b w:val="0"/>
          <w:bCs/>
          <w:color w:val="auto"/>
          <w:sz w:val="24"/>
          <w:szCs w:val="24"/>
          <w:highlight w:val="none"/>
          <w:lang w:bidi="en-US"/>
        </w:rPr>
        <w:t>附件</w:t>
      </w:r>
      <w:r>
        <w:rPr>
          <w:rFonts w:hint="eastAsia" w:cs="宋体"/>
          <w:b w:val="0"/>
          <w:bCs/>
          <w:color w:val="auto"/>
          <w:sz w:val="24"/>
          <w:szCs w:val="24"/>
          <w:highlight w:val="none"/>
          <w:lang w:val="en-US" w:eastAsia="zh-CN" w:bidi="en-US"/>
        </w:rPr>
        <w:t>5</w:t>
      </w:r>
      <w:r>
        <w:rPr>
          <w:rFonts w:hint="eastAsia" w:ascii="宋体" w:hAnsi="宋体" w:eastAsia="宋体" w:cs="宋体"/>
          <w:b w:val="0"/>
          <w:bCs/>
          <w:color w:val="auto"/>
          <w:sz w:val="24"/>
          <w:szCs w:val="24"/>
          <w:highlight w:val="none"/>
          <w:lang w:bidi="en-US"/>
        </w:rPr>
        <w:t>：乙方单位印章及项目负责人签名样式</w:t>
      </w:r>
      <w:bookmarkEnd w:id="270"/>
      <w:bookmarkEnd w:id="271"/>
      <w:bookmarkEnd w:id="272"/>
      <w:bookmarkEnd w:id="273"/>
      <w:bookmarkEnd w:id="274"/>
      <w:bookmarkEnd w:id="275"/>
    </w:p>
    <w:p w14:paraId="22B422FD">
      <w:pPr>
        <w:rPr>
          <w:rFonts w:hint="eastAsia" w:ascii="宋体" w:hAnsi="宋体" w:eastAsia="宋体" w:cs="宋体"/>
          <w:color w:val="auto"/>
          <w:highlight w:val="none"/>
        </w:rPr>
      </w:pPr>
    </w:p>
    <w:tbl>
      <w:tblPr>
        <w:tblStyle w:val="17"/>
        <w:tblpPr w:leftFromText="180" w:rightFromText="180" w:vertAnchor="text" w:horzAnchor="page" w:tblpX="1322" w:tblpY="14"/>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156"/>
      </w:tblGrid>
      <w:tr w14:paraId="3ABA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928" w:type="dxa"/>
            <w:noWrap w:val="0"/>
            <w:vAlign w:val="center"/>
          </w:tcPr>
          <w:p w14:paraId="67780356">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乙方单位</w:t>
            </w:r>
          </w:p>
          <w:p w14:paraId="321FD054">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公章</w:t>
            </w:r>
          </w:p>
        </w:tc>
        <w:tc>
          <w:tcPr>
            <w:tcW w:w="4156" w:type="dxa"/>
            <w:noWrap w:val="0"/>
            <w:vAlign w:val="center"/>
          </w:tcPr>
          <w:p w14:paraId="1337CEED">
            <w:pPr>
              <w:ind w:firstLine="560"/>
              <w:jc w:val="left"/>
              <w:rPr>
                <w:rFonts w:hint="eastAsia" w:ascii="宋体" w:hAnsi="宋体" w:eastAsia="宋体" w:cs="宋体"/>
                <w:b/>
                <w:color w:val="auto"/>
                <w:sz w:val="28"/>
                <w:szCs w:val="28"/>
                <w:highlight w:val="none"/>
                <w:lang w:bidi="en-US"/>
              </w:rPr>
            </w:pPr>
          </w:p>
        </w:tc>
      </w:tr>
      <w:tr w14:paraId="57EE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928" w:type="dxa"/>
            <w:noWrap w:val="0"/>
            <w:vAlign w:val="center"/>
          </w:tcPr>
          <w:p w14:paraId="2D2C48E0">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乙方单位</w:t>
            </w:r>
          </w:p>
          <w:p w14:paraId="6ECE97CC">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项目章</w:t>
            </w:r>
          </w:p>
        </w:tc>
        <w:tc>
          <w:tcPr>
            <w:tcW w:w="4156" w:type="dxa"/>
            <w:noWrap w:val="0"/>
            <w:vAlign w:val="center"/>
          </w:tcPr>
          <w:p w14:paraId="6E55258F">
            <w:pPr>
              <w:ind w:firstLine="560"/>
              <w:jc w:val="left"/>
              <w:rPr>
                <w:rFonts w:hint="eastAsia" w:ascii="宋体" w:hAnsi="宋体" w:eastAsia="宋体" w:cs="宋体"/>
                <w:b/>
                <w:color w:val="auto"/>
                <w:sz w:val="28"/>
                <w:szCs w:val="28"/>
                <w:highlight w:val="none"/>
                <w:lang w:bidi="en-US"/>
              </w:rPr>
            </w:pPr>
          </w:p>
        </w:tc>
      </w:tr>
      <w:tr w14:paraId="4C04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928" w:type="dxa"/>
            <w:noWrap w:val="0"/>
            <w:vAlign w:val="center"/>
          </w:tcPr>
          <w:p w14:paraId="5FCA31C0">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乙方单位</w:t>
            </w:r>
          </w:p>
          <w:p w14:paraId="02268790">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总监理工程师签名</w:t>
            </w:r>
          </w:p>
        </w:tc>
        <w:tc>
          <w:tcPr>
            <w:tcW w:w="4156" w:type="dxa"/>
            <w:noWrap w:val="0"/>
            <w:vAlign w:val="center"/>
          </w:tcPr>
          <w:p w14:paraId="7C0833C9">
            <w:pPr>
              <w:ind w:firstLine="560"/>
              <w:jc w:val="left"/>
              <w:rPr>
                <w:rFonts w:hint="eastAsia" w:ascii="宋体" w:hAnsi="宋体" w:eastAsia="宋体" w:cs="宋体"/>
                <w:b/>
                <w:color w:val="auto"/>
                <w:sz w:val="28"/>
                <w:szCs w:val="28"/>
                <w:highlight w:val="none"/>
                <w:lang w:bidi="en-US"/>
              </w:rPr>
            </w:pPr>
          </w:p>
        </w:tc>
      </w:tr>
      <w:bookmarkEnd w:id="276"/>
      <w:bookmarkEnd w:id="277"/>
      <w:bookmarkEnd w:id="278"/>
    </w:tbl>
    <w:p w14:paraId="2EC0D334">
      <w:pPr>
        <w:rPr>
          <w:rFonts w:cs="Times New Roman"/>
          <w:color w:val="auto"/>
          <w:highlight w:val="none"/>
        </w:rPr>
      </w:pPr>
    </w:p>
    <w:p w14:paraId="23A0BB3E">
      <w:pPr>
        <w:pStyle w:val="2"/>
        <w:rPr>
          <w:rFonts w:hint="eastAsia"/>
          <w:color w:val="auto"/>
          <w:highlight w:val="none"/>
        </w:rPr>
      </w:pPr>
    </w:p>
    <w:p w14:paraId="028FB466">
      <w:pPr>
        <w:rPr>
          <w:color w:val="auto"/>
          <w:highlight w:val="none"/>
        </w:rPr>
      </w:pPr>
    </w:p>
    <w:p w14:paraId="5C270F78">
      <w:pPr>
        <w:pStyle w:val="23"/>
        <w:keepNext w:val="0"/>
        <w:keepLines w:val="0"/>
        <w:pageBreakBefore w:val="0"/>
        <w:widowControl w:val="0"/>
        <w:kinsoku/>
        <w:wordWrap/>
        <w:overflowPunct/>
        <w:topLinePunct w:val="0"/>
        <w:autoSpaceDE/>
        <w:autoSpaceDN/>
        <w:bidi w:val="0"/>
        <w:adjustRightInd/>
        <w:snapToGrid/>
        <w:spacing w:line="482" w:lineRule="exact"/>
        <w:jc w:val="left"/>
        <w:textAlignment w:val="auto"/>
        <w:outlineLvl w:val="0"/>
        <w:rPr>
          <w:color w:val="auto"/>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134" w:bottom="1134" w:left="1134" w:header="851" w:footer="794"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58E1BF-F530-412A-94D1-C2B2E4AAC9F3}"/>
  </w:font>
  <w:font w:name="黑体">
    <w:panose1 w:val="02010609060101010101"/>
    <w:charset w:val="86"/>
    <w:family w:val="auto"/>
    <w:pitch w:val="default"/>
    <w:sig w:usb0="800002BF" w:usb1="38CF7CFA" w:usb2="00000016" w:usb3="00000000" w:csb0="00040001" w:csb1="00000000"/>
    <w:embedRegular r:id="rId2" w:fontKey="{A6AD0AC5-7E38-4B88-BD27-82AE20D776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374EED6-9A9E-4AB1-BF4A-30E3E2000740}"/>
  </w:font>
  <w:font w:name="仿宋_GB2312">
    <w:panose1 w:val="02010609030101010101"/>
    <w:charset w:val="86"/>
    <w:family w:val="modern"/>
    <w:pitch w:val="default"/>
    <w:sig w:usb0="00000001" w:usb1="080E0000" w:usb2="00000000" w:usb3="00000000" w:csb0="00040000" w:csb1="00000000"/>
    <w:embedRegular r:id="rId4" w:fontKey="{5EB2DA6F-96EC-4649-B015-78C88F510AF3}"/>
  </w:font>
  <w:font w:name="方正小标宋简体">
    <w:panose1 w:val="02010600010101010101"/>
    <w:charset w:val="86"/>
    <w:family w:val="script"/>
    <w:pitch w:val="default"/>
    <w:sig w:usb0="00000001" w:usb1="080E0000" w:usb2="00000000" w:usb3="00000000" w:csb0="00040000" w:csb1="00000000"/>
    <w:embedRegular r:id="rId5" w:fontKey="{AA817BFC-A3BF-4A9A-8F74-FA0CFA1E0B24}"/>
  </w:font>
  <w:font w:name="楷体_GB2312">
    <w:altName w:val="楷体"/>
    <w:panose1 w:val="02010609030101010101"/>
    <w:charset w:val="86"/>
    <w:family w:val="modern"/>
    <w:pitch w:val="default"/>
    <w:sig w:usb0="00000000" w:usb1="00000000" w:usb2="00000010" w:usb3="00000000" w:csb0="00040000" w:csb1="00000000"/>
    <w:embedRegular r:id="rId6" w:fontKey="{C3FB8F91-39F6-4088-8285-CDD7C49AF67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7" w:fontKey="{77235D9D-0301-4A0A-936F-99A1EAB5EEF9}"/>
  </w:font>
  <w:font w:name="隶书">
    <w:panose1 w:val="02010509060101010101"/>
    <w:charset w:val="86"/>
    <w:family w:val="modern"/>
    <w:pitch w:val="default"/>
    <w:sig w:usb0="00000001" w:usb1="080E0000" w:usb2="00000000" w:usb3="00000000" w:csb0="00040000" w:csb1="00000000"/>
    <w:embedRegular r:id="rId8" w:fontKey="{F4B82732-2A33-4ABA-B810-3207A6BCE084}"/>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39D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3BDAC">
    <w:pPr>
      <w:pStyle w:val="13"/>
      <w:tabs>
        <w:tab w:val="left" w:pos="1845"/>
        <w:tab w:val="center" w:pos="4677"/>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28D97">
                          <w:pPr>
                            <w:pStyle w:val="1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74528D97">
                    <w:pPr>
                      <w:pStyle w:val="13"/>
                    </w:pPr>
                    <w:r>
                      <w:fldChar w:fldCharType="begin"/>
                    </w:r>
                    <w:r>
                      <w:instrText xml:space="preserve"> PAGE  \* MERGEFORMAT </w:instrText>
                    </w:r>
                    <w:r>
                      <w:fldChar w:fldCharType="separate"/>
                    </w:r>
                    <w:r>
                      <w:t>3</w:t>
                    </w:r>
                    <w:r>
                      <w:fldChar w:fldCharType="end"/>
                    </w:r>
                  </w:p>
                </w:txbxContent>
              </v:textbox>
            </v:shape>
          </w:pict>
        </mc:Fallback>
      </mc:AlternateContent>
    </w:r>
    <w:r>
      <w:tab/>
    </w:r>
    <w:r>
      <w:tab/>
    </w:r>
  </w:p>
  <w:p w14:paraId="557B25F9">
    <w:pPr>
      <w:pStyle w:val="13"/>
      <w:tabs>
        <w:tab w:val="left" w:pos="1845"/>
        <w:tab w:val="center" w:pos="4677"/>
      </w:tabs>
      <w:rPr>
        <w:rFonts w:hint="eastAsia"/>
        <w:lang w:val="en-US" w:eastAsia="zh-CN"/>
      </w:rPr>
    </w:pPr>
  </w:p>
  <w:p w14:paraId="353FE5F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336C">
    <w:pPr>
      <w:pStyle w:val="1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22BD07">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0C22BD0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619A">
    <w:pPr>
      <w:pStyle w:val="13"/>
      <w:framePr w:wrap="around" w:vAnchor="text" w:hAnchor="margin" w:xAlign="inside" w:y="1"/>
      <w:rPr>
        <w:rStyle w:val="20"/>
      </w:rPr>
    </w:pPr>
    <w:r>
      <w:rPr>
        <w:rStyle w:val="20"/>
      </w:rPr>
      <w:fldChar w:fldCharType="begin"/>
    </w:r>
    <w:r>
      <w:rPr>
        <w:rStyle w:val="20"/>
      </w:rPr>
      <w:instrText xml:space="preserve">PAGE  </w:instrText>
    </w:r>
    <w:r>
      <w:rPr>
        <w:rStyle w:val="20"/>
      </w:rPr>
      <w:fldChar w:fldCharType="end"/>
    </w:r>
  </w:p>
  <w:p w14:paraId="3CEE4CF0">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441E">
    <w:pPr>
      <w:pStyle w:val="1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C5C0F">
                          <w:pPr>
                            <w:pStyle w:val="13"/>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YQis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JhCKyQEAAJkDAAAOAAAAAAAAAAEAIAAAAB4BAABkcnMvZTJvRG9j&#10;LnhtbFBLBQYAAAAABgAGAFkBAABZBQAAAAA=&#10;">
              <v:fill on="f" focussize="0,0"/>
              <v:stroke on="f"/>
              <v:imagedata o:title=""/>
              <o:lock v:ext="edit" aspectratio="f"/>
              <v:textbox inset="0mm,0mm,0mm,0mm" style="mso-fit-shape-to-text:t;">
                <w:txbxContent>
                  <w:p w14:paraId="3AAC5C0F">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C59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E268">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ACC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703BE"/>
    <w:multiLevelType w:val="singleLevel"/>
    <w:tmpl w:val="957703BE"/>
    <w:lvl w:ilvl="0" w:tentative="0">
      <w:start w:val="1"/>
      <w:numFmt w:val="decimal"/>
      <w:suff w:val="nothing"/>
      <w:lvlText w:val="（%1）"/>
      <w:lvlJc w:val="left"/>
    </w:lvl>
  </w:abstractNum>
  <w:abstractNum w:abstractNumId="1">
    <w:nsid w:val="D4011833"/>
    <w:multiLevelType w:val="singleLevel"/>
    <w:tmpl w:val="D4011833"/>
    <w:lvl w:ilvl="0" w:tentative="0">
      <w:start w:val="1"/>
      <w:numFmt w:val="decimal"/>
      <w:suff w:val="space"/>
      <w:lvlText w:val="（%1）"/>
      <w:lvlJc w:val="left"/>
    </w:lvl>
  </w:abstractNum>
  <w:abstractNum w:abstractNumId="2">
    <w:nsid w:val="2C345176"/>
    <w:multiLevelType w:val="singleLevel"/>
    <w:tmpl w:val="2C345176"/>
    <w:lvl w:ilvl="0" w:tentative="0">
      <w:start w:val="4"/>
      <w:numFmt w:val="decimal"/>
      <w:suff w:val="nothing"/>
      <w:lvlText w:val="%1、"/>
      <w:lvlJc w:val="left"/>
    </w:lvl>
  </w:abstractNum>
  <w:abstractNum w:abstractNumId="3">
    <w:nsid w:val="55FBD85F"/>
    <w:multiLevelType w:val="singleLevel"/>
    <w:tmpl w:val="55FBD85F"/>
    <w:lvl w:ilvl="0" w:tentative="0">
      <w:start w:val="13"/>
      <w:numFmt w:val="chineseCounting"/>
      <w:suff w:val="space"/>
      <w:lvlText w:val="第%1条"/>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A9A"/>
    <w:rsid w:val="00001632"/>
    <w:rsid w:val="0000452E"/>
    <w:rsid w:val="00005E89"/>
    <w:rsid w:val="00013EC7"/>
    <w:rsid w:val="000323FA"/>
    <w:rsid w:val="0003443E"/>
    <w:rsid w:val="00086041"/>
    <w:rsid w:val="000C5A9F"/>
    <w:rsid w:val="00134A9A"/>
    <w:rsid w:val="001B2CD8"/>
    <w:rsid w:val="002113C5"/>
    <w:rsid w:val="00233060"/>
    <w:rsid w:val="002351E5"/>
    <w:rsid w:val="00241128"/>
    <w:rsid w:val="00254A29"/>
    <w:rsid w:val="002C232F"/>
    <w:rsid w:val="002E737E"/>
    <w:rsid w:val="00353BB0"/>
    <w:rsid w:val="00373074"/>
    <w:rsid w:val="00380900"/>
    <w:rsid w:val="00382428"/>
    <w:rsid w:val="00391EBB"/>
    <w:rsid w:val="003A2164"/>
    <w:rsid w:val="003D4B2D"/>
    <w:rsid w:val="00404191"/>
    <w:rsid w:val="004127A8"/>
    <w:rsid w:val="0043555E"/>
    <w:rsid w:val="004A0F6C"/>
    <w:rsid w:val="004A23A9"/>
    <w:rsid w:val="0050125A"/>
    <w:rsid w:val="00510670"/>
    <w:rsid w:val="00572593"/>
    <w:rsid w:val="005B160D"/>
    <w:rsid w:val="005D2264"/>
    <w:rsid w:val="00631753"/>
    <w:rsid w:val="006859AF"/>
    <w:rsid w:val="006C32E8"/>
    <w:rsid w:val="00701D83"/>
    <w:rsid w:val="007208E9"/>
    <w:rsid w:val="00731DE3"/>
    <w:rsid w:val="007710FF"/>
    <w:rsid w:val="00793D9D"/>
    <w:rsid w:val="007D0E01"/>
    <w:rsid w:val="00800D43"/>
    <w:rsid w:val="008015CC"/>
    <w:rsid w:val="00841EF8"/>
    <w:rsid w:val="0088660E"/>
    <w:rsid w:val="00886EEE"/>
    <w:rsid w:val="008A687B"/>
    <w:rsid w:val="009117AB"/>
    <w:rsid w:val="009270B7"/>
    <w:rsid w:val="0099700A"/>
    <w:rsid w:val="009B4920"/>
    <w:rsid w:val="009E2735"/>
    <w:rsid w:val="009E2CC5"/>
    <w:rsid w:val="00A27EF7"/>
    <w:rsid w:val="00A435BB"/>
    <w:rsid w:val="00A55F37"/>
    <w:rsid w:val="00A676AE"/>
    <w:rsid w:val="00A72C27"/>
    <w:rsid w:val="00AC4811"/>
    <w:rsid w:val="00AC57FD"/>
    <w:rsid w:val="00B27A49"/>
    <w:rsid w:val="00B562A8"/>
    <w:rsid w:val="00BC4536"/>
    <w:rsid w:val="00BD3303"/>
    <w:rsid w:val="00BE29A6"/>
    <w:rsid w:val="00BE7F26"/>
    <w:rsid w:val="00C318C7"/>
    <w:rsid w:val="00C55255"/>
    <w:rsid w:val="00C70932"/>
    <w:rsid w:val="00C81D95"/>
    <w:rsid w:val="00CB35A7"/>
    <w:rsid w:val="00CE39B7"/>
    <w:rsid w:val="00CF72D1"/>
    <w:rsid w:val="00DA71B4"/>
    <w:rsid w:val="00DD4646"/>
    <w:rsid w:val="00E01262"/>
    <w:rsid w:val="00E065B9"/>
    <w:rsid w:val="00E55360"/>
    <w:rsid w:val="00E56F30"/>
    <w:rsid w:val="00E813BC"/>
    <w:rsid w:val="00EF0C2A"/>
    <w:rsid w:val="00EF5D75"/>
    <w:rsid w:val="00F62228"/>
    <w:rsid w:val="00FB45CE"/>
    <w:rsid w:val="00FC250B"/>
    <w:rsid w:val="03822CFE"/>
    <w:rsid w:val="0642308E"/>
    <w:rsid w:val="07235792"/>
    <w:rsid w:val="09767FBA"/>
    <w:rsid w:val="0A772520"/>
    <w:rsid w:val="0B093BF8"/>
    <w:rsid w:val="0B0C1C0F"/>
    <w:rsid w:val="0BD339E6"/>
    <w:rsid w:val="0D046532"/>
    <w:rsid w:val="0D417F9E"/>
    <w:rsid w:val="0E092098"/>
    <w:rsid w:val="0FAB0EE6"/>
    <w:rsid w:val="13452E46"/>
    <w:rsid w:val="141649B0"/>
    <w:rsid w:val="152D38C5"/>
    <w:rsid w:val="15A803E5"/>
    <w:rsid w:val="16743D06"/>
    <w:rsid w:val="168C45E3"/>
    <w:rsid w:val="16941552"/>
    <w:rsid w:val="17253C74"/>
    <w:rsid w:val="1A707C40"/>
    <w:rsid w:val="1AA65593"/>
    <w:rsid w:val="1DC30FD3"/>
    <w:rsid w:val="22C32699"/>
    <w:rsid w:val="290A70EC"/>
    <w:rsid w:val="2BA8671A"/>
    <w:rsid w:val="2C2D4F35"/>
    <w:rsid w:val="2C33078A"/>
    <w:rsid w:val="2C5B2BBB"/>
    <w:rsid w:val="2EE32B89"/>
    <w:rsid w:val="2F956931"/>
    <w:rsid w:val="32144BB9"/>
    <w:rsid w:val="33F73A92"/>
    <w:rsid w:val="345400D4"/>
    <w:rsid w:val="36610C6D"/>
    <w:rsid w:val="36F450A7"/>
    <w:rsid w:val="3C1356EC"/>
    <w:rsid w:val="3D670B7C"/>
    <w:rsid w:val="3F1A5214"/>
    <w:rsid w:val="3F5B1181"/>
    <w:rsid w:val="43A82298"/>
    <w:rsid w:val="43E33BB7"/>
    <w:rsid w:val="473F3DCD"/>
    <w:rsid w:val="483D231C"/>
    <w:rsid w:val="4885290C"/>
    <w:rsid w:val="48FF012D"/>
    <w:rsid w:val="49584E2B"/>
    <w:rsid w:val="4A597368"/>
    <w:rsid w:val="4D096C71"/>
    <w:rsid w:val="4D3C4484"/>
    <w:rsid w:val="4DC175B3"/>
    <w:rsid w:val="503B08A4"/>
    <w:rsid w:val="51DC017C"/>
    <w:rsid w:val="533B48CD"/>
    <w:rsid w:val="53CD5CD8"/>
    <w:rsid w:val="54D17DFB"/>
    <w:rsid w:val="56241C67"/>
    <w:rsid w:val="566C1E3D"/>
    <w:rsid w:val="57665D45"/>
    <w:rsid w:val="57CA1CDC"/>
    <w:rsid w:val="5D30024A"/>
    <w:rsid w:val="611C394F"/>
    <w:rsid w:val="629B51DB"/>
    <w:rsid w:val="6316348B"/>
    <w:rsid w:val="659F20EE"/>
    <w:rsid w:val="69AC5B77"/>
    <w:rsid w:val="6CC86E20"/>
    <w:rsid w:val="6E62222D"/>
    <w:rsid w:val="6EBD65BB"/>
    <w:rsid w:val="717F6C52"/>
    <w:rsid w:val="73B928EF"/>
    <w:rsid w:val="74A010A3"/>
    <w:rsid w:val="75EF291C"/>
    <w:rsid w:val="78406FAC"/>
    <w:rsid w:val="79095AF4"/>
    <w:rsid w:val="7C3C0DB0"/>
    <w:rsid w:val="7C7F559A"/>
    <w:rsid w:val="7D2F5AE0"/>
    <w:rsid w:val="7D4E40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next w:val="3"/>
    <w:link w:val="21"/>
    <w:qFormat/>
    <w:uiPriority w:val="0"/>
    <w:rPr>
      <w:rFonts w:ascii="宋体" w:hAnsi="宋体" w:eastAsia="宋体" w:cs="Courier New"/>
      <w:sz w:val="24"/>
      <w:szCs w:val="21"/>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6'"/>
    <w:next w:val="5"/>
    <w:qFormat/>
    <w:uiPriority w:val="0"/>
    <w:pPr>
      <w:widowControl w:val="0"/>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 w:val="21"/>
      <w:szCs w:val="20"/>
      <w:lang w:val="en-US" w:eastAsia="zh-CN" w:bidi="ar-SA"/>
    </w:rPr>
  </w:style>
  <w:style w:type="paragraph" w:customStyle="1" w:styleId="5">
    <w:name w:val="AOHead3"/>
    <w:next w:val="1"/>
    <w:qFormat/>
    <w:uiPriority w:val="0"/>
    <w:pPr>
      <w:widowControl w:val="0"/>
      <w:spacing w:line="360" w:lineRule="auto"/>
      <w:ind w:left="1260"/>
      <w:jc w:val="both"/>
      <w:outlineLvl w:val="2"/>
    </w:pPr>
    <w:rPr>
      <w:rFonts w:ascii="Calibri" w:hAnsi="Calibri" w:eastAsia="宋体" w:cs="Times New Roman"/>
      <w:color w:val="0000FF"/>
      <w:kern w:val="2"/>
      <w:sz w:val="21"/>
      <w:szCs w:val="22"/>
      <w:lang w:val="en-US" w:eastAsia="zh-CN" w:bidi="ar-SA"/>
    </w:rPr>
  </w:style>
  <w:style w:type="paragraph" w:styleId="8">
    <w:name w:val="Note Heading"/>
    <w:basedOn w:val="1"/>
    <w:next w:val="1"/>
    <w:qFormat/>
    <w:uiPriority w:val="0"/>
    <w:pPr>
      <w:snapToGrid w:val="0"/>
      <w:spacing w:line="320" w:lineRule="exact"/>
      <w:ind w:firstLine="413" w:firstLineChars="200"/>
    </w:pPr>
    <w:rPr>
      <w:rFonts w:ascii="宋体" w:hAnsi="宋体"/>
      <w:b/>
      <w:color w:val="000000"/>
    </w:rPr>
  </w:style>
  <w:style w:type="paragraph" w:styleId="9">
    <w:name w:val="Normal Indent"/>
    <w:basedOn w:val="1"/>
    <w:next w:val="1"/>
    <w:qFormat/>
    <w:uiPriority w:val="0"/>
    <w:pPr>
      <w:ind w:firstLine="420"/>
    </w:pPr>
    <w:rPr>
      <w:rFonts w:ascii="Times New Roman" w:hAnsi="Times New Roman" w:eastAsia="宋体" w:cs="Times New Roman"/>
    </w:rPr>
  </w:style>
  <w:style w:type="paragraph" w:styleId="10">
    <w:name w:val="annotation text"/>
    <w:basedOn w:val="1"/>
    <w:qFormat/>
    <w:uiPriority w:val="0"/>
    <w:pPr>
      <w:jc w:val="left"/>
    </w:pPr>
    <w:rPr>
      <w:rFonts w:ascii="Times New Roman" w:hAnsi="Times New Roman" w:eastAsia="宋体" w:cs="Times New Roman"/>
      <w:kern w:val="0"/>
      <w:sz w:val="24"/>
      <w:szCs w:val="24"/>
    </w:rPr>
  </w:style>
  <w:style w:type="paragraph" w:styleId="11">
    <w:name w:val="Body Text"/>
    <w:basedOn w:val="1"/>
    <w:qFormat/>
    <w:uiPriority w:val="0"/>
    <w:pPr>
      <w:spacing w:after="120"/>
    </w:pPr>
    <w:rPr>
      <w:rFonts w:ascii="Times New Roman" w:hAnsi="Times New Roman" w:eastAsia="宋体" w:cs="Times New Roman"/>
      <w:kern w:val="0"/>
      <w:sz w:val="24"/>
      <w:szCs w:val="24"/>
    </w:rPr>
  </w:style>
  <w:style w:type="paragraph" w:styleId="12">
    <w:name w:val="Body Text Indent"/>
    <w:basedOn w:val="1"/>
    <w:next w:val="1"/>
    <w:qFormat/>
    <w:uiPriority w:val="0"/>
    <w:pPr>
      <w:ind w:firstLine="630"/>
    </w:pPr>
    <w:rPr>
      <w:rFonts w:ascii="宋体" w:hAnsi="Times New Roman" w:eastAsia="宋体" w:cs="Times New Roman"/>
      <w:kern w:val="0"/>
      <w:sz w:val="20"/>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First Indent 2"/>
    <w:basedOn w:val="12"/>
    <w:qFormat/>
    <w:uiPriority w:val="0"/>
    <w:pPr>
      <w:tabs>
        <w:tab w:val="left" w:pos="567"/>
      </w:tabs>
      <w:spacing w:after="200" w:line="360" w:lineRule="auto"/>
      <w:ind w:firstLine="420" w:firstLineChars="200"/>
    </w:pPr>
    <w:rPr>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customStyle="1" w:styleId="21">
    <w:name w:val="纯文本 Char"/>
    <w:basedOn w:val="19"/>
    <w:link w:val="2"/>
    <w:qFormat/>
    <w:uiPriority w:val="0"/>
    <w:rPr>
      <w:rFonts w:ascii="宋体" w:hAnsi="宋体" w:eastAsia="宋体" w:cs="Courier New"/>
      <w:kern w:val="2"/>
      <w:sz w:val="24"/>
      <w:szCs w:val="21"/>
      <w:lang w:val="en-US" w:eastAsia="zh-CN" w:bidi="ar-SA"/>
    </w:rPr>
  </w:style>
  <w:style w:type="paragraph" w:customStyle="1" w:styleId="22">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pacing w:val="4"/>
      <w:kern w:val="0"/>
      <w:sz w:val="24"/>
      <w:szCs w:val="24"/>
    </w:rPr>
  </w:style>
  <w:style w:type="paragraph" w:customStyle="1" w:styleId="23">
    <w:name w:val="样式 宋体 行距: 1.5 倍行距"/>
    <w:basedOn w:val="1"/>
    <w:qFormat/>
    <w:uiPriority w:val="0"/>
    <w:pPr>
      <w:jc w:val="center"/>
    </w:pPr>
    <w:rPr>
      <w:rFonts w:ascii="Times New Roman" w:hAnsi="Times New Roman" w:eastAsia="宋体" w:cs="Times New Roman"/>
      <w:b/>
    </w:rPr>
  </w:style>
  <w:style w:type="paragraph" w:customStyle="1" w:styleId="24">
    <w:name w:val="Table Paragraph"/>
    <w:basedOn w:val="1"/>
    <w:unhideWhenUsed/>
    <w:qFormat/>
    <w:uiPriority w:val="1"/>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Company>
  <Pages>55</Pages>
  <Words>35550</Words>
  <Characters>35979</Characters>
  <Lines>68</Lines>
  <Paragraphs>19</Paragraphs>
  <TotalTime>0</TotalTime>
  <ScaleCrop>false</ScaleCrop>
  <LinksUpToDate>false</LinksUpToDate>
  <CharactersWithSpaces>37717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2013-02-27T01:46:00Z</dcterms:created>
  <dc:creator>LENOVO</dc:creator>
  <cp:lastModifiedBy>Administer</cp:lastModifiedBy>
  <cp:lastPrinted>2025-07-17T04:37:00Z</cp:lastPrinted>
  <dcterms:modified xsi:type="dcterms:W3CDTF">2025-07-17T09:39:47Z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26AF851047FB42ADB97EEBCAF86A9813_13</vt:lpwstr>
  </property>
  <property fmtid="{D5CDD505-2E9C-101B-9397-08002B2CF9AE}" pid="4" name="KSOTemplateDocerSaveRecord">
    <vt:lpwstr>eyJoZGlkIjoiYjU0MWUyN2Q3YmNhNDg4MWZiNGYxNzY3ZGJiZGFjNzgiLCJ1c2VySWQiOiIxMDY1MTY2OTY2In0=</vt:lpwstr>
  </property>
</Properties>
</file>