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59A9">
      <w:pPr>
        <w:widowControl/>
        <w:jc w:val="center"/>
        <w:rPr>
          <w:rFonts w:hint="eastAsia"/>
          <w:color w:val="auto"/>
          <w:highlight w:val="none"/>
        </w:rPr>
      </w:pPr>
      <w:r>
        <w:rPr>
          <w:rFonts w:hint="eastAsia" w:ascii="宋体" w:hAnsi="宋体" w:cs="Calibri"/>
          <w:b/>
          <w:bCs/>
          <w:color w:val="auto"/>
          <w:kern w:val="0"/>
          <w:sz w:val="32"/>
          <w:szCs w:val="32"/>
          <w:highlight w:val="none"/>
        </w:rPr>
        <w:t>广汽丰田汽车有限公司第一、二线板房改造项目施工总承包补充</w:t>
      </w:r>
      <w:r>
        <w:rPr>
          <w:rFonts w:hint="eastAsia" w:ascii="宋体" w:hAnsi="宋体" w:cs="宋体"/>
          <w:b/>
          <w:bCs/>
          <w:color w:val="auto"/>
          <w:kern w:val="0"/>
          <w:sz w:val="32"/>
          <w:szCs w:val="32"/>
          <w:highlight w:val="none"/>
        </w:rPr>
        <w:t>公告</w:t>
      </w:r>
    </w:p>
    <w:p w14:paraId="6F94F74F">
      <w:pPr>
        <w:widowControl/>
        <w:spacing w:line="360" w:lineRule="atLeast"/>
        <w:ind w:firstLine="56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广汽丰田汽车有限公司第一、二线板房改造项目施工总承包（项目编号：JG2025-2997），于202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日在广州交易集团有限公司（广州公共资源交易中心）</w:t>
      </w:r>
      <w:r>
        <w:rPr>
          <w:rFonts w:hint="eastAsia" w:ascii="宋体" w:hAnsi="宋体" w:cs="宋体"/>
          <w:color w:val="auto"/>
          <w:kern w:val="0"/>
          <w:sz w:val="24"/>
          <w:szCs w:val="24"/>
          <w:highlight w:val="none"/>
          <w:lang w:val="en-US" w:eastAsia="zh-CN"/>
        </w:rPr>
        <w:t>官</w:t>
      </w:r>
      <w:r>
        <w:rPr>
          <w:rFonts w:hint="eastAsia" w:ascii="宋体" w:hAnsi="宋体" w:eastAsia="宋体" w:cs="宋体"/>
          <w:color w:val="auto"/>
          <w:kern w:val="0"/>
          <w:sz w:val="24"/>
          <w:szCs w:val="24"/>
          <w:highlight w:val="none"/>
        </w:rPr>
        <w:t>网发布招标公告，现对原招标文件相关内容调整如下：</w:t>
      </w:r>
    </w:p>
    <w:p w14:paraId="0C44C482">
      <w:pPr>
        <w:widowControl/>
        <w:numPr>
          <w:ilvl w:val="0"/>
          <w:numId w:val="0"/>
        </w:numPr>
        <w:spacing w:line="360" w:lineRule="atLeas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一、对招标文件相关内容进行修改：</w:t>
      </w:r>
    </w:p>
    <w:tbl>
      <w:tblPr>
        <w:tblStyle w:val="9"/>
        <w:tblW w:w="8985" w:type="dxa"/>
        <w:tblInd w:w="-26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14"/>
        <w:gridCol w:w="1610"/>
        <w:gridCol w:w="3369"/>
        <w:gridCol w:w="3292"/>
      </w:tblGrid>
      <w:tr w14:paraId="509E45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46" w:hRule="atLeast"/>
        </w:trPr>
        <w:tc>
          <w:tcPr>
            <w:tcW w:w="714"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873774">
            <w:pPr>
              <w:pStyle w:val="7"/>
              <w:widowControl/>
              <w:spacing w:before="0" w:beforeAutospacing="0" w:after="0" w:afterAutospacing="0" w:line="330" w:lineRule="atLeast"/>
              <w:ind w:left="-42" w:leftChars="0" w:right="-42" w:rightChars="0"/>
              <w:jc w:val="center"/>
              <w:rPr>
                <w:rFonts w:hint="eastAsia" w:ascii="宋体" w:hAnsi="宋体" w:eastAsia="宋体" w:cs="宋体"/>
                <w:color w:val="auto"/>
                <w:sz w:val="24"/>
                <w:szCs w:val="24"/>
                <w:highlight w:val="none"/>
              </w:rPr>
            </w:pPr>
            <w:r>
              <w:rPr>
                <w:rStyle w:val="11"/>
                <w:rFonts w:hint="eastAsia" w:ascii="宋体" w:hAnsi="宋体" w:cs="宋体"/>
                <w:color w:val="auto"/>
                <w:sz w:val="24"/>
                <w:szCs w:val="24"/>
                <w:highlight w:val="none"/>
                <w:lang w:val="en-US" w:eastAsia="zh-CN" w:bidi="ar"/>
              </w:rPr>
              <w:t>序号</w:t>
            </w:r>
          </w:p>
        </w:tc>
        <w:tc>
          <w:tcPr>
            <w:tcW w:w="1610"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0A7CA23">
            <w:pPr>
              <w:pStyle w:val="7"/>
              <w:widowControl/>
              <w:spacing w:before="0" w:beforeAutospacing="0" w:after="0" w:afterAutospacing="0" w:line="330" w:lineRule="atLeast"/>
              <w:jc w:val="center"/>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lang w:val="en-US" w:eastAsia="zh-CN" w:bidi="ar"/>
              </w:rPr>
              <w:t>条款号</w:t>
            </w:r>
          </w:p>
        </w:tc>
        <w:tc>
          <w:tcPr>
            <w:tcW w:w="3369"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FCC21F1">
            <w:pPr>
              <w:pStyle w:val="7"/>
              <w:widowControl/>
              <w:spacing w:before="0" w:beforeAutospacing="0" w:after="0" w:afterAutospacing="0" w:line="330" w:lineRule="atLeast"/>
              <w:jc w:val="center"/>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lang w:bidi="ar"/>
              </w:rPr>
              <w:t>原文</w:t>
            </w:r>
          </w:p>
        </w:tc>
        <w:tc>
          <w:tcPr>
            <w:tcW w:w="3292"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557662">
            <w:pPr>
              <w:pStyle w:val="7"/>
              <w:widowControl/>
              <w:spacing w:before="0" w:beforeAutospacing="0" w:after="0" w:afterAutospacing="0" w:line="330" w:lineRule="atLeast"/>
              <w:jc w:val="center"/>
              <w:rPr>
                <w:rFonts w:hint="eastAsia" w:ascii="宋体" w:hAnsi="宋体" w:eastAsia="宋体" w:cs="宋体"/>
                <w:color w:val="auto"/>
                <w:sz w:val="24"/>
                <w:szCs w:val="24"/>
                <w:highlight w:val="none"/>
              </w:rPr>
            </w:pPr>
            <w:r>
              <w:rPr>
                <w:rStyle w:val="11"/>
                <w:rFonts w:hint="eastAsia" w:ascii="宋体" w:hAnsi="宋体" w:eastAsia="宋体" w:cs="宋体"/>
                <w:color w:val="auto"/>
                <w:sz w:val="24"/>
                <w:szCs w:val="24"/>
                <w:highlight w:val="none"/>
                <w:lang w:bidi="ar"/>
              </w:rPr>
              <w:t>现文</w:t>
            </w:r>
          </w:p>
        </w:tc>
      </w:tr>
      <w:tr w14:paraId="72B72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2" w:hRule="atLeast"/>
        </w:trPr>
        <w:tc>
          <w:tcPr>
            <w:tcW w:w="714" w:type="dxa"/>
            <w:tcBorders>
              <w:top w:val="single" w:color="auto" w:sz="4" w:space="0"/>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14E4C23">
            <w:pPr>
              <w:pStyle w:val="7"/>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w:t>
            </w:r>
          </w:p>
        </w:tc>
        <w:tc>
          <w:tcPr>
            <w:tcW w:w="1610"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D881D60">
            <w:pPr>
              <w:pStyle w:val="7"/>
              <w:widowControl/>
              <w:spacing w:before="0" w:beforeAutospacing="0" w:after="0" w:afterAutospacing="0" w:line="33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招标文件第二章开标、评标及定标办法45.3</w:t>
            </w:r>
          </w:p>
        </w:tc>
        <w:tc>
          <w:tcPr>
            <w:tcW w:w="3369"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52E44882">
            <w:pPr>
              <w:pStyle w:val="7"/>
              <w:widowControl/>
              <w:spacing w:before="0" w:beforeAutospacing="0" w:after="0" w:afterAutospacing="0" w:line="330" w:lineRule="atLeast"/>
              <w:jc w:val="left"/>
              <w:rPr>
                <w:rFonts w:hint="eastAsia" w:ascii="宋体" w:hAnsi="宋体" w:eastAsia="宋体" w:cs="宋体"/>
                <w:color w:val="auto"/>
                <w:sz w:val="21"/>
                <w:szCs w:val="21"/>
                <w:highlight w:val="none"/>
              </w:rPr>
            </w:pPr>
            <w:r>
              <w:rPr>
                <w:rFonts w:hint="eastAsia" w:ascii="宋体" w:hAnsi="宋体" w:cs="宋体"/>
                <w:color w:val="000000"/>
                <w:sz w:val="21"/>
                <w:szCs w:val="21"/>
                <w:highlight w:val="none"/>
              </w:rPr>
              <w:t>45.3当标价等于评标参考价时得100分，标价每高于评标参考价1%，扣</w:t>
            </w:r>
            <w:r>
              <w:rPr>
                <w:rFonts w:hint="eastAsia" w:ascii="宋体" w:hAnsi="宋体" w:cs="宋体"/>
                <w:color w:val="000000"/>
                <w:sz w:val="21"/>
                <w:szCs w:val="21"/>
                <w:highlight w:val="none"/>
                <w:u w:val="single"/>
              </w:rPr>
              <w:t>0.5</w:t>
            </w:r>
            <w:r>
              <w:rPr>
                <w:rFonts w:hint="eastAsia" w:ascii="宋体" w:hAnsi="宋体" w:cs="宋体"/>
                <w:color w:val="000000"/>
                <w:sz w:val="21"/>
                <w:szCs w:val="21"/>
                <w:highlight w:val="none"/>
              </w:rPr>
              <w:t>分，每低于评标参考价1%，扣</w:t>
            </w:r>
            <w:r>
              <w:rPr>
                <w:rFonts w:hint="eastAsia" w:ascii="宋体" w:hAnsi="宋体" w:cs="宋体"/>
                <w:color w:val="000000"/>
                <w:sz w:val="21"/>
                <w:szCs w:val="21"/>
                <w:highlight w:val="none"/>
                <w:u w:val="single"/>
              </w:rPr>
              <w:t>0.3</w:t>
            </w:r>
            <w:r>
              <w:rPr>
                <w:rFonts w:hint="eastAsia" w:ascii="宋体" w:hAnsi="宋体" w:cs="宋体"/>
                <w:color w:val="000000"/>
                <w:sz w:val="21"/>
                <w:szCs w:val="21"/>
                <w:highlight w:val="none"/>
              </w:rPr>
              <w:t>分，扣至0分为止，得出经济分，精确到小数点后两位。</w:t>
            </w:r>
          </w:p>
        </w:tc>
        <w:tc>
          <w:tcPr>
            <w:tcW w:w="3292"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86D5C46">
            <w:pPr>
              <w:pStyle w:val="7"/>
              <w:widowControl/>
              <w:spacing w:before="0" w:beforeAutospacing="0" w:after="0" w:afterAutospacing="0" w:line="330" w:lineRule="atLeast"/>
              <w:jc w:val="left"/>
              <w:rPr>
                <w:rFonts w:hint="eastAsia" w:ascii="宋体" w:hAnsi="宋体" w:eastAsia="宋体" w:cs="宋体"/>
                <w:color w:val="auto"/>
                <w:sz w:val="21"/>
                <w:szCs w:val="21"/>
                <w:highlight w:val="none"/>
              </w:rPr>
            </w:pPr>
            <w:r>
              <w:rPr>
                <w:rFonts w:hint="eastAsia" w:ascii="宋体" w:hAnsi="宋体" w:cs="宋体"/>
                <w:color w:val="000000"/>
                <w:sz w:val="21"/>
                <w:szCs w:val="21"/>
                <w:highlight w:val="none"/>
              </w:rPr>
              <w:t>45.3当标价等于评标参考价时得100分，标价每高于评标参考价1%，扣</w:t>
            </w:r>
            <w:r>
              <w:rPr>
                <w:rFonts w:hint="eastAsia" w:ascii="宋体" w:hAnsi="宋体" w:cs="宋体"/>
                <w:b/>
                <w:bCs/>
                <w:color w:val="000000"/>
                <w:sz w:val="21"/>
                <w:szCs w:val="21"/>
                <w:highlight w:val="none"/>
                <w:u w:val="single"/>
                <w:lang w:val="en-US" w:eastAsia="zh-CN"/>
              </w:rPr>
              <w:t>1</w:t>
            </w:r>
            <w:r>
              <w:rPr>
                <w:rFonts w:hint="eastAsia" w:ascii="宋体" w:hAnsi="宋体" w:cs="宋体"/>
                <w:b/>
                <w:bCs/>
                <w:color w:val="000000"/>
                <w:sz w:val="21"/>
                <w:szCs w:val="21"/>
                <w:highlight w:val="none"/>
                <w:u w:val="single"/>
              </w:rPr>
              <w:t>.5</w:t>
            </w:r>
            <w:r>
              <w:rPr>
                <w:rFonts w:hint="eastAsia" w:ascii="宋体" w:hAnsi="宋体" w:cs="宋体"/>
                <w:color w:val="000000"/>
                <w:sz w:val="21"/>
                <w:szCs w:val="21"/>
                <w:highlight w:val="none"/>
              </w:rPr>
              <w:t>分，每低于评标参考价1%，扣</w:t>
            </w:r>
            <w:r>
              <w:rPr>
                <w:rFonts w:hint="eastAsia" w:ascii="宋体" w:hAnsi="宋体" w:cs="宋体"/>
                <w:b/>
                <w:bCs/>
                <w:color w:val="000000"/>
                <w:sz w:val="21"/>
                <w:szCs w:val="21"/>
                <w:highlight w:val="none"/>
                <w:u w:val="single"/>
                <w:lang w:val="en-US" w:eastAsia="zh-CN"/>
              </w:rPr>
              <w:t>1</w:t>
            </w:r>
            <w:r>
              <w:rPr>
                <w:rFonts w:hint="eastAsia" w:ascii="宋体" w:hAnsi="宋体" w:cs="宋体"/>
                <w:color w:val="000000"/>
                <w:sz w:val="21"/>
                <w:szCs w:val="21"/>
                <w:highlight w:val="none"/>
              </w:rPr>
              <w:t>分，扣至0分为止，得出经济分，精确到小数点后两位。</w:t>
            </w:r>
          </w:p>
        </w:tc>
      </w:tr>
      <w:tr w14:paraId="47CF9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2" w:hRule="atLeast"/>
        </w:trPr>
        <w:tc>
          <w:tcPr>
            <w:tcW w:w="714" w:type="dxa"/>
            <w:tcBorders>
              <w:top w:val="single" w:color="auto" w:sz="4" w:space="0"/>
              <w:left w:val="single" w:color="auto" w:sz="8"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303AC2FD">
            <w:pPr>
              <w:pStyle w:val="7"/>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w:t>
            </w:r>
          </w:p>
        </w:tc>
        <w:tc>
          <w:tcPr>
            <w:tcW w:w="1610"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6212B262">
            <w:pPr>
              <w:pStyle w:val="7"/>
              <w:widowControl/>
              <w:spacing w:before="0" w:beforeAutospacing="0" w:after="0" w:afterAutospacing="0" w:line="33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招标文件附表四《技术标详细审查评分表》</w:t>
            </w:r>
          </w:p>
        </w:tc>
        <w:tc>
          <w:tcPr>
            <w:tcW w:w="3369"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4F769BA3">
            <w:pPr>
              <w:pStyle w:val="7"/>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详见原招标文件</w:t>
            </w:r>
          </w:p>
        </w:tc>
        <w:tc>
          <w:tcPr>
            <w:tcW w:w="3292" w:type="dxa"/>
            <w:tcBorders>
              <w:top w:val="single" w:color="auto" w:sz="4" w:space="0"/>
              <w:left w:val="nil"/>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A31CA35">
            <w:pPr>
              <w:pStyle w:val="7"/>
              <w:widowControl/>
              <w:spacing w:before="0" w:beforeAutospacing="0" w:after="0" w:afterAutospacing="0" w:line="33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u w:val="single"/>
                <w:lang w:val="en-US" w:eastAsia="zh-CN"/>
              </w:rPr>
              <w:t>详见本补充公告附件一</w:t>
            </w:r>
          </w:p>
        </w:tc>
      </w:tr>
    </w:tbl>
    <w:p w14:paraId="7F87CAC4">
      <w:pPr>
        <w:widowControl/>
        <w:numPr>
          <w:ilvl w:val="-1"/>
          <w:numId w:val="0"/>
        </w:numPr>
        <w:spacing w:line="360" w:lineRule="atLeast"/>
        <w:ind w:firstLine="0" w:firstLineChars="0"/>
        <w:rPr>
          <w:rFonts w:hint="eastAsia" w:ascii="宋体" w:hAnsi="宋体" w:eastAsia="宋体" w:cs="宋体"/>
          <w:color w:val="auto"/>
          <w:kern w:val="0"/>
          <w:sz w:val="24"/>
          <w:szCs w:val="24"/>
          <w:highlight w:val="none"/>
        </w:rPr>
      </w:pPr>
    </w:p>
    <w:p w14:paraId="686BB8F7">
      <w:pPr>
        <w:widowControl/>
        <w:numPr>
          <w:ilvl w:val="0"/>
          <w:numId w:val="1"/>
        </w:numPr>
        <w:spacing w:line="360" w:lineRule="atLeast"/>
        <w:ind w:firstLine="241" w:firstLineChars="100"/>
        <w:rPr>
          <w:rFonts w:hint="eastAsia" w:ascii="宋体" w:hAnsi="宋体" w:eastAsia="宋体" w:cs="宋体"/>
          <w:i w:val="0"/>
          <w:iCs w:val="0"/>
          <w:caps w:val="0"/>
          <w:color w:val="333333"/>
          <w:spacing w:val="0"/>
          <w:sz w:val="24"/>
          <w:szCs w:val="24"/>
          <w:u w:val="none"/>
          <w:shd w:val="clear" w:fill="FFFFFF"/>
        </w:rPr>
      </w:pPr>
      <w:r>
        <w:rPr>
          <w:rStyle w:val="11"/>
          <w:rFonts w:hint="eastAsia" w:ascii="宋体" w:hAnsi="宋体" w:eastAsia="宋体" w:cs="宋体"/>
          <w:b/>
          <w:bCs/>
          <w:i w:val="0"/>
          <w:iCs w:val="0"/>
          <w:caps w:val="0"/>
          <w:color w:val="333333"/>
          <w:spacing w:val="0"/>
          <w:sz w:val="24"/>
          <w:szCs w:val="24"/>
          <w:u w:val="none"/>
          <w:shd w:val="clear" w:fill="FFFFFF"/>
        </w:rPr>
        <w:t>本招标文件中涉及的具体时间及场地安排请各投标人密切留意广州交易集团有限公司（广州公共资源交易中心）公布本项目的日程安排，本补充公告不再单独进行补充说明。</w:t>
      </w:r>
      <w:r>
        <w:rPr>
          <w:rFonts w:hint="eastAsia" w:ascii="宋体" w:hAnsi="宋体" w:eastAsia="宋体" w:cs="宋体"/>
          <w:i w:val="0"/>
          <w:iCs w:val="0"/>
          <w:caps w:val="0"/>
          <w:color w:val="333333"/>
          <w:spacing w:val="0"/>
          <w:sz w:val="24"/>
          <w:szCs w:val="24"/>
          <w:u w:val="none"/>
          <w:shd w:val="clear" w:fill="FFFFFF"/>
        </w:rPr>
        <w:t>投标人可登录广州交易集团有限公司（广州公共资源交易中心）网站首页，点击“交易业务”专栏中的“建设工程”的“项目查询”，输入项目编号或项目名称查询最新信息。</w:t>
      </w:r>
    </w:p>
    <w:p w14:paraId="7E731F75">
      <w:pPr>
        <w:pStyle w:val="6"/>
        <w:numPr>
          <w:ilvl w:val="0"/>
          <w:numId w:val="0"/>
        </w:numPr>
        <w:rPr>
          <w:rFonts w:hint="eastAsia"/>
          <w:lang w:val="en-US" w:eastAsia="zh-CN"/>
        </w:rPr>
      </w:pPr>
    </w:p>
    <w:p w14:paraId="31AB8B9A">
      <w:pPr>
        <w:widowControl/>
        <w:numPr>
          <w:ilvl w:val="0"/>
          <w:numId w:val="1"/>
        </w:numPr>
        <w:spacing w:line="360" w:lineRule="atLeast"/>
        <w:ind w:left="0" w:leftChars="0"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本项目已重新生成电子招标文件，请各投标人下载更新版本的电子招标文件编制投标文件。并随本补充公告发布更新后的招标文件文档供各投标人自行使用。</w:t>
      </w:r>
    </w:p>
    <w:p w14:paraId="690D4286">
      <w:pPr>
        <w:pStyle w:val="6"/>
        <w:numPr>
          <w:ilvl w:val="0"/>
          <w:numId w:val="0"/>
        </w:numPr>
        <w:ind w:leftChars="100"/>
        <w:rPr>
          <w:rFonts w:hint="eastAsia"/>
          <w:lang w:val="en-US" w:eastAsia="zh-CN"/>
        </w:rPr>
      </w:pPr>
    </w:p>
    <w:p w14:paraId="3B783709">
      <w:pPr>
        <w:widowControl/>
        <w:numPr>
          <w:ilvl w:val="0"/>
          <w:numId w:val="0"/>
        </w:numPr>
        <w:spacing w:line="360" w:lineRule="atLeast"/>
        <w:ind w:firstLine="240" w:firstLineChars="1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四、原招标文件内容、更新后招标文件内容与本补充公告内容不一致之处，以本补充公告为准，其他内容不变。</w:t>
      </w:r>
    </w:p>
    <w:p w14:paraId="55AADAE5">
      <w:pPr>
        <w:pStyle w:val="2"/>
        <w:rPr>
          <w:rFonts w:hint="eastAsia" w:ascii="宋体" w:hAnsi="宋体" w:eastAsia="宋体" w:cs="宋体"/>
          <w:color w:val="auto"/>
          <w:sz w:val="24"/>
          <w:szCs w:val="24"/>
          <w:highlight w:val="none"/>
        </w:rPr>
      </w:pPr>
    </w:p>
    <w:p w14:paraId="710DA915">
      <w:pPr>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招标人：广汽丰田汽车有限公司</w:t>
      </w:r>
    </w:p>
    <w:p w14:paraId="52E1F721">
      <w:pPr>
        <w:jc w:val="right"/>
        <w:rPr>
          <w:rFonts w:hint="eastAsia" w:ascii="宋体" w:hAnsi="宋体" w:cs="宋体"/>
          <w:color w:val="auto"/>
          <w:kern w:val="0"/>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cs="宋体"/>
          <w:color w:val="auto"/>
          <w:kern w:val="0"/>
          <w:sz w:val="24"/>
          <w:szCs w:val="24"/>
          <w:highlight w:val="none"/>
        </w:rPr>
        <w:t>日</w:t>
      </w:r>
    </w:p>
    <w:p w14:paraId="080E47E7">
      <w:pPr>
        <w:widowControl/>
        <w:snapToGrid w:val="0"/>
        <w:ind w:right="102"/>
        <w:jc w:val="left"/>
        <w:rPr>
          <w:rFonts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附件一：</w:t>
      </w:r>
      <w:r>
        <w:rPr>
          <w:rFonts w:hint="eastAsia" w:ascii="宋体" w:hAnsi="宋体" w:cs="宋体"/>
          <w:b/>
          <w:bCs/>
          <w:color w:val="000000"/>
          <w:sz w:val="24"/>
          <w:szCs w:val="24"/>
          <w:highlight w:val="none"/>
        </w:rPr>
        <w:t>附表四</w:t>
      </w:r>
    </w:p>
    <w:p w14:paraId="31DC53F5">
      <w:pPr>
        <w:widowControl/>
        <w:snapToGrid w:val="0"/>
        <w:ind w:right="102"/>
        <w:jc w:val="center"/>
        <w:rPr>
          <w:rFonts w:ascii="宋体" w:hAnsi="宋体" w:cs="宋体"/>
          <w:b/>
          <w:bCs/>
          <w:color w:val="000000"/>
          <w:sz w:val="30"/>
          <w:szCs w:val="30"/>
          <w:highlight w:val="none"/>
        </w:rPr>
      </w:pPr>
      <w:r>
        <w:rPr>
          <w:rFonts w:hint="eastAsia" w:ascii="宋体" w:hAnsi="宋体" w:cs="宋体"/>
          <w:b/>
          <w:bCs/>
          <w:color w:val="000000"/>
          <w:sz w:val="30"/>
          <w:szCs w:val="30"/>
          <w:highlight w:val="none"/>
        </w:rPr>
        <w:t>技术标详细审查评分表</w:t>
      </w:r>
    </w:p>
    <w:p w14:paraId="1E8BB18D">
      <w:pPr>
        <w:rPr>
          <w:rFonts w:ascii="宋体" w:hAnsi="宋体" w:cs="宋体"/>
          <w:color w:val="000000"/>
          <w:highlight w:val="none"/>
        </w:rPr>
      </w:pPr>
      <w:r>
        <w:rPr>
          <w:rFonts w:hint="eastAsia" w:ascii="宋体" w:hAnsi="宋体" w:cs="宋体"/>
          <w:color w:val="000000"/>
          <w:highlight w:val="none"/>
        </w:rPr>
        <w:t xml:space="preserve">工程名称： </w:t>
      </w:r>
    </w:p>
    <w:tbl>
      <w:tblPr>
        <w:tblStyle w:val="9"/>
        <w:tblW w:w="15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38"/>
        <w:gridCol w:w="442"/>
        <w:gridCol w:w="13895"/>
      </w:tblGrid>
      <w:tr w14:paraId="24A5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tcBorders>
              <w:top w:val="single" w:color="auto" w:sz="4" w:space="0"/>
              <w:left w:val="single" w:color="auto" w:sz="4" w:space="0"/>
              <w:right w:val="single" w:color="auto" w:sz="4" w:space="0"/>
            </w:tcBorders>
            <w:noWrap w:val="0"/>
            <w:vAlign w:val="center"/>
          </w:tcPr>
          <w:p w14:paraId="0EE5D94C">
            <w:pPr>
              <w:widowControl/>
              <w:spacing w:line="280" w:lineRule="exact"/>
              <w:jc w:val="center"/>
              <w:rPr>
                <w:rFonts w:ascii="宋体" w:hAnsi="宋体" w:cs="宋体"/>
                <w:b/>
                <w:bCs/>
                <w:color w:val="000000"/>
                <w:spacing w:val="-10"/>
                <w:szCs w:val="21"/>
                <w:highlight w:val="none"/>
              </w:rPr>
            </w:pPr>
            <w:r>
              <w:rPr>
                <w:rFonts w:hint="eastAsia" w:ascii="宋体" w:hAnsi="宋体" w:cs="宋体"/>
                <w:b/>
                <w:bCs/>
                <w:color w:val="000000"/>
                <w:spacing w:val="-10"/>
                <w:szCs w:val="21"/>
                <w:highlight w:val="none"/>
              </w:rPr>
              <w:t>评审因素</w:t>
            </w:r>
          </w:p>
        </w:tc>
        <w:tc>
          <w:tcPr>
            <w:tcW w:w="738" w:type="dxa"/>
            <w:tcBorders>
              <w:top w:val="single" w:color="auto" w:sz="4" w:space="0"/>
              <w:left w:val="nil"/>
              <w:right w:val="single" w:color="auto" w:sz="4" w:space="0"/>
            </w:tcBorders>
            <w:noWrap w:val="0"/>
            <w:vAlign w:val="center"/>
          </w:tcPr>
          <w:p w14:paraId="644AD38B">
            <w:pPr>
              <w:widowControl/>
              <w:spacing w:line="280" w:lineRule="exact"/>
              <w:jc w:val="center"/>
              <w:rPr>
                <w:rFonts w:ascii="宋体" w:hAnsi="宋体" w:cs="宋体"/>
                <w:b/>
                <w:bCs/>
                <w:color w:val="000000"/>
                <w:spacing w:val="-10"/>
                <w:szCs w:val="21"/>
                <w:highlight w:val="none"/>
              </w:rPr>
            </w:pPr>
            <w:r>
              <w:rPr>
                <w:rFonts w:hint="eastAsia" w:ascii="宋体" w:hAnsi="宋体" w:cs="宋体"/>
                <w:b/>
                <w:bCs/>
                <w:color w:val="000000"/>
                <w:spacing w:val="-10"/>
                <w:szCs w:val="21"/>
                <w:highlight w:val="none"/>
              </w:rPr>
              <w:t>评审内容</w:t>
            </w:r>
          </w:p>
        </w:tc>
        <w:tc>
          <w:tcPr>
            <w:tcW w:w="442" w:type="dxa"/>
            <w:tcBorders>
              <w:top w:val="single" w:color="auto" w:sz="4" w:space="0"/>
              <w:left w:val="nil"/>
              <w:right w:val="single" w:color="auto" w:sz="4" w:space="0"/>
            </w:tcBorders>
            <w:noWrap w:val="0"/>
            <w:vAlign w:val="center"/>
          </w:tcPr>
          <w:p w14:paraId="5A2616EF">
            <w:pPr>
              <w:widowControl/>
              <w:spacing w:line="280" w:lineRule="exact"/>
              <w:jc w:val="center"/>
              <w:rPr>
                <w:rFonts w:ascii="宋体" w:hAnsi="宋体" w:cs="宋体"/>
                <w:b/>
                <w:bCs/>
                <w:color w:val="000000"/>
                <w:spacing w:val="-10"/>
                <w:szCs w:val="21"/>
                <w:highlight w:val="none"/>
              </w:rPr>
            </w:pPr>
            <w:r>
              <w:rPr>
                <w:rFonts w:hint="eastAsia" w:ascii="宋体" w:hAnsi="宋体" w:cs="宋体"/>
                <w:b/>
                <w:bCs/>
                <w:color w:val="000000"/>
                <w:spacing w:val="-10"/>
                <w:szCs w:val="21"/>
                <w:highlight w:val="none"/>
              </w:rPr>
              <w:t>分值</w:t>
            </w:r>
          </w:p>
        </w:tc>
        <w:tc>
          <w:tcPr>
            <w:tcW w:w="13895" w:type="dxa"/>
            <w:tcBorders>
              <w:top w:val="single" w:color="auto" w:sz="4" w:space="0"/>
              <w:left w:val="nil"/>
              <w:bottom w:val="single" w:color="auto" w:sz="4" w:space="0"/>
              <w:right w:val="single" w:color="auto" w:sz="4" w:space="0"/>
            </w:tcBorders>
            <w:noWrap w:val="0"/>
            <w:vAlign w:val="center"/>
          </w:tcPr>
          <w:p w14:paraId="750B584C">
            <w:pPr>
              <w:widowControl/>
              <w:spacing w:line="280" w:lineRule="exact"/>
              <w:jc w:val="center"/>
              <w:rPr>
                <w:rFonts w:ascii="宋体" w:hAnsi="宋体" w:cs="宋体"/>
                <w:b/>
                <w:color w:val="000000"/>
                <w:szCs w:val="21"/>
                <w:highlight w:val="none"/>
              </w:rPr>
            </w:pPr>
            <w:r>
              <w:rPr>
                <w:rFonts w:hint="eastAsia" w:ascii="宋体" w:hAnsi="宋体" w:cs="宋体"/>
                <w:b/>
                <w:bCs/>
                <w:color w:val="000000"/>
                <w:spacing w:val="-10"/>
                <w:szCs w:val="21"/>
                <w:highlight w:val="none"/>
              </w:rPr>
              <w:t>评审标准</w:t>
            </w:r>
          </w:p>
        </w:tc>
      </w:tr>
      <w:tr w14:paraId="75AA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615" w:type="dxa"/>
            <w:vMerge w:val="restart"/>
            <w:tcBorders>
              <w:top w:val="single" w:color="auto" w:sz="4" w:space="0"/>
              <w:left w:val="single" w:color="auto" w:sz="4" w:space="0"/>
              <w:right w:val="single" w:color="auto" w:sz="4" w:space="0"/>
            </w:tcBorders>
            <w:noWrap w:val="0"/>
            <w:vAlign w:val="center"/>
          </w:tcPr>
          <w:p w14:paraId="1B89DC12">
            <w:pPr>
              <w:widowControl/>
              <w:spacing w:line="280" w:lineRule="exact"/>
              <w:jc w:val="center"/>
              <w:rPr>
                <w:rFonts w:ascii="宋体" w:hAnsi="宋体" w:cs="宋体"/>
                <w:color w:val="000000"/>
                <w:spacing w:val="-10"/>
                <w:szCs w:val="21"/>
                <w:highlight w:val="none"/>
              </w:rPr>
            </w:pPr>
            <w:r>
              <w:rPr>
                <w:rFonts w:hint="eastAsia" w:ascii="宋体" w:hAnsi="宋体" w:cs="宋体"/>
                <w:color w:val="000000"/>
                <w:spacing w:val="-10"/>
                <w:szCs w:val="21"/>
                <w:highlight w:val="none"/>
              </w:rPr>
              <w:t>企业资信（20分）</w:t>
            </w:r>
          </w:p>
        </w:tc>
        <w:tc>
          <w:tcPr>
            <w:tcW w:w="738" w:type="dxa"/>
            <w:tcBorders>
              <w:top w:val="single" w:color="auto" w:sz="4" w:space="0"/>
              <w:left w:val="nil"/>
              <w:bottom w:val="single" w:color="auto" w:sz="4" w:space="0"/>
              <w:right w:val="single" w:color="auto" w:sz="4" w:space="0"/>
            </w:tcBorders>
            <w:noWrap w:val="0"/>
            <w:vAlign w:val="center"/>
          </w:tcPr>
          <w:p w14:paraId="1AD597AD">
            <w:pPr>
              <w:snapToGrid w:val="0"/>
              <w:jc w:val="center"/>
              <w:rPr>
                <w:rFonts w:ascii="宋体" w:hAnsi="宋体" w:cs="宋体"/>
                <w:b/>
                <w:bCs/>
                <w:color w:val="000000"/>
                <w:spacing w:val="-10"/>
                <w:szCs w:val="21"/>
                <w:highlight w:val="none"/>
              </w:rPr>
            </w:pPr>
            <w:r>
              <w:rPr>
                <w:rFonts w:hint="eastAsia" w:ascii="宋体" w:hAnsi="宋体" w:cs="宋体"/>
                <w:color w:val="000000"/>
                <w:kern w:val="0"/>
                <w:szCs w:val="21"/>
                <w:highlight w:val="none"/>
              </w:rPr>
              <w:t>业绩情况</w:t>
            </w:r>
          </w:p>
        </w:tc>
        <w:tc>
          <w:tcPr>
            <w:tcW w:w="442" w:type="dxa"/>
            <w:tcBorders>
              <w:top w:val="single" w:color="auto" w:sz="4" w:space="0"/>
              <w:left w:val="nil"/>
              <w:bottom w:val="single" w:color="auto" w:sz="4" w:space="0"/>
              <w:right w:val="single" w:color="auto" w:sz="4" w:space="0"/>
            </w:tcBorders>
            <w:noWrap w:val="0"/>
            <w:vAlign w:val="center"/>
          </w:tcPr>
          <w:p w14:paraId="229B16FB">
            <w:pPr>
              <w:snapToGrid w:val="0"/>
              <w:jc w:val="center"/>
              <w:rPr>
                <w:rFonts w:hint="eastAsia" w:ascii="宋体" w:hAnsi="宋体" w:eastAsia="宋体" w:cs="宋体"/>
                <w:color w:val="000000"/>
                <w:spacing w:val="-10"/>
                <w:szCs w:val="21"/>
                <w:highlight w:val="none"/>
                <w:lang w:eastAsia="zh-CN"/>
              </w:rPr>
            </w:pPr>
            <w:r>
              <w:rPr>
                <w:rFonts w:hint="eastAsia" w:ascii="宋体" w:hAnsi="宋体" w:cs="宋体"/>
                <w:color w:val="000000"/>
                <w:spacing w:val="-10"/>
                <w:szCs w:val="21"/>
                <w:highlight w:val="none"/>
                <w:lang w:val="en-US" w:eastAsia="zh-CN"/>
              </w:rPr>
              <w:t>6</w:t>
            </w:r>
          </w:p>
        </w:tc>
        <w:tc>
          <w:tcPr>
            <w:tcW w:w="13895" w:type="dxa"/>
            <w:tcBorders>
              <w:top w:val="single" w:color="auto" w:sz="4" w:space="0"/>
              <w:left w:val="nil"/>
              <w:bottom w:val="single" w:color="auto" w:sz="4" w:space="0"/>
              <w:right w:val="single" w:color="auto" w:sz="4" w:space="0"/>
            </w:tcBorders>
            <w:noWrap w:val="0"/>
            <w:vAlign w:val="center"/>
          </w:tcPr>
          <w:p w14:paraId="522A2C6A">
            <w:pPr>
              <w:snapToGrid w:val="0"/>
              <w:spacing w:line="280" w:lineRule="exact"/>
              <w:jc w:val="left"/>
              <w:rPr>
                <w:rFonts w:ascii="宋体" w:hAnsi="宋体" w:cs="宋体"/>
                <w:bCs/>
                <w:color w:val="000000"/>
                <w:szCs w:val="21"/>
                <w:highlight w:val="none"/>
              </w:rPr>
            </w:pPr>
            <w:r>
              <w:rPr>
                <w:rFonts w:hint="eastAsia" w:ascii="宋体" w:hAnsi="宋体" w:cs="宋体"/>
                <w:bCs/>
                <w:color w:val="000000"/>
                <w:szCs w:val="21"/>
                <w:highlight w:val="none"/>
              </w:rPr>
              <w:t>1、自20</w:t>
            </w:r>
            <w:r>
              <w:rPr>
                <w:rFonts w:hint="eastAsia" w:ascii="宋体" w:hAnsi="宋体" w:cs="宋体"/>
                <w:bCs/>
                <w:color w:val="000000"/>
                <w:szCs w:val="21"/>
                <w:highlight w:val="none"/>
                <w:lang w:val="en-US" w:eastAsia="zh-CN"/>
              </w:rPr>
              <w:t>21</w:t>
            </w:r>
            <w:r>
              <w:rPr>
                <w:rFonts w:hint="eastAsia" w:ascii="宋体" w:hAnsi="宋体" w:cs="宋体"/>
                <w:bCs/>
                <w:color w:val="000000"/>
                <w:szCs w:val="21"/>
                <w:highlight w:val="none"/>
              </w:rPr>
              <w:t>年1月1日至今</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投标人完成过</w:t>
            </w:r>
            <w:r>
              <w:rPr>
                <w:rFonts w:hint="eastAsia" w:ascii="宋体" w:hAnsi="宋体" w:cs="宋体"/>
                <w:bCs/>
                <w:color w:val="000000"/>
                <w:szCs w:val="21"/>
                <w:highlight w:val="none"/>
                <w:lang w:val="en-US" w:eastAsia="zh-CN"/>
              </w:rPr>
              <w:t>质量合格的</w:t>
            </w:r>
            <w:r>
              <w:rPr>
                <w:rFonts w:hint="eastAsia" w:ascii="宋体" w:hAnsi="宋体" w:cs="宋体"/>
                <w:bCs/>
                <w:color w:val="000000"/>
                <w:szCs w:val="21"/>
                <w:highlight w:val="none"/>
              </w:rPr>
              <w:t>类似工程业绩</w:t>
            </w:r>
            <w:r>
              <w:rPr>
                <w:rFonts w:hint="eastAsia" w:ascii="宋体" w:hAnsi="宋体" w:cs="宋体"/>
                <w:b/>
                <w:bCs w:val="0"/>
                <w:color w:val="000000"/>
                <w:szCs w:val="21"/>
                <w:highlight w:val="none"/>
                <w:u w:val="single"/>
                <w:lang w:val="en-US" w:eastAsia="zh-CN"/>
              </w:rPr>
              <w:t>15</w:t>
            </w:r>
            <w:r>
              <w:rPr>
                <w:rFonts w:hint="eastAsia" w:ascii="宋体" w:hAnsi="宋体" w:cs="宋体"/>
                <w:bCs/>
                <w:color w:val="000000"/>
                <w:szCs w:val="21"/>
                <w:highlight w:val="none"/>
              </w:rPr>
              <w:t>项以上（含本数）的，得6分；</w:t>
            </w:r>
          </w:p>
          <w:p w14:paraId="6F21A940">
            <w:pPr>
              <w:snapToGrid w:val="0"/>
              <w:spacing w:line="280" w:lineRule="exact"/>
              <w:jc w:val="left"/>
              <w:rPr>
                <w:rFonts w:ascii="宋体" w:hAnsi="宋体" w:cs="宋体"/>
                <w:bCs/>
                <w:color w:val="000000"/>
                <w:szCs w:val="21"/>
                <w:highlight w:val="none"/>
              </w:rPr>
            </w:pPr>
            <w:r>
              <w:rPr>
                <w:rFonts w:hint="eastAsia" w:ascii="宋体" w:hAnsi="宋体" w:cs="宋体"/>
                <w:bCs/>
                <w:color w:val="000000"/>
                <w:szCs w:val="21"/>
                <w:highlight w:val="none"/>
              </w:rPr>
              <w:t>2、自20</w:t>
            </w:r>
            <w:r>
              <w:rPr>
                <w:rFonts w:hint="eastAsia" w:ascii="宋体" w:hAnsi="宋体" w:cs="宋体"/>
                <w:bCs/>
                <w:color w:val="000000"/>
                <w:szCs w:val="21"/>
                <w:highlight w:val="none"/>
                <w:lang w:val="en-US" w:eastAsia="zh-CN"/>
              </w:rPr>
              <w:t>21</w:t>
            </w:r>
            <w:r>
              <w:rPr>
                <w:rFonts w:hint="eastAsia" w:ascii="宋体" w:hAnsi="宋体" w:cs="宋体"/>
                <w:bCs/>
                <w:color w:val="000000"/>
                <w:szCs w:val="21"/>
                <w:highlight w:val="none"/>
              </w:rPr>
              <w:t>年1月1日至今</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投标人完成过</w:t>
            </w:r>
            <w:r>
              <w:rPr>
                <w:rFonts w:hint="eastAsia" w:ascii="宋体" w:hAnsi="宋体" w:cs="宋体"/>
                <w:bCs/>
                <w:color w:val="000000"/>
                <w:szCs w:val="21"/>
                <w:highlight w:val="none"/>
                <w:lang w:val="en-US" w:eastAsia="zh-CN"/>
              </w:rPr>
              <w:t>质量合格的</w:t>
            </w:r>
            <w:r>
              <w:rPr>
                <w:rFonts w:hint="eastAsia" w:ascii="宋体" w:hAnsi="宋体" w:cs="宋体"/>
                <w:bCs/>
                <w:color w:val="000000"/>
                <w:szCs w:val="21"/>
                <w:highlight w:val="none"/>
              </w:rPr>
              <w:t>类似工程业绩</w:t>
            </w:r>
            <w:r>
              <w:rPr>
                <w:rFonts w:hint="eastAsia" w:ascii="宋体" w:hAnsi="宋体" w:cs="宋体"/>
                <w:b/>
                <w:bCs w:val="0"/>
                <w:color w:val="000000"/>
                <w:szCs w:val="21"/>
                <w:highlight w:val="none"/>
                <w:u w:val="single"/>
                <w:lang w:val="en-US" w:eastAsia="zh-CN"/>
              </w:rPr>
              <w:t>10</w:t>
            </w:r>
            <w:r>
              <w:rPr>
                <w:rFonts w:hint="eastAsia" w:ascii="宋体" w:hAnsi="宋体" w:cs="宋体"/>
                <w:bCs/>
                <w:color w:val="000000"/>
                <w:szCs w:val="21"/>
                <w:highlight w:val="none"/>
              </w:rPr>
              <w:t>项以上（不含本数）、</w:t>
            </w:r>
            <w:r>
              <w:rPr>
                <w:rFonts w:hint="eastAsia" w:ascii="宋体" w:hAnsi="宋体" w:cs="宋体"/>
                <w:b/>
                <w:bCs w:val="0"/>
                <w:color w:val="000000"/>
                <w:szCs w:val="21"/>
                <w:highlight w:val="none"/>
                <w:u w:val="single"/>
                <w:lang w:val="en-US" w:eastAsia="zh-CN"/>
              </w:rPr>
              <w:t>15</w:t>
            </w:r>
            <w:r>
              <w:rPr>
                <w:rFonts w:hint="eastAsia" w:ascii="宋体" w:hAnsi="宋体" w:cs="宋体"/>
                <w:bCs/>
                <w:color w:val="000000"/>
                <w:szCs w:val="21"/>
                <w:highlight w:val="none"/>
              </w:rPr>
              <w:t>项以下（不含本数）的，得2分；</w:t>
            </w:r>
          </w:p>
          <w:p w14:paraId="6979D905">
            <w:pPr>
              <w:snapToGrid w:val="0"/>
              <w:spacing w:line="280" w:lineRule="exact"/>
              <w:jc w:val="left"/>
              <w:rPr>
                <w:rFonts w:ascii="宋体" w:hAnsi="宋体" w:cs="宋体"/>
                <w:bCs/>
                <w:color w:val="000000"/>
                <w:szCs w:val="21"/>
                <w:highlight w:val="none"/>
              </w:rPr>
            </w:pPr>
            <w:r>
              <w:rPr>
                <w:rFonts w:hint="eastAsia" w:ascii="宋体" w:hAnsi="宋体" w:cs="宋体"/>
                <w:bCs/>
                <w:color w:val="000000"/>
                <w:szCs w:val="21"/>
                <w:highlight w:val="none"/>
              </w:rPr>
              <w:t>3、自20</w:t>
            </w:r>
            <w:r>
              <w:rPr>
                <w:rFonts w:hint="eastAsia" w:ascii="宋体" w:hAnsi="宋体" w:cs="宋体"/>
                <w:bCs/>
                <w:color w:val="000000"/>
                <w:szCs w:val="21"/>
                <w:highlight w:val="none"/>
                <w:lang w:val="en-US" w:eastAsia="zh-CN"/>
              </w:rPr>
              <w:t>21</w:t>
            </w:r>
            <w:r>
              <w:rPr>
                <w:rFonts w:hint="eastAsia" w:ascii="宋体" w:hAnsi="宋体" w:cs="宋体"/>
                <w:bCs/>
                <w:color w:val="000000"/>
                <w:szCs w:val="21"/>
                <w:highlight w:val="none"/>
              </w:rPr>
              <w:t>年1月1日至今</w:t>
            </w: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投标人完成过</w:t>
            </w:r>
            <w:r>
              <w:rPr>
                <w:rFonts w:hint="eastAsia" w:ascii="宋体" w:hAnsi="宋体" w:cs="宋体"/>
                <w:bCs/>
                <w:color w:val="000000"/>
                <w:szCs w:val="21"/>
                <w:highlight w:val="none"/>
                <w:lang w:val="en-US" w:eastAsia="zh-CN"/>
              </w:rPr>
              <w:t>质量合格的</w:t>
            </w:r>
            <w:r>
              <w:rPr>
                <w:rFonts w:hint="eastAsia" w:ascii="宋体" w:hAnsi="宋体" w:cs="宋体"/>
                <w:bCs/>
                <w:color w:val="000000"/>
                <w:szCs w:val="21"/>
                <w:highlight w:val="none"/>
              </w:rPr>
              <w:t>类似工程业绩</w:t>
            </w:r>
            <w:r>
              <w:rPr>
                <w:rFonts w:hint="eastAsia" w:ascii="宋体" w:hAnsi="宋体" w:cs="宋体"/>
                <w:b/>
                <w:bCs w:val="0"/>
                <w:color w:val="000000"/>
                <w:szCs w:val="21"/>
                <w:highlight w:val="none"/>
                <w:u w:val="single"/>
                <w:lang w:val="en-US" w:eastAsia="zh-CN"/>
              </w:rPr>
              <w:t>5</w:t>
            </w:r>
            <w:r>
              <w:rPr>
                <w:rFonts w:hint="eastAsia" w:ascii="宋体" w:hAnsi="宋体" w:cs="宋体"/>
                <w:bCs/>
                <w:color w:val="000000"/>
                <w:szCs w:val="21"/>
                <w:highlight w:val="none"/>
              </w:rPr>
              <w:t>项以上（不含本数）、</w:t>
            </w:r>
            <w:r>
              <w:rPr>
                <w:rFonts w:hint="eastAsia" w:ascii="宋体" w:hAnsi="宋体" w:cs="宋体"/>
                <w:b/>
                <w:bCs w:val="0"/>
                <w:color w:val="000000"/>
                <w:szCs w:val="21"/>
                <w:highlight w:val="none"/>
                <w:u w:val="single"/>
                <w:lang w:val="en-US" w:eastAsia="zh-CN"/>
              </w:rPr>
              <w:t>10</w:t>
            </w:r>
            <w:r>
              <w:rPr>
                <w:rFonts w:hint="eastAsia" w:ascii="宋体" w:hAnsi="宋体" w:cs="宋体"/>
                <w:bCs/>
                <w:color w:val="000000"/>
                <w:szCs w:val="21"/>
                <w:highlight w:val="none"/>
              </w:rPr>
              <w:t>项或以下的，得1分；</w:t>
            </w:r>
          </w:p>
          <w:p w14:paraId="40128681">
            <w:pPr>
              <w:ind w:right="-63" w:rightChars="-30"/>
              <w:rPr>
                <w:rFonts w:ascii="宋体" w:hAnsi="宋体" w:cs="宋体"/>
                <w:b/>
                <w:color w:val="000000"/>
                <w:spacing w:val="-10"/>
                <w:szCs w:val="21"/>
                <w:highlight w:val="none"/>
              </w:rPr>
            </w:pPr>
            <w:r>
              <w:rPr>
                <w:rFonts w:hint="eastAsia" w:ascii="宋体" w:hAnsi="宋体" w:cs="宋体"/>
                <w:color w:val="000000"/>
                <w:kern w:val="0"/>
                <w:szCs w:val="21"/>
                <w:highlight w:val="none"/>
                <w:shd w:val="clear" w:color="auto" w:fill="FFFFFF"/>
                <w:lang w:bidi="ar"/>
              </w:rPr>
              <w:t>本项最高得</w:t>
            </w:r>
            <w:r>
              <w:rPr>
                <w:rFonts w:hint="eastAsia" w:ascii="宋体" w:hAnsi="宋体" w:cs="宋体"/>
                <w:color w:val="000000"/>
                <w:kern w:val="0"/>
                <w:szCs w:val="21"/>
                <w:highlight w:val="none"/>
                <w:shd w:val="clear" w:color="auto" w:fill="FFFFFF"/>
                <w:lang w:val="en-US" w:eastAsia="zh-CN" w:bidi="ar"/>
              </w:rPr>
              <w:t>6</w:t>
            </w:r>
            <w:r>
              <w:rPr>
                <w:rFonts w:hint="eastAsia" w:ascii="宋体" w:hAnsi="宋体" w:cs="宋体"/>
                <w:color w:val="000000"/>
                <w:kern w:val="0"/>
                <w:szCs w:val="21"/>
                <w:highlight w:val="none"/>
                <w:shd w:val="clear" w:color="auto" w:fill="FFFFFF"/>
                <w:lang w:bidi="ar"/>
              </w:rPr>
              <w:t>分。不符合上述条件或未提供相关证明材料的不得分。</w:t>
            </w:r>
          </w:p>
        </w:tc>
      </w:tr>
      <w:tr w14:paraId="4EE8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15" w:type="dxa"/>
            <w:vMerge w:val="continue"/>
            <w:tcBorders>
              <w:top w:val="single" w:color="auto" w:sz="4" w:space="0"/>
              <w:left w:val="single" w:color="auto" w:sz="4" w:space="0"/>
              <w:right w:val="single" w:color="auto" w:sz="4" w:space="0"/>
            </w:tcBorders>
            <w:noWrap w:val="0"/>
            <w:vAlign w:val="center"/>
          </w:tcPr>
          <w:p w14:paraId="5A223326">
            <w:pPr>
              <w:widowControl/>
              <w:spacing w:line="280" w:lineRule="exact"/>
              <w:jc w:val="center"/>
              <w:rPr>
                <w:rFonts w:ascii="宋体" w:hAnsi="宋体" w:cs="宋体"/>
                <w:color w:val="000000"/>
                <w:spacing w:val="-10"/>
                <w:szCs w:val="21"/>
                <w:highlight w:val="none"/>
              </w:rPr>
            </w:pPr>
          </w:p>
        </w:tc>
        <w:tc>
          <w:tcPr>
            <w:tcW w:w="738" w:type="dxa"/>
            <w:tcBorders>
              <w:top w:val="single" w:color="auto" w:sz="4" w:space="0"/>
              <w:left w:val="nil"/>
              <w:bottom w:val="single" w:color="auto" w:sz="4" w:space="0"/>
              <w:right w:val="single" w:color="auto" w:sz="4" w:space="0"/>
            </w:tcBorders>
            <w:noWrap w:val="0"/>
            <w:vAlign w:val="center"/>
          </w:tcPr>
          <w:p w14:paraId="13EA83DF">
            <w:pPr>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业绩获奖情况</w:t>
            </w:r>
          </w:p>
        </w:tc>
        <w:tc>
          <w:tcPr>
            <w:tcW w:w="442" w:type="dxa"/>
            <w:tcBorders>
              <w:top w:val="single" w:color="auto" w:sz="4" w:space="0"/>
              <w:left w:val="nil"/>
              <w:bottom w:val="single" w:color="auto" w:sz="4" w:space="0"/>
              <w:right w:val="single" w:color="auto" w:sz="4" w:space="0"/>
            </w:tcBorders>
            <w:noWrap w:val="0"/>
            <w:vAlign w:val="center"/>
          </w:tcPr>
          <w:p w14:paraId="130A265C">
            <w:pPr>
              <w:snapToGrid w:val="0"/>
              <w:jc w:val="center"/>
              <w:rPr>
                <w:rFonts w:hint="eastAsia" w:ascii="宋体" w:hAnsi="宋体" w:eastAsia="宋体" w:cs="宋体"/>
                <w:color w:val="000000"/>
                <w:spacing w:val="-10"/>
                <w:szCs w:val="21"/>
                <w:highlight w:val="none"/>
                <w:lang w:eastAsia="zh-CN"/>
              </w:rPr>
            </w:pPr>
            <w:r>
              <w:rPr>
                <w:rFonts w:hint="eastAsia" w:ascii="宋体" w:hAnsi="宋体" w:cs="宋体"/>
                <w:color w:val="000000"/>
                <w:kern w:val="0"/>
                <w:szCs w:val="21"/>
                <w:highlight w:val="none"/>
                <w:lang w:val="en-US" w:eastAsia="zh-CN"/>
              </w:rPr>
              <w:t>6</w:t>
            </w:r>
          </w:p>
        </w:tc>
        <w:tc>
          <w:tcPr>
            <w:tcW w:w="13895" w:type="dxa"/>
            <w:tcBorders>
              <w:top w:val="single" w:color="auto" w:sz="4" w:space="0"/>
              <w:left w:val="nil"/>
              <w:bottom w:val="single" w:color="auto" w:sz="4" w:space="0"/>
              <w:right w:val="single" w:color="auto" w:sz="4" w:space="0"/>
            </w:tcBorders>
            <w:noWrap w:val="0"/>
            <w:vAlign w:val="center"/>
          </w:tcPr>
          <w:p w14:paraId="4BBB997B">
            <w:pPr>
              <w:snapToGrid w:val="0"/>
              <w:spacing w:line="280" w:lineRule="exact"/>
              <w:jc w:val="left"/>
              <w:rPr>
                <w:rFonts w:hint="eastAsia" w:ascii="宋体" w:hAnsi="宋体" w:cs="宋体"/>
                <w:bCs/>
                <w:color w:val="000000"/>
                <w:szCs w:val="21"/>
                <w:highlight w:val="none"/>
              </w:rPr>
            </w:pPr>
            <w:r>
              <w:rPr>
                <w:rFonts w:hint="eastAsia" w:ascii="宋体" w:hAnsi="宋体" w:cs="宋体"/>
                <w:bCs/>
                <w:color w:val="000000"/>
                <w:szCs w:val="21"/>
                <w:highlight w:val="none"/>
              </w:rPr>
              <w:t>1、投标人已完成的建筑工程业绩，自2021年1月1日至今获得市级或以上质量奖项</w:t>
            </w:r>
            <w:r>
              <w:rPr>
                <w:rFonts w:hint="eastAsia" w:ascii="宋体" w:hAnsi="宋体" w:cs="宋体"/>
                <w:b/>
                <w:bCs w:val="0"/>
                <w:color w:val="000000"/>
                <w:szCs w:val="21"/>
                <w:highlight w:val="none"/>
                <w:u w:val="single"/>
                <w:lang w:val="en-US" w:eastAsia="zh-CN"/>
              </w:rPr>
              <w:t>10</w:t>
            </w:r>
            <w:r>
              <w:rPr>
                <w:rFonts w:hint="eastAsia" w:ascii="宋体" w:hAnsi="宋体" w:cs="宋体"/>
                <w:bCs/>
                <w:color w:val="000000"/>
                <w:szCs w:val="21"/>
                <w:highlight w:val="none"/>
              </w:rPr>
              <w:t>项以上（含本数）的，得6分；</w:t>
            </w:r>
          </w:p>
          <w:p w14:paraId="0F57B5E5">
            <w:pPr>
              <w:snapToGrid w:val="0"/>
              <w:spacing w:line="280" w:lineRule="exact"/>
              <w:jc w:val="left"/>
              <w:rPr>
                <w:rFonts w:hint="eastAsia" w:ascii="宋体" w:hAnsi="宋体" w:cs="宋体"/>
                <w:bCs/>
                <w:color w:val="000000"/>
                <w:szCs w:val="21"/>
                <w:highlight w:val="none"/>
              </w:rPr>
            </w:pPr>
            <w:r>
              <w:rPr>
                <w:rFonts w:hint="eastAsia" w:ascii="宋体" w:hAnsi="宋体" w:cs="宋体"/>
                <w:bCs/>
                <w:color w:val="000000"/>
                <w:szCs w:val="21"/>
                <w:highlight w:val="none"/>
              </w:rPr>
              <w:t>2、投标人已完成的建筑工程业绩，自2021年1月1日至今获得市级或以上质量奖项</w:t>
            </w:r>
            <w:r>
              <w:rPr>
                <w:rFonts w:hint="eastAsia" w:ascii="宋体" w:hAnsi="宋体" w:cs="宋体"/>
                <w:b/>
                <w:bCs w:val="0"/>
                <w:color w:val="000000"/>
                <w:szCs w:val="21"/>
                <w:highlight w:val="none"/>
                <w:u w:val="single"/>
                <w:lang w:val="en-US" w:eastAsia="zh-CN"/>
              </w:rPr>
              <w:t>5</w:t>
            </w:r>
            <w:r>
              <w:rPr>
                <w:rFonts w:hint="eastAsia" w:ascii="宋体" w:hAnsi="宋体" w:cs="宋体"/>
                <w:bCs/>
                <w:color w:val="000000"/>
                <w:szCs w:val="21"/>
                <w:highlight w:val="none"/>
              </w:rPr>
              <w:t>项以上（不含本数）、</w:t>
            </w:r>
            <w:r>
              <w:rPr>
                <w:rFonts w:hint="eastAsia" w:ascii="宋体" w:hAnsi="宋体" w:cs="宋体"/>
                <w:b/>
                <w:bCs w:val="0"/>
                <w:color w:val="000000"/>
                <w:szCs w:val="21"/>
                <w:highlight w:val="none"/>
                <w:u w:val="single"/>
                <w:lang w:val="en-US" w:eastAsia="zh-CN"/>
              </w:rPr>
              <w:t>10</w:t>
            </w:r>
            <w:r>
              <w:rPr>
                <w:rFonts w:hint="eastAsia" w:ascii="宋体" w:hAnsi="宋体" w:cs="宋体"/>
                <w:bCs/>
                <w:color w:val="000000"/>
                <w:szCs w:val="21"/>
                <w:highlight w:val="none"/>
              </w:rPr>
              <w:t>项以下（不含本数）的，得2分；</w:t>
            </w:r>
          </w:p>
          <w:p w14:paraId="4686CB38">
            <w:pPr>
              <w:snapToGrid w:val="0"/>
              <w:spacing w:line="280" w:lineRule="exact"/>
              <w:jc w:val="left"/>
              <w:rPr>
                <w:rFonts w:hint="eastAsia" w:ascii="宋体" w:hAnsi="宋体" w:cs="宋体"/>
                <w:bCs/>
                <w:color w:val="000000"/>
                <w:szCs w:val="21"/>
                <w:highlight w:val="none"/>
              </w:rPr>
            </w:pPr>
            <w:r>
              <w:rPr>
                <w:rFonts w:hint="eastAsia" w:ascii="宋体" w:hAnsi="宋体" w:cs="宋体"/>
                <w:bCs/>
                <w:color w:val="000000"/>
                <w:szCs w:val="21"/>
                <w:highlight w:val="none"/>
              </w:rPr>
              <w:t>3、投标人已完成的建筑工程业绩，自2021年1月1日至今获得市级或以上质量奖项</w:t>
            </w:r>
            <w:r>
              <w:rPr>
                <w:rFonts w:hint="eastAsia" w:ascii="宋体" w:hAnsi="宋体" w:cs="宋体"/>
                <w:b/>
                <w:bCs w:val="0"/>
                <w:color w:val="000000"/>
                <w:szCs w:val="21"/>
                <w:highlight w:val="none"/>
                <w:u w:val="single"/>
                <w:lang w:val="en-US" w:eastAsia="zh-CN"/>
              </w:rPr>
              <w:t>1</w:t>
            </w:r>
            <w:r>
              <w:rPr>
                <w:rFonts w:hint="eastAsia" w:ascii="宋体" w:hAnsi="宋体" w:cs="宋体"/>
                <w:bCs/>
                <w:color w:val="000000"/>
                <w:szCs w:val="21"/>
                <w:highlight w:val="none"/>
              </w:rPr>
              <w:t>项以上（不含本数）、</w:t>
            </w:r>
            <w:r>
              <w:rPr>
                <w:rFonts w:hint="eastAsia" w:ascii="宋体" w:hAnsi="宋体" w:cs="宋体"/>
                <w:b/>
                <w:bCs w:val="0"/>
                <w:color w:val="000000"/>
                <w:szCs w:val="21"/>
                <w:highlight w:val="none"/>
                <w:u w:val="single"/>
                <w:lang w:val="en-US" w:eastAsia="zh-CN"/>
              </w:rPr>
              <w:t>5</w:t>
            </w:r>
            <w:r>
              <w:rPr>
                <w:rFonts w:hint="eastAsia" w:ascii="宋体" w:hAnsi="宋体" w:cs="宋体"/>
                <w:bCs/>
                <w:color w:val="000000"/>
                <w:szCs w:val="21"/>
                <w:highlight w:val="none"/>
              </w:rPr>
              <w:t>项或以下的，得1分；</w:t>
            </w:r>
          </w:p>
          <w:p w14:paraId="49202E3D">
            <w:pPr>
              <w:snapToGrid w:val="0"/>
              <w:spacing w:line="280" w:lineRule="exact"/>
              <w:jc w:val="left"/>
              <w:rPr>
                <w:rFonts w:ascii="宋体" w:hAnsi="宋体" w:cs="宋体"/>
                <w:bCs/>
                <w:color w:val="000000"/>
                <w:szCs w:val="21"/>
                <w:highlight w:val="none"/>
              </w:rPr>
            </w:pPr>
            <w:r>
              <w:rPr>
                <w:rFonts w:hint="eastAsia" w:ascii="宋体" w:hAnsi="宋体" w:cs="宋体"/>
                <w:bCs/>
                <w:color w:val="000000"/>
                <w:szCs w:val="21"/>
                <w:highlight w:val="none"/>
              </w:rPr>
              <w:t>本项最高得6分。相同项目按最高级别奖项只计一次得分。不符合上述条件或未提供相关证明材料的不得分。</w:t>
            </w:r>
          </w:p>
        </w:tc>
      </w:tr>
      <w:tr w14:paraId="06DE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15" w:type="dxa"/>
            <w:vMerge w:val="continue"/>
            <w:tcBorders>
              <w:left w:val="single" w:color="auto" w:sz="4" w:space="0"/>
              <w:right w:val="single" w:color="auto" w:sz="4" w:space="0"/>
            </w:tcBorders>
            <w:noWrap w:val="0"/>
            <w:vAlign w:val="center"/>
          </w:tcPr>
          <w:p w14:paraId="10FCE08C">
            <w:pPr>
              <w:widowControl/>
              <w:spacing w:line="280" w:lineRule="exact"/>
              <w:jc w:val="center"/>
              <w:rPr>
                <w:rFonts w:ascii="宋体" w:hAnsi="宋体" w:cs="宋体"/>
                <w:color w:val="000000"/>
                <w:spacing w:val="-10"/>
                <w:szCs w:val="21"/>
                <w:highlight w:val="none"/>
              </w:rPr>
            </w:pPr>
          </w:p>
        </w:tc>
        <w:tc>
          <w:tcPr>
            <w:tcW w:w="738" w:type="dxa"/>
            <w:tcBorders>
              <w:top w:val="single" w:color="auto" w:sz="4" w:space="0"/>
              <w:left w:val="nil"/>
              <w:right w:val="single" w:color="auto" w:sz="4" w:space="0"/>
            </w:tcBorders>
            <w:noWrap w:val="0"/>
            <w:vAlign w:val="center"/>
          </w:tcPr>
          <w:p w14:paraId="6DF59B07">
            <w:pPr>
              <w:ind w:right="-63" w:rightChars="-30"/>
              <w:jc w:val="center"/>
              <w:rPr>
                <w:rFonts w:ascii="宋体" w:hAnsi="宋体" w:cs="宋体"/>
                <w:color w:val="000000"/>
                <w:kern w:val="0"/>
                <w:szCs w:val="21"/>
                <w:highlight w:val="none"/>
              </w:rPr>
            </w:pPr>
            <w:r>
              <w:rPr>
                <w:rFonts w:hint="eastAsia" w:ascii="宋体" w:hAnsi="宋体" w:cs="宋体"/>
                <w:color w:val="000000"/>
                <w:kern w:val="0"/>
                <w:szCs w:val="21"/>
                <w:highlight w:val="none"/>
              </w:rPr>
              <w:t>工程研发能力</w:t>
            </w:r>
          </w:p>
        </w:tc>
        <w:tc>
          <w:tcPr>
            <w:tcW w:w="442" w:type="dxa"/>
            <w:tcBorders>
              <w:top w:val="single" w:color="auto" w:sz="4" w:space="0"/>
              <w:left w:val="nil"/>
              <w:right w:val="single" w:color="auto" w:sz="4" w:space="0"/>
            </w:tcBorders>
            <w:noWrap w:val="0"/>
            <w:vAlign w:val="center"/>
          </w:tcPr>
          <w:p w14:paraId="480EF18A">
            <w:pPr>
              <w:ind w:right="-63" w:rightChars="-30"/>
              <w:jc w:val="center"/>
              <w:rPr>
                <w:rFonts w:ascii="宋体" w:hAnsi="宋体" w:cs="宋体"/>
                <w:color w:val="000000"/>
                <w:kern w:val="0"/>
                <w:szCs w:val="21"/>
                <w:highlight w:val="none"/>
              </w:rPr>
            </w:pPr>
            <w:r>
              <w:rPr>
                <w:rFonts w:ascii="宋体" w:hAnsi="宋体" w:cs="宋体"/>
                <w:color w:val="000000"/>
                <w:kern w:val="0"/>
                <w:szCs w:val="21"/>
                <w:highlight w:val="none"/>
              </w:rPr>
              <w:t>4</w:t>
            </w:r>
          </w:p>
        </w:tc>
        <w:tc>
          <w:tcPr>
            <w:tcW w:w="13895" w:type="dxa"/>
            <w:tcBorders>
              <w:top w:val="single" w:color="auto" w:sz="4" w:space="0"/>
              <w:left w:val="nil"/>
              <w:bottom w:val="single" w:color="auto" w:sz="4" w:space="0"/>
              <w:right w:val="single" w:color="auto" w:sz="4" w:space="0"/>
            </w:tcBorders>
            <w:noWrap w:val="0"/>
            <w:vAlign w:val="center"/>
          </w:tcPr>
          <w:p w14:paraId="78652651">
            <w:pPr>
              <w:snapToGrid w:val="0"/>
              <w:spacing w:line="28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1、投标人自2021年1月1日至今获得过省级或以上工法证书的，每提供1项，得</w:t>
            </w:r>
            <w:r>
              <w:rPr>
                <w:rFonts w:hint="eastAsia" w:ascii="宋体" w:hAnsi="宋体" w:cs="宋体"/>
                <w:b/>
                <w:bCs/>
                <w:color w:val="000000"/>
                <w:kern w:val="0"/>
                <w:szCs w:val="21"/>
                <w:highlight w:val="none"/>
                <w:u w:val="single"/>
              </w:rPr>
              <w:t>0.</w:t>
            </w:r>
            <w:r>
              <w:rPr>
                <w:rFonts w:hint="eastAsia" w:ascii="宋体" w:hAnsi="宋体" w:cs="宋体"/>
                <w:b/>
                <w:bCs/>
                <w:color w:val="000000"/>
                <w:kern w:val="0"/>
                <w:szCs w:val="21"/>
                <w:highlight w:val="none"/>
                <w:u w:val="single"/>
                <w:lang w:val="en-US" w:eastAsia="zh-CN"/>
              </w:rPr>
              <w:t>4</w:t>
            </w:r>
            <w:r>
              <w:rPr>
                <w:rFonts w:hint="eastAsia" w:ascii="宋体" w:hAnsi="宋体" w:cs="宋体"/>
                <w:color w:val="000000"/>
                <w:kern w:val="0"/>
                <w:szCs w:val="21"/>
                <w:highlight w:val="none"/>
              </w:rPr>
              <w:t>分，本小项最高得2分。</w:t>
            </w:r>
          </w:p>
          <w:p w14:paraId="62992152">
            <w:pPr>
              <w:snapToGrid w:val="0"/>
              <w:spacing w:line="28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2、投标人自2021年1月1日至今获得过省级或以上科学技术进步奖或科学技术奖的，每提供1项，得</w:t>
            </w:r>
            <w:r>
              <w:rPr>
                <w:rFonts w:hint="eastAsia" w:ascii="宋体" w:hAnsi="宋体" w:cs="宋体"/>
                <w:b/>
                <w:bCs/>
                <w:color w:val="000000"/>
                <w:kern w:val="0"/>
                <w:szCs w:val="21"/>
                <w:highlight w:val="none"/>
                <w:u w:val="single"/>
              </w:rPr>
              <w:t>0.</w:t>
            </w:r>
            <w:r>
              <w:rPr>
                <w:rFonts w:hint="eastAsia" w:ascii="宋体" w:hAnsi="宋体" w:cs="宋体"/>
                <w:b/>
                <w:bCs/>
                <w:color w:val="000000"/>
                <w:kern w:val="0"/>
                <w:szCs w:val="21"/>
                <w:highlight w:val="none"/>
                <w:u w:val="single"/>
                <w:lang w:val="en-US" w:eastAsia="zh-CN"/>
              </w:rPr>
              <w:t>4</w:t>
            </w:r>
            <w:r>
              <w:rPr>
                <w:rFonts w:hint="eastAsia" w:ascii="宋体" w:hAnsi="宋体" w:cs="宋体"/>
                <w:color w:val="000000"/>
                <w:kern w:val="0"/>
                <w:szCs w:val="21"/>
                <w:highlight w:val="none"/>
              </w:rPr>
              <w:t>分，本小项最高得2分。</w:t>
            </w:r>
          </w:p>
          <w:p w14:paraId="4D6E542B">
            <w:pPr>
              <w:snapToGrid w:val="0"/>
              <w:spacing w:line="280" w:lineRule="exact"/>
              <w:jc w:val="left"/>
              <w:rPr>
                <w:rFonts w:ascii="宋体" w:hAnsi="宋体" w:cs="宋体"/>
                <w:b/>
                <w:color w:val="000000"/>
                <w:sz w:val="18"/>
                <w:szCs w:val="18"/>
                <w:highlight w:val="none"/>
              </w:rPr>
            </w:pPr>
            <w:r>
              <w:rPr>
                <w:rFonts w:hint="eastAsia" w:ascii="宋体" w:hAnsi="宋体" w:cs="宋体"/>
                <w:color w:val="000000"/>
                <w:kern w:val="0"/>
                <w:szCs w:val="21"/>
                <w:highlight w:val="none"/>
              </w:rPr>
              <w:t>本项最高得4分。不符合上述条件或未提供相关证明材料的不得分。</w:t>
            </w:r>
          </w:p>
        </w:tc>
      </w:tr>
      <w:tr w14:paraId="2AC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615" w:type="dxa"/>
            <w:vMerge w:val="continue"/>
            <w:tcBorders>
              <w:left w:val="single" w:color="auto" w:sz="4" w:space="0"/>
              <w:bottom w:val="single" w:color="auto" w:sz="4" w:space="0"/>
              <w:right w:val="single" w:color="auto" w:sz="4" w:space="0"/>
            </w:tcBorders>
            <w:noWrap w:val="0"/>
            <w:vAlign w:val="center"/>
          </w:tcPr>
          <w:p w14:paraId="530C7081">
            <w:pPr>
              <w:widowControl/>
              <w:spacing w:line="280" w:lineRule="exact"/>
              <w:jc w:val="center"/>
              <w:rPr>
                <w:rFonts w:ascii="宋体" w:hAnsi="宋体" w:cs="宋体"/>
                <w:color w:val="000000"/>
                <w:spacing w:val="-10"/>
                <w:szCs w:val="21"/>
                <w:highlight w:val="none"/>
              </w:rPr>
            </w:pPr>
          </w:p>
        </w:tc>
        <w:tc>
          <w:tcPr>
            <w:tcW w:w="738" w:type="dxa"/>
            <w:tcBorders>
              <w:top w:val="single" w:color="auto" w:sz="4" w:space="0"/>
              <w:left w:val="nil"/>
              <w:right w:val="single" w:color="auto" w:sz="4" w:space="0"/>
            </w:tcBorders>
            <w:noWrap w:val="0"/>
            <w:vAlign w:val="center"/>
          </w:tcPr>
          <w:p w14:paraId="002A0550">
            <w:pPr>
              <w:ind w:right="-63" w:rightChars="-30"/>
              <w:jc w:val="center"/>
              <w:rPr>
                <w:rFonts w:ascii="宋体" w:hAnsi="宋体" w:cs="宋体"/>
                <w:color w:val="000000"/>
                <w:kern w:val="0"/>
                <w:szCs w:val="21"/>
                <w:highlight w:val="none"/>
              </w:rPr>
            </w:pPr>
            <w:r>
              <w:rPr>
                <w:rFonts w:hint="eastAsia" w:ascii="宋体" w:hAnsi="宋体" w:cs="宋体"/>
                <w:color w:val="000000"/>
                <w:kern w:val="0"/>
                <w:szCs w:val="21"/>
                <w:highlight w:val="none"/>
              </w:rPr>
              <w:t>第三方评价</w:t>
            </w:r>
          </w:p>
        </w:tc>
        <w:tc>
          <w:tcPr>
            <w:tcW w:w="442" w:type="dxa"/>
            <w:tcBorders>
              <w:top w:val="single" w:color="auto" w:sz="4" w:space="0"/>
              <w:left w:val="nil"/>
              <w:right w:val="single" w:color="auto" w:sz="4" w:space="0"/>
            </w:tcBorders>
            <w:noWrap w:val="0"/>
            <w:vAlign w:val="center"/>
          </w:tcPr>
          <w:p w14:paraId="0D6D2CEB">
            <w:pPr>
              <w:ind w:right="-63" w:rightChars="-30"/>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4</w:t>
            </w:r>
          </w:p>
        </w:tc>
        <w:tc>
          <w:tcPr>
            <w:tcW w:w="13895" w:type="dxa"/>
            <w:tcBorders>
              <w:top w:val="single" w:color="auto" w:sz="4" w:space="0"/>
              <w:left w:val="nil"/>
              <w:bottom w:val="single" w:color="auto" w:sz="4" w:space="0"/>
              <w:right w:val="single" w:color="auto" w:sz="4" w:space="0"/>
            </w:tcBorders>
            <w:noWrap w:val="0"/>
            <w:vAlign w:val="center"/>
          </w:tcPr>
          <w:p w14:paraId="4EC21417">
            <w:pPr>
              <w:snapToGrid w:val="0"/>
              <w:spacing w:line="280" w:lineRule="exact"/>
              <w:jc w:val="left"/>
              <w:rPr>
                <w:rFonts w:hint="eastAsia" w:ascii="宋体" w:hAnsi="宋体" w:cs="宋体"/>
                <w:color w:val="000000"/>
                <w:kern w:val="0"/>
                <w:szCs w:val="21"/>
                <w:highlight w:val="none"/>
              </w:rPr>
            </w:pPr>
            <w:r>
              <w:rPr>
                <w:rFonts w:hint="eastAsia" w:ascii="宋体" w:hAnsi="宋体" w:cs="宋体"/>
                <w:b/>
                <w:bCs/>
                <w:color w:val="000000"/>
                <w:kern w:val="0"/>
                <w:szCs w:val="21"/>
                <w:highlight w:val="none"/>
                <w:u w:val="single"/>
              </w:rPr>
              <w:t>投标人具有有效期内的质量管理体系认证证书、环境管理体系认证证书、职业健康安全管理体系认证证书：具有以上</w:t>
            </w:r>
            <w:r>
              <w:rPr>
                <w:rFonts w:hint="eastAsia" w:ascii="宋体" w:hAnsi="宋体" w:cs="宋体"/>
                <w:b/>
                <w:bCs/>
                <w:color w:val="000000"/>
                <w:kern w:val="0"/>
                <w:szCs w:val="21"/>
                <w:highlight w:val="none"/>
                <w:u w:val="single"/>
                <w:lang w:val="en-US" w:eastAsia="zh-CN"/>
              </w:rPr>
              <w:t>3</w:t>
            </w:r>
            <w:r>
              <w:rPr>
                <w:rFonts w:hint="eastAsia" w:ascii="宋体" w:hAnsi="宋体" w:cs="宋体"/>
                <w:b/>
                <w:bCs/>
                <w:color w:val="000000"/>
                <w:kern w:val="0"/>
                <w:szCs w:val="21"/>
                <w:highlight w:val="none"/>
                <w:u w:val="single"/>
              </w:rPr>
              <w:t>项认证证书，得</w:t>
            </w:r>
            <w:r>
              <w:rPr>
                <w:rFonts w:hint="eastAsia" w:ascii="宋体" w:hAnsi="宋体" w:cs="宋体"/>
                <w:b/>
                <w:bCs/>
                <w:color w:val="000000"/>
                <w:kern w:val="0"/>
                <w:szCs w:val="21"/>
                <w:highlight w:val="none"/>
                <w:u w:val="single"/>
                <w:lang w:val="en-US" w:eastAsia="zh-CN"/>
              </w:rPr>
              <w:t>4</w:t>
            </w:r>
            <w:r>
              <w:rPr>
                <w:rFonts w:hint="eastAsia" w:ascii="宋体" w:hAnsi="宋体" w:cs="宋体"/>
                <w:b/>
                <w:bCs/>
                <w:color w:val="000000"/>
                <w:kern w:val="0"/>
                <w:szCs w:val="21"/>
                <w:highlight w:val="none"/>
                <w:u w:val="single"/>
              </w:rPr>
              <w:t>分；具有以上任意</w:t>
            </w:r>
            <w:r>
              <w:rPr>
                <w:rFonts w:hint="eastAsia" w:ascii="宋体" w:hAnsi="宋体" w:cs="宋体"/>
                <w:b/>
                <w:bCs/>
                <w:color w:val="000000"/>
                <w:kern w:val="0"/>
                <w:szCs w:val="21"/>
                <w:highlight w:val="none"/>
                <w:u w:val="single"/>
                <w:lang w:val="en-US" w:eastAsia="zh-CN"/>
              </w:rPr>
              <w:t>2</w:t>
            </w:r>
            <w:r>
              <w:rPr>
                <w:rFonts w:hint="eastAsia" w:ascii="宋体" w:hAnsi="宋体" w:cs="宋体"/>
                <w:b/>
                <w:bCs/>
                <w:color w:val="000000"/>
                <w:kern w:val="0"/>
                <w:szCs w:val="21"/>
                <w:highlight w:val="none"/>
                <w:u w:val="single"/>
              </w:rPr>
              <w:t>项认证证书，得</w:t>
            </w:r>
            <w:r>
              <w:rPr>
                <w:rFonts w:hint="eastAsia" w:ascii="宋体" w:hAnsi="宋体" w:cs="宋体"/>
                <w:b/>
                <w:bCs/>
                <w:color w:val="000000"/>
                <w:kern w:val="0"/>
                <w:szCs w:val="21"/>
                <w:highlight w:val="none"/>
                <w:u w:val="single"/>
                <w:lang w:val="en-US" w:eastAsia="zh-CN"/>
              </w:rPr>
              <w:t>2</w:t>
            </w:r>
            <w:r>
              <w:rPr>
                <w:rFonts w:hint="eastAsia" w:ascii="宋体" w:hAnsi="宋体" w:cs="宋体"/>
                <w:b/>
                <w:bCs/>
                <w:color w:val="000000"/>
                <w:kern w:val="0"/>
                <w:szCs w:val="21"/>
                <w:highlight w:val="none"/>
                <w:u w:val="single"/>
              </w:rPr>
              <w:t>分；具有以上任意1项认证证书，得</w:t>
            </w:r>
            <w:r>
              <w:rPr>
                <w:rFonts w:hint="eastAsia" w:ascii="宋体" w:hAnsi="宋体" w:cs="宋体"/>
                <w:b/>
                <w:bCs/>
                <w:color w:val="000000"/>
                <w:kern w:val="0"/>
                <w:szCs w:val="21"/>
                <w:highlight w:val="none"/>
                <w:u w:val="single"/>
                <w:lang w:val="en-US" w:eastAsia="zh-CN"/>
              </w:rPr>
              <w:t>1</w:t>
            </w:r>
            <w:r>
              <w:rPr>
                <w:rFonts w:hint="eastAsia" w:ascii="宋体" w:hAnsi="宋体" w:cs="宋体"/>
                <w:b/>
                <w:bCs/>
                <w:color w:val="000000"/>
                <w:kern w:val="0"/>
                <w:szCs w:val="21"/>
                <w:highlight w:val="none"/>
                <w:u w:val="single"/>
              </w:rPr>
              <w:t>分。</w:t>
            </w:r>
          </w:p>
          <w:p w14:paraId="1484CBC7">
            <w:pPr>
              <w:snapToGrid w:val="0"/>
              <w:spacing w:line="280" w:lineRule="exact"/>
              <w:jc w:val="left"/>
              <w:rPr>
                <w:rFonts w:hAnsi="宋体" w:cs="宋体"/>
                <w:color w:val="000000"/>
                <w:szCs w:val="21"/>
                <w:highlight w:val="none"/>
              </w:rPr>
            </w:pPr>
            <w:r>
              <w:rPr>
                <w:rFonts w:hint="eastAsia" w:ascii="宋体" w:hAnsi="宋体" w:cs="宋体"/>
                <w:color w:val="000000"/>
                <w:kern w:val="0"/>
                <w:szCs w:val="21"/>
                <w:highlight w:val="none"/>
              </w:rPr>
              <w:t>本项最高得</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分。</w:t>
            </w:r>
            <w:r>
              <w:rPr>
                <w:rFonts w:hint="eastAsia" w:ascii="宋体" w:hAnsi="宋体" w:cs="宋体"/>
                <w:color w:val="000000"/>
                <w:kern w:val="0"/>
                <w:szCs w:val="21"/>
                <w:highlight w:val="none"/>
                <w:shd w:val="clear" w:color="auto" w:fill="FFFFFF"/>
                <w:lang w:bidi="ar"/>
              </w:rPr>
              <w:t>不符合上述条件或未提供相关证明材料的不得分。</w:t>
            </w:r>
          </w:p>
        </w:tc>
      </w:tr>
      <w:tr w14:paraId="69ED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53" w:type="dxa"/>
            <w:gridSpan w:val="2"/>
            <w:tcBorders>
              <w:top w:val="single" w:color="auto" w:sz="4" w:space="0"/>
              <w:left w:val="single" w:color="auto" w:sz="4" w:space="0"/>
              <w:bottom w:val="single" w:color="auto" w:sz="4" w:space="0"/>
              <w:right w:val="single" w:color="auto" w:sz="4" w:space="0"/>
            </w:tcBorders>
            <w:noWrap w:val="0"/>
            <w:vAlign w:val="center"/>
          </w:tcPr>
          <w:p w14:paraId="0C2D72B7">
            <w:pPr>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442" w:type="dxa"/>
            <w:tcBorders>
              <w:top w:val="single" w:color="auto" w:sz="4" w:space="0"/>
              <w:left w:val="nil"/>
              <w:bottom w:val="single" w:color="auto" w:sz="4" w:space="0"/>
              <w:right w:val="single" w:color="auto" w:sz="4" w:space="0"/>
            </w:tcBorders>
            <w:noWrap w:val="0"/>
            <w:vAlign w:val="center"/>
          </w:tcPr>
          <w:p w14:paraId="33AB20D4">
            <w:pPr>
              <w:snapToGrid w:val="0"/>
              <w:jc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13895" w:type="dxa"/>
            <w:tcBorders>
              <w:top w:val="single" w:color="auto" w:sz="4" w:space="0"/>
              <w:left w:val="nil"/>
              <w:bottom w:val="single" w:color="auto" w:sz="4" w:space="0"/>
              <w:right w:val="single" w:color="auto" w:sz="4" w:space="0"/>
            </w:tcBorders>
            <w:noWrap w:val="0"/>
            <w:vAlign w:val="center"/>
          </w:tcPr>
          <w:p w14:paraId="1E633EF0">
            <w:pPr>
              <w:rPr>
                <w:rFonts w:ascii="宋体" w:hAnsi="宋体" w:cs="宋体"/>
                <w:color w:val="000000"/>
                <w:szCs w:val="21"/>
                <w:highlight w:val="none"/>
              </w:rPr>
            </w:pPr>
          </w:p>
        </w:tc>
      </w:tr>
    </w:tbl>
    <w:p w14:paraId="336AE399">
      <w:pPr>
        <w:snapToGrid w:val="0"/>
        <w:spacing w:line="360" w:lineRule="exact"/>
        <w:ind w:firstLine="422" w:firstLineChars="200"/>
        <w:rPr>
          <w:rFonts w:hint="eastAsia" w:ascii="宋体" w:hAnsi="宋体"/>
          <w:b/>
          <w:bCs/>
          <w:color w:val="000000"/>
          <w:szCs w:val="21"/>
          <w:highlight w:val="none"/>
        </w:rPr>
      </w:pPr>
    </w:p>
    <w:p w14:paraId="66596C3F">
      <w:pPr>
        <w:snapToGrid w:val="0"/>
        <w:spacing w:line="36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备注：</w:t>
      </w:r>
    </w:p>
    <w:p w14:paraId="5F46C234">
      <w:pPr>
        <w:snapToGrid w:val="0"/>
        <w:spacing w:line="360" w:lineRule="exact"/>
        <w:ind w:firstLine="422" w:firstLineChars="200"/>
        <w:rPr>
          <w:rFonts w:hint="default" w:ascii="宋体" w:hAnsi="宋体" w:eastAsia="宋体"/>
          <w:color w:val="000000"/>
          <w:szCs w:val="21"/>
          <w:highlight w:val="none"/>
          <w:lang w:val="en-US" w:eastAsia="zh-CN"/>
        </w:rPr>
      </w:pPr>
      <w:r>
        <w:rPr>
          <w:rFonts w:hint="eastAsia" w:ascii="宋体" w:hAnsi="宋体"/>
          <w:b/>
          <w:bCs/>
          <w:color w:val="000000"/>
          <w:szCs w:val="21"/>
          <w:highlight w:val="none"/>
          <w:lang w:val="en-US" w:eastAsia="zh-CN"/>
        </w:rPr>
        <w:t>1、业绩情况：</w:t>
      </w:r>
      <w:r>
        <w:rPr>
          <w:rFonts w:hint="eastAsia" w:ascii="宋体" w:hAnsi="宋体"/>
          <w:color w:val="000000"/>
          <w:szCs w:val="21"/>
          <w:highlight w:val="none"/>
          <w:lang w:val="en-US" w:eastAsia="zh-CN"/>
        </w:rPr>
        <w:t>（1）类似工程业绩指单项工程造价为500万元或以上的建筑工程施工总承包工程。（2）业绩取自广州市住建行业信用管理平台信息。投标人须提供项目名称、广州市住建行业信用管理平台内的项目业绩编号及类似工程业绩网页信息截图以供核对（业绩相关附件的上传件取自广州市住建行业信用管理平台，投标阶段可不重复提交），其他证明材料无效。（3）完成时间以业绩网页中竣工验收日期的信息为准，业绩金额以业绩网页中中标价的信息为准，若中标价没有显示金额的，以网页中合同价信息为准，建筑工程施工总承包类别以业绩网页中“施工总承包内容－房建”为准。不提供网页截图的业绩不予评审。（4）评标委员会对业绩的评审以投标截止时间在广州市住建行业信用管理平台内业绩网页信息为依据。</w:t>
      </w:r>
    </w:p>
    <w:p w14:paraId="3C44FDDB">
      <w:pPr>
        <w:snapToGrid w:val="0"/>
        <w:spacing w:line="360" w:lineRule="exact"/>
        <w:ind w:firstLine="422" w:firstLineChars="200"/>
        <w:rPr>
          <w:rFonts w:hint="default" w:ascii="宋体" w:hAnsi="宋体" w:eastAsia="宋体"/>
          <w:color w:val="000000"/>
          <w:szCs w:val="21"/>
          <w:highlight w:val="none"/>
          <w:lang w:val="en-US" w:eastAsia="zh-CN"/>
        </w:rPr>
      </w:pPr>
      <w:r>
        <w:rPr>
          <w:rFonts w:hint="eastAsia" w:ascii="宋体" w:hAnsi="宋体"/>
          <w:b/>
          <w:bCs/>
          <w:color w:val="000000"/>
          <w:szCs w:val="21"/>
          <w:highlight w:val="none"/>
          <w:lang w:val="en-US" w:eastAsia="zh-CN"/>
        </w:rPr>
        <w:t>2、业绩获奖情况：</w:t>
      </w:r>
      <w:r>
        <w:rPr>
          <w:rFonts w:hint="eastAsia" w:ascii="宋体" w:hAnsi="宋体"/>
          <w:color w:val="000000"/>
          <w:szCs w:val="21"/>
          <w:highlight w:val="none"/>
          <w:lang w:val="en-US" w:eastAsia="zh-CN"/>
        </w:rPr>
        <w:t>获奖可以取自广州市住建行业信用管理平台或提供获奖相关证明材料扫描件。获奖时间以获奖证书2021年1月1日之后的发证日期为准。其中，国家级工程质量奖项指的是中国建设工程鲁班奖、或国家优质工程金质奖、或国家优质工程银质奖、或国家优质工程奖、或中国土木工程詹天佑奖。省级、市级工程质量奖项指省级或市级行政主管部门或行业协会颁发的工程优质奖或优良样板工程奖或结构优质奖或优质结构奖等奖项，不含技术创新QC成果及技术应用。奖项只计算承建单位，不含参建单位。同一项目按最高级别奖项只计一次得分，其他非房建工程项目奖项，如路桥、铁路、水利、电力、化工、冶金、装饰、市政等项目奖项不参与计分。（1）取自广州市住建行业信用管理平台的，须提供获奖证书平台内上传件及该获奖业绩在广州市住建行业信用管理平台的网页信息截图（网页信息截图须为能清晰显示该业绩在广州市住建行业信用管理平台内的页面，即需包含“项目基本信息”、“工程规模”、“验收材料”、“奖项信息”、“工程对应的企业资质”等信息的页面），建筑工程类别以平台内网页中“施工总承包内容－房建”为准，平台内网页中“验收材料-验收日期”栏须显示日期以证明该工程已完成（不符合条件或无提交业绩相关证明材料不计分）。（2）取自投标人所提供的获奖证书等证明资料：投标人须提交获奖证书扫描件及该获奖工程在“全国建筑市场监管公共平台”的网页信息截图(网页信息截图须显示工程信息并具备施工许可证及竣工验收备案环节登记信息)。（不符合条件或无提交业绩相关证明材料不计分）。（3）投标人可以同时提交广州市住建行业信用管理平台中已竣工的房建类获奖业绩的网页信息截图和获奖材料上传件以供核对 或 投标人可以同时提交获奖业绩的获奖证书及该获奖工程在“全国建筑市场监管公共平台”的网页信息截图(网页信息截图须显示工程信息并具备施工许可证及竣工验收备案环节登记信息)以供核对。不符合上述条件或上述资料相关信息不一致或提供的资料不齐全的获奖业绩不予评审。评标委员会对获奖业绩的评审以投标人提供的完整的证明资料为依据。</w:t>
      </w:r>
    </w:p>
    <w:p w14:paraId="749244BE">
      <w:pPr>
        <w:snapToGrid w:val="0"/>
        <w:spacing w:line="360" w:lineRule="exact"/>
        <w:ind w:firstLine="422" w:firstLineChars="200"/>
        <w:rPr>
          <w:rFonts w:hint="eastAsia" w:ascii="宋体" w:hAnsi="宋体"/>
          <w:b/>
          <w:bCs/>
          <w:color w:val="000000"/>
          <w:szCs w:val="21"/>
          <w:highlight w:val="none"/>
          <w:lang w:val="en-US" w:eastAsia="zh-CN"/>
        </w:rPr>
      </w:pPr>
      <w:r>
        <w:rPr>
          <w:rFonts w:hint="eastAsia" w:ascii="宋体" w:hAnsi="宋体"/>
          <w:b/>
          <w:bCs/>
          <w:color w:val="000000"/>
          <w:szCs w:val="21"/>
          <w:highlight w:val="none"/>
          <w:lang w:val="en-US" w:eastAsia="zh-CN"/>
        </w:rPr>
        <w:t>3、工程研发能力：</w:t>
      </w:r>
    </w:p>
    <w:p w14:paraId="5C2496AC">
      <w:pPr>
        <w:snapToGrid w:val="0"/>
        <w:spacing w:line="360" w:lineRule="exact"/>
        <w:ind w:firstLine="420" w:firstLineChars="20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工法：获奖时间以工法证书颁发时间为准，投标人须提交由建设行政主管部门或行业协会或学会颁发的工法证书清晰扫描件。证书上需明确其为房建类工法，若无法明确，需提供当地行政主管部门或行业协会或学会出具的科学技术成果鉴定证书，并且在科学技术成果鉴定证书中需明确该工法的研究背景项目为房建类项目。获奖单位必须与投标单位名称一致，子、分公司获奖均不予计算。相同工法按最高级别奖项只计一次得分。由行业学会或行业协会颁发的奖项，行业学会或行业协会需在民政部门备案。不符合上述条件或未提供齐全上述资料的不得分。</w:t>
      </w:r>
    </w:p>
    <w:p w14:paraId="68A93005">
      <w:pPr>
        <w:snapToGrid w:val="0"/>
        <w:spacing w:line="36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2）科学技术奖项：需提供省级（或以上）人民政府或建设行政主管部门或协会或学会颁发的省级或以上科学技术进步奖或科学技术奖扫描件，时间以获奖证书时间为准。若颁发单位是行业协会或学会，须同时提供该颁发单位在“中国社会组织公共服务平台”网站(https://chinanpo.mca.gov.cn)登记的查询结果截图，否则该获奖证书不予认定。</w:t>
      </w:r>
      <w:r>
        <w:rPr>
          <w:rFonts w:hint="eastAsia" w:ascii="宋体" w:hAnsi="宋体" w:eastAsia="宋体" w:cs="宋体"/>
          <w:color w:val="000000"/>
          <w:highlight w:val="none"/>
          <w:lang w:bidi="ar-SA"/>
        </w:rPr>
        <w:t>证书上需明确其为房建类</w:t>
      </w:r>
      <w:r>
        <w:rPr>
          <w:rFonts w:hint="eastAsia" w:ascii="宋体" w:hAnsi="宋体" w:cs="宋体"/>
          <w:color w:val="000000"/>
          <w:highlight w:val="none"/>
          <w:lang w:val="en-US" w:eastAsia="zh-CN" w:bidi="ar-SA"/>
        </w:rPr>
        <w:t>科学技术奖</w:t>
      </w:r>
      <w:r>
        <w:rPr>
          <w:rFonts w:hint="eastAsia" w:ascii="宋体" w:hAnsi="宋体" w:eastAsia="宋体" w:cs="宋体"/>
          <w:color w:val="000000"/>
          <w:highlight w:val="none"/>
          <w:lang w:bidi="ar-SA"/>
        </w:rPr>
        <w:t>，若无法明确，需提供当地行政主管部门</w:t>
      </w:r>
      <w:r>
        <w:rPr>
          <w:rFonts w:hint="eastAsia" w:ascii="宋体" w:hAnsi="宋体" w:cs="宋体"/>
          <w:color w:val="000000"/>
          <w:szCs w:val="21"/>
          <w:highlight w:val="none"/>
          <w:lang w:bidi="ar-SA"/>
        </w:rPr>
        <w:t>或行业协会</w:t>
      </w:r>
      <w:r>
        <w:rPr>
          <w:color w:val="000000"/>
          <w:highlight w:val="none"/>
        </w:rPr>
        <w:t>或学会</w:t>
      </w:r>
      <w:r>
        <w:rPr>
          <w:rFonts w:hint="eastAsia" w:ascii="宋体" w:hAnsi="宋体" w:eastAsia="宋体" w:cs="宋体"/>
          <w:color w:val="000000"/>
          <w:highlight w:val="none"/>
          <w:lang w:bidi="ar-SA"/>
        </w:rPr>
        <w:t>出具的科学技术成果鉴定证书，并且在科学技术成果鉴定证书中需明确该</w:t>
      </w:r>
      <w:r>
        <w:rPr>
          <w:rFonts w:hint="eastAsia" w:ascii="宋体" w:hAnsi="宋体" w:cs="宋体"/>
          <w:color w:val="000000"/>
          <w:highlight w:val="none"/>
          <w:lang w:val="en-US" w:eastAsia="zh-CN" w:bidi="ar-SA"/>
        </w:rPr>
        <w:t>科学技术奖</w:t>
      </w:r>
      <w:r>
        <w:rPr>
          <w:rFonts w:hint="eastAsia" w:ascii="宋体" w:hAnsi="宋体" w:eastAsia="宋体" w:cs="宋体"/>
          <w:color w:val="000000"/>
          <w:highlight w:val="none"/>
          <w:lang w:bidi="ar-SA"/>
        </w:rPr>
        <w:t>的研究背景项目为房建类项目。</w:t>
      </w:r>
      <w:r>
        <w:rPr>
          <w:rFonts w:hint="eastAsia" w:ascii="宋体" w:hAnsi="宋体"/>
          <w:color w:val="000000"/>
          <w:szCs w:val="21"/>
          <w:highlight w:val="none"/>
          <w:lang w:val="en-US" w:eastAsia="zh-CN"/>
        </w:rPr>
        <w:t>以上要求提供的扫描件缺一不可，否则不予计分。</w:t>
      </w:r>
    </w:p>
    <w:p w14:paraId="4C720F6C">
      <w:pPr>
        <w:snapToGrid w:val="0"/>
        <w:spacing w:line="360" w:lineRule="exact"/>
        <w:ind w:firstLine="422" w:firstLineChars="200"/>
        <w:rPr>
          <w:rFonts w:hint="eastAsia" w:ascii="宋体" w:hAnsi="宋体"/>
          <w:b/>
          <w:bCs/>
          <w:color w:val="000000"/>
          <w:szCs w:val="21"/>
          <w:highlight w:val="none"/>
          <w:lang w:val="en-US" w:eastAsia="zh-CN"/>
        </w:rPr>
      </w:pPr>
      <w:r>
        <w:rPr>
          <w:rFonts w:hint="eastAsia" w:ascii="宋体" w:hAnsi="宋体"/>
          <w:b/>
          <w:bCs/>
          <w:color w:val="000000"/>
          <w:szCs w:val="21"/>
          <w:highlight w:val="none"/>
          <w:lang w:val="en-US" w:eastAsia="zh-CN"/>
        </w:rPr>
        <w:t>4、第三方评价：</w:t>
      </w:r>
    </w:p>
    <w:p w14:paraId="61D56D3C">
      <w:pPr>
        <w:snapToGrid w:val="0"/>
        <w:spacing w:line="360" w:lineRule="exact"/>
        <w:ind w:firstLine="420" w:firstLineChars="200"/>
        <w:rPr>
          <w:rFonts w:hint="eastAsia" w:ascii="宋体" w:hAnsi="宋体" w:eastAsia="宋体" w:cs="Times New Roman"/>
          <w:color w:val="000000"/>
          <w:szCs w:val="21"/>
          <w:highlight w:val="none"/>
          <w:u w:val="single"/>
          <w:lang w:val="en-US" w:eastAsia="zh-CN"/>
        </w:rPr>
      </w:pPr>
      <w:r>
        <w:rPr>
          <w:rFonts w:hint="eastAsia" w:ascii="宋体" w:hAnsi="宋体" w:eastAsia="宋体" w:cs="Times New Roman"/>
          <w:color w:val="000000"/>
          <w:szCs w:val="21"/>
          <w:highlight w:val="none"/>
          <w:u w:val="single"/>
          <w:lang w:val="en-US" w:eastAsia="zh-CN"/>
        </w:rPr>
        <w:t>（1）体系认证证书：仅计算投标人自身（不含投标人的子、分公司或区域公司）。需同时提供体系证书原件扫描件及在全国认证认可信息公共服务平台（网址：http://cx.cnca.cn/CertECloud/result/skipResultList）网站查询结果截图并加盖投标单位电子印</w:t>
      </w:r>
      <w:bookmarkStart w:id="0" w:name="_GoBack"/>
      <w:bookmarkEnd w:id="0"/>
      <w:r>
        <w:rPr>
          <w:rFonts w:hint="eastAsia" w:ascii="宋体" w:hAnsi="宋体" w:eastAsia="宋体" w:cs="Times New Roman"/>
          <w:color w:val="000000"/>
          <w:szCs w:val="21"/>
          <w:highlight w:val="none"/>
          <w:u w:val="single"/>
          <w:lang w:val="en-US" w:eastAsia="zh-CN"/>
        </w:rPr>
        <w:t>章，证书显示的管理体系认证项目须与网页信息一致，查询结果页面须显示证书的状态为“有效”，否则不得分。</w:t>
      </w:r>
    </w:p>
    <w:p w14:paraId="7C31D433">
      <w:pPr>
        <w:snapToGrid w:val="0"/>
        <w:spacing w:line="360" w:lineRule="exact"/>
        <w:ind w:firstLine="420" w:firstLineChars="200"/>
        <w:rPr>
          <w:rFonts w:hint="eastAsia" w:ascii="宋体" w:hAnsi="宋体"/>
          <w:color w:val="000000"/>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、投标人提供的网页信息截图内容必须清晰可辨，如因网页信息截图内容模糊导致评标时无法判断的，后果由投标人自负。</w:t>
      </w:r>
    </w:p>
    <w:p w14:paraId="46A4284A">
      <w:pPr>
        <w:snapToGrid w:val="0"/>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、投标人如果同时满足多个评分档次的，按所满足的最高档得分。</w:t>
      </w:r>
    </w:p>
    <w:p w14:paraId="59260F04">
      <w:pPr>
        <w:snapToGrid w:val="0"/>
        <w:spacing w:line="360" w:lineRule="exact"/>
        <w:ind w:firstLine="420" w:firstLineChars="200"/>
        <w:rPr>
          <w:rFonts w:ascii="宋体" w:hAnsi="宋体"/>
          <w:color w:val="000000"/>
          <w:szCs w:val="21"/>
          <w:highlight w:val="none"/>
        </w:rPr>
      </w:pPr>
      <w:r>
        <w:rPr>
          <w:rFonts w:hint="eastAsia" w:ascii="宋体" w:hAnsi="宋体"/>
          <w:color w:val="000000"/>
          <w:szCs w:val="21"/>
          <w:highlight w:val="none"/>
          <w:lang w:val="en-US" w:eastAsia="zh-CN"/>
        </w:rPr>
        <w:t>7</w:t>
      </w:r>
      <w:r>
        <w:rPr>
          <w:rFonts w:hint="eastAsia" w:ascii="宋体" w:hAnsi="宋体"/>
          <w:color w:val="000000"/>
          <w:szCs w:val="21"/>
          <w:highlight w:val="none"/>
        </w:rPr>
        <w:t>、所有评委的分数去掉一个最高分和一个最低分的算术平均值为投标人的最终得分。分数出现小数点，保留小数点后二位小数，第三位小数四舍五入</w:t>
      </w:r>
    </w:p>
    <w:p w14:paraId="4265CB41">
      <w:pPr>
        <w:rPr>
          <w:color w:val="000000"/>
          <w:highlight w:val="none"/>
        </w:rPr>
      </w:pPr>
      <w:r>
        <w:rPr>
          <w:rFonts w:hint="eastAsia" w:cs="宋体"/>
          <w:b/>
          <w:color w:val="000000"/>
          <w:szCs w:val="21"/>
          <w:highlight w:val="none"/>
        </w:rPr>
        <w:t>评委签名：                                                                              日期：</w:t>
      </w:r>
    </w:p>
    <w:p w14:paraId="1C23F4CE">
      <w:pPr>
        <w:pStyle w:val="5"/>
        <w:rPr>
          <w:rFonts w:hint="eastAsia" w:hAnsi="宋体" w:cs="宋体"/>
          <w:b/>
          <w:bCs/>
          <w:color w:val="000000"/>
          <w:szCs w:val="24"/>
          <w:highlight w:val="none"/>
        </w:rPr>
      </w:pPr>
    </w:p>
    <w:p w14:paraId="2EF24A78">
      <w:pPr>
        <w:pStyle w:val="5"/>
        <w:rPr>
          <w:rFonts w:hint="eastAsia" w:hAnsi="宋体" w:cs="宋体"/>
          <w:b/>
          <w:bCs/>
          <w:color w:val="000000"/>
          <w:szCs w:val="24"/>
          <w:highlight w:val="none"/>
        </w:rPr>
      </w:pPr>
    </w:p>
    <w:p w14:paraId="39BDD74B">
      <w:pPr>
        <w:pStyle w:val="8"/>
        <w:spacing w:after="0"/>
        <w:rPr>
          <w:rFonts w:hint="eastAsia" w:ascii="宋体" w:hAnsi="宋体"/>
          <w:color w:val="000000"/>
          <w:sz w:val="2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58399"/>
    <w:multiLevelType w:val="singleLevel"/>
    <w:tmpl w:val="4B05839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I0YTUxNjYyMmJmYjEyODkxNDI0ODk3NmJjYWUifQ=="/>
  </w:docVars>
  <w:rsids>
    <w:rsidRoot w:val="52DC3333"/>
    <w:rsid w:val="0002480F"/>
    <w:rsid w:val="02AD361F"/>
    <w:rsid w:val="0CA27F6D"/>
    <w:rsid w:val="10B6242E"/>
    <w:rsid w:val="11321BC4"/>
    <w:rsid w:val="154D2C11"/>
    <w:rsid w:val="167043B7"/>
    <w:rsid w:val="1BF82C2E"/>
    <w:rsid w:val="230742AC"/>
    <w:rsid w:val="24F078F7"/>
    <w:rsid w:val="2B086212"/>
    <w:rsid w:val="2C4D5D36"/>
    <w:rsid w:val="2D60110A"/>
    <w:rsid w:val="30D8269D"/>
    <w:rsid w:val="319F2B79"/>
    <w:rsid w:val="384D492A"/>
    <w:rsid w:val="3A4B274D"/>
    <w:rsid w:val="3F964E60"/>
    <w:rsid w:val="416A4FA6"/>
    <w:rsid w:val="4492209A"/>
    <w:rsid w:val="496948DD"/>
    <w:rsid w:val="4CAD4A99"/>
    <w:rsid w:val="4FFC0D0F"/>
    <w:rsid w:val="528C4AA4"/>
    <w:rsid w:val="52DC3333"/>
    <w:rsid w:val="55017721"/>
    <w:rsid w:val="5C484871"/>
    <w:rsid w:val="5C4C6B7A"/>
    <w:rsid w:val="5EF13A09"/>
    <w:rsid w:val="620F4EE2"/>
    <w:rsid w:val="64B13A1E"/>
    <w:rsid w:val="67D22140"/>
    <w:rsid w:val="688A0DFD"/>
    <w:rsid w:val="6A2B5478"/>
    <w:rsid w:val="6C4F0FDA"/>
    <w:rsid w:val="7B503B39"/>
    <w:rsid w:val="7C6B04AB"/>
    <w:rsid w:val="7CB225D2"/>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annotation text"/>
    <w:basedOn w:val="1"/>
    <w:next w:val="1"/>
    <w:unhideWhenUsed/>
    <w:qFormat/>
    <w:uiPriority w:val="0"/>
    <w:pPr>
      <w:jc w:val="left"/>
    </w:pPr>
  </w:style>
  <w:style w:type="paragraph" w:styleId="4">
    <w:name w:val="Body Text"/>
    <w:basedOn w:val="1"/>
    <w:next w:val="1"/>
    <w:qFormat/>
    <w:uiPriority w:val="0"/>
    <w:pPr>
      <w:spacing w:after="120"/>
    </w:pPr>
    <w:rPr>
      <w:kern w:val="0"/>
      <w:sz w:val="20"/>
      <w:szCs w:val="20"/>
    </w:rPr>
  </w:style>
  <w:style w:type="paragraph" w:styleId="5">
    <w:name w:val="Plain Text"/>
    <w:basedOn w:val="1"/>
    <w:next w:val="1"/>
    <w:qFormat/>
    <w:uiPriority w:val="0"/>
    <w:rPr>
      <w:rFonts w:ascii="宋体" w:hAnsi="Courier New" w:eastAsia="宋体"/>
      <w:kern w:val="0"/>
      <w:sz w:val="20"/>
      <w:szCs w:val="20"/>
    </w:rPr>
  </w:style>
  <w:style w:type="paragraph" w:styleId="6">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w:basedOn w:val="4"/>
    <w:qFormat/>
    <w:uiPriority w:val="0"/>
    <w:pPr>
      <w:ind w:firstLine="420"/>
    </w:pPr>
    <w:rPr>
      <w:sz w:val="24"/>
    </w:rPr>
  </w:style>
  <w:style w:type="character" w:styleId="11">
    <w:name w:val="Strong"/>
    <w:qFormat/>
    <w:uiPriority w:val="22"/>
    <w:rPr>
      <w:b/>
      <w:bCs/>
    </w:rPr>
  </w:style>
  <w:style w:type="character" w:styleId="12">
    <w:name w:val="page number"/>
    <w:qFormat/>
    <w:uiPriority w:val="0"/>
    <w:rPr>
      <w:rFonts w:cs="Times New Roman"/>
    </w:rPr>
  </w:style>
  <w:style w:type="character" w:customStyle="1" w:styleId="13">
    <w:name w:val="NormalCharacter"/>
    <w:qFormat/>
    <w:uiPriority w:val="0"/>
  </w:style>
  <w:style w:type="character" w:customStyle="1" w:styleId="14">
    <w:name w:val="cm-def"/>
    <w:basedOn w:val="10"/>
    <w:qFormat/>
    <w:uiPriority w:val="0"/>
    <w:rPr>
      <w:color w:val="FFFFFF"/>
    </w:rPr>
  </w:style>
  <w:style w:type="character" w:customStyle="1" w:styleId="15">
    <w:name w:val="active"/>
    <w:basedOn w:val="10"/>
    <w:qFormat/>
    <w:uiPriority w:val="0"/>
    <w:rPr>
      <w:color w:val="C0C4CC"/>
    </w:rPr>
  </w:style>
  <w:style w:type="character" w:customStyle="1" w:styleId="16">
    <w:name w:val="hover3"/>
    <w:basedOn w:val="10"/>
    <w:qFormat/>
    <w:uiPriority w:val="0"/>
    <w:rPr>
      <w:color w:val="3D89FA"/>
      <w:bdr w:val="single" w:color="3D89FA" w:sz="6" w:space="0"/>
    </w:rPr>
  </w:style>
  <w:style w:type="character" w:customStyle="1" w:styleId="17">
    <w:name w:val="hover4"/>
    <w:basedOn w:val="10"/>
    <w:qFormat/>
    <w:uiPriority w:val="0"/>
    <w:rPr>
      <w:color w:val="C0C4CC"/>
    </w:rPr>
  </w:style>
  <w:style w:type="character" w:customStyle="1" w:styleId="18">
    <w:name w:val="cm-comment2"/>
    <w:basedOn w:val="10"/>
    <w:qFormat/>
    <w:uiPriority w:val="0"/>
    <w:rPr>
      <w:i/>
      <w:iCs/>
      <w:color w:val="999999"/>
    </w:rPr>
  </w:style>
  <w:style w:type="character" w:customStyle="1" w:styleId="19">
    <w:name w:val="cm-string"/>
    <w:basedOn w:val="10"/>
    <w:qFormat/>
    <w:uiPriority w:val="0"/>
    <w:rPr>
      <w:color w:val="F08047"/>
    </w:rPr>
  </w:style>
  <w:style w:type="character" w:customStyle="1" w:styleId="20">
    <w:name w:val="cm-string1"/>
    <w:basedOn w:val="10"/>
    <w:qFormat/>
    <w:uiPriority w:val="0"/>
    <w:rPr>
      <w:color w:val="F08047"/>
      <w:bdr w:val="single" w:color="FFFFFF" w:sz="6" w:space="0"/>
    </w:rPr>
  </w:style>
  <w:style w:type="character" w:customStyle="1" w:styleId="21">
    <w:name w:val="cm-tag"/>
    <w:basedOn w:val="10"/>
    <w:qFormat/>
    <w:uiPriority w:val="0"/>
    <w:rPr>
      <w:color w:val="7BD827"/>
    </w:rPr>
  </w:style>
  <w:style w:type="character" w:customStyle="1" w:styleId="22">
    <w:name w:val="before1"/>
    <w:basedOn w:val="10"/>
    <w:qFormat/>
    <w:uiPriority w:val="0"/>
    <w:rPr>
      <w:bdr w:val="single" w:color="FFFFFF" w:sz="6" w:space="0"/>
    </w:rPr>
  </w:style>
  <w:style w:type="character" w:customStyle="1" w:styleId="23">
    <w:name w:val="cm-variable-22"/>
    <w:basedOn w:val="10"/>
    <w:qFormat/>
    <w:uiPriority w:val="0"/>
    <w:rPr>
      <w:color w:val="7BD827"/>
      <w:shd w:val="clear" w:fill="173047"/>
    </w:rPr>
  </w:style>
  <w:style w:type="character" w:customStyle="1" w:styleId="24">
    <w:name w:val="not([class*=suffix])"/>
    <w:basedOn w:val="10"/>
    <w:qFormat/>
    <w:uiPriority w:val="0"/>
  </w:style>
  <w:style w:type="character" w:customStyle="1" w:styleId="25">
    <w:name w:val="not([class*=suffix])1"/>
    <w:basedOn w:val="10"/>
    <w:qFormat/>
    <w:uiPriority w:val="0"/>
    <w:rPr>
      <w:sz w:val="19"/>
      <w:szCs w:val="19"/>
    </w:rPr>
  </w:style>
  <w:style w:type="character" w:customStyle="1" w:styleId="26">
    <w:name w:val="required[data-v-349f881b]"/>
    <w:basedOn w:val="10"/>
    <w:qFormat/>
    <w:uiPriority w:val="0"/>
  </w:style>
  <w:style w:type="character" w:customStyle="1" w:styleId="27">
    <w:name w:val="cm-atom"/>
    <w:basedOn w:val="10"/>
    <w:qFormat/>
    <w:uiPriority w:val="0"/>
    <w:rPr>
      <w:color w:val="F4C20B"/>
    </w:rPr>
  </w:style>
  <w:style w:type="character" w:customStyle="1" w:styleId="28">
    <w:name w:val="tip[data-v-43d8a6c5]"/>
    <w:basedOn w:val="10"/>
    <w:qFormat/>
    <w:uiPriority w:val="0"/>
    <w:rPr>
      <w:color w:val="0056B1"/>
    </w:rPr>
  </w:style>
  <w:style w:type="character" w:customStyle="1" w:styleId="29">
    <w:name w:val="cm-variable-3"/>
    <w:basedOn w:val="10"/>
    <w:qFormat/>
    <w:uiPriority w:val="0"/>
    <w:rPr>
      <w:color w:val="FFFFFF"/>
    </w:rPr>
  </w:style>
  <w:style w:type="character" w:customStyle="1" w:styleId="30">
    <w:name w:val="cm-meta"/>
    <w:basedOn w:val="10"/>
    <w:qFormat/>
    <w:uiPriority w:val="0"/>
    <w:rPr>
      <w:color w:val="FF00FF"/>
    </w:rPr>
  </w:style>
  <w:style w:type="character" w:customStyle="1" w:styleId="31">
    <w:name w:val="cm-special"/>
    <w:basedOn w:val="10"/>
    <w:qFormat/>
    <w:uiPriority w:val="0"/>
    <w:rPr>
      <w:color w:val="FF9D00"/>
    </w:rPr>
  </w:style>
  <w:style w:type="character" w:customStyle="1" w:styleId="32">
    <w:name w:val="cm-number"/>
    <w:basedOn w:val="10"/>
    <w:qFormat/>
    <w:uiPriority w:val="0"/>
    <w:rPr>
      <w:color w:val="82C6E0"/>
    </w:rPr>
  </w:style>
  <w:style w:type="character" w:customStyle="1" w:styleId="33">
    <w:name w:val="cm-attribute2"/>
    <w:basedOn w:val="10"/>
    <w:qFormat/>
    <w:uiPriority w:val="0"/>
    <w:rPr>
      <w:color w:val="82C6E0"/>
    </w:rPr>
  </w:style>
  <w:style w:type="character" w:customStyle="1" w:styleId="34">
    <w:name w:val="checkbox[data-v-ed3e49a4]"/>
    <w:basedOn w:val="10"/>
    <w:qFormat/>
    <w:uiPriority w:val="0"/>
    <w:rPr>
      <w:bdr w:val="single" w:color="DDDDDD" w:sz="6" w:space="0"/>
    </w:rPr>
  </w:style>
  <w:style w:type="character" w:customStyle="1" w:styleId="35">
    <w:name w:val="checkbox[data-v-25e63a0a]"/>
    <w:basedOn w:val="10"/>
    <w:qFormat/>
    <w:uiPriority w:val="0"/>
    <w:rPr>
      <w:bdr w:val="single" w:color="DDDDDD" w:sz="6" w:space="0"/>
    </w:rPr>
  </w:style>
  <w:style w:type="character" w:customStyle="1" w:styleId="36">
    <w:name w:val="num[data-v-3af68f61]"/>
    <w:basedOn w:val="10"/>
    <w:qFormat/>
    <w:uiPriority w:val="0"/>
    <w:rPr>
      <w:color w:val="0052CC"/>
      <w:sz w:val="30"/>
      <w:szCs w:val="30"/>
    </w:rPr>
  </w:style>
  <w:style w:type="character" w:customStyle="1" w:styleId="37">
    <w:name w:val="num[data-v-3af68f61]1"/>
    <w:basedOn w:val="10"/>
    <w:qFormat/>
    <w:uiPriority w:val="0"/>
    <w:rPr>
      <w:color w:val="95E68A"/>
      <w:sz w:val="30"/>
      <w:szCs w:val="30"/>
    </w:rPr>
  </w:style>
  <w:style w:type="character" w:customStyle="1" w:styleId="38">
    <w:name w:val="num[data-v-3af68f61]2"/>
    <w:basedOn w:val="10"/>
    <w:qFormat/>
    <w:uiPriority w:val="0"/>
    <w:rPr>
      <w:color w:val="54A8FF"/>
      <w:sz w:val="30"/>
      <w:szCs w:val="30"/>
    </w:rPr>
  </w:style>
  <w:style w:type="character" w:customStyle="1" w:styleId="39">
    <w:name w:val="cm-keyword"/>
    <w:basedOn w:val="10"/>
    <w:qFormat/>
    <w:uiPriority w:val="0"/>
    <w:rPr>
      <w:color w:val="FF00FF"/>
    </w:rPr>
  </w:style>
  <w:style w:type="character" w:customStyle="1" w:styleId="40">
    <w:name w:val="codemirror-nonmatchingbracket"/>
    <w:basedOn w:val="10"/>
    <w:qFormat/>
    <w:uiPriority w:val="0"/>
    <w:rPr>
      <w:color w:val="AA2222"/>
    </w:rPr>
  </w:style>
  <w:style w:type="character" w:customStyle="1" w:styleId="41">
    <w:name w:val="codemirror-selectedtext"/>
    <w:basedOn w:val="10"/>
    <w:qFormat/>
    <w:uiPriority w:val="0"/>
  </w:style>
  <w:style w:type="character" w:customStyle="1" w:styleId="42">
    <w:name w:val="cm-builtin"/>
    <w:basedOn w:val="10"/>
    <w:qFormat/>
    <w:uiPriority w:val="0"/>
    <w:rPr>
      <w:color w:val="FF9D00"/>
    </w:rPr>
  </w:style>
  <w:style w:type="character" w:customStyle="1" w:styleId="43">
    <w:name w:val="cm-type2"/>
    <w:basedOn w:val="10"/>
    <w:qFormat/>
    <w:uiPriority w:val="0"/>
    <w:rPr>
      <w:color w:val="FFFFFF"/>
    </w:rPr>
  </w:style>
  <w:style w:type="character" w:customStyle="1" w:styleId="44">
    <w:name w:val="codemirror-matchingbracket"/>
    <w:basedOn w:val="10"/>
    <w:qFormat/>
    <w:uiPriority w:val="0"/>
  </w:style>
  <w:style w:type="character" w:customStyle="1" w:styleId="45">
    <w:name w:val="codemirror-matchingbracket1"/>
    <w:basedOn w:val="10"/>
    <w:qFormat/>
    <w:uiPriority w:val="0"/>
    <w:rPr>
      <w:color w:val="00BB00"/>
    </w:rPr>
  </w:style>
  <w:style w:type="character" w:customStyle="1" w:styleId="46">
    <w:name w:val="cm-bracket2"/>
    <w:basedOn w:val="10"/>
    <w:qFormat/>
    <w:uiPriority w:val="0"/>
    <w:rPr>
      <w:color w:val="FF00FF"/>
    </w:rPr>
  </w:style>
  <w:style w:type="character" w:customStyle="1" w:styleId="47">
    <w:name w:val="cm-link"/>
    <w:basedOn w:val="10"/>
    <w:qFormat/>
    <w:uiPriority w:val="0"/>
    <w:rPr>
      <w:color w:val="F4C20B"/>
    </w:rPr>
  </w:style>
  <w:style w:type="character" w:customStyle="1" w:styleId="48">
    <w:name w:val="cm-error"/>
    <w:basedOn w:val="10"/>
    <w:qFormat/>
    <w:uiPriority w:val="0"/>
    <w:rPr>
      <w:color w:val="AF2018"/>
    </w:rPr>
  </w:style>
  <w:style w:type="character" w:customStyle="1" w:styleId="49">
    <w:name w:val="underline[data-v-caf4047c]"/>
    <w:basedOn w:val="10"/>
    <w:qFormat/>
    <w:uiPriority w:val="0"/>
  </w:style>
  <w:style w:type="character" w:customStyle="1" w:styleId="50">
    <w:name w:val="underline[data-v-92a6c0b6]"/>
    <w:basedOn w:val="10"/>
    <w:qFormat/>
    <w:uiPriority w:val="0"/>
  </w:style>
  <w:style w:type="character" w:customStyle="1" w:styleId="51">
    <w:name w:val="tabname[data-v-caf4047c]"/>
    <w:basedOn w:val="10"/>
    <w:qFormat/>
    <w:uiPriority w:val="0"/>
  </w:style>
  <w:style w:type="character" w:customStyle="1" w:styleId="52">
    <w:name w:val="tabname[data-v-92a6c0b6]"/>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4</Pages>
  <Words>3372</Words>
  <Characters>3530</Characters>
  <DocSecurity>0</DocSecurity>
  <Lines>0</Lines>
  <Paragraphs>0</Paragraphs>
  <ScaleCrop>false</ScaleCrop>
  <LinksUpToDate>false</LinksUpToDate>
  <CharactersWithSpaces>3614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2025-06-17T01:14:00Z</cp:lastPrinted>
  <dcterms:created xsi:type="dcterms:W3CDTF">2025-05-16T08:43:00Z</dcterms:created>
  <dcterms:modified xsi:type="dcterms:W3CDTF">2025-07-17T07:01:23Z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E1735CC2BEF549298C5E2930A75589F6_13</vt:lpwstr>
  </property>
  <property fmtid="{D5CDD505-2E9C-101B-9397-08002B2CF9AE}" pid="4" name="KSOTemplateDocerSaveRecord">
    <vt:lpwstr>eyJoZGlkIjoiNTg3YzI1NGVlMWM0Y2JlNmJkMmM0MDg0YmQ2NjkwODEiLCJ1c2VySWQiOiI0MzgxODgzMzQifQ==</vt:lpwstr>
  </property>
</Properties>
</file>