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psCustomData="http://www.wps.cn/officeDocument/2013/wpsCustomData" mc:Ignorable="w14 w15 wp14">
  <w:body>
    <w:p>
      <w:pPr>
        <w:pStyle w:val="2"/>
        <w:bidi w:val="0"/>
        <w:jc w:val="center"/>
        <w:rPr>
          <w:rFonts w:hint="eastAsia"/>
        </w:rPr>
      </w:pPr>
      <w:r>
        <w:rPr>
          <w:rFonts w:hint="eastAsia"/>
        </w:rPr>
        <w:t>广东省工程建设项目</w:t>
      </w:r>
      <w:bookmarkStart w:id="0" w:name="_GoBack"/>
      <w:bookmarkEnd w:id="0"/>
      <w:r>
        <w:rPr>
          <w:rFonts w:hint="eastAsia"/>
        </w:rPr>
        <w:t>招标公告</w:t>
      </w:r>
    </w:p>
    <w:tbl>
      <w:tblPr>
        <w:tblStyle w:val="5"/>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top w:type="dxa" w:w="0"/>
          <w:left w:type="dxa" w:w="108"/>
          <w:bottom w:type="dxa" w:w="0"/>
          <w:right w:type="dxa" w:w="108"/>
        </w:tblCellMar>
      </w:tblPr>
      <w:tblGrid>
        <w:gridCol w:w="1861"/>
        <w:gridCol w:w="1547"/>
        <w:gridCol w:w="118"/>
        <w:gridCol w:w="1473"/>
        <w:gridCol w:w="1737"/>
        <w:gridCol w:w="1786"/>
      </w:tblGrid>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394"/>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投资项目代码</w:t>
            </w:r>
          </w:p>
        </w:tc>
        <w:tc>
          <w:tcPr>
            <w:tcW w:type="dxa" w:w="6661"/>
            <w:gridSpan w:val="5"/>
            <w:vAlign w:val="center"/>
          </w:tcPr>
          <w:p>
            <w:pPr>
              <w:jc w:val="center"/>
              <w:rPr>
                <w:rFonts w:ascii="宋体" w:cs="宋体" w:eastAsia="宋体" w:hAnsi="宋体" w:hint="default"/>
                <w:sz w:val="18"/>
                <w:szCs w:val="18"/>
                <w:vertAlign w:val="baseline"/>
                <w:lang w:eastAsia="zh-CN" w:val="en-US"/>
              </w:rPr>
            </w:pPr>
            <w:r>
              <w:rPr>
                <w:rFonts w:ascii="宋体" w:cs="宋体" w:eastAsia="宋体" w:hAnsi="宋体" w:hint="eastAsia"/>
                <w:sz w:val="18"/>
                <w:szCs w:val="18"/>
                <w:vertAlign w:val="baseline"/>
                <w:lang w:eastAsia="zh-CN" w:val="en-US"/>
              </w:rPr>
              <w:t>2020-440883-48-01-090120</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371"/>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投资项目名称</w:t>
            </w:r>
          </w:p>
        </w:tc>
        <w:tc>
          <w:tcPr>
            <w:tcW w:type="dxa" w:w="6661"/>
            <w:gridSpan w:val="5"/>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国道G228线吴川穿城段改线工程</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383"/>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招标项目名称</w:t>
            </w:r>
          </w:p>
        </w:tc>
        <w:tc>
          <w:tcPr>
            <w:tcW w:type="dxa" w:w="6661"/>
            <w:gridSpan w:val="5"/>
            <w:vAlign w:val="center"/>
          </w:tcPr>
          <w:p>
            <w:pPr>
              <w:jc w:val="center"/>
              <w:rPr>
                <w:rFonts w:ascii="宋体" w:cs="宋体" w:eastAsia="宋体" w:hAnsi="宋体" w:hint="default"/>
                <w:sz w:val="18"/>
                <w:szCs w:val="18"/>
                <w:vertAlign w:val="baseline"/>
                <w:lang w:eastAsia="zh-CN" w:val="en-US"/>
              </w:rPr>
            </w:pPr>
            <w:r>
              <w:rPr>
                <w:rFonts w:ascii="宋体" w:cs="宋体" w:eastAsia="宋体" w:hAnsi="宋体" w:hint="eastAsia"/>
                <w:sz w:val="18"/>
                <w:szCs w:val="18"/>
                <w:vertAlign w:val="baseline"/>
                <w:lang w:eastAsia="zh-CN" w:val="en-US"/>
              </w:rPr>
              <w:t>国道G228线吴川穿城段改线工程勘察设计</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929"/>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标段（包）名称</w:t>
            </w:r>
          </w:p>
        </w:tc>
        <w:tc>
          <w:tcPr>
            <w:tcW w:type="dxa" w:w="1547"/>
            <w:vAlign w:val="center"/>
          </w:tcPr>
          <w:p>
            <w:pPr>
              <w:jc w:val="center"/>
              <w:rPr>
                <w:rFonts w:ascii="宋体" w:cs="宋体" w:eastAsia="宋体" w:hAnsi="宋体" w:hint="default"/>
                <w:sz w:val="18"/>
                <w:szCs w:val="18"/>
                <w:vertAlign w:val="baseline"/>
                <w:lang w:eastAsia="zh-CN" w:val="en-US"/>
              </w:rPr>
            </w:pPr>
            <w:r>
              <w:rPr>
                <w:rFonts w:ascii="宋体" w:cs="宋体" w:eastAsia="宋体" w:hAnsi="宋体" w:hint="eastAsia"/>
                <w:sz w:val="18"/>
                <w:szCs w:val="18"/>
                <w:vertAlign w:val="baseline"/>
                <w:lang w:eastAsia="zh-CN" w:val="en-US"/>
              </w:rPr>
              <w:t>国道G228线吴川穿城段改线工程勘察设计</w:t>
            </w:r>
          </w:p>
        </w:tc>
        <w:tc>
          <w:tcPr>
            <w:tcW w:type="dxa" w:w="1591"/>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rPr>
              <w:t>公告性质</w:t>
            </w:r>
          </w:p>
        </w:tc>
        <w:tc>
          <w:tcPr>
            <w:tcW w:type="dxa" w:w="3523"/>
            <w:gridSpan w:val="2"/>
            <w:vAlign w:val="center"/>
          </w:tcPr>
          <w:p>
            <w:pPr>
              <w:jc w:val="center"/>
              <w:rPr>
                <w:rFonts w:ascii="宋体" w:cs="宋体" w:eastAsia="宋体" w:hAnsi="宋体" w:hint="eastAsia"/>
                <w:sz w:val="18"/>
                <w:szCs w:val="18"/>
                <w:vertAlign w:val="baseline"/>
                <w:lang w:eastAsia="zh-CN" w:val="en-US"/>
              </w:rPr>
            </w:pPr>
            <w:r>
              <w:rPr>
                <w:rFonts w:ascii="宋体" w:cs="宋体" w:eastAsia="宋体" w:hAnsi="宋体" w:hint="eastAsia"/>
                <w:sz w:val="18"/>
                <w:szCs w:val="18"/>
                <w:vertAlign w:val="baseline"/>
                <w:lang w:eastAsia="zh-CN" w:val="en-US"/>
              </w:rPr>
              <w:t>正常</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537"/>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资格审查方式</w:t>
            </w:r>
          </w:p>
        </w:tc>
        <w:tc>
          <w:tcPr>
            <w:tcW w:type="dxa" w:w="6661"/>
            <w:gridSpan w:val="5"/>
            <w:vAlign w:val="center"/>
          </w:tcPr>
          <w:p>
            <w:pPr>
              <w:jc w:val="center"/>
              <w:rPr>
                <w:rFonts w:ascii="宋体" w:cs="宋体" w:eastAsia="宋体" w:hAnsi="宋体" w:hint="default"/>
                <w:sz w:val="18"/>
                <w:szCs w:val="18"/>
                <w:vertAlign w:val="baseline"/>
                <w:lang w:eastAsia="zh-CN" w:val="en-US"/>
              </w:rPr>
            </w:pPr>
            <w:r>
              <w:rPr>
                <w:rFonts w:ascii="宋体" w:cs="宋体" w:eastAsia="宋体" w:hAnsi="宋体" w:hint="eastAsia"/>
                <w:sz w:val="18"/>
                <w:szCs w:val="18"/>
                <w:vertAlign w:val="baseline"/>
                <w:lang w:eastAsia="zh-CN" w:val="en-US"/>
              </w:rPr>
              <w:t>资格后审</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417"/>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招标项目实施</w:t>
            </w:r>
          </w:p>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(交货)地点</w:t>
            </w:r>
          </w:p>
        </w:tc>
        <w:tc>
          <w:tcPr>
            <w:tcW w:type="dxa" w:w="6661"/>
            <w:gridSpan w:val="5"/>
            <w:vAlign w:val="center"/>
          </w:tcPr>
          <w:p>
            <w:pPr>
              <w:jc w:val="center"/>
              <w:rPr>
                <w:rFonts w:ascii="宋体" w:cs="宋体" w:eastAsia="宋体" w:hAnsi="宋体" w:hint="default"/>
                <w:sz w:val="18"/>
                <w:szCs w:val="18"/>
                <w:vertAlign w:val="baseline"/>
                <w:lang w:eastAsia="zh-CN" w:val="en-US"/>
              </w:rPr>
            </w:pPr>
            <w:r>
              <w:rPr>
                <w:rFonts w:ascii="宋体" w:cs="宋体" w:eastAsia="宋体" w:hAnsi="宋体" w:hint="eastAsia"/>
                <w:sz w:val="18"/>
                <w:szCs w:val="18"/>
                <w:vertAlign w:val="baseline"/>
                <w:lang w:eastAsia="zh-CN" w:val="en-US"/>
              </w:rPr>
              <w:t>广东省湛江市吴川市</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360"/>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资金来源</w:t>
            </w:r>
          </w:p>
        </w:tc>
        <w:tc>
          <w:tcPr>
            <w:tcW w:type="dxa" w:w="1547"/>
            <w:vAlign w:val="center"/>
          </w:tcPr>
          <w:p>
            <w:pPr>
              <w:jc w:val="center"/>
              <w:rPr>
                <w:rFonts w:ascii="宋体" w:cs="宋体" w:eastAsia="宋体" w:hAnsi="宋体" w:hint="default"/>
                <w:sz w:val="18"/>
                <w:szCs w:val="18"/>
                <w:vertAlign w:val="baseline"/>
                <w:lang w:eastAsia="zh-CN" w:val="en-US"/>
              </w:rPr>
            </w:pPr>
            <w:r>
              <w:rPr>
                <w:rFonts w:ascii="宋体" w:cs="宋体" w:eastAsia="宋体" w:hAnsi="宋体" w:hint="eastAsia"/>
                <w:sz w:val="18"/>
                <w:szCs w:val="18"/>
                <w:vertAlign w:val="baseline"/>
                <w:lang w:eastAsia="zh-CN" w:val="en-US"/>
              </w:rPr>
              <w:t>省重大项目前期工作经费外，其余资金由湛江、吴川市两级财政统筹安排</w:t>
            </w:r>
          </w:p>
        </w:tc>
        <w:tc>
          <w:tcPr>
            <w:tcW w:type="dxa" w:w="1591"/>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b/>
                <w:bCs/>
                <w:sz w:val="18"/>
                <w:szCs w:val="18"/>
                <w:vertAlign w:val="baseline"/>
              </w:rPr>
              <w:t>资金来源构成</w:t>
            </w:r>
          </w:p>
        </w:tc>
        <w:tc>
          <w:tcPr>
            <w:tcW w:type="dxa" w:w="3523"/>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100%</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746"/>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招标范围及规模</w:t>
            </w:r>
          </w:p>
        </w:tc>
        <w:tc>
          <w:tcPr>
            <w:tcW w:type="dxa" w:w="6661"/>
            <w:gridSpan w:val="5"/>
            <w:vAlign w:val="top"/>
          </w:tcPr>
          <w:p>
            <w:pPr>
              <w:jc w:val="both"/>
              <w:rPr>
                <w:sz w:val="18"/>
              </w:rPr>
            </w:pPr>
            <w:r>
              <w:rPr>
                <w:rFonts w:ascii="宋体" w:hAnsi="宋体" w:cs="宋体" w:eastAsia="宋体"/>
                <w:color w:val=""/>
                <w:sz w:val="18"/>
                <w:u w:val="none"/>
              </w:rPr>
              <w:t xml:space="preserve">    2.1 建设地点、规模：</w:t>
            </w:r>
          </w:p>
          <w:p>
            <w:pPr>
              <w:jc w:val="both"/>
              <w:rPr>
                <w:sz w:val="18"/>
              </w:rPr>
            </w:pPr>
            <w:r>
              <w:rPr>
                <w:rFonts w:ascii="宋体" w:hAnsi="宋体" w:cs="宋体" w:eastAsia="宋体"/>
                <w:color w:val=""/>
                <w:sz w:val="18"/>
                <w:u w:val="none"/>
              </w:rPr>
              <w:t xml:space="preserve">    本项目位于吴川市，路线起于覃巴镇走马岭东侧与鼎龙湾大道交叉处（K6431+230），自东向西途经六洋村、吉兆湾、沙田村、袂花江、塘尾、吴阳镇等地，终于吴阳镇成秀村东南侧（K6457+130），利用同步规划建设的机场至吴阳快速路先行段接回现有国道G228线。</w:t>
            </w:r>
          </w:p>
          <w:p>
            <w:pPr>
              <w:jc w:val="both"/>
              <w:rPr>
                <w:sz w:val="18"/>
              </w:rPr>
            </w:pPr>
            <w:r>
              <w:rPr>
                <w:rFonts w:ascii="宋体" w:hAnsi="宋体" w:cs="宋体" w:eastAsia="宋体"/>
                <w:color w:val=""/>
                <w:sz w:val="18"/>
                <w:u w:val="none"/>
              </w:rPr>
              <w:t xml:space="preserve">    路线全长25.9km，共设置桥梁3404m/12座，其中特大桥1096m/1座、大桥2113m/8座，中桥195m/3座，设涵洞82道；半菱形互通立交1处，平面交叉20处。</w:t>
            </w:r>
          </w:p>
          <w:p>
            <w:pPr>
              <w:jc w:val="both"/>
              <w:rPr>
                <w:sz w:val="18"/>
              </w:rPr>
            </w:pPr>
            <w:r>
              <w:rPr>
                <w:rFonts w:ascii="宋体" w:hAnsi="宋体" w:cs="宋体" w:eastAsia="宋体"/>
                <w:color w:val=""/>
                <w:sz w:val="18"/>
                <w:u w:val="none"/>
              </w:rPr>
              <w:t xml:space="preserve">    项目估算总投资金额15.89亿元，其中建安费约10.555亿元。</w:t>
            </w:r>
          </w:p>
          <w:p>
            <w:pPr>
              <w:jc w:val="both"/>
              <w:rPr>
                <w:sz w:val="18"/>
              </w:rPr>
            </w:pPr>
            <w:r>
              <w:rPr>
                <w:rFonts w:ascii="宋体" w:hAnsi="宋体" w:cs="宋体" w:eastAsia="宋体"/>
                <w:color w:val=""/>
                <w:sz w:val="18"/>
                <w:u w:val="none"/>
              </w:rPr>
              <w:t xml:space="preserve">    技术标准：采用双向四车道一级公路技术标准，设计速度80公里/小时，路基宽25.5m，桥梁宽25m，汽车荷载为公路-Ⅰ级，路面类型采用沥青混凝土路面。</w:t>
            </w:r>
          </w:p>
          <w:p>
            <w:pPr>
              <w:jc w:val="both"/>
              <w:rPr>
                <w:sz w:val="18"/>
              </w:rPr>
            </w:pPr>
            <w:r>
              <w:rPr>
                <w:rFonts w:ascii="宋体" w:hAnsi="宋体" w:cs="宋体" w:eastAsia="宋体"/>
                <w:color w:val=""/>
                <w:sz w:val="18"/>
                <w:u w:val="none"/>
              </w:rPr>
              <w:t xml:space="preserve">    2.2 勘察设计服务期限（具体详见专用合同条款8.1.3款）：</w:t>
            </w:r>
          </w:p>
          <w:p>
            <w:pPr>
              <w:jc w:val="both"/>
              <w:rPr>
                <w:sz w:val="18"/>
              </w:rPr>
            </w:pPr>
            <w:r>
              <w:rPr>
                <w:rFonts w:ascii="宋体" w:hAnsi="宋体" w:cs="宋体" w:eastAsia="宋体"/>
                <w:color w:val=""/>
                <w:sz w:val="18"/>
                <w:u w:val="none"/>
              </w:rPr>
              <w:t xml:space="preserve">    2.2.1合同签订后30个工作日内，通过初测、初勘外业验收并提交初测、初勘报告送审稿；</w:t>
            </w:r>
          </w:p>
          <w:p>
            <w:pPr>
              <w:jc w:val="both"/>
              <w:rPr>
                <w:sz w:val="18"/>
              </w:rPr>
            </w:pPr>
            <w:r>
              <w:rPr>
                <w:rFonts w:ascii="宋体" w:hAnsi="宋体" w:cs="宋体" w:eastAsia="宋体"/>
                <w:color w:val=""/>
                <w:sz w:val="18"/>
                <w:u w:val="none"/>
              </w:rPr>
              <w:t xml:space="preserve">    2.2.2初测、初勘外业验收后90个工作日内，提交初步设计文件送审稿；</w:t>
            </w:r>
          </w:p>
          <w:p>
            <w:pPr>
              <w:jc w:val="both"/>
              <w:rPr>
                <w:sz w:val="18"/>
              </w:rPr>
            </w:pPr>
            <w:r>
              <w:rPr>
                <w:rFonts w:ascii="宋体" w:hAnsi="宋体" w:cs="宋体" w:eastAsia="宋体"/>
                <w:color w:val=""/>
                <w:sz w:val="18"/>
                <w:u w:val="none"/>
              </w:rPr>
              <w:t xml:space="preserve">    2.2.3初步设计文件批复后30个工作日内，通过详勘、定测外业验收并提交详勘、定测报告送审稿；</w:t>
            </w:r>
          </w:p>
          <w:p>
            <w:pPr>
              <w:jc w:val="both"/>
              <w:rPr>
                <w:sz w:val="18"/>
              </w:rPr>
            </w:pPr>
            <w:r>
              <w:rPr>
                <w:rFonts w:ascii="宋体" w:hAnsi="宋体" w:cs="宋体" w:eastAsia="宋体"/>
                <w:color w:val=""/>
                <w:sz w:val="18"/>
                <w:u w:val="none"/>
              </w:rPr>
              <w:t xml:space="preserve">    2.2.4详勘、定测外业验收后60个工作日内，提交主体土建工程（包括桥梁工程）施工图设计文件送审稿；其余工程的施工图设计文件根据工程项目进展及发包人要求进行提供；</w:t>
            </w:r>
          </w:p>
          <w:p>
            <w:pPr>
              <w:jc w:val="both"/>
              <w:rPr>
                <w:sz w:val="18"/>
              </w:rPr>
            </w:pPr>
            <w:r>
              <w:rPr>
                <w:rFonts w:ascii="宋体" w:hAnsi="宋体" w:cs="宋体" w:eastAsia="宋体"/>
                <w:color w:val=""/>
                <w:sz w:val="18"/>
                <w:u w:val="none"/>
              </w:rPr>
              <w:t xml:space="preserve">    2.2.5施工现场配合服务：从项目开工至项目竣工验收，施工期暂定3年；缺陷责任期2年。</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666"/>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招标内容</w:t>
            </w:r>
          </w:p>
        </w:tc>
        <w:tc>
          <w:tcPr>
            <w:tcW w:type="dxa" w:w="6661"/>
            <w:gridSpan w:val="5"/>
            <w:vAlign w:val="top"/>
          </w:tcPr>
          <w:p>
            <w:pPr>
              <w:jc w:val="both"/>
              <w:rPr>
                <w:sz w:val="18"/>
              </w:rPr>
            </w:pPr>
            <w:r>
              <w:rPr>
                <w:rFonts w:ascii="宋体" w:hAnsi="宋体" w:cs="宋体" w:eastAsia="宋体"/>
                <w:color w:val=""/>
                <w:sz w:val="18"/>
                <w:u w:val="none"/>
              </w:rPr>
              <w:t>1.里程范围内的路线、路基、路面、桥涵、路线交叉的勘察设计；</w:t>
            </w:r>
          </w:p>
          <w:p>
            <w:pPr>
              <w:jc w:val="both"/>
              <w:rPr>
                <w:sz w:val="18"/>
              </w:rPr>
            </w:pPr>
            <w:r>
              <w:rPr>
                <w:rFonts w:ascii="宋体" w:hAnsi="宋体" w:cs="宋体" w:eastAsia="宋体"/>
                <w:color w:val=""/>
                <w:sz w:val="18"/>
                <w:u w:val="none"/>
              </w:rPr>
              <w:t>2.里程范围内的沿线设施（含交通安全设施、声屏障等降噪音环保设计、管理、服务、养护、房屋建筑及相应的绿化景观工程）的勘察设计。</w:t>
            </w:r>
          </w:p>
          <w:p>
            <w:pPr>
              <w:jc w:val="both"/>
              <w:rPr>
                <w:sz w:val="18"/>
              </w:rPr>
            </w:pPr>
            <w:r>
              <w:rPr>
                <w:rFonts w:ascii="宋体" w:hAnsi="宋体" w:cs="宋体" w:eastAsia="宋体"/>
                <w:color w:val=""/>
                <w:sz w:val="18"/>
                <w:u w:val="none"/>
              </w:rPr>
              <w:t>上述勘察设计包括初勘、初测、初步设计、详勘、定测、施工图设计、工程预算和工程量清单（含清单预算）及施工专用技术规范文件编制、交通组织措施方案设计、征地拆迁图编绘、施工配合服务及后续服务工作等。</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416"/>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工期（交货期）</w:t>
            </w:r>
          </w:p>
        </w:tc>
        <w:tc>
          <w:tcPr>
            <w:tcW w:type="dxa" w:w="6661"/>
            <w:gridSpan w:val="5"/>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符合专用合同条款第8.1.3款的规定</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416"/>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最高投标限价</w:t>
            </w:r>
          </w:p>
        </w:tc>
        <w:tc>
          <w:tcPr>
            <w:tcW w:type="dxa" w:w="6661"/>
            <w:gridSpan w:val="5"/>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最高投标限价17480000元（其中勘察费最高投标限价2970000元，设计费最高投标限价14510000元）。</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416"/>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是否接受联合体投标</w:t>
            </w:r>
          </w:p>
        </w:tc>
        <w:tc>
          <w:tcPr>
            <w:tcW w:type="dxa" w:w="6661"/>
            <w:gridSpan w:val="5"/>
            <w:vAlign w:val="center"/>
          </w:tcPr>
          <w:p>
            <w:pPr>
              <w:jc w:val="center"/>
              <w:rPr>
                <w:rFonts w:ascii="宋体" w:cs="宋体" w:eastAsia="宋体" w:hAnsi="宋体" w:hint="default"/>
                <w:sz w:val="18"/>
                <w:szCs w:val="18"/>
                <w:vertAlign w:val="baseline"/>
                <w:lang w:eastAsia="zh-CN" w:val="en-US"/>
              </w:rPr>
            </w:pPr>
            <w:r>
              <w:rPr>
                <w:rFonts w:ascii="宋体" w:cs="宋体" w:eastAsia="宋体" w:hAnsi="宋体" w:hint="eastAsia"/>
                <w:sz w:val="18"/>
                <w:szCs w:val="18"/>
                <w:vertAlign w:val="baseline"/>
                <w:lang w:eastAsia="zh-CN" w:val="en-US"/>
              </w:rPr>
              <w:t>否</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522"/>
        </w:trPr>
        <w:tc>
          <w:tcPr>
            <w:tcW w:type="dxa" w:w="1861"/>
            <w:vMerge w:val="restart"/>
            <w:vAlign w:val="center"/>
          </w:tcPr>
          <w:p>
            <w:pPr>
              <w:jc w:val="right"/>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投标资格能力要求</w:t>
            </w:r>
          </w:p>
          <w:p>
            <w:pPr>
              <w:jc w:val="right"/>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(包括但不限于资质</w:t>
            </w:r>
          </w:p>
          <w:p>
            <w:pPr>
              <w:jc w:val="right"/>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人员、业绩等要求)</w:t>
            </w:r>
          </w:p>
        </w:tc>
        <w:tc>
          <w:tcPr>
            <w:tcW w:type="dxa" w:w="1665"/>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rPr>
              <w:t>投标人资格要求</w:t>
            </w:r>
          </w:p>
        </w:tc>
        <w:tc>
          <w:tcPr>
            <w:tcW w:type="dxa" w:w="4996"/>
            <w:gridSpan w:val="3"/>
            <w:vAlign w:val="center"/>
          </w:tcPr>
          <w:p>
            <w:pPr>
              <w:jc w:val="both"/>
              <w:rPr>
                <w:sz w:val="18"/>
              </w:rPr>
            </w:pPr>
            <w:r>
              <w:rPr>
                <w:rFonts w:ascii="宋体" w:hAnsi="宋体" w:cs="宋体" w:eastAsia="宋体"/>
                <w:color w:val=""/>
                <w:sz w:val="18"/>
                <w:u w:val="none"/>
              </w:rPr>
              <w:t>国道G228线吴川穿城段改线工程勘察设计：同时具备：</w:t>
            </w:r>
          </w:p>
          <w:p>
            <w:pPr>
              <w:jc w:val="both"/>
              <w:rPr>
                <w:sz w:val="18"/>
              </w:rPr>
            </w:pPr>
            <w:r>
              <w:rPr>
                <w:rFonts w:ascii="宋体" w:hAnsi="宋体" w:cs="宋体" w:eastAsia="宋体"/>
                <w:color w:val=""/>
                <w:sz w:val="18"/>
                <w:u w:val="none"/>
              </w:rPr>
              <w:t>①工程勘察综合类甲级或工程勘察专业类（岩土工程、工程测量）甲级工程勘察资质；</w:t>
            </w:r>
          </w:p>
          <w:p>
            <w:pPr>
              <w:jc w:val="both"/>
              <w:rPr>
                <w:sz w:val="18"/>
              </w:rPr>
            </w:pPr>
            <w:r>
              <w:rPr>
                <w:rFonts w:ascii="宋体" w:hAnsi="宋体" w:cs="宋体" w:eastAsia="宋体"/>
                <w:color w:val=""/>
                <w:sz w:val="18"/>
                <w:u w:val="none"/>
              </w:rPr>
              <w:t>②工程设计综合甲级或工程设计公路行业甲级资质或工程设计公路行业（公路）专业甲级资质。</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462"/>
        </w:trPr>
        <w:tc>
          <w:tcPr>
            <w:tcW w:type="dxa" w:w="1861"/>
            <w:vMerge w:val="continue"/>
            <w:vAlign w:val="center"/>
          </w:tcPr>
          <w:p>
            <w:pPr>
              <w:jc w:val="center"/>
              <w:rPr>
                <w:rFonts w:ascii="宋体" w:cs="宋体" w:eastAsia="宋体" w:hAnsi="宋体" w:hint="eastAsia"/>
                <w:b/>
                <w:bCs/>
                <w:sz w:val="18"/>
                <w:szCs w:val="18"/>
                <w:vertAlign w:val="baseline"/>
              </w:rPr>
            </w:pPr>
          </w:p>
        </w:tc>
        <w:tc>
          <w:tcPr>
            <w:tcW w:type="dxa" w:w="1665"/>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rPr>
              <w:t>投标人业绩要求</w:t>
            </w:r>
          </w:p>
        </w:tc>
        <w:tc>
          <w:tcPr>
            <w:tcW w:type="dxa" w:w="4996"/>
            <w:gridSpan w:val="3"/>
            <w:vAlign w:val="center"/>
          </w:tcPr>
          <w:p>
            <w:pPr>
              <w:jc w:val="both"/>
              <w:rPr>
                <w:sz w:val="18"/>
              </w:rPr>
            </w:pPr>
            <w:r>
              <w:rPr>
                <w:rFonts w:ascii="宋体" w:hAnsi="宋体" w:cs="宋体" w:eastAsia="宋体"/>
                <w:color w:val=""/>
                <w:sz w:val="18"/>
                <w:u w:val="none"/>
              </w:rPr>
              <w:t>国道G228线吴川穿城段改线工程勘察设计：近5年内（自2020年7月1日至投标文件递交截止之日止）成功完成：</w:t>
            </w:r>
          </w:p>
          <w:p>
            <w:pPr>
              <w:jc w:val="both"/>
              <w:rPr>
                <w:sz w:val="18"/>
              </w:rPr>
            </w:pPr>
            <w:r>
              <w:rPr>
                <w:rFonts w:ascii="宋体" w:hAnsi="宋体" w:cs="宋体" w:eastAsia="宋体"/>
                <w:color w:val=""/>
                <w:sz w:val="18"/>
                <w:u w:val="none"/>
              </w:rPr>
              <w:t>累计50Km（或以上）新建或改、扩建一级（或以上）公路工程的勘察设计业绩，且其中有1个合同段不少于25km。</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1018"/>
        </w:trPr>
        <w:tc>
          <w:tcPr>
            <w:tcW w:type="dxa" w:w="1861"/>
            <w:vMerge w:val="restart"/>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是否采用电子</w:t>
            </w:r>
          </w:p>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招标投标方式</w:t>
            </w:r>
          </w:p>
        </w:tc>
        <w:tc>
          <w:tcPr>
            <w:tcW w:type="dxa" w:w="1665"/>
            <w:gridSpan w:val="2"/>
            <w:vMerge w:val="restart"/>
            <w:vAlign w:val="center"/>
          </w:tcPr>
          <w:p>
            <w:pPr>
              <w:jc w:val="center"/>
              <w:rPr>
                <w:rFonts w:ascii="宋体" w:cs="宋体" w:eastAsia="宋体" w:hAnsi="宋体" w:hint="eastAsia"/>
                <w:sz w:val="18"/>
                <w:szCs w:val="18"/>
                <w:vertAlign w:val="baseline"/>
                <w:lang w:eastAsia="zh-CN" w:val="en-US"/>
              </w:rPr>
            </w:pPr>
            <w:r>
              <w:rPr>
                <w:rFonts w:ascii="宋体" w:cs="宋体" w:eastAsia="宋体" w:hAnsi="宋体" w:hint="eastAsia"/>
                <w:sz w:val="18"/>
                <w:szCs w:val="18"/>
                <w:vertAlign w:val="baseline"/>
                <w:lang w:eastAsia="zh-CN" w:val="en-US"/>
              </w:rPr>
              <w:t>是</w:t>
            </w:r>
          </w:p>
        </w:tc>
        <w:tc>
          <w:tcPr>
            <w:tcW w:type="dxa" w:w="1473"/>
            <w:vMerge w:val="restart"/>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获取资格预审</w:t>
            </w:r>
          </w:p>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/招标文件的</w:t>
            </w:r>
          </w:p>
          <w:p>
            <w:pPr>
              <w:jc w:val="center"/>
              <w:rPr>
                <w:rFonts w:ascii="宋体" w:cs="宋体" w:eastAsia="宋体" w:hAnsi="宋体" w:hint="eastAsia"/>
                <w:sz w:val="18"/>
                <w:szCs w:val="18"/>
                <w:vertAlign w:val="baseline"/>
              </w:rPr>
            </w:pPr>
            <w:r>
              <w:rPr>
                <w:rFonts w:ascii="宋体" w:cs="宋体" w:eastAsia="宋体" w:hAnsi="宋体" w:hint="eastAsia"/>
                <w:b/>
                <w:bCs/>
                <w:sz w:val="18"/>
                <w:szCs w:val="18"/>
                <w:vertAlign w:val="baseline"/>
              </w:rPr>
              <w:t>方式</w:t>
            </w:r>
          </w:p>
        </w:tc>
        <w:tc>
          <w:tcPr>
            <w:tcW w:type="dxa" w:w="1737"/>
            <w:vAlign w:val="center"/>
          </w:tcPr>
          <w:p>
            <w:pPr>
              <w:jc w:val="both"/>
              <w:rPr>
                <w:rFonts w:ascii="宋体" w:cs="宋体" w:eastAsia="宋体" w:hAnsi="宋体" w:hint="eastAsia"/>
                <w:sz w:val="18"/>
                <w:szCs w:val="18"/>
                <w:vertAlign w:val="baseline"/>
              </w:rPr>
            </w:pPr>
            <w:r>
              <w:rPr>
                <w:rFonts w:ascii="宋体" w:cs="宋体" w:eastAsia="宋体" w:hAnsi="宋体" w:hint="eastAsia"/>
                <w:sz w:val="18"/>
                <w:szCs w:val="18"/>
                <w:vertAlign w:val="baseline"/>
              </w:rPr>
              <w:t>下载资格预审/招标文件的网络地址</w:t>
            </w:r>
          </w:p>
        </w:tc>
        <w:tc>
          <w:tcPr>
            <w:tcW w:type="dxa" w:w="1786"/>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广东省公路水运工程建设项目电子招投标交易平台（http://jtcbs.gdcd.gov.cn:30887/tenderlogin）</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808"/>
        </w:trPr>
        <w:tc>
          <w:tcPr>
            <w:tcW w:type="dxa" w:w="1861"/>
            <w:vMerge w:val="continue"/>
            <w:vAlign w:val="center"/>
          </w:tcPr>
          <w:p>
            <w:pPr>
              <w:jc w:val="center"/>
              <w:rPr>
                <w:rFonts w:ascii="宋体" w:cs="宋体" w:eastAsia="宋体" w:hAnsi="宋体" w:hint="eastAsia"/>
                <w:b/>
                <w:bCs/>
                <w:sz w:val="18"/>
                <w:szCs w:val="18"/>
                <w:vertAlign w:val="baseline"/>
              </w:rPr>
            </w:pPr>
          </w:p>
        </w:tc>
        <w:tc>
          <w:tcPr>
            <w:tcW w:type="dxa" w:w="1665"/>
            <w:gridSpan w:val="2"/>
            <w:vMerge w:val="continue"/>
            <w:vAlign w:val="center"/>
          </w:tcPr>
          <w:p>
            <w:pPr>
              <w:jc w:val="center"/>
              <w:rPr>
                <w:rFonts w:ascii="宋体" w:cs="宋体" w:eastAsia="宋体" w:hAnsi="宋体" w:hint="eastAsia"/>
                <w:sz w:val="18"/>
                <w:szCs w:val="18"/>
                <w:vertAlign w:val="baseline"/>
              </w:rPr>
            </w:pPr>
          </w:p>
        </w:tc>
        <w:tc>
          <w:tcPr>
            <w:tcW w:type="dxa" w:w="1473"/>
            <w:vMerge w:val="continue"/>
            <w:vAlign w:val="center"/>
          </w:tcPr>
          <w:p>
            <w:pPr>
              <w:jc w:val="center"/>
              <w:rPr>
                <w:rFonts w:ascii="宋体" w:cs="宋体" w:eastAsia="宋体" w:hAnsi="宋体" w:hint="eastAsia"/>
                <w:sz w:val="18"/>
                <w:szCs w:val="18"/>
                <w:vertAlign w:val="baseline"/>
              </w:rPr>
            </w:pPr>
          </w:p>
        </w:tc>
        <w:tc>
          <w:tcPr>
            <w:tcW w:type="dxa" w:w="1737"/>
            <w:vAlign w:val="center"/>
          </w:tcPr>
          <w:p>
            <w:pPr>
              <w:jc w:val="both"/>
              <w:rPr>
                <w:rFonts w:ascii="宋体" w:cs="宋体" w:eastAsia="宋体" w:hAnsi="宋体" w:hint="eastAsia"/>
                <w:sz w:val="18"/>
                <w:szCs w:val="18"/>
                <w:vertAlign w:val="baseline"/>
              </w:rPr>
            </w:pPr>
            <w:r>
              <w:rPr>
                <w:rFonts w:ascii="宋体" w:cs="宋体" w:eastAsia="宋体" w:hAnsi="宋体" w:hint="eastAsia"/>
                <w:sz w:val="18"/>
                <w:szCs w:val="18"/>
                <w:vertAlign w:val="baseline"/>
              </w:rPr>
              <w:t>获取纸质资格预审/招标文件的方式</w:t>
            </w:r>
          </w:p>
        </w:tc>
        <w:tc>
          <w:tcPr>
            <w:tcW w:type="dxa" w:w="1786"/>
            <w:vAlign w:val="center"/>
          </w:tcPr>
          <w:p>
            <w:pPr>
              <w:jc w:val="center"/>
              <w:rPr>
                <w:rFonts w:ascii="宋体" w:cs="宋体" w:eastAsia="宋体" w:hAnsi="宋体" w:hint="eastAsia"/>
                <w:sz w:val="18"/>
                <w:szCs w:val="18"/>
                <w:vertAlign w:val="baseline"/>
              </w:rPr>
            </w:pP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808"/>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获取资格预审/招标文件开始时间</w:t>
            </w:r>
          </w:p>
        </w:tc>
        <w:tc>
          <w:tcPr>
            <w:tcW w:type="dxa" w:w="1665"/>
            <w:gridSpan w:val="2"/>
            <w:vAlign w:val="center"/>
          </w:tcPr>
          <w:p>
            <w:pPr>
              <w:jc w:val="center"/>
              <w:rPr>
                <w:rFonts w:ascii="宋体" w:cs="宋体" w:eastAsia="宋体" w:hAnsi="宋体" w:hint="default"/>
                <w:sz w:val="18"/>
                <w:szCs w:val="18"/>
                <w:vertAlign w:val="baseline"/>
                <w:lang w:eastAsia="zh-CN" w:val="en-US"/>
              </w:rPr>
            </w:pPr>
            <w:r>
              <w:rPr>
                <w:rFonts w:ascii="宋体" w:cs="宋体" w:eastAsia="宋体" w:hAnsi="宋体" w:hint="eastAsia"/>
                <w:sz w:val="18"/>
                <w:szCs w:val="18"/>
                <w:vertAlign w:val="baseline"/>
                <w:lang w:eastAsia="zh-CN" w:val="en-US"/>
              </w:rPr>
              <w:t/>
            </w:r>
          </w:p>
        </w:tc>
        <w:tc>
          <w:tcPr>
            <w:tcW w:type="dxa" w:w="1473"/>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获取资格预审</w:t>
            </w:r>
          </w:p>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/招标文件截</w:t>
            </w:r>
          </w:p>
          <w:p>
            <w:pPr>
              <w:jc w:val="center"/>
              <w:rPr>
                <w:rFonts w:ascii="宋体" w:cs="宋体" w:eastAsia="宋体" w:hAnsi="宋体" w:hint="eastAsia"/>
                <w:sz w:val="18"/>
                <w:szCs w:val="18"/>
                <w:vertAlign w:val="baseline"/>
              </w:rPr>
            </w:pPr>
            <w:r>
              <w:rPr>
                <w:rFonts w:ascii="宋体" w:cs="宋体" w:eastAsia="宋体" w:hAnsi="宋体" w:hint="eastAsia"/>
                <w:b/>
                <w:bCs/>
                <w:sz w:val="18"/>
                <w:szCs w:val="18"/>
                <w:vertAlign w:val="baseline"/>
              </w:rPr>
              <w:t>止时间</w:t>
            </w:r>
          </w:p>
        </w:tc>
        <w:tc>
          <w:tcPr>
            <w:tcW w:type="dxa" w:w="3523"/>
            <w:gridSpan w:val="2"/>
            <w:vAlign w:val="center"/>
          </w:tcPr>
          <w:p>
            <w:pPr>
              <w:jc w:val="center"/>
              <w:rPr>
                <w:rFonts w:ascii="宋体" w:cs="宋体" w:eastAsia="宋体" w:hAnsi="宋体" w:hint="default"/>
                <w:sz w:val="18"/>
                <w:szCs w:val="18"/>
                <w:vertAlign w:val="baseline"/>
                <w:lang w:eastAsia="zh-CN" w:val="en-US"/>
              </w:rPr>
            </w:pPr>
            <w:r>
              <w:rPr>
                <w:rFonts w:ascii="宋体" w:cs="宋体" w:eastAsia="宋体" w:hAnsi="宋体" w:hint="eastAsia"/>
                <w:sz w:val="18"/>
                <w:szCs w:val="18"/>
                <w:vertAlign w:val="baseline"/>
                <w:lang w:eastAsia="zh-CN" w:val="en-US"/>
              </w:rPr>
              <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808"/>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递交资格预审/投标文件截止时间</w:t>
            </w:r>
          </w:p>
        </w:tc>
        <w:tc>
          <w:tcPr>
            <w:tcW w:type="dxa" w:w="1665"/>
            <w:gridSpan w:val="2"/>
            <w:vAlign w:val="center"/>
          </w:tcPr>
          <w:p>
            <w:pPr>
              <w:jc w:val="center"/>
              <w:rPr>
                <w:rFonts w:ascii="宋体" w:cs="宋体" w:eastAsia="宋体" w:hAnsi="宋体" w:hint="default"/>
                <w:sz w:val="18"/>
                <w:szCs w:val="18"/>
                <w:vertAlign w:val="baseline"/>
                <w:lang w:eastAsia="zh-CN" w:val="en-US"/>
              </w:rPr>
            </w:pPr>
            <w:r>
              <w:rPr>
                <w:rFonts w:ascii="宋体" w:cs="宋体" w:eastAsia="宋体" w:hAnsi="宋体" w:hint="eastAsia"/>
                <w:sz w:val="18"/>
                <w:szCs w:val="18"/>
                <w:vertAlign w:val="baseline"/>
                <w:lang w:eastAsia="zh-CN" w:val="en-US"/>
              </w:rPr>
              <w:t/>
            </w:r>
          </w:p>
        </w:tc>
        <w:tc>
          <w:tcPr>
            <w:tcW w:type="dxa" w:w="1473"/>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资格预审/投标文件递交方式</w:t>
            </w:r>
          </w:p>
        </w:tc>
        <w:tc>
          <w:tcPr>
            <w:tcW w:type="dxa" w:w="3523"/>
            <w:gridSpan w:val="2"/>
            <w:vAlign w:val="center"/>
          </w:tcPr>
          <w:p>
            <w:pPr>
              <w:jc w:val="both"/>
              <w:rPr>
                <w:sz w:val="18"/>
              </w:rPr>
            </w:pPr>
            <w:r>
              <w:rPr>
                <w:rFonts w:ascii="宋体" w:hAnsi="宋体" w:cs="宋体" w:eastAsia="宋体"/>
                <w:color w:val=""/>
                <w:sz w:val="18"/>
                <w:u w:val="none"/>
              </w:rPr>
              <w:t xml:space="preserve">    投标文件电子文件统一采用网络上传的方式，投标人于___年___月___日00时00分至___年___月___日___时___分将电子文件完整上传。递交投标文件纸质文件截止时间为___年___月___日___时___分，投标人应于___年___月___日___时___分至___年___月___日___时___分将投标文件纸质文件递交至广州公共资源交易中心相应的开标室，具体开标室见交易中心大厅公告（广州市天河区天润路333号）。</w:t>
            </w:r>
          </w:p>
          <w:p>
            <w:pPr>
              <w:jc w:val="both"/>
              <w:rPr>
                <w:sz w:val="18"/>
              </w:rPr>
            </w:pPr>
            <w:r>
              <w:rPr>
                <w:rFonts w:ascii="宋体" w:hAnsi="宋体" w:cs="宋体" w:eastAsia="宋体"/>
                <w:color w:val=""/>
                <w:sz w:val="18"/>
                <w:u w:val="none"/>
              </w:rPr>
              <w:t xml:space="preserve">    逾期送达的、未送达指定地点的或不按照招标文件要求密封的投标文件，招标人将予以拒收。</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808"/>
        </w:trPr>
        <w:tc>
          <w:tcPr>
            <w:tcW w:type="dxa" w:w="1861"/>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开标时间</w:t>
            </w:r>
          </w:p>
        </w:tc>
        <w:tc>
          <w:tcPr>
            <w:tcW w:type="dxa" w:w="1665"/>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
            </w:r>
          </w:p>
        </w:tc>
        <w:tc>
          <w:tcPr>
            <w:tcW w:type="dxa" w:w="1473"/>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开标地点</w:t>
            </w:r>
          </w:p>
        </w:tc>
        <w:tc>
          <w:tcPr>
            <w:tcW w:type="dxa" w:w="3523"/>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rPr>
              <w:t>广州公共资源交易中心</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578"/>
        </w:trPr>
        <w:tc>
          <w:tcPr>
            <w:tcW w:type="dxa" w:w="1861"/>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发布公告媒介</w:t>
            </w:r>
          </w:p>
        </w:tc>
        <w:tc>
          <w:tcPr>
            <w:tcW w:type="dxa" w:w="6661"/>
            <w:gridSpan w:val="5"/>
            <w:vAlign w:val="center"/>
          </w:tcPr>
          <w:p>
            <w:pPr>
              <w:jc w:val="both"/>
              <w:rPr>
                <w:sz w:val="18"/>
              </w:rPr>
            </w:pPr>
            <w:r>
              <w:rPr>
                <w:rFonts w:ascii="宋体" w:hAnsi="宋体" w:cs="宋体" w:eastAsia="宋体"/>
                <w:color w:val=""/>
                <w:sz w:val="18"/>
                <w:u w:val="none"/>
              </w:rPr>
              <w:t xml:space="preserve">    本次招标公告同时在以下媒体上发布：广东省招标投标监管网、广州公共资源交易中心网站。如媒体发布公告内容不一致者，以广东省招标投标监管网站公告为准。</w:t>
            </w:r>
          </w:p>
          <w:p>
            <w:pPr>
              <w:jc w:val="both"/>
              <w:rPr>
                <w:sz w:val="18"/>
              </w:rPr>
            </w:pPr>
            <w:r>
              <w:rPr>
                <w:rFonts w:ascii="宋体" w:hAnsi="宋体" w:cs="宋体" w:eastAsia="宋体"/>
                <w:color w:val=""/>
                <w:sz w:val="18"/>
                <w:u w:val="none"/>
              </w:rPr>
              <w:t xml:space="preserve">    在规定的招标文件获取期间，如获取招标文件的投标人不足3家时，招标人依法有权选择以下任一方式：（1）在广东省招标投标监管网、广州公共资源交易中心网站发布公告延长招标文件获取时间，在延期招标文件获取时间内，已获取招标文件投标人的资料仍有效并可自行补充资料，未获取招标文件的投标人可根据公告的约定进行获取；（2）依法重新组织招标或不再招标。</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808"/>
        </w:trPr>
        <w:tc>
          <w:tcPr>
            <w:tcW w:type="dxa" w:w="1861"/>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招标人</w:t>
            </w:r>
          </w:p>
        </w:tc>
        <w:tc>
          <w:tcPr>
            <w:tcW w:type="dxa" w:w="1665"/>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吴川市交通运输局</w:t>
            </w:r>
          </w:p>
        </w:tc>
        <w:tc>
          <w:tcPr>
            <w:tcW w:type="dxa" w:w="1473"/>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联系地址</w:t>
            </w:r>
          </w:p>
        </w:tc>
        <w:tc>
          <w:tcPr>
            <w:tcW w:type="dxa" w:w="3523"/>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吴川市梅录街道东升路2号</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508"/>
        </w:trPr>
        <w:tc>
          <w:tcPr>
            <w:tcW w:type="dxa" w:w="1861"/>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招标人联系人</w:t>
            </w:r>
          </w:p>
        </w:tc>
        <w:tc>
          <w:tcPr>
            <w:tcW w:type="dxa" w:w="1665"/>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卢小姐</w:t>
            </w:r>
          </w:p>
        </w:tc>
        <w:tc>
          <w:tcPr>
            <w:tcW w:type="dxa" w:w="1473"/>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联系电话</w:t>
            </w:r>
          </w:p>
        </w:tc>
        <w:tc>
          <w:tcPr>
            <w:tcW w:type="dxa" w:w="3523"/>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0759-5600273</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588"/>
        </w:trPr>
        <w:tc>
          <w:tcPr>
            <w:tcW w:type="dxa" w:w="1861"/>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招标代理机构</w:t>
            </w:r>
          </w:p>
        </w:tc>
        <w:tc>
          <w:tcPr>
            <w:tcW w:type="dxa" w:w="1665"/>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广东浩景建设项目管理有限公司</w:t>
            </w:r>
          </w:p>
        </w:tc>
        <w:tc>
          <w:tcPr>
            <w:tcW w:type="dxa" w:w="1473"/>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联系地址</w:t>
            </w:r>
          </w:p>
        </w:tc>
        <w:tc>
          <w:tcPr>
            <w:tcW w:type="dxa" w:w="3523"/>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湛江经济技术开发区海滨大道中128号湛江万达广 场7号楼802号办公室</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588"/>
        </w:trPr>
        <w:tc>
          <w:tcPr>
            <w:tcW w:type="dxa" w:w="1861"/>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招标代理联系人</w:t>
            </w:r>
          </w:p>
        </w:tc>
        <w:tc>
          <w:tcPr>
            <w:tcW w:type="dxa" w:w="1665"/>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黄工</w:t>
            </w:r>
          </w:p>
        </w:tc>
        <w:tc>
          <w:tcPr>
            <w:tcW w:type="dxa" w:w="1473"/>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联系电话</w:t>
            </w:r>
          </w:p>
        </w:tc>
        <w:tc>
          <w:tcPr>
            <w:tcW w:type="dxa" w:w="3523"/>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0759-2227135</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588"/>
        </w:trPr>
        <w:tc>
          <w:tcPr>
            <w:tcW w:type="dxa" w:w="1861"/>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招标监督机构</w:t>
            </w:r>
          </w:p>
        </w:tc>
        <w:tc>
          <w:tcPr>
            <w:tcW w:type="dxa" w:w="1665"/>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广东省交通运输厅基建管理处</w:t>
            </w:r>
          </w:p>
        </w:tc>
        <w:tc>
          <w:tcPr>
            <w:tcW w:type="dxa" w:w="1473"/>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联系电话</w:t>
            </w:r>
          </w:p>
        </w:tc>
        <w:tc>
          <w:tcPr>
            <w:tcW w:type="dxa" w:w="3523"/>
            <w:gridSpan w:val="2"/>
            <w:vAlign w:val="center"/>
          </w:tcPr>
          <w:p>
            <w:pPr>
              <w:jc w:val="center"/>
              <w:rPr>
                <w:rFonts w:ascii="宋体" w:cs="宋体" w:eastAsia="宋体" w:hAnsi="宋体" w:hint="eastAsia"/>
                <w:sz w:val="18"/>
                <w:szCs w:val="18"/>
                <w:vertAlign w:val="baseline"/>
              </w:rPr>
            </w:pP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588"/>
        </w:trPr>
        <w:tc>
          <w:tcPr>
            <w:tcW w:type="dxa" w:w="1861"/>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其他依法应当载明的内容</w:t>
            </w:r>
          </w:p>
        </w:tc>
        <w:tc>
          <w:tcPr>
            <w:tcW w:type="dxa" w:w="6661"/>
            <w:gridSpan w:val="5"/>
            <w:vAlign w:val="center"/>
          </w:tcPr>
          <w:p>
            <w:pPr>
              <w:jc w:val="center"/>
              <w:rPr>
                <w:rFonts w:ascii="宋体" w:cs="宋体" w:eastAsia="宋体" w:hAnsi="宋体" w:hint="eastAsia"/>
                <w:sz w:val="18"/>
                <w:szCs w:val="18"/>
                <w:vertAlign w:val="baseline"/>
              </w:rPr>
            </w:pPr>
          </w:p>
        </w:tc>
      </w:tr>
    </w:tbl>
    <w:p>
      <w:pPr>
        <w:rPr>
          <w:rFonts w:ascii="宋体" w:cs="宋体" w:eastAsia="宋体" w:hAnsi="宋体" w:hint="eastAsia"/>
        </w:rPr>
      </w:pPr>
    </w:p>
    <w:sectPr>
      <w:pgSz w:h="16838" w:w="11906"/>
      <w:pgMar w:bottom="1440" w:footer="992" w:gutter="0" w:header="851" w:left="1800" w:right="1800" w:top="1440"/>
      <w:cols w:num="1" w:space="425"/>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kYzBmYzViNmM1OWM4MGVhN2RmMzhiYTQ1MGQ4MTgifQ=="/>
  </w:docVars>
  <w:rsids>
    <w:rsidRoot w:val="00000000"/>
    <w:rsid w:val="028247F4"/>
    <w:rsid w:val="0396194E"/>
    <w:rsid w:val="04620439"/>
    <w:rsid w:val="05687A1E"/>
    <w:rsid w:val="05932FA0"/>
    <w:rsid w:val="072445B9"/>
    <w:rsid w:val="08B7634F"/>
    <w:rsid w:val="0A7B4003"/>
    <w:rsid w:val="0ADD625D"/>
    <w:rsid w:val="0B085689"/>
    <w:rsid w:val="0B66715B"/>
    <w:rsid w:val="0BEA32BC"/>
    <w:rsid w:val="0CC86D0F"/>
    <w:rsid w:val="11F8062F"/>
    <w:rsid w:val="133815F1"/>
    <w:rsid w:val="1424395D"/>
    <w:rsid w:val="151F6812"/>
    <w:rsid w:val="17BA3F9F"/>
    <w:rsid w:val="18FA3AAC"/>
    <w:rsid w:val="1903629F"/>
    <w:rsid w:val="1937087B"/>
    <w:rsid w:val="19BD16CC"/>
    <w:rsid w:val="1A8D6F59"/>
    <w:rsid w:val="1AE77ACD"/>
    <w:rsid w:val="1BA63D15"/>
    <w:rsid w:val="1E9A4F48"/>
    <w:rsid w:val="1F015BE8"/>
    <w:rsid w:val="1F6F644D"/>
    <w:rsid w:val="22240889"/>
    <w:rsid w:val="2288155B"/>
    <w:rsid w:val="244F43AD"/>
    <w:rsid w:val="24C5104D"/>
    <w:rsid w:val="25205A7B"/>
    <w:rsid w:val="25EF5485"/>
    <w:rsid w:val="26192901"/>
    <w:rsid w:val="26BB1EFF"/>
    <w:rsid w:val="27C844E7"/>
    <w:rsid w:val="2A3C3357"/>
    <w:rsid w:val="2AF66BF8"/>
    <w:rsid w:val="2BB24EAC"/>
    <w:rsid w:val="2C243739"/>
    <w:rsid w:val="2D1B36F8"/>
    <w:rsid w:val="2DAC7BED"/>
    <w:rsid w:val="2FBA5573"/>
    <w:rsid w:val="307C6264"/>
    <w:rsid w:val="32F5208D"/>
    <w:rsid w:val="33492641"/>
    <w:rsid w:val="33D47D4F"/>
    <w:rsid w:val="34BE7E51"/>
    <w:rsid w:val="358A56C2"/>
    <w:rsid w:val="35DF39AD"/>
    <w:rsid w:val="37CE29CF"/>
    <w:rsid w:val="385D5DEF"/>
    <w:rsid w:val="38E31CCA"/>
    <w:rsid w:val="396B18F5"/>
    <w:rsid w:val="3A0674A4"/>
    <w:rsid w:val="3ADC46EA"/>
    <w:rsid w:val="3CAF4612"/>
    <w:rsid w:val="3E972B6C"/>
    <w:rsid w:val="3FA50A7A"/>
    <w:rsid w:val="40185875"/>
    <w:rsid w:val="403666A1"/>
    <w:rsid w:val="40FD53A3"/>
    <w:rsid w:val="412F7925"/>
    <w:rsid w:val="42355B4F"/>
    <w:rsid w:val="43076734"/>
    <w:rsid w:val="4327700E"/>
    <w:rsid w:val="43AF4742"/>
    <w:rsid w:val="43ED593A"/>
    <w:rsid w:val="44093E52"/>
    <w:rsid w:val="44711472"/>
    <w:rsid w:val="450B3510"/>
    <w:rsid w:val="45F11042"/>
    <w:rsid w:val="46E719AA"/>
    <w:rsid w:val="473F6691"/>
    <w:rsid w:val="478F466E"/>
    <w:rsid w:val="485D29BF"/>
    <w:rsid w:val="48724017"/>
    <w:rsid w:val="49DC0844"/>
    <w:rsid w:val="4B1331CA"/>
    <w:rsid w:val="4BB26B7D"/>
    <w:rsid w:val="4C1A1186"/>
    <w:rsid w:val="4C235C4C"/>
    <w:rsid w:val="4EDF7A58"/>
    <w:rsid w:val="4F626994"/>
    <w:rsid w:val="4FAD422B"/>
    <w:rsid w:val="4FCD042A"/>
    <w:rsid w:val="50037A14"/>
    <w:rsid w:val="50C35086"/>
    <w:rsid w:val="50CD3B67"/>
    <w:rsid w:val="546E63A5"/>
    <w:rsid w:val="55F14746"/>
    <w:rsid w:val="57812F2D"/>
    <w:rsid w:val="587578B0"/>
    <w:rsid w:val="58B242BD"/>
    <w:rsid w:val="59E26240"/>
    <w:rsid w:val="5C321615"/>
    <w:rsid w:val="5C53318D"/>
    <w:rsid w:val="5CE9261B"/>
    <w:rsid w:val="5D301FF8"/>
    <w:rsid w:val="5DA84284"/>
    <w:rsid w:val="5ED93504"/>
    <w:rsid w:val="5F107065"/>
    <w:rsid w:val="60592C21"/>
    <w:rsid w:val="60EA79A6"/>
    <w:rsid w:val="612C2AD6"/>
    <w:rsid w:val="62944BFA"/>
    <w:rsid w:val="638D1ED6"/>
    <w:rsid w:val="63DA4A6C"/>
    <w:rsid w:val="65165D18"/>
    <w:rsid w:val="657C227E"/>
    <w:rsid w:val="65A2329F"/>
    <w:rsid w:val="676E4DB6"/>
    <w:rsid w:val="6779459B"/>
    <w:rsid w:val="686178A3"/>
    <w:rsid w:val="68BE495C"/>
    <w:rsid w:val="68CF4DBB"/>
    <w:rsid w:val="69C615E3"/>
    <w:rsid w:val="6A1B23CD"/>
    <w:rsid w:val="6A2230B3"/>
    <w:rsid w:val="6BDA0D35"/>
    <w:rsid w:val="6C1A459F"/>
    <w:rsid w:val="6C2E3313"/>
    <w:rsid w:val="6CA51AD2"/>
    <w:rsid w:val="6D01750D"/>
    <w:rsid w:val="6D747CDF"/>
    <w:rsid w:val="6E0F17B6"/>
    <w:rsid w:val="6E586D17"/>
    <w:rsid w:val="6F603095"/>
    <w:rsid w:val="706728F0"/>
    <w:rsid w:val="71CA611F"/>
    <w:rsid w:val="72AB7B7B"/>
    <w:rsid w:val="745B748A"/>
    <w:rsid w:val="74777E8B"/>
    <w:rsid w:val="751A73BE"/>
    <w:rsid w:val="764C2334"/>
    <w:rsid w:val="781B08C4"/>
    <w:rsid w:val="786170B2"/>
    <w:rsid w:val="7A276C5B"/>
    <w:rsid w:val="7A737ACF"/>
    <w:rsid w:val="7AB30DC5"/>
    <w:rsid w:val="7B0F7299"/>
    <w:rsid w:val="7B263107"/>
    <w:rsid w:val="7BE54F72"/>
    <w:rsid w:val="7C142DB9"/>
    <w:rsid w:val="7CBA4636"/>
  </w:rsids>
  <m:mathPr>
    <m:mathFont m:val="Cambria Math"/>
    <m:brkBin m:val="before"/>
    <m:brkBinSub m:val="--"/>
    <m:smallFrac m:val="0"/>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doNotIncludeSubdocsInStats/>
</w:settings>
</file>

<file path=word/styles.xml><?xml version="1.0" encoding="utf-8"?>
<w:style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psCustomData="http://www.wps.cn/officeDocument/2013/wpsCustomData" mc:Ignorable="w14">
  <w:docDefaults>
    <w:rPrDefault>
      <w:rPr>
        <w:rFonts w:ascii="Times New Roman" w:cs="Times New Roman" w:eastAsia="宋体" w:hAnsi="Times New Roman"/>
      </w:rPr>
    </w:rPrDefault>
    <w:pPrDefault/>
  </w:docDefaults>
  <w:latentStyles w:count="260" w:defLockedState="0" w:defQFormat="0" w:defSemiHidden="1" w:defUIPriority="99" w:defUnhideWhenUsed="1">
    <w:lsdException w:name="Normal" w:qFormat="1" w:semiHidden="0" w:uiPriority="0" w:unhideWhenUsed="0"/>
    <w:lsdException w:name="heading 1" w:qFormat="1" w:semiHidden="0" w:uiPriority="0" w:unhideWhenUsed="0"/>
    <w:lsdException w:name="heading 2" w:qFormat="1" w:semiHidden="0" w:uiPriority="0"/>
    <w:lsdException w:name="heading 3" w:qFormat="1" w:uiPriority="0"/>
    <w:lsdException w:name="heading 4" w:qFormat="1" w:uiPriority="0"/>
    <w:lsdException w:name="heading 5" w:qFormat="1" w:uiPriority="0"/>
    <w:lsdException w:name="heading 6" w:qFormat="1" w:uiPriority="0"/>
    <w:lsdException w:name="heading 7" w:qFormat="1" w:uiPriority="0"/>
    <w:lsdException w:name="heading 8" w:qFormat="1" w:uiPriority="0"/>
    <w:lsdException w:name="heading 9" w:qFormat="1" w:uiPriority="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qFormat="1" w:uiPriority="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qFormat="1" w:semiHidden="0" w:uiPriority="0" w:unhideWhenUsed="0"/>
    <w:lsdException w:name="Closing" w:semiHidden="0" w:uiPriority="0" w:unhideWhenUsed="0"/>
    <w:lsdException w:name="Signature" w:semiHidden="0" w:uiPriority="0" w:unhideWhenUsed="0"/>
    <w:lsdException w:name="Default Paragraph Font" w:qFormat="1"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qFormat="1"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qFormat="1" w:semiHidden="0" w:uiPriority="0" w:unhideWhenUsed="0"/>
    <w:lsdException w:name="Emphasis" w:qFormat="1"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qFormat="1"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default="1" w:styleId="1" w:type="paragraph">
    <w:name w:val="Normal"/>
    <w:qFormat/>
    <w:uiPriority w:val="0"/>
    <w:pPr>
      <w:widowControl w:val="0"/>
      <w:jc w:val="both"/>
    </w:pPr>
    <w:rPr>
      <w:rFonts w:asciiTheme="minorHAnsi" w:cstheme="minorBidi" w:eastAsiaTheme="minorEastAsia" w:hAnsiTheme="minorHAnsi"/>
      <w:kern w:val="2"/>
      <w:sz w:val="21"/>
      <w:szCs w:val="24"/>
      <w:lang w:bidi="ar-SA" w:eastAsia="zh-CN" w:val="en-US"/>
    </w:rPr>
  </w:style>
  <w:style w:styleId="2" w:type="paragraph">
    <w:name w:val="heading 2"/>
    <w:basedOn w:val="1"/>
    <w:next w:val="1"/>
    <w:unhideWhenUsed/>
    <w:qFormat/>
    <w:uiPriority w:val="0"/>
    <w:pPr>
      <w:keepNext/>
      <w:keepLines/>
      <w:spacing w:after="260" w:afterAutospacing="0" w:afterLines="0" w:before="260" w:beforeAutospacing="0" w:beforeLines="0" w:line="413" w:lineRule="auto"/>
      <w:outlineLvl w:val="1"/>
    </w:pPr>
    <w:rPr>
      <w:rFonts w:ascii="Arial" w:eastAsia="黑体" w:hAnsi="Arial"/>
      <w:b/>
      <w:sz w:val="32"/>
    </w:rPr>
  </w:style>
  <w:style w:default="1" w:styleId="6" w:type="character">
    <w:name w:val="Default Paragraph Font"/>
    <w:semiHidden/>
    <w:qFormat/>
    <w:uiPriority w:val="0"/>
  </w:style>
  <w:style w:default="1" w:styleId="4" w:type="table">
    <w:name w:val="Normal Table"/>
    <w:semiHidden/>
    <w:qFormat/>
    <w:uiPriority w:val="0"/>
    <w:tblPr>
      <w:tblCellMar>
        <w:top w:type="dxa" w:w="0"/>
        <w:left w:type="dxa" w:w="108"/>
        <w:bottom w:type="dxa" w:w="0"/>
        <w:right w:type="dxa" w:w="108"/>
      </w:tblCellMar>
    </w:tblPr>
  </w:style>
  <w:style w:styleId="3" w:type="paragraph">
    <w:name w:val="HTML Preformatted"/>
    <w:basedOn w:val="1"/>
    <w:uiPriority w:val="0"/>
    <w:pPr>
      <w:tabs>
        <w:tab w:pos="916" w:val="left"/>
        <w:tab w:pos="1832" w:val="left"/>
        <w:tab w:pos="2748" w:val="left"/>
        <w:tab w:pos="3664" w:val="left"/>
        <w:tab w:pos="4580" w:val="left"/>
        <w:tab w:pos="5496" w:val="left"/>
        <w:tab w:pos="6412" w:val="left"/>
        <w:tab w:pos="7328" w:val="left"/>
        <w:tab w:pos="8244" w:val="left"/>
        <w:tab w:pos="9160" w:val="left"/>
        <w:tab w:pos="10076" w:val="left"/>
        <w:tab w:pos="10992" w:val="left"/>
        <w:tab w:pos="11908" w:val="left"/>
        <w:tab w:pos="12824" w:val="left"/>
        <w:tab w:pos="13740" w:val="left"/>
        <w:tab w:pos="14656" w:val="left"/>
      </w:tabs>
      <w:jc w:val="left"/>
    </w:pPr>
    <w:rPr>
      <w:rFonts w:ascii="宋体" w:cs="宋体" w:eastAsia="宋体" w:hAnsi="宋体" w:hint="eastAsia"/>
      <w:kern w:val="0"/>
      <w:sz w:val="24"/>
      <w:szCs w:val="24"/>
      <w:lang w:bidi="ar" w:eastAsia="zh-CN" w:val="en-US"/>
    </w:rPr>
  </w:style>
  <w:style w:styleId="5" w:type="table">
    <w:name w:val="Table Grid"/>
    <w:basedOn w:val="4"/>
    <w:qFormat/>
    <w:uiPriority w:val="0"/>
    <w:pPr>
      <w:widowControl w:val="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2023-10-30T03:10:00Z</dcterms:created>
  <dc:creator>ct</dc:creator>
  <cp:lastModifiedBy>空白</cp:lastModifiedBy>
  <dcterms:modified xsi:type="dcterms:W3CDTF">2023-11-08T02:35:37Z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KSOProductBuildVer" pid="2">
    <vt:lpwstr>2052-12.1.0.15712</vt:lpwstr>
  </property>
  <property fmtid="{D5CDD505-2E9C-101B-9397-08002B2CF9AE}" name="ICV" pid="3">
    <vt:lpwstr>DE513D7F1DA64BA78ED3D63D32C30144_12</vt:lpwstr>
  </property>
</Properties>
</file>